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19E9" w14:textId="77777777" w:rsidR="00865936" w:rsidRPr="00276561" w:rsidRDefault="00865936">
      <w:pPr>
        <w:rPr>
          <w:rFonts w:asciiTheme="minorEastAsia" w:hAnsiTheme="minorEastAsia"/>
          <w:szCs w:val="21"/>
        </w:rPr>
      </w:pPr>
    </w:p>
    <w:p w14:paraId="6AE1FD72" w14:textId="2CE379A5" w:rsidR="006F2CB0" w:rsidRPr="00276561" w:rsidRDefault="00A52C67" w:rsidP="006F2CB0">
      <w:pPr>
        <w:spacing w:line="300" w:lineRule="atLeast"/>
        <w:jc w:val="center"/>
        <w:rPr>
          <w:rFonts w:asciiTheme="minorEastAsia" w:hAnsiTheme="minorEastAsia"/>
          <w:b/>
          <w:kern w:val="0"/>
          <w:sz w:val="28"/>
          <w:szCs w:val="28"/>
        </w:rPr>
      </w:pPr>
      <w:r w:rsidRPr="00A52C67">
        <w:rPr>
          <w:rFonts w:asciiTheme="minorEastAsia" w:hAnsiTheme="minorEastAsia" w:hint="eastAsia"/>
          <w:b/>
          <w:kern w:val="0"/>
          <w:sz w:val="28"/>
          <w:szCs w:val="28"/>
        </w:rPr>
        <w:t>景顺长城鑫月薪定期支付债券型证券投资基金关于确定</w:t>
      </w:r>
      <w:r w:rsidR="007F7370">
        <w:rPr>
          <w:rFonts w:asciiTheme="minorEastAsia" w:hAnsiTheme="minorEastAsia" w:hint="eastAsia"/>
          <w:b/>
          <w:kern w:val="0"/>
          <w:sz w:val="28"/>
          <w:szCs w:val="28"/>
        </w:rPr>
        <w:t>第十一个运作周期</w:t>
      </w:r>
      <w:r w:rsidR="003E0BE7">
        <w:rPr>
          <w:rFonts w:asciiTheme="minorEastAsia" w:hAnsiTheme="minorEastAsia" w:hint="eastAsia"/>
          <w:b/>
          <w:kern w:val="0"/>
          <w:sz w:val="28"/>
          <w:szCs w:val="28"/>
        </w:rPr>
        <w:t>份额支付基准</w:t>
      </w:r>
      <w:r w:rsidRPr="00A52C67">
        <w:rPr>
          <w:rFonts w:asciiTheme="minorEastAsia" w:hAnsiTheme="minorEastAsia" w:hint="eastAsia"/>
          <w:b/>
          <w:kern w:val="0"/>
          <w:sz w:val="28"/>
          <w:szCs w:val="28"/>
        </w:rPr>
        <w:t>及</w:t>
      </w:r>
      <w:r w:rsidR="007F7370">
        <w:rPr>
          <w:rFonts w:asciiTheme="minorEastAsia" w:hAnsiTheme="minorEastAsia" w:hint="eastAsia"/>
          <w:b/>
          <w:kern w:val="0"/>
          <w:sz w:val="28"/>
          <w:szCs w:val="28"/>
        </w:rPr>
        <w:t>第十一次受限开放</w:t>
      </w:r>
      <w:r w:rsidR="000D79A5">
        <w:rPr>
          <w:rFonts w:asciiTheme="minorEastAsia" w:hAnsiTheme="minorEastAsia" w:hint="eastAsia"/>
          <w:b/>
          <w:kern w:val="0"/>
          <w:sz w:val="28"/>
          <w:szCs w:val="28"/>
        </w:rPr>
        <w:t>期</w:t>
      </w:r>
      <w:r w:rsidRPr="00A52C67">
        <w:rPr>
          <w:rFonts w:asciiTheme="minorEastAsia" w:hAnsiTheme="minorEastAsia" w:hint="eastAsia"/>
          <w:b/>
          <w:kern w:val="0"/>
          <w:sz w:val="28"/>
          <w:szCs w:val="28"/>
        </w:rPr>
        <w:t>净赎回最大比例的公告</w:t>
      </w:r>
    </w:p>
    <w:p w14:paraId="7AC4FDB7" w14:textId="77777777" w:rsidR="006F2CB0" w:rsidRPr="00276561" w:rsidRDefault="006F2CB0" w:rsidP="006F2CB0">
      <w:pPr>
        <w:spacing w:line="400" w:lineRule="exact"/>
        <w:ind w:firstLineChars="200" w:firstLine="420"/>
        <w:jc w:val="left"/>
        <w:rPr>
          <w:rFonts w:asciiTheme="minorEastAsia" w:hAnsiTheme="minorEastAsia" w:cs="Arial"/>
          <w:kern w:val="0"/>
          <w:szCs w:val="21"/>
        </w:rPr>
      </w:pPr>
    </w:p>
    <w:p w14:paraId="724646B2" w14:textId="77777777"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景顺长城鑫月薪定期支付债券型证券投资基金（以下简称“本基金”）经</w:t>
      </w:r>
      <w:r w:rsidRPr="00A52C67">
        <w:rPr>
          <w:rFonts w:asciiTheme="minorEastAsia" w:hAnsiTheme="minorEastAsia" w:cs="Arial"/>
          <w:kern w:val="0"/>
          <w:szCs w:val="21"/>
        </w:rPr>
        <w:t>2013年11月21日中国证监会证监许可【2013】1473号文准予募集注册，本</w:t>
      </w:r>
      <w:r w:rsidRPr="00A52C67">
        <w:rPr>
          <w:rFonts w:asciiTheme="minorEastAsia" w:hAnsiTheme="minorEastAsia" w:cs="Arial" w:hint="eastAsia"/>
          <w:kern w:val="0"/>
          <w:szCs w:val="21"/>
        </w:rPr>
        <w:t>基金基金合同于</w:t>
      </w:r>
      <w:r w:rsidRPr="00A52C67">
        <w:rPr>
          <w:rFonts w:asciiTheme="minorEastAsia" w:hAnsiTheme="minorEastAsia" w:cs="Arial"/>
          <w:kern w:val="0"/>
          <w:szCs w:val="21"/>
        </w:rPr>
        <w:t xml:space="preserve">2014年3月20日成立生效。 </w:t>
      </w:r>
    </w:p>
    <w:p w14:paraId="0D130631" w14:textId="3EFE4008"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本基金将于</w:t>
      </w:r>
      <w:r w:rsidR="00D06FD4" w:rsidRPr="00D06FD4">
        <w:rPr>
          <w:rFonts w:asciiTheme="minorEastAsia" w:hAnsiTheme="minorEastAsia" w:cs="Arial" w:hint="eastAsia"/>
          <w:kern w:val="0"/>
          <w:szCs w:val="21"/>
        </w:rPr>
        <w:t>2019年10月14日至2019年10月25日</w:t>
      </w:r>
      <w:r w:rsidRPr="00A52C67">
        <w:rPr>
          <w:rFonts w:asciiTheme="minorEastAsia" w:hAnsiTheme="minorEastAsia" w:cs="Arial"/>
          <w:kern w:val="0"/>
          <w:szCs w:val="21"/>
        </w:rPr>
        <w:t>进入</w:t>
      </w:r>
      <w:r w:rsidR="009B4B7A">
        <w:rPr>
          <w:rFonts w:asciiTheme="minorEastAsia" w:hAnsiTheme="minorEastAsia" w:cs="Arial"/>
          <w:kern w:val="0"/>
          <w:szCs w:val="21"/>
        </w:rPr>
        <w:t>第</w:t>
      </w:r>
      <w:r w:rsidR="00D06FD4">
        <w:rPr>
          <w:rFonts w:asciiTheme="minorEastAsia" w:hAnsiTheme="minorEastAsia" w:cs="Arial" w:hint="eastAsia"/>
          <w:kern w:val="0"/>
          <w:szCs w:val="21"/>
        </w:rPr>
        <w:t>十</w:t>
      </w:r>
      <w:r w:rsidR="009265E9">
        <w:rPr>
          <w:rFonts w:asciiTheme="minorEastAsia" w:hAnsiTheme="minorEastAsia" w:cs="Arial"/>
          <w:kern w:val="0"/>
          <w:szCs w:val="21"/>
        </w:rPr>
        <w:t>个自由开放期</w:t>
      </w:r>
      <w:r w:rsidRPr="00A52C67">
        <w:rPr>
          <w:rFonts w:asciiTheme="minorEastAsia" w:hAnsiTheme="minorEastAsia" w:cs="Arial"/>
          <w:kern w:val="0"/>
          <w:szCs w:val="21"/>
        </w:rPr>
        <w:t>，并将于</w:t>
      </w:r>
      <w:r w:rsidR="00D06FD4" w:rsidRPr="00D06FD4">
        <w:rPr>
          <w:rFonts w:asciiTheme="minorEastAsia" w:hAnsiTheme="minorEastAsia" w:cs="Arial" w:hint="eastAsia"/>
          <w:kern w:val="0"/>
          <w:szCs w:val="21"/>
        </w:rPr>
        <w:t>2019年10月26日起至2020年4月25日</w:t>
      </w:r>
      <w:r w:rsidRPr="00A52C67">
        <w:rPr>
          <w:rFonts w:asciiTheme="minorEastAsia" w:hAnsiTheme="minorEastAsia" w:cs="Arial"/>
          <w:kern w:val="0"/>
          <w:szCs w:val="21"/>
        </w:rPr>
        <w:t>进入本基金</w:t>
      </w:r>
      <w:r w:rsidR="007F7370">
        <w:rPr>
          <w:rFonts w:asciiTheme="minorEastAsia" w:hAnsiTheme="minorEastAsia" w:cs="Arial"/>
          <w:kern w:val="0"/>
          <w:szCs w:val="21"/>
        </w:rPr>
        <w:t>第十一个运作周期</w:t>
      </w:r>
      <w:r w:rsidRPr="00A52C67">
        <w:rPr>
          <w:rFonts w:asciiTheme="minorEastAsia" w:hAnsiTheme="minorEastAsia" w:cs="Arial"/>
          <w:kern w:val="0"/>
          <w:szCs w:val="21"/>
        </w:rPr>
        <w:t>。</w:t>
      </w:r>
    </w:p>
    <w:p w14:paraId="2DE12C17" w14:textId="77777777" w:rsidR="008033D1" w:rsidRPr="00D06FD4" w:rsidRDefault="008033D1" w:rsidP="00A355ED">
      <w:pPr>
        <w:widowControl/>
        <w:spacing w:line="360" w:lineRule="auto"/>
        <w:ind w:firstLineChars="200" w:firstLine="420"/>
        <w:jc w:val="left"/>
        <w:rPr>
          <w:rFonts w:asciiTheme="minorEastAsia" w:hAnsiTheme="minorEastAsia" w:cs="Arial"/>
          <w:kern w:val="0"/>
          <w:szCs w:val="21"/>
        </w:rPr>
      </w:pPr>
    </w:p>
    <w:p w14:paraId="3265413A" w14:textId="3AEB3AB0" w:rsidR="006F2CB0" w:rsidRPr="00276561" w:rsidRDefault="00A52C67" w:rsidP="006F2CB0">
      <w:pPr>
        <w:widowControl/>
        <w:spacing w:line="360" w:lineRule="auto"/>
        <w:ind w:firstLine="422"/>
        <w:jc w:val="left"/>
        <w:rPr>
          <w:rFonts w:asciiTheme="minorEastAsia" w:hAnsiTheme="minorEastAsia" w:cs="Arial"/>
          <w:b/>
          <w:kern w:val="0"/>
          <w:szCs w:val="21"/>
        </w:rPr>
      </w:pPr>
      <w:r w:rsidRPr="00A52C67">
        <w:rPr>
          <w:rFonts w:asciiTheme="minorEastAsia" w:hAnsiTheme="minorEastAsia" w:cs="Arial" w:hint="eastAsia"/>
          <w:b/>
          <w:kern w:val="0"/>
          <w:szCs w:val="21"/>
        </w:rPr>
        <w:t>一、关于本基金</w:t>
      </w:r>
      <w:r w:rsidR="007F7370">
        <w:rPr>
          <w:rFonts w:asciiTheme="minorEastAsia" w:hAnsiTheme="minorEastAsia" w:cs="Arial" w:hint="eastAsia"/>
          <w:b/>
          <w:kern w:val="0"/>
          <w:szCs w:val="21"/>
        </w:rPr>
        <w:t>第十一个运作周期</w:t>
      </w:r>
      <w:r w:rsidR="003E0BE7">
        <w:rPr>
          <w:rFonts w:asciiTheme="minorEastAsia" w:hAnsiTheme="minorEastAsia" w:cs="Arial" w:hint="eastAsia"/>
          <w:b/>
          <w:kern w:val="0"/>
          <w:szCs w:val="21"/>
        </w:rPr>
        <w:t>份额支付基准</w:t>
      </w:r>
    </w:p>
    <w:p w14:paraId="718423DC" w14:textId="6D374C39"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景顺长城基金管理有限公司（以下简称“本公司”）根据本基金基金合同约定，对本基金</w:t>
      </w:r>
      <w:r w:rsidR="007F7370">
        <w:rPr>
          <w:rFonts w:asciiTheme="minorEastAsia" w:hAnsiTheme="minorEastAsia" w:cs="Arial" w:hint="eastAsia"/>
          <w:kern w:val="0"/>
          <w:szCs w:val="21"/>
        </w:rPr>
        <w:t>第十一个运作周期</w:t>
      </w:r>
      <w:r w:rsidRPr="00A52C67">
        <w:rPr>
          <w:rFonts w:asciiTheme="minorEastAsia" w:hAnsiTheme="minorEastAsia" w:cs="Arial" w:hint="eastAsia"/>
          <w:kern w:val="0"/>
          <w:szCs w:val="21"/>
        </w:rPr>
        <w:t>内份额支付基准进行确定，具体如下：</w:t>
      </w:r>
    </w:p>
    <w:p w14:paraId="7560AE4C" w14:textId="77777777" w:rsidR="006F2CB0" w:rsidRPr="00276561" w:rsidRDefault="00A52C67" w:rsidP="006F2CB0">
      <w:pPr>
        <w:ind w:left="840"/>
        <w:rPr>
          <w:rFonts w:asciiTheme="minorEastAsia" w:hAnsiTheme="minorEastAsia" w:cs="Arial"/>
          <w:kern w:val="0"/>
          <w:szCs w:val="21"/>
        </w:rPr>
      </w:pPr>
      <w:r w:rsidRPr="00A52C67">
        <w:rPr>
          <w:rFonts w:asciiTheme="minorEastAsia" w:hAnsiTheme="minorEastAsia" w:cs="Arial"/>
          <w:kern w:val="0"/>
          <w:szCs w:val="21"/>
        </w:rPr>
        <w:t>B=(</w:t>
      </w:r>
      <w:r w:rsidRPr="00A52C67">
        <w:rPr>
          <w:rFonts w:asciiTheme="minorEastAsia" w:hAnsiTheme="minorEastAsia" w:cs="Arial" w:hint="eastAsia"/>
          <w:kern w:val="0"/>
          <w:szCs w:val="21"/>
        </w:rPr>
        <w:t>同期六个月定期存款利率（税后）</w:t>
      </w:r>
      <w:r w:rsidRPr="00A52C67">
        <w:rPr>
          <w:rFonts w:asciiTheme="minorEastAsia" w:hAnsiTheme="minorEastAsia" w:cs="Arial"/>
          <w:kern w:val="0"/>
          <w:szCs w:val="21"/>
        </w:rPr>
        <w:t>+ X (0%</w:t>
      </w:r>
      <w:r w:rsidRPr="00A52C67">
        <w:rPr>
          <w:rFonts w:asciiTheme="minorEastAsia" w:hAnsiTheme="minorEastAsia" w:cs="Arial" w:hint="eastAsia"/>
          <w:kern w:val="0"/>
          <w:szCs w:val="21"/>
        </w:rPr>
        <w:t>≤</w:t>
      </w:r>
      <w:r w:rsidRPr="00A52C67">
        <w:rPr>
          <w:rFonts w:asciiTheme="minorEastAsia" w:hAnsiTheme="minorEastAsia" w:cs="Arial"/>
          <w:kern w:val="0"/>
          <w:szCs w:val="21"/>
        </w:rPr>
        <w:t>X</w:t>
      </w:r>
      <w:r w:rsidRPr="00A52C67">
        <w:rPr>
          <w:rFonts w:asciiTheme="minorEastAsia" w:hAnsiTheme="minorEastAsia" w:cs="Arial" w:hint="eastAsia"/>
          <w:kern w:val="0"/>
          <w:szCs w:val="21"/>
        </w:rPr>
        <w:t>≤</w:t>
      </w:r>
      <w:r w:rsidRPr="00A52C67">
        <w:rPr>
          <w:rFonts w:asciiTheme="minorEastAsia" w:hAnsiTheme="minorEastAsia" w:cs="Arial"/>
          <w:kern w:val="0"/>
          <w:szCs w:val="21"/>
        </w:rPr>
        <w:t>2.5%))/12</w:t>
      </w:r>
    </w:p>
    <w:p w14:paraId="190B91B9" w14:textId="77777777" w:rsidR="008033D1" w:rsidRDefault="00A52C67">
      <w:pPr>
        <w:ind w:leftChars="400" w:left="840" w:firstLineChars="50" w:firstLine="105"/>
        <w:rPr>
          <w:rFonts w:asciiTheme="minorEastAsia" w:hAnsiTheme="minorEastAsia" w:cs="Arial"/>
          <w:kern w:val="0"/>
          <w:szCs w:val="21"/>
        </w:rPr>
      </w:pPr>
      <w:r w:rsidRPr="00A52C67">
        <w:rPr>
          <w:rFonts w:asciiTheme="minorEastAsia" w:hAnsiTheme="minorEastAsia" w:cs="Arial" w:hint="eastAsia"/>
          <w:kern w:val="0"/>
          <w:szCs w:val="21"/>
        </w:rPr>
        <w:t>=（</w:t>
      </w:r>
      <w:r w:rsidR="000C4002">
        <w:rPr>
          <w:rFonts w:asciiTheme="minorEastAsia" w:hAnsiTheme="minorEastAsia" w:cs="Arial" w:hint="eastAsia"/>
          <w:kern w:val="0"/>
          <w:szCs w:val="21"/>
        </w:rPr>
        <w:t>1.30</w:t>
      </w:r>
      <w:r w:rsidRPr="00A52C67">
        <w:rPr>
          <w:rFonts w:asciiTheme="minorEastAsia" w:hAnsiTheme="minorEastAsia" w:cs="Arial" w:hint="eastAsia"/>
          <w:kern w:val="0"/>
          <w:szCs w:val="21"/>
        </w:rPr>
        <w:t>%+2.5%）/12（201</w:t>
      </w:r>
      <w:r w:rsidR="000C4002">
        <w:rPr>
          <w:rFonts w:asciiTheme="minorEastAsia" w:hAnsiTheme="minorEastAsia" w:cs="Arial" w:hint="eastAsia"/>
          <w:kern w:val="0"/>
          <w:szCs w:val="21"/>
        </w:rPr>
        <w:t>5</w:t>
      </w:r>
      <w:r w:rsidRPr="00A52C67">
        <w:rPr>
          <w:rFonts w:asciiTheme="minorEastAsia" w:hAnsiTheme="minorEastAsia" w:cs="Arial" w:hint="eastAsia"/>
          <w:kern w:val="0"/>
          <w:szCs w:val="21"/>
        </w:rPr>
        <w:t>年</w:t>
      </w:r>
      <w:r w:rsidR="000C4002" w:rsidRPr="00A52C67">
        <w:rPr>
          <w:rFonts w:asciiTheme="minorEastAsia" w:hAnsiTheme="minorEastAsia" w:cs="Arial" w:hint="eastAsia"/>
          <w:kern w:val="0"/>
          <w:szCs w:val="21"/>
        </w:rPr>
        <w:t>1</w:t>
      </w:r>
      <w:r w:rsidR="000C4002">
        <w:rPr>
          <w:rFonts w:asciiTheme="minorEastAsia" w:hAnsiTheme="minorEastAsia" w:cs="Arial" w:hint="eastAsia"/>
          <w:kern w:val="0"/>
          <w:szCs w:val="21"/>
        </w:rPr>
        <w:t>0</w:t>
      </w:r>
      <w:r w:rsidRPr="00A52C67">
        <w:rPr>
          <w:rFonts w:asciiTheme="minorEastAsia" w:hAnsiTheme="minorEastAsia" w:cs="Arial" w:hint="eastAsia"/>
          <w:kern w:val="0"/>
          <w:szCs w:val="21"/>
        </w:rPr>
        <w:t>月2</w:t>
      </w:r>
      <w:r w:rsidR="000C4002">
        <w:rPr>
          <w:rFonts w:asciiTheme="minorEastAsia" w:hAnsiTheme="minorEastAsia" w:cs="Arial" w:hint="eastAsia"/>
          <w:kern w:val="0"/>
          <w:szCs w:val="21"/>
        </w:rPr>
        <w:t>4</w:t>
      </w:r>
      <w:r w:rsidRPr="00A52C67">
        <w:rPr>
          <w:rFonts w:asciiTheme="minorEastAsia" w:hAnsiTheme="minorEastAsia" w:cs="Arial" w:hint="eastAsia"/>
          <w:kern w:val="0"/>
          <w:szCs w:val="21"/>
        </w:rPr>
        <w:t>日，6个月存款利率降至</w:t>
      </w:r>
      <w:r w:rsidR="000C4002">
        <w:rPr>
          <w:rFonts w:asciiTheme="minorEastAsia" w:hAnsiTheme="minorEastAsia" w:cs="Arial" w:hint="eastAsia"/>
          <w:kern w:val="0"/>
          <w:szCs w:val="21"/>
        </w:rPr>
        <w:t>1.30</w:t>
      </w:r>
      <w:r w:rsidRPr="00A52C67">
        <w:rPr>
          <w:rFonts w:asciiTheme="minorEastAsia" w:hAnsiTheme="minorEastAsia" w:cs="Arial" w:hint="eastAsia"/>
          <w:kern w:val="0"/>
          <w:szCs w:val="21"/>
        </w:rPr>
        <w:t>%）</w:t>
      </w:r>
    </w:p>
    <w:p w14:paraId="6BE22046" w14:textId="77777777" w:rsidR="008033D1" w:rsidRDefault="00A52C67">
      <w:pPr>
        <w:ind w:leftChars="400" w:left="840" w:firstLineChars="50" w:firstLine="105"/>
        <w:rPr>
          <w:rFonts w:asciiTheme="minorEastAsia" w:hAnsiTheme="minorEastAsia" w:cs="Arial"/>
          <w:kern w:val="0"/>
          <w:szCs w:val="21"/>
        </w:rPr>
      </w:pPr>
      <w:r w:rsidRPr="00A52C67">
        <w:rPr>
          <w:rFonts w:asciiTheme="minorEastAsia" w:hAnsiTheme="minorEastAsia" w:cs="Arial"/>
          <w:kern w:val="0"/>
          <w:szCs w:val="21"/>
        </w:rPr>
        <w:t>=</w:t>
      </w:r>
      <w:r w:rsidR="000C4002">
        <w:rPr>
          <w:rFonts w:asciiTheme="minorEastAsia" w:hAnsiTheme="minorEastAsia" w:cs="Arial" w:hint="eastAsia"/>
          <w:kern w:val="0"/>
          <w:szCs w:val="21"/>
        </w:rPr>
        <w:t>3.80</w:t>
      </w:r>
      <w:r w:rsidRPr="00A52C67">
        <w:rPr>
          <w:rFonts w:asciiTheme="minorEastAsia" w:hAnsiTheme="minorEastAsia" w:cs="Arial"/>
          <w:kern w:val="0"/>
          <w:szCs w:val="21"/>
        </w:rPr>
        <w:t>%/12</w:t>
      </w:r>
    </w:p>
    <w:p w14:paraId="5CFD14DD" w14:textId="7D74222F" w:rsidR="008033D1" w:rsidRDefault="00A52C67" w:rsidP="00A355ED">
      <w:pPr>
        <w:widowControl/>
        <w:spacing w:line="360" w:lineRule="auto"/>
        <w:ind w:leftChars="57" w:left="120" w:firstLineChars="150" w:firstLine="315"/>
        <w:jc w:val="left"/>
        <w:rPr>
          <w:rFonts w:asciiTheme="minorEastAsia" w:hAnsiTheme="minorEastAsia" w:cs="Arial"/>
          <w:kern w:val="0"/>
          <w:szCs w:val="21"/>
        </w:rPr>
      </w:pPr>
      <w:r w:rsidRPr="00A52C67">
        <w:rPr>
          <w:rFonts w:asciiTheme="minorEastAsia" w:hAnsiTheme="minorEastAsia" w:cs="Arial" w:hint="eastAsia"/>
          <w:kern w:val="0"/>
          <w:szCs w:val="21"/>
        </w:rPr>
        <w:t>本基金</w:t>
      </w:r>
      <w:r w:rsidR="007F7370">
        <w:rPr>
          <w:rFonts w:asciiTheme="minorEastAsia" w:hAnsiTheme="minorEastAsia" w:cs="Arial" w:hint="eastAsia"/>
          <w:kern w:val="0"/>
          <w:szCs w:val="21"/>
        </w:rPr>
        <w:t>第十一个运作周期</w:t>
      </w:r>
      <w:r w:rsidR="003E0BE7">
        <w:rPr>
          <w:rFonts w:asciiTheme="minorEastAsia" w:hAnsiTheme="minorEastAsia" w:cs="Arial" w:hint="eastAsia"/>
          <w:kern w:val="0"/>
          <w:szCs w:val="21"/>
        </w:rPr>
        <w:t>份额支付基准</w:t>
      </w:r>
      <w:r w:rsidRPr="00A52C67">
        <w:rPr>
          <w:rFonts w:asciiTheme="minorEastAsia" w:hAnsiTheme="minorEastAsia" w:cs="Arial" w:hint="eastAsia"/>
          <w:kern w:val="0"/>
          <w:szCs w:val="21"/>
        </w:rPr>
        <w:t>为</w:t>
      </w:r>
      <w:r w:rsidR="000C4002">
        <w:rPr>
          <w:rFonts w:asciiTheme="minorEastAsia" w:hAnsiTheme="minorEastAsia" w:cs="Arial" w:hint="eastAsia"/>
          <w:kern w:val="0"/>
          <w:szCs w:val="21"/>
        </w:rPr>
        <w:t>3.80</w:t>
      </w:r>
      <w:r w:rsidRPr="00A52C67">
        <w:rPr>
          <w:rFonts w:asciiTheme="minorEastAsia" w:hAnsiTheme="minorEastAsia" w:cs="Arial"/>
          <w:kern w:val="0"/>
          <w:szCs w:val="21"/>
        </w:rPr>
        <w:t>%/12，每日历月末支付资产=份额支付基数×(</w:t>
      </w:r>
      <w:r w:rsidR="000C4002">
        <w:rPr>
          <w:rFonts w:asciiTheme="minorEastAsia" w:hAnsiTheme="minorEastAsia" w:cs="Arial" w:hint="eastAsia"/>
          <w:kern w:val="0"/>
          <w:szCs w:val="21"/>
        </w:rPr>
        <w:t>3.80</w:t>
      </w:r>
      <w:r w:rsidRPr="00A52C67">
        <w:rPr>
          <w:rFonts w:asciiTheme="minorEastAsia" w:hAnsiTheme="minorEastAsia" w:cs="Arial"/>
          <w:kern w:val="0"/>
          <w:szCs w:val="21"/>
        </w:rPr>
        <w:t>%/12)</w:t>
      </w:r>
    </w:p>
    <w:p w14:paraId="741650CD" w14:textId="77777777" w:rsidR="008033D1" w:rsidRDefault="008033D1" w:rsidP="00A355ED">
      <w:pPr>
        <w:widowControl/>
        <w:spacing w:line="360" w:lineRule="auto"/>
        <w:ind w:firstLineChars="200" w:firstLine="420"/>
        <w:jc w:val="left"/>
        <w:rPr>
          <w:rFonts w:asciiTheme="minorEastAsia" w:hAnsiTheme="minorEastAsia" w:cs="Arial"/>
          <w:kern w:val="0"/>
          <w:szCs w:val="21"/>
        </w:rPr>
      </w:pPr>
    </w:p>
    <w:p w14:paraId="1726C59B" w14:textId="77777777" w:rsidR="008033D1" w:rsidRDefault="00A52C67" w:rsidP="00A355ED">
      <w:pPr>
        <w:widowControl/>
        <w:spacing w:line="360" w:lineRule="auto"/>
        <w:ind w:leftChars="57" w:left="120" w:firstLineChars="150" w:firstLine="315"/>
        <w:jc w:val="left"/>
        <w:rPr>
          <w:rFonts w:asciiTheme="minorEastAsia" w:hAnsiTheme="minorEastAsia" w:cs="Arial"/>
          <w:kern w:val="0"/>
          <w:szCs w:val="21"/>
        </w:rPr>
      </w:pPr>
      <w:r w:rsidRPr="00A52C67">
        <w:rPr>
          <w:rFonts w:asciiTheme="minorEastAsia" w:hAnsiTheme="minorEastAsia" w:cs="Arial" w:hint="eastAsia"/>
          <w:kern w:val="0"/>
          <w:szCs w:val="21"/>
        </w:rPr>
        <w:t>本基金每日历月末将对投资人进行</w:t>
      </w:r>
      <w:r w:rsidRPr="00A52C67">
        <w:rPr>
          <w:rFonts w:asciiTheme="minorEastAsia" w:hAnsiTheme="minorEastAsia" w:cs="Arial"/>
          <w:kern w:val="0"/>
          <w:szCs w:val="21"/>
        </w:rPr>
        <w:t>1次定期支付，份额支付日为每个自然月的最后一个工作日，基金份额支付日</w:t>
      </w:r>
      <w:r w:rsidRPr="00A52C67">
        <w:rPr>
          <w:rFonts w:asciiTheme="minorEastAsia" w:hAnsiTheme="minorEastAsia" w:cs="Arial" w:hint="eastAsia"/>
          <w:kern w:val="0"/>
          <w:szCs w:val="21"/>
        </w:rPr>
        <w:t>如遇本基金自由开放期或受限开放期，基金管理人将提前于自由开放期或受限开放期进行基金份额支付，具体由基金管理人提前公告。</w:t>
      </w:r>
    </w:p>
    <w:p w14:paraId="45778BF9" w14:textId="77777777" w:rsidR="008033D1" w:rsidRDefault="008033D1" w:rsidP="00A355ED">
      <w:pPr>
        <w:widowControl/>
        <w:spacing w:line="360" w:lineRule="auto"/>
        <w:ind w:leftChars="57" w:left="120" w:firstLineChars="150" w:firstLine="315"/>
        <w:jc w:val="left"/>
        <w:rPr>
          <w:rFonts w:asciiTheme="minorEastAsia" w:hAnsiTheme="minorEastAsia" w:cs="Arial"/>
          <w:kern w:val="0"/>
          <w:szCs w:val="21"/>
        </w:rPr>
      </w:pPr>
    </w:p>
    <w:p w14:paraId="16419FEF" w14:textId="6B507276" w:rsidR="006F2CB0" w:rsidRPr="00276561" w:rsidRDefault="00A52C67" w:rsidP="006F2CB0">
      <w:pPr>
        <w:widowControl/>
        <w:spacing w:line="360" w:lineRule="auto"/>
        <w:jc w:val="left"/>
        <w:rPr>
          <w:rFonts w:asciiTheme="minorEastAsia" w:hAnsiTheme="minorEastAsia" w:cs="Arial"/>
          <w:b/>
          <w:kern w:val="0"/>
          <w:szCs w:val="21"/>
        </w:rPr>
      </w:pPr>
      <w:r w:rsidRPr="00A52C67">
        <w:rPr>
          <w:rFonts w:asciiTheme="minorEastAsia" w:hAnsiTheme="minorEastAsia" w:cs="Arial" w:hint="eastAsia"/>
          <w:b/>
          <w:kern w:val="0"/>
          <w:szCs w:val="21"/>
        </w:rPr>
        <w:t>二、关于本基金</w:t>
      </w:r>
      <w:r w:rsidR="007F7370">
        <w:rPr>
          <w:rFonts w:asciiTheme="minorEastAsia" w:hAnsiTheme="minorEastAsia" w:cs="Arial" w:hint="eastAsia"/>
          <w:b/>
          <w:kern w:val="0"/>
          <w:szCs w:val="21"/>
        </w:rPr>
        <w:t>第十一次受限开放</w:t>
      </w:r>
      <w:r w:rsidR="000D79A5">
        <w:rPr>
          <w:rFonts w:asciiTheme="minorEastAsia" w:hAnsiTheme="minorEastAsia" w:cs="Arial" w:hint="eastAsia"/>
          <w:b/>
          <w:kern w:val="0"/>
          <w:szCs w:val="21"/>
        </w:rPr>
        <w:t>期</w:t>
      </w:r>
      <w:r w:rsidRPr="00A52C67">
        <w:rPr>
          <w:rFonts w:asciiTheme="minorEastAsia" w:hAnsiTheme="minorEastAsia" w:cs="Arial" w:hint="eastAsia"/>
          <w:b/>
          <w:kern w:val="0"/>
          <w:szCs w:val="21"/>
        </w:rPr>
        <w:t>净赎回最大比例</w:t>
      </w:r>
    </w:p>
    <w:p w14:paraId="3CB1E137" w14:textId="37F807BE" w:rsidR="006F2CB0" w:rsidRPr="00276561" w:rsidRDefault="00F11C3D" w:rsidP="006F2CB0">
      <w:pPr>
        <w:widowControl/>
        <w:spacing w:line="360" w:lineRule="auto"/>
        <w:ind w:firstLine="420"/>
        <w:jc w:val="left"/>
        <w:outlineLvl w:val="2"/>
        <w:rPr>
          <w:rFonts w:asciiTheme="minorEastAsia" w:hAnsiTheme="minorEastAsia" w:cs="Arial"/>
          <w:kern w:val="0"/>
          <w:szCs w:val="21"/>
        </w:rPr>
      </w:pPr>
      <w:r>
        <w:rPr>
          <w:rFonts w:asciiTheme="minorEastAsia" w:hAnsiTheme="minorEastAsia" w:cs="Arial"/>
          <w:kern w:val="0"/>
          <w:szCs w:val="21"/>
        </w:rPr>
        <w:t>1</w:t>
      </w:r>
      <w:r w:rsidR="00A52C67" w:rsidRPr="00A52C67">
        <w:rPr>
          <w:rFonts w:asciiTheme="minorEastAsia" w:hAnsiTheme="minorEastAsia" w:cs="Arial"/>
          <w:kern w:val="0"/>
          <w:szCs w:val="21"/>
        </w:rPr>
        <w:t>、受限开放期</w:t>
      </w:r>
      <w:r w:rsidR="00A52C67" w:rsidRPr="00A52C67">
        <w:rPr>
          <w:rFonts w:asciiTheme="minorEastAsia" w:hAnsiTheme="minorEastAsia" w:cs="Arial" w:hint="eastAsia"/>
          <w:kern w:val="0"/>
          <w:szCs w:val="21"/>
        </w:rPr>
        <w:t>及申赎确认原则</w:t>
      </w:r>
    </w:p>
    <w:p w14:paraId="0F19C0BE" w14:textId="17011A8B"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根据本基金基金合同、招募说明书的规定，在首个运作周期中，本基金的受限开放期为本基金基金合同生效日后的三个月对日。在第二个及以后的运作周期中，本基金的受限开放期为该运作周期首日后的三个月对日。上述对日若为非工作日的，受限开放期顺延至下一工作日。若因不可抗力或其他情形致使基金在上述日期无法开放申购与赎回业务的，受限开放期为自不可抗力或其他情形的影响因素消除之日起的下一个工作日。本基金的每个受限开放</w:t>
      </w:r>
      <w:r w:rsidRPr="00A52C67">
        <w:rPr>
          <w:rFonts w:asciiTheme="minorEastAsia" w:hAnsiTheme="minorEastAsia" w:cs="Arial" w:hint="eastAsia"/>
          <w:kern w:val="0"/>
          <w:szCs w:val="21"/>
        </w:rPr>
        <w:lastRenderedPageBreak/>
        <w:t>期为</w:t>
      </w:r>
      <w:r w:rsidRPr="00A52C67">
        <w:rPr>
          <w:rFonts w:asciiTheme="minorEastAsia" w:hAnsiTheme="minorEastAsia" w:cs="Arial"/>
          <w:kern w:val="0"/>
          <w:szCs w:val="21"/>
        </w:rPr>
        <w:t>1个工作日，在受限开放期</w:t>
      </w:r>
      <w:r w:rsidR="00FB23A9">
        <w:rPr>
          <w:rFonts w:asciiTheme="minorEastAsia" w:hAnsiTheme="minorEastAsia" w:cs="Arial" w:hint="eastAsia"/>
          <w:kern w:val="0"/>
          <w:szCs w:val="21"/>
        </w:rPr>
        <w:t>申购</w:t>
      </w:r>
      <w:r w:rsidR="00FB23A9">
        <w:rPr>
          <w:rFonts w:asciiTheme="minorEastAsia" w:hAnsiTheme="minorEastAsia" w:cs="Arial"/>
          <w:kern w:val="0"/>
          <w:szCs w:val="21"/>
        </w:rPr>
        <w:t>、</w:t>
      </w:r>
      <w:r w:rsidRPr="00A52C67">
        <w:rPr>
          <w:rFonts w:asciiTheme="minorEastAsia" w:hAnsiTheme="minorEastAsia" w:cs="Arial"/>
          <w:kern w:val="0"/>
          <w:szCs w:val="21"/>
        </w:rPr>
        <w:t>赎回本基金，本基金将收取</w:t>
      </w:r>
      <w:r w:rsidR="00FB23A9">
        <w:rPr>
          <w:rFonts w:asciiTheme="minorEastAsia" w:hAnsiTheme="minorEastAsia" w:cs="Arial" w:hint="eastAsia"/>
          <w:kern w:val="0"/>
          <w:szCs w:val="21"/>
        </w:rPr>
        <w:t>对应</w:t>
      </w:r>
      <w:r w:rsidR="00FB23A9">
        <w:rPr>
          <w:rFonts w:asciiTheme="minorEastAsia" w:hAnsiTheme="minorEastAsia" w:cs="Arial"/>
          <w:kern w:val="0"/>
          <w:szCs w:val="21"/>
        </w:rPr>
        <w:t>的</w:t>
      </w:r>
      <w:r w:rsidR="00FB23A9">
        <w:rPr>
          <w:rFonts w:asciiTheme="minorEastAsia" w:hAnsiTheme="minorEastAsia" w:cs="Arial" w:hint="eastAsia"/>
          <w:kern w:val="0"/>
          <w:szCs w:val="21"/>
        </w:rPr>
        <w:t>申购</w:t>
      </w:r>
      <w:r w:rsidR="00FB23A9">
        <w:rPr>
          <w:rFonts w:asciiTheme="minorEastAsia" w:hAnsiTheme="minorEastAsia" w:cs="Arial"/>
          <w:kern w:val="0"/>
          <w:szCs w:val="21"/>
        </w:rPr>
        <w:t>费和</w:t>
      </w:r>
      <w:r w:rsidRPr="00A52C67">
        <w:rPr>
          <w:rFonts w:asciiTheme="minorEastAsia" w:hAnsiTheme="minorEastAsia" w:cs="Arial"/>
          <w:kern w:val="0"/>
          <w:szCs w:val="21"/>
        </w:rPr>
        <w:t>赎回费</w:t>
      </w:r>
      <w:r w:rsidR="005063F9">
        <w:rPr>
          <w:rFonts w:asciiTheme="minorEastAsia" w:hAnsiTheme="minorEastAsia" w:cs="Arial" w:hint="eastAsia"/>
          <w:kern w:val="0"/>
          <w:szCs w:val="21"/>
        </w:rPr>
        <w:t>，</w:t>
      </w:r>
      <w:r w:rsidR="005063F9">
        <w:rPr>
          <w:rFonts w:asciiTheme="minorEastAsia" w:hAnsiTheme="minorEastAsia" w:cs="Arial"/>
          <w:kern w:val="0"/>
          <w:szCs w:val="21"/>
        </w:rPr>
        <w:t>具体参见</w:t>
      </w:r>
      <w:r w:rsidR="005063F9">
        <w:rPr>
          <w:rFonts w:asciiTheme="minorEastAsia" w:hAnsiTheme="minorEastAsia" w:cs="Arial" w:hint="eastAsia"/>
          <w:kern w:val="0"/>
          <w:szCs w:val="21"/>
        </w:rPr>
        <w:t>届时</w:t>
      </w:r>
      <w:r w:rsidR="005063F9">
        <w:rPr>
          <w:rFonts w:asciiTheme="minorEastAsia" w:hAnsiTheme="minorEastAsia" w:cs="Arial"/>
          <w:kern w:val="0"/>
          <w:szCs w:val="21"/>
        </w:rPr>
        <w:t>受限开放期</w:t>
      </w:r>
      <w:r w:rsidR="005063F9">
        <w:rPr>
          <w:rFonts w:asciiTheme="minorEastAsia" w:hAnsiTheme="minorEastAsia" w:cs="Arial" w:hint="eastAsia"/>
          <w:kern w:val="0"/>
          <w:szCs w:val="21"/>
        </w:rPr>
        <w:t>的</w:t>
      </w:r>
      <w:r w:rsidR="005063F9">
        <w:rPr>
          <w:rFonts w:asciiTheme="minorEastAsia" w:hAnsiTheme="minorEastAsia" w:cs="Arial"/>
          <w:kern w:val="0"/>
          <w:szCs w:val="21"/>
        </w:rPr>
        <w:t>公告</w:t>
      </w:r>
      <w:r w:rsidRPr="00A52C67">
        <w:rPr>
          <w:rFonts w:asciiTheme="minorEastAsia" w:hAnsiTheme="minorEastAsia" w:cs="Arial"/>
          <w:kern w:val="0"/>
          <w:szCs w:val="21"/>
        </w:rPr>
        <w:t>。</w:t>
      </w:r>
    </w:p>
    <w:p w14:paraId="6A03F09E" w14:textId="6EA702D7" w:rsidR="008033D1" w:rsidRDefault="00291A3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kern w:val="0"/>
          <w:szCs w:val="21"/>
        </w:rPr>
        <w:t>20</w:t>
      </w:r>
      <w:r>
        <w:rPr>
          <w:rFonts w:asciiTheme="minorEastAsia" w:hAnsiTheme="minorEastAsia" w:cs="Arial"/>
          <w:kern w:val="0"/>
          <w:szCs w:val="21"/>
        </w:rPr>
        <w:t>20</w:t>
      </w:r>
      <w:r w:rsidR="00A52C67" w:rsidRPr="00A52C67">
        <w:rPr>
          <w:rFonts w:asciiTheme="minorEastAsia" w:hAnsiTheme="minorEastAsia" w:cs="Arial"/>
          <w:kern w:val="0"/>
          <w:szCs w:val="21"/>
        </w:rPr>
        <w:t>年</w:t>
      </w:r>
      <w:r>
        <w:rPr>
          <w:rFonts w:asciiTheme="minorEastAsia" w:hAnsiTheme="minorEastAsia" w:cs="Arial"/>
          <w:kern w:val="0"/>
          <w:szCs w:val="21"/>
        </w:rPr>
        <w:t>1</w:t>
      </w:r>
      <w:r w:rsidR="00A52C67" w:rsidRPr="00A52C67">
        <w:rPr>
          <w:rFonts w:asciiTheme="minorEastAsia" w:hAnsiTheme="minorEastAsia" w:cs="Arial"/>
          <w:kern w:val="0"/>
          <w:szCs w:val="21"/>
        </w:rPr>
        <w:t>月</w:t>
      </w:r>
      <w:r w:rsidR="00CA1BE1">
        <w:rPr>
          <w:rFonts w:asciiTheme="minorEastAsia" w:hAnsiTheme="minorEastAsia" w:cs="Arial"/>
          <w:kern w:val="0"/>
          <w:szCs w:val="21"/>
        </w:rPr>
        <w:t>31</w:t>
      </w:r>
      <w:r w:rsidR="00A52C67" w:rsidRPr="00A52C67">
        <w:rPr>
          <w:rFonts w:asciiTheme="minorEastAsia" w:hAnsiTheme="minorEastAsia" w:cs="Arial"/>
          <w:kern w:val="0"/>
          <w:szCs w:val="21"/>
        </w:rPr>
        <w:t>日为本基金在</w:t>
      </w:r>
      <w:r w:rsidR="007F7370">
        <w:rPr>
          <w:rFonts w:asciiTheme="minorEastAsia" w:hAnsiTheme="minorEastAsia" w:cs="Arial"/>
          <w:kern w:val="0"/>
          <w:szCs w:val="21"/>
        </w:rPr>
        <w:t>第十一个运作周期</w:t>
      </w:r>
      <w:r w:rsidR="00A52C67" w:rsidRPr="00A52C67">
        <w:rPr>
          <w:rFonts w:asciiTheme="minorEastAsia" w:hAnsiTheme="minorEastAsia" w:cs="Arial"/>
          <w:kern w:val="0"/>
          <w:szCs w:val="21"/>
        </w:rPr>
        <w:t>内的受限开放期</w:t>
      </w:r>
      <w:r w:rsidR="00F11C3D">
        <w:rPr>
          <w:rFonts w:asciiTheme="minorEastAsia" w:hAnsiTheme="minorEastAsia" w:cs="Arial" w:hint="eastAsia"/>
          <w:kern w:val="0"/>
          <w:szCs w:val="21"/>
        </w:rPr>
        <w:t>，</w:t>
      </w:r>
      <w:r w:rsidR="00F11C3D">
        <w:rPr>
          <w:rFonts w:asciiTheme="minorEastAsia" w:hAnsiTheme="minorEastAsia" w:cs="Arial"/>
          <w:kern w:val="0"/>
          <w:szCs w:val="21"/>
        </w:rPr>
        <w:t>共</w:t>
      </w:r>
      <w:r w:rsidR="00F11C3D">
        <w:rPr>
          <w:rFonts w:asciiTheme="minorEastAsia" w:hAnsiTheme="minorEastAsia" w:cs="Arial" w:hint="eastAsia"/>
          <w:kern w:val="0"/>
          <w:szCs w:val="21"/>
        </w:rPr>
        <w:t>1个</w:t>
      </w:r>
      <w:r w:rsidR="00F11C3D">
        <w:rPr>
          <w:rFonts w:asciiTheme="minorEastAsia" w:hAnsiTheme="minorEastAsia" w:cs="Arial"/>
          <w:kern w:val="0"/>
          <w:szCs w:val="21"/>
        </w:rPr>
        <w:t>工作日</w:t>
      </w:r>
      <w:r w:rsidR="00A52C67" w:rsidRPr="00A52C67">
        <w:rPr>
          <w:rFonts w:asciiTheme="minorEastAsia" w:hAnsiTheme="minorEastAsia" w:cs="Arial"/>
          <w:kern w:val="0"/>
          <w:szCs w:val="21"/>
        </w:rPr>
        <w:t>。对受限开放期内投资者提出的申购、赎回申请，本公司将有限度地对申购、赎回申请进行确认；本基金在</w:t>
      </w:r>
      <w:r w:rsidR="00F11C3D">
        <w:rPr>
          <w:rFonts w:asciiTheme="minorEastAsia" w:hAnsiTheme="minorEastAsia" w:cs="Arial" w:hint="eastAsia"/>
          <w:kern w:val="0"/>
          <w:szCs w:val="21"/>
        </w:rPr>
        <w:t>本次</w:t>
      </w:r>
      <w:r w:rsidR="00A52C67" w:rsidRPr="00A52C67">
        <w:rPr>
          <w:rFonts w:asciiTheme="minorEastAsia" w:hAnsiTheme="minorEastAsia" w:cs="Arial"/>
          <w:kern w:val="0"/>
          <w:szCs w:val="21"/>
        </w:rPr>
        <w:t>受限开放期</w:t>
      </w:r>
      <w:r w:rsidR="00A100BF">
        <w:rPr>
          <w:rFonts w:asciiTheme="minorEastAsia" w:hAnsiTheme="minorEastAsia" w:cs="Arial" w:hint="eastAsia"/>
          <w:kern w:val="0"/>
          <w:szCs w:val="21"/>
        </w:rPr>
        <w:t>每日</w:t>
      </w:r>
      <w:r w:rsidR="00A52C67" w:rsidRPr="00A52C67">
        <w:rPr>
          <w:rFonts w:asciiTheme="minorEastAsia" w:hAnsiTheme="minorEastAsia" w:cs="Arial"/>
          <w:kern w:val="0"/>
          <w:szCs w:val="21"/>
        </w:rPr>
        <w:t>的净赎回比例为[0，15%]（即大于或等于0，小于或等于15%）；申购数量不得超过赎回数量，当投资者的净赎回比例超过15%</w:t>
      </w:r>
      <w:r w:rsidR="00F11C3D">
        <w:rPr>
          <w:rFonts w:asciiTheme="minorEastAsia" w:hAnsiTheme="minorEastAsia" w:cs="Arial" w:hint="eastAsia"/>
          <w:kern w:val="0"/>
          <w:szCs w:val="21"/>
        </w:rPr>
        <w:t>或</w:t>
      </w:r>
      <w:r w:rsidR="00F11C3D">
        <w:rPr>
          <w:rFonts w:asciiTheme="minorEastAsia" w:hAnsiTheme="minorEastAsia" w:cs="Arial"/>
          <w:kern w:val="0"/>
          <w:szCs w:val="21"/>
        </w:rPr>
        <w:t>为负</w:t>
      </w:r>
      <w:r w:rsidR="00A52C67" w:rsidRPr="00A52C67">
        <w:rPr>
          <w:rFonts w:asciiTheme="minorEastAsia" w:hAnsiTheme="minorEastAsia" w:cs="Arial"/>
          <w:kern w:val="0"/>
          <w:szCs w:val="21"/>
        </w:rPr>
        <w:t>时，本公司将对赎回</w:t>
      </w:r>
      <w:r w:rsidR="00F11C3D">
        <w:rPr>
          <w:rFonts w:asciiTheme="minorEastAsia" w:hAnsiTheme="minorEastAsia" w:cs="Arial" w:hint="eastAsia"/>
          <w:kern w:val="0"/>
          <w:szCs w:val="21"/>
        </w:rPr>
        <w:t>或</w:t>
      </w:r>
      <w:r w:rsidR="00F11C3D">
        <w:rPr>
          <w:rFonts w:asciiTheme="minorEastAsia" w:hAnsiTheme="minorEastAsia" w:cs="Arial"/>
          <w:kern w:val="0"/>
          <w:szCs w:val="21"/>
        </w:rPr>
        <w:t>申购</w:t>
      </w:r>
      <w:r w:rsidR="00A52C67" w:rsidRPr="00A52C67">
        <w:rPr>
          <w:rFonts w:asciiTheme="minorEastAsia" w:hAnsiTheme="minorEastAsia" w:cs="Arial"/>
          <w:kern w:val="0"/>
          <w:szCs w:val="21"/>
        </w:rPr>
        <w:t>申请进行比例确认，比例确认后的剩余份额不发起强制赎回。</w:t>
      </w:r>
    </w:p>
    <w:p w14:paraId="3432D50F" w14:textId="6BF6E874" w:rsidR="006F2CB0" w:rsidRPr="00276561" w:rsidRDefault="00F11C3D" w:rsidP="006F2CB0">
      <w:pPr>
        <w:widowControl/>
        <w:spacing w:line="360" w:lineRule="auto"/>
        <w:ind w:firstLine="420"/>
        <w:jc w:val="left"/>
        <w:outlineLvl w:val="2"/>
        <w:rPr>
          <w:rFonts w:asciiTheme="minorEastAsia" w:hAnsiTheme="minorEastAsia" w:cs="Arial"/>
          <w:kern w:val="0"/>
          <w:szCs w:val="21"/>
        </w:rPr>
      </w:pPr>
      <w:r>
        <w:rPr>
          <w:rFonts w:asciiTheme="minorEastAsia" w:hAnsiTheme="minorEastAsia" w:cs="Arial"/>
          <w:kern w:val="0"/>
          <w:szCs w:val="21"/>
        </w:rPr>
        <w:t>2</w:t>
      </w:r>
      <w:r w:rsidR="00A52C67" w:rsidRPr="00A52C67">
        <w:rPr>
          <w:rFonts w:asciiTheme="minorEastAsia" w:hAnsiTheme="minorEastAsia" w:cs="Arial"/>
          <w:kern w:val="0"/>
          <w:szCs w:val="21"/>
        </w:rPr>
        <w:t>、受限开放期的净赎回比例说明及相关风险提示</w:t>
      </w:r>
    </w:p>
    <w:p w14:paraId="1D247D5D" w14:textId="1824D1A4"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在本基金</w:t>
      </w:r>
      <w:r w:rsidR="007F7370">
        <w:rPr>
          <w:rFonts w:asciiTheme="minorEastAsia" w:hAnsiTheme="minorEastAsia" w:cs="Arial" w:hint="eastAsia"/>
          <w:kern w:val="0"/>
          <w:szCs w:val="21"/>
        </w:rPr>
        <w:t>第十一次受限开放</w:t>
      </w:r>
      <w:r w:rsidR="000D79A5">
        <w:rPr>
          <w:rFonts w:asciiTheme="minorEastAsia" w:hAnsiTheme="minorEastAsia" w:cs="Arial" w:hint="eastAsia"/>
          <w:kern w:val="0"/>
          <w:szCs w:val="21"/>
        </w:rPr>
        <w:t>期</w:t>
      </w:r>
      <w:r w:rsidRPr="00A52C67">
        <w:rPr>
          <w:rFonts w:asciiTheme="minorEastAsia" w:hAnsiTheme="minorEastAsia" w:cs="Arial" w:hint="eastAsia"/>
          <w:kern w:val="0"/>
          <w:szCs w:val="21"/>
        </w:rPr>
        <w:t>，本基金</w:t>
      </w:r>
      <w:r w:rsidR="00A100BF">
        <w:rPr>
          <w:rFonts w:asciiTheme="minorEastAsia" w:hAnsiTheme="minorEastAsia" w:cs="Arial" w:hint="eastAsia"/>
          <w:kern w:val="0"/>
          <w:szCs w:val="21"/>
        </w:rPr>
        <w:t>每日</w:t>
      </w:r>
      <w:r w:rsidR="00A100BF">
        <w:rPr>
          <w:rFonts w:asciiTheme="minorEastAsia" w:hAnsiTheme="minorEastAsia" w:cs="Arial"/>
          <w:kern w:val="0"/>
          <w:szCs w:val="21"/>
        </w:rPr>
        <w:t>允许</w:t>
      </w:r>
      <w:r w:rsidRPr="00A52C67">
        <w:rPr>
          <w:rFonts w:asciiTheme="minorEastAsia" w:hAnsiTheme="minorEastAsia" w:cs="Arial" w:hint="eastAsia"/>
          <w:kern w:val="0"/>
          <w:szCs w:val="21"/>
        </w:rPr>
        <w:t>的净赎回比例（净赎回数量占该受限开放期前一日基金份额总数的比例）为</w:t>
      </w:r>
      <w:r w:rsidRPr="00A52C67">
        <w:rPr>
          <w:rFonts w:asciiTheme="minorEastAsia" w:hAnsiTheme="minorEastAsia" w:cs="Arial"/>
          <w:kern w:val="0"/>
          <w:szCs w:val="21"/>
        </w:rPr>
        <w:t>[0，15%]（即大于或等于0，小于或等于15%）。</w:t>
      </w:r>
    </w:p>
    <w:p w14:paraId="1BEA1541" w14:textId="55624590"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如本基金受限开放期净赎回比</w:t>
      </w:r>
      <w:r w:rsidR="00A100BF" w:rsidRPr="00A52C67">
        <w:rPr>
          <w:rFonts w:asciiTheme="minorEastAsia" w:hAnsiTheme="minorEastAsia" w:cs="Arial" w:hint="eastAsia"/>
          <w:kern w:val="0"/>
          <w:szCs w:val="21"/>
        </w:rPr>
        <w:t>例</w:t>
      </w:r>
      <w:r w:rsidRPr="00A52C67">
        <w:rPr>
          <w:rFonts w:asciiTheme="minorEastAsia" w:hAnsiTheme="minorEastAsia" w:cs="Arial" w:hint="eastAsia"/>
          <w:kern w:val="0"/>
          <w:szCs w:val="21"/>
        </w:rPr>
        <w:t>超过</w:t>
      </w:r>
      <w:r w:rsidRPr="00A52C67">
        <w:rPr>
          <w:rFonts w:asciiTheme="minorEastAsia" w:hAnsiTheme="minorEastAsia" w:cs="Arial"/>
          <w:kern w:val="0"/>
          <w:szCs w:val="21"/>
        </w:rPr>
        <w:t>15%时，则对受限开放期的申购申请进行全部确认，对赎回申请的确认按照受限开放期的净赎回额度（即该受限开放期前一日基金份额总数乘以15%）加计受限开放期的申购申请</w:t>
      </w:r>
      <w:r w:rsidR="00A100BF">
        <w:rPr>
          <w:rFonts w:asciiTheme="minorEastAsia" w:hAnsiTheme="minorEastAsia" w:cs="Arial" w:hint="eastAsia"/>
          <w:kern w:val="0"/>
          <w:szCs w:val="21"/>
        </w:rPr>
        <w:t>后</w:t>
      </w:r>
      <w:r w:rsidRPr="00A52C67">
        <w:rPr>
          <w:rFonts w:asciiTheme="minorEastAsia" w:hAnsiTheme="minorEastAsia" w:cs="Arial"/>
          <w:kern w:val="0"/>
          <w:szCs w:val="21"/>
        </w:rPr>
        <w:t>占受限开放期的实际赎回申请的比例</w:t>
      </w:r>
      <w:r w:rsidR="00A100BF">
        <w:rPr>
          <w:rFonts w:ascii="宋体" w:hAnsi="宋体" w:hint="eastAsia"/>
          <w:color w:val="000000"/>
          <w:szCs w:val="21"/>
        </w:rPr>
        <w:t>为</w:t>
      </w:r>
      <w:r w:rsidR="00A100BF">
        <w:rPr>
          <w:rFonts w:ascii="宋体" w:hAnsi="宋体"/>
          <w:color w:val="000000"/>
          <w:szCs w:val="21"/>
        </w:rPr>
        <w:t>限</w:t>
      </w:r>
      <w:r w:rsidRPr="00A52C67">
        <w:rPr>
          <w:rFonts w:asciiTheme="minorEastAsia" w:hAnsiTheme="minorEastAsia" w:cs="Arial"/>
          <w:kern w:val="0"/>
          <w:szCs w:val="21"/>
        </w:rPr>
        <w:t>进行部分确认</w:t>
      </w:r>
      <w:r w:rsidR="00A100BF">
        <w:rPr>
          <w:rFonts w:asciiTheme="minorEastAsia" w:hAnsiTheme="minorEastAsia" w:cs="Arial" w:hint="eastAsia"/>
          <w:kern w:val="0"/>
          <w:szCs w:val="21"/>
        </w:rPr>
        <w:t>，</w:t>
      </w:r>
      <w:r w:rsidR="00A100BF" w:rsidRPr="00A100BF">
        <w:rPr>
          <w:rFonts w:asciiTheme="minorEastAsia" w:hAnsiTheme="minorEastAsia" w:cs="Arial" w:hint="eastAsia"/>
          <w:kern w:val="0"/>
          <w:szCs w:val="21"/>
        </w:rPr>
        <w:t>以确保确认成功的净赎回比例不超过15%</w:t>
      </w:r>
      <w:r w:rsidRPr="00A52C67">
        <w:rPr>
          <w:rFonts w:asciiTheme="minorEastAsia" w:hAnsiTheme="minorEastAsia" w:cs="Arial"/>
          <w:kern w:val="0"/>
          <w:szCs w:val="21"/>
        </w:rPr>
        <w:t>。</w:t>
      </w:r>
    </w:p>
    <w:p w14:paraId="31A4475C" w14:textId="77777777"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如本基金受限开放期发生净申购</w:t>
      </w:r>
      <w:r w:rsidR="00A100BF">
        <w:rPr>
          <w:rFonts w:ascii="宋体" w:hAnsi="宋体" w:hint="eastAsia"/>
          <w:color w:val="000000"/>
          <w:szCs w:val="21"/>
        </w:rPr>
        <w:t>（</w:t>
      </w:r>
      <w:r w:rsidR="00A100BF" w:rsidRPr="00D1171E">
        <w:rPr>
          <w:rFonts w:ascii="宋体" w:hAnsi="宋体" w:hint="eastAsia"/>
          <w:color w:val="000000"/>
          <w:szCs w:val="21"/>
        </w:rPr>
        <w:t>净赎回比例</w:t>
      </w:r>
      <w:r w:rsidR="00A100BF">
        <w:rPr>
          <w:rFonts w:ascii="宋体" w:hAnsi="宋体" w:hint="eastAsia"/>
          <w:color w:val="000000"/>
          <w:szCs w:val="21"/>
        </w:rPr>
        <w:t>小于0</w:t>
      </w:r>
      <w:r w:rsidR="00A100BF">
        <w:rPr>
          <w:rFonts w:ascii="宋体" w:hAnsi="宋体"/>
          <w:color w:val="000000"/>
          <w:szCs w:val="21"/>
        </w:rPr>
        <w:t>）</w:t>
      </w:r>
      <w:r w:rsidRPr="00A52C67">
        <w:rPr>
          <w:rFonts w:asciiTheme="minorEastAsia" w:hAnsiTheme="minorEastAsia" w:cs="Arial" w:hint="eastAsia"/>
          <w:kern w:val="0"/>
          <w:szCs w:val="21"/>
        </w:rPr>
        <w:t>时，则对受限开放期的赎回申请全部确认，对受限开放期的申购申请按照受限开放期有效赎回申请占受限开放期实际有效申购申请的比例</w:t>
      </w:r>
      <w:r w:rsidR="00A100BF">
        <w:rPr>
          <w:rFonts w:ascii="宋体" w:hAnsi="宋体" w:hint="eastAsia"/>
          <w:color w:val="000000"/>
          <w:szCs w:val="21"/>
        </w:rPr>
        <w:t>为</w:t>
      </w:r>
      <w:r w:rsidR="00A100BF">
        <w:rPr>
          <w:rFonts w:ascii="宋体" w:hAnsi="宋体"/>
          <w:color w:val="000000"/>
          <w:szCs w:val="21"/>
        </w:rPr>
        <w:t>限</w:t>
      </w:r>
      <w:r w:rsidRPr="00A52C67">
        <w:rPr>
          <w:rFonts w:asciiTheme="minorEastAsia" w:hAnsiTheme="minorEastAsia" w:cs="Arial" w:hint="eastAsia"/>
          <w:kern w:val="0"/>
          <w:szCs w:val="21"/>
        </w:rPr>
        <w:t>进行部分确认</w:t>
      </w:r>
      <w:r w:rsidR="00A100BF">
        <w:rPr>
          <w:rFonts w:asciiTheme="minorEastAsia" w:hAnsiTheme="minorEastAsia" w:cs="Arial" w:hint="eastAsia"/>
          <w:kern w:val="0"/>
          <w:szCs w:val="21"/>
        </w:rPr>
        <w:t>，</w:t>
      </w:r>
      <w:r w:rsidR="00A100BF" w:rsidRPr="00A100BF">
        <w:rPr>
          <w:rFonts w:asciiTheme="minorEastAsia" w:hAnsiTheme="minorEastAsia" w:cs="Arial" w:hint="eastAsia"/>
          <w:kern w:val="0"/>
          <w:szCs w:val="21"/>
        </w:rPr>
        <w:t>以确保申购确认数量不超过赎回确认数量</w:t>
      </w:r>
      <w:r w:rsidRPr="00A52C67">
        <w:rPr>
          <w:rFonts w:asciiTheme="minorEastAsia" w:hAnsiTheme="minorEastAsia" w:cs="Arial" w:hint="eastAsia"/>
          <w:kern w:val="0"/>
          <w:szCs w:val="21"/>
        </w:rPr>
        <w:t>。</w:t>
      </w:r>
    </w:p>
    <w:p w14:paraId="06526952" w14:textId="77777777" w:rsidR="00A100BF" w:rsidRPr="006A39F3" w:rsidRDefault="00A100BF" w:rsidP="006A39F3">
      <w:pPr>
        <w:spacing w:line="360" w:lineRule="auto"/>
        <w:ind w:firstLineChars="200" w:firstLine="420"/>
        <w:rPr>
          <w:rFonts w:ascii="宋体" w:hAnsi="宋体"/>
          <w:color w:val="000000"/>
        </w:rPr>
      </w:pPr>
      <w:r w:rsidRPr="004538F8">
        <w:rPr>
          <w:rFonts w:ascii="宋体" w:hAnsi="宋体" w:hint="eastAsia"/>
          <w:color w:val="000000"/>
          <w:szCs w:val="21"/>
        </w:rPr>
        <w:t>如本基金受限开放期净赎回比例</w:t>
      </w:r>
      <w:r>
        <w:rPr>
          <w:rFonts w:ascii="宋体" w:hAnsi="宋体" w:hint="eastAsia"/>
          <w:color w:val="000000"/>
          <w:szCs w:val="21"/>
        </w:rPr>
        <w:t>介于</w:t>
      </w:r>
      <w:r w:rsidRPr="004538F8">
        <w:rPr>
          <w:rFonts w:ascii="宋体" w:hAnsi="宋体" w:hint="eastAsia"/>
          <w:color w:val="000000"/>
          <w:szCs w:val="21"/>
        </w:rPr>
        <w:t>[0，15%]</w:t>
      </w:r>
      <w:r>
        <w:rPr>
          <w:rFonts w:ascii="宋体" w:hAnsi="宋体" w:hint="eastAsia"/>
          <w:color w:val="000000"/>
          <w:szCs w:val="21"/>
        </w:rPr>
        <w:t>时</w:t>
      </w:r>
      <w:r w:rsidRPr="004538F8">
        <w:rPr>
          <w:rFonts w:ascii="宋体" w:hAnsi="宋体" w:hint="eastAsia"/>
          <w:color w:val="000000"/>
          <w:szCs w:val="21"/>
        </w:rPr>
        <w:t>，则对受限开放期的</w:t>
      </w:r>
      <w:r>
        <w:rPr>
          <w:rFonts w:ascii="宋体" w:hAnsi="宋体" w:hint="eastAsia"/>
          <w:color w:val="000000"/>
          <w:szCs w:val="21"/>
        </w:rPr>
        <w:t>申购及</w:t>
      </w:r>
      <w:r w:rsidRPr="004538F8">
        <w:rPr>
          <w:rFonts w:ascii="宋体" w:hAnsi="宋体" w:hint="eastAsia"/>
          <w:color w:val="000000"/>
          <w:szCs w:val="21"/>
        </w:rPr>
        <w:t>赎回申请全部</w:t>
      </w:r>
      <w:r w:rsidRPr="006A39F3">
        <w:rPr>
          <w:rFonts w:ascii="宋体" w:hAnsi="宋体" w:hint="eastAsia"/>
          <w:color w:val="000000"/>
        </w:rPr>
        <w:t>确认。</w:t>
      </w:r>
    </w:p>
    <w:p w14:paraId="229F1A8D" w14:textId="77777777" w:rsidR="008033D1" w:rsidRDefault="00A52C67" w:rsidP="00A355ED">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kern w:val="0"/>
          <w:szCs w:val="21"/>
        </w:rPr>
        <w:t>本基金在受限开放期内，将依据上述比例有限度地确认申购、赎回申请，基金份额持有人可能面临因不能全部赎回基金份额而产生的流动性风险。</w:t>
      </w:r>
    </w:p>
    <w:p w14:paraId="4CCA49B2" w14:textId="77777777" w:rsidR="006F2CB0" w:rsidRPr="00276561" w:rsidRDefault="006F2CB0" w:rsidP="006F2CB0">
      <w:pPr>
        <w:widowControl/>
        <w:spacing w:line="360" w:lineRule="auto"/>
        <w:jc w:val="left"/>
        <w:rPr>
          <w:rFonts w:asciiTheme="minorEastAsia" w:hAnsiTheme="minorEastAsia" w:cs="Arial"/>
          <w:kern w:val="0"/>
          <w:szCs w:val="21"/>
        </w:rPr>
      </w:pPr>
    </w:p>
    <w:p w14:paraId="077A0D88" w14:textId="77777777" w:rsidR="006F2CB0" w:rsidRDefault="00A52C67" w:rsidP="006F2CB0">
      <w:pPr>
        <w:widowControl/>
        <w:spacing w:line="360" w:lineRule="auto"/>
        <w:jc w:val="left"/>
        <w:rPr>
          <w:rFonts w:asciiTheme="minorEastAsia" w:hAnsiTheme="minorEastAsia" w:cs="Arial"/>
          <w:b/>
          <w:kern w:val="0"/>
          <w:szCs w:val="21"/>
        </w:rPr>
      </w:pPr>
      <w:r w:rsidRPr="00A52C67">
        <w:rPr>
          <w:rFonts w:asciiTheme="minorEastAsia" w:hAnsiTheme="minorEastAsia" w:cs="Arial" w:hint="eastAsia"/>
          <w:b/>
          <w:kern w:val="0"/>
          <w:szCs w:val="21"/>
        </w:rPr>
        <w:t>三、其他需要提示的事项</w:t>
      </w:r>
    </w:p>
    <w:p w14:paraId="074CA278" w14:textId="1FF4EEE3" w:rsidR="00150EA5" w:rsidRPr="00053FC7" w:rsidRDefault="00150EA5" w:rsidP="00053FC7">
      <w:pPr>
        <w:widowControl/>
        <w:spacing w:line="360" w:lineRule="auto"/>
        <w:ind w:firstLineChars="200" w:firstLine="420"/>
        <w:jc w:val="left"/>
        <w:rPr>
          <w:rFonts w:asciiTheme="minorEastAsia" w:hAnsiTheme="minorEastAsia" w:cs="Arial"/>
          <w:kern w:val="0"/>
          <w:szCs w:val="21"/>
        </w:rPr>
      </w:pPr>
      <w:r w:rsidRPr="00150EA5">
        <w:rPr>
          <w:rFonts w:asciiTheme="minorEastAsia" w:hAnsiTheme="minorEastAsia" w:cs="Arial" w:hint="eastAsia"/>
          <w:kern w:val="0"/>
          <w:szCs w:val="21"/>
        </w:rPr>
        <w:t>本公告相关时间安排如遇2020年法定节假日，本基金管理人将根据国务院办公厅关于2020年法定节假日安排的相关通知进行相应调整并予以公告。具体业务办理安排以届时相关公告为准。</w:t>
      </w:r>
    </w:p>
    <w:p w14:paraId="7065C20A"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投资者欲了解本基金的详细情况，请详细阅读本基金基金合同及招募说明书。投资人亦可通过本公司网站或本基金销售机构查阅相关文件。</w:t>
      </w:r>
    </w:p>
    <w:p w14:paraId="0AD1FD36"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投资者可以登录本公司网站（</w:t>
      </w:r>
      <w:r w:rsidRPr="00A52C67">
        <w:rPr>
          <w:rFonts w:asciiTheme="minorEastAsia" w:hAnsiTheme="minorEastAsia" w:cs="Arial"/>
          <w:bCs/>
          <w:kern w:val="0"/>
          <w:szCs w:val="21"/>
        </w:rPr>
        <w:t>www.igwfmc.com）查询或者拨打本公司的客户服务电话（400 8888 606）垂询相关事宜。</w:t>
      </w:r>
    </w:p>
    <w:p w14:paraId="34EBB298"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lastRenderedPageBreak/>
        <w:t>风险提示：本基金投资于证券市场，基金净值会因为证券市场波动等因素产生波动，投资人在投资本基金前，请认真阅读本基金基金合同和招募说明书等文件，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同时：</w:t>
      </w:r>
    </w:p>
    <w:p w14:paraId="512F50FA"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bCs/>
          <w:kern w:val="0"/>
          <w:szCs w:val="21"/>
        </w:rPr>
        <w:t>1、本基金份额支付机制将导致投资人账户中每月末份额余额发生变动；</w:t>
      </w:r>
    </w:p>
    <w:p w14:paraId="1F4265E8"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bCs/>
          <w:kern w:val="0"/>
          <w:szCs w:val="21"/>
        </w:rPr>
        <w:t>2、本基金份额支付计算为：投资人日历月末支付资产=份额支付基数×份额支付基准</w:t>
      </w:r>
    </w:p>
    <w:p w14:paraId="514C3C03"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份额支付基数将在以下三种情形下进行调整：</w:t>
      </w:r>
    </w:p>
    <w:p w14:paraId="74A72AE9"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w:t>
      </w:r>
      <w:r w:rsidRPr="00A52C67">
        <w:rPr>
          <w:rFonts w:asciiTheme="minorEastAsia" w:hAnsiTheme="minorEastAsia" w:cs="Arial"/>
          <w:bCs/>
          <w:kern w:val="0"/>
          <w:szCs w:val="21"/>
        </w:rPr>
        <w:t>1）投资人赎回本基金份额时进行调整；</w:t>
      </w:r>
    </w:p>
    <w:p w14:paraId="4C261518"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w:t>
      </w:r>
      <w:r w:rsidRPr="00A52C67">
        <w:rPr>
          <w:rFonts w:asciiTheme="minorEastAsia" w:hAnsiTheme="minorEastAsia" w:cs="Arial"/>
          <w:bCs/>
          <w:kern w:val="0"/>
          <w:szCs w:val="21"/>
        </w:rPr>
        <w:t>2）投资人申购本基金份额，在当月份额支付后进行调整；</w:t>
      </w:r>
    </w:p>
    <w:p w14:paraId="6C041BA6"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w:t>
      </w:r>
      <w:r w:rsidRPr="00A52C67">
        <w:rPr>
          <w:rFonts w:asciiTheme="minorEastAsia" w:hAnsiTheme="minorEastAsia" w:cs="Arial"/>
          <w:bCs/>
          <w:kern w:val="0"/>
          <w:szCs w:val="21"/>
        </w:rPr>
        <w:t>3）每年基金份额折算后进行调整。</w:t>
      </w:r>
    </w:p>
    <w:p w14:paraId="74A598A7"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bCs/>
          <w:kern w:val="0"/>
          <w:szCs w:val="21"/>
        </w:rPr>
        <w:t xml:space="preserve">3、本基金份额定期支付机制，在每日历月末将按照计算公式支付固定金额资产到投资人账户，而由于债券市场利率水平、宏观经济波动、资金供给以及市场情绪等方面影响导致基金组合价值可能面临一定波动，因此，在日历月末遇到上述市场极端情况时，为保证本基金支付金额的稳定性，本基金将有可能支付投资人期初所投资金本金部分。 </w:t>
      </w:r>
    </w:p>
    <w:p w14:paraId="0FDE277F"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本基金为债券型基金，属于证券投资基金中的较低风险品种，本基金的预期收益和预期风险高于货币市场基金，低于混合型基金和股票型基金。基金管理人提醒投资人基金投资的“买者自负”原则，在投资人作出投资决策后，基金运营状况与基金净值变化引致的投资风险，由投资人自行负责。</w:t>
      </w:r>
    </w:p>
    <w:p w14:paraId="589DEB1B" w14:textId="77777777" w:rsidR="008033D1" w:rsidRDefault="00A52C67" w:rsidP="00A355ED">
      <w:pPr>
        <w:widowControl/>
        <w:spacing w:line="360" w:lineRule="auto"/>
        <w:ind w:firstLineChars="200" w:firstLine="420"/>
        <w:jc w:val="left"/>
        <w:rPr>
          <w:rFonts w:asciiTheme="minorEastAsia" w:hAnsiTheme="minorEastAsia" w:cs="Arial"/>
          <w:bCs/>
          <w:kern w:val="0"/>
          <w:szCs w:val="21"/>
        </w:rPr>
      </w:pPr>
      <w:r w:rsidRPr="00A52C67">
        <w:rPr>
          <w:rFonts w:asciiTheme="minorEastAsia" w:hAnsiTheme="minorEastAsia" w:cs="Arial" w:hint="eastAsia"/>
          <w:bCs/>
          <w:kern w:val="0"/>
          <w:szCs w:val="21"/>
        </w:rPr>
        <w:t>基金管理人承诺以诚实信用、勤勉尽责的原则管理和运用基金资产，但不保证基金一定盈利，也不保证最低收益。投资人投资于本基金时应认真阅读本基金的基金合同、招募说明书等文件。敬请投资人留意投资风险。</w:t>
      </w:r>
    </w:p>
    <w:p w14:paraId="75B45895" w14:textId="578B4AD5" w:rsidR="006F2CB0" w:rsidRPr="00276561" w:rsidRDefault="00A52C67" w:rsidP="00053FC7">
      <w:pPr>
        <w:widowControl/>
        <w:spacing w:line="360" w:lineRule="auto"/>
        <w:ind w:firstLineChars="200" w:firstLine="420"/>
        <w:jc w:val="left"/>
        <w:rPr>
          <w:rFonts w:asciiTheme="minorEastAsia" w:hAnsiTheme="minorEastAsia" w:cs="Arial"/>
          <w:kern w:val="0"/>
          <w:szCs w:val="21"/>
        </w:rPr>
      </w:pPr>
      <w:r w:rsidRPr="00A52C67">
        <w:rPr>
          <w:rFonts w:asciiTheme="minorEastAsia" w:hAnsiTheme="minorEastAsia" w:cs="Arial" w:hint="eastAsia"/>
          <w:bCs/>
          <w:kern w:val="0"/>
          <w:szCs w:val="21"/>
        </w:rPr>
        <w:t>特此公告。</w:t>
      </w:r>
    </w:p>
    <w:p w14:paraId="22B730D6" w14:textId="77777777" w:rsidR="006F2CB0" w:rsidRPr="00276561" w:rsidRDefault="006F2CB0" w:rsidP="006F2CB0">
      <w:pPr>
        <w:widowControl/>
        <w:spacing w:line="360" w:lineRule="auto"/>
        <w:jc w:val="left"/>
        <w:rPr>
          <w:rFonts w:asciiTheme="minorEastAsia" w:hAnsiTheme="minorEastAsia" w:cs="Arial"/>
          <w:kern w:val="0"/>
          <w:szCs w:val="21"/>
        </w:rPr>
      </w:pPr>
    </w:p>
    <w:p w14:paraId="68D93A03" w14:textId="77777777" w:rsidR="006F2CB0" w:rsidRPr="00276561" w:rsidRDefault="006F2CB0" w:rsidP="006F2CB0">
      <w:pPr>
        <w:widowControl/>
        <w:spacing w:line="360" w:lineRule="auto"/>
        <w:jc w:val="left"/>
        <w:rPr>
          <w:rFonts w:asciiTheme="minorEastAsia" w:hAnsiTheme="minorEastAsia" w:cs="Arial"/>
          <w:kern w:val="0"/>
          <w:szCs w:val="21"/>
        </w:rPr>
      </w:pPr>
    </w:p>
    <w:p w14:paraId="70936EBC" w14:textId="77777777" w:rsidR="006F2CB0" w:rsidRPr="00276561" w:rsidRDefault="00A52C67" w:rsidP="006F2CB0">
      <w:pPr>
        <w:widowControl/>
        <w:spacing w:line="360" w:lineRule="auto"/>
        <w:jc w:val="right"/>
        <w:rPr>
          <w:rFonts w:asciiTheme="minorEastAsia" w:hAnsiTheme="minorEastAsia" w:cs="Arial"/>
          <w:kern w:val="0"/>
          <w:szCs w:val="21"/>
        </w:rPr>
      </w:pPr>
      <w:r w:rsidRPr="00A52C67">
        <w:rPr>
          <w:rFonts w:asciiTheme="minorEastAsia" w:hAnsiTheme="minorEastAsia" w:cs="Arial" w:hint="eastAsia"/>
          <w:kern w:val="0"/>
          <w:szCs w:val="21"/>
        </w:rPr>
        <w:t>景顺长城基金管理有限公司</w:t>
      </w:r>
    </w:p>
    <w:p w14:paraId="5D6E7DC0" w14:textId="2F4196E3" w:rsidR="006F2CB0" w:rsidRPr="009265E9" w:rsidRDefault="009265E9" w:rsidP="00053FC7">
      <w:pPr>
        <w:widowControl/>
        <w:spacing w:line="330" w:lineRule="atLeast"/>
        <w:jc w:val="right"/>
        <w:rPr>
          <w:rFonts w:asciiTheme="minorEastAsia" w:hAnsiTheme="minorEastAsia"/>
          <w:szCs w:val="21"/>
        </w:rPr>
      </w:pPr>
      <w:r>
        <w:rPr>
          <w:rFonts w:asciiTheme="minorEastAsia" w:hAnsiTheme="minorEastAsia" w:cs="Arial" w:hint="eastAsia"/>
          <w:kern w:val="0"/>
          <w:szCs w:val="21"/>
        </w:rPr>
        <w:t>二○一</w:t>
      </w:r>
      <w:r w:rsidR="008D6CA6">
        <w:rPr>
          <w:rFonts w:asciiTheme="minorEastAsia" w:hAnsiTheme="minorEastAsia" w:cs="Arial" w:hint="eastAsia"/>
          <w:kern w:val="0"/>
          <w:szCs w:val="21"/>
        </w:rPr>
        <w:t>九</w:t>
      </w:r>
      <w:r w:rsidR="00A52C67" w:rsidRPr="00A52C67">
        <w:rPr>
          <w:rFonts w:asciiTheme="minorEastAsia" w:hAnsiTheme="minorEastAsia" w:cs="Arial" w:hint="eastAsia"/>
          <w:kern w:val="0"/>
          <w:szCs w:val="21"/>
        </w:rPr>
        <w:t>年</w:t>
      </w:r>
      <w:r w:rsidR="00291A37">
        <w:rPr>
          <w:rFonts w:asciiTheme="minorEastAsia" w:hAnsiTheme="minorEastAsia" w:cs="Arial" w:hint="eastAsia"/>
          <w:kern w:val="0"/>
          <w:szCs w:val="21"/>
        </w:rPr>
        <w:t>十</w:t>
      </w:r>
      <w:r w:rsidR="00A52C67" w:rsidRPr="00A52C67">
        <w:rPr>
          <w:rFonts w:asciiTheme="minorEastAsia" w:hAnsiTheme="minorEastAsia" w:cs="Arial" w:hint="eastAsia"/>
          <w:kern w:val="0"/>
          <w:szCs w:val="21"/>
        </w:rPr>
        <w:t>月</w:t>
      </w:r>
      <w:r w:rsidR="001F1B41">
        <w:rPr>
          <w:rFonts w:asciiTheme="minorEastAsia" w:hAnsiTheme="minorEastAsia" w:cs="Arial" w:hint="eastAsia"/>
          <w:kern w:val="0"/>
          <w:szCs w:val="21"/>
        </w:rPr>
        <w:t>十</w:t>
      </w:r>
      <w:r w:rsidR="009D17FD">
        <w:rPr>
          <w:rFonts w:asciiTheme="minorEastAsia" w:hAnsiTheme="minorEastAsia" w:cs="Arial" w:hint="eastAsia"/>
          <w:kern w:val="0"/>
          <w:szCs w:val="21"/>
        </w:rPr>
        <w:t>一</w:t>
      </w:r>
      <w:bookmarkStart w:id="0" w:name="_GoBack"/>
      <w:bookmarkEnd w:id="0"/>
      <w:r w:rsidR="00A52C67" w:rsidRPr="00A52C67">
        <w:rPr>
          <w:rFonts w:asciiTheme="minorEastAsia" w:hAnsiTheme="minorEastAsia" w:cs="Arial" w:hint="eastAsia"/>
          <w:kern w:val="0"/>
          <w:szCs w:val="21"/>
        </w:rPr>
        <w:t>日</w:t>
      </w:r>
    </w:p>
    <w:sectPr w:rsidR="006F2CB0" w:rsidRPr="009265E9" w:rsidSect="00865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AA84" w14:textId="77777777" w:rsidR="00F07541" w:rsidRDefault="00F07541" w:rsidP="00D75D19">
      <w:r>
        <w:separator/>
      </w:r>
    </w:p>
  </w:endnote>
  <w:endnote w:type="continuationSeparator" w:id="0">
    <w:p w14:paraId="18AB1DA9" w14:textId="77777777" w:rsidR="00F07541" w:rsidRDefault="00F07541" w:rsidP="00D75D19">
      <w:r>
        <w:continuationSeparator/>
      </w:r>
    </w:p>
  </w:endnote>
  <w:endnote w:type="continuationNotice" w:id="1">
    <w:p w14:paraId="7323A9FE" w14:textId="77777777" w:rsidR="00F07541" w:rsidRDefault="00F0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3BAAB" w14:textId="77777777" w:rsidR="00F07541" w:rsidRDefault="00F07541" w:rsidP="00D75D19">
      <w:r>
        <w:separator/>
      </w:r>
    </w:p>
  </w:footnote>
  <w:footnote w:type="continuationSeparator" w:id="0">
    <w:p w14:paraId="59228AC0" w14:textId="77777777" w:rsidR="00F07541" w:rsidRDefault="00F07541" w:rsidP="00D75D19">
      <w:r>
        <w:continuationSeparator/>
      </w:r>
    </w:p>
  </w:footnote>
  <w:footnote w:type="continuationNotice" w:id="1">
    <w:p w14:paraId="17EB1A65" w14:textId="77777777" w:rsidR="00F07541" w:rsidRDefault="00F075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B0"/>
    <w:rsid w:val="000434FB"/>
    <w:rsid w:val="00053FC7"/>
    <w:rsid w:val="0009074F"/>
    <w:rsid w:val="000B5733"/>
    <w:rsid w:val="000C4002"/>
    <w:rsid w:val="000D79A5"/>
    <w:rsid w:val="001043A6"/>
    <w:rsid w:val="00123CC7"/>
    <w:rsid w:val="001324BC"/>
    <w:rsid w:val="00150EA5"/>
    <w:rsid w:val="00197C84"/>
    <w:rsid w:val="001A519F"/>
    <w:rsid w:val="001C70EF"/>
    <w:rsid w:val="001F1B41"/>
    <w:rsid w:val="00242B7C"/>
    <w:rsid w:val="002514A8"/>
    <w:rsid w:val="00276561"/>
    <w:rsid w:val="00291A37"/>
    <w:rsid w:val="00295C2F"/>
    <w:rsid w:val="002D1D95"/>
    <w:rsid w:val="003379E8"/>
    <w:rsid w:val="003976AC"/>
    <w:rsid w:val="003E0BE7"/>
    <w:rsid w:val="003F6C7A"/>
    <w:rsid w:val="00486615"/>
    <w:rsid w:val="004A2D13"/>
    <w:rsid w:val="004B16BF"/>
    <w:rsid w:val="005063F9"/>
    <w:rsid w:val="005650B7"/>
    <w:rsid w:val="005F3901"/>
    <w:rsid w:val="00626644"/>
    <w:rsid w:val="00673F44"/>
    <w:rsid w:val="006A39F3"/>
    <w:rsid w:val="006C0CBE"/>
    <w:rsid w:val="006F2CB0"/>
    <w:rsid w:val="00762F62"/>
    <w:rsid w:val="00793404"/>
    <w:rsid w:val="007F7370"/>
    <w:rsid w:val="008033D1"/>
    <w:rsid w:val="008168F6"/>
    <w:rsid w:val="008527DA"/>
    <w:rsid w:val="00865936"/>
    <w:rsid w:val="008D6CA6"/>
    <w:rsid w:val="00903E42"/>
    <w:rsid w:val="009265E9"/>
    <w:rsid w:val="009B4B7A"/>
    <w:rsid w:val="009D17FD"/>
    <w:rsid w:val="00A100BF"/>
    <w:rsid w:val="00A355ED"/>
    <w:rsid w:val="00A475F9"/>
    <w:rsid w:val="00A5253A"/>
    <w:rsid w:val="00A52A2D"/>
    <w:rsid w:val="00A52C67"/>
    <w:rsid w:val="00A74927"/>
    <w:rsid w:val="00A8191D"/>
    <w:rsid w:val="00AC3907"/>
    <w:rsid w:val="00AC44B2"/>
    <w:rsid w:val="00B51C3F"/>
    <w:rsid w:val="00B74108"/>
    <w:rsid w:val="00BC7674"/>
    <w:rsid w:val="00BD575E"/>
    <w:rsid w:val="00C26354"/>
    <w:rsid w:val="00C36AEB"/>
    <w:rsid w:val="00C410D4"/>
    <w:rsid w:val="00CA1BE1"/>
    <w:rsid w:val="00CF5716"/>
    <w:rsid w:val="00D06FD4"/>
    <w:rsid w:val="00D2282A"/>
    <w:rsid w:val="00D371E6"/>
    <w:rsid w:val="00D75D19"/>
    <w:rsid w:val="00DA4BCA"/>
    <w:rsid w:val="00DB5F34"/>
    <w:rsid w:val="00DD2BB6"/>
    <w:rsid w:val="00E44036"/>
    <w:rsid w:val="00E52038"/>
    <w:rsid w:val="00E829E7"/>
    <w:rsid w:val="00ED1DD1"/>
    <w:rsid w:val="00EF55C5"/>
    <w:rsid w:val="00F00C4F"/>
    <w:rsid w:val="00F06522"/>
    <w:rsid w:val="00F07541"/>
    <w:rsid w:val="00F11C3D"/>
    <w:rsid w:val="00FB23A9"/>
    <w:rsid w:val="00FD5B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DBF78"/>
  <w15:docId w15:val="{2114A3C3-7011-4225-A297-7D51F014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D19"/>
    <w:rPr>
      <w:sz w:val="18"/>
      <w:szCs w:val="18"/>
    </w:rPr>
  </w:style>
  <w:style w:type="paragraph" w:styleId="a4">
    <w:name w:val="footer"/>
    <w:basedOn w:val="a"/>
    <w:link w:val="Char0"/>
    <w:uiPriority w:val="99"/>
    <w:unhideWhenUsed/>
    <w:rsid w:val="00D75D19"/>
    <w:pPr>
      <w:tabs>
        <w:tab w:val="center" w:pos="4153"/>
        <w:tab w:val="right" w:pos="8306"/>
      </w:tabs>
      <w:snapToGrid w:val="0"/>
      <w:jc w:val="left"/>
    </w:pPr>
    <w:rPr>
      <w:sz w:val="18"/>
      <w:szCs w:val="18"/>
    </w:rPr>
  </w:style>
  <w:style w:type="character" w:customStyle="1" w:styleId="Char0">
    <w:name w:val="页脚 Char"/>
    <w:basedOn w:val="a0"/>
    <w:link w:val="a4"/>
    <w:uiPriority w:val="99"/>
    <w:rsid w:val="00D75D19"/>
    <w:rPr>
      <w:sz w:val="18"/>
      <w:szCs w:val="18"/>
    </w:rPr>
  </w:style>
  <w:style w:type="paragraph" w:styleId="a5">
    <w:name w:val="Balloon Text"/>
    <w:basedOn w:val="a"/>
    <w:link w:val="Char1"/>
    <w:uiPriority w:val="99"/>
    <w:semiHidden/>
    <w:unhideWhenUsed/>
    <w:rsid w:val="00D75D19"/>
    <w:rPr>
      <w:sz w:val="18"/>
      <w:szCs w:val="18"/>
    </w:rPr>
  </w:style>
  <w:style w:type="character" w:customStyle="1" w:styleId="Char1">
    <w:name w:val="批注框文本 Char"/>
    <w:basedOn w:val="a0"/>
    <w:link w:val="a5"/>
    <w:uiPriority w:val="99"/>
    <w:semiHidden/>
    <w:rsid w:val="00D75D19"/>
    <w:rPr>
      <w:sz w:val="18"/>
      <w:szCs w:val="18"/>
    </w:rPr>
  </w:style>
  <w:style w:type="character" w:styleId="a6">
    <w:name w:val="annotation reference"/>
    <w:basedOn w:val="a0"/>
    <w:uiPriority w:val="99"/>
    <w:semiHidden/>
    <w:unhideWhenUsed/>
    <w:rsid w:val="005F3901"/>
    <w:rPr>
      <w:sz w:val="21"/>
      <w:szCs w:val="21"/>
    </w:rPr>
  </w:style>
  <w:style w:type="paragraph" w:styleId="a7">
    <w:name w:val="annotation text"/>
    <w:basedOn w:val="a"/>
    <w:link w:val="Char2"/>
    <w:uiPriority w:val="99"/>
    <w:semiHidden/>
    <w:unhideWhenUsed/>
    <w:rsid w:val="005F3901"/>
    <w:pPr>
      <w:jc w:val="left"/>
    </w:pPr>
  </w:style>
  <w:style w:type="character" w:customStyle="1" w:styleId="Char2">
    <w:name w:val="批注文字 Char"/>
    <w:basedOn w:val="a0"/>
    <w:link w:val="a7"/>
    <w:uiPriority w:val="99"/>
    <w:semiHidden/>
    <w:rsid w:val="005F3901"/>
  </w:style>
  <w:style w:type="paragraph" w:styleId="a8">
    <w:name w:val="annotation subject"/>
    <w:basedOn w:val="a7"/>
    <w:next w:val="a7"/>
    <w:link w:val="Char3"/>
    <w:uiPriority w:val="99"/>
    <w:semiHidden/>
    <w:unhideWhenUsed/>
    <w:rsid w:val="005F3901"/>
    <w:rPr>
      <w:b/>
      <w:bCs/>
    </w:rPr>
  </w:style>
  <w:style w:type="character" w:customStyle="1" w:styleId="Char3">
    <w:name w:val="批注主题 Char"/>
    <w:basedOn w:val="Char2"/>
    <w:link w:val="a8"/>
    <w:uiPriority w:val="99"/>
    <w:semiHidden/>
    <w:rsid w:val="005F3901"/>
    <w:rPr>
      <w:b/>
      <w:bCs/>
    </w:rPr>
  </w:style>
  <w:style w:type="paragraph" w:styleId="a9">
    <w:name w:val="Revision"/>
    <w:hidden/>
    <w:uiPriority w:val="99"/>
    <w:semiHidden/>
    <w:rsid w:val="005F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44B0-AE39-40DC-BC1D-75FE88AE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392</Words>
  <Characters>2238</Characters>
  <Application>Microsoft Office Word</Application>
  <DocSecurity>0</DocSecurity>
  <Lines>18</Lines>
  <Paragraphs>5</Paragraphs>
  <ScaleCrop>false</ScaleCrop>
  <Company>P R C</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Wei.Ni Na(魏妮娜)</cp:lastModifiedBy>
  <cp:revision>12</cp:revision>
  <dcterms:created xsi:type="dcterms:W3CDTF">2019-03-04T06:58:00Z</dcterms:created>
  <dcterms:modified xsi:type="dcterms:W3CDTF">2019-10-10T10:59:00Z</dcterms:modified>
</cp:coreProperties>
</file>