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9C" w:rsidRPr="00923E00" w:rsidRDefault="008606D2" w:rsidP="00752A9C">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博时乐</w:t>
      </w:r>
      <w:proofErr w:type="gramStart"/>
      <w:r>
        <w:rPr>
          <w:rFonts w:asciiTheme="minorEastAsia" w:eastAsiaTheme="minorEastAsia" w:hAnsiTheme="minorEastAsia" w:cs="宋体" w:hint="eastAsia"/>
          <w:b/>
          <w:kern w:val="0"/>
          <w:sz w:val="30"/>
          <w:szCs w:val="30"/>
        </w:rPr>
        <w:t>臻</w:t>
      </w:r>
      <w:proofErr w:type="gramEnd"/>
      <w:r>
        <w:rPr>
          <w:rFonts w:asciiTheme="minorEastAsia" w:eastAsiaTheme="minorEastAsia" w:hAnsiTheme="minorEastAsia" w:cs="宋体" w:hint="eastAsia"/>
          <w:b/>
          <w:kern w:val="0"/>
          <w:sz w:val="30"/>
          <w:szCs w:val="30"/>
        </w:rPr>
        <w:t>定期开放混合型证券投资基金开放</w:t>
      </w:r>
      <w:r w:rsidR="00752A9C" w:rsidRPr="00923E00">
        <w:rPr>
          <w:rFonts w:asciiTheme="minorEastAsia" w:eastAsiaTheme="minorEastAsia" w:hAnsiTheme="minorEastAsia" w:cs="宋体" w:hint="eastAsia"/>
          <w:b/>
          <w:kern w:val="0"/>
          <w:sz w:val="30"/>
          <w:szCs w:val="30"/>
        </w:rPr>
        <w:t>申购、赎回、转换业务的公告</w:t>
      </w:r>
    </w:p>
    <w:p w:rsidR="00752A9C" w:rsidRPr="00FF7AA4" w:rsidRDefault="00752A9C" w:rsidP="00752A9C">
      <w:pPr>
        <w:spacing w:line="560" w:lineRule="exact"/>
        <w:jc w:val="center"/>
        <w:rPr>
          <w:rFonts w:asciiTheme="minorEastAsia" w:eastAsiaTheme="minorEastAsia" w:hAnsiTheme="minorEastAsia" w:cs="宋体"/>
          <w:bCs/>
          <w:sz w:val="24"/>
          <w:szCs w:val="24"/>
        </w:rPr>
      </w:pPr>
      <w:r w:rsidRPr="00FF7AA4">
        <w:rPr>
          <w:rFonts w:asciiTheme="minorEastAsia" w:eastAsiaTheme="minorEastAsia" w:hAnsiTheme="minorEastAsia"/>
          <w:color w:val="000000"/>
          <w:sz w:val="24"/>
          <w:szCs w:val="24"/>
        </w:rPr>
        <w:t>公告送出日期：</w:t>
      </w:r>
      <w:r w:rsidRPr="00FF7AA4">
        <w:rPr>
          <w:rFonts w:asciiTheme="minorEastAsia" w:eastAsiaTheme="minorEastAsia" w:hAnsiTheme="minorEastAsia" w:cs="宋体"/>
          <w:bCs/>
          <w:sz w:val="24"/>
          <w:szCs w:val="24"/>
        </w:rPr>
        <w:t>2019年10月</w:t>
      </w:r>
      <w:r w:rsidR="0062203E">
        <w:rPr>
          <w:rFonts w:asciiTheme="minorEastAsia" w:eastAsiaTheme="minorEastAsia" w:hAnsiTheme="minorEastAsia" w:cs="宋体"/>
          <w:bCs/>
          <w:sz w:val="24"/>
          <w:szCs w:val="24"/>
        </w:rPr>
        <w:t>1</w:t>
      </w:r>
      <w:r w:rsidR="0062203E">
        <w:rPr>
          <w:rFonts w:asciiTheme="minorEastAsia" w:eastAsiaTheme="minorEastAsia" w:hAnsiTheme="minorEastAsia" w:cs="宋体" w:hint="eastAsia"/>
          <w:bCs/>
          <w:sz w:val="24"/>
          <w:szCs w:val="24"/>
        </w:rPr>
        <w:t>1</w:t>
      </w:r>
      <w:r w:rsidRPr="00FF7AA4">
        <w:rPr>
          <w:rFonts w:asciiTheme="minorEastAsia" w:eastAsiaTheme="minorEastAsia" w:hAnsiTheme="minorEastAsia" w:cs="宋体"/>
          <w:bCs/>
          <w:sz w:val="24"/>
          <w:szCs w:val="24"/>
        </w:rPr>
        <w:t>日</w:t>
      </w:r>
    </w:p>
    <w:p w:rsidR="00122706" w:rsidRPr="00FF7AA4" w:rsidRDefault="00122706" w:rsidP="00752A9C">
      <w:pPr>
        <w:spacing w:line="560" w:lineRule="exact"/>
        <w:jc w:val="center"/>
        <w:rPr>
          <w:rFonts w:asciiTheme="minorEastAsia" w:eastAsiaTheme="minorEastAsia" w:hAnsiTheme="minorEastAsia"/>
          <w:color w:val="000000"/>
          <w:sz w:val="24"/>
          <w:szCs w:val="24"/>
        </w:rPr>
      </w:pPr>
    </w:p>
    <w:p w:rsidR="00752A9C" w:rsidRPr="00FF7AA4" w:rsidRDefault="00752A9C" w:rsidP="00752A9C">
      <w:pPr>
        <w:pStyle w:val="2"/>
        <w:spacing w:line="560" w:lineRule="exact"/>
        <w:rPr>
          <w:rFonts w:asciiTheme="minorEastAsia" w:eastAsiaTheme="minorEastAsia" w:hAnsiTheme="minorEastAsia"/>
          <w:bCs w:val="0"/>
          <w:color w:val="000000"/>
          <w:sz w:val="24"/>
          <w:szCs w:val="24"/>
        </w:rPr>
      </w:pPr>
      <w:bookmarkStart w:id="0" w:name="_Toc275961395"/>
      <w:r w:rsidRPr="00FF7AA4">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2"/>
        <w:gridCol w:w="6137"/>
      </w:tblGrid>
      <w:tr w:rsidR="00752A9C" w:rsidRPr="00FF7AA4" w:rsidTr="00AD513A">
        <w:trPr>
          <w:jc w:val="center"/>
        </w:trPr>
        <w:tc>
          <w:tcPr>
            <w:tcW w:w="3502" w:type="dxa"/>
          </w:tcPr>
          <w:p w:rsidR="00752A9C" w:rsidRPr="00FF7AA4" w:rsidRDefault="00752A9C"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基金名称</w:t>
            </w:r>
          </w:p>
        </w:tc>
        <w:tc>
          <w:tcPr>
            <w:tcW w:w="6137" w:type="dxa"/>
            <w:vAlign w:val="center"/>
          </w:tcPr>
          <w:p w:rsidR="00752A9C" w:rsidRPr="00FF7AA4" w:rsidRDefault="00752A9C" w:rsidP="0082483B">
            <w:pPr>
              <w:rPr>
                <w:rFonts w:asciiTheme="minorEastAsia" w:eastAsiaTheme="minorEastAsia" w:hAnsiTheme="minorEastAsia"/>
                <w:sz w:val="24"/>
                <w:szCs w:val="24"/>
              </w:rPr>
            </w:pPr>
            <w:r w:rsidRPr="00FF7AA4">
              <w:rPr>
                <w:rFonts w:asciiTheme="minorEastAsia" w:eastAsiaTheme="minorEastAsia" w:hAnsiTheme="minorEastAsia"/>
                <w:sz w:val="24"/>
                <w:szCs w:val="24"/>
              </w:rPr>
              <w:t>博时乐臻定期开放混合型证券投资基金</w:t>
            </w:r>
          </w:p>
        </w:tc>
      </w:tr>
      <w:tr w:rsidR="00752A9C" w:rsidRPr="00FF7AA4" w:rsidTr="00AD513A">
        <w:trPr>
          <w:jc w:val="center"/>
        </w:trPr>
        <w:tc>
          <w:tcPr>
            <w:tcW w:w="3502" w:type="dxa"/>
          </w:tcPr>
          <w:p w:rsidR="00752A9C" w:rsidRPr="00FF7AA4" w:rsidRDefault="00752A9C"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基金简称</w:t>
            </w:r>
          </w:p>
        </w:tc>
        <w:tc>
          <w:tcPr>
            <w:tcW w:w="6137" w:type="dxa"/>
            <w:vAlign w:val="center"/>
          </w:tcPr>
          <w:p w:rsidR="00752A9C" w:rsidRPr="00FF7AA4" w:rsidRDefault="00752A9C" w:rsidP="0082483B">
            <w:pPr>
              <w:rPr>
                <w:rFonts w:asciiTheme="minorEastAsia" w:eastAsiaTheme="minorEastAsia" w:hAnsiTheme="minorEastAsia"/>
                <w:sz w:val="24"/>
                <w:szCs w:val="24"/>
              </w:rPr>
            </w:pPr>
            <w:r w:rsidRPr="00FF7AA4">
              <w:rPr>
                <w:rFonts w:asciiTheme="minorEastAsia" w:eastAsiaTheme="minorEastAsia" w:hAnsiTheme="minorEastAsia"/>
                <w:sz w:val="24"/>
                <w:szCs w:val="24"/>
              </w:rPr>
              <w:t>博时乐臻定开混合</w:t>
            </w:r>
          </w:p>
        </w:tc>
      </w:tr>
      <w:tr w:rsidR="00DA79B5" w:rsidRPr="00FF7AA4" w:rsidTr="00AD513A">
        <w:trPr>
          <w:jc w:val="center"/>
        </w:trPr>
        <w:tc>
          <w:tcPr>
            <w:tcW w:w="3502" w:type="dxa"/>
            <w:vAlign w:val="center"/>
          </w:tcPr>
          <w:p w:rsidR="00DA79B5" w:rsidRPr="00FF7AA4" w:rsidRDefault="00DA79B5" w:rsidP="00FB02B7">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基金主代码</w:t>
            </w:r>
          </w:p>
        </w:tc>
        <w:tc>
          <w:tcPr>
            <w:tcW w:w="6137" w:type="dxa"/>
            <w:vAlign w:val="center"/>
          </w:tcPr>
          <w:p w:rsidR="00DA79B5" w:rsidRPr="00FF7AA4" w:rsidRDefault="00DA79B5" w:rsidP="0082483B">
            <w:pPr>
              <w:spacing w:line="560" w:lineRule="exact"/>
              <w:rPr>
                <w:rFonts w:asciiTheme="minorEastAsia" w:eastAsiaTheme="minorEastAsia" w:hAnsiTheme="minorEastAsia"/>
                <w:sz w:val="24"/>
                <w:szCs w:val="24"/>
              </w:rPr>
            </w:pPr>
            <w:r w:rsidRPr="00FF7AA4">
              <w:rPr>
                <w:rFonts w:asciiTheme="minorEastAsia" w:eastAsiaTheme="minorEastAsia" w:hAnsiTheme="minorEastAsia"/>
                <w:sz w:val="24"/>
                <w:szCs w:val="24"/>
              </w:rPr>
              <w:t>003331</w:t>
            </w:r>
          </w:p>
        </w:tc>
      </w:tr>
      <w:tr w:rsidR="00DA79B5" w:rsidRPr="00FF7AA4" w:rsidTr="00AD513A">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基金运作方式</w:t>
            </w:r>
          </w:p>
        </w:tc>
        <w:tc>
          <w:tcPr>
            <w:tcW w:w="6137" w:type="dxa"/>
            <w:vAlign w:val="center"/>
          </w:tcPr>
          <w:p w:rsidR="00DA79B5" w:rsidRPr="00FF7AA4" w:rsidRDefault="00DA79B5" w:rsidP="0082483B">
            <w:pPr>
              <w:rPr>
                <w:rFonts w:asciiTheme="minorEastAsia" w:eastAsiaTheme="minorEastAsia" w:hAnsiTheme="minorEastAsia"/>
                <w:sz w:val="24"/>
                <w:szCs w:val="24"/>
              </w:rPr>
            </w:pPr>
            <w:r w:rsidRPr="00FF7AA4">
              <w:rPr>
                <w:rFonts w:asciiTheme="minorEastAsia" w:eastAsiaTheme="minorEastAsia" w:hAnsiTheme="minorEastAsia"/>
                <w:sz w:val="24"/>
                <w:szCs w:val="24"/>
              </w:rPr>
              <w:t>契约型开放式</w:t>
            </w:r>
          </w:p>
        </w:tc>
      </w:tr>
      <w:tr w:rsidR="00DA79B5" w:rsidRPr="00FF7AA4" w:rsidTr="00AD513A">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基金合同生效日</w:t>
            </w:r>
          </w:p>
        </w:tc>
        <w:tc>
          <w:tcPr>
            <w:tcW w:w="6137" w:type="dxa"/>
            <w:vAlign w:val="center"/>
          </w:tcPr>
          <w:p w:rsidR="00DA79B5" w:rsidRPr="00FF7AA4" w:rsidRDefault="00730DEB" w:rsidP="0082483B">
            <w:pPr>
              <w:rPr>
                <w:rFonts w:asciiTheme="minorEastAsia" w:eastAsiaTheme="minorEastAsia" w:hAnsiTheme="minorEastAsia"/>
                <w:sz w:val="24"/>
                <w:szCs w:val="24"/>
              </w:rPr>
            </w:pPr>
            <w:r w:rsidRPr="00FF7AA4">
              <w:rPr>
                <w:rFonts w:asciiTheme="minorEastAsia" w:eastAsiaTheme="minorEastAsia" w:hAnsiTheme="minorEastAsia"/>
                <w:sz w:val="24"/>
                <w:szCs w:val="24"/>
              </w:rPr>
              <w:t>2016年9月29日</w:t>
            </w:r>
          </w:p>
        </w:tc>
      </w:tr>
      <w:tr w:rsidR="00DA79B5" w:rsidRPr="00FF7AA4" w:rsidTr="00AD513A">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基金管理人名称</w:t>
            </w:r>
          </w:p>
        </w:tc>
        <w:tc>
          <w:tcPr>
            <w:tcW w:w="6137" w:type="dxa"/>
            <w:vAlign w:val="center"/>
          </w:tcPr>
          <w:p w:rsidR="00DA79B5" w:rsidRPr="00FF7AA4" w:rsidRDefault="00DA79B5" w:rsidP="0082483B">
            <w:pPr>
              <w:rPr>
                <w:rFonts w:asciiTheme="minorEastAsia" w:eastAsiaTheme="minorEastAsia" w:hAnsiTheme="minorEastAsia"/>
                <w:sz w:val="24"/>
                <w:szCs w:val="24"/>
              </w:rPr>
            </w:pPr>
            <w:r w:rsidRPr="00FF7AA4">
              <w:rPr>
                <w:rFonts w:asciiTheme="minorEastAsia" w:eastAsiaTheme="minorEastAsia" w:hAnsiTheme="minorEastAsia"/>
                <w:sz w:val="24"/>
                <w:szCs w:val="24"/>
              </w:rPr>
              <w:t>博时基金管理有限公司</w:t>
            </w:r>
          </w:p>
        </w:tc>
      </w:tr>
      <w:tr w:rsidR="00DA79B5" w:rsidRPr="00FF7AA4" w:rsidTr="00AD513A">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基金托管人名称</w:t>
            </w:r>
          </w:p>
        </w:tc>
        <w:tc>
          <w:tcPr>
            <w:tcW w:w="6137" w:type="dxa"/>
            <w:vAlign w:val="center"/>
          </w:tcPr>
          <w:p w:rsidR="00DA79B5" w:rsidRPr="00FF7AA4" w:rsidRDefault="00DA79B5" w:rsidP="0082483B">
            <w:pPr>
              <w:rPr>
                <w:rFonts w:asciiTheme="minorEastAsia" w:eastAsiaTheme="minorEastAsia" w:hAnsiTheme="minorEastAsia"/>
                <w:sz w:val="24"/>
                <w:szCs w:val="24"/>
              </w:rPr>
            </w:pPr>
            <w:r w:rsidRPr="00FF7AA4">
              <w:rPr>
                <w:rFonts w:asciiTheme="minorEastAsia" w:eastAsiaTheme="minorEastAsia" w:hAnsiTheme="minorEastAsia"/>
                <w:sz w:val="24"/>
                <w:szCs w:val="24"/>
              </w:rPr>
              <w:t>招商银行股份有限公司</w:t>
            </w:r>
          </w:p>
        </w:tc>
      </w:tr>
      <w:tr w:rsidR="00DA79B5" w:rsidRPr="00FF7AA4" w:rsidTr="00AD513A">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基金注册登记机构名称</w:t>
            </w:r>
          </w:p>
        </w:tc>
        <w:tc>
          <w:tcPr>
            <w:tcW w:w="6137" w:type="dxa"/>
            <w:vAlign w:val="center"/>
          </w:tcPr>
          <w:p w:rsidR="00DA79B5" w:rsidRPr="00FF7AA4" w:rsidRDefault="00DA79B5" w:rsidP="0082483B">
            <w:pPr>
              <w:rPr>
                <w:rFonts w:asciiTheme="minorEastAsia" w:eastAsiaTheme="minorEastAsia" w:hAnsiTheme="minorEastAsia"/>
                <w:sz w:val="24"/>
                <w:szCs w:val="24"/>
              </w:rPr>
            </w:pPr>
            <w:r w:rsidRPr="00FF7AA4">
              <w:rPr>
                <w:rFonts w:asciiTheme="minorEastAsia" w:eastAsiaTheme="minorEastAsia" w:hAnsiTheme="minorEastAsia" w:hint="eastAsia"/>
                <w:sz w:val="24"/>
                <w:szCs w:val="24"/>
              </w:rPr>
              <w:t>博时基金管理有限公司</w:t>
            </w:r>
          </w:p>
        </w:tc>
      </w:tr>
      <w:tr w:rsidR="00DA79B5" w:rsidRPr="00FF7AA4" w:rsidTr="00AD513A">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公告依据</w:t>
            </w:r>
          </w:p>
        </w:tc>
        <w:tc>
          <w:tcPr>
            <w:tcW w:w="6137" w:type="dxa"/>
            <w:vAlign w:val="center"/>
          </w:tcPr>
          <w:p w:rsidR="00DA79B5" w:rsidRPr="00FF7AA4" w:rsidRDefault="00DA79B5" w:rsidP="0082483B">
            <w:pPr>
              <w:spacing w:line="560" w:lineRule="exact"/>
              <w:rPr>
                <w:rFonts w:asciiTheme="minorEastAsia" w:eastAsiaTheme="minorEastAsia" w:hAnsiTheme="minorEastAsia"/>
                <w:sz w:val="24"/>
                <w:szCs w:val="24"/>
              </w:rPr>
            </w:pPr>
            <w:r w:rsidRPr="00FF7AA4">
              <w:rPr>
                <w:rFonts w:asciiTheme="minorEastAsia" w:eastAsiaTheme="minorEastAsia" w:hAnsiTheme="minorEastAsia"/>
                <w:sz w:val="24"/>
                <w:szCs w:val="24"/>
              </w:rPr>
              <w:t>《中华人民共和国证券投资基金法》、《公开募集证券投资基金运作管理办法》等法律法规以及《博时乐臻定期开放混合型证券投资基金基金合同》及《博时乐臻定期开放混合型证券投资基金招募说明书》</w:t>
            </w:r>
          </w:p>
        </w:tc>
      </w:tr>
      <w:tr w:rsidR="00DA79B5" w:rsidRPr="00FF7AA4" w:rsidTr="00AD513A">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申购起始日</w:t>
            </w:r>
          </w:p>
        </w:tc>
        <w:tc>
          <w:tcPr>
            <w:tcW w:w="6137" w:type="dxa"/>
            <w:vAlign w:val="center"/>
          </w:tcPr>
          <w:p w:rsidR="00DA79B5" w:rsidRPr="00FF7AA4" w:rsidRDefault="00DA79B5" w:rsidP="0082483B">
            <w:pPr>
              <w:rPr>
                <w:rFonts w:asciiTheme="minorEastAsia" w:eastAsiaTheme="minorEastAsia" w:hAnsiTheme="minorEastAsia"/>
                <w:sz w:val="24"/>
                <w:szCs w:val="24"/>
              </w:rPr>
            </w:pPr>
            <w:r w:rsidRPr="00FF7AA4">
              <w:rPr>
                <w:rFonts w:asciiTheme="minorEastAsia" w:eastAsiaTheme="minorEastAsia" w:hAnsiTheme="minorEastAsia" w:hint="eastAsia"/>
                <w:sz w:val="24"/>
                <w:szCs w:val="24"/>
              </w:rPr>
              <w:t>2019年10月21日</w:t>
            </w:r>
          </w:p>
        </w:tc>
      </w:tr>
      <w:tr w:rsidR="00DA79B5" w:rsidRPr="00FF7AA4" w:rsidTr="00AD513A">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赎回起始日</w:t>
            </w:r>
          </w:p>
        </w:tc>
        <w:tc>
          <w:tcPr>
            <w:tcW w:w="6137" w:type="dxa"/>
            <w:vAlign w:val="center"/>
          </w:tcPr>
          <w:p w:rsidR="00DA79B5" w:rsidRPr="00FF7AA4" w:rsidRDefault="00DA79B5" w:rsidP="0082483B">
            <w:pPr>
              <w:rPr>
                <w:rFonts w:asciiTheme="minorEastAsia" w:eastAsiaTheme="minorEastAsia" w:hAnsiTheme="minorEastAsia"/>
                <w:sz w:val="24"/>
                <w:szCs w:val="24"/>
              </w:rPr>
            </w:pPr>
            <w:r w:rsidRPr="00FF7AA4">
              <w:rPr>
                <w:rFonts w:asciiTheme="minorEastAsia" w:eastAsiaTheme="minorEastAsia" w:hAnsiTheme="minorEastAsia" w:hint="eastAsia"/>
                <w:sz w:val="24"/>
                <w:szCs w:val="24"/>
              </w:rPr>
              <w:t>2019年10月21日</w:t>
            </w:r>
          </w:p>
        </w:tc>
      </w:tr>
      <w:tr w:rsidR="00DA79B5" w:rsidRPr="00FF7AA4" w:rsidTr="00AD513A">
        <w:trPr>
          <w:jc w:val="center"/>
        </w:trPr>
        <w:tc>
          <w:tcPr>
            <w:tcW w:w="3502" w:type="dxa"/>
          </w:tcPr>
          <w:p w:rsidR="00DA79B5" w:rsidRPr="00FF7AA4" w:rsidRDefault="00DA79B5" w:rsidP="000B693A">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转换转入起始日</w:t>
            </w:r>
          </w:p>
        </w:tc>
        <w:tc>
          <w:tcPr>
            <w:tcW w:w="6137" w:type="dxa"/>
            <w:vAlign w:val="center"/>
          </w:tcPr>
          <w:p w:rsidR="00DA79B5" w:rsidRPr="00FF7AA4" w:rsidRDefault="00734CC1" w:rsidP="0082483B">
            <w:pPr>
              <w:rPr>
                <w:rFonts w:asciiTheme="minorEastAsia" w:eastAsiaTheme="minorEastAsia" w:hAnsiTheme="minorEastAsia"/>
                <w:sz w:val="24"/>
                <w:szCs w:val="24"/>
              </w:rPr>
            </w:pPr>
            <w:r>
              <w:rPr>
                <w:rFonts w:asciiTheme="minorEastAsia" w:eastAsiaTheme="minorEastAsia" w:hAnsiTheme="minorEastAsia" w:hint="eastAsia"/>
                <w:sz w:val="24"/>
                <w:szCs w:val="24"/>
              </w:rPr>
              <w:t>2019年10月</w:t>
            </w:r>
            <w:r w:rsidR="00DA79B5" w:rsidRPr="00FF7AA4">
              <w:rPr>
                <w:rFonts w:asciiTheme="minorEastAsia" w:eastAsiaTheme="minorEastAsia" w:hAnsiTheme="minorEastAsia" w:hint="eastAsia"/>
                <w:sz w:val="24"/>
                <w:szCs w:val="24"/>
              </w:rPr>
              <w:t>21</w:t>
            </w:r>
            <w:r>
              <w:rPr>
                <w:rFonts w:asciiTheme="minorEastAsia" w:eastAsiaTheme="minorEastAsia" w:hAnsiTheme="minorEastAsia" w:hint="eastAsia"/>
                <w:sz w:val="24"/>
                <w:szCs w:val="24"/>
              </w:rPr>
              <w:t>日</w:t>
            </w:r>
          </w:p>
        </w:tc>
      </w:tr>
      <w:tr w:rsidR="00DA79B5" w:rsidRPr="00FF7AA4" w:rsidTr="00AD513A">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转换转出起始日</w:t>
            </w:r>
          </w:p>
        </w:tc>
        <w:tc>
          <w:tcPr>
            <w:tcW w:w="6137" w:type="dxa"/>
            <w:vAlign w:val="center"/>
          </w:tcPr>
          <w:p w:rsidR="00DA79B5" w:rsidRPr="00FF7AA4" w:rsidRDefault="00734CC1" w:rsidP="0082483B">
            <w:pPr>
              <w:rPr>
                <w:rFonts w:asciiTheme="minorEastAsia" w:eastAsiaTheme="minorEastAsia" w:hAnsiTheme="minorEastAsia"/>
                <w:sz w:val="24"/>
                <w:szCs w:val="24"/>
              </w:rPr>
            </w:pPr>
            <w:r>
              <w:rPr>
                <w:rFonts w:asciiTheme="minorEastAsia" w:eastAsiaTheme="minorEastAsia" w:hAnsiTheme="minorEastAsia" w:hint="eastAsia"/>
                <w:sz w:val="24"/>
                <w:szCs w:val="24"/>
              </w:rPr>
              <w:t>2019年10月</w:t>
            </w:r>
            <w:r w:rsidR="00DA79B5" w:rsidRPr="00FF7AA4">
              <w:rPr>
                <w:rFonts w:asciiTheme="minorEastAsia" w:eastAsiaTheme="minorEastAsia" w:hAnsiTheme="minorEastAsia" w:hint="eastAsia"/>
                <w:sz w:val="24"/>
                <w:szCs w:val="24"/>
              </w:rPr>
              <w:t>21</w:t>
            </w:r>
            <w:r>
              <w:rPr>
                <w:rFonts w:asciiTheme="minorEastAsia" w:eastAsiaTheme="minorEastAsia" w:hAnsiTheme="minorEastAsia" w:hint="eastAsia"/>
                <w:sz w:val="24"/>
                <w:szCs w:val="24"/>
              </w:rPr>
              <w:t>日</w:t>
            </w:r>
          </w:p>
        </w:tc>
      </w:tr>
    </w:tbl>
    <w:p w:rsidR="00752A9C" w:rsidRPr="00FF7AA4" w:rsidRDefault="00752A9C" w:rsidP="00752A9C">
      <w:pPr>
        <w:pStyle w:val="2"/>
        <w:spacing w:line="560" w:lineRule="exact"/>
        <w:rPr>
          <w:rFonts w:asciiTheme="minorEastAsia" w:eastAsiaTheme="minorEastAsia" w:hAnsiTheme="minorEastAsia"/>
          <w:bCs w:val="0"/>
          <w:color w:val="000000"/>
          <w:sz w:val="24"/>
          <w:szCs w:val="24"/>
        </w:rPr>
      </w:pPr>
      <w:bookmarkStart w:id="1" w:name="_Toc275961396"/>
      <w:r w:rsidRPr="00FF7AA4">
        <w:rPr>
          <w:rFonts w:asciiTheme="minorEastAsia" w:eastAsiaTheme="minorEastAsia" w:hAnsiTheme="minorEastAsia"/>
          <w:bCs w:val="0"/>
          <w:color w:val="000000"/>
          <w:sz w:val="24"/>
          <w:szCs w:val="24"/>
        </w:rPr>
        <w:lastRenderedPageBreak/>
        <w:t>2 日常申购、赎回（转换、定期定额投资）业务的办理时间</w:t>
      </w:r>
      <w:bookmarkEnd w:id="1"/>
    </w:p>
    <w:p w:rsidR="00017AD1" w:rsidRPr="007126DA" w:rsidRDefault="007126DA" w:rsidP="007126DA">
      <w:pPr>
        <w:spacing w:line="360" w:lineRule="auto"/>
        <w:rPr>
          <w:rFonts w:asciiTheme="minorEastAsia" w:eastAsiaTheme="minorEastAsia" w:hAnsiTheme="minorEastAsia"/>
          <w:b/>
          <w:color w:val="000000"/>
          <w:sz w:val="24"/>
          <w:szCs w:val="24"/>
        </w:rPr>
      </w:pPr>
      <w:r w:rsidRPr="007126DA">
        <w:rPr>
          <w:rFonts w:asciiTheme="minorEastAsia" w:eastAsiaTheme="minorEastAsia" w:hAnsiTheme="minorEastAsia" w:hint="eastAsia"/>
          <w:b/>
          <w:color w:val="000000"/>
          <w:sz w:val="24"/>
          <w:szCs w:val="24"/>
        </w:rPr>
        <w:t>2.1</w:t>
      </w:r>
      <w:r w:rsidR="00477094" w:rsidRPr="007126DA">
        <w:rPr>
          <w:rFonts w:asciiTheme="minorEastAsia" w:eastAsiaTheme="minorEastAsia" w:hAnsiTheme="minorEastAsia" w:hint="eastAsia"/>
          <w:b/>
          <w:color w:val="000000"/>
          <w:sz w:val="24"/>
          <w:szCs w:val="24"/>
        </w:rPr>
        <w:t>开放日及开放时间</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人在开放日办理基金份额的申购、赎回和转换业务，具体办理时间为上海证券交易所、深圳证券交易所的正常交易日的交易时间，但基金管理人根据法律法规、中国证监会的要求或本基金合同的规定公告暂停申购、赎回和转换时除外。</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17AD1" w:rsidRPr="007126DA" w:rsidRDefault="007126DA" w:rsidP="007126DA">
      <w:pPr>
        <w:spacing w:line="360" w:lineRule="auto"/>
        <w:rPr>
          <w:rFonts w:asciiTheme="minorEastAsia" w:eastAsiaTheme="minorEastAsia" w:hAnsiTheme="minorEastAsia"/>
          <w:b/>
          <w:color w:val="000000"/>
          <w:sz w:val="24"/>
          <w:szCs w:val="24"/>
        </w:rPr>
      </w:pPr>
      <w:r w:rsidRPr="007126DA">
        <w:rPr>
          <w:rFonts w:asciiTheme="minorEastAsia" w:eastAsiaTheme="minorEastAsia" w:hAnsiTheme="minorEastAsia" w:hint="eastAsia"/>
          <w:b/>
          <w:color w:val="000000"/>
          <w:sz w:val="24"/>
          <w:szCs w:val="24"/>
        </w:rPr>
        <w:t>2.2</w:t>
      </w:r>
      <w:r w:rsidR="00477094" w:rsidRPr="007126DA">
        <w:rPr>
          <w:rFonts w:asciiTheme="minorEastAsia" w:eastAsiaTheme="minorEastAsia" w:hAnsiTheme="minorEastAsia" w:hint="eastAsia"/>
          <w:b/>
          <w:color w:val="000000"/>
          <w:sz w:val="24"/>
          <w:szCs w:val="24"/>
        </w:rPr>
        <w:t>申购、赎回开始日及业务办理时间</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每个封闭期结束之后第一个工作日起进入开放期，开放期的期限为自封闭期结束之日后第一个工作日起（含该日）五至二十个工作日。基金管理人在基金合同约定的开放期之外的日期不接受办理基金份额的申购、赎回和转换业务。</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本基金的当前封闭期为自2018年10月20日至2019年10月20日止。本基金本次办理申购与赎回业务的</w:t>
      </w:r>
      <w:bookmarkStart w:id="2" w:name="_GoBack"/>
      <w:bookmarkEnd w:id="2"/>
      <w:r>
        <w:rPr>
          <w:rFonts w:asciiTheme="minorEastAsia" w:eastAsiaTheme="minorEastAsia" w:hAnsiTheme="minorEastAsia" w:hint="eastAsia"/>
          <w:color w:val="000000"/>
          <w:sz w:val="24"/>
          <w:szCs w:val="24"/>
        </w:rPr>
        <w:t>开放期为2019年10月21日至2019年11月8日，共15个工作日，在开放期内，基金管理人可根据基金合同的相关规定调整开放日期，具体请见届时发布的相关公告。本基金下一个封闭期为本次开放期结束之日次日（2019年11月9日）起1年的期间，封闭期内本基金不办理申购、赎回和转换业务，也不上市交易。</w:t>
      </w:r>
    </w:p>
    <w:p w:rsidR="00752A9C" w:rsidRPr="00FF7AA4" w:rsidRDefault="00AC6E8D" w:rsidP="00376C12">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hint="eastAsia"/>
          <w:color w:val="000000"/>
          <w:sz w:val="24"/>
          <w:szCs w:val="24"/>
        </w:rPr>
        <w:t>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开放期以及开放期办理申购与赎回业务的具体事宜见基金管理人届时发布的相关公告。</w:t>
      </w:r>
    </w:p>
    <w:p w:rsidR="00752A9C" w:rsidRPr="00FF7AA4" w:rsidRDefault="00752A9C" w:rsidP="00752A9C">
      <w:pPr>
        <w:pStyle w:val="2"/>
        <w:spacing w:line="560" w:lineRule="exact"/>
        <w:rPr>
          <w:rFonts w:asciiTheme="minorEastAsia" w:eastAsiaTheme="minorEastAsia" w:hAnsiTheme="minorEastAsia"/>
          <w:bCs w:val="0"/>
          <w:color w:val="000000"/>
          <w:sz w:val="24"/>
          <w:szCs w:val="24"/>
        </w:rPr>
      </w:pPr>
      <w:bookmarkStart w:id="3" w:name="_Toc275961397"/>
      <w:r w:rsidRPr="00FF7AA4">
        <w:rPr>
          <w:rFonts w:asciiTheme="minorEastAsia" w:eastAsiaTheme="minorEastAsia" w:hAnsiTheme="minorEastAsia"/>
          <w:bCs w:val="0"/>
          <w:color w:val="000000"/>
          <w:sz w:val="24"/>
          <w:szCs w:val="24"/>
        </w:rPr>
        <w:t>3 日常申购业务</w:t>
      </w:r>
      <w:bookmarkEnd w:id="3"/>
    </w:p>
    <w:p w:rsidR="00752A9C" w:rsidRPr="00FF7AA4" w:rsidRDefault="00752A9C"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b/>
          <w:color w:val="000000"/>
          <w:sz w:val="24"/>
          <w:szCs w:val="24"/>
        </w:rPr>
        <w:t>3.1 申购金额限制</w:t>
      </w:r>
    </w:p>
    <w:p w:rsidR="00752A9C" w:rsidRPr="00FF7AA4" w:rsidRDefault="00AC6E8D" w:rsidP="00376C12">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hint="eastAsia"/>
          <w:color w:val="000000"/>
          <w:sz w:val="24"/>
          <w:szCs w:val="24"/>
        </w:rPr>
        <w:t>投资人首次申购基金份额的最低金额为10元，追加申购最低金额为10元。</w:t>
      </w:r>
      <w:r w:rsidRPr="00FF7AA4">
        <w:rPr>
          <w:rFonts w:asciiTheme="minorEastAsia" w:eastAsiaTheme="minorEastAsia" w:hAnsiTheme="minorEastAsia" w:hint="eastAsia"/>
          <w:color w:val="000000"/>
          <w:sz w:val="24"/>
          <w:szCs w:val="24"/>
        </w:rPr>
        <w:lastRenderedPageBreak/>
        <w:t>详情请见当地销售机构公告。</w:t>
      </w:r>
    </w:p>
    <w:p w:rsidR="00752A9C" w:rsidRPr="00FF7AA4" w:rsidRDefault="008E273C"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3</w:t>
      </w:r>
      <w:r w:rsidR="00752A9C"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2</w:t>
      </w:r>
      <w:r w:rsidR="00752A9C" w:rsidRPr="00FF7AA4">
        <w:rPr>
          <w:rFonts w:asciiTheme="minorEastAsia" w:eastAsiaTheme="minorEastAsia" w:hAnsiTheme="minorEastAsia"/>
          <w:b/>
          <w:color w:val="000000"/>
          <w:sz w:val="24"/>
          <w:szCs w:val="24"/>
        </w:rPr>
        <w:t xml:space="preserve"> 申购费率</w:t>
      </w:r>
    </w:p>
    <w:p w:rsidR="00752A9C" w:rsidRDefault="007D0009" w:rsidP="00376C12">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hint="eastAsia"/>
          <w:color w:val="000000"/>
          <w:sz w:val="24"/>
          <w:szCs w:val="24"/>
        </w:rPr>
        <w:t>本</w:t>
      </w:r>
      <w:proofErr w:type="gramStart"/>
      <w:r w:rsidRPr="00FF7AA4">
        <w:rPr>
          <w:rFonts w:asciiTheme="minorEastAsia" w:eastAsiaTheme="minorEastAsia" w:hAnsiTheme="minorEastAsia" w:hint="eastAsia"/>
          <w:color w:val="000000"/>
          <w:sz w:val="24"/>
          <w:szCs w:val="24"/>
        </w:rPr>
        <w:t>基金基金</w:t>
      </w:r>
      <w:proofErr w:type="gramEnd"/>
      <w:r w:rsidRPr="00FF7AA4">
        <w:rPr>
          <w:rFonts w:asciiTheme="minorEastAsia" w:eastAsiaTheme="minorEastAsia" w:hAnsiTheme="minorEastAsia" w:hint="eastAsia"/>
          <w:color w:val="000000"/>
          <w:sz w:val="24"/>
          <w:szCs w:val="24"/>
        </w:rPr>
        <w:t>份额申购费率最高不超过1.0％，投资者可以多次申购本基金，申购费率按每笔申购申请单独计算。</w:t>
      </w:r>
    </w:p>
    <w:p w:rsidR="00AD51F1" w:rsidRPr="00FF7AA4" w:rsidRDefault="00AD51F1" w:rsidP="00AD51F1">
      <w:pPr>
        <w:spacing w:line="360" w:lineRule="auto"/>
        <w:ind w:firstLineChars="1200" w:firstLine="28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本基金的申购费率结构</w:t>
      </w:r>
    </w:p>
    <w:tbl>
      <w:tblPr>
        <w:tblW w:w="5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6"/>
        <w:gridCol w:w="2971"/>
      </w:tblGrid>
      <w:tr w:rsidR="00AD51F1" w:rsidRPr="00AD51F1" w:rsidTr="00AD51F1">
        <w:trPr>
          <w:trHeight w:val="391"/>
          <w:jc w:val="center"/>
        </w:trPr>
        <w:tc>
          <w:tcPr>
            <w:tcW w:w="2646" w:type="dxa"/>
            <w:vAlign w:val="center"/>
          </w:tcPr>
          <w:p w:rsidR="00AD51F1" w:rsidRPr="00AD51F1" w:rsidRDefault="00AD51F1" w:rsidP="00183725">
            <w:pPr>
              <w:adjustRightInd w:val="0"/>
              <w:snapToGrid w:val="0"/>
              <w:jc w:val="center"/>
              <w:rPr>
                <w:rFonts w:ascii="宋体" w:hAnsi="宋体" w:cs="Arial"/>
                <w:color w:val="000000"/>
                <w:sz w:val="24"/>
                <w:szCs w:val="24"/>
              </w:rPr>
            </w:pPr>
            <w:r w:rsidRPr="00AD51F1">
              <w:rPr>
                <w:rFonts w:ascii="宋体" w:hAnsi="宋体" w:cs="Arial"/>
                <w:color w:val="000000"/>
                <w:sz w:val="24"/>
                <w:szCs w:val="24"/>
              </w:rPr>
              <w:t>申购金额（</w:t>
            </w:r>
            <w:r w:rsidRPr="00AD51F1">
              <w:rPr>
                <w:rFonts w:ascii="宋体" w:hAnsi="宋体" w:cs="Arial"/>
                <w:color w:val="000000"/>
                <w:sz w:val="24"/>
                <w:szCs w:val="24"/>
              </w:rPr>
              <w:t>M</w:t>
            </w:r>
            <w:r w:rsidRPr="00AD51F1">
              <w:rPr>
                <w:rFonts w:ascii="宋体" w:hAnsi="宋体" w:cs="Arial"/>
                <w:color w:val="000000"/>
                <w:sz w:val="24"/>
                <w:szCs w:val="24"/>
              </w:rPr>
              <w:t>）</w:t>
            </w:r>
          </w:p>
        </w:tc>
        <w:tc>
          <w:tcPr>
            <w:tcW w:w="2971" w:type="dxa"/>
            <w:vAlign w:val="center"/>
          </w:tcPr>
          <w:p w:rsidR="00AD51F1" w:rsidRPr="00AD51F1" w:rsidRDefault="00AD51F1" w:rsidP="00183725">
            <w:pPr>
              <w:adjustRightInd w:val="0"/>
              <w:snapToGrid w:val="0"/>
              <w:ind w:firstLine="420"/>
              <w:jc w:val="center"/>
              <w:rPr>
                <w:rFonts w:ascii="宋体" w:hAnsi="宋体" w:cs="Arial"/>
                <w:color w:val="000000"/>
                <w:sz w:val="24"/>
                <w:szCs w:val="24"/>
              </w:rPr>
            </w:pPr>
            <w:r w:rsidRPr="00AD51F1">
              <w:rPr>
                <w:rFonts w:ascii="宋体" w:hAnsi="宋体" w:cs="Arial"/>
                <w:color w:val="000000"/>
                <w:sz w:val="24"/>
                <w:szCs w:val="24"/>
              </w:rPr>
              <w:t>申购费率</w:t>
            </w:r>
          </w:p>
        </w:tc>
      </w:tr>
      <w:tr w:rsidR="00AD51F1" w:rsidRPr="00AD51F1" w:rsidTr="00AD51F1">
        <w:trPr>
          <w:trHeight w:val="391"/>
          <w:jc w:val="center"/>
        </w:trPr>
        <w:tc>
          <w:tcPr>
            <w:tcW w:w="2646" w:type="dxa"/>
            <w:vAlign w:val="center"/>
          </w:tcPr>
          <w:p w:rsidR="00AD51F1" w:rsidRPr="00AD51F1" w:rsidRDefault="00AD51F1" w:rsidP="00183725">
            <w:pPr>
              <w:adjustRightInd w:val="0"/>
              <w:snapToGrid w:val="0"/>
              <w:jc w:val="center"/>
              <w:rPr>
                <w:rFonts w:ascii="宋体" w:hAnsi="宋体" w:cs="Arial"/>
                <w:color w:val="000000"/>
                <w:sz w:val="24"/>
                <w:szCs w:val="24"/>
              </w:rPr>
            </w:pPr>
            <w:r w:rsidRPr="00AD51F1">
              <w:rPr>
                <w:rFonts w:ascii="宋体" w:hAnsi="宋体" w:cs="Arial"/>
                <w:color w:val="000000"/>
                <w:sz w:val="24"/>
                <w:szCs w:val="24"/>
              </w:rPr>
              <w:t>M &lt;</w:t>
            </w:r>
            <w:r w:rsidRPr="00AD51F1">
              <w:rPr>
                <w:rFonts w:ascii="宋体" w:hAnsi="宋体" w:cs="Arial" w:hint="eastAsia"/>
                <w:color w:val="000000"/>
                <w:sz w:val="24"/>
                <w:szCs w:val="24"/>
              </w:rPr>
              <w:t xml:space="preserve"> </w:t>
            </w:r>
            <w:r w:rsidRPr="00AD51F1">
              <w:rPr>
                <w:rFonts w:ascii="宋体" w:hAnsi="宋体" w:cs="Arial"/>
                <w:color w:val="000000"/>
                <w:sz w:val="24"/>
                <w:szCs w:val="24"/>
              </w:rPr>
              <w:t>50</w:t>
            </w:r>
            <w:r w:rsidRPr="00AD51F1">
              <w:rPr>
                <w:rFonts w:ascii="宋体" w:hAnsi="宋体" w:cs="Arial" w:hint="eastAsia"/>
                <w:color w:val="000000"/>
                <w:sz w:val="24"/>
                <w:szCs w:val="24"/>
              </w:rPr>
              <w:t>0</w:t>
            </w:r>
            <w:r w:rsidRPr="00AD51F1">
              <w:rPr>
                <w:rFonts w:ascii="宋体" w:hAnsi="宋体" w:cs="Arial"/>
                <w:color w:val="000000"/>
                <w:sz w:val="24"/>
                <w:szCs w:val="24"/>
              </w:rPr>
              <w:t>万元</w:t>
            </w:r>
          </w:p>
        </w:tc>
        <w:tc>
          <w:tcPr>
            <w:tcW w:w="2971" w:type="dxa"/>
            <w:vAlign w:val="center"/>
          </w:tcPr>
          <w:p w:rsidR="00AD51F1" w:rsidRPr="00AD51F1" w:rsidRDefault="00AD51F1" w:rsidP="00183725">
            <w:pPr>
              <w:adjustRightInd w:val="0"/>
              <w:snapToGrid w:val="0"/>
              <w:jc w:val="center"/>
              <w:rPr>
                <w:rFonts w:ascii="宋体" w:hAnsi="宋体" w:cs="Arial"/>
                <w:color w:val="000000"/>
                <w:sz w:val="24"/>
                <w:szCs w:val="24"/>
              </w:rPr>
            </w:pPr>
            <w:r w:rsidRPr="00AD51F1">
              <w:rPr>
                <w:rFonts w:ascii="宋体" w:hAnsi="宋体" w:cs="Arial" w:hint="eastAsia"/>
                <w:color w:val="000000"/>
                <w:sz w:val="24"/>
                <w:szCs w:val="24"/>
              </w:rPr>
              <w:t>1.0</w:t>
            </w:r>
            <w:r w:rsidRPr="00AD51F1">
              <w:rPr>
                <w:rFonts w:ascii="宋体" w:hAnsi="宋体" w:cs="Arial"/>
                <w:color w:val="000000"/>
                <w:sz w:val="24"/>
                <w:szCs w:val="24"/>
              </w:rPr>
              <w:t>%</w:t>
            </w:r>
          </w:p>
        </w:tc>
      </w:tr>
      <w:tr w:rsidR="00AD51F1" w:rsidRPr="00AD51F1" w:rsidTr="00AD51F1">
        <w:trPr>
          <w:trHeight w:val="417"/>
          <w:jc w:val="center"/>
        </w:trPr>
        <w:tc>
          <w:tcPr>
            <w:tcW w:w="2646" w:type="dxa"/>
            <w:vAlign w:val="center"/>
          </w:tcPr>
          <w:p w:rsidR="00AD51F1" w:rsidRPr="00AD51F1" w:rsidRDefault="00AD51F1" w:rsidP="00183725">
            <w:pPr>
              <w:adjustRightInd w:val="0"/>
              <w:snapToGrid w:val="0"/>
              <w:jc w:val="center"/>
              <w:rPr>
                <w:rFonts w:ascii="宋体" w:hAnsi="宋体" w:cs="Arial"/>
                <w:color w:val="000000"/>
                <w:sz w:val="24"/>
                <w:szCs w:val="24"/>
              </w:rPr>
            </w:pPr>
            <w:r w:rsidRPr="00AD51F1">
              <w:rPr>
                <w:rFonts w:ascii="宋体" w:hAnsi="宋体" w:cs="Arial"/>
                <w:color w:val="000000"/>
                <w:sz w:val="24"/>
                <w:szCs w:val="24"/>
              </w:rPr>
              <w:t>M ≥</w:t>
            </w:r>
            <w:r w:rsidRPr="00AD51F1">
              <w:rPr>
                <w:rFonts w:ascii="宋体" w:hAnsi="宋体" w:cs="Arial" w:hint="eastAsia"/>
                <w:color w:val="000000"/>
                <w:sz w:val="24"/>
                <w:szCs w:val="24"/>
              </w:rPr>
              <w:t xml:space="preserve"> </w:t>
            </w:r>
            <w:r w:rsidRPr="00AD51F1">
              <w:rPr>
                <w:rFonts w:ascii="宋体" w:hAnsi="宋体" w:cs="Arial"/>
                <w:color w:val="000000"/>
                <w:sz w:val="24"/>
                <w:szCs w:val="24"/>
              </w:rPr>
              <w:t>500</w:t>
            </w:r>
            <w:r w:rsidRPr="00AD51F1">
              <w:rPr>
                <w:rFonts w:ascii="宋体" w:hAnsi="宋体" w:cs="Arial"/>
                <w:color w:val="000000"/>
                <w:sz w:val="24"/>
                <w:szCs w:val="24"/>
              </w:rPr>
              <w:t>万元</w:t>
            </w:r>
          </w:p>
        </w:tc>
        <w:tc>
          <w:tcPr>
            <w:tcW w:w="2971" w:type="dxa"/>
            <w:vAlign w:val="center"/>
          </w:tcPr>
          <w:p w:rsidR="00AD51F1" w:rsidRPr="00AD51F1" w:rsidRDefault="00AD51F1" w:rsidP="00183725">
            <w:pPr>
              <w:adjustRightInd w:val="0"/>
              <w:snapToGrid w:val="0"/>
              <w:jc w:val="center"/>
              <w:rPr>
                <w:rFonts w:ascii="宋体" w:hAnsi="宋体" w:cs="Arial"/>
                <w:color w:val="000000"/>
                <w:sz w:val="24"/>
                <w:szCs w:val="24"/>
              </w:rPr>
            </w:pPr>
            <w:r w:rsidRPr="00AD51F1">
              <w:rPr>
                <w:rFonts w:ascii="宋体" w:hAnsi="宋体" w:cs="Arial"/>
                <w:color w:val="000000"/>
                <w:sz w:val="24"/>
                <w:szCs w:val="24"/>
              </w:rPr>
              <w:t>收取固定费用</w:t>
            </w:r>
            <w:r w:rsidRPr="00AD51F1">
              <w:rPr>
                <w:rFonts w:ascii="宋体" w:hAnsi="宋体" w:cs="Arial"/>
                <w:color w:val="000000"/>
                <w:sz w:val="24"/>
                <w:szCs w:val="24"/>
              </w:rPr>
              <w:t>1000</w:t>
            </w:r>
            <w:r w:rsidRPr="00AD51F1">
              <w:rPr>
                <w:rFonts w:ascii="宋体" w:hAnsi="宋体" w:cs="Arial"/>
                <w:color w:val="000000"/>
                <w:sz w:val="24"/>
                <w:szCs w:val="24"/>
              </w:rPr>
              <w:t>元</w:t>
            </w:r>
            <w:r w:rsidRPr="00AD51F1">
              <w:rPr>
                <w:rFonts w:ascii="宋体" w:hAnsi="宋体" w:cs="Arial" w:hint="eastAsia"/>
                <w:color w:val="000000"/>
                <w:sz w:val="24"/>
                <w:szCs w:val="24"/>
              </w:rPr>
              <w:t>/</w:t>
            </w:r>
            <w:r w:rsidRPr="00AD51F1">
              <w:rPr>
                <w:rFonts w:ascii="宋体" w:hAnsi="宋体" w:cs="Arial" w:hint="eastAsia"/>
                <w:color w:val="000000"/>
                <w:sz w:val="24"/>
                <w:szCs w:val="24"/>
              </w:rPr>
              <w:t>笔</w:t>
            </w:r>
          </w:p>
        </w:tc>
      </w:tr>
    </w:tbl>
    <w:p w:rsidR="00752A9C" w:rsidRPr="00FF7AA4" w:rsidRDefault="000B693A"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3</w:t>
      </w:r>
      <w:r w:rsidR="00752A9C"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3</w:t>
      </w:r>
      <w:r w:rsidR="00752A9C" w:rsidRPr="00FF7AA4">
        <w:rPr>
          <w:rFonts w:asciiTheme="minorEastAsia" w:eastAsiaTheme="minorEastAsia" w:hAnsiTheme="minorEastAsia"/>
          <w:b/>
          <w:color w:val="000000"/>
          <w:sz w:val="24"/>
          <w:szCs w:val="24"/>
        </w:rPr>
        <w:t xml:space="preserve"> 其他与申购相关的事项</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1）基金管理人可在法律法规允许的情况下，调整申购金额的数量限制。基金管理人必须在调整实施前依照《信息披露办法》的有关规定进行公告并报中国证监会备案。</w:t>
      </w:r>
    </w:p>
    <w:p w:rsidR="00752A9C" w:rsidRPr="00FF7AA4" w:rsidRDefault="00EE4694" w:rsidP="00376C12">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2）基金管理人可以在法律法规和基金合同规定范围内调整申购费率或收费方式。申购费率或收费方式如发生变更，基金管理人应在调整前依照《信息披露办法》的有关规定在指定媒介上公告。</w:t>
      </w:r>
    </w:p>
    <w:p w:rsidR="00752A9C" w:rsidRPr="00FF7AA4" w:rsidRDefault="000B693A" w:rsidP="00752A9C">
      <w:pPr>
        <w:pStyle w:val="2"/>
        <w:spacing w:line="560" w:lineRule="exact"/>
        <w:rPr>
          <w:rFonts w:asciiTheme="minorEastAsia" w:eastAsiaTheme="minorEastAsia" w:hAnsiTheme="minorEastAsia"/>
          <w:bCs w:val="0"/>
          <w:color w:val="000000"/>
          <w:sz w:val="24"/>
          <w:szCs w:val="24"/>
        </w:rPr>
      </w:pPr>
      <w:bookmarkStart w:id="4" w:name="_Toc275961398"/>
      <w:r w:rsidRPr="00FF7AA4">
        <w:rPr>
          <w:rFonts w:asciiTheme="minorEastAsia" w:eastAsiaTheme="minorEastAsia" w:hAnsiTheme="minorEastAsia" w:hint="eastAsia"/>
          <w:bCs w:val="0"/>
          <w:color w:val="000000"/>
          <w:sz w:val="24"/>
          <w:szCs w:val="24"/>
        </w:rPr>
        <w:t>4</w:t>
      </w:r>
      <w:r w:rsidR="00752A9C" w:rsidRPr="00FF7AA4">
        <w:rPr>
          <w:rFonts w:asciiTheme="minorEastAsia" w:eastAsiaTheme="minorEastAsia" w:hAnsiTheme="minorEastAsia"/>
          <w:bCs w:val="0"/>
          <w:color w:val="000000"/>
          <w:sz w:val="24"/>
          <w:szCs w:val="24"/>
        </w:rPr>
        <w:t xml:space="preserve"> 日常赎回业务</w:t>
      </w:r>
      <w:bookmarkEnd w:id="4"/>
    </w:p>
    <w:p w:rsidR="00752A9C" w:rsidRPr="00FF7AA4" w:rsidRDefault="000B693A"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4</w:t>
      </w:r>
      <w:r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1</w:t>
      </w:r>
      <w:r w:rsidR="00752A9C" w:rsidRPr="00FF7AA4">
        <w:rPr>
          <w:rFonts w:asciiTheme="minorEastAsia" w:eastAsiaTheme="minorEastAsia" w:hAnsiTheme="minorEastAsia"/>
          <w:b/>
          <w:color w:val="000000"/>
          <w:sz w:val="24"/>
          <w:szCs w:val="24"/>
        </w:rPr>
        <w:t xml:space="preserve"> 赎回份额限制</w:t>
      </w:r>
    </w:p>
    <w:p w:rsidR="00752A9C" w:rsidRPr="00FF7AA4" w:rsidRDefault="00EE4694" w:rsidP="00376C12">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每个交易账户最低持有基金份额余额为10份，若某笔赎回导致单个交易账户的基金份额余额少于10份时，余额部分基金份额必须一同赎回。</w:t>
      </w:r>
    </w:p>
    <w:p w:rsidR="00AD51F1" w:rsidRPr="00AD51F1" w:rsidRDefault="000B693A" w:rsidP="00AD51F1">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4</w:t>
      </w:r>
      <w:r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2</w:t>
      </w:r>
      <w:r w:rsidR="00752A9C" w:rsidRPr="00FF7AA4">
        <w:rPr>
          <w:rFonts w:asciiTheme="minorEastAsia" w:eastAsiaTheme="minorEastAsia" w:hAnsiTheme="minorEastAsia"/>
          <w:b/>
          <w:color w:val="000000"/>
          <w:sz w:val="24"/>
          <w:szCs w:val="24"/>
        </w:rPr>
        <w:t xml:space="preserve"> 赎回费率</w:t>
      </w:r>
    </w:p>
    <w:p w:rsidR="00AD51F1" w:rsidRPr="00AD51F1" w:rsidRDefault="00AD51F1" w:rsidP="00AD51F1">
      <w:pPr>
        <w:snapToGrid w:val="0"/>
        <w:spacing w:line="276" w:lineRule="auto"/>
        <w:jc w:val="center"/>
        <w:rPr>
          <w:rFonts w:ascii="宋体" w:hAnsi="宋体"/>
          <w:sz w:val="24"/>
          <w:szCs w:val="24"/>
        </w:rPr>
      </w:pPr>
      <w:r w:rsidRPr="00AD51F1">
        <w:rPr>
          <w:rFonts w:ascii="宋体" w:hAnsi="宋体" w:hint="eastAsia"/>
          <w:sz w:val="24"/>
          <w:szCs w:val="24"/>
        </w:rPr>
        <w:t>本基金的赎回费率结构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9"/>
        <w:gridCol w:w="3552"/>
      </w:tblGrid>
      <w:tr w:rsidR="00AD51F1" w:rsidRPr="00AD51F1" w:rsidTr="00AD51F1">
        <w:trPr>
          <w:trHeight w:val="375"/>
          <w:jc w:val="center"/>
        </w:trPr>
        <w:tc>
          <w:tcPr>
            <w:tcW w:w="4319" w:type="dxa"/>
            <w:vAlign w:val="center"/>
          </w:tcPr>
          <w:p w:rsidR="00AD51F1" w:rsidRPr="00AD51F1" w:rsidRDefault="00AD51F1" w:rsidP="00AD51F1">
            <w:pPr>
              <w:adjustRightInd w:val="0"/>
              <w:snapToGrid w:val="0"/>
              <w:jc w:val="center"/>
              <w:rPr>
                <w:rFonts w:ascii="宋体" w:hAnsi="宋体" w:cs="Arial"/>
                <w:sz w:val="24"/>
                <w:szCs w:val="24"/>
              </w:rPr>
            </w:pPr>
            <w:r w:rsidRPr="00AD51F1">
              <w:rPr>
                <w:rFonts w:ascii="宋体" w:hAnsi="宋体" w:cs="Arial" w:hint="eastAsia"/>
                <w:sz w:val="24"/>
                <w:szCs w:val="24"/>
              </w:rPr>
              <w:t>基金份额持有时间</w:t>
            </w:r>
          </w:p>
        </w:tc>
        <w:tc>
          <w:tcPr>
            <w:tcW w:w="3552" w:type="dxa"/>
            <w:vAlign w:val="center"/>
          </w:tcPr>
          <w:p w:rsidR="00AD51F1" w:rsidRPr="00AD51F1" w:rsidRDefault="00AD51F1" w:rsidP="00AD51F1">
            <w:pPr>
              <w:adjustRightInd w:val="0"/>
              <w:snapToGrid w:val="0"/>
              <w:ind w:firstLineChars="92" w:firstLine="221"/>
              <w:jc w:val="center"/>
              <w:rPr>
                <w:rFonts w:ascii="宋体" w:hAnsi="宋体" w:cs="Arial"/>
                <w:sz w:val="24"/>
                <w:szCs w:val="24"/>
              </w:rPr>
            </w:pPr>
            <w:r w:rsidRPr="00AD51F1">
              <w:rPr>
                <w:rFonts w:ascii="宋体" w:hAnsi="宋体" w:cs="Arial" w:hint="eastAsia"/>
                <w:sz w:val="24"/>
                <w:szCs w:val="24"/>
              </w:rPr>
              <w:t>赎回费率</w:t>
            </w:r>
          </w:p>
        </w:tc>
      </w:tr>
      <w:tr w:rsidR="00AD51F1" w:rsidRPr="00AD51F1" w:rsidTr="00AD51F1">
        <w:trPr>
          <w:trHeight w:val="379"/>
          <w:jc w:val="center"/>
        </w:trPr>
        <w:tc>
          <w:tcPr>
            <w:tcW w:w="4319" w:type="dxa"/>
            <w:vAlign w:val="center"/>
          </w:tcPr>
          <w:p w:rsidR="00AD51F1" w:rsidRPr="00AD51F1" w:rsidRDefault="00AD51F1" w:rsidP="00AD51F1">
            <w:pPr>
              <w:adjustRightInd w:val="0"/>
              <w:snapToGrid w:val="0"/>
              <w:jc w:val="center"/>
              <w:rPr>
                <w:rFonts w:ascii="宋体" w:hAnsi="宋体" w:cs="Arial"/>
                <w:sz w:val="24"/>
                <w:szCs w:val="24"/>
              </w:rPr>
            </w:pPr>
            <w:r w:rsidRPr="00AD51F1">
              <w:rPr>
                <w:rFonts w:ascii="宋体" w:hAnsi="宋体" w:cs="Arial" w:hint="eastAsia"/>
                <w:sz w:val="24"/>
                <w:szCs w:val="24"/>
              </w:rPr>
              <w:t>在同一开放期内申购后又赎回的份额</w:t>
            </w:r>
          </w:p>
        </w:tc>
        <w:tc>
          <w:tcPr>
            <w:tcW w:w="3552" w:type="dxa"/>
            <w:vAlign w:val="center"/>
          </w:tcPr>
          <w:p w:rsidR="00AD51F1" w:rsidRPr="00AD51F1" w:rsidRDefault="00AD51F1" w:rsidP="00AD51F1">
            <w:pPr>
              <w:adjustRightInd w:val="0"/>
              <w:snapToGrid w:val="0"/>
              <w:ind w:firstLine="420"/>
              <w:jc w:val="center"/>
              <w:rPr>
                <w:rFonts w:ascii="宋体" w:hAnsi="宋体" w:cs="Arial"/>
                <w:sz w:val="24"/>
                <w:szCs w:val="24"/>
              </w:rPr>
            </w:pPr>
            <w:r w:rsidRPr="00AD51F1">
              <w:rPr>
                <w:rFonts w:ascii="宋体" w:hAnsi="宋体" w:cs="Arial" w:hint="eastAsia"/>
                <w:sz w:val="24"/>
                <w:szCs w:val="24"/>
              </w:rPr>
              <w:t>1.50%</w:t>
            </w:r>
          </w:p>
        </w:tc>
      </w:tr>
      <w:tr w:rsidR="00AD51F1" w:rsidRPr="00AD51F1" w:rsidTr="00AD51F1">
        <w:trPr>
          <w:trHeight w:val="427"/>
          <w:jc w:val="center"/>
        </w:trPr>
        <w:tc>
          <w:tcPr>
            <w:tcW w:w="4319" w:type="dxa"/>
            <w:vAlign w:val="center"/>
          </w:tcPr>
          <w:p w:rsidR="00AD51F1" w:rsidRPr="00AD51F1" w:rsidRDefault="00AD51F1" w:rsidP="00AD51F1">
            <w:pPr>
              <w:adjustRightInd w:val="0"/>
              <w:snapToGrid w:val="0"/>
              <w:jc w:val="center"/>
              <w:rPr>
                <w:rFonts w:ascii="宋体" w:hAnsi="宋体" w:cs="Arial"/>
                <w:sz w:val="24"/>
                <w:szCs w:val="24"/>
              </w:rPr>
            </w:pPr>
            <w:r w:rsidRPr="00AD51F1">
              <w:rPr>
                <w:rFonts w:ascii="宋体" w:hAnsi="宋体" w:cs="Arial" w:hint="eastAsia"/>
                <w:sz w:val="24"/>
                <w:szCs w:val="24"/>
              </w:rPr>
              <w:t>持有一个封闭期及一个封闭期以上</w:t>
            </w:r>
          </w:p>
        </w:tc>
        <w:tc>
          <w:tcPr>
            <w:tcW w:w="3552" w:type="dxa"/>
            <w:vAlign w:val="center"/>
          </w:tcPr>
          <w:p w:rsidR="00AD51F1" w:rsidRPr="00AD51F1" w:rsidRDefault="00AD51F1" w:rsidP="00AD51F1">
            <w:pPr>
              <w:adjustRightInd w:val="0"/>
              <w:snapToGrid w:val="0"/>
              <w:ind w:firstLine="420"/>
              <w:jc w:val="center"/>
              <w:rPr>
                <w:rFonts w:ascii="宋体" w:hAnsi="宋体" w:cs="Arial"/>
                <w:sz w:val="24"/>
                <w:szCs w:val="24"/>
              </w:rPr>
            </w:pPr>
            <w:r w:rsidRPr="00AD51F1">
              <w:rPr>
                <w:rFonts w:ascii="宋体" w:hAnsi="宋体" w:cs="Arial" w:hint="eastAsia"/>
                <w:sz w:val="24"/>
                <w:szCs w:val="24"/>
              </w:rPr>
              <w:t>0</w:t>
            </w:r>
          </w:p>
        </w:tc>
      </w:tr>
    </w:tbl>
    <w:p w:rsidR="0062203E" w:rsidRPr="0062203E" w:rsidRDefault="0062203E" w:rsidP="0062203E">
      <w:pPr>
        <w:spacing w:line="360" w:lineRule="auto"/>
        <w:ind w:firstLineChars="100" w:firstLine="210"/>
        <w:rPr>
          <w:rFonts w:asciiTheme="minorEastAsia" w:eastAsiaTheme="minorEastAsia" w:hAnsiTheme="minorEastAsia"/>
          <w:color w:val="000000"/>
          <w:sz w:val="21"/>
          <w:szCs w:val="21"/>
        </w:rPr>
      </w:pPr>
      <w:r w:rsidRPr="0062203E">
        <w:rPr>
          <w:rFonts w:asciiTheme="minorEastAsia" w:eastAsiaTheme="minorEastAsia" w:hAnsiTheme="minorEastAsia" w:hint="eastAsia"/>
          <w:color w:val="000000"/>
          <w:sz w:val="21"/>
          <w:szCs w:val="21"/>
        </w:rPr>
        <w:t>注：每个开放期5-20个工作日。</w:t>
      </w:r>
    </w:p>
    <w:p w:rsidR="00752A9C" w:rsidRPr="00FF7AA4" w:rsidRDefault="006279F3" w:rsidP="00AD51F1">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赎回费用由赎回基金份额的基金份额持有人承担，在基金份额持有人赎回基金份额时收取。对于持有基金份额期限小于30天的，应将赎回费总额的100%归入基金财产；对于持有基金份额期限在30天（含）以上但少于3个月的，应将</w:t>
      </w:r>
      <w:r w:rsidRPr="00FF7AA4">
        <w:rPr>
          <w:rFonts w:asciiTheme="minorEastAsia" w:eastAsiaTheme="minorEastAsia" w:hAnsiTheme="minorEastAsia"/>
          <w:color w:val="000000"/>
          <w:sz w:val="24"/>
          <w:szCs w:val="24"/>
        </w:rPr>
        <w:lastRenderedPageBreak/>
        <w:t>不低于赎回费总额的75%应归基金财产， 对持续持有期长于3个月但少于6个月的，应将不低于赎回费总额的50%计入基金财产；对持续持有期长于6个月的投资人，应当将不低于赎回费总额的25%计入基金财产；其余用于支付登记费和其他必要的手续费。</w:t>
      </w:r>
    </w:p>
    <w:p w:rsidR="00752A9C" w:rsidRPr="00FF7AA4" w:rsidRDefault="006279F3"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4</w:t>
      </w:r>
      <w:r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3</w:t>
      </w:r>
      <w:r w:rsidR="00752A9C" w:rsidRPr="00FF7AA4">
        <w:rPr>
          <w:rFonts w:asciiTheme="minorEastAsia" w:eastAsiaTheme="minorEastAsia" w:hAnsiTheme="minorEastAsia"/>
          <w:b/>
          <w:color w:val="000000"/>
          <w:sz w:val="24"/>
          <w:szCs w:val="24"/>
        </w:rPr>
        <w:t xml:space="preserve"> 其他与赎回相关的事项</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1）基金管理人可在法律法规允许的情况下，调整赎回份额的数量限制。基金管理人必须在调整实施前依照《信息披露办法》的有关规定进行公告并报中国证监会备案。</w:t>
      </w:r>
    </w:p>
    <w:p w:rsidR="00752A9C" w:rsidRPr="00FF7AA4" w:rsidRDefault="006279F3" w:rsidP="000F2BA6">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2）基金管理人可以在法律法规和基金合同规定范围内调整赎回费率或收费方式。赎回费率或收费方式如发生变更，基金管理人应在调整前依照《信息披露办法》的有关规定在指定媒介上公告。</w:t>
      </w:r>
    </w:p>
    <w:p w:rsidR="00752A9C" w:rsidRPr="00FF7AA4" w:rsidRDefault="006279F3" w:rsidP="00752A9C">
      <w:pPr>
        <w:pStyle w:val="2"/>
        <w:spacing w:line="560" w:lineRule="exact"/>
        <w:rPr>
          <w:rFonts w:asciiTheme="minorEastAsia" w:eastAsiaTheme="minorEastAsia" w:hAnsiTheme="minorEastAsia"/>
          <w:bCs w:val="0"/>
          <w:color w:val="000000"/>
          <w:sz w:val="24"/>
          <w:szCs w:val="24"/>
        </w:rPr>
      </w:pPr>
      <w:bookmarkStart w:id="5" w:name="_Toc275961399"/>
      <w:r w:rsidRPr="00FF7AA4">
        <w:rPr>
          <w:rFonts w:asciiTheme="minorEastAsia" w:eastAsiaTheme="minorEastAsia" w:hAnsiTheme="minorEastAsia" w:hint="eastAsia"/>
          <w:bCs w:val="0"/>
          <w:color w:val="000000"/>
          <w:sz w:val="24"/>
          <w:szCs w:val="24"/>
        </w:rPr>
        <w:t>5</w:t>
      </w:r>
      <w:r w:rsidR="00752A9C" w:rsidRPr="00FF7AA4">
        <w:rPr>
          <w:rFonts w:asciiTheme="minorEastAsia" w:eastAsiaTheme="minorEastAsia" w:hAnsiTheme="minorEastAsia"/>
          <w:bCs w:val="0"/>
          <w:color w:val="000000"/>
          <w:sz w:val="24"/>
          <w:szCs w:val="24"/>
        </w:rPr>
        <w:t xml:space="preserve"> 日常转换业务</w:t>
      </w:r>
      <w:bookmarkEnd w:id="5"/>
    </w:p>
    <w:p w:rsidR="00752A9C" w:rsidRPr="00FF7AA4" w:rsidRDefault="006279F3"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5</w:t>
      </w:r>
      <w:r w:rsidR="00752A9C"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1</w:t>
      </w:r>
      <w:r w:rsidR="00752A9C" w:rsidRPr="00FF7AA4">
        <w:rPr>
          <w:rFonts w:asciiTheme="minorEastAsia" w:eastAsiaTheme="minorEastAsia" w:hAnsiTheme="minorEastAsia"/>
          <w:b/>
          <w:color w:val="000000"/>
          <w:sz w:val="24"/>
          <w:szCs w:val="24"/>
        </w:rPr>
        <w:t xml:space="preserve"> 转换费率</w:t>
      </w:r>
    </w:p>
    <w:p w:rsidR="00752A9C" w:rsidRPr="00FF7AA4" w:rsidRDefault="006279F3" w:rsidP="000F2BA6">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基金转换费用由转出基金赎回费和申购费补差两部分构成，其中：申购费补差具体收取情况，视每次转换时的两只基金的申购费率的差异情况而定。基金转换费用由基金持有人承担。</w:t>
      </w:r>
    </w:p>
    <w:p w:rsidR="00752A9C" w:rsidRPr="00FF7AA4" w:rsidRDefault="00D76587"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5</w:t>
      </w:r>
      <w:r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2</w:t>
      </w:r>
      <w:r w:rsidR="00752A9C" w:rsidRPr="00FF7AA4">
        <w:rPr>
          <w:rFonts w:asciiTheme="minorEastAsia" w:eastAsiaTheme="minorEastAsia" w:hAnsiTheme="minorEastAsia"/>
          <w:b/>
          <w:color w:val="000000"/>
          <w:sz w:val="24"/>
          <w:szCs w:val="24"/>
        </w:rPr>
        <w:t xml:space="preserve"> 其他与转换相关的事项</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1）业务规则 </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①基金转换只能在同一销售机构进行。转换的两只基金必须都是该销售机构代理的同一基金管理人管理的、在同一注册登记机构处注册登记的基金。 </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②前端收费模式的开放式基金只能转换到前端收费模式的其它基金（申购费为零的基金视同为前端收费模式），后端收费模式的基金可以转换到前端或后端收费模式的其它基金，非QDII基金不能与QDII基金进行互转。</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③基金转换的目标基金份额按新交易计算持有时间。基金转出视为赎回，转入视为申购。基金转换后可赎回的时间为T＋2日。</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④基金分红时再投资的份额可在权益登记日的T＋2日提交基金转换申请。</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⑤基金转换以申请当日基金份额净值为基础计算。投资者采用“份额转换”的原则提交申请。转出基金份额必须是可用份额，并遵循“先进先出”的原则。 </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2）暂停基金转换的情形及处理</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基金转换视同为转出基金的赎回和转入基金的申购，因此有关转出基金和转入基金暂停或拒绝申购、暂停赎回的有关规定适用于基金转换。</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出现法律、法规、规章规定的其它情形或其它在《基金合同》、《招募说明书》已载明并获中国证监会批准的特殊情形时，基金管理人可以暂停基金转换业务。</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3）重要提示</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①本基金转换业务适用于可以销售包括本基金在内的两只以上（含两只），且基金注册登记机构为同一机构的博时旗下基金的销售机构。</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②转换业务的收费计算公式及举例参见2010年3月16日刊登于本公司网站的《博时基金管理有限公司关于旗下开放式基金转换业务的公告》。</w:t>
      </w:r>
    </w:p>
    <w:p w:rsidR="00752A9C" w:rsidRPr="00FF7AA4" w:rsidRDefault="00D76587" w:rsidP="000F2BA6">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③本公司管理基金的转换业务的解释权归本公司。</w:t>
      </w:r>
    </w:p>
    <w:p w:rsidR="00752A9C" w:rsidRPr="00FF7AA4" w:rsidRDefault="0062203E" w:rsidP="00752A9C">
      <w:pPr>
        <w:pStyle w:val="2"/>
        <w:spacing w:line="560" w:lineRule="exact"/>
        <w:rPr>
          <w:rFonts w:asciiTheme="minorEastAsia" w:eastAsiaTheme="minorEastAsia" w:hAnsiTheme="minorEastAsia"/>
          <w:bCs w:val="0"/>
          <w:color w:val="000000"/>
          <w:sz w:val="24"/>
          <w:szCs w:val="24"/>
        </w:rPr>
      </w:pPr>
      <w:r>
        <w:rPr>
          <w:rFonts w:asciiTheme="minorEastAsia" w:eastAsiaTheme="minorEastAsia" w:hAnsiTheme="minorEastAsia" w:hint="eastAsia"/>
          <w:bCs w:val="0"/>
          <w:color w:val="000000"/>
          <w:sz w:val="24"/>
          <w:szCs w:val="24"/>
        </w:rPr>
        <w:t>6</w:t>
      </w:r>
      <w:r w:rsidR="00752A9C" w:rsidRPr="00FF7AA4">
        <w:rPr>
          <w:rFonts w:asciiTheme="minorEastAsia" w:eastAsiaTheme="minorEastAsia" w:hAnsiTheme="minorEastAsia"/>
          <w:bCs w:val="0"/>
          <w:color w:val="000000"/>
          <w:sz w:val="24"/>
          <w:szCs w:val="24"/>
        </w:rPr>
        <w:t xml:space="preserve"> 基金销售机构</w:t>
      </w:r>
    </w:p>
    <w:p w:rsidR="00752A9C" w:rsidRPr="00FF7AA4" w:rsidRDefault="0062203E"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w:t>
      </w:r>
      <w:r w:rsidR="00752A9C" w:rsidRPr="00FF7AA4">
        <w:rPr>
          <w:rFonts w:asciiTheme="minorEastAsia" w:eastAsiaTheme="minorEastAsia" w:hAnsiTheme="minorEastAsia"/>
          <w:b/>
          <w:color w:val="000000"/>
          <w:sz w:val="24"/>
          <w:szCs w:val="24"/>
        </w:rPr>
        <w:t>.</w:t>
      </w:r>
      <w:r w:rsidR="00D76587" w:rsidRPr="00FF7AA4">
        <w:rPr>
          <w:rFonts w:asciiTheme="minorEastAsia" w:eastAsiaTheme="minorEastAsia" w:hAnsiTheme="minorEastAsia" w:hint="eastAsia"/>
          <w:b/>
          <w:color w:val="000000"/>
          <w:sz w:val="24"/>
          <w:szCs w:val="24"/>
        </w:rPr>
        <w:t>1</w:t>
      </w:r>
      <w:r w:rsidR="00752A9C" w:rsidRPr="00FF7AA4">
        <w:rPr>
          <w:rFonts w:asciiTheme="minorEastAsia" w:eastAsiaTheme="minorEastAsia" w:hAnsiTheme="minorEastAsia"/>
          <w:b/>
          <w:color w:val="000000"/>
          <w:sz w:val="24"/>
          <w:szCs w:val="24"/>
        </w:rPr>
        <w:t xml:space="preserve"> 场外销售机构</w:t>
      </w:r>
    </w:p>
    <w:p w:rsidR="00752A9C" w:rsidRPr="00FF7AA4" w:rsidRDefault="0062203E"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w:t>
      </w:r>
      <w:r w:rsidR="005E7139" w:rsidRPr="00FF7AA4">
        <w:rPr>
          <w:rFonts w:asciiTheme="minorEastAsia" w:eastAsiaTheme="minorEastAsia" w:hAnsiTheme="minorEastAsia"/>
          <w:b/>
          <w:color w:val="000000"/>
          <w:sz w:val="24"/>
          <w:szCs w:val="24"/>
        </w:rPr>
        <w:t>.</w:t>
      </w:r>
      <w:r w:rsidR="005E7139" w:rsidRPr="00FF7AA4">
        <w:rPr>
          <w:rFonts w:asciiTheme="minorEastAsia" w:eastAsiaTheme="minorEastAsia" w:hAnsiTheme="minorEastAsia" w:hint="eastAsia"/>
          <w:b/>
          <w:color w:val="000000"/>
          <w:sz w:val="24"/>
          <w:szCs w:val="24"/>
        </w:rPr>
        <w:t>1</w:t>
      </w:r>
      <w:r w:rsidR="00752A9C" w:rsidRPr="00FF7AA4">
        <w:rPr>
          <w:rFonts w:asciiTheme="minorEastAsia" w:eastAsiaTheme="minorEastAsia" w:hAnsiTheme="minorEastAsia"/>
          <w:b/>
          <w:color w:val="000000"/>
          <w:sz w:val="24"/>
          <w:szCs w:val="24"/>
        </w:rPr>
        <w:t>.</w:t>
      </w:r>
      <w:r w:rsidR="005E7139" w:rsidRPr="00FF7AA4">
        <w:rPr>
          <w:rFonts w:asciiTheme="minorEastAsia" w:eastAsiaTheme="minorEastAsia" w:hAnsiTheme="minorEastAsia" w:hint="eastAsia"/>
          <w:b/>
          <w:color w:val="000000"/>
          <w:sz w:val="24"/>
          <w:szCs w:val="24"/>
        </w:rPr>
        <w:t>1</w:t>
      </w:r>
      <w:r w:rsidR="00752A9C" w:rsidRPr="00FF7AA4">
        <w:rPr>
          <w:rFonts w:asciiTheme="minorEastAsia" w:eastAsiaTheme="minorEastAsia" w:hAnsiTheme="minorEastAsia"/>
          <w:b/>
          <w:color w:val="000000"/>
          <w:sz w:val="24"/>
          <w:szCs w:val="24"/>
        </w:rPr>
        <w:t xml:space="preserve"> 直销机构</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博时基金管理有限公司直销机构（含直销中心及直销网上交易）。</w:t>
      </w:r>
    </w:p>
    <w:p w:rsidR="00752A9C" w:rsidRPr="00FF7AA4" w:rsidRDefault="005E7139" w:rsidP="000F2BA6">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投资者如需办理直销网上交易，可登录本公司网站www.bosera.com参阅《博时基金管理有限公司开放式基金业务规则》、《博时基金管理有限公司网上交易业务规则》办理相关开户、申购、赎回和转换等业务。</w:t>
      </w:r>
    </w:p>
    <w:p w:rsidR="00752A9C" w:rsidRDefault="0062203E"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w:t>
      </w:r>
      <w:r w:rsidR="005E7139" w:rsidRPr="00FF7AA4">
        <w:rPr>
          <w:rFonts w:asciiTheme="minorEastAsia" w:eastAsiaTheme="minorEastAsia" w:hAnsiTheme="minorEastAsia"/>
          <w:b/>
          <w:color w:val="000000"/>
          <w:sz w:val="24"/>
          <w:szCs w:val="24"/>
        </w:rPr>
        <w:t>.</w:t>
      </w:r>
      <w:r w:rsidR="005E7139" w:rsidRPr="00FF7AA4">
        <w:rPr>
          <w:rFonts w:asciiTheme="minorEastAsia" w:eastAsiaTheme="minorEastAsia" w:hAnsiTheme="minorEastAsia" w:hint="eastAsia"/>
          <w:b/>
          <w:color w:val="000000"/>
          <w:sz w:val="24"/>
          <w:szCs w:val="24"/>
        </w:rPr>
        <w:t>1</w:t>
      </w:r>
      <w:r w:rsidR="005E7139" w:rsidRPr="00FF7AA4">
        <w:rPr>
          <w:rFonts w:asciiTheme="minorEastAsia" w:eastAsiaTheme="minorEastAsia" w:hAnsiTheme="minorEastAsia"/>
          <w:b/>
          <w:color w:val="000000"/>
          <w:sz w:val="24"/>
          <w:szCs w:val="24"/>
        </w:rPr>
        <w:t>.</w:t>
      </w:r>
      <w:r w:rsidR="005E7139" w:rsidRPr="00FF7AA4">
        <w:rPr>
          <w:rFonts w:asciiTheme="minorEastAsia" w:eastAsiaTheme="minorEastAsia" w:hAnsiTheme="minorEastAsia" w:hint="eastAsia"/>
          <w:b/>
          <w:color w:val="000000"/>
          <w:sz w:val="24"/>
          <w:szCs w:val="24"/>
        </w:rPr>
        <w:t>2</w:t>
      </w:r>
      <w:r w:rsidR="00752A9C" w:rsidRPr="00FF7AA4">
        <w:rPr>
          <w:rFonts w:asciiTheme="minorEastAsia" w:eastAsiaTheme="minorEastAsia" w:hAnsiTheme="minorEastAsia"/>
          <w:b/>
          <w:color w:val="000000"/>
          <w:sz w:val="24"/>
          <w:szCs w:val="24"/>
        </w:rPr>
        <w:t xml:space="preserve"> 场外非直销机构</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4"/>
        <w:gridCol w:w="3967"/>
        <w:gridCol w:w="1871"/>
        <w:gridCol w:w="1868"/>
      </w:tblGrid>
      <w:tr w:rsidR="00D94890" w:rsidTr="00D94890">
        <w:trPr>
          <w:trHeight w:val="480"/>
        </w:trPr>
        <w:tc>
          <w:tcPr>
            <w:tcW w:w="478" w:type="pct"/>
            <w:noWrap/>
            <w:tcMar>
              <w:top w:w="0" w:type="dxa"/>
              <w:left w:w="108" w:type="dxa"/>
              <w:bottom w:w="0" w:type="dxa"/>
              <w:right w:w="108" w:type="dxa"/>
            </w:tcMar>
            <w:vAlign w:val="center"/>
            <w:hideMark/>
          </w:tcPr>
          <w:p w:rsidR="00D94890" w:rsidRDefault="00D94890" w:rsidP="00183725">
            <w:pPr>
              <w:jc w:val="center"/>
              <w:rPr>
                <w:rFonts w:ascii="宋体" w:hAnsi="宋体" w:cs="宋体"/>
                <w:b/>
                <w:bCs/>
                <w:color w:val="000000"/>
                <w:sz w:val="20"/>
              </w:rPr>
            </w:pPr>
            <w:r>
              <w:rPr>
                <w:rFonts w:ascii="宋体" w:hAnsi="宋体" w:hint="eastAsia"/>
                <w:b/>
                <w:bCs/>
                <w:color w:val="000000"/>
                <w:sz w:val="20"/>
              </w:rPr>
              <w:t>序号</w:t>
            </w:r>
          </w:p>
        </w:tc>
        <w:tc>
          <w:tcPr>
            <w:tcW w:w="2328" w:type="pct"/>
            <w:noWrap/>
            <w:tcMar>
              <w:top w:w="0" w:type="dxa"/>
              <w:left w:w="108" w:type="dxa"/>
              <w:bottom w:w="0" w:type="dxa"/>
              <w:right w:w="108" w:type="dxa"/>
            </w:tcMar>
            <w:vAlign w:val="center"/>
            <w:hideMark/>
          </w:tcPr>
          <w:p w:rsidR="00D94890" w:rsidRDefault="00D94890" w:rsidP="00183725">
            <w:pPr>
              <w:jc w:val="center"/>
              <w:rPr>
                <w:rFonts w:ascii="宋体" w:hAnsi="宋体" w:cs="宋体"/>
                <w:b/>
                <w:bCs/>
                <w:color w:val="000000"/>
                <w:sz w:val="20"/>
              </w:rPr>
            </w:pPr>
            <w:r>
              <w:rPr>
                <w:rFonts w:ascii="宋体" w:hAnsi="宋体" w:hint="eastAsia"/>
                <w:b/>
                <w:bCs/>
                <w:color w:val="000000"/>
                <w:sz w:val="20"/>
              </w:rPr>
              <w:t>代销机构</w:t>
            </w:r>
          </w:p>
        </w:tc>
        <w:tc>
          <w:tcPr>
            <w:tcW w:w="1098" w:type="pct"/>
            <w:vAlign w:val="center"/>
          </w:tcPr>
          <w:p w:rsidR="00D94890" w:rsidRDefault="00D94890" w:rsidP="00D94890">
            <w:pPr>
              <w:jc w:val="center"/>
              <w:rPr>
                <w:rFonts w:ascii="宋体" w:hAnsi="宋体" w:cs="宋体"/>
                <w:b/>
                <w:bCs/>
                <w:color w:val="000000"/>
                <w:sz w:val="20"/>
              </w:rPr>
            </w:pPr>
            <w:r>
              <w:rPr>
                <w:rFonts w:ascii="宋体" w:hAnsi="宋体" w:hint="eastAsia"/>
                <w:b/>
                <w:bCs/>
                <w:color w:val="000000"/>
                <w:sz w:val="20"/>
              </w:rPr>
              <w:t>是否</w:t>
            </w:r>
            <w:proofErr w:type="gramStart"/>
            <w:r>
              <w:rPr>
                <w:rFonts w:ascii="宋体" w:hAnsi="宋体" w:hint="eastAsia"/>
                <w:b/>
                <w:bCs/>
                <w:color w:val="000000"/>
                <w:sz w:val="20"/>
              </w:rPr>
              <w:t>开通申赎</w:t>
            </w:r>
            <w:proofErr w:type="gramEnd"/>
          </w:p>
        </w:tc>
        <w:tc>
          <w:tcPr>
            <w:tcW w:w="1096" w:type="pct"/>
            <w:tcMar>
              <w:top w:w="0" w:type="dxa"/>
              <w:left w:w="108" w:type="dxa"/>
              <w:bottom w:w="0" w:type="dxa"/>
              <w:right w:w="108" w:type="dxa"/>
            </w:tcMar>
            <w:vAlign w:val="center"/>
            <w:hideMark/>
          </w:tcPr>
          <w:p w:rsidR="00D94890" w:rsidRDefault="00D94890" w:rsidP="00183725">
            <w:pPr>
              <w:jc w:val="center"/>
              <w:rPr>
                <w:rFonts w:ascii="宋体" w:hAnsi="宋体" w:cs="宋体"/>
                <w:b/>
                <w:bCs/>
                <w:color w:val="000000"/>
                <w:sz w:val="20"/>
              </w:rPr>
            </w:pPr>
            <w:r>
              <w:rPr>
                <w:rFonts w:ascii="宋体" w:hAnsi="宋体" w:hint="eastAsia"/>
                <w:b/>
                <w:bCs/>
                <w:color w:val="000000"/>
                <w:sz w:val="20"/>
              </w:rPr>
              <w:t>是否开通转换</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中国银行股份有限公司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2</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交通银行股份有限公司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3</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招商银行股份有限公司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4</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上海浦东发展银行股份有限公司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5</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上海银行股份有限公司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6</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广发银行股份有限公司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7</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平安银行股份有限公司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8</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上海农村商业银行股份有限公司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9</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北京农村商业银行股份有限公司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10</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杭州银行股份有限公司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11</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渤海银行股份有限公司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lastRenderedPageBreak/>
              <w:t>12</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哈尔滨银行股份有限公司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13</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东莞农村商业银行股份有限公司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14</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成都农村商业银行股份有限公司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15</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苏州银行股份有限公司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16</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晋商银行股份有限公司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17</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福建海峡银行股份有限公司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18</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proofErr w:type="gramStart"/>
            <w:r>
              <w:rPr>
                <w:rFonts w:ascii="宋体" w:hAnsi="宋体" w:hint="eastAsia"/>
                <w:color w:val="000000"/>
                <w:sz w:val="20"/>
              </w:rPr>
              <w:t>浦领基金</w:t>
            </w:r>
            <w:proofErr w:type="gramEnd"/>
            <w:r>
              <w:rPr>
                <w:rFonts w:ascii="宋体" w:hAnsi="宋体" w:hint="eastAsia"/>
                <w:color w:val="000000"/>
                <w:sz w:val="20"/>
              </w:rPr>
              <w:t>销售有限公司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s="宋体"/>
                <w:color w:val="000000"/>
                <w:sz w:val="20"/>
              </w:rPr>
            </w:pPr>
            <w:r>
              <w:rPr>
                <w:rFonts w:ascii="宋体" w:hAnsi="宋体" w:hint="eastAsia"/>
                <w:color w:val="000000"/>
                <w:sz w:val="20"/>
              </w:rPr>
              <w:t>19</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北京汇成基金销售有限公司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olor w:val="000000"/>
                <w:sz w:val="20"/>
              </w:rPr>
            </w:pPr>
            <w:r>
              <w:rPr>
                <w:rFonts w:ascii="宋体" w:hAnsi="宋体" w:hint="eastAsia"/>
                <w:color w:val="000000"/>
                <w:sz w:val="20"/>
              </w:rPr>
              <w:t>20</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上海华夏财富投资管理有限公司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olor w:val="000000"/>
                <w:sz w:val="20"/>
              </w:rPr>
            </w:pPr>
            <w:r>
              <w:rPr>
                <w:rFonts w:ascii="宋体" w:hAnsi="宋体" w:hint="eastAsia"/>
                <w:color w:val="000000"/>
                <w:sz w:val="20"/>
              </w:rPr>
              <w:t>21</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proofErr w:type="gramStart"/>
            <w:r>
              <w:rPr>
                <w:rFonts w:ascii="宋体" w:hAnsi="宋体" w:hint="eastAsia"/>
                <w:color w:val="000000"/>
                <w:sz w:val="20"/>
              </w:rPr>
              <w:t>洪泰财富</w:t>
            </w:r>
            <w:proofErr w:type="gramEnd"/>
            <w:r>
              <w:rPr>
                <w:rFonts w:ascii="宋体" w:hAnsi="宋体" w:hint="eastAsia"/>
                <w:color w:val="000000"/>
                <w:sz w:val="20"/>
              </w:rPr>
              <w:t>（青岛）基金销售有限责任公司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hideMark/>
          </w:tcPr>
          <w:p w:rsidR="0065634A" w:rsidRDefault="0065634A" w:rsidP="00183725">
            <w:pPr>
              <w:jc w:val="center"/>
              <w:rPr>
                <w:rFonts w:ascii="宋体" w:hAnsi="宋体"/>
                <w:color w:val="000000"/>
                <w:sz w:val="20"/>
              </w:rPr>
            </w:pPr>
            <w:r>
              <w:rPr>
                <w:rFonts w:ascii="宋体" w:hAnsi="宋体" w:hint="eastAsia"/>
                <w:color w:val="000000"/>
                <w:sz w:val="20"/>
              </w:rPr>
              <w:t>22</w:t>
            </w:r>
          </w:p>
        </w:tc>
        <w:tc>
          <w:tcPr>
            <w:tcW w:w="2328" w:type="pct"/>
            <w:noWrap/>
            <w:tcMar>
              <w:top w:w="0" w:type="dxa"/>
              <w:left w:w="108" w:type="dxa"/>
              <w:bottom w:w="0" w:type="dxa"/>
              <w:right w:w="108" w:type="dxa"/>
            </w:tcMar>
            <w:vAlign w:val="center"/>
            <w:hideMark/>
          </w:tcPr>
          <w:p w:rsidR="0065634A" w:rsidRDefault="0065634A">
            <w:pPr>
              <w:jc w:val="left"/>
              <w:rPr>
                <w:rFonts w:ascii="宋体" w:eastAsia="宋体" w:hAnsi="宋体" w:cs="宋体"/>
                <w:color w:val="000000"/>
                <w:sz w:val="20"/>
              </w:rPr>
            </w:pPr>
            <w:r>
              <w:rPr>
                <w:rFonts w:ascii="宋体" w:hAnsi="宋体" w:hint="eastAsia"/>
                <w:color w:val="000000"/>
                <w:sz w:val="20"/>
              </w:rPr>
              <w:t>中</w:t>
            </w:r>
            <w:proofErr w:type="gramStart"/>
            <w:r>
              <w:rPr>
                <w:rFonts w:ascii="宋体" w:hAnsi="宋体" w:hint="eastAsia"/>
                <w:color w:val="000000"/>
                <w:sz w:val="20"/>
              </w:rPr>
              <w:t>信建投证券</w:t>
            </w:r>
            <w:proofErr w:type="gramEnd"/>
            <w:r>
              <w:rPr>
                <w:rFonts w:ascii="宋体" w:hAnsi="宋体" w:hint="eastAsia"/>
                <w:color w:val="000000"/>
                <w:sz w:val="20"/>
              </w:rPr>
              <w:t>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hideMark/>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tcPr>
          <w:p w:rsidR="0065634A" w:rsidRDefault="0065634A" w:rsidP="00183725">
            <w:pPr>
              <w:jc w:val="center"/>
              <w:rPr>
                <w:rFonts w:ascii="宋体" w:hAnsi="宋体"/>
                <w:color w:val="000000"/>
                <w:sz w:val="20"/>
              </w:rPr>
            </w:pPr>
            <w:r>
              <w:rPr>
                <w:rFonts w:ascii="宋体" w:hAnsi="宋体" w:hint="eastAsia"/>
                <w:color w:val="000000"/>
                <w:sz w:val="20"/>
              </w:rPr>
              <w:t>23</w:t>
            </w:r>
          </w:p>
        </w:tc>
        <w:tc>
          <w:tcPr>
            <w:tcW w:w="2328" w:type="pct"/>
            <w:noWrap/>
            <w:tcMar>
              <w:top w:w="0" w:type="dxa"/>
              <w:left w:w="108" w:type="dxa"/>
              <w:bottom w:w="0" w:type="dxa"/>
              <w:right w:w="108" w:type="dxa"/>
            </w:tcMar>
            <w:vAlign w:val="center"/>
          </w:tcPr>
          <w:p w:rsidR="0065634A" w:rsidRDefault="0065634A">
            <w:pPr>
              <w:jc w:val="left"/>
              <w:rPr>
                <w:rFonts w:ascii="宋体" w:eastAsia="宋体" w:hAnsi="宋体" w:cs="宋体"/>
                <w:color w:val="000000"/>
                <w:sz w:val="20"/>
              </w:rPr>
            </w:pPr>
            <w:r>
              <w:rPr>
                <w:rFonts w:ascii="宋体" w:hAnsi="宋体" w:hint="eastAsia"/>
                <w:color w:val="000000"/>
                <w:sz w:val="20"/>
              </w:rPr>
              <w:t>西藏东方财富证券股份有限公司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tcPr>
          <w:p w:rsidR="0065634A" w:rsidRDefault="0065634A" w:rsidP="00183725">
            <w:pPr>
              <w:jc w:val="center"/>
              <w:rPr>
                <w:rFonts w:ascii="宋体" w:hAnsi="宋体"/>
                <w:color w:val="000000"/>
                <w:sz w:val="20"/>
              </w:rPr>
            </w:pPr>
            <w:r>
              <w:rPr>
                <w:rFonts w:ascii="宋体" w:hAnsi="宋体" w:hint="eastAsia"/>
                <w:color w:val="000000"/>
                <w:sz w:val="20"/>
              </w:rPr>
              <w:t>24</w:t>
            </w:r>
          </w:p>
        </w:tc>
        <w:tc>
          <w:tcPr>
            <w:tcW w:w="2328" w:type="pct"/>
            <w:noWrap/>
            <w:tcMar>
              <w:top w:w="0" w:type="dxa"/>
              <w:left w:w="108" w:type="dxa"/>
              <w:bottom w:w="0" w:type="dxa"/>
              <w:right w:w="108" w:type="dxa"/>
            </w:tcMar>
            <w:vAlign w:val="center"/>
          </w:tcPr>
          <w:p w:rsidR="0065634A" w:rsidRDefault="0065634A">
            <w:pPr>
              <w:jc w:val="left"/>
              <w:rPr>
                <w:rFonts w:ascii="宋体" w:eastAsia="宋体" w:hAnsi="宋体" w:cs="宋体"/>
                <w:color w:val="000000"/>
                <w:sz w:val="20"/>
              </w:rPr>
            </w:pPr>
            <w:r>
              <w:rPr>
                <w:rFonts w:ascii="宋体" w:hAnsi="宋体" w:hint="eastAsia"/>
                <w:color w:val="000000"/>
                <w:sz w:val="20"/>
              </w:rPr>
              <w:t>首创证券有限责任公司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tcPr>
          <w:p w:rsidR="0065634A" w:rsidRDefault="0065634A" w:rsidP="00183725">
            <w:pPr>
              <w:jc w:val="center"/>
              <w:rPr>
                <w:rFonts w:ascii="宋体" w:hAnsi="宋体"/>
                <w:color w:val="000000"/>
                <w:sz w:val="20"/>
              </w:rPr>
            </w:pPr>
            <w:r>
              <w:rPr>
                <w:rFonts w:ascii="宋体" w:hAnsi="宋体" w:hint="eastAsia"/>
                <w:color w:val="000000"/>
                <w:sz w:val="20"/>
              </w:rPr>
              <w:t>25</w:t>
            </w:r>
          </w:p>
        </w:tc>
        <w:tc>
          <w:tcPr>
            <w:tcW w:w="2328" w:type="pct"/>
            <w:noWrap/>
            <w:tcMar>
              <w:top w:w="0" w:type="dxa"/>
              <w:left w:w="108" w:type="dxa"/>
              <w:bottom w:w="0" w:type="dxa"/>
              <w:right w:w="108" w:type="dxa"/>
            </w:tcMar>
            <w:vAlign w:val="center"/>
          </w:tcPr>
          <w:p w:rsidR="0065634A" w:rsidRDefault="0065634A">
            <w:pPr>
              <w:jc w:val="left"/>
              <w:rPr>
                <w:rFonts w:ascii="宋体" w:eastAsia="宋体" w:hAnsi="宋体" w:cs="宋体"/>
                <w:color w:val="000000"/>
                <w:sz w:val="20"/>
              </w:rPr>
            </w:pPr>
            <w:r>
              <w:rPr>
                <w:rFonts w:ascii="宋体" w:hAnsi="宋体" w:hint="eastAsia"/>
                <w:color w:val="000000"/>
                <w:sz w:val="20"/>
              </w:rPr>
              <w:t>联储证券有限责任公司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tcPr>
          <w:p w:rsidR="0065634A" w:rsidRDefault="0065634A" w:rsidP="00183725">
            <w:pPr>
              <w:jc w:val="center"/>
              <w:rPr>
                <w:rFonts w:ascii="宋体" w:hAnsi="宋体"/>
                <w:color w:val="000000"/>
                <w:sz w:val="20"/>
              </w:rPr>
            </w:pPr>
            <w:r>
              <w:rPr>
                <w:rFonts w:ascii="宋体" w:hAnsi="宋体" w:hint="eastAsia"/>
                <w:color w:val="000000"/>
                <w:sz w:val="20"/>
              </w:rPr>
              <w:t>26</w:t>
            </w:r>
          </w:p>
        </w:tc>
        <w:tc>
          <w:tcPr>
            <w:tcW w:w="2328" w:type="pct"/>
            <w:noWrap/>
            <w:tcMar>
              <w:top w:w="0" w:type="dxa"/>
              <w:left w:w="108" w:type="dxa"/>
              <w:bottom w:w="0" w:type="dxa"/>
              <w:right w:w="108" w:type="dxa"/>
            </w:tcMar>
            <w:vAlign w:val="center"/>
          </w:tcPr>
          <w:p w:rsidR="0065634A" w:rsidRDefault="0065634A">
            <w:pPr>
              <w:jc w:val="left"/>
              <w:rPr>
                <w:rFonts w:ascii="宋体" w:eastAsia="宋体" w:hAnsi="宋体" w:cs="宋体"/>
                <w:color w:val="000000"/>
                <w:sz w:val="20"/>
              </w:rPr>
            </w:pPr>
            <w:r>
              <w:rPr>
                <w:rFonts w:ascii="宋体" w:hAnsi="宋体" w:hint="eastAsia"/>
                <w:color w:val="000000"/>
                <w:sz w:val="20"/>
              </w:rPr>
              <w:t>华瑞保险销售有限公司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tcPr>
          <w:p w:rsidR="0065634A" w:rsidRDefault="0065634A" w:rsidP="00183725">
            <w:pPr>
              <w:jc w:val="center"/>
              <w:rPr>
                <w:rFonts w:ascii="宋体" w:hAnsi="宋体"/>
                <w:color w:val="000000"/>
                <w:sz w:val="20"/>
              </w:rPr>
            </w:pPr>
            <w:r>
              <w:rPr>
                <w:rFonts w:ascii="宋体" w:hAnsi="宋体" w:hint="eastAsia"/>
                <w:color w:val="000000"/>
                <w:sz w:val="20"/>
              </w:rPr>
              <w:t>27</w:t>
            </w:r>
          </w:p>
        </w:tc>
        <w:tc>
          <w:tcPr>
            <w:tcW w:w="2328" w:type="pct"/>
            <w:noWrap/>
            <w:tcMar>
              <w:top w:w="0" w:type="dxa"/>
              <w:left w:w="108" w:type="dxa"/>
              <w:bottom w:w="0" w:type="dxa"/>
              <w:right w:w="108" w:type="dxa"/>
            </w:tcMar>
            <w:vAlign w:val="center"/>
          </w:tcPr>
          <w:p w:rsidR="0065634A" w:rsidRDefault="0065634A">
            <w:pPr>
              <w:jc w:val="left"/>
              <w:rPr>
                <w:rFonts w:ascii="宋体" w:eastAsia="宋体" w:hAnsi="宋体" w:cs="宋体"/>
                <w:color w:val="000000"/>
                <w:sz w:val="20"/>
              </w:rPr>
            </w:pPr>
            <w:proofErr w:type="gramStart"/>
            <w:r>
              <w:rPr>
                <w:rFonts w:ascii="宋体" w:hAnsi="宋体" w:hint="eastAsia"/>
                <w:color w:val="000000"/>
                <w:sz w:val="20"/>
              </w:rPr>
              <w:t>玄元保险</w:t>
            </w:r>
            <w:proofErr w:type="gramEnd"/>
            <w:r>
              <w:rPr>
                <w:rFonts w:ascii="宋体" w:hAnsi="宋体" w:hint="eastAsia"/>
                <w:color w:val="000000"/>
                <w:sz w:val="20"/>
              </w:rPr>
              <w:t>代理有限公司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tcPr>
          <w:p w:rsidR="0065634A" w:rsidRDefault="0065634A" w:rsidP="00183725">
            <w:pPr>
              <w:jc w:val="center"/>
              <w:rPr>
                <w:rFonts w:ascii="宋体" w:hAnsi="宋体"/>
                <w:color w:val="000000"/>
                <w:sz w:val="20"/>
              </w:rPr>
            </w:pPr>
            <w:r>
              <w:rPr>
                <w:rFonts w:ascii="宋体" w:hAnsi="宋体" w:hint="eastAsia"/>
                <w:color w:val="000000"/>
                <w:sz w:val="20"/>
              </w:rPr>
              <w:t>28</w:t>
            </w:r>
          </w:p>
        </w:tc>
        <w:tc>
          <w:tcPr>
            <w:tcW w:w="2328" w:type="pct"/>
            <w:noWrap/>
            <w:tcMar>
              <w:top w:w="0" w:type="dxa"/>
              <w:left w:w="108" w:type="dxa"/>
              <w:bottom w:w="0" w:type="dxa"/>
              <w:right w:w="108" w:type="dxa"/>
            </w:tcMar>
            <w:vAlign w:val="center"/>
          </w:tcPr>
          <w:p w:rsidR="0065634A" w:rsidRDefault="0065634A">
            <w:pPr>
              <w:jc w:val="left"/>
              <w:rPr>
                <w:rFonts w:ascii="宋体" w:eastAsia="宋体" w:hAnsi="宋体" w:cs="宋体"/>
                <w:color w:val="000000"/>
                <w:sz w:val="20"/>
              </w:rPr>
            </w:pPr>
            <w:r>
              <w:rPr>
                <w:rFonts w:ascii="宋体" w:hAnsi="宋体" w:hint="eastAsia"/>
                <w:color w:val="000000"/>
                <w:sz w:val="20"/>
              </w:rPr>
              <w:t>龙江银行股份有限公司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r w:rsidR="0065634A" w:rsidTr="00D94890">
        <w:trPr>
          <w:trHeight w:val="270"/>
        </w:trPr>
        <w:tc>
          <w:tcPr>
            <w:tcW w:w="478" w:type="pct"/>
            <w:noWrap/>
            <w:tcMar>
              <w:top w:w="0" w:type="dxa"/>
              <w:left w:w="108" w:type="dxa"/>
              <w:bottom w:w="0" w:type="dxa"/>
              <w:right w:w="108" w:type="dxa"/>
            </w:tcMar>
            <w:vAlign w:val="center"/>
          </w:tcPr>
          <w:p w:rsidR="0065634A" w:rsidRDefault="0065634A" w:rsidP="00183725">
            <w:pPr>
              <w:jc w:val="center"/>
              <w:rPr>
                <w:rFonts w:ascii="宋体" w:hAnsi="宋体"/>
                <w:color w:val="000000"/>
                <w:sz w:val="20"/>
              </w:rPr>
            </w:pPr>
            <w:r>
              <w:rPr>
                <w:rFonts w:ascii="宋体" w:hAnsi="宋体" w:hint="eastAsia"/>
                <w:color w:val="000000"/>
                <w:sz w:val="20"/>
              </w:rPr>
              <w:t>29</w:t>
            </w:r>
          </w:p>
        </w:tc>
        <w:tc>
          <w:tcPr>
            <w:tcW w:w="2328" w:type="pct"/>
            <w:noWrap/>
            <w:tcMar>
              <w:top w:w="0" w:type="dxa"/>
              <w:left w:w="108" w:type="dxa"/>
              <w:bottom w:w="0" w:type="dxa"/>
              <w:right w:w="108" w:type="dxa"/>
            </w:tcMar>
            <w:vAlign w:val="center"/>
          </w:tcPr>
          <w:p w:rsidR="0065634A" w:rsidRDefault="0065634A">
            <w:pPr>
              <w:jc w:val="left"/>
              <w:rPr>
                <w:rFonts w:ascii="宋体" w:eastAsia="宋体" w:hAnsi="宋体" w:cs="宋体"/>
                <w:color w:val="000000"/>
                <w:sz w:val="20"/>
              </w:rPr>
            </w:pPr>
            <w:r>
              <w:rPr>
                <w:rFonts w:ascii="宋体" w:hAnsi="宋体" w:hint="eastAsia"/>
                <w:color w:val="000000"/>
                <w:sz w:val="20"/>
              </w:rPr>
              <w:t>桂林银行股份有限公司</w:t>
            </w:r>
          </w:p>
        </w:tc>
        <w:tc>
          <w:tcPr>
            <w:tcW w:w="1098" w:type="pct"/>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c>
          <w:tcPr>
            <w:tcW w:w="1096" w:type="pct"/>
            <w:noWrap/>
            <w:tcMar>
              <w:top w:w="0" w:type="dxa"/>
              <w:left w:w="108" w:type="dxa"/>
              <w:bottom w:w="0" w:type="dxa"/>
              <w:right w:w="108" w:type="dxa"/>
            </w:tcMar>
            <w:vAlign w:val="center"/>
          </w:tcPr>
          <w:p w:rsidR="0065634A" w:rsidRDefault="0065634A">
            <w:pPr>
              <w:jc w:val="center"/>
              <w:rPr>
                <w:rFonts w:ascii="宋体" w:eastAsia="宋体" w:hAnsi="宋体" w:cs="宋体"/>
                <w:color w:val="000000"/>
                <w:sz w:val="20"/>
              </w:rPr>
            </w:pPr>
            <w:r>
              <w:rPr>
                <w:rFonts w:ascii="宋体" w:hAnsi="宋体" w:hint="eastAsia"/>
                <w:color w:val="000000"/>
                <w:sz w:val="20"/>
              </w:rPr>
              <w:t>是</w:t>
            </w:r>
          </w:p>
        </w:tc>
      </w:tr>
    </w:tbl>
    <w:p w:rsidR="00752A9C" w:rsidRPr="00FF7AA4" w:rsidRDefault="0062203E" w:rsidP="00752A9C">
      <w:pPr>
        <w:pStyle w:val="2"/>
        <w:spacing w:line="560" w:lineRule="exact"/>
        <w:rPr>
          <w:rStyle w:val="a3"/>
          <w:rFonts w:asciiTheme="minorEastAsia" w:eastAsiaTheme="minorEastAsia" w:hAnsiTheme="minorEastAsia"/>
          <w:color w:val="000000"/>
          <w:sz w:val="24"/>
          <w:szCs w:val="24"/>
        </w:rPr>
      </w:pPr>
      <w:bookmarkStart w:id="6" w:name="_Toc275961402"/>
      <w:r>
        <w:rPr>
          <w:rFonts w:asciiTheme="minorEastAsia" w:eastAsiaTheme="minorEastAsia" w:hAnsiTheme="minorEastAsia" w:hint="eastAsia"/>
          <w:bCs w:val="0"/>
          <w:color w:val="000000"/>
          <w:sz w:val="24"/>
          <w:szCs w:val="24"/>
        </w:rPr>
        <w:t>7</w:t>
      </w:r>
      <w:r w:rsidR="00752A9C" w:rsidRPr="00FF7AA4">
        <w:rPr>
          <w:rFonts w:asciiTheme="minorEastAsia" w:eastAsiaTheme="minorEastAsia" w:hAnsiTheme="minorEastAsia"/>
          <w:bCs w:val="0"/>
          <w:color w:val="000000"/>
          <w:sz w:val="24"/>
          <w:szCs w:val="24"/>
        </w:rPr>
        <w:t xml:space="preserve"> 基金份额净值公告/基金收益公告的披露安排</w:t>
      </w:r>
      <w:bookmarkEnd w:id="6"/>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（1）在基金封闭期内，基金管理人应当至少每周公告一次基金资产净值和基金份额净值；</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（2）在基金开放期每个开放日的次日，基金管理人应通过网站、基金份额发售网点以及其他媒介，披露开放日的基金份额净值和基金份额累计净值；</w:t>
      </w:r>
    </w:p>
    <w:p w:rsidR="00752A9C" w:rsidRPr="00FF7AA4" w:rsidRDefault="005E7139" w:rsidP="000F2BA6">
      <w:pPr>
        <w:spacing w:line="360" w:lineRule="auto"/>
        <w:ind w:firstLineChars="200" w:firstLine="480"/>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3）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752A9C" w:rsidRPr="00FF7AA4" w:rsidRDefault="0062203E" w:rsidP="00752A9C">
      <w:pPr>
        <w:pStyle w:val="2"/>
        <w:spacing w:line="560" w:lineRule="exact"/>
        <w:rPr>
          <w:rFonts w:asciiTheme="minorEastAsia" w:eastAsiaTheme="minorEastAsia" w:hAnsiTheme="minorEastAsia"/>
          <w:bCs w:val="0"/>
          <w:color w:val="000000"/>
          <w:sz w:val="24"/>
          <w:szCs w:val="24"/>
        </w:rPr>
      </w:pPr>
      <w:bookmarkStart w:id="7" w:name="_Toc275961403"/>
      <w:r>
        <w:rPr>
          <w:rFonts w:asciiTheme="minorEastAsia" w:eastAsiaTheme="minorEastAsia" w:hAnsiTheme="minorEastAsia" w:hint="eastAsia"/>
          <w:bCs w:val="0"/>
          <w:color w:val="000000"/>
          <w:sz w:val="24"/>
          <w:szCs w:val="24"/>
        </w:rPr>
        <w:t>8</w:t>
      </w:r>
      <w:r w:rsidR="00752A9C" w:rsidRPr="00FF7AA4">
        <w:rPr>
          <w:rFonts w:asciiTheme="minorEastAsia" w:eastAsiaTheme="minorEastAsia" w:hAnsiTheme="minorEastAsia"/>
          <w:bCs w:val="0"/>
          <w:color w:val="000000"/>
          <w:sz w:val="24"/>
          <w:szCs w:val="24"/>
        </w:rPr>
        <w:t xml:space="preserve"> 其他需要提示的事项</w:t>
      </w:r>
      <w:bookmarkEnd w:id="7"/>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本公告仅对博时乐臻定期开放混合型证券投资基金第三次办理申购、赎回和转换业务等相关事项予以说明。投资者欲了解本基金的详细情况，可于本基金管理人网站或相关代销机构查阅本基金相关法律文件及资料。本公告的解释权归本公司所有。</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（2）本基金的开放期为自封闭期结束之日后第一个工作日起（含该日）五</w:t>
      </w:r>
      <w:r>
        <w:rPr>
          <w:rFonts w:asciiTheme="minorEastAsia" w:eastAsiaTheme="minorEastAsia" w:hAnsiTheme="minorEastAsia"/>
          <w:color w:val="000000"/>
          <w:sz w:val="24"/>
          <w:szCs w:val="24"/>
        </w:rPr>
        <w:lastRenderedPageBreak/>
        <w:t>至二十个工作日。开放期内，本基金采取开放运作模式，投资人可办理基金份额申购、赎回和转换业务。开放期未赎回的份额将自动转入下一个封闭期。</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2019年10月21日至2019年11月8日为本基金的第三个开放期，即在开放期内的每个工作日接受办理本基金份额的申购、赎回和转换业务。在开放期内，基金管理人可根据基金合同的相关规定调整开放日期，具体请见届时发布的相关公告。开放期最后一个工作日15：00以后暂停接受办理本基金的申购、赎回和转换业务直至下一个开放期。届时将不再另行公告。</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风险提示：本公司承诺诚实信用地管理和运用基金财产，但不保证基金一定盈利，也不保证最低收益。基金的过往业绩并不代表其未来表现。投资有风险，敬请投资人认真阅读基金的相关法律文件，并选择适合自身风险承受能力的投资品种进行投资。</w:t>
      </w:r>
    </w:p>
    <w:p w:rsidR="00017AD1" w:rsidRDefault="0047709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特此公告。</w:t>
      </w:r>
    </w:p>
    <w:p w:rsidR="00017AD1" w:rsidRDefault="00017AD1" w:rsidP="00D94890">
      <w:pPr>
        <w:spacing w:line="360" w:lineRule="auto"/>
        <w:rPr>
          <w:rFonts w:asciiTheme="minorEastAsia" w:eastAsiaTheme="minorEastAsia" w:hAnsiTheme="minorEastAsia"/>
          <w:color w:val="000000"/>
          <w:sz w:val="24"/>
          <w:szCs w:val="24"/>
        </w:rPr>
      </w:pPr>
    </w:p>
    <w:p w:rsidR="00017AD1" w:rsidRDefault="00477094" w:rsidP="00D94890">
      <w:pPr>
        <w:spacing w:line="360" w:lineRule="auto"/>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博时基金管理有限公司</w:t>
      </w:r>
    </w:p>
    <w:p w:rsidR="00752A9C" w:rsidRPr="00FF7AA4" w:rsidRDefault="005E7139" w:rsidP="00D94890">
      <w:pPr>
        <w:spacing w:line="360" w:lineRule="auto"/>
        <w:jc w:val="righ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2019年10月</w:t>
      </w:r>
      <w:r w:rsidR="0062203E">
        <w:rPr>
          <w:rFonts w:asciiTheme="minorEastAsia" w:eastAsiaTheme="minorEastAsia" w:hAnsiTheme="minorEastAsia"/>
          <w:color w:val="000000"/>
          <w:sz w:val="24"/>
          <w:szCs w:val="24"/>
        </w:rPr>
        <w:t>1</w:t>
      </w:r>
      <w:r w:rsidR="0062203E">
        <w:rPr>
          <w:rFonts w:asciiTheme="minorEastAsia" w:eastAsiaTheme="minorEastAsia" w:hAnsiTheme="minorEastAsia" w:hint="eastAsia"/>
          <w:color w:val="000000"/>
          <w:sz w:val="24"/>
          <w:szCs w:val="24"/>
        </w:rPr>
        <w:t>1</w:t>
      </w:r>
      <w:r w:rsidRPr="00FF7AA4">
        <w:rPr>
          <w:rFonts w:asciiTheme="minorEastAsia" w:eastAsiaTheme="minorEastAsia" w:hAnsiTheme="minorEastAsia"/>
          <w:color w:val="000000"/>
          <w:sz w:val="24"/>
          <w:szCs w:val="24"/>
        </w:rPr>
        <w:t>日</w:t>
      </w:r>
    </w:p>
    <w:p w:rsidR="00364C2A" w:rsidRPr="00FF7AA4" w:rsidRDefault="0014752F">
      <w:pPr>
        <w:rPr>
          <w:rFonts w:asciiTheme="minorEastAsia" w:eastAsiaTheme="minorEastAsia" w:hAnsiTheme="minorEastAsia"/>
          <w:sz w:val="24"/>
          <w:szCs w:val="24"/>
        </w:rPr>
      </w:pPr>
    </w:p>
    <w:sectPr w:rsidR="00364C2A" w:rsidRPr="00FF7AA4"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2F" w:rsidRDefault="0014752F" w:rsidP="00752A9C">
      <w:r>
        <w:separator/>
      </w:r>
    </w:p>
  </w:endnote>
  <w:endnote w:type="continuationSeparator" w:id="0">
    <w:p w:rsidR="0014752F" w:rsidRDefault="0014752F" w:rsidP="0075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2F" w:rsidRDefault="0014752F" w:rsidP="00752A9C">
      <w:r>
        <w:separator/>
      </w:r>
    </w:p>
  </w:footnote>
  <w:footnote w:type="continuationSeparator" w:id="0">
    <w:p w:rsidR="0014752F" w:rsidRDefault="0014752F" w:rsidP="00752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A9C"/>
    <w:rsid w:val="00011C60"/>
    <w:rsid w:val="00017AD1"/>
    <w:rsid w:val="00041353"/>
    <w:rsid w:val="000B693A"/>
    <w:rsid w:val="000F2BA6"/>
    <w:rsid w:val="00122706"/>
    <w:rsid w:val="0014752F"/>
    <w:rsid w:val="0019121A"/>
    <w:rsid w:val="001A4FEC"/>
    <w:rsid w:val="001D24D4"/>
    <w:rsid w:val="00205AF1"/>
    <w:rsid w:val="00215C39"/>
    <w:rsid w:val="00224357"/>
    <w:rsid w:val="002509E8"/>
    <w:rsid w:val="002520E1"/>
    <w:rsid w:val="00267A58"/>
    <w:rsid w:val="002876B6"/>
    <w:rsid w:val="002B6AB6"/>
    <w:rsid w:val="002D4E4E"/>
    <w:rsid w:val="003222C8"/>
    <w:rsid w:val="00337F2E"/>
    <w:rsid w:val="00347C5C"/>
    <w:rsid w:val="00376C12"/>
    <w:rsid w:val="003902C4"/>
    <w:rsid w:val="00412DE1"/>
    <w:rsid w:val="00415A69"/>
    <w:rsid w:val="00462584"/>
    <w:rsid w:val="004662BA"/>
    <w:rsid w:val="00477094"/>
    <w:rsid w:val="004966BA"/>
    <w:rsid w:val="004D290A"/>
    <w:rsid w:val="004E2F24"/>
    <w:rsid w:val="0054597D"/>
    <w:rsid w:val="00591340"/>
    <w:rsid w:val="00592D79"/>
    <w:rsid w:val="0059628C"/>
    <w:rsid w:val="005B4979"/>
    <w:rsid w:val="005C7221"/>
    <w:rsid w:val="005E21DB"/>
    <w:rsid w:val="005E7139"/>
    <w:rsid w:val="0062203E"/>
    <w:rsid w:val="00622A72"/>
    <w:rsid w:val="006279F3"/>
    <w:rsid w:val="0065634A"/>
    <w:rsid w:val="00674C14"/>
    <w:rsid w:val="006B6F63"/>
    <w:rsid w:val="006F2E2E"/>
    <w:rsid w:val="007126DA"/>
    <w:rsid w:val="00730DEB"/>
    <w:rsid w:val="00734CC1"/>
    <w:rsid w:val="0074415C"/>
    <w:rsid w:val="00752A9C"/>
    <w:rsid w:val="00761E6B"/>
    <w:rsid w:val="007759B5"/>
    <w:rsid w:val="007D0009"/>
    <w:rsid w:val="007D10CA"/>
    <w:rsid w:val="0082483B"/>
    <w:rsid w:val="00827C1D"/>
    <w:rsid w:val="008606D2"/>
    <w:rsid w:val="0088405F"/>
    <w:rsid w:val="00885086"/>
    <w:rsid w:val="00895CA3"/>
    <w:rsid w:val="008E1998"/>
    <w:rsid w:val="008E273C"/>
    <w:rsid w:val="00923E00"/>
    <w:rsid w:val="00956B0F"/>
    <w:rsid w:val="00994773"/>
    <w:rsid w:val="009D7194"/>
    <w:rsid w:val="00A62667"/>
    <w:rsid w:val="00A62BEE"/>
    <w:rsid w:val="00A77FED"/>
    <w:rsid w:val="00AC6E8D"/>
    <w:rsid w:val="00AD513A"/>
    <w:rsid w:val="00AD51F1"/>
    <w:rsid w:val="00B90CAE"/>
    <w:rsid w:val="00B91E8A"/>
    <w:rsid w:val="00B94893"/>
    <w:rsid w:val="00B955E4"/>
    <w:rsid w:val="00C11C49"/>
    <w:rsid w:val="00C733C1"/>
    <w:rsid w:val="00D33A12"/>
    <w:rsid w:val="00D76587"/>
    <w:rsid w:val="00D94890"/>
    <w:rsid w:val="00DA79B5"/>
    <w:rsid w:val="00DC6552"/>
    <w:rsid w:val="00DD777B"/>
    <w:rsid w:val="00E038BD"/>
    <w:rsid w:val="00E57E24"/>
    <w:rsid w:val="00E77012"/>
    <w:rsid w:val="00EB0C3F"/>
    <w:rsid w:val="00EC031E"/>
    <w:rsid w:val="00EE4694"/>
    <w:rsid w:val="00EE5969"/>
    <w:rsid w:val="00EF147F"/>
    <w:rsid w:val="00FB14E7"/>
    <w:rsid w:val="00FB565D"/>
    <w:rsid w:val="00FC3720"/>
    <w:rsid w:val="00FF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9C"/>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752A9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52A9C"/>
    <w:rPr>
      <w:rFonts w:ascii="Arial" w:eastAsia="黑体" w:hAnsi="Arial" w:cs="Times New Roman"/>
      <w:b/>
      <w:bCs/>
      <w:sz w:val="32"/>
      <w:szCs w:val="32"/>
    </w:rPr>
  </w:style>
  <w:style w:type="character" w:styleId="a3">
    <w:name w:val="footnote reference"/>
    <w:basedOn w:val="a0"/>
    <w:rsid w:val="00752A9C"/>
    <w:rPr>
      <w:vertAlign w:val="superscript"/>
    </w:rPr>
  </w:style>
  <w:style w:type="paragraph" w:styleId="a4">
    <w:name w:val="footnote text"/>
    <w:basedOn w:val="a"/>
    <w:link w:val="Char"/>
    <w:rsid w:val="00752A9C"/>
    <w:pPr>
      <w:snapToGrid w:val="0"/>
      <w:jc w:val="left"/>
    </w:pPr>
    <w:rPr>
      <w:rFonts w:eastAsia="宋体"/>
      <w:sz w:val="18"/>
    </w:rPr>
  </w:style>
  <w:style w:type="character" w:customStyle="1" w:styleId="Char">
    <w:name w:val="脚注文本 Char"/>
    <w:basedOn w:val="a0"/>
    <w:link w:val="a4"/>
    <w:rsid w:val="00752A9C"/>
    <w:rPr>
      <w:rFonts w:ascii="Times New Roman" w:eastAsia="宋体" w:hAnsi="Times New Roman" w:cs="Times New Roman"/>
      <w:sz w:val="18"/>
      <w:szCs w:val="20"/>
    </w:rPr>
  </w:style>
  <w:style w:type="paragraph" w:styleId="a5">
    <w:name w:val="Balloon Text"/>
    <w:basedOn w:val="a"/>
    <w:link w:val="Char0"/>
    <w:uiPriority w:val="99"/>
    <w:semiHidden/>
    <w:unhideWhenUsed/>
    <w:rsid w:val="0054597D"/>
    <w:rPr>
      <w:sz w:val="18"/>
      <w:szCs w:val="18"/>
    </w:rPr>
  </w:style>
  <w:style w:type="character" w:customStyle="1" w:styleId="Char0">
    <w:name w:val="批注框文本 Char"/>
    <w:basedOn w:val="a0"/>
    <w:link w:val="a5"/>
    <w:uiPriority w:val="99"/>
    <w:semiHidden/>
    <w:rsid w:val="0054597D"/>
    <w:rPr>
      <w:rFonts w:ascii="Times New Roman" w:eastAsia="方正仿宋简体" w:hAnsi="Times New Roman" w:cs="Times New Roman"/>
      <w:sz w:val="18"/>
      <w:szCs w:val="18"/>
    </w:rPr>
  </w:style>
  <w:style w:type="paragraph" w:styleId="a6">
    <w:name w:val="header"/>
    <w:basedOn w:val="a"/>
    <w:link w:val="Char1"/>
    <w:uiPriority w:val="99"/>
    <w:unhideWhenUsed/>
    <w:rsid w:val="00DA79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A79B5"/>
    <w:rPr>
      <w:rFonts w:ascii="Times New Roman" w:eastAsia="方正仿宋简体" w:hAnsi="Times New Roman" w:cs="Times New Roman"/>
      <w:sz w:val="18"/>
      <w:szCs w:val="18"/>
    </w:rPr>
  </w:style>
  <w:style w:type="paragraph" w:styleId="a7">
    <w:name w:val="footer"/>
    <w:basedOn w:val="a"/>
    <w:link w:val="Char2"/>
    <w:uiPriority w:val="99"/>
    <w:unhideWhenUsed/>
    <w:rsid w:val="00DA79B5"/>
    <w:pPr>
      <w:tabs>
        <w:tab w:val="center" w:pos="4153"/>
        <w:tab w:val="right" w:pos="8306"/>
      </w:tabs>
      <w:snapToGrid w:val="0"/>
      <w:jc w:val="left"/>
    </w:pPr>
    <w:rPr>
      <w:sz w:val="18"/>
      <w:szCs w:val="18"/>
    </w:rPr>
  </w:style>
  <w:style w:type="character" w:customStyle="1" w:styleId="Char2">
    <w:name w:val="页脚 Char"/>
    <w:basedOn w:val="a0"/>
    <w:link w:val="a7"/>
    <w:uiPriority w:val="99"/>
    <w:rsid w:val="00DA79B5"/>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258">
      <w:bodyDiv w:val="1"/>
      <w:marLeft w:val="0"/>
      <w:marRight w:val="0"/>
      <w:marTop w:val="0"/>
      <w:marBottom w:val="0"/>
      <w:divBdr>
        <w:top w:val="none" w:sz="0" w:space="0" w:color="auto"/>
        <w:left w:val="none" w:sz="0" w:space="0" w:color="auto"/>
        <w:bottom w:val="none" w:sz="0" w:space="0" w:color="auto"/>
        <w:right w:val="none" w:sz="0" w:space="0" w:color="auto"/>
      </w:divBdr>
    </w:div>
    <w:div w:id="74480454">
      <w:bodyDiv w:val="1"/>
      <w:marLeft w:val="0"/>
      <w:marRight w:val="0"/>
      <w:marTop w:val="0"/>
      <w:marBottom w:val="0"/>
      <w:divBdr>
        <w:top w:val="none" w:sz="0" w:space="0" w:color="auto"/>
        <w:left w:val="none" w:sz="0" w:space="0" w:color="auto"/>
        <w:bottom w:val="none" w:sz="0" w:space="0" w:color="auto"/>
        <w:right w:val="none" w:sz="0" w:space="0" w:color="auto"/>
      </w:divBdr>
    </w:div>
    <w:div w:id="287396799">
      <w:bodyDiv w:val="1"/>
      <w:marLeft w:val="0"/>
      <w:marRight w:val="0"/>
      <w:marTop w:val="0"/>
      <w:marBottom w:val="0"/>
      <w:divBdr>
        <w:top w:val="none" w:sz="0" w:space="0" w:color="auto"/>
        <w:left w:val="none" w:sz="0" w:space="0" w:color="auto"/>
        <w:bottom w:val="none" w:sz="0" w:space="0" w:color="auto"/>
        <w:right w:val="none" w:sz="0" w:space="0" w:color="auto"/>
      </w:divBdr>
    </w:div>
    <w:div w:id="332032040">
      <w:bodyDiv w:val="1"/>
      <w:marLeft w:val="0"/>
      <w:marRight w:val="0"/>
      <w:marTop w:val="0"/>
      <w:marBottom w:val="0"/>
      <w:divBdr>
        <w:top w:val="none" w:sz="0" w:space="0" w:color="auto"/>
        <w:left w:val="none" w:sz="0" w:space="0" w:color="auto"/>
        <w:bottom w:val="none" w:sz="0" w:space="0" w:color="auto"/>
        <w:right w:val="none" w:sz="0" w:space="0" w:color="auto"/>
      </w:divBdr>
    </w:div>
    <w:div w:id="474687637">
      <w:bodyDiv w:val="1"/>
      <w:marLeft w:val="0"/>
      <w:marRight w:val="0"/>
      <w:marTop w:val="0"/>
      <w:marBottom w:val="0"/>
      <w:divBdr>
        <w:top w:val="none" w:sz="0" w:space="0" w:color="auto"/>
        <w:left w:val="none" w:sz="0" w:space="0" w:color="auto"/>
        <w:bottom w:val="none" w:sz="0" w:space="0" w:color="auto"/>
        <w:right w:val="none" w:sz="0" w:space="0" w:color="auto"/>
      </w:divBdr>
    </w:div>
    <w:div w:id="565184326">
      <w:bodyDiv w:val="1"/>
      <w:marLeft w:val="0"/>
      <w:marRight w:val="0"/>
      <w:marTop w:val="0"/>
      <w:marBottom w:val="0"/>
      <w:divBdr>
        <w:top w:val="none" w:sz="0" w:space="0" w:color="auto"/>
        <w:left w:val="none" w:sz="0" w:space="0" w:color="auto"/>
        <w:bottom w:val="none" w:sz="0" w:space="0" w:color="auto"/>
        <w:right w:val="none" w:sz="0" w:space="0" w:color="auto"/>
      </w:divBdr>
    </w:div>
    <w:div w:id="602953666">
      <w:bodyDiv w:val="1"/>
      <w:marLeft w:val="0"/>
      <w:marRight w:val="0"/>
      <w:marTop w:val="0"/>
      <w:marBottom w:val="0"/>
      <w:divBdr>
        <w:top w:val="none" w:sz="0" w:space="0" w:color="auto"/>
        <w:left w:val="none" w:sz="0" w:space="0" w:color="auto"/>
        <w:bottom w:val="none" w:sz="0" w:space="0" w:color="auto"/>
        <w:right w:val="none" w:sz="0" w:space="0" w:color="auto"/>
      </w:divBdr>
    </w:div>
    <w:div w:id="634457320">
      <w:bodyDiv w:val="1"/>
      <w:marLeft w:val="0"/>
      <w:marRight w:val="0"/>
      <w:marTop w:val="0"/>
      <w:marBottom w:val="0"/>
      <w:divBdr>
        <w:top w:val="none" w:sz="0" w:space="0" w:color="auto"/>
        <w:left w:val="none" w:sz="0" w:space="0" w:color="auto"/>
        <w:bottom w:val="none" w:sz="0" w:space="0" w:color="auto"/>
        <w:right w:val="none" w:sz="0" w:space="0" w:color="auto"/>
      </w:divBdr>
    </w:div>
    <w:div w:id="682633402">
      <w:bodyDiv w:val="1"/>
      <w:marLeft w:val="0"/>
      <w:marRight w:val="0"/>
      <w:marTop w:val="0"/>
      <w:marBottom w:val="0"/>
      <w:divBdr>
        <w:top w:val="none" w:sz="0" w:space="0" w:color="auto"/>
        <w:left w:val="none" w:sz="0" w:space="0" w:color="auto"/>
        <w:bottom w:val="none" w:sz="0" w:space="0" w:color="auto"/>
        <w:right w:val="none" w:sz="0" w:space="0" w:color="auto"/>
      </w:divBdr>
    </w:div>
    <w:div w:id="692653575">
      <w:bodyDiv w:val="1"/>
      <w:marLeft w:val="0"/>
      <w:marRight w:val="0"/>
      <w:marTop w:val="0"/>
      <w:marBottom w:val="0"/>
      <w:divBdr>
        <w:top w:val="none" w:sz="0" w:space="0" w:color="auto"/>
        <w:left w:val="none" w:sz="0" w:space="0" w:color="auto"/>
        <w:bottom w:val="none" w:sz="0" w:space="0" w:color="auto"/>
        <w:right w:val="none" w:sz="0" w:space="0" w:color="auto"/>
      </w:divBdr>
    </w:div>
    <w:div w:id="876552046">
      <w:bodyDiv w:val="1"/>
      <w:marLeft w:val="0"/>
      <w:marRight w:val="0"/>
      <w:marTop w:val="0"/>
      <w:marBottom w:val="0"/>
      <w:divBdr>
        <w:top w:val="none" w:sz="0" w:space="0" w:color="auto"/>
        <w:left w:val="none" w:sz="0" w:space="0" w:color="auto"/>
        <w:bottom w:val="none" w:sz="0" w:space="0" w:color="auto"/>
        <w:right w:val="none" w:sz="0" w:space="0" w:color="auto"/>
      </w:divBdr>
    </w:div>
    <w:div w:id="1024483661">
      <w:bodyDiv w:val="1"/>
      <w:marLeft w:val="0"/>
      <w:marRight w:val="0"/>
      <w:marTop w:val="0"/>
      <w:marBottom w:val="0"/>
      <w:divBdr>
        <w:top w:val="none" w:sz="0" w:space="0" w:color="auto"/>
        <w:left w:val="none" w:sz="0" w:space="0" w:color="auto"/>
        <w:bottom w:val="none" w:sz="0" w:space="0" w:color="auto"/>
        <w:right w:val="none" w:sz="0" w:space="0" w:color="auto"/>
      </w:divBdr>
    </w:div>
    <w:div w:id="1169566462">
      <w:bodyDiv w:val="1"/>
      <w:marLeft w:val="0"/>
      <w:marRight w:val="0"/>
      <w:marTop w:val="0"/>
      <w:marBottom w:val="0"/>
      <w:divBdr>
        <w:top w:val="none" w:sz="0" w:space="0" w:color="auto"/>
        <w:left w:val="none" w:sz="0" w:space="0" w:color="auto"/>
        <w:bottom w:val="none" w:sz="0" w:space="0" w:color="auto"/>
        <w:right w:val="none" w:sz="0" w:space="0" w:color="auto"/>
      </w:divBdr>
    </w:div>
    <w:div w:id="1365057549">
      <w:bodyDiv w:val="1"/>
      <w:marLeft w:val="0"/>
      <w:marRight w:val="0"/>
      <w:marTop w:val="0"/>
      <w:marBottom w:val="0"/>
      <w:divBdr>
        <w:top w:val="none" w:sz="0" w:space="0" w:color="auto"/>
        <w:left w:val="none" w:sz="0" w:space="0" w:color="auto"/>
        <w:bottom w:val="none" w:sz="0" w:space="0" w:color="auto"/>
        <w:right w:val="none" w:sz="0" w:space="0" w:color="auto"/>
      </w:divBdr>
    </w:div>
    <w:div w:id="1394960127">
      <w:bodyDiv w:val="1"/>
      <w:marLeft w:val="0"/>
      <w:marRight w:val="0"/>
      <w:marTop w:val="0"/>
      <w:marBottom w:val="0"/>
      <w:divBdr>
        <w:top w:val="none" w:sz="0" w:space="0" w:color="auto"/>
        <w:left w:val="none" w:sz="0" w:space="0" w:color="auto"/>
        <w:bottom w:val="none" w:sz="0" w:space="0" w:color="auto"/>
        <w:right w:val="none" w:sz="0" w:space="0" w:color="auto"/>
      </w:divBdr>
    </w:div>
    <w:div w:id="1401975438">
      <w:bodyDiv w:val="1"/>
      <w:marLeft w:val="0"/>
      <w:marRight w:val="0"/>
      <w:marTop w:val="0"/>
      <w:marBottom w:val="0"/>
      <w:divBdr>
        <w:top w:val="none" w:sz="0" w:space="0" w:color="auto"/>
        <w:left w:val="none" w:sz="0" w:space="0" w:color="auto"/>
        <w:bottom w:val="none" w:sz="0" w:space="0" w:color="auto"/>
        <w:right w:val="none" w:sz="0" w:space="0" w:color="auto"/>
      </w:divBdr>
    </w:div>
    <w:div w:id="1462764261">
      <w:bodyDiv w:val="1"/>
      <w:marLeft w:val="0"/>
      <w:marRight w:val="0"/>
      <w:marTop w:val="0"/>
      <w:marBottom w:val="0"/>
      <w:divBdr>
        <w:top w:val="none" w:sz="0" w:space="0" w:color="auto"/>
        <w:left w:val="none" w:sz="0" w:space="0" w:color="auto"/>
        <w:bottom w:val="none" w:sz="0" w:space="0" w:color="auto"/>
        <w:right w:val="none" w:sz="0" w:space="0" w:color="auto"/>
      </w:divBdr>
    </w:div>
    <w:div w:id="1546135450">
      <w:bodyDiv w:val="1"/>
      <w:marLeft w:val="0"/>
      <w:marRight w:val="0"/>
      <w:marTop w:val="0"/>
      <w:marBottom w:val="0"/>
      <w:divBdr>
        <w:top w:val="none" w:sz="0" w:space="0" w:color="auto"/>
        <w:left w:val="none" w:sz="0" w:space="0" w:color="auto"/>
        <w:bottom w:val="none" w:sz="0" w:space="0" w:color="auto"/>
        <w:right w:val="none" w:sz="0" w:space="0" w:color="auto"/>
      </w:divBdr>
    </w:div>
    <w:div w:id="1624575001">
      <w:bodyDiv w:val="1"/>
      <w:marLeft w:val="0"/>
      <w:marRight w:val="0"/>
      <w:marTop w:val="0"/>
      <w:marBottom w:val="0"/>
      <w:divBdr>
        <w:top w:val="none" w:sz="0" w:space="0" w:color="auto"/>
        <w:left w:val="none" w:sz="0" w:space="0" w:color="auto"/>
        <w:bottom w:val="none" w:sz="0" w:space="0" w:color="auto"/>
        <w:right w:val="none" w:sz="0" w:space="0" w:color="auto"/>
      </w:divBdr>
    </w:div>
    <w:div w:id="1717774729">
      <w:bodyDiv w:val="1"/>
      <w:marLeft w:val="0"/>
      <w:marRight w:val="0"/>
      <w:marTop w:val="0"/>
      <w:marBottom w:val="0"/>
      <w:divBdr>
        <w:top w:val="none" w:sz="0" w:space="0" w:color="auto"/>
        <w:left w:val="none" w:sz="0" w:space="0" w:color="auto"/>
        <w:bottom w:val="none" w:sz="0" w:space="0" w:color="auto"/>
        <w:right w:val="none" w:sz="0" w:space="0" w:color="auto"/>
      </w:divBdr>
    </w:div>
    <w:div w:id="1910769079">
      <w:bodyDiv w:val="1"/>
      <w:marLeft w:val="0"/>
      <w:marRight w:val="0"/>
      <w:marTop w:val="0"/>
      <w:marBottom w:val="0"/>
      <w:divBdr>
        <w:top w:val="none" w:sz="0" w:space="0" w:color="auto"/>
        <w:left w:val="none" w:sz="0" w:space="0" w:color="auto"/>
        <w:bottom w:val="none" w:sz="0" w:space="0" w:color="auto"/>
        <w:right w:val="none" w:sz="0" w:space="0" w:color="auto"/>
      </w:divBdr>
    </w:div>
    <w:div w:id="1968663933">
      <w:bodyDiv w:val="1"/>
      <w:marLeft w:val="0"/>
      <w:marRight w:val="0"/>
      <w:marTop w:val="0"/>
      <w:marBottom w:val="0"/>
      <w:divBdr>
        <w:top w:val="none" w:sz="0" w:space="0" w:color="auto"/>
        <w:left w:val="none" w:sz="0" w:space="0" w:color="auto"/>
        <w:bottom w:val="none" w:sz="0" w:space="0" w:color="auto"/>
        <w:right w:val="none" w:sz="0" w:space="0" w:color="auto"/>
      </w:divBdr>
    </w:div>
    <w:div w:id="1975596073">
      <w:bodyDiv w:val="1"/>
      <w:marLeft w:val="0"/>
      <w:marRight w:val="0"/>
      <w:marTop w:val="0"/>
      <w:marBottom w:val="0"/>
      <w:divBdr>
        <w:top w:val="none" w:sz="0" w:space="0" w:color="auto"/>
        <w:left w:val="none" w:sz="0" w:space="0" w:color="auto"/>
        <w:bottom w:val="none" w:sz="0" w:space="0" w:color="auto"/>
        <w:right w:val="none" w:sz="0" w:space="0" w:color="auto"/>
      </w:divBdr>
    </w:div>
    <w:div w:id="2001149909">
      <w:bodyDiv w:val="1"/>
      <w:marLeft w:val="0"/>
      <w:marRight w:val="0"/>
      <w:marTop w:val="0"/>
      <w:marBottom w:val="0"/>
      <w:divBdr>
        <w:top w:val="none" w:sz="0" w:space="0" w:color="auto"/>
        <w:left w:val="none" w:sz="0" w:space="0" w:color="auto"/>
        <w:bottom w:val="none" w:sz="0" w:space="0" w:color="auto"/>
        <w:right w:val="none" w:sz="0" w:space="0" w:color="auto"/>
      </w:divBdr>
    </w:div>
    <w:div w:id="2024014552">
      <w:bodyDiv w:val="1"/>
      <w:marLeft w:val="0"/>
      <w:marRight w:val="0"/>
      <w:marTop w:val="0"/>
      <w:marBottom w:val="0"/>
      <w:divBdr>
        <w:top w:val="none" w:sz="0" w:space="0" w:color="auto"/>
        <w:left w:val="none" w:sz="0" w:space="0" w:color="auto"/>
        <w:bottom w:val="none" w:sz="0" w:space="0" w:color="auto"/>
        <w:right w:val="none" w:sz="0" w:space="0" w:color="auto"/>
      </w:divBdr>
    </w:div>
    <w:div w:id="2097440260">
      <w:bodyDiv w:val="1"/>
      <w:marLeft w:val="0"/>
      <w:marRight w:val="0"/>
      <w:marTop w:val="0"/>
      <w:marBottom w:val="0"/>
      <w:divBdr>
        <w:top w:val="none" w:sz="0" w:space="0" w:color="auto"/>
        <w:left w:val="none" w:sz="0" w:space="0" w:color="auto"/>
        <w:bottom w:val="none" w:sz="0" w:space="0" w:color="auto"/>
        <w:right w:val="none" w:sz="0" w:space="0" w:color="auto"/>
      </w:divBdr>
    </w:div>
    <w:div w:id="2120946809">
      <w:bodyDiv w:val="1"/>
      <w:marLeft w:val="0"/>
      <w:marRight w:val="0"/>
      <w:marTop w:val="0"/>
      <w:marBottom w:val="0"/>
      <w:divBdr>
        <w:top w:val="none" w:sz="0" w:space="0" w:color="auto"/>
        <w:left w:val="none" w:sz="0" w:space="0" w:color="auto"/>
        <w:bottom w:val="none" w:sz="0" w:space="0" w:color="auto"/>
        <w:right w:val="none" w:sz="0" w:space="0" w:color="auto"/>
      </w:divBdr>
    </w:div>
    <w:div w:id="213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7</Pages>
  <Words>653</Words>
  <Characters>3725</Characters>
  <Application>Microsoft Office Word</Application>
  <DocSecurity>0</DocSecurity>
  <Lines>31</Lines>
  <Paragraphs>8</Paragraphs>
  <ScaleCrop>false</ScaleCrop>
  <Company>微软中国</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周寰宇</cp:lastModifiedBy>
  <cp:revision>58</cp:revision>
  <dcterms:created xsi:type="dcterms:W3CDTF">2013-07-19T01:40:00Z</dcterms:created>
  <dcterms:modified xsi:type="dcterms:W3CDTF">2019-10-10T05:59:00Z</dcterms:modified>
</cp:coreProperties>
</file>