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00" w:rsidRDefault="00DF4000" w:rsidP="00DF4000">
      <w:pPr>
        <w:spacing w:line="360" w:lineRule="auto"/>
        <w:ind w:hanging="26"/>
        <w:jc w:val="center"/>
        <w:rPr>
          <w:rFonts w:ascii="Calibri" w:eastAsia="宋体" w:hAnsi="Calibri" w:cs="Times New Roman"/>
          <w:b/>
          <w:sz w:val="28"/>
          <w:szCs w:val="28"/>
        </w:rPr>
      </w:pPr>
      <w:r w:rsidRPr="00492A57">
        <w:rPr>
          <w:rFonts w:ascii="Calibri" w:eastAsia="宋体" w:hAnsi="Calibri" w:cs="Times New Roman" w:hint="eastAsia"/>
          <w:b/>
          <w:sz w:val="28"/>
          <w:szCs w:val="28"/>
        </w:rPr>
        <w:t>广发基金管理有限公司</w:t>
      </w:r>
    </w:p>
    <w:p w:rsidR="00DF4000" w:rsidRPr="00D137BB" w:rsidRDefault="00226FC1" w:rsidP="00DF4000">
      <w:pPr>
        <w:spacing w:line="360" w:lineRule="auto"/>
        <w:jc w:val="center"/>
        <w:rPr>
          <w:rFonts w:ascii="Calibri" w:eastAsia="宋体" w:hAnsi="Calibri" w:cs="Times New Roman"/>
          <w:b/>
          <w:sz w:val="28"/>
          <w:szCs w:val="28"/>
        </w:rPr>
      </w:pPr>
      <w:r>
        <w:rPr>
          <w:rFonts w:ascii="Calibri" w:eastAsia="宋体" w:hAnsi="Calibri" w:cs="Times New Roman" w:hint="eastAsia"/>
          <w:b/>
          <w:sz w:val="28"/>
          <w:szCs w:val="28"/>
        </w:rPr>
        <w:t>根据《公开募集证券投资基金信息披露管理办法》修改旗下</w:t>
      </w:r>
      <w:r w:rsidR="003E5971">
        <w:rPr>
          <w:rFonts w:ascii="Calibri" w:eastAsia="宋体" w:hAnsi="Calibri" w:cs="Times New Roman"/>
          <w:b/>
          <w:sz w:val="28"/>
          <w:szCs w:val="28"/>
        </w:rPr>
        <w:t>41</w:t>
      </w:r>
      <w:r>
        <w:rPr>
          <w:rFonts w:ascii="Calibri" w:eastAsia="宋体" w:hAnsi="Calibri" w:cs="Times New Roman"/>
          <w:b/>
          <w:sz w:val="28"/>
          <w:szCs w:val="28"/>
        </w:rPr>
        <w:t>只公募基金基金合同及托管协议并更新招募说明书及摘要的公告</w:t>
      </w:r>
    </w:p>
    <w:p w:rsidR="00DF4000" w:rsidRPr="003E5971" w:rsidRDefault="00DF4000" w:rsidP="00DF4000">
      <w:pPr>
        <w:spacing w:line="360" w:lineRule="auto"/>
      </w:pPr>
    </w:p>
    <w:p w:rsidR="00DF4000" w:rsidRDefault="00DF4000" w:rsidP="00DF4000">
      <w:pPr>
        <w:spacing w:line="360" w:lineRule="auto"/>
        <w:ind w:firstLine="480"/>
        <w:rPr>
          <w:rFonts w:asciiTheme="minorEastAsia" w:hAnsiTheme="minorEastAsia"/>
          <w:sz w:val="24"/>
          <w:szCs w:val="24"/>
        </w:rPr>
      </w:pPr>
      <w:r w:rsidRPr="00DF4000">
        <w:rPr>
          <w:rFonts w:asciiTheme="minorEastAsia" w:hAnsiTheme="minorEastAsia" w:hint="eastAsia"/>
          <w:sz w:val="24"/>
          <w:szCs w:val="24"/>
        </w:rPr>
        <w:t>根据中国证监会</w:t>
      </w:r>
      <w:r w:rsidRPr="00DF4000">
        <w:rPr>
          <w:rFonts w:asciiTheme="minorEastAsia" w:hAnsiTheme="minorEastAsia"/>
          <w:sz w:val="24"/>
          <w:szCs w:val="24"/>
        </w:rPr>
        <w:t>2019</w:t>
      </w:r>
      <w:r w:rsidRPr="00DF4000">
        <w:rPr>
          <w:rFonts w:asciiTheme="minorEastAsia" w:hAnsiTheme="minorEastAsia" w:hint="eastAsia"/>
          <w:sz w:val="24"/>
          <w:szCs w:val="24"/>
        </w:rPr>
        <w:t>年</w:t>
      </w:r>
      <w:r w:rsidRPr="00DF4000">
        <w:rPr>
          <w:rFonts w:asciiTheme="minorEastAsia" w:hAnsiTheme="minorEastAsia"/>
          <w:sz w:val="24"/>
          <w:szCs w:val="24"/>
        </w:rPr>
        <w:t>7</w:t>
      </w:r>
      <w:r w:rsidRPr="00DF4000">
        <w:rPr>
          <w:rFonts w:asciiTheme="minorEastAsia" w:hAnsiTheme="minorEastAsia" w:hint="eastAsia"/>
          <w:sz w:val="24"/>
          <w:szCs w:val="24"/>
        </w:rPr>
        <w:t>月</w:t>
      </w:r>
      <w:r w:rsidRPr="00DF4000">
        <w:rPr>
          <w:rFonts w:asciiTheme="minorEastAsia" w:hAnsiTheme="minorEastAsia"/>
          <w:sz w:val="24"/>
          <w:szCs w:val="24"/>
        </w:rPr>
        <w:t>26</w:t>
      </w:r>
      <w:r w:rsidRPr="00DF4000">
        <w:rPr>
          <w:rFonts w:asciiTheme="minorEastAsia" w:hAnsiTheme="minorEastAsia" w:hint="eastAsia"/>
          <w:sz w:val="24"/>
          <w:szCs w:val="24"/>
        </w:rPr>
        <w:t>日颁布、同年</w:t>
      </w:r>
      <w:r w:rsidRPr="00DF4000">
        <w:rPr>
          <w:rFonts w:asciiTheme="minorEastAsia" w:hAnsiTheme="minorEastAsia"/>
          <w:sz w:val="24"/>
          <w:szCs w:val="24"/>
        </w:rPr>
        <w:t>9</w:t>
      </w:r>
      <w:r w:rsidRPr="00DF4000">
        <w:rPr>
          <w:rFonts w:asciiTheme="minorEastAsia" w:hAnsiTheme="minorEastAsia" w:hint="eastAsia"/>
          <w:sz w:val="24"/>
          <w:szCs w:val="24"/>
        </w:rPr>
        <w:t>月</w:t>
      </w:r>
      <w:r w:rsidRPr="00DF4000">
        <w:rPr>
          <w:rFonts w:asciiTheme="minorEastAsia" w:hAnsiTheme="minorEastAsia"/>
          <w:sz w:val="24"/>
          <w:szCs w:val="24"/>
        </w:rPr>
        <w:t>1</w:t>
      </w:r>
      <w:r w:rsidRPr="00DF4000">
        <w:rPr>
          <w:rFonts w:asciiTheme="minorEastAsia" w:hAnsiTheme="minorEastAsia" w:hint="eastAsia"/>
          <w:sz w:val="24"/>
          <w:szCs w:val="24"/>
        </w:rPr>
        <w:t>日起施行的《公开募集证券投资基金信息披露管理办法》（以下简称</w:t>
      </w:r>
      <w:r w:rsidRPr="00DF4000">
        <w:rPr>
          <w:rFonts w:asciiTheme="minorEastAsia" w:hAnsiTheme="minorEastAsia"/>
          <w:sz w:val="24"/>
          <w:szCs w:val="24"/>
        </w:rPr>
        <w:t>“</w:t>
      </w:r>
      <w:r w:rsidRPr="00DF4000">
        <w:rPr>
          <w:rFonts w:asciiTheme="minorEastAsia" w:hAnsiTheme="minorEastAsia" w:hint="eastAsia"/>
          <w:sz w:val="24"/>
          <w:szCs w:val="24"/>
        </w:rPr>
        <w:t>《信息披露办法》</w:t>
      </w:r>
      <w:r w:rsidRPr="00DF4000">
        <w:rPr>
          <w:rFonts w:asciiTheme="minorEastAsia" w:hAnsiTheme="minorEastAsia"/>
          <w:sz w:val="24"/>
          <w:szCs w:val="24"/>
        </w:rPr>
        <w:t>”</w:t>
      </w:r>
      <w:r w:rsidRPr="00DF4000">
        <w:rPr>
          <w:rFonts w:asciiTheme="minorEastAsia" w:hAnsiTheme="minorEastAsia" w:hint="eastAsia"/>
          <w:sz w:val="24"/>
          <w:szCs w:val="24"/>
        </w:rPr>
        <w:t>）的有关规定，</w:t>
      </w:r>
      <w:r>
        <w:rPr>
          <w:rFonts w:asciiTheme="minorEastAsia" w:hAnsiTheme="minorEastAsia" w:hint="eastAsia"/>
          <w:sz w:val="24"/>
          <w:szCs w:val="24"/>
        </w:rPr>
        <w:t>广发基金管理有限公司</w:t>
      </w:r>
      <w:r w:rsidRPr="00DF4000">
        <w:rPr>
          <w:rFonts w:asciiTheme="minorEastAsia" w:hAnsiTheme="minorEastAsia" w:hint="eastAsia"/>
          <w:sz w:val="24"/>
          <w:szCs w:val="24"/>
        </w:rPr>
        <w:t>（以下简称</w:t>
      </w:r>
      <w:r w:rsidRPr="00DF4000">
        <w:rPr>
          <w:rFonts w:asciiTheme="minorEastAsia" w:hAnsiTheme="minorEastAsia"/>
          <w:sz w:val="24"/>
          <w:szCs w:val="24"/>
        </w:rPr>
        <w:t>“</w:t>
      </w:r>
      <w:r w:rsidRPr="00DF4000">
        <w:rPr>
          <w:rFonts w:asciiTheme="minorEastAsia" w:hAnsiTheme="minorEastAsia" w:hint="eastAsia"/>
          <w:sz w:val="24"/>
          <w:szCs w:val="24"/>
        </w:rPr>
        <w:t>本公司</w:t>
      </w:r>
      <w:r w:rsidRPr="00DF4000">
        <w:rPr>
          <w:rFonts w:asciiTheme="minorEastAsia" w:hAnsiTheme="minorEastAsia"/>
          <w:sz w:val="24"/>
          <w:szCs w:val="24"/>
        </w:rPr>
        <w:t>”</w:t>
      </w:r>
      <w:r w:rsidRPr="00DF4000">
        <w:rPr>
          <w:rFonts w:asciiTheme="minorEastAsia" w:hAnsiTheme="minorEastAsia" w:hint="eastAsia"/>
          <w:sz w:val="24"/>
          <w:szCs w:val="24"/>
        </w:rPr>
        <w:t>）经与基金托管人协商一致，对旗下</w:t>
      </w:r>
      <w:r>
        <w:rPr>
          <w:rFonts w:asciiTheme="minorEastAsia" w:hAnsiTheme="minorEastAsia" w:hint="eastAsia"/>
          <w:sz w:val="24"/>
          <w:szCs w:val="24"/>
        </w:rPr>
        <w:t>部分</w:t>
      </w:r>
      <w:r w:rsidRPr="00DF4000">
        <w:rPr>
          <w:rFonts w:asciiTheme="minorEastAsia" w:hAnsiTheme="minorEastAsia" w:hint="eastAsia"/>
          <w:sz w:val="24"/>
          <w:szCs w:val="24"/>
        </w:rPr>
        <w:t>基金的基金合同和托管协议进行了</w:t>
      </w:r>
      <w:r w:rsidR="00CA113C">
        <w:rPr>
          <w:rFonts w:asciiTheme="minorEastAsia" w:hAnsiTheme="minorEastAsia" w:hint="eastAsia"/>
          <w:sz w:val="24"/>
          <w:szCs w:val="24"/>
        </w:rPr>
        <w:t>修订</w:t>
      </w:r>
      <w:r w:rsidRPr="00DF4000">
        <w:rPr>
          <w:rFonts w:asciiTheme="minorEastAsia" w:hAnsiTheme="minorEastAsia" w:hint="eastAsia"/>
          <w:sz w:val="24"/>
          <w:szCs w:val="24"/>
        </w:rPr>
        <w:t>。现将有关修订内容说明如下：</w:t>
      </w:r>
    </w:p>
    <w:p w:rsidR="00DF4000" w:rsidRPr="00DF4000" w:rsidRDefault="00DF4000" w:rsidP="00CA113C">
      <w:pPr>
        <w:spacing w:line="360" w:lineRule="auto"/>
        <w:ind w:firstLineChars="200" w:firstLine="480"/>
        <w:rPr>
          <w:rFonts w:asciiTheme="minorEastAsia" w:hAnsiTheme="minorEastAsia"/>
          <w:sz w:val="24"/>
          <w:szCs w:val="24"/>
        </w:rPr>
      </w:pPr>
      <w:r w:rsidRPr="00DF4000">
        <w:rPr>
          <w:rFonts w:asciiTheme="minorEastAsia" w:hAnsiTheme="minorEastAsia"/>
          <w:sz w:val="24"/>
          <w:szCs w:val="24"/>
        </w:rPr>
        <w:t>1</w:t>
      </w:r>
      <w:r w:rsidR="00652B09">
        <w:rPr>
          <w:rFonts w:asciiTheme="minorEastAsia" w:hAnsiTheme="minorEastAsia" w:hint="eastAsia"/>
          <w:sz w:val="24"/>
          <w:szCs w:val="24"/>
        </w:rPr>
        <w:t>、根据《信息披露</w:t>
      </w:r>
      <w:r w:rsidRPr="00DF4000">
        <w:rPr>
          <w:rFonts w:asciiTheme="minorEastAsia" w:hAnsiTheme="minorEastAsia" w:hint="eastAsia"/>
          <w:sz w:val="24"/>
          <w:szCs w:val="24"/>
        </w:rPr>
        <w:t>办法》等法律法规，对旗下</w:t>
      </w:r>
      <w:r>
        <w:rPr>
          <w:rFonts w:asciiTheme="minorEastAsia" w:hAnsiTheme="minorEastAsia" w:hint="eastAsia"/>
          <w:sz w:val="24"/>
          <w:szCs w:val="24"/>
        </w:rPr>
        <w:t>部分</w:t>
      </w:r>
      <w:r w:rsidRPr="00DF4000">
        <w:rPr>
          <w:rFonts w:asciiTheme="minorEastAsia" w:hAnsiTheme="minorEastAsia" w:hint="eastAsia"/>
          <w:sz w:val="24"/>
          <w:szCs w:val="24"/>
        </w:rPr>
        <w:t>基金基金合同中的前言、释义、基金份额的申购与赎回、基金合同当事人及其权利义务、</w:t>
      </w:r>
      <w:r>
        <w:rPr>
          <w:rFonts w:asciiTheme="minorEastAsia" w:hAnsiTheme="minorEastAsia" w:hint="eastAsia"/>
          <w:sz w:val="24"/>
          <w:szCs w:val="24"/>
        </w:rPr>
        <w:t>基金费用与税收、</w:t>
      </w:r>
      <w:r w:rsidRPr="00DF4000">
        <w:rPr>
          <w:rFonts w:asciiTheme="minorEastAsia" w:hAnsiTheme="minorEastAsia" w:hint="eastAsia"/>
          <w:sz w:val="24"/>
          <w:szCs w:val="24"/>
        </w:rPr>
        <w:t>基金</w:t>
      </w:r>
      <w:r>
        <w:rPr>
          <w:rFonts w:asciiTheme="minorEastAsia" w:hAnsiTheme="minorEastAsia" w:hint="eastAsia"/>
          <w:sz w:val="24"/>
          <w:szCs w:val="24"/>
        </w:rPr>
        <w:t>的</w:t>
      </w:r>
      <w:r w:rsidRPr="00DF4000">
        <w:rPr>
          <w:rFonts w:asciiTheme="minorEastAsia" w:hAnsiTheme="minorEastAsia" w:hint="eastAsia"/>
          <w:sz w:val="24"/>
          <w:szCs w:val="24"/>
        </w:rPr>
        <w:t>收益与分配、基金的会计与审计、基金的信息披露等</w:t>
      </w:r>
      <w:r w:rsidR="00083DDE">
        <w:rPr>
          <w:rFonts w:asciiTheme="minorEastAsia" w:hAnsiTheme="minorEastAsia" w:hint="eastAsia"/>
          <w:sz w:val="24"/>
          <w:szCs w:val="24"/>
        </w:rPr>
        <w:t>涉及信息披露的相关</w:t>
      </w:r>
      <w:r w:rsidRPr="00DF4000">
        <w:rPr>
          <w:rFonts w:asciiTheme="minorEastAsia" w:hAnsiTheme="minorEastAsia" w:hint="eastAsia"/>
          <w:sz w:val="24"/>
          <w:szCs w:val="24"/>
        </w:rPr>
        <w:t>条款进行修订。相关基金的名单（以下统称</w:t>
      </w:r>
      <w:r w:rsidRPr="00DF4000">
        <w:rPr>
          <w:rFonts w:asciiTheme="minorEastAsia" w:hAnsiTheme="minorEastAsia"/>
          <w:sz w:val="24"/>
          <w:szCs w:val="24"/>
        </w:rPr>
        <w:t>“</w:t>
      </w:r>
      <w:r w:rsidRPr="00DF4000">
        <w:rPr>
          <w:rFonts w:asciiTheme="minorEastAsia" w:hAnsiTheme="minorEastAsia" w:hint="eastAsia"/>
          <w:sz w:val="24"/>
          <w:szCs w:val="24"/>
        </w:rPr>
        <w:t>相关基金</w:t>
      </w:r>
      <w:r w:rsidRPr="00DF4000">
        <w:rPr>
          <w:rFonts w:asciiTheme="minorEastAsia" w:hAnsiTheme="minorEastAsia"/>
          <w:sz w:val="24"/>
          <w:szCs w:val="24"/>
        </w:rPr>
        <w:t>”</w:t>
      </w:r>
      <w:r w:rsidRPr="00DF4000">
        <w:rPr>
          <w:rFonts w:asciiTheme="minorEastAsia" w:hAnsiTheme="minorEastAsia" w:hint="eastAsia"/>
          <w:sz w:val="24"/>
          <w:szCs w:val="24"/>
        </w:rPr>
        <w:t>）</w:t>
      </w:r>
      <w:r w:rsidR="0063647C">
        <w:rPr>
          <w:rFonts w:asciiTheme="minorEastAsia" w:hAnsiTheme="minorEastAsia" w:hint="eastAsia"/>
          <w:sz w:val="24"/>
          <w:szCs w:val="24"/>
        </w:rPr>
        <w:t>详</w:t>
      </w:r>
      <w:r>
        <w:rPr>
          <w:rFonts w:asciiTheme="minorEastAsia" w:hAnsiTheme="minorEastAsia" w:hint="eastAsia"/>
          <w:sz w:val="24"/>
          <w:szCs w:val="24"/>
        </w:rPr>
        <w:t>见附件，</w:t>
      </w:r>
      <w:r w:rsidRPr="00DF4000">
        <w:rPr>
          <w:rFonts w:asciiTheme="minorEastAsia" w:hAnsiTheme="minorEastAsia" w:hint="eastAsia"/>
          <w:sz w:val="24"/>
          <w:szCs w:val="24"/>
        </w:rPr>
        <w:t>具体修订</w:t>
      </w:r>
      <w:r w:rsidR="0063647C">
        <w:rPr>
          <w:rFonts w:asciiTheme="minorEastAsia" w:hAnsiTheme="minorEastAsia" w:hint="eastAsia"/>
          <w:sz w:val="24"/>
          <w:szCs w:val="24"/>
        </w:rPr>
        <w:t>内容</w:t>
      </w:r>
      <w:r w:rsidRPr="00DF4000">
        <w:rPr>
          <w:rFonts w:asciiTheme="minorEastAsia" w:hAnsiTheme="minorEastAsia" w:hint="eastAsia"/>
          <w:sz w:val="24"/>
          <w:szCs w:val="24"/>
        </w:rPr>
        <w:t>详见相关基金更新后的基金合同。</w:t>
      </w:r>
    </w:p>
    <w:p w:rsidR="00DF4000" w:rsidRPr="00DF4000" w:rsidRDefault="00DF4000" w:rsidP="00CA113C">
      <w:pPr>
        <w:spacing w:line="360" w:lineRule="auto"/>
        <w:ind w:firstLineChars="200" w:firstLine="480"/>
        <w:rPr>
          <w:rFonts w:asciiTheme="minorEastAsia" w:hAnsiTheme="minorEastAsia"/>
          <w:sz w:val="24"/>
          <w:szCs w:val="24"/>
        </w:rPr>
      </w:pPr>
      <w:r w:rsidRPr="00DF4000">
        <w:rPr>
          <w:rFonts w:asciiTheme="minorEastAsia" w:hAnsiTheme="minorEastAsia"/>
          <w:sz w:val="24"/>
          <w:szCs w:val="24"/>
        </w:rPr>
        <w:t>2</w:t>
      </w:r>
      <w:r w:rsidRPr="00DF4000">
        <w:rPr>
          <w:rFonts w:asciiTheme="minorEastAsia" w:hAnsiTheme="minorEastAsia" w:hint="eastAsia"/>
          <w:sz w:val="24"/>
          <w:szCs w:val="24"/>
        </w:rPr>
        <w:t>、本基金管理人经与相关基金托管人协商一致，在本公司对相关基金基金合同进行修订后，对相关基金</w:t>
      </w:r>
      <w:r w:rsidR="00C64E03">
        <w:rPr>
          <w:rFonts w:asciiTheme="minorEastAsia" w:hAnsiTheme="minorEastAsia" w:hint="eastAsia"/>
          <w:sz w:val="24"/>
          <w:szCs w:val="24"/>
        </w:rPr>
        <w:t>的</w:t>
      </w:r>
      <w:r w:rsidRPr="00DF4000">
        <w:rPr>
          <w:rFonts w:asciiTheme="minorEastAsia" w:hAnsiTheme="minorEastAsia" w:hint="eastAsia"/>
          <w:sz w:val="24"/>
          <w:szCs w:val="24"/>
        </w:rPr>
        <w:t>托管协议</w:t>
      </w:r>
      <w:r w:rsidR="00C64E03">
        <w:rPr>
          <w:rFonts w:asciiTheme="minorEastAsia" w:hAnsiTheme="minorEastAsia" w:hint="eastAsia"/>
          <w:sz w:val="24"/>
          <w:szCs w:val="24"/>
        </w:rPr>
        <w:t>和招募说明书</w:t>
      </w:r>
      <w:r w:rsidRPr="00DF4000">
        <w:rPr>
          <w:rFonts w:asciiTheme="minorEastAsia" w:hAnsiTheme="minorEastAsia" w:hint="eastAsia"/>
          <w:sz w:val="24"/>
          <w:szCs w:val="24"/>
        </w:rPr>
        <w:t>涉及的上述相关内容进行相应修订。</w:t>
      </w:r>
    </w:p>
    <w:p w:rsidR="00C64E03" w:rsidRDefault="00DF4000" w:rsidP="00DF4000">
      <w:pPr>
        <w:spacing w:line="360" w:lineRule="auto"/>
        <w:ind w:firstLineChars="200" w:firstLine="480"/>
        <w:rPr>
          <w:rFonts w:asciiTheme="minorEastAsia" w:hAnsiTheme="minorEastAsia"/>
          <w:sz w:val="24"/>
          <w:szCs w:val="24"/>
        </w:rPr>
      </w:pPr>
      <w:r w:rsidRPr="00DF4000">
        <w:rPr>
          <w:rFonts w:asciiTheme="minorEastAsia" w:hAnsiTheme="minorEastAsia"/>
          <w:sz w:val="24"/>
          <w:szCs w:val="24"/>
        </w:rPr>
        <w:t>3</w:t>
      </w:r>
      <w:r w:rsidRPr="00DF4000">
        <w:rPr>
          <w:rFonts w:asciiTheme="minorEastAsia" w:hAnsiTheme="minorEastAsia" w:hint="eastAsia"/>
          <w:sz w:val="24"/>
          <w:szCs w:val="24"/>
        </w:rPr>
        <w:t>、本次</w:t>
      </w:r>
      <w:r w:rsidR="00C64E03">
        <w:rPr>
          <w:rFonts w:asciiTheme="minorEastAsia" w:hAnsiTheme="minorEastAsia" w:hint="eastAsia"/>
          <w:sz w:val="24"/>
          <w:szCs w:val="24"/>
        </w:rPr>
        <w:t>相关基金</w:t>
      </w:r>
      <w:r w:rsidRPr="00DF4000">
        <w:rPr>
          <w:rFonts w:asciiTheme="minorEastAsia" w:hAnsiTheme="minorEastAsia" w:hint="eastAsia"/>
          <w:sz w:val="24"/>
          <w:szCs w:val="24"/>
        </w:rPr>
        <w:t>基金合同和托管协议修订的内容系因相关法律法规发生变动而应当进行的必要修改，对原有基金份额持有人的利益无实质不利影响。上述基金基金合同和托管协议的修订已经履行了规定的程序，符合相关法律法规及基金合同的规定，无需召开基金份额持有人大会。</w:t>
      </w:r>
    </w:p>
    <w:p w:rsidR="00DF4000" w:rsidRPr="00DF4000" w:rsidRDefault="00AF776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DF4000" w:rsidRPr="00DF4000">
        <w:rPr>
          <w:rFonts w:asciiTheme="minorEastAsia" w:hAnsiTheme="minorEastAsia" w:hint="eastAsia"/>
          <w:sz w:val="24"/>
          <w:szCs w:val="24"/>
        </w:rPr>
        <w:t>本次</w:t>
      </w:r>
      <w:r w:rsidR="00C64E03" w:rsidRPr="00C64E03">
        <w:rPr>
          <w:rFonts w:asciiTheme="minorEastAsia" w:hAnsiTheme="minorEastAsia" w:hint="eastAsia"/>
          <w:sz w:val="24"/>
          <w:szCs w:val="24"/>
        </w:rPr>
        <w:t>相关基金</w:t>
      </w:r>
      <w:r w:rsidR="00DF4000" w:rsidRPr="00DF4000">
        <w:rPr>
          <w:rFonts w:asciiTheme="minorEastAsia" w:hAnsiTheme="minorEastAsia" w:hint="eastAsia"/>
          <w:sz w:val="24"/>
          <w:szCs w:val="24"/>
        </w:rPr>
        <w:t>修订后的基金合同自本公告发布之日起生效</w:t>
      </w:r>
      <w:r w:rsidR="00C64E03">
        <w:rPr>
          <w:rFonts w:asciiTheme="minorEastAsia" w:hAnsiTheme="minorEastAsia" w:hint="eastAsia"/>
          <w:sz w:val="24"/>
          <w:szCs w:val="24"/>
        </w:rPr>
        <w:t>。</w:t>
      </w:r>
      <w:r w:rsidR="00C64E03" w:rsidRPr="00C64E03">
        <w:rPr>
          <w:rFonts w:asciiTheme="minorEastAsia" w:hAnsiTheme="minorEastAsia" w:hint="eastAsia"/>
          <w:sz w:val="24"/>
          <w:szCs w:val="24"/>
        </w:rPr>
        <w:t>本公司将于公告当日，将</w:t>
      </w:r>
      <w:r w:rsidR="0051796C">
        <w:rPr>
          <w:rFonts w:asciiTheme="minorEastAsia" w:hAnsiTheme="minorEastAsia" w:hint="eastAsia"/>
          <w:sz w:val="24"/>
          <w:szCs w:val="24"/>
        </w:rPr>
        <w:t>修订</w:t>
      </w:r>
      <w:r w:rsidR="00C64E03" w:rsidRPr="00C64E03">
        <w:rPr>
          <w:rFonts w:asciiTheme="minorEastAsia" w:hAnsiTheme="minorEastAsia" w:hint="eastAsia"/>
          <w:sz w:val="24"/>
          <w:szCs w:val="24"/>
        </w:rPr>
        <w:t>后的</w:t>
      </w:r>
      <w:r w:rsidR="0051796C">
        <w:rPr>
          <w:rFonts w:asciiTheme="minorEastAsia" w:hAnsiTheme="minorEastAsia" w:hint="eastAsia"/>
          <w:sz w:val="24"/>
          <w:szCs w:val="24"/>
        </w:rPr>
        <w:t>基金合同、托管协议</w:t>
      </w:r>
      <w:r w:rsidR="00C64E03">
        <w:rPr>
          <w:rFonts w:asciiTheme="minorEastAsia" w:hAnsiTheme="minorEastAsia" w:hint="eastAsia"/>
          <w:sz w:val="24"/>
          <w:szCs w:val="24"/>
        </w:rPr>
        <w:t>以及</w:t>
      </w:r>
      <w:r w:rsidR="000851D3">
        <w:rPr>
          <w:rFonts w:asciiTheme="minorEastAsia" w:hAnsiTheme="minorEastAsia" w:hint="eastAsia"/>
          <w:sz w:val="24"/>
          <w:szCs w:val="24"/>
        </w:rPr>
        <w:t>更新的招募说明书</w:t>
      </w:r>
      <w:r w:rsidR="0051796C">
        <w:rPr>
          <w:rFonts w:asciiTheme="minorEastAsia" w:hAnsiTheme="minorEastAsia" w:hint="eastAsia"/>
          <w:sz w:val="24"/>
          <w:szCs w:val="24"/>
        </w:rPr>
        <w:t>及摘要</w:t>
      </w:r>
      <w:r w:rsidR="00C64E03" w:rsidRPr="00C64E03">
        <w:rPr>
          <w:rFonts w:asciiTheme="minorEastAsia" w:hAnsiTheme="minorEastAsia" w:hint="eastAsia"/>
          <w:sz w:val="24"/>
          <w:szCs w:val="24"/>
        </w:rPr>
        <w:t>登载于本公司网站</w:t>
      </w:r>
      <w:r w:rsidR="0051796C" w:rsidRPr="00DF4000">
        <w:rPr>
          <w:rFonts w:asciiTheme="minorEastAsia" w:hAnsiTheme="minorEastAsia" w:hint="eastAsia"/>
          <w:bCs/>
          <w:sz w:val="24"/>
          <w:szCs w:val="24"/>
        </w:rPr>
        <w:t>（</w:t>
      </w:r>
      <w:r w:rsidR="0051796C" w:rsidRPr="00DF4000">
        <w:rPr>
          <w:rFonts w:asciiTheme="minorEastAsia" w:hAnsiTheme="minorEastAsia"/>
          <w:bCs/>
          <w:sz w:val="24"/>
          <w:szCs w:val="24"/>
        </w:rPr>
        <w:t>www.gffunds.com.cn</w:t>
      </w:r>
      <w:r w:rsidR="0051796C" w:rsidRPr="00DF4000">
        <w:rPr>
          <w:rFonts w:asciiTheme="minorEastAsia" w:hAnsiTheme="minorEastAsia" w:hint="eastAsia"/>
          <w:bCs/>
          <w:sz w:val="24"/>
          <w:szCs w:val="24"/>
        </w:rPr>
        <w:t>）</w:t>
      </w:r>
      <w:r w:rsidR="0051796C">
        <w:rPr>
          <w:rFonts w:asciiTheme="minorEastAsia" w:hAnsiTheme="minorEastAsia" w:hint="eastAsia"/>
          <w:sz w:val="24"/>
          <w:szCs w:val="24"/>
        </w:rPr>
        <w:t>和中国证监会电子披露网站</w:t>
      </w:r>
      <w:r w:rsidR="0051796C" w:rsidRPr="0051796C">
        <w:rPr>
          <w:rFonts w:asciiTheme="minorEastAsia" w:hAnsiTheme="minorEastAsia" w:hint="eastAsia"/>
          <w:sz w:val="24"/>
          <w:szCs w:val="24"/>
        </w:rPr>
        <w:t>（http://eid.csrc.gov.cn/fund）</w:t>
      </w:r>
      <w:r w:rsidR="00C64E03" w:rsidRPr="00C64E03">
        <w:rPr>
          <w:rFonts w:asciiTheme="minorEastAsia" w:hAnsiTheme="minorEastAsia" w:hint="eastAsia"/>
          <w:sz w:val="24"/>
          <w:szCs w:val="24"/>
        </w:rPr>
        <w:t>。</w:t>
      </w:r>
      <w:r w:rsidR="00DF4000" w:rsidRPr="00DF4000">
        <w:rPr>
          <w:rFonts w:asciiTheme="minorEastAsia" w:hAnsiTheme="minorEastAsia" w:hint="eastAsia"/>
          <w:bCs/>
          <w:sz w:val="24"/>
          <w:szCs w:val="24"/>
        </w:rPr>
        <w:t>投资者</w:t>
      </w:r>
      <w:r w:rsidR="0051796C">
        <w:rPr>
          <w:rFonts w:asciiTheme="minorEastAsia" w:hAnsiTheme="minorEastAsia" w:hint="eastAsia"/>
          <w:bCs/>
          <w:sz w:val="24"/>
          <w:szCs w:val="24"/>
        </w:rPr>
        <w:t>可</w:t>
      </w:r>
      <w:r w:rsidR="00DF4000" w:rsidRPr="00DF4000">
        <w:rPr>
          <w:rFonts w:asciiTheme="minorEastAsia" w:hAnsiTheme="minorEastAsia" w:hint="eastAsia"/>
          <w:bCs/>
          <w:sz w:val="24"/>
          <w:szCs w:val="24"/>
        </w:rPr>
        <w:t>登录本公司网站查询</w:t>
      </w:r>
      <w:r w:rsidR="0051796C">
        <w:rPr>
          <w:rFonts w:asciiTheme="minorEastAsia" w:hAnsiTheme="minorEastAsia" w:hint="eastAsia"/>
          <w:bCs/>
          <w:sz w:val="24"/>
          <w:szCs w:val="24"/>
        </w:rPr>
        <w:t>详细信息</w:t>
      </w:r>
      <w:r w:rsidR="00DF4000" w:rsidRPr="00DF4000">
        <w:rPr>
          <w:rFonts w:asciiTheme="minorEastAsia" w:hAnsiTheme="minorEastAsia" w:hint="eastAsia"/>
          <w:bCs/>
          <w:sz w:val="24"/>
          <w:szCs w:val="24"/>
        </w:rPr>
        <w:t>或拨打本公司客户服务电话</w:t>
      </w:r>
      <w:r w:rsidR="00DF4000" w:rsidRPr="00DF4000">
        <w:rPr>
          <w:rFonts w:asciiTheme="minorEastAsia" w:hAnsiTheme="minorEastAsia"/>
          <w:bCs/>
          <w:sz w:val="24"/>
          <w:szCs w:val="24"/>
        </w:rPr>
        <w:t>95105828</w:t>
      </w:r>
      <w:r w:rsidR="00DF4000" w:rsidRPr="00DF4000">
        <w:rPr>
          <w:rFonts w:asciiTheme="minorEastAsia" w:hAnsiTheme="minorEastAsia" w:hint="eastAsia"/>
          <w:bCs/>
          <w:sz w:val="24"/>
          <w:szCs w:val="24"/>
        </w:rPr>
        <w:t>（免费长途话费）或</w:t>
      </w:r>
      <w:r w:rsidR="00DF4000" w:rsidRPr="00DF4000">
        <w:rPr>
          <w:rFonts w:asciiTheme="minorEastAsia" w:hAnsiTheme="minorEastAsia"/>
          <w:bCs/>
          <w:sz w:val="24"/>
          <w:szCs w:val="24"/>
        </w:rPr>
        <w:t>020-83936999</w:t>
      </w:r>
      <w:r w:rsidR="00DF4000" w:rsidRPr="00DF4000">
        <w:rPr>
          <w:rFonts w:asciiTheme="minorEastAsia" w:hAnsiTheme="minorEastAsia" w:hint="eastAsia"/>
          <w:bCs/>
          <w:sz w:val="24"/>
          <w:szCs w:val="24"/>
        </w:rPr>
        <w:t>进行咨询。</w:t>
      </w:r>
    </w:p>
    <w:p w:rsidR="00DF4000" w:rsidRPr="00DF4000" w:rsidRDefault="00DF4000" w:rsidP="00DF4000">
      <w:pPr>
        <w:spacing w:line="360" w:lineRule="auto"/>
        <w:ind w:firstLineChars="200" w:firstLine="480"/>
        <w:rPr>
          <w:rFonts w:asciiTheme="minorEastAsia" w:hAnsiTheme="minorEastAsia"/>
          <w:sz w:val="24"/>
          <w:szCs w:val="24"/>
        </w:rPr>
      </w:pPr>
    </w:p>
    <w:p w:rsidR="00DF4000" w:rsidRPr="00DF4000" w:rsidRDefault="005508DF" w:rsidP="00DF4000">
      <w:pPr>
        <w:spacing w:line="360" w:lineRule="auto"/>
        <w:ind w:firstLineChars="200" w:firstLine="480"/>
        <w:rPr>
          <w:rFonts w:asciiTheme="minorEastAsia" w:hAnsiTheme="minorEastAsia"/>
          <w:sz w:val="24"/>
          <w:szCs w:val="24"/>
        </w:rPr>
      </w:pPr>
      <w:r w:rsidRPr="005508DF">
        <w:rPr>
          <w:rFonts w:asciiTheme="minorEastAsia" w:hAnsiTheme="minorEastAsia" w:hint="eastAsia"/>
          <w:sz w:val="24"/>
          <w:szCs w:val="24"/>
        </w:rPr>
        <w:t>风险提示：基金管理人承诺以诚实信用、勤勉尽责的原则管理和运用基金资产，但基金管理人不保证基金一定盈利，也不保证最低收益。</w:t>
      </w:r>
      <w:r w:rsidRPr="00DF4000">
        <w:rPr>
          <w:rFonts w:asciiTheme="minorEastAsia" w:hAnsiTheme="minorEastAsia" w:hint="eastAsia"/>
          <w:bCs/>
          <w:sz w:val="24"/>
          <w:szCs w:val="24"/>
        </w:rPr>
        <w:t>基金的过往业绩及</w:t>
      </w:r>
      <w:r w:rsidRPr="00DF4000">
        <w:rPr>
          <w:rFonts w:asciiTheme="minorEastAsia" w:hAnsiTheme="minorEastAsia" w:hint="eastAsia"/>
          <w:bCs/>
          <w:sz w:val="24"/>
          <w:szCs w:val="24"/>
        </w:rPr>
        <w:lastRenderedPageBreak/>
        <w:t>其净值高低并不预示其未来业绩表现。</w:t>
      </w:r>
      <w:r w:rsidRPr="005508DF">
        <w:rPr>
          <w:rFonts w:asciiTheme="minorEastAsia" w:hAnsiTheme="minorEastAsia" w:hint="eastAsia"/>
          <w:sz w:val="24"/>
          <w:szCs w:val="24"/>
        </w:rPr>
        <w:t>投资者在投资基金前应认真阅读《基金合同》和《招募说明书》等基金法律文件，全面认识基金产品的风险收益特征，在了解产品情况的基础上，根据自身的风险承受能力、投资期限和投资目标，对基金投资作出独立决策，选择合适的基金产品。</w:t>
      </w:r>
    </w:p>
    <w:p w:rsidR="005508DF" w:rsidRDefault="005508DF"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r>
        <w:rPr>
          <w:rFonts w:asciiTheme="minorEastAsia" w:hAnsiTheme="minorEastAsia"/>
          <w:sz w:val="24"/>
          <w:szCs w:val="24"/>
        </w:rPr>
        <w:t>特此公告</w:t>
      </w:r>
      <w:r>
        <w:rPr>
          <w:rFonts w:asciiTheme="minorEastAsia" w:hAnsiTheme="minorEastAsia" w:hint="eastAsia"/>
          <w:sz w:val="24"/>
          <w:szCs w:val="24"/>
        </w:rPr>
        <w:t>。</w:t>
      </w: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CA113C" w:rsidRDefault="00CA113C" w:rsidP="00DF4000">
      <w:pPr>
        <w:spacing w:line="360" w:lineRule="auto"/>
        <w:ind w:firstLineChars="200" w:firstLine="480"/>
        <w:rPr>
          <w:rFonts w:asciiTheme="minorEastAsia" w:hAnsiTheme="minorEastAsia"/>
          <w:sz w:val="24"/>
          <w:szCs w:val="24"/>
        </w:rPr>
      </w:pPr>
    </w:p>
    <w:p w:rsidR="00DF4000" w:rsidRPr="00477FE5" w:rsidRDefault="00DF4000" w:rsidP="00DF4000">
      <w:pPr>
        <w:tabs>
          <w:tab w:val="left" w:pos="7230"/>
        </w:tabs>
        <w:autoSpaceDE w:val="0"/>
        <w:autoSpaceDN w:val="0"/>
        <w:adjustRightInd w:val="0"/>
        <w:spacing w:line="360" w:lineRule="auto"/>
        <w:ind w:rightChars="-297" w:right="-624" w:firstLineChars="200" w:firstLine="480"/>
        <w:jc w:val="right"/>
        <w:rPr>
          <w:rFonts w:ascii="Times New Roman" w:eastAsia="宋体" w:hAnsi="Times New Roman" w:cs="Times New Roman"/>
          <w:bCs/>
          <w:sz w:val="24"/>
        </w:rPr>
      </w:pPr>
      <w:r w:rsidRPr="00477FE5">
        <w:rPr>
          <w:rFonts w:ascii="Times New Roman" w:eastAsia="宋体" w:hAnsi="Times New Roman" w:cs="Times New Roman" w:hint="eastAsia"/>
          <w:bCs/>
          <w:sz w:val="24"/>
        </w:rPr>
        <w:t>广发基金管理有限公司</w:t>
      </w:r>
    </w:p>
    <w:p w:rsidR="00DF4000" w:rsidRPr="00772CEA" w:rsidRDefault="00DF4000" w:rsidP="00CA113C">
      <w:pPr>
        <w:tabs>
          <w:tab w:val="left" w:pos="7230"/>
        </w:tabs>
        <w:autoSpaceDE w:val="0"/>
        <w:autoSpaceDN w:val="0"/>
        <w:adjustRightInd w:val="0"/>
        <w:spacing w:line="360" w:lineRule="auto"/>
        <w:ind w:rightChars="-297" w:right="-624" w:firstLineChars="200" w:firstLine="480"/>
        <w:jc w:val="right"/>
        <w:rPr>
          <w:rFonts w:ascii="Times New Roman" w:eastAsia="宋体" w:hAnsi="Times New Roman" w:cs="Times New Roman"/>
          <w:bCs/>
          <w:sz w:val="24"/>
        </w:rPr>
      </w:pPr>
      <w:r w:rsidRPr="00477FE5">
        <w:rPr>
          <w:rFonts w:ascii="Times New Roman" w:eastAsia="宋体" w:hAnsi="Times New Roman" w:cs="Times New Roman"/>
          <w:bCs/>
          <w:sz w:val="24"/>
        </w:rPr>
        <w:t>20</w:t>
      </w:r>
      <w:r w:rsidR="00275199">
        <w:rPr>
          <w:rFonts w:ascii="Times New Roman" w:eastAsia="宋体" w:hAnsi="Times New Roman" w:cs="Times New Roman"/>
          <w:bCs/>
          <w:sz w:val="24"/>
        </w:rPr>
        <w:t>20</w:t>
      </w:r>
      <w:r w:rsidRPr="00477FE5">
        <w:rPr>
          <w:rFonts w:ascii="Times New Roman" w:eastAsia="宋体" w:hAnsi="Times New Roman" w:cs="Times New Roman" w:hint="eastAsia"/>
          <w:bCs/>
          <w:sz w:val="24"/>
        </w:rPr>
        <w:t>年</w:t>
      </w:r>
      <w:r w:rsidR="00275199">
        <w:rPr>
          <w:rFonts w:ascii="Times New Roman" w:eastAsia="宋体" w:hAnsi="Times New Roman" w:cs="Times New Roman"/>
          <w:bCs/>
          <w:sz w:val="24"/>
        </w:rPr>
        <w:t>1</w:t>
      </w:r>
      <w:r w:rsidRPr="00477FE5">
        <w:rPr>
          <w:rFonts w:ascii="Times New Roman" w:eastAsia="宋体" w:hAnsi="Times New Roman" w:cs="Times New Roman" w:hint="eastAsia"/>
          <w:bCs/>
          <w:sz w:val="24"/>
        </w:rPr>
        <w:t>月</w:t>
      </w:r>
      <w:r w:rsidR="00275199">
        <w:rPr>
          <w:rFonts w:ascii="Times New Roman" w:eastAsia="宋体" w:hAnsi="Times New Roman" w:cs="Times New Roman"/>
          <w:bCs/>
          <w:sz w:val="24"/>
        </w:rPr>
        <w:t>11</w:t>
      </w:r>
      <w:r w:rsidRPr="00477FE5">
        <w:rPr>
          <w:rFonts w:ascii="Times New Roman" w:eastAsia="宋体" w:hAnsi="Times New Roman" w:cs="Times New Roman" w:hint="eastAsia"/>
          <w:bCs/>
          <w:sz w:val="24"/>
        </w:rPr>
        <w:t>日</w:t>
      </w: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DF4000" w:rsidRDefault="00DF4000" w:rsidP="00DF4000">
      <w:pPr>
        <w:spacing w:line="360" w:lineRule="auto"/>
        <w:ind w:firstLineChars="200" w:firstLine="480"/>
        <w:rPr>
          <w:rFonts w:asciiTheme="minorEastAsia" w:hAnsiTheme="minorEastAsia"/>
          <w:sz w:val="24"/>
          <w:szCs w:val="24"/>
        </w:rPr>
      </w:pPr>
    </w:p>
    <w:p w:rsidR="00BB225E" w:rsidRDefault="00BB225E" w:rsidP="00DF4000">
      <w:pPr>
        <w:spacing w:line="360" w:lineRule="auto"/>
        <w:ind w:firstLineChars="200" w:firstLine="480"/>
        <w:rPr>
          <w:rFonts w:asciiTheme="minorEastAsia" w:hAnsiTheme="minorEastAsia"/>
          <w:sz w:val="24"/>
          <w:szCs w:val="24"/>
        </w:rPr>
      </w:pPr>
    </w:p>
    <w:p w:rsidR="001A4638" w:rsidRDefault="001A4638" w:rsidP="00DB4EAD">
      <w:pPr>
        <w:spacing w:line="360" w:lineRule="auto"/>
        <w:rPr>
          <w:rFonts w:asciiTheme="minorEastAsia" w:hAnsiTheme="minorEastAsia"/>
          <w:sz w:val="24"/>
          <w:szCs w:val="24"/>
        </w:rPr>
      </w:pPr>
    </w:p>
    <w:p w:rsidR="00CA113C" w:rsidRDefault="00DF4000" w:rsidP="00CA113C">
      <w:pPr>
        <w:spacing w:line="720" w:lineRule="auto"/>
        <w:rPr>
          <w:rFonts w:asciiTheme="minorEastAsia" w:hAnsiTheme="minorEastAsia"/>
          <w:b/>
          <w:sz w:val="24"/>
          <w:szCs w:val="24"/>
        </w:rPr>
      </w:pPr>
      <w:r w:rsidRPr="00CA113C">
        <w:rPr>
          <w:rFonts w:asciiTheme="minorEastAsia" w:hAnsiTheme="minorEastAsia"/>
          <w:b/>
          <w:sz w:val="24"/>
          <w:szCs w:val="24"/>
        </w:rPr>
        <w:lastRenderedPageBreak/>
        <w:t>附件</w:t>
      </w:r>
      <w:r w:rsidRPr="00CA113C">
        <w:rPr>
          <w:rFonts w:asciiTheme="minorEastAsia" w:hAnsiTheme="minorEastAsia" w:hint="eastAsia"/>
          <w:b/>
          <w:sz w:val="24"/>
          <w:szCs w:val="24"/>
        </w:rPr>
        <w:t>：</w:t>
      </w:r>
      <w:r w:rsidR="00CA113C" w:rsidRPr="00CA113C">
        <w:rPr>
          <w:rFonts w:asciiTheme="minorEastAsia" w:hAnsiTheme="minorEastAsia"/>
          <w:b/>
          <w:sz w:val="24"/>
          <w:szCs w:val="24"/>
        </w:rPr>
        <w:t>本次修订基金合同的相关基金名单</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796"/>
        <w:gridCol w:w="1560"/>
      </w:tblGrid>
      <w:tr w:rsidR="00B32299" w:rsidRPr="00EA0BC0" w:rsidTr="001D278D">
        <w:trPr>
          <w:trHeight w:val="270"/>
          <w:jc w:val="center"/>
        </w:trPr>
        <w:tc>
          <w:tcPr>
            <w:tcW w:w="704" w:type="dxa"/>
            <w:shd w:val="clear" w:color="auto" w:fill="auto"/>
            <w:noWrap/>
            <w:vAlign w:val="center"/>
            <w:hideMark/>
          </w:tcPr>
          <w:p w:rsidR="00B32299" w:rsidRPr="00EA0BC0" w:rsidRDefault="00B32299" w:rsidP="00E7159F">
            <w:pPr>
              <w:spacing w:line="360" w:lineRule="auto"/>
              <w:jc w:val="center"/>
              <w:rPr>
                <w:b/>
                <w:sz w:val="24"/>
                <w:szCs w:val="24"/>
              </w:rPr>
            </w:pPr>
            <w:r w:rsidRPr="00EA0BC0">
              <w:rPr>
                <w:b/>
                <w:sz w:val="24"/>
                <w:szCs w:val="24"/>
              </w:rPr>
              <w:t>序号</w:t>
            </w:r>
          </w:p>
        </w:tc>
        <w:tc>
          <w:tcPr>
            <w:tcW w:w="7796" w:type="dxa"/>
          </w:tcPr>
          <w:p w:rsidR="00B32299" w:rsidRPr="00EA0BC0" w:rsidRDefault="00B32299" w:rsidP="00E7159F">
            <w:pPr>
              <w:spacing w:line="360" w:lineRule="auto"/>
              <w:jc w:val="center"/>
              <w:rPr>
                <w:b/>
                <w:sz w:val="24"/>
                <w:szCs w:val="24"/>
              </w:rPr>
            </w:pPr>
            <w:r w:rsidRPr="00EA0BC0">
              <w:rPr>
                <w:rFonts w:hint="eastAsia"/>
                <w:b/>
                <w:sz w:val="24"/>
                <w:szCs w:val="24"/>
              </w:rPr>
              <w:t>基金名称</w:t>
            </w:r>
          </w:p>
        </w:tc>
        <w:tc>
          <w:tcPr>
            <w:tcW w:w="1560" w:type="dxa"/>
            <w:shd w:val="clear" w:color="auto" w:fill="auto"/>
            <w:noWrap/>
            <w:vAlign w:val="center"/>
            <w:hideMark/>
          </w:tcPr>
          <w:p w:rsidR="00B32299" w:rsidRPr="00EA0BC0" w:rsidRDefault="00B32299" w:rsidP="006B260C">
            <w:pPr>
              <w:spacing w:line="360" w:lineRule="auto"/>
              <w:jc w:val="center"/>
              <w:rPr>
                <w:b/>
                <w:sz w:val="24"/>
                <w:szCs w:val="24"/>
              </w:rPr>
            </w:pPr>
            <w:r w:rsidRPr="00EA0BC0">
              <w:rPr>
                <w:rFonts w:hint="eastAsia"/>
                <w:b/>
                <w:sz w:val="24"/>
                <w:szCs w:val="24"/>
              </w:rPr>
              <w:t>基金主代码</w:t>
            </w:r>
          </w:p>
        </w:tc>
      </w:tr>
      <w:tr w:rsidR="00CD5761" w:rsidRPr="00EA0BC0" w:rsidTr="001D278D">
        <w:trPr>
          <w:trHeight w:val="41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广发聚鑫债券型证券投资基金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000118</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广发聚优灵活配置混合型证券投资基金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000167</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广发美国房地产指数证券投资基金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000179</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4</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广发天天利货币市场基金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000475</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5</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广发竞争优势灵活配置混合型证券投资基金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000529</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6</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广发逆向策略灵活配置混合型证券投资基金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000747</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7</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广发中证全指信息技术交易型开放式指数证券投资基金发起式联接基金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000942</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8</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广发中证养老产业指数型发起式证券投资基金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000968</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9</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广发中证环保产业交易型开放式指数证券投资基金发起式联接基金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001064</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10</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广发中证全指可选消费交易型开放式指数证券投资基金发起式联接基金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001133</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11</w:t>
            </w:r>
          </w:p>
        </w:tc>
        <w:tc>
          <w:tcPr>
            <w:tcW w:w="7796" w:type="dxa"/>
            <w:tcBorders>
              <w:top w:val="nil"/>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广发中证全指医药卫生交易型开放式指数证券投资基金发起式联接基金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001180</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广发中证全指金融地产交易型开放式指数证券投资基金发起式联接基金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001469</w:t>
            </w:r>
          </w:p>
        </w:tc>
      </w:tr>
      <w:tr w:rsidR="00CD5761" w:rsidRPr="00EA0BC0" w:rsidTr="001D278D">
        <w:trPr>
          <w:trHeight w:val="270"/>
          <w:jc w:val="center"/>
        </w:trPr>
        <w:tc>
          <w:tcPr>
            <w:tcW w:w="704" w:type="dxa"/>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广发百发大数据策略精选灵活配置混合型证券投资基金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001741</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广发安盈灵活配置混合型证券投资基金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002118</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广发新兴产业精选灵活配置混合型证券投资基金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002124</w:t>
            </w:r>
          </w:p>
        </w:tc>
      </w:tr>
      <w:tr w:rsidR="00CD5761" w:rsidRPr="00EA0BC0" w:rsidTr="001D278D">
        <w:trPr>
          <w:trHeight w:val="270"/>
          <w:jc w:val="center"/>
        </w:trPr>
        <w:tc>
          <w:tcPr>
            <w:tcW w:w="704" w:type="dxa"/>
            <w:tcBorders>
              <w:bottom w:val="single" w:sz="4" w:space="0" w:color="auto"/>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广发鑫惠纯债定期开放债券型发起式证券投资基金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002128</w:t>
            </w:r>
          </w:p>
        </w:tc>
      </w:tr>
      <w:tr w:rsidR="00CD5761" w:rsidRPr="00EA0BC0" w:rsidTr="001D278D">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广发优企精选灵活配置混合型证券投资基金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002624</w:t>
            </w:r>
          </w:p>
        </w:tc>
      </w:tr>
      <w:tr w:rsidR="00CD5761" w:rsidRPr="00EA0BC0" w:rsidTr="001D278D">
        <w:trPr>
          <w:trHeight w:val="270"/>
          <w:jc w:val="center"/>
        </w:trPr>
        <w:tc>
          <w:tcPr>
            <w:tcW w:w="704" w:type="dxa"/>
            <w:tcBorders>
              <w:top w:val="single" w:sz="4" w:space="0" w:color="auto"/>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广发转型升级灵活配置混合型证券投资基金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002713</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广发集富纯债债券型证券投资基金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003039</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广发中证全指工业交易型开放式指数证券投资基金发起式联接基金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004593</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广发医疗保健股票型证券投资基金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004851</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广发中证全指家用电器指数型发起式证券投资基金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005063</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0260F9">
            <w:pPr>
              <w:spacing w:line="360" w:lineRule="auto"/>
              <w:jc w:val="center"/>
              <w:rPr>
                <w:rFonts w:asciiTheme="minorEastAsia" w:hAnsiTheme="minorEastAsia"/>
                <w:sz w:val="24"/>
                <w:szCs w:val="24"/>
              </w:rPr>
            </w:pPr>
            <w:r w:rsidRPr="00CD5761">
              <w:rPr>
                <w:rFonts w:asciiTheme="minorEastAsia" w:hAnsiTheme="minorEastAsia"/>
                <w:sz w:val="24"/>
                <w:szCs w:val="24"/>
              </w:rPr>
              <w:t>广发海外多元配置证券投资基金</w:t>
            </w:r>
            <w:bookmarkStart w:id="0" w:name="_GoBack"/>
            <w:bookmarkEnd w:id="0"/>
            <w:r w:rsidRPr="00CD5761">
              <w:rPr>
                <w:rFonts w:asciiTheme="minorEastAsia" w:hAnsiTheme="minorEastAsia"/>
                <w:sz w:val="24"/>
                <w:szCs w:val="24"/>
              </w:rPr>
              <w:t>（QDII）</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005557</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广发中小盘精选混合型证券投资基金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005598</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广发全球收益债券型证券投资基金（QDII）</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005912</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广发沪深300指数增强型发起式证券投资基金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006020</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lastRenderedPageBreak/>
              <w:t>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广发集嘉债券型证券投资基金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006140</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广发景和中短债债券型证券投资基金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006870</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29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广发中证全指可选消费交易型开放式指数证券投资基金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159936</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广发中证全指医药卫生交易型开放式指数证券投资基金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159938</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广发中证全指信息技术交易型开放式指数证券投资基金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159939</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广发中证全指金融地产交易型开放式指数证券投资基金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159940</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广发纳斯达克100交易型开放式指数证券投资基金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159941</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广发中证全指原材料交易型开放式指数证券投资基金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159944</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广发中证全指能源交易型开放式指数证券投资基金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159945</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广发中证全指工业交易型开放式指数证券投资基金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159953</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广发道琼斯美国石油开发与生产指数证券投资基金（QDII-LOF）</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162719</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广发纳斯达克100指数证券投资基金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270042</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39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广发双债添利债券型证券投资基金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270044</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40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广发港股通恒生综合中型股指数证券投资基金(LOF)</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501303</w:t>
            </w:r>
          </w:p>
        </w:tc>
      </w:tr>
      <w:tr w:rsidR="00CD5761" w:rsidRPr="00EA0BC0" w:rsidTr="001D278D">
        <w:trPr>
          <w:trHeight w:val="270"/>
          <w:jc w:val="center"/>
        </w:trPr>
        <w:tc>
          <w:tcPr>
            <w:tcW w:w="704" w:type="dxa"/>
            <w:tcBorders>
              <w:right w:val="single" w:sz="4" w:space="0" w:color="auto"/>
            </w:tcBorders>
            <w:shd w:val="clear" w:color="auto" w:fill="auto"/>
            <w:noWrap/>
          </w:tcPr>
          <w:p w:rsidR="00CD5761" w:rsidRPr="00EA0BC0" w:rsidRDefault="00CD5761" w:rsidP="00CD5761">
            <w:pPr>
              <w:spacing w:line="360" w:lineRule="auto"/>
              <w:jc w:val="center"/>
              <w:rPr>
                <w:sz w:val="24"/>
                <w:szCs w:val="24"/>
              </w:rPr>
            </w:pPr>
            <w:r w:rsidRPr="00EA0BC0">
              <w:rPr>
                <w:rFonts w:hint="eastAsia"/>
                <w:sz w:val="24"/>
                <w:szCs w:val="24"/>
              </w:rPr>
              <w:t>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广发中证环保产业交易型开放式指数证券投资基金</w:t>
            </w:r>
          </w:p>
        </w:tc>
        <w:tc>
          <w:tcPr>
            <w:tcW w:w="1560" w:type="dxa"/>
            <w:tcBorders>
              <w:top w:val="nil"/>
              <w:left w:val="single" w:sz="4" w:space="0" w:color="auto"/>
              <w:bottom w:val="single" w:sz="4" w:space="0" w:color="auto"/>
              <w:right w:val="single" w:sz="4" w:space="0" w:color="auto"/>
            </w:tcBorders>
            <w:shd w:val="clear" w:color="auto" w:fill="auto"/>
            <w:noWrap/>
          </w:tcPr>
          <w:p w:rsidR="00CD5761" w:rsidRPr="00CD5761" w:rsidRDefault="00CD5761" w:rsidP="00CD5761">
            <w:pPr>
              <w:spacing w:line="360" w:lineRule="auto"/>
              <w:jc w:val="center"/>
              <w:rPr>
                <w:rFonts w:asciiTheme="minorEastAsia" w:hAnsiTheme="minorEastAsia"/>
                <w:sz w:val="24"/>
                <w:szCs w:val="24"/>
              </w:rPr>
            </w:pPr>
            <w:r w:rsidRPr="00CD5761">
              <w:rPr>
                <w:rFonts w:asciiTheme="minorEastAsia" w:hAnsiTheme="minorEastAsia"/>
                <w:sz w:val="24"/>
                <w:szCs w:val="24"/>
              </w:rPr>
              <w:t>512580</w:t>
            </w:r>
          </w:p>
        </w:tc>
      </w:tr>
    </w:tbl>
    <w:p w:rsidR="00B32299" w:rsidRPr="00EA0BC0" w:rsidRDefault="00B32299" w:rsidP="00B32299">
      <w:pPr>
        <w:spacing w:line="360" w:lineRule="auto"/>
        <w:jc w:val="center"/>
        <w:rPr>
          <w:sz w:val="24"/>
          <w:szCs w:val="24"/>
        </w:rPr>
      </w:pPr>
    </w:p>
    <w:p w:rsidR="00B32299" w:rsidRPr="00CA113C" w:rsidRDefault="00B32299" w:rsidP="00CA113C">
      <w:pPr>
        <w:spacing w:line="720" w:lineRule="auto"/>
        <w:rPr>
          <w:rFonts w:asciiTheme="minorEastAsia" w:hAnsiTheme="minorEastAsia"/>
          <w:b/>
          <w:sz w:val="24"/>
          <w:szCs w:val="24"/>
        </w:rPr>
      </w:pPr>
    </w:p>
    <w:sectPr w:rsidR="00B32299" w:rsidRPr="00CA1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1E" w:rsidRDefault="00F1231E" w:rsidP="00DF4000">
      <w:r>
        <w:separator/>
      </w:r>
    </w:p>
  </w:endnote>
  <w:endnote w:type="continuationSeparator" w:id="0">
    <w:p w:rsidR="00F1231E" w:rsidRDefault="00F1231E" w:rsidP="00DF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1E" w:rsidRDefault="00F1231E" w:rsidP="00DF4000">
      <w:r>
        <w:separator/>
      </w:r>
    </w:p>
  </w:footnote>
  <w:footnote w:type="continuationSeparator" w:id="0">
    <w:p w:rsidR="00F1231E" w:rsidRDefault="00F1231E" w:rsidP="00DF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A2"/>
    <w:rsid w:val="000123E7"/>
    <w:rsid w:val="000260F9"/>
    <w:rsid w:val="00083DDE"/>
    <w:rsid w:val="000851D3"/>
    <w:rsid w:val="0012191B"/>
    <w:rsid w:val="00154760"/>
    <w:rsid w:val="001A4638"/>
    <w:rsid w:val="001D278D"/>
    <w:rsid w:val="00226FC1"/>
    <w:rsid w:val="00275199"/>
    <w:rsid w:val="003D4918"/>
    <w:rsid w:val="003E5971"/>
    <w:rsid w:val="003F7C2B"/>
    <w:rsid w:val="004174A2"/>
    <w:rsid w:val="004448FB"/>
    <w:rsid w:val="004660E1"/>
    <w:rsid w:val="00493E82"/>
    <w:rsid w:val="004C7C8B"/>
    <w:rsid w:val="0051796C"/>
    <w:rsid w:val="005508DF"/>
    <w:rsid w:val="005756BD"/>
    <w:rsid w:val="0063647C"/>
    <w:rsid w:val="00652B09"/>
    <w:rsid w:val="006B260C"/>
    <w:rsid w:val="00721650"/>
    <w:rsid w:val="007372B1"/>
    <w:rsid w:val="00762CB9"/>
    <w:rsid w:val="007C5197"/>
    <w:rsid w:val="008D7DBC"/>
    <w:rsid w:val="00976676"/>
    <w:rsid w:val="009A76F0"/>
    <w:rsid w:val="009B3CE5"/>
    <w:rsid w:val="009D2941"/>
    <w:rsid w:val="00A11439"/>
    <w:rsid w:val="00A21334"/>
    <w:rsid w:val="00AF7763"/>
    <w:rsid w:val="00B11A7B"/>
    <w:rsid w:val="00B31D75"/>
    <w:rsid w:val="00B32299"/>
    <w:rsid w:val="00B668B2"/>
    <w:rsid w:val="00BB225E"/>
    <w:rsid w:val="00C1551B"/>
    <w:rsid w:val="00C64594"/>
    <w:rsid w:val="00C64E03"/>
    <w:rsid w:val="00C8752E"/>
    <w:rsid w:val="00C90598"/>
    <w:rsid w:val="00CA113C"/>
    <w:rsid w:val="00CD5761"/>
    <w:rsid w:val="00CE41CE"/>
    <w:rsid w:val="00D94B2E"/>
    <w:rsid w:val="00DB4EAD"/>
    <w:rsid w:val="00DF4000"/>
    <w:rsid w:val="00DF6954"/>
    <w:rsid w:val="00F1231E"/>
    <w:rsid w:val="00F956DD"/>
    <w:rsid w:val="00FB3514"/>
    <w:rsid w:val="00FC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D5A2B5-0DF9-45E6-8F9B-DD3637B6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000"/>
    <w:rPr>
      <w:sz w:val="18"/>
      <w:szCs w:val="18"/>
    </w:rPr>
  </w:style>
  <w:style w:type="paragraph" w:styleId="a4">
    <w:name w:val="footer"/>
    <w:basedOn w:val="a"/>
    <w:link w:val="Char0"/>
    <w:uiPriority w:val="99"/>
    <w:unhideWhenUsed/>
    <w:rsid w:val="00DF4000"/>
    <w:pPr>
      <w:tabs>
        <w:tab w:val="center" w:pos="4153"/>
        <w:tab w:val="right" w:pos="8306"/>
      </w:tabs>
      <w:snapToGrid w:val="0"/>
      <w:jc w:val="left"/>
    </w:pPr>
    <w:rPr>
      <w:sz w:val="18"/>
      <w:szCs w:val="18"/>
    </w:rPr>
  </w:style>
  <w:style w:type="character" w:customStyle="1" w:styleId="Char0">
    <w:name w:val="页脚 Char"/>
    <w:basedOn w:val="a0"/>
    <w:link w:val="a4"/>
    <w:uiPriority w:val="99"/>
    <w:rsid w:val="00DF4000"/>
    <w:rPr>
      <w:sz w:val="18"/>
      <w:szCs w:val="18"/>
    </w:rPr>
  </w:style>
  <w:style w:type="paragraph" w:styleId="a5">
    <w:name w:val="List Paragraph"/>
    <w:basedOn w:val="a"/>
    <w:uiPriority w:val="34"/>
    <w:qFormat/>
    <w:rsid w:val="00DF4000"/>
    <w:pPr>
      <w:ind w:firstLineChars="200" w:firstLine="420"/>
    </w:pPr>
  </w:style>
  <w:style w:type="paragraph" w:styleId="a6">
    <w:name w:val="Balloon Text"/>
    <w:basedOn w:val="a"/>
    <w:link w:val="Char1"/>
    <w:uiPriority w:val="99"/>
    <w:semiHidden/>
    <w:unhideWhenUsed/>
    <w:rsid w:val="0063647C"/>
    <w:rPr>
      <w:sz w:val="18"/>
      <w:szCs w:val="18"/>
    </w:rPr>
  </w:style>
  <w:style w:type="character" w:customStyle="1" w:styleId="Char1">
    <w:name w:val="批注框文本 Char"/>
    <w:basedOn w:val="a0"/>
    <w:link w:val="a6"/>
    <w:uiPriority w:val="99"/>
    <w:semiHidden/>
    <w:rsid w:val="00636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晁梦婷</dc:creator>
  <cp:keywords/>
  <dc:description/>
  <cp:lastModifiedBy>晁梦婷</cp:lastModifiedBy>
  <cp:revision>15</cp:revision>
  <dcterms:created xsi:type="dcterms:W3CDTF">2019-11-28T10:14:00Z</dcterms:created>
  <dcterms:modified xsi:type="dcterms:W3CDTF">2020-01-07T01:26:00Z</dcterms:modified>
</cp:coreProperties>
</file>