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D36ADB" w:rsidRDefault="00893436" w:rsidP="00D36ADB">
      <w:pPr>
        <w:widowControl/>
        <w:jc w:val="center"/>
        <w:rPr>
          <w:rFonts w:asciiTheme="minorEastAsia" w:eastAsiaTheme="minorEastAsia" w:hAnsiTheme="minorEastAsia" w:cs="宋体"/>
          <w:b/>
          <w:kern w:val="0"/>
          <w:sz w:val="30"/>
          <w:szCs w:val="30"/>
        </w:rPr>
      </w:pPr>
      <w:bookmarkStart w:id="0" w:name="_GoBack"/>
      <w:bookmarkEnd w:id="0"/>
      <w:r w:rsidRPr="00D36ADB">
        <w:rPr>
          <w:rFonts w:asciiTheme="minorEastAsia" w:eastAsiaTheme="minorEastAsia" w:hAnsiTheme="minorEastAsia" w:cs="宋体" w:hint="eastAsia"/>
          <w:b/>
          <w:kern w:val="0"/>
          <w:sz w:val="30"/>
          <w:szCs w:val="30"/>
        </w:rPr>
        <w:t>易方达永旭添利定期开放债券型证券投资基金分红公告</w:t>
      </w:r>
    </w:p>
    <w:p w:rsidR="00893436" w:rsidRPr="00D36ADB" w:rsidRDefault="00893436"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公告送出日期：2020年1月13日</w:t>
      </w:r>
    </w:p>
    <w:p w:rsidR="00893436" w:rsidRPr="00BD5586" w:rsidRDefault="00893436" w:rsidP="00AC3CC5">
      <w:pPr>
        <w:spacing w:line="360" w:lineRule="auto"/>
        <w:jc w:val="center"/>
        <w:rPr>
          <w:color w:val="000000"/>
          <w:sz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1" w:name="_Toc275961418"/>
      <w:r>
        <w:rPr>
          <w:rFonts w:ascii="宋体" w:hAnsi="宋体" w:hint="eastAsia"/>
          <w:bCs w:val="0"/>
          <w:sz w:val="24"/>
          <w:szCs w:val="24"/>
        </w:rPr>
        <w:t>1.</w:t>
      </w:r>
      <w:r w:rsidR="00893436" w:rsidRPr="00D36ADB">
        <w:rPr>
          <w:rFonts w:ascii="宋体" w:hAnsi="宋体"/>
          <w:bCs w:val="0"/>
          <w:sz w:val="24"/>
          <w:szCs w:val="24"/>
        </w:rPr>
        <w:t>公告基本信息</w:t>
      </w:r>
      <w:bookmarkEnd w:id="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3685"/>
        <w:gridCol w:w="4420"/>
      </w:tblGrid>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易方达永旭添利定期开放债券型证券投资基金</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易方达永旭定期开放债券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161117</w:t>
            </w:r>
          </w:p>
        </w:tc>
      </w:tr>
      <w:tr w:rsidR="0039192C" w:rsidRPr="005F3BD7" w:rsidTr="005F3BD7">
        <w:trPr>
          <w:jc w:val="center"/>
        </w:trPr>
        <w:tc>
          <w:tcPr>
            <w:tcW w:w="5186" w:type="dxa"/>
            <w:gridSpan w:val="2"/>
            <w:vAlign w:val="center"/>
          </w:tcPr>
          <w:p w:rsidR="0039192C" w:rsidRPr="00D36ADB" w:rsidRDefault="0039192C"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RDefault="003E51F2" w:rsidP="005F3BD7">
            <w:pPr>
              <w:rPr>
                <w:rFonts w:eastAsia="宋体"/>
                <w:sz w:val="24"/>
                <w:szCs w:val="24"/>
              </w:rPr>
            </w:pPr>
            <w:r w:rsidRPr="00D36ADB">
              <w:rPr>
                <w:rFonts w:eastAsia="宋体"/>
                <w:sz w:val="24"/>
                <w:szCs w:val="24"/>
              </w:rPr>
              <w:t>2012</w:t>
            </w:r>
            <w:r w:rsidRPr="00D36ADB">
              <w:rPr>
                <w:rFonts w:eastAsia="宋体"/>
                <w:sz w:val="24"/>
                <w:szCs w:val="24"/>
              </w:rPr>
              <w:t>年</w:t>
            </w:r>
            <w:r w:rsidRPr="00D36ADB">
              <w:rPr>
                <w:rFonts w:eastAsia="宋体"/>
                <w:sz w:val="24"/>
                <w:szCs w:val="24"/>
              </w:rPr>
              <w:t>6</w:t>
            </w:r>
            <w:r w:rsidRPr="00D36ADB">
              <w:rPr>
                <w:rFonts w:eastAsia="宋体"/>
                <w:sz w:val="24"/>
                <w:szCs w:val="24"/>
              </w:rPr>
              <w:t>月</w:t>
            </w:r>
            <w:r w:rsidRPr="00D36ADB">
              <w:rPr>
                <w:rFonts w:eastAsia="宋体"/>
                <w:sz w:val="24"/>
                <w:szCs w:val="24"/>
              </w:rPr>
              <w:t>19</w:t>
            </w:r>
            <w:r w:rsidRPr="00D36ADB">
              <w:rPr>
                <w:rFonts w:eastAsia="宋体"/>
                <w:sz w:val="24"/>
                <w:szCs w:val="24"/>
              </w:rPr>
              <w:t>日</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易方达基金管理有限公司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中国工商银行股份有限公司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《公开募集证券投资基金信息披露管理办法》、《易方达永旭添利定期开放债券型证券投资基金基金合同》、《易方达永旭添利定期开放债券型证券投资基金更新的招募说明书》</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收益分配基准日</w:t>
            </w:r>
          </w:p>
        </w:tc>
        <w:tc>
          <w:tcPr>
            <w:tcW w:w="4420" w:type="dxa"/>
          </w:tcPr>
          <w:p w:rsidR="00893436" w:rsidRPr="00D36ADB" w:rsidRDefault="0039192C" w:rsidP="005F3BD7">
            <w:pPr>
              <w:rPr>
                <w:rFonts w:eastAsia="宋体"/>
                <w:sz w:val="24"/>
                <w:szCs w:val="24"/>
              </w:rPr>
            </w:pPr>
            <w:r w:rsidRPr="00D36ADB">
              <w:rPr>
                <w:rFonts w:eastAsia="宋体"/>
                <w:sz w:val="24"/>
                <w:szCs w:val="24"/>
              </w:rPr>
              <w:t>2019</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31</w:t>
            </w:r>
            <w:r w:rsidRPr="00D36ADB">
              <w:rPr>
                <w:rFonts w:eastAsia="宋体"/>
                <w:sz w:val="24"/>
                <w:szCs w:val="24"/>
              </w:rPr>
              <w:t>日</w:t>
            </w:r>
          </w:p>
        </w:tc>
      </w:tr>
      <w:tr w:rsidR="00893436" w:rsidRPr="005F3BD7" w:rsidTr="005F3BD7">
        <w:trPr>
          <w:jc w:val="center"/>
        </w:trPr>
        <w:tc>
          <w:tcPr>
            <w:tcW w:w="1501" w:type="dxa"/>
            <w:vMerge w:val="restart"/>
            <w:vAlign w:val="center"/>
          </w:tcPr>
          <w:p w:rsidR="00893436" w:rsidRPr="00D36ADB" w:rsidRDefault="00893436"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基准日基金份额净值</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1.076</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基准日基金可供分配利润</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19,131,897.69</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截止基准日按照基金合同约定的分红比例计算的应分配金额</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15,305,518.16</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RDefault="009732A4" w:rsidP="005F3BD7">
            <w:pPr>
              <w:rPr>
                <w:rFonts w:eastAsia="宋体"/>
                <w:sz w:val="24"/>
                <w:szCs w:val="24"/>
              </w:rPr>
            </w:pPr>
            <w:r w:rsidRPr="00D36ADB">
              <w:rPr>
                <w:rFonts w:eastAsia="宋体"/>
                <w:sz w:val="24"/>
                <w:szCs w:val="24"/>
              </w:rPr>
              <w:t>0.13</w:t>
            </w:r>
          </w:p>
        </w:tc>
      </w:tr>
      <w:tr w:rsidR="00893436" w:rsidRPr="005F3BD7" w:rsidTr="005F3BD7">
        <w:trPr>
          <w:jc w:val="center"/>
        </w:trPr>
        <w:tc>
          <w:tcPr>
            <w:tcW w:w="5186" w:type="dxa"/>
            <w:gridSpan w:val="2"/>
            <w:vAlign w:val="center"/>
          </w:tcPr>
          <w:p w:rsidR="00893436" w:rsidRPr="00D36ADB" w:rsidRDefault="00893436"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RDefault="009732A4" w:rsidP="005F3BD7">
            <w:pPr>
              <w:rPr>
                <w:rFonts w:eastAsia="宋体"/>
                <w:sz w:val="24"/>
                <w:szCs w:val="24"/>
              </w:rPr>
            </w:pPr>
            <w:r w:rsidRPr="00D36ADB">
              <w:rPr>
                <w:rFonts w:eastAsia="宋体"/>
                <w:sz w:val="24"/>
                <w:szCs w:val="24"/>
              </w:rPr>
              <w:t>本次分红为</w:t>
            </w:r>
            <w:r w:rsidRPr="00D36ADB">
              <w:rPr>
                <w:rFonts w:eastAsia="宋体"/>
                <w:sz w:val="24"/>
                <w:szCs w:val="24"/>
              </w:rPr>
              <w:t>2019</w:t>
            </w:r>
            <w:r w:rsidRPr="00D36ADB">
              <w:rPr>
                <w:rFonts w:eastAsia="宋体"/>
                <w:sz w:val="24"/>
                <w:szCs w:val="24"/>
              </w:rPr>
              <w:t>年度的第</w:t>
            </w:r>
            <w:r w:rsidRPr="00D36ADB">
              <w:rPr>
                <w:rFonts w:eastAsia="宋体"/>
                <w:sz w:val="24"/>
                <w:szCs w:val="24"/>
              </w:rPr>
              <w:t>4</w:t>
            </w:r>
            <w:r w:rsidRPr="00D36ADB">
              <w:rPr>
                <w:rFonts w:eastAsia="宋体"/>
                <w:sz w:val="24"/>
                <w:szCs w:val="24"/>
              </w:rPr>
              <w:t>次分红</w:t>
            </w:r>
          </w:p>
        </w:tc>
      </w:tr>
    </w:tbl>
    <w:p w:rsidR="00B92940" w:rsidRDefault="001F2F3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）本基金场内简称为易基永旭。</w:t>
      </w:r>
    </w:p>
    <w:p w:rsidR="00893436" w:rsidRPr="00D36ADB" w:rsidRDefault="00F45E48"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根据《易方达永旭添利定期开放债券型证券投资基金基金合同》规定，在符合有关基金收益分配条件的前提下，本基金每年收益分配次数最多为12次；基金合同生效满3个月后，若基金在每季最后一个交易日收盘后每10份基金份额可分配利润金额高于0.05元（含），则基金须进行收益分配，每份基金份额每次分配比例不得低于收益分配基准日每份基金份额可供分配利润的80%。</w:t>
      </w:r>
    </w:p>
    <w:p w:rsidR="00D36ADB" w:rsidRPr="00AC3CC5" w:rsidRDefault="00D36ADB" w:rsidP="00AC3CC5">
      <w:pPr>
        <w:spacing w:line="360" w:lineRule="auto"/>
        <w:rPr>
          <w:rFonts w:asciiTheme="minorEastAsia" w:eastAsiaTheme="minorEastAsia" w:hAnsiTheme="minorEastAsia"/>
          <w:sz w:val="24"/>
          <w:szCs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2" w:name="_Toc275961419"/>
      <w:r>
        <w:rPr>
          <w:rFonts w:ascii="宋体" w:hAnsi="宋体"/>
          <w:bCs w:val="0"/>
          <w:sz w:val="24"/>
          <w:szCs w:val="24"/>
        </w:rPr>
        <w:t>2</w:t>
      </w:r>
      <w:r>
        <w:rPr>
          <w:rFonts w:ascii="宋体" w:hAnsi="宋体" w:hint="eastAsia"/>
          <w:bCs w:val="0"/>
          <w:sz w:val="24"/>
          <w:szCs w:val="24"/>
        </w:rPr>
        <w:t>.</w:t>
      </w:r>
      <w:r w:rsidR="00893436" w:rsidRPr="00D36ADB">
        <w:rPr>
          <w:rFonts w:ascii="宋体" w:hAnsi="宋体"/>
          <w:bCs w:val="0"/>
          <w:sz w:val="24"/>
          <w:szCs w:val="24"/>
        </w:rPr>
        <w:t>与分红相关的其他信息</w:t>
      </w:r>
      <w:bookmarkEnd w:id="2"/>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3059"/>
        <w:gridCol w:w="3060"/>
      </w:tblGrid>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权益登记日</w:t>
            </w:r>
          </w:p>
        </w:tc>
        <w:tc>
          <w:tcPr>
            <w:tcW w:w="6119" w:type="dxa"/>
            <w:gridSpan w:val="2"/>
          </w:tcPr>
          <w:p w:rsidR="00893436" w:rsidRPr="00D36ADB" w:rsidRDefault="00362297"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15</w:t>
            </w:r>
            <w:r w:rsidRPr="00D36ADB">
              <w:rPr>
                <w:rFonts w:eastAsia="宋体"/>
                <w:sz w:val="24"/>
                <w:szCs w:val="24"/>
              </w:rPr>
              <w:t>日</w:t>
            </w:r>
          </w:p>
        </w:tc>
      </w:tr>
      <w:tr w:rsidR="0009778C" w:rsidRPr="005F3BD7" w:rsidTr="00AC3CC5">
        <w:trPr>
          <w:jc w:val="center"/>
        </w:trPr>
        <w:tc>
          <w:tcPr>
            <w:tcW w:w="3201" w:type="dxa"/>
          </w:tcPr>
          <w:p w:rsidR="0009778C" w:rsidRPr="00D36ADB" w:rsidRDefault="0009778C" w:rsidP="005F3BD7">
            <w:pPr>
              <w:rPr>
                <w:rFonts w:eastAsia="宋体"/>
                <w:sz w:val="24"/>
                <w:szCs w:val="24"/>
              </w:rPr>
            </w:pPr>
            <w:r w:rsidRPr="00D36ADB">
              <w:rPr>
                <w:rFonts w:eastAsia="宋体"/>
                <w:sz w:val="24"/>
                <w:szCs w:val="24"/>
              </w:rPr>
              <w:t>除息日</w:t>
            </w:r>
          </w:p>
        </w:tc>
        <w:tc>
          <w:tcPr>
            <w:tcW w:w="3059" w:type="dxa"/>
          </w:tcPr>
          <w:p w:rsidR="0009778C" w:rsidRPr="00D36ADB" w:rsidRDefault="0009778C" w:rsidP="007E6094">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16</w:t>
            </w:r>
            <w:r w:rsidRPr="00D36ADB">
              <w:rPr>
                <w:rFonts w:eastAsia="宋体"/>
                <w:sz w:val="24"/>
                <w:szCs w:val="24"/>
              </w:rPr>
              <w:t>日（场内）</w:t>
            </w:r>
          </w:p>
        </w:tc>
        <w:tc>
          <w:tcPr>
            <w:tcW w:w="3060" w:type="dxa"/>
          </w:tcPr>
          <w:p w:rsidR="0009778C" w:rsidRPr="00D36ADB" w:rsidRDefault="009A7BE2" w:rsidP="00BC5029">
            <w:pPr>
              <w:rPr>
                <w:rFonts w:eastAsia="宋体"/>
                <w:sz w:val="24"/>
                <w:szCs w:val="24"/>
              </w:rPr>
            </w:pPr>
            <w:r w:rsidRPr="00812228">
              <w:rPr>
                <w:rFonts w:eastAsia="宋体"/>
                <w:sz w:val="24"/>
                <w:szCs w:val="24"/>
              </w:rPr>
              <w:t>2020</w:t>
            </w:r>
            <w:r w:rsidRPr="00812228">
              <w:rPr>
                <w:rFonts w:eastAsia="宋体"/>
                <w:sz w:val="24"/>
                <w:szCs w:val="24"/>
              </w:rPr>
              <w:t>年</w:t>
            </w:r>
            <w:r w:rsidRPr="00812228">
              <w:rPr>
                <w:rFonts w:eastAsia="宋体"/>
                <w:sz w:val="24"/>
                <w:szCs w:val="24"/>
              </w:rPr>
              <w:t>1</w:t>
            </w:r>
            <w:r w:rsidRPr="00812228">
              <w:rPr>
                <w:rFonts w:eastAsia="宋体"/>
                <w:sz w:val="24"/>
                <w:szCs w:val="24"/>
              </w:rPr>
              <w:t>月</w:t>
            </w:r>
            <w:r w:rsidRPr="00812228">
              <w:rPr>
                <w:rFonts w:eastAsia="宋体"/>
                <w:sz w:val="24"/>
                <w:szCs w:val="24"/>
              </w:rPr>
              <w:t>15</w:t>
            </w:r>
            <w:r w:rsidRPr="00812228">
              <w:rPr>
                <w:rFonts w:eastAsia="宋体"/>
                <w:sz w:val="24"/>
                <w:szCs w:val="24"/>
              </w:rPr>
              <w:t>日（场</w:t>
            </w:r>
            <w:r>
              <w:rPr>
                <w:rFonts w:eastAsia="宋体" w:hint="eastAsia"/>
                <w:sz w:val="24"/>
                <w:szCs w:val="24"/>
              </w:rPr>
              <w:t>外</w:t>
            </w:r>
            <w:r w:rsidRPr="00812228">
              <w:rPr>
                <w:rFonts w:eastAsia="宋体"/>
                <w:sz w:val="24"/>
                <w:szCs w:val="24"/>
              </w:rPr>
              <w:t>）</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现金红利发放日</w:t>
            </w:r>
          </w:p>
        </w:tc>
        <w:tc>
          <w:tcPr>
            <w:tcW w:w="6119" w:type="dxa"/>
            <w:gridSpan w:val="2"/>
          </w:tcPr>
          <w:p w:rsidR="00893436" w:rsidRPr="00D36ADB" w:rsidRDefault="00BA7F58"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17</w:t>
            </w:r>
            <w:r w:rsidRPr="00D36ADB">
              <w:rPr>
                <w:rFonts w:eastAsia="宋体"/>
                <w:sz w:val="24"/>
                <w:szCs w:val="24"/>
              </w:rPr>
              <w:t>日</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分红对象</w:t>
            </w:r>
          </w:p>
        </w:tc>
        <w:tc>
          <w:tcPr>
            <w:tcW w:w="6119" w:type="dxa"/>
            <w:gridSpan w:val="2"/>
            <w:shd w:val="clear" w:color="auto" w:fill="auto"/>
          </w:tcPr>
          <w:p w:rsidR="00893436" w:rsidRPr="00D36ADB" w:rsidRDefault="00BA7F58" w:rsidP="005F3BD7">
            <w:pPr>
              <w:rPr>
                <w:rFonts w:eastAsia="宋体"/>
                <w:sz w:val="24"/>
                <w:szCs w:val="24"/>
              </w:rPr>
            </w:pPr>
            <w:r w:rsidRPr="00D36ADB">
              <w:rPr>
                <w:rFonts w:eastAsia="宋体"/>
                <w:sz w:val="24"/>
                <w:szCs w:val="24"/>
              </w:rPr>
              <w:t>权益登记日登记在册的本基金全体持有人。</w:t>
            </w:r>
          </w:p>
        </w:tc>
      </w:tr>
      <w:tr w:rsidR="00893436" w:rsidRPr="005F3BD7" w:rsidTr="00AC3CC5">
        <w:trPr>
          <w:jc w:val="center"/>
        </w:trPr>
        <w:tc>
          <w:tcPr>
            <w:tcW w:w="3201" w:type="dxa"/>
            <w:shd w:val="clear" w:color="auto" w:fill="auto"/>
            <w:vAlign w:val="center"/>
          </w:tcPr>
          <w:p w:rsidR="00893436" w:rsidRPr="00D36ADB" w:rsidRDefault="00893436" w:rsidP="005F3BD7">
            <w:pPr>
              <w:rPr>
                <w:rFonts w:eastAsia="宋体"/>
                <w:sz w:val="24"/>
                <w:szCs w:val="24"/>
              </w:rPr>
            </w:pPr>
            <w:r w:rsidRPr="00D36ADB">
              <w:rPr>
                <w:rFonts w:eastAsia="宋体"/>
                <w:sz w:val="24"/>
                <w:szCs w:val="24"/>
              </w:rPr>
              <w:lastRenderedPageBreak/>
              <w:t>红利再投资相关事项的说明</w:t>
            </w:r>
          </w:p>
        </w:tc>
        <w:tc>
          <w:tcPr>
            <w:tcW w:w="6119" w:type="dxa"/>
            <w:gridSpan w:val="2"/>
            <w:shd w:val="clear" w:color="auto" w:fill="auto"/>
          </w:tcPr>
          <w:p w:rsidR="00893436" w:rsidRPr="00D36ADB" w:rsidRDefault="00BA7F58" w:rsidP="005F3BD7">
            <w:pPr>
              <w:rPr>
                <w:rFonts w:eastAsia="宋体"/>
                <w:sz w:val="24"/>
                <w:szCs w:val="24"/>
              </w:rPr>
            </w:pPr>
            <w:r w:rsidRPr="00D36ADB">
              <w:rPr>
                <w:rFonts w:eastAsia="宋体"/>
                <w:sz w:val="24"/>
                <w:szCs w:val="24"/>
              </w:rPr>
              <w:t>本次收益分配方式为现金分红。</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税收相关事项的说明</w:t>
            </w:r>
          </w:p>
        </w:tc>
        <w:tc>
          <w:tcPr>
            <w:tcW w:w="6119" w:type="dxa"/>
            <w:gridSpan w:val="2"/>
            <w:shd w:val="clear" w:color="auto" w:fill="auto"/>
          </w:tcPr>
          <w:p w:rsidR="00893436" w:rsidRPr="00D36ADB" w:rsidRDefault="00BA7F58" w:rsidP="005F3BD7">
            <w:pPr>
              <w:rPr>
                <w:rFonts w:eastAsia="宋体"/>
                <w:sz w:val="24"/>
                <w:szCs w:val="24"/>
              </w:rPr>
            </w:pPr>
            <w:r w:rsidRPr="00D36ADB">
              <w:rPr>
                <w:rFonts w:eastAsia="宋体"/>
                <w:sz w:val="24"/>
                <w:szCs w:val="24"/>
              </w:rPr>
              <w:t>根据相关法律法规规定，基金向投资者分配的基金收益，暂免征收所得税。</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费用相关事项的说明</w:t>
            </w:r>
          </w:p>
        </w:tc>
        <w:tc>
          <w:tcPr>
            <w:tcW w:w="6119" w:type="dxa"/>
            <w:gridSpan w:val="2"/>
            <w:shd w:val="clear" w:color="auto" w:fill="auto"/>
          </w:tcPr>
          <w:p w:rsidR="00893436" w:rsidRPr="00D36ADB" w:rsidRDefault="00BA7F58" w:rsidP="005F3BD7">
            <w:pPr>
              <w:rPr>
                <w:rFonts w:eastAsia="宋体"/>
                <w:sz w:val="24"/>
                <w:szCs w:val="24"/>
              </w:rPr>
            </w:pPr>
            <w:r w:rsidRPr="00D36ADB">
              <w:rPr>
                <w:rFonts w:eastAsia="宋体"/>
                <w:sz w:val="24"/>
                <w:szCs w:val="24"/>
              </w:rPr>
              <w:t>本基金本次分红免收分红手续费。</w:t>
            </w:r>
          </w:p>
        </w:tc>
      </w:tr>
    </w:tbl>
    <w:p w:rsidR="00893436" w:rsidRPr="00D36ADB"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注：本次向场内、场外基金份额派发的现金红利于2020年1月17日自基金托管账户划出。</w:t>
      </w:r>
    </w:p>
    <w:p w:rsidR="00D36ADB" w:rsidRPr="00AC3CC5" w:rsidRDefault="00D36ADB" w:rsidP="00AC3CC5">
      <w:pPr>
        <w:spacing w:line="360" w:lineRule="auto"/>
        <w:rPr>
          <w:color w:val="000000"/>
          <w:sz w:val="24"/>
          <w:szCs w:val="24"/>
        </w:rPr>
      </w:pPr>
    </w:p>
    <w:p w:rsidR="00893436" w:rsidRPr="00D36ADB" w:rsidRDefault="00893436" w:rsidP="00D36ADB">
      <w:pPr>
        <w:pStyle w:val="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B92940" w:rsidRDefault="001F2F3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）权益分派期间（</w:t>
      </w:r>
      <w:r>
        <w:rPr>
          <w:rFonts w:asciiTheme="minorEastAsia" w:eastAsiaTheme="minorEastAsia" w:hAnsiTheme="minorEastAsia"/>
          <w:color w:val="000000"/>
          <w:sz w:val="24"/>
          <w:szCs w:val="24"/>
        </w:rPr>
        <w:t>2020</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13</w:t>
      </w:r>
      <w:r>
        <w:rPr>
          <w:rFonts w:asciiTheme="minorEastAsia" w:eastAsiaTheme="minorEastAsia" w:hAnsiTheme="minorEastAsia"/>
          <w:color w:val="000000"/>
          <w:sz w:val="24"/>
          <w:szCs w:val="24"/>
        </w:rPr>
        <w:t>日至</w:t>
      </w:r>
      <w:r>
        <w:rPr>
          <w:rFonts w:asciiTheme="minorEastAsia" w:eastAsiaTheme="minorEastAsia" w:hAnsiTheme="minorEastAsia"/>
          <w:color w:val="000000"/>
          <w:sz w:val="24"/>
          <w:szCs w:val="24"/>
        </w:rPr>
        <w:t>2020</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15</w:t>
      </w:r>
      <w:r>
        <w:rPr>
          <w:rFonts w:asciiTheme="minorEastAsia" w:eastAsiaTheme="minorEastAsia" w:hAnsiTheme="minorEastAsia"/>
          <w:color w:val="000000"/>
          <w:sz w:val="24"/>
          <w:szCs w:val="24"/>
        </w:rPr>
        <w:t>日）暂停本基金跨系统转托管业务。</w:t>
      </w:r>
    </w:p>
    <w:p w:rsidR="00B92940" w:rsidRDefault="001F2F3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）根据《易方达永旭添利定期开放债券型证券投资基金基金合同》规定，本次收益分配方式为现金分红。</w:t>
      </w:r>
    </w:p>
    <w:p w:rsidR="00B92940" w:rsidRDefault="001F2F3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）咨询办法</w:t>
      </w:r>
      <w:r>
        <w:rPr>
          <w:rFonts w:asciiTheme="minorEastAsia" w:eastAsiaTheme="minorEastAsia" w:hAnsiTheme="minorEastAsia"/>
          <w:color w:val="000000"/>
          <w:sz w:val="24"/>
          <w:szCs w:val="24"/>
        </w:rPr>
        <w:t xml:space="preserve"> </w:t>
      </w:r>
    </w:p>
    <w:p w:rsidR="00B92940" w:rsidRDefault="001F2F3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①</w:t>
      </w:r>
      <w:r>
        <w:rPr>
          <w:rFonts w:asciiTheme="minorEastAsia" w:eastAsiaTheme="minorEastAsia" w:hAnsiTheme="minorEastAsia"/>
          <w:color w:val="000000"/>
          <w:sz w:val="24"/>
          <w:szCs w:val="24"/>
        </w:rPr>
        <w:t>易方达基金管理有限公司客户服务热线：</w:t>
      </w:r>
      <w:r>
        <w:rPr>
          <w:rFonts w:asciiTheme="minorEastAsia" w:eastAsiaTheme="minorEastAsia" w:hAnsiTheme="minorEastAsia"/>
          <w:color w:val="000000"/>
          <w:sz w:val="24"/>
          <w:szCs w:val="24"/>
        </w:rPr>
        <w:t>40088-18088</w:t>
      </w:r>
      <w:r>
        <w:rPr>
          <w:rFonts w:asciiTheme="minorEastAsia" w:eastAsiaTheme="minorEastAsia" w:hAnsiTheme="minorEastAsia"/>
          <w:color w:val="000000"/>
          <w:sz w:val="24"/>
          <w:szCs w:val="24"/>
        </w:rPr>
        <w:t>（免长途话费）。</w:t>
      </w:r>
    </w:p>
    <w:p w:rsidR="00B92940" w:rsidRDefault="001F2F3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②</w:t>
      </w:r>
      <w:r>
        <w:rPr>
          <w:rFonts w:asciiTheme="minorEastAsia" w:eastAsiaTheme="minorEastAsia" w:hAnsiTheme="minorEastAsia"/>
          <w:color w:val="000000"/>
          <w:sz w:val="24"/>
          <w:szCs w:val="24"/>
        </w:rPr>
        <w:t>易方达基金管理有限公司网站：</w:t>
      </w:r>
      <w:r>
        <w:rPr>
          <w:rFonts w:asciiTheme="minorEastAsia" w:eastAsiaTheme="minorEastAsia" w:hAnsiTheme="minorEastAsia"/>
          <w:color w:val="000000"/>
          <w:sz w:val="24"/>
          <w:szCs w:val="24"/>
        </w:rPr>
        <w:t>http://www.efunds.com.cn</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 xml:space="preserve"> </w:t>
      </w:r>
    </w:p>
    <w:p w:rsidR="00364C2A"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3623C7">
      <w:pPr>
        <w:spacing w:line="360" w:lineRule="auto"/>
        <w:ind w:firstLineChars="200" w:firstLine="480"/>
        <w:jc w:val="right"/>
        <w:rPr>
          <w:rFonts w:asciiTheme="minorEastAsia" w:eastAsiaTheme="minorEastAsia" w:hAnsiTheme="minorEastAsia"/>
          <w:color w:val="000000"/>
          <w:sz w:val="24"/>
          <w:szCs w:val="24"/>
        </w:rPr>
      </w:pPr>
    </w:p>
    <w:p w:rsidR="00D63FBB" w:rsidRPr="003623C7"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2020年1月13日</w:t>
      </w:r>
    </w:p>
    <w:sectPr w:rsidR="00D63FBB" w:rsidRPr="00D36ADB"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BB" w:rsidRDefault="00EA03BB" w:rsidP="00893436">
      <w:r>
        <w:separator/>
      </w:r>
    </w:p>
  </w:endnote>
  <w:endnote w:type="continuationSeparator" w:id="0">
    <w:p w:rsidR="00EA03BB" w:rsidRDefault="00EA03BB"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BB" w:rsidRDefault="00EA03BB" w:rsidP="00893436">
      <w:r>
        <w:separator/>
      </w:r>
    </w:p>
  </w:footnote>
  <w:footnote w:type="continuationSeparator" w:id="0">
    <w:p w:rsidR="00EA03BB" w:rsidRDefault="00EA03BB"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1353"/>
    <w:rsid w:val="00057AC1"/>
    <w:rsid w:val="00085F5C"/>
    <w:rsid w:val="0009778C"/>
    <w:rsid w:val="000A19B2"/>
    <w:rsid w:val="000C39F6"/>
    <w:rsid w:val="00111BD0"/>
    <w:rsid w:val="00135CA1"/>
    <w:rsid w:val="0013659B"/>
    <w:rsid w:val="001F2F32"/>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86931"/>
    <w:rsid w:val="0039192C"/>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92940"/>
    <w:rsid w:val="00BA7F58"/>
    <w:rsid w:val="00BC5029"/>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D36ADB"/>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974</Characters>
  <Application>Microsoft Office Word</Application>
  <DocSecurity>4</DocSecurity>
  <Lines>8</Lines>
  <Paragraphs>2</Paragraphs>
  <ScaleCrop>false</ScaleCrop>
  <Company>微软中国</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efunds</cp:lastModifiedBy>
  <cp:revision>2</cp:revision>
  <dcterms:created xsi:type="dcterms:W3CDTF">2020-01-08T08:48:00Z</dcterms:created>
  <dcterms:modified xsi:type="dcterms:W3CDTF">2020-01-08T08:48:00Z</dcterms:modified>
</cp:coreProperties>
</file>