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E3" w:rsidRPr="00013DA3" w:rsidRDefault="00F705B7" w:rsidP="00013DA3">
      <w:pPr>
        <w:jc w:val="center"/>
        <w:rPr>
          <w:rFonts w:asciiTheme="minorEastAsia" w:hAnsiTheme="minorEastAsia"/>
          <w:b/>
          <w:sz w:val="28"/>
          <w:szCs w:val="28"/>
        </w:rPr>
      </w:pPr>
      <w:r>
        <w:rPr>
          <w:rFonts w:asciiTheme="minorEastAsia" w:hAnsiTheme="minorEastAsia" w:hint="eastAsia"/>
          <w:b/>
          <w:sz w:val="28"/>
          <w:szCs w:val="28"/>
        </w:rPr>
        <w:t>景顺长城基金管理有限公司</w:t>
      </w:r>
      <w:r w:rsidR="00D757E3" w:rsidRPr="00F77093">
        <w:rPr>
          <w:rFonts w:asciiTheme="minorEastAsia" w:hAnsiTheme="minorEastAsia" w:hint="eastAsia"/>
          <w:b/>
          <w:sz w:val="28"/>
          <w:szCs w:val="28"/>
        </w:rPr>
        <w:t>关于</w:t>
      </w:r>
      <w:r w:rsidR="004D4CFF">
        <w:rPr>
          <w:rFonts w:asciiTheme="minorEastAsia" w:hAnsiTheme="minorEastAsia" w:hint="eastAsia"/>
          <w:b/>
          <w:sz w:val="28"/>
          <w:szCs w:val="28"/>
        </w:rPr>
        <w:t>旗下沪市跨市场E</w:t>
      </w:r>
      <w:r w:rsidR="004D4CFF">
        <w:rPr>
          <w:rFonts w:asciiTheme="minorEastAsia" w:hAnsiTheme="minorEastAsia"/>
          <w:b/>
          <w:sz w:val="28"/>
          <w:szCs w:val="28"/>
        </w:rPr>
        <w:t>TF</w:t>
      </w:r>
      <w:r w:rsidR="004D4CFF">
        <w:rPr>
          <w:rFonts w:asciiTheme="minorEastAsia" w:hAnsiTheme="minorEastAsia" w:hint="eastAsia"/>
          <w:b/>
          <w:sz w:val="28"/>
          <w:szCs w:val="28"/>
        </w:rPr>
        <w:t>调整申赎结算模式</w:t>
      </w:r>
      <w:r w:rsidR="00D757E3" w:rsidRPr="00F77093">
        <w:rPr>
          <w:rFonts w:asciiTheme="minorEastAsia" w:hAnsiTheme="minorEastAsia" w:hint="eastAsia"/>
          <w:b/>
          <w:sz w:val="28"/>
          <w:szCs w:val="28"/>
        </w:rPr>
        <w:t>的</w:t>
      </w:r>
      <w:r w:rsidR="00DF23C4" w:rsidRPr="00F77093">
        <w:rPr>
          <w:rFonts w:asciiTheme="minorEastAsia" w:hAnsiTheme="minorEastAsia" w:hint="eastAsia"/>
          <w:b/>
          <w:sz w:val="28"/>
          <w:szCs w:val="28"/>
        </w:rPr>
        <w:t>提示性</w:t>
      </w:r>
      <w:r w:rsidR="00D757E3" w:rsidRPr="00F77093">
        <w:rPr>
          <w:rFonts w:asciiTheme="minorEastAsia" w:hAnsiTheme="minorEastAsia" w:hint="eastAsia"/>
          <w:b/>
          <w:sz w:val="28"/>
          <w:szCs w:val="28"/>
        </w:rPr>
        <w:t>公告</w:t>
      </w:r>
    </w:p>
    <w:p w:rsidR="00D757E3" w:rsidRDefault="00D757E3"/>
    <w:p w:rsidR="00D757E3" w:rsidRDefault="00D757E3"/>
    <w:p w:rsidR="00D757E3" w:rsidRDefault="00497DBB" w:rsidP="00B36721">
      <w:pPr>
        <w:widowControl/>
        <w:spacing w:line="360" w:lineRule="auto"/>
        <w:ind w:firstLineChars="200" w:firstLine="420"/>
        <w:jc w:val="left"/>
        <w:rPr>
          <w:rFonts w:ascii="Arial" w:eastAsia="宋体" w:hAnsi="Arial" w:cs="Arial"/>
          <w:color w:val="000000"/>
          <w:kern w:val="0"/>
          <w:szCs w:val="21"/>
        </w:rPr>
      </w:pPr>
      <w:r w:rsidRPr="00497DBB">
        <w:rPr>
          <w:rFonts w:ascii="Arial" w:eastAsia="宋体" w:hAnsi="Arial" w:cs="Arial" w:hint="eastAsia"/>
          <w:color w:val="000000"/>
          <w:kern w:val="0"/>
          <w:szCs w:val="21"/>
        </w:rPr>
        <w:t>为更好地满足投资者需求，根据</w:t>
      </w:r>
      <w:r w:rsidR="00B36721">
        <w:rPr>
          <w:rFonts w:ascii="Arial" w:eastAsia="宋体" w:hAnsi="Arial" w:cs="Arial" w:hint="eastAsia"/>
          <w:color w:val="000000"/>
          <w:kern w:val="0"/>
          <w:szCs w:val="21"/>
        </w:rPr>
        <w:t>《</w:t>
      </w:r>
      <w:r w:rsidR="00B36721" w:rsidRPr="00B36721">
        <w:rPr>
          <w:rFonts w:ascii="Arial" w:eastAsia="宋体" w:hAnsi="Arial" w:cs="Arial" w:hint="eastAsia"/>
          <w:color w:val="000000"/>
          <w:kern w:val="0"/>
          <w:szCs w:val="21"/>
        </w:rPr>
        <w:t>上海证券交易所交易型开放式指数基金业务实施细则（</w:t>
      </w:r>
      <w:r w:rsidR="00B36721" w:rsidRPr="00B36721">
        <w:rPr>
          <w:rFonts w:ascii="Arial" w:eastAsia="宋体" w:hAnsi="Arial" w:cs="Arial" w:hint="eastAsia"/>
          <w:color w:val="000000"/>
          <w:kern w:val="0"/>
          <w:szCs w:val="21"/>
        </w:rPr>
        <w:t>2020</w:t>
      </w:r>
      <w:r w:rsidR="00B36721" w:rsidRPr="00B36721">
        <w:rPr>
          <w:rFonts w:ascii="Arial" w:eastAsia="宋体" w:hAnsi="Arial" w:cs="Arial" w:hint="eastAsia"/>
          <w:color w:val="000000"/>
          <w:kern w:val="0"/>
          <w:szCs w:val="21"/>
        </w:rPr>
        <w:t>年修订）</w:t>
      </w:r>
      <w:r w:rsidR="00B36721">
        <w:rPr>
          <w:rFonts w:ascii="Arial" w:eastAsia="宋体" w:hAnsi="Arial" w:cs="Arial" w:hint="eastAsia"/>
          <w:color w:val="000000"/>
          <w:kern w:val="0"/>
          <w:szCs w:val="21"/>
        </w:rPr>
        <w:t>》</w:t>
      </w:r>
      <w:r w:rsidR="006D448D">
        <w:rPr>
          <w:rFonts w:ascii="Arial" w:eastAsia="宋体" w:hAnsi="Arial" w:cs="Arial" w:hint="eastAsia"/>
          <w:color w:val="000000"/>
          <w:kern w:val="0"/>
          <w:szCs w:val="21"/>
        </w:rPr>
        <w:t>和</w:t>
      </w:r>
      <w:r w:rsidR="006D448D" w:rsidRPr="006D448D">
        <w:rPr>
          <w:rFonts w:ascii="Arial" w:eastAsia="宋体" w:hAnsi="Arial" w:cs="Arial" w:hint="eastAsia"/>
          <w:color w:val="000000"/>
          <w:kern w:val="0"/>
          <w:szCs w:val="21"/>
        </w:rPr>
        <w:t>《中国证券登记结算有限责任公司关于交易所交易型开放式证券投资基金登记结算业务实施细则》</w:t>
      </w:r>
      <w:r w:rsidR="00ED6095">
        <w:rPr>
          <w:rFonts w:ascii="Arial" w:eastAsia="宋体" w:hAnsi="Arial" w:cs="Arial" w:hint="eastAsia"/>
          <w:color w:val="000000"/>
          <w:kern w:val="0"/>
          <w:szCs w:val="21"/>
        </w:rPr>
        <w:t>及相关规定</w:t>
      </w:r>
      <w:r w:rsidRPr="00497DBB">
        <w:rPr>
          <w:rFonts w:ascii="Arial" w:eastAsia="宋体" w:hAnsi="Arial" w:cs="Arial" w:hint="eastAsia"/>
          <w:color w:val="000000"/>
          <w:kern w:val="0"/>
          <w:szCs w:val="21"/>
        </w:rPr>
        <w:t>，</w:t>
      </w:r>
      <w:r w:rsidR="006D448D">
        <w:rPr>
          <w:rFonts w:ascii="Arial" w:eastAsia="宋体" w:hAnsi="Arial" w:cs="Arial" w:hint="eastAsia"/>
          <w:color w:val="000000"/>
          <w:kern w:val="0"/>
          <w:szCs w:val="21"/>
        </w:rPr>
        <w:t>景顺长城</w:t>
      </w:r>
      <w:r w:rsidRPr="00497DBB">
        <w:rPr>
          <w:rFonts w:ascii="Arial" w:eastAsia="宋体" w:hAnsi="Arial" w:cs="Arial" w:hint="eastAsia"/>
          <w:color w:val="000000"/>
          <w:kern w:val="0"/>
          <w:szCs w:val="21"/>
        </w:rPr>
        <w:t>基金管理有限公司（以下简称“本公司”）决定于</w:t>
      </w:r>
      <w:r w:rsidRPr="00497DBB">
        <w:rPr>
          <w:rFonts w:ascii="Arial" w:eastAsia="宋体" w:hAnsi="Arial" w:cs="Arial" w:hint="eastAsia"/>
          <w:color w:val="000000"/>
          <w:kern w:val="0"/>
          <w:szCs w:val="21"/>
        </w:rPr>
        <w:t>20</w:t>
      </w:r>
      <w:r>
        <w:rPr>
          <w:rFonts w:ascii="Arial" w:eastAsia="宋体" w:hAnsi="Arial" w:cs="Arial"/>
          <w:color w:val="000000"/>
          <w:kern w:val="0"/>
          <w:szCs w:val="21"/>
        </w:rPr>
        <w:t>20</w:t>
      </w:r>
      <w:r w:rsidRPr="00497DBB">
        <w:rPr>
          <w:rFonts w:ascii="Arial" w:eastAsia="宋体" w:hAnsi="Arial" w:cs="Arial" w:hint="eastAsia"/>
          <w:color w:val="000000"/>
          <w:kern w:val="0"/>
          <w:szCs w:val="21"/>
        </w:rPr>
        <w:t>年</w:t>
      </w:r>
      <w:r>
        <w:rPr>
          <w:rFonts w:ascii="Arial" w:eastAsia="宋体" w:hAnsi="Arial" w:cs="Arial" w:hint="eastAsia"/>
          <w:color w:val="000000"/>
          <w:kern w:val="0"/>
          <w:szCs w:val="21"/>
        </w:rPr>
        <w:t>1</w:t>
      </w:r>
      <w:r w:rsidRPr="00497DBB">
        <w:rPr>
          <w:rFonts w:ascii="Arial" w:eastAsia="宋体" w:hAnsi="Arial" w:cs="Arial" w:hint="eastAsia"/>
          <w:color w:val="000000"/>
          <w:kern w:val="0"/>
          <w:szCs w:val="21"/>
        </w:rPr>
        <w:t>月</w:t>
      </w:r>
      <w:r w:rsidRPr="00497DBB">
        <w:rPr>
          <w:rFonts w:ascii="Arial" w:eastAsia="宋体" w:hAnsi="Arial" w:cs="Arial" w:hint="eastAsia"/>
          <w:color w:val="000000"/>
          <w:kern w:val="0"/>
          <w:szCs w:val="21"/>
        </w:rPr>
        <w:t>2</w:t>
      </w:r>
      <w:r>
        <w:rPr>
          <w:rFonts w:ascii="Arial" w:eastAsia="宋体" w:hAnsi="Arial" w:cs="Arial"/>
          <w:color w:val="000000"/>
          <w:kern w:val="0"/>
          <w:szCs w:val="21"/>
        </w:rPr>
        <w:t>0</w:t>
      </w:r>
      <w:r w:rsidRPr="00497DBB">
        <w:rPr>
          <w:rFonts w:ascii="Arial" w:eastAsia="宋体" w:hAnsi="Arial" w:cs="Arial" w:hint="eastAsia"/>
          <w:color w:val="000000"/>
          <w:kern w:val="0"/>
          <w:szCs w:val="21"/>
        </w:rPr>
        <w:t>日起对旗下</w:t>
      </w:r>
      <w:r w:rsidR="00FD7681">
        <w:rPr>
          <w:rFonts w:ascii="Arial" w:eastAsia="宋体" w:hAnsi="Arial" w:cs="Arial" w:hint="eastAsia"/>
          <w:color w:val="000000"/>
          <w:kern w:val="0"/>
          <w:szCs w:val="21"/>
        </w:rPr>
        <w:t>“</w:t>
      </w:r>
      <w:r w:rsidR="00434B2F" w:rsidRPr="00434B2F">
        <w:rPr>
          <w:rFonts w:ascii="Arial" w:eastAsia="宋体" w:hAnsi="Arial" w:cs="Arial" w:hint="eastAsia"/>
          <w:color w:val="000000"/>
          <w:kern w:val="0"/>
          <w:szCs w:val="21"/>
        </w:rPr>
        <w:t>景顺长城</w:t>
      </w:r>
      <w:r w:rsidR="00434B2F" w:rsidRPr="00434B2F">
        <w:rPr>
          <w:rFonts w:ascii="Arial" w:eastAsia="宋体" w:hAnsi="Arial" w:cs="Arial" w:hint="eastAsia"/>
          <w:color w:val="000000"/>
          <w:kern w:val="0"/>
          <w:szCs w:val="21"/>
        </w:rPr>
        <w:t>MSCI</w:t>
      </w:r>
      <w:r w:rsidR="00434B2F" w:rsidRPr="00434B2F">
        <w:rPr>
          <w:rFonts w:ascii="Arial" w:eastAsia="宋体" w:hAnsi="Arial" w:cs="Arial" w:hint="eastAsia"/>
          <w:color w:val="000000"/>
          <w:kern w:val="0"/>
          <w:szCs w:val="21"/>
        </w:rPr>
        <w:t>中国</w:t>
      </w:r>
      <w:r w:rsidR="00434B2F" w:rsidRPr="00434B2F">
        <w:rPr>
          <w:rFonts w:ascii="Arial" w:eastAsia="宋体" w:hAnsi="Arial" w:cs="Arial" w:hint="eastAsia"/>
          <w:color w:val="000000"/>
          <w:kern w:val="0"/>
          <w:szCs w:val="21"/>
        </w:rPr>
        <w:t>A</w:t>
      </w:r>
      <w:r w:rsidR="00434B2F" w:rsidRPr="00434B2F">
        <w:rPr>
          <w:rFonts w:ascii="Arial" w:eastAsia="宋体" w:hAnsi="Arial" w:cs="Arial" w:hint="eastAsia"/>
          <w:color w:val="000000"/>
          <w:kern w:val="0"/>
          <w:szCs w:val="21"/>
        </w:rPr>
        <w:t>股国际通交易型开放式指数证券投资基金</w:t>
      </w:r>
      <w:r w:rsidR="00FD7681">
        <w:rPr>
          <w:rFonts w:ascii="Arial" w:eastAsia="宋体" w:hAnsi="Arial" w:cs="Arial" w:hint="eastAsia"/>
          <w:color w:val="000000"/>
          <w:kern w:val="0"/>
          <w:szCs w:val="21"/>
        </w:rPr>
        <w:t>”</w:t>
      </w:r>
      <w:r w:rsidRPr="00497DBB">
        <w:rPr>
          <w:rFonts w:ascii="Arial" w:eastAsia="宋体" w:hAnsi="Arial" w:cs="Arial" w:hint="eastAsia"/>
          <w:color w:val="000000"/>
          <w:kern w:val="0"/>
          <w:szCs w:val="21"/>
        </w:rPr>
        <w:t>（场内简称“</w:t>
      </w:r>
      <w:r w:rsidR="00FD7681" w:rsidRPr="00FD7681">
        <w:rPr>
          <w:rFonts w:ascii="Arial" w:eastAsia="宋体" w:hAnsi="Arial" w:cs="Arial" w:hint="eastAsia"/>
          <w:color w:val="000000"/>
          <w:kern w:val="0"/>
          <w:szCs w:val="21"/>
        </w:rPr>
        <w:t>景顺</w:t>
      </w:r>
      <w:r w:rsidR="00FD7681" w:rsidRPr="00FD7681">
        <w:rPr>
          <w:rFonts w:ascii="Arial" w:eastAsia="宋体" w:hAnsi="Arial" w:cs="Arial" w:hint="eastAsia"/>
          <w:color w:val="000000"/>
          <w:kern w:val="0"/>
          <w:szCs w:val="21"/>
        </w:rPr>
        <w:t>MSCI</w:t>
      </w:r>
      <w:r w:rsidRPr="00497DBB">
        <w:rPr>
          <w:rFonts w:ascii="Arial" w:eastAsia="宋体" w:hAnsi="Arial" w:cs="Arial" w:hint="eastAsia"/>
          <w:color w:val="000000"/>
          <w:kern w:val="0"/>
          <w:szCs w:val="21"/>
        </w:rPr>
        <w:t>”，代码：</w:t>
      </w:r>
      <w:r w:rsidR="00FD7681">
        <w:rPr>
          <w:rFonts w:ascii="Arial" w:eastAsia="宋体" w:hAnsi="Arial" w:cs="Arial" w:hint="eastAsia"/>
          <w:color w:val="000000"/>
          <w:kern w:val="0"/>
          <w:szCs w:val="21"/>
        </w:rPr>
        <w:t>5</w:t>
      </w:r>
      <w:r w:rsidR="00FD7681" w:rsidRPr="00FD7681">
        <w:rPr>
          <w:rFonts w:ascii="Arial" w:eastAsia="宋体" w:hAnsi="Arial" w:cs="Arial"/>
          <w:color w:val="000000"/>
          <w:kern w:val="0"/>
          <w:szCs w:val="21"/>
        </w:rPr>
        <w:t>12280</w:t>
      </w:r>
      <w:r w:rsidRPr="00497DBB">
        <w:rPr>
          <w:rFonts w:ascii="Arial" w:eastAsia="宋体" w:hAnsi="Arial" w:cs="Arial" w:hint="eastAsia"/>
          <w:color w:val="000000"/>
          <w:kern w:val="0"/>
          <w:szCs w:val="21"/>
        </w:rPr>
        <w:t>）</w:t>
      </w:r>
      <w:r w:rsidR="00FD7681">
        <w:rPr>
          <w:rFonts w:ascii="Arial" w:eastAsia="宋体" w:hAnsi="Arial" w:cs="Arial" w:hint="eastAsia"/>
          <w:color w:val="000000"/>
          <w:kern w:val="0"/>
          <w:szCs w:val="21"/>
        </w:rPr>
        <w:t>和“</w:t>
      </w:r>
      <w:r w:rsidR="00FD7681" w:rsidRPr="00FD7681">
        <w:rPr>
          <w:rFonts w:ascii="Arial" w:eastAsia="宋体" w:hAnsi="Arial" w:cs="Arial" w:hint="eastAsia"/>
          <w:color w:val="000000"/>
          <w:kern w:val="0"/>
          <w:szCs w:val="21"/>
        </w:rPr>
        <w:t>景顺长城中证</w:t>
      </w:r>
      <w:r w:rsidR="00FD7681" w:rsidRPr="00FD7681">
        <w:rPr>
          <w:rFonts w:ascii="Arial" w:eastAsia="宋体" w:hAnsi="Arial" w:cs="Arial" w:hint="eastAsia"/>
          <w:color w:val="000000"/>
          <w:kern w:val="0"/>
          <w:szCs w:val="21"/>
        </w:rPr>
        <w:t>TMT 150</w:t>
      </w:r>
      <w:r w:rsidR="00FD7681" w:rsidRPr="00FD7681">
        <w:rPr>
          <w:rFonts w:ascii="Arial" w:eastAsia="宋体" w:hAnsi="Arial" w:cs="Arial" w:hint="eastAsia"/>
          <w:color w:val="000000"/>
          <w:kern w:val="0"/>
          <w:szCs w:val="21"/>
        </w:rPr>
        <w:t>交易型开放式指数证券投资基金</w:t>
      </w:r>
      <w:r w:rsidR="00FD7681">
        <w:rPr>
          <w:rFonts w:ascii="Arial" w:eastAsia="宋体" w:hAnsi="Arial" w:cs="Arial" w:hint="eastAsia"/>
          <w:color w:val="000000"/>
          <w:kern w:val="0"/>
          <w:szCs w:val="21"/>
        </w:rPr>
        <w:t>”（</w:t>
      </w:r>
      <w:r w:rsidR="00603CCA" w:rsidRPr="00497DBB">
        <w:rPr>
          <w:rFonts w:ascii="Arial" w:eastAsia="宋体" w:hAnsi="Arial" w:cs="Arial" w:hint="eastAsia"/>
          <w:color w:val="000000"/>
          <w:kern w:val="0"/>
          <w:szCs w:val="21"/>
        </w:rPr>
        <w:t>场内简称“</w:t>
      </w:r>
      <w:r w:rsidR="00603CCA" w:rsidRPr="00FD7681">
        <w:rPr>
          <w:rFonts w:ascii="Arial" w:eastAsia="宋体" w:hAnsi="Arial" w:cs="Arial" w:hint="eastAsia"/>
          <w:color w:val="000000"/>
          <w:kern w:val="0"/>
          <w:szCs w:val="21"/>
        </w:rPr>
        <w:t>景顺</w:t>
      </w:r>
      <w:r w:rsidR="00960BBC">
        <w:rPr>
          <w:rFonts w:ascii="Arial" w:eastAsia="宋体" w:hAnsi="Arial" w:cs="Arial"/>
          <w:color w:val="000000"/>
          <w:kern w:val="0"/>
          <w:szCs w:val="21"/>
        </w:rPr>
        <w:t>TMT</w:t>
      </w:r>
      <w:r w:rsidR="00603CCA" w:rsidRPr="00497DBB">
        <w:rPr>
          <w:rFonts w:ascii="Arial" w:eastAsia="宋体" w:hAnsi="Arial" w:cs="Arial" w:hint="eastAsia"/>
          <w:color w:val="000000"/>
          <w:kern w:val="0"/>
          <w:szCs w:val="21"/>
        </w:rPr>
        <w:t>”，代码：</w:t>
      </w:r>
      <w:r w:rsidR="00603CCA" w:rsidRPr="00603CCA">
        <w:rPr>
          <w:rFonts w:ascii="Arial" w:eastAsia="宋体" w:hAnsi="Arial" w:cs="Arial"/>
          <w:color w:val="000000"/>
          <w:kern w:val="0"/>
          <w:szCs w:val="21"/>
        </w:rPr>
        <w:t>512220</w:t>
      </w:r>
      <w:r w:rsidR="00FD7681">
        <w:rPr>
          <w:rFonts w:ascii="Arial" w:eastAsia="宋体" w:hAnsi="Arial" w:cs="Arial" w:hint="eastAsia"/>
          <w:color w:val="000000"/>
          <w:kern w:val="0"/>
          <w:szCs w:val="21"/>
        </w:rPr>
        <w:t>）</w:t>
      </w:r>
      <w:r w:rsidR="00960BBC">
        <w:rPr>
          <w:rFonts w:ascii="Arial" w:eastAsia="宋体" w:hAnsi="Arial" w:cs="Arial" w:hint="eastAsia"/>
          <w:color w:val="000000"/>
          <w:kern w:val="0"/>
          <w:szCs w:val="21"/>
        </w:rPr>
        <w:t>调整申购赎回</w:t>
      </w:r>
      <w:r w:rsidR="000842C6">
        <w:rPr>
          <w:rFonts w:ascii="Arial" w:eastAsia="宋体" w:hAnsi="Arial" w:cs="Arial" w:hint="eastAsia"/>
          <w:color w:val="000000"/>
          <w:kern w:val="0"/>
          <w:szCs w:val="21"/>
        </w:rPr>
        <w:t>的</w:t>
      </w:r>
      <w:r w:rsidR="00FF3821">
        <w:rPr>
          <w:rFonts w:ascii="Arial" w:eastAsia="宋体" w:hAnsi="Arial" w:cs="Arial" w:hint="eastAsia"/>
          <w:color w:val="000000"/>
          <w:kern w:val="0"/>
          <w:szCs w:val="21"/>
        </w:rPr>
        <w:t>结算模式</w:t>
      </w:r>
      <w:r w:rsidRPr="00497DBB">
        <w:rPr>
          <w:rFonts w:ascii="Arial" w:eastAsia="宋体" w:hAnsi="Arial" w:cs="Arial" w:hint="eastAsia"/>
          <w:color w:val="000000"/>
          <w:kern w:val="0"/>
          <w:szCs w:val="21"/>
        </w:rPr>
        <w:t>，并</w:t>
      </w:r>
      <w:r w:rsidR="00013DA3">
        <w:rPr>
          <w:rFonts w:ascii="Arial" w:eastAsia="宋体" w:hAnsi="Arial" w:cs="Arial" w:hint="eastAsia"/>
          <w:color w:val="000000"/>
          <w:kern w:val="0"/>
          <w:szCs w:val="21"/>
        </w:rPr>
        <w:t>更新基金招募说明书</w:t>
      </w:r>
      <w:r w:rsidRPr="00497DBB">
        <w:rPr>
          <w:rFonts w:ascii="Arial" w:eastAsia="宋体" w:hAnsi="Arial" w:cs="Arial" w:hint="eastAsia"/>
          <w:color w:val="000000"/>
          <w:kern w:val="0"/>
          <w:szCs w:val="21"/>
        </w:rPr>
        <w:t>。</w:t>
      </w:r>
      <w:r w:rsidR="0032171A">
        <w:rPr>
          <w:rFonts w:ascii="Arial" w:eastAsia="宋体" w:hAnsi="Arial" w:cs="Arial" w:hint="eastAsia"/>
          <w:color w:val="000000"/>
          <w:kern w:val="0"/>
          <w:szCs w:val="21"/>
        </w:rPr>
        <w:t>调整后的申购赎回结算</w:t>
      </w:r>
      <w:r w:rsidRPr="00497DBB">
        <w:rPr>
          <w:rFonts w:ascii="Arial" w:eastAsia="宋体" w:hAnsi="Arial" w:cs="Arial" w:hint="eastAsia"/>
          <w:color w:val="000000"/>
          <w:kern w:val="0"/>
          <w:szCs w:val="21"/>
        </w:rPr>
        <w:t>模式将于</w:t>
      </w:r>
      <w:r w:rsidRPr="00497DBB">
        <w:rPr>
          <w:rFonts w:ascii="Arial" w:eastAsia="宋体" w:hAnsi="Arial" w:cs="Arial" w:hint="eastAsia"/>
          <w:color w:val="000000"/>
          <w:kern w:val="0"/>
          <w:szCs w:val="21"/>
        </w:rPr>
        <w:t>20</w:t>
      </w:r>
      <w:r w:rsidR="00FF3821">
        <w:rPr>
          <w:rFonts w:ascii="Arial" w:eastAsia="宋体" w:hAnsi="Arial" w:cs="Arial"/>
          <w:color w:val="000000"/>
          <w:kern w:val="0"/>
          <w:szCs w:val="21"/>
        </w:rPr>
        <w:t>20</w:t>
      </w:r>
      <w:r w:rsidRPr="00497DBB">
        <w:rPr>
          <w:rFonts w:ascii="Arial" w:eastAsia="宋体" w:hAnsi="Arial" w:cs="Arial" w:hint="eastAsia"/>
          <w:color w:val="000000"/>
          <w:kern w:val="0"/>
          <w:szCs w:val="21"/>
        </w:rPr>
        <w:t>年</w:t>
      </w:r>
      <w:r w:rsidRPr="00497DBB">
        <w:rPr>
          <w:rFonts w:ascii="Arial" w:eastAsia="宋体" w:hAnsi="Arial" w:cs="Arial" w:hint="eastAsia"/>
          <w:color w:val="000000"/>
          <w:kern w:val="0"/>
          <w:szCs w:val="21"/>
        </w:rPr>
        <w:t>1</w:t>
      </w:r>
      <w:r w:rsidRPr="00497DBB">
        <w:rPr>
          <w:rFonts w:ascii="Arial" w:eastAsia="宋体" w:hAnsi="Arial" w:cs="Arial" w:hint="eastAsia"/>
          <w:color w:val="000000"/>
          <w:kern w:val="0"/>
          <w:szCs w:val="21"/>
        </w:rPr>
        <w:t>月</w:t>
      </w:r>
      <w:r w:rsidR="000842C6">
        <w:rPr>
          <w:rFonts w:ascii="Arial" w:eastAsia="宋体" w:hAnsi="Arial" w:cs="Arial" w:hint="eastAsia"/>
          <w:color w:val="000000"/>
          <w:kern w:val="0"/>
          <w:szCs w:val="21"/>
        </w:rPr>
        <w:t>2</w:t>
      </w:r>
      <w:r w:rsidR="000842C6">
        <w:rPr>
          <w:rFonts w:ascii="Arial" w:eastAsia="宋体" w:hAnsi="Arial" w:cs="Arial"/>
          <w:color w:val="000000"/>
          <w:kern w:val="0"/>
          <w:szCs w:val="21"/>
        </w:rPr>
        <w:t>0</w:t>
      </w:r>
      <w:r w:rsidRPr="00497DBB">
        <w:rPr>
          <w:rFonts w:ascii="Arial" w:eastAsia="宋体" w:hAnsi="Arial" w:cs="Arial" w:hint="eastAsia"/>
          <w:color w:val="000000"/>
          <w:kern w:val="0"/>
          <w:szCs w:val="21"/>
        </w:rPr>
        <w:t>日正式</w:t>
      </w:r>
      <w:r w:rsidR="00FF3821">
        <w:rPr>
          <w:rFonts w:ascii="Arial" w:eastAsia="宋体" w:hAnsi="Arial" w:cs="Arial" w:hint="eastAsia"/>
          <w:color w:val="000000"/>
          <w:kern w:val="0"/>
          <w:szCs w:val="21"/>
        </w:rPr>
        <w:t>实施</w:t>
      </w:r>
      <w:r w:rsidRPr="00497DBB">
        <w:rPr>
          <w:rFonts w:ascii="Arial" w:eastAsia="宋体" w:hAnsi="Arial" w:cs="Arial" w:hint="eastAsia"/>
          <w:color w:val="000000"/>
          <w:kern w:val="0"/>
          <w:szCs w:val="21"/>
        </w:rPr>
        <w:t>。现将相关事项公告如下：</w:t>
      </w:r>
    </w:p>
    <w:p w:rsidR="00313BB8" w:rsidRDefault="00313BB8" w:rsidP="00313BB8">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一、调整后的申购赎回结算模式主要内容</w:t>
      </w:r>
    </w:p>
    <w:p w:rsidR="0032171A" w:rsidRDefault="006E1620" w:rsidP="00B36721">
      <w:pPr>
        <w:widowControl/>
        <w:spacing w:line="360" w:lineRule="auto"/>
        <w:ind w:firstLineChars="200" w:firstLine="420"/>
        <w:jc w:val="left"/>
        <w:rPr>
          <w:rFonts w:ascii="Arial" w:eastAsia="宋体" w:hAnsi="Arial" w:cs="Arial"/>
          <w:color w:val="000000"/>
          <w:kern w:val="0"/>
          <w:szCs w:val="21"/>
        </w:rPr>
      </w:pPr>
      <w:r>
        <w:rPr>
          <w:rFonts w:ascii="Arial" w:eastAsia="宋体" w:hAnsi="Arial" w:cs="Arial" w:hint="eastAsia"/>
          <w:color w:val="000000"/>
          <w:kern w:val="0"/>
          <w:szCs w:val="21"/>
        </w:rPr>
        <w:t>对于</w:t>
      </w:r>
      <w:r w:rsidR="006251B4" w:rsidRPr="006251B4">
        <w:rPr>
          <w:rFonts w:ascii="Arial" w:eastAsia="宋体" w:hAnsi="Arial" w:cs="Arial" w:hint="eastAsia"/>
          <w:color w:val="000000"/>
          <w:kern w:val="0"/>
          <w:szCs w:val="21"/>
        </w:rPr>
        <w:t>基金的申购、赎回涉及的业务采用净额结算和代收代付相结合的方式，基金份额、上交所上市的成份股的现金替代和深交所上市的成份股的现金替代采用净额结算的方式，现金差额和现金替代退补款采用代收代付。</w:t>
      </w:r>
    </w:p>
    <w:p w:rsidR="00ED30D0" w:rsidRPr="00ED30D0" w:rsidRDefault="00ED30D0" w:rsidP="00B36721">
      <w:pPr>
        <w:widowControl/>
        <w:spacing w:line="360" w:lineRule="auto"/>
        <w:ind w:firstLineChars="200" w:firstLine="420"/>
        <w:jc w:val="left"/>
        <w:rPr>
          <w:rFonts w:ascii="Arial" w:eastAsia="宋体" w:hAnsi="Arial" w:cs="Arial"/>
          <w:color w:val="000000"/>
          <w:kern w:val="0"/>
          <w:szCs w:val="21"/>
        </w:rPr>
      </w:pPr>
      <w:r w:rsidRPr="00ED30D0">
        <w:rPr>
          <w:rFonts w:ascii="Arial" w:eastAsia="宋体" w:hAnsi="Arial" w:cs="Arial" w:hint="eastAsia"/>
          <w:color w:val="000000"/>
          <w:kern w:val="0"/>
          <w:szCs w:val="21"/>
        </w:rPr>
        <w:t>投资者</w:t>
      </w:r>
      <w:r w:rsidRPr="00ED30D0">
        <w:rPr>
          <w:rFonts w:ascii="Arial" w:eastAsia="宋体" w:hAnsi="Arial" w:cs="Arial" w:hint="eastAsia"/>
          <w:color w:val="000000"/>
          <w:kern w:val="0"/>
          <w:szCs w:val="21"/>
        </w:rPr>
        <w:t>T</w:t>
      </w:r>
      <w:r w:rsidRPr="00ED30D0">
        <w:rPr>
          <w:rFonts w:ascii="Arial" w:eastAsia="宋体" w:hAnsi="Arial" w:cs="Arial" w:hint="eastAsia"/>
          <w:color w:val="000000"/>
          <w:kern w:val="0"/>
          <w:szCs w:val="21"/>
        </w:rPr>
        <w:t>日申购或赎回成功后，登记机构在</w:t>
      </w:r>
      <w:r w:rsidRPr="00ED30D0">
        <w:rPr>
          <w:rFonts w:ascii="Arial" w:eastAsia="宋体" w:hAnsi="Arial" w:cs="Arial" w:hint="eastAsia"/>
          <w:color w:val="000000"/>
          <w:kern w:val="0"/>
          <w:szCs w:val="21"/>
        </w:rPr>
        <w:t>T</w:t>
      </w:r>
      <w:r w:rsidRPr="00ED30D0">
        <w:rPr>
          <w:rFonts w:ascii="Arial" w:eastAsia="宋体" w:hAnsi="Arial" w:cs="Arial" w:hint="eastAsia"/>
          <w:color w:val="000000"/>
          <w:kern w:val="0"/>
          <w:szCs w:val="21"/>
        </w:rPr>
        <w:t>日收市后办理上交所上市的成份股交收、基金份额的交收登记以及现金替代的清算；在</w:t>
      </w:r>
      <w:r w:rsidRPr="00ED30D0">
        <w:rPr>
          <w:rFonts w:ascii="Arial" w:eastAsia="宋体" w:hAnsi="Arial" w:cs="Arial" w:hint="eastAsia"/>
          <w:color w:val="000000"/>
          <w:kern w:val="0"/>
          <w:szCs w:val="21"/>
        </w:rPr>
        <w:t>T+1</w:t>
      </w:r>
      <w:r w:rsidRPr="00ED30D0">
        <w:rPr>
          <w:rFonts w:ascii="Arial" w:eastAsia="宋体" w:hAnsi="Arial" w:cs="Arial" w:hint="eastAsia"/>
          <w:color w:val="000000"/>
          <w:kern w:val="0"/>
          <w:szCs w:val="21"/>
        </w:rPr>
        <w:t>日办理现金替代的交收以及现金差额的清算；在</w:t>
      </w:r>
      <w:r w:rsidRPr="00ED30D0">
        <w:rPr>
          <w:rFonts w:ascii="Arial" w:eastAsia="宋体" w:hAnsi="Arial" w:cs="Arial" w:hint="eastAsia"/>
          <w:color w:val="000000"/>
          <w:kern w:val="0"/>
          <w:szCs w:val="21"/>
        </w:rPr>
        <w:t>T+2</w:t>
      </w:r>
      <w:r w:rsidRPr="00ED30D0">
        <w:rPr>
          <w:rFonts w:ascii="Arial" w:eastAsia="宋体" w:hAnsi="Arial" w:cs="Arial" w:hint="eastAsia"/>
          <w:color w:val="000000"/>
          <w:kern w:val="0"/>
          <w:szCs w:val="21"/>
        </w:rPr>
        <w:t>日办理现金差额的交收，并将结果发送给申购赎回代理券商、基金管理人和基金托管人；一般在补齐基金份额所对应的组合证券后，进行相应的现金替代退补款的清算与交收。</w:t>
      </w:r>
    </w:p>
    <w:p w:rsidR="00D60518" w:rsidRDefault="00D60518" w:rsidP="00D60518">
      <w:pPr>
        <w:widowControl/>
        <w:spacing w:line="360" w:lineRule="auto"/>
        <w:ind w:firstLineChars="200" w:firstLine="420"/>
        <w:jc w:val="left"/>
        <w:rPr>
          <w:rFonts w:ascii="Arial" w:eastAsia="宋体" w:hAnsi="Arial" w:cs="Arial"/>
          <w:color w:val="000000"/>
          <w:kern w:val="0"/>
          <w:szCs w:val="21"/>
        </w:rPr>
      </w:pPr>
      <w:r w:rsidRPr="006251B4">
        <w:rPr>
          <w:rFonts w:ascii="Arial" w:eastAsia="宋体" w:hAnsi="Arial" w:cs="Arial" w:hint="eastAsia"/>
          <w:color w:val="000000"/>
          <w:kern w:val="0"/>
          <w:szCs w:val="21"/>
        </w:rPr>
        <w:t>投资者申购的基金份额当日起可卖出，投资者赎回获得的股票当日起可卖出。</w:t>
      </w:r>
    </w:p>
    <w:p w:rsidR="00D67518" w:rsidRDefault="00D67518" w:rsidP="00D60518">
      <w:pPr>
        <w:widowControl/>
        <w:spacing w:line="360" w:lineRule="auto"/>
        <w:ind w:firstLineChars="200" w:firstLine="420"/>
        <w:jc w:val="left"/>
        <w:rPr>
          <w:rFonts w:ascii="Arial" w:eastAsia="宋体" w:hAnsi="Arial" w:cs="Arial"/>
          <w:color w:val="000000"/>
          <w:kern w:val="0"/>
          <w:szCs w:val="21"/>
        </w:rPr>
      </w:pPr>
      <w:r w:rsidRPr="00D67518">
        <w:rPr>
          <w:rFonts w:ascii="Arial" w:eastAsia="宋体" w:hAnsi="Arial" w:cs="Arial" w:hint="eastAsia"/>
          <w:color w:val="000000"/>
          <w:kern w:val="0"/>
          <w:szCs w:val="21"/>
        </w:rPr>
        <w:t>具体申购赎回规则详见上述基金的基金合同和招募说明书</w:t>
      </w:r>
      <w:r w:rsidR="00D20E74">
        <w:rPr>
          <w:rFonts w:ascii="Arial" w:eastAsia="宋体" w:hAnsi="Arial" w:cs="Arial" w:hint="eastAsia"/>
          <w:color w:val="000000"/>
          <w:kern w:val="0"/>
          <w:szCs w:val="21"/>
        </w:rPr>
        <w:t>。</w:t>
      </w:r>
    </w:p>
    <w:p w:rsidR="00D60518" w:rsidRPr="00D60518" w:rsidRDefault="00D60518" w:rsidP="00D60518">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二、信息披露安排</w:t>
      </w:r>
    </w:p>
    <w:p w:rsidR="00DF23C4" w:rsidRDefault="00F77093" w:rsidP="00F77093">
      <w:pPr>
        <w:widowControl/>
        <w:spacing w:line="360" w:lineRule="auto"/>
        <w:ind w:firstLineChars="200" w:firstLine="420"/>
        <w:jc w:val="left"/>
        <w:rPr>
          <w:rFonts w:ascii="Arial" w:eastAsia="宋体" w:hAnsi="Arial" w:cs="Arial"/>
          <w:color w:val="000000"/>
          <w:kern w:val="0"/>
          <w:szCs w:val="21"/>
        </w:rPr>
      </w:pPr>
      <w:r w:rsidRPr="00F77093">
        <w:rPr>
          <w:rFonts w:ascii="Arial" w:eastAsia="宋体" w:hAnsi="Arial" w:cs="Arial" w:hint="eastAsia"/>
          <w:color w:val="000000"/>
          <w:kern w:val="0"/>
          <w:szCs w:val="21"/>
        </w:rPr>
        <w:t>更新的</w:t>
      </w:r>
      <w:r w:rsidR="00DF23C4" w:rsidRPr="00F77093">
        <w:rPr>
          <w:rFonts w:ascii="Arial" w:eastAsia="宋体" w:hAnsi="Arial" w:cs="Arial" w:hint="eastAsia"/>
          <w:color w:val="000000"/>
          <w:kern w:val="0"/>
          <w:szCs w:val="21"/>
        </w:rPr>
        <w:t>招募说明书</w:t>
      </w:r>
      <w:r w:rsidRPr="00F77093">
        <w:rPr>
          <w:rFonts w:ascii="Arial" w:eastAsia="宋体" w:hAnsi="Arial" w:cs="Arial" w:hint="eastAsia"/>
          <w:color w:val="000000"/>
          <w:kern w:val="0"/>
          <w:szCs w:val="21"/>
        </w:rPr>
        <w:t>及</w:t>
      </w:r>
      <w:r w:rsidR="00DF23C4" w:rsidRPr="00F77093">
        <w:rPr>
          <w:rFonts w:ascii="Arial" w:eastAsia="宋体" w:hAnsi="Arial" w:cs="Arial" w:hint="eastAsia"/>
          <w:color w:val="000000"/>
          <w:kern w:val="0"/>
          <w:szCs w:val="21"/>
        </w:rPr>
        <w:t>其摘要全文于</w:t>
      </w:r>
      <w:r w:rsidR="00DF23C4" w:rsidRPr="00F77093">
        <w:rPr>
          <w:rFonts w:ascii="Arial" w:eastAsia="宋体" w:hAnsi="Arial" w:cs="Arial" w:hint="eastAsia"/>
          <w:color w:val="000000"/>
          <w:kern w:val="0"/>
          <w:szCs w:val="21"/>
        </w:rPr>
        <w:t>20</w:t>
      </w:r>
      <w:r w:rsidR="00497DBB">
        <w:rPr>
          <w:rFonts w:ascii="Arial" w:eastAsia="宋体" w:hAnsi="Arial" w:cs="Arial"/>
          <w:color w:val="000000"/>
          <w:kern w:val="0"/>
          <w:szCs w:val="21"/>
        </w:rPr>
        <w:t>20</w:t>
      </w:r>
      <w:r w:rsidR="00DF23C4" w:rsidRPr="00F77093">
        <w:rPr>
          <w:rFonts w:ascii="Arial" w:eastAsia="宋体" w:hAnsi="Arial" w:cs="Arial" w:hint="eastAsia"/>
          <w:color w:val="000000"/>
          <w:kern w:val="0"/>
          <w:szCs w:val="21"/>
        </w:rPr>
        <w:t>年</w:t>
      </w:r>
      <w:r w:rsidR="00DF23C4" w:rsidRPr="00F77093">
        <w:rPr>
          <w:rFonts w:ascii="Arial" w:eastAsia="宋体" w:hAnsi="Arial" w:cs="Arial" w:hint="eastAsia"/>
          <w:color w:val="000000"/>
          <w:kern w:val="0"/>
          <w:szCs w:val="21"/>
        </w:rPr>
        <w:t>1</w:t>
      </w:r>
      <w:r w:rsidR="00DF23C4" w:rsidRPr="00F77093">
        <w:rPr>
          <w:rFonts w:ascii="Arial" w:eastAsia="宋体" w:hAnsi="Arial" w:cs="Arial" w:hint="eastAsia"/>
          <w:color w:val="000000"/>
          <w:kern w:val="0"/>
          <w:szCs w:val="21"/>
        </w:rPr>
        <w:t>月</w:t>
      </w:r>
      <w:r w:rsidR="00497DBB">
        <w:rPr>
          <w:rFonts w:ascii="Arial" w:eastAsia="宋体" w:hAnsi="Arial" w:cs="Arial"/>
          <w:color w:val="000000"/>
          <w:kern w:val="0"/>
          <w:szCs w:val="21"/>
        </w:rPr>
        <w:t>15</w:t>
      </w:r>
      <w:r w:rsidR="00DF23C4" w:rsidRPr="00F77093">
        <w:rPr>
          <w:rFonts w:ascii="Arial" w:eastAsia="宋体" w:hAnsi="Arial" w:cs="Arial" w:hint="eastAsia"/>
          <w:color w:val="000000"/>
          <w:kern w:val="0"/>
          <w:szCs w:val="21"/>
        </w:rPr>
        <w:t>日在本公司网站（</w:t>
      </w:r>
      <w:r w:rsidR="00DF23C4" w:rsidRPr="00F77093">
        <w:rPr>
          <w:rFonts w:ascii="Arial" w:eastAsia="宋体" w:hAnsi="Arial" w:cs="Arial"/>
          <w:color w:val="000000"/>
          <w:kern w:val="0"/>
          <w:szCs w:val="21"/>
        </w:rPr>
        <w:t>www.igwfmc.com</w:t>
      </w:r>
      <w:r w:rsidR="00DF23C4" w:rsidRPr="00F77093">
        <w:rPr>
          <w:rFonts w:ascii="Arial" w:eastAsia="宋体" w:hAnsi="Arial" w:cs="Arial" w:hint="eastAsia"/>
          <w:color w:val="000000"/>
          <w:kern w:val="0"/>
          <w:szCs w:val="21"/>
        </w:rPr>
        <w:t>）和中国证监会基金电子</w:t>
      </w:r>
      <w:r w:rsidR="00DF23C4" w:rsidRPr="00F77093">
        <w:rPr>
          <w:rFonts w:ascii="Arial" w:eastAsia="宋体" w:hAnsi="Arial" w:cs="Arial"/>
          <w:color w:val="000000"/>
          <w:kern w:val="0"/>
          <w:szCs w:val="21"/>
        </w:rPr>
        <w:t>披露网站</w:t>
      </w:r>
      <w:r w:rsidR="00DF23C4" w:rsidRPr="00F77093">
        <w:rPr>
          <w:rFonts w:ascii="Arial" w:eastAsia="宋体" w:hAnsi="Arial" w:cs="Arial" w:hint="eastAsia"/>
          <w:color w:val="000000"/>
          <w:kern w:val="0"/>
          <w:szCs w:val="21"/>
        </w:rPr>
        <w:t>（</w:t>
      </w:r>
      <w:hyperlink r:id="rId6" w:history="1">
        <w:r w:rsidR="00DF23C4" w:rsidRPr="00F77093">
          <w:rPr>
            <w:rFonts w:ascii="Arial" w:eastAsia="宋体" w:hAnsi="Arial" w:cs="Arial" w:hint="eastAsia"/>
            <w:color w:val="000000"/>
            <w:kern w:val="0"/>
            <w:szCs w:val="21"/>
          </w:rPr>
          <w:t>http://eid.csrc.gov.cn/fund</w:t>
        </w:r>
      </w:hyperlink>
      <w:r w:rsidR="00DF23C4" w:rsidRPr="00F77093">
        <w:rPr>
          <w:rFonts w:ascii="Arial" w:eastAsia="宋体" w:hAnsi="Arial" w:cs="Arial" w:hint="eastAsia"/>
          <w:color w:val="000000"/>
          <w:kern w:val="0"/>
          <w:szCs w:val="21"/>
        </w:rPr>
        <w:t>）披露</w:t>
      </w:r>
      <w:r w:rsidR="00DF23C4" w:rsidRPr="00F77093">
        <w:rPr>
          <w:rFonts w:ascii="Arial" w:eastAsia="宋体" w:hAnsi="Arial" w:cs="Arial"/>
          <w:color w:val="000000"/>
          <w:kern w:val="0"/>
          <w:szCs w:val="21"/>
        </w:rPr>
        <w:t>，供投资者查阅。</w:t>
      </w:r>
      <w:r w:rsidR="00DF23C4" w:rsidRPr="00F77093">
        <w:rPr>
          <w:rFonts w:ascii="Arial" w:eastAsia="宋体" w:hAnsi="Arial" w:cs="Arial" w:hint="eastAsia"/>
          <w:color w:val="000000"/>
          <w:kern w:val="0"/>
          <w:szCs w:val="21"/>
        </w:rPr>
        <w:t>如有疑问可拨打本公司客服电话（</w:t>
      </w:r>
      <w:r w:rsidR="00DF23C4" w:rsidRPr="00F77093">
        <w:rPr>
          <w:rFonts w:ascii="Arial" w:eastAsia="宋体" w:hAnsi="Arial" w:cs="Arial"/>
          <w:color w:val="000000"/>
          <w:kern w:val="0"/>
          <w:szCs w:val="21"/>
        </w:rPr>
        <w:t>400-8888-606</w:t>
      </w:r>
      <w:r w:rsidR="00DF23C4" w:rsidRPr="00F77093">
        <w:rPr>
          <w:rFonts w:ascii="Arial" w:eastAsia="宋体" w:hAnsi="Arial" w:cs="Arial" w:hint="eastAsia"/>
          <w:color w:val="000000"/>
          <w:kern w:val="0"/>
          <w:szCs w:val="21"/>
        </w:rPr>
        <w:t>）咨询</w:t>
      </w:r>
      <w:r w:rsidR="00DF23C4" w:rsidRPr="00F77093">
        <w:rPr>
          <w:rFonts w:ascii="Arial" w:eastAsia="宋体" w:hAnsi="Arial" w:cs="Arial"/>
          <w:color w:val="000000"/>
          <w:kern w:val="0"/>
          <w:szCs w:val="21"/>
        </w:rPr>
        <w:t>。</w:t>
      </w:r>
    </w:p>
    <w:p w:rsidR="00D60518" w:rsidRDefault="00264E3C" w:rsidP="00264E3C">
      <w:pPr>
        <w:widowControl/>
        <w:spacing w:line="360" w:lineRule="auto"/>
        <w:jc w:val="left"/>
        <w:rPr>
          <w:rFonts w:ascii="Arial" w:eastAsia="宋体" w:hAnsi="Arial" w:cs="Arial"/>
          <w:color w:val="000000"/>
          <w:kern w:val="0"/>
          <w:szCs w:val="21"/>
        </w:rPr>
      </w:pPr>
      <w:r>
        <w:rPr>
          <w:rFonts w:ascii="Arial" w:eastAsia="宋体" w:hAnsi="Arial" w:cs="Arial" w:hint="eastAsia"/>
          <w:color w:val="000000"/>
          <w:kern w:val="0"/>
          <w:szCs w:val="21"/>
        </w:rPr>
        <w:t>三、风险揭示</w:t>
      </w:r>
    </w:p>
    <w:p w:rsidR="00264E3C" w:rsidRPr="00264E3C" w:rsidRDefault="00264E3C" w:rsidP="00264E3C">
      <w:pPr>
        <w:pStyle w:val="Default"/>
        <w:spacing w:line="360" w:lineRule="auto"/>
        <w:ind w:firstLine="420"/>
        <w:rPr>
          <w:rFonts w:ascii="Arial" w:hAnsi="Arial" w:cs="Arial"/>
          <w:sz w:val="21"/>
          <w:szCs w:val="21"/>
        </w:rPr>
      </w:pPr>
      <w:r w:rsidRPr="00264E3C">
        <w:rPr>
          <w:rFonts w:ascii="Arial" w:hAnsi="Arial" w:cs="Arial" w:hint="eastAsia"/>
          <w:sz w:val="21"/>
          <w:szCs w:val="21"/>
        </w:rPr>
        <w:t>投资者在投资上述基金之前，</w:t>
      </w:r>
      <w:r w:rsidR="00D67518">
        <w:rPr>
          <w:rFonts w:ascii="Arial" w:hAnsi="Arial" w:cs="Arial" w:hint="eastAsia"/>
          <w:sz w:val="21"/>
          <w:szCs w:val="21"/>
        </w:rPr>
        <w:t>应</w:t>
      </w:r>
      <w:r w:rsidRPr="00264E3C">
        <w:rPr>
          <w:rFonts w:ascii="Arial" w:hAnsi="Arial" w:cs="Arial" w:hint="eastAsia"/>
          <w:sz w:val="21"/>
          <w:szCs w:val="21"/>
        </w:rPr>
        <w:t>仔细阅读</w:t>
      </w:r>
      <w:r>
        <w:rPr>
          <w:rFonts w:ascii="Arial" w:hAnsi="Arial" w:cs="Arial" w:hint="eastAsia"/>
          <w:sz w:val="21"/>
          <w:szCs w:val="21"/>
        </w:rPr>
        <w:t>基金的基金合同和招募说明书，全面认识</w:t>
      </w:r>
      <w:r w:rsidRPr="00264E3C">
        <w:rPr>
          <w:rFonts w:ascii="Arial" w:hAnsi="Arial" w:cs="Arial" w:hint="eastAsia"/>
          <w:sz w:val="21"/>
          <w:szCs w:val="21"/>
        </w:rPr>
        <w:t>基金的风险收益特征和产品特性，并充分考虑自身的风险承受能力，理性判断市场，谨慎做出投</w:t>
      </w:r>
      <w:r w:rsidRPr="00264E3C">
        <w:rPr>
          <w:rFonts w:ascii="Arial" w:hAnsi="Arial" w:cs="Arial" w:hint="eastAsia"/>
          <w:sz w:val="21"/>
          <w:szCs w:val="21"/>
        </w:rPr>
        <w:lastRenderedPageBreak/>
        <w:t>资决策。</w:t>
      </w:r>
      <w:r w:rsidRPr="00264E3C">
        <w:rPr>
          <w:rFonts w:ascii="Arial" w:hAnsi="Arial" w:cs="Arial"/>
          <w:sz w:val="21"/>
          <w:szCs w:val="21"/>
        </w:rPr>
        <w:t xml:space="preserve"> </w:t>
      </w:r>
    </w:p>
    <w:p w:rsidR="00264E3C" w:rsidRPr="00F77093" w:rsidRDefault="00264E3C" w:rsidP="00264E3C">
      <w:pPr>
        <w:widowControl/>
        <w:spacing w:line="360" w:lineRule="auto"/>
        <w:ind w:firstLine="420"/>
        <w:jc w:val="left"/>
        <w:rPr>
          <w:rFonts w:ascii="Arial" w:eastAsia="宋体" w:hAnsi="Arial" w:cs="Arial"/>
          <w:color w:val="000000"/>
          <w:kern w:val="0"/>
          <w:szCs w:val="21"/>
        </w:rPr>
      </w:pPr>
      <w:r w:rsidRPr="00264E3C">
        <w:rPr>
          <w:rFonts w:ascii="Arial" w:eastAsia="宋体" w:hAnsi="Arial" w:cs="Arial" w:hint="eastAsia"/>
          <w:color w:val="000000"/>
          <w:kern w:val="0"/>
          <w:szCs w:val="21"/>
        </w:rPr>
        <w:t>基金的过往业绩并不预示其未来表现。基金管理人承诺以恪尽职守、诚实信用、谨慎勤勉的原则管理和运用基金财产，但不保证基金一定盈利，也不向投资者保证最低收益。</w:t>
      </w:r>
    </w:p>
    <w:p w:rsidR="00DF23C4" w:rsidRPr="00F77093" w:rsidRDefault="00DF23C4" w:rsidP="00264E3C">
      <w:pPr>
        <w:widowControl/>
        <w:spacing w:line="360" w:lineRule="auto"/>
        <w:ind w:firstLineChars="200" w:firstLine="420"/>
        <w:jc w:val="left"/>
        <w:rPr>
          <w:rFonts w:ascii="Arial" w:eastAsia="宋体" w:hAnsi="Arial" w:cs="Arial"/>
          <w:color w:val="000000"/>
          <w:kern w:val="0"/>
          <w:szCs w:val="21"/>
        </w:rPr>
      </w:pPr>
      <w:r w:rsidRPr="00F77093">
        <w:rPr>
          <w:rFonts w:ascii="Arial" w:eastAsia="宋体" w:hAnsi="Arial" w:cs="Arial" w:hint="eastAsia"/>
          <w:color w:val="000000"/>
          <w:kern w:val="0"/>
          <w:szCs w:val="21"/>
        </w:rPr>
        <w:t>特此公告。</w:t>
      </w:r>
    </w:p>
    <w:p w:rsidR="00DF23C4" w:rsidRPr="00264E3C" w:rsidRDefault="00DF23C4" w:rsidP="00D757E3">
      <w:pPr>
        <w:spacing w:line="360" w:lineRule="auto"/>
        <w:rPr>
          <w:rFonts w:ascii="Arial" w:eastAsia="宋体" w:hAnsi="Arial" w:cs="Arial"/>
          <w:color w:val="000000"/>
          <w:kern w:val="0"/>
          <w:szCs w:val="21"/>
        </w:rPr>
      </w:pPr>
    </w:p>
    <w:p w:rsidR="00570193" w:rsidRDefault="00570193" w:rsidP="00570193">
      <w:pPr>
        <w:spacing w:line="360" w:lineRule="auto"/>
        <w:rPr>
          <w:rFonts w:ascii="Calibri" w:hAnsi="Calibri" w:cs="Calibri"/>
          <w:szCs w:val="21"/>
        </w:rPr>
      </w:pPr>
      <w:r>
        <w:rPr>
          <w:rFonts w:hint="eastAsia"/>
          <w:szCs w:val="21"/>
        </w:rPr>
        <w:t>附件</w:t>
      </w:r>
      <w:r>
        <w:rPr>
          <w:rFonts w:ascii="Calibri" w:hAnsi="Calibri" w:cs="Calibri" w:hint="eastAsia"/>
          <w:szCs w:val="21"/>
        </w:rPr>
        <w:t>：</w:t>
      </w:r>
    </w:p>
    <w:p w:rsidR="00570193" w:rsidRDefault="00570193" w:rsidP="00570193">
      <w:pPr>
        <w:spacing w:line="360" w:lineRule="auto"/>
        <w:rPr>
          <w:rFonts w:ascii="Calibri" w:hAnsi="Calibri" w:cs="Calibri"/>
          <w:szCs w:val="21"/>
        </w:rPr>
      </w:pPr>
      <w:r>
        <w:rPr>
          <w:rFonts w:ascii="Calibri" w:hAnsi="Calibri" w:cs="Calibri" w:hint="eastAsia"/>
          <w:szCs w:val="21"/>
        </w:rPr>
        <w:t>1</w:t>
      </w:r>
      <w:r>
        <w:rPr>
          <w:rFonts w:ascii="Calibri" w:hAnsi="Calibri" w:cs="Calibri"/>
          <w:szCs w:val="21"/>
        </w:rPr>
        <w:t>.</w:t>
      </w:r>
      <w:r>
        <w:rPr>
          <w:rFonts w:ascii="Calibri" w:hAnsi="Calibri" w:cs="Calibri" w:hint="eastAsia"/>
          <w:szCs w:val="21"/>
        </w:rPr>
        <w:t>《</w:t>
      </w:r>
      <w:r w:rsidRPr="000E0F3C">
        <w:rPr>
          <w:rFonts w:ascii="Calibri" w:hAnsi="Calibri" w:cs="Calibri" w:hint="eastAsia"/>
          <w:szCs w:val="21"/>
        </w:rPr>
        <w:t>景顺长城</w:t>
      </w:r>
      <w:r w:rsidRPr="000E0F3C">
        <w:rPr>
          <w:rFonts w:ascii="Calibri" w:hAnsi="Calibri" w:cs="Calibri" w:hint="eastAsia"/>
          <w:szCs w:val="21"/>
        </w:rPr>
        <w:t>MSCI</w:t>
      </w:r>
      <w:r w:rsidRPr="000E0F3C">
        <w:rPr>
          <w:rFonts w:ascii="Calibri" w:hAnsi="Calibri" w:cs="Calibri" w:hint="eastAsia"/>
          <w:szCs w:val="21"/>
        </w:rPr>
        <w:t>中国</w:t>
      </w:r>
      <w:r w:rsidRPr="000E0F3C">
        <w:rPr>
          <w:rFonts w:ascii="Calibri" w:hAnsi="Calibri" w:cs="Calibri" w:hint="eastAsia"/>
          <w:szCs w:val="21"/>
        </w:rPr>
        <w:t>A</w:t>
      </w:r>
      <w:r w:rsidRPr="000E0F3C">
        <w:rPr>
          <w:rFonts w:ascii="Calibri" w:hAnsi="Calibri" w:cs="Calibri" w:hint="eastAsia"/>
          <w:szCs w:val="21"/>
        </w:rPr>
        <w:t>股国际通交易型开放式指数证券投资基金</w:t>
      </w:r>
      <w:r>
        <w:rPr>
          <w:rFonts w:ascii="Calibri" w:hAnsi="Calibri" w:cs="Calibri" w:hint="eastAsia"/>
          <w:szCs w:val="21"/>
        </w:rPr>
        <w:t>招募说明书》更新前后对照表</w:t>
      </w:r>
    </w:p>
    <w:p w:rsidR="00847AC0" w:rsidRDefault="00847AC0" w:rsidP="00847AC0">
      <w:pPr>
        <w:spacing w:line="360" w:lineRule="auto"/>
        <w:rPr>
          <w:rFonts w:ascii="Calibri" w:hAnsi="Calibri" w:cs="Calibri"/>
          <w:szCs w:val="21"/>
        </w:rPr>
      </w:pPr>
      <w:r>
        <w:rPr>
          <w:rFonts w:ascii="Calibri" w:hAnsi="Calibri" w:cs="Calibri" w:hint="eastAsia"/>
          <w:szCs w:val="21"/>
        </w:rPr>
        <w:t>2</w:t>
      </w:r>
      <w:r>
        <w:rPr>
          <w:rFonts w:ascii="Calibri" w:hAnsi="Calibri" w:cs="Calibri"/>
          <w:szCs w:val="21"/>
        </w:rPr>
        <w:t>.</w:t>
      </w:r>
      <w:r w:rsidRPr="000E0F3C">
        <w:rPr>
          <w:rFonts w:ascii="Calibri" w:hAnsi="Calibri" w:cs="Calibri" w:hint="eastAsia"/>
          <w:szCs w:val="21"/>
        </w:rPr>
        <w:t xml:space="preserve"> </w:t>
      </w:r>
      <w:r>
        <w:rPr>
          <w:rFonts w:ascii="Calibri" w:hAnsi="Calibri" w:cs="Calibri" w:hint="eastAsia"/>
          <w:szCs w:val="21"/>
        </w:rPr>
        <w:t>《</w:t>
      </w:r>
      <w:r w:rsidRPr="000E0F3C">
        <w:rPr>
          <w:rFonts w:ascii="Calibri" w:hAnsi="Calibri" w:cs="Calibri" w:hint="eastAsia"/>
          <w:szCs w:val="21"/>
        </w:rPr>
        <w:t>景顺长城中证</w:t>
      </w:r>
      <w:r w:rsidRPr="000E0F3C">
        <w:rPr>
          <w:rFonts w:ascii="Calibri" w:hAnsi="Calibri" w:cs="Calibri" w:hint="eastAsia"/>
          <w:szCs w:val="21"/>
        </w:rPr>
        <w:t>TMT 150</w:t>
      </w:r>
      <w:r w:rsidRPr="000E0F3C">
        <w:rPr>
          <w:rFonts w:ascii="Calibri" w:hAnsi="Calibri" w:cs="Calibri" w:hint="eastAsia"/>
          <w:szCs w:val="21"/>
        </w:rPr>
        <w:t>交易型开放式指数证券投资基金</w:t>
      </w:r>
      <w:r>
        <w:rPr>
          <w:rFonts w:ascii="Calibri" w:hAnsi="Calibri" w:cs="Calibri" w:hint="eastAsia"/>
          <w:szCs w:val="21"/>
        </w:rPr>
        <w:t>招募说明书》更新前后对照表</w:t>
      </w:r>
    </w:p>
    <w:p w:rsidR="00D757E3" w:rsidRPr="00847AC0" w:rsidRDefault="00D757E3" w:rsidP="00D757E3">
      <w:pPr>
        <w:spacing w:line="360" w:lineRule="auto"/>
        <w:rPr>
          <w:sz w:val="24"/>
          <w:szCs w:val="24"/>
        </w:rPr>
      </w:pPr>
    </w:p>
    <w:p w:rsidR="00D757E3" w:rsidRPr="00F77093" w:rsidRDefault="00D757E3" w:rsidP="00F77093">
      <w:pPr>
        <w:widowControl/>
        <w:spacing w:line="360" w:lineRule="auto"/>
        <w:ind w:firstLineChars="200" w:firstLine="420"/>
        <w:jc w:val="right"/>
        <w:rPr>
          <w:rFonts w:ascii="Arial" w:eastAsia="宋体" w:hAnsi="Arial" w:cs="Arial"/>
          <w:color w:val="000000"/>
          <w:kern w:val="0"/>
          <w:szCs w:val="21"/>
        </w:rPr>
      </w:pPr>
      <w:r w:rsidRPr="00F77093">
        <w:rPr>
          <w:rFonts w:ascii="Arial" w:eastAsia="宋体" w:hAnsi="Arial" w:cs="Arial" w:hint="eastAsia"/>
          <w:color w:val="000000"/>
          <w:kern w:val="0"/>
          <w:szCs w:val="21"/>
        </w:rPr>
        <w:t>景顺长城基金管理有限公司</w:t>
      </w:r>
    </w:p>
    <w:p w:rsidR="00D757E3" w:rsidRPr="00F77093" w:rsidRDefault="00D757E3" w:rsidP="00F77093">
      <w:pPr>
        <w:widowControl/>
        <w:spacing w:line="360" w:lineRule="auto"/>
        <w:ind w:firstLineChars="200" w:firstLine="420"/>
        <w:jc w:val="right"/>
        <w:rPr>
          <w:rFonts w:ascii="Arial" w:eastAsia="宋体" w:hAnsi="Arial" w:cs="Arial"/>
          <w:color w:val="000000"/>
          <w:kern w:val="0"/>
          <w:szCs w:val="21"/>
        </w:rPr>
      </w:pPr>
      <w:r w:rsidRPr="00F77093">
        <w:rPr>
          <w:rFonts w:ascii="Arial" w:eastAsia="宋体" w:hAnsi="Arial" w:cs="Arial" w:hint="eastAsia"/>
          <w:color w:val="000000"/>
          <w:kern w:val="0"/>
          <w:szCs w:val="21"/>
        </w:rPr>
        <w:t>二</w:t>
      </w:r>
      <w:r w:rsidRPr="00F77093">
        <w:rPr>
          <w:rFonts w:ascii="Arial" w:eastAsia="宋体" w:hAnsi="Arial" w:cs="Arial"/>
          <w:color w:val="000000"/>
          <w:kern w:val="0"/>
          <w:szCs w:val="21"/>
        </w:rPr>
        <w:t>O</w:t>
      </w:r>
      <w:r w:rsidR="00497DBB">
        <w:rPr>
          <w:rFonts w:ascii="Arial" w:eastAsia="宋体" w:hAnsi="Arial" w:cs="Arial" w:hint="eastAsia"/>
          <w:color w:val="000000"/>
          <w:kern w:val="0"/>
          <w:szCs w:val="21"/>
        </w:rPr>
        <w:t>二</w:t>
      </w:r>
      <w:r w:rsidR="00497DBB" w:rsidRPr="00F77093">
        <w:rPr>
          <w:rFonts w:ascii="Arial" w:eastAsia="宋体" w:hAnsi="Arial" w:cs="Arial"/>
          <w:color w:val="000000"/>
          <w:kern w:val="0"/>
          <w:szCs w:val="21"/>
        </w:rPr>
        <w:t>O</w:t>
      </w:r>
      <w:r w:rsidR="00535E3D">
        <w:rPr>
          <w:rFonts w:ascii="Arial" w:eastAsia="宋体" w:hAnsi="Arial" w:cs="Arial" w:hint="eastAsia"/>
          <w:color w:val="000000"/>
          <w:kern w:val="0"/>
          <w:szCs w:val="21"/>
        </w:rPr>
        <w:t>年</w:t>
      </w:r>
      <w:r w:rsidR="00497DBB">
        <w:rPr>
          <w:rFonts w:ascii="Arial" w:eastAsia="宋体" w:hAnsi="Arial" w:cs="Arial" w:hint="eastAsia"/>
          <w:color w:val="000000"/>
          <w:kern w:val="0"/>
          <w:szCs w:val="21"/>
        </w:rPr>
        <w:t>一</w:t>
      </w:r>
      <w:r w:rsidR="00535E3D">
        <w:rPr>
          <w:rFonts w:ascii="Arial" w:eastAsia="宋体" w:hAnsi="Arial" w:cs="Arial" w:hint="eastAsia"/>
          <w:color w:val="000000"/>
          <w:kern w:val="0"/>
          <w:szCs w:val="21"/>
        </w:rPr>
        <w:t>月</w:t>
      </w:r>
      <w:r w:rsidR="00497DBB">
        <w:rPr>
          <w:rFonts w:ascii="Arial" w:eastAsia="宋体" w:hAnsi="Arial" w:cs="Arial" w:hint="eastAsia"/>
          <w:color w:val="000000"/>
          <w:kern w:val="0"/>
          <w:szCs w:val="21"/>
        </w:rPr>
        <w:t>十五</w:t>
      </w:r>
      <w:r w:rsidRPr="00F77093">
        <w:rPr>
          <w:rFonts w:ascii="Arial" w:eastAsia="宋体" w:hAnsi="Arial" w:cs="Arial" w:hint="eastAsia"/>
          <w:color w:val="000000"/>
          <w:kern w:val="0"/>
          <w:szCs w:val="21"/>
        </w:rPr>
        <w:t>日</w:t>
      </w: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721CC6" w:rsidRDefault="00721CC6" w:rsidP="00D757E3">
      <w:pPr>
        <w:spacing w:line="360" w:lineRule="auto"/>
        <w:rPr>
          <w:szCs w:val="21"/>
        </w:rPr>
      </w:pPr>
    </w:p>
    <w:p w:rsidR="000E0F3C" w:rsidRDefault="000E0F3C" w:rsidP="00D757E3">
      <w:pPr>
        <w:spacing w:line="360" w:lineRule="auto"/>
        <w:rPr>
          <w:rFonts w:ascii="Calibri" w:hAnsi="Calibri" w:cs="Calibri"/>
          <w:szCs w:val="21"/>
        </w:rPr>
      </w:pPr>
      <w:r>
        <w:rPr>
          <w:rFonts w:hint="eastAsia"/>
          <w:szCs w:val="21"/>
        </w:rPr>
        <w:t>附件</w:t>
      </w:r>
      <w:r w:rsidR="00721CC6">
        <w:rPr>
          <w:rFonts w:ascii="Calibri" w:hAnsi="Calibri" w:cs="Calibri"/>
          <w:szCs w:val="21"/>
        </w:rPr>
        <w:t>1</w:t>
      </w:r>
      <w:r w:rsidR="00570193">
        <w:rPr>
          <w:rFonts w:ascii="Calibri" w:hAnsi="Calibri" w:cs="Calibri" w:hint="eastAsia"/>
          <w:szCs w:val="21"/>
        </w:rPr>
        <w:t>：</w:t>
      </w:r>
      <w:r>
        <w:rPr>
          <w:rFonts w:ascii="Calibri" w:hAnsi="Calibri" w:cs="Calibri" w:hint="eastAsia"/>
          <w:szCs w:val="21"/>
        </w:rPr>
        <w:t>《</w:t>
      </w:r>
      <w:r w:rsidRPr="000E0F3C">
        <w:rPr>
          <w:rFonts w:ascii="Calibri" w:hAnsi="Calibri" w:cs="Calibri" w:hint="eastAsia"/>
          <w:szCs w:val="21"/>
        </w:rPr>
        <w:t>景顺长城</w:t>
      </w:r>
      <w:r w:rsidRPr="000E0F3C">
        <w:rPr>
          <w:rFonts w:ascii="Calibri" w:hAnsi="Calibri" w:cs="Calibri" w:hint="eastAsia"/>
          <w:szCs w:val="21"/>
        </w:rPr>
        <w:t>MSCI</w:t>
      </w:r>
      <w:r w:rsidRPr="000E0F3C">
        <w:rPr>
          <w:rFonts w:ascii="Calibri" w:hAnsi="Calibri" w:cs="Calibri" w:hint="eastAsia"/>
          <w:szCs w:val="21"/>
        </w:rPr>
        <w:t>中国</w:t>
      </w:r>
      <w:r w:rsidRPr="000E0F3C">
        <w:rPr>
          <w:rFonts w:ascii="Calibri" w:hAnsi="Calibri" w:cs="Calibri" w:hint="eastAsia"/>
          <w:szCs w:val="21"/>
        </w:rPr>
        <w:t>A</w:t>
      </w:r>
      <w:r w:rsidRPr="000E0F3C">
        <w:rPr>
          <w:rFonts w:ascii="Calibri" w:hAnsi="Calibri" w:cs="Calibri" w:hint="eastAsia"/>
          <w:szCs w:val="21"/>
        </w:rPr>
        <w:t>股国际通交易型开放式指数证券投资基金</w:t>
      </w:r>
      <w:r>
        <w:rPr>
          <w:rFonts w:ascii="Calibri" w:hAnsi="Calibri" w:cs="Calibri" w:hint="eastAsia"/>
          <w:szCs w:val="21"/>
        </w:rPr>
        <w:t>招募说明书》更新前后对照表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825"/>
        <w:gridCol w:w="3119"/>
      </w:tblGrid>
      <w:tr w:rsidR="00570193" w:rsidRPr="00721CC6" w:rsidTr="00847AC0">
        <w:trPr>
          <w:trHeight w:val="170"/>
        </w:trPr>
        <w:tc>
          <w:tcPr>
            <w:tcW w:w="961" w:type="dxa"/>
          </w:tcPr>
          <w:p w:rsidR="00570193" w:rsidRPr="00721CC6" w:rsidRDefault="00570193" w:rsidP="00211781">
            <w:pPr>
              <w:snapToGrid w:val="0"/>
              <w:jc w:val="center"/>
              <w:rPr>
                <w:rFonts w:asciiTheme="minorEastAsia" w:hAnsiTheme="minorEastAsia"/>
                <w:szCs w:val="21"/>
              </w:rPr>
            </w:pPr>
            <w:r w:rsidRPr="00721CC6">
              <w:rPr>
                <w:rFonts w:asciiTheme="minorEastAsia" w:hAnsiTheme="minorEastAsia" w:hint="eastAsia"/>
                <w:szCs w:val="21"/>
              </w:rPr>
              <w:t>章节</w:t>
            </w:r>
          </w:p>
        </w:tc>
        <w:tc>
          <w:tcPr>
            <w:tcW w:w="3825" w:type="dxa"/>
            <w:vAlign w:val="center"/>
          </w:tcPr>
          <w:p w:rsidR="00570193" w:rsidRDefault="00570193" w:rsidP="00211781">
            <w:pPr>
              <w:snapToGrid w:val="0"/>
              <w:jc w:val="center"/>
              <w:rPr>
                <w:rFonts w:asciiTheme="minorEastAsia" w:hAnsiTheme="minorEastAsia"/>
                <w:szCs w:val="21"/>
              </w:rPr>
            </w:pPr>
            <w:r w:rsidRPr="00721CC6">
              <w:rPr>
                <w:rFonts w:asciiTheme="minorEastAsia" w:hAnsiTheme="minorEastAsia" w:hint="eastAsia"/>
                <w:szCs w:val="21"/>
              </w:rPr>
              <w:t>更新前</w:t>
            </w:r>
          </w:p>
          <w:p w:rsidR="006A591C" w:rsidRPr="00721CC6" w:rsidRDefault="000F5762" w:rsidP="00211781">
            <w:pPr>
              <w:snapToGrid w:val="0"/>
              <w:jc w:val="center"/>
              <w:rPr>
                <w:rFonts w:asciiTheme="minorEastAsia" w:hAnsiTheme="minorEastAsia" w:hint="eastAsia"/>
                <w:szCs w:val="21"/>
              </w:rPr>
            </w:pPr>
            <w:r w:rsidRPr="000E0F3C">
              <w:rPr>
                <w:rFonts w:ascii="Calibri" w:hAnsi="Calibri" w:cs="Calibri" w:hint="eastAsia"/>
                <w:szCs w:val="21"/>
              </w:rPr>
              <w:t>景顺长城</w:t>
            </w:r>
            <w:r w:rsidRPr="000E0F3C">
              <w:rPr>
                <w:rFonts w:ascii="Calibri" w:hAnsi="Calibri" w:cs="Calibri" w:hint="eastAsia"/>
                <w:szCs w:val="21"/>
              </w:rPr>
              <w:t>MSCI</w:t>
            </w:r>
            <w:r w:rsidRPr="000E0F3C">
              <w:rPr>
                <w:rFonts w:ascii="Calibri" w:hAnsi="Calibri" w:cs="Calibri" w:hint="eastAsia"/>
                <w:szCs w:val="21"/>
              </w:rPr>
              <w:t>中国</w:t>
            </w:r>
            <w:r w:rsidRPr="000E0F3C">
              <w:rPr>
                <w:rFonts w:ascii="Calibri" w:hAnsi="Calibri" w:cs="Calibri" w:hint="eastAsia"/>
                <w:szCs w:val="21"/>
              </w:rPr>
              <w:t>A</w:t>
            </w:r>
            <w:r w:rsidRPr="000E0F3C">
              <w:rPr>
                <w:rFonts w:ascii="Calibri" w:hAnsi="Calibri" w:cs="Calibri" w:hint="eastAsia"/>
                <w:szCs w:val="21"/>
              </w:rPr>
              <w:t>股国际通交易型开放式指数证券投资基金</w:t>
            </w:r>
            <w:r w:rsidR="006A591C" w:rsidRPr="006A591C">
              <w:rPr>
                <w:rFonts w:asciiTheme="minorEastAsia" w:hAnsiTheme="minorEastAsia" w:hint="eastAsia"/>
                <w:szCs w:val="21"/>
              </w:rPr>
              <w:t>2019年第4号更新招募说明书</w:t>
            </w:r>
          </w:p>
        </w:tc>
        <w:tc>
          <w:tcPr>
            <w:tcW w:w="3119" w:type="dxa"/>
            <w:vAlign w:val="center"/>
          </w:tcPr>
          <w:p w:rsidR="00570193" w:rsidRDefault="00570193" w:rsidP="00211781">
            <w:pPr>
              <w:snapToGrid w:val="0"/>
              <w:jc w:val="center"/>
              <w:rPr>
                <w:rFonts w:asciiTheme="minorEastAsia" w:hAnsiTheme="minorEastAsia"/>
                <w:szCs w:val="21"/>
              </w:rPr>
            </w:pPr>
            <w:r w:rsidRPr="00721CC6">
              <w:rPr>
                <w:rFonts w:asciiTheme="minorEastAsia" w:hAnsiTheme="minorEastAsia" w:hint="eastAsia"/>
                <w:szCs w:val="21"/>
              </w:rPr>
              <w:t>更新后</w:t>
            </w:r>
          </w:p>
          <w:p w:rsidR="006A591C" w:rsidRPr="00721CC6" w:rsidRDefault="000F5762" w:rsidP="00211781">
            <w:pPr>
              <w:snapToGrid w:val="0"/>
              <w:jc w:val="center"/>
              <w:rPr>
                <w:rFonts w:asciiTheme="minorEastAsia" w:hAnsiTheme="minorEastAsia" w:hint="eastAsia"/>
                <w:szCs w:val="21"/>
              </w:rPr>
            </w:pPr>
            <w:r w:rsidRPr="000E0F3C">
              <w:rPr>
                <w:rFonts w:ascii="Calibri" w:hAnsi="Calibri" w:cs="Calibri" w:hint="eastAsia"/>
                <w:szCs w:val="21"/>
              </w:rPr>
              <w:t>景顺长城</w:t>
            </w:r>
            <w:r w:rsidRPr="000E0F3C">
              <w:rPr>
                <w:rFonts w:ascii="Calibri" w:hAnsi="Calibri" w:cs="Calibri" w:hint="eastAsia"/>
                <w:szCs w:val="21"/>
              </w:rPr>
              <w:t>MSCI</w:t>
            </w:r>
            <w:r w:rsidRPr="000E0F3C">
              <w:rPr>
                <w:rFonts w:ascii="Calibri" w:hAnsi="Calibri" w:cs="Calibri" w:hint="eastAsia"/>
                <w:szCs w:val="21"/>
              </w:rPr>
              <w:t>中国</w:t>
            </w:r>
            <w:r w:rsidRPr="000E0F3C">
              <w:rPr>
                <w:rFonts w:ascii="Calibri" w:hAnsi="Calibri" w:cs="Calibri" w:hint="eastAsia"/>
                <w:szCs w:val="21"/>
              </w:rPr>
              <w:t>A</w:t>
            </w:r>
            <w:r w:rsidRPr="000E0F3C">
              <w:rPr>
                <w:rFonts w:ascii="Calibri" w:hAnsi="Calibri" w:cs="Calibri" w:hint="eastAsia"/>
                <w:szCs w:val="21"/>
              </w:rPr>
              <w:t>股国际通交易型开放式指数证券投资基金</w:t>
            </w:r>
            <w:r w:rsidR="006A591C" w:rsidRPr="006A591C">
              <w:rPr>
                <w:rFonts w:asciiTheme="minorEastAsia" w:hAnsiTheme="minorEastAsia" w:hint="eastAsia"/>
                <w:szCs w:val="21"/>
              </w:rPr>
              <w:t>2020年第1号更新招募说明书</w:t>
            </w:r>
          </w:p>
        </w:tc>
      </w:tr>
      <w:tr w:rsidR="00570193" w:rsidRPr="00721CC6" w:rsidTr="00847AC0">
        <w:trPr>
          <w:trHeight w:val="170"/>
        </w:trPr>
        <w:tc>
          <w:tcPr>
            <w:tcW w:w="961" w:type="dxa"/>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全文</w:t>
            </w:r>
          </w:p>
        </w:tc>
        <w:tc>
          <w:tcPr>
            <w:tcW w:w="3825"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《中国证券登记结算有限责任公司关于</w:t>
            </w:r>
            <w:r w:rsidRPr="00721CC6">
              <w:rPr>
                <w:rFonts w:asciiTheme="minorEastAsia" w:hAnsiTheme="minorEastAsia" w:hint="eastAsia"/>
                <w:color w:val="FF0000"/>
                <w:szCs w:val="21"/>
              </w:rPr>
              <w:t>上海证券</w:t>
            </w:r>
            <w:r w:rsidRPr="00721CC6">
              <w:rPr>
                <w:rFonts w:asciiTheme="minorEastAsia" w:hAnsiTheme="minorEastAsia" w:hint="eastAsia"/>
                <w:szCs w:val="21"/>
              </w:rPr>
              <w:t>交易所交易型开放式基金登记结算业务实施细则》</w:t>
            </w:r>
          </w:p>
        </w:tc>
        <w:tc>
          <w:tcPr>
            <w:tcW w:w="3119"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《中国证券登记结算有限责任公司关于交易所交易型开放式</w:t>
            </w:r>
            <w:r w:rsidRPr="00721CC6">
              <w:rPr>
                <w:rFonts w:asciiTheme="minorEastAsia" w:hAnsiTheme="minorEastAsia" w:hint="eastAsia"/>
                <w:color w:val="FF0000"/>
                <w:szCs w:val="21"/>
              </w:rPr>
              <w:t>证券投资</w:t>
            </w:r>
            <w:r w:rsidRPr="00721CC6">
              <w:rPr>
                <w:rFonts w:asciiTheme="minorEastAsia" w:hAnsiTheme="minorEastAsia" w:hint="eastAsia"/>
                <w:szCs w:val="21"/>
              </w:rPr>
              <w:t>基金登记结算业务实施细则》</w:t>
            </w:r>
          </w:p>
        </w:tc>
      </w:tr>
      <w:tr w:rsidR="00570193" w:rsidRPr="00721CC6" w:rsidTr="00847AC0">
        <w:trPr>
          <w:trHeight w:val="170"/>
        </w:trPr>
        <w:tc>
          <w:tcPr>
            <w:tcW w:w="961" w:type="dxa"/>
            <w:vMerge w:val="restart"/>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重要提示</w:t>
            </w:r>
          </w:p>
        </w:tc>
        <w:tc>
          <w:tcPr>
            <w:tcW w:w="3825"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七）本基金投资于证券市场，基金净值会因为证券市场波动等因素产生波动，投资人根据所持有的基金份额享受基金收益，同时承担相应的投资风险。本基金为交易型开放式指数证券投资基金（ETF），将在上海证券交易所上市。本基金的标的指数组合证券横跨上海及深圳两个证券交易所。通常情况下，</w:t>
            </w:r>
            <w:r w:rsidRPr="00721CC6">
              <w:rPr>
                <w:rFonts w:asciiTheme="minorEastAsia" w:hAnsiTheme="minorEastAsia" w:hint="eastAsia"/>
                <w:color w:val="FF0000"/>
                <w:szCs w:val="21"/>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机构若发生交收违约，将导致投资人不能及时、足额获得申购当日未卖出的基金份额，投资人的利益可能受到影响。</w:t>
            </w:r>
          </w:p>
        </w:tc>
        <w:tc>
          <w:tcPr>
            <w:tcW w:w="3119"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七）本基金投资于证券市场，基金净值会因为证券市场波动等因素产生波动，投资人根据所持有的基金份额享受基金收益，同时承担相应的投资风险。本基金为交易型开放式指数证券投资基金（ETF），将在上海证券交易所上市。本基金的标的指数组合证券横跨上海及深圳两个证券交易所。通常情况下，</w:t>
            </w:r>
            <w:r w:rsidRPr="00721CC6">
              <w:rPr>
                <w:rFonts w:asciiTheme="minorEastAsia" w:hAnsiTheme="minorEastAsia" w:hint="eastAsia"/>
                <w:color w:val="FF0000"/>
                <w:szCs w:val="21"/>
              </w:rPr>
              <w:t>投资者申购的基金份额当日起可卖出，投资者赎回获得的股票当日起可卖出。</w:t>
            </w:r>
          </w:p>
        </w:tc>
      </w:tr>
      <w:tr w:rsidR="00570193" w:rsidRPr="00721CC6" w:rsidTr="00847AC0">
        <w:trPr>
          <w:trHeight w:val="170"/>
        </w:trPr>
        <w:tc>
          <w:tcPr>
            <w:tcW w:w="961" w:type="dxa"/>
            <w:vMerge/>
          </w:tcPr>
          <w:p w:rsidR="00570193" w:rsidRPr="00721CC6" w:rsidRDefault="00570193" w:rsidP="00211781">
            <w:pPr>
              <w:snapToGrid w:val="0"/>
              <w:rPr>
                <w:rFonts w:asciiTheme="minorEastAsia" w:hAnsiTheme="minorEastAsia"/>
                <w:szCs w:val="21"/>
              </w:rPr>
            </w:pPr>
          </w:p>
        </w:tc>
        <w:tc>
          <w:tcPr>
            <w:tcW w:w="3825" w:type="dxa"/>
            <w:vAlign w:val="center"/>
          </w:tcPr>
          <w:p w:rsidR="00570193" w:rsidRPr="00721CC6" w:rsidRDefault="00570193" w:rsidP="00211781">
            <w:pPr>
              <w:snapToGrid w:val="0"/>
              <w:rPr>
                <w:rFonts w:asciiTheme="minorEastAsia" w:hAnsiTheme="minorEastAsia"/>
                <w:szCs w:val="21"/>
              </w:rPr>
            </w:pPr>
          </w:p>
        </w:tc>
        <w:tc>
          <w:tcPr>
            <w:tcW w:w="3119"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删除：</w:t>
            </w:r>
          </w:p>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w:t>
            </w:r>
            <w:r w:rsidRPr="00721CC6">
              <w:rPr>
                <w:rFonts w:asciiTheme="minorEastAsia" w:hAnsiTheme="minorEastAsia" w:hint="eastAsia"/>
                <w:color w:val="FF0000"/>
                <w:szCs w:val="21"/>
              </w:rPr>
              <w:t>九）投资者申购、赎回申请在受理当日进行确认。投资者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投资者赎回获得的股票当日可卖出。因此为投资者办理申购业务的代理券商若发生交收违约，将导致投资者不能及时、足额获得申购当日未卖出的基金份额，投资者的利益可能受影响。由于股票市场</w:t>
            </w:r>
            <w:r w:rsidRPr="00721CC6">
              <w:rPr>
                <w:rFonts w:asciiTheme="minorEastAsia" w:hAnsiTheme="minorEastAsia" w:hint="eastAsia"/>
                <w:color w:val="FF0000"/>
                <w:szCs w:val="21"/>
              </w:rPr>
              <w:lastRenderedPageBreak/>
              <w:t>波动性较大，在市场下跌时经常出现交易量急剧减少的情况，如果在这时出现较大数额的基金赎回申请，使得基金投资组合内不具备足额的符合要求的赎回对价，基金面临流动性风险。</w:t>
            </w:r>
          </w:p>
        </w:tc>
      </w:tr>
      <w:tr w:rsidR="00570193" w:rsidRPr="00721CC6" w:rsidTr="00847AC0">
        <w:trPr>
          <w:trHeight w:val="170"/>
        </w:trPr>
        <w:tc>
          <w:tcPr>
            <w:tcW w:w="961" w:type="dxa"/>
            <w:vMerge/>
          </w:tcPr>
          <w:p w:rsidR="00570193" w:rsidRPr="00721CC6" w:rsidRDefault="00570193" w:rsidP="00211781">
            <w:pPr>
              <w:snapToGrid w:val="0"/>
              <w:rPr>
                <w:rFonts w:asciiTheme="minorEastAsia" w:hAnsiTheme="minorEastAsia"/>
                <w:szCs w:val="21"/>
              </w:rPr>
            </w:pPr>
          </w:p>
        </w:tc>
        <w:tc>
          <w:tcPr>
            <w:tcW w:w="3825"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十）本招募说明书已经本基金托管人复核。本招募说明书所载内容截止日为2019年9月30日，有关财务数据和净值表现截止日为2019年9月30日。如本基金发生重大期后事项的，本招募说明书也对相应内容进行了更新。本更新招募说明书中财务数据未经审计。</w:t>
            </w:r>
          </w:p>
        </w:tc>
        <w:tc>
          <w:tcPr>
            <w:tcW w:w="3119"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（九）本招募说明书已经本基金托管人复核。</w:t>
            </w:r>
            <w:r w:rsidRPr="00721CC6">
              <w:rPr>
                <w:rFonts w:asciiTheme="minorEastAsia" w:hAnsiTheme="minorEastAsia" w:hint="eastAsia"/>
                <w:color w:val="FF0000"/>
                <w:szCs w:val="21"/>
              </w:rPr>
              <w:t>本基金管理人根据上海证券交易所和登记机构相关规则的变更调整，对本招募说明书相应做了调整，除上述事项外</w:t>
            </w:r>
            <w:r w:rsidRPr="00721CC6">
              <w:rPr>
                <w:rFonts w:asciiTheme="minorEastAsia" w:hAnsiTheme="minorEastAsia" w:hint="eastAsia"/>
                <w:szCs w:val="21"/>
              </w:rPr>
              <w:t>本招募说明书所载其他内容截止日为2019年9月30日，有关财务数据和净值表现截止日为2019年9月30日。如本基金发生重大期后事项的，本招募说明书也对相应内容进行了更新。本更新招募说明书中财务数据未经审计。</w:t>
            </w:r>
          </w:p>
        </w:tc>
      </w:tr>
      <w:tr w:rsidR="00570193" w:rsidRPr="00721CC6" w:rsidTr="00847AC0">
        <w:trPr>
          <w:trHeight w:val="170"/>
        </w:trPr>
        <w:tc>
          <w:tcPr>
            <w:tcW w:w="961" w:type="dxa"/>
            <w:vMerge w:val="restart"/>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第十部分 基金份额的申购与赎回</w:t>
            </w:r>
          </w:p>
        </w:tc>
        <w:tc>
          <w:tcPr>
            <w:tcW w:w="3825"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三、申购与赎回的原则</w:t>
            </w:r>
          </w:p>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5、基金管理人可在不违反法律法规且对基金份额持有人无实质性不利影响的情况下，对上述原则进行调整。基金管理人必须在新规则开始实施前依照《信息披露办法》的有关规定在指定媒介上公告。</w:t>
            </w:r>
          </w:p>
        </w:tc>
        <w:tc>
          <w:tcPr>
            <w:tcW w:w="3119"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三、申购与赎回的原则</w:t>
            </w:r>
          </w:p>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5、基金管理人可在不违反法律法规且对基金份额持有人无实质性不利影响的情况下，</w:t>
            </w:r>
            <w:r w:rsidRPr="00721CC6">
              <w:rPr>
                <w:rFonts w:asciiTheme="minorEastAsia" w:hAnsiTheme="minorEastAsia" w:hint="eastAsia"/>
                <w:color w:val="FF0000"/>
                <w:szCs w:val="21"/>
              </w:rPr>
              <w:t>或依据上海证券交易所或登记机构相关规则及其变更调整</w:t>
            </w:r>
            <w:r w:rsidRPr="00721CC6">
              <w:rPr>
                <w:rFonts w:asciiTheme="minorEastAsia" w:hAnsiTheme="minorEastAsia" w:hint="eastAsia"/>
                <w:szCs w:val="21"/>
              </w:rPr>
              <w:t>，对上述原则进行调整。基金管理人必须在新规则开始实施前依照《信息披露办法》的有关规定在指定媒介上公告。</w:t>
            </w:r>
          </w:p>
        </w:tc>
      </w:tr>
      <w:tr w:rsidR="00570193" w:rsidRPr="00721CC6" w:rsidTr="00847AC0">
        <w:trPr>
          <w:trHeight w:val="170"/>
        </w:trPr>
        <w:tc>
          <w:tcPr>
            <w:tcW w:w="961" w:type="dxa"/>
            <w:vMerge/>
          </w:tcPr>
          <w:p w:rsidR="00570193" w:rsidRPr="00721CC6" w:rsidRDefault="00570193" w:rsidP="00211781">
            <w:pPr>
              <w:snapToGrid w:val="0"/>
              <w:rPr>
                <w:rFonts w:asciiTheme="minorEastAsia" w:hAnsiTheme="minorEastAsia"/>
                <w:szCs w:val="21"/>
              </w:rPr>
            </w:pPr>
          </w:p>
        </w:tc>
        <w:tc>
          <w:tcPr>
            <w:tcW w:w="3825"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投资者申购的基金份额当日可卖出，</w:t>
            </w:r>
            <w:r w:rsidRPr="00721CC6">
              <w:rPr>
                <w:rFonts w:asciiTheme="minorEastAsia" w:hAnsiTheme="minorEastAsia" w:hint="eastAsia"/>
                <w:color w:val="FF0000"/>
                <w:szCs w:val="21"/>
              </w:rPr>
              <w:t>当日未卖出的基金份额在份额交收成功之前不得卖出和赎回；即在目前结算规则下，T日申购的基金份额当日可卖出，T日申购当日未卖出的基金份额，T+1日不得卖出和赎回，T+1日交收成功后T+2日可卖出和赎回。</w:t>
            </w:r>
            <w:r w:rsidRPr="00721CC6">
              <w:rPr>
                <w:rFonts w:asciiTheme="minorEastAsia" w:hAnsiTheme="minorEastAsia" w:hint="eastAsia"/>
                <w:szCs w:val="21"/>
              </w:rPr>
              <w:t>投资者赎回获得的股票当日可卖出。</w:t>
            </w:r>
          </w:p>
        </w:tc>
        <w:tc>
          <w:tcPr>
            <w:tcW w:w="3119" w:type="dxa"/>
            <w:vAlign w:val="center"/>
          </w:tcPr>
          <w:p w:rsidR="00570193" w:rsidRPr="00721CC6" w:rsidRDefault="00570193" w:rsidP="00211781">
            <w:pPr>
              <w:snapToGrid w:val="0"/>
              <w:rPr>
                <w:rFonts w:asciiTheme="minorEastAsia" w:hAnsiTheme="minorEastAsia"/>
                <w:szCs w:val="21"/>
              </w:rPr>
            </w:pPr>
            <w:r w:rsidRPr="00721CC6">
              <w:rPr>
                <w:rFonts w:asciiTheme="minorEastAsia" w:hAnsiTheme="minorEastAsia" w:hint="eastAsia"/>
                <w:szCs w:val="21"/>
              </w:rPr>
              <w:t>投资者申购的基金份额当日起可卖出，投资者赎回获得的股票当日起可卖出。</w:t>
            </w:r>
          </w:p>
        </w:tc>
      </w:tr>
      <w:tr w:rsidR="00570193" w:rsidRPr="00721CC6" w:rsidTr="00847AC0">
        <w:trPr>
          <w:trHeight w:val="1550"/>
        </w:trPr>
        <w:tc>
          <w:tcPr>
            <w:tcW w:w="961" w:type="dxa"/>
            <w:vMerge/>
          </w:tcPr>
          <w:p w:rsidR="00570193" w:rsidRPr="00721CC6" w:rsidRDefault="00570193" w:rsidP="00211781">
            <w:pPr>
              <w:snapToGrid w:val="0"/>
              <w:jc w:val="left"/>
              <w:rPr>
                <w:rFonts w:asciiTheme="minorEastAsia" w:hAnsiTheme="minorEastAsia"/>
                <w:bCs/>
                <w:szCs w:val="21"/>
              </w:rPr>
            </w:pPr>
          </w:p>
        </w:tc>
        <w:tc>
          <w:tcPr>
            <w:tcW w:w="3825" w:type="dxa"/>
          </w:tcPr>
          <w:p w:rsidR="00570193" w:rsidRPr="00721CC6" w:rsidRDefault="00570193" w:rsidP="00211781">
            <w:pPr>
              <w:snapToGrid w:val="0"/>
              <w:jc w:val="left"/>
              <w:rPr>
                <w:rFonts w:asciiTheme="minorEastAsia" w:hAnsiTheme="minorEastAsia"/>
                <w:bCs/>
                <w:color w:val="FF0000"/>
                <w:szCs w:val="21"/>
              </w:rPr>
            </w:pPr>
            <w:r w:rsidRPr="00721CC6">
              <w:rPr>
                <w:rFonts w:asciiTheme="minorEastAsia" w:hAnsiTheme="minorEastAsia" w:hint="eastAsia"/>
                <w:bCs/>
                <w:szCs w:val="21"/>
              </w:rPr>
              <w:t>本基金申购赎回过程中涉及的基金份额、组合证券、现金替代、现金差额及其他对价的清算交收适用</w:t>
            </w:r>
            <w:r w:rsidRPr="00721CC6">
              <w:rPr>
                <w:rFonts w:asciiTheme="minorEastAsia" w:hAnsiTheme="minorEastAsia" w:hint="eastAsia"/>
                <w:bCs/>
                <w:color w:val="FF0000"/>
                <w:szCs w:val="21"/>
              </w:rPr>
              <w:t>《上海证券交易所交易型开放式指数基金业务实施细则》、 《中国证券登记结算有限责任公司关于上海证券交易所交易型开放式基金登记结算业务实施细则》</w:t>
            </w:r>
            <w:r w:rsidRPr="00721CC6">
              <w:rPr>
                <w:rFonts w:asciiTheme="minorEastAsia" w:hAnsiTheme="minorEastAsia" w:hint="eastAsia"/>
                <w:bCs/>
                <w:szCs w:val="21"/>
              </w:rPr>
              <w:t>和参与各方相关协议的有关规定</w:t>
            </w:r>
            <w:r w:rsidRPr="00721CC6">
              <w:rPr>
                <w:rFonts w:asciiTheme="minorEastAsia" w:hAnsiTheme="minorEastAsia" w:hint="eastAsia"/>
                <w:bCs/>
                <w:color w:val="FF0000"/>
                <w:szCs w:val="21"/>
              </w:rPr>
              <w:t>。</w:t>
            </w:r>
          </w:p>
          <w:p w:rsidR="00570193" w:rsidRPr="00721CC6" w:rsidRDefault="00570193" w:rsidP="00211781">
            <w:pPr>
              <w:snapToGrid w:val="0"/>
              <w:jc w:val="left"/>
              <w:rPr>
                <w:rFonts w:asciiTheme="minorEastAsia" w:hAnsiTheme="minorEastAsia"/>
                <w:bCs/>
                <w:color w:val="FF0000"/>
                <w:szCs w:val="21"/>
              </w:rPr>
            </w:pPr>
            <w:r w:rsidRPr="00721CC6">
              <w:rPr>
                <w:rFonts w:asciiTheme="minorEastAsia" w:hAnsiTheme="minorEastAsia" w:hint="eastAsia"/>
                <w:bCs/>
                <w:szCs w:val="21"/>
              </w:rPr>
              <w:t>对于本基金的申购业务采用净额结算和逐笔全额结算相结合的方式，</w:t>
            </w:r>
            <w:r w:rsidRPr="00721CC6">
              <w:rPr>
                <w:rFonts w:asciiTheme="minorEastAsia" w:hAnsiTheme="minorEastAsia" w:hint="eastAsia"/>
                <w:bCs/>
                <w:color w:val="FF0000"/>
                <w:szCs w:val="21"/>
              </w:rPr>
              <w:t>其中上交所上市的成份股的现金替代、申购当日并卖出的基金份额及对应的深交所上市的成份股的现金替代采用净额结算，申购当日未卖出的基金份额及对应的深交</w:t>
            </w:r>
            <w:r w:rsidRPr="00721CC6">
              <w:rPr>
                <w:rFonts w:asciiTheme="minorEastAsia" w:hAnsiTheme="minorEastAsia" w:hint="eastAsia"/>
                <w:bCs/>
                <w:color w:val="FF0000"/>
                <w:szCs w:val="21"/>
              </w:rPr>
              <w:lastRenderedPageBreak/>
              <w:t>所上市的成份股的现金替代采用逐笔全额结算；对于本基金的赎回业务采用净额结算和代收代付相结合的方式，其中上交所上市的成份股的现金替代采用净额结算，深交所上市的成份股的现金替代采用代收代付；本基金上述申购赎回业务涉及的现金差额和现金替代退补款采用代收代付。</w:t>
            </w:r>
          </w:p>
          <w:p w:rsidR="00570193" w:rsidRPr="00721CC6" w:rsidRDefault="00570193" w:rsidP="00211781">
            <w:pPr>
              <w:snapToGrid w:val="0"/>
              <w:jc w:val="left"/>
              <w:rPr>
                <w:rFonts w:asciiTheme="minorEastAsia" w:hAnsiTheme="minorEastAsia"/>
                <w:bCs/>
                <w:color w:val="FF0000"/>
                <w:szCs w:val="21"/>
              </w:rPr>
            </w:pPr>
            <w:r w:rsidRPr="00721CC6">
              <w:rPr>
                <w:rFonts w:asciiTheme="minorEastAsia" w:hAnsiTheme="minorEastAsia" w:hint="eastAsia"/>
                <w:bCs/>
                <w:color w:val="FF0000"/>
                <w:szCs w:val="21"/>
              </w:rPr>
              <w:t>投资者T日申购成功后，登记机构在T日收市后为投资者办理申购当日卖出基金份额与上交所上市的成份股的交收以及现金替代的清算；在T+1日办理申购当日未卖出基金份额与现金替代的交收以及现金差额的清算，在T+2日办理现金差额的交收，并将结果发送给申购赎回代理机构、基金管理人和基金托管人。现金替代交收失败的，该笔申购当日未卖出基金份额交收失败。</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color w:val="FF0000"/>
                <w:szCs w:val="21"/>
              </w:rPr>
              <w:t>投资者T日赎回成功后，登记机构在T日收市后为投资者办理基金份额的注销与上交所上市的成份股的交收以及现金替代的清算；在T+1日办理上交所上市的成份股现金替代的交收以及现金差额的清算，在T+2日办理现金差额的交收，并将结果发送给申购赎回代理机构、基金管理人和基金托管人。基金管理人不迟于T+3日办理赎回的深交所上市的成份股现金替代的交付。</w:t>
            </w:r>
          </w:p>
        </w:tc>
        <w:tc>
          <w:tcPr>
            <w:tcW w:w="3119" w:type="dxa"/>
          </w:tcPr>
          <w:p w:rsidR="00570193" w:rsidRPr="00721CC6" w:rsidRDefault="00570193" w:rsidP="00211781">
            <w:pPr>
              <w:snapToGrid w:val="0"/>
              <w:jc w:val="left"/>
              <w:rPr>
                <w:rFonts w:asciiTheme="minorEastAsia" w:hAnsiTheme="minorEastAsia"/>
                <w:bCs/>
                <w:color w:val="FF0000"/>
                <w:szCs w:val="21"/>
              </w:rPr>
            </w:pPr>
            <w:r w:rsidRPr="00721CC6">
              <w:rPr>
                <w:rFonts w:asciiTheme="minorEastAsia" w:hAnsiTheme="minorEastAsia" w:hint="eastAsia"/>
                <w:bCs/>
                <w:szCs w:val="21"/>
              </w:rPr>
              <w:lastRenderedPageBreak/>
              <w:t>本基金申购赎回过程中涉及的基金份额、组合证券、现金替代、现金差额及其他对价的清算交收适用</w:t>
            </w:r>
            <w:r w:rsidRPr="00721CC6">
              <w:rPr>
                <w:rFonts w:asciiTheme="minorEastAsia" w:hAnsiTheme="minorEastAsia" w:hint="eastAsia"/>
                <w:bCs/>
                <w:color w:val="FF0000"/>
                <w:szCs w:val="21"/>
              </w:rPr>
              <w:t>相关业务规则</w:t>
            </w:r>
            <w:r w:rsidRPr="00721CC6">
              <w:rPr>
                <w:rFonts w:asciiTheme="minorEastAsia" w:hAnsiTheme="minorEastAsia" w:hint="eastAsia"/>
                <w:bCs/>
                <w:szCs w:val="21"/>
              </w:rPr>
              <w:t>和参与各方相关协议的有关规定。对于本基金的申购、赎回涉及的业务采用净额结算和代收代付相结合的方式，</w:t>
            </w:r>
            <w:r w:rsidRPr="00721CC6">
              <w:rPr>
                <w:rFonts w:asciiTheme="minorEastAsia" w:hAnsiTheme="minorEastAsia" w:hint="eastAsia"/>
                <w:bCs/>
                <w:color w:val="FF0000"/>
                <w:szCs w:val="21"/>
              </w:rPr>
              <w:t>基金份额、上交所上市的成份股的现金替代和深交所上市的成份股的现金替代采用净额结算的方式，现金差额和现金替代退补款采用代收代付。</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color w:val="FF0000"/>
                <w:szCs w:val="21"/>
              </w:rPr>
              <w:t>投资者T日申购或赎回成功后，登记机构在T日收市后办理上交</w:t>
            </w:r>
            <w:r w:rsidRPr="00721CC6">
              <w:rPr>
                <w:rFonts w:asciiTheme="minorEastAsia" w:hAnsiTheme="minorEastAsia" w:hint="eastAsia"/>
                <w:bCs/>
                <w:color w:val="FF0000"/>
                <w:szCs w:val="21"/>
              </w:rPr>
              <w:lastRenderedPageBreak/>
              <w:t xml:space="preserve">所上市的成份股交收与基金份额的交收登记以及现金替代的清算；在T+1日办理现金替代的交收以及现金差额的清算；在T+2日办理现金差额的交收，并将结果发送给申购赎回代理券商、基金管理人和基金托管人；一般在补齐基金份额所对应的组合证券后，进行相应的现金替代退补款的清算与交收。 </w:t>
            </w:r>
          </w:p>
        </w:tc>
      </w:tr>
      <w:tr w:rsidR="00570193" w:rsidRPr="00721CC6" w:rsidTr="00847AC0">
        <w:trPr>
          <w:trHeight w:val="170"/>
        </w:trPr>
        <w:tc>
          <w:tcPr>
            <w:tcW w:w="961" w:type="dxa"/>
            <w:vMerge/>
          </w:tcPr>
          <w:p w:rsidR="00570193" w:rsidRPr="00721CC6" w:rsidRDefault="00570193" w:rsidP="00211781">
            <w:pPr>
              <w:snapToGrid w:val="0"/>
              <w:jc w:val="left"/>
              <w:rPr>
                <w:rFonts w:asciiTheme="minorEastAsia" w:hAnsiTheme="minorEastAsia"/>
                <w:bCs/>
                <w:szCs w:val="21"/>
              </w:rPr>
            </w:pPr>
          </w:p>
        </w:tc>
        <w:tc>
          <w:tcPr>
            <w:tcW w:w="3825"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基金管理人、登记机构可在法律法规允许的范围内，对上述申购赎回的程序以及清算交收和登记的办理时间、方式、处理规则等进行调整，并最迟于开始实施前3个工作日在指定媒介公告。</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投资者应按照基金合同的约定和申购赎回代理机构的规定按时足额支付应付的现金差额和现金替代补款。因投资者原因导致现金差额或现金替代补款未能按时足额交收的，基金管理人有权为基金的利益向该投资者追偿，并要求其承担由此导致的其他基金份额持有人或基金资产的损失。</w:t>
            </w:r>
          </w:p>
        </w:tc>
        <w:tc>
          <w:tcPr>
            <w:tcW w:w="3119"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基金管理人、</w:t>
            </w:r>
            <w:r w:rsidRPr="00721CC6">
              <w:rPr>
                <w:rFonts w:asciiTheme="minorEastAsia" w:hAnsiTheme="minorEastAsia" w:hint="eastAsia"/>
                <w:bCs/>
                <w:color w:val="FF0000"/>
                <w:szCs w:val="21"/>
              </w:rPr>
              <w:t>上海证券交易所</w:t>
            </w:r>
            <w:r w:rsidRPr="00721CC6">
              <w:rPr>
                <w:rFonts w:asciiTheme="minorEastAsia" w:hAnsiTheme="minorEastAsia" w:hint="eastAsia"/>
                <w:bCs/>
                <w:szCs w:val="21"/>
              </w:rPr>
              <w:t>和登记机构可在法律法规允许的范围内，对上述申购赎回的程序以及清算交收和登记的办理时间、方式、处理规则等进行调整，并最迟于开始实施前3个工作日在指定媒介公告。</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投资者应按照基金合同、</w:t>
            </w:r>
            <w:r w:rsidRPr="00721CC6">
              <w:rPr>
                <w:rFonts w:asciiTheme="minorEastAsia" w:hAnsiTheme="minorEastAsia" w:hint="eastAsia"/>
                <w:bCs/>
                <w:color w:val="FF0000"/>
                <w:szCs w:val="21"/>
              </w:rPr>
              <w:t>本招募说明书</w:t>
            </w:r>
            <w:r w:rsidRPr="00721CC6">
              <w:rPr>
                <w:rFonts w:asciiTheme="minorEastAsia" w:hAnsiTheme="minorEastAsia" w:hint="eastAsia"/>
                <w:bCs/>
                <w:szCs w:val="21"/>
              </w:rPr>
              <w:t>和申购赎回代理机构的规定按时足额支付应付的现金差额和现金替代补款。因投资者原因导致现金差额或现金替代补款未能按时足额交收的，基金管理人有权为基金的利益向该投资者追偿，并要求其承担由此导致的其他基金份额持有人或基金资产的损失。</w:t>
            </w:r>
          </w:p>
        </w:tc>
      </w:tr>
      <w:tr w:rsidR="00570193" w:rsidRPr="00721CC6" w:rsidTr="00847AC0">
        <w:trPr>
          <w:trHeight w:val="170"/>
        </w:trPr>
        <w:tc>
          <w:tcPr>
            <w:tcW w:w="961" w:type="dxa"/>
            <w:vMerge/>
          </w:tcPr>
          <w:p w:rsidR="00570193" w:rsidRPr="00721CC6" w:rsidRDefault="00570193" w:rsidP="00211781">
            <w:pPr>
              <w:snapToGrid w:val="0"/>
              <w:jc w:val="left"/>
              <w:rPr>
                <w:rFonts w:asciiTheme="minorEastAsia" w:hAnsiTheme="minorEastAsia"/>
                <w:bCs/>
                <w:szCs w:val="21"/>
              </w:rPr>
            </w:pPr>
          </w:p>
        </w:tc>
        <w:tc>
          <w:tcPr>
            <w:tcW w:w="3825"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6、</w:t>
            </w:r>
            <w:r w:rsidRPr="00721CC6">
              <w:rPr>
                <w:rFonts w:asciiTheme="minorEastAsia" w:hAnsiTheme="minorEastAsia" w:hint="eastAsia"/>
                <w:bCs/>
                <w:szCs w:val="21"/>
              </w:rPr>
              <w:tab/>
              <w:t>申购赎回清单的格式</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说明：</w:t>
            </w:r>
            <w:r w:rsidRPr="00721CC6">
              <w:rPr>
                <w:rFonts w:asciiTheme="minorEastAsia" w:hAnsiTheme="minorEastAsia" w:hint="eastAsia"/>
                <w:bCs/>
                <w:color w:val="FF0000"/>
                <w:szCs w:val="21"/>
              </w:rPr>
              <w:t>此表仅为示例，以实际公布的为准。</w:t>
            </w:r>
          </w:p>
        </w:tc>
        <w:tc>
          <w:tcPr>
            <w:tcW w:w="3119"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6、</w:t>
            </w:r>
            <w:r w:rsidRPr="00721CC6">
              <w:rPr>
                <w:rFonts w:asciiTheme="minorEastAsia" w:hAnsiTheme="minorEastAsia" w:hint="eastAsia"/>
                <w:bCs/>
                <w:szCs w:val="21"/>
              </w:rPr>
              <w:tab/>
              <w:t>申购赎回清单的格式</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说明：</w:t>
            </w:r>
            <w:r w:rsidRPr="00721CC6">
              <w:rPr>
                <w:rFonts w:asciiTheme="minorEastAsia" w:hAnsiTheme="minorEastAsia" w:hint="eastAsia"/>
                <w:bCs/>
                <w:color w:val="FF0000"/>
                <w:szCs w:val="21"/>
              </w:rPr>
              <w:t>申购赎回清单的格式可根据上海证券交易所的系统升级相应调整，具体格式以上海证券交易所提供的清单模版为准，届时不再另行公告。</w:t>
            </w:r>
          </w:p>
          <w:p w:rsidR="00570193" w:rsidRPr="00721CC6" w:rsidRDefault="00570193" w:rsidP="00211781">
            <w:pPr>
              <w:snapToGrid w:val="0"/>
              <w:jc w:val="left"/>
              <w:rPr>
                <w:rFonts w:asciiTheme="minorEastAsia" w:hAnsiTheme="minorEastAsia"/>
                <w:bCs/>
                <w:szCs w:val="21"/>
              </w:rPr>
            </w:pPr>
          </w:p>
        </w:tc>
      </w:tr>
      <w:tr w:rsidR="00570193" w:rsidRPr="00721CC6" w:rsidTr="00847AC0">
        <w:trPr>
          <w:trHeight w:val="170"/>
        </w:trPr>
        <w:tc>
          <w:tcPr>
            <w:tcW w:w="961" w:type="dxa"/>
            <w:vMerge w:val="restart"/>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lastRenderedPageBreak/>
              <w:t>第十九部分 风险揭示</w:t>
            </w:r>
          </w:p>
        </w:tc>
        <w:tc>
          <w:tcPr>
            <w:tcW w:w="3825"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5、流动性风险</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（1）基金申购、赎回安排</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投资者申购、赎回申请在受理当日进行确认。</w:t>
            </w:r>
            <w:r w:rsidRPr="00721CC6">
              <w:rPr>
                <w:rFonts w:asciiTheme="minorEastAsia" w:hAnsiTheme="minorEastAsia" w:hint="eastAsia"/>
                <w:bCs/>
                <w:color w:val="FF0000"/>
                <w:szCs w:val="21"/>
              </w:rPr>
              <w:t>投资者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投资者赎回获得的股票当日可卖出。因此为投资者办理申购业务的代理券商若发生交收违约，将导致投资者不能及时、足额获得申购当日未卖出的基金份额，投资者的利益可能受影响。</w:t>
            </w:r>
            <w:r w:rsidRPr="00721CC6">
              <w:rPr>
                <w:rFonts w:asciiTheme="minorEastAsia" w:hAnsiTheme="minorEastAsia" w:hint="eastAsia"/>
                <w:bCs/>
                <w:szCs w:val="21"/>
              </w:rPr>
              <w:t>由于股票市场波动性较大，在市场下跌时经常出现交易量急剧减少的情况，如果在这时出现较大数额的基金赎回申请，使得基金投资组合内不具备足额的符合要求的赎回对价，基金面临流动性风险。</w:t>
            </w:r>
          </w:p>
        </w:tc>
        <w:tc>
          <w:tcPr>
            <w:tcW w:w="3119"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5、流动性风险</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（1）基金申购、赎回安排</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投资者申购、赎回申请在受理当日进行确认。由于股票市场波动性较大，在市场下跌时经常出现交易量急剧减少的情况，如果在这时出现较大数额的基金赎回申请，使得基金投资组合内不具备足额的符合要求的赎回对价，基金面临流动性风险。</w:t>
            </w:r>
          </w:p>
        </w:tc>
      </w:tr>
      <w:tr w:rsidR="00570193" w:rsidRPr="00721CC6" w:rsidTr="00847AC0">
        <w:trPr>
          <w:trHeight w:val="170"/>
        </w:trPr>
        <w:tc>
          <w:tcPr>
            <w:tcW w:w="961" w:type="dxa"/>
            <w:vMerge/>
          </w:tcPr>
          <w:p w:rsidR="00570193" w:rsidRPr="00721CC6" w:rsidRDefault="00570193" w:rsidP="00211781">
            <w:pPr>
              <w:snapToGrid w:val="0"/>
              <w:jc w:val="left"/>
              <w:rPr>
                <w:rFonts w:asciiTheme="minorEastAsia" w:hAnsiTheme="minorEastAsia"/>
                <w:bCs/>
                <w:szCs w:val="21"/>
              </w:rPr>
            </w:pPr>
          </w:p>
        </w:tc>
        <w:tc>
          <w:tcPr>
            <w:tcW w:w="3825"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 xml:space="preserve">9、投资者申购失败的风险 </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 xml:space="preserve">基金的申购赎回清单中，可能仅允许对部分成份股使用现金替代，且设置现金替代比例上限，因此，投资者在进行申购时，可能存在因个别成份股涨停、临时停牌等原因而无法买入申购所需的足够的成份股，导致申购失败的风险。 </w:t>
            </w:r>
          </w:p>
          <w:p w:rsidR="00570193" w:rsidRPr="00721CC6" w:rsidRDefault="00570193" w:rsidP="00211781">
            <w:pPr>
              <w:snapToGrid w:val="0"/>
              <w:jc w:val="left"/>
              <w:rPr>
                <w:rFonts w:asciiTheme="minorEastAsia" w:hAnsiTheme="minorEastAsia"/>
                <w:bCs/>
                <w:color w:val="FF0000"/>
                <w:szCs w:val="21"/>
              </w:rPr>
            </w:pPr>
            <w:r w:rsidRPr="00721CC6">
              <w:rPr>
                <w:rFonts w:asciiTheme="minorEastAsia" w:hAnsiTheme="minorEastAsia" w:hint="eastAsia"/>
                <w:bCs/>
                <w:color w:val="FF0000"/>
                <w:szCs w:val="21"/>
              </w:rPr>
              <w:t>投资者申购当日未卖出的基金份额在交收成功后方可卖出和赎回。因此为投资者办理申购业务的申购赎回代理机构如发生交收违约，将导致投资者不能及时、足额获得申购当日未卖出的基金份额，投资者的利益可能受到影响。</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基金管理人根据基金运作情况、市场变化以及投资者需求等因素设定了当日申购份额上限，以对当日的申购总规模进行控制，投资者的申购份额如超过当日申购份额上限，可能导致申购失败的风险。</w:t>
            </w:r>
          </w:p>
        </w:tc>
        <w:tc>
          <w:tcPr>
            <w:tcW w:w="3119" w:type="dxa"/>
          </w:tcPr>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 xml:space="preserve">9、投资者申购失败的风险 </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 xml:space="preserve">基金的申购赎回清单中，可能仅允许对部分成份股使用现金替代，且设置现金替代比例上限，因此，投资者在进行申购时，可能存在因个别成份股涨停、临时停牌等原因而无法买入申购所需的足够的成份股，导致申购失败的风险。 </w:t>
            </w:r>
          </w:p>
          <w:p w:rsidR="00570193" w:rsidRPr="00721CC6" w:rsidRDefault="00570193" w:rsidP="00211781">
            <w:pPr>
              <w:snapToGrid w:val="0"/>
              <w:jc w:val="left"/>
              <w:rPr>
                <w:rFonts w:asciiTheme="minorEastAsia" w:hAnsiTheme="minorEastAsia"/>
                <w:bCs/>
                <w:szCs w:val="21"/>
              </w:rPr>
            </w:pPr>
            <w:r w:rsidRPr="00721CC6">
              <w:rPr>
                <w:rFonts w:asciiTheme="minorEastAsia" w:hAnsiTheme="minorEastAsia" w:hint="eastAsia"/>
                <w:bCs/>
                <w:szCs w:val="21"/>
              </w:rPr>
              <w:t>基金管理人根据基金运作情况、市场变化以及投资者需求等因素设定了当日申购份额上限，以对当日的申购总规模进行控制，投资者的申购份额如超过当日申购份额上限，可能导致申购失败的风险。</w:t>
            </w:r>
          </w:p>
        </w:tc>
      </w:tr>
    </w:tbl>
    <w:p w:rsidR="00721CC6" w:rsidRPr="00721CC6" w:rsidRDefault="00721CC6" w:rsidP="00D757E3">
      <w:pPr>
        <w:spacing w:line="360" w:lineRule="auto"/>
        <w:rPr>
          <w:rFonts w:ascii="Calibri" w:hAnsi="Calibri" w:cs="Calibri"/>
          <w:szCs w:val="21"/>
        </w:rPr>
      </w:pPr>
    </w:p>
    <w:p w:rsidR="00847AC0" w:rsidRDefault="00847AC0" w:rsidP="000E0F3C">
      <w:pPr>
        <w:spacing w:line="360" w:lineRule="auto"/>
        <w:rPr>
          <w:rFonts w:ascii="Calibri" w:hAnsi="Calibri" w:cs="Calibri"/>
          <w:szCs w:val="21"/>
        </w:rPr>
      </w:pPr>
    </w:p>
    <w:p w:rsidR="00847AC0" w:rsidRDefault="00847AC0" w:rsidP="000E0F3C">
      <w:pPr>
        <w:spacing w:line="360" w:lineRule="auto"/>
        <w:rPr>
          <w:rFonts w:ascii="Calibri" w:hAnsi="Calibri" w:cs="Calibri"/>
          <w:szCs w:val="21"/>
        </w:rPr>
      </w:pPr>
    </w:p>
    <w:p w:rsidR="00847AC0" w:rsidRDefault="00847AC0" w:rsidP="000E0F3C">
      <w:pPr>
        <w:spacing w:line="360" w:lineRule="auto"/>
        <w:rPr>
          <w:rFonts w:ascii="Calibri" w:hAnsi="Calibri" w:cs="Calibri"/>
          <w:szCs w:val="21"/>
        </w:rPr>
      </w:pPr>
    </w:p>
    <w:p w:rsidR="00847AC0" w:rsidRDefault="00847AC0" w:rsidP="000E0F3C">
      <w:pPr>
        <w:spacing w:line="360" w:lineRule="auto"/>
        <w:rPr>
          <w:rFonts w:ascii="Calibri" w:hAnsi="Calibri" w:cs="Calibri"/>
          <w:szCs w:val="21"/>
        </w:rPr>
      </w:pPr>
    </w:p>
    <w:p w:rsidR="00847AC0" w:rsidRDefault="00847AC0" w:rsidP="000E0F3C">
      <w:pPr>
        <w:spacing w:line="360" w:lineRule="auto"/>
        <w:rPr>
          <w:rFonts w:ascii="Calibri" w:hAnsi="Calibri" w:cs="Calibri"/>
          <w:szCs w:val="21"/>
        </w:rPr>
      </w:pPr>
    </w:p>
    <w:p w:rsidR="000E0F3C" w:rsidRDefault="00847AC0" w:rsidP="000E0F3C">
      <w:pPr>
        <w:spacing w:line="360" w:lineRule="auto"/>
        <w:rPr>
          <w:rFonts w:ascii="Calibri" w:hAnsi="Calibri" w:cs="Calibri"/>
          <w:szCs w:val="21"/>
        </w:rPr>
      </w:pPr>
      <w:r>
        <w:rPr>
          <w:rFonts w:ascii="Calibri" w:hAnsi="Calibri" w:cs="Calibri" w:hint="eastAsia"/>
          <w:szCs w:val="21"/>
        </w:rPr>
        <w:lastRenderedPageBreak/>
        <w:t>附件</w:t>
      </w:r>
      <w:r>
        <w:rPr>
          <w:rFonts w:ascii="Calibri" w:hAnsi="Calibri" w:cs="Calibri" w:hint="eastAsia"/>
          <w:szCs w:val="21"/>
        </w:rPr>
        <w:t>2</w:t>
      </w:r>
      <w:r>
        <w:rPr>
          <w:rFonts w:ascii="Calibri" w:hAnsi="Calibri" w:cs="Calibri" w:hint="eastAsia"/>
          <w:szCs w:val="21"/>
        </w:rPr>
        <w:t>：</w:t>
      </w:r>
      <w:r w:rsidR="000E0F3C">
        <w:rPr>
          <w:rFonts w:ascii="Calibri" w:hAnsi="Calibri" w:cs="Calibri" w:hint="eastAsia"/>
          <w:szCs w:val="21"/>
        </w:rPr>
        <w:t>《</w:t>
      </w:r>
      <w:r w:rsidR="000E0F3C" w:rsidRPr="000E0F3C">
        <w:rPr>
          <w:rFonts w:ascii="Calibri" w:hAnsi="Calibri" w:cs="Calibri" w:hint="eastAsia"/>
          <w:szCs w:val="21"/>
        </w:rPr>
        <w:t>景顺长城中证</w:t>
      </w:r>
      <w:r w:rsidR="000E0F3C" w:rsidRPr="000E0F3C">
        <w:rPr>
          <w:rFonts w:ascii="Calibri" w:hAnsi="Calibri" w:cs="Calibri" w:hint="eastAsia"/>
          <w:szCs w:val="21"/>
        </w:rPr>
        <w:t>TMT 150</w:t>
      </w:r>
      <w:r w:rsidR="000E0F3C" w:rsidRPr="000E0F3C">
        <w:rPr>
          <w:rFonts w:ascii="Calibri" w:hAnsi="Calibri" w:cs="Calibri" w:hint="eastAsia"/>
          <w:szCs w:val="21"/>
        </w:rPr>
        <w:t>交易型开放式指数证券投资基金</w:t>
      </w:r>
      <w:r w:rsidR="004D4CFF">
        <w:rPr>
          <w:rFonts w:ascii="Calibri" w:hAnsi="Calibri" w:cs="Calibri" w:hint="eastAsia"/>
          <w:szCs w:val="21"/>
        </w:rPr>
        <w:t>招募说明书</w:t>
      </w:r>
      <w:r w:rsidR="000E0F3C">
        <w:rPr>
          <w:rFonts w:ascii="Calibri" w:hAnsi="Calibri" w:cs="Calibri" w:hint="eastAsia"/>
          <w:szCs w:val="21"/>
        </w:rPr>
        <w:t>》更新前后对照表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3859"/>
        <w:gridCol w:w="3469"/>
      </w:tblGrid>
      <w:tr w:rsidR="00847AC0" w:rsidRPr="00847AC0" w:rsidTr="00211781">
        <w:trPr>
          <w:trHeight w:val="170"/>
        </w:trPr>
        <w:tc>
          <w:tcPr>
            <w:tcW w:w="1526" w:type="dxa"/>
          </w:tcPr>
          <w:p w:rsidR="00847AC0" w:rsidRPr="00847AC0" w:rsidRDefault="00847AC0" w:rsidP="00211781">
            <w:pPr>
              <w:snapToGrid w:val="0"/>
              <w:jc w:val="center"/>
              <w:rPr>
                <w:rFonts w:asciiTheme="minorEastAsia" w:hAnsiTheme="minorEastAsia"/>
                <w:szCs w:val="21"/>
              </w:rPr>
            </w:pPr>
            <w:r w:rsidRPr="00847AC0">
              <w:rPr>
                <w:rFonts w:asciiTheme="minorEastAsia" w:hAnsiTheme="minorEastAsia" w:hint="eastAsia"/>
                <w:szCs w:val="21"/>
              </w:rPr>
              <w:t>章节</w:t>
            </w:r>
          </w:p>
        </w:tc>
        <w:tc>
          <w:tcPr>
            <w:tcW w:w="5528" w:type="dxa"/>
            <w:vAlign w:val="center"/>
          </w:tcPr>
          <w:p w:rsidR="00847AC0" w:rsidRDefault="00847AC0" w:rsidP="00211781">
            <w:pPr>
              <w:snapToGrid w:val="0"/>
              <w:jc w:val="center"/>
              <w:rPr>
                <w:rFonts w:asciiTheme="minorEastAsia" w:hAnsiTheme="minorEastAsia"/>
                <w:szCs w:val="21"/>
              </w:rPr>
            </w:pPr>
            <w:r w:rsidRPr="00847AC0">
              <w:rPr>
                <w:rFonts w:asciiTheme="minorEastAsia" w:hAnsiTheme="minorEastAsia" w:hint="eastAsia"/>
                <w:szCs w:val="21"/>
              </w:rPr>
              <w:t>更新前</w:t>
            </w:r>
          </w:p>
          <w:p w:rsidR="000F5762" w:rsidRPr="00847AC0" w:rsidRDefault="000F5762" w:rsidP="000F5762">
            <w:pPr>
              <w:snapToGrid w:val="0"/>
              <w:jc w:val="center"/>
              <w:rPr>
                <w:rFonts w:asciiTheme="minorEastAsia" w:hAnsiTheme="minorEastAsia" w:hint="eastAsia"/>
                <w:szCs w:val="21"/>
              </w:rPr>
            </w:pPr>
            <w:r w:rsidRPr="000F5762">
              <w:rPr>
                <w:rFonts w:asciiTheme="minorEastAsia" w:hAnsiTheme="minorEastAsia" w:hint="eastAsia"/>
                <w:szCs w:val="21"/>
              </w:rPr>
              <w:t>景顺长城中证TMT 150交易型开放式指数证券投资基金2019年第</w:t>
            </w:r>
            <w:r>
              <w:rPr>
                <w:rFonts w:asciiTheme="minorEastAsia" w:hAnsiTheme="minorEastAsia"/>
                <w:szCs w:val="21"/>
              </w:rPr>
              <w:t>4</w:t>
            </w:r>
            <w:r w:rsidRPr="000F5762">
              <w:rPr>
                <w:rFonts w:asciiTheme="minorEastAsia" w:hAnsiTheme="minorEastAsia" w:hint="eastAsia"/>
                <w:szCs w:val="21"/>
              </w:rPr>
              <w:t>号更新招募说明书</w:t>
            </w:r>
          </w:p>
        </w:tc>
        <w:tc>
          <w:tcPr>
            <w:tcW w:w="4905" w:type="dxa"/>
            <w:vAlign w:val="center"/>
          </w:tcPr>
          <w:p w:rsidR="00847AC0" w:rsidRDefault="00847AC0" w:rsidP="00211781">
            <w:pPr>
              <w:snapToGrid w:val="0"/>
              <w:jc w:val="center"/>
              <w:rPr>
                <w:rFonts w:asciiTheme="minorEastAsia" w:hAnsiTheme="minorEastAsia"/>
                <w:szCs w:val="21"/>
              </w:rPr>
            </w:pPr>
            <w:r w:rsidRPr="00847AC0">
              <w:rPr>
                <w:rFonts w:asciiTheme="minorEastAsia" w:hAnsiTheme="minorEastAsia" w:hint="eastAsia"/>
                <w:szCs w:val="21"/>
              </w:rPr>
              <w:t>更新后</w:t>
            </w:r>
          </w:p>
          <w:p w:rsidR="000F5762" w:rsidRPr="00847AC0" w:rsidRDefault="000F5762" w:rsidP="00211781">
            <w:pPr>
              <w:snapToGrid w:val="0"/>
              <w:jc w:val="center"/>
              <w:rPr>
                <w:rFonts w:asciiTheme="minorEastAsia" w:hAnsiTheme="minorEastAsia" w:hint="eastAsia"/>
                <w:szCs w:val="21"/>
              </w:rPr>
            </w:pPr>
            <w:r w:rsidRPr="000F5762">
              <w:rPr>
                <w:rFonts w:asciiTheme="minorEastAsia" w:hAnsiTheme="minorEastAsia" w:hint="eastAsia"/>
                <w:szCs w:val="21"/>
              </w:rPr>
              <w:t>景顺长城中证TMT 150交易型开放式指数证券投资基金</w:t>
            </w:r>
            <w:r w:rsidRPr="000F5762">
              <w:rPr>
                <w:rFonts w:asciiTheme="minorEastAsia" w:hAnsiTheme="minorEastAsia" w:hint="eastAsia"/>
                <w:szCs w:val="21"/>
              </w:rPr>
              <w:t>2020年第1号更新招募说明书</w:t>
            </w:r>
          </w:p>
        </w:tc>
      </w:tr>
      <w:tr w:rsidR="00847AC0" w:rsidRPr="00847AC0" w:rsidTr="00211781">
        <w:trPr>
          <w:trHeight w:val="170"/>
        </w:trPr>
        <w:tc>
          <w:tcPr>
            <w:tcW w:w="1526" w:type="dxa"/>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全文</w:t>
            </w:r>
          </w:p>
        </w:tc>
        <w:tc>
          <w:tcPr>
            <w:tcW w:w="5528"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《中国证券登记结算有限责任公司关于</w:t>
            </w:r>
            <w:r w:rsidRPr="00847AC0">
              <w:rPr>
                <w:rFonts w:asciiTheme="minorEastAsia" w:hAnsiTheme="minorEastAsia" w:hint="eastAsia"/>
                <w:color w:val="FF0000"/>
                <w:szCs w:val="21"/>
              </w:rPr>
              <w:t>上海证券</w:t>
            </w:r>
            <w:r w:rsidRPr="00847AC0">
              <w:rPr>
                <w:rFonts w:asciiTheme="minorEastAsia" w:hAnsiTheme="minorEastAsia" w:hint="eastAsia"/>
                <w:szCs w:val="21"/>
              </w:rPr>
              <w:t>交易所交易型开放式基金登记结算业务实施细则》</w:t>
            </w:r>
          </w:p>
        </w:tc>
        <w:tc>
          <w:tcPr>
            <w:tcW w:w="4905"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《中国证券登记结算有限责任公司关于交易所交易型开放式</w:t>
            </w:r>
            <w:r w:rsidRPr="00847AC0">
              <w:rPr>
                <w:rFonts w:asciiTheme="minorEastAsia" w:hAnsiTheme="minorEastAsia" w:hint="eastAsia"/>
                <w:color w:val="FF0000"/>
                <w:szCs w:val="21"/>
              </w:rPr>
              <w:t>证券投资</w:t>
            </w:r>
            <w:r w:rsidRPr="00847AC0">
              <w:rPr>
                <w:rFonts w:asciiTheme="minorEastAsia" w:hAnsiTheme="minorEastAsia" w:hint="eastAsia"/>
                <w:szCs w:val="21"/>
              </w:rPr>
              <w:t>基金登记结算业务实施细则》</w:t>
            </w:r>
          </w:p>
        </w:tc>
      </w:tr>
      <w:tr w:rsidR="00847AC0" w:rsidRPr="00847AC0" w:rsidTr="00211781">
        <w:trPr>
          <w:trHeight w:val="170"/>
        </w:trPr>
        <w:tc>
          <w:tcPr>
            <w:tcW w:w="1526" w:type="dxa"/>
            <w:vMerge w:val="restart"/>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重要提示</w:t>
            </w:r>
          </w:p>
        </w:tc>
        <w:tc>
          <w:tcPr>
            <w:tcW w:w="5528"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六）本基金投资于证券市场，基金净值会因为证券市场波动等因素产生波动，投资人根据所持有的基金份额享受基金收益，同时承担相应的投资风险。本基金为交易型开放式指数证券投资基金（ETF），已于2014年8月19日起在上海证券交易所上市。本基金的标的指数组合证券横跨上海及深圳两个证券交易所。通常情况下，</w:t>
            </w:r>
            <w:r w:rsidRPr="00847AC0">
              <w:rPr>
                <w:rFonts w:asciiTheme="minorEastAsia" w:hAnsiTheme="minorEastAsia" w:hint="eastAsia"/>
                <w:color w:val="FF0000"/>
                <w:szCs w:val="21"/>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机构若发生交收违约，将导致投资人不能及时、足额获得申购当日未卖出的基金份额，投资人的利益可能受到影响。</w:t>
            </w:r>
            <w:r w:rsidRPr="00847AC0">
              <w:rPr>
                <w:rFonts w:asciiTheme="minorEastAsia" w:hAnsiTheme="minorEastAsia" w:hint="eastAsia"/>
                <w:szCs w:val="21"/>
              </w:rPr>
              <w:t>投资人投资本基金时需具有上海证券账户，但需注意，使用上海证券交易所基金账户只能进行基金的现金认购和二级市场交易，如投资人需要使用标的指数成份股中的上海证券交易所上市股票参与网下股票认购或基金的申购、赎回，则应开立上海证券交易所A股账户；如投资人需要使用标的指数成份股中的深圳证券交易所上市股票参与网下股票认购，则还应开立深圳证券交易所A股账户。</w:t>
            </w:r>
          </w:p>
        </w:tc>
        <w:tc>
          <w:tcPr>
            <w:tcW w:w="4905"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六）本基金投资于证券市场，基金净值会因为证券市场波动等因素产生波动，投资人根据所持有的基金份额享受基金收益，同时承担相应的投资风险。本基金为交易型开放式指数证券投资基金（ETF），已于2014年8月19日起在上海证券交易所上市。本基金的标的指数组合证券横跨上海及深圳两个证券交易所。通常情况下，</w:t>
            </w:r>
            <w:r w:rsidRPr="00847AC0">
              <w:rPr>
                <w:rFonts w:asciiTheme="minorEastAsia" w:hAnsiTheme="minorEastAsia" w:hint="eastAsia"/>
                <w:color w:val="FF0000"/>
                <w:szCs w:val="21"/>
              </w:rPr>
              <w:t>投资者申购的基金份额当日起可卖出，投资者赎回获得的股票当日起可卖出</w:t>
            </w:r>
            <w:r w:rsidRPr="00847AC0">
              <w:rPr>
                <w:rFonts w:asciiTheme="minorEastAsia" w:hAnsiTheme="minorEastAsia" w:hint="eastAsia"/>
                <w:szCs w:val="21"/>
              </w:rPr>
              <w:t>。投资人投资本基金时需具有上海证券账户，但需注意，使用上海证券交易所基金账户只能进行基金的现金认购和二级市场交易，如投资人需要使用标的指数成份股中的上海证券交易所上市股票参与网下股票认购或基金的申购、赎回，则应开立上海证券交易所A股账户；如投资人需要使用标的指数成份股中的深圳证券交易所上市股票参与网下股票认购，则还应开立深圳证券交易所A股账户。</w:t>
            </w:r>
          </w:p>
        </w:tc>
      </w:tr>
      <w:tr w:rsidR="00847AC0" w:rsidRPr="00847AC0" w:rsidTr="00211781">
        <w:trPr>
          <w:trHeight w:val="170"/>
        </w:trPr>
        <w:tc>
          <w:tcPr>
            <w:tcW w:w="1526" w:type="dxa"/>
            <w:vMerge/>
          </w:tcPr>
          <w:p w:rsidR="00847AC0" w:rsidRPr="00847AC0" w:rsidRDefault="00847AC0" w:rsidP="00211781">
            <w:pPr>
              <w:snapToGrid w:val="0"/>
              <w:rPr>
                <w:rFonts w:asciiTheme="minorEastAsia" w:hAnsiTheme="minorEastAsia"/>
                <w:szCs w:val="21"/>
              </w:rPr>
            </w:pPr>
          </w:p>
        </w:tc>
        <w:tc>
          <w:tcPr>
            <w:tcW w:w="5528"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（八）本招募说明书已经本基金托管人复核</w:t>
            </w:r>
            <w:r w:rsidRPr="00847AC0">
              <w:rPr>
                <w:rFonts w:asciiTheme="minorEastAsia" w:hAnsiTheme="minorEastAsia" w:hint="eastAsia"/>
                <w:color w:val="FF0000"/>
                <w:szCs w:val="21"/>
              </w:rPr>
              <w:t>。本基金管理人根据2019年11月19日发布的《景顺长城基金管理有限公司关于景顺长城中证TMT150交易型开放式指数证券投资基金基金经理变更公告》，对本招募说明书相应做了调整，</w:t>
            </w:r>
            <w:r w:rsidRPr="00847AC0">
              <w:rPr>
                <w:rFonts w:asciiTheme="minorEastAsia" w:hAnsiTheme="minorEastAsia" w:hint="eastAsia"/>
                <w:szCs w:val="21"/>
              </w:rPr>
              <w:t>除上述事项外本招募说明书所载其他内容截止日为2019年7月18日，有关财务数据和净值表现截止日为2019年6月30日。本更新招募说明书中财务数据未经审计。本基金为股票型基金，其长期平</w:t>
            </w:r>
            <w:r w:rsidRPr="00847AC0">
              <w:rPr>
                <w:rFonts w:asciiTheme="minorEastAsia" w:hAnsiTheme="minorEastAsia" w:hint="eastAsia"/>
                <w:szCs w:val="21"/>
              </w:rPr>
              <w:lastRenderedPageBreak/>
              <w:t>均风险和预期收益率高于混合型基金、债券型基金及货币市场基金。</w:t>
            </w:r>
          </w:p>
        </w:tc>
        <w:tc>
          <w:tcPr>
            <w:tcW w:w="4905"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lastRenderedPageBreak/>
              <w:t>（八）本招募说明书已经本基金托管人复核。</w:t>
            </w:r>
            <w:r w:rsidRPr="00847AC0">
              <w:rPr>
                <w:rFonts w:asciiTheme="minorEastAsia" w:hAnsiTheme="minorEastAsia" w:hint="eastAsia"/>
                <w:color w:val="FF0000"/>
                <w:szCs w:val="21"/>
              </w:rPr>
              <w:t>本基金管理人根据上海证券交易所和登记结算机构相关规则的变更调整对本招募说明书相应做了调整，同时对招募说明书中基金的指数许可使用费内容进行了更新。</w:t>
            </w:r>
            <w:r w:rsidRPr="00847AC0">
              <w:rPr>
                <w:rFonts w:asciiTheme="minorEastAsia" w:hAnsiTheme="minorEastAsia" w:hint="eastAsia"/>
                <w:szCs w:val="21"/>
              </w:rPr>
              <w:t>除上述事项外本招募说明书所载其他内容截止日为2019年7月18日，有关财务数据和净值表现截止日为2019年6月30日。本更新招募说明书中财务数据未经审计。</w:t>
            </w:r>
          </w:p>
        </w:tc>
      </w:tr>
      <w:tr w:rsidR="00847AC0" w:rsidRPr="00847AC0" w:rsidTr="00211781">
        <w:trPr>
          <w:trHeight w:val="170"/>
        </w:trPr>
        <w:tc>
          <w:tcPr>
            <w:tcW w:w="1526" w:type="dxa"/>
            <w:vMerge w:val="restart"/>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lastRenderedPageBreak/>
              <w:t>十、基金份额的申购与赎回和非交易过户</w:t>
            </w:r>
          </w:p>
        </w:tc>
        <w:tc>
          <w:tcPr>
            <w:tcW w:w="5528"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（三）申购与赎回的原则</w:t>
            </w:r>
          </w:p>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5、基金管理人可在不违反法律法规且对基金份额持有人利益无实质性不利影响的情况下，对上述原则进行调整。基金管理人必须在新规则开始实施前依照《信息披露办法》的有关规定在指定媒介上公告。</w:t>
            </w:r>
          </w:p>
        </w:tc>
        <w:tc>
          <w:tcPr>
            <w:tcW w:w="4905"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（三）申购与赎回的原则</w:t>
            </w:r>
          </w:p>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5、基金管理人可在不违反法律法规且对基金份额持有人利益无实质性不利影响的情况下，</w:t>
            </w:r>
            <w:r w:rsidRPr="00847AC0">
              <w:rPr>
                <w:rFonts w:asciiTheme="minorEastAsia" w:hAnsiTheme="minorEastAsia" w:hint="eastAsia"/>
                <w:color w:val="FF0000"/>
                <w:szCs w:val="21"/>
              </w:rPr>
              <w:t>或依据上海证券交易所或登记结算机构相关规则及其变更调整</w:t>
            </w:r>
            <w:r w:rsidRPr="00847AC0">
              <w:rPr>
                <w:rFonts w:asciiTheme="minorEastAsia" w:hAnsiTheme="minorEastAsia" w:hint="eastAsia"/>
                <w:szCs w:val="21"/>
              </w:rPr>
              <w:t>，对上述原则进行调整。基金管理人必须在新规则开始实施前依照《信息披露办法》的有关规定在指定媒介上公告。</w:t>
            </w:r>
          </w:p>
        </w:tc>
      </w:tr>
      <w:tr w:rsidR="00847AC0" w:rsidRPr="00847AC0" w:rsidTr="00211781">
        <w:trPr>
          <w:trHeight w:val="170"/>
        </w:trPr>
        <w:tc>
          <w:tcPr>
            <w:tcW w:w="1526" w:type="dxa"/>
            <w:vMerge/>
          </w:tcPr>
          <w:p w:rsidR="00847AC0" w:rsidRPr="00847AC0" w:rsidRDefault="00847AC0" w:rsidP="00211781">
            <w:pPr>
              <w:snapToGrid w:val="0"/>
              <w:rPr>
                <w:rFonts w:asciiTheme="minorEastAsia" w:hAnsiTheme="minorEastAsia"/>
                <w:szCs w:val="21"/>
              </w:rPr>
            </w:pPr>
          </w:p>
        </w:tc>
        <w:tc>
          <w:tcPr>
            <w:tcW w:w="5528"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投资人申购的基金份额当日可卖出，</w:t>
            </w:r>
            <w:r w:rsidRPr="00847AC0">
              <w:rPr>
                <w:rFonts w:asciiTheme="minorEastAsia" w:hAnsiTheme="minorEastAsia" w:hint="eastAsia"/>
                <w:color w:val="FF0000"/>
                <w:szCs w:val="21"/>
              </w:rPr>
              <w:t>当日未卖出的基金份额在份额交收成功之前不得卖出和赎回；即在目前结算规则下，T日申购的基金份额当日可卖出，T日申购当日未卖出的基金份额，T+1日不得卖出和赎回，T+1日交收成功后T+2日可卖出和赎回。</w:t>
            </w:r>
            <w:r w:rsidRPr="00847AC0">
              <w:rPr>
                <w:rFonts w:asciiTheme="minorEastAsia" w:hAnsiTheme="minorEastAsia" w:hint="eastAsia"/>
                <w:szCs w:val="21"/>
              </w:rPr>
              <w:t>投资人赎回获得的股票当日可卖出。</w:t>
            </w:r>
          </w:p>
        </w:tc>
        <w:tc>
          <w:tcPr>
            <w:tcW w:w="4905" w:type="dxa"/>
            <w:vAlign w:val="center"/>
          </w:tcPr>
          <w:p w:rsidR="00847AC0" w:rsidRPr="00847AC0" w:rsidRDefault="00847AC0" w:rsidP="00211781">
            <w:pPr>
              <w:snapToGrid w:val="0"/>
              <w:rPr>
                <w:rFonts w:asciiTheme="minorEastAsia" w:hAnsiTheme="minorEastAsia"/>
                <w:szCs w:val="21"/>
              </w:rPr>
            </w:pPr>
            <w:r w:rsidRPr="00847AC0">
              <w:rPr>
                <w:rFonts w:asciiTheme="minorEastAsia" w:hAnsiTheme="minorEastAsia" w:hint="eastAsia"/>
                <w:szCs w:val="21"/>
              </w:rPr>
              <w:t>投资者申购的基金份额当日起可卖出，投资者赎回获得的股票当日起可卖出。</w:t>
            </w:r>
          </w:p>
        </w:tc>
      </w:tr>
      <w:tr w:rsidR="00847AC0" w:rsidRPr="00847AC0" w:rsidTr="00211781">
        <w:trPr>
          <w:trHeight w:val="1550"/>
        </w:trPr>
        <w:tc>
          <w:tcPr>
            <w:tcW w:w="1526" w:type="dxa"/>
            <w:vMerge/>
          </w:tcPr>
          <w:p w:rsidR="00847AC0" w:rsidRPr="00847AC0" w:rsidRDefault="00847AC0" w:rsidP="00211781">
            <w:pPr>
              <w:snapToGrid w:val="0"/>
              <w:jc w:val="left"/>
              <w:rPr>
                <w:rFonts w:asciiTheme="minorEastAsia" w:hAnsiTheme="minorEastAsia"/>
                <w:bCs/>
                <w:szCs w:val="21"/>
              </w:rPr>
            </w:pPr>
          </w:p>
        </w:tc>
        <w:tc>
          <w:tcPr>
            <w:tcW w:w="5528" w:type="dxa"/>
          </w:tcPr>
          <w:p w:rsidR="00847AC0" w:rsidRPr="00847AC0" w:rsidRDefault="00847AC0" w:rsidP="00211781">
            <w:pPr>
              <w:snapToGrid w:val="0"/>
              <w:jc w:val="left"/>
              <w:rPr>
                <w:rFonts w:asciiTheme="minorEastAsia" w:hAnsiTheme="minorEastAsia"/>
                <w:bCs/>
                <w:color w:val="FF0000"/>
                <w:szCs w:val="21"/>
              </w:rPr>
            </w:pPr>
            <w:r w:rsidRPr="00847AC0">
              <w:rPr>
                <w:rFonts w:asciiTheme="minorEastAsia" w:hAnsiTheme="minorEastAsia" w:hint="eastAsia"/>
                <w:bCs/>
                <w:szCs w:val="21"/>
              </w:rPr>
              <w:t>本基金申购赎回过程中涉及的基金份额、组合证券、现金替代、现金差额及其他对价的清算交收适用</w:t>
            </w:r>
            <w:r w:rsidRPr="00847AC0">
              <w:rPr>
                <w:rFonts w:asciiTheme="minorEastAsia" w:hAnsiTheme="minorEastAsia" w:hint="eastAsia"/>
                <w:bCs/>
                <w:color w:val="FF0000"/>
                <w:szCs w:val="21"/>
              </w:rPr>
              <w:t>《上海证券交易所交易型开放式指数基金业务实施细则》、 《中国证券登记结算有限责任公司关于上海证券交易所交易型开放式基金登记结算业务实施细则》</w:t>
            </w:r>
            <w:r w:rsidRPr="00847AC0">
              <w:rPr>
                <w:rFonts w:asciiTheme="minorEastAsia" w:hAnsiTheme="minorEastAsia" w:hint="eastAsia"/>
                <w:bCs/>
                <w:szCs w:val="21"/>
              </w:rPr>
              <w:t>和参与各方相关协议的有关规定</w:t>
            </w:r>
            <w:r w:rsidRPr="00847AC0">
              <w:rPr>
                <w:rFonts w:asciiTheme="minorEastAsia" w:hAnsiTheme="minorEastAsia" w:hint="eastAsia"/>
                <w:bCs/>
                <w:color w:val="FF0000"/>
                <w:szCs w:val="21"/>
              </w:rPr>
              <w:t>。</w:t>
            </w:r>
          </w:p>
          <w:p w:rsidR="00847AC0" w:rsidRPr="00847AC0" w:rsidRDefault="00847AC0" w:rsidP="00211781">
            <w:pPr>
              <w:snapToGrid w:val="0"/>
              <w:jc w:val="left"/>
              <w:rPr>
                <w:rFonts w:asciiTheme="minorEastAsia" w:hAnsiTheme="minorEastAsia"/>
                <w:bCs/>
                <w:color w:val="FF0000"/>
                <w:szCs w:val="21"/>
              </w:rPr>
            </w:pPr>
            <w:r w:rsidRPr="00847AC0">
              <w:rPr>
                <w:rFonts w:asciiTheme="minorEastAsia" w:hAnsiTheme="minorEastAsia" w:hint="eastAsia"/>
                <w:bCs/>
                <w:szCs w:val="21"/>
              </w:rPr>
              <w:t>对于本基金的申购业务采用净额结算和逐笔全额结算相结合的方式，</w:t>
            </w:r>
            <w:r w:rsidRPr="00847AC0">
              <w:rPr>
                <w:rFonts w:asciiTheme="minorEastAsia" w:hAnsiTheme="minorEastAsia" w:hint="eastAsia"/>
                <w:bCs/>
                <w:color w:val="FF0000"/>
                <w:szCs w:val="21"/>
              </w:rPr>
              <w:t>其中上交所上市的成份股的现金替代、申购当日并卖出的基金份额及对应的深交所上市的成份股的现金替代采用净额结算，申购当日未卖出的基金份额及对应的深交所上市的成份股的现金替代采用逐笔全额结算；对于本基金的赎回业务采用净额结算和代收代付相结合的方式，其中上交所上市的成份股的现金替代采用净额结算，深交所上市的成份股的现金替代采用代收代付；本基金上述申购赎回业务涉及的现金差额和现金替代退补款采用代收代付。</w:t>
            </w:r>
          </w:p>
          <w:p w:rsidR="00847AC0" w:rsidRPr="00847AC0" w:rsidRDefault="00847AC0" w:rsidP="00211781">
            <w:pPr>
              <w:snapToGrid w:val="0"/>
              <w:jc w:val="left"/>
              <w:rPr>
                <w:rFonts w:asciiTheme="minorEastAsia" w:hAnsiTheme="minorEastAsia"/>
                <w:bCs/>
                <w:color w:val="FF0000"/>
                <w:szCs w:val="21"/>
              </w:rPr>
            </w:pPr>
            <w:r w:rsidRPr="00847AC0">
              <w:rPr>
                <w:rFonts w:asciiTheme="minorEastAsia" w:hAnsiTheme="minorEastAsia" w:hint="eastAsia"/>
                <w:bCs/>
                <w:color w:val="FF0000"/>
                <w:szCs w:val="21"/>
              </w:rPr>
              <w:t>投资者T日申购成功后，登记机构在T日收市后为投资者办理申购当日卖出基金份额与上交所上市的成份股的交收以及现金替代的清算；在T+1日办理申购当日未卖出基金份额与现金替代的交收以及现金差额的清算，在T+2日办理现金差额的交收，并将结果发送给申购赎回代理机构、基金管理人和基金托管人。现金替代交收失败的，该笔申购当日未卖出基金份额交收失败。</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color w:val="FF0000"/>
                <w:szCs w:val="21"/>
              </w:rPr>
              <w:lastRenderedPageBreak/>
              <w:t>投资者T日赎回成功后，登记机构在T日收市后为投资者办理基金份额的注销与上交所上市的成份股的交收以及现金替代的清算；在T+1日办理上交所上市的成份股现金替代的交收以及现金差额的清算，在T+2日办理现金差额的交收，并将结果发送给申购赎回代理机构、基金管理人和基金托管人。基金管理人不迟于T+3日办理赎回的深交所上市的成份股现金替代的交付。</w:t>
            </w:r>
          </w:p>
        </w:tc>
        <w:tc>
          <w:tcPr>
            <w:tcW w:w="4905" w:type="dxa"/>
          </w:tcPr>
          <w:p w:rsidR="00847AC0" w:rsidRPr="00847AC0" w:rsidRDefault="00847AC0" w:rsidP="00211781">
            <w:pPr>
              <w:snapToGrid w:val="0"/>
              <w:jc w:val="left"/>
              <w:rPr>
                <w:rFonts w:asciiTheme="minorEastAsia" w:hAnsiTheme="minorEastAsia"/>
                <w:bCs/>
                <w:color w:val="FF0000"/>
                <w:szCs w:val="21"/>
              </w:rPr>
            </w:pPr>
            <w:r w:rsidRPr="00847AC0">
              <w:rPr>
                <w:rFonts w:asciiTheme="minorEastAsia" w:hAnsiTheme="minorEastAsia" w:hint="eastAsia"/>
                <w:bCs/>
                <w:szCs w:val="21"/>
              </w:rPr>
              <w:lastRenderedPageBreak/>
              <w:t>本基金申购赎回过程中涉及的基金份额、组合证券、现金替代、现金差额及其他对价的清算交收适用</w:t>
            </w:r>
            <w:r w:rsidRPr="00847AC0">
              <w:rPr>
                <w:rFonts w:asciiTheme="minorEastAsia" w:hAnsiTheme="minorEastAsia" w:hint="eastAsia"/>
                <w:bCs/>
                <w:color w:val="FF0000"/>
                <w:szCs w:val="21"/>
              </w:rPr>
              <w:t>相关业务规则</w:t>
            </w:r>
            <w:r w:rsidRPr="00847AC0">
              <w:rPr>
                <w:rFonts w:asciiTheme="minorEastAsia" w:hAnsiTheme="minorEastAsia" w:hint="eastAsia"/>
                <w:bCs/>
                <w:szCs w:val="21"/>
              </w:rPr>
              <w:t>和参与各方相关协议的有关规定。对于本基金的申购、赎回涉及的业务采用净额结算和代收代付相结合的方式，</w:t>
            </w:r>
            <w:r w:rsidRPr="00847AC0">
              <w:rPr>
                <w:rFonts w:asciiTheme="minorEastAsia" w:hAnsiTheme="minorEastAsia" w:hint="eastAsia"/>
                <w:bCs/>
                <w:color w:val="FF0000"/>
                <w:szCs w:val="21"/>
              </w:rPr>
              <w:t>基金份额、上交所上市的成份股的现金替代和深交所上市的成份股的现金替代采用净额结算的方式，现金差额和现金替代退补款采用代收代付。</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color w:val="FF0000"/>
                <w:szCs w:val="21"/>
              </w:rPr>
              <w:t xml:space="preserve">投资者T日申购或赎回成功后，登记机构在T日收市后办理上交所上市的成份股交收与基金份额的交收登记以及现金替代的清算；在T+1日办理现金替代的交收以及现金差额的清算；在T+2日办理现金差额的交收，并将结果发送给申购赎回代理券商、基金管理人和基金托管人；一般在补齐基金份额所对应的组合证券后，进行相应的现金替代退补款的清算与交收。 </w:t>
            </w:r>
          </w:p>
        </w:tc>
      </w:tr>
      <w:tr w:rsidR="00847AC0" w:rsidRPr="00847AC0" w:rsidTr="00211781">
        <w:trPr>
          <w:trHeight w:val="170"/>
        </w:trPr>
        <w:tc>
          <w:tcPr>
            <w:tcW w:w="1526" w:type="dxa"/>
            <w:vMerge/>
          </w:tcPr>
          <w:p w:rsidR="00847AC0" w:rsidRPr="00847AC0" w:rsidRDefault="00847AC0" w:rsidP="00211781">
            <w:pPr>
              <w:snapToGrid w:val="0"/>
              <w:jc w:val="left"/>
              <w:rPr>
                <w:rFonts w:asciiTheme="minorEastAsia" w:hAnsiTheme="minorEastAsia"/>
                <w:bCs/>
                <w:szCs w:val="21"/>
              </w:rPr>
            </w:pPr>
          </w:p>
        </w:tc>
        <w:tc>
          <w:tcPr>
            <w:tcW w:w="5528" w:type="dxa"/>
            <w:shd w:val="clear" w:color="auto" w:fill="auto"/>
          </w:tcPr>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基金管理人、登记结算机构可在法律法规允许的范围内，对上述申购赎回的程序以及清算交收和登记的办理时间、方式、处理规则等进行调整，并应当依照《信息披露办法》的有关规定在指定媒介公告。</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投资者应按照基金合同的约定和申购赎回代理机构的规定按时足额支付应付的现金差额和现金替代补款。因投资者原因导致现金差额或现金替代补款未能按时足额交收的，基金管理人有权为基金的利益向该投资者追偿，并要求其承担由此导致的其他基金份额持有人或基金资产的损失。</w:t>
            </w:r>
          </w:p>
        </w:tc>
        <w:tc>
          <w:tcPr>
            <w:tcW w:w="4905" w:type="dxa"/>
            <w:shd w:val="clear" w:color="auto" w:fill="auto"/>
          </w:tcPr>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基金管理人、</w:t>
            </w:r>
            <w:r w:rsidRPr="00847AC0">
              <w:rPr>
                <w:rFonts w:asciiTheme="minorEastAsia" w:hAnsiTheme="minorEastAsia" w:hint="eastAsia"/>
                <w:bCs/>
                <w:color w:val="FF0000"/>
                <w:szCs w:val="21"/>
              </w:rPr>
              <w:t>上海证券交易所</w:t>
            </w:r>
            <w:r w:rsidRPr="00847AC0">
              <w:rPr>
                <w:rFonts w:asciiTheme="minorEastAsia" w:hAnsiTheme="minorEastAsia" w:hint="eastAsia"/>
                <w:bCs/>
                <w:szCs w:val="21"/>
              </w:rPr>
              <w:t>和登记结算机构可在法律法规允许的范围内，对上述申购赎回的程序以及清算交收和登记的办理时间、方式、处理规则等进行调整，并应当依照《信息披露办法》的有关规定在指定媒介公告。</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投资者应按照基金合同、</w:t>
            </w:r>
            <w:r w:rsidRPr="00847AC0">
              <w:rPr>
                <w:rFonts w:asciiTheme="minorEastAsia" w:hAnsiTheme="minorEastAsia" w:hint="eastAsia"/>
                <w:bCs/>
                <w:color w:val="FF0000"/>
                <w:szCs w:val="21"/>
              </w:rPr>
              <w:t>本招募说明书</w:t>
            </w:r>
            <w:r w:rsidRPr="00847AC0">
              <w:rPr>
                <w:rFonts w:asciiTheme="minorEastAsia" w:hAnsiTheme="minorEastAsia" w:hint="eastAsia"/>
                <w:bCs/>
                <w:szCs w:val="21"/>
              </w:rPr>
              <w:t>和申购赎回代理机构的规定按时足额支付应付的现金差额和现金替代补款。因投资者原因导致现金差额或现金替代补款未能按时足额交收的，基金管理人有权为基金的利益向该投资者追偿，并要求其承担由此导致的其他基金份额持有人或基金资产的损失。</w:t>
            </w:r>
          </w:p>
        </w:tc>
      </w:tr>
      <w:tr w:rsidR="00847AC0" w:rsidRPr="00847AC0" w:rsidTr="00211781">
        <w:trPr>
          <w:trHeight w:val="170"/>
        </w:trPr>
        <w:tc>
          <w:tcPr>
            <w:tcW w:w="1526" w:type="dxa"/>
            <w:vMerge/>
          </w:tcPr>
          <w:p w:rsidR="00847AC0" w:rsidRPr="00847AC0" w:rsidRDefault="00847AC0" w:rsidP="00211781">
            <w:pPr>
              <w:snapToGrid w:val="0"/>
              <w:jc w:val="left"/>
              <w:rPr>
                <w:rFonts w:asciiTheme="minorEastAsia" w:hAnsiTheme="minorEastAsia"/>
                <w:bCs/>
                <w:szCs w:val="21"/>
              </w:rPr>
            </w:pPr>
          </w:p>
        </w:tc>
        <w:tc>
          <w:tcPr>
            <w:tcW w:w="5528" w:type="dxa"/>
          </w:tcPr>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6、</w:t>
            </w:r>
            <w:r w:rsidRPr="00847AC0">
              <w:rPr>
                <w:rFonts w:asciiTheme="minorEastAsia" w:hAnsiTheme="minorEastAsia" w:hint="eastAsia"/>
                <w:bCs/>
                <w:szCs w:val="21"/>
              </w:rPr>
              <w:tab/>
              <w:t>申购赎回清单的格式</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说明：</w:t>
            </w:r>
            <w:r w:rsidRPr="00847AC0">
              <w:rPr>
                <w:rFonts w:asciiTheme="minorEastAsia" w:hAnsiTheme="minorEastAsia" w:hint="eastAsia"/>
                <w:bCs/>
                <w:color w:val="FF0000"/>
                <w:szCs w:val="21"/>
              </w:rPr>
              <w:t>此表仅为示意，以实际公布的为准。</w:t>
            </w:r>
          </w:p>
        </w:tc>
        <w:tc>
          <w:tcPr>
            <w:tcW w:w="4905" w:type="dxa"/>
          </w:tcPr>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6、</w:t>
            </w:r>
            <w:r w:rsidRPr="00847AC0">
              <w:rPr>
                <w:rFonts w:asciiTheme="minorEastAsia" w:hAnsiTheme="minorEastAsia" w:hint="eastAsia"/>
                <w:bCs/>
                <w:szCs w:val="21"/>
              </w:rPr>
              <w:tab/>
              <w:t>申购赎回清单的格式</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说明：</w:t>
            </w:r>
            <w:bookmarkStart w:id="0" w:name="_GoBack"/>
            <w:r w:rsidRPr="00847AC0">
              <w:rPr>
                <w:rFonts w:asciiTheme="minorEastAsia" w:hAnsiTheme="minorEastAsia" w:hint="eastAsia"/>
                <w:bCs/>
                <w:color w:val="FF0000"/>
                <w:szCs w:val="21"/>
              </w:rPr>
              <w:t>申购赎回清单的格式可根据上海证券交易所的系统升级相应</w:t>
            </w:r>
            <w:bookmarkEnd w:id="0"/>
            <w:r w:rsidRPr="00847AC0">
              <w:rPr>
                <w:rFonts w:asciiTheme="minorEastAsia" w:hAnsiTheme="minorEastAsia" w:hint="eastAsia"/>
                <w:bCs/>
                <w:color w:val="FF0000"/>
                <w:szCs w:val="21"/>
              </w:rPr>
              <w:t>调整，具体格式以上海证券交易所提供的清单模版为准，届时不再另行公告。</w:t>
            </w:r>
          </w:p>
          <w:p w:rsidR="00847AC0" w:rsidRPr="00847AC0" w:rsidRDefault="00847AC0" w:rsidP="00211781">
            <w:pPr>
              <w:snapToGrid w:val="0"/>
              <w:jc w:val="left"/>
              <w:rPr>
                <w:rFonts w:asciiTheme="minorEastAsia" w:hAnsiTheme="minorEastAsia"/>
                <w:bCs/>
                <w:szCs w:val="21"/>
              </w:rPr>
            </w:pPr>
          </w:p>
        </w:tc>
      </w:tr>
      <w:tr w:rsidR="00847AC0" w:rsidRPr="00847AC0" w:rsidTr="00211781">
        <w:trPr>
          <w:trHeight w:val="170"/>
        </w:trPr>
        <w:tc>
          <w:tcPr>
            <w:tcW w:w="1526" w:type="dxa"/>
            <w:vMerge/>
          </w:tcPr>
          <w:p w:rsidR="00847AC0" w:rsidRPr="00847AC0" w:rsidRDefault="00847AC0" w:rsidP="00211781">
            <w:pPr>
              <w:snapToGrid w:val="0"/>
              <w:jc w:val="left"/>
              <w:rPr>
                <w:rFonts w:asciiTheme="minorEastAsia" w:hAnsiTheme="minorEastAsia"/>
                <w:bCs/>
                <w:szCs w:val="21"/>
              </w:rPr>
            </w:pPr>
          </w:p>
        </w:tc>
        <w:tc>
          <w:tcPr>
            <w:tcW w:w="5528" w:type="dxa"/>
          </w:tcPr>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8、投资者申购失败的风险</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rsidR="00847AC0" w:rsidRPr="00847AC0" w:rsidRDefault="00847AC0" w:rsidP="00211781">
            <w:pPr>
              <w:snapToGrid w:val="0"/>
              <w:jc w:val="left"/>
              <w:rPr>
                <w:rFonts w:asciiTheme="minorEastAsia" w:hAnsiTheme="minorEastAsia"/>
                <w:bCs/>
                <w:color w:val="FF0000"/>
                <w:szCs w:val="21"/>
              </w:rPr>
            </w:pPr>
            <w:r w:rsidRPr="00847AC0">
              <w:rPr>
                <w:rFonts w:asciiTheme="minorEastAsia" w:hAnsiTheme="minorEastAsia" w:hint="eastAsia"/>
                <w:bCs/>
                <w:color w:val="FF0000"/>
                <w:szCs w:val="21"/>
              </w:rPr>
              <w:t>投资者申购当日未卖出的基金份额在交收成功后方可卖出和赎回。因此为投资者办理申购业务的申购赎回代理机构如发生交收违约，将导致投资者不能及时、足额获得申购当日未卖出的基金份额，投资者的利益可能受到影响。</w:t>
            </w:r>
          </w:p>
        </w:tc>
        <w:tc>
          <w:tcPr>
            <w:tcW w:w="4905" w:type="dxa"/>
          </w:tcPr>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8、投资者申购失败的风险</w:t>
            </w:r>
          </w:p>
          <w:p w:rsidR="00847AC0" w:rsidRPr="00847AC0" w:rsidRDefault="00847AC0" w:rsidP="00211781">
            <w:pPr>
              <w:snapToGrid w:val="0"/>
              <w:jc w:val="left"/>
              <w:rPr>
                <w:rFonts w:asciiTheme="minorEastAsia" w:hAnsiTheme="minorEastAsia"/>
                <w:bCs/>
                <w:szCs w:val="21"/>
              </w:rPr>
            </w:pPr>
            <w:r w:rsidRPr="00847AC0">
              <w:rPr>
                <w:rFonts w:asciiTheme="minorEastAsia" w:hAnsiTheme="minorEastAsia" w:hint="eastAsia"/>
                <w:bCs/>
                <w:szCs w:val="21"/>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tc>
      </w:tr>
    </w:tbl>
    <w:p w:rsidR="000E0F3C" w:rsidRPr="00847AC0" w:rsidRDefault="000E0F3C" w:rsidP="00D757E3">
      <w:pPr>
        <w:spacing w:line="360" w:lineRule="auto"/>
        <w:rPr>
          <w:sz w:val="24"/>
          <w:szCs w:val="24"/>
        </w:rPr>
      </w:pPr>
    </w:p>
    <w:sectPr w:rsidR="000E0F3C" w:rsidRPr="00847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92" w:rsidRDefault="00260092" w:rsidP="002614DD">
      <w:r>
        <w:separator/>
      </w:r>
    </w:p>
  </w:endnote>
  <w:endnote w:type="continuationSeparator" w:id="0">
    <w:p w:rsidR="00260092" w:rsidRDefault="00260092" w:rsidP="0026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92" w:rsidRDefault="00260092" w:rsidP="002614DD">
      <w:r>
        <w:separator/>
      </w:r>
    </w:p>
  </w:footnote>
  <w:footnote w:type="continuationSeparator" w:id="0">
    <w:p w:rsidR="00260092" w:rsidRDefault="00260092" w:rsidP="00261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E3"/>
    <w:rsid w:val="00013DA3"/>
    <w:rsid w:val="00016B7A"/>
    <w:rsid w:val="00037F7A"/>
    <w:rsid w:val="000842C6"/>
    <w:rsid w:val="000E0F3C"/>
    <w:rsid w:val="000F5762"/>
    <w:rsid w:val="001F5912"/>
    <w:rsid w:val="00260092"/>
    <w:rsid w:val="002614DD"/>
    <w:rsid w:val="00264E3C"/>
    <w:rsid w:val="00313BB8"/>
    <w:rsid w:val="0032171A"/>
    <w:rsid w:val="00434B2F"/>
    <w:rsid w:val="00481CBF"/>
    <w:rsid w:val="00497DBB"/>
    <w:rsid w:val="004D4CFF"/>
    <w:rsid w:val="00535E3D"/>
    <w:rsid w:val="00542346"/>
    <w:rsid w:val="00570193"/>
    <w:rsid w:val="00603CCA"/>
    <w:rsid w:val="006251B4"/>
    <w:rsid w:val="00690A75"/>
    <w:rsid w:val="006A26F3"/>
    <w:rsid w:val="006A591C"/>
    <w:rsid w:val="006D448D"/>
    <w:rsid w:val="006E1620"/>
    <w:rsid w:val="006F6A7B"/>
    <w:rsid w:val="00721CC6"/>
    <w:rsid w:val="00840EEB"/>
    <w:rsid w:val="00847AC0"/>
    <w:rsid w:val="00855CE2"/>
    <w:rsid w:val="00915F79"/>
    <w:rsid w:val="009164D7"/>
    <w:rsid w:val="00960BBC"/>
    <w:rsid w:val="009C5BAB"/>
    <w:rsid w:val="00AC11C7"/>
    <w:rsid w:val="00B36721"/>
    <w:rsid w:val="00D20E74"/>
    <w:rsid w:val="00D60518"/>
    <w:rsid w:val="00D67518"/>
    <w:rsid w:val="00D757E3"/>
    <w:rsid w:val="00D86174"/>
    <w:rsid w:val="00D90EEB"/>
    <w:rsid w:val="00DF23C4"/>
    <w:rsid w:val="00EA682A"/>
    <w:rsid w:val="00ED30D0"/>
    <w:rsid w:val="00ED6095"/>
    <w:rsid w:val="00EF5E35"/>
    <w:rsid w:val="00F55266"/>
    <w:rsid w:val="00F705B7"/>
    <w:rsid w:val="00F77093"/>
    <w:rsid w:val="00FD5783"/>
    <w:rsid w:val="00FD7681"/>
    <w:rsid w:val="00FF3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4579D-F36B-4E48-95D5-7AD8548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757E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757E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757E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7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757E3"/>
    <w:rPr>
      <w:b/>
      <w:bCs/>
      <w:kern w:val="44"/>
      <w:sz w:val="44"/>
      <w:szCs w:val="44"/>
    </w:rPr>
  </w:style>
  <w:style w:type="character" w:customStyle="1" w:styleId="2Char">
    <w:name w:val="标题 2 Char"/>
    <w:basedOn w:val="a0"/>
    <w:link w:val="2"/>
    <w:uiPriority w:val="9"/>
    <w:rsid w:val="00D757E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757E3"/>
    <w:rPr>
      <w:b/>
      <w:bCs/>
      <w:sz w:val="32"/>
      <w:szCs w:val="32"/>
    </w:rPr>
  </w:style>
  <w:style w:type="paragraph" w:styleId="a4">
    <w:name w:val="header"/>
    <w:basedOn w:val="a"/>
    <w:link w:val="Char"/>
    <w:uiPriority w:val="99"/>
    <w:unhideWhenUsed/>
    <w:rsid w:val="00261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14DD"/>
    <w:rPr>
      <w:sz w:val="18"/>
      <w:szCs w:val="18"/>
    </w:rPr>
  </w:style>
  <w:style w:type="paragraph" w:styleId="a5">
    <w:name w:val="footer"/>
    <w:basedOn w:val="a"/>
    <w:link w:val="Char0"/>
    <w:uiPriority w:val="99"/>
    <w:unhideWhenUsed/>
    <w:rsid w:val="002614DD"/>
    <w:pPr>
      <w:tabs>
        <w:tab w:val="center" w:pos="4153"/>
        <w:tab w:val="right" w:pos="8306"/>
      </w:tabs>
      <w:snapToGrid w:val="0"/>
      <w:jc w:val="left"/>
    </w:pPr>
    <w:rPr>
      <w:sz w:val="18"/>
      <w:szCs w:val="18"/>
    </w:rPr>
  </w:style>
  <w:style w:type="character" w:customStyle="1" w:styleId="Char0">
    <w:name w:val="页脚 Char"/>
    <w:basedOn w:val="a0"/>
    <w:link w:val="a5"/>
    <w:uiPriority w:val="99"/>
    <w:rsid w:val="002614DD"/>
    <w:rPr>
      <w:sz w:val="18"/>
      <w:szCs w:val="18"/>
    </w:rPr>
  </w:style>
  <w:style w:type="paragraph" w:styleId="a6">
    <w:name w:val="Balloon Text"/>
    <w:basedOn w:val="a"/>
    <w:link w:val="Char1"/>
    <w:uiPriority w:val="99"/>
    <w:semiHidden/>
    <w:unhideWhenUsed/>
    <w:rsid w:val="002614DD"/>
    <w:rPr>
      <w:sz w:val="18"/>
      <w:szCs w:val="18"/>
    </w:rPr>
  </w:style>
  <w:style w:type="character" w:customStyle="1" w:styleId="Char1">
    <w:name w:val="批注框文本 Char"/>
    <w:basedOn w:val="a0"/>
    <w:link w:val="a6"/>
    <w:uiPriority w:val="99"/>
    <w:semiHidden/>
    <w:rsid w:val="002614DD"/>
    <w:rPr>
      <w:sz w:val="18"/>
      <w:szCs w:val="18"/>
    </w:rPr>
  </w:style>
  <w:style w:type="character" w:styleId="a7">
    <w:name w:val="Hyperlink"/>
    <w:basedOn w:val="a0"/>
    <w:uiPriority w:val="99"/>
    <w:unhideWhenUsed/>
    <w:rsid w:val="00DF23C4"/>
    <w:rPr>
      <w:color w:val="0000FF" w:themeColor="hyperlink"/>
      <w:u w:val="single"/>
    </w:rPr>
  </w:style>
  <w:style w:type="paragraph" w:customStyle="1" w:styleId="Default">
    <w:name w:val="Default"/>
    <w:rsid w:val="00264E3C"/>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7239">
      <w:bodyDiv w:val="1"/>
      <w:marLeft w:val="0"/>
      <w:marRight w:val="0"/>
      <w:marTop w:val="0"/>
      <w:marBottom w:val="0"/>
      <w:divBdr>
        <w:top w:val="none" w:sz="0" w:space="0" w:color="auto"/>
        <w:left w:val="none" w:sz="0" w:space="0" w:color="auto"/>
        <w:bottom w:val="none" w:sz="0" w:space="0" w:color="auto"/>
        <w:right w:val="none" w:sz="0" w:space="0" w:color="auto"/>
      </w:divBdr>
      <w:divsChild>
        <w:div w:id="1964146384">
          <w:marLeft w:val="0"/>
          <w:marRight w:val="0"/>
          <w:marTop w:val="0"/>
          <w:marBottom w:val="0"/>
          <w:divBdr>
            <w:top w:val="none" w:sz="0" w:space="0" w:color="auto"/>
            <w:left w:val="none" w:sz="0" w:space="0" w:color="auto"/>
            <w:bottom w:val="none" w:sz="0" w:space="0" w:color="auto"/>
            <w:right w:val="none" w:sz="0" w:space="0" w:color="auto"/>
          </w:divBdr>
          <w:divsChild>
            <w:div w:id="463699640">
              <w:marLeft w:val="0"/>
              <w:marRight w:val="0"/>
              <w:marTop w:val="0"/>
              <w:marBottom w:val="0"/>
              <w:divBdr>
                <w:top w:val="single" w:sz="6" w:space="12" w:color="DDDDDD"/>
                <w:left w:val="single" w:sz="6" w:space="12" w:color="DDDDDD"/>
                <w:bottom w:val="single" w:sz="6" w:space="12" w:color="DDDDDD"/>
                <w:right w:val="single" w:sz="6" w:space="12" w:color="DDDDDD"/>
              </w:divBdr>
              <w:divsChild>
                <w:div w:id="331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7618">
      <w:bodyDiv w:val="1"/>
      <w:marLeft w:val="0"/>
      <w:marRight w:val="0"/>
      <w:marTop w:val="0"/>
      <w:marBottom w:val="0"/>
      <w:divBdr>
        <w:top w:val="none" w:sz="0" w:space="0" w:color="auto"/>
        <w:left w:val="none" w:sz="0" w:space="0" w:color="auto"/>
        <w:bottom w:val="none" w:sz="0" w:space="0" w:color="auto"/>
        <w:right w:val="none" w:sz="0" w:space="0" w:color="auto"/>
      </w:divBdr>
      <w:divsChild>
        <w:div w:id="989092041">
          <w:marLeft w:val="0"/>
          <w:marRight w:val="0"/>
          <w:marTop w:val="0"/>
          <w:marBottom w:val="0"/>
          <w:divBdr>
            <w:top w:val="none" w:sz="0" w:space="0" w:color="auto"/>
            <w:left w:val="none" w:sz="0" w:space="0" w:color="auto"/>
            <w:bottom w:val="none" w:sz="0" w:space="0" w:color="auto"/>
            <w:right w:val="none" w:sz="0" w:space="0" w:color="auto"/>
          </w:divBdr>
          <w:divsChild>
            <w:div w:id="1235046113">
              <w:marLeft w:val="0"/>
              <w:marRight w:val="0"/>
              <w:marTop w:val="0"/>
              <w:marBottom w:val="0"/>
              <w:divBdr>
                <w:top w:val="single" w:sz="6" w:space="12" w:color="DDDDDD"/>
                <w:left w:val="single" w:sz="6" w:space="12" w:color="DDDDDD"/>
                <w:bottom w:val="single" w:sz="6" w:space="12" w:color="DDDDDD"/>
                <w:right w:val="single" w:sz="6" w:space="12" w:color="DDDDDD"/>
              </w:divBdr>
              <w:divsChild>
                <w:div w:id="18716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1394</Words>
  <Characters>7952</Characters>
  <Application>Microsoft Office Word</Application>
  <DocSecurity>0</DocSecurity>
  <Lines>66</Lines>
  <Paragraphs>18</Paragraphs>
  <ScaleCrop>false</ScaleCrop>
  <Company>Microsoft</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刘翠碧</dc:creator>
  <cp:lastModifiedBy>Wei.Ni Na(魏妮娜)</cp:lastModifiedBy>
  <cp:revision>8</cp:revision>
  <dcterms:created xsi:type="dcterms:W3CDTF">2020-01-14T07:24:00Z</dcterms:created>
  <dcterms:modified xsi:type="dcterms:W3CDTF">2020-01-14T10:25:00Z</dcterms:modified>
</cp:coreProperties>
</file>