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17" w:rsidRPr="00960F82" w:rsidRDefault="00084917" w:rsidP="00084917">
      <w:pPr>
        <w:snapToGrid w:val="0"/>
        <w:spacing w:line="360" w:lineRule="auto"/>
        <w:ind w:firstLine="881"/>
        <w:jc w:val="center"/>
        <w:rPr>
          <w:rFonts w:asciiTheme="minorEastAsia" w:eastAsiaTheme="minorEastAsia" w:hAnsiTheme="minorEastAsia"/>
          <w:b/>
          <w:sz w:val="44"/>
        </w:rPr>
      </w:pPr>
    </w:p>
    <w:p w:rsidR="00084917" w:rsidRPr="00960F82" w:rsidRDefault="00084917" w:rsidP="00084917">
      <w:pPr>
        <w:snapToGrid w:val="0"/>
        <w:spacing w:line="360" w:lineRule="auto"/>
        <w:ind w:firstLine="881"/>
        <w:jc w:val="center"/>
        <w:rPr>
          <w:rFonts w:asciiTheme="minorEastAsia" w:eastAsiaTheme="minorEastAsia" w:hAnsiTheme="minorEastAsia"/>
          <w:b/>
          <w:sz w:val="44"/>
        </w:rPr>
      </w:pPr>
    </w:p>
    <w:p w:rsidR="00084917" w:rsidRPr="00960F82" w:rsidRDefault="00084917" w:rsidP="00084917">
      <w:pPr>
        <w:snapToGrid w:val="0"/>
        <w:spacing w:line="360" w:lineRule="auto"/>
        <w:ind w:firstLine="881"/>
        <w:jc w:val="center"/>
        <w:rPr>
          <w:rFonts w:asciiTheme="minorEastAsia" w:eastAsiaTheme="minorEastAsia" w:hAnsiTheme="minorEastAsia"/>
          <w:b/>
          <w:sz w:val="44"/>
        </w:rPr>
      </w:pPr>
    </w:p>
    <w:p w:rsidR="00084917" w:rsidRPr="00960F82" w:rsidRDefault="00084917" w:rsidP="00084917">
      <w:pPr>
        <w:snapToGrid w:val="0"/>
        <w:spacing w:line="360" w:lineRule="auto"/>
        <w:ind w:firstLine="881"/>
        <w:jc w:val="center"/>
        <w:rPr>
          <w:rFonts w:asciiTheme="minorEastAsia" w:eastAsiaTheme="minorEastAsia" w:hAnsiTheme="minorEastAsia"/>
          <w:b/>
          <w:sz w:val="44"/>
        </w:rPr>
      </w:pPr>
    </w:p>
    <w:p w:rsidR="001D2E2F" w:rsidRPr="00960F82" w:rsidRDefault="001D2E2F" w:rsidP="00084917">
      <w:pPr>
        <w:snapToGrid w:val="0"/>
        <w:spacing w:line="360" w:lineRule="auto"/>
        <w:ind w:firstLine="881"/>
        <w:jc w:val="center"/>
        <w:rPr>
          <w:rFonts w:asciiTheme="minorEastAsia" w:eastAsiaTheme="minorEastAsia" w:hAnsiTheme="minorEastAsia"/>
          <w:b/>
          <w:sz w:val="44"/>
        </w:rPr>
      </w:pPr>
      <w:r w:rsidRPr="00960F82">
        <w:rPr>
          <w:rFonts w:asciiTheme="minorEastAsia" w:eastAsiaTheme="minorEastAsia" w:hAnsiTheme="minorEastAsia" w:hint="eastAsia"/>
          <w:b/>
          <w:sz w:val="44"/>
        </w:rPr>
        <w:t>易方达积极成长证券投资基金</w:t>
      </w:r>
    </w:p>
    <w:p w:rsidR="001D2E2F" w:rsidRPr="00960F82" w:rsidRDefault="001D2E2F" w:rsidP="00084917">
      <w:pPr>
        <w:snapToGrid w:val="0"/>
        <w:spacing w:line="360" w:lineRule="auto"/>
        <w:ind w:firstLine="881"/>
        <w:jc w:val="center"/>
        <w:rPr>
          <w:rFonts w:asciiTheme="minorEastAsia" w:eastAsiaTheme="minorEastAsia" w:hAnsiTheme="minorEastAsia"/>
          <w:b/>
          <w:sz w:val="44"/>
        </w:rPr>
      </w:pPr>
      <w:r w:rsidRPr="00960F82">
        <w:rPr>
          <w:rFonts w:asciiTheme="minorEastAsia" w:eastAsiaTheme="minorEastAsia" w:hAnsiTheme="minorEastAsia" w:hint="eastAsia"/>
          <w:b/>
          <w:bCs/>
          <w:sz w:val="44"/>
        </w:rPr>
        <w:t>更新的招募说明书</w:t>
      </w:r>
    </w:p>
    <w:p w:rsidR="001D2E2F" w:rsidRPr="00960F82" w:rsidRDefault="001D2E2F" w:rsidP="00084917">
      <w:pPr>
        <w:snapToGrid w:val="0"/>
        <w:spacing w:line="360" w:lineRule="auto"/>
        <w:ind w:firstLine="600"/>
        <w:jc w:val="center"/>
        <w:rPr>
          <w:rFonts w:asciiTheme="minorEastAsia" w:eastAsiaTheme="minorEastAsia" w:hAnsiTheme="minorEastAsia"/>
          <w:sz w:val="24"/>
        </w:rPr>
      </w:pPr>
    </w:p>
    <w:p w:rsidR="001D2E2F" w:rsidRPr="00960F82" w:rsidRDefault="001D2E2F" w:rsidP="00084917">
      <w:pPr>
        <w:snapToGrid w:val="0"/>
        <w:spacing w:line="360" w:lineRule="auto"/>
        <w:ind w:leftChars="800" w:left="1680"/>
        <w:rPr>
          <w:rFonts w:asciiTheme="minorEastAsia" w:eastAsiaTheme="minorEastAsia" w:hAnsiTheme="minorEastAsia"/>
          <w:sz w:val="30"/>
          <w:szCs w:val="30"/>
        </w:rPr>
      </w:pPr>
    </w:p>
    <w:p w:rsidR="001D2E2F" w:rsidRPr="00960F82" w:rsidRDefault="001D2E2F" w:rsidP="00084917">
      <w:pPr>
        <w:snapToGrid w:val="0"/>
        <w:spacing w:line="360" w:lineRule="auto"/>
        <w:ind w:leftChars="800" w:left="1680"/>
        <w:rPr>
          <w:rFonts w:asciiTheme="minorEastAsia" w:eastAsiaTheme="minorEastAsia" w:hAnsiTheme="minorEastAsia"/>
          <w:sz w:val="30"/>
          <w:szCs w:val="30"/>
        </w:rPr>
      </w:pPr>
    </w:p>
    <w:p w:rsidR="00084917" w:rsidRPr="00960F82" w:rsidRDefault="00084917" w:rsidP="00084917">
      <w:pPr>
        <w:snapToGrid w:val="0"/>
        <w:spacing w:line="360" w:lineRule="auto"/>
        <w:ind w:leftChars="800" w:left="1680"/>
        <w:rPr>
          <w:rFonts w:asciiTheme="minorEastAsia" w:eastAsiaTheme="minorEastAsia" w:hAnsiTheme="minorEastAsia"/>
          <w:sz w:val="30"/>
          <w:szCs w:val="30"/>
        </w:rPr>
      </w:pPr>
    </w:p>
    <w:p w:rsidR="00084917" w:rsidRPr="00960F82" w:rsidRDefault="00084917" w:rsidP="00084917">
      <w:pPr>
        <w:snapToGrid w:val="0"/>
        <w:spacing w:line="360" w:lineRule="auto"/>
        <w:ind w:leftChars="800" w:left="1680"/>
        <w:rPr>
          <w:rFonts w:asciiTheme="minorEastAsia" w:eastAsiaTheme="minorEastAsia" w:hAnsiTheme="minorEastAsia"/>
          <w:sz w:val="30"/>
          <w:szCs w:val="30"/>
        </w:rPr>
      </w:pPr>
    </w:p>
    <w:p w:rsidR="001D2E2F" w:rsidRPr="00960F82" w:rsidRDefault="001D2E2F" w:rsidP="00084917">
      <w:pPr>
        <w:snapToGrid w:val="0"/>
        <w:spacing w:line="360" w:lineRule="auto"/>
        <w:ind w:leftChars="800" w:left="1680"/>
        <w:rPr>
          <w:rFonts w:asciiTheme="minorEastAsia" w:eastAsiaTheme="minorEastAsia" w:hAnsiTheme="minorEastAsia"/>
          <w:sz w:val="30"/>
          <w:szCs w:val="30"/>
        </w:rPr>
      </w:pPr>
    </w:p>
    <w:p w:rsidR="001D2E2F" w:rsidRPr="00960F82" w:rsidRDefault="001D2E2F" w:rsidP="00084917">
      <w:pPr>
        <w:snapToGrid w:val="0"/>
        <w:spacing w:line="360" w:lineRule="auto"/>
        <w:ind w:leftChars="800" w:left="1680"/>
        <w:rPr>
          <w:rFonts w:asciiTheme="minorEastAsia" w:eastAsiaTheme="minorEastAsia" w:hAnsiTheme="minorEastAsia"/>
          <w:sz w:val="30"/>
          <w:szCs w:val="30"/>
        </w:rPr>
      </w:pPr>
    </w:p>
    <w:p w:rsidR="00084917" w:rsidRPr="00960F82" w:rsidRDefault="00084917" w:rsidP="00084917">
      <w:pPr>
        <w:snapToGrid w:val="0"/>
        <w:spacing w:line="360" w:lineRule="auto"/>
        <w:ind w:leftChars="800" w:left="1680"/>
        <w:rPr>
          <w:rFonts w:asciiTheme="minorEastAsia" w:eastAsiaTheme="minorEastAsia" w:hAnsiTheme="minorEastAsia"/>
          <w:sz w:val="30"/>
          <w:szCs w:val="30"/>
        </w:rPr>
      </w:pPr>
    </w:p>
    <w:p w:rsidR="001D2E2F" w:rsidRPr="00960F82" w:rsidRDefault="001D2E2F" w:rsidP="00084917">
      <w:pPr>
        <w:snapToGrid w:val="0"/>
        <w:spacing w:line="360" w:lineRule="auto"/>
        <w:ind w:leftChars="800" w:left="1680"/>
        <w:rPr>
          <w:rFonts w:asciiTheme="minorEastAsia" w:eastAsiaTheme="minorEastAsia" w:hAnsiTheme="minorEastAsia"/>
          <w:sz w:val="30"/>
          <w:szCs w:val="30"/>
        </w:rPr>
      </w:pPr>
    </w:p>
    <w:p w:rsidR="001D2E2F" w:rsidRPr="00960F82" w:rsidRDefault="001D2E2F" w:rsidP="00084917">
      <w:pPr>
        <w:snapToGrid w:val="0"/>
        <w:spacing w:line="360" w:lineRule="auto"/>
        <w:jc w:val="center"/>
        <w:rPr>
          <w:rFonts w:asciiTheme="minorEastAsia" w:eastAsiaTheme="minorEastAsia" w:hAnsiTheme="minorEastAsia"/>
          <w:sz w:val="30"/>
          <w:szCs w:val="30"/>
        </w:rPr>
      </w:pPr>
      <w:r w:rsidRPr="00960F82">
        <w:rPr>
          <w:rFonts w:asciiTheme="minorEastAsia" w:eastAsiaTheme="minorEastAsia" w:hAnsiTheme="minorEastAsia" w:hint="eastAsia"/>
          <w:sz w:val="30"/>
          <w:szCs w:val="30"/>
        </w:rPr>
        <w:t>基金管理人：易方达基金管理有限公司</w:t>
      </w:r>
    </w:p>
    <w:p w:rsidR="001D2E2F" w:rsidRPr="00960F82" w:rsidRDefault="001D2E2F" w:rsidP="00084917">
      <w:pPr>
        <w:snapToGrid w:val="0"/>
        <w:spacing w:line="360" w:lineRule="auto"/>
        <w:jc w:val="center"/>
        <w:rPr>
          <w:rFonts w:asciiTheme="minorEastAsia" w:eastAsiaTheme="minorEastAsia" w:hAnsiTheme="minorEastAsia"/>
          <w:sz w:val="30"/>
          <w:szCs w:val="30"/>
        </w:rPr>
      </w:pPr>
      <w:r w:rsidRPr="00960F82">
        <w:rPr>
          <w:rFonts w:asciiTheme="minorEastAsia" w:eastAsiaTheme="minorEastAsia" w:hAnsiTheme="minorEastAsia" w:hint="eastAsia"/>
          <w:sz w:val="30"/>
          <w:szCs w:val="30"/>
        </w:rPr>
        <w:t>基金托管人：中国银行股份有限公司</w:t>
      </w:r>
    </w:p>
    <w:p w:rsidR="00BB0801" w:rsidRPr="00960F82" w:rsidRDefault="00BB0801" w:rsidP="00084917">
      <w:pPr>
        <w:snapToGrid w:val="0"/>
        <w:spacing w:line="360" w:lineRule="auto"/>
        <w:ind w:leftChars="800" w:left="1680"/>
        <w:jc w:val="center"/>
        <w:rPr>
          <w:rFonts w:asciiTheme="minorEastAsia" w:eastAsiaTheme="minorEastAsia" w:hAnsiTheme="minorEastAsia"/>
          <w:sz w:val="30"/>
          <w:szCs w:val="30"/>
        </w:rPr>
      </w:pPr>
    </w:p>
    <w:p w:rsidR="00083CDE" w:rsidRPr="00960F82" w:rsidRDefault="00083CDE" w:rsidP="002F25CF">
      <w:pPr>
        <w:snapToGrid w:val="0"/>
        <w:spacing w:line="360" w:lineRule="auto"/>
        <w:ind w:firstLine="561"/>
        <w:jc w:val="center"/>
        <w:rPr>
          <w:rFonts w:asciiTheme="minorEastAsia" w:eastAsiaTheme="minorEastAsia" w:hAnsiTheme="minorEastAsia"/>
          <w:b/>
          <w:bCs/>
          <w:sz w:val="30"/>
          <w:szCs w:val="30"/>
        </w:rPr>
      </w:pPr>
      <w:r w:rsidRPr="00960F82">
        <w:rPr>
          <w:rFonts w:asciiTheme="minorEastAsia" w:eastAsiaTheme="minorEastAsia" w:hAnsiTheme="minorEastAsia" w:hint="eastAsia"/>
          <w:b/>
          <w:bCs/>
          <w:sz w:val="30"/>
          <w:szCs w:val="30"/>
        </w:rPr>
        <w:t>二○二○年一月</w:t>
      </w:r>
    </w:p>
    <w:p w:rsidR="001D2E2F" w:rsidRPr="00960F82" w:rsidRDefault="001D2E2F" w:rsidP="002F25CF">
      <w:pPr>
        <w:snapToGrid w:val="0"/>
        <w:spacing w:line="360" w:lineRule="auto"/>
        <w:ind w:firstLine="561"/>
        <w:jc w:val="center"/>
        <w:rPr>
          <w:rFonts w:asciiTheme="minorEastAsia" w:eastAsiaTheme="minorEastAsia" w:hAnsiTheme="minorEastAsia"/>
          <w:b/>
          <w:sz w:val="24"/>
        </w:rPr>
        <w:sectPr w:rsidR="001D2E2F" w:rsidRPr="00960F82" w:rsidSect="00796CD9">
          <w:headerReference w:type="even" r:id="rId9"/>
          <w:headerReference w:type="default" r:id="rId10"/>
          <w:footerReference w:type="even" r:id="rId11"/>
          <w:footerReference w:type="default" r:id="rId12"/>
          <w:headerReference w:type="first" r:id="rId13"/>
          <w:footerReference w:type="first" r:id="rId14"/>
          <w:pgSz w:w="11906" w:h="16838" w:code="9"/>
          <w:pgMar w:top="1701" w:right="1814" w:bottom="1701" w:left="1814" w:header="1134" w:footer="1247" w:gutter="0"/>
          <w:pgNumType w:fmt="upperRoman" w:start="1"/>
          <w:cols w:space="425"/>
          <w:titlePg/>
          <w:docGrid w:type="lines" w:linePitch="447"/>
        </w:sectPr>
      </w:pPr>
    </w:p>
    <w:p w:rsidR="001D2E2F" w:rsidRPr="00960F82" w:rsidRDefault="001D2E2F" w:rsidP="00084917">
      <w:pPr>
        <w:snapToGrid w:val="0"/>
        <w:spacing w:line="360" w:lineRule="auto"/>
        <w:jc w:val="center"/>
        <w:rPr>
          <w:rFonts w:asciiTheme="minorEastAsia" w:eastAsiaTheme="minorEastAsia" w:hAnsiTheme="minorEastAsia"/>
          <w:b/>
          <w:sz w:val="28"/>
          <w:szCs w:val="28"/>
        </w:rPr>
      </w:pPr>
      <w:r w:rsidRPr="00960F82">
        <w:rPr>
          <w:rFonts w:asciiTheme="minorEastAsia" w:eastAsiaTheme="minorEastAsia" w:hAnsiTheme="minorEastAsia" w:hint="eastAsia"/>
          <w:b/>
          <w:sz w:val="28"/>
          <w:szCs w:val="28"/>
        </w:rPr>
        <w:lastRenderedPageBreak/>
        <w:t>重要提示</w:t>
      </w:r>
    </w:p>
    <w:p w:rsidR="001D2E2F" w:rsidRPr="00960F82" w:rsidRDefault="001D2E2F" w:rsidP="00084917">
      <w:pPr>
        <w:snapToGrid w:val="0"/>
        <w:spacing w:line="360" w:lineRule="auto"/>
        <w:ind w:firstLineChars="200" w:firstLine="422"/>
        <w:rPr>
          <w:rFonts w:asciiTheme="minorEastAsia" w:eastAsiaTheme="minorEastAsia" w:hAnsiTheme="minorEastAsia"/>
          <w:b/>
          <w:bCs/>
          <w:szCs w:val="21"/>
        </w:rPr>
      </w:pPr>
      <w:r w:rsidRPr="00960F82">
        <w:rPr>
          <w:rFonts w:asciiTheme="minorEastAsia" w:eastAsiaTheme="minorEastAsia" w:hAnsiTheme="minorEastAsia"/>
          <w:b/>
          <w:szCs w:val="21"/>
        </w:rPr>
        <w:t>本基金经中国证监会</w:t>
      </w:r>
      <w:r w:rsidRPr="00960F82">
        <w:rPr>
          <w:rFonts w:asciiTheme="minorEastAsia" w:eastAsiaTheme="minorEastAsia" w:hAnsiTheme="minorEastAsia" w:hint="eastAsia"/>
          <w:b/>
          <w:szCs w:val="21"/>
        </w:rPr>
        <w:t>2004</w:t>
      </w:r>
      <w:r w:rsidRPr="00960F82">
        <w:rPr>
          <w:rFonts w:asciiTheme="minorEastAsia" w:eastAsiaTheme="minorEastAsia" w:hAnsiTheme="minorEastAsia"/>
          <w:b/>
          <w:szCs w:val="21"/>
        </w:rPr>
        <w:t>年</w:t>
      </w:r>
      <w:r w:rsidRPr="00960F82">
        <w:rPr>
          <w:rFonts w:asciiTheme="minorEastAsia" w:eastAsiaTheme="minorEastAsia" w:hAnsiTheme="minorEastAsia" w:hint="eastAsia"/>
          <w:b/>
          <w:szCs w:val="21"/>
        </w:rPr>
        <w:t>6</w:t>
      </w:r>
      <w:r w:rsidRPr="00960F82">
        <w:rPr>
          <w:rFonts w:asciiTheme="minorEastAsia" w:eastAsiaTheme="minorEastAsia" w:hAnsiTheme="minorEastAsia"/>
          <w:b/>
          <w:szCs w:val="21"/>
        </w:rPr>
        <w:t>月</w:t>
      </w:r>
      <w:r w:rsidRPr="00960F82">
        <w:rPr>
          <w:rFonts w:asciiTheme="minorEastAsia" w:eastAsiaTheme="minorEastAsia" w:hAnsiTheme="minorEastAsia" w:hint="eastAsia"/>
          <w:b/>
          <w:szCs w:val="21"/>
        </w:rPr>
        <w:t>8</w:t>
      </w:r>
      <w:r w:rsidRPr="00960F82">
        <w:rPr>
          <w:rFonts w:asciiTheme="minorEastAsia" w:eastAsiaTheme="minorEastAsia" w:hAnsiTheme="minorEastAsia"/>
          <w:b/>
          <w:szCs w:val="21"/>
        </w:rPr>
        <w:t>日证监基金字</w:t>
      </w:r>
      <w:r w:rsidRPr="00960F82">
        <w:rPr>
          <w:rFonts w:asciiTheme="minorEastAsia" w:eastAsiaTheme="minorEastAsia" w:hAnsiTheme="minorEastAsia" w:hint="eastAsia"/>
          <w:b/>
          <w:bCs/>
          <w:szCs w:val="21"/>
        </w:rPr>
        <w:t>[2004]77号文</w:t>
      </w:r>
      <w:r w:rsidRPr="00960F82">
        <w:rPr>
          <w:rFonts w:asciiTheme="minorEastAsia" w:eastAsiaTheme="minorEastAsia" w:hAnsiTheme="minorEastAsia"/>
          <w:b/>
          <w:szCs w:val="21"/>
        </w:rPr>
        <w:t>件批准</w:t>
      </w:r>
      <w:r w:rsidRPr="00960F82">
        <w:rPr>
          <w:rFonts w:asciiTheme="minorEastAsia" w:eastAsiaTheme="minorEastAsia" w:hAnsiTheme="minorEastAsia" w:hint="eastAsia"/>
          <w:b/>
          <w:bCs/>
          <w:szCs w:val="21"/>
        </w:rPr>
        <w:t>募集</w:t>
      </w:r>
      <w:r w:rsidRPr="00960F82">
        <w:rPr>
          <w:rFonts w:asciiTheme="minorEastAsia" w:eastAsiaTheme="minorEastAsia" w:hAnsiTheme="minorEastAsia"/>
          <w:b/>
          <w:bCs/>
          <w:szCs w:val="21"/>
        </w:rPr>
        <w:t>。</w:t>
      </w:r>
      <w:r w:rsidRPr="00960F82">
        <w:rPr>
          <w:rFonts w:asciiTheme="minorEastAsia" w:eastAsiaTheme="minorEastAsia" w:hAnsiTheme="minorEastAsia" w:hint="eastAsia"/>
          <w:b/>
          <w:bCs/>
          <w:szCs w:val="21"/>
        </w:rPr>
        <w:t>本基金的基金合同于2004年9月9日正式生效。本基金类型为契约型开放式。</w:t>
      </w:r>
    </w:p>
    <w:p w:rsidR="001D2E2F" w:rsidRPr="00960F82" w:rsidRDefault="001D2E2F" w:rsidP="00084917">
      <w:pPr>
        <w:snapToGrid w:val="0"/>
        <w:spacing w:line="360" w:lineRule="auto"/>
        <w:ind w:firstLineChars="200" w:firstLine="422"/>
        <w:rPr>
          <w:rFonts w:asciiTheme="minorEastAsia" w:eastAsiaTheme="minorEastAsia" w:hAnsiTheme="minorEastAsia"/>
          <w:b/>
          <w:szCs w:val="21"/>
        </w:rPr>
      </w:pPr>
      <w:r w:rsidRPr="00960F82">
        <w:rPr>
          <w:rFonts w:asciiTheme="minorEastAsia" w:eastAsiaTheme="minorEastAsia" w:hAnsiTheme="minorEastAsia"/>
          <w:b/>
          <w:szCs w:val="21"/>
        </w:rPr>
        <w:t>基金管理人保证本招募说明书的内容真实、准确、完整。本招募说明书经中国证监会核准</w:t>
      </w:r>
      <w:r w:rsidR="008D32BF" w:rsidRPr="00960F82">
        <w:rPr>
          <w:rFonts w:asciiTheme="minorEastAsia" w:eastAsiaTheme="minorEastAsia" w:hAnsiTheme="minorEastAsia" w:hint="eastAsia"/>
          <w:b/>
          <w:szCs w:val="21"/>
        </w:rPr>
        <w:t>，</w:t>
      </w:r>
      <w:r w:rsidRPr="00960F82">
        <w:rPr>
          <w:rFonts w:asciiTheme="minorEastAsia" w:eastAsiaTheme="minorEastAsia" w:hAnsiTheme="minorEastAsia"/>
          <w:b/>
          <w:szCs w:val="21"/>
        </w:rPr>
        <w:t>但中国证监会对本基金募集的核准</w:t>
      </w:r>
      <w:r w:rsidRPr="00960F82">
        <w:rPr>
          <w:rFonts w:asciiTheme="minorEastAsia" w:eastAsiaTheme="minorEastAsia" w:hAnsiTheme="minorEastAsia" w:hint="eastAsia"/>
          <w:b/>
          <w:szCs w:val="21"/>
        </w:rPr>
        <w:t>，</w:t>
      </w:r>
      <w:r w:rsidRPr="00960F82">
        <w:rPr>
          <w:rFonts w:asciiTheme="minorEastAsia" w:eastAsiaTheme="minorEastAsia" w:hAnsiTheme="minorEastAsia"/>
          <w:b/>
          <w:szCs w:val="21"/>
        </w:rPr>
        <w:t>并不表明其对本基金的价值和收益</w:t>
      </w:r>
      <w:r w:rsidRPr="00960F82">
        <w:rPr>
          <w:rFonts w:asciiTheme="minorEastAsia" w:eastAsiaTheme="minorEastAsia" w:hAnsiTheme="minorEastAsia" w:hint="eastAsia"/>
          <w:b/>
          <w:szCs w:val="21"/>
        </w:rPr>
        <w:t>作</w:t>
      </w:r>
      <w:r w:rsidRPr="00960F82">
        <w:rPr>
          <w:rFonts w:asciiTheme="minorEastAsia" w:eastAsiaTheme="minorEastAsia" w:hAnsiTheme="minorEastAsia"/>
          <w:b/>
          <w:szCs w:val="21"/>
        </w:rPr>
        <w:t>出实质性判断或保证</w:t>
      </w:r>
      <w:r w:rsidRPr="00960F82">
        <w:rPr>
          <w:rFonts w:asciiTheme="minorEastAsia" w:eastAsiaTheme="minorEastAsia" w:hAnsiTheme="minorEastAsia" w:hint="eastAsia"/>
          <w:b/>
          <w:szCs w:val="21"/>
        </w:rPr>
        <w:t>，</w:t>
      </w:r>
      <w:r w:rsidRPr="00960F82">
        <w:rPr>
          <w:rFonts w:asciiTheme="minorEastAsia" w:eastAsiaTheme="minorEastAsia" w:hAnsiTheme="minorEastAsia"/>
          <w:b/>
          <w:szCs w:val="21"/>
        </w:rPr>
        <w:t>也不表明投资于本基金没有风险。</w:t>
      </w:r>
    </w:p>
    <w:p w:rsidR="001D2E2F" w:rsidRPr="00960F82" w:rsidRDefault="000F28B9" w:rsidP="00084917">
      <w:pPr>
        <w:snapToGrid w:val="0"/>
        <w:spacing w:line="360" w:lineRule="auto"/>
        <w:ind w:firstLineChars="200" w:firstLine="422"/>
        <w:rPr>
          <w:rFonts w:asciiTheme="minorEastAsia" w:eastAsiaTheme="minorEastAsia" w:hAnsiTheme="minorEastAsia"/>
          <w:b/>
          <w:szCs w:val="21"/>
        </w:rPr>
      </w:pPr>
      <w:r w:rsidRPr="003E1F0F">
        <w:rPr>
          <w:rFonts w:asciiTheme="minorEastAsia" w:eastAsiaTheme="minorEastAsia" w:hAnsiTheme="minorEastAsia"/>
          <w:b/>
          <w:szCs w:val="21"/>
        </w:rPr>
        <w:t>投资有风险</w:t>
      </w:r>
      <w:r w:rsidRPr="003E1F0F">
        <w:rPr>
          <w:rFonts w:asciiTheme="minorEastAsia" w:eastAsiaTheme="minorEastAsia" w:hAnsiTheme="minorEastAsia" w:hint="eastAsia"/>
          <w:b/>
          <w:szCs w:val="21"/>
        </w:rPr>
        <w:t>，</w:t>
      </w:r>
      <w:r w:rsidRPr="003E1F0F">
        <w:rPr>
          <w:rFonts w:asciiTheme="minorEastAsia" w:eastAsiaTheme="minorEastAsia" w:hAnsiTheme="minorEastAsia"/>
          <w:b/>
          <w:szCs w:val="21"/>
        </w:rPr>
        <w:t>投资者申购基金时应认真阅读本</w:t>
      </w:r>
      <w:r w:rsidRPr="00EF2941">
        <w:rPr>
          <w:rFonts w:asciiTheme="minorEastAsia" w:eastAsiaTheme="minorEastAsia" w:hAnsiTheme="minorEastAsia" w:hint="eastAsia"/>
          <w:b/>
          <w:szCs w:val="21"/>
        </w:rPr>
        <w:t>招募说明书、基金合同和基金产品资料概要等信息披露文件</w:t>
      </w:r>
      <w:r w:rsidRPr="003E1F0F">
        <w:rPr>
          <w:rFonts w:asciiTheme="minorEastAsia" w:eastAsiaTheme="minorEastAsia" w:hAnsiTheme="minorEastAsia"/>
          <w:b/>
          <w:szCs w:val="21"/>
        </w:rPr>
        <w:t>。</w:t>
      </w:r>
    </w:p>
    <w:p w:rsidR="001D2E2F" w:rsidRPr="00960F82" w:rsidRDefault="001D2E2F" w:rsidP="00084917">
      <w:pPr>
        <w:snapToGrid w:val="0"/>
        <w:spacing w:line="360" w:lineRule="auto"/>
        <w:ind w:firstLineChars="200" w:firstLine="422"/>
        <w:rPr>
          <w:rFonts w:asciiTheme="minorEastAsia" w:eastAsiaTheme="minorEastAsia" w:hAnsiTheme="minorEastAsia"/>
          <w:b/>
          <w:szCs w:val="21"/>
        </w:rPr>
      </w:pPr>
      <w:r w:rsidRPr="00960F82">
        <w:rPr>
          <w:rFonts w:asciiTheme="minorEastAsia" w:eastAsiaTheme="minorEastAsia" w:hAnsiTheme="minorEastAsia"/>
          <w:b/>
          <w:szCs w:val="21"/>
        </w:rPr>
        <w:t>基金的过往业绩并不预示其未来表现。</w:t>
      </w:r>
    </w:p>
    <w:p w:rsidR="001D2E2F" w:rsidRPr="00960F82" w:rsidRDefault="001D2E2F" w:rsidP="00084917">
      <w:pPr>
        <w:snapToGrid w:val="0"/>
        <w:spacing w:line="360" w:lineRule="auto"/>
        <w:ind w:firstLineChars="200" w:firstLine="422"/>
        <w:rPr>
          <w:rFonts w:asciiTheme="minorEastAsia" w:eastAsiaTheme="minorEastAsia" w:hAnsiTheme="minorEastAsia"/>
          <w:b/>
          <w:szCs w:val="21"/>
        </w:rPr>
      </w:pPr>
      <w:r w:rsidRPr="00960F82">
        <w:rPr>
          <w:rFonts w:asciiTheme="minorEastAsia" w:eastAsiaTheme="minorEastAsia" w:hAnsiTheme="minorEastAsia"/>
          <w:b/>
          <w:szCs w:val="21"/>
        </w:rPr>
        <w:t>基金管理人依照恪尽职守、诚实信用、谨慎勤勉的原则管理和运用基金</w:t>
      </w:r>
      <w:r w:rsidRPr="00960F82">
        <w:rPr>
          <w:rFonts w:asciiTheme="minorEastAsia" w:eastAsiaTheme="minorEastAsia" w:hAnsiTheme="minorEastAsia" w:hint="eastAsia"/>
          <w:b/>
          <w:szCs w:val="21"/>
        </w:rPr>
        <w:t>财产，</w:t>
      </w:r>
      <w:r w:rsidRPr="00960F82">
        <w:rPr>
          <w:rFonts w:asciiTheme="minorEastAsia" w:eastAsiaTheme="minorEastAsia" w:hAnsiTheme="minorEastAsia"/>
          <w:b/>
          <w:szCs w:val="21"/>
        </w:rPr>
        <w:t>但不保证基金一定盈利</w:t>
      </w:r>
      <w:r w:rsidR="003F5C66" w:rsidRPr="00960F82">
        <w:rPr>
          <w:rFonts w:asciiTheme="minorEastAsia" w:eastAsiaTheme="minorEastAsia" w:hAnsiTheme="minorEastAsia" w:hint="eastAsia"/>
          <w:b/>
          <w:szCs w:val="21"/>
        </w:rPr>
        <w:t>，</w:t>
      </w:r>
      <w:r w:rsidRPr="00960F82">
        <w:rPr>
          <w:rFonts w:asciiTheme="minorEastAsia" w:eastAsiaTheme="minorEastAsia" w:hAnsiTheme="minorEastAsia"/>
          <w:b/>
          <w:szCs w:val="21"/>
        </w:rPr>
        <w:t>也不保证最低收益。</w:t>
      </w:r>
    </w:p>
    <w:p w:rsidR="00F50CA5" w:rsidRPr="00960F82" w:rsidRDefault="00F50CA5" w:rsidP="00084917">
      <w:pPr>
        <w:snapToGrid w:val="0"/>
        <w:spacing w:line="360" w:lineRule="auto"/>
        <w:ind w:firstLineChars="200" w:firstLine="422"/>
        <w:rPr>
          <w:rFonts w:asciiTheme="minorEastAsia" w:eastAsiaTheme="minorEastAsia" w:hAnsiTheme="minorEastAsia"/>
          <w:b/>
          <w:szCs w:val="21"/>
        </w:rPr>
      </w:pPr>
      <w:r w:rsidRPr="00960F82">
        <w:rPr>
          <w:rFonts w:asciiTheme="minorEastAsia" w:eastAsiaTheme="minorEastAsia" w:hAnsiTheme="minorEastAsia" w:hint="eastAsia"/>
          <w:b/>
          <w:bCs/>
        </w:rPr>
        <w:t>基金合同约定的基金产品资料概要编制、披露与更新要求，自《信息披露办法》实施之日起一年后开始执行。</w:t>
      </w:r>
    </w:p>
    <w:p w:rsidR="001D2E2F" w:rsidRPr="00960F82" w:rsidRDefault="00991ECF" w:rsidP="00084917">
      <w:pPr>
        <w:snapToGrid w:val="0"/>
        <w:spacing w:line="360" w:lineRule="auto"/>
        <w:ind w:firstLineChars="200" w:firstLine="422"/>
        <w:rPr>
          <w:rFonts w:asciiTheme="minorEastAsia" w:eastAsiaTheme="minorEastAsia" w:hAnsiTheme="minorEastAsia"/>
          <w:b/>
          <w:szCs w:val="21"/>
        </w:rPr>
        <w:sectPr w:rsidR="001D2E2F" w:rsidRPr="00960F82" w:rsidSect="00D937F5">
          <w:footerReference w:type="default" r:id="rId15"/>
          <w:pgSz w:w="11906" w:h="16838" w:code="9"/>
          <w:pgMar w:top="1701" w:right="1814" w:bottom="1701" w:left="1814" w:header="1134" w:footer="1247" w:gutter="0"/>
          <w:pgNumType w:fmt="upperRoman" w:start="1"/>
          <w:cols w:space="425"/>
          <w:docGrid w:type="lines" w:linePitch="447"/>
        </w:sectPr>
      </w:pPr>
      <w:r w:rsidRPr="00960F82">
        <w:rPr>
          <w:rFonts w:asciiTheme="minorEastAsia" w:eastAsiaTheme="minorEastAsia" w:hAnsiTheme="minorEastAsia" w:hint="eastAsia"/>
          <w:b/>
          <w:szCs w:val="21"/>
        </w:rPr>
        <w:t>除非另有说明，</w:t>
      </w:r>
      <w:r w:rsidR="00083CDE" w:rsidRPr="00960F82">
        <w:rPr>
          <w:rFonts w:asciiTheme="minorEastAsia" w:eastAsiaTheme="minorEastAsia" w:hAnsiTheme="minorEastAsia" w:hint="eastAsia"/>
          <w:b/>
          <w:szCs w:val="21"/>
        </w:rPr>
        <w:t>本招募说明书所载内容截止日为2019年12月</w:t>
      </w:r>
      <w:r w:rsidR="00F15A5F" w:rsidRPr="00960F82">
        <w:rPr>
          <w:rFonts w:asciiTheme="minorEastAsia" w:eastAsiaTheme="minorEastAsia" w:hAnsiTheme="minorEastAsia" w:hint="eastAsia"/>
          <w:b/>
          <w:szCs w:val="21"/>
        </w:rPr>
        <w:t>31</w:t>
      </w:r>
      <w:r w:rsidR="00083CDE" w:rsidRPr="00960F82">
        <w:rPr>
          <w:rFonts w:asciiTheme="minorEastAsia" w:eastAsiaTheme="minorEastAsia" w:hAnsiTheme="minorEastAsia" w:hint="eastAsia"/>
          <w:b/>
          <w:szCs w:val="21"/>
        </w:rPr>
        <w:t>日</w:t>
      </w:r>
      <w:r w:rsidRPr="00960F82">
        <w:rPr>
          <w:rFonts w:asciiTheme="minorEastAsia" w:eastAsiaTheme="minorEastAsia" w:hAnsiTheme="minorEastAsia" w:hint="eastAsia"/>
          <w:b/>
          <w:szCs w:val="21"/>
        </w:rPr>
        <w:t>，</w:t>
      </w:r>
      <w:r w:rsidR="00083CDE" w:rsidRPr="00960F82">
        <w:rPr>
          <w:rFonts w:asciiTheme="minorEastAsia" w:eastAsiaTheme="minorEastAsia" w:hAnsiTheme="minorEastAsia" w:hint="eastAsia"/>
          <w:b/>
          <w:szCs w:val="21"/>
        </w:rPr>
        <w:t>有关财务数据截止日为2019年9月30日</w:t>
      </w:r>
      <w:r w:rsidRPr="00960F82">
        <w:rPr>
          <w:rFonts w:asciiTheme="minorEastAsia" w:eastAsiaTheme="minorEastAsia" w:hAnsiTheme="minorEastAsia" w:hint="eastAsia"/>
          <w:b/>
          <w:szCs w:val="21"/>
        </w:rPr>
        <w:t>，</w:t>
      </w:r>
      <w:r w:rsidR="00083CDE" w:rsidRPr="00960F82">
        <w:rPr>
          <w:rFonts w:asciiTheme="minorEastAsia" w:eastAsiaTheme="minorEastAsia" w:hAnsiTheme="minorEastAsia" w:hint="eastAsia"/>
          <w:b/>
          <w:szCs w:val="21"/>
        </w:rPr>
        <w:t>净值表现截止日为2019年12月31日</w:t>
      </w:r>
      <w:r w:rsidRPr="00960F82">
        <w:rPr>
          <w:rFonts w:asciiTheme="minorEastAsia" w:eastAsiaTheme="minorEastAsia" w:hAnsiTheme="minorEastAsia" w:hint="eastAsia"/>
          <w:b/>
          <w:szCs w:val="21"/>
        </w:rPr>
        <w:t>。（本报告中财务数据未经审计）</w:t>
      </w:r>
    </w:p>
    <w:p w:rsidR="001D2E2F" w:rsidRPr="00960F82" w:rsidRDefault="001D2E2F" w:rsidP="00084917">
      <w:pPr>
        <w:snapToGrid w:val="0"/>
        <w:spacing w:line="360" w:lineRule="auto"/>
        <w:ind w:leftChars="-43" w:left="-90" w:firstLineChars="250" w:firstLine="703"/>
        <w:jc w:val="center"/>
        <w:rPr>
          <w:rFonts w:asciiTheme="minorEastAsia" w:eastAsiaTheme="minorEastAsia" w:hAnsiTheme="minorEastAsia"/>
          <w:b/>
          <w:sz w:val="28"/>
          <w:szCs w:val="28"/>
        </w:rPr>
      </w:pPr>
      <w:r w:rsidRPr="00960F82">
        <w:rPr>
          <w:rFonts w:asciiTheme="minorEastAsia" w:eastAsiaTheme="minorEastAsia" w:hAnsiTheme="minorEastAsia" w:hint="eastAsia"/>
          <w:b/>
          <w:sz w:val="28"/>
          <w:szCs w:val="28"/>
        </w:rPr>
        <w:lastRenderedPageBreak/>
        <w:t>目录</w:t>
      </w:r>
    </w:p>
    <w:p w:rsidR="00CE5A41" w:rsidRDefault="00531B35">
      <w:pPr>
        <w:pStyle w:val="11"/>
        <w:rPr>
          <w:rFonts w:asciiTheme="minorHAnsi" w:eastAsiaTheme="minorEastAsia" w:hAnsiTheme="minorHAnsi" w:cstheme="minorBidi"/>
          <w:bCs w:val="0"/>
          <w:caps w:val="0"/>
          <w:kern w:val="2"/>
          <w:sz w:val="21"/>
          <w:szCs w:val="22"/>
        </w:rPr>
      </w:pPr>
      <w:r w:rsidRPr="00960F82">
        <w:rPr>
          <w:rFonts w:asciiTheme="minorEastAsia" w:eastAsiaTheme="minorEastAsia" w:hAnsiTheme="minorEastAsia"/>
          <w:b/>
          <w:bCs w:val="0"/>
          <w:szCs w:val="21"/>
        </w:rPr>
        <w:fldChar w:fldCharType="begin"/>
      </w:r>
      <w:r w:rsidR="001D2E2F" w:rsidRPr="00960F82">
        <w:rPr>
          <w:rFonts w:asciiTheme="minorEastAsia" w:eastAsiaTheme="minorEastAsia" w:hAnsiTheme="minorEastAsia"/>
          <w:b/>
          <w:bCs w:val="0"/>
          <w:szCs w:val="21"/>
        </w:rPr>
        <w:instrText xml:space="preserve"> TOC \o "1-2" \h \z \u </w:instrText>
      </w:r>
      <w:r w:rsidRPr="00960F82">
        <w:rPr>
          <w:rFonts w:asciiTheme="minorEastAsia" w:eastAsiaTheme="minorEastAsia" w:hAnsiTheme="minorEastAsia"/>
          <w:b/>
          <w:bCs w:val="0"/>
          <w:szCs w:val="21"/>
        </w:rPr>
        <w:fldChar w:fldCharType="separate"/>
      </w:r>
      <w:hyperlink w:anchor="_Toc30161758" w:history="1">
        <w:r w:rsidR="00CE5A41" w:rsidRPr="001930AB">
          <w:rPr>
            <w:rStyle w:val="a9"/>
            <w:rFonts w:asciiTheme="minorEastAsia" w:hAnsiTheme="minorEastAsia" w:hint="eastAsia"/>
            <w:b/>
          </w:rPr>
          <w:t>一、绪言</w:t>
        </w:r>
        <w:r w:rsidR="00CE5A41">
          <w:rPr>
            <w:webHidden/>
          </w:rPr>
          <w:tab/>
        </w:r>
        <w:r w:rsidR="00CE5A41">
          <w:rPr>
            <w:webHidden/>
          </w:rPr>
          <w:fldChar w:fldCharType="begin"/>
        </w:r>
        <w:r w:rsidR="00CE5A41">
          <w:rPr>
            <w:webHidden/>
          </w:rPr>
          <w:instrText xml:space="preserve"> PAGEREF _Toc30161758 \h </w:instrText>
        </w:r>
        <w:r w:rsidR="00CE5A41">
          <w:rPr>
            <w:webHidden/>
          </w:rPr>
        </w:r>
        <w:r w:rsidR="00CE5A41">
          <w:rPr>
            <w:webHidden/>
          </w:rPr>
          <w:fldChar w:fldCharType="separate"/>
        </w:r>
        <w:r w:rsidR="00CE5A41">
          <w:rPr>
            <w:webHidden/>
          </w:rPr>
          <w:t>1</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59" w:history="1">
        <w:r w:rsidR="00CE5A41" w:rsidRPr="001930AB">
          <w:rPr>
            <w:rStyle w:val="a9"/>
            <w:rFonts w:asciiTheme="minorEastAsia" w:hAnsiTheme="minorEastAsia" w:hint="eastAsia"/>
            <w:b/>
          </w:rPr>
          <w:t>二、释义</w:t>
        </w:r>
        <w:r w:rsidR="00CE5A41">
          <w:rPr>
            <w:webHidden/>
          </w:rPr>
          <w:tab/>
        </w:r>
        <w:r w:rsidR="00CE5A41">
          <w:rPr>
            <w:webHidden/>
          </w:rPr>
          <w:fldChar w:fldCharType="begin"/>
        </w:r>
        <w:r w:rsidR="00CE5A41">
          <w:rPr>
            <w:webHidden/>
          </w:rPr>
          <w:instrText xml:space="preserve"> PAGEREF _Toc30161759 \h </w:instrText>
        </w:r>
        <w:r w:rsidR="00CE5A41">
          <w:rPr>
            <w:webHidden/>
          </w:rPr>
        </w:r>
        <w:r w:rsidR="00CE5A41">
          <w:rPr>
            <w:webHidden/>
          </w:rPr>
          <w:fldChar w:fldCharType="separate"/>
        </w:r>
        <w:r w:rsidR="00CE5A41">
          <w:rPr>
            <w:webHidden/>
          </w:rPr>
          <w:t>2</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60" w:history="1">
        <w:r w:rsidR="00CE5A41" w:rsidRPr="001930AB">
          <w:rPr>
            <w:rStyle w:val="a9"/>
            <w:rFonts w:asciiTheme="minorEastAsia" w:hAnsiTheme="minorEastAsia" w:hint="eastAsia"/>
          </w:rPr>
          <w:t>三、</w:t>
        </w:r>
        <w:r w:rsidR="00CE5A41" w:rsidRPr="001930AB">
          <w:rPr>
            <w:rStyle w:val="a9"/>
            <w:rFonts w:asciiTheme="minorEastAsia" w:hAnsiTheme="minorEastAsia" w:hint="eastAsia"/>
            <w:b/>
          </w:rPr>
          <w:t>基金管理人</w:t>
        </w:r>
        <w:r w:rsidR="00CE5A41">
          <w:rPr>
            <w:webHidden/>
          </w:rPr>
          <w:tab/>
        </w:r>
        <w:r w:rsidR="00CE5A41">
          <w:rPr>
            <w:webHidden/>
          </w:rPr>
          <w:fldChar w:fldCharType="begin"/>
        </w:r>
        <w:r w:rsidR="00CE5A41">
          <w:rPr>
            <w:webHidden/>
          </w:rPr>
          <w:instrText xml:space="preserve"> PAGEREF _Toc30161760 \h </w:instrText>
        </w:r>
        <w:r w:rsidR="00CE5A41">
          <w:rPr>
            <w:webHidden/>
          </w:rPr>
        </w:r>
        <w:r w:rsidR="00CE5A41">
          <w:rPr>
            <w:webHidden/>
          </w:rPr>
          <w:fldChar w:fldCharType="separate"/>
        </w:r>
        <w:r w:rsidR="00CE5A41">
          <w:rPr>
            <w:webHidden/>
          </w:rPr>
          <w:t>5</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1" w:history="1">
        <w:r w:rsidR="00CE5A41" w:rsidRPr="001930AB">
          <w:rPr>
            <w:rStyle w:val="a9"/>
            <w:rFonts w:asciiTheme="minorEastAsia" w:hAnsiTheme="minorEastAsia" w:hint="eastAsia"/>
            <w:bCs/>
            <w:noProof/>
          </w:rPr>
          <w:t>（一）基金管理人基本情况</w:t>
        </w:r>
        <w:r w:rsidR="00CE5A41">
          <w:rPr>
            <w:noProof/>
            <w:webHidden/>
          </w:rPr>
          <w:tab/>
        </w:r>
        <w:r w:rsidR="00CE5A41">
          <w:rPr>
            <w:noProof/>
            <w:webHidden/>
          </w:rPr>
          <w:fldChar w:fldCharType="begin"/>
        </w:r>
        <w:r w:rsidR="00CE5A41">
          <w:rPr>
            <w:noProof/>
            <w:webHidden/>
          </w:rPr>
          <w:instrText xml:space="preserve"> PAGEREF _Toc30161761 \h </w:instrText>
        </w:r>
        <w:r w:rsidR="00CE5A41">
          <w:rPr>
            <w:noProof/>
            <w:webHidden/>
          </w:rPr>
        </w:r>
        <w:r w:rsidR="00CE5A41">
          <w:rPr>
            <w:noProof/>
            <w:webHidden/>
          </w:rPr>
          <w:fldChar w:fldCharType="separate"/>
        </w:r>
        <w:r w:rsidR="00CE5A41">
          <w:rPr>
            <w:noProof/>
            <w:webHidden/>
          </w:rPr>
          <w:t>5</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2" w:history="1">
        <w:r w:rsidR="00CE5A41" w:rsidRPr="001930AB">
          <w:rPr>
            <w:rStyle w:val="a9"/>
            <w:rFonts w:asciiTheme="minorEastAsia" w:hAnsiTheme="minorEastAsia" w:hint="eastAsia"/>
            <w:bCs/>
            <w:noProof/>
          </w:rPr>
          <w:t>（二）主要人员情况</w:t>
        </w:r>
        <w:r w:rsidR="00CE5A41">
          <w:rPr>
            <w:noProof/>
            <w:webHidden/>
          </w:rPr>
          <w:tab/>
        </w:r>
        <w:r w:rsidR="00CE5A41">
          <w:rPr>
            <w:noProof/>
            <w:webHidden/>
          </w:rPr>
          <w:fldChar w:fldCharType="begin"/>
        </w:r>
        <w:r w:rsidR="00CE5A41">
          <w:rPr>
            <w:noProof/>
            <w:webHidden/>
          </w:rPr>
          <w:instrText xml:space="preserve"> PAGEREF _Toc30161762 \h </w:instrText>
        </w:r>
        <w:r w:rsidR="00CE5A41">
          <w:rPr>
            <w:noProof/>
            <w:webHidden/>
          </w:rPr>
        </w:r>
        <w:r w:rsidR="00CE5A41">
          <w:rPr>
            <w:noProof/>
            <w:webHidden/>
          </w:rPr>
          <w:fldChar w:fldCharType="separate"/>
        </w:r>
        <w:r w:rsidR="00CE5A41">
          <w:rPr>
            <w:noProof/>
            <w:webHidden/>
          </w:rPr>
          <w:t>5</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3" w:history="1">
        <w:r w:rsidR="00CE5A41" w:rsidRPr="001930AB">
          <w:rPr>
            <w:rStyle w:val="a9"/>
            <w:rFonts w:asciiTheme="minorEastAsia" w:hAnsiTheme="minorEastAsia" w:hint="eastAsia"/>
            <w:bCs/>
            <w:noProof/>
          </w:rPr>
          <w:t>（三）基金管理人的职责</w:t>
        </w:r>
        <w:r w:rsidR="00CE5A41">
          <w:rPr>
            <w:noProof/>
            <w:webHidden/>
          </w:rPr>
          <w:tab/>
        </w:r>
        <w:r w:rsidR="00CE5A41">
          <w:rPr>
            <w:noProof/>
            <w:webHidden/>
          </w:rPr>
          <w:fldChar w:fldCharType="begin"/>
        </w:r>
        <w:r w:rsidR="00CE5A41">
          <w:rPr>
            <w:noProof/>
            <w:webHidden/>
          </w:rPr>
          <w:instrText xml:space="preserve"> PAGEREF _Toc30161763 \h </w:instrText>
        </w:r>
        <w:r w:rsidR="00CE5A41">
          <w:rPr>
            <w:noProof/>
            <w:webHidden/>
          </w:rPr>
        </w:r>
        <w:r w:rsidR="00CE5A41">
          <w:rPr>
            <w:noProof/>
            <w:webHidden/>
          </w:rPr>
          <w:fldChar w:fldCharType="separate"/>
        </w:r>
        <w:r w:rsidR="00CE5A41">
          <w:rPr>
            <w:noProof/>
            <w:webHidden/>
          </w:rPr>
          <w:t>10</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4" w:history="1">
        <w:r w:rsidR="00CE5A41" w:rsidRPr="001930AB">
          <w:rPr>
            <w:rStyle w:val="a9"/>
            <w:rFonts w:asciiTheme="minorEastAsia" w:hAnsiTheme="minorEastAsia" w:hint="eastAsia"/>
            <w:bCs/>
            <w:noProof/>
          </w:rPr>
          <w:t>（四）基金管理人的承诺</w:t>
        </w:r>
        <w:r w:rsidR="00CE5A41">
          <w:rPr>
            <w:noProof/>
            <w:webHidden/>
          </w:rPr>
          <w:tab/>
        </w:r>
        <w:r w:rsidR="00CE5A41">
          <w:rPr>
            <w:noProof/>
            <w:webHidden/>
          </w:rPr>
          <w:fldChar w:fldCharType="begin"/>
        </w:r>
        <w:r w:rsidR="00CE5A41">
          <w:rPr>
            <w:noProof/>
            <w:webHidden/>
          </w:rPr>
          <w:instrText xml:space="preserve"> PAGEREF _Toc30161764 \h </w:instrText>
        </w:r>
        <w:r w:rsidR="00CE5A41">
          <w:rPr>
            <w:noProof/>
            <w:webHidden/>
          </w:rPr>
        </w:r>
        <w:r w:rsidR="00CE5A41">
          <w:rPr>
            <w:noProof/>
            <w:webHidden/>
          </w:rPr>
          <w:fldChar w:fldCharType="separate"/>
        </w:r>
        <w:r w:rsidR="00CE5A41">
          <w:rPr>
            <w:noProof/>
            <w:webHidden/>
          </w:rPr>
          <w:t>10</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5" w:history="1">
        <w:r w:rsidR="00CE5A41" w:rsidRPr="001930AB">
          <w:rPr>
            <w:rStyle w:val="a9"/>
            <w:rFonts w:asciiTheme="minorEastAsia" w:hAnsiTheme="minorEastAsia" w:hint="eastAsia"/>
            <w:bCs/>
            <w:noProof/>
          </w:rPr>
          <w:t>（五）基金管理人的内部控制制度</w:t>
        </w:r>
        <w:r w:rsidR="00CE5A41">
          <w:rPr>
            <w:noProof/>
            <w:webHidden/>
          </w:rPr>
          <w:tab/>
        </w:r>
        <w:r w:rsidR="00CE5A41">
          <w:rPr>
            <w:noProof/>
            <w:webHidden/>
          </w:rPr>
          <w:fldChar w:fldCharType="begin"/>
        </w:r>
        <w:r w:rsidR="00CE5A41">
          <w:rPr>
            <w:noProof/>
            <w:webHidden/>
          </w:rPr>
          <w:instrText xml:space="preserve"> PAGEREF _Toc30161765 \h </w:instrText>
        </w:r>
        <w:r w:rsidR="00CE5A41">
          <w:rPr>
            <w:noProof/>
            <w:webHidden/>
          </w:rPr>
        </w:r>
        <w:r w:rsidR="00CE5A41">
          <w:rPr>
            <w:noProof/>
            <w:webHidden/>
          </w:rPr>
          <w:fldChar w:fldCharType="separate"/>
        </w:r>
        <w:r w:rsidR="00CE5A41">
          <w:rPr>
            <w:noProof/>
            <w:webHidden/>
          </w:rPr>
          <w:t>11</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66" w:history="1">
        <w:r w:rsidR="00CE5A41" w:rsidRPr="001930AB">
          <w:rPr>
            <w:rStyle w:val="a9"/>
            <w:rFonts w:asciiTheme="minorEastAsia" w:hAnsiTheme="minorEastAsia" w:hint="eastAsia"/>
            <w:b/>
          </w:rPr>
          <w:t>四、基金托管人</w:t>
        </w:r>
        <w:r w:rsidR="00CE5A41">
          <w:rPr>
            <w:webHidden/>
          </w:rPr>
          <w:tab/>
        </w:r>
        <w:r w:rsidR="00CE5A41">
          <w:rPr>
            <w:webHidden/>
          </w:rPr>
          <w:fldChar w:fldCharType="begin"/>
        </w:r>
        <w:r w:rsidR="00CE5A41">
          <w:rPr>
            <w:webHidden/>
          </w:rPr>
          <w:instrText xml:space="preserve"> PAGEREF _Toc30161766 \h </w:instrText>
        </w:r>
        <w:r w:rsidR="00CE5A41">
          <w:rPr>
            <w:webHidden/>
          </w:rPr>
        </w:r>
        <w:r w:rsidR="00CE5A41">
          <w:rPr>
            <w:webHidden/>
          </w:rPr>
          <w:fldChar w:fldCharType="separate"/>
        </w:r>
        <w:r w:rsidR="00CE5A41">
          <w:rPr>
            <w:webHidden/>
          </w:rPr>
          <w:t>15</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67" w:history="1">
        <w:r w:rsidR="00CE5A41" w:rsidRPr="001930AB">
          <w:rPr>
            <w:rStyle w:val="a9"/>
            <w:rFonts w:asciiTheme="minorEastAsia" w:hAnsiTheme="minorEastAsia" w:hint="eastAsia"/>
            <w:b/>
          </w:rPr>
          <w:t>五、相关服务机构</w:t>
        </w:r>
        <w:r w:rsidR="00CE5A41">
          <w:rPr>
            <w:webHidden/>
          </w:rPr>
          <w:tab/>
        </w:r>
        <w:r w:rsidR="00CE5A41">
          <w:rPr>
            <w:webHidden/>
          </w:rPr>
          <w:fldChar w:fldCharType="begin"/>
        </w:r>
        <w:r w:rsidR="00CE5A41">
          <w:rPr>
            <w:webHidden/>
          </w:rPr>
          <w:instrText xml:space="preserve"> PAGEREF _Toc30161767 \h </w:instrText>
        </w:r>
        <w:r w:rsidR="00CE5A41">
          <w:rPr>
            <w:webHidden/>
          </w:rPr>
        </w:r>
        <w:r w:rsidR="00CE5A41">
          <w:rPr>
            <w:webHidden/>
          </w:rPr>
          <w:fldChar w:fldCharType="separate"/>
        </w:r>
        <w:r w:rsidR="00CE5A41">
          <w:rPr>
            <w:webHidden/>
          </w:rPr>
          <w:t>17</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8" w:history="1">
        <w:r w:rsidR="00CE5A41" w:rsidRPr="001930AB">
          <w:rPr>
            <w:rStyle w:val="a9"/>
            <w:rFonts w:asciiTheme="minorEastAsia" w:hAnsiTheme="minorEastAsia" w:hint="eastAsia"/>
            <w:noProof/>
          </w:rPr>
          <w:t>（一）基金份额销售机构</w:t>
        </w:r>
        <w:r w:rsidR="00CE5A41">
          <w:rPr>
            <w:noProof/>
            <w:webHidden/>
          </w:rPr>
          <w:tab/>
        </w:r>
        <w:r w:rsidR="00CE5A41">
          <w:rPr>
            <w:noProof/>
            <w:webHidden/>
          </w:rPr>
          <w:fldChar w:fldCharType="begin"/>
        </w:r>
        <w:r w:rsidR="00CE5A41">
          <w:rPr>
            <w:noProof/>
            <w:webHidden/>
          </w:rPr>
          <w:instrText xml:space="preserve"> PAGEREF _Toc30161768 \h </w:instrText>
        </w:r>
        <w:r w:rsidR="00CE5A41">
          <w:rPr>
            <w:noProof/>
            <w:webHidden/>
          </w:rPr>
        </w:r>
        <w:r w:rsidR="00CE5A41">
          <w:rPr>
            <w:noProof/>
            <w:webHidden/>
          </w:rPr>
          <w:fldChar w:fldCharType="separate"/>
        </w:r>
        <w:r w:rsidR="00CE5A41">
          <w:rPr>
            <w:noProof/>
            <w:webHidden/>
          </w:rPr>
          <w:t>17</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69" w:history="1">
        <w:r w:rsidR="00CE5A41" w:rsidRPr="001930AB">
          <w:rPr>
            <w:rStyle w:val="a9"/>
            <w:rFonts w:asciiTheme="minorEastAsia" w:hAnsiTheme="minorEastAsia" w:hint="eastAsia"/>
            <w:noProof/>
          </w:rPr>
          <w:t>（二）注册登记机构</w:t>
        </w:r>
        <w:r w:rsidR="00CE5A41">
          <w:rPr>
            <w:noProof/>
            <w:webHidden/>
          </w:rPr>
          <w:tab/>
        </w:r>
        <w:r w:rsidR="00CE5A41">
          <w:rPr>
            <w:noProof/>
            <w:webHidden/>
          </w:rPr>
          <w:fldChar w:fldCharType="begin"/>
        </w:r>
        <w:r w:rsidR="00CE5A41">
          <w:rPr>
            <w:noProof/>
            <w:webHidden/>
          </w:rPr>
          <w:instrText xml:space="preserve"> PAGEREF _Toc30161769 \h </w:instrText>
        </w:r>
        <w:r w:rsidR="00CE5A41">
          <w:rPr>
            <w:noProof/>
            <w:webHidden/>
          </w:rPr>
        </w:r>
        <w:r w:rsidR="00CE5A41">
          <w:rPr>
            <w:noProof/>
            <w:webHidden/>
          </w:rPr>
          <w:fldChar w:fldCharType="separate"/>
        </w:r>
        <w:r w:rsidR="00CE5A41">
          <w:rPr>
            <w:noProof/>
            <w:webHidden/>
          </w:rPr>
          <w:t>74</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0" w:history="1">
        <w:r w:rsidR="00CE5A41" w:rsidRPr="001930AB">
          <w:rPr>
            <w:rStyle w:val="a9"/>
            <w:rFonts w:asciiTheme="minorEastAsia" w:hAnsiTheme="minorEastAsia" w:hint="eastAsia"/>
            <w:noProof/>
          </w:rPr>
          <w:t>（三）律师事务所和经办律师</w:t>
        </w:r>
        <w:r w:rsidR="00CE5A41">
          <w:rPr>
            <w:noProof/>
            <w:webHidden/>
          </w:rPr>
          <w:tab/>
        </w:r>
        <w:r w:rsidR="00CE5A41">
          <w:rPr>
            <w:noProof/>
            <w:webHidden/>
          </w:rPr>
          <w:fldChar w:fldCharType="begin"/>
        </w:r>
        <w:r w:rsidR="00CE5A41">
          <w:rPr>
            <w:noProof/>
            <w:webHidden/>
          </w:rPr>
          <w:instrText xml:space="preserve"> PAGEREF _Toc30161770 \h </w:instrText>
        </w:r>
        <w:r w:rsidR="00CE5A41">
          <w:rPr>
            <w:noProof/>
            <w:webHidden/>
          </w:rPr>
        </w:r>
        <w:r w:rsidR="00CE5A41">
          <w:rPr>
            <w:noProof/>
            <w:webHidden/>
          </w:rPr>
          <w:fldChar w:fldCharType="separate"/>
        </w:r>
        <w:r w:rsidR="00CE5A41">
          <w:rPr>
            <w:noProof/>
            <w:webHidden/>
          </w:rPr>
          <w:t>74</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1" w:history="1">
        <w:r w:rsidR="00CE5A41" w:rsidRPr="001930AB">
          <w:rPr>
            <w:rStyle w:val="a9"/>
            <w:rFonts w:asciiTheme="minorEastAsia" w:hAnsiTheme="minorEastAsia" w:hint="eastAsia"/>
            <w:noProof/>
          </w:rPr>
          <w:t>（四）会计师事务所和经办注册会计师</w:t>
        </w:r>
        <w:r w:rsidR="00CE5A41">
          <w:rPr>
            <w:noProof/>
            <w:webHidden/>
          </w:rPr>
          <w:tab/>
        </w:r>
        <w:r w:rsidR="00CE5A41">
          <w:rPr>
            <w:noProof/>
            <w:webHidden/>
          </w:rPr>
          <w:fldChar w:fldCharType="begin"/>
        </w:r>
        <w:r w:rsidR="00CE5A41">
          <w:rPr>
            <w:noProof/>
            <w:webHidden/>
          </w:rPr>
          <w:instrText xml:space="preserve"> PAGEREF _Toc30161771 \h </w:instrText>
        </w:r>
        <w:r w:rsidR="00CE5A41">
          <w:rPr>
            <w:noProof/>
            <w:webHidden/>
          </w:rPr>
        </w:r>
        <w:r w:rsidR="00CE5A41">
          <w:rPr>
            <w:noProof/>
            <w:webHidden/>
          </w:rPr>
          <w:fldChar w:fldCharType="separate"/>
        </w:r>
        <w:r w:rsidR="00CE5A41">
          <w:rPr>
            <w:noProof/>
            <w:webHidden/>
          </w:rPr>
          <w:t>74</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72" w:history="1">
        <w:r w:rsidR="00CE5A41" w:rsidRPr="001930AB">
          <w:rPr>
            <w:rStyle w:val="a9"/>
            <w:rFonts w:asciiTheme="minorEastAsia" w:hAnsiTheme="minorEastAsia" w:hint="eastAsia"/>
            <w:b/>
          </w:rPr>
          <w:t>六、基金份额的申购、赎回和转换</w:t>
        </w:r>
        <w:r w:rsidR="00CE5A41">
          <w:rPr>
            <w:webHidden/>
          </w:rPr>
          <w:tab/>
        </w:r>
        <w:r w:rsidR="00CE5A41">
          <w:rPr>
            <w:webHidden/>
          </w:rPr>
          <w:fldChar w:fldCharType="begin"/>
        </w:r>
        <w:r w:rsidR="00CE5A41">
          <w:rPr>
            <w:webHidden/>
          </w:rPr>
          <w:instrText xml:space="preserve"> PAGEREF _Toc30161772 \h </w:instrText>
        </w:r>
        <w:r w:rsidR="00CE5A41">
          <w:rPr>
            <w:webHidden/>
          </w:rPr>
        </w:r>
        <w:r w:rsidR="00CE5A41">
          <w:rPr>
            <w:webHidden/>
          </w:rPr>
          <w:fldChar w:fldCharType="separate"/>
        </w:r>
        <w:r w:rsidR="00CE5A41">
          <w:rPr>
            <w:webHidden/>
          </w:rPr>
          <w:t>76</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3" w:history="1">
        <w:r w:rsidR="00CE5A41" w:rsidRPr="001930AB">
          <w:rPr>
            <w:rStyle w:val="a9"/>
            <w:rFonts w:asciiTheme="minorEastAsia" w:hAnsiTheme="minorEastAsia" w:hint="eastAsia"/>
            <w:bCs/>
            <w:noProof/>
          </w:rPr>
          <w:t>（一）投资者范围</w:t>
        </w:r>
        <w:r w:rsidR="00CE5A41">
          <w:rPr>
            <w:noProof/>
            <w:webHidden/>
          </w:rPr>
          <w:tab/>
        </w:r>
        <w:r w:rsidR="00CE5A41">
          <w:rPr>
            <w:noProof/>
            <w:webHidden/>
          </w:rPr>
          <w:fldChar w:fldCharType="begin"/>
        </w:r>
        <w:r w:rsidR="00CE5A41">
          <w:rPr>
            <w:noProof/>
            <w:webHidden/>
          </w:rPr>
          <w:instrText xml:space="preserve"> PAGEREF _Toc30161773 \h </w:instrText>
        </w:r>
        <w:r w:rsidR="00CE5A41">
          <w:rPr>
            <w:noProof/>
            <w:webHidden/>
          </w:rPr>
        </w:r>
        <w:r w:rsidR="00CE5A41">
          <w:rPr>
            <w:noProof/>
            <w:webHidden/>
          </w:rPr>
          <w:fldChar w:fldCharType="separate"/>
        </w:r>
        <w:r w:rsidR="00CE5A41">
          <w:rPr>
            <w:noProof/>
            <w:webHidden/>
          </w:rPr>
          <w:t>76</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4" w:history="1">
        <w:r w:rsidR="00CE5A41" w:rsidRPr="001930AB">
          <w:rPr>
            <w:rStyle w:val="a9"/>
            <w:rFonts w:asciiTheme="minorEastAsia" w:hAnsiTheme="minorEastAsia" w:hint="eastAsia"/>
            <w:bCs/>
            <w:noProof/>
          </w:rPr>
          <w:t>（</w:t>
        </w:r>
        <w:r w:rsidR="00CE5A41" w:rsidRPr="001930AB">
          <w:rPr>
            <w:rStyle w:val="a9"/>
            <w:rFonts w:asciiTheme="minorEastAsia" w:hAnsiTheme="minorEastAsia" w:hint="eastAsia"/>
            <w:noProof/>
          </w:rPr>
          <w:t>二</w:t>
        </w:r>
        <w:r w:rsidR="00CE5A41" w:rsidRPr="001930AB">
          <w:rPr>
            <w:rStyle w:val="a9"/>
            <w:rFonts w:asciiTheme="minorEastAsia" w:hAnsiTheme="minorEastAsia" w:hint="eastAsia"/>
            <w:bCs/>
            <w:noProof/>
          </w:rPr>
          <w:t>）申购、赎回和转换场所</w:t>
        </w:r>
        <w:r w:rsidR="00CE5A41">
          <w:rPr>
            <w:noProof/>
            <w:webHidden/>
          </w:rPr>
          <w:tab/>
        </w:r>
        <w:r w:rsidR="00CE5A41">
          <w:rPr>
            <w:noProof/>
            <w:webHidden/>
          </w:rPr>
          <w:fldChar w:fldCharType="begin"/>
        </w:r>
        <w:r w:rsidR="00CE5A41">
          <w:rPr>
            <w:noProof/>
            <w:webHidden/>
          </w:rPr>
          <w:instrText xml:space="preserve"> PAGEREF _Toc30161774 \h </w:instrText>
        </w:r>
        <w:r w:rsidR="00CE5A41">
          <w:rPr>
            <w:noProof/>
            <w:webHidden/>
          </w:rPr>
        </w:r>
        <w:r w:rsidR="00CE5A41">
          <w:rPr>
            <w:noProof/>
            <w:webHidden/>
          </w:rPr>
          <w:fldChar w:fldCharType="separate"/>
        </w:r>
        <w:r w:rsidR="00CE5A41">
          <w:rPr>
            <w:noProof/>
            <w:webHidden/>
          </w:rPr>
          <w:t>76</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5" w:history="1">
        <w:r w:rsidR="00CE5A41" w:rsidRPr="001930AB">
          <w:rPr>
            <w:rStyle w:val="a9"/>
            <w:rFonts w:asciiTheme="minorEastAsia" w:hAnsiTheme="minorEastAsia" w:hint="eastAsia"/>
            <w:bCs/>
            <w:noProof/>
          </w:rPr>
          <w:t>（三）申购、赎回和转换的开放日期及办理时间</w:t>
        </w:r>
        <w:r w:rsidR="00CE5A41">
          <w:rPr>
            <w:noProof/>
            <w:webHidden/>
          </w:rPr>
          <w:tab/>
        </w:r>
        <w:r w:rsidR="00CE5A41">
          <w:rPr>
            <w:noProof/>
            <w:webHidden/>
          </w:rPr>
          <w:fldChar w:fldCharType="begin"/>
        </w:r>
        <w:r w:rsidR="00CE5A41">
          <w:rPr>
            <w:noProof/>
            <w:webHidden/>
          </w:rPr>
          <w:instrText xml:space="preserve"> PAGEREF _Toc30161775 \h </w:instrText>
        </w:r>
        <w:r w:rsidR="00CE5A41">
          <w:rPr>
            <w:noProof/>
            <w:webHidden/>
          </w:rPr>
        </w:r>
        <w:r w:rsidR="00CE5A41">
          <w:rPr>
            <w:noProof/>
            <w:webHidden/>
          </w:rPr>
          <w:fldChar w:fldCharType="separate"/>
        </w:r>
        <w:r w:rsidR="00CE5A41">
          <w:rPr>
            <w:noProof/>
            <w:webHidden/>
          </w:rPr>
          <w:t>76</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6" w:history="1">
        <w:r w:rsidR="00CE5A41" w:rsidRPr="001930AB">
          <w:rPr>
            <w:rStyle w:val="a9"/>
            <w:rFonts w:asciiTheme="minorEastAsia" w:hAnsiTheme="minorEastAsia" w:hint="eastAsia"/>
            <w:bCs/>
            <w:noProof/>
          </w:rPr>
          <w:t>（四）申购、赎回和转换的原则</w:t>
        </w:r>
        <w:r w:rsidR="00CE5A41">
          <w:rPr>
            <w:noProof/>
            <w:webHidden/>
          </w:rPr>
          <w:tab/>
        </w:r>
        <w:r w:rsidR="00CE5A41">
          <w:rPr>
            <w:noProof/>
            <w:webHidden/>
          </w:rPr>
          <w:fldChar w:fldCharType="begin"/>
        </w:r>
        <w:r w:rsidR="00CE5A41">
          <w:rPr>
            <w:noProof/>
            <w:webHidden/>
          </w:rPr>
          <w:instrText xml:space="preserve"> PAGEREF _Toc30161776 \h </w:instrText>
        </w:r>
        <w:r w:rsidR="00CE5A41">
          <w:rPr>
            <w:noProof/>
            <w:webHidden/>
          </w:rPr>
        </w:r>
        <w:r w:rsidR="00CE5A41">
          <w:rPr>
            <w:noProof/>
            <w:webHidden/>
          </w:rPr>
          <w:fldChar w:fldCharType="separate"/>
        </w:r>
        <w:r w:rsidR="00CE5A41">
          <w:rPr>
            <w:noProof/>
            <w:webHidden/>
          </w:rPr>
          <w:t>76</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7" w:history="1">
        <w:r w:rsidR="00CE5A41" w:rsidRPr="001930AB">
          <w:rPr>
            <w:rStyle w:val="a9"/>
            <w:rFonts w:asciiTheme="minorEastAsia" w:hAnsiTheme="minorEastAsia" w:hint="eastAsia"/>
            <w:bCs/>
            <w:noProof/>
          </w:rPr>
          <w:t>（五）申购、赎回和转换的程序</w:t>
        </w:r>
        <w:r w:rsidR="00CE5A41">
          <w:rPr>
            <w:noProof/>
            <w:webHidden/>
          </w:rPr>
          <w:tab/>
        </w:r>
        <w:r w:rsidR="00CE5A41">
          <w:rPr>
            <w:noProof/>
            <w:webHidden/>
          </w:rPr>
          <w:fldChar w:fldCharType="begin"/>
        </w:r>
        <w:r w:rsidR="00CE5A41">
          <w:rPr>
            <w:noProof/>
            <w:webHidden/>
          </w:rPr>
          <w:instrText xml:space="preserve"> PAGEREF _Toc30161777 \h </w:instrText>
        </w:r>
        <w:r w:rsidR="00CE5A41">
          <w:rPr>
            <w:noProof/>
            <w:webHidden/>
          </w:rPr>
        </w:r>
        <w:r w:rsidR="00CE5A41">
          <w:rPr>
            <w:noProof/>
            <w:webHidden/>
          </w:rPr>
          <w:fldChar w:fldCharType="separate"/>
        </w:r>
        <w:r w:rsidR="00CE5A41">
          <w:rPr>
            <w:noProof/>
            <w:webHidden/>
          </w:rPr>
          <w:t>77</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8" w:history="1">
        <w:r w:rsidR="00CE5A41" w:rsidRPr="001930AB">
          <w:rPr>
            <w:rStyle w:val="a9"/>
            <w:rFonts w:asciiTheme="minorEastAsia" w:hAnsiTheme="minorEastAsia" w:hint="eastAsia"/>
            <w:bCs/>
            <w:noProof/>
          </w:rPr>
          <w:t>（六）申购、赎回和转换的数额限制</w:t>
        </w:r>
        <w:r w:rsidR="00CE5A41">
          <w:rPr>
            <w:noProof/>
            <w:webHidden/>
          </w:rPr>
          <w:tab/>
        </w:r>
        <w:r w:rsidR="00CE5A41">
          <w:rPr>
            <w:noProof/>
            <w:webHidden/>
          </w:rPr>
          <w:fldChar w:fldCharType="begin"/>
        </w:r>
        <w:r w:rsidR="00CE5A41">
          <w:rPr>
            <w:noProof/>
            <w:webHidden/>
          </w:rPr>
          <w:instrText xml:space="preserve"> PAGEREF _Toc30161778 \h </w:instrText>
        </w:r>
        <w:r w:rsidR="00CE5A41">
          <w:rPr>
            <w:noProof/>
            <w:webHidden/>
          </w:rPr>
        </w:r>
        <w:r w:rsidR="00CE5A41">
          <w:rPr>
            <w:noProof/>
            <w:webHidden/>
          </w:rPr>
          <w:fldChar w:fldCharType="separate"/>
        </w:r>
        <w:r w:rsidR="00CE5A41">
          <w:rPr>
            <w:noProof/>
            <w:webHidden/>
          </w:rPr>
          <w:t>77</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79" w:history="1">
        <w:r w:rsidR="00CE5A41" w:rsidRPr="001930AB">
          <w:rPr>
            <w:rStyle w:val="a9"/>
            <w:rFonts w:asciiTheme="minorEastAsia" w:hAnsiTheme="minorEastAsia" w:hint="eastAsia"/>
            <w:bCs/>
            <w:noProof/>
          </w:rPr>
          <w:t>（七）申购份额、赎回金额和转换份额的计算方式</w:t>
        </w:r>
        <w:r w:rsidR="00CE5A41">
          <w:rPr>
            <w:noProof/>
            <w:webHidden/>
          </w:rPr>
          <w:tab/>
        </w:r>
        <w:r w:rsidR="00CE5A41">
          <w:rPr>
            <w:noProof/>
            <w:webHidden/>
          </w:rPr>
          <w:fldChar w:fldCharType="begin"/>
        </w:r>
        <w:r w:rsidR="00CE5A41">
          <w:rPr>
            <w:noProof/>
            <w:webHidden/>
          </w:rPr>
          <w:instrText xml:space="preserve"> PAGEREF _Toc30161779 \h </w:instrText>
        </w:r>
        <w:r w:rsidR="00CE5A41">
          <w:rPr>
            <w:noProof/>
            <w:webHidden/>
          </w:rPr>
        </w:r>
        <w:r w:rsidR="00CE5A41">
          <w:rPr>
            <w:noProof/>
            <w:webHidden/>
          </w:rPr>
          <w:fldChar w:fldCharType="separate"/>
        </w:r>
        <w:r w:rsidR="00CE5A41">
          <w:rPr>
            <w:noProof/>
            <w:webHidden/>
          </w:rPr>
          <w:t>78</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80" w:history="1">
        <w:r w:rsidR="00CE5A41" w:rsidRPr="001930AB">
          <w:rPr>
            <w:rStyle w:val="a9"/>
            <w:rFonts w:asciiTheme="minorEastAsia" w:hAnsiTheme="minorEastAsia" w:hint="eastAsia"/>
            <w:bCs/>
            <w:noProof/>
          </w:rPr>
          <w:t>（八）申购、赎回和转换的注册登记</w:t>
        </w:r>
        <w:r w:rsidR="00CE5A41">
          <w:rPr>
            <w:noProof/>
            <w:webHidden/>
          </w:rPr>
          <w:tab/>
        </w:r>
        <w:r w:rsidR="00CE5A41">
          <w:rPr>
            <w:noProof/>
            <w:webHidden/>
          </w:rPr>
          <w:fldChar w:fldCharType="begin"/>
        </w:r>
        <w:r w:rsidR="00CE5A41">
          <w:rPr>
            <w:noProof/>
            <w:webHidden/>
          </w:rPr>
          <w:instrText xml:space="preserve"> PAGEREF _Toc30161780 \h </w:instrText>
        </w:r>
        <w:r w:rsidR="00CE5A41">
          <w:rPr>
            <w:noProof/>
            <w:webHidden/>
          </w:rPr>
        </w:r>
        <w:r w:rsidR="00CE5A41">
          <w:rPr>
            <w:noProof/>
            <w:webHidden/>
          </w:rPr>
          <w:fldChar w:fldCharType="separate"/>
        </w:r>
        <w:r w:rsidR="00CE5A41">
          <w:rPr>
            <w:noProof/>
            <w:webHidden/>
          </w:rPr>
          <w:t>82</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81" w:history="1">
        <w:r w:rsidR="00CE5A41" w:rsidRPr="001930AB">
          <w:rPr>
            <w:rStyle w:val="a9"/>
            <w:rFonts w:asciiTheme="minorEastAsia" w:hAnsiTheme="minorEastAsia" w:hint="eastAsia"/>
            <w:bCs/>
            <w:noProof/>
          </w:rPr>
          <w:t>（九）巨额赎回的认定及处理方式</w:t>
        </w:r>
        <w:r w:rsidR="00CE5A41">
          <w:rPr>
            <w:noProof/>
            <w:webHidden/>
          </w:rPr>
          <w:tab/>
        </w:r>
        <w:r w:rsidR="00CE5A41">
          <w:rPr>
            <w:noProof/>
            <w:webHidden/>
          </w:rPr>
          <w:fldChar w:fldCharType="begin"/>
        </w:r>
        <w:r w:rsidR="00CE5A41">
          <w:rPr>
            <w:noProof/>
            <w:webHidden/>
          </w:rPr>
          <w:instrText xml:space="preserve"> PAGEREF _Toc30161781 \h </w:instrText>
        </w:r>
        <w:r w:rsidR="00CE5A41">
          <w:rPr>
            <w:noProof/>
            <w:webHidden/>
          </w:rPr>
        </w:r>
        <w:r w:rsidR="00CE5A41">
          <w:rPr>
            <w:noProof/>
            <w:webHidden/>
          </w:rPr>
          <w:fldChar w:fldCharType="separate"/>
        </w:r>
        <w:r w:rsidR="00CE5A41">
          <w:rPr>
            <w:noProof/>
            <w:webHidden/>
          </w:rPr>
          <w:t>82</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82" w:history="1">
        <w:r w:rsidR="00CE5A41" w:rsidRPr="001930AB">
          <w:rPr>
            <w:rStyle w:val="a9"/>
            <w:rFonts w:asciiTheme="minorEastAsia" w:hAnsiTheme="minorEastAsia" w:hint="eastAsia"/>
            <w:bCs/>
            <w:noProof/>
          </w:rPr>
          <w:t>（十）拒绝或暂停申购、赎回和转换的情形及处理方式</w:t>
        </w:r>
        <w:r w:rsidR="00CE5A41">
          <w:rPr>
            <w:noProof/>
            <w:webHidden/>
          </w:rPr>
          <w:tab/>
        </w:r>
        <w:r w:rsidR="00CE5A41">
          <w:rPr>
            <w:noProof/>
            <w:webHidden/>
          </w:rPr>
          <w:fldChar w:fldCharType="begin"/>
        </w:r>
        <w:r w:rsidR="00CE5A41">
          <w:rPr>
            <w:noProof/>
            <w:webHidden/>
          </w:rPr>
          <w:instrText xml:space="preserve"> PAGEREF _Toc30161782 \h </w:instrText>
        </w:r>
        <w:r w:rsidR="00CE5A41">
          <w:rPr>
            <w:noProof/>
            <w:webHidden/>
          </w:rPr>
        </w:r>
        <w:r w:rsidR="00CE5A41">
          <w:rPr>
            <w:noProof/>
            <w:webHidden/>
          </w:rPr>
          <w:fldChar w:fldCharType="separate"/>
        </w:r>
        <w:r w:rsidR="00CE5A41">
          <w:rPr>
            <w:noProof/>
            <w:webHidden/>
          </w:rPr>
          <w:t>83</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83" w:history="1">
        <w:r w:rsidR="00CE5A41" w:rsidRPr="001930AB">
          <w:rPr>
            <w:rStyle w:val="a9"/>
            <w:rFonts w:asciiTheme="minorEastAsia" w:hAnsiTheme="minorEastAsia" w:hint="eastAsia"/>
            <w:b/>
          </w:rPr>
          <w:t>七、基金的非交易过户、转托管、冻结与质押</w:t>
        </w:r>
        <w:r w:rsidR="00CE5A41">
          <w:rPr>
            <w:webHidden/>
          </w:rPr>
          <w:tab/>
        </w:r>
        <w:r w:rsidR="00CE5A41">
          <w:rPr>
            <w:webHidden/>
          </w:rPr>
          <w:fldChar w:fldCharType="begin"/>
        </w:r>
        <w:r w:rsidR="00CE5A41">
          <w:rPr>
            <w:webHidden/>
          </w:rPr>
          <w:instrText xml:space="preserve"> PAGEREF _Toc30161783 \h </w:instrText>
        </w:r>
        <w:r w:rsidR="00CE5A41">
          <w:rPr>
            <w:webHidden/>
          </w:rPr>
        </w:r>
        <w:r w:rsidR="00CE5A41">
          <w:rPr>
            <w:webHidden/>
          </w:rPr>
          <w:fldChar w:fldCharType="separate"/>
        </w:r>
        <w:r w:rsidR="00CE5A41">
          <w:rPr>
            <w:webHidden/>
          </w:rPr>
          <w:t>86</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84" w:history="1">
        <w:r w:rsidR="00CE5A41" w:rsidRPr="001930AB">
          <w:rPr>
            <w:rStyle w:val="a9"/>
            <w:rFonts w:asciiTheme="minorEastAsia" w:hAnsiTheme="minorEastAsia" w:hint="eastAsia"/>
            <w:b/>
          </w:rPr>
          <w:t>八、基金的投资</w:t>
        </w:r>
        <w:r w:rsidR="00CE5A41">
          <w:rPr>
            <w:webHidden/>
          </w:rPr>
          <w:tab/>
        </w:r>
        <w:r w:rsidR="00CE5A41">
          <w:rPr>
            <w:webHidden/>
          </w:rPr>
          <w:fldChar w:fldCharType="begin"/>
        </w:r>
        <w:r w:rsidR="00CE5A41">
          <w:rPr>
            <w:webHidden/>
          </w:rPr>
          <w:instrText xml:space="preserve"> PAGEREF _Toc30161784 \h </w:instrText>
        </w:r>
        <w:r w:rsidR="00CE5A41">
          <w:rPr>
            <w:webHidden/>
          </w:rPr>
        </w:r>
        <w:r w:rsidR="00CE5A41">
          <w:rPr>
            <w:webHidden/>
          </w:rPr>
          <w:fldChar w:fldCharType="separate"/>
        </w:r>
        <w:r w:rsidR="00CE5A41">
          <w:rPr>
            <w:webHidden/>
          </w:rPr>
          <w:t>88</w:t>
        </w:r>
        <w:r w:rsidR="00CE5A41">
          <w:rPr>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85" w:history="1">
        <w:r w:rsidR="00CE5A41" w:rsidRPr="001930AB">
          <w:rPr>
            <w:rStyle w:val="a9"/>
            <w:rFonts w:asciiTheme="minorEastAsia" w:hAnsiTheme="minorEastAsia" w:hint="eastAsia"/>
            <w:noProof/>
          </w:rPr>
          <w:t>（一）</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投资目标</w:t>
        </w:r>
        <w:r w:rsidR="00CE5A41">
          <w:rPr>
            <w:noProof/>
            <w:webHidden/>
          </w:rPr>
          <w:tab/>
        </w:r>
        <w:r w:rsidR="00CE5A41">
          <w:rPr>
            <w:noProof/>
            <w:webHidden/>
          </w:rPr>
          <w:fldChar w:fldCharType="begin"/>
        </w:r>
        <w:r w:rsidR="00CE5A41">
          <w:rPr>
            <w:noProof/>
            <w:webHidden/>
          </w:rPr>
          <w:instrText xml:space="preserve"> PAGEREF _Toc30161785 \h </w:instrText>
        </w:r>
        <w:r w:rsidR="00CE5A41">
          <w:rPr>
            <w:noProof/>
            <w:webHidden/>
          </w:rPr>
        </w:r>
        <w:r w:rsidR="00CE5A41">
          <w:rPr>
            <w:noProof/>
            <w:webHidden/>
          </w:rPr>
          <w:fldChar w:fldCharType="separate"/>
        </w:r>
        <w:r w:rsidR="00CE5A41">
          <w:rPr>
            <w:noProof/>
            <w:webHidden/>
          </w:rPr>
          <w:t>88</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86" w:history="1">
        <w:r w:rsidR="00CE5A41" w:rsidRPr="001930AB">
          <w:rPr>
            <w:rStyle w:val="a9"/>
            <w:rFonts w:asciiTheme="minorEastAsia" w:hAnsiTheme="minorEastAsia" w:hint="eastAsia"/>
            <w:noProof/>
          </w:rPr>
          <w:t>（二）</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投资方向</w:t>
        </w:r>
        <w:r w:rsidR="00CE5A41">
          <w:rPr>
            <w:noProof/>
            <w:webHidden/>
          </w:rPr>
          <w:tab/>
        </w:r>
        <w:r w:rsidR="00CE5A41">
          <w:rPr>
            <w:noProof/>
            <w:webHidden/>
          </w:rPr>
          <w:fldChar w:fldCharType="begin"/>
        </w:r>
        <w:r w:rsidR="00CE5A41">
          <w:rPr>
            <w:noProof/>
            <w:webHidden/>
          </w:rPr>
          <w:instrText xml:space="preserve"> PAGEREF _Toc30161786 \h </w:instrText>
        </w:r>
        <w:r w:rsidR="00CE5A41">
          <w:rPr>
            <w:noProof/>
            <w:webHidden/>
          </w:rPr>
        </w:r>
        <w:r w:rsidR="00CE5A41">
          <w:rPr>
            <w:noProof/>
            <w:webHidden/>
          </w:rPr>
          <w:fldChar w:fldCharType="separate"/>
        </w:r>
        <w:r w:rsidR="00CE5A41">
          <w:rPr>
            <w:noProof/>
            <w:webHidden/>
          </w:rPr>
          <w:t>88</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87" w:history="1">
        <w:r w:rsidR="00CE5A41" w:rsidRPr="001930AB">
          <w:rPr>
            <w:rStyle w:val="a9"/>
            <w:rFonts w:asciiTheme="minorEastAsia" w:hAnsiTheme="minorEastAsia" w:hint="eastAsia"/>
            <w:noProof/>
          </w:rPr>
          <w:t>（三）</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投资理念</w:t>
        </w:r>
        <w:r w:rsidR="00CE5A41">
          <w:rPr>
            <w:noProof/>
            <w:webHidden/>
          </w:rPr>
          <w:tab/>
        </w:r>
        <w:r w:rsidR="00CE5A41">
          <w:rPr>
            <w:noProof/>
            <w:webHidden/>
          </w:rPr>
          <w:fldChar w:fldCharType="begin"/>
        </w:r>
        <w:r w:rsidR="00CE5A41">
          <w:rPr>
            <w:noProof/>
            <w:webHidden/>
          </w:rPr>
          <w:instrText xml:space="preserve"> PAGEREF _Toc30161787 \h </w:instrText>
        </w:r>
        <w:r w:rsidR="00CE5A41">
          <w:rPr>
            <w:noProof/>
            <w:webHidden/>
          </w:rPr>
        </w:r>
        <w:r w:rsidR="00CE5A41">
          <w:rPr>
            <w:noProof/>
            <w:webHidden/>
          </w:rPr>
          <w:fldChar w:fldCharType="separate"/>
        </w:r>
        <w:r w:rsidR="00CE5A41">
          <w:rPr>
            <w:noProof/>
            <w:webHidden/>
          </w:rPr>
          <w:t>88</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88" w:history="1">
        <w:r w:rsidR="00CE5A41" w:rsidRPr="001930AB">
          <w:rPr>
            <w:rStyle w:val="a9"/>
            <w:rFonts w:asciiTheme="minorEastAsia" w:hAnsiTheme="minorEastAsia" w:hint="eastAsia"/>
            <w:noProof/>
          </w:rPr>
          <w:t>（四）</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投资策略</w:t>
        </w:r>
        <w:r w:rsidR="00CE5A41">
          <w:rPr>
            <w:noProof/>
            <w:webHidden/>
          </w:rPr>
          <w:tab/>
        </w:r>
        <w:r w:rsidR="00CE5A41">
          <w:rPr>
            <w:noProof/>
            <w:webHidden/>
          </w:rPr>
          <w:fldChar w:fldCharType="begin"/>
        </w:r>
        <w:r w:rsidR="00CE5A41">
          <w:rPr>
            <w:noProof/>
            <w:webHidden/>
          </w:rPr>
          <w:instrText xml:space="preserve"> PAGEREF _Toc30161788 \h </w:instrText>
        </w:r>
        <w:r w:rsidR="00CE5A41">
          <w:rPr>
            <w:noProof/>
            <w:webHidden/>
          </w:rPr>
        </w:r>
        <w:r w:rsidR="00CE5A41">
          <w:rPr>
            <w:noProof/>
            <w:webHidden/>
          </w:rPr>
          <w:fldChar w:fldCharType="separate"/>
        </w:r>
        <w:r w:rsidR="00CE5A41">
          <w:rPr>
            <w:noProof/>
            <w:webHidden/>
          </w:rPr>
          <w:t>88</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89" w:history="1">
        <w:r w:rsidR="00CE5A41" w:rsidRPr="001930AB">
          <w:rPr>
            <w:rStyle w:val="a9"/>
            <w:rFonts w:asciiTheme="minorEastAsia" w:hAnsiTheme="minorEastAsia" w:hint="eastAsia"/>
            <w:noProof/>
          </w:rPr>
          <w:t>（五）</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业绩比较基准</w:t>
        </w:r>
        <w:r w:rsidR="00CE5A41">
          <w:rPr>
            <w:noProof/>
            <w:webHidden/>
          </w:rPr>
          <w:tab/>
        </w:r>
        <w:r w:rsidR="00CE5A41">
          <w:rPr>
            <w:noProof/>
            <w:webHidden/>
          </w:rPr>
          <w:fldChar w:fldCharType="begin"/>
        </w:r>
        <w:r w:rsidR="00CE5A41">
          <w:rPr>
            <w:noProof/>
            <w:webHidden/>
          </w:rPr>
          <w:instrText xml:space="preserve"> PAGEREF _Toc30161789 \h </w:instrText>
        </w:r>
        <w:r w:rsidR="00CE5A41">
          <w:rPr>
            <w:noProof/>
            <w:webHidden/>
          </w:rPr>
        </w:r>
        <w:r w:rsidR="00CE5A41">
          <w:rPr>
            <w:noProof/>
            <w:webHidden/>
          </w:rPr>
          <w:fldChar w:fldCharType="separate"/>
        </w:r>
        <w:r w:rsidR="00CE5A41">
          <w:rPr>
            <w:noProof/>
            <w:webHidden/>
          </w:rPr>
          <w:t>91</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90" w:history="1">
        <w:r w:rsidR="00CE5A41" w:rsidRPr="001930AB">
          <w:rPr>
            <w:rStyle w:val="a9"/>
            <w:rFonts w:asciiTheme="minorEastAsia" w:hAnsiTheme="minorEastAsia" w:hint="eastAsia"/>
            <w:noProof/>
          </w:rPr>
          <w:t>（六）</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投资程序</w:t>
        </w:r>
        <w:r w:rsidR="00CE5A41">
          <w:rPr>
            <w:noProof/>
            <w:webHidden/>
          </w:rPr>
          <w:tab/>
        </w:r>
        <w:r w:rsidR="00CE5A41">
          <w:rPr>
            <w:noProof/>
            <w:webHidden/>
          </w:rPr>
          <w:fldChar w:fldCharType="begin"/>
        </w:r>
        <w:r w:rsidR="00CE5A41">
          <w:rPr>
            <w:noProof/>
            <w:webHidden/>
          </w:rPr>
          <w:instrText xml:space="preserve"> PAGEREF _Toc30161790 \h </w:instrText>
        </w:r>
        <w:r w:rsidR="00CE5A41">
          <w:rPr>
            <w:noProof/>
            <w:webHidden/>
          </w:rPr>
        </w:r>
        <w:r w:rsidR="00CE5A41">
          <w:rPr>
            <w:noProof/>
            <w:webHidden/>
          </w:rPr>
          <w:fldChar w:fldCharType="separate"/>
        </w:r>
        <w:r w:rsidR="00CE5A41">
          <w:rPr>
            <w:noProof/>
            <w:webHidden/>
          </w:rPr>
          <w:t>92</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91" w:history="1">
        <w:r w:rsidR="00CE5A41" w:rsidRPr="001930AB">
          <w:rPr>
            <w:rStyle w:val="a9"/>
            <w:rFonts w:asciiTheme="minorEastAsia" w:hAnsiTheme="minorEastAsia" w:hint="eastAsia"/>
            <w:noProof/>
          </w:rPr>
          <w:t>（七）</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基金投资限制</w:t>
        </w:r>
        <w:r w:rsidR="00CE5A41">
          <w:rPr>
            <w:noProof/>
            <w:webHidden/>
          </w:rPr>
          <w:tab/>
        </w:r>
        <w:r w:rsidR="00CE5A41">
          <w:rPr>
            <w:noProof/>
            <w:webHidden/>
          </w:rPr>
          <w:fldChar w:fldCharType="begin"/>
        </w:r>
        <w:r w:rsidR="00CE5A41">
          <w:rPr>
            <w:noProof/>
            <w:webHidden/>
          </w:rPr>
          <w:instrText xml:space="preserve"> PAGEREF _Toc30161791 \h </w:instrText>
        </w:r>
        <w:r w:rsidR="00CE5A41">
          <w:rPr>
            <w:noProof/>
            <w:webHidden/>
          </w:rPr>
        </w:r>
        <w:r w:rsidR="00CE5A41">
          <w:rPr>
            <w:noProof/>
            <w:webHidden/>
          </w:rPr>
          <w:fldChar w:fldCharType="separate"/>
        </w:r>
        <w:r w:rsidR="00CE5A41">
          <w:rPr>
            <w:noProof/>
            <w:webHidden/>
          </w:rPr>
          <w:t>93</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92" w:history="1">
        <w:r w:rsidR="00CE5A41" w:rsidRPr="001930AB">
          <w:rPr>
            <w:rStyle w:val="a9"/>
            <w:rFonts w:asciiTheme="minorEastAsia" w:hAnsiTheme="minorEastAsia" w:hint="eastAsia"/>
            <w:noProof/>
          </w:rPr>
          <w:t>（八）</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禁止行为</w:t>
        </w:r>
        <w:r w:rsidR="00CE5A41">
          <w:rPr>
            <w:noProof/>
            <w:webHidden/>
          </w:rPr>
          <w:tab/>
        </w:r>
        <w:r w:rsidR="00CE5A41">
          <w:rPr>
            <w:noProof/>
            <w:webHidden/>
          </w:rPr>
          <w:fldChar w:fldCharType="begin"/>
        </w:r>
        <w:r w:rsidR="00CE5A41">
          <w:rPr>
            <w:noProof/>
            <w:webHidden/>
          </w:rPr>
          <w:instrText xml:space="preserve"> PAGEREF _Toc30161792 \h </w:instrText>
        </w:r>
        <w:r w:rsidR="00CE5A41">
          <w:rPr>
            <w:noProof/>
            <w:webHidden/>
          </w:rPr>
        </w:r>
        <w:r w:rsidR="00CE5A41">
          <w:rPr>
            <w:noProof/>
            <w:webHidden/>
          </w:rPr>
          <w:fldChar w:fldCharType="separate"/>
        </w:r>
        <w:r w:rsidR="00CE5A41">
          <w:rPr>
            <w:noProof/>
            <w:webHidden/>
          </w:rPr>
          <w:t>93</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93" w:history="1">
        <w:r w:rsidR="00CE5A41" w:rsidRPr="001930AB">
          <w:rPr>
            <w:rStyle w:val="a9"/>
            <w:rFonts w:asciiTheme="minorEastAsia" w:hAnsiTheme="minorEastAsia" w:hint="eastAsia"/>
            <w:noProof/>
          </w:rPr>
          <w:t>（九）</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基金管理人代表基金行使所投资证券产生权利的处理原则及方法</w:t>
        </w:r>
        <w:r w:rsidR="00CE5A41">
          <w:rPr>
            <w:noProof/>
            <w:webHidden/>
          </w:rPr>
          <w:tab/>
        </w:r>
        <w:r w:rsidR="00CE5A41">
          <w:rPr>
            <w:noProof/>
            <w:webHidden/>
          </w:rPr>
          <w:fldChar w:fldCharType="begin"/>
        </w:r>
        <w:r w:rsidR="00CE5A41">
          <w:rPr>
            <w:noProof/>
            <w:webHidden/>
          </w:rPr>
          <w:instrText xml:space="preserve"> PAGEREF _Toc30161793 \h </w:instrText>
        </w:r>
        <w:r w:rsidR="00CE5A41">
          <w:rPr>
            <w:noProof/>
            <w:webHidden/>
          </w:rPr>
        </w:r>
        <w:r w:rsidR="00CE5A41">
          <w:rPr>
            <w:noProof/>
            <w:webHidden/>
          </w:rPr>
          <w:fldChar w:fldCharType="separate"/>
        </w:r>
        <w:r w:rsidR="00CE5A41">
          <w:rPr>
            <w:noProof/>
            <w:webHidden/>
          </w:rPr>
          <w:t>93</w:t>
        </w:r>
        <w:r w:rsidR="00CE5A41">
          <w:rPr>
            <w:noProof/>
            <w:webHidden/>
          </w:rPr>
          <w:fldChar w:fldCharType="end"/>
        </w:r>
      </w:hyperlink>
    </w:p>
    <w:p w:rsidR="00CE5A41" w:rsidRDefault="004E05E9">
      <w:pPr>
        <w:pStyle w:val="24"/>
        <w:tabs>
          <w:tab w:val="left" w:pos="1680"/>
          <w:tab w:val="right" w:leader="dot" w:pos="8268"/>
        </w:tabs>
        <w:ind w:firstLine="420"/>
        <w:rPr>
          <w:rFonts w:asciiTheme="minorHAnsi" w:eastAsiaTheme="minorEastAsia" w:hAnsiTheme="minorHAnsi" w:cstheme="minorBidi"/>
          <w:smallCaps w:val="0"/>
          <w:noProof/>
          <w:szCs w:val="22"/>
        </w:rPr>
      </w:pPr>
      <w:hyperlink w:anchor="_Toc30161794" w:history="1">
        <w:r w:rsidR="00CE5A41" w:rsidRPr="001930AB">
          <w:rPr>
            <w:rStyle w:val="a9"/>
            <w:rFonts w:asciiTheme="minorEastAsia" w:hAnsiTheme="minorEastAsia" w:hint="eastAsia"/>
            <w:noProof/>
          </w:rPr>
          <w:t>（十）</w:t>
        </w:r>
        <w:r w:rsidR="00CE5A41">
          <w:rPr>
            <w:rFonts w:asciiTheme="minorHAnsi" w:eastAsiaTheme="minorEastAsia" w:hAnsiTheme="minorHAnsi" w:cstheme="minorBidi"/>
            <w:smallCaps w:val="0"/>
            <w:noProof/>
            <w:szCs w:val="22"/>
          </w:rPr>
          <w:tab/>
        </w:r>
        <w:r w:rsidR="00CE5A41" w:rsidRPr="001930AB">
          <w:rPr>
            <w:rStyle w:val="a9"/>
            <w:rFonts w:asciiTheme="minorEastAsia" w:hAnsiTheme="minorEastAsia" w:hint="eastAsia"/>
            <w:noProof/>
          </w:rPr>
          <w:t>基金投资组合报告（未经审计）</w:t>
        </w:r>
        <w:r w:rsidR="00CE5A41">
          <w:rPr>
            <w:noProof/>
            <w:webHidden/>
          </w:rPr>
          <w:tab/>
        </w:r>
        <w:r w:rsidR="00CE5A41">
          <w:rPr>
            <w:noProof/>
            <w:webHidden/>
          </w:rPr>
          <w:fldChar w:fldCharType="begin"/>
        </w:r>
        <w:r w:rsidR="00CE5A41">
          <w:rPr>
            <w:noProof/>
            <w:webHidden/>
          </w:rPr>
          <w:instrText xml:space="preserve"> PAGEREF _Toc30161794 \h </w:instrText>
        </w:r>
        <w:r w:rsidR="00CE5A41">
          <w:rPr>
            <w:noProof/>
            <w:webHidden/>
          </w:rPr>
        </w:r>
        <w:r w:rsidR="00CE5A41">
          <w:rPr>
            <w:noProof/>
            <w:webHidden/>
          </w:rPr>
          <w:fldChar w:fldCharType="separate"/>
        </w:r>
        <w:r w:rsidR="00CE5A41">
          <w:rPr>
            <w:noProof/>
            <w:webHidden/>
          </w:rPr>
          <w:t>93</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95" w:history="1">
        <w:r w:rsidR="00CE5A41" w:rsidRPr="001930AB">
          <w:rPr>
            <w:rStyle w:val="a9"/>
            <w:rFonts w:asciiTheme="minorEastAsia" w:hAnsiTheme="minorEastAsia" w:hint="eastAsia"/>
            <w:b/>
          </w:rPr>
          <w:t>九、基金的业绩</w:t>
        </w:r>
        <w:r w:rsidR="00CE5A41">
          <w:rPr>
            <w:webHidden/>
          </w:rPr>
          <w:tab/>
        </w:r>
        <w:r w:rsidR="00CE5A41">
          <w:rPr>
            <w:webHidden/>
          </w:rPr>
          <w:fldChar w:fldCharType="begin"/>
        </w:r>
        <w:r w:rsidR="00CE5A41">
          <w:rPr>
            <w:webHidden/>
          </w:rPr>
          <w:instrText xml:space="preserve"> PAGEREF _Toc30161795 \h </w:instrText>
        </w:r>
        <w:r w:rsidR="00CE5A41">
          <w:rPr>
            <w:webHidden/>
          </w:rPr>
        </w:r>
        <w:r w:rsidR="00CE5A41">
          <w:rPr>
            <w:webHidden/>
          </w:rPr>
          <w:fldChar w:fldCharType="separate"/>
        </w:r>
        <w:r w:rsidR="00CE5A41">
          <w:rPr>
            <w:webHidden/>
          </w:rPr>
          <w:t>98</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96" w:history="1">
        <w:r w:rsidR="00CE5A41" w:rsidRPr="001930AB">
          <w:rPr>
            <w:rStyle w:val="a9"/>
            <w:rFonts w:asciiTheme="minorEastAsia" w:hAnsiTheme="minorEastAsia" w:hint="eastAsia"/>
            <w:b/>
          </w:rPr>
          <w:t>十、基金的财产</w:t>
        </w:r>
        <w:r w:rsidR="00CE5A41">
          <w:rPr>
            <w:webHidden/>
          </w:rPr>
          <w:tab/>
        </w:r>
        <w:r w:rsidR="00CE5A41">
          <w:rPr>
            <w:webHidden/>
          </w:rPr>
          <w:fldChar w:fldCharType="begin"/>
        </w:r>
        <w:r w:rsidR="00CE5A41">
          <w:rPr>
            <w:webHidden/>
          </w:rPr>
          <w:instrText xml:space="preserve"> PAGEREF _Toc30161796 \h </w:instrText>
        </w:r>
        <w:r w:rsidR="00CE5A41">
          <w:rPr>
            <w:webHidden/>
          </w:rPr>
        </w:r>
        <w:r w:rsidR="00CE5A41">
          <w:rPr>
            <w:webHidden/>
          </w:rPr>
          <w:fldChar w:fldCharType="separate"/>
        </w:r>
        <w:r w:rsidR="00CE5A41">
          <w:rPr>
            <w:webHidden/>
          </w:rPr>
          <w:t>99</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797" w:history="1">
        <w:r w:rsidR="00CE5A41" w:rsidRPr="001930AB">
          <w:rPr>
            <w:rStyle w:val="a9"/>
            <w:rFonts w:asciiTheme="minorEastAsia" w:hAnsiTheme="minorEastAsia" w:hint="eastAsia"/>
            <w:b/>
          </w:rPr>
          <w:t>十一、基金资产的估值</w:t>
        </w:r>
        <w:r w:rsidR="00CE5A41">
          <w:rPr>
            <w:webHidden/>
          </w:rPr>
          <w:tab/>
        </w:r>
        <w:r w:rsidR="00CE5A41">
          <w:rPr>
            <w:webHidden/>
          </w:rPr>
          <w:fldChar w:fldCharType="begin"/>
        </w:r>
        <w:r w:rsidR="00CE5A41">
          <w:rPr>
            <w:webHidden/>
          </w:rPr>
          <w:instrText xml:space="preserve"> PAGEREF _Toc30161797 \h </w:instrText>
        </w:r>
        <w:r w:rsidR="00CE5A41">
          <w:rPr>
            <w:webHidden/>
          </w:rPr>
        </w:r>
        <w:r w:rsidR="00CE5A41">
          <w:rPr>
            <w:webHidden/>
          </w:rPr>
          <w:fldChar w:fldCharType="separate"/>
        </w:r>
        <w:r w:rsidR="00CE5A41">
          <w:rPr>
            <w:webHidden/>
          </w:rPr>
          <w:t>100</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98" w:history="1">
        <w:r w:rsidR="00CE5A41" w:rsidRPr="001930AB">
          <w:rPr>
            <w:rStyle w:val="a9"/>
            <w:rFonts w:asciiTheme="minorEastAsia" w:hAnsiTheme="minorEastAsia" w:hint="eastAsia"/>
            <w:noProof/>
          </w:rPr>
          <w:t>（一）估值目的</w:t>
        </w:r>
        <w:r w:rsidR="00CE5A41">
          <w:rPr>
            <w:noProof/>
            <w:webHidden/>
          </w:rPr>
          <w:tab/>
        </w:r>
        <w:r w:rsidR="00CE5A41">
          <w:rPr>
            <w:noProof/>
            <w:webHidden/>
          </w:rPr>
          <w:fldChar w:fldCharType="begin"/>
        </w:r>
        <w:r w:rsidR="00CE5A41">
          <w:rPr>
            <w:noProof/>
            <w:webHidden/>
          </w:rPr>
          <w:instrText xml:space="preserve"> PAGEREF _Toc30161798 \h </w:instrText>
        </w:r>
        <w:r w:rsidR="00CE5A41">
          <w:rPr>
            <w:noProof/>
            <w:webHidden/>
          </w:rPr>
        </w:r>
        <w:r w:rsidR="00CE5A41">
          <w:rPr>
            <w:noProof/>
            <w:webHidden/>
          </w:rPr>
          <w:fldChar w:fldCharType="separate"/>
        </w:r>
        <w:r w:rsidR="00CE5A41">
          <w:rPr>
            <w:noProof/>
            <w:webHidden/>
          </w:rPr>
          <w:t>100</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799" w:history="1">
        <w:r w:rsidR="00CE5A41" w:rsidRPr="001930AB">
          <w:rPr>
            <w:rStyle w:val="a9"/>
            <w:rFonts w:asciiTheme="minorEastAsia" w:hAnsiTheme="minorEastAsia" w:hint="eastAsia"/>
            <w:noProof/>
          </w:rPr>
          <w:t>（二）估值日</w:t>
        </w:r>
        <w:r w:rsidR="00CE5A41">
          <w:rPr>
            <w:noProof/>
            <w:webHidden/>
          </w:rPr>
          <w:tab/>
        </w:r>
        <w:r w:rsidR="00CE5A41">
          <w:rPr>
            <w:noProof/>
            <w:webHidden/>
          </w:rPr>
          <w:fldChar w:fldCharType="begin"/>
        </w:r>
        <w:r w:rsidR="00CE5A41">
          <w:rPr>
            <w:noProof/>
            <w:webHidden/>
          </w:rPr>
          <w:instrText xml:space="preserve"> PAGEREF _Toc30161799 \h </w:instrText>
        </w:r>
        <w:r w:rsidR="00CE5A41">
          <w:rPr>
            <w:noProof/>
            <w:webHidden/>
          </w:rPr>
        </w:r>
        <w:r w:rsidR="00CE5A41">
          <w:rPr>
            <w:noProof/>
            <w:webHidden/>
          </w:rPr>
          <w:fldChar w:fldCharType="separate"/>
        </w:r>
        <w:r w:rsidR="00CE5A41">
          <w:rPr>
            <w:noProof/>
            <w:webHidden/>
          </w:rPr>
          <w:t>100</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0" w:history="1">
        <w:r w:rsidR="00CE5A41" w:rsidRPr="001930AB">
          <w:rPr>
            <w:rStyle w:val="a9"/>
            <w:rFonts w:asciiTheme="minorEastAsia" w:hAnsiTheme="minorEastAsia" w:hint="eastAsia"/>
            <w:noProof/>
          </w:rPr>
          <w:t>（三）估值对象</w:t>
        </w:r>
        <w:r w:rsidR="00CE5A41">
          <w:rPr>
            <w:noProof/>
            <w:webHidden/>
          </w:rPr>
          <w:tab/>
        </w:r>
        <w:r w:rsidR="00CE5A41">
          <w:rPr>
            <w:noProof/>
            <w:webHidden/>
          </w:rPr>
          <w:fldChar w:fldCharType="begin"/>
        </w:r>
        <w:r w:rsidR="00CE5A41">
          <w:rPr>
            <w:noProof/>
            <w:webHidden/>
          </w:rPr>
          <w:instrText xml:space="preserve"> PAGEREF _Toc30161800 \h </w:instrText>
        </w:r>
        <w:r w:rsidR="00CE5A41">
          <w:rPr>
            <w:noProof/>
            <w:webHidden/>
          </w:rPr>
        </w:r>
        <w:r w:rsidR="00CE5A41">
          <w:rPr>
            <w:noProof/>
            <w:webHidden/>
          </w:rPr>
          <w:fldChar w:fldCharType="separate"/>
        </w:r>
        <w:r w:rsidR="00CE5A41">
          <w:rPr>
            <w:noProof/>
            <w:webHidden/>
          </w:rPr>
          <w:t>100</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1" w:history="1">
        <w:r w:rsidR="00CE5A41" w:rsidRPr="001930AB">
          <w:rPr>
            <w:rStyle w:val="a9"/>
            <w:rFonts w:asciiTheme="minorEastAsia" w:hAnsiTheme="minorEastAsia" w:hint="eastAsia"/>
            <w:noProof/>
          </w:rPr>
          <w:t>（四）估值方法</w:t>
        </w:r>
        <w:r w:rsidR="00CE5A41">
          <w:rPr>
            <w:noProof/>
            <w:webHidden/>
          </w:rPr>
          <w:tab/>
        </w:r>
        <w:r w:rsidR="00CE5A41">
          <w:rPr>
            <w:noProof/>
            <w:webHidden/>
          </w:rPr>
          <w:fldChar w:fldCharType="begin"/>
        </w:r>
        <w:r w:rsidR="00CE5A41">
          <w:rPr>
            <w:noProof/>
            <w:webHidden/>
          </w:rPr>
          <w:instrText xml:space="preserve"> PAGEREF _Toc30161801 \h </w:instrText>
        </w:r>
        <w:r w:rsidR="00CE5A41">
          <w:rPr>
            <w:noProof/>
            <w:webHidden/>
          </w:rPr>
        </w:r>
        <w:r w:rsidR="00CE5A41">
          <w:rPr>
            <w:noProof/>
            <w:webHidden/>
          </w:rPr>
          <w:fldChar w:fldCharType="separate"/>
        </w:r>
        <w:r w:rsidR="00CE5A41">
          <w:rPr>
            <w:noProof/>
            <w:webHidden/>
          </w:rPr>
          <w:t>100</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2" w:history="1">
        <w:r w:rsidR="00CE5A41" w:rsidRPr="001930AB">
          <w:rPr>
            <w:rStyle w:val="a9"/>
            <w:rFonts w:asciiTheme="minorEastAsia" w:hAnsiTheme="minorEastAsia" w:hint="eastAsia"/>
            <w:noProof/>
          </w:rPr>
          <w:t>（五）估值程序</w:t>
        </w:r>
        <w:r w:rsidR="00CE5A41">
          <w:rPr>
            <w:noProof/>
            <w:webHidden/>
          </w:rPr>
          <w:tab/>
        </w:r>
        <w:r w:rsidR="00CE5A41">
          <w:rPr>
            <w:noProof/>
            <w:webHidden/>
          </w:rPr>
          <w:fldChar w:fldCharType="begin"/>
        </w:r>
        <w:r w:rsidR="00CE5A41">
          <w:rPr>
            <w:noProof/>
            <w:webHidden/>
          </w:rPr>
          <w:instrText xml:space="preserve"> PAGEREF _Toc30161802 \h </w:instrText>
        </w:r>
        <w:r w:rsidR="00CE5A41">
          <w:rPr>
            <w:noProof/>
            <w:webHidden/>
          </w:rPr>
        </w:r>
        <w:r w:rsidR="00CE5A41">
          <w:rPr>
            <w:noProof/>
            <w:webHidden/>
          </w:rPr>
          <w:fldChar w:fldCharType="separate"/>
        </w:r>
        <w:r w:rsidR="00CE5A41">
          <w:rPr>
            <w:noProof/>
            <w:webHidden/>
          </w:rPr>
          <w:t>101</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3" w:history="1">
        <w:r w:rsidR="00CE5A41" w:rsidRPr="001930AB">
          <w:rPr>
            <w:rStyle w:val="a9"/>
            <w:rFonts w:asciiTheme="minorEastAsia" w:hAnsiTheme="minorEastAsia" w:hint="eastAsia"/>
            <w:noProof/>
          </w:rPr>
          <w:t>（六）暂停估值的情形</w:t>
        </w:r>
        <w:r w:rsidR="00CE5A41">
          <w:rPr>
            <w:noProof/>
            <w:webHidden/>
          </w:rPr>
          <w:tab/>
        </w:r>
        <w:r w:rsidR="00CE5A41">
          <w:rPr>
            <w:noProof/>
            <w:webHidden/>
          </w:rPr>
          <w:fldChar w:fldCharType="begin"/>
        </w:r>
        <w:r w:rsidR="00CE5A41">
          <w:rPr>
            <w:noProof/>
            <w:webHidden/>
          </w:rPr>
          <w:instrText xml:space="preserve"> PAGEREF _Toc30161803 \h </w:instrText>
        </w:r>
        <w:r w:rsidR="00CE5A41">
          <w:rPr>
            <w:noProof/>
            <w:webHidden/>
          </w:rPr>
        </w:r>
        <w:r w:rsidR="00CE5A41">
          <w:rPr>
            <w:noProof/>
            <w:webHidden/>
          </w:rPr>
          <w:fldChar w:fldCharType="separate"/>
        </w:r>
        <w:r w:rsidR="00CE5A41">
          <w:rPr>
            <w:noProof/>
            <w:webHidden/>
          </w:rPr>
          <w:t>101</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4" w:history="1">
        <w:r w:rsidR="00CE5A41" w:rsidRPr="001930AB">
          <w:rPr>
            <w:rStyle w:val="a9"/>
            <w:rFonts w:asciiTheme="minorEastAsia" w:hAnsiTheme="minorEastAsia" w:hint="eastAsia"/>
            <w:noProof/>
          </w:rPr>
          <w:t>（七）基金份额净值的确认</w:t>
        </w:r>
        <w:r w:rsidR="00CE5A41">
          <w:rPr>
            <w:noProof/>
            <w:webHidden/>
          </w:rPr>
          <w:tab/>
        </w:r>
        <w:r w:rsidR="00CE5A41">
          <w:rPr>
            <w:noProof/>
            <w:webHidden/>
          </w:rPr>
          <w:fldChar w:fldCharType="begin"/>
        </w:r>
        <w:r w:rsidR="00CE5A41">
          <w:rPr>
            <w:noProof/>
            <w:webHidden/>
          </w:rPr>
          <w:instrText xml:space="preserve"> PAGEREF _Toc30161804 \h </w:instrText>
        </w:r>
        <w:r w:rsidR="00CE5A41">
          <w:rPr>
            <w:noProof/>
            <w:webHidden/>
          </w:rPr>
        </w:r>
        <w:r w:rsidR="00CE5A41">
          <w:rPr>
            <w:noProof/>
            <w:webHidden/>
          </w:rPr>
          <w:fldChar w:fldCharType="separate"/>
        </w:r>
        <w:r w:rsidR="00CE5A41">
          <w:rPr>
            <w:noProof/>
            <w:webHidden/>
          </w:rPr>
          <w:t>101</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5" w:history="1">
        <w:r w:rsidR="00CE5A41" w:rsidRPr="001930AB">
          <w:rPr>
            <w:rStyle w:val="a9"/>
            <w:rFonts w:asciiTheme="minorEastAsia" w:hAnsiTheme="minorEastAsia" w:hint="eastAsia"/>
            <w:noProof/>
          </w:rPr>
          <w:t>（八）估值错误的处理</w:t>
        </w:r>
        <w:r w:rsidR="00CE5A41">
          <w:rPr>
            <w:noProof/>
            <w:webHidden/>
          </w:rPr>
          <w:tab/>
        </w:r>
        <w:r w:rsidR="00CE5A41">
          <w:rPr>
            <w:noProof/>
            <w:webHidden/>
          </w:rPr>
          <w:fldChar w:fldCharType="begin"/>
        </w:r>
        <w:r w:rsidR="00CE5A41">
          <w:rPr>
            <w:noProof/>
            <w:webHidden/>
          </w:rPr>
          <w:instrText xml:space="preserve"> PAGEREF _Toc30161805 \h </w:instrText>
        </w:r>
        <w:r w:rsidR="00CE5A41">
          <w:rPr>
            <w:noProof/>
            <w:webHidden/>
          </w:rPr>
        </w:r>
        <w:r w:rsidR="00CE5A41">
          <w:rPr>
            <w:noProof/>
            <w:webHidden/>
          </w:rPr>
          <w:fldChar w:fldCharType="separate"/>
        </w:r>
        <w:r w:rsidR="00CE5A41">
          <w:rPr>
            <w:noProof/>
            <w:webHidden/>
          </w:rPr>
          <w:t>102</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6" w:history="1">
        <w:r w:rsidR="00CE5A41" w:rsidRPr="001930AB">
          <w:rPr>
            <w:rStyle w:val="a9"/>
            <w:rFonts w:asciiTheme="minorEastAsia" w:hAnsiTheme="minorEastAsia" w:hint="eastAsia"/>
            <w:noProof/>
          </w:rPr>
          <w:t>（九）特殊情形的处理</w:t>
        </w:r>
        <w:r w:rsidR="00CE5A41">
          <w:rPr>
            <w:noProof/>
            <w:webHidden/>
          </w:rPr>
          <w:tab/>
        </w:r>
        <w:r w:rsidR="00CE5A41">
          <w:rPr>
            <w:noProof/>
            <w:webHidden/>
          </w:rPr>
          <w:fldChar w:fldCharType="begin"/>
        </w:r>
        <w:r w:rsidR="00CE5A41">
          <w:rPr>
            <w:noProof/>
            <w:webHidden/>
          </w:rPr>
          <w:instrText xml:space="preserve"> PAGEREF _Toc30161806 \h </w:instrText>
        </w:r>
        <w:r w:rsidR="00CE5A41">
          <w:rPr>
            <w:noProof/>
            <w:webHidden/>
          </w:rPr>
        </w:r>
        <w:r w:rsidR="00CE5A41">
          <w:rPr>
            <w:noProof/>
            <w:webHidden/>
          </w:rPr>
          <w:fldChar w:fldCharType="separate"/>
        </w:r>
        <w:r w:rsidR="00CE5A41">
          <w:rPr>
            <w:noProof/>
            <w:webHidden/>
          </w:rPr>
          <w:t>102</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07" w:history="1">
        <w:r w:rsidR="00CE5A41" w:rsidRPr="001930AB">
          <w:rPr>
            <w:rStyle w:val="a9"/>
            <w:rFonts w:asciiTheme="minorEastAsia" w:hAnsiTheme="minorEastAsia" w:hint="eastAsia"/>
            <w:b/>
          </w:rPr>
          <w:t>十二、基金的收益分配</w:t>
        </w:r>
        <w:r w:rsidR="00CE5A41">
          <w:rPr>
            <w:webHidden/>
          </w:rPr>
          <w:tab/>
        </w:r>
        <w:r w:rsidR="00CE5A41">
          <w:rPr>
            <w:webHidden/>
          </w:rPr>
          <w:fldChar w:fldCharType="begin"/>
        </w:r>
        <w:r w:rsidR="00CE5A41">
          <w:rPr>
            <w:webHidden/>
          </w:rPr>
          <w:instrText xml:space="preserve"> PAGEREF _Toc30161807 \h </w:instrText>
        </w:r>
        <w:r w:rsidR="00CE5A41">
          <w:rPr>
            <w:webHidden/>
          </w:rPr>
        </w:r>
        <w:r w:rsidR="00CE5A41">
          <w:rPr>
            <w:webHidden/>
          </w:rPr>
          <w:fldChar w:fldCharType="separate"/>
        </w:r>
        <w:r w:rsidR="00CE5A41">
          <w:rPr>
            <w:webHidden/>
          </w:rPr>
          <w:t>103</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8" w:history="1">
        <w:r w:rsidR="00CE5A41" w:rsidRPr="001930AB">
          <w:rPr>
            <w:rStyle w:val="a9"/>
            <w:rFonts w:asciiTheme="minorEastAsia" w:hAnsiTheme="minorEastAsia" w:hint="eastAsia"/>
            <w:bCs/>
            <w:noProof/>
          </w:rPr>
          <w:t>（一）收益的构成</w:t>
        </w:r>
        <w:r w:rsidR="00CE5A41">
          <w:rPr>
            <w:noProof/>
            <w:webHidden/>
          </w:rPr>
          <w:tab/>
        </w:r>
        <w:r w:rsidR="00CE5A41">
          <w:rPr>
            <w:noProof/>
            <w:webHidden/>
          </w:rPr>
          <w:fldChar w:fldCharType="begin"/>
        </w:r>
        <w:r w:rsidR="00CE5A41">
          <w:rPr>
            <w:noProof/>
            <w:webHidden/>
          </w:rPr>
          <w:instrText xml:space="preserve"> PAGEREF _Toc30161808 \h </w:instrText>
        </w:r>
        <w:r w:rsidR="00CE5A41">
          <w:rPr>
            <w:noProof/>
            <w:webHidden/>
          </w:rPr>
        </w:r>
        <w:r w:rsidR="00CE5A41">
          <w:rPr>
            <w:noProof/>
            <w:webHidden/>
          </w:rPr>
          <w:fldChar w:fldCharType="separate"/>
        </w:r>
        <w:r w:rsidR="00CE5A41">
          <w:rPr>
            <w:noProof/>
            <w:webHidden/>
          </w:rPr>
          <w:t>103</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09" w:history="1">
        <w:r w:rsidR="00CE5A41" w:rsidRPr="001930AB">
          <w:rPr>
            <w:rStyle w:val="a9"/>
            <w:rFonts w:asciiTheme="minorEastAsia" w:hAnsiTheme="minorEastAsia" w:hint="eastAsia"/>
            <w:bCs/>
            <w:noProof/>
          </w:rPr>
          <w:t>（二）收益分配原则</w:t>
        </w:r>
        <w:r w:rsidR="00CE5A41">
          <w:rPr>
            <w:noProof/>
            <w:webHidden/>
          </w:rPr>
          <w:tab/>
        </w:r>
        <w:r w:rsidR="00CE5A41">
          <w:rPr>
            <w:noProof/>
            <w:webHidden/>
          </w:rPr>
          <w:fldChar w:fldCharType="begin"/>
        </w:r>
        <w:r w:rsidR="00CE5A41">
          <w:rPr>
            <w:noProof/>
            <w:webHidden/>
          </w:rPr>
          <w:instrText xml:space="preserve"> PAGEREF _Toc30161809 \h </w:instrText>
        </w:r>
        <w:r w:rsidR="00CE5A41">
          <w:rPr>
            <w:noProof/>
            <w:webHidden/>
          </w:rPr>
        </w:r>
        <w:r w:rsidR="00CE5A41">
          <w:rPr>
            <w:noProof/>
            <w:webHidden/>
          </w:rPr>
          <w:fldChar w:fldCharType="separate"/>
        </w:r>
        <w:r w:rsidR="00CE5A41">
          <w:rPr>
            <w:noProof/>
            <w:webHidden/>
          </w:rPr>
          <w:t>103</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0" w:history="1">
        <w:r w:rsidR="00CE5A41" w:rsidRPr="001930AB">
          <w:rPr>
            <w:rStyle w:val="a9"/>
            <w:rFonts w:asciiTheme="minorEastAsia" w:hAnsiTheme="minorEastAsia" w:hint="eastAsia"/>
            <w:bCs/>
            <w:noProof/>
          </w:rPr>
          <w:t>（三）收益分配方案的确定与公告</w:t>
        </w:r>
        <w:r w:rsidR="00CE5A41">
          <w:rPr>
            <w:noProof/>
            <w:webHidden/>
          </w:rPr>
          <w:tab/>
        </w:r>
        <w:r w:rsidR="00CE5A41">
          <w:rPr>
            <w:noProof/>
            <w:webHidden/>
          </w:rPr>
          <w:fldChar w:fldCharType="begin"/>
        </w:r>
        <w:r w:rsidR="00CE5A41">
          <w:rPr>
            <w:noProof/>
            <w:webHidden/>
          </w:rPr>
          <w:instrText xml:space="preserve"> PAGEREF _Toc30161810 \h </w:instrText>
        </w:r>
        <w:r w:rsidR="00CE5A41">
          <w:rPr>
            <w:noProof/>
            <w:webHidden/>
          </w:rPr>
        </w:r>
        <w:r w:rsidR="00CE5A41">
          <w:rPr>
            <w:noProof/>
            <w:webHidden/>
          </w:rPr>
          <w:fldChar w:fldCharType="separate"/>
        </w:r>
        <w:r w:rsidR="00CE5A41">
          <w:rPr>
            <w:noProof/>
            <w:webHidden/>
          </w:rPr>
          <w:t>103</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1" w:history="1">
        <w:r w:rsidR="00CE5A41" w:rsidRPr="001930AB">
          <w:rPr>
            <w:rStyle w:val="a9"/>
            <w:rFonts w:asciiTheme="minorEastAsia" w:hAnsiTheme="minorEastAsia" w:hint="eastAsia"/>
            <w:bCs/>
            <w:noProof/>
          </w:rPr>
          <w:t>（四）收益分配中发生的费用</w:t>
        </w:r>
        <w:r w:rsidR="00CE5A41">
          <w:rPr>
            <w:noProof/>
            <w:webHidden/>
          </w:rPr>
          <w:tab/>
        </w:r>
        <w:r w:rsidR="00CE5A41">
          <w:rPr>
            <w:noProof/>
            <w:webHidden/>
          </w:rPr>
          <w:fldChar w:fldCharType="begin"/>
        </w:r>
        <w:r w:rsidR="00CE5A41">
          <w:rPr>
            <w:noProof/>
            <w:webHidden/>
          </w:rPr>
          <w:instrText xml:space="preserve"> PAGEREF _Toc30161811 \h </w:instrText>
        </w:r>
        <w:r w:rsidR="00CE5A41">
          <w:rPr>
            <w:noProof/>
            <w:webHidden/>
          </w:rPr>
        </w:r>
        <w:r w:rsidR="00CE5A41">
          <w:rPr>
            <w:noProof/>
            <w:webHidden/>
          </w:rPr>
          <w:fldChar w:fldCharType="separate"/>
        </w:r>
        <w:r w:rsidR="00CE5A41">
          <w:rPr>
            <w:noProof/>
            <w:webHidden/>
          </w:rPr>
          <w:t>103</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12" w:history="1">
        <w:r w:rsidR="00CE5A41" w:rsidRPr="001930AB">
          <w:rPr>
            <w:rStyle w:val="a9"/>
            <w:rFonts w:asciiTheme="minorEastAsia" w:hAnsiTheme="minorEastAsia" w:hint="eastAsia"/>
            <w:b/>
          </w:rPr>
          <w:t>十三、基金的费用与税收</w:t>
        </w:r>
        <w:r w:rsidR="00CE5A41">
          <w:rPr>
            <w:webHidden/>
          </w:rPr>
          <w:tab/>
        </w:r>
        <w:r w:rsidR="00CE5A41">
          <w:rPr>
            <w:webHidden/>
          </w:rPr>
          <w:fldChar w:fldCharType="begin"/>
        </w:r>
        <w:r w:rsidR="00CE5A41">
          <w:rPr>
            <w:webHidden/>
          </w:rPr>
          <w:instrText xml:space="preserve"> PAGEREF _Toc30161812 \h </w:instrText>
        </w:r>
        <w:r w:rsidR="00CE5A41">
          <w:rPr>
            <w:webHidden/>
          </w:rPr>
        </w:r>
        <w:r w:rsidR="00CE5A41">
          <w:rPr>
            <w:webHidden/>
          </w:rPr>
          <w:fldChar w:fldCharType="separate"/>
        </w:r>
        <w:r w:rsidR="00CE5A41">
          <w:rPr>
            <w:webHidden/>
          </w:rPr>
          <w:t>105</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3" w:history="1">
        <w:r w:rsidR="00CE5A41" w:rsidRPr="001930AB">
          <w:rPr>
            <w:rStyle w:val="a9"/>
            <w:rFonts w:asciiTheme="minorEastAsia" w:hAnsiTheme="minorEastAsia" w:hint="eastAsia"/>
            <w:bCs/>
            <w:noProof/>
          </w:rPr>
          <w:t>（一）与基金运作有关的费用</w:t>
        </w:r>
        <w:r w:rsidR="00CE5A41">
          <w:rPr>
            <w:noProof/>
            <w:webHidden/>
          </w:rPr>
          <w:tab/>
        </w:r>
        <w:r w:rsidR="00CE5A41">
          <w:rPr>
            <w:noProof/>
            <w:webHidden/>
          </w:rPr>
          <w:fldChar w:fldCharType="begin"/>
        </w:r>
        <w:r w:rsidR="00CE5A41">
          <w:rPr>
            <w:noProof/>
            <w:webHidden/>
          </w:rPr>
          <w:instrText xml:space="preserve"> PAGEREF _Toc30161813 \h </w:instrText>
        </w:r>
        <w:r w:rsidR="00CE5A41">
          <w:rPr>
            <w:noProof/>
            <w:webHidden/>
          </w:rPr>
        </w:r>
        <w:r w:rsidR="00CE5A41">
          <w:rPr>
            <w:noProof/>
            <w:webHidden/>
          </w:rPr>
          <w:fldChar w:fldCharType="separate"/>
        </w:r>
        <w:r w:rsidR="00CE5A41">
          <w:rPr>
            <w:noProof/>
            <w:webHidden/>
          </w:rPr>
          <w:t>105</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4" w:history="1">
        <w:r w:rsidR="00CE5A41" w:rsidRPr="001930AB">
          <w:rPr>
            <w:rStyle w:val="a9"/>
            <w:rFonts w:asciiTheme="minorEastAsia" w:hAnsiTheme="minorEastAsia" w:hint="eastAsia"/>
            <w:bCs/>
            <w:noProof/>
          </w:rPr>
          <w:t>（二）与基金销售有关的费用</w:t>
        </w:r>
        <w:r w:rsidR="00CE5A41">
          <w:rPr>
            <w:noProof/>
            <w:webHidden/>
          </w:rPr>
          <w:tab/>
        </w:r>
        <w:r w:rsidR="00CE5A41">
          <w:rPr>
            <w:noProof/>
            <w:webHidden/>
          </w:rPr>
          <w:fldChar w:fldCharType="begin"/>
        </w:r>
        <w:r w:rsidR="00CE5A41">
          <w:rPr>
            <w:noProof/>
            <w:webHidden/>
          </w:rPr>
          <w:instrText xml:space="preserve"> PAGEREF _Toc30161814 \h </w:instrText>
        </w:r>
        <w:r w:rsidR="00CE5A41">
          <w:rPr>
            <w:noProof/>
            <w:webHidden/>
          </w:rPr>
        </w:r>
        <w:r w:rsidR="00CE5A41">
          <w:rPr>
            <w:noProof/>
            <w:webHidden/>
          </w:rPr>
          <w:fldChar w:fldCharType="separate"/>
        </w:r>
        <w:r w:rsidR="00CE5A41">
          <w:rPr>
            <w:noProof/>
            <w:webHidden/>
          </w:rPr>
          <w:t>106</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5" w:history="1">
        <w:r w:rsidR="00CE5A41" w:rsidRPr="001930AB">
          <w:rPr>
            <w:rStyle w:val="a9"/>
            <w:rFonts w:asciiTheme="minorEastAsia" w:hAnsiTheme="minorEastAsia" w:hint="eastAsia"/>
            <w:bCs/>
            <w:noProof/>
          </w:rPr>
          <w:t>（三）基金税收</w:t>
        </w:r>
        <w:r w:rsidR="00CE5A41">
          <w:rPr>
            <w:noProof/>
            <w:webHidden/>
          </w:rPr>
          <w:tab/>
        </w:r>
        <w:r w:rsidR="00CE5A41">
          <w:rPr>
            <w:noProof/>
            <w:webHidden/>
          </w:rPr>
          <w:fldChar w:fldCharType="begin"/>
        </w:r>
        <w:r w:rsidR="00CE5A41">
          <w:rPr>
            <w:noProof/>
            <w:webHidden/>
          </w:rPr>
          <w:instrText xml:space="preserve"> PAGEREF _Toc30161815 \h </w:instrText>
        </w:r>
        <w:r w:rsidR="00CE5A41">
          <w:rPr>
            <w:noProof/>
            <w:webHidden/>
          </w:rPr>
        </w:r>
        <w:r w:rsidR="00CE5A41">
          <w:rPr>
            <w:noProof/>
            <w:webHidden/>
          </w:rPr>
          <w:fldChar w:fldCharType="separate"/>
        </w:r>
        <w:r w:rsidR="00CE5A41">
          <w:rPr>
            <w:noProof/>
            <w:webHidden/>
          </w:rPr>
          <w:t>107</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16" w:history="1">
        <w:r w:rsidR="00CE5A41" w:rsidRPr="001930AB">
          <w:rPr>
            <w:rStyle w:val="a9"/>
            <w:rFonts w:asciiTheme="minorEastAsia" w:hAnsiTheme="minorEastAsia" w:hint="eastAsia"/>
            <w:b/>
          </w:rPr>
          <w:t>十四、基金的会计与审计</w:t>
        </w:r>
        <w:r w:rsidR="00CE5A41">
          <w:rPr>
            <w:webHidden/>
          </w:rPr>
          <w:tab/>
        </w:r>
        <w:r w:rsidR="00CE5A41">
          <w:rPr>
            <w:webHidden/>
          </w:rPr>
          <w:fldChar w:fldCharType="begin"/>
        </w:r>
        <w:r w:rsidR="00CE5A41">
          <w:rPr>
            <w:webHidden/>
          </w:rPr>
          <w:instrText xml:space="preserve"> PAGEREF _Toc30161816 \h </w:instrText>
        </w:r>
        <w:r w:rsidR="00CE5A41">
          <w:rPr>
            <w:webHidden/>
          </w:rPr>
        </w:r>
        <w:r w:rsidR="00CE5A41">
          <w:rPr>
            <w:webHidden/>
          </w:rPr>
          <w:fldChar w:fldCharType="separate"/>
        </w:r>
        <w:r w:rsidR="00CE5A41">
          <w:rPr>
            <w:webHidden/>
          </w:rPr>
          <w:t>108</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7" w:history="1">
        <w:r w:rsidR="00CE5A41" w:rsidRPr="001930AB">
          <w:rPr>
            <w:rStyle w:val="a9"/>
            <w:rFonts w:asciiTheme="minorEastAsia" w:hAnsiTheme="minorEastAsia" w:hint="eastAsia"/>
            <w:bCs/>
            <w:noProof/>
          </w:rPr>
          <w:t>（一）基金会计政策</w:t>
        </w:r>
        <w:r w:rsidR="00CE5A41">
          <w:rPr>
            <w:noProof/>
            <w:webHidden/>
          </w:rPr>
          <w:tab/>
        </w:r>
        <w:r w:rsidR="00CE5A41">
          <w:rPr>
            <w:noProof/>
            <w:webHidden/>
          </w:rPr>
          <w:fldChar w:fldCharType="begin"/>
        </w:r>
        <w:r w:rsidR="00CE5A41">
          <w:rPr>
            <w:noProof/>
            <w:webHidden/>
          </w:rPr>
          <w:instrText xml:space="preserve"> PAGEREF _Toc30161817 \h </w:instrText>
        </w:r>
        <w:r w:rsidR="00CE5A41">
          <w:rPr>
            <w:noProof/>
            <w:webHidden/>
          </w:rPr>
        </w:r>
        <w:r w:rsidR="00CE5A41">
          <w:rPr>
            <w:noProof/>
            <w:webHidden/>
          </w:rPr>
          <w:fldChar w:fldCharType="separate"/>
        </w:r>
        <w:r w:rsidR="00CE5A41">
          <w:rPr>
            <w:noProof/>
            <w:webHidden/>
          </w:rPr>
          <w:t>108</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18" w:history="1">
        <w:r w:rsidR="00CE5A41" w:rsidRPr="001930AB">
          <w:rPr>
            <w:rStyle w:val="a9"/>
            <w:rFonts w:asciiTheme="minorEastAsia" w:hAnsiTheme="minorEastAsia" w:hint="eastAsia"/>
            <w:bCs/>
            <w:noProof/>
          </w:rPr>
          <w:t>（二）基金的审计</w:t>
        </w:r>
        <w:r w:rsidR="00CE5A41">
          <w:rPr>
            <w:noProof/>
            <w:webHidden/>
          </w:rPr>
          <w:tab/>
        </w:r>
        <w:r w:rsidR="00CE5A41">
          <w:rPr>
            <w:noProof/>
            <w:webHidden/>
          </w:rPr>
          <w:fldChar w:fldCharType="begin"/>
        </w:r>
        <w:r w:rsidR="00CE5A41">
          <w:rPr>
            <w:noProof/>
            <w:webHidden/>
          </w:rPr>
          <w:instrText xml:space="preserve"> PAGEREF _Toc30161818 \h </w:instrText>
        </w:r>
        <w:r w:rsidR="00CE5A41">
          <w:rPr>
            <w:noProof/>
            <w:webHidden/>
          </w:rPr>
        </w:r>
        <w:r w:rsidR="00CE5A41">
          <w:rPr>
            <w:noProof/>
            <w:webHidden/>
          </w:rPr>
          <w:fldChar w:fldCharType="separate"/>
        </w:r>
        <w:r w:rsidR="00CE5A41">
          <w:rPr>
            <w:noProof/>
            <w:webHidden/>
          </w:rPr>
          <w:t>108</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19" w:history="1">
        <w:r w:rsidR="00CE5A41" w:rsidRPr="001930AB">
          <w:rPr>
            <w:rStyle w:val="a9"/>
            <w:rFonts w:asciiTheme="minorEastAsia" w:hAnsiTheme="minorEastAsia" w:hint="eastAsia"/>
            <w:b/>
          </w:rPr>
          <w:t>十五、基金的信息披露</w:t>
        </w:r>
        <w:r w:rsidR="00CE5A41">
          <w:rPr>
            <w:webHidden/>
          </w:rPr>
          <w:tab/>
        </w:r>
        <w:r w:rsidR="00CE5A41">
          <w:rPr>
            <w:webHidden/>
          </w:rPr>
          <w:fldChar w:fldCharType="begin"/>
        </w:r>
        <w:r w:rsidR="00CE5A41">
          <w:rPr>
            <w:webHidden/>
          </w:rPr>
          <w:instrText xml:space="preserve"> PAGEREF _Toc30161819 \h </w:instrText>
        </w:r>
        <w:r w:rsidR="00CE5A41">
          <w:rPr>
            <w:webHidden/>
          </w:rPr>
        </w:r>
        <w:r w:rsidR="00CE5A41">
          <w:rPr>
            <w:webHidden/>
          </w:rPr>
          <w:fldChar w:fldCharType="separate"/>
        </w:r>
        <w:r w:rsidR="00CE5A41">
          <w:rPr>
            <w:webHidden/>
          </w:rPr>
          <w:t>109</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20" w:history="1">
        <w:r w:rsidR="00CE5A41" w:rsidRPr="001930AB">
          <w:rPr>
            <w:rStyle w:val="a9"/>
            <w:rFonts w:asciiTheme="minorEastAsia" w:hAnsiTheme="minorEastAsia" w:hint="eastAsia"/>
            <w:b/>
          </w:rPr>
          <w:t>十六、风险揭示</w:t>
        </w:r>
        <w:r w:rsidR="00CE5A41">
          <w:rPr>
            <w:webHidden/>
          </w:rPr>
          <w:tab/>
        </w:r>
        <w:r w:rsidR="00CE5A41">
          <w:rPr>
            <w:webHidden/>
          </w:rPr>
          <w:fldChar w:fldCharType="begin"/>
        </w:r>
        <w:r w:rsidR="00CE5A41">
          <w:rPr>
            <w:webHidden/>
          </w:rPr>
          <w:instrText xml:space="preserve"> PAGEREF _Toc30161820 \h </w:instrText>
        </w:r>
        <w:r w:rsidR="00CE5A41">
          <w:rPr>
            <w:webHidden/>
          </w:rPr>
        </w:r>
        <w:r w:rsidR="00CE5A41">
          <w:rPr>
            <w:webHidden/>
          </w:rPr>
          <w:fldChar w:fldCharType="separate"/>
        </w:r>
        <w:r w:rsidR="00CE5A41">
          <w:rPr>
            <w:webHidden/>
          </w:rPr>
          <w:t>112</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1" w:history="1">
        <w:r w:rsidR="00CE5A41" w:rsidRPr="001930AB">
          <w:rPr>
            <w:rStyle w:val="a9"/>
            <w:rFonts w:asciiTheme="minorEastAsia" w:hAnsiTheme="minorEastAsia" w:hint="eastAsia"/>
            <w:bCs/>
            <w:noProof/>
          </w:rPr>
          <w:t>（一）市场风险</w:t>
        </w:r>
        <w:r w:rsidR="00CE5A41">
          <w:rPr>
            <w:noProof/>
            <w:webHidden/>
          </w:rPr>
          <w:tab/>
        </w:r>
        <w:r w:rsidR="00CE5A41">
          <w:rPr>
            <w:noProof/>
            <w:webHidden/>
          </w:rPr>
          <w:fldChar w:fldCharType="begin"/>
        </w:r>
        <w:r w:rsidR="00CE5A41">
          <w:rPr>
            <w:noProof/>
            <w:webHidden/>
          </w:rPr>
          <w:instrText xml:space="preserve"> PAGEREF _Toc30161821 \h </w:instrText>
        </w:r>
        <w:r w:rsidR="00CE5A41">
          <w:rPr>
            <w:noProof/>
            <w:webHidden/>
          </w:rPr>
        </w:r>
        <w:r w:rsidR="00CE5A41">
          <w:rPr>
            <w:noProof/>
            <w:webHidden/>
          </w:rPr>
          <w:fldChar w:fldCharType="separate"/>
        </w:r>
        <w:r w:rsidR="00CE5A41">
          <w:rPr>
            <w:noProof/>
            <w:webHidden/>
          </w:rPr>
          <w:t>112</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2" w:history="1">
        <w:r w:rsidR="00CE5A41" w:rsidRPr="001930AB">
          <w:rPr>
            <w:rStyle w:val="a9"/>
            <w:rFonts w:asciiTheme="minorEastAsia" w:hAnsiTheme="minorEastAsia" w:hint="eastAsia"/>
            <w:bCs/>
            <w:noProof/>
          </w:rPr>
          <w:t>（二）本基金特有的风险</w:t>
        </w:r>
        <w:r w:rsidR="00CE5A41">
          <w:rPr>
            <w:noProof/>
            <w:webHidden/>
          </w:rPr>
          <w:tab/>
        </w:r>
        <w:r w:rsidR="00CE5A41">
          <w:rPr>
            <w:noProof/>
            <w:webHidden/>
          </w:rPr>
          <w:fldChar w:fldCharType="begin"/>
        </w:r>
        <w:r w:rsidR="00CE5A41">
          <w:rPr>
            <w:noProof/>
            <w:webHidden/>
          </w:rPr>
          <w:instrText xml:space="preserve"> PAGEREF _Toc30161822 \h </w:instrText>
        </w:r>
        <w:r w:rsidR="00CE5A41">
          <w:rPr>
            <w:noProof/>
            <w:webHidden/>
          </w:rPr>
        </w:r>
        <w:r w:rsidR="00CE5A41">
          <w:rPr>
            <w:noProof/>
            <w:webHidden/>
          </w:rPr>
          <w:fldChar w:fldCharType="separate"/>
        </w:r>
        <w:r w:rsidR="00CE5A41">
          <w:rPr>
            <w:noProof/>
            <w:webHidden/>
          </w:rPr>
          <w:t>113</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3" w:history="1">
        <w:r w:rsidR="00CE5A41" w:rsidRPr="001930AB">
          <w:rPr>
            <w:rStyle w:val="a9"/>
            <w:rFonts w:asciiTheme="minorEastAsia" w:hAnsiTheme="minorEastAsia" w:hint="eastAsia"/>
            <w:bCs/>
            <w:noProof/>
          </w:rPr>
          <w:t>（三）流动性风险</w:t>
        </w:r>
        <w:r w:rsidR="00CE5A41">
          <w:rPr>
            <w:noProof/>
            <w:webHidden/>
          </w:rPr>
          <w:tab/>
        </w:r>
        <w:r w:rsidR="00CE5A41">
          <w:rPr>
            <w:noProof/>
            <w:webHidden/>
          </w:rPr>
          <w:fldChar w:fldCharType="begin"/>
        </w:r>
        <w:r w:rsidR="00CE5A41">
          <w:rPr>
            <w:noProof/>
            <w:webHidden/>
          </w:rPr>
          <w:instrText xml:space="preserve"> PAGEREF _Toc30161823 \h </w:instrText>
        </w:r>
        <w:r w:rsidR="00CE5A41">
          <w:rPr>
            <w:noProof/>
            <w:webHidden/>
          </w:rPr>
        </w:r>
        <w:r w:rsidR="00CE5A41">
          <w:rPr>
            <w:noProof/>
            <w:webHidden/>
          </w:rPr>
          <w:fldChar w:fldCharType="separate"/>
        </w:r>
        <w:r w:rsidR="00CE5A41">
          <w:rPr>
            <w:noProof/>
            <w:webHidden/>
          </w:rPr>
          <w:t>113</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4" w:history="1">
        <w:r w:rsidR="00CE5A41" w:rsidRPr="001930AB">
          <w:rPr>
            <w:rStyle w:val="a9"/>
            <w:rFonts w:asciiTheme="minorEastAsia" w:hAnsiTheme="minorEastAsia" w:hint="eastAsia"/>
            <w:bCs/>
            <w:noProof/>
          </w:rPr>
          <w:t>（四）本基金法律文件中涉及基金风险特征的表述与销售机构对基金的风险评级可能不一致的风险</w:t>
        </w:r>
        <w:r w:rsidR="00CE5A41">
          <w:rPr>
            <w:noProof/>
            <w:webHidden/>
          </w:rPr>
          <w:tab/>
        </w:r>
        <w:r w:rsidR="00CE5A41">
          <w:rPr>
            <w:noProof/>
            <w:webHidden/>
          </w:rPr>
          <w:fldChar w:fldCharType="begin"/>
        </w:r>
        <w:r w:rsidR="00CE5A41">
          <w:rPr>
            <w:noProof/>
            <w:webHidden/>
          </w:rPr>
          <w:instrText xml:space="preserve"> PAGEREF _Toc30161824 \h </w:instrText>
        </w:r>
        <w:r w:rsidR="00CE5A41">
          <w:rPr>
            <w:noProof/>
            <w:webHidden/>
          </w:rPr>
        </w:r>
        <w:r w:rsidR="00CE5A41">
          <w:rPr>
            <w:noProof/>
            <w:webHidden/>
          </w:rPr>
          <w:fldChar w:fldCharType="separate"/>
        </w:r>
        <w:r w:rsidR="00CE5A41">
          <w:rPr>
            <w:noProof/>
            <w:webHidden/>
          </w:rPr>
          <w:t>114</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5" w:history="1">
        <w:r w:rsidR="00CE5A41" w:rsidRPr="001930AB">
          <w:rPr>
            <w:rStyle w:val="a9"/>
            <w:rFonts w:asciiTheme="minorEastAsia" w:hAnsiTheme="minorEastAsia" w:hint="eastAsia"/>
            <w:bCs/>
            <w:noProof/>
          </w:rPr>
          <w:t>（五）管理风险</w:t>
        </w:r>
        <w:r w:rsidR="00CE5A41">
          <w:rPr>
            <w:noProof/>
            <w:webHidden/>
          </w:rPr>
          <w:tab/>
        </w:r>
        <w:r w:rsidR="00CE5A41">
          <w:rPr>
            <w:noProof/>
            <w:webHidden/>
          </w:rPr>
          <w:fldChar w:fldCharType="begin"/>
        </w:r>
        <w:r w:rsidR="00CE5A41">
          <w:rPr>
            <w:noProof/>
            <w:webHidden/>
          </w:rPr>
          <w:instrText xml:space="preserve"> PAGEREF _Toc30161825 \h </w:instrText>
        </w:r>
        <w:r w:rsidR="00CE5A41">
          <w:rPr>
            <w:noProof/>
            <w:webHidden/>
          </w:rPr>
        </w:r>
        <w:r w:rsidR="00CE5A41">
          <w:rPr>
            <w:noProof/>
            <w:webHidden/>
          </w:rPr>
          <w:fldChar w:fldCharType="separate"/>
        </w:r>
        <w:r w:rsidR="00CE5A41">
          <w:rPr>
            <w:noProof/>
            <w:webHidden/>
          </w:rPr>
          <w:t>114</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6" w:history="1">
        <w:r w:rsidR="00CE5A41" w:rsidRPr="001930AB">
          <w:rPr>
            <w:rStyle w:val="a9"/>
            <w:rFonts w:asciiTheme="minorEastAsia" w:hAnsiTheme="minorEastAsia" w:hint="eastAsia"/>
            <w:bCs/>
            <w:noProof/>
          </w:rPr>
          <w:t>（六）其他风险</w:t>
        </w:r>
        <w:r w:rsidR="00CE5A41">
          <w:rPr>
            <w:noProof/>
            <w:webHidden/>
          </w:rPr>
          <w:tab/>
        </w:r>
        <w:r w:rsidR="00CE5A41">
          <w:rPr>
            <w:noProof/>
            <w:webHidden/>
          </w:rPr>
          <w:fldChar w:fldCharType="begin"/>
        </w:r>
        <w:r w:rsidR="00CE5A41">
          <w:rPr>
            <w:noProof/>
            <w:webHidden/>
          </w:rPr>
          <w:instrText xml:space="preserve"> PAGEREF _Toc30161826 \h </w:instrText>
        </w:r>
        <w:r w:rsidR="00CE5A41">
          <w:rPr>
            <w:noProof/>
            <w:webHidden/>
          </w:rPr>
        </w:r>
        <w:r w:rsidR="00CE5A41">
          <w:rPr>
            <w:noProof/>
            <w:webHidden/>
          </w:rPr>
          <w:fldChar w:fldCharType="separate"/>
        </w:r>
        <w:r w:rsidR="00CE5A41">
          <w:rPr>
            <w:noProof/>
            <w:webHidden/>
          </w:rPr>
          <w:t>115</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27" w:history="1">
        <w:r w:rsidR="00CE5A41" w:rsidRPr="001930AB">
          <w:rPr>
            <w:rStyle w:val="a9"/>
            <w:rFonts w:asciiTheme="minorEastAsia" w:hAnsiTheme="minorEastAsia" w:hint="eastAsia"/>
            <w:b/>
          </w:rPr>
          <w:t>十七、基金合同的终止与基金财产的清算</w:t>
        </w:r>
        <w:r w:rsidR="00CE5A41">
          <w:rPr>
            <w:webHidden/>
          </w:rPr>
          <w:tab/>
        </w:r>
        <w:r w:rsidR="00CE5A41">
          <w:rPr>
            <w:webHidden/>
          </w:rPr>
          <w:fldChar w:fldCharType="begin"/>
        </w:r>
        <w:r w:rsidR="00CE5A41">
          <w:rPr>
            <w:webHidden/>
          </w:rPr>
          <w:instrText xml:space="preserve"> PAGEREF _Toc30161827 \h </w:instrText>
        </w:r>
        <w:r w:rsidR="00CE5A41">
          <w:rPr>
            <w:webHidden/>
          </w:rPr>
        </w:r>
        <w:r w:rsidR="00CE5A41">
          <w:rPr>
            <w:webHidden/>
          </w:rPr>
          <w:fldChar w:fldCharType="separate"/>
        </w:r>
        <w:r w:rsidR="00CE5A41">
          <w:rPr>
            <w:webHidden/>
          </w:rPr>
          <w:t>116</w:t>
        </w:r>
        <w:r w:rsidR="00CE5A41">
          <w:rPr>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8" w:history="1">
        <w:r w:rsidR="00CE5A41" w:rsidRPr="001930AB">
          <w:rPr>
            <w:rStyle w:val="a9"/>
            <w:rFonts w:asciiTheme="minorEastAsia" w:hAnsiTheme="minorEastAsia" w:hint="eastAsia"/>
            <w:bCs/>
            <w:noProof/>
          </w:rPr>
          <w:t>（一）基金合同的终止</w:t>
        </w:r>
        <w:r w:rsidR="00CE5A41">
          <w:rPr>
            <w:noProof/>
            <w:webHidden/>
          </w:rPr>
          <w:tab/>
        </w:r>
        <w:r w:rsidR="00CE5A41">
          <w:rPr>
            <w:noProof/>
            <w:webHidden/>
          </w:rPr>
          <w:fldChar w:fldCharType="begin"/>
        </w:r>
        <w:r w:rsidR="00CE5A41">
          <w:rPr>
            <w:noProof/>
            <w:webHidden/>
          </w:rPr>
          <w:instrText xml:space="preserve"> PAGEREF _Toc30161828 \h </w:instrText>
        </w:r>
        <w:r w:rsidR="00CE5A41">
          <w:rPr>
            <w:noProof/>
            <w:webHidden/>
          </w:rPr>
        </w:r>
        <w:r w:rsidR="00CE5A41">
          <w:rPr>
            <w:noProof/>
            <w:webHidden/>
          </w:rPr>
          <w:fldChar w:fldCharType="separate"/>
        </w:r>
        <w:r w:rsidR="00CE5A41">
          <w:rPr>
            <w:noProof/>
            <w:webHidden/>
          </w:rPr>
          <w:t>116</w:t>
        </w:r>
        <w:r w:rsidR="00CE5A41">
          <w:rPr>
            <w:noProof/>
            <w:webHidden/>
          </w:rPr>
          <w:fldChar w:fldCharType="end"/>
        </w:r>
      </w:hyperlink>
    </w:p>
    <w:p w:rsidR="00CE5A41" w:rsidRDefault="004E05E9">
      <w:pPr>
        <w:pStyle w:val="24"/>
        <w:tabs>
          <w:tab w:val="right" w:leader="dot" w:pos="8268"/>
        </w:tabs>
        <w:ind w:firstLine="420"/>
        <w:rPr>
          <w:rFonts w:asciiTheme="minorHAnsi" w:eastAsiaTheme="minorEastAsia" w:hAnsiTheme="minorHAnsi" w:cstheme="minorBidi"/>
          <w:smallCaps w:val="0"/>
          <w:noProof/>
          <w:szCs w:val="22"/>
        </w:rPr>
      </w:pPr>
      <w:hyperlink w:anchor="_Toc30161829" w:history="1">
        <w:r w:rsidR="00CE5A41" w:rsidRPr="001930AB">
          <w:rPr>
            <w:rStyle w:val="a9"/>
            <w:rFonts w:asciiTheme="minorEastAsia" w:hAnsiTheme="minorEastAsia" w:hint="eastAsia"/>
            <w:bCs/>
            <w:noProof/>
          </w:rPr>
          <w:t>（二）基金财产的清算</w:t>
        </w:r>
        <w:r w:rsidR="00CE5A41">
          <w:rPr>
            <w:noProof/>
            <w:webHidden/>
          </w:rPr>
          <w:tab/>
        </w:r>
        <w:r w:rsidR="00CE5A41">
          <w:rPr>
            <w:noProof/>
            <w:webHidden/>
          </w:rPr>
          <w:fldChar w:fldCharType="begin"/>
        </w:r>
        <w:r w:rsidR="00CE5A41">
          <w:rPr>
            <w:noProof/>
            <w:webHidden/>
          </w:rPr>
          <w:instrText xml:space="preserve"> PAGEREF _Toc30161829 \h </w:instrText>
        </w:r>
        <w:r w:rsidR="00CE5A41">
          <w:rPr>
            <w:noProof/>
            <w:webHidden/>
          </w:rPr>
        </w:r>
        <w:r w:rsidR="00CE5A41">
          <w:rPr>
            <w:noProof/>
            <w:webHidden/>
          </w:rPr>
          <w:fldChar w:fldCharType="separate"/>
        </w:r>
        <w:r w:rsidR="00CE5A41">
          <w:rPr>
            <w:noProof/>
            <w:webHidden/>
          </w:rPr>
          <w:t>116</w:t>
        </w:r>
        <w:r w:rsidR="00CE5A41">
          <w:rPr>
            <w:noProof/>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30" w:history="1">
        <w:r w:rsidR="00CE5A41" w:rsidRPr="001930AB">
          <w:rPr>
            <w:rStyle w:val="a9"/>
            <w:rFonts w:asciiTheme="minorEastAsia" w:hAnsiTheme="minorEastAsia" w:hint="eastAsia"/>
            <w:b/>
          </w:rPr>
          <w:t>十八、基金合同的内容摘要</w:t>
        </w:r>
        <w:r w:rsidR="00CE5A41">
          <w:rPr>
            <w:webHidden/>
          </w:rPr>
          <w:tab/>
        </w:r>
        <w:r w:rsidR="00CE5A41">
          <w:rPr>
            <w:webHidden/>
          </w:rPr>
          <w:fldChar w:fldCharType="begin"/>
        </w:r>
        <w:r w:rsidR="00CE5A41">
          <w:rPr>
            <w:webHidden/>
          </w:rPr>
          <w:instrText xml:space="preserve"> PAGEREF _Toc30161830 \h </w:instrText>
        </w:r>
        <w:r w:rsidR="00CE5A41">
          <w:rPr>
            <w:webHidden/>
          </w:rPr>
        </w:r>
        <w:r w:rsidR="00CE5A41">
          <w:rPr>
            <w:webHidden/>
          </w:rPr>
          <w:fldChar w:fldCharType="separate"/>
        </w:r>
        <w:r w:rsidR="00CE5A41">
          <w:rPr>
            <w:webHidden/>
          </w:rPr>
          <w:t>118</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31" w:history="1">
        <w:r w:rsidR="00CE5A41" w:rsidRPr="001930AB">
          <w:rPr>
            <w:rStyle w:val="a9"/>
            <w:rFonts w:asciiTheme="minorEastAsia" w:hAnsiTheme="minorEastAsia" w:hint="eastAsia"/>
            <w:b/>
          </w:rPr>
          <w:t>十九、基金托管协议的内容摘要</w:t>
        </w:r>
        <w:r w:rsidR="00CE5A41">
          <w:rPr>
            <w:webHidden/>
          </w:rPr>
          <w:tab/>
        </w:r>
        <w:r w:rsidR="00CE5A41">
          <w:rPr>
            <w:webHidden/>
          </w:rPr>
          <w:fldChar w:fldCharType="begin"/>
        </w:r>
        <w:r w:rsidR="00CE5A41">
          <w:rPr>
            <w:webHidden/>
          </w:rPr>
          <w:instrText xml:space="preserve"> PAGEREF _Toc30161831 \h </w:instrText>
        </w:r>
        <w:r w:rsidR="00CE5A41">
          <w:rPr>
            <w:webHidden/>
          </w:rPr>
        </w:r>
        <w:r w:rsidR="00CE5A41">
          <w:rPr>
            <w:webHidden/>
          </w:rPr>
          <w:fldChar w:fldCharType="separate"/>
        </w:r>
        <w:r w:rsidR="00CE5A41">
          <w:rPr>
            <w:webHidden/>
          </w:rPr>
          <w:t>129</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32" w:history="1">
        <w:r w:rsidR="00CE5A41" w:rsidRPr="001930AB">
          <w:rPr>
            <w:rStyle w:val="a9"/>
            <w:rFonts w:asciiTheme="minorEastAsia" w:hAnsiTheme="minorEastAsia" w:hint="eastAsia"/>
            <w:b/>
          </w:rPr>
          <w:t>二十、对基金份额持有人的服务</w:t>
        </w:r>
        <w:r w:rsidR="00CE5A41">
          <w:rPr>
            <w:webHidden/>
          </w:rPr>
          <w:tab/>
        </w:r>
        <w:r w:rsidR="00CE5A41">
          <w:rPr>
            <w:webHidden/>
          </w:rPr>
          <w:fldChar w:fldCharType="begin"/>
        </w:r>
        <w:r w:rsidR="00CE5A41">
          <w:rPr>
            <w:webHidden/>
          </w:rPr>
          <w:instrText xml:space="preserve"> PAGEREF _Toc30161832 \h </w:instrText>
        </w:r>
        <w:r w:rsidR="00CE5A41">
          <w:rPr>
            <w:webHidden/>
          </w:rPr>
        </w:r>
        <w:r w:rsidR="00CE5A41">
          <w:rPr>
            <w:webHidden/>
          </w:rPr>
          <w:fldChar w:fldCharType="separate"/>
        </w:r>
        <w:r w:rsidR="00CE5A41">
          <w:rPr>
            <w:webHidden/>
          </w:rPr>
          <w:t>134</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33" w:history="1">
        <w:r w:rsidR="00CE5A41" w:rsidRPr="001930AB">
          <w:rPr>
            <w:rStyle w:val="a9"/>
            <w:rFonts w:asciiTheme="minorEastAsia" w:hAnsiTheme="minorEastAsia" w:hint="eastAsia"/>
            <w:b/>
          </w:rPr>
          <w:t>二十一、其他应披露事项</w:t>
        </w:r>
        <w:r w:rsidR="00CE5A41">
          <w:rPr>
            <w:webHidden/>
          </w:rPr>
          <w:tab/>
        </w:r>
        <w:r w:rsidR="00CE5A41">
          <w:rPr>
            <w:webHidden/>
          </w:rPr>
          <w:fldChar w:fldCharType="begin"/>
        </w:r>
        <w:r w:rsidR="00CE5A41">
          <w:rPr>
            <w:webHidden/>
          </w:rPr>
          <w:instrText xml:space="preserve"> PAGEREF _Toc30161833 \h </w:instrText>
        </w:r>
        <w:r w:rsidR="00CE5A41">
          <w:rPr>
            <w:webHidden/>
          </w:rPr>
        </w:r>
        <w:r w:rsidR="00CE5A41">
          <w:rPr>
            <w:webHidden/>
          </w:rPr>
          <w:fldChar w:fldCharType="separate"/>
        </w:r>
        <w:r w:rsidR="00CE5A41">
          <w:rPr>
            <w:webHidden/>
          </w:rPr>
          <w:t>135</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34" w:history="1">
        <w:r w:rsidR="00CE5A41" w:rsidRPr="001930AB">
          <w:rPr>
            <w:rStyle w:val="a9"/>
            <w:rFonts w:asciiTheme="minorEastAsia" w:hAnsiTheme="minorEastAsia" w:hint="eastAsia"/>
            <w:b/>
          </w:rPr>
          <w:t>二十二、招募说明书的存放及查阅方式</w:t>
        </w:r>
        <w:r w:rsidR="00CE5A41">
          <w:rPr>
            <w:webHidden/>
          </w:rPr>
          <w:tab/>
        </w:r>
        <w:r w:rsidR="00CE5A41">
          <w:rPr>
            <w:webHidden/>
          </w:rPr>
          <w:fldChar w:fldCharType="begin"/>
        </w:r>
        <w:r w:rsidR="00CE5A41">
          <w:rPr>
            <w:webHidden/>
          </w:rPr>
          <w:instrText xml:space="preserve"> PAGEREF _Toc30161834 \h </w:instrText>
        </w:r>
        <w:r w:rsidR="00CE5A41">
          <w:rPr>
            <w:webHidden/>
          </w:rPr>
        </w:r>
        <w:r w:rsidR="00CE5A41">
          <w:rPr>
            <w:webHidden/>
          </w:rPr>
          <w:fldChar w:fldCharType="separate"/>
        </w:r>
        <w:r w:rsidR="00CE5A41">
          <w:rPr>
            <w:webHidden/>
          </w:rPr>
          <w:t>137</w:t>
        </w:r>
        <w:r w:rsidR="00CE5A41">
          <w:rPr>
            <w:webHidden/>
          </w:rPr>
          <w:fldChar w:fldCharType="end"/>
        </w:r>
      </w:hyperlink>
    </w:p>
    <w:p w:rsidR="00CE5A41" w:rsidRDefault="004E05E9">
      <w:pPr>
        <w:pStyle w:val="11"/>
        <w:rPr>
          <w:rFonts w:asciiTheme="minorHAnsi" w:eastAsiaTheme="minorEastAsia" w:hAnsiTheme="minorHAnsi" w:cstheme="minorBidi"/>
          <w:bCs w:val="0"/>
          <w:caps w:val="0"/>
          <w:kern w:val="2"/>
          <w:sz w:val="21"/>
          <w:szCs w:val="22"/>
        </w:rPr>
      </w:pPr>
      <w:hyperlink w:anchor="_Toc30161835" w:history="1">
        <w:r w:rsidR="00CE5A41" w:rsidRPr="001930AB">
          <w:rPr>
            <w:rStyle w:val="a9"/>
            <w:rFonts w:asciiTheme="minorEastAsia" w:hAnsiTheme="minorEastAsia" w:hint="eastAsia"/>
            <w:b/>
          </w:rPr>
          <w:t>二十三、备查文件</w:t>
        </w:r>
        <w:r w:rsidR="00CE5A41">
          <w:rPr>
            <w:webHidden/>
          </w:rPr>
          <w:tab/>
        </w:r>
        <w:r w:rsidR="00CE5A41">
          <w:rPr>
            <w:webHidden/>
          </w:rPr>
          <w:fldChar w:fldCharType="begin"/>
        </w:r>
        <w:r w:rsidR="00CE5A41">
          <w:rPr>
            <w:webHidden/>
          </w:rPr>
          <w:instrText xml:space="preserve"> PAGEREF _Toc30161835 \h </w:instrText>
        </w:r>
        <w:r w:rsidR="00CE5A41">
          <w:rPr>
            <w:webHidden/>
          </w:rPr>
        </w:r>
        <w:r w:rsidR="00CE5A41">
          <w:rPr>
            <w:webHidden/>
          </w:rPr>
          <w:fldChar w:fldCharType="separate"/>
        </w:r>
        <w:r w:rsidR="00CE5A41">
          <w:rPr>
            <w:webHidden/>
          </w:rPr>
          <w:t>138</w:t>
        </w:r>
        <w:r w:rsidR="00CE5A41">
          <w:rPr>
            <w:webHidden/>
          </w:rPr>
          <w:fldChar w:fldCharType="end"/>
        </w:r>
      </w:hyperlink>
    </w:p>
    <w:p w:rsidR="001D2E2F" w:rsidRPr="00960F82" w:rsidRDefault="00531B35" w:rsidP="00084917">
      <w:pPr>
        <w:snapToGrid w:val="0"/>
        <w:spacing w:line="360" w:lineRule="auto"/>
        <w:ind w:firstLine="560"/>
        <w:jc w:val="center"/>
        <w:rPr>
          <w:rFonts w:asciiTheme="minorEastAsia" w:eastAsiaTheme="minorEastAsia" w:hAnsiTheme="minorEastAsia"/>
          <w:sz w:val="24"/>
          <w:szCs w:val="21"/>
        </w:rPr>
        <w:sectPr w:rsidR="001D2E2F" w:rsidRPr="00960F82" w:rsidSect="00D937F5">
          <w:footerReference w:type="default" r:id="rId16"/>
          <w:pgSz w:w="11906" w:h="16838" w:code="9"/>
          <w:pgMar w:top="1701" w:right="1814" w:bottom="1701" w:left="1814" w:header="1134" w:footer="1247" w:gutter="0"/>
          <w:pgNumType w:fmt="upperRoman" w:start="1"/>
          <w:cols w:space="425"/>
          <w:docGrid w:type="lines" w:linePitch="447"/>
        </w:sectPr>
      </w:pPr>
      <w:r w:rsidRPr="00960F82">
        <w:rPr>
          <w:rFonts w:asciiTheme="minorEastAsia" w:eastAsiaTheme="minorEastAsia" w:hAnsiTheme="minorEastAsia"/>
          <w:b/>
          <w:bCs/>
          <w:noProof/>
          <w:kern w:val="44"/>
          <w:szCs w:val="21"/>
        </w:rPr>
        <w:fldChar w:fldCharType="end"/>
      </w:r>
    </w:p>
    <w:p w:rsidR="001D2E2F" w:rsidRPr="00960F82" w:rsidRDefault="001D2E2F" w:rsidP="00084917">
      <w:pPr>
        <w:pStyle w:val="111"/>
        <w:snapToGrid w:val="0"/>
        <w:spacing w:before="312" w:after="312" w:line="360" w:lineRule="auto"/>
        <w:ind w:firstLine="643"/>
        <w:rPr>
          <w:rFonts w:asciiTheme="minorEastAsia" w:eastAsiaTheme="minorEastAsia" w:hAnsiTheme="minorEastAsia"/>
          <w:b/>
          <w:szCs w:val="32"/>
        </w:rPr>
      </w:pPr>
      <w:bookmarkStart w:id="0" w:name="_Toc38432421"/>
      <w:bookmarkStart w:id="1" w:name="_Toc30161758"/>
      <w:r w:rsidRPr="00960F82">
        <w:rPr>
          <w:rFonts w:asciiTheme="minorEastAsia" w:eastAsiaTheme="minorEastAsia" w:hAnsiTheme="minorEastAsia" w:hint="eastAsia"/>
          <w:b/>
          <w:szCs w:val="32"/>
        </w:rPr>
        <w:lastRenderedPageBreak/>
        <w:t>一、绪言</w:t>
      </w:r>
      <w:bookmarkEnd w:id="0"/>
      <w:bookmarkEnd w:id="1"/>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本招募说明书依据《中华人民共和国证券投资基金法》（以下简称《基金法》）、《证券投资基金运作管理办法》（以下简称《运作办法》）、《证券投资基金销售管理办法》（以下简称《销售办法》）、《</w:t>
      </w:r>
      <w:r w:rsidR="00312ED6" w:rsidRPr="00960F82">
        <w:rPr>
          <w:rFonts w:asciiTheme="minorEastAsia" w:eastAsiaTheme="minorEastAsia" w:hAnsiTheme="minorEastAsia" w:hint="eastAsia"/>
        </w:rPr>
        <w:t>公开募集</w:t>
      </w:r>
      <w:r w:rsidRPr="00960F82">
        <w:rPr>
          <w:rFonts w:asciiTheme="minorEastAsia" w:eastAsiaTheme="minorEastAsia" w:hAnsiTheme="minorEastAsia" w:hint="eastAsia"/>
        </w:rPr>
        <w:t>证券投资基金信息披露管理办法》（以下简称《信息披露办法》）、《证券投资基金信息披露内容与格式准则第</w:t>
      </w:r>
      <w:r w:rsidRPr="00960F82">
        <w:rPr>
          <w:rFonts w:asciiTheme="minorEastAsia" w:eastAsiaTheme="minorEastAsia" w:hAnsiTheme="minorEastAsia"/>
        </w:rPr>
        <w:t>5</w:t>
      </w:r>
      <w:r w:rsidRPr="00960F82">
        <w:rPr>
          <w:rFonts w:asciiTheme="minorEastAsia" w:eastAsiaTheme="minorEastAsia" w:hAnsiTheme="minorEastAsia" w:hint="eastAsia"/>
        </w:rPr>
        <w:t>号</w:t>
      </w:r>
      <w:r w:rsidRPr="00960F82">
        <w:rPr>
          <w:rFonts w:asciiTheme="minorEastAsia" w:eastAsiaTheme="minorEastAsia" w:hAnsiTheme="minorEastAsia"/>
        </w:rPr>
        <w:t>&lt;</w:t>
      </w:r>
      <w:r w:rsidRPr="00960F82">
        <w:rPr>
          <w:rFonts w:asciiTheme="minorEastAsia" w:eastAsiaTheme="minorEastAsia" w:hAnsiTheme="minorEastAsia" w:hint="eastAsia"/>
        </w:rPr>
        <w:t>招募说明书的内容与格式</w:t>
      </w:r>
      <w:r w:rsidRPr="00960F82">
        <w:rPr>
          <w:rFonts w:asciiTheme="minorEastAsia" w:eastAsiaTheme="minorEastAsia" w:hAnsiTheme="minorEastAsia"/>
        </w:rPr>
        <w:t>&gt;</w:t>
      </w:r>
      <w:r w:rsidRPr="00960F82">
        <w:rPr>
          <w:rFonts w:asciiTheme="minorEastAsia" w:eastAsiaTheme="minorEastAsia" w:hAnsiTheme="minorEastAsia" w:hint="eastAsia"/>
        </w:rPr>
        <w:t>》、</w:t>
      </w:r>
      <w:r w:rsidR="00117EDD" w:rsidRPr="00960F82">
        <w:rPr>
          <w:rFonts w:asciiTheme="minorEastAsia" w:eastAsiaTheme="minorEastAsia" w:hAnsiTheme="minorEastAsia" w:hint="eastAsia"/>
        </w:rPr>
        <w:t>《公开募集开放式证券投资基金流动性风险管理规定》（以下简称“《管理规定》”）、</w:t>
      </w:r>
      <w:r w:rsidRPr="00960F82">
        <w:rPr>
          <w:rFonts w:asciiTheme="minorEastAsia" w:eastAsiaTheme="minorEastAsia" w:hAnsiTheme="minorEastAsia" w:hint="eastAsia"/>
        </w:rPr>
        <w:t>《易方达积极成长证券投资基金基金合同》（以下简称基金合同）及其它有关规定等编写。</w:t>
      </w:r>
    </w:p>
    <w:p w:rsidR="001D2E2F" w:rsidRPr="00960F82" w:rsidRDefault="001D2E2F" w:rsidP="00084917">
      <w:pPr>
        <w:snapToGrid w:val="0"/>
        <w:spacing w:line="360" w:lineRule="auto"/>
        <w:ind w:firstLine="482"/>
        <w:rPr>
          <w:rFonts w:asciiTheme="minorEastAsia" w:eastAsiaTheme="minorEastAsia" w:hAnsiTheme="minorEastAsia"/>
        </w:rPr>
      </w:pPr>
      <w:r w:rsidRPr="00960F82">
        <w:rPr>
          <w:rStyle w:val="da"/>
          <w:rFonts w:asciiTheme="minorEastAsia" w:eastAsiaTheme="minorEastAsia" w:hAnsiTheme="minor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或对本招募说明书作任何解释或者说明。</w:t>
      </w:r>
    </w:p>
    <w:p w:rsidR="001D2E2F" w:rsidRPr="00960F82" w:rsidRDefault="001D2E2F" w:rsidP="00084917">
      <w:pPr>
        <w:snapToGrid w:val="0"/>
        <w:spacing w:line="360" w:lineRule="auto"/>
        <w:ind w:firstLine="482"/>
        <w:rPr>
          <w:rFonts w:asciiTheme="minorEastAsia" w:eastAsiaTheme="minorEastAsia" w:hAnsiTheme="minorEastAsia"/>
          <w:szCs w:val="21"/>
        </w:rPr>
      </w:pPr>
      <w:r w:rsidRPr="00960F82">
        <w:rPr>
          <w:rStyle w:val="da"/>
          <w:rFonts w:asciiTheme="minorEastAsia" w:eastAsiaTheme="minorEastAsia" w:hAnsiTheme="minorEastAsia"/>
        </w:rPr>
        <w:t>本招募说明书根据本基金的基金合同编写</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并经中国证监会核准。基金合同是约定基金当事人之间权利、义务的法律文件。基金投资人自依基金合同取得基金份额</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即成为基金份额持有人和本基金合同的当事人</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其持有基金份额的行为本身即表明其对基金合同的承认和接受</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并按照《基金法》、基金合同及其他有关规定享有权利、承担义务。基金投资人欲了解基金份额持有人的权利和义务</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应详细查阅基金合同。</w:t>
      </w:r>
    </w:p>
    <w:p w:rsidR="001D2E2F" w:rsidRPr="00960F82" w:rsidRDefault="001D2E2F" w:rsidP="00084917">
      <w:pPr>
        <w:snapToGrid w:val="0"/>
        <w:spacing w:line="360" w:lineRule="auto"/>
        <w:ind w:firstLine="482"/>
        <w:rPr>
          <w:rFonts w:asciiTheme="minorEastAsia" w:eastAsiaTheme="minorEastAsia" w:hAnsiTheme="minorEastAsia"/>
          <w:sz w:val="24"/>
          <w:szCs w:val="21"/>
        </w:rPr>
      </w:pPr>
    </w:p>
    <w:p w:rsidR="001D2E2F" w:rsidRPr="00960F82" w:rsidRDefault="001D2E2F" w:rsidP="00084917">
      <w:pPr>
        <w:pStyle w:val="111"/>
        <w:snapToGrid w:val="0"/>
        <w:spacing w:before="312" w:after="312" w:line="360" w:lineRule="auto"/>
        <w:ind w:firstLine="643"/>
        <w:rPr>
          <w:rFonts w:asciiTheme="minorEastAsia" w:eastAsiaTheme="minorEastAsia" w:hAnsiTheme="minorEastAsia"/>
          <w:b/>
          <w:szCs w:val="32"/>
        </w:rPr>
      </w:pPr>
      <w:bookmarkStart w:id="2" w:name="_Toc38432422"/>
      <w:bookmarkStart w:id="3" w:name="_Toc30161759"/>
      <w:r w:rsidRPr="00960F82">
        <w:rPr>
          <w:rFonts w:asciiTheme="minorEastAsia" w:eastAsiaTheme="minorEastAsia" w:hAnsiTheme="minorEastAsia" w:hint="eastAsia"/>
          <w:b/>
          <w:szCs w:val="32"/>
        </w:rPr>
        <w:lastRenderedPageBreak/>
        <w:t>二、释义</w:t>
      </w:r>
      <w:bookmarkEnd w:id="2"/>
      <w:bookmarkEnd w:id="3"/>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本《招募说明书》中除非文意另有所指</w:t>
      </w:r>
      <w:r w:rsidRPr="00960F82">
        <w:rPr>
          <w:rFonts w:asciiTheme="minorEastAsia" w:eastAsiaTheme="minorEastAsia" w:hAnsiTheme="minorEastAsia"/>
          <w:szCs w:val="21"/>
        </w:rPr>
        <w:t>，</w:t>
      </w:r>
      <w:r w:rsidRPr="00960F82">
        <w:rPr>
          <w:rFonts w:asciiTheme="minorEastAsia" w:eastAsiaTheme="minorEastAsia" w:hAnsiTheme="minorEastAsia" w:hint="eastAsia"/>
          <w:szCs w:val="21"/>
        </w:rPr>
        <w:t>下列词语有如下含义：</w:t>
      </w:r>
    </w:p>
    <w:tbl>
      <w:tblPr>
        <w:tblW w:w="0" w:type="auto"/>
        <w:tblInd w:w="250" w:type="dxa"/>
        <w:tblLayout w:type="fixed"/>
        <w:tblLook w:val="0000" w:firstRow="0" w:lastRow="0" w:firstColumn="0" w:lastColumn="0" w:noHBand="0" w:noVBand="0"/>
      </w:tblPr>
      <w:tblGrid>
        <w:gridCol w:w="2552"/>
        <w:gridCol w:w="5601"/>
        <w:gridCol w:w="119"/>
      </w:tblGrid>
      <w:tr w:rsidR="00960F82" w:rsidRPr="00960F82" w:rsidTr="00D937F5">
        <w:trPr>
          <w:trHeight w:val="762"/>
        </w:trPr>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《基金合同》：</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指《易方达积极成长证券投资基金基金合同》及对该合同的任何修订和补充</w:t>
            </w:r>
          </w:p>
        </w:tc>
      </w:tr>
      <w:tr w:rsidR="00960F82" w:rsidRPr="00960F82" w:rsidTr="00D937F5">
        <w:trPr>
          <w:trHeight w:val="770"/>
        </w:trPr>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《托管协议》</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指《易方达积极成长证券投资基金托管协议》及对该协议的任何修订和补充</w:t>
            </w:r>
          </w:p>
        </w:tc>
      </w:tr>
      <w:tr w:rsidR="00960F82" w:rsidRPr="00960F82" w:rsidTr="00D937F5">
        <w:trPr>
          <w:gridAfter w:val="1"/>
          <w:wAfter w:w="119" w:type="dxa"/>
        </w:trPr>
        <w:tc>
          <w:tcPr>
            <w:tcW w:w="2552" w:type="dxa"/>
          </w:tcPr>
          <w:p w:rsidR="00312ED6" w:rsidRPr="00960F82" w:rsidRDefault="00312ED6"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《招募说明书》</w:t>
            </w:r>
          </w:p>
        </w:tc>
        <w:tc>
          <w:tcPr>
            <w:tcW w:w="5601" w:type="dxa"/>
          </w:tcPr>
          <w:p w:rsidR="00312ED6" w:rsidRPr="00960F82" w:rsidRDefault="00312ED6"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指《易方达积极成长证券投资基金招募说明书》及其更新</w:t>
            </w:r>
          </w:p>
        </w:tc>
      </w:tr>
      <w:tr w:rsidR="00960F82" w:rsidRPr="00960F82" w:rsidTr="00D937F5">
        <w:trPr>
          <w:gridAfter w:val="1"/>
          <w:wAfter w:w="119" w:type="dxa"/>
        </w:trPr>
        <w:tc>
          <w:tcPr>
            <w:tcW w:w="2552" w:type="dxa"/>
          </w:tcPr>
          <w:p w:rsidR="00312ED6" w:rsidRPr="00960F82" w:rsidRDefault="00312ED6"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基金产品资料概要</w:t>
            </w:r>
          </w:p>
        </w:tc>
        <w:tc>
          <w:tcPr>
            <w:tcW w:w="5601" w:type="dxa"/>
          </w:tcPr>
          <w:p w:rsidR="00312ED6" w:rsidRPr="00960F82" w:rsidRDefault="00312ED6"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指《易方达积极成长证券投资基金基金产品资料概要》及其更新</w:t>
            </w:r>
          </w:p>
        </w:tc>
      </w:tr>
      <w:tr w:rsidR="00960F82" w:rsidRPr="00960F82" w:rsidTr="00D937F5">
        <w:trPr>
          <w:gridAfter w:val="1"/>
          <w:wAfter w:w="119" w:type="dxa"/>
        </w:trPr>
        <w:tc>
          <w:tcPr>
            <w:tcW w:w="2552"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《信托法》</w:t>
            </w:r>
          </w:p>
        </w:tc>
        <w:tc>
          <w:tcPr>
            <w:tcW w:w="5601"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指《中华人民共和国信托法》</w:t>
            </w:r>
          </w:p>
        </w:tc>
      </w:tr>
      <w:tr w:rsidR="00960F82" w:rsidRPr="00960F82" w:rsidTr="00D937F5">
        <w:trPr>
          <w:gridAfter w:val="1"/>
          <w:wAfter w:w="119" w:type="dxa"/>
        </w:trPr>
        <w:tc>
          <w:tcPr>
            <w:tcW w:w="2552"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《证券法》：</w:t>
            </w:r>
          </w:p>
        </w:tc>
        <w:tc>
          <w:tcPr>
            <w:tcW w:w="5601"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指《中华人民共和国证券法》</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《基金法》：</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w:t>
            </w:r>
            <w:bookmarkStart w:id="4" w:name="_Toc78339150"/>
            <w:r w:rsidRPr="00960F82">
              <w:rPr>
                <w:rFonts w:asciiTheme="minorEastAsia" w:eastAsiaTheme="minorEastAsia" w:hAnsiTheme="minorEastAsia"/>
              </w:rPr>
              <w:t>中华人民共和国证券投资基金法</w:t>
            </w:r>
            <w:bookmarkEnd w:id="4"/>
            <w:r w:rsidRPr="00960F82">
              <w:rPr>
                <w:rFonts w:asciiTheme="minorEastAsia" w:eastAsiaTheme="minorEastAsia" w:hAnsiTheme="minorEastAsia" w:hint="eastAsia"/>
                <w:szCs w:val="21"/>
              </w:rPr>
              <w:t>》</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《运作办法》：</w:t>
            </w:r>
          </w:p>
          <w:p w:rsidR="00117EDD" w:rsidRPr="00960F82" w:rsidRDefault="00117EDD"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《管理规定》：</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指《证券投资基金运作管理办法》</w:t>
            </w:r>
          </w:p>
          <w:p w:rsidR="00117EDD" w:rsidRPr="00960F82" w:rsidRDefault="00117EDD"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kern w:val="0"/>
                <w:szCs w:val="21"/>
              </w:rPr>
              <w:t>指中国证监会2017年8月31日颁布、同年10月1日实施的《公开募集开放式证券投资基金流动性风险管理规定》及颁布机关对其不时做出的修订</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《销售办法》：</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指《证券投资基金销售管理办法》</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《信息披露办法》：</w:t>
            </w:r>
          </w:p>
        </w:tc>
        <w:tc>
          <w:tcPr>
            <w:tcW w:w="5720" w:type="dxa"/>
            <w:gridSpan w:val="2"/>
          </w:tcPr>
          <w:p w:rsidR="001D2E2F" w:rsidRPr="00960F82" w:rsidRDefault="00312ED6"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指中国证监会2019年7月26日颁布、同年9月1日实施的《公开募集证券投资基金信息披露管理办法》及颁布机关对其不时做出的修订</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元：</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指人民币元</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本基金、基金：</w:t>
            </w:r>
          </w:p>
        </w:tc>
        <w:tc>
          <w:tcPr>
            <w:tcW w:w="5720" w:type="dxa"/>
            <w:gridSpan w:val="2"/>
          </w:tcPr>
          <w:p w:rsidR="001D2E2F" w:rsidRPr="00960F82" w:rsidRDefault="001D2E2F" w:rsidP="00084917">
            <w:pPr>
              <w:pStyle w:val="af4"/>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指依据《基金合同》所募集的易方达积极成长证券投资基金</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中国证监会：</w:t>
            </w:r>
          </w:p>
        </w:tc>
        <w:tc>
          <w:tcPr>
            <w:tcW w:w="5720" w:type="dxa"/>
            <w:gridSpan w:val="2"/>
          </w:tcPr>
          <w:p w:rsidR="001D2E2F" w:rsidRPr="00960F82" w:rsidRDefault="001D2E2F" w:rsidP="00084917">
            <w:pPr>
              <w:pStyle w:val="af4"/>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指中国证券监督管理委员会</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基金管理人：</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指易方达基金管理有限公司</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基金发起人：</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指易方达基金管理有限公司</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基金托管人：</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指中国银行股份有限公司</w:t>
            </w:r>
          </w:p>
        </w:tc>
      </w:tr>
      <w:tr w:rsidR="00960F82" w:rsidRPr="00960F82" w:rsidTr="00D937F5">
        <w:tc>
          <w:tcPr>
            <w:tcW w:w="2552" w:type="dxa"/>
          </w:tcPr>
          <w:p w:rsidR="001D2E2F" w:rsidRPr="00960F82" w:rsidRDefault="006A5737"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非直销销售</w:t>
            </w:r>
            <w:r w:rsidR="001D2E2F" w:rsidRPr="00960F82">
              <w:rPr>
                <w:rFonts w:asciiTheme="minorEastAsia" w:eastAsiaTheme="minorEastAsia" w:hAnsiTheme="minorEastAsia" w:hint="eastAsia"/>
                <w:szCs w:val="21"/>
              </w:rPr>
              <w:t>机构：</w:t>
            </w:r>
          </w:p>
        </w:tc>
        <w:tc>
          <w:tcPr>
            <w:tcW w:w="5720" w:type="dxa"/>
            <w:gridSpan w:val="2"/>
          </w:tcPr>
          <w:p w:rsidR="001D2E2F" w:rsidRPr="00960F82" w:rsidRDefault="006A5737"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指</w:t>
            </w:r>
            <w:r w:rsidRPr="00960F82">
              <w:rPr>
                <w:rStyle w:val="da"/>
                <w:rFonts w:asciiTheme="minorEastAsia" w:eastAsiaTheme="minorEastAsia" w:hAnsiTheme="minorEastAsia" w:hint="eastAsia"/>
              </w:rPr>
              <w:t>符合《销售办法》和中国证监会规定的其他条件，取得基金销售业务资格并与基金管理人签订了基金销售服务协议，办理基金销售业务的机构</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基金注册登记机构：</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指基金管理人或接受基金管理人委托代为办理本基金注册与过户登记业务的机构</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个人投资者：</w:t>
            </w:r>
          </w:p>
        </w:tc>
        <w:tc>
          <w:tcPr>
            <w:tcW w:w="5720" w:type="dxa"/>
            <w:gridSpan w:val="2"/>
          </w:tcPr>
          <w:p w:rsidR="001D2E2F" w:rsidRPr="00960F82" w:rsidRDefault="001D2E2F" w:rsidP="00084917">
            <w:pPr>
              <w:pStyle w:val="af4"/>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指依据中华人民共和国有关法律法规及其他有关规定可以投</w:t>
            </w:r>
            <w:r w:rsidRPr="00960F82">
              <w:rPr>
                <w:rFonts w:asciiTheme="minorEastAsia" w:eastAsiaTheme="minorEastAsia" w:hAnsiTheme="minorEastAsia" w:hint="eastAsia"/>
                <w:szCs w:val="21"/>
              </w:rPr>
              <w:lastRenderedPageBreak/>
              <w:t>资于证券投资基金的自然人投资者</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机构投资者：</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指依据中华人民共和国有关法律法规及其他有关规定可以投资于证券投资基金的法人、社会团体、其它组织或投资主体</w:t>
            </w:r>
          </w:p>
        </w:tc>
      </w:tr>
      <w:tr w:rsidR="00960F82" w:rsidRPr="00960F82" w:rsidTr="003F5C66">
        <w:trPr>
          <w:trHeight w:val="568"/>
        </w:trPr>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募集期：</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指自基金份额开始发售之日起到基金份额发售结束之日止的时间段，最长不超过3个月。本基金的募集期为：</w:t>
            </w:r>
            <w:r w:rsidRPr="00960F82">
              <w:rPr>
                <w:rFonts w:asciiTheme="minorEastAsia" w:eastAsiaTheme="minorEastAsia" w:hAnsiTheme="minorEastAsia" w:hint="eastAsia"/>
              </w:rPr>
              <w:t>2004年8月6日到2004年9月6日</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基金合同生效日：</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指基金合同达到生效条件后，基金管理人宣布基金合同生效的日期</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存续期限：</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指基金合同生效并存续的不定期之期限</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工作日：</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指上海证券交易所和深圳证券交易所的正常交易日</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开放日：</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指为投资者办理基金申购、赎回等业务的工作日</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T日：</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指申购、赎回或其他交易的申请日</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认购：</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指在募集期内购买基金份额的行为</w:t>
            </w:r>
          </w:p>
        </w:tc>
      </w:tr>
      <w:tr w:rsidR="00960F82" w:rsidRPr="00960F82" w:rsidTr="00D937F5">
        <w:tc>
          <w:tcPr>
            <w:tcW w:w="2552" w:type="dxa"/>
          </w:tcPr>
          <w:p w:rsidR="001D2E2F" w:rsidRPr="00960F82" w:rsidRDefault="001D2E2F" w:rsidP="00084917">
            <w:pPr>
              <w:autoSpaceDE w:val="0"/>
              <w:autoSpaceDN w:val="0"/>
              <w:snapToGrid w:val="0"/>
              <w:spacing w:line="360" w:lineRule="auto"/>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申购：</w:t>
            </w:r>
          </w:p>
        </w:tc>
        <w:tc>
          <w:tcPr>
            <w:tcW w:w="5720" w:type="dxa"/>
            <w:gridSpan w:val="2"/>
          </w:tcPr>
          <w:p w:rsidR="001D2E2F" w:rsidRPr="00960F82" w:rsidRDefault="001D2E2F" w:rsidP="00084917">
            <w:pPr>
              <w:autoSpaceDE w:val="0"/>
              <w:autoSpaceDN w:val="0"/>
              <w:snapToGrid w:val="0"/>
              <w:spacing w:line="360" w:lineRule="auto"/>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指本基金合同生效后，基金投资者购买基金份额的行为</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赎回：</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指本基金合同生效后，基金投资者卖出基金份额的行为</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转换：</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szCs w:val="21"/>
              </w:rPr>
              <w:t>基金转换是指基金份额持有人按基金管理人规定的条件将其持有的某一基金的基金份额转为同一基金管理人管理的另一只基金的基金份额的行为</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基金收益：</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指基金投资所得红利、股息、债券利息、买卖证券差价、银行存款利息以及其他收益</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基金资产总值：</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指基金所购买的各类证券价值、银行存款本息和基金应收的申购款项以及其他投资所形成的价值总和</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基金资产净值：</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指基金资产总值减去负债后的价值</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基金资产估值：</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指计算评估基金资产和负债的价值，以确定基金资产净值和</w:t>
            </w:r>
            <w:r w:rsidRPr="00960F82">
              <w:rPr>
                <w:rFonts w:asciiTheme="minorEastAsia" w:eastAsiaTheme="minorEastAsia" w:hAnsiTheme="minorEastAsia" w:hint="eastAsia"/>
              </w:rPr>
              <w:t>基金份额净值</w:t>
            </w:r>
            <w:r w:rsidRPr="00960F82">
              <w:rPr>
                <w:rFonts w:asciiTheme="minorEastAsia" w:eastAsiaTheme="minorEastAsia" w:hAnsiTheme="minorEastAsia" w:hint="eastAsia"/>
                <w:szCs w:val="21"/>
              </w:rPr>
              <w:t>的过程</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基金份额持有人服务：</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指基金管理人承诺为基金份额持有人提供的一系列服务</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销售机构：</w:t>
            </w:r>
          </w:p>
          <w:p w:rsidR="001D2E2F" w:rsidRPr="00960F82" w:rsidRDefault="001D2E2F" w:rsidP="00084917">
            <w:pPr>
              <w:snapToGrid w:val="0"/>
              <w:spacing w:line="360" w:lineRule="auto"/>
              <w:rPr>
                <w:rFonts w:asciiTheme="minorEastAsia" w:eastAsiaTheme="minorEastAsia" w:hAnsiTheme="minorEastAsia"/>
                <w:szCs w:val="21"/>
              </w:rPr>
            </w:pP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指依据有关规定办理本基金申购、赎回和其他业务的机构，包括基金管理人和基金</w:t>
            </w:r>
            <w:r w:rsidR="006A5737" w:rsidRPr="00960F82">
              <w:rPr>
                <w:rFonts w:asciiTheme="minorEastAsia" w:eastAsiaTheme="minorEastAsia" w:hAnsiTheme="minorEastAsia" w:hint="eastAsia"/>
                <w:szCs w:val="21"/>
              </w:rPr>
              <w:t>非直销销售</w:t>
            </w:r>
            <w:r w:rsidRPr="00960F82">
              <w:rPr>
                <w:rFonts w:asciiTheme="minorEastAsia" w:eastAsiaTheme="minorEastAsia" w:hAnsiTheme="minorEastAsia" w:hint="eastAsia"/>
                <w:szCs w:val="21"/>
              </w:rPr>
              <w:t>机构</w:t>
            </w:r>
          </w:p>
        </w:tc>
      </w:tr>
      <w:tr w:rsidR="00960F82" w:rsidRPr="00960F82" w:rsidTr="00D937F5">
        <w:tc>
          <w:tcPr>
            <w:tcW w:w="2552"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基金销售网点：</w:t>
            </w:r>
          </w:p>
        </w:tc>
        <w:tc>
          <w:tcPr>
            <w:tcW w:w="5720" w:type="dxa"/>
            <w:gridSpan w:val="2"/>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指基金管理人的直销</w:t>
            </w:r>
            <w:r w:rsidR="00D772A0" w:rsidRPr="00960F82">
              <w:rPr>
                <w:rFonts w:asciiTheme="minorEastAsia" w:eastAsiaTheme="minorEastAsia" w:hAnsiTheme="minorEastAsia" w:hint="eastAsia"/>
                <w:szCs w:val="21"/>
              </w:rPr>
              <w:t>机构网点</w:t>
            </w:r>
            <w:r w:rsidRPr="00960F82">
              <w:rPr>
                <w:rFonts w:asciiTheme="minorEastAsia" w:eastAsiaTheme="minorEastAsia" w:hAnsiTheme="minorEastAsia" w:hint="eastAsia"/>
                <w:szCs w:val="21"/>
              </w:rPr>
              <w:t>及</w:t>
            </w:r>
            <w:r w:rsidR="006A5737" w:rsidRPr="00960F82">
              <w:rPr>
                <w:rFonts w:asciiTheme="minorEastAsia" w:eastAsiaTheme="minorEastAsia" w:hAnsiTheme="minorEastAsia" w:hint="eastAsia"/>
                <w:szCs w:val="21"/>
              </w:rPr>
              <w:t>非直销销售</w:t>
            </w:r>
            <w:r w:rsidRPr="00960F82">
              <w:rPr>
                <w:rFonts w:asciiTheme="minorEastAsia" w:eastAsiaTheme="minorEastAsia" w:hAnsiTheme="minorEastAsia" w:hint="eastAsia"/>
                <w:szCs w:val="21"/>
              </w:rPr>
              <w:t>机构</w:t>
            </w:r>
            <w:r w:rsidR="006A5737" w:rsidRPr="00960F82">
              <w:rPr>
                <w:rFonts w:asciiTheme="minorEastAsia" w:eastAsiaTheme="minorEastAsia" w:hAnsiTheme="minorEastAsia" w:hint="eastAsia"/>
                <w:szCs w:val="21"/>
              </w:rPr>
              <w:t>的销售</w:t>
            </w:r>
            <w:r w:rsidRPr="00960F82">
              <w:rPr>
                <w:rFonts w:asciiTheme="minorEastAsia" w:eastAsiaTheme="minorEastAsia" w:hAnsiTheme="minorEastAsia" w:hint="eastAsia"/>
                <w:szCs w:val="21"/>
              </w:rPr>
              <w:t>网点</w:t>
            </w:r>
          </w:p>
        </w:tc>
      </w:tr>
      <w:tr w:rsidR="00960F82" w:rsidRPr="00960F82" w:rsidTr="00D937F5">
        <w:tc>
          <w:tcPr>
            <w:tcW w:w="2552" w:type="dxa"/>
          </w:tcPr>
          <w:p w:rsidR="00312ED6" w:rsidRPr="00960F82" w:rsidRDefault="00312ED6"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指定媒介：</w:t>
            </w:r>
          </w:p>
        </w:tc>
        <w:tc>
          <w:tcPr>
            <w:tcW w:w="5720" w:type="dxa"/>
            <w:gridSpan w:val="2"/>
          </w:tcPr>
          <w:p w:rsidR="00312ED6" w:rsidRPr="00960F82" w:rsidDel="00312ED6" w:rsidRDefault="00312ED6"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指中国证监会指定的用以进行信息披露的全国性报刊及指定互联网网站（包括基金管理人网站、基金托管人网站、中国证监会基金电子披露网站）等媒介</w:t>
            </w:r>
          </w:p>
        </w:tc>
      </w:tr>
      <w:tr w:rsidR="008C5604" w:rsidRPr="00960F82" w:rsidTr="00D937F5">
        <w:tc>
          <w:tcPr>
            <w:tcW w:w="2552" w:type="dxa"/>
          </w:tcPr>
          <w:p w:rsidR="00117EDD" w:rsidRPr="00960F82" w:rsidRDefault="00117EDD" w:rsidP="00312ED6">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流动性受限资产：</w:t>
            </w:r>
          </w:p>
        </w:tc>
        <w:tc>
          <w:tcPr>
            <w:tcW w:w="5720" w:type="dxa"/>
            <w:gridSpan w:val="2"/>
          </w:tcPr>
          <w:p w:rsidR="00117EDD" w:rsidRPr="00960F82" w:rsidRDefault="00117EDD" w:rsidP="00312ED6">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kern w:val="0"/>
                <w:szCs w:val="21"/>
              </w:rPr>
              <w:t>指由于法律法规、监管、合同或操作障碍等原因无法以合理价格予以变现的资产，包括但不限于到期日在10个交易日以</w:t>
            </w:r>
            <w:r w:rsidRPr="00960F82">
              <w:rPr>
                <w:rFonts w:asciiTheme="minorEastAsia" w:eastAsiaTheme="minorEastAsia" w:hAnsiTheme="minorEastAsia" w:hint="eastAsia"/>
                <w:kern w:val="0"/>
                <w:szCs w:val="21"/>
              </w:rPr>
              <w:lastRenderedPageBreak/>
              <w:t>上的逆回购与银行定期存款（含协议约定有条件提前支取的银行存款）、停牌股票、流通受限的新股及非公开发行股票、资产支持证券、因发行人债务违约无法进行转让或交易的债券等</w:t>
            </w:r>
          </w:p>
        </w:tc>
      </w:tr>
    </w:tbl>
    <w:p w:rsidR="001D2E2F" w:rsidRPr="00960F82" w:rsidRDefault="001D2E2F" w:rsidP="00084917">
      <w:pPr>
        <w:snapToGrid w:val="0"/>
        <w:spacing w:line="360" w:lineRule="auto"/>
        <w:ind w:firstLine="480"/>
        <w:jc w:val="center"/>
        <w:rPr>
          <w:rFonts w:asciiTheme="minorEastAsia" w:eastAsiaTheme="minorEastAsia" w:hAnsiTheme="minorEastAsia"/>
          <w:szCs w:val="21"/>
        </w:rPr>
      </w:pPr>
    </w:p>
    <w:p w:rsidR="001D2E2F" w:rsidRPr="00960F82" w:rsidRDefault="001D2E2F" w:rsidP="00084917">
      <w:pPr>
        <w:pStyle w:val="111"/>
        <w:snapToGrid w:val="0"/>
        <w:spacing w:before="312" w:after="312" w:line="360" w:lineRule="auto"/>
        <w:ind w:firstLineChars="0" w:firstLine="0"/>
        <w:rPr>
          <w:rFonts w:asciiTheme="minorEastAsia" w:eastAsiaTheme="minorEastAsia" w:hAnsiTheme="minorEastAsia"/>
          <w:szCs w:val="32"/>
        </w:rPr>
      </w:pPr>
      <w:bookmarkStart w:id="5" w:name="_Toc30161760"/>
      <w:r w:rsidRPr="00960F82">
        <w:rPr>
          <w:rFonts w:asciiTheme="minorEastAsia" w:eastAsiaTheme="minorEastAsia" w:hAnsiTheme="minorEastAsia" w:hint="eastAsia"/>
          <w:szCs w:val="32"/>
        </w:rPr>
        <w:lastRenderedPageBreak/>
        <w:t>三、</w:t>
      </w:r>
      <w:r w:rsidRPr="00960F82">
        <w:rPr>
          <w:rFonts w:asciiTheme="minorEastAsia" w:eastAsiaTheme="minorEastAsia" w:hAnsiTheme="minorEastAsia"/>
          <w:b/>
          <w:bCs/>
          <w:kern w:val="44"/>
          <w:szCs w:val="44"/>
        </w:rPr>
        <w:t>基金管理人</w:t>
      </w:r>
      <w:bookmarkEnd w:id="5"/>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szCs w:val="21"/>
        </w:rPr>
      </w:pPr>
      <w:bookmarkStart w:id="6" w:name="_Toc30161761"/>
      <w:r w:rsidRPr="00960F82">
        <w:rPr>
          <w:rFonts w:asciiTheme="minorEastAsia" w:eastAsiaTheme="minorEastAsia" w:hAnsiTheme="minorEastAsia" w:hint="eastAsia"/>
          <w:bCs/>
          <w:szCs w:val="21"/>
        </w:rPr>
        <w:t>（一）</w:t>
      </w:r>
      <w:r w:rsidRPr="00960F82">
        <w:rPr>
          <w:rFonts w:asciiTheme="minorEastAsia" w:eastAsiaTheme="minorEastAsia" w:hAnsiTheme="minorEastAsia"/>
          <w:bCs/>
          <w:szCs w:val="21"/>
        </w:rPr>
        <w:t>基金管理人</w:t>
      </w:r>
      <w:r w:rsidRPr="00960F82">
        <w:rPr>
          <w:rFonts w:asciiTheme="minorEastAsia" w:eastAsiaTheme="minorEastAsia" w:hAnsiTheme="minorEastAsia" w:hint="eastAsia"/>
          <w:bCs/>
          <w:szCs w:val="21"/>
        </w:rPr>
        <w:t>基本情况</w:t>
      </w:r>
      <w:bookmarkEnd w:id="6"/>
    </w:p>
    <w:p w:rsidR="001D2E2F" w:rsidRPr="00960F82" w:rsidRDefault="001D2E2F" w:rsidP="00084917">
      <w:pPr>
        <w:pStyle w:val="a7"/>
        <w:snapToGrid w:val="0"/>
        <w:spacing w:line="360" w:lineRule="auto"/>
        <w:ind w:firstLine="420"/>
        <w:textAlignment w:val="baseline"/>
        <w:rPr>
          <w:rFonts w:asciiTheme="minorEastAsia" w:eastAsiaTheme="minorEastAsia" w:hAnsiTheme="minorEastAsia"/>
          <w:sz w:val="21"/>
        </w:rPr>
      </w:pPr>
      <w:r w:rsidRPr="00960F82">
        <w:rPr>
          <w:rFonts w:asciiTheme="minorEastAsia" w:eastAsiaTheme="minorEastAsia" w:hAnsiTheme="minorEastAsia"/>
          <w:bCs/>
          <w:sz w:val="21"/>
        </w:rPr>
        <w:t>基金管理人：易方达基金管理有限公司</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bCs/>
        </w:rPr>
        <w:t>注册地址：</w:t>
      </w:r>
      <w:r w:rsidR="001232E8" w:rsidRPr="00960F82">
        <w:rPr>
          <w:rFonts w:asciiTheme="minorEastAsia" w:eastAsiaTheme="minorEastAsia" w:hAnsiTheme="minorEastAsia" w:hint="eastAsia"/>
        </w:rPr>
        <w:t>广东省珠海市横琴新区宝华路6号105室-42891（集中办公区）</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bCs/>
        </w:rPr>
        <w:t>办公地址：</w:t>
      </w:r>
      <w:r w:rsidRPr="00960F82">
        <w:rPr>
          <w:rFonts w:asciiTheme="minorEastAsia" w:eastAsiaTheme="minorEastAsia" w:hAnsiTheme="minorEastAsia"/>
        </w:rPr>
        <w:t>广州市</w:t>
      </w:r>
      <w:r w:rsidR="00D37056" w:rsidRPr="00960F82">
        <w:rPr>
          <w:rFonts w:asciiTheme="minorEastAsia" w:eastAsiaTheme="minorEastAsia" w:hAnsiTheme="minorEastAsia" w:hint="eastAsia"/>
        </w:rPr>
        <w:t>天河区珠江新城珠江东路30号广州银行大厦40-43楼</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bCs/>
        </w:rPr>
        <w:t>设立日期：</w:t>
      </w:r>
      <w:r w:rsidRPr="00960F82">
        <w:rPr>
          <w:rFonts w:asciiTheme="minorEastAsia" w:eastAsiaTheme="minorEastAsia" w:hAnsiTheme="minorEastAsia" w:hint="eastAsia"/>
        </w:rPr>
        <w:t>2001年4月17日</w:t>
      </w:r>
      <w:r w:rsidRPr="00960F82">
        <w:rPr>
          <w:rFonts w:asciiTheme="minorEastAsia" w:eastAsiaTheme="minorEastAsia" w:hAnsiTheme="minorEastAsia"/>
        </w:rPr>
        <w:tab/>
      </w:r>
    </w:p>
    <w:p w:rsidR="003E78A1" w:rsidRPr="00960F82" w:rsidRDefault="001D2E2F" w:rsidP="00084917">
      <w:pPr>
        <w:snapToGrid w:val="0"/>
        <w:spacing w:line="360" w:lineRule="auto"/>
        <w:ind w:firstLineChars="200" w:firstLine="420"/>
        <w:jc w:val="left"/>
        <w:rPr>
          <w:rFonts w:asciiTheme="minorEastAsia" w:eastAsiaTheme="minorEastAsia" w:hAnsiTheme="minorEastAsia"/>
        </w:rPr>
      </w:pPr>
      <w:r w:rsidRPr="00960F82">
        <w:rPr>
          <w:rFonts w:asciiTheme="minorEastAsia" w:eastAsiaTheme="minorEastAsia" w:hAnsiTheme="minorEastAsia"/>
          <w:bCs/>
        </w:rPr>
        <w:t>法定代表人：</w:t>
      </w:r>
      <w:r w:rsidR="00AC7228" w:rsidRPr="00960F82">
        <w:rPr>
          <w:rFonts w:asciiTheme="minorEastAsia" w:eastAsiaTheme="minorEastAsia" w:hAnsiTheme="minorEastAsia" w:hint="eastAsia"/>
        </w:rPr>
        <w:t>刘晓艳</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bCs/>
        </w:rPr>
        <w:t>联系</w:t>
      </w:r>
      <w:r w:rsidRPr="00960F82">
        <w:rPr>
          <w:rFonts w:asciiTheme="minorEastAsia" w:eastAsiaTheme="minorEastAsia" w:hAnsiTheme="minorEastAsia"/>
          <w:bCs/>
        </w:rPr>
        <w:t>电话：</w:t>
      </w:r>
      <w:r w:rsidRPr="00960F82">
        <w:rPr>
          <w:rFonts w:asciiTheme="minorEastAsia" w:eastAsiaTheme="minorEastAsia" w:hAnsiTheme="minorEastAsia"/>
        </w:rPr>
        <w:t>4008818088</w:t>
      </w:r>
    </w:p>
    <w:p w:rsidR="001D2E2F" w:rsidRPr="00960F82" w:rsidRDefault="00FF3B4A"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bCs/>
        </w:rPr>
        <w:t>联系人：李红枫</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bCs/>
        </w:rPr>
        <w:t>注册资本：</w:t>
      </w:r>
      <w:r w:rsidR="000D1C2C" w:rsidRPr="00960F82">
        <w:rPr>
          <w:rFonts w:asciiTheme="minorEastAsia" w:eastAsiaTheme="minorEastAsia" w:hAnsiTheme="minorEastAsia" w:hint="eastAsia"/>
        </w:rPr>
        <w:t>13,244.2万元人民币</w:t>
      </w:r>
    </w:p>
    <w:p w:rsidR="001D2E2F" w:rsidRPr="00960F82" w:rsidRDefault="001D2E2F" w:rsidP="00084917">
      <w:pPr>
        <w:snapToGrid w:val="0"/>
        <w:spacing w:line="360" w:lineRule="auto"/>
        <w:ind w:firstLineChars="200" w:firstLine="420"/>
        <w:rPr>
          <w:rFonts w:asciiTheme="minorEastAsia" w:eastAsiaTheme="minorEastAsia" w:hAnsiTheme="minorEastAsia"/>
          <w:bCs/>
        </w:rPr>
      </w:pPr>
      <w:r w:rsidRPr="00960F82">
        <w:rPr>
          <w:rFonts w:asciiTheme="minorEastAsia" w:eastAsiaTheme="minorEastAsia" w:hAnsiTheme="minorEastAsia" w:hint="eastAsia"/>
          <w:bCs/>
        </w:rPr>
        <w:t>股权结构：</w:t>
      </w:r>
    </w:p>
    <w:tbl>
      <w:tblPr>
        <w:tblW w:w="82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5"/>
        <w:gridCol w:w="3544"/>
      </w:tblGrid>
      <w:tr w:rsidR="00960F82" w:rsidRPr="00960F82" w:rsidTr="00A8776C">
        <w:tc>
          <w:tcPr>
            <w:tcW w:w="4715" w:type="dxa"/>
          </w:tcPr>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股东名称</w:t>
            </w:r>
          </w:p>
        </w:tc>
        <w:tc>
          <w:tcPr>
            <w:tcW w:w="3544" w:type="dxa"/>
          </w:tcPr>
          <w:p w:rsidR="001D2E2F" w:rsidRPr="00960F82" w:rsidRDefault="001D2E2F" w:rsidP="00A8776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出资比例</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广东粤财信托有限公司</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22.6514％</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广发证券股份有限公司</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22.6514％</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盈峰控股集团有限公司</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22.6514％</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广东省广晟资产经营有限公司</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15.1010％</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广州市广永国有资产经营有限公司</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7.5505％</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珠海祺荣宝股权投资合伙企业（有限合伙）</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1.5087％</w:t>
            </w:r>
          </w:p>
        </w:tc>
      </w:tr>
      <w:tr w:rsidR="00960F82" w:rsidRPr="00960F82" w:rsidTr="00A8776C">
        <w:tc>
          <w:tcPr>
            <w:tcW w:w="4715" w:type="dxa"/>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珠海祺泰宝股权投资合伙企业（有限合伙）</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1.6205％</w:t>
            </w:r>
          </w:p>
        </w:tc>
      </w:tr>
      <w:tr w:rsidR="00960F82" w:rsidRPr="00960F82" w:rsidTr="00A8776C">
        <w:tc>
          <w:tcPr>
            <w:tcW w:w="4715" w:type="dxa"/>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珠海祺丰宝股权投资合伙企业（有限合伙）</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1.5309％</w:t>
            </w:r>
          </w:p>
        </w:tc>
      </w:tr>
      <w:tr w:rsidR="00960F82" w:rsidRPr="00960F82" w:rsidTr="00A8776C">
        <w:tc>
          <w:tcPr>
            <w:tcW w:w="4715" w:type="dxa"/>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珠海聚莱康股权投资合伙企业（有限合伙）</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1.7558％</w:t>
            </w:r>
          </w:p>
        </w:tc>
      </w:tr>
      <w:tr w:rsidR="00960F82" w:rsidRPr="00960F82" w:rsidTr="00A8776C">
        <w:tc>
          <w:tcPr>
            <w:tcW w:w="4715" w:type="dxa"/>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珠海聚宁康股权投资合伙企业（有限合伙）</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1.4396％</w:t>
            </w:r>
          </w:p>
        </w:tc>
      </w:tr>
      <w:tr w:rsidR="00960F82" w:rsidRPr="00960F82" w:rsidTr="00A8776C">
        <w:tc>
          <w:tcPr>
            <w:tcW w:w="4715" w:type="dxa"/>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珠海聚弘康股权投资合伙企业（有限合伙）</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1.5388％</w:t>
            </w:r>
          </w:p>
        </w:tc>
      </w:tr>
      <w:tr w:rsidR="00960F82" w:rsidRPr="00960F82" w:rsidTr="00960F82">
        <w:tc>
          <w:tcPr>
            <w:tcW w:w="4715" w:type="dxa"/>
            <w:vAlign w:val="center"/>
          </w:tcPr>
          <w:p w:rsidR="000D1C2C" w:rsidRPr="00960F82" w:rsidRDefault="000D1C2C" w:rsidP="000D1C2C">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总   计</w:t>
            </w:r>
          </w:p>
        </w:tc>
        <w:tc>
          <w:tcPr>
            <w:tcW w:w="3544" w:type="dxa"/>
            <w:vAlign w:val="center"/>
          </w:tcPr>
          <w:p w:rsidR="000D1C2C" w:rsidRPr="00960F82" w:rsidRDefault="000D1C2C" w:rsidP="000D1C2C">
            <w:pPr>
              <w:snapToGrid w:val="0"/>
              <w:spacing w:line="360" w:lineRule="auto"/>
              <w:ind w:firstLine="420"/>
              <w:jc w:val="center"/>
              <w:rPr>
                <w:rFonts w:asciiTheme="minorEastAsia" w:eastAsiaTheme="minorEastAsia" w:hAnsiTheme="minorEastAsia"/>
              </w:rPr>
            </w:pPr>
            <w:r w:rsidRPr="00960F82">
              <w:rPr>
                <w:rFonts w:asciiTheme="minorEastAsia" w:eastAsiaTheme="minorEastAsia" w:hAnsiTheme="minorEastAsia" w:hint="eastAsia"/>
              </w:rPr>
              <w:t>100％</w:t>
            </w:r>
          </w:p>
        </w:tc>
      </w:tr>
    </w:tbl>
    <w:p w:rsidR="001D2E2F" w:rsidRPr="00960F82" w:rsidRDefault="001D2E2F" w:rsidP="00960F82">
      <w:pPr>
        <w:pStyle w:val="23"/>
        <w:tabs>
          <w:tab w:val="right" w:pos="8306"/>
        </w:tabs>
        <w:snapToGrid w:val="0"/>
        <w:spacing w:before="312" w:after="312" w:line="360" w:lineRule="auto"/>
        <w:ind w:firstLineChars="0" w:firstLine="0"/>
        <w:rPr>
          <w:rFonts w:asciiTheme="minorEastAsia" w:eastAsiaTheme="minorEastAsia" w:hAnsiTheme="minorEastAsia"/>
          <w:bCs/>
          <w:szCs w:val="21"/>
        </w:rPr>
      </w:pPr>
      <w:bookmarkStart w:id="7" w:name="_Toc30161762"/>
      <w:r w:rsidRPr="00960F82">
        <w:rPr>
          <w:rFonts w:asciiTheme="minorEastAsia" w:eastAsiaTheme="minorEastAsia" w:hAnsiTheme="minorEastAsia" w:hint="eastAsia"/>
          <w:bCs/>
          <w:szCs w:val="21"/>
        </w:rPr>
        <w:t>（二）</w:t>
      </w:r>
      <w:r w:rsidRPr="00960F82">
        <w:rPr>
          <w:rFonts w:asciiTheme="minorEastAsia" w:eastAsiaTheme="minorEastAsia" w:hAnsiTheme="minorEastAsia"/>
          <w:bCs/>
          <w:szCs w:val="21"/>
        </w:rPr>
        <w:t>主要人员情况</w:t>
      </w:r>
      <w:bookmarkEnd w:id="7"/>
      <w:r w:rsidR="000D1C2C" w:rsidRPr="00960F82">
        <w:rPr>
          <w:rFonts w:asciiTheme="minorEastAsia" w:eastAsiaTheme="minorEastAsia" w:hAnsiTheme="minorEastAsia"/>
          <w:bCs/>
          <w:szCs w:val="21"/>
        </w:rPr>
        <w:tab/>
      </w:r>
    </w:p>
    <w:p w:rsidR="003E78A1" w:rsidRPr="00960F82" w:rsidRDefault="001D2E2F" w:rsidP="00084917">
      <w:pPr>
        <w:pStyle w:val="a7"/>
        <w:adjustRightInd w:val="0"/>
        <w:snapToGrid w:val="0"/>
        <w:spacing w:line="360" w:lineRule="auto"/>
        <w:ind w:firstLine="422"/>
        <w:textAlignment w:val="baseline"/>
        <w:rPr>
          <w:rFonts w:asciiTheme="minorEastAsia" w:eastAsiaTheme="minorEastAsia" w:hAnsiTheme="minorEastAsia"/>
          <w:b/>
          <w:bCs/>
          <w:sz w:val="21"/>
        </w:rPr>
      </w:pPr>
      <w:r w:rsidRPr="00960F82">
        <w:rPr>
          <w:rFonts w:asciiTheme="minorEastAsia" w:eastAsiaTheme="minorEastAsia" w:hAnsiTheme="minorEastAsia" w:cs="仿宋_GB2312" w:hint="eastAsia"/>
          <w:b/>
          <w:bCs/>
          <w:kern w:val="0"/>
          <w:sz w:val="21"/>
        </w:rPr>
        <w:t>1</w:t>
      </w:r>
      <w:r w:rsidR="00084917" w:rsidRPr="00960F82">
        <w:rPr>
          <w:rFonts w:asciiTheme="minorEastAsia" w:eastAsiaTheme="minorEastAsia" w:hAnsiTheme="minorEastAsia" w:cs="仿宋_GB2312" w:hint="eastAsia"/>
          <w:b/>
          <w:bCs/>
          <w:kern w:val="0"/>
          <w:sz w:val="21"/>
        </w:rPr>
        <w:t>、</w:t>
      </w:r>
      <w:r w:rsidRPr="00960F82">
        <w:rPr>
          <w:rFonts w:asciiTheme="minorEastAsia" w:eastAsiaTheme="minorEastAsia" w:hAnsiTheme="minorEastAsia" w:cs="仿宋_GB2312" w:hint="eastAsia"/>
          <w:b/>
          <w:bCs/>
          <w:kern w:val="0"/>
          <w:sz w:val="21"/>
        </w:rPr>
        <w:t>董事、监事及高级管理人员</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w:t>
      </w:r>
      <w:r w:rsidRPr="00960F82">
        <w:rPr>
          <w:rFonts w:asciiTheme="minorEastAsia" w:eastAsiaTheme="minorEastAsia" w:hAnsiTheme="minorEastAsia" w:hint="eastAsia"/>
          <w:kern w:val="0"/>
          <w:sz w:val="21"/>
        </w:rPr>
        <w:lastRenderedPageBreak/>
        <w:t>持工作）；全国社会保障基金理事会投资部资产配置处处长、投资部副主任、境外投资部主任、投资部主任、证券投资部主任。现任易方达基金管理有限公司董事长；易方达国际控股有限公司董事长。</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谭劲松先生，管理学博士（会计学），独立董事。曾任邵阳市财会学校教师；中山大学管理学院助教、讲师、副教授。现任中山大学管理学院教授；中远海运特种运输股份有限公</w:t>
      </w:r>
      <w:r w:rsidRPr="00960F82">
        <w:rPr>
          <w:rFonts w:asciiTheme="minorEastAsia" w:eastAsiaTheme="minorEastAsia" w:hAnsiTheme="minorEastAsia" w:hint="eastAsia"/>
          <w:kern w:val="0"/>
          <w:sz w:val="21"/>
        </w:rPr>
        <w:lastRenderedPageBreak/>
        <w:t>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庄伟燕女士，法学博士，独立董事。曾任广东省妇女联合会干部；广东鸿鼎律师事务所主任；广东广悦鸿鼎律师事务所管委会主任。现任广东广信君达律师事务所高级合伙人。</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lastRenderedPageBreak/>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张南女士，经济学博士，督察长。曾任广东省经济贸易委员会主任科员、副处长；易方达基金管理有限公司市场拓展部副总经理、监察部总经理。现任易方达基金管理有限公司督察长。</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F04553" w:rsidRPr="00960F82" w:rsidRDefault="00F04553" w:rsidP="00F04553">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083CDE" w:rsidRPr="00960F82" w:rsidRDefault="00F04553" w:rsidP="001C541C">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kern w:val="0"/>
          <w:sz w:val="21"/>
        </w:rPr>
        <w:t>2、基金经理</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王超先生，理学硕士。曾任上海尚雅投资管理有限公司行业研究员，易方达基金管理有限公司行业研究员、基金经理助理、易方达新利灵活配置混合型证券投资基金基金经理（自</w:t>
      </w:r>
      <w:r w:rsidRPr="00960F82">
        <w:rPr>
          <w:rFonts w:asciiTheme="minorEastAsia" w:eastAsiaTheme="minorEastAsia" w:hAnsiTheme="minorEastAsia"/>
          <w:kern w:val="0"/>
          <w:sz w:val="21"/>
        </w:rPr>
        <w:t>2015年4月30日至2016年8月5日）、易方达新鑫灵活配置混合型证券投资基金基金经</w:t>
      </w:r>
      <w:r w:rsidRPr="00960F82">
        <w:rPr>
          <w:rFonts w:asciiTheme="minorEastAsia" w:eastAsiaTheme="minorEastAsia" w:hAnsiTheme="minorEastAsia"/>
          <w:kern w:val="0"/>
          <w:sz w:val="21"/>
        </w:rPr>
        <w:lastRenderedPageBreak/>
        <w:t>理（自2015年5月14日至2016年8月5日）、易方达新益灵活配置混合型证券投资基金基金经理（自2015年6月16日至2016年8月5日）、易方达瑞景灵活配置混合型证券投资基金基金经理（自2015年6月30日至2016年8月5日）、易方达黄金主题证券投</w:t>
      </w:r>
      <w:r w:rsidRPr="00960F82">
        <w:rPr>
          <w:rFonts w:asciiTheme="minorEastAsia" w:eastAsiaTheme="minorEastAsia" w:hAnsiTheme="minorEastAsia" w:hint="eastAsia"/>
          <w:kern w:val="0"/>
          <w:sz w:val="21"/>
        </w:rPr>
        <w:t>资基金（</w:t>
      </w:r>
      <w:r w:rsidRPr="00960F82">
        <w:rPr>
          <w:rFonts w:asciiTheme="minorEastAsia" w:eastAsiaTheme="minorEastAsia" w:hAnsiTheme="minorEastAsia"/>
          <w:kern w:val="0"/>
          <w:sz w:val="21"/>
        </w:rPr>
        <w:t>LOF）基金经理（自2013年12月17日至2016年8月19日）、易方达环保主题灵活配置混合型证券投资基金基金经理（自2017年6月2日至2018年6月6日）、易方达资源行业混合型证券投资基金基金经理（自2013年4月27日至2018年12月25日）。现任易方达基金管理有限公司易方达积极成长证券投资基金基金经理（自2014年11月22日起任职）。</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本基金历任基金经理情况：刘超安先生，管理时间为</w:t>
      </w:r>
      <w:r w:rsidRPr="00960F82">
        <w:rPr>
          <w:rFonts w:asciiTheme="minorEastAsia" w:eastAsiaTheme="minorEastAsia" w:hAnsiTheme="minorEastAsia"/>
          <w:kern w:val="0"/>
          <w:sz w:val="21"/>
        </w:rPr>
        <w:t>2004年9月9日至2005年12月31日；梁天喜先生，管理时间为2004年9月9日至2006年9月25</w:t>
      </w:r>
      <w:r w:rsidRPr="00960F82">
        <w:rPr>
          <w:rFonts w:asciiTheme="minorEastAsia" w:eastAsiaTheme="minorEastAsia" w:hAnsiTheme="minorEastAsia" w:hint="eastAsia"/>
          <w:kern w:val="0"/>
          <w:sz w:val="21"/>
        </w:rPr>
        <w:t>日；伍卫先生，管理时间为</w:t>
      </w:r>
      <w:r w:rsidRPr="00960F82">
        <w:rPr>
          <w:rFonts w:asciiTheme="minorEastAsia" w:eastAsiaTheme="minorEastAsia" w:hAnsiTheme="minorEastAsia"/>
          <w:kern w:val="0"/>
          <w:sz w:val="21"/>
        </w:rPr>
        <w:t>2006年9月26日至2007年12月31日；陈志民先生，管理时间为2004年9月9日至2011年4月20日；何云峰先生，管理时间为2008年1月1日至2014年12月5日。</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kern w:val="0"/>
          <w:sz w:val="21"/>
        </w:rPr>
        <w:t>3、权益投资决策委员会成员</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本公司权益投资决策委员会成员包括：吴欣荣先生、冯波先生、陈皓先生、张坤先生、孙松先生、付浩先生。</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吴欣荣先生，同上。</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冯波先生，经济学硕士。曾任广东发展银行行员，易方达基金管理有限公司市场拓展部研究员、市场拓展部副经理、市场部大区销售经理、北京分公司副总经理、研究部行业研究员、基金经理助理、研究部总经理助理、研究部副总经理、易方达科汇灵活配置混合型证券投资基金基金经理。现任易方达基金管理有限公司研究部总经理、易方达行业领先企业混合型证券投资基金基金经理、易方达中盘成长混合型证券投资基金基金经理。</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陈皓先生，管理学硕士。曾任易方达基金管理有限公司研究部行业研究员、基金经理助理兼任行业研究员、基金投资部基金经理助理、投资一部总经理助理、投资一部副总经理、投资经理、易方达价值精选混合型证券投资基金基金经理、易方达供给改革灵活配置混合型证券投资基金基金经理。现任易方达基金管理有限公司投资一部总经理、易方达平稳增长证券投资基金基金经理、易方达科翔混合型证券投资基金基金经理、易方达新经济灵活配置混合型证券投资基金基金经理、易方达国防军工混合型证券投资基金基金经理、易方达科讯混合型证券投资基金基金经理、易方达科融混合型证券投资基金基金经理。</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张坤先生，理学硕士。曾任易方达基金管理有限公司行业研究员、基金经理助理、研究部总经理助理。现任易方达基金管理有限公司易方达中小盘混合型证券投资基金基金经理、易方达亚洲精选股票型证券投资基金基金经理、易方达新丝路灵活配置混合型证券投资基金基金经理、易方达蓝筹精选混合型证券投资基金基金经理。</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孙松先生，经济学硕士。曾任易方达基金管理有限公司交易员、集中交易室主管、集中交易室经理、基金投资部基金经理助理兼任行业研究员、机构理财部总经理助理、机构理财部副总经理、权益投资总部副总经理、专户投资部总经理、养老金与专户权益投资部总经理。</w:t>
      </w:r>
      <w:r w:rsidRPr="00960F82">
        <w:rPr>
          <w:rFonts w:asciiTheme="minorEastAsia" w:eastAsiaTheme="minorEastAsia" w:hAnsiTheme="minorEastAsia" w:hint="eastAsia"/>
          <w:kern w:val="0"/>
          <w:sz w:val="21"/>
        </w:rPr>
        <w:lastRenderedPageBreak/>
        <w:t>现任易方达基金管理有限公司投资二部总经理、投资经理、易方达新常态灵活配置混合型证券投资基金基金经理。</w:t>
      </w:r>
    </w:p>
    <w:p w:rsidR="00083CDE" w:rsidRPr="00960F82" w:rsidRDefault="00083CDE" w:rsidP="00084917">
      <w:pPr>
        <w:pStyle w:val="a7"/>
        <w:adjustRightInd w:val="0"/>
        <w:snapToGrid w:val="0"/>
        <w:spacing w:line="360" w:lineRule="auto"/>
        <w:ind w:firstLine="420"/>
        <w:textAlignment w:val="baseline"/>
        <w:rPr>
          <w:rFonts w:asciiTheme="minorEastAsia" w:eastAsiaTheme="minorEastAsia" w:hAnsiTheme="minorEastAsia"/>
          <w:kern w:val="0"/>
          <w:sz w:val="21"/>
        </w:rPr>
      </w:pPr>
      <w:r w:rsidRPr="00960F82">
        <w:rPr>
          <w:rFonts w:asciiTheme="minorEastAsia" w:eastAsiaTheme="minorEastAsia" w:hAnsiTheme="minorEastAsia" w:hint="eastAsia"/>
          <w:kern w:val="0"/>
          <w:sz w:val="21"/>
        </w:rPr>
        <w:t>付浩先生，经济学硕士。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易方达策略成长证券投资基金基金经理、科瑞证券投资基金基金经理、易方达科翔股票型证券投资基金基金经理、易方达科汇灵活配置混合型证券投资基金基金经理。现任易方达基金管理有限公司权益投资管理部总经理、投资经理、易方达</w:t>
      </w:r>
      <w:r w:rsidRPr="00960F82">
        <w:rPr>
          <w:rFonts w:asciiTheme="minorEastAsia" w:eastAsiaTheme="minorEastAsia" w:hAnsiTheme="minorEastAsia"/>
          <w:kern w:val="0"/>
          <w:sz w:val="21"/>
        </w:rPr>
        <w:t>3年封闭运作战略配售灵活配置混合型证券投资基金（LOF）基金经理。</w:t>
      </w:r>
    </w:p>
    <w:p w:rsidR="001D2E2F" w:rsidRPr="00960F82" w:rsidRDefault="00084917" w:rsidP="00084917">
      <w:pPr>
        <w:pStyle w:val="a7"/>
        <w:adjustRightInd w:val="0"/>
        <w:snapToGrid w:val="0"/>
        <w:spacing w:line="360" w:lineRule="auto"/>
        <w:ind w:firstLine="422"/>
        <w:textAlignment w:val="baseline"/>
        <w:rPr>
          <w:rFonts w:asciiTheme="minorEastAsia" w:eastAsiaTheme="minorEastAsia" w:hAnsiTheme="minorEastAsia" w:cs="仿宋_GB2312"/>
          <w:b/>
          <w:bCs/>
          <w:kern w:val="0"/>
          <w:sz w:val="21"/>
        </w:rPr>
      </w:pPr>
      <w:r w:rsidRPr="00960F82">
        <w:rPr>
          <w:rFonts w:asciiTheme="minorEastAsia" w:eastAsiaTheme="minorEastAsia" w:hAnsiTheme="minorEastAsia" w:cs="仿宋_GB2312" w:hint="eastAsia"/>
          <w:b/>
          <w:bCs/>
          <w:kern w:val="0"/>
          <w:sz w:val="21"/>
        </w:rPr>
        <w:t>4、</w:t>
      </w:r>
      <w:r w:rsidR="001D2E2F" w:rsidRPr="00960F82">
        <w:rPr>
          <w:rFonts w:asciiTheme="minorEastAsia" w:eastAsiaTheme="minorEastAsia" w:hAnsiTheme="minorEastAsia" w:cs="仿宋_GB2312" w:hint="eastAsia"/>
          <w:b/>
          <w:bCs/>
          <w:kern w:val="0"/>
          <w:sz w:val="21"/>
        </w:rPr>
        <w:t>上述人员之间均不存在近亲属关系。</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szCs w:val="21"/>
        </w:rPr>
      </w:pPr>
      <w:bookmarkStart w:id="8" w:name="_Toc30161763"/>
      <w:r w:rsidRPr="00960F82">
        <w:rPr>
          <w:rFonts w:asciiTheme="minorEastAsia" w:eastAsiaTheme="minorEastAsia" w:hAnsiTheme="minorEastAsia" w:hint="eastAsia"/>
          <w:bCs/>
          <w:szCs w:val="21"/>
        </w:rPr>
        <w:t>（三）</w:t>
      </w:r>
      <w:r w:rsidRPr="00960F82">
        <w:rPr>
          <w:rFonts w:asciiTheme="minorEastAsia" w:eastAsiaTheme="minorEastAsia" w:hAnsiTheme="minorEastAsia"/>
          <w:bCs/>
          <w:szCs w:val="21"/>
        </w:rPr>
        <w:t>基金管理人的职责</w:t>
      </w:r>
      <w:bookmarkEnd w:id="8"/>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C31E89" w:rsidRPr="00960F82">
        <w:rPr>
          <w:rFonts w:asciiTheme="minorEastAsia" w:eastAsiaTheme="minorEastAsia" w:hAnsiTheme="minorEastAsia" w:hint="eastAsia"/>
        </w:rPr>
        <w:t>依法募集资金，办理基金份额的发售和登记事宜</w:t>
      </w:r>
      <w:r w:rsidR="001D2E2F" w:rsidRPr="00960F82">
        <w:rPr>
          <w:rFonts w:asciiTheme="minorEastAsia" w:eastAsiaTheme="minorEastAsia" w:hAnsiTheme="minorEastAsia"/>
        </w:rPr>
        <w:t>；</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rPr>
        <w:t>办理基金备案手续；</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rPr>
        <w:t>对所管理的不同基金财产分别管理、分别记账，进行证券投资；</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rPr>
        <w:t>按照基金合同的约定确定基金收益分配方案，及时向基金份额持有人分配收益；</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5、</w:t>
      </w:r>
      <w:r w:rsidR="001D2E2F" w:rsidRPr="00960F82">
        <w:rPr>
          <w:rFonts w:asciiTheme="minorEastAsia" w:eastAsiaTheme="minorEastAsia" w:hAnsiTheme="minorEastAsia"/>
        </w:rPr>
        <w:t>进行基金会计核算并编制基金</w:t>
      </w:r>
      <w:r w:rsidR="00991E9A" w:rsidRPr="00960F82">
        <w:rPr>
          <w:rFonts w:asciiTheme="minorEastAsia" w:eastAsiaTheme="minorEastAsia" w:hAnsiTheme="minorEastAsia" w:hint="eastAsia"/>
        </w:rPr>
        <w:t>季度报告、中期报告和年度报告</w:t>
      </w:r>
      <w:r w:rsidR="001D2E2F" w:rsidRPr="00960F82">
        <w:rPr>
          <w:rFonts w:asciiTheme="minorEastAsia" w:eastAsiaTheme="minorEastAsia" w:hAnsiTheme="minorEastAsia"/>
        </w:rPr>
        <w:t>；</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6、</w:t>
      </w:r>
      <w:r w:rsidR="001D2E2F" w:rsidRPr="00960F82">
        <w:rPr>
          <w:rFonts w:asciiTheme="minorEastAsia" w:eastAsiaTheme="minorEastAsia" w:hAnsiTheme="minorEastAsia"/>
        </w:rPr>
        <w:t>编制</w:t>
      </w:r>
      <w:r w:rsidR="001D2E2F" w:rsidRPr="00960F82">
        <w:rPr>
          <w:rFonts w:asciiTheme="minorEastAsia" w:eastAsiaTheme="minorEastAsia" w:hAnsiTheme="minorEastAsia" w:hint="eastAsia"/>
        </w:rPr>
        <w:t>半年度</w:t>
      </w:r>
      <w:r w:rsidR="001D2E2F" w:rsidRPr="00960F82">
        <w:rPr>
          <w:rFonts w:asciiTheme="minorEastAsia" w:eastAsiaTheme="minorEastAsia" w:hAnsiTheme="minorEastAsia"/>
        </w:rPr>
        <w:t>和年度基金报告；</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7、</w:t>
      </w:r>
      <w:r w:rsidR="001D2E2F" w:rsidRPr="00960F82">
        <w:rPr>
          <w:rFonts w:asciiTheme="minorEastAsia" w:eastAsiaTheme="minorEastAsia" w:hAnsiTheme="minorEastAsia"/>
        </w:rPr>
        <w:t>计算并公告基金</w:t>
      </w:r>
      <w:r w:rsidR="00991E9A" w:rsidRPr="00960F82">
        <w:rPr>
          <w:rFonts w:asciiTheme="minorEastAsia" w:eastAsiaTheme="minorEastAsia" w:hAnsiTheme="minorEastAsia" w:hint="eastAsia"/>
        </w:rPr>
        <w:t>净值信息</w:t>
      </w:r>
      <w:r w:rsidR="001D2E2F" w:rsidRPr="00960F82">
        <w:rPr>
          <w:rFonts w:asciiTheme="minorEastAsia" w:eastAsiaTheme="minorEastAsia" w:hAnsiTheme="minorEastAsia"/>
        </w:rPr>
        <w:t>，确定基金份额申购、赎回价格；</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8、</w:t>
      </w:r>
      <w:r w:rsidR="001D2E2F" w:rsidRPr="00960F82">
        <w:rPr>
          <w:rFonts w:asciiTheme="minorEastAsia" w:eastAsiaTheme="minorEastAsia" w:hAnsiTheme="minorEastAsia"/>
        </w:rPr>
        <w:t>办理与基金财产管理业务活动有关的信息披露事项；</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9、</w:t>
      </w:r>
      <w:r w:rsidR="0047441F" w:rsidRPr="00960F82">
        <w:rPr>
          <w:rFonts w:asciiTheme="minorEastAsia" w:eastAsiaTheme="minorEastAsia" w:hAnsiTheme="minorEastAsia" w:hint="eastAsia"/>
        </w:rPr>
        <w:t>按照规定</w:t>
      </w:r>
      <w:r w:rsidR="001D2E2F" w:rsidRPr="00960F82">
        <w:rPr>
          <w:rFonts w:asciiTheme="minorEastAsia" w:eastAsiaTheme="minorEastAsia" w:hAnsiTheme="minorEastAsia"/>
        </w:rPr>
        <w:t>召集基金份额持有人大会；</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10、</w:t>
      </w:r>
      <w:r w:rsidR="001D2E2F" w:rsidRPr="00960F82">
        <w:rPr>
          <w:rFonts w:asciiTheme="minorEastAsia" w:eastAsiaTheme="minorEastAsia" w:hAnsiTheme="minorEastAsia"/>
        </w:rPr>
        <w:t>保存基金财产管理业务活动的记录、账册、报表和其他相关资料；</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11、</w:t>
      </w:r>
      <w:r w:rsidR="001D2E2F" w:rsidRPr="00960F82">
        <w:rPr>
          <w:rFonts w:asciiTheme="minorEastAsia" w:eastAsiaTheme="minorEastAsia" w:hAnsiTheme="minorEastAsia"/>
        </w:rPr>
        <w:t>以基金管理人名义，代表基金份额持有人利益行使诉讼权利或者实施其他法律行为；</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12、</w:t>
      </w:r>
      <w:r w:rsidR="001D2E2F" w:rsidRPr="00960F82">
        <w:rPr>
          <w:rFonts w:asciiTheme="minorEastAsia" w:eastAsiaTheme="minorEastAsia" w:hAnsiTheme="minorEastAsia"/>
        </w:rPr>
        <w:t>国务院证券监督管理机构规定的其他职责。</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szCs w:val="21"/>
        </w:rPr>
      </w:pPr>
      <w:bookmarkStart w:id="9" w:name="_Toc30161764"/>
      <w:r w:rsidRPr="00960F82">
        <w:rPr>
          <w:rFonts w:asciiTheme="minorEastAsia" w:eastAsiaTheme="minorEastAsia" w:hAnsiTheme="minorEastAsia" w:hint="eastAsia"/>
          <w:bCs/>
          <w:szCs w:val="21"/>
        </w:rPr>
        <w:t>（四）</w:t>
      </w:r>
      <w:r w:rsidRPr="00960F82">
        <w:rPr>
          <w:rFonts w:asciiTheme="minorEastAsia" w:eastAsiaTheme="minorEastAsia" w:hAnsiTheme="minorEastAsia"/>
          <w:bCs/>
          <w:szCs w:val="21"/>
        </w:rPr>
        <w:t>基金管理人的承诺</w:t>
      </w:r>
      <w:bookmarkEnd w:id="9"/>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本基金管理人承诺严格遵守《证券法》、《基金法》及有关法律法规，建立健全内部控制制度，采取有效措施，防止下列行为发生：</w:t>
      </w:r>
    </w:p>
    <w:p w:rsidR="001D2E2F" w:rsidRPr="00960F82" w:rsidRDefault="001D2E2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lastRenderedPageBreak/>
        <w:t>将其固有财产或者他人财产混同于基金财产从事证券投资；</w:t>
      </w:r>
    </w:p>
    <w:p w:rsidR="001D2E2F" w:rsidRPr="00960F82" w:rsidRDefault="001D2E2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不公平地对待其管理的不同基金财产；</w:t>
      </w:r>
    </w:p>
    <w:p w:rsidR="001D2E2F" w:rsidRPr="00960F82" w:rsidRDefault="001D2E2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利用基金财产</w:t>
      </w:r>
      <w:r w:rsidR="00B5244E" w:rsidRPr="00960F82">
        <w:rPr>
          <w:rFonts w:asciiTheme="minorEastAsia" w:eastAsiaTheme="minorEastAsia" w:hAnsiTheme="minorEastAsia" w:hint="eastAsia"/>
        </w:rPr>
        <w:t>或者职务之便</w:t>
      </w:r>
      <w:r w:rsidRPr="00960F82">
        <w:rPr>
          <w:rFonts w:asciiTheme="minorEastAsia" w:eastAsiaTheme="minorEastAsia" w:hAnsiTheme="minorEastAsia" w:hint="eastAsia"/>
        </w:rPr>
        <w:t>为基金份额持有人以外的第三人谋取利益；</w:t>
      </w:r>
    </w:p>
    <w:p w:rsidR="001D2E2F" w:rsidRPr="00960F82" w:rsidRDefault="001D2E2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向基金份额持有人违规承诺收益或者承担损失；</w:t>
      </w:r>
    </w:p>
    <w:p w:rsidR="0047441F" w:rsidRPr="00960F82" w:rsidRDefault="0047441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侵占、挪用基金财产；</w:t>
      </w:r>
    </w:p>
    <w:p w:rsidR="0047441F" w:rsidRPr="00960F82" w:rsidRDefault="0047441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泄露因职务便利获取的未公开信息、利用该信息从事或者明示、暗示他人从事相关的交易活动；</w:t>
      </w:r>
    </w:p>
    <w:p w:rsidR="0047441F" w:rsidRPr="00960F82" w:rsidRDefault="0047441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玩忽职守，不按照规定履行职责；</w:t>
      </w:r>
    </w:p>
    <w:p w:rsidR="001D2E2F" w:rsidRPr="00960F82" w:rsidRDefault="0047441F" w:rsidP="007F114F">
      <w:pPr>
        <w:numPr>
          <w:ilvl w:val="1"/>
          <w:numId w:val="19"/>
        </w:numPr>
        <w:tabs>
          <w:tab w:val="left" w:pos="735"/>
          <w:tab w:val="num" w:pos="1620"/>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法律、行政法规和中国证监会规定禁止的其他行为。</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hint="eastAsia"/>
        </w:rPr>
        <w:t>本基金管理人禁止利用基金资产从事以下投资或活动：</w:t>
      </w:r>
    </w:p>
    <w:p w:rsidR="001D2E2F" w:rsidRPr="00960F82" w:rsidRDefault="001D2E2F" w:rsidP="00084917">
      <w:pPr>
        <w:tabs>
          <w:tab w:val="left" w:pos="735"/>
          <w:tab w:val="num" w:pos="1050"/>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（1）</w:t>
      </w:r>
      <w:r w:rsidRPr="00960F82">
        <w:rPr>
          <w:rFonts w:asciiTheme="minorEastAsia" w:eastAsiaTheme="minorEastAsia" w:hAnsiTheme="minorEastAsia"/>
        </w:rPr>
        <w:t>承销证券；</w:t>
      </w:r>
    </w:p>
    <w:p w:rsidR="001D2E2F" w:rsidRPr="00960F82" w:rsidRDefault="001D2E2F" w:rsidP="00084917">
      <w:pPr>
        <w:tabs>
          <w:tab w:val="left" w:pos="735"/>
          <w:tab w:val="num" w:pos="1050"/>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（2）</w:t>
      </w:r>
      <w:r w:rsidRPr="00960F82">
        <w:rPr>
          <w:rFonts w:asciiTheme="minorEastAsia" w:eastAsiaTheme="minorEastAsia" w:hAnsiTheme="minorEastAsia"/>
        </w:rPr>
        <w:t>向他人贷款或者提供担保；</w:t>
      </w:r>
    </w:p>
    <w:p w:rsidR="001D2E2F" w:rsidRPr="00960F82" w:rsidRDefault="001D2E2F" w:rsidP="00084917">
      <w:pPr>
        <w:tabs>
          <w:tab w:val="left" w:pos="735"/>
          <w:tab w:val="num" w:pos="1050"/>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（3）</w:t>
      </w:r>
      <w:r w:rsidRPr="00960F82">
        <w:rPr>
          <w:rFonts w:asciiTheme="minorEastAsia" w:eastAsiaTheme="minorEastAsia" w:hAnsiTheme="minorEastAsia"/>
        </w:rPr>
        <w:t>从事承担无限责任的投资；</w:t>
      </w:r>
    </w:p>
    <w:p w:rsidR="001D2E2F" w:rsidRPr="00960F82" w:rsidRDefault="001D2E2F" w:rsidP="00084917">
      <w:pPr>
        <w:tabs>
          <w:tab w:val="left" w:pos="735"/>
          <w:tab w:val="num" w:pos="1050"/>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（4）</w:t>
      </w:r>
      <w:r w:rsidRPr="00960F82">
        <w:rPr>
          <w:rFonts w:asciiTheme="minorEastAsia" w:eastAsiaTheme="minorEastAsia" w:hAnsiTheme="minorEastAsia"/>
        </w:rPr>
        <w:t>买卖其他基金份额，但是国务院另有规定的除外；</w:t>
      </w:r>
    </w:p>
    <w:p w:rsidR="001D2E2F" w:rsidRPr="00960F82" w:rsidRDefault="001D2E2F" w:rsidP="00084917">
      <w:pPr>
        <w:tabs>
          <w:tab w:val="left" w:pos="735"/>
        </w:tabs>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（5）</w:t>
      </w:r>
      <w:r w:rsidRPr="00960F82">
        <w:rPr>
          <w:rFonts w:asciiTheme="minorEastAsia" w:eastAsiaTheme="minorEastAsia" w:hAnsiTheme="minorEastAsia"/>
        </w:rPr>
        <w:t>向其基金管理人、基金托管人出资或者买卖其基金管理人、基金托管人发行的股票或者债券；</w:t>
      </w:r>
    </w:p>
    <w:p w:rsidR="001D2E2F" w:rsidRPr="00960F82" w:rsidRDefault="001D2E2F" w:rsidP="00084917">
      <w:pPr>
        <w:tabs>
          <w:tab w:val="left" w:pos="735"/>
        </w:tabs>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（6）</w:t>
      </w:r>
      <w:r w:rsidRPr="00960F82">
        <w:rPr>
          <w:rFonts w:asciiTheme="minorEastAsia" w:eastAsiaTheme="minorEastAsia" w:hAnsiTheme="minorEastAsia"/>
        </w:rPr>
        <w:t>买卖与其基金管理人、基金托管人有控股关系的股东或者与其基金管理人、基金托管人有其他重大利害关系的公司发行的证券或者承销期内承销的证券；</w:t>
      </w:r>
    </w:p>
    <w:p w:rsidR="001D2E2F" w:rsidRPr="00960F82" w:rsidRDefault="001D2E2F" w:rsidP="00084917">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（7）</w:t>
      </w:r>
      <w:r w:rsidRPr="00960F82">
        <w:rPr>
          <w:rFonts w:asciiTheme="minorEastAsia" w:eastAsiaTheme="minorEastAsia" w:hAnsiTheme="minorEastAsia"/>
        </w:rPr>
        <w:t>从事内幕交易、操纵证券交易价格及其他不正当的证券交易活动；</w:t>
      </w:r>
    </w:p>
    <w:p w:rsidR="001D2E2F" w:rsidRPr="00960F82" w:rsidRDefault="001D2E2F" w:rsidP="00084917">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（8）</w:t>
      </w:r>
      <w:r w:rsidRPr="00960F82">
        <w:rPr>
          <w:rFonts w:asciiTheme="minorEastAsia" w:eastAsiaTheme="minorEastAsia" w:hAnsiTheme="minorEastAsia"/>
        </w:rPr>
        <w:t>依照法律、行政法规有关规定，由国务院证券监督管理机构规定禁止的其他活动。</w:t>
      </w:r>
    </w:p>
    <w:p w:rsidR="001D2E2F" w:rsidRPr="00960F82" w:rsidRDefault="00084917"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基金经理承诺</w:t>
      </w:r>
    </w:p>
    <w:p w:rsidR="001D2E2F" w:rsidRPr="00960F82" w:rsidRDefault="001D2E2F" w:rsidP="00084917">
      <w:pPr>
        <w:tabs>
          <w:tab w:val="left" w:pos="735"/>
        </w:tabs>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（1）依照有关法律、法规和《基金合同》的规定，本着谨慎的原则为基金份额持有人谋取最大利益；</w:t>
      </w:r>
    </w:p>
    <w:p w:rsidR="001D2E2F" w:rsidRPr="00960F82" w:rsidRDefault="001D2E2F" w:rsidP="00084917">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（2）不利用职务之便为自己及其代理人、受雇人或任何第三人谋取利益；</w:t>
      </w:r>
    </w:p>
    <w:p w:rsidR="001D2E2F" w:rsidRPr="00960F82" w:rsidRDefault="001D2E2F" w:rsidP="00084917">
      <w:pPr>
        <w:tabs>
          <w:tab w:val="left" w:pos="735"/>
        </w:tabs>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（3）不违反现行有效的有关法律、法规、规章、基金合同和中国证监会的有关规定，不泄漏在任职期间知悉的有关证券、基金的商业秘密、尚未依法公开的基金投资内容、基金投资计划等信息；</w:t>
      </w:r>
    </w:p>
    <w:p w:rsidR="001D2E2F" w:rsidRPr="00960F82" w:rsidRDefault="001D2E2F" w:rsidP="00084917">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（4）不</w:t>
      </w:r>
      <w:r w:rsidRPr="00960F82">
        <w:rPr>
          <w:rFonts w:asciiTheme="minorEastAsia" w:eastAsiaTheme="minorEastAsia" w:hAnsiTheme="minorEastAsia"/>
        </w:rPr>
        <w:t>从事损害基金财产和基金份额持有人利益的证券交易及其他活动。</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szCs w:val="21"/>
        </w:rPr>
      </w:pPr>
      <w:bookmarkStart w:id="10" w:name="_Toc30161765"/>
      <w:r w:rsidRPr="00960F82">
        <w:rPr>
          <w:rFonts w:asciiTheme="minorEastAsia" w:eastAsiaTheme="minorEastAsia" w:hAnsiTheme="minorEastAsia" w:hint="eastAsia"/>
          <w:bCs/>
          <w:szCs w:val="21"/>
        </w:rPr>
        <w:t>（五）</w:t>
      </w:r>
      <w:r w:rsidRPr="00960F82">
        <w:rPr>
          <w:rFonts w:asciiTheme="minorEastAsia" w:eastAsiaTheme="minorEastAsia" w:hAnsiTheme="minorEastAsia"/>
          <w:bCs/>
          <w:szCs w:val="21"/>
        </w:rPr>
        <w:t>基金管理人的内部控制制度</w:t>
      </w:r>
      <w:bookmarkEnd w:id="10"/>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1D2E2F" w:rsidRPr="00960F82" w:rsidRDefault="00084917" w:rsidP="00084917">
      <w:pPr>
        <w:tabs>
          <w:tab w:val="left" w:pos="735"/>
        </w:tabs>
        <w:snapToGrid w:val="0"/>
        <w:spacing w:line="360" w:lineRule="auto"/>
        <w:ind w:left="420"/>
        <w:rPr>
          <w:rFonts w:asciiTheme="minorEastAsia" w:eastAsiaTheme="minorEastAsia" w:hAnsiTheme="minorEastAsia"/>
          <w:b/>
          <w:bCs/>
          <w:szCs w:val="21"/>
        </w:rPr>
      </w:pPr>
      <w:r w:rsidRPr="00960F82">
        <w:rPr>
          <w:rFonts w:asciiTheme="minorEastAsia" w:eastAsiaTheme="minorEastAsia" w:hAnsiTheme="minorEastAsia" w:hint="eastAsia"/>
          <w:b/>
          <w:bCs/>
        </w:rPr>
        <w:lastRenderedPageBreak/>
        <w:t>1、</w:t>
      </w:r>
      <w:r w:rsidR="001D2E2F" w:rsidRPr="00960F82">
        <w:rPr>
          <w:rFonts w:asciiTheme="minorEastAsia" w:eastAsiaTheme="minorEastAsia" w:hAnsiTheme="minorEastAsia" w:hint="eastAsia"/>
          <w:b/>
          <w:bCs/>
        </w:rPr>
        <w:t>公司内部控制的总体目标</w:t>
      </w:r>
    </w:p>
    <w:p w:rsidR="001D2E2F" w:rsidRPr="00960F82" w:rsidRDefault="001D2E2F" w:rsidP="007F114F">
      <w:pPr>
        <w:numPr>
          <w:ilvl w:val="1"/>
          <w:numId w:val="20"/>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保证公司经营管理活动的合法合规性；</w:t>
      </w:r>
    </w:p>
    <w:p w:rsidR="001D2E2F" w:rsidRPr="00960F82" w:rsidRDefault="001D2E2F" w:rsidP="007F114F">
      <w:pPr>
        <w:numPr>
          <w:ilvl w:val="1"/>
          <w:numId w:val="20"/>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保证基金份额持有人的合法权益不受侵犯；</w:t>
      </w:r>
    </w:p>
    <w:p w:rsidR="001D2E2F" w:rsidRPr="00960F82" w:rsidRDefault="001D2E2F" w:rsidP="007F114F">
      <w:pPr>
        <w:numPr>
          <w:ilvl w:val="1"/>
          <w:numId w:val="20"/>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实现公司稳健、持续发展，维护股东权益；</w:t>
      </w:r>
    </w:p>
    <w:p w:rsidR="001D2E2F" w:rsidRPr="00960F82" w:rsidRDefault="001D2E2F" w:rsidP="007F114F">
      <w:pPr>
        <w:numPr>
          <w:ilvl w:val="1"/>
          <w:numId w:val="20"/>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促进公司全体员工恪守职业操守，正直诚信，廉洁自律，勤勉尽责；</w:t>
      </w:r>
    </w:p>
    <w:p w:rsidR="001D2E2F" w:rsidRPr="00960F82" w:rsidRDefault="001D2E2F" w:rsidP="007F114F">
      <w:pPr>
        <w:numPr>
          <w:ilvl w:val="1"/>
          <w:numId w:val="20"/>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保护公司最重要的资本：公司声誉。</w:t>
      </w:r>
    </w:p>
    <w:p w:rsidR="001D2E2F" w:rsidRPr="00960F82" w:rsidRDefault="00084917" w:rsidP="00084917">
      <w:pPr>
        <w:tabs>
          <w:tab w:val="left" w:pos="735"/>
        </w:tabs>
        <w:snapToGrid w:val="0"/>
        <w:spacing w:line="360" w:lineRule="auto"/>
        <w:ind w:left="420"/>
        <w:rPr>
          <w:rFonts w:asciiTheme="minorEastAsia" w:eastAsiaTheme="minorEastAsia" w:hAnsiTheme="minorEastAsia"/>
          <w:b/>
          <w:bCs/>
        </w:rPr>
      </w:pPr>
      <w:r w:rsidRPr="00960F82">
        <w:rPr>
          <w:rFonts w:asciiTheme="minorEastAsia" w:eastAsiaTheme="minorEastAsia" w:hAnsiTheme="minorEastAsia" w:hint="eastAsia"/>
          <w:b/>
          <w:bCs/>
        </w:rPr>
        <w:t>2、</w:t>
      </w:r>
      <w:r w:rsidR="001D2E2F" w:rsidRPr="00960F82">
        <w:rPr>
          <w:rFonts w:asciiTheme="minorEastAsia" w:eastAsiaTheme="minorEastAsia" w:hAnsiTheme="minorEastAsia" w:hint="eastAsia"/>
          <w:b/>
          <w:bCs/>
        </w:rPr>
        <w:t>公司内部控制遵循的原则</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全面性原则：内部控制必须覆盖公司的所有部门和岗位，渗透各项业务过程和业务环节，并普遍适用于公司每一位职员；</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审慎性原则：内部控制的核心是有效防范各种风险，公司组织体系的构成、内部管理制度的建立都要以防范风险、审慎经营为出发点；</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相互制约原则：公司设置的各部门、各岗位权责分明、相互制衡；</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独立性原则：公司根据业务的需要设立相对独立的机构、部门和岗位；公司内部部门和岗位的设置必须权责分明；</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有效性原则：各种内部管理制度具有高度的权威性，应是所有员工严格遵守的行动指南；执行内部管理制度不能有任何例外，任何人不得拥有超越制度或违反规章的权力；</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适时性原则：内部控制应具有前瞻性，并且必须随着公司经营战略、经营方针、经营理念等内部环境的变化和国家法律、法规、政策制度等外部环境的改变及时进行相应的修改和完善；</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（7）</w:t>
      </w:r>
      <w:r w:rsidR="001D2E2F" w:rsidRPr="00960F82">
        <w:rPr>
          <w:rFonts w:asciiTheme="minorEastAsia" w:eastAsiaTheme="minorEastAsia" w:hAnsiTheme="minorEastAsia" w:hint="eastAsia"/>
          <w:szCs w:val="21"/>
        </w:rPr>
        <w:t>成本效益原则：公司运用科学化的经营管理方法降低运作成本，提高经济效益，力争以合理的控制成本达到最佳的内部控制效果。</w:t>
      </w:r>
    </w:p>
    <w:p w:rsidR="001D2E2F" w:rsidRPr="00960F82" w:rsidRDefault="00084917" w:rsidP="00084917">
      <w:pPr>
        <w:tabs>
          <w:tab w:val="left" w:pos="735"/>
        </w:tabs>
        <w:snapToGrid w:val="0"/>
        <w:spacing w:line="360" w:lineRule="auto"/>
        <w:ind w:left="420"/>
        <w:rPr>
          <w:rFonts w:asciiTheme="minorEastAsia" w:eastAsiaTheme="minorEastAsia" w:hAnsiTheme="minorEastAsia"/>
          <w:b/>
          <w:bCs/>
        </w:rPr>
      </w:pPr>
      <w:r w:rsidRPr="00960F82">
        <w:rPr>
          <w:rFonts w:asciiTheme="minorEastAsia" w:eastAsiaTheme="minorEastAsia" w:hAnsiTheme="minorEastAsia" w:hint="eastAsia"/>
          <w:b/>
          <w:szCs w:val="21"/>
        </w:rPr>
        <w:t>3、</w:t>
      </w:r>
      <w:r w:rsidR="001D2E2F" w:rsidRPr="00960F82">
        <w:rPr>
          <w:rFonts w:asciiTheme="minorEastAsia" w:eastAsiaTheme="minorEastAsia" w:hAnsiTheme="minorEastAsia" w:hint="eastAsia"/>
          <w:b/>
          <w:bCs/>
        </w:rPr>
        <w:t>内部控制的制度体系</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1D2E2F" w:rsidRPr="00960F82" w:rsidRDefault="00084917" w:rsidP="00084917">
      <w:pPr>
        <w:tabs>
          <w:tab w:val="left" w:pos="735"/>
        </w:tabs>
        <w:snapToGrid w:val="0"/>
        <w:spacing w:line="360" w:lineRule="auto"/>
        <w:ind w:left="420"/>
        <w:rPr>
          <w:rFonts w:asciiTheme="minorEastAsia" w:eastAsiaTheme="minorEastAsia" w:hAnsiTheme="minorEastAsia"/>
          <w:b/>
          <w:szCs w:val="21"/>
        </w:rPr>
      </w:pPr>
      <w:r w:rsidRPr="00960F82">
        <w:rPr>
          <w:rFonts w:asciiTheme="minorEastAsia" w:eastAsiaTheme="minorEastAsia" w:hAnsiTheme="minorEastAsia" w:hint="eastAsia"/>
          <w:b/>
          <w:szCs w:val="21"/>
        </w:rPr>
        <w:t>4、</w:t>
      </w:r>
      <w:r w:rsidR="001D2E2F" w:rsidRPr="00960F82">
        <w:rPr>
          <w:rFonts w:asciiTheme="minorEastAsia" w:eastAsiaTheme="minorEastAsia" w:hAnsiTheme="minorEastAsia" w:hint="eastAsia"/>
          <w:b/>
          <w:szCs w:val="21"/>
        </w:rPr>
        <w:t>关于授权、研究、投资、交易等方面的控制点</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授权制度</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w:t>
      </w:r>
      <w:r w:rsidRPr="00960F82">
        <w:rPr>
          <w:rFonts w:asciiTheme="minorEastAsia" w:eastAsiaTheme="minorEastAsia" w:hAnsiTheme="minorEastAsia" w:hint="eastAsia"/>
          <w:szCs w:val="21"/>
        </w:rPr>
        <w:lastRenderedPageBreak/>
        <w:t>进行。公司重大业务的授权必须采取书面形式，授权书应当明确授权内容和时效。公司授权要适当，对已获授权的部门和人员应建立有效的评价和反馈机制，对已不适用的授权应及时修改或取消授权。</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公司研究业务</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基金投资业务</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交易业务</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基金会计核算</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1D2E2F" w:rsidRPr="00960F82" w:rsidRDefault="001D2E2F" w:rsidP="007F114F">
      <w:pPr>
        <w:numPr>
          <w:ilvl w:val="1"/>
          <w:numId w:val="20"/>
        </w:numPr>
        <w:tabs>
          <w:tab w:val="left" w:pos="735"/>
        </w:tabs>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信息披露</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1D2E2F" w:rsidRPr="00960F82" w:rsidRDefault="00FF3B4A" w:rsidP="007F114F">
      <w:pPr>
        <w:numPr>
          <w:ilvl w:val="1"/>
          <w:numId w:val="20"/>
        </w:numPr>
        <w:tabs>
          <w:tab w:val="left" w:pos="735"/>
        </w:tabs>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监察与合规管理</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公司设立督察长，经董事会聘任，报中国证监会核准。根据公司</w:t>
      </w:r>
      <w:r w:rsidR="00FF3B4A" w:rsidRPr="00960F82">
        <w:rPr>
          <w:rFonts w:asciiTheme="minorEastAsia" w:eastAsiaTheme="minorEastAsia" w:hAnsiTheme="minorEastAsia" w:hint="eastAsia"/>
          <w:szCs w:val="21"/>
        </w:rPr>
        <w:t>监察与合规管理</w:t>
      </w:r>
      <w:r w:rsidRPr="00960F82">
        <w:rPr>
          <w:rFonts w:asciiTheme="minorEastAsia" w:eastAsiaTheme="minorEastAsia" w:hAnsiTheme="minorEastAsia" w:hint="eastAsia"/>
          <w:szCs w:val="21"/>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公司设立</w:t>
      </w:r>
      <w:r w:rsidR="00FF3B4A" w:rsidRPr="00960F82">
        <w:rPr>
          <w:rFonts w:asciiTheme="minorEastAsia" w:eastAsiaTheme="minorEastAsia" w:hAnsiTheme="minorEastAsia" w:hint="eastAsia"/>
          <w:szCs w:val="21"/>
        </w:rPr>
        <w:t>监察与合规管理总部</w:t>
      </w:r>
      <w:r w:rsidRPr="00960F82">
        <w:rPr>
          <w:rFonts w:asciiTheme="minorEastAsia" w:eastAsiaTheme="minorEastAsia" w:hAnsiTheme="minorEastAsia" w:hint="eastAsia"/>
          <w:szCs w:val="21"/>
        </w:rPr>
        <w:t>开展</w:t>
      </w:r>
      <w:r w:rsidR="00FF3B4A" w:rsidRPr="00960F82">
        <w:rPr>
          <w:rFonts w:asciiTheme="minorEastAsia" w:eastAsiaTheme="minorEastAsia" w:hAnsiTheme="minorEastAsia" w:hint="eastAsia"/>
          <w:szCs w:val="21"/>
        </w:rPr>
        <w:t>监察与合规管理</w:t>
      </w:r>
      <w:r w:rsidRPr="00960F82">
        <w:rPr>
          <w:rFonts w:asciiTheme="minorEastAsia" w:eastAsiaTheme="minorEastAsia" w:hAnsiTheme="minorEastAsia" w:hint="eastAsia"/>
          <w:szCs w:val="21"/>
        </w:rPr>
        <w:t>工作，并保证</w:t>
      </w:r>
      <w:r w:rsidR="00FF3B4A" w:rsidRPr="00960F82">
        <w:rPr>
          <w:rFonts w:asciiTheme="minorEastAsia" w:eastAsiaTheme="minorEastAsia" w:hAnsiTheme="minorEastAsia" w:hint="eastAsia"/>
          <w:szCs w:val="21"/>
        </w:rPr>
        <w:t>监察与合规管理总部</w:t>
      </w:r>
      <w:r w:rsidRPr="00960F82">
        <w:rPr>
          <w:rFonts w:asciiTheme="minorEastAsia" w:eastAsiaTheme="minorEastAsia" w:hAnsiTheme="minorEastAsia" w:hint="eastAsia"/>
          <w:szCs w:val="21"/>
        </w:rPr>
        <w:t>的独立性和权威性。公司明确了</w:t>
      </w:r>
      <w:r w:rsidR="00FF3B4A" w:rsidRPr="00960F82">
        <w:rPr>
          <w:rFonts w:asciiTheme="minorEastAsia" w:eastAsiaTheme="minorEastAsia" w:hAnsiTheme="minorEastAsia" w:hint="eastAsia"/>
          <w:szCs w:val="21"/>
        </w:rPr>
        <w:t>监察与合规管理总部</w:t>
      </w:r>
      <w:r w:rsidRPr="00960F82">
        <w:rPr>
          <w:rFonts w:asciiTheme="minorEastAsia" w:eastAsiaTheme="minorEastAsia" w:hAnsiTheme="minorEastAsia" w:hint="eastAsia"/>
          <w:szCs w:val="21"/>
        </w:rPr>
        <w:t>及内部各岗位的具体职责，严格制订了专业任职条件、操作程序和组织纪律。</w:t>
      </w:r>
    </w:p>
    <w:p w:rsidR="001D2E2F" w:rsidRPr="00960F82" w:rsidRDefault="00FF3B4A"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监察与合规管理总部</w:t>
      </w:r>
      <w:r w:rsidR="001D2E2F" w:rsidRPr="00960F82">
        <w:rPr>
          <w:rFonts w:asciiTheme="minorEastAsia" w:eastAsiaTheme="minorEastAsia" w:hAnsiTheme="minorEastAsia" w:hint="eastAsia"/>
          <w:szCs w:val="21"/>
        </w:rPr>
        <w:t>强化内部检查制度，通过定期或不定期检查内部控制制度的执行情况，促使公司各项经营管理活动规范有效运行。</w:t>
      </w:r>
    </w:p>
    <w:p w:rsidR="001D2E2F" w:rsidRPr="00960F82" w:rsidRDefault="001D2E2F"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公司董事会和管理层充分重视和支持</w:t>
      </w:r>
      <w:r w:rsidR="00FF3B4A" w:rsidRPr="00960F82">
        <w:rPr>
          <w:rFonts w:asciiTheme="minorEastAsia" w:eastAsiaTheme="minorEastAsia" w:hAnsiTheme="minorEastAsia" w:hint="eastAsia"/>
          <w:szCs w:val="21"/>
        </w:rPr>
        <w:t>监察与合规管理</w:t>
      </w:r>
      <w:r w:rsidRPr="00960F82">
        <w:rPr>
          <w:rFonts w:asciiTheme="minorEastAsia" w:eastAsiaTheme="minorEastAsia" w:hAnsiTheme="minorEastAsia" w:hint="eastAsia"/>
          <w:szCs w:val="21"/>
        </w:rPr>
        <w:t>工作，对违反法律、法规和公司内部控制制度的，追究有关部门和人员的责任。</w:t>
      </w:r>
    </w:p>
    <w:p w:rsidR="001D2E2F" w:rsidRPr="00960F82" w:rsidRDefault="00084917" w:rsidP="00084917">
      <w:pPr>
        <w:tabs>
          <w:tab w:val="left" w:pos="735"/>
        </w:tabs>
        <w:snapToGrid w:val="0"/>
        <w:spacing w:line="360" w:lineRule="auto"/>
        <w:ind w:left="420"/>
        <w:rPr>
          <w:rFonts w:asciiTheme="minorEastAsia" w:eastAsiaTheme="minorEastAsia" w:hAnsiTheme="minorEastAsia"/>
          <w:b/>
          <w:szCs w:val="21"/>
        </w:rPr>
      </w:pPr>
      <w:r w:rsidRPr="00960F82">
        <w:rPr>
          <w:rFonts w:asciiTheme="minorEastAsia" w:eastAsiaTheme="minorEastAsia" w:hAnsiTheme="minorEastAsia" w:hint="eastAsia"/>
          <w:b/>
          <w:szCs w:val="21"/>
        </w:rPr>
        <w:t>5、</w:t>
      </w:r>
      <w:r w:rsidR="001D2E2F" w:rsidRPr="00960F82">
        <w:rPr>
          <w:rFonts w:asciiTheme="minorEastAsia" w:eastAsiaTheme="minorEastAsia" w:hAnsiTheme="minorEastAsia" w:hint="eastAsia"/>
          <w:b/>
          <w:szCs w:val="21"/>
        </w:rPr>
        <w:t>基金管理人关于内部控制制度声明书</w:t>
      </w:r>
    </w:p>
    <w:p w:rsidR="001D2E2F"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本公司承诺以上关于内部控制制度的披露真实、准确；</w:t>
      </w:r>
    </w:p>
    <w:p w:rsidR="0037562B" w:rsidRPr="00960F82" w:rsidRDefault="00084917" w:rsidP="00084917">
      <w:pPr>
        <w:pStyle w:val="affd"/>
        <w:autoSpaceDE w:val="0"/>
        <w:autoSpaceDN w:val="0"/>
        <w:adjustRightInd w:val="0"/>
        <w:snapToGrid w:val="0"/>
        <w:spacing w:line="360" w:lineRule="auto"/>
        <w:ind w:firstLineChars="200"/>
        <w:rPr>
          <w:rFonts w:asciiTheme="minorEastAsia" w:eastAsiaTheme="minorEastAsia" w:hAnsiTheme="minorEastAsia"/>
          <w:szCs w:val="21"/>
        </w:rPr>
        <w:sectPr w:rsidR="0037562B" w:rsidRPr="00960F82" w:rsidSect="00E95FD6">
          <w:footerReference w:type="first" r:id="rId17"/>
          <w:pgSz w:w="11906" w:h="16838" w:code="9"/>
          <w:pgMar w:top="1440" w:right="1800" w:bottom="1440" w:left="1800" w:header="851" w:footer="992" w:gutter="0"/>
          <w:pgNumType w:start="1"/>
          <w:cols w:space="425"/>
          <w:titlePg/>
          <w:docGrid w:type="lines" w:linePitch="312"/>
        </w:sect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本公司承诺根据市场变化和公司业务发展不断完善内部控制制度。</w:t>
      </w:r>
    </w:p>
    <w:p w:rsidR="001D2E2F" w:rsidRPr="00960F82" w:rsidRDefault="001D2E2F" w:rsidP="00084917">
      <w:pPr>
        <w:pStyle w:val="10"/>
        <w:snapToGrid w:val="0"/>
        <w:spacing w:before="312" w:after="312" w:line="360" w:lineRule="auto"/>
        <w:ind w:firstLine="643"/>
        <w:rPr>
          <w:rFonts w:asciiTheme="minorEastAsia" w:eastAsiaTheme="minorEastAsia" w:hAnsiTheme="minorEastAsia"/>
        </w:rPr>
      </w:pPr>
      <w:bookmarkStart w:id="11" w:name="_Toc193025727"/>
      <w:bookmarkStart w:id="12" w:name="_Toc30161766"/>
      <w:bookmarkStart w:id="13" w:name="_Toc92774750"/>
      <w:r w:rsidRPr="00960F82">
        <w:rPr>
          <w:rFonts w:asciiTheme="minorEastAsia" w:eastAsiaTheme="minorEastAsia" w:hAnsiTheme="minorEastAsia" w:hint="eastAsia"/>
          <w:b/>
        </w:rPr>
        <w:lastRenderedPageBreak/>
        <w:t>四、</w:t>
      </w:r>
      <w:r w:rsidRPr="00960F82">
        <w:rPr>
          <w:rFonts w:asciiTheme="minorEastAsia" w:eastAsiaTheme="minorEastAsia" w:hAnsiTheme="minorEastAsia" w:hint="eastAsia"/>
          <w:b/>
          <w:bCs/>
        </w:rPr>
        <w:t>基金托管人</w:t>
      </w:r>
      <w:bookmarkEnd w:id="11"/>
      <w:bookmarkEnd w:id="12"/>
    </w:p>
    <w:p w:rsidR="00960F82" w:rsidRPr="00960F82" w:rsidRDefault="00960F82" w:rsidP="00960F82">
      <w:pPr>
        <w:spacing w:line="360" w:lineRule="auto"/>
        <w:ind w:firstLineChars="200" w:firstLine="420"/>
        <w:rPr>
          <w:rStyle w:val="da"/>
          <w:rFonts w:asciiTheme="minorEastAsia" w:eastAsiaTheme="minorEastAsia" w:hAnsiTheme="minorEastAsia"/>
        </w:rPr>
      </w:pPr>
      <w:bookmarkStart w:id="14" w:name="_Toc252976119"/>
      <w:bookmarkStart w:id="15" w:name="_Toc270345291"/>
      <w:bookmarkStart w:id="16" w:name="_Toc285438506"/>
      <w:bookmarkStart w:id="17" w:name="_Toc287974000"/>
      <w:r w:rsidRPr="00960F82">
        <w:rPr>
          <w:rStyle w:val="da"/>
          <w:rFonts w:asciiTheme="minorEastAsia" w:eastAsiaTheme="minorEastAsia" w:hAnsiTheme="minorEastAsia" w:hint="eastAsia"/>
        </w:rPr>
        <w:t>（一）基本情况</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名称：中国银行股份有限公司（简称</w:t>
      </w:r>
      <w:r w:rsidRPr="00960F82">
        <w:rPr>
          <w:rStyle w:val="da"/>
          <w:rFonts w:asciiTheme="minorEastAsia" w:eastAsiaTheme="minorEastAsia" w:hAnsiTheme="minorEastAsia"/>
        </w:rPr>
        <w:t>“</w:t>
      </w:r>
      <w:r w:rsidRPr="00960F82">
        <w:rPr>
          <w:rStyle w:val="da"/>
          <w:rFonts w:asciiTheme="minorEastAsia" w:eastAsiaTheme="minorEastAsia" w:hAnsiTheme="minorEastAsia" w:hint="eastAsia"/>
        </w:rPr>
        <w:t>中国银行</w:t>
      </w:r>
      <w:r w:rsidRPr="00960F82">
        <w:rPr>
          <w:rStyle w:val="da"/>
          <w:rFonts w:asciiTheme="minorEastAsia" w:eastAsiaTheme="minorEastAsia" w:hAnsiTheme="minorEastAsia"/>
        </w:rPr>
        <w:t>”</w:t>
      </w:r>
      <w:r w:rsidRPr="00960F82">
        <w:rPr>
          <w:rStyle w:val="da"/>
          <w:rFonts w:asciiTheme="minorEastAsia" w:eastAsiaTheme="minorEastAsia" w:hAnsiTheme="minorEastAsia" w:hint="eastAsia"/>
        </w:rPr>
        <w:t>）</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住所及办公地址：北京市西城区复兴门内大街</w:t>
      </w:r>
      <w:r w:rsidRPr="00960F82">
        <w:rPr>
          <w:rStyle w:val="da"/>
          <w:rFonts w:asciiTheme="minorEastAsia" w:eastAsiaTheme="minorEastAsia" w:hAnsiTheme="minorEastAsia"/>
        </w:rPr>
        <w:t>1</w:t>
      </w:r>
      <w:r w:rsidRPr="00960F82">
        <w:rPr>
          <w:rStyle w:val="da"/>
          <w:rFonts w:asciiTheme="minorEastAsia" w:eastAsiaTheme="minorEastAsia" w:hAnsiTheme="minorEastAsia" w:hint="eastAsia"/>
        </w:rPr>
        <w:t>号</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首次注册登记日期：</w:t>
      </w:r>
      <w:smartTag w:uri="urn:schemas-microsoft-com:office:smarttags" w:element="chsdate">
        <w:smartTagPr>
          <w:attr w:name="Year" w:val="1983"/>
          <w:attr w:name="Month" w:val="10"/>
          <w:attr w:name="Day" w:val="31"/>
          <w:attr w:name="IsLunarDate" w:val="False"/>
          <w:attr w:name="IsROCDate" w:val="False"/>
        </w:smartTagPr>
        <w:r w:rsidRPr="00960F82">
          <w:rPr>
            <w:rStyle w:val="da"/>
            <w:rFonts w:asciiTheme="minorEastAsia" w:eastAsiaTheme="minorEastAsia" w:hAnsiTheme="minorEastAsia" w:hint="eastAsia"/>
          </w:rPr>
          <w:t>1983年10月31日</w:t>
        </w:r>
      </w:smartTag>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注册资本：人民币贰仟玖佰肆拾叁亿捌仟柒佰柒拾玖万壹仟贰佰肆拾壹元整</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法定代表人：刘连舸</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基金托管业务批准文号：中国证监会证监基字【</w:t>
      </w:r>
      <w:r w:rsidRPr="00960F82">
        <w:rPr>
          <w:rStyle w:val="da"/>
          <w:rFonts w:asciiTheme="minorEastAsia" w:eastAsiaTheme="minorEastAsia" w:hAnsiTheme="minorEastAsia"/>
        </w:rPr>
        <w:t>1998</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 xml:space="preserve">24 </w:t>
      </w:r>
      <w:r w:rsidRPr="00960F82">
        <w:rPr>
          <w:rStyle w:val="da"/>
          <w:rFonts w:asciiTheme="minorEastAsia" w:eastAsiaTheme="minorEastAsia" w:hAnsiTheme="minorEastAsia" w:hint="eastAsia"/>
        </w:rPr>
        <w:t>号</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托管部门信息披露联系人：</w:t>
      </w:r>
      <w:r w:rsidRPr="00960F82">
        <w:rPr>
          <w:rFonts w:asciiTheme="minorEastAsia" w:eastAsiaTheme="minorEastAsia" w:hAnsiTheme="minorEastAsia" w:hint="eastAsia"/>
          <w:szCs w:val="21"/>
        </w:rPr>
        <w:t>许俊</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传真：（</w:t>
      </w:r>
      <w:r w:rsidRPr="00960F82">
        <w:rPr>
          <w:rStyle w:val="da"/>
          <w:rFonts w:asciiTheme="minorEastAsia" w:eastAsiaTheme="minorEastAsia" w:hAnsiTheme="minorEastAsia"/>
        </w:rPr>
        <w:t>010</w:t>
      </w:r>
      <w:r w:rsidRPr="00960F82">
        <w:rPr>
          <w:rStyle w:val="da"/>
          <w:rFonts w:asciiTheme="minorEastAsia" w:eastAsiaTheme="minorEastAsia" w:hAnsiTheme="minorEastAsia" w:hint="eastAsia"/>
        </w:rPr>
        <w:t>）</w:t>
      </w:r>
      <w:r w:rsidRPr="00960F82">
        <w:rPr>
          <w:rStyle w:val="da"/>
          <w:rFonts w:asciiTheme="minorEastAsia" w:eastAsiaTheme="minorEastAsia" w:hAnsiTheme="minorEastAsia"/>
        </w:rPr>
        <w:t>66594942</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中国银行客服电话：95566</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（二）基金托管部门及主要人员情况</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中国银行托管业务部设立于</w:t>
      </w:r>
      <w:r w:rsidRPr="00960F82">
        <w:rPr>
          <w:rStyle w:val="da"/>
          <w:rFonts w:asciiTheme="minorEastAsia" w:eastAsiaTheme="minorEastAsia" w:hAnsiTheme="minorEastAsia"/>
        </w:rPr>
        <w:t>1998</w:t>
      </w:r>
      <w:r w:rsidRPr="00960F82">
        <w:rPr>
          <w:rStyle w:val="da"/>
          <w:rFonts w:asciiTheme="minorEastAsia" w:eastAsiaTheme="minorEastAsia" w:hAnsiTheme="minorEastAsia" w:hint="eastAsia"/>
        </w:rPr>
        <w:t>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作为国内首批开展证券投资基金托管业务的商业银行，中国银行拥有证券投资基金、基金（一对多、一对一）、社保基金、保险资金、</w:t>
      </w:r>
      <w:r w:rsidRPr="00960F82">
        <w:rPr>
          <w:rStyle w:val="da"/>
          <w:rFonts w:asciiTheme="minorEastAsia" w:eastAsiaTheme="minorEastAsia" w:hAnsiTheme="minorEastAsia"/>
        </w:rPr>
        <w:t>QFII</w:t>
      </w:r>
      <w:r w:rsidRPr="00960F82">
        <w:rPr>
          <w:rStyle w:val="da"/>
          <w:rFonts w:asciiTheme="minorEastAsia" w:eastAsiaTheme="minorEastAsia" w:hAnsiTheme="minorEastAsia" w:hint="eastAsia"/>
        </w:rPr>
        <w:t>、RQFII、</w:t>
      </w:r>
      <w:r w:rsidRPr="00960F82">
        <w:rPr>
          <w:rStyle w:val="da"/>
          <w:rFonts w:asciiTheme="minorEastAsia" w:eastAsiaTheme="minorEastAsia" w:hAnsiTheme="minorEastAsia"/>
        </w:rPr>
        <w:t>QDII</w:t>
      </w:r>
      <w:r w:rsidRPr="00960F82">
        <w:rPr>
          <w:rStyle w:val="da"/>
          <w:rFonts w:asciiTheme="minorEastAsia" w:eastAsiaTheme="minorEastAsia" w:hAnsiTheme="minorEastAsia" w:hint="eastAsia"/>
        </w:rPr>
        <w:t>、境外三类机构、券商资产管理计划、信托计划、企业年金、银行理财产品、股权基金、私募基金、资金托管等</w:t>
      </w:r>
      <w:r w:rsidRPr="00960F82">
        <w:rPr>
          <w:rStyle w:val="da"/>
          <w:rFonts w:asciiTheme="minorEastAsia" w:eastAsiaTheme="minorEastAsia" w:hAnsiTheme="minorEastAsia"/>
        </w:rPr>
        <w:t>门类齐全</w:t>
      </w:r>
      <w:r w:rsidRPr="00960F82">
        <w:rPr>
          <w:rStyle w:val="da"/>
          <w:rFonts w:asciiTheme="minorEastAsia" w:eastAsiaTheme="minorEastAsia" w:hAnsiTheme="minorEastAsia" w:hint="eastAsia"/>
        </w:rPr>
        <w:t>、产品丰富</w:t>
      </w:r>
      <w:r w:rsidRPr="00960F82">
        <w:rPr>
          <w:rStyle w:val="da"/>
          <w:rFonts w:asciiTheme="minorEastAsia" w:eastAsiaTheme="minorEastAsia" w:hAnsiTheme="minorEastAsia"/>
        </w:rPr>
        <w:t>的托管</w:t>
      </w:r>
      <w:r w:rsidRPr="00960F82">
        <w:rPr>
          <w:rStyle w:val="da"/>
          <w:rFonts w:asciiTheme="minorEastAsia" w:eastAsiaTheme="minorEastAsia" w:hAnsiTheme="minorEastAsia" w:hint="eastAsia"/>
        </w:rPr>
        <w:t>业务</w:t>
      </w:r>
      <w:r w:rsidRPr="00960F82">
        <w:rPr>
          <w:rStyle w:val="da"/>
          <w:rFonts w:asciiTheme="minorEastAsia" w:eastAsiaTheme="minorEastAsia" w:hAnsiTheme="minorEastAsia"/>
        </w:rPr>
        <w:t>体系</w:t>
      </w:r>
      <w:r w:rsidRPr="00960F82">
        <w:rPr>
          <w:rStyle w:val="da"/>
          <w:rFonts w:asciiTheme="minorEastAsia" w:eastAsiaTheme="minorEastAsia" w:hAnsiTheme="minorEastAsia" w:hint="eastAsia"/>
        </w:rPr>
        <w:t>。在国</w:t>
      </w:r>
      <w:r w:rsidRPr="00960F82">
        <w:rPr>
          <w:rStyle w:val="da"/>
          <w:rFonts w:asciiTheme="minorEastAsia" w:eastAsiaTheme="minorEastAsia" w:hAnsiTheme="minorEastAsia"/>
        </w:rPr>
        <w:t>内</w:t>
      </w:r>
      <w:r w:rsidRPr="00960F82">
        <w:rPr>
          <w:rStyle w:val="da"/>
          <w:rFonts w:asciiTheme="minorEastAsia" w:eastAsiaTheme="minorEastAsia" w:hAnsiTheme="minorEastAsia" w:hint="eastAsia"/>
        </w:rPr>
        <w:t>，中国银行首家</w:t>
      </w:r>
      <w:r w:rsidRPr="00960F82">
        <w:rPr>
          <w:rStyle w:val="da"/>
          <w:rFonts w:asciiTheme="minorEastAsia" w:eastAsiaTheme="minorEastAsia" w:hAnsiTheme="minorEastAsia"/>
        </w:rPr>
        <w:t>开展绩效评估、风险</w:t>
      </w:r>
      <w:r w:rsidRPr="00960F82">
        <w:rPr>
          <w:rStyle w:val="da"/>
          <w:rFonts w:asciiTheme="minorEastAsia" w:eastAsiaTheme="minorEastAsia" w:hAnsiTheme="minorEastAsia" w:hint="eastAsia"/>
        </w:rPr>
        <w:t>分析</w:t>
      </w:r>
      <w:r w:rsidRPr="00960F82">
        <w:rPr>
          <w:rStyle w:val="da"/>
          <w:rFonts w:asciiTheme="minorEastAsia" w:eastAsiaTheme="minorEastAsia" w:hAnsiTheme="minorEastAsia"/>
        </w:rPr>
        <w:t>等增值服务，为各类客户提供个性化的托管</w:t>
      </w:r>
      <w:r w:rsidRPr="00960F82">
        <w:rPr>
          <w:rStyle w:val="da"/>
          <w:rFonts w:asciiTheme="minorEastAsia" w:eastAsiaTheme="minorEastAsia" w:hAnsiTheme="minorEastAsia" w:hint="eastAsia"/>
        </w:rPr>
        <w:t>增值</w:t>
      </w:r>
      <w:r w:rsidRPr="00960F82">
        <w:rPr>
          <w:rStyle w:val="da"/>
          <w:rFonts w:asciiTheme="minorEastAsia" w:eastAsiaTheme="minorEastAsia" w:hAnsiTheme="minorEastAsia"/>
        </w:rPr>
        <w:t>服务</w:t>
      </w:r>
      <w:r w:rsidRPr="00960F82">
        <w:rPr>
          <w:rStyle w:val="da"/>
          <w:rFonts w:asciiTheme="minorEastAsia" w:eastAsiaTheme="minorEastAsia" w:hAnsiTheme="minorEastAsia" w:hint="eastAsia"/>
        </w:rPr>
        <w:t>，是国内领先的大型中资托管银行。</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（三）证券投资基金托管情况</w:t>
      </w:r>
    </w:p>
    <w:p w:rsidR="00960F82" w:rsidRPr="00960F82" w:rsidRDefault="00960F82" w:rsidP="00960F82">
      <w:pPr>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（四）托管业务的内部控制制度</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中国银行托管业务部风险管理与控制工作是中国银行全面风险控制工作的组成部分，秉承中国银行风险控制理念，坚持“规范运作、稳健经营”的原则。中国银行托管业务部风险</w:t>
      </w:r>
      <w:r w:rsidRPr="00960F82">
        <w:rPr>
          <w:rStyle w:val="da"/>
          <w:rFonts w:asciiTheme="minorEastAsia" w:eastAsiaTheme="minorEastAsia" w:hAnsiTheme="minorEastAsia" w:hint="eastAsia"/>
        </w:rPr>
        <w:lastRenderedPageBreak/>
        <w:t>控制工作贯穿业务各环节，通过风险识别与评估、风险控制措施设定及制度建设、内外部检查及审计等措施强化托管业务全员、全面、全程的风险管控。</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（五）托管人对管理人运作基金进行监督的方法和程序</w:t>
      </w:r>
    </w:p>
    <w:p w:rsidR="00960F82" w:rsidRPr="00960F82" w:rsidRDefault="00960F82" w:rsidP="00960F82">
      <w:pPr>
        <w:spacing w:line="360" w:lineRule="auto"/>
        <w:ind w:firstLineChars="200" w:firstLine="420"/>
        <w:rPr>
          <w:rStyle w:val="da"/>
          <w:rFonts w:asciiTheme="minorEastAsia" w:eastAsiaTheme="minorEastAsia" w:hAnsiTheme="minorEastAsia"/>
        </w:rPr>
      </w:pPr>
      <w:r w:rsidRPr="00960F82">
        <w:rPr>
          <w:rStyle w:val="da"/>
          <w:rFonts w:asciiTheme="minorEastAsia" w:eastAsiaTheme="minorEastAsia" w:hAnsiTheme="minorEastAsia"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960F82">
        <w:rPr>
          <w:rStyle w:val="da"/>
          <w:rFonts w:asciiTheme="minorEastAsia" w:eastAsiaTheme="minorEastAsia" w:hAnsiTheme="minorEastAsia"/>
        </w:rPr>
        <w:t>,</w:t>
      </w:r>
      <w:r w:rsidRPr="00960F82">
        <w:rPr>
          <w:rStyle w:val="da"/>
          <w:rFonts w:asciiTheme="minorEastAsia" w:eastAsiaTheme="minorEastAsia" w:hAnsiTheme="minorEastAsia" w:hint="eastAsia"/>
        </w:rPr>
        <w:t>应当及时通知基金管理人，并及时向国务院证券监督管理机构报告。</w:t>
      </w:r>
    </w:p>
    <w:p w:rsidR="00083CDE" w:rsidRPr="00960F82" w:rsidRDefault="00083CDE" w:rsidP="00083CDE">
      <w:pPr>
        <w:spacing w:line="360" w:lineRule="auto"/>
        <w:ind w:firstLineChars="200" w:firstLine="420"/>
        <w:rPr>
          <w:rStyle w:val="da"/>
          <w:rFonts w:asciiTheme="minorEastAsia" w:eastAsiaTheme="minorEastAsia" w:hAnsiTheme="minorEastAsia"/>
        </w:rPr>
      </w:pPr>
    </w:p>
    <w:p w:rsidR="00960F82" w:rsidRPr="00960F82" w:rsidRDefault="00960F82" w:rsidP="00083CDE">
      <w:pPr>
        <w:spacing w:line="360" w:lineRule="auto"/>
        <w:ind w:firstLineChars="200" w:firstLine="420"/>
        <w:rPr>
          <w:rStyle w:val="da"/>
          <w:rFonts w:asciiTheme="minorEastAsia" w:eastAsiaTheme="minorEastAsia" w:hAnsiTheme="minorEastAsia"/>
        </w:rPr>
        <w:sectPr w:rsidR="00960F82" w:rsidRPr="00960F82" w:rsidSect="0037562B">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18" w:name="_Toc92774751"/>
      <w:bookmarkStart w:id="19" w:name="_Toc30161767"/>
      <w:bookmarkEnd w:id="13"/>
      <w:bookmarkEnd w:id="14"/>
      <w:bookmarkEnd w:id="15"/>
      <w:bookmarkEnd w:id="16"/>
      <w:bookmarkEnd w:id="17"/>
      <w:r w:rsidRPr="00960F82">
        <w:rPr>
          <w:rFonts w:asciiTheme="minorEastAsia" w:eastAsiaTheme="minorEastAsia" w:hAnsiTheme="minorEastAsia"/>
          <w:b/>
        </w:rPr>
        <w:lastRenderedPageBreak/>
        <w:t>五、相关服务机构</w:t>
      </w:r>
      <w:bookmarkEnd w:id="18"/>
      <w:bookmarkEnd w:id="19"/>
    </w:p>
    <w:p w:rsidR="001D2E2F" w:rsidRPr="00960F82" w:rsidRDefault="001D2E2F" w:rsidP="00084917">
      <w:pPr>
        <w:pStyle w:val="23"/>
        <w:snapToGrid w:val="0"/>
        <w:spacing w:before="312" w:after="312" w:line="360" w:lineRule="auto"/>
        <w:ind w:firstLineChars="71"/>
        <w:rPr>
          <w:rFonts w:asciiTheme="minorEastAsia" w:eastAsiaTheme="minorEastAsia" w:hAnsiTheme="minorEastAsia"/>
          <w:szCs w:val="21"/>
        </w:rPr>
      </w:pPr>
      <w:bookmarkStart w:id="20" w:name="_Toc30161768"/>
      <w:r w:rsidRPr="00960F82">
        <w:rPr>
          <w:rFonts w:asciiTheme="minorEastAsia" w:eastAsiaTheme="minorEastAsia" w:hAnsiTheme="minorEastAsia" w:hint="eastAsia"/>
          <w:szCs w:val="21"/>
        </w:rPr>
        <w:t>（一）基金份额</w:t>
      </w:r>
      <w:r w:rsidR="00661FDB" w:rsidRPr="00960F82">
        <w:rPr>
          <w:rFonts w:asciiTheme="minorEastAsia" w:eastAsiaTheme="minorEastAsia" w:hAnsiTheme="minorEastAsia" w:hint="eastAsia"/>
          <w:szCs w:val="21"/>
        </w:rPr>
        <w:t>销售</w:t>
      </w:r>
      <w:r w:rsidRPr="00960F82">
        <w:rPr>
          <w:rFonts w:asciiTheme="minorEastAsia" w:eastAsiaTheme="minorEastAsia" w:hAnsiTheme="minorEastAsia" w:hint="eastAsia"/>
          <w:szCs w:val="21"/>
        </w:rPr>
        <w:t>机构</w:t>
      </w:r>
      <w:bookmarkEnd w:id="20"/>
    </w:p>
    <w:p w:rsidR="001D2E2F" w:rsidRPr="00960F82" w:rsidRDefault="00084917" w:rsidP="00084917">
      <w:pPr>
        <w:snapToGrid w:val="0"/>
        <w:spacing w:line="360" w:lineRule="auto"/>
        <w:ind w:firstLineChars="200" w:firstLine="422"/>
        <w:rPr>
          <w:rFonts w:asciiTheme="minorEastAsia" w:eastAsiaTheme="minorEastAsia" w:hAnsiTheme="minorEastAsia"/>
          <w:b/>
          <w:bCs/>
          <w:szCs w:val="21"/>
        </w:rPr>
      </w:pPr>
      <w:r w:rsidRPr="00960F82">
        <w:rPr>
          <w:rFonts w:asciiTheme="minorEastAsia" w:eastAsiaTheme="minorEastAsia" w:hAnsiTheme="minorEastAsia" w:hint="eastAsia"/>
          <w:b/>
          <w:bCs/>
          <w:szCs w:val="21"/>
        </w:rPr>
        <w:t>1、</w:t>
      </w:r>
      <w:r w:rsidR="001D2E2F" w:rsidRPr="00960F82">
        <w:rPr>
          <w:rFonts w:asciiTheme="minorEastAsia" w:eastAsiaTheme="minorEastAsia" w:hAnsiTheme="minorEastAsia" w:hint="eastAsia"/>
          <w:b/>
          <w:bCs/>
          <w:szCs w:val="21"/>
        </w:rPr>
        <w:t>直销机构</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易方达基金管理有限公司</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w:t>
      </w:r>
      <w:r w:rsidR="007916D7" w:rsidRPr="00960F82">
        <w:rPr>
          <w:rStyle w:val="da"/>
          <w:rFonts w:asciiTheme="minorEastAsia" w:eastAsiaTheme="minorEastAsia" w:hAnsiTheme="minorEastAsia" w:hint="eastAsia"/>
          <w:szCs w:val="21"/>
        </w:rPr>
        <w:t>广东省珠海市横琴新区宝华路6号105室-42891（集中办公区）</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w:t>
      </w:r>
      <w:r w:rsidR="006B6B03" w:rsidRPr="00960F82">
        <w:rPr>
          <w:rFonts w:asciiTheme="minorEastAsia" w:eastAsiaTheme="minorEastAsia" w:hAnsiTheme="minorEastAsia" w:hint="eastAsia"/>
          <w:szCs w:val="21"/>
        </w:rPr>
        <w:t>广州市天河区珠江新城珠江东路30号广州银行大厦40-43楼</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w:t>
      </w:r>
      <w:r w:rsidR="00E20637" w:rsidRPr="00960F82">
        <w:rPr>
          <w:rFonts w:asciiTheme="minorEastAsia" w:eastAsiaTheme="minorEastAsia" w:hAnsiTheme="minorEastAsia" w:hint="eastAsia"/>
          <w:szCs w:val="21"/>
        </w:rPr>
        <w:t>刘晓艳</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电话：020-85102506</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传真：4008818099</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w:t>
      </w:r>
      <w:r w:rsidR="00530AF3" w:rsidRPr="00960F82">
        <w:rPr>
          <w:rFonts w:asciiTheme="minorEastAsia" w:eastAsiaTheme="minorEastAsia" w:hAnsiTheme="minorEastAsia" w:hint="eastAsia"/>
          <w:szCs w:val="21"/>
        </w:rPr>
        <w:t>李红枫</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网址：www.efunds.com.cn</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直销机构网点信息：</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（1）易方达基金管理有限公司广州直销中心</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w:t>
      </w:r>
      <w:r w:rsidR="006B6B03" w:rsidRPr="00960F82">
        <w:rPr>
          <w:rFonts w:asciiTheme="minorEastAsia" w:eastAsiaTheme="minorEastAsia" w:hAnsiTheme="minorEastAsia" w:hint="eastAsia"/>
          <w:szCs w:val="21"/>
        </w:rPr>
        <w:t>广州市天河区珠江新城珠江东路30号广州银行大厦40楼</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电话：020-85102506</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传真：4008818099</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w:t>
      </w:r>
      <w:r w:rsidR="00530AF3" w:rsidRPr="00960F82">
        <w:rPr>
          <w:rFonts w:asciiTheme="minorEastAsia" w:eastAsiaTheme="minorEastAsia" w:hAnsiTheme="minorEastAsia" w:hint="eastAsia"/>
          <w:szCs w:val="21"/>
        </w:rPr>
        <w:t>李红枫</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（2）易方达基金管理有限公司北京直销中心</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w:t>
      </w:r>
      <w:r w:rsidR="005E66CD" w:rsidRPr="00960F82">
        <w:rPr>
          <w:rFonts w:asciiTheme="minorEastAsia" w:eastAsiaTheme="minorEastAsia" w:hAnsiTheme="minorEastAsia" w:hint="eastAsia"/>
          <w:szCs w:val="21"/>
        </w:rPr>
        <w:t>北京市西城区武定侯街2号泰康国际大厦18层</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电话：010-63213377</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传真：4008818099</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w:t>
      </w:r>
      <w:r w:rsidR="00E20637" w:rsidRPr="00960F82">
        <w:rPr>
          <w:rFonts w:asciiTheme="minorEastAsia" w:eastAsiaTheme="minorEastAsia" w:hAnsiTheme="minorEastAsia" w:hint="eastAsia"/>
          <w:szCs w:val="21"/>
        </w:rPr>
        <w:t>刘蕾</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（3）易方达基金管理有限公司上海直销中心</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w:t>
      </w:r>
      <w:r w:rsidR="00B04E63" w:rsidRPr="00960F82">
        <w:rPr>
          <w:rFonts w:asciiTheme="minorEastAsia" w:eastAsiaTheme="minorEastAsia" w:hAnsiTheme="minorEastAsia" w:hint="eastAsia"/>
          <w:szCs w:val="21"/>
        </w:rPr>
        <w:t>浦东新区</w:t>
      </w:r>
      <w:r w:rsidRPr="00960F82">
        <w:rPr>
          <w:rFonts w:asciiTheme="minorEastAsia" w:eastAsiaTheme="minorEastAsia" w:hAnsiTheme="minorEastAsia" w:hint="eastAsia"/>
          <w:szCs w:val="21"/>
        </w:rPr>
        <w:t>世纪大道88号金</w:t>
      </w:r>
      <w:r w:rsidR="006B6B03" w:rsidRPr="00960F82">
        <w:rPr>
          <w:rFonts w:asciiTheme="minorEastAsia" w:eastAsiaTheme="minorEastAsia" w:hAnsiTheme="minorEastAsia" w:hint="eastAsia"/>
          <w:szCs w:val="21"/>
        </w:rPr>
        <w:t>茂</w:t>
      </w:r>
      <w:r w:rsidRPr="00960F82">
        <w:rPr>
          <w:rFonts w:asciiTheme="minorEastAsia" w:eastAsiaTheme="minorEastAsia" w:hAnsiTheme="minorEastAsia" w:hint="eastAsia"/>
          <w:szCs w:val="21"/>
        </w:rPr>
        <w:t>大厦</w:t>
      </w:r>
      <w:r w:rsidR="00B04E63" w:rsidRPr="00960F82">
        <w:rPr>
          <w:rFonts w:asciiTheme="minorEastAsia" w:eastAsiaTheme="minorEastAsia" w:hAnsiTheme="minorEastAsia"/>
          <w:szCs w:val="21"/>
        </w:rPr>
        <w:t>46楼</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电话：021-50476668</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传真：4008818099</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w:t>
      </w:r>
      <w:r w:rsidR="006B6B03" w:rsidRPr="00960F82">
        <w:rPr>
          <w:rFonts w:asciiTheme="minorEastAsia" w:eastAsiaTheme="minorEastAsia" w:hAnsiTheme="minorEastAsia" w:hint="eastAsia"/>
          <w:szCs w:val="21"/>
        </w:rPr>
        <w:t>于楠</w:t>
      </w:r>
    </w:p>
    <w:p w:rsidR="002527DA"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（4）易方达基金管理有限公司网上交易系统</w:t>
      </w:r>
    </w:p>
    <w:p w:rsidR="001D2E2F" w:rsidRPr="00960F82" w:rsidRDefault="002527D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网址：www.efunds.com.cn</w:t>
      </w:r>
    </w:p>
    <w:p w:rsidR="001D2E2F" w:rsidRPr="00960F82" w:rsidRDefault="00084917" w:rsidP="00084917">
      <w:pPr>
        <w:snapToGrid w:val="0"/>
        <w:spacing w:line="360" w:lineRule="auto"/>
        <w:ind w:firstLineChars="200" w:firstLine="422"/>
        <w:rPr>
          <w:rFonts w:asciiTheme="minorEastAsia" w:eastAsiaTheme="minorEastAsia" w:hAnsiTheme="minorEastAsia"/>
          <w:b/>
          <w:bCs/>
          <w:szCs w:val="21"/>
        </w:rPr>
      </w:pPr>
      <w:r w:rsidRPr="00960F82">
        <w:rPr>
          <w:rFonts w:asciiTheme="minorEastAsia" w:eastAsiaTheme="minorEastAsia" w:hAnsiTheme="minorEastAsia" w:hint="eastAsia"/>
          <w:b/>
          <w:bCs/>
          <w:szCs w:val="21"/>
        </w:rPr>
        <w:t>2、</w:t>
      </w:r>
      <w:r w:rsidR="006A5737" w:rsidRPr="00960F82">
        <w:rPr>
          <w:rFonts w:asciiTheme="minorEastAsia" w:eastAsiaTheme="minorEastAsia" w:hAnsiTheme="minorEastAsia" w:hint="eastAsia"/>
          <w:b/>
          <w:bCs/>
          <w:szCs w:val="21"/>
        </w:rPr>
        <w:t>非直销销售</w:t>
      </w:r>
      <w:r w:rsidR="001D2E2F" w:rsidRPr="00960F82">
        <w:rPr>
          <w:rFonts w:asciiTheme="minorEastAsia" w:eastAsiaTheme="minorEastAsia" w:hAnsiTheme="minorEastAsia" w:hint="eastAsia"/>
          <w:b/>
          <w:bCs/>
          <w:szCs w:val="21"/>
        </w:rPr>
        <w:t>机构（以下排序不分先后）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bookmarkStart w:id="21" w:name="_Toc38432429"/>
      <w:r w:rsidRPr="00960F82">
        <w:rPr>
          <w:rFonts w:asciiTheme="minorEastAsia" w:eastAsiaTheme="minorEastAsia" w:hAnsiTheme="minorEastAsia" w:hint="eastAsia"/>
          <w:szCs w:val="21"/>
        </w:rPr>
        <w:t>(1) 中国银行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注册地址：北京市西城区复兴门内大街1号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办公地址：北京市西城区复兴门内大街1号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法定代表人：刘连舸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网址：www.boc.cn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 渤海银行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注册地址：天津市河东区海河东路218号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办公地址：天津市河东区海河东路218号渤海银行大厦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法定代表人：李伏安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联系电话：022-58316666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客户服务电话：95541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传真：022-58316569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网址：www.cbhb.com.cn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 广发银行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注册地址：广东省广州市越秀区东风东路713号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办公地址：广东省广州市越秀区东风东路713号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客户服务电话：400-830-8003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网址：www.cgbchina.com.cn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 华夏银行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注册地址：北京市东城区建国门内大街22号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办公地址：北京市东城区建国门内大街22号华夏银行大厦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法定代表人：李民吉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联系人：王者凡</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传真：010-85238680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网址：www.hxb.com.cn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 交通银行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注册地址：中国（上海）自由贸易试验区银城中路188号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办公地址：中国（上海）自由贸易试验区银城中路188号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法定代表人：彭纯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联系人：王菁</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联系电话：021-58781234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客户服务电话：95559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网址：www.bankcomm.com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 平安银行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注册地址：广东省深圳市罗湖区深南东路5047号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办公地址：广东省深圳市罗湖区深南东路5047号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法定代表人：谢永林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联系人：赵杨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联系电话：0755-22166574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客户服务电话：95511-3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传真：021-50979507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网址：bank.pingan.com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 浦发银行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注册地址：上海市中山东一路12号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办公地址：上海市中山东一路12号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法定代表人：郑杨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联系人：赵守良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联系电话：021-61618888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传真：021-63604196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网址：www.spdb.com.cn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 招商银行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注册地址：深圳市福田区深南大道7088号招商银行大厦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办公地址：深圳市福田区深南大道7088号招商银行大厦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法定代表人：李建红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联系人：季平伟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网址：www.cmbchina.com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 浙商银行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注册地址：浙江杭州市庆春路288号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办公地址：浙江杭州市庆春路288号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法定代表人：沈仁康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联系人：沈崟杰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联系电话：0571- 88261822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传真：0571-87659954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网址：www.czbank.com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 中国工商银行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注册地址：北京西城区复兴门内大街55号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办公地址：北京西城区复兴门内大街55号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法定代表人：陈四清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联系人：杨菲</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网址：www.icbc.com.cn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 中国光大银行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注册地址：北京市西城区太平桥大街25号、甲25号中国光大中心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办公地址：北京市西城区太平桥大街25号金融街F3大厦（中国光大中心）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法定代表人：李晓鹏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联系人：朱红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联系电话：010-63636153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传真：010-63639709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网址：www.cebbank.com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 中国建设银行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注册地址：北京市西城区金融大街25号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办公地址：北京市西城区闹市口大街1号院1号楼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法定代表人：田国立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联系人：王未雨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 中国民生银行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注册地址：北京市西城区复兴门内大街2号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办公地址：北京市西城区复兴门内大街2号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法定代表人：洪崎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联系人：穆婷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客户服务电话：95568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网址：www.cmbc.com.cn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 中国农业银行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注册地址：北京市东城区建国门内大街69号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办公地址：北京市东城区建国门内大街69号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法定代表人：周慕冰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联系人：李紫钰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传真：010-85109219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网址：www.abchina.com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 中国邮政储蓄银行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法定代表人：张金良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传真：010-68858057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网址：www.psbc.com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 中信银行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注册地址：北京市东城区朝阳门北大街9号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办公地址：北京市东城区朝阳门北大街9号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法定代表人：李庆萍</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联系人：王晓琳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客户服务电话：95558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传真：010-85230049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网址：bank.ecitic.com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 包商银行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注册地址：内蒙古自治区包头市青山区钢铁大街6号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办公地址：内蒙古自治区包头市青山区钢铁大街6号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法定代表人：李镇西</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联系人：张晶</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联系电话：0472-5189165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传真：010-84596546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网址：www.bsb.com.cn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 北京银行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注册地址：北京市西城区金融大街甲17号首层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办公地址：北京市西城区金融大街丙17号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法定代表人：张东宁</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联系人：韩裕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传真：010-66226045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网址：www.bankofbeijing.com.cn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 长安银行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注册地址：西安市高新技术产业开发区高新四路13号1幢1单元10101室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办公地址：西安市高新技术产业开发区高新四路13号朗臣大厦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法定代表人：赵永军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联系人：闫石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客户服务电话：400-05-96669；（029）96669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传真：029-88609566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网址：http://www.ccabchina.com/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 大连银行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注册地址：大连市中山区中山路88号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办公地址：大连市中山区中山路88号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法定代表人：崔磊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联系人：朱珠</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联系电话：0411-82356695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客户服务电话：400-664-0099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网址：www.bankofdl.com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 德州银行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注册地址：山东省德州市三八东路1266号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办公地址：山东省德州市三八东路1266号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法定代表人：董合平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联系人：王方震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电话：0534-2297326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客户服务电话：40084-96588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网址：www.dzbchina.com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(22) 东莞农村商业银行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注册地址：广东省东莞市东城区鸿福东路2号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办公地址：广东省东莞市东城区鸿福东路2号东莞农商银行大厦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法定代表人：王耀球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联系人：洪晓琳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客户服务电话：0769-961122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网址：www.drcbank.com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(23) 东莞银行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注册地址：东莞市莞城区体育路21号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办公地址：东莞市莞城区体育路21号东莞银行大厦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法定代表人：卢国锋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联系人：朱杰霞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联系电话：0769-22865177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客户服务电话：96228（广东省内）、40011-96228（全国）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网址：www.dongguanbank.cn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(24) 佛山农商银行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注册地址：佛山市禅城区华远东路5号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办公地址：佛山市禅城区华远东路5号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法定代表人：李川</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联系人：曾敏琪</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客户服务电话：96138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网址：www.foshanbank.cn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(25) 福建海峡银行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注册地址：福建省福州市台江区江滨中大道358号海峡银行大厦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办公地址：福建省福州市台江区江滨中大道358号福建海峡银行8楼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法定代表人：俞敏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联系人：黄钰雯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联系电话：0591-87332762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客户服务电话：400-893-9999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传真：0591-87330926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网址：www.fjhxbank.com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(26) 富阳农商银行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注册地址：杭州市富阳区鹿山街道依江路501号第1幢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办公地址：杭州市富阳区鹿山街道依江路501号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法定代表人：丁松茂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联系电话：0571-63280253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客户服务电话：96596、4008896596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网址：www.fyrcbk.com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(27) 广东华兴银行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注册地址：广东省汕头市龙湖区黄山路28号四层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办公地址：广州市天河区天河路533号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法定代表人：周泽荣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联系人：许悦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联系电话：020-38173552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客户服务电话：4008308001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传真：020-38173857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网址：www.ghbank.com.cn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(28) 广东南粤银行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注册地址：广东省湛江市经济技术开发区乐山大道60号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办公地址：广东省湛江市经济技术开发区乐山大道60号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法定代表人：蒋丹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联系电话：020-28308757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客户服务电话：4000-961818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网址：www.gdnybank.com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(29) 广州农商银行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注册地址：广州市黄埔区映日路9号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办公地址：广州市天河区珠江新城华夏路1号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法定代表人：王继康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联系电话：020-22389067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传真：020-22389031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网址：www.grcbank.com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(30) 广州银行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注册地址：广州市天河区珠江东路30号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办公地址：广州市天河区珠江东路30号广州银行大厦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法定代表人：黄子励</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联系人：唐荟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客户服务电话：96699（广东）400-83-96699（全国）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网址：www.gzcb.com.cn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(31) 哈尔滨银行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注册地址：哈尔滨市道里区尚志大街160号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办公地址：哈尔滨市道里区上江街888号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法定代表人：郭志文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联系人：何岩岩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电话：0451-87792450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客户服务电话：95537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传真：0451-87792682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网址：www.hrbb.com.cn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(32) 杭州联合银行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注册地址：浙江省杭州市上城区建国中路99号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办公地址：杭州市建国中路99号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法定代表人：张海林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联系人：胡莹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联系电话：0571-87923324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传真：0571-87923214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网址：www.urcb.com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(33) 杭州银行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注册地址：杭州市下城区庆春路46号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办公地址：杭州市下城区庆春路46号杭州银行大厦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法定代表人：陈震山</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联系人：陈振峰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联系电话：0571-85872972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客户服务电话：95398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传真：0571-85106576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网址：www.hzbank.com.cn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(34) 河北银行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注册地址：石家庄市平安北大街28号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办公地址：石家庄市平安北大街28号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法定代表人：乔志强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联系人：王丽辉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联系电话：0311-67807030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客户服务电话：400-612-9999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传真：0311-67806407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网址：www.hebbank.com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(35) 华融湘江银行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注册地址：长沙市天心区芙蓉南路一段828号杰座大厦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办公地址：湖南省长沙市湘府东路二段208号万境财智中心南栋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法定代表人：张永宏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联系人：曾玉姣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联系电话：0731-89828592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客户服务电话：0731-96599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传真：0731-89828806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网址：www.hrxjbank.com.cn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(36) 吉林银行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注册地址：吉林省长春市经济技术开发区东南湖大路1817号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办公地址：吉林省长春市经济技术开发区东南湖大路1817号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法定代表人：张宝祥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联系人：孙琦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联系电话：0431-84999627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客户服务电话：400-88-96666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传真：0431-84992649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网址：www.jlbank.com.cn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(37) 嘉兴银行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注册地址：浙江省嘉兴市昌盛南路1001号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办公地址：浙江省嘉兴市昌盛南路1001号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法定代表人：夏林生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联系人：余舟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联系电话：0573-82080201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客户服务电话：0573-96528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网址：http://www.bojx.com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(38) 江南农村商业银行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注册地址：常州市和平中路413号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办公地址：常州市和平中路413号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法定代表人：陆向阳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电话：0519-80585939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客户服务电话：0519-96005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传真：0519-89995170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网址：http://www.jnbank.com.cn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(39) 江苏银行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注册地址：南京市中华路26号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办公地址：南京市中华路26号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法定代表人：夏平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联系人：张洪玮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联系电话：025-58587036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客户服务电话：95319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传真：025-58587820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网址：www.jsbchina.cn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(40) 江西银行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注册地址：江西省南昌市红谷滩新区金融大街699号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办公地址：江西省南昌市红谷滩新区金融大街699号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法定代表人：陈晓明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联系人：陈云波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联系电话：0791-86796029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客户服务电话：956055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传真：0791-86790795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网址：www.jx-bank.com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(41) 金华银行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注册地址：浙江省金华市丹溪路1388号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办公地址：浙江省金华市金东区光南路668号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法定代表人：徐雅清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联系人：何赛丽、陈霞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联系电话：0579-82178270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客户服务电话：400-711-6668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传真：0579-82178321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网址：www.jhccb.com.cn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(42) 锦州银行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注册地址：辽宁省锦州市科技路68号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办公地址：辽宁省锦州市科技路68号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法定代表人：魏学坤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联系人：庞璐璐</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客户服务电话：400-66-96178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网址：www.jinzhoubank.com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(43) 九台农商银行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注册地址：吉林省长春市九台区新华大街504号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办公地址：吉林省长春市高新开发区蔚山路2559号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法定代表人：高兵</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联系人：曲凌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客户服务电话：0431-96888-0-2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网址：http://www.jtnsh.com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(44) 昆仑银行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注册地址：新疆克拉玛依市世纪大道7号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办公地址：北京市西城区金融大街1号B座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法定代表人：蒋尚军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联系人：张碧华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联系电话：010-89026813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客户服务电话：95379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传真：010-89025421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网址：www.klb.cn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(45) 昆山农村商业银行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注册地址：江苏省昆山市前进东路828号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办公地址：江苏省昆山市前进东路828号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法定代表人：张哲清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联系人：黄怡</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客户服务电话：0512-96079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网址：www.ksrcb.com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(46) 乐清农商银行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注册地址：浙江省乐清市城南街道伯乐西路99号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办公地址：浙江省乐清市城南街道伯乐西路99号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法定代表人：高剑飞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联系人：金晓娇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联系电话：0577-61566028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传真：0577-61566063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网址：www.yqbank.com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(47) 龙江银行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注册地址：黑龙江省哈尔滨市道里区友谊路436号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办公地址：黑龙江省哈尔滨市道里区友谊路436号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法定代表人：张建辉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联系人：闫勇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联系电话：0451-85706107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客户服务电话：400-645-8888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传真：0451-85706036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网址：http://www.lj-bank.com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(48) 龙湾农商银行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注册地址：浙江省温州市龙湾区永中街道永宁西路555号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办公地址：浙江省温州市龙湾区永中街道永宁西路555号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法定代表人：刘少云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联系人：胡俊杰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联系电话：0577-86923223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传真：0577-86921250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网址：www.lwrcb.com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(49) 鹿城农商银行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注册地址：浙江省温州市鹿城区会展路1500号富银大厦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办公地址：温州市车站大道547号信合大厦A幢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法定代表人：陈宏强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联系人：董雷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联系电话：0577-88077675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网址：http://www.lcrcbank.com/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(50) 洛阳银行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注册地址：洛阳市洛阳新区开元大道与通济街交叉口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办公地址：河南省洛阳市开元大道256号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法定代表人：王建甫</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联系人：郭文博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联系电话：0379-65921977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客户服务电话：0379-96699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传真：0379-65938595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网址：www.bankofluoyang.com.cn/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(51) 宁波银行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注册地址：浙江省宁波市鄞州区宁东路345号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办公地址：浙江省宁波市鄞州区宁东路345号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法定代表人：陆华裕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联系人：施豪迪</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网址：www.nbcb.com.cn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(52) 齐商银行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注册地址：淄博市张店区中心路105号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办公地址：山东省淄博市张店区金晶大道105号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法定代表人：杲传勇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联系人：焦浦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联系电话：0533-2178888-9907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客户服务电话：400-86-96588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传真：0533-2180303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网址：www.qsbank.cc</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(53) 青岛银行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注册地址：山东省青岛市崂山区秦岭路6号3号楼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办公地址：山东省青岛市崂山区秦岭路6号3号楼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法定代表人：郭少泉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联系人：徐伟静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联系电话：0532-68629925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客户服务电话：96588（青岛）400-66-96588（全国）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网址：http://www.qdccb.com/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(54) 泉州银行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注册地址：泉州市丰泽区云鹿路3号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办公地址：泉州市丰泽区云鹿路3号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法定代表人：傅子能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联系人：董培姗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联系电话：0595-22551071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客户服务电话：400-88-96312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传真：0595-22578871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网址：www.qzccbank.com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(55) 日照银行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注册地址：山东省日照市烟台路197号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办公地址：山东省日照市烟台路197号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联系人：孔颖</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联系电话：0633-8081590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客户服务电话：400-68-96588（全国）、0633-96588（日照）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传真：0633-8081276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网址：http://www.bankofrizhao.com.cn/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(56) 瑞安农商银行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注册地址：瑞安市安阳街道万松东路148号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办公地址：瑞安市安阳街道万松东路148号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法定代表人：王光领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联系人：吴清萍</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联系电话：0577-66816501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客户服务电话：4008057702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网址：https://www.rarcbank.com/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(57) 瑞丰银行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注册地址：浙江省绍兴市柯桥区笛扬路1363号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办公地址：浙江省绍兴市柯桥区笛扬路1363号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法定代表人：俞俊海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联系人：孟建潮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联系电话：0575-81105323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传真：0575-84788134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网址：www.borf.cn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(58) 上海农村商业银行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注册地址：上海市黄浦区中山东二路70号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办公地址：上海市黄浦区中山东二路70号上海农商银行大厦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法定代表人：徐力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联系人：施传荣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联系电话：021-61899999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客户服务电话：021-962999、4006962999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开放式基金业务传真：021-50105124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网址：www.srcb.com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(59) 上海银行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注册地址：中国（上海）自由贸易试验区银城中路168号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办公地址：上海市浦东新区银城中路168号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法定代表人：金煜</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联系电话：021-68475732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客户服务电话：95594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网址：http://www.bosc.cn/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(60) 顺德农村商业银行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注册地址：佛山市顺德区大良德和居委会拥翠路2号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办公地址：佛山市顺德区大良德和居委会拥翠路2号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法定代表人：姚真勇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联系人：陈素莹、区敏欣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联系电话：0757-22385879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客户服务电话：0757-22223388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传真：0757-22388235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网址：www.sdebank.com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(61) 苏州银行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注册地址：江苏省苏州市工业园区钟园路728号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办公地址：江苏省苏州市工业园区钟园路728号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法定代表人：王兰凤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联系人：吴骏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联系电话：0512-69868373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客户服务电话：96067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传真：0512-69868373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网址：www.suzhoubank.com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(62) 天津银行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注册地址：天津市河西区友谊路15号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办公地址：天津市河西区友谊路15号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法定代表人：李宗唐</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联系电话：022-28405684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客户服务电话：956056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传真：022-28405631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网址：www.bank-of-tianjin.com.cn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(63) 威海市商业银行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注册地址：威海市宝泉路9号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办公地址：威海市宝泉路9号财政大厦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法定代表人：谭先国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联系人：冯十卉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联系电话：0531-68978175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客户服务电话：山东省内96636、中国境内40000-96636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传真：0531-68978176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网址：www.whccb.com，www.whccb.com.cn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(64) 潍坊银行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注册地址：山东省潍坊市奎文区胜利东街5139号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办公地址：山东省潍坊市奎文区胜利东街5139号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法定代表人：郭虎英</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联系人：井靖</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联系电话：0536-8051904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客户服务电话：400-61-96588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传真：0536-8056061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网址：www.wfccb.com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(65) 萧山农商银行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注册地址：萧山区人民路258号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办公地址：浙江省杭州市萧山区人民路258号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法定代表人：王云龙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联系人：朱光锋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联系电话：0571-82739513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网址：http://www.zjxsbank.com/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(66) 烟台银行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注册地址：山东省烟台市芝罘区海港路25号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办公地址：山东省烟台市芝罘区海港路25号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法定代表人：吴明理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联系人：张卓智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联系电话：0535-6699671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客户服务电话：4008-311-777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传真：0535-6699884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网址：www.yantaibank.net</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(67) 余杭农村商业银行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注册地址：杭州市余杭区南苑街道南大街72号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办公地址：杭州市余杭区南苑街道南大街72号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法定代表人：来煜标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联系人：蔡亮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联系电话：0571-86209980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客户服务电话：96596，4008896596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网址：www.yhrcb.com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(68) 云南红塔银行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注册地址：云南省玉溪市东风南路2号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办公地址：云南省昆明市盘龙区世博路低碳中心A座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法定代表人：李光林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联系人：马杰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联系电话：0871-65236624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客户服务电话：0877-96522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网址：www.ynhtbank.com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(69) 浙江稠州商业银行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注册地址：浙江省义乌市江滨路义乌乐园东侧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办公地址：杭州市上城区望潮路158号稠银大厦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法定代表人：金子军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联系人：谢圆圆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联系电话：0571-87117661/13777805250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客户服务电话：0571-96527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传真：0571-87117607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网址：http://www.czcb.com.cn/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(70) 浙江泰隆商业银行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注册地址：浙江省台州市路桥区南官大道188号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办公地址：浙江省台州市路桥区南官大道188号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联系人：陈妍宇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联系电话：0571-87219677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客户服务电话：95347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网址：www.zjtlcb.com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(71) 中原银行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注册地址：河南省郑州市郑东新区CBD商务外环路23号中科金座大厦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办公地址：河南省郑州市郑东新区CBD商务外环路23号中科金座大厦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法定代表人：窦荣兴</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联系人：张星强  联系电话：0371-85517713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客户服务电话：95186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网址：www.zybank.com.cn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(72) 重庆农村商业银行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注册地址：重庆市江北区金沙门路36号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办公地址：重庆市江北区金沙门路36号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法定代表人：刘建忠</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联系人：范亮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联系电话：023-61110146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客户服务电话：95389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传真：023-61110146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网址：www.cqrcb.com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(73) 珠海华润银行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注册地址：广东省珠海市吉大九洲大道东1346号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办公地址：广东省珠海市吉大九洲大道东1346号珠海华润银行大厦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法定代表人：刘晓勇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联系电话：4008800338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客户服务电话：96588（广东省外请加拨0756），400-8800-338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网址：www.crbank.com.cn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(74) 安信证券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注册地址：深圳市福田区金田路4018号安联大厦35层、28层A02单元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办公地址：深圳市福田区金田路4018号安联大厦35层、28层A02单元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          深圳市福田区深南大道2008号中国凤凰大厦1栋9层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法定代表人：王连志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联系人：陈剑虹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联系电话：0755-82825551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客户服务电话：95517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传真：0755-82558355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网址：www.essence.com.cn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(75) 渤海证券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注册地址：天津市经济技术开发区第二大街42号写字楼101室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办公地址：天津市南开区宾水西道8号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法定代表人：王春峰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联系人：蔡霆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联系电话：022-28451991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客户服务电话：400-651-5988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传真：022-28451892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网址：www.ewww.com.cn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(76) 财达证券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注册地址：河北省石家庄市桥西区自强路35号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办公地址：河北省石家庄市桥西区自强路35号庄家金融大厦23-26层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法定代表人：翟建强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联系人：李卓颖</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联系电话：0311-66008561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客户服务电话：95363（河北省内）；0311-95363（河北省外）</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传真：0311-66006414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网址：www.s10000.com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(77) 财富证券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注册地址：长沙市芙蓉中路二段80号顺天国际财富中心26层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办公地址：长沙市芙蓉中路二段80号顺天国际财富中心26-28层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法定代表人：刘宛晨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联系人：郭静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联系电话：0731-84403347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客户服务电话：95317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传真：0731-84403439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网址：www.cfzq.com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(78) 财通证券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注册地址：浙江省杭州市杭大路15号嘉华国际商务中心201，501，502，1103，1601-1615，1701-1716室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办公地址：浙江省杭州市杭大路15号嘉华国际商务中心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法定代表人：陆建强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联系人：陶志华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联系电话：0571－87789160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客户服务电话：95336、40086-96336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网址：www.ctsec.com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(79) 长城国瑞证券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注册地址：厦门市思明区莲前西路2号莲富大厦17楼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办公地址：厦门市思明区深田路46号深田国际大厦20楼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联系人：邱震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联系电话：0592-2079259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客户服务电话：400-0099-886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传真：0592-2079602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网址：www.gwgsc.com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(80) 长城证券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注册地址：深圳市福田区福田街道金田路2026号能源大厦南塔楼10-19层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办公地址：深圳市福田区福田街道金田路2026号能源大厦南塔楼10-19层长城证券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法定代表人：曹宏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联系人：梁浩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联系电话：0755-83530715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客户服务电话：400-6666-888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传真：0755-83516199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网址：www.cgws.com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(81) 长江证券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注册地址：湖北省武汉市新华路特8号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办公地址：湖北省武汉市新华路特8号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法定代表人：李新华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联系人：奚博宇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联系电话：027-65799999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客户服务电话：95579或4008-888-999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传真：027-85481900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网址：www.95579.com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(82) 川财证券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注册地址：中国（四川）自由贸易试验区成都高新区交子大道177号中海国际中心B座17楼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办公地址：四川省成都高新区交子大道177号中海国际中心B座17楼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法定代表人：孟建军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联系人：匡婷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联系电话：028-86583053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客户服务电话：028-86583000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网址：www.cczq.com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(83) 大通证券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注册地址：辽宁省大连市沙河口区会展路129号大连国际金融中心A座-大连期货大厦38、39层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办公地址：辽宁省大连市沙河口区会展路129号大连国际金融中心A座-大连期货大厦38、39层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法定代表人：赵玺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联系人：谢立军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联系电话：0411-39991807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客户服务电话：4008-169-169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传真：0411-39673214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网址：www.daton.com.cn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(84) 大同证券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注册地址：山西省大同市城区迎宾街15号桐城中央21层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办公地址：山西省太原市小店区长治路111号山西世贸中心A座F12、F13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法定代表人：董祥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联系人：薛津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联系电话：0351-4130322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客户服务电话：4007121212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传真：0351-7219891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网址：www.dtsbc.com.cn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(85) 德邦证券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注册地址：上海市普陀区曹杨路510号南半幢9楼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办公地址：上海市福山路500号城建国际中心29楼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法定代表人：武晓春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联系人：刘熠</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联系电话：021-68761616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客户服务电话：400-8888-128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传真：021-68767880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网址：http://www.tebon.com.cn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(86) 第一创业证券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注册地址：深圳市福田区福华一路115号投行大厦20楼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办公地址：深圳市福田区福华一路115号投行大厦20楼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法定代表人：刘学民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联系人：毛诗莉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联系电话：0755-23838750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客户服务电话：95358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网址：www.firstcapital.com.cn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(87) 东北证券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注册地址：长春市生态大街6666号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办公地址：长春市生态大街6666号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法定代表人：李福春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联系人：安岩岩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联系电话：0431-85096517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客户服务电话：95360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传真：0431-85096795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网址：www.nesc.cn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(88) 东方证券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注册地址：上海市中山南路318号2号楼22层、23层、25层-29层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办公地址：上海市中山南路318号2号楼13层、21层-23层、25-29层、32 层、36 层、39 层、40 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法定代表人：潘鑫军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联系人：朱琼玉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联系电话：021-63325888-3134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客户服务电话：95503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传真：021-63326729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网址：http://www.dfzq.com.cn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(89) 东莞证券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注册地址：东莞市莞城区可园南路一号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办公地址：东莞市莞城区可园南路1号金源中心30楼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法定代表人：陈照星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联系电话：0769-22115712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客户服务电话：95328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传真：0769-22115712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网址：www.dgzq.com.cn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(90) 东海证券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注册地址：江苏省常州市延陵西路23号投资广场18层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办公地址：上海市浦东新区东方路1928号东海证券大厦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法定代表人：陈耀庭</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联系人：王一彦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联系电话：021-20333333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客户服务电话：95531、400-8888-588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传真：021-50498825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网址：www.longone.com.cn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(91) 东吴证券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注册地址：苏州工业园区星阳街5号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办公地址：苏州工业园区星阳街5号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法定代表人：范力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联系人：陆晓</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联系电话：0512-62938521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客户服务电话：95330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传真：0512-65588021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网址：www.dwzq.com.cn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(92) 东兴证券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注册地址：北京市西城区金融大街5号（新盛大厦）12、15层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办公地址：北京市西城区金融大街5号新盛大厦B座12-15层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法定代表人：魏庆华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联系人：和志鹏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联系电话：010-66559371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客户服务电话：95309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传真：010-66555133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网址：www.dxzq.net</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(93) 方正证券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注册地址：长沙市天心区湘江中路二段36号华远华中心4、5号楼3701-3717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办公地址：北京市朝阳区北四环中路27号盘古大观A座40F</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法定代表人：施华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联系人：程博怡</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联系电话：010-56437060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传真：010-56437013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网址：www.foundersc.com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(94) 光大证券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注册地址：上海市静安区新闸路1508号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办公地址：上海市静安区新闸路1508号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法定代表人：周健男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联系人：龚俊涛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联系电话：021-22169999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传真：021-22169134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网址：www.ebscn.com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(95) 广发证券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注册地址：广东省广州市黄埔区中新广州知识城腾飞一街2号618室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办公地址：广州市天河区马场路26号广发证券大厦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法定代表人：孙树明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联系人：黄岚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客户服务电话：95575或02095575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网址：www.gf.com.cn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(96) 广州证券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注册地址：广州市天河区珠江西路5号广州国际金融中心主塔19层、20层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办公地址：广州市天河区珠江西路5号广州国际金融中心主塔19层、20层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法定代表人：胡伏云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联系人：梁微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联系电话：020-88836999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传真：020-88836654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网址：www.gzs.com.cn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(97) 国都证券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注册地址：北京市东城区东直门南大街3号国华投资大厦9层10层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办公地址：北京市东城区东直门南大街3号国华投资大厦9层10层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法定代表人：王少华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联系人：黄静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联系电话：010-84183389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客户服务电话：400-818-8118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传真：010-84183311-3122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网址：www.guodu.com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(98) 国海证券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注册地址：广西桂林市辅星路13号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办公地址：深圳市福田区竹子林四路光大银行大厦3楼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法定代表人：何春梅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联系人：田密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联系电话：0755-83716916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客户服务电话：95563或0771-95563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网址：www.ghzq.com.cn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(99) 国金证券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注册地址：成都市青羊区东城根上街95号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办公地址：成都市青羊区东城根上街95号成证大厦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法定代表人：冉云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联系人：杜晶、黎建平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联系电话：028-86690057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客户服务电话：95310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传真：028-86690126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网址：www.gjzq.com.cn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(100) 国联证券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注册地址：江苏省无锡市太湖新城金融一街8号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办公地址：江苏省无锡市太湖新城金融一街8号国联金融大厦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法定代表人：姚志勇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联系人：祁昊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联系电话：0510-82831662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传真：0510-82830162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网址：www.glsc.com.cn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(101) 国融证券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注册地址：内蒙古自治区呼和浩特市武川县腾飞大道1号4楼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办公地址：内蒙古自治区呼和浩特市武川县腾飞大道与呈祥路交汇处武川立农村镇银行</w:t>
      </w:r>
      <w:r w:rsidRPr="00960F82">
        <w:rPr>
          <w:rFonts w:asciiTheme="minorEastAsia" w:eastAsiaTheme="minorEastAsia" w:hAnsiTheme="minorEastAsia" w:hint="eastAsia"/>
          <w:szCs w:val="21"/>
        </w:rPr>
        <w:lastRenderedPageBreak/>
        <w:t>股份有限公司四楼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法定代表人：张智河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联系人：郭一非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联系电话：010-83991777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客户服务电话：95385或400-660-9839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传真：010-66412537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网址：www.grzq.com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(102) 国盛证券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注册地址：江西省南昌市新建区子实路1589号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办公地址：江西省南昌市红谷滩新区凤凰中大道1115号北京银行大厦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法定代表人：徐丽峰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联系人：占文驰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联系电话：0791-86283372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客户服务电话：956080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传真：0791-86281305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网址：www.gszq.com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(103) 国泰君安证券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注册地址：中国（上海）自由贸易试验区商城路618号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办公地址：上海市静安区南京西路768号国泰君安大厦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法定代表人：杨德红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联系人：芮敏祺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传真：021-38670666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网址：www.gtja.com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(104) 国信证券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注册地址：深圳市罗湖区红岭中路1012号国信证券大厦十六层至二十六层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办公地址：深圳市罗湖区红岭中路1012号国信证券大厦十六层至二十六层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法定代表人：何如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联系人：李颖</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联系电话：0755-82130833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传真：0755-82133952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网址：www.guosen.com.cn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(105) 国元证券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注册地址：安徽省合肥市梅山路18号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办公地址：安徽省合肥市梅山路18号安徽国际金融中心A座国元证券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法定代表人：蔡咏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联系人：李蔡</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传真：0551-2272100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网址：www.gyzq.com.cn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(106) 海通证券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注册地址：上海市广东路689号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办公地址：上海市广东路689号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法定代表人：周杰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联系人：金芸、李笑鸣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联系电话：021-23219000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传真：021-23219100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网址：www.htsec.com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(107) 红塔证券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注册地址：云南省昆明市北京路155号附1号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办公地址：云南省昆明市北京路155号附1号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法定代表人：李素明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联系人：罗德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联系电话：0871-63582843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客户服务电话：956060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传真：0871-63578827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网址：http://www.hongtastock.com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(108) 华安证券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注册地址：安徽省合肥市政务文化新区天鹅湖路198号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办公地址：安徽省合肥市政务文化新区天鹅湖路198号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法定代表人：章宏韬</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联系人：范超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联系电话：0551-65161821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传真：0551-65161825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网址：www.hazq.com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(109) 华宝证券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注册地址：中国（上海）自由贸易试验区世纪大道100号57层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办公地址：中国（上海）自由贸易试验区世纪大道100号57层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联系人：刘闻川</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联系电话：021-20657517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客户服务电话：400-820-9898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传真：021-20515593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网址：www.cnhbstock.com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(110) 华福证券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注册地址：福州市鼓楼区温泉街道五四路157号7－8层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办公地址：上海市浦东新区陆家嘴环路1088号招商银行大厦18-19楼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法定代表人：黄金琳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联系电话：021-20655183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客户服务电话：95547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传真：021-20655196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网址：www.hfzq.com.cn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(111) 华林证券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注册地址：拉萨市柳梧新区国际总部城3幢1单元5-5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办公地址：深圳市福田区民田路178号华融大厦6楼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法定代表人：林立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联系人：胡倩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联系电话：0755-83255199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客户服务电话：400-188-3888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网址：www.chinalin.com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(112) 华龙证券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注册地址：兰州市城关区东岗西路638号兰州财富中心21楼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办公地址：兰州市城关区东岗西路638号兰州财富中心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法定代表人：陈牧原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联系人：范坤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联系电话：0931-4890208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客户服务电话：95368、400-689-8888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传真：0931-4890628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网址：www.hlzq.com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(113) 华融证券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办公地址：北京市朝阳区朝阳门北大街18号中国人保寿险大厦11至18层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法定代表人：祝献忠</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联系人：孙燕波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联系电话：010-85556048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客户服务电话：95390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传真：010-85556088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网址：www.hrsec.com.cn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(114) 华泰证券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注册地址：南京市江东中路228号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办公地址：南京市建邺区江东中路228号华泰证券广场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联系人：庞晓芸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联系电话：0755-82492193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客户服务电话：95597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传真：025-83387523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网址：www.htsc.com.cn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(115) 华西证券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注册地址：四川省成都市高新区天府二街198号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办公地址：四川省成都市高新区天府二街198号华西证券大厦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法定代表人：杨炯洋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联系人：谢国梅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联系电话：010-58124967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客户服务电话：95584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传真：028-86150040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网址：www.hx168.com.cn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(116) 华鑫证券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注册地址：深圳市福田区莲花街道福中社区深南大道2008号中国凤凰大厦1栋20C-1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办公地址：上海市徐汇区宛平南路8号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法定代表人：俞洋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联系人：杨莉娟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联系电话：021-54967552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客户服务电话：95323（全国）、400-109-9918（全国）、029-68918888（西安）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传真：021-54967293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网址：www.cfsc.com.cn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(117) 华信证券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注册地址：上海浦东新区世纪大道100号环球金融中心9楼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办公地址：上海市黄浦区南京西路399号明天广场23楼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法定代表人：陈灿辉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联系人：徐璐</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联系电话：021-63898952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客户服务电话：400-820-5999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传真：021-68776977转8952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网址：www.shhxzq.com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(118) 江海证券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注册地址：黑龙江省哈尔滨市香坊区赣水路56号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办公地址：黑龙江省哈尔滨市松北区创新三路833号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法定代表人：赵洪波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联系人：姜志伟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联系电话：0451-87765732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客户服务电话：400-666-2288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传真：0451-82337279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网址：www.jhzq.com.cn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(119) 金元证券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注册地址：海口市南宝路36号证券大厦4楼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办公地址：深圳市深南大道4001号时代金融中心大厦17楼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法定代表人：王作义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联系人：刘萍</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联系电话：0755-83025693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客户服务电话：95372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传真：0755-83025625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网址：www.jyzq.cn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(120) 九州证券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注册地址：青海省西宁市南川工业园区创业路108号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办公地址：北京市朝阳区安立路30号仰山公园东一门2号楼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法定代表人：魏先锋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联系人：张思思</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联系电话：010-57672272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客户服务电话：95305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传真：010-57672296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网址：www.jzsec.com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(121) 开源证券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注册地址：陕西省西安市高新区锦业路1号都市之门B座5层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办公地址：陕西省西安市高新区锦业路1号都市之门B座5层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联系电话：029-88365809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网址：www.kysec.cn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(122) 联储证券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注册地址：广东省深圳市福田区福田街道岗厦社区深南大道南侧金地中心大厦9楼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办公地址：上海市浦东新区陆家嘴环路333号金砖大厦8楼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法定代表人：吕春卫</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联系人：丁倩云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联系电话：010-86499427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客户服务电话：400-620-6868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网址：www.lczq.com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(123) 南京证券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注册地址：南京市江东中路389号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办公地址：南京市江东中路389号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法定代表人：步国旬</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联系人：王万君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联系电话：025-58519523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客户服务电话：95386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传真：025-83369725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网址：www.njzq.com.cn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(124) 平安证券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注册地址：深圳市福田区福田街道益田路5023号平安金融中心B座第22-25层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办公地址：深圳市福田区金田路4036号荣超大厦16-20层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法定代表人：何之江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联系人：周驰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联系电话：021-38643230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客户服务电话：95511-8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传真：021-58991896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网址：stock.pingan.com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(125) 瑞银证券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注册地址：北京市西城区金融大街7号英蓝国际金融中心12层、15层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办公地址：北京市西城区金融大街7号英蓝国际金融中心12层、15层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法定代表人：钱于军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联系人：谢丹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联系电话：0755-22158878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客户服务电话：400-887-8827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传真：010-58328170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网址：https://www.ubs.com/ubssecurities</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(126) 山西证券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注册地址：太原市府西街69号山西国际贸易中心东塔楼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办公地址：太原市府西街69号山西国际贸易中心东塔楼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法定代表人：侯巍</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联系人：郭熠</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联系电话：0351-8686659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客户服务电话：95573或400-666-1618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传真：0351-8686619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网址：www.i618.com.cn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(127) 上海证券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注册地址：上海市黄浦区四川中路213号7楼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办公地址：上海市四川中路213号久事商务大厦7楼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法定代表人：李俊杰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联系人：邵珍珍</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联系电话：021-53686888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客户服务电话：4008-918-918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传真：021-53686100、021-53686200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网址：https://www.shzq.com/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(128) 申万宏源西部证券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注册地址：新疆乌鲁木齐市高新区（新市区）北京南路358号大成国际大厦20楼2005</w:t>
      </w:r>
      <w:r w:rsidRPr="00960F82">
        <w:rPr>
          <w:rFonts w:asciiTheme="minorEastAsia" w:eastAsiaTheme="minorEastAsia" w:hAnsiTheme="minorEastAsia" w:hint="eastAsia"/>
          <w:szCs w:val="21"/>
        </w:rPr>
        <w:lastRenderedPageBreak/>
        <w:t>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办公地址：新疆乌鲁木齐市高新区（新市区）北京南路358号大成国际大厦20楼2005室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联系人：王怀春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联系电话：0991-2307105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客户服务电话：4008-000-562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传真：010-88085195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网址：www.hysec.com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(129) 申万宏源证券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注册地址：上海市徐汇区长乐路989号45层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办公地址：上海市徐汇区长乐路989号世纪商贸广场45层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法定代表人：杨玉成</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联系人：余敏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联系电话：021-33388252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客户服务电话：95523、4008895523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传真：021-33388224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网址：www.swhysc.com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(130) 世纪证券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注册地址：深圳市前海深港合作区南山街道桂湾五路128号前海深港基金小镇对冲基金中心406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办公地址：深圳市福田区深南大道招商银行大厦40-42层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联系电话：0755-83199511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客户服务电话：4008323000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网址：www.csco.com.cn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(131) 首创证券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注册地址：北京市西城区德胜门外大街115号德胜尚城E座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办公地址：北京市西城区德胜门外大街115号德胜尚城E座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法定代表人：毕劲松</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联系电话：010-59366070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客户服务电话：400-620-0620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传真：010-59366055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网址：http://www.sczq.com.cn/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(132) 天风证券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注册地址：湖北省武汉市东湖新技术开发区关东园路2号高科大厦四楼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办公地址：湖北省武汉市武昌区中南路99号保利广场A座37楼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法定代表人：余磊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联系人：程晓英</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联系电话：027-87617017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客户服务电话：4008005000、95391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传真：027-87618863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网址：http://www.tfzq.com/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(133) 万联证券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注册地址：广州市天河区珠江东路11号18、19楼全层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办公地址：广州市天河区珠江东路13号高德置地广场E栋12层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法定代表人：罗钦城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联系人：甘蕾</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联系电话：020-38286026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传真：020-38286588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网址：www.wlzq.cn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(134) 西部证券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注册地址：陕西省西安市新城区东新街319号8幢10000室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办公地址：陕西省西安市新城区东新街319号8幢10000室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法定代表人：徐朝晖</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联系人：梁承华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联系电话：029-87211526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传真：029-87211478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网址：www.westsecu.com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(135) 西南证券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注册地址：重庆市江北区桥北苑8号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办公地址：重庆市江北区桥北苑8号西南证券大厦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法定代表人：廖庆轩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联系人：周青</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联系电话：023-63786633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客户服务电话：4008096096或95355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传真：023-63786212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网址：www.swsc.com.cn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(136) 湘财证券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注册地址：湖南省长沙市天心区湘府中路198号新南城商务中心A栋11楼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办公地址：湖南省长沙市天心区湘府中路198号新南城商务中心A栋11楼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法定代表人：孙永祥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联系电话：021-38784580-8918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客户服务电话：95351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传真：021-68865680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网址：www.xcsc.com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(137) 新时代证券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注册地址：北京市海淀区北三环西路99号院1号楼15层1501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办公地址：北京市海淀区北三环西路99号院1号楼15层1501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法定代表人：叶顺德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联系人：田芳芳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联系电话：010-83561146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网址：www.xsdzq.cn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(138) 信达证券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注册地址：北京市西城区闹市口大街9号院1号楼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办公地址：北京市西城区闹市口大街9号院1号楼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法定代表人：张志刚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联系人：尹旭航</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联系电话：010-63081000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传真：010-63080978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网址：www.cindasc.com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(139) 兴业证券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注册地址：福州市湖东路268号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办公地址：上海浦东新区长柳路36号兴业证券大厦20楼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法定代表人：杨华辉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联系人：乔琳雪</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联系电话：021-38565547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网址：www.xyzq.com.cn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(140) 银河证券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注册地址：北京市西城区金融大街35号2-6层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办公地址：北京市西城区金融大街35号国际企业大厦C座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法定代表人：陈共炎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联系人：辛国政</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联系电话：010-83574507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客户服务电话：4008-888-888或95551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网址：www.chinastock.com.cn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(141) 粤开证券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注册地址：惠州市江北东江三路55号广播电视新闻中心西面一层大堂和三、四层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办公地址：深圳市福田区深南中路2002号中广核大厦北楼10层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法定代表人：严亦斌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联系人：彭莲</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联系电话：0755-83331195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客户服务电话：95564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公司网址：http://www.ykzq.com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(142) 招商证券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注册地址：深圳市福田区福田街道福华一路111号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办公地址：深圳市福田区福田街道福华一路111号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法定代表人：霍达</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联系人：黄婵君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联系电话：0755-82943666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客户服务电话：95565、400-8888-111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传真：0755-82943636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网址：www.newone.com.cn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(143) 浙商证券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注册地址：浙江省杭州市江干区五星路201号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办公地址：浙江省杭州市江干区五星路201号浙商证券大楼8楼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法定代表人：吴承根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联系人：高扬</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联系电话：0571-87902974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客户服务电话：95345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传真：0571-87901913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网址：www.stocke.com.cn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(144) 中航证券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注册地址：江西省南昌市红谷滩新区红谷中大道1619号南昌国际金融大厦A栋41层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办公地址：江西省南昌市红谷滩新区红谷中大道1619号南昌国际金融大厦A栋41层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法定代表人：王晓峰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联系人：王紫雯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联系电话：15611538682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客户服务电话：95335或400-88-95335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传真：010-59562637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网址：www.avicsec.com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(145) 中金财富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注册地址：深圳市福田区益田路与福中路交界处荣超商务中心A栋第18-21层及第04层01.02.03.05.11.12.13.15.16.18.19.20.21.22.23单元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办公地址：深圳福田区益田路6003号荣超商务中心A座4层、18-21层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法定代表人：高涛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联系人：万玉琳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联系电话：0755-82026907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客户服务电话：95532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网址：https://www.ciccwm.com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(146) 中金公司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注册地址：北京市朝阳区建国门外大街1号国贸大厦2座27层及28层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办公地址：北京市朝阳区建国门外大街1号国贸大厦2座27层及28层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法定代表人：毕明建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联系人：杨涵宇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联系电话：010-65051166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客户服务电话：4009101166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网址：www.cicc.com.cn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(147) 中山证券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注册地址：深圳市南山区粤海街道蔚蓝海岸社区创业路1777号海信南方大厦21、22层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办公地址：深圳市南山区创业路1777号海信南方大厦21、22层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法定代表人：林炳城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联系人：罗艺琳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电话：0755-82943755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传真：0755-82960582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客户服务电话：95329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网址：www.zszq.com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(148) 中泰证券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注册地址：济南市市中区经七路86号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办公地址：山东省济南市经七路86号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联系人：许曼华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联系电话：021-20315290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客户服务电话：95538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传真：0531-68889095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网址：www.zts.com.cn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(149) 中天证券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注册地址：辽宁省沈阳市和平区光荣街23甲</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办公地址：辽宁省沈阳市和平区光荣街23甲</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法定代表人：马功勋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联系人：李泓灏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联系电话：024-23255256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客户服务电话：024-95346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传真：024-23255606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网址：www.iztzq.com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(150) 中信建投证券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注册地址：北京市朝阳区安立路66号4号楼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办公地址：北京市朝阳门内大街188号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法定代表人：王常青</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联系人：权唐</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联系电话：010－85130588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客户服务电话：95587或4008-888-108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网址：http://www.csc108.com/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(151) 中信证券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注册地址：广东省深圳市福田区中心三路8号卓越时代广场（二期）北座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办公地址：北京市朝阳区亮马桥路48号中信证券大厦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法定代表人：张佑君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联系人：王一通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联系电话：010-60838888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客户服务电话：95548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传真：010-60836029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网址：www.cs.ecitic.com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(152) 中信证券（山东）</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注册地址：青岛市崂山区深圳路222号1号楼2001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办公地址：青岛市市南区东海西路28号龙翔广场东座5层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法定代表人：姜晓林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联系人：焦刚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联系电话：0531-89606166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客户服务电话：95548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传真：0532-85022605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网址：http://sd.citics.com/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(153) 中银国际证券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注册地址：上海市浦东新区银城中路200号中银大厦39层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办公地址：上海市浦东新区银城中路200号中银大厦39-40层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法定代表人：宁敏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联系人：王炜哲</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客户服务电话：400-620-8888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传真：021-50372474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网址：www.bocichina.com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(154) 中邮证券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注册地址：陕西省西安市唐延路5号（陕西邮政信息大厦9-11层）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办公地址：北京市东城区珠市口东大街17号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法定代表人：丁奇文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联系人：岳帅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 010-67017788-6068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客户服务电话：4008-888-005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传真：010-67017788-9696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网址：www.cnpsec.com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(155) 中原证券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注册地址：郑州市郑东新区商务外环路10号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办公地址：河南省郑州市郑东新区商务外环路10号中原广发金融大厦19楼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法定代表人：菅明军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联系人：程月艳  李盼盼 党静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联系电话：0371-69099882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客户服务电话：95377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传真：0371-65585899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网址：www.ccnew.com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(156) 百度百盈</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注册地址：北京市海淀区上地十街10号1幢1层101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办公地址：北京市海淀区西北旺东路10号院西区4号楼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法定代表人：张旭阳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联系人：孙博超</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联系电话：010-59403028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客户服务电话：95055-4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网址：www.baiyingfund.com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(157) 长量基金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注册地址：上海市浦东新区高翔路526号2幢220室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办公地址：上海市浦东新区东方路1267号陆家嘴金融服务广场二期11层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法定代表人：张跃伟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联系人：党敏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联系电话：021-20691935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客户服务电话：400-820-2899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传真：021-20691861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网址：www.erichfund.com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(158) 朝阳永续</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注册地址：浦东新区上丰路977号1幢B座812室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办公地址：上海市浦东新区碧波路690号4号楼2楼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法人代表：廖冰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联系人：陆纪青</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联系电话：021-80234888-6813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客户服务电话：400-699-1888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网址：www.998fund.com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(159) 创金启富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注册地址：北京市西城区白纸坊东街2号院6号楼712室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办公地址：北京市西城区白纸坊东街2号院6号楼712室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法定代表人：梁蓉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联系人：李慧慧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联系电话：010-66154828-8047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客户服务电话：400-6262-818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传真：010-63583991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网址：www.5irich.com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(160) 大泰金石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注册地址：南京市建邺区江东中路102号708室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办公地址：上海市浦东新区峨山路505号东方纯一大厦15楼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法定代表人：陈达伟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联系人：孟召社</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联系电话：021-20324176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客户服务电话：400-995-9220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传真：021-20324199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网址：www.dtfunds.com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(161) 大智慧基金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注册地址：中国（上海）自由贸易试验区杨高南路428号1号楼1102单元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办公地址：中国（上海）自由贸易试验区杨高南路428号1号楼1102单元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法定代表人：申健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联系人：张蜓</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联系电话：021-20219988-35374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客户服务电话：021-20292031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传真：021-20219923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网址：https://www.wg.com.cn/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(162) 蛋卷基金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注册地址：北京市朝阳区阜通东大街1号院6号楼2单元21层222507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办公地址：北京市朝阳区阜通东大街1号院6号楼2单元21层222507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法定代表人：钟斐斐</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联系人：侯芳芳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联系电话：010-61840688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客户服务电话：4001599288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网址：https://danjuanapp.com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(163) 鼎信汇金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注册地址：北京市海淀区太月园3号楼5层521室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办公地址：北京市海淀区太月园3号楼5层521室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法定代表人：齐凌峰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联系人：阮志凌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联系电话：010-82050520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客户服务电话：400-886-3311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传真：010-82086110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网址：www.9ifund.com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(164) 东证期货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注册地址：中国（上海）自由贸易试验区浦电路500号上海期货大厦14层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办公地址：上海市黄浦区中山南路318号2号楼22楼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法定代表人：卢大印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联系人：张敏圆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联系电话：021-63325888-4259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客户服务电话：4008859999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传真：021-63326752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网址：www.dzqh.com.cn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(165) 泛华普益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注册地址：四川省成都市成华区建设路9号高地中心1101室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办公地址：四川省成都市锦江区东大街99号平安金融中心1501室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法定代表人：于海锋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联系人：陈金红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联系电话：028-86758820-803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客户服务电话：400-020-0606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网址：www.puyifund.com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(166) 富济基金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注册地址：深圳市福田区福田街道岗厦社区金田路3088号中洲大厦3203A单元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办公地址：深圳市福田区福田街道岗厦社区金田路3088号中洲大厦3203A单元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法定代表人：祝中村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联系人：曾瑶敏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联系电话：0755-83999907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客户服务电话：0755-83999907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传真：0755-83999926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网址：www.fujifund.cn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(167) 海银基金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注册地址：中国（上海）自由贸易试验区银城中路8号402室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办公地址：上海市浦东新区银城中路8号海银金融中心4楼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法定代表人：惠晓川</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联系人：毛林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联系电话：021-80133597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客户服务电话：400-808-1016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传真：021-80133413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网址：www.fundhaiyin.com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(168) 好买基金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注册地址：上海市虹口区欧阳路196号26号楼2楼41号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办公地址：上海市浦东南路1118号鄂尔多斯国际大厦903～906室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法定代表人：杨文斌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联系电话：021-20613600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客户服务电话：400-700-9665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传真：021-68596916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网址：www.ehowbuy.com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(169) 和讯信息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注册地址：北京市朝阳区朝外大街22号1002室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办公地址：北京市朝阳区朝外大街22号泛利大厦10层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联系人：陈慧慧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联系电话：010-85657353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客户服务电话：400-920-0022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传真：010-65884788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网址：http://licaike.hexun.com/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(170) 恒天明泽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注册地址：北京市经济技术开发区宏达北路10号五层5122室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办公地址：北京市朝阳区东三环北路甲19号SOHO嘉盛中心30层3001室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法定代表人：周斌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联系电话：010-59313555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客户服务电话：4008980618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传真：010-59313586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网址：www.chtwm.com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(171) 弘业期货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注册地址：江苏省南京市秦淮区中华路50号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办公地址：江苏省南京市秦淮区中华路50号弘业大厦9楼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法人代表：周剑秋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联系人：孙朝旺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联系电话：025-52278870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客户服务电话：400-828-1288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网址：www.ftol.com.cn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(172) 虹点基金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注册地址：北京市朝阳区东三环北路17号10层1015室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办公地址：北京市朝阳区工体北路甲2号盈科中心东门2层216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法定代表人：何静</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联系人：牛亚楠</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联系电话：010-65951887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客户服务电话：400-618-0707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网址：www.hongdianfund.com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(173) 华夏财富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注册地址：上海市虹口区东大名路687号1幢2楼268室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办公地址：北京市西城区金融大街33号通泰大厦B座8层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法定代表人：毛淮平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联系人：张静怡</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联系电话：010-88066632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客户服务电话：400-817-5666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传真：010-63136184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网址：www.amcfortune.com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(174) 徽商期货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注册地址：安徽省合肥市芜湖路258号3号楼6-7层，6号楼1-2层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办公地址：合肥市芜湖路258号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法人代表：吴国华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联系人：申倩倩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联系电话：0551-62865215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客户服务电话：400-887-8707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网址：www.hsqh.net</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(175) 汇成基金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注册地址：北京市海淀区中关村大街11号11层1108号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办公地址：北京市西城区西直门外大街1号院2号楼 19层 19C13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法定代表人：王伟刚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联系人：王骁骁</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联系电话：010-56251471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客户服务电话：400-619-9059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网址：www.hcjijin.com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(176) 汇付基金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注册地址：上海市黄浦区黄河路333号201室A区056单元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办公地址：上海市徐汇区宜山路700号普天信息产业园2期C5栋 汇付天下总部大楼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法定代表人：金佶</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联系人：甄宝林</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联系电话：021-34013996-3011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客户服务电话：021-34013999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传真：021-33323837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网址：www.hotjijin.com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(177) 济安财富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注册地址：北京市朝阳区太阳宫中路16号院1号楼3层307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办公地址：北京市朝阳区太阳宫中路16号院1号楼冠捷大厦3层307单元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法定代表人：杨健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联系人：李海燕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联系电话：010-65309516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客户服务电话：400-673-7010（济安财富官网）  400-071-6766（腾讯财经）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传真：010-65330699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网址：www.jianfortune.com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(178) 加和基金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注册地址：北京市西城区德胜门外大街13号院1号楼5层505室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办公地址：北京市西城区德胜门外大街13号院1号楼5层505室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法定代表人：曲阳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联系人：王梓骄</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联系电话：010-80456756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客户服务电话：400-803-1188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传真：010-80456278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网址：www.bzfunds.com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(179) 嘉实财富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注册地址：中国（上海）自由贸易试验区世纪大道8号上海国金中心办公楼二期53层5312-15单元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办公地址：北京市朝阳区建国路91号金地中心A座6层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法定代表人：赵学军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联系电话：010-60842306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客户服务电话：400-021-8850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传真：010-85712195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网址：www.harvestwm.cn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(180) 金百临</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注册地址：无锡市滨湖区锦溪路99号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办公地址：江苏省无锡市太湖新城锦溪道楝泽路9号楼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法人代表：费晓燕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联系人：邹云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联系电话：0510-81188088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客户服务电话：0510-9688988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网址：www.jsjbl.com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(181) 金观诚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注册地址：杭州拱墅区登云路45号金诚集团（锦昌大厦）1幢10楼1001室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办公地址：杭州拱墅区登云路55号金诚集团（锦昌大厦）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法定代表人：蒋雪琦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联系人：来舒岚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联系电话：0571-88337888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客户服务电话：4000680058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传真：0571-88337666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网址：http://www.jincheng-fund.com/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(182) 久富财富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注册地址：上海市浦东新区莱阳路2819号1幢109室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办公地址：上海市浦东新区民生路1403号上海信息大厦1215室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法定代表人：赵惠蓉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联系人：赵惠蓉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联系电话：021-68682279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客户服务电话：400-102-1813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传真：021-68682297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网址：www.jfcta.com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(183) 凯石财富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注册地址：上海市黄浦区西藏南路765号602-115室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办公地址：上海市黄浦区延安东路1号凯石大厦4楼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法定代表人：陈继武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联系人：冯强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联系电话：021-63333389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客户服务电话：4006-433-389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传真：021-63333390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网址：www.vstonewealth.com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(184) 肯特瑞基金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注册地址：北京市海淀区显龙山路19号1幢4层1座401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办公地址：北京市大兴区亦庄经济开发区科创十一街十八号院京东集团总部A座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法定代表人：江卉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联系人：韩锦星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联系电话：010-89189291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客户服务电话：95118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网址：http://fund.jd.com/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(185) 利得基金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注册地址：上海市宝山区蕴川路5475号1033室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办公地址：上海市虹口区东大名路1098号浦江国际金融广场53层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法定代表人：李兴春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联系人：陈孜明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联系电话：86-021-50583533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客户服务电话：95733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传真：86-21-61101630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网址：www.leadfund.com.cn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(186) 联泰基金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注册地址：中国（上海）自由贸易试验区富特北路277号3层310室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办公地址：上海市长宁区福泉北路518号8座3楼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法定代表人：尹彬彬</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联系人：陈东</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联系电话：021-52822063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客户服务电话：400-118-1188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传真：021-52975270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网址：www.66zichan.com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(187) 陆基金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注册地址：中国（上海）自由贸易试验区陆家嘴环路1333号14楼09单元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办公地址：中国（上海）自由贸易试验区陆家嘴环路1333号14楼09单元</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法定代表人：王之光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联系人：宁博宇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联系电话：021-20665952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客户服务电话：4008219031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传真：021-22066653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网址：www.lufunds.com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(188) 蚂蚁基金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注册地址：浙江省杭州市余杭区五常街道文一西路969号3幢5层599室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办公地址：浙江省杭州市西湖区万塘路18号黄龙时代广场B座6F</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法定代表人：祖国明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联系人：韩爱彬</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联系电话：0571-26888888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客户服务电话：4000-766-123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网址：http://www.fund123.cn/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(189) 民商基金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注册地址：上海黄浦区北京东路666号H区（东座）6楼A31室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办公地址：上海市浦东新区张杨路707号生命人寿大厦32楼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法定代表人：贲惠琴</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联系人：杨一新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联系电话：021-50206003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客户服务电话：021-50206002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传真：021-50206001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网址：http://www.msftec.com/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(190) 诺亚正行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注册地址：上海市虹口区飞虹路360弄9号3724室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办公地址：上海杨浦区秦皇岛路32号C栋 2楼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法定代表人：汪静波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联系人：余翼飞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联系电话：021-80358749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客户服务电话：400-821-5399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传真：021-38509777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网址：www.noah-fund.com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(191) 浦领基金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注册地址：北京市朝阳区望京东园四区13号楼A座9层908室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办公地址：北京市朝阳区望京浦项中心A座9层04-08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法定代表人：聂婉君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联系电话：010-59497361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客户服务电话：400-012-5899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传真：010-64788016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网址：www.zscffund.com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(192) 钱景基金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注册地址：北京市海淀区中关村东路18号1号楼11层B-1108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办公地址：北京市海淀区中关村东路18号财智国际大厦B-1108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法定代表人：王利刚</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联系人：姚付景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联系电话：010-62565181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客户服务电话：400-893-6885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传真：010-57569671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网址：www.qianjing.com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(193) 深圳新兰德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注册地址：深圳市福田区福田街道民田路178号华融大厦27层2704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办公地址：北京市西城区宣武门外大街28号富卓大厦A座7层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法定代表人：洪弘</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联系人：张燕</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联系电话：010-83363099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客户服务电话：400-166-1188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传真：010-83363010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网址：http://8.jrj.com.cn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(194) 晟视天下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注册地址：北京市怀柔区九渡河镇黄坎村735号03室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办公地址：北京市朝阳区朝外大街甲六号万通中心D座21层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法定代表人：蒋煜</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联系人：史俊杰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联系电话：010-58170936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客户服务电话：010-58170761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传真：010-58170800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网址：www.shengshiview.com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(195) 苏宁基金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注册地址：南京市玄武区苏宁大道1-5号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办公地址：南京市玄武区苏宁大道1-5号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联系人：张云飞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联系电话：025-66996699-882796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客户服务电话：95177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网址：www.snjijin.com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(196) 天天基金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注册地址：上海市徐汇区龙田路190号2号楼2层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办公地址：上海市徐汇区宛平南路88号东方财富大厦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法定代表人：其实</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联系人：屠彦洋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联系电话：021-54509977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客户服务电话：95021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传真：021-64385308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网址：www.1234567.com.cn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(197) 通华财富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注册地址：上海市虹口区同丰路667弄107号201室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办公地址：上海市浦东新区金沪路55号通华科技大厦7楼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法定代表人：沈丹义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联系人：杨涛、庄洁茹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联系电话：021-60810586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客户服务电话：95177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传真：021-60810695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网址：www.tonghuafund.com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(198) 同花顺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注册地址：浙江省杭州市文二西路1号903室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办公地址：杭州市余杭区五常街道同顺街18号同花顺大楼4层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法定代表人：吴强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联系人：吴强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联系电话：0571-88911818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客户服务电话：952555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传真：0571-86800423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网址：www.5ifund.com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(199) 途牛基金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注册地址：江苏省南京市玄武区玄武大道699-1号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办公地址：江苏省南京市玄武区玄武大道699-32号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法人代表：宋时琳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联系人：贺杰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联系电话：025-86853960-66727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客户服务电话：4007-999-999转3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网址：http://jr.tuniu.com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(200) 挖财基金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注册地址：中国（上海）自由贸易试验区杨高南路799号5楼01、02、03室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办公地址：上海市浦东新区杨高南路799号陆家嘴世纪金融广场3号楼5层01、02、03层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法定代表人：冷飞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联系电话：021-50810687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客户服务电话：021-50810673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网址：www.wacaijijin.com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(201) 万得基金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注册地址：中国（上海）自由贸易试验区福山路33号11楼B座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办公地址：上海市浦东新区浦明路1500号万得大厦11楼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法定代表人：黄祎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联系人：徐亚丹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联系电话：021-50712782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客户服务电话：400-799-1888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网址：www.520fund.com.cn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(202) 万家财富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注册地址：天津自贸区（中心商务区）迎宾大道1988号滨海浙商大厦公寓2-2413室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办公地址：北京市西城区丰盛胡同28号太平洋保险大厦A座5层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联系人：王芳芳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联系电话：010-59013828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客户服务电话：010-59013895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网址：http://www.wanjiawealth.com/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(203) 新浪仓石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注册地址：北京市海淀区东北旺西路中关村软件园二期（西扩）N-1、N-2地块新浪总部科研楼5层518室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办公地址：北京市海淀区西北旺东路10号院东区3号楼为明大厦C座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法定代表人：赵芯蕊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联系人：赵芯蕊</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联系电话：010-62625768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客户服务电话：010-62675369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传真：010-62676582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网址：www.xincai.com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(204) 鑫鼎盛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注册地址：厦门市思明区鹭江道2号厦门第一广场西座1501-1502室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办公地址：厦门市思明区鹭江道2号厦门第一广场西座1501-1502室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 xml:space="preserve">法定代表人：陈洪生 </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联系人：梁云波</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联系电话：0592-3122757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客户服务电话：400-918-0808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网址：www.xds.com.cn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(205) 阳光人寿保险</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注册地址：海南省三亚市迎宾路360-1号三亚阳光金融广场16层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办公地址：北京市朝阳区朝外大街20号联合大厦701A室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法定代表人：李科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联系人：龙尧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联系电话：010-59053779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客户服务电话：95510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传真：010-59053700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网址：http://fund.sinosig.com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(206) 一路财富</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注册地址：北京市西城区阜成门外大街2号1幢A2208室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办公地址：北京市海淀区宝盛南路奥北科技园20号楼国泰大厦9层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法定代表人：吴雪秀</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联系人：刘栋栋</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联系电话：010-88312877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客户服务电话：400-001-1566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传真：010-88312099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网址：www.yilucaifu.com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(207) 宜投基金销售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注册地址：深圳市前海深港合作区前湾一路1号A栋201室（入驻深圳市前海商务秘书有限公司）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办公地址：深圳市福田区嘉里建设广场2座15楼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法定代表人：雷凤潮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联系人：梁菲菲</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联系电话：0755-88603874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客户服务电话：4008-955-811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网址：www.yitfund.com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(208) 宜信普泽</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注册地址：北京市朝阳区建国路88号9号楼15层1809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办公地址：北京市朝阳区建国路88号楼SOHO现代城C座18层1809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法定代表人：戎兵</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联系人：魏晨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联系电话：010-52413385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客户服务电话：400-6099-200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传真：010-85800047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网址：www.yixinfund.com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(209) 奕丰金融</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注册地址：深圳市前海深港合作区前湾一路1号A栋201室（入驻深圳市前海商务秘书有限公司）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办公地址：深圳市南山区海德三道航天科技广场A座17楼1704室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法定代表人：TEO WEE HOWE</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联系人：叶健</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联系电话：0755-89460507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客户服务电话：400-684-0500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传真：0755-21674453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网址：www.ifastps.com.cn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(210) 盈米基金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注册地址：珠海市横琴新区宝华路6号105室-3491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办公地址：广州市海珠区琶洲大道东路1号保利国际广场南塔1201-1203室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法定代表人：肖雯</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联系人：邱湘湘</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联系电话：020-89629099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客户服务电话：020-89629066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传真：020-89629011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网址：www.yingmi.cn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(211) 云湾基金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注册地址：中国（上海）自由贸易试验区新金桥路27号、明月路1257号1幢1层103-1、103-2办公区</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办公地址：上海市浦东新区新金桥路27号1号楼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法定代表人：冯轶明</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联系人：范泽杰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联系电话：021-20530186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客户服务电话：400-820-1515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传真：021-20539999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网址：http://www.zhengtongfunds.com/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(212) 增财基金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注册地址：北京市西城区南礼士路66号建威大厦1208室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办公地址：北京市西城区南礼士路66号建威大厦1208-1209室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法定代表人：罗细安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联系人：闫丽敏</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联系电话：010-67000988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客户服务电话：400-001-8811</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传真：010-67000988-6000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网址：www.zcvc.com.cn</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(213) 展恒基金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注册地址：北京市顺义区后沙峪镇安富街6号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办公地址：北京市朝阳区安苑路15-1号邮电新闻大厦6层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法定代表人：闫振杰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联系人：李晓芳</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联系电话：010-59601366-7167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客户服务电话：400-818-8000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传真：0351-4110714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网址：www.myfund.com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(214) 中国国际期货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注册地址：北京市朝阳区建国门外光华路14号1幢6层609号、610号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办公地址：北京市朝阳区建国门外光华路14号1幢1层、2层、9层、11层、12层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法定代表人：王兵</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联系人：霍丽文</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联系电话：010-65807827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客户服务电话：95162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传真：010-59539806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网址：http://www.cifco.net/</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(215) 中期时代基金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注册地址：北京市朝阳区建国门外光华路14号1幢11层1103号</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办公地址：北京市朝阳区建国门外光华路14号1幢4层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法定代表人：田宏莉</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联系人：尹庆</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联系电话：010-65807865</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客户服务电话：95162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传真：010-65807864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网址：www.jrtoo.com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(216) 中信建投期货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注册地址：重庆市渝中区中山三路107号上站大楼平街11-B，名义层11-A，8-B4，9-B、C</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办公地址：重庆市渝中区中山三路107号皇冠大厦11楼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法定代表人：王广学</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联系人：刘芸</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联系电话：023-86769637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客户服务电话：400-8877-780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传真：023-86769629</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网址：www.cfc108.com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(217) 中信期货</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注册地址：广东省深圳市福田区中心三路8号卓越时代广场（二期）北座13层1301-1305室、14层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办公地址：深圳市福田区中心三路8号卓越时代广场（二期）北座13层1301-1305室、14层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法定代表人：张皓</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联系人：刘宏莹</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联系电话：010-6083 3754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客户服务电话：400-990-8826</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传真：021-60819988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网址：www.citicsf.com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(218) 中正达广</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注册地址：上海市徐汇区龙腾大道2815号302室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办公地址：上海市徐汇区龙腾大道2815号302室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法定代表人：黄欣</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联系人：戴珉微</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联系电话：021-33768132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客户服务电话：400-6767-523</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传真：021-33768132-802</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网址：www.zhongzhengfund.com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(219) 中证金牛</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注册地址：北京市丰台区东管头1号2号楼2-45室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办公地址：北京市西城区宣武门外大街甲1号环球财讯中心A座5层</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法定代表人：钱昊旻</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联系人：沈晨</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联系电话：010-59336544</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客户服务电话：4008-909-998</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网址：www.jnlc.com</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(220) 众禄基金</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注册地址：深圳市罗湖区笋岗街道笋西社区梨园路8号HALO广场一期四层12-13室</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办公地址：深圳市罗湖区梨园路HALO广场4楼</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法定代表人：薛峰</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联系人：龚江江</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联系电话：0755-33227950</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客户服务电话：4006-788-887</w:t>
      </w:r>
    </w:p>
    <w:p w:rsidR="00024AB3" w:rsidRPr="00960F82" w:rsidRDefault="00024AB3" w:rsidP="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传真：0755-33227951</w:t>
      </w:r>
    </w:p>
    <w:p w:rsidR="00083CDE" w:rsidRPr="00960F82" w:rsidRDefault="00024AB3">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网址：www.zlfund.cn    www.jjmmw.com</w:t>
      </w:r>
    </w:p>
    <w:p w:rsidR="005156D4" w:rsidRPr="00960F82" w:rsidRDefault="001D2E2F" w:rsidP="00084917">
      <w:pPr>
        <w:pStyle w:val="23"/>
        <w:snapToGrid w:val="0"/>
        <w:spacing w:before="312" w:after="312" w:line="360" w:lineRule="auto"/>
        <w:ind w:firstLineChars="0" w:firstLine="0"/>
        <w:rPr>
          <w:rFonts w:asciiTheme="minorEastAsia" w:eastAsiaTheme="minorEastAsia" w:hAnsiTheme="minorEastAsia"/>
          <w:szCs w:val="21"/>
        </w:rPr>
      </w:pPr>
      <w:bookmarkStart w:id="22" w:name="_Toc30161769"/>
      <w:r w:rsidRPr="00960F82">
        <w:rPr>
          <w:rFonts w:asciiTheme="minorEastAsia" w:eastAsiaTheme="minorEastAsia" w:hAnsiTheme="minorEastAsia" w:hint="eastAsia"/>
          <w:szCs w:val="21"/>
        </w:rPr>
        <w:t>（二）注册登记机构</w:t>
      </w:r>
      <w:bookmarkEnd w:id="21"/>
      <w:bookmarkEnd w:id="22"/>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易方达基金管理有限公司</w:t>
      </w:r>
    </w:p>
    <w:p w:rsidR="00CC7A27" w:rsidRPr="00960F82" w:rsidRDefault="00CC7A27"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注册地址：</w:t>
      </w:r>
      <w:r w:rsidR="00934B5C" w:rsidRPr="00960F82">
        <w:rPr>
          <w:rFonts w:asciiTheme="minorEastAsia" w:eastAsiaTheme="minorEastAsia" w:hAnsiTheme="minorEastAsia" w:hint="eastAsia"/>
          <w:szCs w:val="21"/>
        </w:rPr>
        <w:t>广东省珠海市横琴新区宝华路6号105室-42891（集中办公区）</w:t>
      </w:r>
    </w:p>
    <w:p w:rsidR="001D2E2F" w:rsidRPr="00960F82" w:rsidRDefault="00CC7A27"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办公地址：广州市天河区珠江新城珠江东路30号广州银行大厦40-43楼</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法定代表人：</w:t>
      </w:r>
      <w:r w:rsidR="00D84BB7" w:rsidRPr="00960F82">
        <w:rPr>
          <w:rFonts w:asciiTheme="minorEastAsia" w:eastAsiaTheme="minorEastAsia" w:hAnsiTheme="minorEastAsia" w:hint="eastAsia"/>
          <w:szCs w:val="21"/>
        </w:rPr>
        <w:t>刘晓艳</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电话：4008818088</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传真：</w:t>
      </w:r>
      <w:r w:rsidRPr="00960F82">
        <w:rPr>
          <w:rFonts w:asciiTheme="minorEastAsia" w:eastAsiaTheme="minorEastAsia" w:hAnsiTheme="minorEastAsia"/>
          <w:szCs w:val="21"/>
        </w:rPr>
        <w:t>020</w:t>
      </w:r>
      <w:r w:rsidRPr="00960F82">
        <w:rPr>
          <w:rFonts w:asciiTheme="minorEastAsia" w:eastAsiaTheme="minorEastAsia" w:hAnsiTheme="minorEastAsia" w:hint="eastAsia"/>
          <w:szCs w:val="21"/>
        </w:rPr>
        <w:t>-38799249</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联系人：余贤高</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szCs w:val="21"/>
        </w:rPr>
      </w:pPr>
      <w:bookmarkStart w:id="23" w:name="_Toc38432430"/>
      <w:bookmarkStart w:id="24" w:name="_Toc30161770"/>
      <w:r w:rsidRPr="00960F82">
        <w:rPr>
          <w:rFonts w:asciiTheme="minorEastAsia" w:eastAsiaTheme="minorEastAsia" w:hAnsiTheme="minorEastAsia" w:hint="eastAsia"/>
          <w:szCs w:val="21"/>
        </w:rPr>
        <w:t>（三）律师事务所和经办律师</w:t>
      </w:r>
      <w:bookmarkEnd w:id="23"/>
      <w:bookmarkEnd w:id="24"/>
    </w:p>
    <w:p w:rsidR="001D2E2F" w:rsidRPr="00960F82" w:rsidRDefault="001D2E2F"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律师事务所：北京市德恒律师事务所</w:t>
      </w:r>
    </w:p>
    <w:p w:rsidR="001D2E2F" w:rsidRPr="00960F82" w:rsidRDefault="001D2E2F"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地址：北京市西城区金融大街19号富凯大厦B座12层</w:t>
      </w:r>
    </w:p>
    <w:p w:rsidR="001D2E2F" w:rsidRPr="00960F82" w:rsidRDefault="001D2E2F"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负责人：王丽</w:t>
      </w:r>
    </w:p>
    <w:p w:rsidR="0077607C" w:rsidRPr="00960F82" w:rsidRDefault="0077607C"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电话：010-52682888</w:t>
      </w:r>
    </w:p>
    <w:p w:rsidR="001D2E2F" w:rsidRPr="00960F82" w:rsidRDefault="00526218"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传真：</w:t>
      </w:r>
      <w:r w:rsidR="0077607C" w:rsidRPr="00960F82">
        <w:rPr>
          <w:rFonts w:asciiTheme="minorEastAsia" w:eastAsiaTheme="minorEastAsia" w:hAnsiTheme="minorEastAsia" w:hint="eastAsia"/>
        </w:rPr>
        <w:t>0</w:t>
      </w:r>
      <w:r w:rsidRPr="00960F82">
        <w:rPr>
          <w:rFonts w:asciiTheme="minorEastAsia" w:eastAsiaTheme="minorEastAsia" w:hAnsiTheme="minorEastAsia" w:hint="eastAsia"/>
        </w:rPr>
        <w:t>10-52682999</w:t>
      </w:r>
    </w:p>
    <w:p w:rsidR="001D2E2F" w:rsidRPr="00960F82" w:rsidRDefault="001D2E2F"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经办律师：陈静茹、高国富</w:t>
      </w:r>
    </w:p>
    <w:p w:rsidR="001D2E2F" w:rsidRPr="00960F82" w:rsidRDefault="001D2E2F" w:rsidP="00084917">
      <w:pPr>
        <w:adjustRightInd w:val="0"/>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联系人：</w:t>
      </w:r>
      <w:r w:rsidR="00790C79" w:rsidRPr="00960F82">
        <w:rPr>
          <w:rFonts w:asciiTheme="minorEastAsia" w:eastAsiaTheme="minorEastAsia" w:hAnsiTheme="minorEastAsia" w:hint="eastAsia"/>
        </w:rPr>
        <w:t>王丽</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szCs w:val="21"/>
        </w:rPr>
      </w:pPr>
      <w:bookmarkStart w:id="25" w:name="_Toc38432431"/>
      <w:bookmarkStart w:id="26" w:name="_Toc30161771"/>
      <w:r w:rsidRPr="00960F82">
        <w:rPr>
          <w:rFonts w:asciiTheme="minorEastAsia" w:eastAsiaTheme="minorEastAsia" w:hAnsiTheme="minorEastAsia" w:hint="eastAsia"/>
          <w:szCs w:val="21"/>
        </w:rPr>
        <w:t>（四）会计师事务所和经办注册会计师</w:t>
      </w:r>
      <w:bookmarkEnd w:id="25"/>
      <w:bookmarkEnd w:id="26"/>
    </w:p>
    <w:p w:rsidR="00C2052A" w:rsidRPr="00960F82" w:rsidRDefault="00C2052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会计师事务所：普华永道中天会计师事务所（特殊普通合伙）</w:t>
      </w:r>
    </w:p>
    <w:p w:rsidR="00C2052A" w:rsidRPr="00960F82" w:rsidRDefault="00C2052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住所：</w:t>
      </w:r>
      <w:r w:rsidR="008C66FA" w:rsidRPr="00960F82">
        <w:rPr>
          <w:rFonts w:asciiTheme="minorEastAsia" w:eastAsiaTheme="minorEastAsia" w:hAnsiTheme="minorEastAsia" w:hint="eastAsia"/>
          <w:szCs w:val="21"/>
        </w:rPr>
        <w:t>上海市湖滨路202号普华永道中心11楼</w:t>
      </w:r>
    </w:p>
    <w:p w:rsidR="00C2052A" w:rsidRPr="00960F82" w:rsidRDefault="00C2052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办公地址：上海市湖滨路202号普华永道中心11楼</w:t>
      </w:r>
    </w:p>
    <w:p w:rsidR="00C2052A" w:rsidRPr="00960F82" w:rsidRDefault="00C2052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首席合伙人：李丹</w:t>
      </w:r>
    </w:p>
    <w:p w:rsidR="00C2052A" w:rsidRPr="00960F82" w:rsidRDefault="00C2052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电话：（021）23238888</w:t>
      </w:r>
    </w:p>
    <w:p w:rsidR="00C2052A" w:rsidRPr="00960F82" w:rsidRDefault="00C2052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传真：（021）23238800</w:t>
      </w:r>
    </w:p>
    <w:p w:rsidR="0064101A" w:rsidRPr="00960F82" w:rsidRDefault="0064101A" w:rsidP="0064101A">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经办注册会计师：</w:t>
      </w:r>
      <w:r w:rsidR="00456E67" w:rsidRPr="00960F82">
        <w:rPr>
          <w:rFonts w:asciiTheme="minorEastAsia" w:eastAsiaTheme="minorEastAsia" w:hAnsiTheme="minorEastAsia" w:hint="eastAsia"/>
          <w:szCs w:val="21"/>
        </w:rPr>
        <w:t>陈熹</w:t>
      </w:r>
      <w:r w:rsidRPr="00960F82">
        <w:rPr>
          <w:rFonts w:asciiTheme="minorEastAsia" w:eastAsiaTheme="minorEastAsia" w:hAnsiTheme="minorEastAsia" w:hint="eastAsia"/>
          <w:szCs w:val="21"/>
        </w:rPr>
        <w:t>、周祎</w:t>
      </w:r>
    </w:p>
    <w:p w:rsidR="001D2E2F" w:rsidRPr="00960F82" w:rsidRDefault="0064101A"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联系人：周祎</w:t>
      </w:r>
    </w:p>
    <w:p w:rsidR="00C64778" w:rsidRPr="00960F82" w:rsidRDefault="00C64778" w:rsidP="00084917">
      <w:pPr>
        <w:snapToGrid w:val="0"/>
        <w:spacing w:line="360" w:lineRule="auto"/>
        <w:ind w:firstLineChars="200" w:firstLine="420"/>
        <w:rPr>
          <w:rFonts w:asciiTheme="minorEastAsia" w:eastAsiaTheme="minorEastAsia" w:hAnsiTheme="minorEastAsia"/>
          <w:szCs w:val="21"/>
        </w:rPr>
      </w:pPr>
    </w:p>
    <w:p w:rsidR="00CC7C7D" w:rsidRPr="00960F82" w:rsidRDefault="00CC7C7D" w:rsidP="00084917">
      <w:pPr>
        <w:snapToGrid w:val="0"/>
        <w:spacing w:line="360" w:lineRule="auto"/>
        <w:ind w:firstLineChars="200" w:firstLine="420"/>
        <w:rPr>
          <w:rFonts w:asciiTheme="minorEastAsia" w:eastAsiaTheme="minorEastAsia" w:hAnsiTheme="minorEastAsia"/>
          <w:szCs w:val="21"/>
        </w:rPr>
        <w:sectPr w:rsidR="00CC7C7D" w:rsidRPr="00960F82" w:rsidSect="0037562B">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27" w:name="_Toc81902758"/>
      <w:bookmarkStart w:id="28" w:name="_Toc30161772"/>
      <w:r w:rsidRPr="00960F82">
        <w:rPr>
          <w:rFonts w:asciiTheme="minorEastAsia" w:eastAsiaTheme="minorEastAsia" w:hAnsiTheme="minorEastAsia" w:hint="eastAsia"/>
          <w:b/>
        </w:rPr>
        <w:lastRenderedPageBreak/>
        <w:t>六、基金份额的申购、赎回和转换</w:t>
      </w:r>
      <w:bookmarkEnd w:id="27"/>
      <w:bookmarkEnd w:id="28"/>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29" w:name="_Toc30161773"/>
      <w:r w:rsidRPr="00960F82">
        <w:rPr>
          <w:rFonts w:asciiTheme="minorEastAsia" w:eastAsiaTheme="minorEastAsia" w:hAnsiTheme="minorEastAsia" w:hint="eastAsia"/>
          <w:bCs/>
        </w:rPr>
        <w:t>（一）投资者范围</w:t>
      </w:r>
      <w:bookmarkEnd w:id="29"/>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依据中华人民共和国有关法律法规及其他有关规定可以投资于证券投资基金的个人投资者和机构投资者。</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0" w:name="_Toc30161774"/>
      <w:r w:rsidRPr="00960F82">
        <w:rPr>
          <w:rFonts w:asciiTheme="minorEastAsia" w:eastAsiaTheme="minorEastAsia" w:hAnsiTheme="minorEastAsia" w:hint="eastAsia"/>
          <w:bCs/>
        </w:rPr>
        <w:t>（</w:t>
      </w:r>
      <w:r w:rsidRPr="00960F82">
        <w:rPr>
          <w:rFonts w:asciiTheme="minorEastAsia" w:eastAsiaTheme="minorEastAsia" w:hAnsiTheme="minorEastAsia" w:hint="eastAsia"/>
          <w:b w:val="0"/>
        </w:rPr>
        <w:t>二</w:t>
      </w:r>
      <w:r w:rsidRPr="00960F82">
        <w:rPr>
          <w:rFonts w:asciiTheme="minorEastAsia" w:eastAsiaTheme="minorEastAsia" w:hAnsiTheme="minorEastAsia" w:hint="eastAsia"/>
          <w:bCs/>
        </w:rPr>
        <w:t>）申购、赎回和转换场所</w:t>
      </w:r>
      <w:bookmarkEnd w:id="30"/>
    </w:p>
    <w:p w:rsidR="001D2E2F" w:rsidRPr="00960F82" w:rsidRDefault="00C64778" w:rsidP="00C64778">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基金管理人直销</w:t>
      </w:r>
      <w:r w:rsidR="006B6B03" w:rsidRPr="00960F82">
        <w:rPr>
          <w:rFonts w:asciiTheme="minorEastAsia" w:eastAsiaTheme="minorEastAsia" w:hAnsiTheme="minorEastAsia" w:hint="eastAsia"/>
        </w:rPr>
        <w:t>中心</w:t>
      </w:r>
      <w:r w:rsidR="001D2E2F" w:rsidRPr="00960F82">
        <w:rPr>
          <w:rFonts w:asciiTheme="minorEastAsia" w:eastAsiaTheme="minorEastAsia" w:hAnsiTheme="minorEastAsia" w:hint="eastAsia"/>
        </w:rPr>
        <w:t>、网上交易系统(www.efunds.com.cn)；</w:t>
      </w:r>
    </w:p>
    <w:p w:rsidR="001D2E2F" w:rsidRPr="00960F82" w:rsidRDefault="00C64778" w:rsidP="00C64778">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受本公司委托、具有销售本基金资格的</w:t>
      </w:r>
      <w:r w:rsidR="001D2E2F" w:rsidRPr="00960F82">
        <w:rPr>
          <w:rFonts w:asciiTheme="minorEastAsia" w:eastAsiaTheme="minorEastAsia" w:hAnsiTheme="minorEastAsia"/>
        </w:rPr>
        <w:t>销售</w:t>
      </w:r>
      <w:r w:rsidR="001D2E2F" w:rsidRPr="00960F82">
        <w:rPr>
          <w:rFonts w:asciiTheme="minorEastAsia" w:eastAsiaTheme="minorEastAsia" w:hAnsiTheme="minorEastAsia" w:hint="eastAsia"/>
        </w:rPr>
        <w:t>机构</w:t>
      </w:r>
      <w:r w:rsidR="001D2E2F" w:rsidRPr="00960F82">
        <w:rPr>
          <w:rFonts w:asciiTheme="minorEastAsia" w:eastAsiaTheme="minorEastAsia" w:hAnsiTheme="minorEastAsia"/>
        </w:rPr>
        <w:t>的</w:t>
      </w:r>
      <w:r w:rsidR="006A5737" w:rsidRPr="00960F82">
        <w:rPr>
          <w:rFonts w:asciiTheme="minorEastAsia" w:eastAsiaTheme="minorEastAsia" w:hAnsiTheme="minorEastAsia" w:hint="eastAsia"/>
        </w:rPr>
        <w:t>非直销销售机构</w:t>
      </w:r>
      <w:r w:rsidR="001D2E2F" w:rsidRPr="00960F82">
        <w:rPr>
          <w:rFonts w:asciiTheme="minorEastAsia" w:eastAsiaTheme="minorEastAsia" w:hAnsiTheme="minorEastAsia"/>
        </w:rPr>
        <w:t>网点</w:t>
      </w:r>
      <w:r w:rsidR="001D2E2F" w:rsidRPr="00960F82">
        <w:rPr>
          <w:rFonts w:asciiTheme="minorEastAsia" w:eastAsiaTheme="minorEastAsia" w:hAnsiTheme="minorEastAsia" w:hint="eastAsia"/>
        </w:rPr>
        <w:t>；</w:t>
      </w:r>
    </w:p>
    <w:p w:rsidR="001D2E2F" w:rsidRPr="00960F82" w:rsidRDefault="001D2E2F" w:rsidP="00084917">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基金管理人可根据情况变更基金</w:t>
      </w:r>
      <w:r w:rsidR="006A5737" w:rsidRPr="00960F82">
        <w:rPr>
          <w:rFonts w:asciiTheme="minorEastAsia" w:eastAsiaTheme="minorEastAsia" w:hAnsiTheme="minorEastAsia" w:hint="eastAsia"/>
        </w:rPr>
        <w:t>销售</w:t>
      </w:r>
      <w:r w:rsidRPr="00960F82">
        <w:rPr>
          <w:rFonts w:asciiTheme="minorEastAsia" w:eastAsiaTheme="minorEastAsia" w:hAnsiTheme="minorEastAsia" w:hint="eastAsia"/>
        </w:rPr>
        <w:t>机构，</w:t>
      </w:r>
      <w:r w:rsidR="00991E9A" w:rsidRPr="00960F82">
        <w:rPr>
          <w:rFonts w:asciiTheme="minorEastAsia" w:eastAsiaTheme="minorEastAsia" w:hAnsiTheme="minorEastAsia" w:hint="eastAsia"/>
          <w:szCs w:val="21"/>
        </w:rPr>
        <w:t>并在基金管理人网站公示</w:t>
      </w:r>
      <w:r w:rsidRPr="00960F82">
        <w:rPr>
          <w:rFonts w:asciiTheme="minorEastAsia" w:eastAsiaTheme="minorEastAsia" w:hAnsiTheme="minorEastAsia" w:hint="eastAsia"/>
        </w:rPr>
        <w:t>。</w:t>
      </w:r>
    </w:p>
    <w:p w:rsidR="001D2E2F" w:rsidRPr="00960F82" w:rsidRDefault="001D2E2F" w:rsidP="00084917">
      <w:pPr>
        <w:pStyle w:val="32"/>
        <w:autoSpaceDE w:val="0"/>
        <w:autoSpaceDN w:val="0"/>
        <w:snapToGrid w:val="0"/>
        <w:spacing w:line="360" w:lineRule="auto"/>
        <w:ind w:firstLine="420"/>
        <w:textAlignment w:val="bottom"/>
        <w:rPr>
          <w:rFonts w:asciiTheme="minorEastAsia" w:eastAsiaTheme="minorEastAsia" w:hAnsiTheme="minorEastAsia"/>
          <w:color w:val="auto"/>
          <w:sz w:val="21"/>
          <w:szCs w:val="24"/>
        </w:rPr>
      </w:pPr>
      <w:r w:rsidRPr="00960F82">
        <w:rPr>
          <w:rFonts w:asciiTheme="minorEastAsia" w:eastAsiaTheme="minorEastAsia" w:hAnsiTheme="minorEastAsia" w:hint="eastAsia"/>
          <w:color w:val="auto"/>
          <w:sz w:val="21"/>
          <w:szCs w:val="24"/>
        </w:rPr>
        <w:t>投资者还可通过基金管理人或者指定的基金</w:t>
      </w:r>
      <w:r w:rsidR="006A5737" w:rsidRPr="00960F82">
        <w:rPr>
          <w:rFonts w:asciiTheme="minorEastAsia" w:eastAsiaTheme="minorEastAsia" w:hAnsiTheme="minorEastAsia" w:hint="eastAsia"/>
          <w:color w:val="auto"/>
          <w:sz w:val="21"/>
          <w:szCs w:val="24"/>
        </w:rPr>
        <w:t>销售</w:t>
      </w:r>
      <w:r w:rsidRPr="00960F82">
        <w:rPr>
          <w:rFonts w:asciiTheme="minorEastAsia" w:eastAsiaTheme="minorEastAsia" w:hAnsiTheme="minorEastAsia" w:hint="eastAsia"/>
          <w:color w:val="auto"/>
          <w:sz w:val="21"/>
          <w:szCs w:val="24"/>
        </w:rPr>
        <w:t>机构以电话或互联网等形式进行申购、赎回，具体以各销售机构的规定为准。</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1" w:name="_Toc30161775"/>
      <w:r w:rsidRPr="00960F82">
        <w:rPr>
          <w:rFonts w:asciiTheme="minorEastAsia" w:eastAsiaTheme="minorEastAsia" w:hAnsiTheme="minorEastAsia" w:hint="eastAsia"/>
          <w:bCs/>
        </w:rPr>
        <w:t>（三）</w:t>
      </w:r>
      <w:r w:rsidRPr="00960F82">
        <w:rPr>
          <w:rFonts w:asciiTheme="minorEastAsia" w:eastAsiaTheme="minorEastAsia" w:hAnsiTheme="minorEastAsia" w:hint="eastAsia"/>
          <w:bCs/>
          <w:szCs w:val="20"/>
        </w:rPr>
        <w:t>申购、赎回和转换的开放日期及办理时间</w:t>
      </w:r>
      <w:bookmarkEnd w:id="31"/>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本基金已于2004年9月24日开始办理日常申购业务；2004年11月10日开始办理日常赎回业务；</w:t>
      </w:r>
      <w:r w:rsidR="00130364" w:rsidRPr="00960F82">
        <w:rPr>
          <w:rFonts w:asciiTheme="minorEastAsia" w:eastAsiaTheme="minorEastAsia" w:hAnsiTheme="minorEastAsia" w:hint="eastAsia"/>
        </w:rPr>
        <w:t>2004年10月27日开始办理转换业务</w:t>
      </w:r>
      <w:r w:rsidR="002E22A6" w:rsidRPr="00960F82">
        <w:rPr>
          <w:rFonts w:asciiTheme="minorEastAsia" w:eastAsiaTheme="minorEastAsia" w:hAnsiTheme="minorEastAsia" w:hint="eastAsia"/>
        </w:rPr>
        <w:t>；</w:t>
      </w:r>
      <w:r w:rsidR="00945E25" w:rsidRPr="00960F82">
        <w:rPr>
          <w:rFonts w:asciiTheme="minorEastAsia" w:eastAsiaTheme="minorEastAsia" w:hAnsiTheme="minorEastAsia" w:hint="eastAsia"/>
        </w:rPr>
        <w:t>上述业务的</w:t>
      </w:r>
      <w:r w:rsidRPr="00960F82">
        <w:rPr>
          <w:rFonts w:asciiTheme="minorEastAsia" w:eastAsiaTheme="minorEastAsia" w:hAnsiTheme="minorEastAsia" w:hint="eastAsia"/>
        </w:rPr>
        <w:t>具体实施办法参见相关公告。</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申购、赎回和转换的开放日为上海证券交易所、深圳证券交易所的交易日。具体业务办理时间为上海证券交易所、深圳证券交易所的交易时间。若出现新的证券交易市场或交易所交易时间更改或其它原因，基金管理人将视情况进行相应的调整并公告。</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rPr>
        <w:t>投资人在基金合同约定之外的日期和时间提出申购、赎回或者转换申请的，其基金份额申购、赎回价格为下次办理基金份额申购、赎回时间所在开放日的价格</w:t>
      </w:r>
      <w:r w:rsidRPr="00960F82">
        <w:rPr>
          <w:rFonts w:asciiTheme="minorEastAsia" w:eastAsiaTheme="minorEastAsia" w:hAnsiTheme="minorEastAsia" w:hint="eastAsia"/>
        </w:rPr>
        <w:t>。</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2" w:name="_Toc30161776"/>
      <w:r w:rsidRPr="00960F82">
        <w:rPr>
          <w:rFonts w:asciiTheme="minorEastAsia" w:eastAsiaTheme="minorEastAsia" w:hAnsiTheme="minorEastAsia" w:hint="eastAsia"/>
          <w:bCs/>
        </w:rPr>
        <w:t>（四）</w:t>
      </w:r>
      <w:r w:rsidRPr="00960F82">
        <w:rPr>
          <w:rFonts w:asciiTheme="minorEastAsia" w:eastAsiaTheme="minorEastAsia" w:hAnsiTheme="minorEastAsia" w:hint="eastAsia"/>
          <w:bCs/>
          <w:szCs w:val="20"/>
        </w:rPr>
        <w:t>申购、赎回和转换的原则</w:t>
      </w:r>
      <w:bookmarkEnd w:id="32"/>
    </w:p>
    <w:p w:rsidR="001D2E2F" w:rsidRPr="00960F82" w:rsidRDefault="001D2E2F"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未知价原则，即本基金的申购与赎回价格以受理申请当日收市后计算的基金份额净值为基准进行计算；</w:t>
      </w:r>
      <w:r w:rsidRPr="00960F82">
        <w:rPr>
          <w:rFonts w:asciiTheme="minorEastAsia" w:eastAsiaTheme="minorEastAsia" w:hAnsiTheme="minorEastAsia"/>
        </w:rPr>
        <w:t>转换价格以转换申请提出当日有关转出、转入基金的</w:t>
      </w:r>
      <w:r w:rsidRPr="00960F82">
        <w:rPr>
          <w:rFonts w:asciiTheme="minorEastAsia" w:eastAsiaTheme="minorEastAsia" w:hAnsiTheme="minorEastAsia" w:hint="eastAsia"/>
        </w:rPr>
        <w:t>基金份额净值</w:t>
      </w:r>
      <w:r w:rsidRPr="00960F82">
        <w:rPr>
          <w:rFonts w:asciiTheme="minorEastAsia" w:eastAsiaTheme="minorEastAsia" w:hAnsiTheme="minorEastAsia"/>
        </w:rPr>
        <w:t>为基准进行计算；</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本基金采用</w:t>
      </w:r>
      <w:r w:rsidR="001D2E2F" w:rsidRPr="00960F82">
        <w:rPr>
          <w:rFonts w:asciiTheme="minorEastAsia" w:eastAsiaTheme="minorEastAsia" w:hAnsiTheme="minorEastAsia"/>
        </w:rPr>
        <w:t>金额申购、份额赎回、份额转换原则</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即申购以金额申请</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赎回和转换以份额申请；</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lastRenderedPageBreak/>
        <w:t>2、</w:t>
      </w:r>
      <w:r w:rsidR="001D2E2F" w:rsidRPr="00960F82">
        <w:rPr>
          <w:rFonts w:asciiTheme="minorEastAsia" w:eastAsiaTheme="minorEastAsia" w:hAnsiTheme="minorEastAsia" w:hint="eastAsia"/>
        </w:rPr>
        <w:t>基金份额持有人赎回或转换时，除指定赎回外，基金管理人按先进先出的原则，对该持有人账户在该销售机构托管的基金份额进行处理，即注册日期在先的基金份额先赎回或转出，注册日期在后的基金份额后赎回或转出；</w:t>
      </w:r>
      <w:r w:rsidR="001D2E2F" w:rsidRPr="00960F82">
        <w:rPr>
          <w:rFonts w:asciiTheme="minorEastAsia" w:eastAsiaTheme="minorEastAsia" w:hAnsiTheme="minorEastAsia"/>
        </w:rPr>
        <w:t>如果转换申请当日，同时有赎回</w:t>
      </w:r>
      <w:r w:rsidR="001D2E2F" w:rsidRPr="00960F82">
        <w:rPr>
          <w:rFonts w:asciiTheme="minorEastAsia" w:eastAsiaTheme="minorEastAsia" w:hAnsiTheme="minorEastAsia" w:hint="eastAsia"/>
        </w:rPr>
        <w:t>和转换</w:t>
      </w:r>
      <w:r w:rsidR="001D2E2F" w:rsidRPr="00960F82">
        <w:rPr>
          <w:rFonts w:asciiTheme="minorEastAsia" w:eastAsiaTheme="minorEastAsia" w:hAnsiTheme="minorEastAsia"/>
        </w:rPr>
        <w:t>申请的情况下，则遵循先赎回后转换的处理原则；</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hint="eastAsia"/>
        </w:rPr>
        <w:t>投资者办理基金转换业务时，转出方的基金必须处于可赎回状态，转入方的基金必须处于可申购状态；</w:t>
      </w:r>
      <w:r w:rsidR="001D2E2F" w:rsidRPr="00960F82">
        <w:rPr>
          <w:rFonts w:asciiTheme="minorEastAsia" w:eastAsiaTheme="minorEastAsia" w:hAnsiTheme="minorEastAsia"/>
        </w:rPr>
        <w:t>基金转换后，转入的基金份额的持有期将自转入的基金份额被确认之日起重新开始计算</w:t>
      </w:r>
      <w:r w:rsidR="001D2E2F" w:rsidRPr="00960F82">
        <w:rPr>
          <w:rFonts w:asciiTheme="minorEastAsia" w:eastAsiaTheme="minorEastAsia" w:hAnsiTheme="minorEastAsia" w:hint="eastAsia"/>
        </w:rPr>
        <w:t>；</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当日的申购、赎回和转换申请可以在当日交易结束时间前撤销，在当日的交易时间结束后不得撤销；</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5、</w:t>
      </w:r>
      <w:r w:rsidR="001D2E2F" w:rsidRPr="00960F82">
        <w:rPr>
          <w:rFonts w:asciiTheme="minorEastAsia" w:eastAsiaTheme="minorEastAsia" w:hAnsiTheme="minorEastAsia" w:hint="eastAsia"/>
        </w:rPr>
        <w:t>基金管理人在不损害基金份额持有人权益的情况下可更改上述原则，但应最迟在新的原则实施前三个工作日予以公告。</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3" w:name="_Toc30161777"/>
      <w:r w:rsidRPr="00960F82">
        <w:rPr>
          <w:rFonts w:asciiTheme="minorEastAsia" w:eastAsiaTheme="minorEastAsia" w:hAnsiTheme="minorEastAsia" w:hint="eastAsia"/>
          <w:bCs/>
        </w:rPr>
        <w:t>（五）</w:t>
      </w:r>
      <w:r w:rsidRPr="00960F82">
        <w:rPr>
          <w:rFonts w:asciiTheme="minorEastAsia" w:eastAsiaTheme="minorEastAsia" w:hAnsiTheme="minorEastAsia" w:hint="eastAsia"/>
          <w:bCs/>
          <w:szCs w:val="20"/>
        </w:rPr>
        <w:t>申购、赎回和转换的程序</w:t>
      </w:r>
      <w:bookmarkEnd w:id="33"/>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申购、赎回和转换的申请方式</w:t>
      </w:r>
    </w:p>
    <w:p w:rsidR="001D2E2F" w:rsidRPr="00960F82" w:rsidRDefault="001D2E2F"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基金投资者必须根据基金管理人和基金</w:t>
      </w:r>
      <w:r w:rsidR="006A5737" w:rsidRPr="00960F82">
        <w:rPr>
          <w:rFonts w:asciiTheme="minorEastAsia" w:eastAsiaTheme="minorEastAsia" w:hAnsiTheme="minorEastAsia" w:hint="eastAsia"/>
        </w:rPr>
        <w:t>销售</w:t>
      </w:r>
      <w:r w:rsidRPr="00960F82">
        <w:rPr>
          <w:rFonts w:asciiTheme="minorEastAsia" w:eastAsiaTheme="minorEastAsia" w:hAnsiTheme="minorEastAsia" w:hint="eastAsia"/>
        </w:rPr>
        <w:t>机构规定的手续，在开放日的交易时间段内提出申购、赎回和转换的申请。</w:t>
      </w:r>
    </w:p>
    <w:p w:rsidR="001D2E2F" w:rsidRPr="00960F82" w:rsidRDefault="001D2E2F"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rPr>
        <w:t>投资者在提交申购申请时</w:t>
      </w:r>
      <w:r w:rsidRPr="00960F82">
        <w:rPr>
          <w:rFonts w:asciiTheme="minorEastAsia" w:eastAsiaTheme="minorEastAsia" w:hAnsiTheme="minorEastAsia" w:hint="eastAsia"/>
        </w:rPr>
        <w:t>，</w:t>
      </w:r>
      <w:r w:rsidRPr="00960F82">
        <w:rPr>
          <w:rFonts w:asciiTheme="minorEastAsia" w:eastAsiaTheme="minorEastAsia" w:hAnsiTheme="minorEastAsia"/>
        </w:rPr>
        <w:t>须按销售机构规定的方式备足申购资金；提交赎回和转换申请时,账户中必须有足够的基金</w:t>
      </w:r>
      <w:r w:rsidRPr="00960F82">
        <w:rPr>
          <w:rFonts w:asciiTheme="minorEastAsia" w:eastAsiaTheme="minorEastAsia" w:hAnsiTheme="minorEastAsia" w:hint="eastAsia"/>
        </w:rPr>
        <w:t>份额</w:t>
      </w:r>
      <w:r w:rsidRPr="00960F82">
        <w:rPr>
          <w:rFonts w:asciiTheme="minorEastAsia" w:eastAsiaTheme="minorEastAsia" w:hAnsiTheme="minorEastAsia"/>
        </w:rPr>
        <w:t>余额。</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申购、赎回和转换申请的确认与通知</w:t>
      </w:r>
    </w:p>
    <w:p w:rsidR="001D2E2F" w:rsidRPr="00960F82" w:rsidRDefault="00571BA7"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基金管理人应当于受理基金投资人申购、赎回申请之日起三个工作日内，对申请的有效性进行</w:t>
      </w:r>
      <w:r w:rsidR="002922A0" w:rsidRPr="00960F82">
        <w:rPr>
          <w:rFonts w:asciiTheme="minorEastAsia" w:eastAsiaTheme="minorEastAsia" w:hAnsiTheme="minorEastAsia" w:hint="eastAsia"/>
        </w:rPr>
        <w:t>确认</w:t>
      </w:r>
      <w:r w:rsidRPr="00960F82">
        <w:rPr>
          <w:rFonts w:asciiTheme="minorEastAsia" w:eastAsiaTheme="minorEastAsia" w:hAnsiTheme="minorEastAsia" w:hint="eastAsia"/>
        </w:rPr>
        <w:t>。</w:t>
      </w:r>
      <w:r w:rsidR="001D2E2F" w:rsidRPr="00960F82">
        <w:rPr>
          <w:rFonts w:asciiTheme="minorEastAsia" w:eastAsiaTheme="minorEastAsia" w:hAnsiTheme="minorEastAsia" w:hint="eastAsia"/>
        </w:rPr>
        <w:t>正常情况下，投资者可在T+2工作日及之后到其提出</w:t>
      </w:r>
      <w:r w:rsidR="001D2E2F" w:rsidRPr="00960F82">
        <w:rPr>
          <w:rFonts w:asciiTheme="minorEastAsia" w:eastAsiaTheme="minorEastAsia" w:hAnsiTheme="minorEastAsia"/>
        </w:rPr>
        <w:t>申请的网点或按销售机构规定的其他方式进行成交查询。</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rPr>
        <w:t>申购、赎回款项和转换份额的支付</w:t>
      </w:r>
      <w:r w:rsidR="001D2E2F" w:rsidRPr="00960F82">
        <w:rPr>
          <w:rFonts w:asciiTheme="minorEastAsia" w:eastAsiaTheme="minorEastAsia" w:hAnsiTheme="minorEastAsia" w:hint="eastAsia"/>
        </w:rPr>
        <w:t>方式与时间</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申购采用全额缴款方式</w:t>
      </w:r>
      <w:r w:rsidRPr="00960F82">
        <w:rPr>
          <w:rFonts w:asciiTheme="minorEastAsia" w:eastAsiaTheme="minorEastAsia" w:hAnsiTheme="minorEastAsia" w:hint="eastAsia"/>
          <w:szCs w:val="21"/>
        </w:rPr>
        <w:t>，</w:t>
      </w:r>
      <w:r w:rsidRPr="00960F82">
        <w:rPr>
          <w:rFonts w:asciiTheme="minorEastAsia" w:eastAsiaTheme="minorEastAsia" w:hAnsiTheme="minorEastAsia"/>
        </w:rPr>
        <w:t>若资金在规定时间内未全额到账则申购不成功。</w:t>
      </w:r>
      <w:r w:rsidRPr="00960F82">
        <w:rPr>
          <w:rFonts w:asciiTheme="minorEastAsia" w:eastAsiaTheme="minorEastAsia" w:hAnsiTheme="minorEastAsia"/>
          <w:szCs w:val="21"/>
        </w:rPr>
        <w:t>若申购不成功或无效</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投资者已缴付的申购款项本金将退还给投资者。</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szCs w:val="21"/>
        </w:rPr>
        <w:t>投资者赎回申请成功后</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赎回金额将由基金管理人通常在</w:t>
      </w:r>
      <w:r w:rsidR="00571BA7" w:rsidRPr="00960F82">
        <w:rPr>
          <w:rFonts w:asciiTheme="minorEastAsia" w:eastAsiaTheme="minorEastAsia" w:hAnsiTheme="minorEastAsia" w:hint="eastAsia"/>
          <w:szCs w:val="21"/>
        </w:rPr>
        <w:t>T+3个工作日但</w:t>
      </w:r>
      <w:r w:rsidRPr="00960F82">
        <w:rPr>
          <w:rFonts w:asciiTheme="minorEastAsia" w:eastAsiaTheme="minorEastAsia" w:hAnsiTheme="minorEastAsia"/>
          <w:szCs w:val="21"/>
        </w:rPr>
        <w:t>不超过T＋7个工作日之内从基金托管人划出。</w:t>
      </w:r>
      <w:r w:rsidRPr="00960F82">
        <w:rPr>
          <w:rFonts w:asciiTheme="minorEastAsia" w:eastAsiaTheme="minorEastAsia" w:hAnsiTheme="minorEastAsia" w:hint="eastAsia"/>
        </w:rPr>
        <w:t>正常情况下，</w:t>
      </w:r>
      <w:r w:rsidRPr="00960F82">
        <w:rPr>
          <w:rFonts w:asciiTheme="minorEastAsia" w:eastAsiaTheme="minorEastAsia" w:hAnsiTheme="minorEastAsia"/>
          <w:szCs w:val="21"/>
        </w:rPr>
        <w:t>转换申请注册登记机构于T＋1工作日确认</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转入份额于T＋2工作日可进行赎回。在发生巨额赎回并延期支付时</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款项和份额的支付办法参照有关巨额赎回的条款处理。</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4" w:name="_Toc30161778"/>
      <w:r w:rsidRPr="00960F82">
        <w:rPr>
          <w:rFonts w:asciiTheme="minorEastAsia" w:eastAsiaTheme="minorEastAsia" w:hAnsiTheme="minorEastAsia" w:hint="eastAsia"/>
          <w:bCs/>
        </w:rPr>
        <w:t>（六）</w:t>
      </w:r>
      <w:r w:rsidRPr="00960F82">
        <w:rPr>
          <w:rFonts w:asciiTheme="minorEastAsia" w:eastAsiaTheme="minorEastAsia" w:hAnsiTheme="minorEastAsia"/>
          <w:bCs/>
        </w:rPr>
        <w:t>申购、赎回和转换的数额限制</w:t>
      </w:r>
      <w:bookmarkEnd w:id="34"/>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申请申购基金的金额限制</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szCs w:val="21"/>
        </w:rPr>
      </w:pPr>
      <w:r w:rsidRPr="00960F82">
        <w:rPr>
          <w:rFonts w:asciiTheme="minorEastAsia" w:eastAsiaTheme="minorEastAsia" w:hAnsiTheme="minorEastAsia"/>
          <w:szCs w:val="21"/>
        </w:rPr>
        <w:lastRenderedPageBreak/>
        <w:t>投资者通过直销中心首次申购的单笔最低金额为50000元人民币</w:t>
      </w:r>
      <w:r w:rsidR="008428B0" w:rsidRPr="00960F82">
        <w:rPr>
          <w:rFonts w:asciiTheme="minorEastAsia" w:eastAsiaTheme="minorEastAsia" w:hAnsiTheme="minorEastAsia" w:hint="eastAsia"/>
          <w:szCs w:val="21"/>
        </w:rPr>
        <w:t>，</w:t>
      </w:r>
      <w:r w:rsidR="008428B0" w:rsidRPr="00960F82">
        <w:rPr>
          <w:rFonts w:asciiTheme="minorEastAsia" w:eastAsiaTheme="minorEastAsia" w:hAnsiTheme="minorEastAsia"/>
          <w:szCs w:val="21"/>
        </w:rPr>
        <w:t>追加申购</w:t>
      </w:r>
      <w:r w:rsidR="008428B0" w:rsidRPr="00960F82">
        <w:rPr>
          <w:rFonts w:asciiTheme="minorEastAsia" w:eastAsiaTheme="minorEastAsia" w:hAnsiTheme="minorEastAsia" w:hint="eastAsia"/>
          <w:szCs w:val="21"/>
        </w:rPr>
        <w:t>单笔</w:t>
      </w:r>
      <w:r w:rsidR="008428B0" w:rsidRPr="00960F82">
        <w:rPr>
          <w:rFonts w:asciiTheme="minorEastAsia" w:eastAsiaTheme="minorEastAsia" w:hAnsiTheme="minorEastAsia"/>
          <w:szCs w:val="21"/>
        </w:rPr>
        <w:t>最低金额为100</w:t>
      </w:r>
      <w:r w:rsidR="008428B0" w:rsidRPr="00960F82">
        <w:rPr>
          <w:rFonts w:asciiTheme="minorEastAsia" w:eastAsiaTheme="minorEastAsia" w:hAnsiTheme="minorEastAsia" w:hint="eastAsia"/>
          <w:szCs w:val="21"/>
        </w:rPr>
        <w:t>0</w:t>
      </w:r>
      <w:r w:rsidR="008428B0" w:rsidRPr="00960F82">
        <w:rPr>
          <w:rFonts w:asciiTheme="minorEastAsia" w:eastAsiaTheme="minorEastAsia" w:hAnsiTheme="minorEastAsia"/>
          <w:szCs w:val="21"/>
        </w:rPr>
        <w:t>元人民币</w:t>
      </w:r>
      <w:r w:rsidR="006A5737" w:rsidRPr="00960F82">
        <w:rPr>
          <w:rFonts w:asciiTheme="minorEastAsia" w:eastAsiaTheme="minorEastAsia" w:hAnsiTheme="minorEastAsia" w:hint="eastAsia"/>
          <w:szCs w:val="21"/>
        </w:rPr>
        <w:t>；</w:t>
      </w:r>
      <w:r w:rsidR="008428B0" w:rsidRPr="00960F82">
        <w:rPr>
          <w:rFonts w:asciiTheme="minorEastAsia" w:eastAsiaTheme="minorEastAsia" w:hAnsiTheme="minorEastAsia" w:hint="eastAsia"/>
          <w:szCs w:val="21"/>
        </w:rPr>
        <w:t>投资者</w:t>
      </w:r>
      <w:r w:rsidRPr="00960F82">
        <w:rPr>
          <w:rFonts w:asciiTheme="minorEastAsia" w:eastAsiaTheme="minorEastAsia" w:hAnsiTheme="minorEastAsia"/>
          <w:szCs w:val="21"/>
        </w:rPr>
        <w:t>通过</w:t>
      </w:r>
      <w:r w:rsidR="006A5737" w:rsidRPr="00960F82">
        <w:rPr>
          <w:rFonts w:asciiTheme="minorEastAsia" w:eastAsiaTheme="minorEastAsia" w:hAnsiTheme="minorEastAsia" w:hint="eastAsia"/>
          <w:szCs w:val="21"/>
        </w:rPr>
        <w:t>非直销销售机构</w:t>
      </w:r>
      <w:r w:rsidRPr="00960F82">
        <w:rPr>
          <w:rFonts w:asciiTheme="minorEastAsia" w:eastAsiaTheme="minorEastAsia" w:hAnsiTheme="minorEastAsia" w:hint="eastAsia"/>
          <w:szCs w:val="21"/>
        </w:rPr>
        <w:t>和易方达网上交易系统</w:t>
      </w:r>
      <w:r w:rsidRPr="00960F82">
        <w:rPr>
          <w:rFonts w:asciiTheme="minorEastAsia" w:eastAsiaTheme="minorEastAsia" w:hAnsiTheme="minorEastAsia"/>
          <w:szCs w:val="21"/>
        </w:rPr>
        <w:t>首次申购的单笔最低金额为1元人民币</w:t>
      </w:r>
      <w:r w:rsidR="006A5737"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追加申购</w:t>
      </w:r>
      <w:r w:rsidRPr="00960F82">
        <w:rPr>
          <w:rFonts w:asciiTheme="minorEastAsia" w:eastAsiaTheme="minorEastAsia" w:hAnsiTheme="minorEastAsia" w:hint="eastAsia"/>
          <w:szCs w:val="21"/>
        </w:rPr>
        <w:t>单笔</w:t>
      </w:r>
      <w:r w:rsidRPr="00960F82">
        <w:rPr>
          <w:rFonts w:asciiTheme="minorEastAsia" w:eastAsiaTheme="minorEastAsia" w:hAnsiTheme="minorEastAsia"/>
          <w:szCs w:val="21"/>
        </w:rPr>
        <w:t>最低金额为1元人民币。</w:t>
      </w:r>
      <w:r w:rsidR="00796CD9" w:rsidRPr="00960F82">
        <w:rPr>
          <w:rFonts w:asciiTheme="minorEastAsia" w:eastAsiaTheme="minorEastAsia" w:hAnsiTheme="minorEastAsia" w:hint="eastAsia"/>
          <w:szCs w:val="21"/>
        </w:rPr>
        <w:t>在符合法律法规规定的前提下，</w:t>
      </w:r>
      <w:r w:rsidRPr="00960F82">
        <w:rPr>
          <w:rFonts w:asciiTheme="minorEastAsia" w:eastAsiaTheme="minorEastAsia" w:hAnsiTheme="minorEastAsia" w:hint="eastAsia"/>
          <w:szCs w:val="21"/>
        </w:rPr>
        <w:t>各</w:t>
      </w:r>
      <w:r w:rsidR="006A5737" w:rsidRPr="00960F82">
        <w:rPr>
          <w:rFonts w:asciiTheme="minorEastAsia" w:eastAsiaTheme="minorEastAsia" w:hAnsiTheme="minorEastAsia" w:hint="eastAsia"/>
          <w:szCs w:val="21"/>
        </w:rPr>
        <w:t>销售</w:t>
      </w:r>
      <w:r w:rsidRPr="00960F82">
        <w:rPr>
          <w:rFonts w:asciiTheme="minorEastAsia" w:eastAsiaTheme="minorEastAsia" w:hAnsiTheme="minorEastAsia" w:hint="eastAsia"/>
          <w:szCs w:val="21"/>
        </w:rPr>
        <w:t>机构对最低申购限额及交易级差有其他规定的,</w:t>
      </w:r>
      <w:r w:rsidR="00455544" w:rsidRPr="00960F82">
        <w:rPr>
          <w:rFonts w:asciiTheme="minorEastAsia" w:eastAsiaTheme="minorEastAsia" w:hAnsiTheme="minorEastAsia" w:hint="eastAsia"/>
          <w:szCs w:val="21"/>
        </w:rPr>
        <w:t>需同时遵循该销售机构的相关规定</w:t>
      </w:r>
      <w:r w:rsidRPr="00960F82">
        <w:rPr>
          <w:rFonts w:asciiTheme="minorEastAsia" w:eastAsiaTheme="minorEastAsia" w:hAnsiTheme="minorEastAsia" w:hint="eastAsia"/>
          <w:szCs w:val="21"/>
        </w:rPr>
        <w:t>。</w:t>
      </w:r>
      <w:r w:rsidR="006A5737" w:rsidRPr="00960F82">
        <w:rPr>
          <w:rFonts w:asciiTheme="minorEastAsia" w:eastAsiaTheme="minorEastAsia" w:hAnsiTheme="minorEastAsia" w:hint="eastAsia"/>
        </w:rPr>
        <w:t>（以上金额均含申购费）</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rPr>
        <w:t>已在直销中心</w:t>
      </w:r>
      <w:r w:rsidRPr="00960F82">
        <w:rPr>
          <w:rFonts w:asciiTheme="minorEastAsia" w:eastAsiaTheme="minorEastAsia" w:hAnsiTheme="minorEastAsia"/>
        </w:rPr>
        <w:t>有认购本基金记录的投资者</w:t>
      </w:r>
      <w:r w:rsidRPr="00960F82">
        <w:rPr>
          <w:rFonts w:asciiTheme="minorEastAsia" w:eastAsiaTheme="minorEastAsia" w:hAnsiTheme="minorEastAsia" w:hint="eastAsia"/>
        </w:rPr>
        <w:t>不受首次申购最低金额的限制，但受追加申购单笔最低金额的限制。</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rPr>
        <w:t>投资者将当期分配的基金收益转购基金份额或采用定期定额投资计划时，不受最低申购金额的限制。</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rPr>
        <w:t>投资者可多次申购，对单个投资者累计持有份额不设上限限制。</w:t>
      </w:r>
      <w:r w:rsidR="00117EDD" w:rsidRPr="00960F82">
        <w:rPr>
          <w:rFonts w:asciiTheme="minorEastAsia" w:eastAsiaTheme="minorEastAsia" w:hAnsiTheme="minorEastAsia" w:hint="eastAsia"/>
          <w:szCs w:val="21"/>
        </w:rPr>
        <w:t>但对于可能导致单一投资者持有基金份额的比例达到或者超过50%，或者变相规避50%集中度的情形，基金管理人有权按照相关法律法规采取控制措施。</w:t>
      </w:r>
      <w:r w:rsidRPr="00960F82">
        <w:rPr>
          <w:rFonts w:asciiTheme="minorEastAsia" w:eastAsiaTheme="minorEastAsia" w:hAnsiTheme="minorEastAsia" w:hint="eastAsia"/>
        </w:rPr>
        <w:t>法律法规、中国证监会另有规定的除外。</w:t>
      </w:r>
    </w:p>
    <w:p w:rsidR="001D2E2F" w:rsidRPr="00960F82" w:rsidRDefault="00C64778" w:rsidP="00C64778">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申请赎回、转换基金的份额限制</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rPr>
        <w:t>投资者可将其全部或部分基金</w:t>
      </w:r>
      <w:r w:rsidRPr="00960F82">
        <w:rPr>
          <w:rFonts w:asciiTheme="minorEastAsia" w:eastAsiaTheme="minorEastAsia" w:hAnsiTheme="minorEastAsia" w:hint="eastAsia"/>
        </w:rPr>
        <w:t>份额</w:t>
      </w:r>
      <w:r w:rsidRPr="00960F82">
        <w:rPr>
          <w:rFonts w:asciiTheme="minorEastAsia" w:eastAsiaTheme="minorEastAsia" w:hAnsiTheme="minorEastAsia"/>
        </w:rPr>
        <w:t>赎回或转换。单笔赎回或转换不得少于</w:t>
      </w:r>
      <w:r w:rsidR="005C2F1D" w:rsidRPr="00960F82">
        <w:rPr>
          <w:rFonts w:asciiTheme="minorEastAsia" w:eastAsiaTheme="minorEastAsia" w:hAnsiTheme="minorEastAsia" w:hint="eastAsia"/>
        </w:rPr>
        <w:t>1</w:t>
      </w:r>
      <w:r w:rsidRPr="00960F82">
        <w:rPr>
          <w:rFonts w:asciiTheme="minorEastAsia" w:eastAsiaTheme="minorEastAsia" w:hAnsiTheme="minorEastAsia"/>
        </w:rPr>
        <w:t>份(</w:t>
      </w:r>
      <w:r w:rsidR="00CA1ED1" w:rsidRPr="00960F82">
        <w:rPr>
          <w:rFonts w:asciiTheme="minorEastAsia" w:eastAsiaTheme="minorEastAsia" w:hAnsiTheme="minorEastAsia"/>
        </w:rPr>
        <w:t>如该账户在该销售机构托管的</w:t>
      </w:r>
      <w:r w:rsidR="00CA1ED1" w:rsidRPr="00960F82">
        <w:rPr>
          <w:rFonts w:asciiTheme="minorEastAsia" w:eastAsiaTheme="minorEastAsia" w:hAnsiTheme="minorEastAsia" w:hint="eastAsia"/>
        </w:rPr>
        <w:t>该</w:t>
      </w:r>
      <w:r w:rsidR="00CA1ED1" w:rsidRPr="00960F82">
        <w:rPr>
          <w:rFonts w:asciiTheme="minorEastAsia" w:eastAsiaTheme="minorEastAsia" w:hAnsiTheme="minorEastAsia"/>
        </w:rPr>
        <w:t>基金余额不足</w:t>
      </w:r>
      <w:r w:rsidR="005C2F1D" w:rsidRPr="00960F82">
        <w:rPr>
          <w:rFonts w:asciiTheme="minorEastAsia" w:eastAsiaTheme="minorEastAsia" w:hAnsiTheme="minorEastAsia" w:hint="eastAsia"/>
        </w:rPr>
        <w:t>1</w:t>
      </w:r>
      <w:r w:rsidRPr="00960F82">
        <w:rPr>
          <w:rFonts w:asciiTheme="minorEastAsia" w:eastAsiaTheme="minorEastAsia" w:hAnsiTheme="minorEastAsia"/>
        </w:rPr>
        <w:t>份</w:t>
      </w:r>
      <w:r w:rsidRPr="00960F82">
        <w:rPr>
          <w:rFonts w:asciiTheme="minorEastAsia" w:eastAsiaTheme="minorEastAsia" w:hAnsiTheme="minorEastAsia" w:hint="eastAsia"/>
        </w:rPr>
        <w:t>，</w:t>
      </w:r>
      <w:r w:rsidRPr="00960F82">
        <w:rPr>
          <w:rFonts w:asciiTheme="minorEastAsia" w:eastAsiaTheme="minorEastAsia" w:hAnsiTheme="minorEastAsia"/>
        </w:rPr>
        <w:t>则必须一次性赎回或转出该基金全部份额</w:t>
      </w:r>
      <w:r w:rsidRPr="00960F82">
        <w:rPr>
          <w:rFonts w:asciiTheme="minorEastAsia" w:eastAsiaTheme="minorEastAsia" w:hAnsiTheme="minorEastAsia" w:hint="eastAsia"/>
        </w:rPr>
        <w:t>,</w:t>
      </w:r>
      <w:r w:rsidR="00796CD9" w:rsidRPr="00960F82">
        <w:rPr>
          <w:rFonts w:asciiTheme="minorEastAsia" w:eastAsiaTheme="minorEastAsia" w:hAnsiTheme="minorEastAsia" w:hint="eastAsia"/>
        </w:rPr>
        <w:t>在符合法律法规规定的前提下，</w:t>
      </w:r>
      <w:r w:rsidRPr="00960F82">
        <w:rPr>
          <w:rFonts w:asciiTheme="minorEastAsia" w:eastAsiaTheme="minorEastAsia" w:hAnsiTheme="minorEastAsia" w:hint="eastAsia"/>
        </w:rPr>
        <w:t>各</w:t>
      </w:r>
      <w:r w:rsidR="006A5737" w:rsidRPr="00960F82">
        <w:rPr>
          <w:rFonts w:asciiTheme="minorEastAsia" w:eastAsiaTheme="minorEastAsia" w:hAnsiTheme="minorEastAsia" w:hint="eastAsia"/>
        </w:rPr>
        <w:t>销售</w:t>
      </w:r>
      <w:r w:rsidRPr="00960F82">
        <w:rPr>
          <w:rFonts w:asciiTheme="minorEastAsia" w:eastAsiaTheme="minorEastAsia" w:hAnsiTheme="minorEastAsia" w:hint="eastAsia"/>
        </w:rPr>
        <w:t>机构对赎回、转换份额限制有其他规定的</w:t>
      </w:r>
      <w:r w:rsidR="008D32BF" w:rsidRPr="00960F82">
        <w:rPr>
          <w:rFonts w:asciiTheme="minorEastAsia" w:eastAsiaTheme="minorEastAsia" w:hAnsiTheme="minorEastAsia" w:hint="eastAsia"/>
        </w:rPr>
        <w:t>，</w:t>
      </w:r>
      <w:r w:rsidR="00455544" w:rsidRPr="00960F82">
        <w:rPr>
          <w:rFonts w:asciiTheme="minorEastAsia" w:eastAsiaTheme="minorEastAsia" w:hAnsiTheme="minorEastAsia" w:hint="eastAsia"/>
          <w:szCs w:val="21"/>
        </w:rPr>
        <w:t>需同时遵循该销售机构的相关规定</w:t>
      </w:r>
      <w:r w:rsidRPr="00960F82">
        <w:rPr>
          <w:rFonts w:asciiTheme="minorEastAsia" w:eastAsiaTheme="minorEastAsia" w:hAnsiTheme="minorEastAsia"/>
        </w:rPr>
        <w:t>)；若某笔赎回或转换将导致投资者在</w:t>
      </w:r>
      <w:r w:rsidR="00CA1ED1" w:rsidRPr="00960F82">
        <w:rPr>
          <w:rFonts w:asciiTheme="minorEastAsia" w:eastAsiaTheme="minorEastAsia" w:hAnsiTheme="minorEastAsia" w:hint="eastAsia"/>
        </w:rPr>
        <w:t>该</w:t>
      </w:r>
      <w:r w:rsidRPr="00960F82">
        <w:rPr>
          <w:rFonts w:asciiTheme="minorEastAsia" w:eastAsiaTheme="minorEastAsia" w:hAnsiTheme="minorEastAsia"/>
        </w:rPr>
        <w:t>销售机构托管的</w:t>
      </w:r>
      <w:r w:rsidR="00CA1ED1" w:rsidRPr="00960F82">
        <w:rPr>
          <w:rFonts w:asciiTheme="minorEastAsia" w:eastAsiaTheme="minorEastAsia" w:hAnsiTheme="minorEastAsia" w:hint="eastAsia"/>
        </w:rPr>
        <w:t>该</w:t>
      </w:r>
      <w:r w:rsidRPr="00960F82">
        <w:rPr>
          <w:rFonts w:asciiTheme="minorEastAsia" w:eastAsiaTheme="minorEastAsia" w:hAnsiTheme="minorEastAsia"/>
        </w:rPr>
        <w:t>基金余额不足</w:t>
      </w:r>
      <w:r w:rsidR="005C2F1D" w:rsidRPr="00960F82">
        <w:rPr>
          <w:rFonts w:asciiTheme="minorEastAsia" w:eastAsiaTheme="minorEastAsia" w:hAnsiTheme="minorEastAsia" w:hint="eastAsia"/>
        </w:rPr>
        <w:t>1</w:t>
      </w:r>
      <w:r w:rsidRPr="00960F82">
        <w:rPr>
          <w:rFonts w:asciiTheme="minorEastAsia" w:eastAsiaTheme="minorEastAsia" w:hAnsiTheme="minorEastAsia"/>
        </w:rPr>
        <w:t>份时</w:t>
      </w:r>
      <w:r w:rsidRPr="00960F82">
        <w:rPr>
          <w:rFonts w:asciiTheme="minorEastAsia" w:eastAsiaTheme="minorEastAsia" w:hAnsiTheme="minorEastAsia" w:hint="eastAsia"/>
        </w:rPr>
        <w:t>，</w:t>
      </w:r>
      <w:r w:rsidRPr="00960F82">
        <w:rPr>
          <w:rFonts w:asciiTheme="minorEastAsia" w:eastAsiaTheme="minorEastAsia" w:hAnsiTheme="minorEastAsia"/>
        </w:rPr>
        <w:t>基金管理人有权将投资者在该销售机构托管的该基金剩余份额一次性全部赎回。</w:t>
      </w:r>
    </w:p>
    <w:p w:rsidR="00117EDD" w:rsidRPr="00960F82" w:rsidRDefault="00117EDD"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rPr>
        <w:t>基金管理人可根据市场情况制定或调整上述申购、赎回和转换的程序及有关限制</w:t>
      </w:r>
      <w:r w:rsidR="008D32BF" w:rsidRPr="00960F82">
        <w:rPr>
          <w:rFonts w:asciiTheme="minorEastAsia" w:eastAsiaTheme="minorEastAsia" w:hAnsiTheme="minorEastAsia" w:hint="eastAsia"/>
        </w:rPr>
        <w:t>，</w:t>
      </w:r>
      <w:r w:rsidR="00117EDD" w:rsidRPr="00960F82">
        <w:rPr>
          <w:rFonts w:asciiTheme="minorEastAsia" w:eastAsiaTheme="minorEastAsia" w:hAnsiTheme="minorEastAsia" w:hint="eastAsia"/>
          <w:szCs w:val="21"/>
        </w:rPr>
        <w:t>或者新增基金规模控制措施，</w:t>
      </w:r>
      <w:r w:rsidRPr="00960F82">
        <w:rPr>
          <w:rFonts w:asciiTheme="minorEastAsia" w:eastAsiaTheme="minorEastAsia" w:hAnsiTheme="minorEastAsia"/>
        </w:rPr>
        <w:t>但应最迟在调整生效前三个工作日在</w:t>
      </w:r>
      <w:r w:rsidR="00991E9A" w:rsidRPr="00960F82">
        <w:rPr>
          <w:rFonts w:asciiTheme="minorEastAsia" w:eastAsiaTheme="minorEastAsia" w:hAnsiTheme="minorEastAsia" w:hint="eastAsia"/>
          <w:szCs w:val="21"/>
        </w:rPr>
        <w:t>指定媒介</w:t>
      </w:r>
      <w:r w:rsidRPr="00960F82">
        <w:rPr>
          <w:rFonts w:asciiTheme="minorEastAsia" w:eastAsiaTheme="minorEastAsia" w:hAnsiTheme="minorEastAsia"/>
        </w:rPr>
        <w:t>公告。</w:t>
      </w:r>
    </w:p>
    <w:p w:rsidR="001D2E2F" w:rsidRPr="00960F82" w:rsidRDefault="001D2E2F" w:rsidP="00084917">
      <w:pPr>
        <w:snapToGrid w:val="0"/>
        <w:spacing w:line="360" w:lineRule="auto"/>
        <w:ind w:firstLine="435"/>
        <w:rPr>
          <w:rFonts w:asciiTheme="minorEastAsia" w:eastAsiaTheme="minorEastAsia" w:hAnsiTheme="minorEastAsia"/>
          <w:szCs w:val="21"/>
        </w:rPr>
      </w:pP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5" w:name="_Toc30161779"/>
      <w:r w:rsidRPr="00960F82">
        <w:rPr>
          <w:rFonts w:asciiTheme="minorEastAsia" w:eastAsiaTheme="minorEastAsia" w:hAnsiTheme="minorEastAsia" w:hint="eastAsia"/>
          <w:bCs/>
        </w:rPr>
        <w:t>（七）</w:t>
      </w:r>
      <w:r w:rsidRPr="00960F82">
        <w:rPr>
          <w:rFonts w:asciiTheme="minorEastAsia" w:eastAsiaTheme="minorEastAsia" w:hAnsiTheme="minorEastAsia" w:hint="eastAsia"/>
          <w:bCs/>
          <w:szCs w:val="20"/>
        </w:rPr>
        <w:t>申购份额、赎回金额和转换份额的计算方式</w:t>
      </w:r>
      <w:bookmarkEnd w:id="35"/>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C64778" w:rsidRPr="00960F82">
        <w:rPr>
          <w:rFonts w:asciiTheme="minorEastAsia" w:eastAsiaTheme="minorEastAsia" w:hAnsiTheme="minorEastAsia" w:hint="eastAsia"/>
          <w:szCs w:val="21"/>
        </w:rPr>
        <w:t>、</w:t>
      </w:r>
      <w:r w:rsidRPr="00960F82">
        <w:rPr>
          <w:rFonts w:asciiTheme="minorEastAsia" w:eastAsiaTheme="minorEastAsia" w:hAnsiTheme="minorEastAsia" w:hint="eastAsia"/>
          <w:szCs w:val="21"/>
        </w:rPr>
        <w:t>申购份额的计算</w:t>
      </w:r>
    </w:p>
    <w:p w:rsidR="001D2E2F" w:rsidRPr="00960F82" w:rsidRDefault="001D2E2F" w:rsidP="00084917">
      <w:pPr>
        <w:pStyle w:val="25"/>
        <w:snapToGrid w:val="0"/>
        <w:spacing w:before="0" w:beforeAutospacing="0" w:after="0" w:afterAutospacing="0"/>
        <w:ind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本基金的申购金额包括申购费用和净申购金额，其中：</w:t>
      </w:r>
    </w:p>
    <w:p w:rsidR="001D2E2F" w:rsidRPr="00960F82" w:rsidRDefault="001D2E2F" w:rsidP="00084917">
      <w:pPr>
        <w:pStyle w:val="25"/>
        <w:snapToGrid w:val="0"/>
        <w:spacing w:before="0" w:beforeAutospacing="0" w:after="0" w:afterAutospacing="0"/>
        <w:ind w:firstLine="422"/>
        <w:rPr>
          <w:rFonts w:asciiTheme="minorEastAsia" w:eastAsiaTheme="minorEastAsia" w:hAnsiTheme="minorEastAsia"/>
          <w:b/>
          <w:bCs/>
          <w:szCs w:val="21"/>
        </w:rPr>
      </w:pPr>
      <w:r w:rsidRPr="00960F82">
        <w:rPr>
          <w:rFonts w:asciiTheme="minorEastAsia" w:eastAsiaTheme="minorEastAsia" w:hAnsiTheme="minorEastAsia"/>
          <w:b/>
          <w:bCs/>
          <w:szCs w:val="21"/>
        </w:rPr>
        <w:t>申购费用=申购金额/（1＋申购费率）×申购费率</w:t>
      </w:r>
    </w:p>
    <w:p w:rsidR="001D2E2F" w:rsidRPr="00960F82" w:rsidRDefault="001D2E2F" w:rsidP="00084917">
      <w:pPr>
        <w:pStyle w:val="25"/>
        <w:snapToGrid w:val="0"/>
        <w:spacing w:before="0" w:beforeAutospacing="0" w:after="0" w:afterAutospacing="0"/>
        <w:ind w:firstLine="422"/>
        <w:rPr>
          <w:rFonts w:asciiTheme="minorEastAsia" w:eastAsiaTheme="minorEastAsia" w:hAnsiTheme="minorEastAsia"/>
          <w:b/>
          <w:bCs/>
          <w:szCs w:val="21"/>
        </w:rPr>
      </w:pPr>
      <w:r w:rsidRPr="00960F82">
        <w:rPr>
          <w:rFonts w:asciiTheme="minorEastAsia" w:eastAsiaTheme="minorEastAsia" w:hAnsiTheme="minorEastAsia"/>
          <w:b/>
          <w:bCs/>
          <w:szCs w:val="21"/>
        </w:rPr>
        <w:t>净申购金额=申购金额-申购费用</w:t>
      </w:r>
    </w:p>
    <w:p w:rsidR="001D2E2F" w:rsidRPr="00960F82" w:rsidRDefault="001D2E2F" w:rsidP="00084917">
      <w:pPr>
        <w:pStyle w:val="25"/>
        <w:snapToGrid w:val="0"/>
        <w:spacing w:before="0" w:beforeAutospacing="0" w:after="0" w:afterAutospacing="0"/>
        <w:ind w:firstLine="422"/>
        <w:rPr>
          <w:rFonts w:asciiTheme="minorEastAsia" w:eastAsiaTheme="minorEastAsia" w:hAnsiTheme="minorEastAsia"/>
          <w:b/>
          <w:bCs/>
          <w:szCs w:val="21"/>
        </w:rPr>
      </w:pPr>
      <w:r w:rsidRPr="00960F82">
        <w:rPr>
          <w:rFonts w:asciiTheme="minorEastAsia" w:eastAsiaTheme="minorEastAsia" w:hAnsiTheme="minorEastAsia"/>
          <w:b/>
          <w:bCs/>
          <w:szCs w:val="21"/>
        </w:rPr>
        <w:t>申购份数=净申购金额÷T日基金份额净值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举例说明：</w:t>
      </w:r>
    </w:p>
    <w:p w:rsidR="00EF00B2" w:rsidRPr="00960F82" w:rsidRDefault="00EF00B2" w:rsidP="00084917">
      <w:pPr>
        <w:autoSpaceDE w:val="0"/>
        <w:autoSpaceDN w:val="0"/>
        <w:snapToGrid w:val="0"/>
        <w:spacing w:line="360" w:lineRule="auto"/>
        <w:ind w:firstLineChars="150" w:firstLine="315"/>
        <w:textAlignment w:val="bottom"/>
        <w:rPr>
          <w:rFonts w:asciiTheme="minorEastAsia" w:eastAsiaTheme="minorEastAsia" w:hAnsiTheme="minorEastAsia"/>
        </w:rPr>
      </w:pPr>
      <w:r w:rsidRPr="00960F82">
        <w:rPr>
          <w:rFonts w:asciiTheme="minorEastAsia" w:eastAsiaTheme="minorEastAsia" w:hAnsiTheme="minorEastAsia" w:hint="eastAsia"/>
        </w:rPr>
        <w:t>例一：投资者（特定投资群体）通过基金管理人的直销中心申购本基金：</w:t>
      </w:r>
    </w:p>
    <w:tbl>
      <w:tblPr>
        <w:tblW w:w="862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1579"/>
        <w:gridCol w:w="1206"/>
        <w:gridCol w:w="1364"/>
        <w:gridCol w:w="1469"/>
        <w:gridCol w:w="1586"/>
        <w:gridCol w:w="1421"/>
      </w:tblGrid>
      <w:tr w:rsidR="00960F82" w:rsidRPr="00960F82" w:rsidTr="00EF00B2">
        <w:trPr>
          <w:jc w:val="center"/>
        </w:trPr>
        <w:tc>
          <w:tcPr>
            <w:tcW w:w="1579"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lastRenderedPageBreak/>
              <w:t>申购金额</w:t>
            </w:r>
          </w:p>
        </w:tc>
        <w:tc>
          <w:tcPr>
            <w:tcW w:w="1206"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申购费率</w:t>
            </w:r>
          </w:p>
        </w:tc>
        <w:tc>
          <w:tcPr>
            <w:tcW w:w="1364"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申购费</w:t>
            </w:r>
            <w:r w:rsidRPr="00960F82">
              <w:rPr>
                <w:rFonts w:asciiTheme="minorEastAsia" w:eastAsiaTheme="minorEastAsia" w:hAnsiTheme="minorEastAsia" w:hint="eastAsia"/>
                <w:b/>
                <w:bCs/>
                <w:szCs w:val="21"/>
              </w:rPr>
              <w:t>用</w:t>
            </w:r>
          </w:p>
        </w:tc>
        <w:tc>
          <w:tcPr>
            <w:tcW w:w="1469"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bCs/>
                <w:szCs w:val="21"/>
              </w:rPr>
              <w:t>净申购金额</w:t>
            </w:r>
          </w:p>
        </w:tc>
        <w:tc>
          <w:tcPr>
            <w:tcW w:w="1586"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基金份额净值</w:t>
            </w:r>
          </w:p>
        </w:tc>
        <w:tc>
          <w:tcPr>
            <w:tcW w:w="1421"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申购份数</w:t>
            </w:r>
          </w:p>
        </w:tc>
      </w:tr>
      <w:tr w:rsidR="00960F82" w:rsidRPr="00960F82" w:rsidTr="00EF00B2">
        <w:trPr>
          <w:jc w:val="center"/>
        </w:trPr>
        <w:tc>
          <w:tcPr>
            <w:tcW w:w="1579"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hint="eastAsia"/>
                <w:szCs w:val="21"/>
              </w:rPr>
              <w:t>50,000元</w:t>
            </w:r>
          </w:p>
        </w:tc>
        <w:tc>
          <w:tcPr>
            <w:tcW w:w="1206"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pStyle w:val="affa"/>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0.15%</w:t>
            </w:r>
          </w:p>
        </w:tc>
        <w:tc>
          <w:tcPr>
            <w:tcW w:w="1364"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ind w:firstLineChars="95" w:firstLine="199"/>
              <w:jc w:val="right"/>
              <w:rPr>
                <w:rFonts w:asciiTheme="minorEastAsia" w:eastAsiaTheme="minorEastAsia" w:hAnsiTheme="minorEastAsia"/>
                <w:szCs w:val="21"/>
              </w:rPr>
            </w:pPr>
            <w:r w:rsidRPr="00960F82">
              <w:rPr>
                <w:rFonts w:asciiTheme="minorEastAsia" w:eastAsiaTheme="minorEastAsia" w:hAnsiTheme="minorEastAsia" w:hint="eastAsia"/>
                <w:szCs w:val="21"/>
              </w:rPr>
              <w:t>74.89元</w:t>
            </w:r>
          </w:p>
        </w:tc>
        <w:tc>
          <w:tcPr>
            <w:tcW w:w="1469"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49,925.11元</w:t>
            </w:r>
          </w:p>
        </w:tc>
        <w:tc>
          <w:tcPr>
            <w:tcW w:w="1586"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ind w:firstLine="420"/>
              <w:jc w:val="right"/>
              <w:rPr>
                <w:rFonts w:asciiTheme="minorEastAsia" w:eastAsiaTheme="minorEastAsia" w:hAnsiTheme="minorEastAsia"/>
                <w:szCs w:val="21"/>
              </w:rPr>
            </w:pPr>
            <w:r w:rsidRPr="00960F82">
              <w:rPr>
                <w:rFonts w:asciiTheme="minorEastAsia" w:eastAsiaTheme="minorEastAsia" w:hAnsiTheme="minorEastAsia" w:hint="eastAsia"/>
                <w:szCs w:val="21"/>
              </w:rPr>
              <w:t>1.0000元</w:t>
            </w:r>
          </w:p>
        </w:tc>
        <w:tc>
          <w:tcPr>
            <w:tcW w:w="1421"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49,925.11份</w:t>
            </w:r>
          </w:p>
        </w:tc>
      </w:tr>
      <w:tr w:rsidR="00960F82" w:rsidRPr="00960F82" w:rsidTr="00EF00B2">
        <w:trPr>
          <w:jc w:val="center"/>
        </w:trPr>
        <w:tc>
          <w:tcPr>
            <w:tcW w:w="1579"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hint="eastAsia"/>
                <w:szCs w:val="21"/>
              </w:rPr>
              <w:t>10,000,000元</w:t>
            </w:r>
          </w:p>
        </w:tc>
        <w:tc>
          <w:tcPr>
            <w:tcW w:w="1206"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hint="eastAsia"/>
              </w:rPr>
              <w:t>固定费用</w:t>
            </w:r>
          </w:p>
        </w:tc>
        <w:tc>
          <w:tcPr>
            <w:tcW w:w="1364"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rPr>
              <w:t>1000</w:t>
            </w:r>
            <w:r w:rsidRPr="00960F82">
              <w:rPr>
                <w:rFonts w:asciiTheme="minorEastAsia" w:eastAsiaTheme="minorEastAsia" w:hAnsiTheme="minorEastAsia" w:hint="eastAsia"/>
                <w:szCs w:val="21"/>
              </w:rPr>
              <w:t>元</w:t>
            </w:r>
          </w:p>
        </w:tc>
        <w:tc>
          <w:tcPr>
            <w:tcW w:w="1469"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9,999,000元</w:t>
            </w:r>
          </w:p>
        </w:tc>
        <w:tc>
          <w:tcPr>
            <w:tcW w:w="1586"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ind w:firstLine="420"/>
              <w:jc w:val="right"/>
              <w:rPr>
                <w:rFonts w:asciiTheme="minorEastAsia" w:eastAsiaTheme="minorEastAsia" w:hAnsiTheme="minorEastAsia"/>
                <w:szCs w:val="21"/>
              </w:rPr>
            </w:pPr>
            <w:r w:rsidRPr="00960F82">
              <w:rPr>
                <w:rFonts w:asciiTheme="minorEastAsia" w:eastAsiaTheme="minorEastAsia" w:hAnsiTheme="minorEastAsia" w:hint="eastAsia"/>
                <w:szCs w:val="21"/>
              </w:rPr>
              <w:t>1.0000元</w:t>
            </w:r>
          </w:p>
        </w:tc>
        <w:tc>
          <w:tcPr>
            <w:tcW w:w="1421" w:type="dxa"/>
            <w:tcBorders>
              <w:top w:val="thinThickLargeGap" w:sz="6" w:space="0" w:color="808080"/>
              <w:left w:val="thinThickLargeGap" w:sz="6" w:space="0" w:color="808080"/>
              <w:bottom w:val="thinThickLargeGap" w:sz="6" w:space="0" w:color="808080"/>
              <w:right w:val="thinThickLargeGap" w:sz="6" w:space="0" w:color="808080"/>
            </w:tcBorders>
            <w:hideMark/>
          </w:tcPr>
          <w:p w:rsidR="00EF00B2" w:rsidRPr="00960F82" w:rsidRDefault="00EF00B2"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9,999,000份</w:t>
            </w:r>
          </w:p>
        </w:tc>
      </w:tr>
    </w:tbl>
    <w:p w:rsidR="00EF00B2" w:rsidRPr="00960F82" w:rsidRDefault="00D34880" w:rsidP="00084917">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1"/>
        </w:rPr>
        <w:t>（注：</w:t>
      </w:r>
      <w:r w:rsidR="00D35C6A" w:rsidRPr="00960F82">
        <w:rPr>
          <w:rFonts w:asciiTheme="minorEastAsia" w:eastAsiaTheme="minorEastAsia" w:hAnsiTheme="minorEastAsia" w:hint="eastAsia"/>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r w:rsidRPr="00960F82">
        <w:rPr>
          <w:rFonts w:asciiTheme="minorEastAsia" w:eastAsiaTheme="minorEastAsia" w:hAnsiTheme="minorEastAsia" w:hint="eastAsia"/>
          <w:szCs w:val="21"/>
        </w:rPr>
        <w:t>）</w:t>
      </w:r>
    </w:p>
    <w:p w:rsidR="00EF00B2" w:rsidRPr="00960F82" w:rsidRDefault="00EF00B2"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例二：投资者（非特定投资群体）申购本基金：</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1581"/>
        <w:gridCol w:w="1207"/>
        <w:gridCol w:w="1365"/>
        <w:gridCol w:w="1470"/>
        <w:gridCol w:w="1587"/>
        <w:gridCol w:w="1422"/>
      </w:tblGrid>
      <w:tr w:rsidR="00960F82" w:rsidRPr="00960F82" w:rsidTr="00D937F5">
        <w:trPr>
          <w:jc w:val="center"/>
        </w:trPr>
        <w:tc>
          <w:tcPr>
            <w:tcW w:w="1581" w:type="dxa"/>
          </w:tcPr>
          <w:p w:rsidR="001D2E2F" w:rsidRPr="00960F82" w:rsidRDefault="001D2E2F"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申购金额</w:t>
            </w:r>
          </w:p>
        </w:tc>
        <w:tc>
          <w:tcPr>
            <w:tcW w:w="1207" w:type="dxa"/>
          </w:tcPr>
          <w:p w:rsidR="001D2E2F" w:rsidRPr="00960F82" w:rsidRDefault="001D2E2F"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申购费率</w:t>
            </w:r>
          </w:p>
        </w:tc>
        <w:tc>
          <w:tcPr>
            <w:tcW w:w="1365" w:type="dxa"/>
          </w:tcPr>
          <w:p w:rsidR="001D2E2F" w:rsidRPr="00960F82" w:rsidRDefault="001D2E2F"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申购费</w:t>
            </w:r>
            <w:r w:rsidR="008D32BF" w:rsidRPr="00960F82">
              <w:rPr>
                <w:rFonts w:asciiTheme="minorEastAsia" w:eastAsiaTheme="minorEastAsia" w:hAnsiTheme="minorEastAsia"/>
                <w:b/>
                <w:bCs/>
                <w:szCs w:val="21"/>
              </w:rPr>
              <w:t>用</w:t>
            </w:r>
          </w:p>
        </w:tc>
        <w:tc>
          <w:tcPr>
            <w:tcW w:w="1470" w:type="dxa"/>
          </w:tcPr>
          <w:p w:rsidR="001D2E2F" w:rsidRPr="00960F82" w:rsidRDefault="001D2E2F"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b/>
                <w:bCs/>
                <w:szCs w:val="21"/>
              </w:rPr>
              <w:t>净申购金额</w:t>
            </w:r>
          </w:p>
        </w:tc>
        <w:tc>
          <w:tcPr>
            <w:tcW w:w="1587" w:type="dxa"/>
          </w:tcPr>
          <w:p w:rsidR="001D2E2F" w:rsidRPr="00960F82" w:rsidRDefault="001D2E2F"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基金份额净值</w:t>
            </w:r>
          </w:p>
        </w:tc>
        <w:tc>
          <w:tcPr>
            <w:tcW w:w="1422" w:type="dxa"/>
          </w:tcPr>
          <w:p w:rsidR="001D2E2F" w:rsidRPr="00960F82" w:rsidRDefault="001D2E2F" w:rsidP="00084917">
            <w:pPr>
              <w:snapToGrid w:val="0"/>
              <w:spacing w:line="360" w:lineRule="auto"/>
              <w:jc w:val="center"/>
              <w:rPr>
                <w:rFonts w:asciiTheme="minorEastAsia" w:eastAsiaTheme="minorEastAsia" w:hAnsiTheme="minorEastAsia"/>
                <w:b/>
                <w:szCs w:val="21"/>
              </w:rPr>
            </w:pPr>
            <w:r w:rsidRPr="00960F82">
              <w:rPr>
                <w:rFonts w:asciiTheme="minorEastAsia" w:eastAsiaTheme="minorEastAsia" w:hAnsiTheme="minorEastAsia" w:hint="eastAsia"/>
                <w:b/>
                <w:szCs w:val="21"/>
              </w:rPr>
              <w:t>申购份数</w:t>
            </w:r>
          </w:p>
        </w:tc>
      </w:tr>
      <w:tr w:rsidR="00960F82" w:rsidRPr="00960F82" w:rsidTr="00D937F5">
        <w:trPr>
          <w:jc w:val="center"/>
        </w:trPr>
        <w:tc>
          <w:tcPr>
            <w:tcW w:w="1581" w:type="dxa"/>
          </w:tcPr>
          <w:p w:rsidR="001D2E2F" w:rsidRPr="00960F82" w:rsidRDefault="001D2E2F" w:rsidP="00084917">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hint="eastAsia"/>
                <w:szCs w:val="21"/>
              </w:rPr>
              <w:t>10,000元</w:t>
            </w:r>
          </w:p>
        </w:tc>
        <w:tc>
          <w:tcPr>
            <w:tcW w:w="1207" w:type="dxa"/>
          </w:tcPr>
          <w:p w:rsidR="001D2E2F" w:rsidRPr="00960F82" w:rsidRDefault="001D2E2F" w:rsidP="00084917">
            <w:pPr>
              <w:pStyle w:val="affa"/>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1.5%</w:t>
            </w:r>
          </w:p>
        </w:tc>
        <w:tc>
          <w:tcPr>
            <w:tcW w:w="1365" w:type="dxa"/>
          </w:tcPr>
          <w:p w:rsidR="001D2E2F" w:rsidRPr="00960F82" w:rsidRDefault="001D2E2F" w:rsidP="00084917">
            <w:pPr>
              <w:snapToGrid w:val="0"/>
              <w:spacing w:line="360" w:lineRule="auto"/>
              <w:ind w:firstLineChars="95" w:firstLine="199"/>
              <w:jc w:val="right"/>
              <w:rPr>
                <w:rFonts w:asciiTheme="minorEastAsia" w:eastAsiaTheme="minorEastAsia" w:hAnsiTheme="minorEastAsia"/>
                <w:szCs w:val="21"/>
              </w:rPr>
            </w:pPr>
            <w:r w:rsidRPr="00960F82">
              <w:rPr>
                <w:rFonts w:asciiTheme="minorEastAsia" w:eastAsiaTheme="minorEastAsia" w:hAnsiTheme="minorEastAsia" w:hint="eastAsia"/>
                <w:szCs w:val="21"/>
              </w:rPr>
              <w:t>147.78元</w:t>
            </w:r>
          </w:p>
        </w:tc>
        <w:tc>
          <w:tcPr>
            <w:tcW w:w="1470" w:type="dxa"/>
          </w:tcPr>
          <w:p w:rsidR="001D2E2F" w:rsidRPr="00960F82" w:rsidRDefault="001D2E2F"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9852.22元</w:t>
            </w:r>
          </w:p>
        </w:tc>
        <w:tc>
          <w:tcPr>
            <w:tcW w:w="1587" w:type="dxa"/>
          </w:tcPr>
          <w:p w:rsidR="001D2E2F" w:rsidRPr="00960F82" w:rsidRDefault="001D2E2F" w:rsidP="00084917">
            <w:pPr>
              <w:snapToGrid w:val="0"/>
              <w:spacing w:line="360" w:lineRule="auto"/>
              <w:ind w:firstLine="420"/>
              <w:jc w:val="right"/>
              <w:rPr>
                <w:rFonts w:asciiTheme="minorEastAsia" w:eastAsiaTheme="minorEastAsia" w:hAnsiTheme="minorEastAsia"/>
                <w:szCs w:val="21"/>
              </w:rPr>
            </w:pPr>
            <w:r w:rsidRPr="00960F82">
              <w:rPr>
                <w:rFonts w:asciiTheme="minorEastAsia" w:eastAsiaTheme="minorEastAsia" w:hAnsiTheme="minorEastAsia" w:hint="eastAsia"/>
                <w:szCs w:val="21"/>
              </w:rPr>
              <w:t>1.0000元</w:t>
            </w:r>
          </w:p>
        </w:tc>
        <w:tc>
          <w:tcPr>
            <w:tcW w:w="1422" w:type="dxa"/>
          </w:tcPr>
          <w:p w:rsidR="001D2E2F" w:rsidRPr="00960F82" w:rsidRDefault="001D2E2F"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9852.22份</w:t>
            </w:r>
          </w:p>
        </w:tc>
      </w:tr>
      <w:tr w:rsidR="00960F82" w:rsidRPr="00960F82" w:rsidTr="00D937F5">
        <w:trPr>
          <w:jc w:val="center"/>
        </w:trPr>
        <w:tc>
          <w:tcPr>
            <w:tcW w:w="1581" w:type="dxa"/>
          </w:tcPr>
          <w:p w:rsidR="001D2E2F" w:rsidRPr="00960F82" w:rsidRDefault="001D2E2F" w:rsidP="00084917">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hint="eastAsia"/>
                <w:szCs w:val="21"/>
              </w:rPr>
              <w:t>10,000,000元</w:t>
            </w:r>
          </w:p>
        </w:tc>
        <w:tc>
          <w:tcPr>
            <w:tcW w:w="1207" w:type="dxa"/>
          </w:tcPr>
          <w:p w:rsidR="001D2E2F" w:rsidRPr="00960F82" w:rsidRDefault="001D2E2F" w:rsidP="00084917">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hint="eastAsia"/>
              </w:rPr>
              <w:t>固定费用</w:t>
            </w:r>
          </w:p>
        </w:tc>
        <w:tc>
          <w:tcPr>
            <w:tcW w:w="1365" w:type="dxa"/>
          </w:tcPr>
          <w:p w:rsidR="001D2E2F" w:rsidRPr="00960F82" w:rsidRDefault="001D2E2F"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rPr>
              <w:t>1000</w:t>
            </w:r>
            <w:r w:rsidRPr="00960F82">
              <w:rPr>
                <w:rFonts w:asciiTheme="minorEastAsia" w:eastAsiaTheme="minorEastAsia" w:hAnsiTheme="minorEastAsia" w:hint="eastAsia"/>
                <w:szCs w:val="21"/>
              </w:rPr>
              <w:t>元</w:t>
            </w:r>
          </w:p>
        </w:tc>
        <w:tc>
          <w:tcPr>
            <w:tcW w:w="1470" w:type="dxa"/>
          </w:tcPr>
          <w:p w:rsidR="001D2E2F" w:rsidRPr="00960F82" w:rsidRDefault="001D2E2F"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9,999,000元</w:t>
            </w:r>
          </w:p>
        </w:tc>
        <w:tc>
          <w:tcPr>
            <w:tcW w:w="1587" w:type="dxa"/>
          </w:tcPr>
          <w:p w:rsidR="001D2E2F" w:rsidRPr="00960F82" w:rsidRDefault="001D2E2F" w:rsidP="00084917">
            <w:pPr>
              <w:snapToGrid w:val="0"/>
              <w:spacing w:line="360" w:lineRule="auto"/>
              <w:ind w:firstLine="420"/>
              <w:jc w:val="right"/>
              <w:rPr>
                <w:rFonts w:asciiTheme="minorEastAsia" w:eastAsiaTheme="minorEastAsia" w:hAnsiTheme="minorEastAsia"/>
                <w:szCs w:val="21"/>
              </w:rPr>
            </w:pPr>
            <w:r w:rsidRPr="00960F82">
              <w:rPr>
                <w:rFonts w:asciiTheme="minorEastAsia" w:eastAsiaTheme="minorEastAsia" w:hAnsiTheme="minorEastAsia" w:hint="eastAsia"/>
                <w:szCs w:val="21"/>
              </w:rPr>
              <w:t>1.0000元</w:t>
            </w:r>
          </w:p>
        </w:tc>
        <w:tc>
          <w:tcPr>
            <w:tcW w:w="1422" w:type="dxa"/>
          </w:tcPr>
          <w:p w:rsidR="001D2E2F" w:rsidRPr="00960F82" w:rsidRDefault="001D2E2F" w:rsidP="00084917">
            <w:pPr>
              <w:snapToGrid w:val="0"/>
              <w:spacing w:line="360" w:lineRule="auto"/>
              <w:jc w:val="right"/>
              <w:rPr>
                <w:rFonts w:asciiTheme="minorEastAsia" w:eastAsiaTheme="minorEastAsia" w:hAnsiTheme="minorEastAsia"/>
                <w:szCs w:val="21"/>
              </w:rPr>
            </w:pPr>
            <w:r w:rsidRPr="00960F82">
              <w:rPr>
                <w:rFonts w:asciiTheme="minorEastAsia" w:eastAsiaTheme="minorEastAsia" w:hAnsiTheme="minorEastAsia" w:hint="eastAsia"/>
                <w:szCs w:val="21"/>
              </w:rPr>
              <w:t>9,999,000份</w:t>
            </w:r>
          </w:p>
        </w:tc>
      </w:tr>
    </w:tbl>
    <w:p w:rsidR="001D2E2F" w:rsidRPr="00960F82" w:rsidRDefault="001D2E2F"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申购费</w:t>
      </w:r>
      <w:r w:rsidR="00DF5AF3" w:rsidRPr="00960F82">
        <w:rPr>
          <w:rFonts w:asciiTheme="minorEastAsia" w:eastAsiaTheme="minorEastAsia" w:hAnsiTheme="minorEastAsia"/>
          <w:bCs/>
          <w:szCs w:val="21"/>
        </w:rPr>
        <w:t>用</w:t>
      </w:r>
      <w:r w:rsidRPr="00960F82">
        <w:rPr>
          <w:rFonts w:asciiTheme="minorEastAsia" w:eastAsiaTheme="minorEastAsia" w:hAnsiTheme="minorEastAsia" w:hint="eastAsia"/>
          <w:szCs w:val="21"/>
        </w:rPr>
        <w:t>以人民币元为单位，四舍五入，保留至小数点后二位；申购份数保留至小数点后两位，小数点后两位以下舍去，舍去部分所代表的资产计入基金财产。</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C64778" w:rsidRPr="00960F82">
        <w:rPr>
          <w:rFonts w:asciiTheme="minorEastAsia" w:eastAsiaTheme="minorEastAsia" w:hAnsiTheme="minorEastAsia" w:hint="eastAsia"/>
          <w:szCs w:val="21"/>
        </w:rPr>
        <w:t>、</w:t>
      </w:r>
      <w:r w:rsidRPr="00960F82">
        <w:rPr>
          <w:rFonts w:asciiTheme="minorEastAsia" w:eastAsiaTheme="minorEastAsia" w:hAnsiTheme="minorEastAsia" w:hint="eastAsia"/>
          <w:szCs w:val="21"/>
        </w:rPr>
        <w:t>赎回金额的计算</w:t>
      </w:r>
    </w:p>
    <w:p w:rsidR="001D2E2F" w:rsidRPr="00960F82" w:rsidRDefault="001D2E2F" w:rsidP="00084917">
      <w:pPr>
        <w:pStyle w:val="25"/>
        <w:snapToGrid w:val="0"/>
        <w:spacing w:before="0" w:beforeAutospacing="0" w:after="0" w:afterAutospacing="0"/>
        <w:ind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本基金的赎回金额为赎回总额扣减赎回费用，其中：</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赎回总额=赎回数量</w:t>
      </w:r>
      <w:r w:rsidRPr="00960F82">
        <w:rPr>
          <w:rFonts w:asciiTheme="minorEastAsia" w:eastAsiaTheme="minorEastAsia" w:hAnsiTheme="minorEastAsia" w:hint="eastAsia"/>
          <w:szCs w:val="21"/>
        </w:rPr>
        <w:sym w:font="Symbol" w:char="F0B4"/>
      </w:r>
      <w:r w:rsidRPr="00960F82">
        <w:rPr>
          <w:rFonts w:asciiTheme="minorEastAsia" w:eastAsiaTheme="minorEastAsia" w:hAnsiTheme="minorEastAsia" w:hint="eastAsia"/>
          <w:szCs w:val="21"/>
        </w:rPr>
        <w:t>T日基金份额净值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赎回费用=赎回总额</w:t>
      </w:r>
      <w:r w:rsidRPr="00960F82">
        <w:rPr>
          <w:rFonts w:asciiTheme="minorEastAsia" w:eastAsiaTheme="minorEastAsia" w:hAnsiTheme="minorEastAsia" w:hint="eastAsia"/>
          <w:szCs w:val="21"/>
        </w:rPr>
        <w:sym w:font="Symbol" w:char="F0B4"/>
      </w:r>
      <w:r w:rsidRPr="00960F82">
        <w:rPr>
          <w:rFonts w:asciiTheme="minorEastAsia" w:eastAsiaTheme="minorEastAsia" w:hAnsiTheme="minorEastAsia" w:hint="eastAsia"/>
          <w:szCs w:val="21"/>
        </w:rPr>
        <w:t>赎回费率</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赎回金额=赎回总额</w:t>
      </w:r>
      <w:r w:rsidRPr="00960F82">
        <w:rPr>
          <w:rFonts w:asciiTheme="minorEastAsia" w:eastAsiaTheme="minorEastAsia" w:hAnsiTheme="minorEastAsia" w:hint="eastAsia"/>
          <w:szCs w:val="21"/>
        </w:rPr>
        <w:sym w:font="Symbol" w:char="F02D"/>
      </w:r>
      <w:r w:rsidRPr="00960F82">
        <w:rPr>
          <w:rFonts w:asciiTheme="minorEastAsia" w:eastAsiaTheme="minorEastAsia" w:hAnsiTheme="minorEastAsia" w:hint="eastAsia"/>
          <w:szCs w:val="21"/>
        </w:rPr>
        <w:t>赎回费用</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举例说明：</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firstRow="1" w:lastRow="1" w:firstColumn="0" w:lastColumn="1" w:noHBand="0" w:noVBand="0"/>
      </w:tblPr>
      <w:tblGrid>
        <w:gridCol w:w="1243"/>
        <w:gridCol w:w="1650"/>
        <w:gridCol w:w="1436"/>
        <w:gridCol w:w="1437"/>
        <w:gridCol w:w="1409"/>
        <w:gridCol w:w="1457"/>
      </w:tblGrid>
      <w:tr w:rsidR="00960F82" w:rsidRPr="00960F82" w:rsidTr="00D937F5">
        <w:trPr>
          <w:jc w:val="center"/>
        </w:trPr>
        <w:tc>
          <w:tcPr>
            <w:tcW w:w="1243"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赎回份额</w:t>
            </w:r>
          </w:p>
        </w:tc>
        <w:tc>
          <w:tcPr>
            <w:tcW w:w="1650"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基金份额净值</w:t>
            </w:r>
          </w:p>
        </w:tc>
        <w:tc>
          <w:tcPr>
            <w:tcW w:w="1436"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持有时间</w:t>
            </w:r>
          </w:p>
        </w:tc>
        <w:tc>
          <w:tcPr>
            <w:tcW w:w="1437"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赎回费率</w:t>
            </w:r>
          </w:p>
        </w:tc>
        <w:tc>
          <w:tcPr>
            <w:tcW w:w="1409" w:type="dxa"/>
          </w:tcPr>
          <w:p w:rsidR="001D2E2F" w:rsidRPr="00960F82" w:rsidRDefault="001D2E2F" w:rsidP="00084917">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赎回费</w:t>
            </w:r>
            <w:r w:rsidR="002250F4" w:rsidRPr="00960F82">
              <w:rPr>
                <w:rFonts w:asciiTheme="minorEastAsia" w:eastAsiaTheme="minorEastAsia" w:hAnsiTheme="minorEastAsia" w:hint="eastAsia"/>
                <w:szCs w:val="21"/>
              </w:rPr>
              <w:t>用</w:t>
            </w:r>
          </w:p>
        </w:tc>
        <w:tc>
          <w:tcPr>
            <w:tcW w:w="1457" w:type="dxa"/>
          </w:tcPr>
          <w:p w:rsidR="001D2E2F" w:rsidRPr="00960F82" w:rsidRDefault="001D2E2F" w:rsidP="00084917">
            <w:pPr>
              <w:snapToGrid w:val="0"/>
              <w:spacing w:line="360" w:lineRule="auto"/>
              <w:ind w:firstLine="181"/>
              <w:rPr>
                <w:rFonts w:asciiTheme="minorEastAsia" w:eastAsiaTheme="minorEastAsia" w:hAnsiTheme="minorEastAsia"/>
                <w:szCs w:val="21"/>
              </w:rPr>
            </w:pPr>
            <w:r w:rsidRPr="00960F82">
              <w:rPr>
                <w:rFonts w:asciiTheme="minorEastAsia" w:eastAsiaTheme="minorEastAsia" w:hAnsiTheme="minorEastAsia"/>
                <w:szCs w:val="21"/>
              </w:rPr>
              <w:t>赎回</w:t>
            </w:r>
            <w:r w:rsidRPr="00960F82">
              <w:rPr>
                <w:rFonts w:asciiTheme="minorEastAsia" w:eastAsiaTheme="minorEastAsia" w:hAnsiTheme="minorEastAsia" w:hint="eastAsia"/>
                <w:szCs w:val="21"/>
              </w:rPr>
              <w:t>金</w:t>
            </w:r>
            <w:r w:rsidRPr="00960F82">
              <w:rPr>
                <w:rFonts w:asciiTheme="minorEastAsia" w:eastAsiaTheme="minorEastAsia" w:hAnsiTheme="minorEastAsia"/>
                <w:szCs w:val="21"/>
              </w:rPr>
              <w:t>额</w:t>
            </w:r>
          </w:p>
        </w:tc>
      </w:tr>
      <w:tr w:rsidR="00960F82" w:rsidRPr="00960F82" w:rsidTr="00D937F5">
        <w:trPr>
          <w:jc w:val="center"/>
        </w:trPr>
        <w:tc>
          <w:tcPr>
            <w:tcW w:w="1243" w:type="dxa"/>
          </w:tcPr>
          <w:p w:rsidR="00117EDD" w:rsidRPr="00960F82" w:rsidRDefault="00117EDD" w:rsidP="00117EDD">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10,000</w:t>
            </w:r>
          </w:p>
        </w:tc>
        <w:tc>
          <w:tcPr>
            <w:tcW w:w="1650" w:type="dxa"/>
          </w:tcPr>
          <w:p w:rsidR="005F5223" w:rsidRPr="00960F82" w:rsidRDefault="00117EDD" w:rsidP="00A8776C">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szCs w:val="21"/>
              </w:rPr>
              <w:t>1.00</w:t>
            </w:r>
            <w:r w:rsidRPr="00960F82">
              <w:rPr>
                <w:rFonts w:asciiTheme="minorEastAsia" w:eastAsiaTheme="minorEastAsia" w:hAnsiTheme="minorEastAsia" w:hint="eastAsia"/>
                <w:szCs w:val="21"/>
              </w:rPr>
              <w:t>00</w:t>
            </w:r>
            <w:r w:rsidRPr="00960F82">
              <w:rPr>
                <w:rFonts w:asciiTheme="minorEastAsia" w:eastAsiaTheme="minorEastAsia" w:hAnsiTheme="minorEastAsia"/>
                <w:szCs w:val="21"/>
              </w:rPr>
              <w:t>元</w:t>
            </w:r>
          </w:p>
        </w:tc>
        <w:tc>
          <w:tcPr>
            <w:tcW w:w="1436" w:type="dxa"/>
          </w:tcPr>
          <w:p w:rsidR="005F5223" w:rsidRPr="00960F82" w:rsidRDefault="00117EDD" w:rsidP="00A8776C">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szCs w:val="21"/>
              </w:rPr>
              <w:t>6</w:t>
            </w:r>
            <w:r w:rsidRPr="00960F82">
              <w:rPr>
                <w:rFonts w:asciiTheme="minorEastAsia" w:eastAsiaTheme="minorEastAsia" w:hAnsiTheme="minorEastAsia" w:hint="eastAsia"/>
                <w:szCs w:val="21"/>
              </w:rPr>
              <w:t>天</w:t>
            </w:r>
          </w:p>
        </w:tc>
        <w:tc>
          <w:tcPr>
            <w:tcW w:w="1437" w:type="dxa"/>
          </w:tcPr>
          <w:p w:rsidR="005F5223" w:rsidRPr="00960F82" w:rsidRDefault="00117EDD" w:rsidP="00A8776C">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szCs w:val="21"/>
              </w:rPr>
              <w:t>1.5%</w:t>
            </w:r>
          </w:p>
        </w:tc>
        <w:tc>
          <w:tcPr>
            <w:tcW w:w="1409" w:type="dxa"/>
          </w:tcPr>
          <w:p w:rsidR="005F5223" w:rsidRPr="00960F82" w:rsidRDefault="00117EDD" w:rsidP="00A8776C">
            <w:pPr>
              <w:snapToGrid w:val="0"/>
              <w:spacing w:line="360" w:lineRule="auto"/>
              <w:jc w:val="center"/>
              <w:rPr>
                <w:rFonts w:asciiTheme="minorEastAsia" w:eastAsiaTheme="minorEastAsia" w:hAnsiTheme="minorEastAsia"/>
                <w:szCs w:val="21"/>
              </w:rPr>
            </w:pPr>
            <w:r w:rsidRPr="00960F82">
              <w:rPr>
                <w:rFonts w:asciiTheme="minorEastAsia" w:eastAsiaTheme="minorEastAsia" w:hAnsiTheme="minorEastAsia"/>
                <w:szCs w:val="21"/>
              </w:rPr>
              <w:t>150元</w:t>
            </w:r>
          </w:p>
        </w:tc>
        <w:tc>
          <w:tcPr>
            <w:tcW w:w="1457" w:type="dxa"/>
          </w:tcPr>
          <w:p w:rsidR="005F5223" w:rsidRPr="00960F82" w:rsidRDefault="00117EDD" w:rsidP="00A8776C">
            <w:pPr>
              <w:snapToGrid w:val="0"/>
              <w:spacing w:line="360" w:lineRule="auto"/>
              <w:ind w:firstLine="181"/>
              <w:jc w:val="center"/>
              <w:rPr>
                <w:rFonts w:asciiTheme="minorEastAsia" w:eastAsiaTheme="minorEastAsia" w:hAnsiTheme="minorEastAsia"/>
                <w:szCs w:val="21"/>
              </w:rPr>
            </w:pPr>
            <w:r w:rsidRPr="00960F82">
              <w:rPr>
                <w:rFonts w:asciiTheme="minorEastAsia" w:eastAsiaTheme="minorEastAsia" w:hAnsiTheme="minorEastAsia"/>
                <w:szCs w:val="21"/>
              </w:rPr>
              <w:t>9,850元</w:t>
            </w:r>
          </w:p>
        </w:tc>
      </w:tr>
      <w:tr w:rsidR="00960F82" w:rsidRPr="00960F82" w:rsidTr="00D937F5">
        <w:trPr>
          <w:jc w:val="center"/>
        </w:trPr>
        <w:tc>
          <w:tcPr>
            <w:tcW w:w="1243" w:type="dxa"/>
          </w:tcPr>
          <w:p w:rsidR="00117EDD" w:rsidRPr="00960F82" w:rsidRDefault="00117EDD" w:rsidP="00117EDD">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10,000</w:t>
            </w:r>
          </w:p>
        </w:tc>
        <w:tc>
          <w:tcPr>
            <w:tcW w:w="1650"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1.00</w:t>
            </w:r>
            <w:r w:rsidRPr="00960F82">
              <w:rPr>
                <w:rFonts w:asciiTheme="minorEastAsia" w:eastAsiaTheme="minorEastAsia" w:hAnsiTheme="minorEastAsia" w:hint="eastAsia"/>
                <w:szCs w:val="21"/>
              </w:rPr>
              <w:t>00</w:t>
            </w:r>
            <w:r w:rsidRPr="00960F82">
              <w:rPr>
                <w:rFonts w:asciiTheme="minorEastAsia" w:eastAsiaTheme="minorEastAsia" w:hAnsiTheme="minorEastAsia"/>
                <w:szCs w:val="21"/>
              </w:rPr>
              <w:t>元</w:t>
            </w:r>
          </w:p>
        </w:tc>
        <w:tc>
          <w:tcPr>
            <w:tcW w:w="1436"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100天</w:t>
            </w:r>
          </w:p>
        </w:tc>
        <w:tc>
          <w:tcPr>
            <w:tcW w:w="1437"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0.5%</w:t>
            </w:r>
          </w:p>
        </w:tc>
        <w:tc>
          <w:tcPr>
            <w:tcW w:w="1409"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50元</w:t>
            </w:r>
          </w:p>
        </w:tc>
        <w:tc>
          <w:tcPr>
            <w:tcW w:w="1457"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9,950元</w:t>
            </w:r>
          </w:p>
        </w:tc>
      </w:tr>
      <w:tr w:rsidR="00960F82" w:rsidRPr="00960F82" w:rsidTr="00D937F5">
        <w:trPr>
          <w:jc w:val="center"/>
        </w:trPr>
        <w:tc>
          <w:tcPr>
            <w:tcW w:w="1243" w:type="dxa"/>
          </w:tcPr>
          <w:p w:rsidR="00117EDD" w:rsidRPr="00960F82" w:rsidRDefault="00117EDD" w:rsidP="00117EDD">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10,000</w:t>
            </w:r>
          </w:p>
        </w:tc>
        <w:tc>
          <w:tcPr>
            <w:tcW w:w="1650"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1.00</w:t>
            </w:r>
            <w:r w:rsidRPr="00960F82">
              <w:rPr>
                <w:rFonts w:asciiTheme="minorEastAsia" w:eastAsiaTheme="minorEastAsia" w:hAnsiTheme="minorEastAsia" w:hint="eastAsia"/>
                <w:szCs w:val="21"/>
              </w:rPr>
              <w:t>00</w:t>
            </w:r>
            <w:r w:rsidRPr="00960F82">
              <w:rPr>
                <w:rFonts w:asciiTheme="minorEastAsia" w:eastAsiaTheme="minorEastAsia" w:hAnsiTheme="minorEastAsia"/>
                <w:szCs w:val="21"/>
              </w:rPr>
              <w:t>元</w:t>
            </w:r>
          </w:p>
        </w:tc>
        <w:tc>
          <w:tcPr>
            <w:tcW w:w="1436" w:type="dxa"/>
          </w:tcPr>
          <w:p w:rsidR="00117EDD" w:rsidRPr="00960F82" w:rsidRDefault="00117EDD" w:rsidP="00117E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500天</w:t>
            </w:r>
          </w:p>
        </w:tc>
        <w:tc>
          <w:tcPr>
            <w:tcW w:w="1437"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0.</w:t>
            </w:r>
            <w:r w:rsidRPr="00960F82">
              <w:rPr>
                <w:rFonts w:asciiTheme="minorEastAsia" w:eastAsiaTheme="minorEastAsia" w:hAnsiTheme="minorEastAsia" w:hint="eastAsia"/>
                <w:szCs w:val="21"/>
              </w:rPr>
              <w:t>25</w:t>
            </w:r>
            <w:r w:rsidRPr="00960F82">
              <w:rPr>
                <w:rFonts w:asciiTheme="minorEastAsia" w:eastAsiaTheme="minorEastAsia" w:hAnsiTheme="minorEastAsia"/>
                <w:szCs w:val="21"/>
              </w:rPr>
              <w:t>%</w:t>
            </w:r>
          </w:p>
        </w:tc>
        <w:tc>
          <w:tcPr>
            <w:tcW w:w="1409"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25</w:t>
            </w:r>
            <w:r w:rsidRPr="00960F82">
              <w:rPr>
                <w:rFonts w:asciiTheme="minorEastAsia" w:eastAsiaTheme="minorEastAsia" w:hAnsiTheme="minorEastAsia"/>
                <w:szCs w:val="21"/>
              </w:rPr>
              <w:t>元</w:t>
            </w:r>
          </w:p>
        </w:tc>
        <w:tc>
          <w:tcPr>
            <w:tcW w:w="1457"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9,97</w:t>
            </w:r>
            <w:r w:rsidRPr="00960F82">
              <w:rPr>
                <w:rFonts w:asciiTheme="minorEastAsia" w:eastAsiaTheme="minorEastAsia" w:hAnsiTheme="minorEastAsia" w:hint="eastAsia"/>
                <w:szCs w:val="21"/>
              </w:rPr>
              <w:t>5</w:t>
            </w:r>
            <w:r w:rsidRPr="00960F82">
              <w:rPr>
                <w:rFonts w:asciiTheme="minorEastAsia" w:eastAsiaTheme="minorEastAsia" w:hAnsiTheme="minorEastAsia"/>
                <w:szCs w:val="21"/>
              </w:rPr>
              <w:t>元</w:t>
            </w:r>
          </w:p>
        </w:tc>
      </w:tr>
      <w:tr w:rsidR="00960F82" w:rsidRPr="00960F82" w:rsidTr="00D937F5">
        <w:trPr>
          <w:jc w:val="center"/>
        </w:trPr>
        <w:tc>
          <w:tcPr>
            <w:tcW w:w="1243" w:type="dxa"/>
          </w:tcPr>
          <w:p w:rsidR="00117EDD" w:rsidRPr="00960F82" w:rsidRDefault="00117EDD" w:rsidP="00117EDD">
            <w:p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10,000</w:t>
            </w:r>
          </w:p>
        </w:tc>
        <w:tc>
          <w:tcPr>
            <w:tcW w:w="1650"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1.00</w:t>
            </w:r>
            <w:r w:rsidRPr="00960F82">
              <w:rPr>
                <w:rFonts w:asciiTheme="minorEastAsia" w:eastAsiaTheme="minorEastAsia" w:hAnsiTheme="minorEastAsia" w:hint="eastAsia"/>
                <w:szCs w:val="21"/>
              </w:rPr>
              <w:t>00</w:t>
            </w:r>
            <w:r w:rsidRPr="00960F82">
              <w:rPr>
                <w:rFonts w:asciiTheme="minorEastAsia" w:eastAsiaTheme="minorEastAsia" w:hAnsiTheme="minorEastAsia"/>
                <w:szCs w:val="21"/>
              </w:rPr>
              <w:t>元</w:t>
            </w:r>
          </w:p>
        </w:tc>
        <w:tc>
          <w:tcPr>
            <w:tcW w:w="1436" w:type="dxa"/>
          </w:tcPr>
          <w:p w:rsidR="00117EDD" w:rsidRPr="00960F82" w:rsidRDefault="00117EDD" w:rsidP="00117E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800天</w:t>
            </w:r>
          </w:p>
        </w:tc>
        <w:tc>
          <w:tcPr>
            <w:tcW w:w="1437"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0%</w:t>
            </w:r>
          </w:p>
        </w:tc>
        <w:tc>
          <w:tcPr>
            <w:tcW w:w="1409" w:type="dxa"/>
          </w:tcPr>
          <w:p w:rsidR="00117EDD" w:rsidRPr="00960F82" w:rsidRDefault="00117EDD" w:rsidP="00117E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0</w:t>
            </w:r>
          </w:p>
        </w:tc>
        <w:tc>
          <w:tcPr>
            <w:tcW w:w="1457" w:type="dxa"/>
          </w:tcPr>
          <w:p w:rsidR="00117EDD" w:rsidRPr="00960F82" w:rsidRDefault="00117EDD" w:rsidP="00117EDD">
            <w:pPr>
              <w:snapToGrid w:val="0"/>
              <w:spacing w:line="360" w:lineRule="auto"/>
              <w:ind w:firstLineChars="100" w:firstLine="210"/>
              <w:rPr>
                <w:rFonts w:asciiTheme="minorEastAsia" w:eastAsiaTheme="minorEastAsia" w:hAnsiTheme="minorEastAsia"/>
                <w:szCs w:val="21"/>
              </w:rPr>
            </w:pPr>
            <w:r w:rsidRPr="00960F82">
              <w:rPr>
                <w:rFonts w:asciiTheme="minorEastAsia" w:eastAsiaTheme="minorEastAsia" w:hAnsiTheme="minorEastAsia"/>
                <w:szCs w:val="21"/>
              </w:rPr>
              <w:t>10,000元</w:t>
            </w:r>
          </w:p>
        </w:tc>
      </w:tr>
    </w:tbl>
    <w:p w:rsidR="001D2E2F" w:rsidRPr="00960F82" w:rsidRDefault="001D2E2F" w:rsidP="00084917">
      <w:pPr>
        <w:pStyle w:val="af4"/>
        <w:snapToGrid w:val="0"/>
        <w:spacing w:line="360" w:lineRule="auto"/>
        <w:rPr>
          <w:rFonts w:asciiTheme="minorEastAsia" w:eastAsiaTheme="minorEastAsia" w:hAnsiTheme="minorEastAsia"/>
          <w:b/>
          <w:szCs w:val="21"/>
        </w:rPr>
      </w:pPr>
      <w:r w:rsidRPr="00960F82">
        <w:rPr>
          <w:rFonts w:asciiTheme="minorEastAsia" w:eastAsiaTheme="minorEastAsia" w:hAnsiTheme="minorEastAsia" w:hint="eastAsia"/>
          <w:szCs w:val="21"/>
        </w:rPr>
        <w:t>赎回总额、赎回费</w:t>
      </w:r>
      <w:r w:rsidR="002250F4" w:rsidRPr="00960F82">
        <w:rPr>
          <w:rFonts w:asciiTheme="minorEastAsia" w:eastAsiaTheme="minorEastAsia" w:hAnsiTheme="minorEastAsia" w:hint="eastAsia"/>
          <w:szCs w:val="21"/>
        </w:rPr>
        <w:t>用</w:t>
      </w:r>
      <w:r w:rsidRPr="00960F82">
        <w:rPr>
          <w:rFonts w:asciiTheme="minorEastAsia" w:eastAsiaTheme="minorEastAsia" w:hAnsiTheme="minorEastAsia" w:hint="eastAsia"/>
          <w:szCs w:val="21"/>
        </w:rPr>
        <w:t>以人民币元为单位，四舍五入，保留小数点后两位。</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C64778"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转换份额的计算</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基金转换份额的计算公式：</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A＝［B×C×(1-D)/（1+G）+F］/E</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rPr>
        <w:t>H＝</w:t>
      </w:r>
      <w:r w:rsidRPr="00960F82">
        <w:rPr>
          <w:rFonts w:asciiTheme="minorEastAsia" w:eastAsiaTheme="minorEastAsia" w:hAnsiTheme="minorEastAsia"/>
        </w:rPr>
        <w:t>B×C×D</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rPr>
        <w:t>J＝[B×C×(1-D)/(1+G)]×G</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其中，</w:t>
      </w:r>
      <w:r w:rsidRPr="00960F82">
        <w:rPr>
          <w:rFonts w:asciiTheme="minorEastAsia" w:eastAsiaTheme="minorEastAsia" w:hAnsiTheme="minorEastAsia"/>
        </w:rPr>
        <w:t>A</w:t>
      </w:r>
      <w:r w:rsidRPr="00960F82">
        <w:rPr>
          <w:rFonts w:asciiTheme="minorEastAsia" w:eastAsiaTheme="minorEastAsia" w:hAnsiTheme="minorEastAsia" w:hint="eastAsia"/>
        </w:rPr>
        <w:t>为转入的基金份额；</w:t>
      </w:r>
      <w:r w:rsidRPr="00960F82">
        <w:rPr>
          <w:rFonts w:asciiTheme="minorEastAsia" w:eastAsiaTheme="minorEastAsia" w:hAnsiTheme="minorEastAsia"/>
        </w:rPr>
        <w:t>B</w:t>
      </w:r>
      <w:r w:rsidRPr="00960F82">
        <w:rPr>
          <w:rFonts w:asciiTheme="minorEastAsia" w:eastAsiaTheme="minorEastAsia" w:hAnsiTheme="minorEastAsia" w:hint="eastAsia"/>
        </w:rPr>
        <w:t>为转出的基金份额；</w:t>
      </w:r>
      <w:r w:rsidRPr="00960F82">
        <w:rPr>
          <w:rFonts w:asciiTheme="minorEastAsia" w:eastAsiaTheme="minorEastAsia" w:hAnsiTheme="minorEastAsia"/>
        </w:rPr>
        <w:t>C</w:t>
      </w:r>
      <w:r w:rsidRPr="00960F82">
        <w:rPr>
          <w:rFonts w:asciiTheme="minorEastAsia" w:eastAsiaTheme="minorEastAsia" w:hAnsiTheme="minorEastAsia" w:hint="eastAsia"/>
        </w:rPr>
        <w:t>为转换申请当日转出基金的基金</w:t>
      </w:r>
      <w:r w:rsidRPr="00960F82">
        <w:rPr>
          <w:rFonts w:asciiTheme="minorEastAsia" w:eastAsiaTheme="minorEastAsia" w:hAnsiTheme="minorEastAsia" w:hint="eastAsia"/>
        </w:rPr>
        <w:lastRenderedPageBreak/>
        <w:t>份额净值；</w:t>
      </w:r>
      <w:r w:rsidRPr="00960F82">
        <w:rPr>
          <w:rFonts w:asciiTheme="minorEastAsia" w:eastAsiaTheme="minorEastAsia" w:hAnsiTheme="minorEastAsia"/>
        </w:rPr>
        <w:t>D</w:t>
      </w:r>
      <w:r w:rsidRPr="00960F82">
        <w:rPr>
          <w:rFonts w:asciiTheme="minorEastAsia" w:eastAsiaTheme="minorEastAsia" w:hAnsiTheme="minorEastAsia" w:hint="eastAsia"/>
        </w:rPr>
        <w:t>为转出基金的对应赎回费率，</w:t>
      </w:r>
      <w:r w:rsidRPr="00960F82">
        <w:rPr>
          <w:rFonts w:asciiTheme="minorEastAsia" w:eastAsiaTheme="minorEastAsia" w:hAnsiTheme="minorEastAsia"/>
        </w:rPr>
        <w:t>G</w:t>
      </w:r>
      <w:r w:rsidRPr="00960F82">
        <w:rPr>
          <w:rFonts w:asciiTheme="minorEastAsia" w:eastAsiaTheme="minorEastAsia" w:hAnsiTheme="minorEastAsia" w:hint="eastAsia"/>
        </w:rPr>
        <w:t>为对应的申购补差费率；</w:t>
      </w:r>
      <w:r w:rsidRPr="00960F82">
        <w:rPr>
          <w:rFonts w:asciiTheme="minorEastAsia" w:eastAsiaTheme="minorEastAsia" w:hAnsiTheme="minorEastAsia"/>
        </w:rPr>
        <w:t>E</w:t>
      </w:r>
      <w:r w:rsidRPr="00960F82">
        <w:rPr>
          <w:rFonts w:asciiTheme="minorEastAsia" w:eastAsiaTheme="minorEastAsia" w:hAnsiTheme="minorEastAsia" w:hint="eastAsia"/>
        </w:rPr>
        <w:t>为转换申请当日转入基金的基金份额净值；</w:t>
      </w:r>
      <w:r w:rsidR="00024AB3" w:rsidRPr="00960F82">
        <w:rPr>
          <w:rFonts w:asciiTheme="minorEastAsia" w:eastAsiaTheme="minorEastAsia" w:hAnsiTheme="minorEastAsia" w:hint="eastAsia"/>
        </w:rPr>
        <w:t>F为货币市场基金全部转出时注册登记机构已支付的未付收益</w:t>
      </w:r>
      <w:r w:rsidR="00455544" w:rsidRPr="00960F82">
        <w:rPr>
          <w:rFonts w:asciiTheme="minorEastAsia" w:eastAsiaTheme="minorEastAsia" w:hAnsiTheme="minorEastAsia" w:hint="eastAsia"/>
        </w:rPr>
        <w:t>（仅限转出基金为易方达货币市场基金、易方达天天理财货币市场基金、易方达财富快线货币市场基金、易方达天天增利货币市场基金</w:t>
      </w:r>
      <w:r w:rsidR="001C3AB9" w:rsidRPr="00960F82">
        <w:rPr>
          <w:rFonts w:asciiTheme="minorEastAsia" w:eastAsiaTheme="minorEastAsia" w:hAnsiTheme="minorEastAsia" w:hint="eastAsia"/>
        </w:rPr>
        <w:t>、易</w:t>
      </w:r>
      <w:r w:rsidR="00C67E04" w:rsidRPr="00960F82">
        <w:rPr>
          <w:rFonts w:asciiTheme="minorEastAsia" w:eastAsiaTheme="minorEastAsia" w:hAnsiTheme="minorEastAsia" w:hint="eastAsia"/>
        </w:rPr>
        <w:t>方达龙宝货币市场基金</w:t>
      </w:r>
      <w:r w:rsidR="00E329FA" w:rsidRPr="00960F82">
        <w:rPr>
          <w:rFonts w:asciiTheme="minorEastAsia" w:eastAsiaTheme="minorEastAsia" w:hAnsiTheme="minorEastAsia" w:hint="eastAsia"/>
        </w:rPr>
        <w:t>、</w:t>
      </w:r>
      <w:r w:rsidR="001C3AB9" w:rsidRPr="00960F82">
        <w:rPr>
          <w:rFonts w:asciiTheme="minorEastAsia" w:eastAsiaTheme="minorEastAsia" w:hAnsiTheme="minorEastAsia" w:hint="eastAsia"/>
        </w:rPr>
        <w:t>易方达增金宝货币市场基金</w:t>
      </w:r>
      <w:r w:rsidR="00E329FA" w:rsidRPr="00960F82">
        <w:rPr>
          <w:rFonts w:asciiTheme="minorEastAsia" w:eastAsiaTheme="minorEastAsia" w:hAnsiTheme="minorEastAsia" w:hint="eastAsia"/>
        </w:rPr>
        <w:t>、</w:t>
      </w:r>
      <w:r w:rsidR="00E329FA" w:rsidRPr="00960F82">
        <w:rPr>
          <w:rFonts w:asciiTheme="minorEastAsia" w:eastAsiaTheme="minorEastAsia" w:hAnsiTheme="minorEastAsia" w:hint="eastAsia"/>
          <w:kern w:val="0"/>
          <w:szCs w:val="21"/>
        </w:rPr>
        <w:t>易方达现金增利货币市场基金</w:t>
      </w:r>
      <w:r w:rsidR="005D042A" w:rsidRPr="00960F82">
        <w:rPr>
          <w:rFonts w:asciiTheme="minorEastAsia" w:eastAsiaTheme="minorEastAsia" w:hAnsiTheme="minorEastAsia" w:hint="eastAsia"/>
          <w:kern w:val="0"/>
          <w:szCs w:val="21"/>
        </w:rPr>
        <w:t>、易方达天天发货币市场基金</w:t>
      </w:r>
      <w:r w:rsidR="00453BE1" w:rsidRPr="00960F82">
        <w:rPr>
          <w:rFonts w:asciiTheme="minorEastAsia" w:eastAsiaTheme="minorEastAsia" w:hAnsiTheme="minorEastAsia" w:hint="eastAsia"/>
          <w:kern w:val="0"/>
          <w:szCs w:val="21"/>
        </w:rPr>
        <w:t>、易方达易理财货币市场基金</w:t>
      </w:r>
      <w:r w:rsidR="00455544" w:rsidRPr="00960F82">
        <w:rPr>
          <w:rFonts w:asciiTheme="minorEastAsia" w:eastAsiaTheme="minorEastAsia" w:hAnsiTheme="minorEastAsia" w:hint="eastAsia"/>
        </w:rPr>
        <w:t>）或者短期理财基金转出时对应的累计未付收益（</w:t>
      </w:r>
      <w:r w:rsidR="00CA1ED1" w:rsidRPr="00960F82">
        <w:rPr>
          <w:rFonts w:asciiTheme="minorEastAsia" w:eastAsiaTheme="minorEastAsia" w:hAnsiTheme="minorEastAsia" w:hint="eastAsia"/>
        </w:rPr>
        <w:t>转出基金为易方达月月利理财债券型证券投资基金和易方达掌柜季季盈理财债券型证券投资基金</w:t>
      </w:r>
      <w:r w:rsidRPr="00960F82">
        <w:rPr>
          <w:rFonts w:asciiTheme="minorEastAsia" w:eastAsiaTheme="minorEastAsia" w:hAnsiTheme="minorEastAsia" w:hint="eastAsia"/>
        </w:rPr>
        <w:t>）</w:t>
      </w:r>
      <w:r w:rsidRPr="00960F82">
        <w:rPr>
          <w:rFonts w:asciiTheme="minorEastAsia" w:eastAsiaTheme="minorEastAsia" w:hAnsiTheme="minorEastAsia" w:hint="eastAsia"/>
          <w:szCs w:val="20"/>
        </w:rPr>
        <w:t>；H为</w:t>
      </w:r>
      <w:r w:rsidRPr="00960F82">
        <w:rPr>
          <w:rFonts w:asciiTheme="minorEastAsia" w:eastAsiaTheme="minorEastAsia" w:hAnsiTheme="minorEastAsia" w:hint="eastAsia"/>
        </w:rPr>
        <w:t>转出基金赎回费；J为申购补差费。</w:t>
      </w:r>
    </w:p>
    <w:p w:rsidR="00024AB3" w:rsidRPr="00960F82" w:rsidRDefault="00024AB3"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说明：</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w:t>
      </w:r>
      <w:r w:rsidRPr="00960F82">
        <w:rPr>
          <w:rFonts w:asciiTheme="minorEastAsia" w:eastAsiaTheme="minorEastAsia" w:hAnsiTheme="minorEastAsia"/>
        </w:rPr>
        <w:t>1</w:t>
      </w:r>
      <w:r w:rsidRPr="00960F82">
        <w:rPr>
          <w:rFonts w:asciiTheme="minorEastAsia" w:eastAsiaTheme="minorEastAsia" w:hAnsiTheme="minorEastAsia" w:hint="eastAsia"/>
        </w:rPr>
        <w:t>）基金转换费用由转出基金赎回费用及基金申购补差费用两部分构成。</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w:t>
      </w:r>
      <w:r w:rsidRPr="00960F82">
        <w:rPr>
          <w:rFonts w:asciiTheme="minorEastAsia" w:eastAsiaTheme="minorEastAsia" w:hAnsiTheme="minorEastAsia"/>
        </w:rPr>
        <w:t>2</w:t>
      </w:r>
      <w:r w:rsidRPr="00960F82">
        <w:rPr>
          <w:rFonts w:asciiTheme="minorEastAsia" w:eastAsiaTheme="minorEastAsia" w:hAnsiTheme="minorEastAsia" w:hint="eastAsia"/>
        </w:rPr>
        <w:t>）转入基金时，从申购费用低的基金向申购费用高的基金转换时，每次收取申购补差费用；从申购费用高的基金向申购费用低的基金转换时</w:t>
      </w:r>
      <w:r w:rsidRPr="00960F82">
        <w:rPr>
          <w:rFonts w:asciiTheme="minorEastAsia" w:eastAsiaTheme="minorEastAsia" w:hAnsiTheme="minorEastAsia"/>
        </w:rPr>
        <w:t>,</w:t>
      </w:r>
      <w:r w:rsidRPr="00960F82">
        <w:rPr>
          <w:rFonts w:asciiTheme="minorEastAsia" w:eastAsiaTheme="minorEastAsia" w:hAnsiTheme="minorEastAsia" w:hint="eastAsia"/>
        </w:rPr>
        <w:t>不收取申购补差费用</w:t>
      </w:r>
      <w:r w:rsidR="00834CD8" w:rsidRPr="00960F82">
        <w:rPr>
          <w:rFonts w:asciiTheme="minorEastAsia" w:eastAsiaTheme="minorEastAsia" w:hAnsiTheme="minorEastAsia" w:hint="eastAsia"/>
          <w:szCs w:val="21"/>
        </w:rPr>
        <w:t>（注：对通过直销中心申购实施差别申购费率的特定投资群体基金份额的申购费，以除通过直销中心申购的特定投资群体之外的其他投资者申购费为比较标准）</w:t>
      </w:r>
      <w:r w:rsidRPr="00960F82">
        <w:rPr>
          <w:rFonts w:asciiTheme="minorEastAsia" w:eastAsiaTheme="minorEastAsia" w:hAnsiTheme="minorEastAsia" w:hint="eastAsia"/>
        </w:rPr>
        <w:t>。申购补差费用按照转换金额对应的转出基金与转入基金的申购费率差额进行补差，具体收取情况视每次转换时两只基金的申购费率的差异情况而定</w:t>
      </w:r>
      <w:r w:rsidR="00BE0127" w:rsidRPr="00960F82">
        <w:rPr>
          <w:rFonts w:asciiTheme="minorEastAsia" w:eastAsiaTheme="minorEastAsia" w:hAnsiTheme="minorEastAsia" w:hint="eastAsia"/>
        </w:rPr>
        <w:t>并见相关公告</w:t>
      </w:r>
      <w:r w:rsidRPr="00960F82">
        <w:rPr>
          <w:rFonts w:asciiTheme="minorEastAsia" w:eastAsiaTheme="minorEastAsia" w:hAnsiTheme="minorEastAsia" w:hint="eastAsia"/>
        </w:rPr>
        <w:t>。</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（3）转出基金时，如涉及的转出基金有赎回费用，收取该基金的赎回费用。收取的赎回费</w:t>
      </w:r>
      <w:r w:rsidR="00AD028F" w:rsidRPr="00960F82">
        <w:rPr>
          <w:rFonts w:asciiTheme="minorEastAsia" w:eastAsiaTheme="minorEastAsia" w:hAnsiTheme="minorEastAsia" w:hint="eastAsia"/>
        </w:rPr>
        <w:t>按照</w:t>
      </w:r>
      <w:r w:rsidR="00CA1ED1" w:rsidRPr="00960F82">
        <w:rPr>
          <w:rFonts w:asciiTheme="minorEastAsia" w:eastAsiaTheme="minorEastAsia" w:hAnsiTheme="minorEastAsia" w:hint="eastAsia"/>
        </w:rPr>
        <w:t>各基金</w:t>
      </w:r>
      <w:r w:rsidR="00CA1ED1" w:rsidRPr="00960F82">
        <w:rPr>
          <w:rFonts w:asciiTheme="minorEastAsia" w:eastAsiaTheme="minorEastAsia" w:hAnsiTheme="minorEastAsia"/>
        </w:rPr>
        <w:t>的</w:t>
      </w:r>
      <w:r w:rsidR="00AD028F" w:rsidRPr="00960F82">
        <w:rPr>
          <w:rFonts w:asciiTheme="minorEastAsia" w:eastAsiaTheme="minorEastAsia" w:hAnsiTheme="minorEastAsia" w:hint="eastAsia"/>
        </w:rPr>
        <w:t>基金合同、更新的招募说明书及最新的相关公告约定的比例归入基金财产</w:t>
      </w:r>
      <w:r w:rsidRPr="00960F82">
        <w:rPr>
          <w:rFonts w:asciiTheme="minorEastAsia" w:eastAsiaTheme="minorEastAsia" w:hAnsiTheme="minorEastAsia" w:hint="eastAsia"/>
        </w:rPr>
        <w:t>，其余部分用于支付注册登记费等相关手续费。</w:t>
      </w:r>
    </w:p>
    <w:p w:rsidR="001D2E2F" w:rsidRPr="00960F82" w:rsidRDefault="001D2E2F" w:rsidP="00084917">
      <w:pPr>
        <w:autoSpaceDE w:val="0"/>
        <w:autoSpaceDN w:val="0"/>
        <w:snapToGrid w:val="0"/>
        <w:spacing w:line="360" w:lineRule="auto"/>
        <w:ind w:firstLine="420"/>
        <w:textAlignment w:val="bottom"/>
        <w:rPr>
          <w:rFonts w:asciiTheme="minorEastAsia" w:eastAsiaTheme="minorEastAsia" w:hAnsiTheme="minorEastAsia"/>
        </w:rPr>
      </w:pPr>
      <w:r w:rsidRPr="00960F82">
        <w:rPr>
          <w:rFonts w:asciiTheme="minorEastAsia" w:eastAsiaTheme="minorEastAsia" w:hAnsiTheme="minorEastAsia" w:hint="eastAsia"/>
        </w:rPr>
        <w:t>（4）投资者可以发起多次基金转换业务，基金转换费用按每笔申请单独计算。</w:t>
      </w:r>
      <w:r w:rsidRPr="00960F82">
        <w:rPr>
          <w:rFonts w:asciiTheme="minorEastAsia" w:eastAsiaTheme="minorEastAsia" w:hAnsiTheme="minorEastAsia"/>
          <w:szCs w:val="21"/>
        </w:rPr>
        <w:t>转换费用以人民币元为单位，计算结果按照四舍五入方法，保留小数点后两位。</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举例说明</w:t>
      </w:r>
      <w:r w:rsidRPr="00960F82">
        <w:rPr>
          <w:rFonts w:asciiTheme="minorEastAsia" w:eastAsiaTheme="minorEastAsia" w:hAnsiTheme="minorEastAsia"/>
        </w:rPr>
        <w:t>：</w:t>
      </w:r>
      <w:r w:rsidRPr="00960F82">
        <w:rPr>
          <w:rFonts w:asciiTheme="minorEastAsia" w:eastAsiaTheme="minorEastAsia" w:hAnsiTheme="minorEastAsia" w:hint="eastAsia"/>
        </w:rPr>
        <w:t>假定某投资者</w:t>
      </w:r>
      <w:r w:rsidR="00CA1ED1" w:rsidRPr="00960F82">
        <w:rPr>
          <w:rFonts w:asciiTheme="minorEastAsia" w:eastAsiaTheme="minorEastAsia" w:hAnsiTheme="minorEastAsia" w:hint="eastAsia"/>
          <w:szCs w:val="21"/>
        </w:rPr>
        <w:t>（非特定投资群体）</w:t>
      </w:r>
      <w:r w:rsidRPr="00960F82">
        <w:rPr>
          <w:rFonts w:asciiTheme="minorEastAsia" w:eastAsiaTheme="minorEastAsia" w:hAnsiTheme="minorEastAsia" w:hint="eastAsia"/>
        </w:rPr>
        <w:t>在T日转出10,000份易方达积极成长基金至</w:t>
      </w:r>
      <w:r w:rsidRPr="00960F82">
        <w:rPr>
          <w:rFonts w:asciiTheme="minorEastAsia" w:eastAsiaTheme="minorEastAsia" w:hAnsiTheme="minorEastAsia"/>
        </w:rPr>
        <w:t>易方达策略成长二号混合型基金</w:t>
      </w:r>
      <w:r w:rsidRPr="00960F82">
        <w:rPr>
          <w:rFonts w:asciiTheme="minorEastAsia" w:eastAsiaTheme="minorEastAsia" w:hAnsiTheme="minorEastAsia" w:hint="eastAsia"/>
        </w:rPr>
        <w:t>份额，转出基金T日的基金份额净值为1.1000元，转入</w:t>
      </w:r>
      <w:r w:rsidRPr="00960F82">
        <w:rPr>
          <w:rFonts w:asciiTheme="minorEastAsia" w:eastAsiaTheme="minorEastAsia" w:hAnsiTheme="minorEastAsia"/>
        </w:rPr>
        <w:t>易方达策略成长二号混合型基金</w:t>
      </w:r>
      <w:r w:rsidRPr="00960F82">
        <w:rPr>
          <w:rFonts w:asciiTheme="minorEastAsia" w:eastAsiaTheme="minorEastAsia" w:hAnsiTheme="minorEastAsia" w:hint="eastAsia"/>
        </w:rPr>
        <w:t>T日的基金份额净值为1.020元，假设该转出基金的赎回费率为0.5%，申购补差费率为0.5%，则可获得转入基金的</w:t>
      </w:r>
      <w:r w:rsidRPr="00960F82">
        <w:rPr>
          <w:rFonts w:asciiTheme="minorEastAsia" w:eastAsiaTheme="minorEastAsia" w:hAnsiTheme="minorEastAsia"/>
        </w:rPr>
        <w:t>易方达策略成长二号混合型基金</w:t>
      </w:r>
      <w:r w:rsidRPr="00960F82">
        <w:rPr>
          <w:rFonts w:asciiTheme="minorEastAsia" w:eastAsiaTheme="minorEastAsia" w:hAnsiTheme="minorEastAsia" w:hint="eastAsia"/>
        </w:rPr>
        <w:t>基金份额计算如下：</w:t>
      </w:r>
    </w:p>
    <w:p w:rsidR="001D2E2F" w:rsidRPr="00960F82" w:rsidRDefault="001D2E2F" w:rsidP="00084917">
      <w:pPr>
        <w:snapToGrid w:val="0"/>
        <w:spacing w:line="360" w:lineRule="auto"/>
        <w:ind w:firstLine="420"/>
        <w:rPr>
          <w:rFonts w:asciiTheme="minorEastAsia" w:eastAsiaTheme="minorEastAsia" w:hAnsiTheme="minorEastAsia"/>
          <w:szCs w:val="20"/>
        </w:rPr>
      </w:pPr>
      <w:r w:rsidRPr="00960F82">
        <w:rPr>
          <w:rFonts w:asciiTheme="minorEastAsia" w:eastAsiaTheme="minorEastAsia" w:hAnsiTheme="minorEastAsia" w:hint="eastAsia"/>
          <w:szCs w:val="20"/>
        </w:rPr>
        <w:t>转换</w:t>
      </w:r>
      <w:r w:rsidRPr="00960F82">
        <w:rPr>
          <w:rFonts w:asciiTheme="minorEastAsia" w:eastAsiaTheme="minorEastAsia" w:hAnsiTheme="minorEastAsia"/>
          <w:szCs w:val="20"/>
        </w:rPr>
        <w:t>金额＝转出基金申请份额×转出基金份额净值=10</w:t>
      </w:r>
      <w:r w:rsidRPr="00960F82">
        <w:rPr>
          <w:rFonts w:asciiTheme="minorEastAsia" w:eastAsiaTheme="minorEastAsia" w:hAnsiTheme="minorEastAsia" w:hint="eastAsia"/>
          <w:szCs w:val="20"/>
        </w:rPr>
        <w:t>,</w:t>
      </w:r>
      <w:r w:rsidRPr="00960F82">
        <w:rPr>
          <w:rFonts w:asciiTheme="minorEastAsia" w:eastAsiaTheme="minorEastAsia" w:hAnsiTheme="minorEastAsia"/>
          <w:szCs w:val="20"/>
        </w:rPr>
        <w:t>000×1</w:t>
      </w:r>
      <w:r w:rsidRPr="00960F82">
        <w:rPr>
          <w:rFonts w:asciiTheme="minorEastAsia" w:eastAsiaTheme="minorEastAsia" w:hAnsiTheme="minorEastAsia" w:hint="eastAsia"/>
          <w:szCs w:val="20"/>
        </w:rPr>
        <w:t>.1000</w:t>
      </w:r>
      <w:r w:rsidRPr="00960F82">
        <w:rPr>
          <w:rFonts w:asciiTheme="minorEastAsia" w:eastAsiaTheme="minorEastAsia" w:hAnsiTheme="minorEastAsia"/>
          <w:szCs w:val="20"/>
        </w:rPr>
        <w:t>＝1</w:t>
      </w:r>
      <w:r w:rsidRPr="00960F82">
        <w:rPr>
          <w:rFonts w:asciiTheme="minorEastAsia" w:eastAsiaTheme="minorEastAsia" w:hAnsiTheme="minorEastAsia" w:hint="eastAsia"/>
          <w:szCs w:val="20"/>
        </w:rPr>
        <w:t>1,</w:t>
      </w:r>
      <w:r w:rsidRPr="00960F82">
        <w:rPr>
          <w:rFonts w:asciiTheme="minorEastAsia" w:eastAsiaTheme="minorEastAsia" w:hAnsiTheme="minorEastAsia"/>
          <w:szCs w:val="20"/>
        </w:rPr>
        <w:t>000</w:t>
      </w:r>
      <w:r w:rsidRPr="00960F82">
        <w:rPr>
          <w:rFonts w:asciiTheme="minorEastAsia" w:eastAsiaTheme="minorEastAsia" w:hAnsiTheme="minorEastAsia" w:hint="eastAsia"/>
          <w:szCs w:val="20"/>
        </w:rPr>
        <w:t>.00</w:t>
      </w:r>
      <w:r w:rsidRPr="00960F82">
        <w:rPr>
          <w:rFonts w:asciiTheme="minorEastAsia" w:eastAsiaTheme="minorEastAsia" w:hAnsiTheme="minorEastAsia"/>
          <w:szCs w:val="20"/>
        </w:rPr>
        <w:t>元</w:t>
      </w:r>
    </w:p>
    <w:p w:rsidR="001D2E2F" w:rsidRPr="00960F82" w:rsidRDefault="001D2E2F" w:rsidP="00084917">
      <w:pPr>
        <w:snapToGrid w:val="0"/>
        <w:spacing w:line="360" w:lineRule="auto"/>
        <w:ind w:firstLine="420"/>
        <w:rPr>
          <w:rFonts w:asciiTheme="minorEastAsia" w:eastAsiaTheme="minorEastAsia" w:hAnsiTheme="minorEastAsia"/>
          <w:szCs w:val="20"/>
        </w:rPr>
      </w:pPr>
      <w:r w:rsidRPr="00960F82">
        <w:rPr>
          <w:rFonts w:asciiTheme="minorEastAsia" w:eastAsiaTheme="minorEastAsia" w:hAnsiTheme="minorEastAsia" w:hint="eastAsia"/>
          <w:szCs w:val="20"/>
        </w:rPr>
        <w:t>转出基金</w:t>
      </w:r>
      <w:r w:rsidRPr="00960F82">
        <w:rPr>
          <w:rFonts w:asciiTheme="minorEastAsia" w:eastAsiaTheme="minorEastAsia" w:hAnsiTheme="minorEastAsia"/>
          <w:szCs w:val="20"/>
        </w:rPr>
        <w:t>赎回费＝</w:t>
      </w:r>
      <w:r w:rsidRPr="00960F82">
        <w:rPr>
          <w:rFonts w:asciiTheme="minorEastAsia" w:eastAsiaTheme="minorEastAsia" w:hAnsiTheme="minorEastAsia" w:hint="eastAsia"/>
          <w:szCs w:val="20"/>
        </w:rPr>
        <w:t>转换</w:t>
      </w:r>
      <w:r w:rsidRPr="00960F82">
        <w:rPr>
          <w:rFonts w:asciiTheme="minorEastAsia" w:eastAsiaTheme="minorEastAsia" w:hAnsiTheme="minorEastAsia"/>
          <w:szCs w:val="20"/>
        </w:rPr>
        <w:t>金额×</w:t>
      </w:r>
      <w:r w:rsidRPr="00960F82">
        <w:rPr>
          <w:rFonts w:asciiTheme="minorEastAsia" w:eastAsiaTheme="minorEastAsia" w:hAnsiTheme="minorEastAsia" w:hint="eastAsia"/>
          <w:szCs w:val="20"/>
        </w:rPr>
        <w:t>转出基金</w:t>
      </w:r>
      <w:r w:rsidRPr="00960F82">
        <w:rPr>
          <w:rFonts w:asciiTheme="minorEastAsia" w:eastAsiaTheme="minorEastAsia" w:hAnsiTheme="minorEastAsia"/>
          <w:szCs w:val="20"/>
        </w:rPr>
        <w:t>赎回费率</w:t>
      </w:r>
      <w:r w:rsidRPr="00960F82">
        <w:rPr>
          <w:rFonts w:asciiTheme="minorEastAsia" w:eastAsiaTheme="minorEastAsia" w:hAnsiTheme="minorEastAsia" w:hint="eastAsia"/>
          <w:szCs w:val="20"/>
        </w:rPr>
        <w:t>=</w:t>
      </w:r>
      <w:r w:rsidRPr="00960F82">
        <w:rPr>
          <w:rFonts w:asciiTheme="minorEastAsia" w:eastAsiaTheme="minorEastAsia" w:hAnsiTheme="minorEastAsia"/>
          <w:szCs w:val="20"/>
        </w:rPr>
        <w:t>1</w:t>
      </w:r>
      <w:r w:rsidRPr="00960F82">
        <w:rPr>
          <w:rFonts w:asciiTheme="minorEastAsia" w:eastAsiaTheme="minorEastAsia" w:hAnsiTheme="minorEastAsia" w:hint="eastAsia"/>
          <w:szCs w:val="20"/>
        </w:rPr>
        <w:t>1,</w:t>
      </w:r>
      <w:r w:rsidRPr="00960F82">
        <w:rPr>
          <w:rFonts w:asciiTheme="minorEastAsia" w:eastAsiaTheme="minorEastAsia" w:hAnsiTheme="minorEastAsia"/>
          <w:szCs w:val="20"/>
        </w:rPr>
        <w:t>000</w:t>
      </w:r>
      <w:r w:rsidRPr="00960F82">
        <w:rPr>
          <w:rFonts w:asciiTheme="minorEastAsia" w:eastAsiaTheme="minorEastAsia" w:hAnsiTheme="minorEastAsia" w:hint="eastAsia"/>
          <w:szCs w:val="20"/>
        </w:rPr>
        <w:t>.00</w:t>
      </w:r>
      <w:r w:rsidRPr="00960F82">
        <w:rPr>
          <w:rFonts w:asciiTheme="minorEastAsia" w:eastAsiaTheme="minorEastAsia" w:hAnsiTheme="minorEastAsia"/>
          <w:szCs w:val="20"/>
        </w:rPr>
        <w:t>×</w:t>
      </w:r>
      <w:r w:rsidRPr="00960F82">
        <w:rPr>
          <w:rFonts w:asciiTheme="minorEastAsia" w:eastAsiaTheme="minorEastAsia" w:hAnsiTheme="minorEastAsia" w:hint="eastAsia"/>
          <w:szCs w:val="20"/>
        </w:rPr>
        <w:t>0.5%=55.00元</w:t>
      </w:r>
    </w:p>
    <w:p w:rsidR="001D2E2F" w:rsidRPr="00960F82" w:rsidRDefault="001D2E2F" w:rsidP="00084917">
      <w:pPr>
        <w:snapToGrid w:val="0"/>
        <w:spacing w:line="360" w:lineRule="auto"/>
        <w:ind w:firstLine="420"/>
        <w:rPr>
          <w:rFonts w:asciiTheme="minorEastAsia" w:eastAsiaTheme="minorEastAsia" w:hAnsiTheme="minorEastAsia"/>
          <w:szCs w:val="20"/>
        </w:rPr>
      </w:pPr>
      <w:r w:rsidRPr="00960F82">
        <w:rPr>
          <w:rFonts w:asciiTheme="minorEastAsia" w:eastAsiaTheme="minorEastAsia" w:hAnsiTheme="minorEastAsia" w:hint="eastAsia"/>
          <w:szCs w:val="20"/>
        </w:rPr>
        <w:t>申购</w:t>
      </w:r>
      <w:r w:rsidRPr="00960F82">
        <w:rPr>
          <w:rFonts w:asciiTheme="minorEastAsia" w:eastAsiaTheme="minorEastAsia" w:hAnsiTheme="minorEastAsia"/>
          <w:szCs w:val="20"/>
        </w:rPr>
        <w:t>补差费</w:t>
      </w:r>
      <w:r w:rsidRPr="00960F82">
        <w:rPr>
          <w:rFonts w:asciiTheme="minorEastAsia" w:eastAsiaTheme="minorEastAsia" w:hAnsiTheme="minorEastAsia" w:hint="eastAsia"/>
          <w:szCs w:val="20"/>
        </w:rPr>
        <w:t>=（转换</w:t>
      </w:r>
      <w:r w:rsidRPr="00960F82">
        <w:rPr>
          <w:rFonts w:asciiTheme="minorEastAsia" w:eastAsiaTheme="minorEastAsia" w:hAnsiTheme="minorEastAsia"/>
          <w:szCs w:val="20"/>
        </w:rPr>
        <w:t>金额</w:t>
      </w:r>
      <w:r w:rsidRPr="00960F82">
        <w:rPr>
          <w:rFonts w:asciiTheme="minorEastAsia" w:eastAsiaTheme="minorEastAsia" w:hAnsiTheme="minorEastAsia" w:hint="eastAsia"/>
          <w:szCs w:val="20"/>
        </w:rPr>
        <w:t>—转出基金</w:t>
      </w:r>
      <w:r w:rsidRPr="00960F82">
        <w:rPr>
          <w:rFonts w:asciiTheme="minorEastAsia" w:eastAsiaTheme="minorEastAsia" w:hAnsiTheme="minorEastAsia"/>
          <w:szCs w:val="20"/>
        </w:rPr>
        <w:t>赎回费</w:t>
      </w:r>
      <w:r w:rsidRPr="00960F82">
        <w:rPr>
          <w:rFonts w:asciiTheme="minorEastAsia" w:eastAsiaTheme="minorEastAsia" w:hAnsiTheme="minorEastAsia" w:hint="eastAsia"/>
          <w:szCs w:val="20"/>
        </w:rPr>
        <w:t>）</w:t>
      </w:r>
      <w:r w:rsidRPr="00960F82">
        <w:rPr>
          <w:rFonts w:asciiTheme="minorEastAsia" w:eastAsiaTheme="minorEastAsia" w:hAnsiTheme="minorEastAsia"/>
          <w:szCs w:val="20"/>
        </w:rPr>
        <w:t>×</w:t>
      </w:r>
      <w:r w:rsidRPr="00960F82">
        <w:rPr>
          <w:rFonts w:asciiTheme="minorEastAsia" w:eastAsiaTheme="minorEastAsia" w:hAnsiTheme="minorEastAsia" w:hint="eastAsia"/>
          <w:szCs w:val="20"/>
        </w:rPr>
        <w:t>申购</w:t>
      </w:r>
      <w:r w:rsidRPr="00960F82">
        <w:rPr>
          <w:rFonts w:asciiTheme="minorEastAsia" w:eastAsiaTheme="minorEastAsia" w:hAnsiTheme="minorEastAsia"/>
          <w:szCs w:val="20"/>
        </w:rPr>
        <w:t>补差费率÷（１＋</w:t>
      </w:r>
      <w:r w:rsidRPr="00960F82">
        <w:rPr>
          <w:rFonts w:asciiTheme="minorEastAsia" w:eastAsiaTheme="minorEastAsia" w:hAnsiTheme="minorEastAsia" w:hint="eastAsia"/>
          <w:szCs w:val="20"/>
        </w:rPr>
        <w:t>申购</w:t>
      </w:r>
      <w:r w:rsidRPr="00960F82">
        <w:rPr>
          <w:rFonts w:asciiTheme="minorEastAsia" w:eastAsiaTheme="minorEastAsia" w:hAnsiTheme="minorEastAsia"/>
          <w:szCs w:val="20"/>
        </w:rPr>
        <w:t>补差费率）</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szCs w:val="20"/>
        </w:rPr>
        <w:lastRenderedPageBreak/>
        <w:t>（</w:t>
      </w:r>
      <w:r w:rsidRPr="00960F82">
        <w:rPr>
          <w:rFonts w:asciiTheme="minorEastAsia" w:eastAsiaTheme="minorEastAsia" w:hAnsiTheme="minorEastAsia"/>
          <w:szCs w:val="20"/>
        </w:rPr>
        <w:t>1</w:t>
      </w:r>
      <w:r w:rsidRPr="00960F82">
        <w:rPr>
          <w:rFonts w:asciiTheme="minorEastAsia" w:eastAsiaTheme="minorEastAsia" w:hAnsiTheme="minorEastAsia" w:hint="eastAsia"/>
          <w:szCs w:val="20"/>
        </w:rPr>
        <w:t>1,</w:t>
      </w:r>
      <w:r w:rsidRPr="00960F82">
        <w:rPr>
          <w:rFonts w:asciiTheme="minorEastAsia" w:eastAsiaTheme="minorEastAsia" w:hAnsiTheme="minorEastAsia"/>
          <w:szCs w:val="20"/>
        </w:rPr>
        <w:t>000</w:t>
      </w:r>
      <w:r w:rsidRPr="00960F82">
        <w:rPr>
          <w:rFonts w:asciiTheme="minorEastAsia" w:eastAsiaTheme="minorEastAsia" w:hAnsiTheme="minorEastAsia" w:hint="eastAsia"/>
          <w:szCs w:val="20"/>
        </w:rPr>
        <w:t>.00-55.00）</w:t>
      </w:r>
      <w:r w:rsidRPr="00960F82">
        <w:rPr>
          <w:rFonts w:asciiTheme="minorEastAsia" w:eastAsiaTheme="minorEastAsia" w:hAnsiTheme="minorEastAsia"/>
          <w:szCs w:val="20"/>
        </w:rPr>
        <w:t>×</w:t>
      </w:r>
      <w:r w:rsidRPr="00960F82">
        <w:rPr>
          <w:rFonts w:asciiTheme="minorEastAsia" w:eastAsiaTheme="minorEastAsia" w:hAnsiTheme="minorEastAsia" w:hint="eastAsia"/>
          <w:szCs w:val="20"/>
        </w:rPr>
        <w:t>0.</w:t>
      </w:r>
      <w:r w:rsidRPr="00960F82">
        <w:rPr>
          <w:rFonts w:asciiTheme="minorEastAsia" w:eastAsiaTheme="minorEastAsia" w:hAnsiTheme="minorEastAsia" w:hint="eastAsia"/>
        </w:rPr>
        <w:t>5</w:t>
      </w:r>
      <w:r w:rsidRPr="00960F82">
        <w:rPr>
          <w:rFonts w:asciiTheme="minorEastAsia" w:eastAsiaTheme="minorEastAsia" w:hAnsiTheme="minorEastAsia" w:hint="eastAsia"/>
          <w:szCs w:val="20"/>
        </w:rPr>
        <w:t>%</w:t>
      </w:r>
      <w:r w:rsidRPr="00960F82">
        <w:rPr>
          <w:rFonts w:asciiTheme="minorEastAsia" w:eastAsiaTheme="minorEastAsia" w:hAnsiTheme="minorEastAsia"/>
          <w:szCs w:val="20"/>
        </w:rPr>
        <w:t>÷</w:t>
      </w:r>
      <w:r w:rsidRPr="00960F82">
        <w:rPr>
          <w:rFonts w:asciiTheme="minorEastAsia" w:eastAsiaTheme="minorEastAsia" w:hAnsiTheme="minorEastAsia" w:hint="eastAsia"/>
          <w:szCs w:val="20"/>
        </w:rPr>
        <w:t>(1+0.</w:t>
      </w:r>
      <w:r w:rsidRPr="00960F82">
        <w:rPr>
          <w:rFonts w:asciiTheme="minorEastAsia" w:eastAsiaTheme="minorEastAsia" w:hAnsiTheme="minorEastAsia" w:hint="eastAsia"/>
        </w:rPr>
        <w:t>5</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rPr>
        <w:t>54.45</w:t>
      </w:r>
      <w:r w:rsidRPr="00960F82">
        <w:rPr>
          <w:rFonts w:asciiTheme="minorEastAsia" w:eastAsiaTheme="minorEastAsia" w:hAnsiTheme="minorEastAsia" w:hint="eastAsia"/>
          <w:szCs w:val="20"/>
        </w:rPr>
        <w:t>元</w:t>
      </w:r>
    </w:p>
    <w:p w:rsidR="001D2E2F" w:rsidRPr="00960F82" w:rsidRDefault="001D2E2F" w:rsidP="00084917">
      <w:pPr>
        <w:snapToGrid w:val="0"/>
        <w:spacing w:line="360" w:lineRule="auto"/>
        <w:ind w:firstLine="420"/>
        <w:rPr>
          <w:rFonts w:asciiTheme="minorEastAsia" w:eastAsiaTheme="minorEastAsia" w:hAnsiTheme="minorEastAsia"/>
          <w:szCs w:val="20"/>
        </w:rPr>
      </w:pPr>
      <w:r w:rsidRPr="00960F82">
        <w:rPr>
          <w:rFonts w:asciiTheme="minorEastAsia" w:eastAsiaTheme="minorEastAsia" w:hAnsiTheme="minorEastAsia"/>
          <w:szCs w:val="20"/>
        </w:rPr>
        <w:t>转换费＝转出基金赎回费+申购补差费=</w:t>
      </w:r>
      <w:r w:rsidRPr="00960F82">
        <w:rPr>
          <w:rFonts w:asciiTheme="minorEastAsia" w:eastAsiaTheme="minorEastAsia" w:hAnsiTheme="minorEastAsia" w:hint="eastAsia"/>
          <w:szCs w:val="20"/>
        </w:rPr>
        <w:t>55.00</w:t>
      </w:r>
      <w:r w:rsidRPr="00960F82">
        <w:rPr>
          <w:rFonts w:asciiTheme="minorEastAsia" w:eastAsiaTheme="minorEastAsia" w:hAnsiTheme="minorEastAsia"/>
          <w:szCs w:val="20"/>
        </w:rPr>
        <w:t>+</w:t>
      </w:r>
      <w:r w:rsidRPr="00960F82">
        <w:rPr>
          <w:rFonts w:asciiTheme="minorEastAsia" w:eastAsiaTheme="minorEastAsia" w:hAnsiTheme="minorEastAsia" w:hint="eastAsia"/>
        </w:rPr>
        <w:t>54.45</w:t>
      </w:r>
      <w:r w:rsidRPr="00960F82">
        <w:rPr>
          <w:rFonts w:asciiTheme="minorEastAsia" w:eastAsiaTheme="minorEastAsia" w:hAnsiTheme="minorEastAsia"/>
          <w:szCs w:val="20"/>
        </w:rPr>
        <w:t>＝</w:t>
      </w:r>
      <w:r w:rsidRPr="00960F82">
        <w:rPr>
          <w:rFonts w:asciiTheme="minorEastAsia" w:eastAsiaTheme="minorEastAsia" w:hAnsiTheme="minorEastAsia" w:hint="eastAsia"/>
        </w:rPr>
        <w:t>109.45</w:t>
      </w:r>
      <w:r w:rsidRPr="00960F82">
        <w:rPr>
          <w:rFonts w:asciiTheme="minorEastAsia" w:eastAsiaTheme="minorEastAsia" w:hAnsiTheme="minorEastAsia" w:hint="eastAsia"/>
          <w:szCs w:val="20"/>
        </w:rPr>
        <w:t>元</w:t>
      </w:r>
    </w:p>
    <w:p w:rsidR="001D2E2F" w:rsidRPr="00960F82" w:rsidRDefault="001D2E2F" w:rsidP="00084917">
      <w:pPr>
        <w:snapToGrid w:val="0"/>
        <w:spacing w:line="360" w:lineRule="auto"/>
        <w:ind w:firstLine="420"/>
        <w:rPr>
          <w:rFonts w:asciiTheme="minorEastAsia" w:eastAsiaTheme="minorEastAsia" w:hAnsiTheme="minorEastAsia"/>
          <w:szCs w:val="20"/>
        </w:rPr>
      </w:pPr>
      <w:r w:rsidRPr="00960F82">
        <w:rPr>
          <w:rFonts w:asciiTheme="minorEastAsia" w:eastAsiaTheme="minorEastAsia" w:hAnsiTheme="minorEastAsia" w:hint="eastAsia"/>
          <w:szCs w:val="20"/>
        </w:rPr>
        <w:t>转入金额=转换</w:t>
      </w:r>
      <w:r w:rsidRPr="00960F82">
        <w:rPr>
          <w:rFonts w:asciiTheme="minorEastAsia" w:eastAsiaTheme="minorEastAsia" w:hAnsiTheme="minorEastAsia"/>
          <w:szCs w:val="20"/>
        </w:rPr>
        <w:t>金额</w:t>
      </w:r>
      <w:r w:rsidRPr="00960F82">
        <w:rPr>
          <w:rFonts w:asciiTheme="minorEastAsia" w:eastAsiaTheme="minorEastAsia" w:hAnsiTheme="minorEastAsia" w:hint="eastAsia"/>
          <w:szCs w:val="20"/>
        </w:rPr>
        <w:t>—</w:t>
      </w:r>
      <w:r w:rsidRPr="00960F82">
        <w:rPr>
          <w:rFonts w:asciiTheme="minorEastAsia" w:eastAsiaTheme="minorEastAsia" w:hAnsiTheme="minorEastAsia"/>
          <w:szCs w:val="20"/>
        </w:rPr>
        <w:t>转换费</w:t>
      </w:r>
      <w:r w:rsidRPr="00960F82">
        <w:rPr>
          <w:rFonts w:asciiTheme="minorEastAsia" w:eastAsiaTheme="minorEastAsia" w:hAnsiTheme="minorEastAsia" w:hint="eastAsia"/>
          <w:szCs w:val="20"/>
        </w:rPr>
        <w:t>=</w:t>
      </w:r>
      <w:r w:rsidRPr="00960F82">
        <w:rPr>
          <w:rFonts w:asciiTheme="minorEastAsia" w:eastAsiaTheme="minorEastAsia" w:hAnsiTheme="minorEastAsia"/>
          <w:szCs w:val="20"/>
        </w:rPr>
        <w:t>1</w:t>
      </w:r>
      <w:r w:rsidRPr="00960F82">
        <w:rPr>
          <w:rFonts w:asciiTheme="minorEastAsia" w:eastAsiaTheme="minorEastAsia" w:hAnsiTheme="minorEastAsia" w:hint="eastAsia"/>
          <w:szCs w:val="20"/>
        </w:rPr>
        <w:t>1</w:t>
      </w:r>
      <w:r w:rsidRPr="00960F82">
        <w:rPr>
          <w:rFonts w:asciiTheme="minorEastAsia" w:eastAsiaTheme="minorEastAsia" w:hAnsiTheme="minorEastAsia" w:hint="eastAsia"/>
        </w:rPr>
        <w:t>,</w:t>
      </w:r>
      <w:r w:rsidRPr="00960F82">
        <w:rPr>
          <w:rFonts w:asciiTheme="minorEastAsia" w:eastAsiaTheme="minorEastAsia" w:hAnsiTheme="minorEastAsia"/>
          <w:szCs w:val="20"/>
        </w:rPr>
        <w:t>000</w:t>
      </w:r>
      <w:r w:rsidRPr="00960F82">
        <w:rPr>
          <w:rFonts w:asciiTheme="minorEastAsia" w:eastAsiaTheme="minorEastAsia" w:hAnsiTheme="minorEastAsia" w:hint="eastAsia"/>
          <w:szCs w:val="20"/>
        </w:rPr>
        <w:t>.00</w:t>
      </w:r>
      <w:r w:rsidRPr="00960F82">
        <w:rPr>
          <w:rFonts w:asciiTheme="minorEastAsia" w:eastAsiaTheme="minorEastAsia" w:hAnsiTheme="minorEastAsia" w:hint="eastAsia"/>
        </w:rPr>
        <w:t>-109.45</w:t>
      </w:r>
      <w:r w:rsidRPr="00960F82">
        <w:rPr>
          <w:rFonts w:asciiTheme="minorEastAsia" w:eastAsiaTheme="minorEastAsia" w:hAnsiTheme="minorEastAsia" w:hint="eastAsia"/>
          <w:szCs w:val="20"/>
        </w:rPr>
        <w:t>=10,8</w:t>
      </w:r>
      <w:r w:rsidRPr="00960F82">
        <w:rPr>
          <w:rFonts w:asciiTheme="minorEastAsia" w:eastAsiaTheme="minorEastAsia" w:hAnsiTheme="minorEastAsia" w:hint="eastAsia"/>
        </w:rPr>
        <w:t>90</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rPr>
        <w:t>55</w:t>
      </w:r>
      <w:r w:rsidRPr="00960F82">
        <w:rPr>
          <w:rFonts w:asciiTheme="minorEastAsia" w:eastAsiaTheme="minorEastAsia" w:hAnsiTheme="minorEastAsia" w:hint="eastAsia"/>
          <w:szCs w:val="20"/>
        </w:rPr>
        <w:t>元</w:t>
      </w:r>
    </w:p>
    <w:p w:rsidR="001D2E2F" w:rsidRPr="00960F82" w:rsidRDefault="001D2E2F" w:rsidP="00084917">
      <w:pPr>
        <w:snapToGrid w:val="0"/>
        <w:spacing w:line="360" w:lineRule="auto"/>
        <w:ind w:firstLine="420"/>
        <w:rPr>
          <w:rFonts w:asciiTheme="minorEastAsia" w:eastAsiaTheme="minorEastAsia" w:hAnsiTheme="minorEastAsia"/>
          <w:szCs w:val="20"/>
        </w:rPr>
      </w:pPr>
      <w:r w:rsidRPr="00960F82">
        <w:rPr>
          <w:rFonts w:asciiTheme="minorEastAsia" w:eastAsiaTheme="minorEastAsia" w:hAnsiTheme="minorEastAsia" w:hint="eastAsia"/>
          <w:szCs w:val="20"/>
        </w:rPr>
        <w:t>转入份额=转入金额</w:t>
      </w:r>
      <w:r w:rsidRPr="00960F82">
        <w:rPr>
          <w:rFonts w:asciiTheme="minorEastAsia" w:eastAsiaTheme="minorEastAsia" w:hAnsiTheme="minorEastAsia"/>
          <w:szCs w:val="20"/>
        </w:rPr>
        <w:t>÷</w:t>
      </w:r>
      <w:r w:rsidRPr="00960F82">
        <w:rPr>
          <w:rFonts w:asciiTheme="minorEastAsia" w:eastAsiaTheme="minorEastAsia" w:hAnsiTheme="minorEastAsia" w:hint="eastAsia"/>
          <w:szCs w:val="20"/>
        </w:rPr>
        <w:t>转入基金份额净值=10,8</w:t>
      </w:r>
      <w:r w:rsidRPr="00960F82">
        <w:rPr>
          <w:rFonts w:asciiTheme="minorEastAsia" w:eastAsiaTheme="minorEastAsia" w:hAnsiTheme="minorEastAsia" w:hint="eastAsia"/>
        </w:rPr>
        <w:t>90</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rPr>
        <w:t>55</w:t>
      </w:r>
      <w:r w:rsidRPr="00960F82">
        <w:rPr>
          <w:rFonts w:asciiTheme="minorEastAsia" w:eastAsiaTheme="minorEastAsia" w:hAnsiTheme="minorEastAsia"/>
          <w:szCs w:val="20"/>
        </w:rPr>
        <w:t>÷</w:t>
      </w:r>
      <w:r w:rsidRPr="00960F82">
        <w:rPr>
          <w:rFonts w:asciiTheme="minorEastAsia" w:eastAsiaTheme="minorEastAsia" w:hAnsiTheme="minorEastAsia" w:hint="eastAsia"/>
          <w:szCs w:val="20"/>
        </w:rPr>
        <w:t>1.020=10,6</w:t>
      </w:r>
      <w:r w:rsidRPr="00960F82">
        <w:rPr>
          <w:rFonts w:asciiTheme="minorEastAsia" w:eastAsiaTheme="minorEastAsia" w:hAnsiTheme="minorEastAsia" w:hint="eastAsia"/>
        </w:rPr>
        <w:t>77</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rPr>
        <w:t>01</w:t>
      </w:r>
      <w:r w:rsidRPr="00960F82">
        <w:rPr>
          <w:rFonts w:asciiTheme="minorEastAsia" w:eastAsiaTheme="minorEastAsia" w:hAnsiTheme="minorEastAsia" w:hint="eastAsia"/>
          <w:szCs w:val="20"/>
        </w:rPr>
        <w:t>份</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440"/>
        <w:gridCol w:w="1260"/>
        <w:gridCol w:w="1080"/>
        <w:gridCol w:w="1440"/>
        <w:gridCol w:w="1185"/>
        <w:gridCol w:w="1266"/>
      </w:tblGrid>
      <w:tr w:rsidR="00960F82" w:rsidRPr="00960F82" w:rsidTr="00A8776C">
        <w:trPr>
          <w:trHeight w:val="413"/>
        </w:trPr>
        <w:tc>
          <w:tcPr>
            <w:tcW w:w="1080" w:type="dxa"/>
            <w:vMerge w:val="restart"/>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转出</w:t>
            </w:r>
            <w:r w:rsidRPr="00960F82">
              <w:rPr>
                <w:rFonts w:asciiTheme="minorEastAsia" w:eastAsiaTheme="minorEastAsia" w:hAnsiTheme="minorEastAsia"/>
                <w:szCs w:val="20"/>
              </w:rPr>
              <w:t>份额</w:t>
            </w:r>
          </w:p>
        </w:tc>
        <w:tc>
          <w:tcPr>
            <w:tcW w:w="900" w:type="dxa"/>
            <w:vMerge w:val="restart"/>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转出</w:t>
            </w:r>
            <w:r w:rsidRPr="00960F82">
              <w:rPr>
                <w:rFonts w:asciiTheme="minorEastAsia" w:eastAsiaTheme="minorEastAsia" w:hAnsiTheme="minorEastAsia"/>
                <w:szCs w:val="20"/>
              </w:rPr>
              <w:t>基金</w:t>
            </w:r>
            <w:r w:rsidRPr="00960F82">
              <w:rPr>
                <w:rFonts w:asciiTheme="minorEastAsia" w:eastAsiaTheme="minorEastAsia" w:hAnsiTheme="minorEastAsia" w:hint="eastAsia"/>
                <w:szCs w:val="20"/>
              </w:rPr>
              <w:t>份额</w:t>
            </w:r>
            <w:r w:rsidRPr="00960F82">
              <w:rPr>
                <w:rFonts w:asciiTheme="minorEastAsia" w:eastAsiaTheme="minorEastAsia" w:hAnsiTheme="minorEastAsia"/>
                <w:szCs w:val="20"/>
              </w:rPr>
              <w:t>净值</w:t>
            </w:r>
          </w:p>
        </w:tc>
        <w:tc>
          <w:tcPr>
            <w:tcW w:w="1440" w:type="dxa"/>
            <w:vMerge w:val="restart"/>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转换金额</w:t>
            </w:r>
          </w:p>
        </w:tc>
        <w:tc>
          <w:tcPr>
            <w:tcW w:w="2340" w:type="dxa"/>
            <w:gridSpan w:val="2"/>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转换费</w:t>
            </w:r>
          </w:p>
        </w:tc>
        <w:tc>
          <w:tcPr>
            <w:tcW w:w="1440" w:type="dxa"/>
            <w:vMerge w:val="restart"/>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转入金额</w:t>
            </w:r>
          </w:p>
        </w:tc>
        <w:tc>
          <w:tcPr>
            <w:tcW w:w="1185" w:type="dxa"/>
            <w:vMerge w:val="restart"/>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转入</w:t>
            </w:r>
            <w:r w:rsidRPr="00960F82">
              <w:rPr>
                <w:rFonts w:asciiTheme="minorEastAsia" w:eastAsiaTheme="minorEastAsia" w:hAnsiTheme="minorEastAsia"/>
                <w:szCs w:val="20"/>
              </w:rPr>
              <w:t>基金</w:t>
            </w:r>
            <w:r w:rsidRPr="00960F82">
              <w:rPr>
                <w:rFonts w:asciiTheme="minorEastAsia" w:eastAsiaTheme="minorEastAsia" w:hAnsiTheme="minorEastAsia" w:hint="eastAsia"/>
                <w:szCs w:val="20"/>
              </w:rPr>
              <w:t>份额</w:t>
            </w:r>
            <w:r w:rsidRPr="00960F82">
              <w:rPr>
                <w:rFonts w:asciiTheme="minorEastAsia" w:eastAsiaTheme="minorEastAsia" w:hAnsiTheme="minorEastAsia"/>
                <w:szCs w:val="20"/>
              </w:rPr>
              <w:t>净值</w:t>
            </w:r>
          </w:p>
        </w:tc>
        <w:tc>
          <w:tcPr>
            <w:tcW w:w="1266" w:type="dxa"/>
            <w:vMerge w:val="restart"/>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转入份额</w:t>
            </w:r>
          </w:p>
        </w:tc>
      </w:tr>
      <w:tr w:rsidR="00960F82" w:rsidRPr="00960F82" w:rsidTr="00A8776C">
        <w:trPr>
          <w:trHeight w:val="412"/>
        </w:trPr>
        <w:tc>
          <w:tcPr>
            <w:tcW w:w="1080" w:type="dxa"/>
            <w:vMerge/>
          </w:tcPr>
          <w:p w:rsidR="001D2E2F" w:rsidRPr="00960F82" w:rsidRDefault="001D2E2F" w:rsidP="00084917">
            <w:pPr>
              <w:snapToGrid w:val="0"/>
              <w:spacing w:line="360" w:lineRule="auto"/>
              <w:ind w:firstLine="420"/>
              <w:rPr>
                <w:rFonts w:asciiTheme="minorEastAsia" w:eastAsiaTheme="minorEastAsia" w:hAnsiTheme="minorEastAsia"/>
                <w:szCs w:val="20"/>
              </w:rPr>
            </w:pPr>
          </w:p>
        </w:tc>
        <w:tc>
          <w:tcPr>
            <w:tcW w:w="900" w:type="dxa"/>
            <w:vMerge/>
          </w:tcPr>
          <w:p w:rsidR="001D2E2F" w:rsidRPr="00960F82" w:rsidRDefault="001D2E2F" w:rsidP="00084917">
            <w:pPr>
              <w:snapToGrid w:val="0"/>
              <w:spacing w:line="360" w:lineRule="auto"/>
              <w:ind w:firstLine="420"/>
              <w:rPr>
                <w:rFonts w:asciiTheme="minorEastAsia" w:eastAsiaTheme="minorEastAsia" w:hAnsiTheme="minorEastAsia"/>
                <w:szCs w:val="20"/>
              </w:rPr>
            </w:pPr>
          </w:p>
        </w:tc>
        <w:tc>
          <w:tcPr>
            <w:tcW w:w="1440" w:type="dxa"/>
            <w:vMerge/>
          </w:tcPr>
          <w:p w:rsidR="001D2E2F" w:rsidRPr="00960F82" w:rsidRDefault="001D2E2F" w:rsidP="00084917">
            <w:pPr>
              <w:snapToGrid w:val="0"/>
              <w:spacing w:line="360" w:lineRule="auto"/>
              <w:ind w:firstLine="420"/>
              <w:rPr>
                <w:rFonts w:asciiTheme="minorEastAsia" w:eastAsiaTheme="minorEastAsia" w:hAnsiTheme="minorEastAsia"/>
                <w:szCs w:val="20"/>
              </w:rPr>
            </w:pPr>
          </w:p>
        </w:tc>
        <w:tc>
          <w:tcPr>
            <w:tcW w:w="126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转出基金</w:t>
            </w:r>
            <w:r w:rsidRPr="00960F82">
              <w:rPr>
                <w:rFonts w:asciiTheme="minorEastAsia" w:eastAsiaTheme="minorEastAsia" w:hAnsiTheme="minorEastAsia"/>
                <w:szCs w:val="20"/>
              </w:rPr>
              <w:t>赎回费</w:t>
            </w:r>
          </w:p>
        </w:tc>
        <w:tc>
          <w:tcPr>
            <w:tcW w:w="108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申购</w:t>
            </w:r>
            <w:r w:rsidRPr="00960F82">
              <w:rPr>
                <w:rFonts w:asciiTheme="minorEastAsia" w:eastAsiaTheme="minorEastAsia" w:hAnsiTheme="minorEastAsia"/>
                <w:szCs w:val="20"/>
              </w:rPr>
              <w:t>补差费</w:t>
            </w:r>
          </w:p>
        </w:tc>
        <w:tc>
          <w:tcPr>
            <w:tcW w:w="1440" w:type="dxa"/>
            <w:vMerge/>
          </w:tcPr>
          <w:p w:rsidR="001D2E2F" w:rsidRPr="00960F82" w:rsidRDefault="001D2E2F" w:rsidP="00084917">
            <w:pPr>
              <w:snapToGrid w:val="0"/>
              <w:spacing w:line="360" w:lineRule="auto"/>
              <w:ind w:firstLine="420"/>
              <w:rPr>
                <w:rFonts w:asciiTheme="minorEastAsia" w:eastAsiaTheme="minorEastAsia" w:hAnsiTheme="minorEastAsia"/>
                <w:szCs w:val="20"/>
              </w:rPr>
            </w:pPr>
          </w:p>
        </w:tc>
        <w:tc>
          <w:tcPr>
            <w:tcW w:w="1185" w:type="dxa"/>
            <w:vMerge/>
          </w:tcPr>
          <w:p w:rsidR="001D2E2F" w:rsidRPr="00960F82" w:rsidRDefault="001D2E2F" w:rsidP="00084917">
            <w:pPr>
              <w:snapToGrid w:val="0"/>
              <w:spacing w:line="360" w:lineRule="auto"/>
              <w:ind w:firstLine="420"/>
              <w:rPr>
                <w:rFonts w:asciiTheme="minorEastAsia" w:eastAsiaTheme="minorEastAsia" w:hAnsiTheme="minorEastAsia"/>
                <w:szCs w:val="20"/>
              </w:rPr>
            </w:pPr>
          </w:p>
        </w:tc>
        <w:tc>
          <w:tcPr>
            <w:tcW w:w="1266" w:type="dxa"/>
            <w:vMerge/>
          </w:tcPr>
          <w:p w:rsidR="001D2E2F" w:rsidRPr="00960F82" w:rsidRDefault="001D2E2F" w:rsidP="00084917">
            <w:pPr>
              <w:snapToGrid w:val="0"/>
              <w:spacing w:line="360" w:lineRule="auto"/>
              <w:ind w:firstLine="420"/>
              <w:rPr>
                <w:rFonts w:asciiTheme="minorEastAsia" w:eastAsiaTheme="minorEastAsia" w:hAnsiTheme="minorEastAsia"/>
                <w:szCs w:val="20"/>
              </w:rPr>
            </w:pPr>
          </w:p>
        </w:tc>
      </w:tr>
      <w:tr w:rsidR="00960F82" w:rsidRPr="00960F82" w:rsidTr="00A8776C">
        <w:tc>
          <w:tcPr>
            <w:tcW w:w="108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szCs w:val="20"/>
              </w:rPr>
              <w:t>10,000</w:t>
            </w:r>
            <w:r w:rsidRPr="00960F82">
              <w:rPr>
                <w:rFonts w:asciiTheme="minorEastAsia" w:eastAsiaTheme="minorEastAsia" w:hAnsiTheme="minorEastAsia" w:hint="eastAsia"/>
                <w:szCs w:val="20"/>
              </w:rPr>
              <w:t>份</w:t>
            </w:r>
          </w:p>
        </w:tc>
        <w:tc>
          <w:tcPr>
            <w:tcW w:w="90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szCs w:val="20"/>
              </w:rPr>
              <w:t>1.</w:t>
            </w:r>
            <w:r w:rsidRPr="00960F82">
              <w:rPr>
                <w:rFonts w:asciiTheme="minorEastAsia" w:eastAsiaTheme="minorEastAsia" w:hAnsiTheme="minorEastAsia" w:hint="eastAsia"/>
                <w:szCs w:val="20"/>
              </w:rPr>
              <w:t>1</w:t>
            </w:r>
            <w:r w:rsidRPr="00960F82">
              <w:rPr>
                <w:rFonts w:asciiTheme="minorEastAsia" w:eastAsiaTheme="minorEastAsia" w:hAnsiTheme="minorEastAsia"/>
                <w:szCs w:val="20"/>
              </w:rPr>
              <w:t>0</w:t>
            </w:r>
            <w:r w:rsidRPr="00960F82">
              <w:rPr>
                <w:rFonts w:asciiTheme="minorEastAsia" w:eastAsiaTheme="minorEastAsia" w:hAnsiTheme="minorEastAsia" w:hint="eastAsia"/>
                <w:szCs w:val="20"/>
              </w:rPr>
              <w:t>00</w:t>
            </w:r>
            <w:r w:rsidRPr="00960F82">
              <w:rPr>
                <w:rFonts w:asciiTheme="minorEastAsia" w:eastAsiaTheme="minorEastAsia" w:hAnsiTheme="minorEastAsia"/>
                <w:szCs w:val="20"/>
              </w:rPr>
              <w:t>元</w:t>
            </w:r>
          </w:p>
        </w:tc>
        <w:tc>
          <w:tcPr>
            <w:tcW w:w="144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11,000.00元</w:t>
            </w:r>
          </w:p>
        </w:tc>
        <w:tc>
          <w:tcPr>
            <w:tcW w:w="126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55.00元</w:t>
            </w:r>
          </w:p>
        </w:tc>
        <w:tc>
          <w:tcPr>
            <w:tcW w:w="108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rPr>
              <w:t>54.45</w:t>
            </w:r>
            <w:r w:rsidRPr="00960F82">
              <w:rPr>
                <w:rFonts w:asciiTheme="minorEastAsia" w:eastAsiaTheme="minorEastAsia" w:hAnsiTheme="minorEastAsia" w:hint="eastAsia"/>
                <w:szCs w:val="20"/>
              </w:rPr>
              <w:t>元</w:t>
            </w:r>
          </w:p>
        </w:tc>
        <w:tc>
          <w:tcPr>
            <w:tcW w:w="1440"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10,8</w:t>
            </w:r>
            <w:r w:rsidRPr="00960F82">
              <w:rPr>
                <w:rFonts w:asciiTheme="minorEastAsia" w:eastAsiaTheme="minorEastAsia" w:hAnsiTheme="minorEastAsia" w:hint="eastAsia"/>
              </w:rPr>
              <w:t>90</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rPr>
              <w:t>55</w:t>
            </w:r>
            <w:r w:rsidRPr="00960F82">
              <w:rPr>
                <w:rFonts w:asciiTheme="minorEastAsia" w:eastAsiaTheme="minorEastAsia" w:hAnsiTheme="minorEastAsia" w:hint="eastAsia"/>
                <w:szCs w:val="20"/>
              </w:rPr>
              <w:t>元</w:t>
            </w:r>
          </w:p>
        </w:tc>
        <w:tc>
          <w:tcPr>
            <w:tcW w:w="1185"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1.020元</w:t>
            </w:r>
          </w:p>
        </w:tc>
        <w:tc>
          <w:tcPr>
            <w:tcW w:w="1266" w:type="dxa"/>
          </w:tcPr>
          <w:p w:rsidR="001D2E2F" w:rsidRPr="00960F82" w:rsidRDefault="001D2E2F" w:rsidP="00084917">
            <w:pPr>
              <w:snapToGrid w:val="0"/>
              <w:spacing w:line="360" w:lineRule="auto"/>
              <w:ind w:leftChars="-45" w:left="-94" w:rightChars="-57" w:right="-120"/>
              <w:jc w:val="center"/>
              <w:rPr>
                <w:rFonts w:asciiTheme="minorEastAsia" w:eastAsiaTheme="minorEastAsia" w:hAnsiTheme="minorEastAsia"/>
                <w:szCs w:val="20"/>
              </w:rPr>
            </w:pPr>
            <w:r w:rsidRPr="00960F82">
              <w:rPr>
                <w:rFonts w:asciiTheme="minorEastAsia" w:eastAsiaTheme="minorEastAsia" w:hAnsiTheme="minorEastAsia" w:hint="eastAsia"/>
                <w:szCs w:val="20"/>
              </w:rPr>
              <w:t>10,6</w:t>
            </w:r>
            <w:r w:rsidRPr="00960F82">
              <w:rPr>
                <w:rFonts w:asciiTheme="minorEastAsia" w:eastAsiaTheme="minorEastAsia" w:hAnsiTheme="minorEastAsia" w:hint="eastAsia"/>
              </w:rPr>
              <w:t>77</w:t>
            </w:r>
            <w:r w:rsidRPr="00960F82">
              <w:rPr>
                <w:rFonts w:asciiTheme="minorEastAsia" w:eastAsiaTheme="minorEastAsia" w:hAnsiTheme="minorEastAsia" w:hint="eastAsia"/>
                <w:szCs w:val="20"/>
              </w:rPr>
              <w:t>.</w:t>
            </w:r>
            <w:r w:rsidRPr="00960F82">
              <w:rPr>
                <w:rFonts w:asciiTheme="minorEastAsia" w:eastAsiaTheme="minorEastAsia" w:hAnsiTheme="minorEastAsia" w:hint="eastAsia"/>
              </w:rPr>
              <w:t>01</w:t>
            </w:r>
            <w:r w:rsidRPr="00960F82">
              <w:rPr>
                <w:rFonts w:asciiTheme="minorEastAsia" w:eastAsiaTheme="minorEastAsia" w:hAnsiTheme="minorEastAsia" w:hint="eastAsia"/>
                <w:szCs w:val="20"/>
              </w:rPr>
              <w:t>份</w:t>
            </w:r>
          </w:p>
        </w:tc>
      </w:tr>
    </w:tbl>
    <w:p w:rsidR="00083CDE" w:rsidRPr="00960F82" w:rsidRDefault="00083CDE" w:rsidP="00083CDE">
      <w:pPr>
        <w:adjustRightInd w:val="0"/>
        <w:snapToGrid w:val="0"/>
        <w:spacing w:line="360" w:lineRule="auto"/>
        <w:ind w:left="-420" w:firstLine="420"/>
        <w:rPr>
          <w:rFonts w:asciiTheme="minorEastAsia" w:eastAsiaTheme="minorEastAsia" w:hAnsiTheme="minorEastAsia"/>
        </w:rPr>
      </w:pPr>
      <w:r w:rsidRPr="00960F82">
        <w:rPr>
          <w:rFonts w:asciiTheme="minorEastAsia" w:eastAsiaTheme="minorEastAsia" w:hAnsiTheme="minorEastAsia" w:hint="eastAsia"/>
        </w:rPr>
        <w:t>注：本基金转出至易方达平稳增长混合、易方达策略成长混合、易方达上证</w:t>
      </w:r>
      <w:r w:rsidRPr="00960F82">
        <w:rPr>
          <w:rFonts w:asciiTheme="minorEastAsia" w:eastAsiaTheme="minorEastAsia" w:hAnsiTheme="minorEastAsia"/>
        </w:rPr>
        <w:t>50</w:t>
      </w:r>
      <w:r w:rsidRPr="00960F82">
        <w:rPr>
          <w:rFonts w:asciiTheme="minorEastAsia" w:eastAsiaTheme="minorEastAsia" w:hAnsiTheme="minorEastAsia" w:hint="eastAsia"/>
        </w:rPr>
        <w:t>指数、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960F82">
        <w:rPr>
          <w:rFonts w:asciiTheme="minorEastAsia" w:eastAsiaTheme="minorEastAsia" w:hAnsiTheme="minorEastAsia"/>
        </w:rPr>
        <w:t>1</w:t>
      </w:r>
      <w:r w:rsidRPr="00960F82">
        <w:rPr>
          <w:rFonts w:asciiTheme="minorEastAsia" w:eastAsiaTheme="minorEastAsia" w:hAnsiTheme="minorEastAsia" w:hint="eastAsia"/>
        </w:rPr>
        <w:t>年定期开放债券、易方达高等级信用债债券、易方达裕丰回报债券、易方达丰华债券、易方达投资级信用债债券、易方达恒久</w:t>
      </w:r>
      <w:r w:rsidRPr="00960F82">
        <w:rPr>
          <w:rFonts w:asciiTheme="minorEastAsia" w:eastAsiaTheme="minorEastAsia" w:hAnsiTheme="minorEastAsia"/>
        </w:rPr>
        <w:t>1</w:t>
      </w:r>
      <w:r w:rsidRPr="00960F82">
        <w:rPr>
          <w:rFonts w:asciiTheme="minorEastAsia" w:eastAsiaTheme="minorEastAsia" w:hAnsiTheme="minorEastAsia" w:hint="eastAsia"/>
        </w:rPr>
        <w:t>年定期债券、易方达黄金</w:t>
      </w:r>
      <w:r w:rsidRPr="00960F82">
        <w:rPr>
          <w:rFonts w:asciiTheme="minorEastAsia" w:eastAsiaTheme="minorEastAsia" w:hAnsiTheme="minorEastAsia"/>
        </w:rPr>
        <w:t>ETF</w:t>
      </w:r>
      <w:r w:rsidRPr="00960F82">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960F82">
        <w:rPr>
          <w:rFonts w:asciiTheme="minorEastAsia" w:eastAsiaTheme="minorEastAsia" w:hAnsiTheme="minorEastAsia"/>
        </w:rPr>
        <w:t>300</w:t>
      </w:r>
      <w:r w:rsidRPr="00960F82">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Pr="00960F82">
        <w:rPr>
          <w:rFonts w:asciiTheme="minorEastAsia" w:eastAsiaTheme="minorEastAsia" w:hAnsiTheme="minorEastAsia"/>
        </w:rPr>
        <w:t>300</w:t>
      </w:r>
      <w:r w:rsidRPr="00960F82">
        <w:rPr>
          <w:rFonts w:asciiTheme="minorEastAsia" w:eastAsiaTheme="minorEastAsia" w:hAnsiTheme="minorEastAsia" w:hint="eastAsia"/>
        </w:rPr>
        <w:t>医药</w:t>
      </w:r>
      <w:r w:rsidRPr="00960F82">
        <w:rPr>
          <w:rFonts w:asciiTheme="minorEastAsia" w:eastAsiaTheme="minorEastAsia" w:hAnsiTheme="minorEastAsia"/>
        </w:rPr>
        <w:t>ETF</w:t>
      </w:r>
      <w:r w:rsidRPr="00960F82">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960F82">
        <w:rPr>
          <w:rFonts w:asciiTheme="minorEastAsia" w:eastAsiaTheme="minorEastAsia" w:hAnsiTheme="minorEastAsia"/>
        </w:rPr>
        <w:t>3-5</w:t>
      </w:r>
      <w:r w:rsidRPr="00960F82">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960F82">
        <w:rPr>
          <w:rFonts w:asciiTheme="minorEastAsia" w:eastAsiaTheme="minorEastAsia" w:hAnsiTheme="minorEastAsia"/>
        </w:rPr>
        <w:t>6</w:t>
      </w:r>
      <w:r w:rsidRPr="00960F82">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960F82">
        <w:rPr>
          <w:rFonts w:asciiTheme="minorEastAsia" w:eastAsiaTheme="minorEastAsia" w:hAnsiTheme="minorEastAsia"/>
        </w:rPr>
        <w:t>7-10</w:t>
      </w:r>
      <w:r w:rsidRPr="00960F82">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960F82">
        <w:rPr>
          <w:rFonts w:asciiTheme="minorEastAsia" w:eastAsiaTheme="minorEastAsia" w:hAnsiTheme="minorEastAsia"/>
        </w:rPr>
        <w:t>MSCI</w:t>
      </w:r>
      <w:r w:rsidRPr="00960F82">
        <w:rPr>
          <w:rFonts w:asciiTheme="minorEastAsia" w:eastAsiaTheme="minorEastAsia" w:hAnsiTheme="minorEastAsia" w:hint="eastAsia"/>
        </w:rPr>
        <w:t>中国</w:t>
      </w:r>
      <w:r w:rsidRPr="00960F82">
        <w:rPr>
          <w:rFonts w:asciiTheme="minorEastAsia" w:eastAsiaTheme="minorEastAsia" w:hAnsiTheme="minorEastAsia"/>
        </w:rPr>
        <w:t>A</w:t>
      </w:r>
      <w:r w:rsidRPr="00960F82">
        <w:rPr>
          <w:rFonts w:asciiTheme="minorEastAsia" w:eastAsiaTheme="minorEastAsia" w:hAnsiTheme="minorEastAsia" w:hint="eastAsia"/>
        </w:rPr>
        <w:t>股国际通</w:t>
      </w:r>
      <w:r w:rsidRPr="00960F82">
        <w:rPr>
          <w:rFonts w:asciiTheme="minorEastAsia" w:eastAsiaTheme="minorEastAsia" w:hAnsiTheme="minorEastAsia"/>
        </w:rPr>
        <w:t>ETF</w:t>
      </w:r>
      <w:r w:rsidRPr="00960F82">
        <w:rPr>
          <w:rFonts w:asciiTheme="minorEastAsia" w:eastAsiaTheme="minorEastAsia" w:hAnsiTheme="minorEastAsia" w:hint="eastAsia"/>
        </w:rPr>
        <w:t>联接发起式、易方达中证</w:t>
      </w:r>
      <w:r w:rsidRPr="00960F82">
        <w:rPr>
          <w:rFonts w:asciiTheme="minorEastAsia" w:eastAsiaTheme="minorEastAsia" w:hAnsiTheme="minorEastAsia"/>
        </w:rPr>
        <w:t>500ETF</w:t>
      </w:r>
      <w:r w:rsidRPr="00960F82">
        <w:rPr>
          <w:rFonts w:asciiTheme="minorEastAsia" w:eastAsiaTheme="minorEastAsia" w:hAnsiTheme="minorEastAsia" w:hint="eastAsia"/>
        </w:rPr>
        <w:t>联接发起式、易方达恒利</w:t>
      </w:r>
      <w:r w:rsidRPr="00960F82">
        <w:rPr>
          <w:rFonts w:asciiTheme="minorEastAsia" w:eastAsiaTheme="minorEastAsia" w:hAnsiTheme="minorEastAsia"/>
        </w:rPr>
        <w:t>3</w:t>
      </w:r>
      <w:r w:rsidRPr="00960F82">
        <w:rPr>
          <w:rFonts w:asciiTheme="minorEastAsia" w:eastAsiaTheme="minorEastAsia" w:hAnsiTheme="minorEastAsia" w:hint="eastAsia"/>
        </w:rPr>
        <w:t>个月定开债券发起式、易方达中债</w:t>
      </w:r>
      <w:r w:rsidRPr="00960F82">
        <w:rPr>
          <w:rFonts w:asciiTheme="minorEastAsia" w:eastAsiaTheme="minorEastAsia" w:hAnsiTheme="minorEastAsia"/>
        </w:rPr>
        <w:t>1-3</w:t>
      </w:r>
      <w:r w:rsidRPr="00960F82">
        <w:rPr>
          <w:rFonts w:asciiTheme="minorEastAsia" w:eastAsiaTheme="minorEastAsia" w:hAnsiTheme="minorEastAsia" w:hint="eastAsia"/>
        </w:rPr>
        <w:t>年国开行债券指数、易方达中债</w:t>
      </w:r>
      <w:r w:rsidRPr="00960F82">
        <w:rPr>
          <w:rFonts w:asciiTheme="minorEastAsia" w:eastAsiaTheme="minorEastAsia" w:hAnsiTheme="minorEastAsia"/>
        </w:rPr>
        <w:t>3-5</w:t>
      </w:r>
      <w:r w:rsidRPr="00960F82">
        <w:rPr>
          <w:rFonts w:asciiTheme="minorEastAsia" w:eastAsiaTheme="minorEastAsia" w:hAnsiTheme="minorEastAsia" w:hint="eastAsia"/>
        </w:rPr>
        <w:t>年国开行债券指数、易方达中债</w:t>
      </w:r>
      <w:r w:rsidRPr="00960F82">
        <w:rPr>
          <w:rFonts w:asciiTheme="minorEastAsia" w:eastAsiaTheme="minorEastAsia" w:hAnsiTheme="minorEastAsia"/>
        </w:rPr>
        <w:t>1-3</w:t>
      </w:r>
      <w:r w:rsidRPr="00960F82">
        <w:rPr>
          <w:rFonts w:asciiTheme="minorEastAsia" w:eastAsiaTheme="minorEastAsia" w:hAnsiTheme="minorEastAsia" w:hint="eastAsia"/>
        </w:rPr>
        <w:t>年政金债指数、易方达中债</w:t>
      </w:r>
      <w:r w:rsidRPr="00960F82">
        <w:rPr>
          <w:rFonts w:asciiTheme="minorEastAsia" w:eastAsiaTheme="minorEastAsia" w:hAnsiTheme="minorEastAsia"/>
        </w:rPr>
        <w:t>3-5</w:t>
      </w:r>
      <w:r w:rsidRPr="00960F82">
        <w:rPr>
          <w:rFonts w:asciiTheme="minorEastAsia" w:eastAsiaTheme="minorEastAsia" w:hAnsiTheme="minorEastAsia" w:hint="eastAsia"/>
        </w:rPr>
        <w:t>年政金债指数、易方达上证</w:t>
      </w:r>
      <w:r w:rsidRPr="00960F82">
        <w:rPr>
          <w:rFonts w:asciiTheme="minorEastAsia" w:eastAsiaTheme="minorEastAsia" w:hAnsiTheme="minorEastAsia"/>
        </w:rPr>
        <w:t>50ETF</w:t>
      </w:r>
      <w:r w:rsidRPr="00960F82">
        <w:rPr>
          <w:rFonts w:asciiTheme="minorEastAsia" w:eastAsiaTheme="minorEastAsia" w:hAnsiTheme="minorEastAsia" w:hint="eastAsia"/>
        </w:rPr>
        <w:t>联接发起式、易方达</w:t>
      </w:r>
      <w:r w:rsidRPr="00960F82">
        <w:rPr>
          <w:rFonts w:asciiTheme="minorEastAsia" w:eastAsiaTheme="minorEastAsia" w:hAnsiTheme="minorEastAsia"/>
        </w:rPr>
        <w:t>ESG</w:t>
      </w:r>
      <w:r w:rsidRPr="00960F82">
        <w:rPr>
          <w:rFonts w:asciiTheme="minorEastAsia" w:eastAsiaTheme="minorEastAsia" w:hAnsiTheme="minorEastAsia" w:hint="eastAsia"/>
        </w:rPr>
        <w:t>责任投资股票发起式、易方达中证</w:t>
      </w:r>
      <w:r w:rsidRPr="00960F82">
        <w:rPr>
          <w:rFonts w:asciiTheme="minorEastAsia" w:eastAsiaTheme="minorEastAsia" w:hAnsiTheme="minorEastAsia"/>
        </w:rPr>
        <w:t>800ETF</w:t>
      </w:r>
      <w:r w:rsidRPr="00960F82">
        <w:rPr>
          <w:rFonts w:asciiTheme="minorEastAsia" w:eastAsiaTheme="minorEastAsia" w:hAnsiTheme="minorEastAsia" w:hint="eastAsia"/>
        </w:rPr>
        <w:t>联接发起式、易方达价值精选混合、易方达价值成长混合、易方达中小盘混合、易方达科汇灵活配置混合、易</w:t>
      </w:r>
      <w:r w:rsidRPr="00960F82">
        <w:rPr>
          <w:rFonts w:asciiTheme="minorEastAsia" w:eastAsiaTheme="minorEastAsia" w:hAnsiTheme="minorEastAsia" w:hint="eastAsia"/>
        </w:rPr>
        <w:lastRenderedPageBreak/>
        <w:t>方达科翔混合、易方达行业领先混合、易方达增强回报债券、易方达深证</w:t>
      </w:r>
      <w:r w:rsidRPr="00960F82">
        <w:rPr>
          <w:rFonts w:asciiTheme="minorEastAsia" w:eastAsiaTheme="minorEastAsia" w:hAnsiTheme="minorEastAsia"/>
        </w:rPr>
        <w:t>100ETF</w:t>
      </w:r>
      <w:r w:rsidRPr="00960F82">
        <w:rPr>
          <w:rFonts w:asciiTheme="minorEastAsia" w:eastAsiaTheme="minorEastAsia" w:hAnsiTheme="minorEastAsia" w:hint="eastAsia"/>
        </w:rPr>
        <w:t>联接、易方达沪深</w:t>
      </w:r>
      <w:r w:rsidRPr="00960F82">
        <w:rPr>
          <w:rFonts w:asciiTheme="minorEastAsia" w:eastAsiaTheme="minorEastAsia" w:hAnsiTheme="minorEastAsia"/>
        </w:rPr>
        <w:t>300ETF</w:t>
      </w:r>
      <w:r w:rsidRPr="00960F82">
        <w:rPr>
          <w:rFonts w:asciiTheme="minorEastAsia" w:eastAsiaTheme="minorEastAsia" w:hAnsiTheme="minorEastAsia" w:hint="eastAsia"/>
        </w:rPr>
        <w:t>发起式联接、易方达上证中盘</w:t>
      </w:r>
      <w:r w:rsidRPr="00960F82">
        <w:rPr>
          <w:rFonts w:asciiTheme="minorEastAsia" w:eastAsiaTheme="minorEastAsia" w:hAnsiTheme="minorEastAsia"/>
        </w:rPr>
        <w:t>ETF</w:t>
      </w:r>
      <w:r w:rsidRPr="00960F82">
        <w:rPr>
          <w:rFonts w:asciiTheme="minorEastAsia" w:eastAsiaTheme="minorEastAsia" w:hAnsiTheme="minorEastAsia" w:hint="eastAsia"/>
        </w:rPr>
        <w:t>联接、易方达消费行业股票、易方达医疗保健行业混合、易方达资源行业混合、易方达创业板</w:t>
      </w:r>
      <w:r w:rsidRPr="00960F82">
        <w:rPr>
          <w:rFonts w:asciiTheme="minorEastAsia" w:eastAsiaTheme="minorEastAsia" w:hAnsiTheme="minorEastAsia"/>
        </w:rPr>
        <w:t>ETF</w:t>
      </w:r>
      <w:r w:rsidRPr="00960F82">
        <w:rPr>
          <w:rFonts w:asciiTheme="minorEastAsia" w:eastAsiaTheme="minorEastAsia" w:hAnsiTheme="minorEastAsia" w:hint="eastAsia"/>
        </w:rPr>
        <w:t>联接、易方达安心回报债券、易方达科讯混合、易方达沪深</w:t>
      </w:r>
      <w:r w:rsidRPr="00960F82">
        <w:rPr>
          <w:rFonts w:asciiTheme="minorEastAsia" w:eastAsiaTheme="minorEastAsia" w:hAnsiTheme="minorEastAsia"/>
        </w:rPr>
        <w:t>300</w:t>
      </w:r>
      <w:r w:rsidRPr="00960F82">
        <w:rPr>
          <w:rFonts w:asciiTheme="minorEastAsia" w:eastAsiaTheme="minorEastAsia" w:hAnsiTheme="minorEastAsia" w:hint="eastAsia"/>
        </w:rPr>
        <w:t>量化增强、易方达双债增强债券、易方达纯债债券、易方达月月利理财债券、易方达安源中短债债券、易方达策略成长二号混合</w:t>
      </w:r>
      <w:r w:rsidR="00024AB3" w:rsidRPr="00960F82">
        <w:rPr>
          <w:rFonts w:asciiTheme="minorEastAsia" w:eastAsiaTheme="minorEastAsia" w:hAnsiTheme="minorEastAsia" w:hint="eastAsia"/>
        </w:rPr>
        <w:t>、易方达易理财货币</w:t>
      </w:r>
      <w:r w:rsidRPr="00960F82">
        <w:rPr>
          <w:rFonts w:asciiTheme="minorEastAsia" w:eastAsiaTheme="minorEastAsia" w:hAnsiTheme="minorEastAsia" w:hint="eastAsia"/>
        </w:rPr>
        <w:t>时，转入份额的计算结果保留到小数点后两位，小数点后两位以后的部分四舍五入，由此误差产生的损失由基金财产承担，产生的收益归基金财产所有。</w:t>
      </w:r>
    </w:p>
    <w:p w:rsidR="001D2E2F" w:rsidRPr="00960F82" w:rsidRDefault="00C64778"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T日的基金份额净值在当天收市后计算，并在T+1日内公告。遇特殊情况，可以适当延迟计算或公告。其计算公式为：</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基金份额净值=计算日基金资产净值÷计算日基金总份额</w:t>
      </w:r>
    </w:p>
    <w:p w:rsidR="001D2E2F" w:rsidRPr="00960F82" w:rsidRDefault="00C64778" w:rsidP="00084917">
      <w:p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ab/>
        <w:t>5、</w:t>
      </w:r>
      <w:r w:rsidR="001D2E2F" w:rsidRPr="00960F82">
        <w:rPr>
          <w:rFonts w:asciiTheme="minorEastAsia" w:eastAsiaTheme="minorEastAsia" w:hAnsiTheme="minorEastAsia" w:hint="eastAsia"/>
        </w:rPr>
        <w:t>本基金的申购费由申购人承担，不计入基金财产；本基金的赎回费由赎回人承担，</w:t>
      </w:r>
      <w:r w:rsidR="00117EDD" w:rsidRPr="00960F82">
        <w:rPr>
          <w:rFonts w:asciiTheme="minorEastAsia" w:eastAsiaTheme="minorEastAsia" w:hAnsiTheme="minorEastAsia" w:hint="eastAsia"/>
          <w:szCs w:val="21"/>
        </w:rPr>
        <w:t>在基金份额持有人赎回基金份额时收取，对持有期少于7天（不含）的基金份额持有人所收取赎回费全额计入基金财产，对持有期在7天以上（含）的基金份额持有人所收取赎回费用总额的25%计入基金资产，</w:t>
      </w:r>
      <w:r w:rsidR="001D2E2F" w:rsidRPr="00960F82">
        <w:rPr>
          <w:rFonts w:asciiTheme="minorEastAsia" w:eastAsiaTheme="minorEastAsia" w:hAnsiTheme="minorEastAsia" w:hint="eastAsia"/>
        </w:rPr>
        <w:t>余额为注册登记费和其他手续费。本基金的转换费用由投资者承担，</w:t>
      </w:r>
      <w:r w:rsidR="001D2E2F" w:rsidRPr="00960F82">
        <w:rPr>
          <w:rFonts w:asciiTheme="minorEastAsia" w:eastAsiaTheme="minorEastAsia" w:hAnsiTheme="minorEastAsia" w:hint="eastAsia"/>
          <w:szCs w:val="21"/>
        </w:rPr>
        <w:t>基金转换费用由转出基金赎回费用和基金申购补差费用构成，其中转出基金赎回费</w:t>
      </w:r>
      <w:r w:rsidR="005B3411" w:rsidRPr="00960F82">
        <w:rPr>
          <w:rFonts w:asciiTheme="minorEastAsia" w:eastAsiaTheme="minorEastAsia" w:hAnsiTheme="minorEastAsia" w:hint="eastAsia"/>
        </w:rPr>
        <w:t>按照</w:t>
      </w:r>
      <w:r w:rsidR="00E5015A" w:rsidRPr="00960F82">
        <w:rPr>
          <w:rFonts w:asciiTheme="minorEastAsia" w:eastAsiaTheme="minorEastAsia" w:hAnsiTheme="minorEastAsia" w:hint="eastAsia"/>
        </w:rPr>
        <w:t>各</w:t>
      </w:r>
      <w:r w:rsidR="00E5015A" w:rsidRPr="00960F82">
        <w:rPr>
          <w:rFonts w:asciiTheme="minorEastAsia" w:eastAsiaTheme="minorEastAsia" w:hAnsiTheme="minorEastAsia"/>
        </w:rPr>
        <w:t>基金的</w:t>
      </w:r>
      <w:r w:rsidR="005B3411" w:rsidRPr="00960F82">
        <w:rPr>
          <w:rFonts w:asciiTheme="minorEastAsia" w:eastAsiaTheme="minorEastAsia" w:hAnsiTheme="minorEastAsia" w:hint="eastAsia"/>
        </w:rPr>
        <w:t>基金合同、更新的招募说明书及最新的相关公告约定的比例归入基金财产</w:t>
      </w:r>
      <w:r w:rsidR="001D2E2F" w:rsidRPr="00960F82">
        <w:rPr>
          <w:rFonts w:asciiTheme="minorEastAsia" w:eastAsiaTheme="minorEastAsia" w:hAnsiTheme="minorEastAsia" w:hint="eastAsia"/>
          <w:szCs w:val="21"/>
        </w:rPr>
        <w:t>，其余部分用于支付注册登记费等相关手续费</w:t>
      </w:r>
      <w:r w:rsidR="00FA72AE" w:rsidRPr="00960F82">
        <w:rPr>
          <w:rFonts w:asciiTheme="minorEastAsia" w:eastAsiaTheme="minorEastAsia" w:hAnsiTheme="minorEastAsia" w:hint="eastAsia"/>
          <w:szCs w:val="21"/>
        </w:rPr>
        <w:t>，</w:t>
      </w:r>
      <w:r w:rsidR="001D2E2F" w:rsidRPr="00960F82">
        <w:rPr>
          <w:rFonts w:asciiTheme="minorEastAsia" w:eastAsiaTheme="minorEastAsia" w:hAnsiTheme="minorEastAsia"/>
          <w:szCs w:val="21"/>
        </w:rPr>
        <w:t>转换费率</w:t>
      </w:r>
      <w:r w:rsidR="001D2E2F" w:rsidRPr="00960F82">
        <w:rPr>
          <w:rFonts w:asciiTheme="minorEastAsia" w:eastAsiaTheme="minorEastAsia" w:hAnsiTheme="minorEastAsia" w:hint="eastAsia"/>
          <w:szCs w:val="21"/>
        </w:rPr>
        <w:t>详见相关公告。</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szCs w:val="21"/>
        </w:rPr>
      </w:pPr>
      <w:bookmarkStart w:id="36" w:name="_Toc30161780"/>
      <w:r w:rsidRPr="00960F82">
        <w:rPr>
          <w:rFonts w:asciiTheme="minorEastAsia" w:eastAsiaTheme="minorEastAsia" w:hAnsiTheme="minorEastAsia" w:hint="eastAsia"/>
          <w:bCs/>
        </w:rPr>
        <w:t>（八）</w:t>
      </w:r>
      <w:r w:rsidRPr="00960F82">
        <w:rPr>
          <w:rFonts w:asciiTheme="minorEastAsia" w:eastAsiaTheme="minorEastAsia" w:hAnsiTheme="minorEastAsia" w:hint="eastAsia"/>
          <w:bCs/>
          <w:szCs w:val="20"/>
        </w:rPr>
        <w:t>申购、赎回和转换的注册登记</w:t>
      </w:r>
      <w:bookmarkEnd w:id="36"/>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正常情况下，投资者申购基金份额成功后，基金注册登记机构在T+1工作日为投资者增加权益并办理注册登记手续，投资者自T+2工作日起有权赎回该部分基金份额。</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投资者赎回基金份额成功后，基金注册登记机构在T+1工作日为投资者扣除权益并办理相应的注册登记手续。</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rPr>
        <w:t>投资者申请基金转换成功后</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基金注册登记机构在T＋1工作日为投资者办理减少转出基金份额、增加转入基金份额的权益登记手续</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一般情况下</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投资者自T＋2工作日起有权赎回转入部分的基金</w:t>
      </w:r>
      <w:r w:rsidR="001D2E2F" w:rsidRPr="00960F82">
        <w:rPr>
          <w:rFonts w:asciiTheme="minorEastAsia" w:eastAsiaTheme="minorEastAsia" w:hAnsiTheme="minorEastAsia" w:hint="eastAsia"/>
        </w:rPr>
        <w:t>份额</w:t>
      </w:r>
      <w:r w:rsidR="001D2E2F" w:rsidRPr="00960F82">
        <w:rPr>
          <w:rFonts w:asciiTheme="minorEastAsia" w:eastAsiaTheme="minorEastAsia" w:hAnsiTheme="minorEastAsia"/>
        </w:rPr>
        <w:t>。</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基金管理人可在法律法规允许的范围内，对上述注册登记办理时间进行调整，并最迟于开始实施前三个工作日予以公告。</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7" w:name="_Toc30161781"/>
      <w:r w:rsidRPr="00960F82">
        <w:rPr>
          <w:rFonts w:asciiTheme="minorEastAsia" w:eastAsiaTheme="minorEastAsia" w:hAnsiTheme="minorEastAsia" w:hint="eastAsia"/>
          <w:bCs/>
        </w:rPr>
        <w:t>（九）</w:t>
      </w:r>
      <w:r w:rsidRPr="00960F82">
        <w:rPr>
          <w:rFonts w:asciiTheme="minorEastAsia" w:eastAsiaTheme="minorEastAsia" w:hAnsiTheme="minorEastAsia" w:hint="eastAsia"/>
          <w:bCs/>
          <w:szCs w:val="20"/>
        </w:rPr>
        <w:t>巨额赎回的认定及处理方式</w:t>
      </w:r>
      <w:bookmarkEnd w:id="37"/>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巨额赎回的认定</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szCs w:val="21"/>
        </w:rPr>
        <w:t>单个开放日中</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本基金的基金</w:t>
      </w:r>
      <w:r w:rsidRPr="00960F82">
        <w:rPr>
          <w:rFonts w:asciiTheme="minorEastAsia" w:eastAsiaTheme="minorEastAsia" w:hAnsiTheme="minorEastAsia" w:hint="eastAsia"/>
          <w:szCs w:val="21"/>
        </w:rPr>
        <w:t>份额</w:t>
      </w:r>
      <w:r w:rsidRPr="00960F82">
        <w:rPr>
          <w:rFonts w:asciiTheme="minorEastAsia" w:eastAsiaTheme="minorEastAsia" w:hAnsiTheme="minorEastAsia"/>
          <w:szCs w:val="21"/>
        </w:rPr>
        <w:t>净赎回申请(赎回申请总数扣除申购申请总数的余额)</w:t>
      </w:r>
      <w:r w:rsidRPr="00960F82">
        <w:rPr>
          <w:rFonts w:asciiTheme="minorEastAsia" w:eastAsiaTheme="minorEastAsia" w:hAnsiTheme="minorEastAsia"/>
          <w:szCs w:val="21"/>
        </w:rPr>
        <w:lastRenderedPageBreak/>
        <w:t>与净转出申请(基金转换出申请总数扣除转换入申请总数后的余额)之和超过前一日基金总份额数的10%</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即认为发生了巨额赎回。</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巨额赎回的处理方式</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当出现巨额赎回时，基金管理人可以根据本基金当时的资产组合状况决定</w:t>
      </w:r>
      <w:r w:rsidRPr="00960F82">
        <w:rPr>
          <w:rFonts w:asciiTheme="minorEastAsia" w:eastAsiaTheme="minorEastAsia" w:hAnsiTheme="minorEastAsia"/>
          <w:szCs w:val="21"/>
        </w:rPr>
        <w:t>相应的处理方式：</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rPr>
        <w:t>全额赎回：当基金管理人认为有能力支付投资者的赎回申请时，按正常赎回程序执行。</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rPr>
        <w:t>部分顺延赎回：当基金管理人认为支付投资者的赎回申请有困难或认为支付投资者的赎回申请可能会对该基金的资产净值造成较大波动时</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基金管理人可在当日接受赎回比例不低于该基金总份额的10%的前提下</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对其余赎回申请延期办理。对于当日的赎回申请</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应当按单个账户赎回申请量占赎回申请总量的比例</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确定其当日受理的赎回份额；投资者的赎回申请未能受理部分</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除投资者在提交赎回申请时明确作出不参加顺延下一个开放日赎回的表示外</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将自动顺延至下一个开放日赎回处理。转入下一个开放日的赎回不享有赎回优先权并将以下一个开放日的基金</w:t>
      </w:r>
      <w:r w:rsidR="001D2E2F" w:rsidRPr="00960F82">
        <w:rPr>
          <w:rFonts w:asciiTheme="minorEastAsia" w:eastAsiaTheme="minorEastAsia" w:hAnsiTheme="minorEastAsia" w:hint="eastAsia"/>
        </w:rPr>
        <w:t>份额</w:t>
      </w:r>
      <w:r w:rsidR="001D2E2F" w:rsidRPr="00960F82">
        <w:rPr>
          <w:rFonts w:asciiTheme="minorEastAsia" w:eastAsiaTheme="minorEastAsia" w:hAnsiTheme="minorEastAsia"/>
        </w:rPr>
        <w:t>净值为准进行计算</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以此类推</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直到其赎回申请全部得到满足为止。投资者在提出赎回申请时也可选择将当日未获受理部分予以撤销。</w:t>
      </w:r>
    </w:p>
    <w:p w:rsidR="00117EDD" w:rsidRPr="00960F82" w:rsidRDefault="00117EDD"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kern w:val="0"/>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rPr>
        <w:t>当发生巨额赎回时</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基金转出与基金赎回具有相同的优先级</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基金管理人可根据基金资产组合情况</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决定全额转出或部分转出</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并且对于基金转出和基金赎回</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将采取相同的比例确认</w:t>
      </w:r>
      <w:r w:rsidR="001D2E2F" w:rsidRPr="00960F82">
        <w:rPr>
          <w:rFonts w:asciiTheme="minorEastAsia" w:eastAsiaTheme="minorEastAsia" w:hAnsiTheme="minorEastAsia" w:hint="eastAsia"/>
        </w:rPr>
        <w:t>（另有公告的除外）</w:t>
      </w:r>
      <w:r w:rsidR="001D2E2F" w:rsidRPr="00960F82">
        <w:rPr>
          <w:rFonts w:asciiTheme="minorEastAsia" w:eastAsiaTheme="minorEastAsia" w:hAnsiTheme="minorEastAsia"/>
        </w:rPr>
        <w:t>；但基金管理人在当日接受部分转出申请的情况下</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对未确认的转换申请将不予顺延。</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rPr>
        <w:t>当发生巨额赎回并部分顺延赎回或接受部分转换时</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基金管理人应</w:t>
      </w:r>
      <w:r w:rsidR="009779ED" w:rsidRPr="00960F82">
        <w:rPr>
          <w:rFonts w:asciiTheme="minorEastAsia" w:eastAsiaTheme="minorEastAsia" w:hAnsiTheme="minorEastAsia" w:hint="eastAsia"/>
        </w:rPr>
        <w:t>在2日内在指定媒介上</w:t>
      </w:r>
      <w:r w:rsidR="001D2E2F" w:rsidRPr="00960F82">
        <w:rPr>
          <w:rFonts w:asciiTheme="minorEastAsia" w:eastAsiaTheme="minorEastAsia" w:hAnsiTheme="minorEastAsia"/>
        </w:rPr>
        <w:t>刊登公告</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并说明有关处理方法。</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（5）</w:t>
      </w:r>
      <w:r w:rsidR="001D2E2F" w:rsidRPr="00960F82">
        <w:rPr>
          <w:rFonts w:asciiTheme="minorEastAsia" w:eastAsiaTheme="minorEastAsia" w:hAnsiTheme="minorEastAsia"/>
        </w:rPr>
        <w:t>本基金连续两日以上(含本数)发生巨额赎回时</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如基金管理人认为有必要</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可暂停接受赎回和转出申请；已经接受的赎回申请可以延缓支付赎回款项</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但不得超过正常支付时间20个工作日</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并应当在指定</w:t>
      </w:r>
      <w:r w:rsidR="009779ED" w:rsidRPr="00960F82">
        <w:rPr>
          <w:rFonts w:asciiTheme="minorEastAsia" w:eastAsiaTheme="minorEastAsia" w:hAnsiTheme="minorEastAsia" w:hint="eastAsia"/>
        </w:rPr>
        <w:t>媒介</w:t>
      </w:r>
      <w:r w:rsidR="001D2E2F" w:rsidRPr="00960F82">
        <w:rPr>
          <w:rFonts w:asciiTheme="minorEastAsia" w:eastAsiaTheme="minorEastAsia" w:hAnsiTheme="minorEastAsia"/>
        </w:rPr>
        <w:t>上进行公告。</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38" w:name="_Toc30161782"/>
      <w:r w:rsidRPr="00960F82">
        <w:rPr>
          <w:rFonts w:asciiTheme="minorEastAsia" w:eastAsiaTheme="minorEastAsia" w:hAnsiTheme="minorEastAsia" w:hint="eastAsia"/>
          <w:bCs/>
        </w:rPr>
        <w:t>（十）</w:t>
      </w:r>
      <w:r w:rsidRPr="00960F82">
        <w:rPr>
          <w:rFonts w:asciiTheme="minorEastAsia" w:eastAsiaTheme="minorEastAsia" w:hAnsiTheme="minorEastAsia"/>
          <w:bCs/>
          <w:szCs w:val="20"/>
        </w:rPr>
        <w:t>拒绝或暂停申购、赎回和转换的情形及处理方式</w:t>
      </w:r>
      <w:bookmarkEnd w:id="38"/>
    </w:p>
    <w:p w:rsidR="001D2E2F" w:rsidRPr="00960F82" w:rsidRDefault="00C64778" w:rsidP="00C64778">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除出现如下情形，基金管理人不得拒绝或暂停接受基金投资者的申购申请：</w:t>
      </w:r>
    </w:p>
    <w:p w:rsidR="001D2E2F" w:rsidRPr="00960F82" w:rsidRDefault="001D2E2F"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不可抗力的原因导致基金无法正常运作；</w:t>
      </w:r>
    </w:p>
    <w:p w:rsidR="001D2E2F" w:rsidRPr="00960F82" w:rsidRDefault="001D2E2F"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证券交易场所在交易时间非正常停市；</w:t>
      </w:r>
    </w:p>
    <w:p w:rsidR="001D2E2F" w:rsidRPr="00960F82" w:rsidRDefault="001D2E2F"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基金资产规模过大，使基金管理人无法找到合适的投资品种</w:t>
      </w:r>
      <w:r w:rsidR="00117EDD" w:rsidRPr="00960F82">
        <w:rPr>
          <w:rFonts w:asciiTheme="minorEastAsia" w:eastAsiaTheme="minorEastAsia" w:hAnsiTheme="minorEastAsia" w:hint="eastAsia"/>
        </w:rPr>
        <w:t>，或</w:t>
      </w:r>
      <w:r w:rsidRPr="00960F82">
        <w:rPr>
          <w:rFonts w:asciiTheme="minorEastAsia" w:eastAsiaTheme="minorEastAsia" w:hAnsiTheme="minorEastAsia" w:hint="eastAsia"/>
        </w:rPr>
        <w:t>可能对基金业绩</w:t>
      </w:r>
      <w:r w:rsidRPr="00960F82">
        <w:rPr>
          <w:rFonts w:asciiTheme="minorEastAsia" w:eastAsiaTheme="minorEastAsia" w:hAnsiTheme="minorEastAsia" w:hint="eastAsia"/>
        </w:rPr>
        <w:lastRenderedPageBreak/>
        <w:t>产生负面影响，从而损害现有基金份额持有人的利益；</w:t>
      </w:r>
    </w:p>
    <w:p w:rsidR="001D2E2F" w:rsidRPr="00960F82" w:rsidRDefault="001D2E2F"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基金管理人认为会有损于现有基金份额持有人利益的某笔申购；</w:t>
      </w:r>
    </w:p>
    <w:p w:rsidR="0071674B" w:rsidRPr="00960F82" w:rsidRDefault="0071674B"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基金管理人接受某笔或者某些申购申请有可能导致单一投资者持有基金份额的比例达到或者超过50%，或者变相规避50%集中度的情形时；</w:t>
      </w:r>
    </w:p>
    <w:p w:rsidR="0071674B" w:rsidRPr="00960F82" w:rsidRDefault="0071674B"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71674B" w:rsidRPr="00960F82" w:rsidRDefault="0071674B" w:rsidP="007F114F">
      <w:pPr>
        <w:numPr>
          <w:ilvl w:val="0"/>
          <w:numId w:val="21"/>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71674B" w:rsidRPr="00960F82" w:rsidRDefault="0071674B"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（8</w:t>
      </w:r>
      <w:r w:rsidRPr="00960F82">
        <w:rPr>
          <w:rFonts w:asciiTheme="minorEastAsia" w:eastAsiaTheme="minorEastAsia" w:hAnsiTheme="minorEastAsia"/>
        </w:rPr>
        <w:t>）</w:t>
      </w:r>
      <w:r w:rsidR="001D2E2F" w:rsidRPr="00960F82">
        <w:rPr>
          <w:rFonts w:asciiTheme="minorEastAsia" w:eastAsiaTheme="minorEastAsia" w:hAnsiTheme="minorEastAsia" w:hint="eastAsia"/>
        </w:rPr>
        <w:t>法律、法规规定或中国证监会认定的其他情形。</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szCs w:val="21"/>
        </w:rPr>
        <w:t>如发生上述拒绝申购的情形</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被拒绝的申购款项应全额退还投资者。</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基金管理人拒绝或暂停接受申购的方式包括：</w:t>
      </w:r>
    </w:p>
    <w:p w:rsidR="001D2E2F" w:rsidRPr="00960F82" w:rsidRDefault="001D2E2F" w:rsidP="007F114F">
      <w:pPr>
        <w:numPr>
          <w:ilvl w:val="0"/>
          <w:numId w:val="22"/>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拒绝接受、暂停接受某笔或某数笔申购申请；</w:t>
      </w:r>
    </w:p>
    <w:p w:rsidR="001D2E2F" w:rsidRPr="00960F82" w:rsidRDefault="001D2E2F" w:rsidP="007F114F">
      <w:pPr>
        <w:numPr>
          <w:ilvl w:val="0"/>
          <w:numId w:val="22"/>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拒绝接受、暂停接受某个或某数个工作日的全部申购申请；</w:t>
      </w:r>
    </w:p>
    <w:p w:rsidR="001D2E2F" w:rsidRPr="00960F82" w:rsidRDefault="001D2E2F" w:rsidP="007F114F">
      <w:pPr>
        <w:numPr>
          <w:ilvl w:val="0"/>
          <w:numId w:val="22"/>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按比例拒绝接受、暂停接受某个或某数个工作日的申购申请。</w:t>
      </w:r>
    </w:p>
    <w:p w:rsidR="001D2E2F" w:rsidRPr="00960F82" w:rsidRDefault="00C64778" w:rsidP="00C64778">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除下列情形外，基金管理人不得拒绝接受或暂停接受投资者的赎回申请：</w:t>
      </w:r>
    </w:p>
    <w:p w:rsidR="001D2E2F" w:rsidRPr="00960F82" w:rsidRDefault="001D2E2F" w:rsidP="007F114F">
      <w:pPr>
        <w:numPr>
          <w:ilvl w:val="0"/>
          <w:numId w:val="23"/>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不可抗力的原因导致基金无法正常运作；</w:t>
      </w:r>
    </w:p>
    <w:p w:rsidR="001D2E2F" w:rsidRPr="00960F82" w:rsidRDefault="001D2E2F" w:rsidP="007F114F">
      <w:pPr>
        <w:numPr>
          <w:ilvl w:val="0"/>
          <w:numId w:val="23"/>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证券交易场所交易时间非正常停市；</w:t>
      </w:r>
    </w:p>
    <w:p w:rsidR="001D2E2F" w:rsidRPr="00960F82" w:rsidRDefault="001D2E2F" w:rsidP="007F114F">
      <w:pPr>
        <w:numPr>
          <w:ilvl w:val="0"/>
          <w:numId w:val="23"/>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因市场剧烈波动或其它原因而出现连续巨额赎回，导致本基金的现金支付出现困难；</w:t>
      </w:r>
    </w:p>
    <w:p w:rsidR="0071674B" w:rsidRPr="00960F82" w:rsidRDefault="0071674B" w:rsidP="007F114F">
      <w:pPr>
        <w:numPr>
          <w:ilvl w:val="0"/>
          <w:numId w:val="23"/>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1D2E2F" w:rsidRPr="00960F82" w:rsidRDefault="001D2E2F" w:rsidP="007F114F">
      <w:pPr>
        <w:numPr>
          <w:ilvl w:val="0"/>
          <w:numId w:val="23"/>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法律、法规规定或中国证监会认定的其它情形。</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发生上述情形之一的，基金管理人应在当日立即向中国证监会备案。已接受的赎回申请，基金管理人将足额支付；如暂时不能支付时，将按每个赎回申请人已被接受的赎回申请量占已接受赎回申请总量的比例分配给赎回申请人，其余部分</w:t>
      </w:r>
      <w:r w:rsidRPr="00960F82">
        <w:rPr>
          <w:rFonts w:asciiTheme="minorEastAsia" w:eastAsiaTheme="minorEastAsia" w:hAnsiTheme="minorEastAsia"/>
        </w:rPr>
        <w:t>由基金管理人按照相应的处理办法在后续开放日予以</w:t>
      </w:r>
      <w:r w:rsidRPr="00960F82">
        <w:rPr>
          <w:rFonts w:asciiTheme="minorEastAsia" w:eastAsiaTheme="minorEastAsia" w:hAnsiTheme="minorEastAsia" w:hint="eastAsia"/>
        </w:rPr>
        <w:t>兑</w:t>
      </w:r>
      <w:r w:rsidRPr="00960F82">
        <w:rPr>
          <w:rFonts w:asciiTheme="minorEastAsia" w:eastAsiaTheme="minorEastAsia" w:hAnsiTheme="minorEastAsia"/>
        </w:rPr>
        <w:t>付</w:t>
      </w:r>
      <w:r w:rsidRPr="00960F82">
        <w:rPr>
          <w:rFonts w:asciiTheme="minorEastAsia" w:eastAsiaTheme="minorEastAsia" w:hAnsiTheme="minorEastAsia" w:hint="eastAsia"/>
        </w:rPr>
        <w:t>。</w:t>
      </w:r>
    </w:p>
    <w:p w:rsidR="001D2E2F" w:rsidRPr="00960F82" w:rsidRDefault="00C64778" w:rsidP="00C64778">
      <w:pPr>
        <w:tabs>
          <w:tab w:val="left" w:pos="735"/>
        </w:tabs>
        <w:snapToGrid w:val="0"/>
        <w:spacing w:line="360" w:lineRule="auto"/>
        <w:ind w:left="42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rPr>
        <w:t>除下列情形外</w:t>
      </w:r>
      <w:r w:rsidR="001D2E2F" w:rsidRPr="00960F82">
        <w:rPr>
          <w:rFonts w:asciiTheme="minorEastAsia" w:eastAsiaTheme="minorEastAsia" w:hAnsiTheme="minorEastAsia" w:hint="eastAsia"/>
        </w:rPr>
        <w:t>，</w:t>
      </w:r>
      <w:r w:rsidR="001D2E2F" w:rsidRPr="00960F82">
        <w:rPr>
          <w:rFonts w:asciiTheme="minorEastAsia" w:eastAsiaTheme="minorEastAsia" w:hAnsiTheme="minorEastAsia"/>
        </w:rPr>
        <w:t>基金管理人不得拒绝接受或暂停接受投资者的转换申请：</w:t>
      </w:r>
    </w:p>
    <w:p w:rsidR="001D2E2F" w:rsidRPr="00960F82" w:rsidRDefault="001D2E2F"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不可抗力的原因导致基金无法正常运作；</w:t>
      </w:r>
    </w:p>
    <w:p w:rsidR="001D2E2F" w:rsidRPr="00960F82" w:rsidRDefault="001D2E2F"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证券交易场所交易时间非正常停市；</w:t>
      </w:r>
    </w:p>
    <w:p w:rsidR="001D2E2F" w:rsidRPr="00960F82" w:rsidRDefault="001D2E2F"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lastRenderedPageBreak/>
        <w:t>当基金管理人认为某笔转换会有损于现有基金份额持有人利益；</w:t>
      </w:r>
    </w:p>
    <w:p w:rsidR="001D2E2F" w:rsidRPr="00960F82" w:rsidRDefault="001D2E2F"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因市场剧烈波动或其它原因而出现连续巨额赎回</w:t>
      </w:r>
      <w:r w:rsidRPr="00960F82">
        <w:rPr>
          <w:rFonts w:asciiTheme="minorEastAsia" w:eastAsiaTheme="minorEastAsia" w:hAnsiTheme="minorEastAsia" w:hint="eastAsia"/>
        </w:rPr>
        <w:t>，</w:t>
      </w:r>
      <w:r w:rsidRPr="00960F82">
        <w:rPr>
          <w:rFonts w:asciiTheme="minorEastAsia" w:eastAsiaTheme="minorEastAsia" w:hAnsiTheme="minorEastAsia"/>
        </w:rPr>
        <w:t>导致本基金的现金支付出现困难；</w:t>
      </w:r>
    </w:p>
    <w:p w:rsidR="001F27CD" w:rsidRPr="00960F82" w:rsidRDefault="001F27CD"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基金管理人接受某笔或者某些转换</w:t>
      </w:r>
      <w:r w:rsidRPr="00960F82">
        <w:rPr>
          <w:rFonts w:asciiTheme="minorEastAsia" w:eastAsiaTheme="minorEastAsia" w:hAnsiTheme="minorEastAsia"/>
        </w:rPr>
        <w:t>转入</w:t>
      </w:r>
      <w:r w:rsidRPr="00960F82">
        <w:rPr>
          <w:rFonts w:asciiTheme="minorEastAsia" w:eastAsiaTheme="minorEastAsia" w:hAnsiTheme="minorEastAsia" w:hint="eastAsia"/>
        </w:rPr>
        <w:t>申请有可能导致单一投资者持有基金份额的比例达到或者超过50%，或者变相规避50%集中度的情形时；</w:t>
      </w:r>
    </w:p>
    <w:p w:rsidR="001F27CD" w:rsidRPr="00960F82" w:rsidRDefault="001F27CD"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当一笔新的转换</w:t>
      </w:r>
      <w:r w:rsidRPr="00960F82">
        <w:rPr>
          <w:rFonts w:asciiTheme="minorEastAsia" w:eastAsiaTheme="minorEastAsia" w:hAnsiTheme="minorEastAsia"/>
        </w:rPr>
        <w:t>转入</w:t>
      </w:r>
      <w:r w:rsidRPr="00960F82">
        <w:rPr>
          <w:rFonts w:asciiTheme="minorEastAsia" w:eastAsiaTheme="minorEastAsia" w:hAnsiTheme="minorEastAsia" w:hint="eastAsia"/>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5F5223" w:rsidRPr="00960F82" w:rsidRDefault="001F27CD"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1D2E2F" w:rsidRPr="00960F82" w:rsidRDefault="001D2E2F" w:rsidP="007F114F">
      <w:pPr>
        <w:numPr>
          <w:ilvl w:val="0"/>
          <w:numId w:val="24"/>
        </w:numPr>
        <w:tabs>
          <w:tab w:val="left" w:pos="735"/>
        </w:tabs>
        <w:snapToGrid w:val="0"/>
        <w:spacing w:line="360" w:lineRule="auto"/>
        <w:rPr>
          <w:rFonts w:asciiTheme="minorEastAsia" w:eastAsiaTheme="minorEastAsia" w:hAnsiTheme="minorEastAsia"/>
        </w:rPr>
      </w:pPr>
      <w:r w:rsidRPr="00960F82">
        <w:rPr>
          <w:rFonts w:asciiTheme="minorEastAsia" w:eastAsiaTheme="minorEastAsia" w:hAnsiTheme="minorEastAsia"/>
        </w:rPr>
        <w:t>法律、法规规定或中国证监会认定的其它情形。</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rPr>
        <w:t>发生上述情形之一的</w:t>
      </w:r>
      <w:r w:rsidRPr="00960F82">
        <w:rPr>
          <w:rFonts w:asciiTheme="minorEastAsia" w:eastAsiaTheme="minorEastAsia" w:hAnsiTheme="minorEastAsia" w:hint="eastAsia"/>
        </w:rPr>
        <w:t>，</w:t>
      </w:r>
      <w:r w:rsidRPr="00960F82">
        <w:rPr>
          <w:rFonts w:asciiTheme="minorEastAsia" w:eastAsiaTheme="minorEastAsia" w:hAnsiTheme="minorEastAsia"/>
        </w:rPr>
        <w:t>基金管理人应在当日立即向中国证监会备案。</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发生《基金合同》或《招募说明书》中未予载明的事项，但基金管理人有正当理由认为需要暂停接受基金申购、赎回、转换申请的，应当报经中国证监会批准。</w:t>
      </w:r>
    </w:p>
    <w:p w:rsidR="001D2E2F" w:rsidRPr="00960F82" w:rsidRDefault="00C64778" w:rsidP="00C64778">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5、</w:t>
      </w:r>
      <w:r w:rsidR="001D2E2F" w:rsidRPr="00960F82">
        <w:rPr>
          <w:rFonts w:asciiTheme="minorEastAsia" w:eastAsiaTheme="minorEastAsia" w:hAnsiTheme="minorEastAsia"/>
        </w:rPr>
        <w:t>基金暂停申购、赎回</w:t>
      </w:r>
      <w:r w:rsidR="001D2E2F" w:rsidRPr="00960F82">
        <w:rPr>
          <w:rFonts w:asciiTheme="minorEastAsia" w:eastAsiaTheme="minorEastAsia" w:hAnsiTheme="minorEastAsia" w:hint="eastAsia"/>
        </w:rPr>
        <w:t>和转换</w:t>
      </w:r>
      <w:r w:rsidR="001D2E2F" w:rsidRPr="00960F82">
        <w:rPr>
          <w:rFonts w:asciiTheme="minorEastAsia" w:eastAsiaTheme="minorEastAsia" w:hAnsiTheme="minorEastAsia"/>
        </w:rPr>
        <w:t>，基金管理人</w:t>
      </w:r>
      <w:r w:rsidR="001D2E2F" w:rsidRPr="00960F82">
        <w:rPr>
          <w:rFonts w:asciiTheme="minorEastAsia" w:eastAsiaTheme="minorEastAsia" w:hAnsiTheme="minorEastAsia" w:hint="eastAsia"/>
        </w:rPr>
        <w:t>应立即</w:t>
      </w:r>
      <w:r w:rsidR="001D2E2F" w:rsidRPr="00960F82">
        <w:rPr>
          <w:rFonts w:asciiTheme="minorEastAsia" w:eastAsiaTheme="minorEastAsia" w:hAnsiTheme="minorEastAsia"/>
        </w:rPr>
        <w:t>在</w:t>
      </w:r>
      <w:r w:rsidR="00E236C7" w:rsidRPr="00960F82">
        <w:rPr>
          <w:rFonts w:asciiTheme="minorEastAsia" w:eastAsiaTheme="minorEastAsia" w:hAnsiTheme="minorEastAsia" w:hint="eastAsia"/>
        </w:rPr>
        <w:t>指定媒介</w:t>
      </w:r>
      <w:r w:rsidR="001D2E2F" w:rsidRPr="00960F82">
        <w:rPr>
          <w:rFonts w:asciiTheme="minorEastAsia" w:eastAsiaTheme="minorEastAsia" w:hAnsiTheme="minorEastAsia" w:hint="eastAsia"/>
        </w:rPr>
        <w:t>上</w:t>
      </w:r>
      <w:r w:rsidR="001D2E2F" w:rsidRPr="00960F82">
        <w:rPr>
          <w:rFonts w:asciiTheme="minorEastAsia" w:eastAsiaTheme="minorEastAsia" w:hAnsiTheme="minorEastAsia"/>
        </w:rPr>
        <w:t>公告。</w:t>
      </w:r>
      <w:r w:rsidR="001D2E2F" w:rsidRPr="00960F82">
        <w:rPr>
          <w:rFonts w:asciiTheme="minorEastAsia" w:eastAsiaTheme="minorEastAsia" w:hAnsiTheme="minorEastAsia" w:hint="eastAsia"/>
        </w:rPr>
        <w:t>暂停期间结束基金重新开放时，基金管理人应当公告最新的基金份额净值。</w:t>
      </w:r>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kern w:val="0"/>
        </w:rPr>
      </w:pPr>
      <w:r w:rsidRPr="00960F82">
        <w:rPr>
          <w:rFonts w:asciiTheme="minorEastAsia" w:eastAsiaTheme="minorEastAsia" w:hAnsiTheme="minorEastAsia" w:hint="eastAsia"/>
          <w:kern w:val="0"/>
        </w:rPr>
        <w:t>如果发生暂停的时间为</w:t>
      </w:r>
      <w:r w:rsidRPr="00960F82">
        <w:rPr>
          <w:rFonts w:asciiTheme="minorEastAsia" w:eastAsiaTheme="minorEastAsia" w:hAnsiTheme="minorEastAsia"/>
          <w:kern w:val="0"/>
        </w:rPr>
        <w:t>1</w:t>
      </w:r>
      <w:r w:rsidRPr="00960F82">
        <w:rPr>
          <w:rFonts w:asciiTheme="minorEastAsia" w:eastAsiaTheme="minorEastAsia" w:hAnsiTheme="minorEastAsia" w:hint="eastAsia"/>
          <w:kern w:val="0"/>
        </w:rPr>
        <w:t>天，基金管理人应于重新开放日在</w:t>
      </w:r>
      <w:r w:rsidR="00E236C7" w:rsidRPr="00960F82">
        <w:rPr>
          <w:rFonts w:asciiTheme="minorEastAsia" w:eastAsiaTheme="minorEastAsia" w:hAnsiTheme="minorEastAsia" w:hint="eastAsia"/>
        </w:rPr>
        <w:t>指定媒介</w:t>
      </w:r>
      <w:r w:rsidRPr="00960F82">
        <w:rPr>
          <w:rFonts w:asciiTheme="minorEastAsia" w:eastAsiaTheme="minorEastAsia" w:hAnsiTheme="minorEastAsia" w:hint="eastAsia"/>
          <w:kern w:val="0"/>
        </w:rPr>
        <w:t>刊登基金重新开放申购或赎回的公告并公告最新的基金</w:t>
      </w:r>
      <w:r w:rsidRPr="00960F82">
        <w:rPr>
          <w:rFonts w:asciiTheme="minorEastAsia" w:eastAsiaTheme="minorEastAsia" w:hAnsiTheme="minorEastAsia" w:hint="eastAsia"/>
        </w:rPr>
        <w:t>份额</w:t>
      </w:r>
      <w:r w:rsidRPr="00960F82">
        <w:rPr>
          <w:rFonts w:asciiTheme="minorEastAsia" w:eastAsiaTheme="minorEastAsia" w:hAnsiTheme="minorEastAsia" w:hint="eastAsia"/>
          <w:kern w:val="0"/>
        </w:rPr>
        <w:t>净值。</w:t>
      </w:r>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kern w:val="0"/>
        </w:rPr>
      </w:pPr>
      <w:r w:rsidRPr="00960F82">
        <w:rPr>
          <w:rFonts w:asciiTheme="minorEastAsia" w:eastAsiaTheme="minorEastAsia" w:hAnsiTheme="minorEastAsia" w:hint="eastAsia"/>
          <w:kern w:val="0"/>
        </w:rPr>
        <w:t>如果发生暂停的时间超过</w:t>
      </w:r>
      <w:r w:rsidRPr="00960F82">
        <w:rPr>
          <w:rFonts w:asciiTheme="minorEastAsia" w:eastAsiaTheme="minorEastAsia" w:hAnsiTheme="minorEastAsia"/>
          <w:kern w:val="0"/>
        </w:rPr>
        <w:t>1</w:t>
      </w:r>
      <w:r w:rsidRPr="00960F82">
        <w:rPr>
          <w:rFonts w:asciiTheme="minorEastAsia" w:eastAsiaTheme="minorEastAsia" w:hAnsiTheme="minorEastAsia" w:hint="eastAsia"/>
          <w:kern w:val="0"/>
        </w:rPr>
        <w:t>天但少于两周，暂停结束基金重新开放申购或赎回时，基金管理人应提前</w:t>
      </w:r>
      <w:r w:rsidRPr="00960F82">
        <w:rPr>
          <w:rFonts w:asciiTheme="minorEastAsia" w:eastAsiaTheme="minorEastAsia" w:hAnsiTheme="minorEastAsia"/>
          <w:kern w:val="0"/>
        </w:rPr>
        <w:t>1</w:t>
      </w:r>
      <w:r w:rsidRPr="00960F82">
        <w:rPr>
          <w:rFonts w:asciiTheme="minorEastAsia" w:eastAsiaTheme="minorEastAsia" w:hAnsiTheme="minorEastAsia" w:hint="eastAsia"/>
          <w:kern w:val="0"/>
        </w:rPr>
        <w:t>个工作日在</w:t>
      </w:r>
      <w:r w:rsidR="00E236C7" w:rsidRPr="00960F82">
        <w:rPr>
          <w:rFonts w:asciiTheme="minorEastAsia" w:eastAsiaTheme="minorEastAsia" w:hAnsiTheme="minorEastAsia" w:hint="eastAsia"/>
        </w:rPr>
        <w:t>指定媒介</w:t>
      </w:r>
      <w:r w:rsidRPr="00960F82">
        <w:rPr>
          <w:rFonts w:asciiTheme="minorEastAsia" w:eastAsiaTheme="minorEastAsia" w:hAnsiTheme="minorEastAsia" w:hint="eastAsia"/>
          <w:kern w:val="0"/>
        </w:rPr>
        <w:t>刊登基金重新开放申购或赎回的公告，并在重新开放申购或赎回日公告最新的基金</w:t>
      </w:r>
      <w:r w:rsidRPr="00960F82">
        <w:rPr>
          <w:rFonts w:asciiTheme="minorEastAsia" w:eastAsiaTheme="minorEastAsia" w:hAnsiTheme="minorEastAsia" w:hint="eastAsia"/>
        </w:rPr>
        <w:t>份额</w:t>
      </w:r>
      <w:r w:rsidRPr="00960F82">
        <w:rPr>
          <w:rFonts w:asciiTheme="minorEastAsia" w:eastAsiaTheme="minorEastAsia" w:hAnsiTheme="minorEastAsia" w:hint="eastAsia"/>
          <w:kern w:val="0"/>
        </w:rPr>
        <w:t>净值。</w:t>
      </w:r>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kern w:val="0"/>
        </w:rPr>
      </w:pPr>
      <w:r w:rsidRPr="00960F82">
        <w:rPr>
          <w:rFonts w:asciiTheme="minorEastAsia" w:eastAsiaTheme="minorEastAsia" w:hAnsiTheme="minorEastAsia" w:hint="eastAsia"/>
          <w:kern w:val="0"/>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w:t>
      </w:r>
      <w:r w:rsidRPr="00960F82">
        <w:rPr>
          <w:rFonts w:asciiTheme="minorEastAsia" w:eastAsiaTheme="minorEastAsia" w:hAnsiTheme="minorEastAsia"/>
          <w:kern w:val="0"/>
        </w:rPr>
        <w:t>3</w:t>
      </w:r>
      <w:r w:rsidRPr="00960F82">
        <w:rPr>
          <w:rFonts w:asciiTheme="minorEastAsia" w:eastAsiaTheme="minorEastAsia" w:hAnsiTheme="minorEastAsia" w:hint="eastAsia"/>
          <w:kern w:val="0"/>
        </w:rPr>
        <w:t>个工作日在</w:t>
      </w:r>
      <w:r w:rsidR="00E236C7" w:rsidRPr="00960F82">
        <w:rPr>
          <w:rFonts w:asciiTheme="minorEastAsia" w:eastAsiaTheme="minorEastAsia" w:hAnsiTheme="minorEastAsia" w:hint="eastAsia"/>
        </w:rPr>
        <w:t>指定媒介</w:t>
      </w:r>
      <w:r w:rsidRPr="00960F82">
        <w:rPr>
          <w:rFonts w:asciiTheme="minorEastAsia" w:eastAsiaTheme="minorEastAsia" w:hAnsiTheme="minorEastAsia" w:hint="eastAsia"/>
          <w:kern w:val="0"/>
        </w:rPr>
        <w:t>连续刊登基金重新开放申购或赎回的公告，并在重新开放申购或赎回日公告最新的基金份额净值。</w:t>
      </w:r>
    </w:p>
    <w:p w:rsidR="00FD63D6" w:rsidRPr="00960F82" w:rsidRDefault="00FD63D6" w:rsidP="00084917">
      <w:pPr>
        <w:autoSpaceDE w:val="0"/>
        <w:autoSpaceDN w:val="0"/>
        <w:adjustRightInd w:val="0"/>
        <w:snapToGrid w:val="0"/>
        <w:spacing w:line="360" w:lineRule="auto"/>
        <w:ind w:firstLine="420"/>
        <w:rPr>
          <w:rFonts w:asciiTheme="minorEastAsia" w:eastAsiaTheme="minorEastAsia" w:hAnsiTheme="minorEastAsia"/>
          <w:kern w:val="0"/>
        </w:rPr>
        <w:sectPr w:rsidR="00FD63D6" w:rsidRPr="00960F82" w:rsidSect="0037562B">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39" w:name="_Toc81902759"/>
      <w:bookmarkStart w:id="40" w:name="_Toc30161783"/>
      <w:r w:rsidRPr="00960F82">
        <w:rPr>
          <w:rFonts w:asciiTheme="minorEastAsia" w:eastAsiaTheme="minorEastAsia" w:hAnsiTheme="minorEastAsia" w:hint="eastAsia"/>
          <w:b/>
        </w:rPr>
        <w:lastRenderedPageBreak/>
        <w:t>七、基金的非交易过户、转托管、冻结与质押</w:t>
      </w:r>
      <w:bookmarkEnd w:id="39"/>
      <w:bookmarkEnd w:id="40"/>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（一）</w:t>
      </w:r>
      <w:r w:rsidRPr="00960F82">
        <w:rPr>
          <w:rFonts w:asciiTheme="minorEastAsia" w:eastAsiaTheme="minorEastAsia" w:hAnsiTheme="minorEastAsia" w:hint="eastAsia"/>
          <w:szCs w:val="21"/>
        </w:rPr>
        <w:tab/>
      </w:r>
      <w:r w:rsidRPr="00960F82">
        <w:rPr>
          <w:rFonts w:asciiTheme="minorEastAsia" w:eastAsiaTheme="minorEastAsia" w:hAnsiTheme="minorEastAsia"/>
        </w:rPr>
        <w:t>非交易过户是指不采用申购、赎回等基金交易方式，将一定数量的基金份额按照一定规则从某一投资者基金账户转移到另一投资者基金账户的行为</w:t>
      </w:r>
      <w:r w:rsidRPr="00960F82">
        <w:rPr>
          <w:rFonts w:asciiTheme="minorEastAsia" w:eastAsiaTheme="minorEastAsia" w:hAnsiTheme="minorEastAsia" w:hint="eastAsia"/>
        </w:rPr>
        <w:t>，包括</w:t>
      </w:r>
      <w:r w:rsidRPr="00960F82">
        <w:rPr>
          <w:rFonts w:asciiTheme="minorEastAsia" w:eastAsiaTheme="minorEastAsia" w:hAnsiTheme="minorEastAsia"/>
        </w:rPr>
        <w:t>继承、捐赠、遗赠、自愿离婚、分家析产、国有资产无偿划转、机构合并或分立、资产售卖、机构清算、企业破产清算、强制执行</w:t>
      </w:r>
      <w:r w:rsidRPr="00960F82">
        <w:rPr>
          <w:rFonts w:asciiTheme="minorEastAsia" w:eastAsiaTheme="minorEastAsia" w:hAnsiTheme="minorEastAsia" w:hint="eastAsia"/>
        </w:rPr>
        <w:t>，及基金注册登记机构认可的其它行为</w:t>
      </w:r>
      <w:r w:rsidRPr="00960F82">
        <w:rPr>
          <w:rFonts w:asciiTheme="minorEastAsia" w:eastAsiaTheme="minorEastAsia" w:hAnsiTheme="minorEastAsia"/>
        </w:rPr>
        <w:t>。无论在上述何种情况下，接受划转的主体必须是</w:t>
      </w:r>
      <w:r w:rsidRPr="00960F82">
        <w:rPr>
          <w:rFonts w:asciiTheme="minorEastAsia" w:eastAsiaTheme="minorEastAsia" w:hAnsiTheme="minorEastAsia" w:hint="eastAsia"/>
        </w:rPr>
        <w:t>合格</w:t>
      </w:r>
      <w:r w:rsidRPr="00960F82">
        <w:rPr>
          <w:rFonts w:asciiTheme="minorEastAsia" w:eastAsiaTheme="minorEastAsia" w:hAnsiTheme="minorEastAsia"/>
        </w:rPr>
        <w:t>的个人投资者或机构投资者。</w:t>
      </w:r>
      <w:r w:rsidRPr="00960F82">
        <w:rPr>
          <w:rFonts w:asciiTheme="minorEastAsia" w:eastAsiaTheme="minorEastAsia" w:hAnsiTheme="minorEastAsia" w:hint="eastAsia"/>
          <w:szCs w:val="21"/>
        </w:rPr>
        <w:t>其中：</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“继承”是指基金份额持有人死亡，其持有的基金份额由其合法的继承人或受遗赠人继承；</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“捐赠”仅指基金份额持有人将其合法持有的基金份额捐赠给福利性质的基金会或其他具有社会公益性质的社会团体；</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szCs w:val="21"/>
        </w:rPr>
        <w:t>“遗赠”指基金份额持有人立遗嘱将其持有的基金份额赠给法定继承人以外的其他人；</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szCs w:val="21"/>
        </w:rPr>
        <w:t>“自愿离婚”指原属夫妻共同财产的基金份额因基金份额持有人自愿离婚而使原在某一方名下的部分或全部基金份额划转至另一方名下；</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szCs w:val="21"/>
        </w:rPr>
        <w:t>“分家析产”指原属家庭共有（如父子共有、兄弟共有等）的基金份额从某一家庭成员名下划转至其他家庭成员名下的行为；</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szCs w:val="21"/>
        </w:rPr>
        <w:t>“国有资产无偿划转”指因管理体制改革、组织形式调整或资产重组等原因引起的作为国有资产的基金份额在不同国有产权主体之间的无偿转移；</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7、</w:t>
      </w:r>
      <w:r w:rsidR="001D2E2F" w:rsidRPr="00960F82">
        <w:rPr>
          <w:rFonts w:asciiTheme="minorEastAsia" w:eastAsiaTheme="minorEastAsia" w:hAnsiTheme="minorEastAsia"/>
          <w:szCs w:val="21"/>
        </w:rPr>
        <w:t>“机构合并或分立”指因机构的合并或分立而导致的基金份额的划转；</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8、</w:t>
      </w:r>
      <w:r w:rsidR="001D2E2F" w:rsidRPr="00960F82">
        <w:rPr>
          <w:rFonts w:asciiTheme="minorEastAsia" w:eastAsiaTheme="minorEastAsia" w:hAnsiTheme="minorEastAsia"/>
          <w:szCs w:val="21"/>
        </w:rPr>
        <w:t>“资产售卖”指一企业出售它的下属部门（独立部门、分支机构或生产线）的整体资产给另一企业的交易，在这种交易中，前者持有的基金份额随其他经营性资产一同转让给后者，由后者一并支付对价；</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9、</w:t>
      </w:r>
      <w:r w:rsidR="001D2E2F" w:rsidRPr="00960F82">
        <w:rPr>
          <w:rFonts w:asciiTheme="minorEastAsia" w:eastAsiaTheme="minorEastAsia" w:hAnsiTheme="minorEastAsia"/>
          <w:szCs w:val="21"/>
        </w:rPr>
        <w:t>“机构清算”是指机构因组织文件规定的期限届满或出现其他解散事由，或因其权力机关作出解散决议，或依法被责令关闭或撤销而导致解散，或因其他原因解散，从而进入清算程序（破产清算程序除外），清算组（或类似组织，下同）将该机构持有的基金份额分配给该机构的债权人以清偿债务，或将清偿债务后的剩余财产中的基金份额分配给机构的股东、成员、出资者或开办人；</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10、</w:t>
      </w:r>
      <w:r w:rsidR="001D2E2F" w:rsidRPr="00960F82">
        <w:rPr>
          <w:rFonts w:asciiTheme="minorEastAsia" w:eastAsiaTheme="minorEastAsia" w:hAnsiTheme="minorEastAsia"/>
          <w:szCs w:val="21"/>
        </w:rPr>
        <w:t>“企业破产清算”是指一企业法人根据《中华人民共和国企业破产法（试行）》或《中华人民共和国民事诉讼法》第十九章的有关规定被宣告破产，清算组依法将破产企业持有的基金份额直接分配给该破产企业的债权人所导致的基金份额的划转；</w:t>
      </w:r>
    </w:p>
    <w:p w:rsidR="001D2E2F" w:rsidRPr="00960F82" w:rsidRDefault="00C64778" w:rsidP="00C64778">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11、</w:t>
      </w:r>
      <w:r w:rsidR="001D2E2F" w:rsidRPr="00960F82">
        <w:rPr>
          <w:rFonts w:asciiTheme="minorEastAsia" w:eastAsiaTheme="minorEastAsia" w:hAnsiTheme="minorEastAsia" w:hint="eastAsia"/>
          <w:szCs w:val="21"/>
        </w:rPr>
        <w:t>“强制执行”是指国家有权机关依据生效的法律文书将基金份额持有人持有的基金份额强制执行划转给其他自然人、法人、社会团体或其他组织。</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（二）</w:t>
      </w:r>
      <w:r w:rsidRPr="00960F82">
        <w:rPr>
          <w:rFonts w:asciiTheme="minorEastAsia" w:eastAsiaTheme="minorEastAsia" w:hAnsiTheme="minorEastAsia" w:hint="eastAsia"/>
          <w:szCs w:val="21"/>
        </w:rPr>
        <w:tab/>
        <w:t>办理非交易过户业务必须提供基金注册登记机构要求提供的相关资料，其中，</w:t>
      </w:r>
      <w:r w:rsidRPr="00960F82">
        <w:rPr>
          <w:rFonts w:asciiTheme="minorEastAsia" w:eastAsiaTheme="minorEastAsia" w:hAnsiTheme="minorEastAsia"/>
        </w:rPr>
        <w:t>因继承、捐赠、遗赠、自愿离婚、分家析产原因</w:t>
      </w:r>
      <w:r w:rsidRPr="00960F82">
        <w:rPr>
          <w:rFonts w:asciiTheme="minorEastAsia" w:eastAsiaTheme="minorEastAsia" w:hAnsiTheme="minorEastAsia" w:hint="eastAsia"/>
          <w:szCs w:val="21"/>
        </w:rPr>
        <w:t>导致的非交易过户向基金销售网点申请办理，</w:t>
      </w:r>
      <w:r w:rsidRPr="00960F82">
        <w:rPr>
          <w:rFonts w:asciiTheme="minorEastAsia" w:eastAsiaTheme="minorEastAsia" w:hAnsiTheme="minorEastAsia"/>
        </w:rPr>
        <w:t>因国有资产无偿划转、机构合并或分立、资产售卖、机构</w:t>
      </w:r>
      <w:r w:rsidRPr="00960F82">
        <w:rPr>
          <w:rFonts w:asciiTheme="minorEastAsia" w:eastAsiaTheme="minorEastAsia" w:hAnsiTheme="minorEastAsia" w:hint="eastAsia"/>
        </w:rPr>
        <w:t>清算</w:t>
      </w:r>
      <w:r w:rsidRPr="00960F82">
        <w:rPr>
          <w:rFonts w:asciiTheme="minorEastAsia" w:eastAsiaTheme="minorEastAsia" w:hAnsiTheme="minorEastAsia"/>
        </w:rPr>
        <w:t>、企业破产</w:t>
      </w:r>
      <w:r w:rsidRPr="00960F82">
        <w:rPr>
          <w:rFonts w:asciiTheme="minorEastAsia" w:eastAsiaTheme="minorEastAsia" w:hAnsiTheme="minorEastAsia" w:hint="eastAsia"/>
        </w:rPr>
        <w:t>清算</w:t>
      </w:r>
      <w:r w:rsidRPr="00960F82">
        <w:rPr>
          <w:rFonts w:asciiTheme="minorEastAsia" w:eastAsiaTheme="minorEastAsia" w:hAnsiTheme="minorEastAsia"/>
        </w:rPr>
        <w:t>、强制执行原因</w:t>
      </w:r>
      <w:r w:rsidRPr="00960F82">
        <w:rPr>
          <w:rFonts w:asciiTheme="minorEastAsia" w:eastAsiaTheme="minorEastAsia" w:hAnsiTheme="minorEastAsia" w:hint="eastAsia"/>
          <w:szCs w:val="21"/>
        </w:rPr>
        <w:t>导致的非交易过户直接向基金注册登记机构统一申请办理。</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（三）</w:t>
      </w:r>
      <w:r w:rsidRPr="00960F82">
        <w:rPr>
          <w:rFonts w:asciiTheme="minorEastAsia" w:eastAsiaTheme="minorEastAsia" w:hAnsiTheme="minorEastAsia" w:hint="eastAsia"/>
          <w:szCs w:val="21"/>
        </w:rPr>
        <w:tab/>
        <w:t>符合条件的非交易过户申请自申请受理日起，二个月内办理；申请人按基金注册登记机构规定的标准缴纳过户费用。</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（四）</w:t>
      </w:r>
      <w:r w:rsidRPr="00960F82">
        <w:rPr>
          <w:rFonts w:asciiTheme="minorEastAsia" w:eastAsiaTheme="minorEastAsia" w:hAnsiTheme="minorEastAsia" w:hint="eastAsia"/>
          <w:szCs w:val="21"/>
        </w:rPr>
        <w:tab/>
      </w:r>
      <w:r w:rsidRPr="00960F82">
        <w:rPr>
          <w:rFonts w:asciiTheme="minorEastAsia" w:eastAsiaTheme="minorEastAsia" w:hAnsiTheme="minorEastAsia" w:hint="eastAsia"/>
        </w:rPr>
        <w:t>基金份额持有人可以办理其基金份额在不同销售机构的转托管手续，转托管业务由各销售机构负责受理。</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（五）</w:t>
      </w:r>
      <w:r w:rsidRPr="00960F82">
        <w:rPr>
          <w:rFonts w:asciiTheme="minorEastAsia" w:eastAsiaTheme="minorEastAsia" w:hAnsiTheme="minorEastAsia" w:hint="eastAsia"/>
          <w:szCs w:val="21"/>
        </w:rPr>
        <w:tab/>
        <w:t>基金注册登记机构只受理国家有权机关依法要求的基金账户或基金份额的冻结与解冻。基金账户或基金份额被冻结的，被冻结部分产生的权益（包括现金分红和红利再投资）一并冻结。</w:t>
      </w:r>
    </w:p>
    <w:p w:rsidR="005E306A" w:rsidRPr="00960F82" w:rsidRDefault="005E306A" w:rsidP="00084917">
      <w:pPr>
        <w:snapToGrid w:val="0"/>
        <w:spacing w:line="360" w:lineRule="auto"/>
        <w:rPr>
          <w:rFonts w:asciiTheme="minorEastAsia" w:eastAsiaTheme="minorEastAsia" w:hAnsiTheme="minorEastAsia"/>
        </w:rPr>
        <w:sectPr w:rsidR="005E306A" w:rsidRPr="00960F82" w:rsidSect="0037562B">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41" w:name="_Toc30161784"/>
      <w:bookmarkStart w:id="42" w:name="_Toc52310853"/>
      <w:r w:rsidRPr="00960F82">
        <w:rPr>
          <w:rFonts w:asciiTheme="minorEastAsia" w:eastAsiaTheme="minorEastAsia" w:hAnsiTheme="minorEastAsia" w:hint="eastAsia"/>
          <w:b/>
        </w:rPr>
        <w:lastRenderedPageBreak/>
        <w:t>八、基金的投资</w:t>
      </w:r>
      <w:bookmarkEnd w:id="41"/>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43" w:name="_Toc52310848"/>
      <w:bookmarkStart w:id="44" w:name="_Toc64861723"/>
      <w:bookmarkStart w:id="45" w:name="_Toc30161785"/>
      <w:r w:rsidRPr="00960F82">
        <w:rPr>
          <w:rFonts w:asciiTheme="minorEastAsia" w:eastAsiaTheme="minorEastAsia" w:hAnsiTheme="minorEastAsia" w:hint="eastAsia"/>
          <w:b w:val="0"/>
        </w:rPr>
        <w:t>投资目标</w:t>
      </w:r>
      <w:bookmarkEnd w:id="43"/>
      <w:bookmarkEnd w:id="44"/>
      <w:bookmarkEnd w:id="45"/>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本基金主要投资超速成长公司，以实现基金资产的长期最大化增值。</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46" w:name="_Toc52310849"/>
      <w:bookmarkStart w:id="47" w:name="_Toc64861724"/>
      <w:bookmarkStart w:id="48" w:name="_Toc30161786"/>
      <w:r w:rsidRPr="00960F82">
        <w:rPr>
          <w:rFonts w:asciiTheme="minorEastAsia" w:eastAsiaTheme="minorEastAsia" w:hAnsiTheme="minorEastAsia" w:hint="eastAsia"/>
          <w:b w:val="0"/>
        </w:rPr>
        <w:t>投资方向</w:t>
      </w:r>
      <w:bookmarkEnd w:id="46"/>
      <w:bookmarkEnd w:id="47"/>
      <w:bookmarkEnd w:id="48"/>
    </w:p>
    <w:p w:rsidR="001D2E2F" w:rsidRPr="00960F82" w:rsidRDefault="001D2E2F" w:rsidP="00084917">
      <w:pPr>
        <w:snapToGrid w:val="0"/>
        <w:spacing w:line="360" w:lineRule="auto"/>
        <w:ind w:firstLineChars="196" w:firstLine="412"/>
        <w:rPr>
          <w:rFonts w:asciiTheme="minorEastAsia" w:eastAsiaTheme="minorEastAsia" w:hAnsiTheme="minorEastAsia"/>
        </w:rPr>
      </w:pPr>
      <w:r w:rsidRPr="00960F82">
        <w:rPr>
          <w:rFonts w:asciiTheme="minorEastAsia" w:eastAsiaTheme="minorEastAsia" w:hAnsiTheme="minorEastAsia" w:hint="eastAsia"/>
          <w:szCs w:val="21"/>
        </w:rPr>
        <w:t>本基金的投资范围为</w:t>
      </w:r>
      <w:r w:rsidRPr="00960F82">
        <w:rPr>
          <w:rFonts w:asciiTheme="minorEastAsia" w:eastAsiaTheme="minorEastAsia" w:hAnsiTheme="minorEastAsia" w:hint="eastAsia"/>
          <w:kern w:val="0"/>
          <w:szCs w:val="21"/>
        </w:rPr>
        <w:t>具有良好流动性的金融工具，包括国内依法公开发行、上市的股票和债券以及中国证监会允许基金投资的其它金融工具。</w:t>
      </w:r>
    </w:p>
    <w:p w:rsidR="001D2E2F" w:rsidRPr="00960F82" w:rsidRDefault="001D2E2F" w:rsidP="00084917">
      <w:pPr>
        <w:snapToGrid w:val="0"/>
        <w:spacing w:line="360" w:lineRule="auto"/>
        <w:ind w:firstLineChars="196" w:firstLine="412"/>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本基金将不低于80%的股票资产投资于“超速成长”公司的股票。</w:t>
      </w:r>
    </w:p>
    <w:p w:rsidR="001D2E2F" w:rsidRPr="00960F82" w:rsidRDefault="001D2E2F" w:rsidP="00084917">
      <w:pPr>
        <w:snapToGrid w:val="0"/>
        <w:spacing w:line="360" w:lineRule="auto"/>
        <w:ind w:firstLineChars="196" w:firstLine="412"/>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超速成长”公司包括：1、未来一年利润总额增长率超过国内生产总值增长率3倍，而且在未来两到三年将继续保持盈利增长的公司。2、未来一年利润总额增长率超过上一年利润总额增长率的1.5倍，绝对增长率超过国内生产总值增长率，而且在未来两到三年将继续保持盈利增长的公司。</w:t>
      </w:r>
    </w:p>
    <w:p w:rsidR="001D2E2F" w:rsidRPr="00960F82" w:rsidRDefault="001D2E2F" w:rsidP="00084917">
      <w:pPr>
        <w:snapToGrid w:val="0"/>
        <w:spacing w:line="360" w:lineRule="auto"/>
        <w:ind w:firstLineChars="196" w:firstLine="412"/>
        <w:rPr>
          <w:rFonts w:asciiTheme="minorEastAsia" w:eastAsiaTheme="minorEastAsia" w:hAnsiTheme="minorEastAsia"/>
          <w:kern w:val="0"/>
          <w:szCs w:val="21"/>
        </w:rPr>
      </w:pPr>
      <w:r w:rsidRPr="00960F82">
        <w:rPr>
          <w:rFonts w:asciiTheme="minorEastAsia" w:eastAsiaTheme="minorEastAsia" w:hAnsiTheme="minorEastAsia" w:hint="eastAsia"/>
        </w:rPr>
        <w:t>本基金将密切关注深圳交易所推出的中小企业板的投资机会，并随着该板块市值规模的扩大和流动性的提高，逐渐加大对其中具有良好成长性股票的投资比重。</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49" w:name="_Toc52310850"/>
      <w:bookmarkStart w:id="50" w:name="_Toc64861725"/>
      <w:bookmarkStart w:id="51" w:name="_Toc30161787"/>
      <w:r w:rsidRPr="00960F82">
        <w:rPr>
          <w:rFonts w:asciiTheme="minorEastAsia" w:eastAsiaTheme="minorEastAsia" w:hAnsiTheme="minorEastAsia" w:hint="eastAsia"/>
          <w:b w:val="0"/>
        </w:rPr>
        <w:t>投资理念</w:t>
      </w:r>
      <w:bookmarkEnd w:id="49"/>
      <w:bookmarkEnd w:id="50"/>
      <w:bookmarkEnd w:id="51"/>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投资超速成长企业，获取超额收益。</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52" w:name="_Toc52310852"/>
      <w:bookmarkStart w:id="53" w:name="_Toc64861727"/>
      <w:bookmarkStart w:id="54" w:name="_Toc30161788"/>
      <w:r w:rsidRPr="00960F82">
        <w:rPr>
          <w:rFonts w:asciiTheme="minorEastAsia" w:eastAsiaTheme="minorEastAsia" w:hAnsiTheme="minorEastAsia" w:hint="eastAsia"/>
          <w:b w:val="0"/>
        </w:rPr>
        <w:t>投资策略</w:t>
      </w:r>
      <w:bookmarkEnd w:id="52"/>
      <w:bookmarkEnd w:id="53"/>
      <w:bookmarkEnd w:id="54"/>
    </w:p>
    <w:p w:rsidR="001D2E2F" w:rsidRPr="00960F82" w:rsidRDefault="001D2E2F" w:rsidP="00084917">
      <w:pPr>
        <w:adjustRightInd w:val="0"/>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采取主动投资管理模式，主要分为两个层次，第一层次是主动地进行资产配置，以控制或规避市场的系统性风险，第二层次是自下而上的选股策略，在控制个股风险的基础上，给投资人带来尽可能高的回报。本基金投资策略的重点是第二层次选股策略。</w:t>
      </w:r>
    </w:p>
    <w:p w:rsidR="001D2E2F" w:rsidRPr="00960F82" w:rsidRDefault="001D2E2F" w:rsidP="00084917">
      <w:pPr>
        <w:snapToGrid w:val="0"/>
        <w:spacing w:line="360" w:lineRule="auto"/>
        <w:ind w:firstLineChars="196" w:firstLine="413"/>
        <w:rPr>
          <w:rFonts w:asciiTheme="minorEastAsia" w:eastAsiaTheme="minorEastAsia" w:hAnsiTheme="minorEastAsia"/>
          <w:b/>
          <w:szCs w:val="21"/>
        </w:rPr>
      </w:pPr>
      <w:r w:rsidRPr="00960F82">
        <w:rPr>
          <w:rFonts w:asciiTheme="minorEastAsia" w:eastAsiaTheme="minorEastAsia" w:hAnsiTheme="minorEastAsia" w:hint="eastAsia"/>
          <w:b/>
          <w:szCs w:val="21"/>
        </w:rPr>
        <w:t>1</w:t>
      </w:r>
      <w:r w:rsidR="00C64778" w:rsidRPr="00960F82">
        <w:rPr>
          <w:rFonts w:asciiTheme="minorEastAsia" w:eastAsiaTheme="minorEastAsia" w:hAnsiTheme="minorEastAsia" w:hint="eastAsia"/>
          <w:b/>
          <w:szCs w:val="21"/>
        </w:rPr>
        <w:t>、</w:t>
      </w:r>
      <w:r w:rsidRPr="00960F82">
        <w:rPr>
          <w:rFonts w:asciiTheme="minorEastAsia" w:eastAsiaTheme="minorEastAsia" w:hAnsiTheme="minorEastAsia" w:hint="eastAsia"/>
          <w:b/>
          <w:szCs w:val="21"/>
        </w:rPr>
        <w:t>资产配置策略</w:t>
      </w:r>
    </w:p>
    <w:p w:rsidR="001D2E2F" w:rsidRPr="00960F82" w:rsidRDefault="001D2E2F" w:rsidP="00084917">
      <w:pPr>
        <w:adjustRightInd w:val="0"/>
        <w:snapToGrid w:val="0"/>
        <w:spacing w:line="360" w:lineRule="auto"/>
        <w:ind w:firstLine="437"/>
        <w:rPr>
          <w:rFonts w:asciiTheme="minorEastAsia" w:eastAsiaTheme="minorEastAsia" w:hAnsiTheme="minorEastAsia"/>
        </w:rPr>
      </w:pPr>
      <w:r w:rsidRPr="00960F82">
        <w:rPr>
          <w:rFonts w:asciiTheme="minorEastAsia" w:eastAsiaTheme="minorEastAsia" w:hAnsiTheme="minorEastAsia" w:hint="eastAsia"/>
        </w:rPr>
        <w:t>本基金主要根据宏观经济、政策环境、利率走势、资金供求以及股票市场波动等因素的分析判断，其中重点关注国民经济的领先指标，如一次能源生产总量、钢产量、铁矿石产量、新开工项目数、狭义货币M1、商品销售收入等指标，分析预测宏观经济的发展趋势，据此评价未来一段时间股票、债券市场相对收益率，主动调整股票、债券及现金的配置比例。</w:t>
      </w:r>
    </w:p>
    <w:p w:rsidR="001D2E2F" w:rsidRPr="00960F82" w:rsidRDefault="001D2E2F" w:rsidP="00084917">
      <w:pPr>
        <w:adjustRightInd w:val="0"/>
        <w:snapToGrid w:val="0"/>
        <w:spacing w:line="360" w:lineRule="auto"/>
        <w:ind w:firstLine="437"/>
        <w:rPr>
          <w:rFonts w:asciiTheme="minorEastAsia" w:eastAsiaTheme="minorEastAsia" w:hAnsiTheme="minorEastAsia"/>
        </w:rPr>
      </w:pPr>
      <w:r w:rsidRPr="00960F82">
        <w:rPr>
          <w:rFonts w:asciiTheme="minorEastAsia" w:eastAsiaTheme="minorEastAsia" w:hAnsiTheme="minorEastAsia" w:hint="eastAsia"/>
        </w:rPr>
        <w:t>在有关法律法规许可的前提下，一般情况下，本基金将60%以上的资产投资于股票市场。</w:t>
      </w:r>
      <w:r w:rsidRPr="00960F82">
        <w:rPr>
          <w:rFonts w:asciiTheme="minorEastAsia" w:eastAsiaTheme="minorEastAsia" w:hAnsiTheme="minorEastAsia" w:hint="eastAsia"/>
        </w:rPr>
        <w:lastRenderedPageBreak/>
        <w:t>而当股票市场系统性风险加大时，本基金可加大投资债券市场的比例，但股票资产占基金总资产的比重最低不低于40%。</w:t>
      </w:r>
    </w:p>
    <w:p w:rsidR="001D2E2F" w:rsidRPr="00960F82" w:rsidRDefault="001D2E2F" w:rsidP="00084917">
      <w:pPr>
        <w:snapToGrid w:val="0"/>
        <w:spacing w:line="360" w:lineRule="auto"/>
        <w:ind w:firstLineChars="196" w:firstLine="413"/>
        <w:rPr>
          <w:rFonts w:asciiTheme="minorEastAsia" w:eastAsiaTheme="minorEastAsia" w:hAnsiTheme="minorEastAsia"/>
          <w:b/>
          <w:szCs w:val="21"/>
        </w:rPr>
      </w:pPr>
      <w:r w:rsidRPr="00960F82">
        <w:rPr>
          <w:rFonts w:asciiTheme="minorEastAsia" w:eastAsiaTheme="minorEastAsia" w:hAnsiTheme="minorEastAsia" w:hint="eastAsia"/>
          <w:b/>
          <w:szCs w:val="21"/>
        </w:rPr>
        <w:t>2</w:t>
      </w:r>
      <w:r w:rsidR="00C64778" w:rsidRPr="00960F82">
        <w:rPr>
          <w:rFonts w:asciiTheme="minorEastAsia" w:eastAsiaTheme="minorEastAsia" w:hAnsiTheme="minorEastAsia" w:hint="eastAsia"/>
          <w:b/>
          <w:szCs w:val="21"/>
        </w:rPr>
        <w:t>、</w:t>
      </w:r>
      <w:r w:rsidRPr="00960F82">
        <w:rPr>
          <w:rFonts w:asciiTheme="minorEastAsia" w:eastAsiaTheme="minorEastAsia" w:hAnsiTheme="minorEastAsia" w:hint="eastAsia"/>
          <w:b/>
          <w:szCs w:val="21"/>
        </w:rPr>
        <w:t>股票投资策略</w:t>
      </w:r>
    </w:p>
    <w:p w:rsidR="001D2E2F" w:rsidRPr="00960F82" w:rsidRDefault="001D2E2F" w:rsidP="00084917">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本基金认为，公司未来盈利的增长是股价上涨的主要驱动因素，因此将对上市公司基本面的深入研究作为基金的投资基础。本基金股票部分将投资未来有成长潜力的公司，即未来两到三年企业利润总额持续增长的公司。</w:t>
      </w:r>
    </w:p>
    <w:p w:rsidR="001D2E2F" w:rsidRPr="00960F82" w:rsidRDefault="001D2E2F" w:rsidP="00084917">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本基金将首先采用定量分析与定性分析的方法，初步筛选出成长潜力较大的上市公司作为本基金的初选库。采用的定量指标主要包括主营利润增长率、净利润增长率、净资产收益率、主营业务利润率、主营利润率变化率等指标。</w:t>
      </w:r>
    </w:p>
    <w:p w:rsidR="001D2E2F" w:rsidRPr="00960F82" w:rsidRDefault="001D2E2F" w:rsidP="00084917">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然后，本基金将对有成长潜力的上市公司进行进一步案头研究和实地调研，深入研究企业的基本面。在此过程中，本基金管理人将应用以下的“易方达成长公司投资评价体系”，对上市公司进行投资评价，对企业在未来两到三年的成长性进行分析和预测，优选成长性高、有持续成长能力、股票定价相对合理的公司作为本基金的备选库。</w:t>
      </w:r>
    </w:p>
    <w:p w:rsidR="001D2E2F" w:rsidRPr="00960F82" w:rsidRDefault="001D2E2F" w:rsidP="00084917">
      <w:pPr>
        <w:snapToGrid w:val="0"/>
        <w:spacing w:line="360" w:lineRule="auto"/>
        <w:ind w:firstLine="271"/>
        <w:rPr>
          <w:rFonts w:asciiTheme="minorEastAsia" w:eastAsiaTheme="minorEastAsia" w:hAnsiTheme="minorEastAsia"/>
        </w:rPr>
      </w:pPr>
      <w:r w:rsidRPr="00960F82">
        <w:rPr>
          <w:rFonts w:asciiTheme="minorEastAsia" w:eastAsiaTheme="minorEastAsia" w:hAnsiTheme="minorEastAsia" w:hint="eastAsia"/>
        </w:rPr>
        <w:t>“易方达成长公司投资评价体系”主要包括：</w:t>
      </w:r>
    </w:p>
    <w:p w:rsidR="001D2E2F" w:rsidRPr="00960F82" w:rsidRDefault="00C64778" w:rsidP="00084917">
      <w:pPr>
        <w:snapToGrid w:val="0"/>
        <w:spacing w:line="360" w:lineRule="auto"/>
        <w:ind w:firstLineChars="196" w:firstLine="412"/>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行业因素</w:t>
      </w:r>
    </w:p>
    <w:p w:rsidR="001D2E2F" w:rsidRPr="00960F82" w:rsidRDefault="00C64778" w:rsidP="00C64778">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市场空间。企业收入主要来源所在行业市场空间较大，远未饱和，消费需求持续增长；</w:t>
      </w:r>
    </w:p>
    <w:p w:rsidR="001D2E2F" w:rsidRPr="00960F82" w:rsidRDefault="006F79CF" w:rsidP="00C64778">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行业周期。行业处于发展期或成熟期前期，或行业正从衰退中复苏；</w:t>
      </w:r>
    </w:p>
    <w:p w:rsidR="001D2E2F" w:rsidRPr="00960F82" w:rsidRDefault="006F79CF" w:rsidP="00C64778">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hint="eastAsia"/>
        </w:rPr>
        <w:t>行业成长的推动力。企业在市场、产品结构、技术、原料等方面有区别，行业成长对不同企业的推动力也不一样。这里主要关注行业成长能否对企业的盈利有明显的推动力。</w:t>
      </w:r>
    </w:p>
    <w:p w:rsidR="001D2E2F" w:rsidRPr="00960F82" w:rsidRDefault="006F79CF" w:rsidP="00084917">
      <w:pPr>
        <w:snapToGrid w:val="0"/>
        <w:spacing w:line="360" w:lineRule="auto"/>
        <w:ind w:left="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企业因素</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规模。企业原来规模较小，成长空间大；</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产能。企业可加大投入，不断扩大产能，并有配套的销售能力和市场空间；</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hint="eastAsia"/>
        </w:rPr>
        <w:t>创新。企业产品或技术创新能力较强，新产品、高技术含量产品的收入比例不断提高；</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竞争优势。企业有难以为竞争对手模仿的竞争优势，如在资源、技术、人才、资金、经营许可证、销售网络等方面的优势等，借此优势，企业可不断提高市场占有率；</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5）</w:t>
      </w:r>
      <w:r w:rsidR="001D2E2F" w:rsidRPr="00960F82">
        <w:rPr>
          <w:rFonts w:asciiTheme="minorEastAsia" w:eastAsiaTheme="minorEastAsia" w:hAnsiTheme="minorEastAsia" w:hint="eastAsia"/>
        </w:rPr>
        <w:t>管理。企业内部挖潜的潜力较大，可通过提高管理水平，降低营业成本、生产成本；</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6）</w:t>
      </w:r>
      <w:r w:rsidR="001D2E2F" w:rsidRPr="00960F82">
        <w:rPr>
          <w:rFonts w:asciiTheme="minorEastAsia" w:eastAsiaTheme="minorEastAsia" w:hAnsiTheme="minorEastAsia" w:hint="eastAsia"/>
        </w:rPr>
        <w:t>购并。企业有潜在发生重组、收购、兼并的可能或机会，购并后将对企业的盈利能力有明显改善，企业购并实现的可能性较大，市场不完全了解有关信息或对企业盈利前景判断不一致时，蕴藏着较大投资机会。</w:t>
      </w:r>
    </w:p>
    <w:p w:rsidR="001D2E2F" w:rsidRPr="00960F82" w:rsidRDefault="006F79CF" w:rsidP="00084917">
      <w:pPr>
        <w:snapToGrid w:val="0"/>
        <w:spacing w:line="360" w:lineRule="auto"/>
        <w:ind w:left="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定价因素</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相对定价。本基金根据不同行业的特点采用了不同的股票定价模型，并在综合考虑股票的历史的、国内的以及国外的定价水平的基础上，对企业进行相对定价。本基金主要投</w:t>
      </w:r>
      <w:r w:rsidR="001D2E2F" w:rsidRPr="00960F82">
        <w:rPr>
          <w:rFonts w:asciiTheme="minorEastAsia" w:eastAsiaTheme="minorEastAsia" w:hAnsiTheme="minorEastAsia" w:hint="eastAsia"/>
        </w:rPr>
        <w:lastRenderedPageBreak/>
        <w:t>资有较高成长性的公司，股票市盈率可能较高，本基金将主要关注公司在本行业中的相对定价水平。</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市场预期。在短期内，公司价值没有变化，但因盈利预期、公司事件、市场热点转换等因素影响，板块或股票价格会重新定位。本基金将根据对市场的判断，在控制股票相对市盈率的基础上，准确及时地把握这类短期的投资机会。</w:t>
      </w:r>
    </w:p>
    <w:p w:rsidR="001D2E2F" w:rsidRPr="00960F82" w:rsidRDefault="001D2E2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本基金将密切关注深圳交易所推出的中小企业板的投资机会，并随着该板块市值规模的扩大和流动性的提高，逐渐加大对其中具有良好成长性股票的投资比重。</w:t>
      </w:r>
    </w:p>
    <w:p w:rsidR="001D2E2F" w:rsidRPr="00960F82" w:rsidRDefault="001D2E2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在按以上标准优选的股票中，本基金将再精选“超速成长”公司，作为本基金的核心备选库。本基金认为以下两类公司为“超速成长”公司。</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企业未来一年利润总额增长率超过国内生产总值增长率3倍，而且在未来两到三年将继续保持盈利增长。</w:t>
      </w:r>
    </w:p>
    <w:p w:rsidR="001D2E2F" w:rsidRPr="00960F82" w:rsidRDefault="006F79CF" w:rsidP="006F79CF">
      <w:pPr>
        <w:snapToGrid w:val="0"/>
        <w:spacing w:line="360" w:lineRule="auto"/>
        <w:ind w:firstLine="36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企业下一年利润总额增长率超过上一年利润总额增长率的1.5倍，下一年利润绝对增长率超过国内生产总值增长率，而且在未来两到三年将继续保持盈利增长的上市公司。</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本基金除考虑上述公司的成长性和相对价值以外，还将结合股票的流动性、流通市值和风险分析等因素，构造股票投资组合。</w:t>
      </w:r>
    </w:p>
    <w:p w:rsidR="005E306A" w:rsidRPr="00960F82" w:rsidRDefault="001D2E2F" w:rsidP="00084917">
      <w:pPr>
        <w:snapToGrid w:val="0"/>
        <w:spacing w:line="360" w:lineRule="auto"/>
        <w:ind w:leftChars="66" w:left="139" w:firstLineChars="183" w:firstLine="384"/>
        <w:rPr>
          <w:rFonts w:asciiTheme="minorEastAsia" w:eastAsiaTheme="minorEastAsia" w:hAnsiTheme="minorEastAsia"/>
          <w:kern w:val="0"/>
          <w:szCs w:val="21"/>
        </w:rPr>
        <w:sectPr w:rsidR="005E306A" w:rsidRPr="00960F82" w:rsidSect="005E306A">
          <w:pgSz w:w="11906" w:h="16838" w:code="9"/>
          <w:pgMar w:top="1440" w:right="1800" w:bottom="1440" w:left="1800" w:header="851" w:footer="992" w:gutter="0"/>
          <w:cols w:space="425"/>
          <w:titlePg/>
          <w:docGrid w:type="lines" w:linePitch="312"/>
        </w:sectPr>
      </w:pPr>
      <w:r w:rsidRPr="00960F82">
        <w:rPr>
          <w:rFonts w:asciiTheme="minorEastAsia" w:eastAsiaTheme="minorEastAsia" w:hAnsiTheme="minorEastAsia" w:hint="eastAsia"/>
        </w:rPr>
        <w:t>本基金将不低于80%的股票资产投资于</w:t>
      </w:r>
      <w:r w:rsidRPr="00960F82">
        <w:rPr>
          <w:rFonts w:asciiTheme="minorEastAsia" w:eastAsiaTheme="minorEastAsia" w:hAnsiTheme="minorEastAsia" w:hint="eastAsia"/>
          <w:kern w:val="0"/>
          <w:szCs w:val="21"/>
        </w:rPr>
        <w:t>“超速成长”公司的股票。</w:t>
      </w:r>
    </w:p>
    <w:p w:rsidR="001D2E2F" w:rsidRPr="00960F82" w:rsidRDefault="001D2E2F" w:rsidP="00084917">
      <w:pPr>
        <w:snapToGrid w:val="0"/>
        <w:spacing w:line="360" w:lineRule="auto"/>
        <w:ind w:firstLine="271"/>
        <w:jc w:val="center"/>
        <w:rPr>
          <w:rFonts w:asciiTheme="minorEastAsia" w:eastAsiaTheme="minorEastAsia" w:hAnsiTheme="minorEastAsia"/>
          <w:b/>
          <w:bCs/>
          <w:szCs w:val="21"/>
        </w:rPr>
      </w:pPr>
      <w:r w:rsidRPr="00960F82">
        <w:rPr>
          <w:rFonts w:asciiTheme="minorEastAsia" w:eastAsiaTheme="minorEastAsia" w:hAnsiTheme="minorEastAsia" w:hint="eastAsia"/>
          <w:b/>
          <w:bCs/>
          <w:szCs w:val="21"/>
        </w:rPr>
        <w:lastRenderedPageBreak/>
        <w:t>股票投资流程</w: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29" style="position:absolute;left:0;text-align:left;flip:x;z-index:251642368" from="153pt,15.6pt" to="306pt,15.6pt">
            <v:stroke endarrow="block"/>
          </v:line>
        </w:pict>
      </w:r>
      <w:r>
        <w:rPr>
          <w:rFonts w:asciiTheme="minorEastAsia" w:eastAsiaTheme="minorEastAsia" w:hAnsiTheme="minorEastAsia"/>
          <w:noProof/>
          <w:sz w:val="20"/>
          <w:szCs w:val="21"/>
        </w:rPr>
        <w:pict>
          <v:shapetype id="_x0000_t202" coordsize="21600,21600" o:spt="202" path="m,l,21600r21600,l21600,xe">
            <v:stroke joinstyle="miter"/>
            <v:path gradientshapeok="t" o:connecttype="rect"/>
          </v:shapetype>
          <v:shape id="_x0000_s1027" type="#_x0000_t202" style="position:absolute;left:0;text-align:left;margin-left:306pt;margin-top:7.8pt;width:90pt;height:23.4pt;z-index:251640320">
            <v:textbox style="mso-next-textbox:#_x0000_s1027">
              <w:txbxContent>
                <w:p w:rsidR="00FF100F" w:rsidRDefault="00FF100F" w:rsidP="001D2E2F">
                  <w:pPr>
                    <w:jc w:val="center"/>
                  </w:pPr>
                  <w:r>
                    <w:rPr>
                      <w:rFonts w:hint="eastAsia"/>
                    </w:rPr>
                    <w:t>股票资产配置</w:t>
                  </w:r>
                </w:p>
              </w:txbxContent>
            </v:textbox>
          </v:shape>
        </w:pict>
      </w:r>
      <w:r>
        <w:rPr>
          <w:rFonts w:asciiTheme="minorEastAsia" w:eastAsiaTheme="minorEastAsia" w:hAnsiTheme="minorEastAsia"/>
          <w:noProof/>
          <w:sz w:val="20"/>
          <w:szCs w:val="21"/>
        </w:rPr>
        <w:pict>
          <v:shape id="_x0000_s1026" type="#_x0000_t202" style="position:absolute;left:0;text-align:left;margin-left:45pt;margin-top:7.8pt;width:108pt;height:23.4pt;z-index:251639296">
            <v:textbox style="mso-next-textbox:#_x0000_s1026">
              <w:txbxContent>
                <w:p w:rsidR="00FF100F" w:rsidRDefault="00FF100F" w:rsidP="001D2E2F">
                  <w:r>
                    <w:rPr>
                      <w:rFonts w:hint="eastAsia"/>
                    </w:rPr>
                    <w:t>整体股票上市公司</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32" style="position:absolute;left:0;text-align:left;z-index:251645440" from="99pt,10.8pt" to="99pt,36pt">
            <v:stroke endarrow="block"/>
          </v:lin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60" style="position:absolute;left:0;text-align:left;flip:y;z-index:251674112" from="15.75pt,20.4pt" to="15.75pt,252.9pt"/>
        </w:pict>
      </w:r>
      <w:r>
        <w:rPr>
          <w:rFonts w:asciiTheme="minorEastAsia" w:eastAsiaTheme="minorEastAsia" w:hAnsiTheme="minorEastAsia"/>
          <w:noProof/>
          <w:sz w:val="20"/>
          <w:szCs w:val="21"/>
        </w:rPr>
        <w:pict>
          <v:shape id="_x0000_s1030" type="#_x0000_t202" style="position:absolute;left:0;text-align:left;margin-left:306pt;margin-top:7.8pt;width:90pt;height:23.4pt;z-index:251643392">
            <v:textbox style="mso-next-textbox:#_x0000_s1030">
              <w:txbxContent>
                <w:p w:rsidR="00FF100F" w:rsidRDefault="00FF100F" w:rsidP="001D2E2F">
                  <w:pPr>
                    <w:jc w:val="center"/>
                  </w:pPr>
                  <w:r>
                    <w:rPr>
                      <w:rFonts w:hint="eastAsia"/>
                    </w:rPr>
                    <w:t>定量分析与定性分析</w:t>
                  </w:r>
                </w:p>
              </w:txbxContent>
            </v:textbox>
          </v:shape>
        </w:pict>
      </w:r>
      <w:r>
        <w:rPr>
          <w:rFonts w:asciiTheme="minorEastAsia" w:eastAsiaTheme="minorEastAsia" w:hAnsiTheme="minorEastAsia"/>
          <w:noProof/>
          <w:sz w:val="20"/>
          <w:szCs w:val="21"/>
        </w:rPr>
        <w:pict>
          <v:shape id="_x0000_s1028" type="#_x0000_t202" style="position:absolute;left:0;text-align:left;margin-left:54pt;margin-top:15.6pt;width:90pt;height:23.4pt;z-index:251641344">
            <v:textbox style="mso-next-textbox:#_x0000_s1028">
              <w:txbxContent>
                <w:p w:rsidR="00FF100F" w:rsidRDefault="00FF100F" w:rsidP="001D2E2F">
                  <w:r>
                    <w:rPr>
                      <w:rFonts w:hint="eastAsia"/>
                    </w:rPr>
                    <w:t>成长股初选库</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shape id="_x0000_s1035" type="#_x0000_t202" style="position:absolute;left:0;text-align:left;margin-left:108pt;margin-top:18.6pt;width:63pt;height:69.95pt;z-index:251648512" stroked="f">
            <v:textbox style="mso-next-textbox:#_x0000_s1035">
              <w:txbxContent>
                <w:p w:rsidR="00FF100F" w:rsidRDefault="00FF100F" w:rsidP="001D2E2F">
                  <w:r>
                    <w:rPr>
                      <w:rFonts w:hint="eastAsia"/>
                    </w:rPr>
                    <w:t>案头研究公司调研研究报告</w:t>
                  </w:r>
                </w:p>
                <w:p w:rsidR="00FF100F" w:rsidRDefault="00FF100F" w:rsidP="001D2E2F">
                  <w:r>
                    <w:rPr>
                      <w:rFonts w:hint="eastAsia"/>
                    </w:rPr>
                    <w:t>投资会议</w:t>
                  </w:r>
                </w:p>
              </w:txbxContent>
            </v:textbox>
          </v:shape>
        </w:pict>
      </w:r>
      <w:r>
        <w:rPr>
          <w:rFonts w:asciiTheme="minorEastAsia" w:eastAsiaTheme="minorEastAsia" w:hAnsiTheme="minorEastAsia"/>
          <w:noProof/>
          <w:sz w:val="20"/>
          <w:szCs w:val="21"/>
        </w:rPr>
        <w:pict>
          <v:line id="_x0000_s1031" style="position:absolute;left:0;text-align:left;flip:x;z-index:251644416" from="2in,0" to="306pt,0">
            <v:stroke endarrow="block"/>
          </v:line>
        </w:pict>
      </w:r>
      <w:r>
        <w:rPr>
          <w:rFonts w:asciiTheme="minorEastAsia" w:eastAsiaTheme="minorEastAsia" w:hAnsiTheme="minorEastAsia"/>
          <w:noProof/>
          <w:sz w:val="20"/>
          <w:szCs w:val="21"/>
        </w:rPr>
        <w:pict>
          <v:line id="_x0000_s1061" style="position:absolute;left:0;text-align:left;z-index:251675136" from="18pt,0" to="54pt,0">
            <v:stroke endarrow="block"/>
          </v:lin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34" style="position:absolute;left:0;text-align:left;flip:x;z-index:251647488" from="98.95pt,.6pt" to="98.95pt,67.1pt">
            <v:stroke endarrow="block"/>
          </v:line>
        </w:pict>
      </w:r>
      <w:r>
        <w:rPr>
          <w:rFonts w:asciiTheme="minorEastAsia" w:eastAsiaTheme="minorEastAsia" w:hAnsiTheme="minorEastAsia"/>
          <w:noProof/>
          <w:sz w:val="20"/>
          <w:szCs w:val="21"/>
        </w:rPr>
        <w:pict>
          <v:shape id="_x0000_s1036" type="#_x0000_t202" style="position:absolute;left:0;text-align:left;margin-left:225pt;margin-top:14.1pt;width:27pt;height:140.4pt;z-index:251649536">
            <v:textbox style="mso-next-textbox:#_x0000_s1036">
              <w:txbxContent>
                <w:p w:rsidR="00FF100F" w:rsidRDefault="00FF100F" w:rsidP="001D2E2F">
                  <w:r>
                    <w:rPr>
                      <w:rFonts w:hint="eastAsia"/>
                    </w:rPr>
                    <w:t>成长公司评价体系</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shape id="_x0000_s1037" type="#_x0000_t202" style="position:absolute;left:0;text-align:left;margin-left:306pt;margin-top:0;width:90pt;height:23.4pt;z-index:251650560">
            <v:textbox style="mso-next-textbox:#_x0000_s1037">
              <w:txbxContent>
                <w:p w:rsidR="00FF100F" w:rsidRDefault="00FF100F" w:rsidP="001D2E2F">
                  <w:pPr>
                    <w:jc w:val="center"/>
                  </w:pPr>
                  <w:r>
                    <w:rPr>
                      <w:rFonts w:hint="eastAsia"/>
                    </w:rPr>
                    <w:t>行业因素</w:t>
                  </w:r>
                </w:p>
              </w:txbxContent>
            </v:textbox>
          </v:shape>
        </w:pict>
      </w:r>
      <w:r>
        <w:rPr>
          <w:rFonts w:asciiTheme="minorEastAsia" w:eastAsiaTheme="minorEastAsia" w:hAnsiTheme="minorEastAsia"/>
          <w:noProof/>
          <w:sz w:val="20"/>
          <w:szCs w:val="21"/>
        </w:rPr>
        <w:pict>
          <v:line id="_x0000_s1041" style="position:absolute;left:0;text-align:left;flip:x;z-index:251654656" from="252pt,15.6pt" to="306pt,15.6pt"/>
        </w:pict>
      </w:r>
    </w:p>
    <w:p w:rsidR="001D2E2F" w:rsidRPr="00960F82" w:rsidRDefault="001D2E2F" w:rsidP="00084917">
      <w:pPr>
        <w:snapToGrid w:val="0"/>
        <w:spacing w:line="360" w:lineRule="auto"/>
        <w:ind w:firstLine="271"/>
        <w:rPr>
          <w:rFonts w:asciiTheme="minorEastAsia" w:eastAsiaTheme="minorEastAsia" w:hAnsiTheme="minorEastAsia"/>
          <w:szCs w:val="21"/>
        </w:rPr>
      </w:pP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shape id="_x0000_s1039" type="#_x0000_t202" style="position:absolute;left:0;text-align:left;margin-left:306pt;margin-top:7.8pt;width:90pt;height:23.4pt;z-index:251652608">
            <v:textbox style="mso-next-textbox:#_x0000_s1039">
              <w:txbxContent>
                <w:p w:rsidR="00FF100F" w:rsidRDefault="00FF100F" w:rsidP="001D2E2F">
                  <w:pPr>
                    <w:jc w:val="center"/>
                  </w:pPr>
                  <w:r>
                    <w:rPr>
                      <w:rFonts w:hint="eastAsia"/>
                    </w:rPr>
                    <w:t>企业因素</w:t>
                  </w:r>
                </w:p>
              </w:txbxContent>
            </v:textbox>
          </v:shape>
        </w:pict>
      </w:r>
      <w:r>
        <w:rPr>
          <w:rFonts w:asciiTheme="minorEastAsia" w:eastAsiaTheme="minorEastAsia" w:hAnsiTheme="minorEastAsia"/>
          <w:noProof/>
          <w:sz w:val="20"/>
          <w:szCs w:val="21"/>
        </w:rPr>
        <w:pict>
          <v:shape id="_x0000_s1033" type="#_x0000_t202" style="position:absolute;left:0;text-align:left;margin-left:54pt;margin-top:7.8pt;width:90pt;height:23.4pt;z-index:251646464">
            <v:textbox style="mso-next-textbox:#_x0000_s1033">
              <w:txbxContent>
                <w:p w:rsidR="00FF100F" w:rsidRDefault="00FF100F" w:rsidP="001D2E2F">
                  <w:r>
                    <w:rPr>
                      <w:rFonts w:hint="eastAsia"/>
                    </w:rPr>
                    <w:t>成长股备选库</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45" style="position:absolute;left:0;text-align:left;z-index:251658752" from="99pt,10.65pt" to="99pt,68.25pt">
            <v:stroke endarrow="block"/>
          </v:line>
        </w:pict>
      </w:r>
      <w:r>
        <w:rPr>
          <w:rFonts w:asciiTheme="minorEastAsia" w:eastAsiaTheme="minorEastAsia" w:hAnsiTheme="minorEastAsia"/>
          <w:noProof/>
          <w:sz w:val="20"/>
          <w:szCs w:val="21"/>
        </w:rPr>
        <w:pict>
          <v:line id="_x0000_s1043" style="position:absolute;left:0;text-align:left;flip:x;z-index:251656704" from="252pt,0" to="306pt,0"/>
        </w:pict>
      </w:r>
      <w:r>
        <w:rPr>
          <w:rFonts w:asciiTheme="minorEastAsia" w:eastAsiaTheme="minorEastAsia" w:hAnsiTheme="minorEastAsia"/>
          <w:noProof/>
          <w:sz w:val="20"/>
          <w:szCs w:val="21"/>
        </w:rPr>
        <w:pict>
          <v:line id="_x0000_s1040" style="position:absolute;left:0;text-align:left;flip:x;z-index:251653632" from="2in,0" to="225pt,0">
            <v:stroke endarrow="block"/>
          </v:lin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shape id="_x0000_s1046" type="#_x0000_t202" style="position:absolute;left:0;text-align:left;margin-left:117pt;margin-top:0;width:63pt;height:39pt;z-index:251659776" stroked="f">
            <v:textbox style="mso-next-textbox:#_x0000_s1046">
              <w:txbxContent>
                <w:p w:rsidR="00FF100F" w:rsidRDefault="00FF100F" w:rsidP="001D2E2F">
                  <w:r>
                    <w:rPr>
                      <w:rFonts w:hint="eastAsia"/>
                    </w:rPr>
                    <w:t>优中选优</w:t>
                  </w:r>
                </w:p>
                <w:p w:rsidR="00FF100F" w:rsidRDefault="00FF100F" w:rsidP="001D2E2F">
                  <w:r>
                    <w:rPr>
                      <w:rFonts w:hint="eastAsia"/>
                    </w:rPr>
                    <w:t>深入调研</w:t>
                  </w:r>
                </w:p>
              </w:txbxContent>
            </v:textbox>
          </v:shape>
        </w:pict>
      </w:r>
      <w:r>
        <w:rPr>
          <w:rFonts w:asciiTheme="minorEastAsia" w:eastAsiaTheme="minorEastAsia" w:hAnsiTheme="minorEastAsia"/>
          <w:noProof/>
          <w:sz w:val="20"/>
          <w:szCs w:val="21"/>
        </w:rPr>
        <w:pict>
          <v:shape id="_x0000_s1038" type="#_x0000_t202" style="position:absolute;left:0;text-align:left;margin-left:306pt;margin-top:7.8pt;width:90pt;height:23.4pt;z-index:251651584">
            <v:textbox style="mso-next-textbox:#_x0000_s1038">
              <w:txbxContent>
                <w:p w:rsidR="00FF100F" w:rsidRDefault="00FF100F" w:rsidP="001D2E2F">
                  <w:pPr>
                    <w:jc w:val="center"/>
                  </w:pPr>
                  <w:r>
                    <w:rPr>
                      <w:rFonts w:hint="eastAsia"/>
                    </w:rPr>
                    <w:t>定价因素</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shape id="_x0000_s1047" type="#_x0000_t202" style="position:absolute;left:0;text-align:left;margin-left:306pt;margin-top:15.6pt;width:90pt;height:23.4pt;z-index:251660800">
            <v:textbox style="mso-next-textbox:#_x0000_s1047">
              <w:txbxContent>
                <w:p w:rsidR="00FF100F" w:rsidRDefault="00FF100F" w:rsidP="001D2E2F">
                  <w:pPr>
                    <w:jc w:val="center"/>
                  </w:pPr>
                  <w:r>
                    <w:rPr>
                      <w:rFonts w:hint="eastAsia"/>
                    </w:rPr>
                    <w:t>3</w:t>
                  </w:r>
                  <w:r>
                    <w:rPr>
                      <w:rFonts w:hint="eastAsia"/>
                    </w:rPr>
                    <w:t>倍</w:t>
                  </w:r>
                  <w:r>
                    <w:rPr>
                      <w:rFonts w:hint="eastAsia"/>
                    </w:rPr>
                    <w:t>GDP</w:t>
                  </w:r>
                  <w:r>
                    <w:rPr>
                      <w:rFonts w:hint="eastAsia"/>
                    </w:rPr>
                    <w:t>增速</w:t>
                  </w:r>
                </w:p>
              </w:txbxContent>
            </v:textbox>
          </v:shape>
        </w:pict>
      </w:r>
      <w:r>
        <w:rPr>
          <w:rFonts w:asciiTheme="minorEastAsia" w:eastAsiaTheme="minorEastAsia" w:hAnsiTheme="minorEastAsia"/>
          <w:noProof/>
          <w:sz w:val="20"/>
          <w:szCs w:val="21"/>
        </w:rPr>
        <w:pict>
          <v:line id="_x0000_s1042" style="position:absolute;left:0;text-align:left;flip:x;z-index:251655680" from="252pt,0" to="306pt,0"/>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49" style="position:absolute;left:0;text-align:left;z-index:251662848" from="4in,7.8pt" to="4in,40.85pt"/>
        </w:pict>
      </w:r>
      <w:r>
        <w:rPr>
          <w:rFonts w:asciiTheme="minorEastAsia" w:eastAsiaTheme="minorEastAsia" w:hAnsiTheme="minorEastAsia"/>
          <w:noProof/>
          <w:sz w:val="20"/>
          <w:szCs w:val="21"/>
        </w:rPr>
        <w:pict>
          <v:line id="_x0000_s1052" style="position:absolute;left:0;text-align:left;flip:x;z-index:251665920" from="153pt,18.6pt" to="4in,18.6pt">
            <v:stroke endarrow="block"/>
          </v:line>
        </w:pict>
      </w:r>
      <w:r>
        <w:rPr>
          <w:rFonts w:asciiTheme="minorEastAsia" w:eastAsiaTheme="minorEastAsia" w:hAnsiTheme="minorEastAsia"/>
          <w:noProof/>
          <w:sz w:val="20"/>
          <w:szCs w:val="21"/>
        </w:rPr>
        <w:pict>
          <v:line id="_x0000_s1050" style="position:absolute;left:0;text-align:left;z-index:251663872" from="4in,7.8pt" to="306pt,7.8pt"/>
        </w:pict>
      </w:r>
      <w:r>
        <w:rPr>
          <w:rFonts w:asciiTheme="minorEastAsia" w:eastAsiaTheme="minorEastAsia" w:hAnsiTheme="minorEastAsia"/>
          <w:noProof/>
          <w:sz w:val="20"/>
          <w:szCs w:val="21"/>
        </w:rPr>
        <w:pict>
          <v:shape id="_x0000_s1044" type="#_x0000_t202" style="position:absolute;left:0;text-align:left;margin-left:45pt;margin-top:7.8pt;width:108pt;height:23.4pt;z-index:251657728">
            <v:textbox style="mso-next-textbox:#_x0000_s1044">
              <w:txbxContent>
                <w:p w:rsidR="00FF100F" w:rsidRDefault="00FF100F" w:rsidP="001D2E2F">
                  <w:pPr>
                    <w:jc w:val="center"/>
                  </w:pPr>
                  <w:r>
                    <w:rPr>
                      <w:rFonts w:hint="eastAsia"/>
                    </w:rPr>
                    <w:t>成长股核心备选库</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55" style="position:absolute;left:0;text-align:left;flip:x;z-index:251668992" from="99.75pt,12pt" to="99.75pt,35.25pt">
            <v:stroke endarrow="block"/>
          </v:line>
        </w:pict>
      </w:r>
      <w:r>
        <w:rPr>
          <w:rFonts w:asciiTheme="minorEastAsia" w:eastAsiaTheme="minorEastAsia" w:hAnsiTheme="minorEastAsia"/>
          <w:noProof/>
          <w:sz w:val="20"/>
          <w:szCs w:val="21"/>
        </w:rPr>
        <w:pict>
          <v:shape id="_x0000_s1048" type="#_x0000_t202" style="position:absolute;left:0;text-align:left;margin-left:306pt;margin-top:7.8pt;width:90pt;height:23.4pt;z-index:251661824">
            <v:textbox style="mso-next-textbox:#_x0000_s1048">
              <w:txbxContent>
                <w:p w:rsidR="00FF100F" w:rsidRDefault="00FF100F" w:rsidP="001D2E2F">
                  <w:pPr>
                    <w:jc w:val="center"/>
                  </w:pPr>
                  <w:r>
                    <w:rPr>
                      <w:rFonts w:hint="eastAsia"/>
                    </w:rPr>
                    <w:t>1.5</w:t>
                  </w:r>
                  <w:r>
                    <w:rPr>
                      <w:rFonts w:hint="eastAsia"/>
                    </w:rPr>
                    <w:t>倍加速增长</w:t>
                  </w:r>
                </w:p>
              </w:txbxContent>
            </v:textbox>
          </v:shape>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shape id="_x0000_s1057" type="#_x0000_t202" style="position:absolute;left:0;text-align:left;margin-left:306pt;margin-top:15.6pt;width:81pt;height:85.8pt;z-index:251671040">
            <v:textbox style="mso-next-textbox:#_x0000_s1057">
              <w:txbxContent>
                <w:p w:rsidR="00FF100F" w:rsidRDefault="00FF100F" w:rsidP="001D2E2F">
                  <w:pPr>
                    <w:jc w:val="center"/>
                  </w:pPr>
                  <w:r>
                    <w:rPr>
                      <w:rFonts w:hint="eastAsia"/>
                    </w:rPr>
                    <w:t>成长性</w:t>
                  </w:r>
                </w:p>
                <w:p w:rsidR="00FF100F" w:rsidRDefault="00FF100F" w:rsidP="001D2E2F">
                  <w:pPr>
                    <w:jc w:val="center"/>
                  </w:pPr>
                  <w:r>
                    <w:rPr>
                      <w:rFonts w:hint="eastAsia"/>
                    </w:rPr>
                    <w:t>相对定价</w:t>
                  </w:r>
                </w:p>
                <w:p w:rsidR="00FF100F" w:rsidRDefault="00FF100F" w:rsidP="001D2E2F">
                  <w:pPr>
                    <w:jc w:val="center"/>
                  </w:pPr>
                  <w:r>
                    <w:rPr>
                      <w:rFonts w:hint="eastAsia"/>
                    </w:rPr>
                    <w:t>流动性</w:t>
                  </w:r>
                </w:p>
                <w:p w:rsidR="00FF100F" w:rsidRDefault="00FF100F" w:rsidP="001D2E2F">
                  <w:pPr>
                    <w:jc w:val="center"/>
                  </w:pPr>
                  <w:r>
                    <w:rPr>
                      <w:rFonts w:hint="eastAsia"/>
                    </w:rPr>
                    <w:t>流通市值</w:t>
                  </w:r>
                </w:p>
                <w:p w:rsidR="00FF100F" w:rsidRDefault="00FF100F" w:rsidP="001D2E2F">
                  <w:pPr>
                    <w:jc w:val="center"/>
                  </w:pPr>
                  <w:r>
                    <w:rPr>
                      <w:rFonts w:hint="eastAsia"/>
                    </w:rPr>
                    <w:t>买卖纪律</w:t>
                  </w:r>
                </w:p>
              </w:txbxContent>
            </v:textbox>
          </v:shape>
        </w:pict>
      </w:r>
      <w:r>
        <w:rPr>
          <w:rFonts w:asciiTheme="minorEastAsia" w:eastAsiaTheme="minorEastAsia" w:hAnsiTheme="minorEastAsia"/>
          <w:noProof/>
          <w:sz w:val="20"/>
          <w:szCs w:val="21"/>
        </w:rPr>
        <w:pict>
          <v:shape id="_x0000_s1053" type="#_x0000_t202" style="position:absolute;left:0;text-align:left;margin-left:45pt;margin-top:15.6pt;width:108pt;height:23.4pt;z-index:251666944">
            <v:textbox style="mso-next-textbox:#_x0000_s1053">
              <w:txbxContent>
                <w:p w:rsidR="00FF100F" w:rsidRDefault="00FF100F" w:rsidP="001D2E2F">
                  <w:pPr>
                    <w:jc w:val="center"/>
                  </w:pPr>
                  <w:r>
                    <w:rPr>
                      <w:rFonts w:hint="eastAsia"/>
                    </w:rPr>
                    <w:t>构造并调整组合</w:t>
                  </w:r>
                </w:p>
              </w:txbxContent>
            </v:textbox>
          </v:shape>
        </w:pict>
      </w:r>
      <w:r>
        <w:rPr>
          <w:rFonts w:asciiTheme="minorEastAsia" w:eastAsiaTheme="minorEastAsia" w:hAnsiTheme="minorEastAsia"/>
          <w:noProof/>
          <w:sz w:val="20"/>
          <w:szCs w:val="21"/>
        </w:rPr>
        <w:pict>
          <v:line id="_x0000_s1051" style="position:absolute;left:0;text-align:left;z-index:251664896" from="4in,0" to="306pt,0"/>
        </w:pict>
      </w:r>
    </w:p>
    <w:p w:rsidR="001D2E2F" w:rsidRPr="00960F82" w:rsidRDefault="004E05E9" w:rsidP="00084917">
      <w:pPr>
        <w:snapToGrid w:val="0"/>
        <w:spacing w:line="360" w:lineRule="auto"/>
        <w:ind w:firstLine="271"/>
        <w:rPr>
          <w:rFonts w:asciiTheme="minorEastAsia" w:eastAsiaTheme="minorEastAsia" w:hAnsiTheme="minorEastAsia"/>
          <w:szCs w:val="21"/>
        </w:rPr>
      </w:pPr>
      <w:r>
        <w:rPr>
          <w:rFonts w:asciiTheme="minorEastAsia" w:eastAsiaTheme="minorEastAsia" w:hAnsiTheme="minorEastAsia"/>
          <w:noProof/>
          <w:sz w:val="20"/>
          <w:szCs w:val="21"/>
        </w:rPr>
        <w:pict>
          <v:line id="_x0000_s1059" style="position:absolute;left:0;text-align:left;flip:y;z-index:251673088" from="1in,20.1pt" to="1in,43.5pt">
            <v:stroke endarrow="block"/>
          </v:line>
        </w:pict>
      </w:r>
      <w:r>
        <w:rPr>
          <w:rFonts w:asciiTheme="minorEastAsia" w:eastAsiaTheme="minorEastAsia" w:hAnsiTheme="minorEastAsia"/>
          <w:noProof/>
          <w:sz w:val="20"/>
          <w:szCs w:val="21"/>
        </w:rPr>
        <w:pict>
          <v:line id="_x0000_s1056" style="position:absolute;left:0;text-align:left;z-index:251670016" from="99pt,19.35pt" to="99pt,42.75pt">
            <v:stroke endarrow="block"/>
          </v:line>
        </w:pict>
      </w:r>
      <w:r>
        <w:rPr>
          <w:rFonts w:asciiTheme="minorEastAsia" w:eastAsiaTheme="minorEastAsia" w:hAnsiTheme="minorEastAsia"/>
          <w:noProof/>
          <w:sz w:val="20"/>
          <w:szCs w:val="21"/>
        </w:rPr>
        <w:pict>
          <v:line id="_x0000_s1062" style="position:absolute;left:0;text-align:left;z-index:251676160" from="18pt,7.8pt" to="45pt,7.8pt"/>
        </w:pict>
      </w:r>
      <w:r>
        <w:rPr>
          <w:rFonts w:asciiTheme="minorEastAsia" w:eastAsiaTheme="minorEastAsia" w:hAnsiTheme="minorEastAsia"/>
          <w:noProof/>
          <w:sz w:val="20"/>
          <w:szCs w:val="21"/>
        </w:rPr>
        <w:pict>
          <v:line id="_x0000_s1058" style="position:absolute;left:0;text-align:left;flip:x;z-index:251672064" from="153pt,7.8pt" to="306pt,7.8pt">
            <v:stroke endarrow="block"/>
          </v:line>
        </w:pict>
      </w:r>
    </w:p>
    <w:p w:rsidR="001D2E2F" w:rsidRPr="00960F82" w:rsidRDefault="001D2E2F" w:rsidP="00084917">
      <w:pPr>
        <w:snapToGrid w:val="0"/>
        <w:spacing w:line="360" w:lineRule="auto"/>
        <w:ind w:firstLine="271"/>
        <w:rPr>
          <w:rFonts w:asciiTheme="minorEastAsia" w:eastAsiaTheme="minorEastAsia" w:hAnsiTheme="minorEastAsia"/>
          <w:szCs w:val="21"/>
        </w:rPr>
      </w:pPr>
    </w:p>
    <w:p w:rsidR="001D2E2F" w:rsidRPr="00960F82" w:rsidRDefault="004E05E9" w:rsidP="00084917">
      <w:pPr>
        <w:snapToGrid w:val="0"/>
        <w:spacing w:line="360" w:lineRule="auto"/>
        <w:ind w:leftChars="129" w:left="271" w:firstLine="464"/>
        <w:rPr>
          <w:rFonts w:asciiTheme="minorEastAsia" w:eastAsiaTheme="minorEastAsia" w:hAnsiTheme="minorEastAsia"/>
          <w:szCs w:val="21"/>
        </w:rPr>
      </w:pPr>
      <w:r>
        <w:rPr>
          <w:rFonts w:asciiTheme="minorEastAsia" w:eastAsiaTheme="minorEastAsia" w:hAnsiTheme="minorEastAsia"/>
          <w:noProof/>
          <w:sz w:val="20"/>
          <w:szCs w:val="21"/>
        </w:rPr>
        <w:pict>
          <v:shape id="_x0000_s1054" type="#_x0000_t202" style="position:absolute;left:0;text-align:left;margin-left:45pt;margin-top:3pt;width:108pt;height:23.4pt;z-index:251667968">
            <v:textbox style="mso-next-textbox:#_x0000_s1054">
              <w:txbxContent>
                <w:p w:rsidR="00FF100F" w:rsidRDefault="00FF100F" w:rsidP="001D2E2F">
                  <w:pPr>
                    <w:jc w:val="center"/>
                  </w:pPr>
                  <w:r>
                    <w:rPr>
                      <w:rFonts w:hint="eastAsia"/>
                    </w:rPr>
                    <w:t>风险控制</w:t>
                  </w:r>
                </w:p>
              </w:txbxContent>
            </v:textbox>
          </v:shape>
        </w:pict>
      </w:r>
    </w:p>
    <w:p w:rsidR="001D2E2F" w:rsidRPr="00960F82" w:rsidRDefault="001D2E2F" w:rsidP="00084917">
      <w:pPr>
        <w:snapToGrid w:val="0"/>
        <w:spacing w:line="360" w:lineRule="auto"/>
        <w:ind w:leftChars="129" w:left="271" w:firstLine="464"/>
        <w:rPr>
          <w:rFonts w:asciiTheme="minorEastAsia" w:eastAsiaTheme="minorEastAsia" w:hAnsiTheme="minorEastAsia"/>
          <w:szCs w:val="21"/>
        </w:rPr>
      </w:pPr>
    </w:p>
    <w:p w:rsidR="001D2E2F" w:rsidRPr="00960F82" w:rsidRDefault="001D2E2F" w:rsidP="00084917">
      <w:pPr>
        <w:snapToGrid w:val="0"/>
        <w:spacing w:line="360" w:lineRule="auto"/>
        <w:ind w:firstLineChars="196" w:firstLine="413"/>
        <w:rPr>
          <w:rFonts w:asciiTheme="minorEastAsia" w:eastAsiaTheme="minorEastAsia" w:hAnsiTheme="minorEastAsia"/>
          <w:b/>
          <w:szCs w:val="21"/>
        </w:rPr>
      </w:pPr>
      <w:r w:rsidRPr="00960F82">
        <w:rPr>
          <w:rFonts w:asciiTheme="minorEastAsia" w:eastAsiaTheme="minorEastAsia" w:hAnsiTheme="minorEastAsia" w:hint="eastAsia"/>
          <w:b/>
          <w:szCs w:val="21"/>
        </w:rPr>
        <w:t>3</w:t>
      </w:r>
      <w:r w:rsidR="006F79CF" w:rsidRPr="00960F82">
        <w:rPr>
          <w:rFonts w:asciiTheme="minorEastAsia" w:eastAsiaTheme="minorEastAsia" w:hAnsiTheme="minorEastAsia" w:hint="eastAsia"/>
          <w:b/>
          <w:szCs w:val="21"/>
        </w:rPr>
        <w:t>、</w:t>
      </w:r>
      <w:r w:rsidRPr="00960F82">
        <w:rPr>
          <w:rFonts w:asciiTheme="minorEastAsia" w:eastAsiaTheme="minorEastAsia" w:hAnsiTheme="minorEastAsia" w:hint="eastAsia"/>
          <w:b/>
          <w:szCs w:val="21"/>
        </w:rPr>
        <w:t>债券投资策略</w:t>
      </w:r>
    </w:p>
    <w:p w:rsidR="001D2E2F" w:rsidRPr="00960F82" w:rsidRDefault="001D2E2F" w:rsidP="00084917">
      <w:pPr>
        <w:tabs>
          <w:tab w:val="left" w:pos="0"/>
        </w:tabs>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在债券投资方面，本基金可投资于国债、金融债、企业债和可转换债券等债券品种。本基金将根据对利率走势的预测、债券等级、债券的期限结构、风险结构、不同品种流动性的高低等因素，构造债券组合。</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55" w:name="_Toc30161789"/>
      <w:r w:rsidRPr="00960F82">
        <w:rPr>
          <w:rFonts w:asciiTheme="minorEastAsia" w:eastAsiaTheme="minorEastAsia" w:hAnsiTheme="minorEastAsia" w:hint="eastAsia"/>
          <w:b w:val="0"/>
        </w:rPr>
        <w:t>业绩</w:t>
      </w:r>
      <w:r w:rsidRPr="00960F82">
        <w:rPr>
          <w:rFonts w:asciiTheme="minorEastAsia" w:eastAsiaTheme="minorEastAsia" w:hAnsiTheme="minorEastAsia"/>
          <w:b w:val="0"/>
        </w:rPr>
        <w:t>比较基准</w:t>
      </w:r>
      <w:bookmarkEnd w:id="55"/>
    </w:p>
    <w:p w:rsidR="001D2E2F" w:rsidRPr="00960F82" w:rsidRDefault="001D2E2F" w:rsidP="00084917">
      <w:pPr>
        <w:adjustRightInd w:val="0"/>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本基金的业绩比较基准为：上证A股指数。</w:t>
      </w:r>
    </w:p>
    <w:p w:rsidR="001D2E2F" w:rsidRPr="00960F82" w:rsidRDefault="001D2E2F" w:rsidP="00084917">
      <w:pPr>
        <w:adjustRightInd w:val="0"/>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积极成长基金使用上述业绩比较基准主要考虑到：上证A指使用时间长，投资者认同度高,而且市场代表性较强，所以选其作为业绩比较基准。</w:t>
      </w:r>
    </w:p>
    <w:p w:rsidR="001D2E2F" w:rsidRPr="00960F82" w:rsidRDefault="001D2E2F" w:rsidP="00084917">
      <w:pPr>
        <w:adjustRightInd w:val="0"/>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当市场出现更合适、更权威的比较基准时，本基金管理人有权选用新的比较基准，并将及时公告。</w:t>
      </w:r>
    </w:p>
    <w:p w:rsidR="001D2E2F" w:rsidRPr="00960F82" w:rsidRDefault="001D2E2F" w:rsidP="00084917">
      <w:pPr>
        <w:adjustRightInd w:val="0"/>
        <w:snapToGrid w:val="0"/>
        <w:spacing w:line="360" w:lineRule="auto"/>
        <w:ind w:firstLine="420"/>
        <w:rPr>
          <w:rFonts w:asciiTheme="minorEastAsia" w:eastAsiaTheme="minorEastAsia" w:hAnsiTheme="minorEastAsia"/>
        </w:rPr>
      </w:pP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56" w:name="_Toc99507340"/>
      <w:bookmarkStart w:id="57" w:name="_Toc30161790"/>
      <w:bookmarkEnd w:id="56"/>
      <w:r w:rsidRPr="00960F82">
        <w:rPr>
          <w:rFonts w:asciiTheme="minorEastAsia" w:eastAsiaTheme="minorEastAsia" w:hAnsiTheme="minorEastAsia" w:hint="eastAsia"/>
          <w:b w:val="0"/>
        </w:rPr>
        <w:lastRenderedPageBreak/>
        <w:t>投资程序</w:t>
      </w:r>
      <w:bookmarkEnd w:id="42"/>
      <w:bookmarkEnd w:id="57"/>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1</w:t>
      </w:r>
      <w:r w:rsidR="006F79CF" w:rsidRPr="00960F82">
        <w:rPr>
          <w:rFonts w:asciiTheme="minorEastAsia" w:eastAsiaTheme="minorEastAsia" w:hAnsiTheme="minorEastAsia" w:hint="eastAsia"/>
        </w:rPr>
        <w:t>、</w:t>
      </w:r>
      <w:r w:rsidRPr="00960F82">
        <w:rPr>
          <w:rFonts w:asciiTheme="minorEastAsia" w:eastAsiaTheme="minorEastAsia" w:hAnsiTheme="minorEastAsia" w:hint="eastAsia"/>
        </w:rPr>
        <w:t>投资决策程序</w:t>
      </w:r>
    </w:p>
    <w:p w:rsidR="001D2E2F" w:rsidRPr="00960F82" w:rsidRDefault="00BF0BE0"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w:t>
      </w:r>
      <w:r w:rsidR="001D2E2F" w:rsidRPr="00960F82">
        <w:rPr>
          <w:rFonts w:asciiTheme="minorEastAsia" w:eastAsiaTheme="minorEastAsia" w:hAnsiTheme="minorEastAsia" w:hint="eastAsia"/>
        </w:rPr>
        <w:t>1）投资决策依据</w:t>
      </w:r>
    </w:p>
    <w:p w:rsidR="001D2E2F" w:rsidRPr="00960F82" w:rsidRDefault="005964E1"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szCs w:val="21"/>
        </w:rPr>
        <w:t>1</w:t>
      </w:r>
      <w:r w:rsidRPr="00960F82">
        <w:rPr>
          <w:rFonts w:asciiTheme="minorEastAsia" w:eastAsiaTheme="minorEastAsia" w:hAnsiTheme="minorEastAsia" w:hint="eastAsia"/>
          <w:szCs w:val="21"/>
        </w:rPr>
        <w:t>）</w:t>
      </w:r>
      <w:r w:rsidR="001D2E2F" w:rsidRPr="00960F82">
        <w:rPr>
          <w:rFonts w:asciiTheme="minorEastAsia" w:eastAsiaTheme="minorEastAsia" w:hAnsiTheme="minorEastAsia" w:hint="eastAsia"/>
          <w:szCs w:val="21"/>
        </w:rPr>
        <w:t>国家有关法律、法规和《基金合同》的规定。</w:t>
      </w:r>
    </w:p>
    <w:p w:rsidR="001D2E2F" w:rsidRPr="00960F82" w:rsidRDefault="005964E1"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政治形势、政策趋势和宏观经济形势。</w:t>
      </w:r>
    </w:p>
    <w:p w:rsidR="001D2E2F" w:rsidRPr="00960F82" w:rsidRDefault="005964E1"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行业和上市公司基本面。</w:t>
      </w:r>
    </w:p>
    <w:p w:rsidR="001D2E2F" w:rsidRPr="00960F82" w:rsidRDefault="005964E1"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证券市场发展趋势。</w:t>
      </w:r>
    </w:p>
    <w:p w:rsidR="001D2E2F" w:rsidRPr="00960F82" w:rsidRDefault="005964E1"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投资决策流程</w:t>
      </w:r>
    </w:p>
    <w:p w:rsidR="00BF0BE0" w:rsidRPr="00960F82" w:rsidRDefault="00BF0BE0"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szCs w:val="21"/>
        </w:rPr>
        <w:t>1</w:t>
      </w:r>
      <w:r w:rsidRPr="00960F82">
        <w:rPr>
          <w:rFonts w:asciiTheme="minorEastAsia" w:eastAsiaTheme="minorEastAsia" w:hAnsiTheme="minorEastAsia" w:hint="eastAsia"/>
          <w:szCs w:val="21"/>
        </w:rPr>
        <w:t>）资产配置决策</w:t>
      </w:r>
    </w:p>
    <w:p w:rsidR="00BF0BE0" w:rsidRPr="00960F82" w:rsidRDefault="00BF0BE0"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基金经理制定资产配置计划，按制度提交审议并实施。</w:t>
      </w:r>
    </w:p>
    <w:p w:rsidR="00BF0BE0" w:rsidRPr="00960F82" w:rsidRDefault="00BF0BE0"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kern w:val="0"/>
        </w:rPr>
        <w:t>2）</w:t>
      </w:r>
      <w:r w:rsidRPr="00960F82">
        <w:rPr>
          <w:rFonts w:asciiTheme="minorEastAsia" w:eastAsiaTheme="minorEastAsia" w:hAnsiTheme="minorEastAsia" w:hint="eastAsia"/>
          <w:szCs w:val="21"/>
        </w:rPr>
        <w:t>类别资产投资决策</w:t>
      </w:r>
    </w:p>
    <w:p w:rsidR="00BF0BE0" w:rsidRPr="00960F82" w:rsidRDefault="00BF0BE0"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基金经理根据各类资产的投资策略，分别进行股票、债券等资产类别的投资决策。</w:t>
      </w:r>
    </w:p>
    <w:p w:rsidR="00BF0BE0" w:rsidRPr="00960F82" w:rsidRDefault="00BF0BE0" w:rsidP="007F114F">
      <w:pPr>
        <w:numPr>
          <w:ilvl w:val="0"/>
          <w:numId w:val="8"/>
        </w:numPr>
        <w:snapToGrid w:val="0"/>
        <w:spacing w:line="360" w:lineRule="auto"/>
        <w:ind w:left="0" w:firstLineChars="200" w:firstLine="420"/>
        <w:rPr>
          <w:rFonts w:asciiTheme="minorEastAsia" w:eastAsiaTheme="minorEastAsia" w:hAnsiTheme="minorEastAsia"/>
          <w:kern w:val="0"/>
        </w:rPr>
      </w:pPr>
      <w:r w:rsidRPr="00960F82">
        <w:rPr>
          <w:rFonts w:asciiTheme="minorEastAsia" w:eastAsiaTheme="minorEastAsia" w:hAnsiTheme="minorEastAsia" w:hint="eastAsia"/>
          <w:szCs w:val="21"/>
        </w:rPr>
        <w:t>股票投资决策</w:t>
      </w:r>
    </w:p>
    <w:p w:rsidR="001D2E2F" w:rsidRPr="00960F82" w:rsidRDefault="00166FB7" w:rsidP="00084917">
      <w:pPr>
        <w:snapToGrid w:val="0"/>
        <w:spacing w:line="360" w:lineRule="auto"/>
        <w:ind w:firstLineChars="200" w:firstLine="420"/>
        <w:rPr>
          <w:rFonts w:asciiTheme="minorEastAsia" w:eastAsiaTheme="minorEastAsia" w:hAnsiTheme="minorEastAsia"/>
          <w:kern w:val="0"/>
        </w:rPr>
      </w:pPr>
      <w:r w:rsidRPr="00960F82">
        <w:rPr>
          <w:rFonts w:asciiTheme="minorEastAsia" w:eastAsiaTheme="minorEastAsia" w:hAnsiTheme="minorEastAsia" w:hint="eastAsia"/>
          <w:kern w:val="0"/>
        </w:rPr>
        <w:t>A.</w:t>
      </w:r>
      <w:r w:rsidR="006A7AFA" w:rsidRPr="00960F82">
        <w:rPr>
          <w:rFonts w:asciiTheme="minorEastAsia" w:eastAsiaTheme="minorEastAsia" w:hAnsiTheme="minorEastAsia" w:hint="eastAsia"/>
          <w:kern w:val="0"/>
        </w:rPr>
        <w:t>研究员对有成长潜力的上市公司进行深入调研，从而对企业未来的成长性进行预测，在此基础上利用《</w:t>
      </w:r>
      <w:r w:rsidR="006A7AFA" w:rsidRPr="00960F82">
        <w:rPr>
          <w:rFonts w:asciiTheme="minorEastAsia" w:eastAsiaTheme="minorEastAsia" w:hAnsiTheme="minorEastAsia" w:hint="eastAsia"/>
        </w:rPr>
        <w:t>易方达成长上市公司投资评价体系》选择高成长企业，并从中优选超速成长企业进行投资</w:t>
      </w:r>
      <w:r w:rsidR="001D2E2F" w:rsidRPr="00960F82">
        <w:rPr>
          <w:rFonts w:asciiTheme="minorEastAsia" w:eastAsiaTheme="minorEastAsia" w:hAnsiTheme="minorEastAsia" w:hint="eastAsia"/>
          <w:kern w:val="0"/>
        </w:rPr>
        <w:t>；</w:t>
      </w:r>
    </w:p>
    <w:p w:rsidR="00BF0BE0" w:rsidRPr="00960F82" w:rsidRDefault="00166FB7"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rPr>
        <w:t>B.</w:t>
      </w:r>
      <w:r w:rsidRPr="00960F82">
        <w:rPr>
          <w:rFonts w:asciiTheme="minorEastAsia" w:eastAsiaTheme="minorEastAsia" w:hAnsiTheme="minorEastAsia" w:hint="eastAsia"/>
          <w:szCs w:val="21"/>
        </w:rPr>
        <w:t>基金经理根据上市公司基本面变化、股票估值水平变化以及对组合风险的评估，持续地对组合进行优化调整。</w:t>
      </w:r>
    </w:p>
    <w:p w:rsidR="00166FB7" w:rsidRPr="00960F82" w:rsidRDefault="00166FB7" w:rsidP="007F114F">
      <w:pPr>
        <w:numPr>
          <w:ilvl w:val="0"/>
          <w:numId w:val="8"/>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债券投资决策</w:t>
      </w:r>
    </w:p>
    <w:p w:rsidR="00BF0BE0" w:rsidRPr="00960F82" w:rsidRDefault="00BF0BE0"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基金经理根据宏观研究员及债券研究员提供的研究报告，结合自身的分析判断，选择具体的债券品种构造投资组合。</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2</w:t>
      </w:r>
      <w:r w:rsidR="006F79CF" w:rsidRPr="00960F82">
        <w:rPr>
          <w:rFonts w:asciiTheme="minorEastAsia" w:eastAsiaTheme="minorEastAsia" w:hAnsiTheme="minorEastAsia" w:hint="eastAsia"/>
        </w:rPr>
        <w:t>、</w:t>
      </w:r>
      <w:r w:rsidRPr="00960F82">
        <w:rPr>
          <w:rFonts w:asciiTheme="minorEastAsia" w:eastAsiaTheme="minorEastAsia" w:hAnsiTheme="minorEastAsia" w:hint="eastAsia"/>
        </w:rPr>
        <w:t>投资交易程序</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基金管理人设置独立的集中交易室，基金经理下达的投资指令通过集中交易室实施。集中交易室接到基金经理的投资指令后，根据有关规定对投资指令的合规性、合理性和有效性进行检查，确保投资指令在合法、合规的前提下得到高效的执行。</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3</w:t>
      </w:r>
      <w:r w:rsidR="006F79CF" w:rsidRPr="00960F82">
        <w:rPr>
          <w:rFonts w:asciiTheme="minorEastAsia" w:eastAsiaTheme="minorEastAsia" w:hAnsiTheme="minorEastAsia" w:hint="eastAsia"/>
        </w:rPr>
        <w:t>、</w:t>
      </w:r>
      <w:r w:rsidRPr="00960F82">
        <w:rPr>
          <w:rFonts w:asciiTheme="minorEastAsia" w:eastAsiaTheme="minorEastAsia" w:hAnsiTheme="minorEastAsia" w:hint="eastAsia"/>
        </w:rPr>
        <w:t>投资风险的监控和管理</w:t>
      </w:r>
    </w:p>
    <w:p w:rsidR="00D52386" w:rsidRPr="00960F82" w:rsidRDefault="00D52386" w:rsidP="00084917">
      <w:pPr>
        <w:snapToGrid w:val="0"/>
        <w:spacing w:line="360" w:lineRule="auto"/>
        <w:ind w:firstLineChars="200" w:firstLine="420"/>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（1）</w:t>
      </w:r>
      <w:r w:rsidR="00FF3B4A" w:rsidRPr="00960F82">
        <w:rPr>
          <w:rFonts w:asciiTheme="minorEastAsia" w:eastAsiaTheme="minorEastAsia" w:hAnsiTheme="minorEastAsia" w:hint="eastAsia"/>
          <w:kern w:val="0"/>
          <w:szCs w:val="21"/>
        </w:rPr>
        <w:t>监察与合规管理总部</w:t>
      </w:r>
      <w:r w:rsidRPr="00960F82">
        <w:rPr>
          <w:rFonts w:asciiTheme="minorEastAsia" w:eastAsiaTheme="minorEastAsia" w:hAnsiTheme="minorEastAsia" w:hint="eastAsia"/>
          <w:kern w:val="0"/>
          <w:szCs w:val="21"/>
        </w:rPr>
        <w:t>对基金的日常投资和交易是否遵守法律法规、基金合同进行独立监督检查。</w:t>
      </w:r>
    </w:p>
    <w:p w:rsidR="00D52386" w:rsidRPr="00960F82" w:rsidRDefault="00D52386" w:rsidP="00084917">
      <w:pPr>
        <w:snapToGrid w:val="0"/>
        <w:spacing w:line="360" w:lineRule="auto"/>
        <w:ind w:firstLineChars="200" w:firstLine="420"/>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（2）投资风险管理部定期出具基金绩效评估和风险管理报告，供基金经理调整投资组合时参考。</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58" w:name="_Toc52310854"/>
      <w:bookmarkStart w:id="59" w:name="_Toc30161791"/>
      <w:r w:rsidRPr="00960F82">
        <w:rPr>
          <w:rFonts w:asciiTheme="minorEastAsia" w:eastAsiaTheme="minorEastAsia" w:hAnsiTheme="minorEastAsia" w:hint="eastAsia"/>
          <w:b w:val="0"/>
        </w:rPr>
        <w:lastRenderedPageBreak/>
        <w:t>基金投资限制</w:t>
      </w:r>
      <w:bookmarkEnd w:id="58"/>
      <w:bookmarkEnd w:id="59"/>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除法律法规和本《基金合同》规定的关于基金投资的限制外，本基金对投资运作不设另外的限制。</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因基金规模或市场剧烈变化导致投资组合不符合上述比例限制时，基金管理人应在合理的期限内进行调整，以符合有关限制规定。法律法规另有规定时从其规定。</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60" w:name="_Toc52310855"/>
      <w:bookmarkStart w:id="61" w:name="_Toc30161792"/>
      <w:r w:rsidRPr="00960F82">
        <w:rPr>
          <w:rFonts w:asciiTheme="minorEastAsia" w:eastAsiaTheme="minorEastAsia" w:hAnsiTheme="minorEastAsia" w:hint="eastAsia"/>
          <w:b w:val="0"/>
        </w:rPr>
        <w:t>禁止行为</w:t>
      </w:r>
      <w:bookmarkEnd w:id="60"/>
      <w:bookmarkEnd w:id="61"/>
    </w:p>
    <w:p w:rsidR="001D2E2F" w:rsidRPr="00960F82" w:rsidRDefault="001D2E2F" w:rsidP="00084917">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按照当时有效的法律、法规、规章的规定，基金资产不得用于下列投资或者活动：</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1、</w:t>
      </w:r>
      <w:r w:rsidR="001D2E2F" w:rsidRPr="00960F82">
        <w:rPr>
          <w:rFonts w:asciiTheme="minorEastAsia" w:eastAsiaTheme="minorEastAsia" w:hAnsiTheme="minorEastAsia" w:hint="eastAsia"/>
          <w:szCs w:val="24"/>
        </w:rPr>
        <w:t>买卖其他证券投资基金份额，但法律法规另有规定的除外；</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2、</w:t>
      </w:r>
      <w:r w:rsidR="001D2E2F" w:rsidRPr="00960F82">
        <w:rPr>
          <w:rFonts w:asciiTheme="minorEastAsia" w:eastAsiaTheme="minorEastAsia" w:hAnsiTheme="minorEastAsia" w:hint="eastAsia"/>
          <w:szCs w:val="24"/>
        </w:rPr>
        <w:t>将基金资产用于向他人贷款或提供担保；</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3、</w:t>
      </w:r>
      <w:r w:rsidR="001D2E2F" w:rsidRPr="00960F82">
        <w:rPr>
          <w:rFonts w:asciiTheme="minorEastAsia" w:eastAsiaTheme="minorEastAsia" w:hAnsiTheme="minorEastAsia" w:hint="eastAsia"/>
          <w:szCs w:val="24"/>
        </w:rPr>
        <w:t>承销证券；</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4、</w:t>
      </w:r>
      <w:r w:rsidR="001D2E2F" w:rsidRPr="00960F82">
        <w:rPr>
          <w:rFonts w:asciiTheme="minorEastAsia" w:eastAsiaTheme="minorEastAsia" w:hAnsiTheme="minorEastAsia" w:hint="eastAsia"/>
          <w:szCs w:val="24"/>
        </w:rPr>
        <w:t>从事可能使基金资产承担无限责任的投资；</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5、</w:t>
      </w:r>
      <w:r w:rsidR="001D2E2F" w:rsidRPr="00960F82">
        <w:rPr>
          <w:rFonts w:asciiTheme="minorEastAsia" w:eastAsiaTheme="minorEastAsia" w:hAnsiTheme="minorEastAsia" w:hint="eastAsia"/>
          <w:szCs w:val="24"/>
        </w:rPr>
        <w:t>向基金管理人、基金托管人出资或者买卖基金管理人、基金托管人发行的股票或债券；</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6、</w:t>
      </w:r>
      <w:r w:rsidR="001D2E2F" w:rsidRPr="00960F82">
        <w:rPr>
          <w:rFonts w:asciiTheme="minorEastAsia" w:eastAsiaTheme="minorEastAsia" w:hAnsiTheme="minorEastAsia" w:hint="eastAsia"/>
          <w:szCs w:val="24"/>
        </w:rPr>
        <w:t>买卖与基金管理人、基金托管人有控股关系的股东或者与基金管理人、基金托管人有其他重大利害关系的公司发行的证券或承销期内承销的证券；</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7、</w:t>
      </w:r>
      <w:r w:rsidR="001D2E2F" w:rsidRPr="00960F82">
        <w:rPr>
          <w:rFonts w:asciiTheme="minorEastAsia" w:eastAsiaTheme="minorEastAsia" w:hAnsiTheme="minorEastAsia" w:hint="eastAsia"/>
          <w:szCs w:val="24"/>
        </w:rPr>
        <w:t>从事内幕交易、操纵证券交易价格及其他不正当的证券交易活动；</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8、</w:t>
      </w:r>
      <w:r w:rsidR="001D2E2F" w:rsidRPr="00960F82">
        <w:rPr>
          <w:rFonts w:asciiTheme="minorEastAsia" w:eastAsiaTheme="minorEastAsia" w:hAnsiTheme="minorEastAsia" w:hint="eastAsia"/>
          <w:szCs w:val="24"/>
        </w:rPr>
        <w:t>其他法律、法规、规章、中国证监会及《基金合同》规定禁止从事的行为。</w:t>
      </w:r>
    </w:p>
    <w:p w:rsidR="001D2E2F" w:rsidRPr="00960F82" w:rsidRDefault="006F79CF" w:rsidP="00084917">
      <w:pPr>
        <w:pStyle w:val="a6"/>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9、</w:t>
      </w:r>
      <w:r w:rsidR="001D2E2F" w:rsidRPr="00960F82">
        <w:rPr>
          <w:rFonts w:asciiTheme="minorEastAsia" w:eastAsiaTheme="minorEastAsia" w:hAnsiTheme="minorEastAsia" w:hint="eastAsia"/>
          <w:szCs w:val="21"/>
        </w:rPr>
        <w:t>对上述事项，法律法规另有规定时从其规定。</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62" w:name="_Toc30161793"/>
      <w:r w:rsidRPr="00960F82">
        <w:rPr>
          <w:rFonts w:asciiTheme="minorEastAsia" w:eastAsiaTheme="minorEastAsia" w:hAnsiTheme="minorEastAsia" w:hint="eastAsia"/>
          <w:b w:val="0"/>
        </w:rPr>
        <w:t>基金管理人代表基金行使所投资证券产生权利的处理原则及方法</w:t>
      </w:r>
      <w:bookmarkEnd w:id="62"/>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1、</w:t>
      </w:r>
      <w:r w:rsidR="001D2E2F" w:rsidRPr="00960F82">
        <w:rPr>
          <w:rFonts w:asciiTheme="minorEastAsia" w:eastAsiaTheme="minorEastAsia" w:hAnsiTheme="minorEastAsia" w:hint="eastAsia"/>
          <w:szCs w:val="24"/>
        </w:rPr>
        <w:t>不谋求对上市公司的控股，不参与所投资上市公司的经营管理；</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2、</w:t>
      </w:r>
      <w:r w:rsidR="001D2E2F" w:rsidRPr="00960F82">
        <w:rPr>
          <w:rFonts w:asciiTheme="minorEastAsia" w:eastAsiaTheme="minorEastAsia" w:hAnsiTheme="minorEastAsia" w:hint="eastAsia"/>
          <w:szCs w:val="24"/>
        </w:rPr>
        <w:t>有利于基金资产的安全与增值；</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3、</w:t>
      </w:r>
      <w:r w:rsidR="001D2E2F" w:rsidRPr="00960F82">
        <w:rPr>
          <w:rFonts w:asciiTheme="minorEastAsia" w:eastAsiaTheme="minorEastAsia" w:hAnsiTheme="minorEastAsia" w:hint="eastAsia"/>
          <w:szCs w:val="24"/>
        </w:rPr>
        <w:t>基金管理人按照国家有关规定代表基金独立行使股东权利，保护基金投资者的利益。</w:t>
      </w:r>
    </w:p>
    <w:p w:rsidR="001D2E2F" w:rsidRPr="00960F82" w:rsidRDefault="006F79CF" w:rsidP="006F79CF">
      <w:pPr>
        <w:pStyle w:val="a6"/>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4、</w:t>
      </w:r>
      <w:r w:rsidR="001D2E2F" w:rsidRPr="00960F82">
        <w:rPr>
          <w:rFonts w:asciiTheme="minorEastAsia" w:eastAsiaTheme="minorEastAsia" w:hAnsiTheme="minorEastAsia" w:hint="eastAsia"/>
          <w:szCs w:val="24"/>
        </w:rPr>
        <w:t>基金管理人按照国家有关规定代表基金独立行使债权人权利，保护基金投资者的利益。</w:t>
      </w:r>
    </w:p>
    <w:p w:rsidR="001D2E2F" w:rsidRPr="00960F82" w:rsidRDefault="001D2E2F" w:rsidP="00084917">
      <w:pPr>
        <w:pStyle w:val="23"/>
        <w:numPr>
          <w:ilvl w:val="1"/>
          <w:numId w:val="6"/>
        </w:numPr>
        <w:tabs>
          <w:tab w:val="num" w:pos="630"/>
        </w:tabs>
        <w:snapToGrid w:val="0"/>
        <w:spacing w:before="312" w:after="312" w:line="360" w:lineRule="auto"/>
        <w:ind w:left="0" w:firstLineChars="0" w:firstLine="0"/>
        <w:rPr>
          <w:rFonts w:asciiTheme="minorEastAsia" w:eastAsiaTheme="minorEastAsia" w:hAnsiTheme="minorEastAsia"/>
          <w:b w:val="0"/>
        </w:rPr>
      </w:pPr>
      <w:bookmarkStart w:id="63" w:name="_Toc30161794"/>
      <w:r w:rsidRPr="00960F82">
        <w:rPr>
          <w:rFonts w:asciiTheme="minorEastAsia" w:eastAsiaTheme="minorEastAsia" w:hAnsiTheme="minorEastAsia" w:hint="eastAsia"/>
          <w:b w:val="0"/>
        </w:rPr>
        <w:t>基金投资组合报告（未经审计）</w:t>
      </w:r>
      <w:bookmarkEnd w:id="63"/>
    </w:p>
    <w:p w:rsidR="00F524E3" w:rsidRPr="00960F82" w:rsidRDefault="00F524E3" w:rsidP="00F524E3">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本基金管理人的董事会及董事保证本报告所载资料不存在虚假记载、误导性陈述或重大</w:t>
      </w:r>
      <w:r w:rsidRPr="00960F82">
        <w:rPr>
          <w:rFonts w:asciiTheme="minorEastAsia" w:eastAsiaTheme="minorEastAsia" w:hAnsiTheme="minorEastAsia" w:hint="eastAsia"/>
          <w:sz w:val="21"/>
          <w:szCs w:val="21"/>
        </w:rPr>
        <w:lastRenderedPageBreak/>
        <w:t>遗漏，并对其内容的真实性、准确性和完整性承担个别及连带责任。</w:t>
      </w:r>
    </w:p>
    <w:p w:rsidR="00F524E3" w:rsidRPr="00960F82" w:rsidRDefault="00F524E3" w:rsidP="00F524E3">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本基金的托管人中国银行股份有限公司根据本基金合同的规定，复核了本投资组合报告的内容。</w:t>
      </w:r>
    </w:p>
    <w:p w:rsidR="00F524E3" w:rsidRPr="00960F82" w:rsidRDefault="00083CDE" w:rsidP="00F524E3">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本投资组合报告有关数据的期间为2019年7月1日至2019年9月30日</w:t>
      </w:r>
      <w:r w:rsidR="00F524E3" w:rsidRPr="00960F82">
        <w:rPr>
          <w:rFonts w:asciiTheme="minorEastAsia" w:eastAsiaTheme="minorEastAsia" w:hAnsiTheme="minorEastAsia" w:hint="eastAsia"/>
          <w:sz w:val="21"/>
          <w:szCs w:val="21"/>
        </w:rPr>
        <w:t>。</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1、报告期末基金资产组合情况</w:t>
      </w:r>
    </w:p>
    <w:tbl>
      <w:tblPr>
        <w:tblW w:w="8000" w:type="dxa"/>
        <w:tblInd w:w="-171" w:type="dxa"/>
        <w:tblCellMar>
          <w:left w:w="0" w:type="dxa"/>
          <w:right w:w="0" w:type="dxa"/>
        </w:tblCellMar>
        <w:tblLook w:val="04A0" w:firstRow="1" w:lastRow="0" w:firstColumn="1" w:lastColumn="0" w:noHBand="0" w:noVBand="1"/>
      </w:tblPr>
      <w:tblGrid>
        <w:gridCol w:w="725"/>
        <w:gridCol w:w="2827"/>
        <w:gridCol w:w="2909"/>
        <w:gridCol w:w="1539"/>
      </w:tblGrid>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序号</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项目</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金额（元）</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占基金总资产的比例（%）</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1</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权益投资</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1,802,468,248.41</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88.52</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DE" w:rsidRPr="00960F82" w:rsidRDefault="00083CDE">
            <w:pPr>
              <w:spacing w:before="29" w:line="300" w:lineRule="auto"/>
              <w:ind w:left="17"/>
              <w:jc w:val="center"/>
              <w:rPr>
                <w:rFonts w:asciiTheme="minorEastAsia" w:eastAsiaTheme="minorEastAsia" w:hAnsiTheme="minorEastAsia"/>
                <w:kern w:val="0"/>
              </w:rPr>
            </w:pP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其中：股票</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1,802,468,248.41</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88.52</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2</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固定收益投资</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80,157,998.29</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3.94</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DE" w:rsidRPr="00960F82" w:rsidRDefault="00083CDE">
            <w:pPr>
              <w:spacing w:before="29" w:line="300" w:lineRule="auto"/>
              <w:ind w:left="17"/>
              <w:jc w:val="center"/>
              <w:rPr>
                <w:rFonts w:asciiTheme="minorEastAsia" w:eastAsiaTheme="minorEastAsia" w:hAnsiTheme="minorEastAsia"/>
                <w:kern w:val="0"/>
              </w:rPr>
            </w:pP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其中：债券</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80,157,998.29</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3.94</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DE" w:rsidRPr="00960F82" w:rsidRDefault="00083CDE">
            <w:pPr>
              <w:spacing w:before="29" w:line="300" w:lineRule="auto"/>
              <w:ind w:left="17"/>
              <w:jc w:val="center"/>
              <w:rPr>
                <w:rFonts w:asciiTheme="minorEastAsia" w:eastAsiaTheme="minorEastAsia" w:hAnsiTheme="minorEastAsia"/>
                <w:kern w:val="0"/>
              </w:rPr>
            </w:pP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autoSpaceDE w:val="0"/>
              <w:autoSpaceDN w:val="0"/>
              <w:adjustRightInd w:val="0"/>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资产支持证券</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3</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CDE" w:rsidRPr="00960F82" w:rsidRDefault="00083CDE">
            <w:pPr>
              <w:spacing w:before="29" w:line="300" w:lineRule="auto"/>
              <w:ind w:leftChars="50" w:left="105"/>
              <w:rPr>
                <w:rFonts w:asciiTheme="minorEastAsia" w:eastAsiaTheme="minorEastAsia" w:hAnsiTheme="minorEastAsia"/>
                <w:kern w:val="0"/>
              </w:rPr>
            </w:pPr>
            <w:r w:rsidRPr="00960F82">
              <w:rPr>
                <w:rFonts w:asciiTheme="minorEastAsia" w:eastAsiaTheme="minorEastAsia" w:hAnsiTheme="minorEastAsia" w:hint="eastAsia"/>
                <w:kern w:val="0"/>
              </w:rPr>
              <w:t>贵金属投资</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4</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金融衍生品投资</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5</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买入返售金融资产</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3CDE" w:rsidRPr="00960F82" w:rsidRDefault="00083CDE">
            <w:pPr>
              <w:spacing w:before="29" w:line="300" w:lineRule="auto"/>
              <w:ind w:left="17"/>
              <w:jc w:val="center"/>
              <w:rPr>
                <w:rFonts w:asciiTheme="minorEastAsia" w:eastAsiaTheme="minorEastAsia" w:hAnsiTheme="minorEastAsia"/>
                <w:kern w:val="0"/>
              </w:rPr>
            </w:pP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其中：买断式回购的买入返售金融资产</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6</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银行存款和结算备付金合计</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151,662,567.26</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7.45</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7</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left"/>
              <w:rPr>
                <w:rFonts w:asciiTheme="minorEastAsia" w:eastAsiaTheme="minorEastAsia" w:hAnsiTheme="minorEastAsia"/>
                <w:kern w:val="0"/>
              </w:rPr>
            </w:pPr>
            <w:r w:rsidRPr="00960F82">
              <w:rPr>
                <w:rFonts w:asciiTheme="minorEastAsia" w:eastAsiaTheme="minorEastAsia" w:hAnsiTheme="minorEastAsia" w:hint="eastAsia"/>
                <w:kern w:val="0"/>
              </w:rPr>
              <w:t>其他资产</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1,860,005.29</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0.09</w:t>
            </w:r>
          </w:p>
        </w:tc>
      </w:tr>
      <w:tr w:rsidR="00960F82" w:rsidRPr="00960F82" w:rsidTr="00083CDE">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8</w:t>
            </w:r>
          </w:p>
        </w:tc>
        <w:tc>
          <w:tcPr>
            <w:tcW w:w="3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left"/>
              <w:rPr>
                <w:rFonts w:asciiTheme="minorEastAsia" w:eastAsiaTheme="minorEastAsia" w:hAnsiTheme="minorEastAsia"/>
                <w:kern w:val="0"/>
              </w:rPr>
            </w:pPr>
            <w:r w:rsidRPr="00960F82">
              <w:rPr>
                <w:rFonts w:asciiTheme="minorEastAsia" w:eastAsiaTheme="minorEastAsia" w:hAnsiTheme="minorEastAsia" w:hint="eastAsia"/>
                <w:kern w:val="0"/>
              </w:rPr>
              <w:t>合计</w:t>
            </w:r>
          </w:p>
        </w:tc>
        <w:tc>
          <w:tcPr>
            <w:tcW w:w="3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2,036,148,819.25</w:t>
            </w:r>
          </w:p>
        </w:tc>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100.00</w:t>
            </w:r>
          </w:p>
        </w:tc>
      </w:tr>
    </w:tbl>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2、报告期末按行业分类的股票投资组合</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（1）报告期末按行业分类的境内股票投资组合</w:t>
      </w:r>
    </w:p>
    <w:tbl>
      <w:tblPr>
        <w:tblW w:w="8000" w:type="dxa"/>
        <w:tblInd w:w="-171" w:type="dxa"/>
        <w:tblCellMar>
          <w:left w:w="0" w:type="dxa"/>
          <w:right w:w="0" w:type="dxa"/>
        </w:tblCellMar>
        <w:tblLook w:val="04A0" w:firstRow="1" w:lastRow="0" w:firstColumn="1" w:lastColumn="0" w:noHBand="0" w:noVBand="1"/>
      </w:tblPr>
      <w:tblGrid>
        <w:gridCol w:w="530"/>
        <w:gridCol w:w="3471"/>
        <w:gridCol w:w="2660"/>
        <w:gridCol w:w="1339"/>
      </w:tblGrid>
      <w:tr w:rsidR="00960F82" w:rsidRPr="00960F82" w:rsidTr="00083CDE">
        <w:trPr>
          <w:trHeight w:val="390"/>
        </w:trPr>
        <w:tc>
          <w:tcPr>
            <w:tcW w:w="579" w:type="dxa"/>
            <w:tcBorders>
              <w:top w:val="single" w:sz="4" w:space="0" w:color="000000"/>
              <w:left w:val="single" w:sz="4" w:space="0" w:color="000000"/>
              <w:bottom w:val="single" w:sz="4" w:space="0" w:color="000000"/>
              <w:right w:val="single" w:sz="4" w:space="0" w:color="000000"/>
            </w:tcBorders>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代码</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行业类别</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公允价值（元）</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占基金资产净值比例（％）</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A</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农、林、牧、渔业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325,438,521.85</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16.06</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B</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采矿业</w:t>
            </w:r>
          </w:p>
        </w:tc>
        <w:tc>
          <w:tcPr>
            <w:tcW w:w="2816" w:type="dxa"/>
            <w:tcBorders>
              <w:top w:val="single" w:sz="4" w:space="0" w:color="000000"/>
              <w:left w:val="single" w:sz="4" w:space="0" w:color="auto"/>
              <w:bottom w:val="single" w:sz="4" w:space="0" w:color="000000"/>
              <w:right w:val="single" w:sz="4" w:space="0" w:color="000000"/>
            </w:tcBorders>
            <w:vAlign w:val="center"/>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p w:rsidR="00083CDE" w:rsidRPr="00960F82" w:rsidRDefault="00083CDE">
            <w:pPr>
              <w:spacing w:line="300" w:lineRule="auto"/>
              <w:jc w:val="right"/>
              <w:rPr>
                <w:rFonts w:asciiTheme="minorEastAsia" w:eastAsiaTheme="minorEastAsia" w:hAnsiTheme="minorEastAsia"/>
                <w:kern w:val="0"/>
              </w:rPr>
            </w:pP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p w:rsidR="00083CDE" w:rsidRPr="00960F82" w:rsidRDefault="00083CDE">
            <w:pPr>
              <w:spacing w:line="300" w:lineRule="auto"/>
              <w:jc w:val="right"/>
              <w:rPr>
                <w:rFonts w:asciiTheme="minorEastAsia" w:eastAsiaTheme="minorEastAsia" w:hAnsiTheme="minorEastAsia"/>
                <w:kern w:val="0"/>
              </w:rPr>
            </w:pP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C</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制造业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1,107,017,637.63</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54.62</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D</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电力、热力、燃气及水生产和供应业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2,139,240.40</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0.11</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E</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建筑业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F</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批发和零售业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24,648,676.13</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1.22</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G</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交通运输、仓储和邮政业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85,550,000.00</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4.22</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H</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住宿和餐饮业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lastRenderedPageBreak/>
              <w:t>I</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信息传输、软件和信息技术服务业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434,672.24</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0.02</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J</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金融业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146,888,182.27</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7.25</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K</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房地产业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L</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租赁和商务服务业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M</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科学研究和技术服务业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N</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水利、环境和公共设施管理业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26,531,317.89</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1.31</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O</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居民服务、修理和其他服务业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P</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教育</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Q</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卫生和社会工作</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R</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文化、体育和娱乐业</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83,820,000.00</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4.14</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adjustRightInd w:val="0"/>
              <w:snapToGrid w:val="0"/>
              <w:spacing w:line="300" w:lineRule="auto"/>
              <w:jc w:val="center"/>
              <w:rPr>
                <w:rFonts w:asciiTheme="minorEastAsia" w:eastAsiaTheme="minorEastAsia" w:hAnsiTheme="minorEastAsia"/>
                <w:kern w:val="0"/>
              </w:rPr>
            </w:pPr>
            <w:r w:rsidRPr="00960F82">
              <w:rPr>
                <w:rFonts w:asciiTheme="minorEastAsia" w:eastAsiaTheme="minorEastAsia" w:hAnsiTheme="minorEastAsia" w:hint="eastAsia"/>
                <w:kern w:val="0"/>
              </w:rPr>
              <w:t>S</w:t>
            </w: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综合</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trHeight w:val="285"/>
        </w:trPr>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CDE" w:rsidRPr="00960F82" w:rsidRDefault="00083CDE">
            <w:pPr>
              <w:adjustRightInd w:val="0"/>
              <w:snapToGrid w:val="0"/>
              <w:spacing w:line="300" w:lineRule="auto"/>
              <w:jc w:val="center"/>
              <w:rPr>
                <w:rFonts w:asciiTheme="minorEastAsia" w:eastAsiaTheme="minorEastAsia" w:hAnsiTheme="minorEastAsia"/>
                <w:kern w:val="0"/>
              </w:rPr>
            </w:pPr>
          </w:p>
        </w:tc>
        <w:tc>
          <w:tcPr>
            <w:tcW w:w="395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083CDE" w:rsidRPr="00960F82" w:rsidRDefault="00083CDE">
            <w:pPr>
              <w:adjustRightInd w:val="0"/>
              <w:snapToGrid w:val="0"/>
              <w:spacing w:line="300" w:lineRule="auto"/>
              <w:rPr>
                <w:rFonts w:asciiTheme="minorEastAsia" w:eastAsiaTheme="minorEastAsia" w:hAnsiTheme="minorEastAsia"/>
                <w:kern w:val="0"/>
              </w:rPr>
            </w:pPr>
            <w:r w:rsidRPr="00960F82">
              <w:rPr>
                <w:rFonts w:asciiTheme="minorEastAsia" w:eastAsiaTheme="minorEastAsia" w:hAnsiTheme="minorEastAsia" w:hint="eastAsia"/>
                <w:kern w:val="0"/>
              </w:rPr>
              <w:t>合计</w:t>
            </w:r>
          </w:p>
        </w:tc>
        <w:tc>
          <w:tcPr>
            <w:tcW w:w="2816" w:type="dxa"/>
            <w:tcBorders>
              <w:top w:val="single" w:sz="4" w:space="0" w:color="000000"/>
              <w:left w:val="single" w:sz="4" w:space="0" w:color="auto"/>
              <w:bottom w:val="single" w:sz="4" w:space="0" w:color="000000"/>
              <w:right w:val="single" w:sz="4" w:space="0" w:color="000000"/>
            </w:tcBorders>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1,802,468,248.41</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83CDE" w:rsidRPr="00960F82" w:rsidRDefault="00083CDE">
            <w:pPr>
              <w:spacing w:line="300" w:lineRule="auto"/>
              <w:jc w:val="right"/>
              <w:rPr>
                <w:rFonts w:asciiTheme="minorEastAsia" w:eastAsiaTheme="minorEastAsia" w:hAnsiTheme="minorEastAsia"/>
                <w:kern w:val="0"/>
              </w:rPr>
            </w:pPr>
            <w:r w:rsidRPr="00960F82">
              <w:rPr>
                <w:rFonts w:asciiTheme="minorEastAsia" w:eastAsiaTheme="minorEastAsia" w:hAnsiTheme="minorEastAsia" w:hint="eastAsia"/>
                <w:kern w:val="0"/>
              </w:rPr>
              <w:t>88.93</w:t>
            </w:r>
          </w:p>
        </w:tc>
      </w:tr>
    </w:tbl>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3、报告期末按公允价值占基金资产净值比例大小排序的前十名股票投资明细</w:t>
      </w:r>
    </w:p>
    <w:tbl>
      <w:tblPr>
        <w:tblW w:w="8000" w:type="dxa"/>
        <w:tblInd w:w="-171" w:type="dxa"/>
        <w:tblCellMar>
          <w:left w:w="0" w:type="dxa"/>
          <w:right w:w="0" w:type="dxa"/>
        </w:tblCellMar>
        <w:tblLook w:val="04A0" w:firstRow="1" w:lastRow="0" w:firstColumn="1" w:lastColumn="0" w:noHBand="0" w:noVBand="1"/>
      </w:tblPr>
      <w:tblGrid>
        <w:gridCol w:w="744"/>
        <w:gridCol w:w="1176"/>
        <w:gridCol w:w="1190"/>
        <w:gridCol w:w="1576"/>
        <w:gridCol w:w="1917"/>
        <w:gridCol w:w="1397"/>
      </w:tblGrid>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序号</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股票代码</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股票名称</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数量（股）</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autoSpaceDE w:val="0"/>
              <w:autoSpaceDN w:val="0"/>
              <w:adjustRightInd w:val="0"/>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公允价值（元）</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占基金资产净值比例（％）</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szCs w:val="21"/>
              </w:rPr>
            </w:pPr>
            <w:r w:rsidRPr="00960F82">
              <w:rPr>
                <w:rFonts w:asciiTheme="minorEastAsia" w:eastAsiaTheme="minorEastAsia" w:hAnsiTheme="minorEastAsia" w:hint="eastAsia"/>
                <w:kern w:val="0"/>
              </w:rPr>
              <w:t>1</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szCs w:val="22"/>
              </w:rPr>
            </w:pPr>
            <w:r w:rsidRPr="00960F82">
              <w:rPr>
                <w:rFonts w:asciiTheme="minorEastAsia" w:eastAsiaTheme="minorEastAsia" w:hAnsiTheme="minorEastAsia" w:hint="eastAsia"/>
                <w:kern w:val="0"/>
              </w:rPr>
              <w:t>300628</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亿联网络</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3,000,020</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182,071,213.80</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8.98</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2</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300498</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温氏股份</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4,800,072</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178,466,676.96</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8.81</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3</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603707</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健友股份</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4,352,991</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161,713,615.65</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7.98</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4</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002311</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海大集团</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3,650,088</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114,247,754.40</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5.64</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5</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002690</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美亚光电</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3,440,026</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113,899,260.86</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5.62</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6</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000001</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平安银行</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6,990,000</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108,974,100.00</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5.38</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7</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002032</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苏泊尔</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1,479,881</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106,151,864.13</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5.24</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8</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603515</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欧普照明</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3,800,031</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100,206,817.47</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4.94</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9</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002299</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圣农发展</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3,830,021</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94,448,317.86</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4.66</w:t>
            </w:r>
          </w:p>
        </w:tc>
      </w:tr>
      <w:tr w:rsidR="00960F82" w:rsidRPr="00960F82" w:rsidTr="00083CDE">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10</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300144</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宋城演艺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3,000,000</w:t>
            </w:r>
          </w:p>
        </w:tc>
        <w:tc>
          <w:tcPr>
            <w:tcW w:w="1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83,820,000.00</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4.14</w:t>
            </w:r>
          </w:p>
        </w:tc>
      </w:tr>
    </w:tbl>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4、报告期末按债券品种分类的债券投资组合</w:t>
      </w:r>
    </w:p>
    <w:tbl>
      <w:tblPr>
        <w:tblStyle w:val="afff2"/>
        <w:tblW w:w="7995" w:type="dxa"/>
        <w:jc w:val="center"/>
        <w:tblLayout w:type="fixed"/>
        <w:tblLook w:val="04A0" w:firstRow="1" w:lastRow="0" w:firstColumn="1" w:lastColumn="0" w:noHBand="0" w:noVBand="1"/>
      </w:tblPr>
      <w:tblGrid>
        <w:gridCol w:w="760"/>
        <w:gridCol w:w="2966"/>
        <w:gridCol w:w="2685"/>
        <w:gridCol w:w="1584"/>
      </w:tblGrid>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rPr>
            </w:pPr>
            <w:r w:rsidRPr="00960F82">
              <w:rPr>
                <w:rFonts w:asciiTheme="minorEastAsia" w:eastAsiaTheme="minorEastAsia" w:hAnsiTheme="minorEastAsia" w:cstheme="minorBidi" w:hint="eastAsia"/>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债券品种</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公允价值(元)</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占基金资产净值比例(％)</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国家债券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央行票据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金融债券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80,028,000.00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3.95</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083CDE" w:rsidRPr="00960F82" w:rsidRDefault="00083CDE">
            <w:pPr>
              <w:spacing w:before="29" w:line="300" w:lineRule="auto"/>
              <w:ind w:left="17"/>
              <w:jc w:val="center"/>
              <w:rPr>
                <w:rFonts w:asciiTheme="minorEastAsia" w:eastAsiaTheme="minorEastAsia" w:hAnsiTheme="minorEastAsia"/>
                <w:kern w:val="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其中：政策性金融债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80,028,000.00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3.95</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lastRenderedPageBreak/>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企业债券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企业短期融资券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中期票据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可转债（可交换债）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129,998.29</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0.01</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同业存单</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其他</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left"/>
              <w:rPr>
                <w:rFonts w:asciiTheme="minorEastAsia" w:eastAsiaTheme="minorEastAsia" w:hAnsiTheme="minorEastAsia"/>
                <w:kern w:val="0"/>
              </w:rPr>
            </w:pPr>
            <w:r w:rsidRPr="00960F82">
              <w:rPr>
                <w:rFonts w:asciiTheme="minorEastAsia" w:eastAsiaTheme="minorEastAsia" w:hAnsiTheme="minorEastAsia" w:hint="eastAsia"/>
                <w:kern w:val="0"/>
              </w:rPr>
              <w:t>合计</w:t>
            </w:r>
          </w:p>
        </w:tc>
        <w:tc>
          <w:tcPr>
            <w:tcW w:w="294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80,157,998.29</w:t>
            </w:r>
          </w:p>
        </w:tc>
        <w:tc>
          <w:tcPr>
            <w:tcW w:w="1729"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spacing w:before="29" w:line="300" w:lineRule="auto"/>
              <w:ind w:left="17"/>
              <w:jc w:val="right"/>
              <w:rPr>
                <w:rFonts w:asciiTheme="minorEastAsia" w:eastAsiaTheme="minorEastAsia" w:hAnsiTheme="minorEastAsia"/>
                <w:kern w:val="0"/>
              </w:rPr>
            </w:pPr>
            <w:r w:rsidRPr="00960F82">
              <w:rPr>
                <w:rFonts w:asciiTheme="minorEastAsia" w:eastAsiaTheme="minorEastAsia" w:hAnsiTheme="minorEastAsia" w:hint="eastAsia"/>
                <w:kern w:val="0"/>
              </w:rPr>
              <w:t>3.95</w:t>
            </w:r>
          </w:p>
        </w:tc>
      </w:tr>
    </w:tbl>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5、报告期末按公允价值占基金资产净值比例大小排序的前五名债券投资明细</w:t>
      </w:r>
    </w:p>
    <w:tbl>
      <w:tblPr>
        <w:tblW w:w="8000" w:type="dxa"/>
        <w:tblCellMar>
          <w:left w:w="0" w:type="dxa"/>
          <w:right w:w="0" w:type="dxa"/>
        </w:tblCellMar>
        <w:tblLook w:val="04A0" w:firstRow="1" w:lastRow="0" w:firstColumn="1" w:lastColumn="0" w:noHBand="0" w:noVBand="1"/>
      </w:tblPr>
      <w:tblGrid>
        <w:gridCol w:w="806"/>
        <w:gridCol w:w="1275"/>
        <w:gridCol w:w="967"/>
        <w:gridCol w:w="1469"/>
        <w:gridCol w:w="2100"/>
        <w:gridCol w:w="1383"/>
      </w:tblGrid>
      <w:tr w:rsidR="00960F82" w:rsidRPr="00960F82" w:rsidTr="00083CDE">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序号</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债券代码</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债券名称</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数量（张）</w:t>
            </w:r>
          </w:p>
        </w:tc>
        <w:tc>
          <w:tcPr>
            <w:tcW w:w="2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公允价值（元）</w:t>
            </w:r>
          </w:p>
        </w:tc>
        <w:tc>
          <w:tcPr>
            <w:tcW w:w="1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占基金资产净值比例（％）</w:t>
            </w:r>
          </w:p>
        </w:tc>
      </w:tr>
      <w:tr w:rsidR="00960F82" w:rsidRPr="00960F82" w:rsidTr="00083CDE">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szCs w:val="21"/>
              </w:rPr>
            </w:pPr>
            <w:r w:rsidRPr="00960F82">
              <w:rPr>
                <w:rFonts w:asciiTheme="minorEastAsia" w:eastAsiaTheme="minorEastAsia" w:hAnsiTheme="minorEastAsia" w:hint="eastAsia"/>
                <w:kern w:val="0"/>
              </w:rPr>
              <w:t>1</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szCs w:val="22"/>
              </w:rPr>
            </w:pPr>
            <w:r w:rsidRPr="00960F82">
              <w:rPr>
                <w:rFonts w:asciiTheme="minorEastAsia" w:eastAsiaTheme="minorEastAsia" w:hAnsiTheme="minorEastAsia" w:hint="eastAsia"/>
                <w:kern w:val="0"/>
              </w:rPr>
              <w:t>130208</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13国开08</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400,000</w:t>
            </w:r>
          </w:p>
        </w:tc>
        <w:tc>
          <w:tcPr>
            <w:tcW w:w="2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40,036,000.00</w:t>
            </w:r>
          </w:p>
        </w:tc>
        <w:tc>
          <w:tcPr>
            <w:tcW w:w="1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1.98</w:t>
            </w:r>
          </w:p>
        </w:tc>
      </w:tr>
      <w:tr w:rsidR="00960F82" w:rsidRPr="00960F82" w:rsidTr="00083CDE">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2</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190304</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19进出04</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400,000</w:t>
            </w:r>
          </w:p>
        </w:tc>
        <w:tc>
          <w:tcPr>
            <w:tcW w:w="2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39,992,000.00</w:t>
            </w:r>
          </w:p>
        </w:tc>
        <w:tc>
          <w:tcPr>
            <w:tcW w:w="1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1.97</w:t>
            </w:r>
          </w:p>
        </w:tc>
      </w:tr>
      <w:tr w:rsidR="00960F82" w:rsidRPr="00960F82" w:rsidTr="00083CDE">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3</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128075</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center"/>
              <w:rPr>
                <w:rFonts w:asciiTheme="minorEastAsia" w:eastAsiaTheme="minorEastAsia" w:hAnsiTheme="minorEastAsia"/>
              </w:rPr>
            </w:pPr>
            <w:r w:rsidRPr="00960F82">
              <w:rPr>
                <w:rFonts w:asciiTheme="minorEastAsia" w:eastAsiaTheme="minorEastAsia" w:hAnsiTheme="minorEastAsia" w:hint="eastAsia"/>
                <w:kern w:val="0"/>
              </w:rPr>
              <w:t>远东转债</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1,300</w:t>
            </w:r>
          </w:p>
        </w:tc>
        <w:tc>
          <w:tcPr>
            <w:tcW w:w="2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129,998.29</w:t>
            </w:r>
          </w:p>
        </w:tc>
        <w:tc>
          <w:tcPr>
            <w:tcW w:w="1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3CDE" w:rsidRPr="00960F82" w:rsidRDefault="00083CDE">
            <w:pPr>
              <w:spacing w:line="300" w:lineRule="auto"/>
              <w:jc w:val="right"/>
              <w:rPr>
                <w:rFonts w:asciiTheme="minorEastAsia" w:eastAsiaTheme="minorEastAsia" w:hAnsiTheme="minorEastAsia"/>
              </w:rPr>
            </w:pPr>
            <w:r w:rsidRPr="00960F82">
              <w:rPr>
                <w:rFonts w:asciiTheme="minorEastAsia" w:eastAsiaTheme="minorEastAsia" w:hAnsiTheme="minorEastAsia" w:hint="eastAsia"/>
                <w:kern w:val="0"/>
              </w:rPr>
              <w:t>0.01</w:t>
            </w:r>
          </w:p>
        </w:tc>
      </w:tr>
    </w:tbl>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6、报告期末按公允价值占基金资产净值比例大小排序的前十名资产支持证券投资明细</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本基金本报告期末未持有资产支持证券。</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7、报告期末按公允价值占基金资产净值比例大小排序的前五名贵金属投资明细</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本基金本报告期末未持有贵金属。</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8、报告期末按公允价值占基金资产净值比例大小排序的前五名权证投资明细</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本基金本报告期末未持有权证。</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9、报告期末本基金投资的股指期货交易情况说明</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本基金本报告期末未投资股指期货。</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10、报告期末本基金投资的国债期货交易情况说明</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本基金本报告期末未投资国债期货。</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11、投资组合报告附注</w:t>
      </w:r>
    </w:p>
    <w:p w:rsidR="00EF3764"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1）平安银行（代码：000001）为易方达积极成长证券投资基金的前十大重仓证券之一。2018年12月13日，中国银行业监督管理委员会宁波监管局针对平安银行股份有限公司信用卡中心宁波分中心内控管理不到位的违法违规事实，处以罚款人民币40万元，并责令机构对相关直接责任人给予纪律处分的行政处罚。2019年5月10日，中国银行保险监督管理委员会上海监管局针对平安银行股份有限公司信用卡中心上海分中心2015年至2017年对员工经商办企业的行为屡禁不止，员工行为管理严重违反审慎经营规则的违法违规事实，</w:t>
      </w:r>
      <w:r w:rsidRPr="00960F82">
        <w:rPr>
          <w:rFonts w:asciiTheme="minorEastAsia" w:eastAsiaTheme="minorEastAsia" w:hAnsiTheme="minorEastAsia" w:hint="eastAsia"/>
          <w:sz w:val="21"/>
          <w:szCs w:val="21"/>
        </w:rPr>
        <w:lastRenderedPageBreak/>
        <w:t>责令改正，并处罚款40万元。2019年8月12日，中国银行保险监督管理委员会上海监管局针对平安银行股份有限公司资金运营中心2017年末至2018年9月信息科技风险管理严重违反审慎经营规则的违法违规事实，责令改正，并处罚款20万元。</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本基金投资平安银行的投资决策程序符合公司投资制度的规定。</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除平安银行外，本基金投资的前十名证券的发行主体本期没有出现被监管部门立案调查，或在报告编制日前一年内受到公开谴责、处罚的情形。</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（2）本基金投资的前十名股票没有超出基金合同规定的备选股票库。</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（3）其他各项资产构成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2301"/>
        <w:gridCol w:w="4531"/>
      </w:tblGrid>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序号</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7"/>
              <w:jc w:val="center"/>
              <w:rPr>
                <w:rFonts w:asciiTheme="minorEastAsia" w:eastAsiaTheme="minorEastAsia" w:hAnsiTheme="minorEastAsia"/>
                <w:kern w:val="0"/>
              </w:rPr>
            </w:pPr>
            <w:r w:rsidRPr="00960F82">
              <w:rPr>
                <w:rFonts w:asciiTheme="minorEastAsia" w:eastAsiaTheme="minorEastAsia" w:hAnsiTheme="minorEastAsia" w:hint="eastAsia"/>
                <w:kern w:val="0"/>
              </w:rPr>
              <w:t>金额（元）</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846,198.10</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672,641.54</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5</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341,165.65</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6</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7</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8</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w:t>
            </w:r>
          </w:p>
        </w:tc>
      </w:tr>
      <w:tr w:rsidR="00960F82" w:rsidRPr="00960F82" w:rsidTr="00083CDE">
        <w:tc>
          <w:tcPr>
            <w:tcW w:w="1235"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center"/>
              <w:rPr>
                <w:rFonts w:asciiTheme="minorEastAsia" w:eastAsiaTheme="minorEastAsia" w:hAnsiTheme="minorEastAsia"/>
                <w:kern w:val="0"/>
              </w:rPr>
            </w:pPr>
            <w:r w:rsidRPr="00960F82">
              <w:rPr>
                <w:rFonts w:asciiTheme="minorEastAsia" w:eastAsiaTheme="minorEastAsia" w:hAnsiTheme="minorEastAsia" w:hint="eastAsia"/>
                <w:kern w:val="0"/>
              </w:rPr>
              <w:t>9</w:t>
            </w:r>
          </w:p>
        </w:tc>
        <w:tc>
          <w:tcPr>
            <w:tcW w:w="2470"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left"/>
              <w:rPr>
                <w:rFonts w:asciiTheme="minorEastAsia" w:eastAsiaTheme="minorEastAsia" w:hAnsiTheme="minorEastAsia"/>
                <w:kern w:val="0"/>
              </w:rPr>
            </w:pPr>
            <w:r w:rsidRPr="00960F82">
              <w:rPr>
                <w:rFonts w:asciiTheme="minorEastAsia" w:eastAsiaTheme="minorEastAsia" w:hAnsiTheme="minorEastAsia" w:hint="eastAsia"/>
                <w:kern w:val="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083CDE" w:rsidRPr="00960F82" w:rsidRDefault="00083CDE">
            <w:pPr>
              <w:autoSpaceDE w:val="0"/>
              <w:autoSpaceDN w:val="0"/>
              <w:adjustRightInd w:val="0"/>
              <w:spacing w:before="29" w:line="300" w:lineRule="auto"/>
              <w:ind w:left="15"/>
              <w:jc w:val="right"/>
              <w:rPr>
                <w:rFonts w:asciiTheme="minorEastAsia" w:eastAsiaTheme="minorEastAsia" w:hAnsiTheme="minorEastAsia"/>
                <w:kern w:val="0"/>
              </w:rPr>
            </w:pPr>
            <w:r w:rsidRPr="00960F82">
              <w:rPr>
                <w:rFonts w:asciiTheme="minorEastAsia" w:eastAsiaTheme="minorEastAsia" w:hAnsiTheme="minorEastAsia" w:hint="eastAsia"/>
                <w:kern w:val="0"/>
              </w:rPr>
              <w:t>1,860,005.29</w:t>
            </w:r>
          </w:p>
        </w:tc>
      </w:tr>
    </w:tbl>
    <w:p w:rsidR="00083CDE"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（4）</w:t>
      </w:r>
      <w:r w:rsidR="00083CDE" w:rsidRPr="00960F82">
        <w:rPr>
          <w:rFonts w:asciiTheme="minorEastAsia" w:eastAsiaTheme="minorEastAsia" w:hAnsiTheme="minorEastAsia" w:hint="eastAsia"/>
          <w:sz w:val="21"/>
          <w:szCs w:val="21"/>
        </w:rPr>
        <w:t>报告期末持有的处于转股期的可转换债券明细</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本基金本报告期末未持有处于转股期的可转换债券。</w:t>
      </w:r>
    </w:p>
    <w:p w:rsidR="00083CDE" w:rsidRPr="00960F82" w:rsidRDefault="00EF3764"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（5）</w:t>
      </w:r>
      <w:r w:rsidR="00083CDE" w:rsidRPr="00960F82">
        <w:rPr>
          <w:rFonts w:asciiTheme="minorEastAsia" w:eastAsiaTheme="minorEastAsia" w:hAnsiTheme="minorEastAsia" w:hint="eastAsia"/>
          <w:sz w:val="21"/>
          <w:szCs w:val="21"/>
        </w:rPr>
        <w:t>报告期末前十名股票中存在流通受限情况的说明</w:t>
      </w:r>
    </w:p>
    <w:p w:rsidR="00083CDE" w:rsidRPr="00960F82" w:rsidRDefault="00083CDE" w:rsidP="00960F82">
      <w:pPr>
        <w:pStyle w:val="afc"/>
        <w:snapToGrid w:val="0"/>
        <w:spacing w:line="360" w:lineRule="auto"/>
        <w:ind w:firstLineChars="200" w:firstLine="420"/>
        <w:rPr>
          <w:rFonts w:asciiTheme="minorEastAsia" w:eastAsiaTheme="minorEastAsia" w:hAnsiTheme="minorEastAsia"/>
          <w:sz w:val="21"/>
          <w:szCs w:val="21"/>
        </w:rPr>
      </w:pPr>
      <w:r w:rsidRPr="00960F82">
        <w:rPr>
          <w:rFonts w:asciiTheme="minorEastAsia" w:eastAsiaTheme="minorEastAsia" w:hAnsiTheme="minorEastAsia" w:hint="eastAsia"/>
          <w:sz w:val="21"/>
          <w:szCs w:val="21"/>
        </w:rPr>
        <w:t>本基金本报告期末前十名股票中不存在流通受限情况。</w:t>
      </w:r>
    </w:p>
    <w:p w:rsidR="00EF3764" w:rsidRPr="00960F82" w:rsidRDefault="00EF3764">
      <w:pPr>
        <w:widowControl/>
        <w:jc w:val="left"/>
        <w:rPr>
          <w:rFonts w:asciiTheme="minorEastAsia" w:eastAsiaTheme="minorEastAsia" w:hAnsiTheme="minorEastAsia"/>
          <w:szCs w:val="22"/>
        </w:rPr>
      </w:pPr>
      <w:r w:rsidRPr="00960F82">
        <w:rPr>
          <w:rFonts w:asciiTheme="minorEastAsia" w:eastAsiaTheme="minorEastAsia" w:hAnsiTheme="minorEastAsia"/>
          <w:szCs w:val="22"/>
        </w:rPr>
        <w:br w:type="page"/>
      </w:r>
    </w:p>
    <w:p w:rsidR="00083CDE" w:rsidRPr="00960F82" w:rsidRDefault="00083CDE" w:rsidP="00083CDE">
      <w:pPr>
        <w:spacing w:line="300" w:lineRule="auto"/>
        <w:rPr>
          <w:rFonts w:asciiTheme="minorEastAsia" w:eastAsiaTheme="minorEastAsia" w:hAnsiTheme="minorEastAsia"/>
          <w:szCs w:val="22"/>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64" w:name="_Toc92774755"/>
      <w:bookmarkStart w:id="65" w:name="_Toc30161795"/>
      <w:r w:rsidRPr="00960F82">
        <w:rPr>
          <w:rFonts w:asciiTheme="minorEastAsia" w:eastAsiaTheme="minorEastAsia" w:hAnsiTheme="minorEastAsia" w:hint="eastAsia"/>
          <w:b/>
        </w:rPr>
        <w:t>九、基金的业绩</w:t>
      </w:r>
      <w:bookmarkEnd w:id="64"/>
      <w:bookmarkEnd w:id="65"/>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kern w:val="0"/>
        </w:rPr>
      </w:pPr>
      <w:r w:rsidRPr="00960F82">
        <w:rPr>
          <w:rFonts w:asciiTheme="minorEastAsia" w:eastAsiaTheme="minorEastAsia" w:hAnsiTheme="minorEastAsia"/>
          <w:kern w:val="0"/>
        </w:rPr>
        <w:t>基金管理人依照恪尽职守、诚实信用、谨慎勤勉的原则管理和运用基金财产，但不保证基金一定盈利，也不保证最低收益。基金的过往业绩并不代表其未来表现。投资有风险，投资者在</w:t>
      </w:r>
      <w:r w:rsidRPr="00960F82">
        <w:rPr>
          <w:rFonts w:asciiTheme="minorEastAsia" w:eastAsiaTheme="minorEastAsia" w:hAnsiTheme="minorEastAsia" w:hint="eastAsia"/>
          <w:kern w:val="0"/>
        </w:rPr>
        <w:t>作出</w:t>
      </w:r>
      <w:r w:rsidRPr="00960F82">
        <w:rPr>
          <w:rFonts w:asciiTheme="minorEastAsia" w:eastAsiaTheme="minorEastAsia" w:hAnsiTheme="minorEastAsia"/>
          <w:kern w:val="0"/>
        </w:rPr>
        <w:t>投资决策前应仔细阅读本基金的招募说明书。</w:t>
      </w:r>
    </w:p>
    <w:p w:rsidR="005156D4" w:rsidRPr="00960F82" w:rsidRDefault="001D2E2F" w:rsidP="00084917">
      <w:pPr>
        <w:autoSpaceDE w:val="0"/>
        <w:autoSpaceDN w:val="0"/>
        <w:adjustRightInd w:val="0"/>
        <w:snapToGrid w:val="0"/>
        <w:spacing w:line="360" w:lineRule="auto"/>
        <w:ind w:firstLineChars="202" w:firstLine="424"/>
        <w:rPr>
          <w:rFonts w:asciiTheme="minorEastAsia" w:eastAsiaTheme="minorEastAsia" w:hAnsiTheme="minorEastAsia"/>
          <w:kern w:val="0"/>
          <w:szCs w:val="21"/>
        </w:rPr>
      </w:pPr>
      <w:r w:rsidRPr="00960F82">
        <w:rPr>
          <w:rFonts w:asciiTheme="minorEastAsia" w:eastAsiaTheme="minorEastAsia" w:hAnsiTheme="minorEastAsia" w:hint="eastAsia"/>
          <w:kern w:val="0"/>
        </w:rPr>
        <w:t>本基</w:t>
      </w:r>
      <w:r w:rsidRPr="00960F82">
        <w:rPr>
          <w:rFonts w:asciiTheme="minorEastAsia" w:eastAsiaTheme="minorEastAsia" w:hAnsiTheme="minorEastAsia" w:hint="eastAsia"/>
          <w:kern w:val="0"/>
          <w:szCs w:val="21"/>
        </w:rPr>
        <w:t>金合同生效日为2004年9月9日，</w:t>
      </w:r>
      <w:r w:rsidR="005C0024" w:rsidRPr="00960F82">
        <w:rPr>
          <w:rFonts w:asciiTheme="minorEastAsia" w:eastAsiaTheme="minorEastAsia" w:hAnsiTheme="minorEastAsia" w:hint="eastAsia"/>
          <w:szCs w:val="21"/>
        </w:rPr>
        <w:t>本基金最近</w:t>
      </w:r>
      <w:r w:rsidR="005C0024" w:rsidRPr="00960F82">
        <w:rPr>
          <w:rFonts w:asciiTheme="minorEastAsia" w:eastAsiaTheme="minorEastAsia" w:hAnsiTheme="minorEastAsia"/>
          <w:szCs w:val="21"/>
        </w:rPr>
        <w:t>10</w:t>
      </w:r>
      <w:r w:rsidR="005C0024" w:rsidRPr="00960F82">
        <w:rPr>
          <w:rFonts w:asciiTheme="minorEastAsia" w:eastAsiaTheme="minorEastAsia" w:hAnsiTheme="minorEastAsia" w:hint="eastAsia"/>
          <w:szCs w:val="21"/>
        </w:rPr>
        <w:t>个完整会计年度</w:t>
      </w:r>
      <w:r w:rsidR="00D675F5" w:rsidRPr="00960F82">
        <w:rPr>
          <w:rFonts w:asciiTheme="minorEastAsia" w:eastAsiaTheme="minorEastAsia" w:hAnsiTheme="minorEastAsia" w:hint="eastAsia"/>
          <w:szCs w:val="21"/>
        </w:rPr>
        <w:t>（截至201</w:t>
      </w:r>
      <w:r w:rsidR="00ED2FA2" w:rsidRPr="00960F82">
        <w:rPr>
          <w:rFonts w:asciiTheme="minorEastAsia" w:eastAsiaTheme="minorEastAsia" w:hAnsiTheme="minorEastAsia" w:hint="eastAsia"/>
          <w:szCs w:val="21"/>
        </w:rPr>
        <w:t>9</w:t>
      </w:r>
      <w:r w:rsidR="00D675F5" w:rsidRPr="00960F82">
        <w:rPr>
          <w:rFonts w:asciiTheme="minorEastAsia" w:eastAsiaTheme="minorEastAsia" w:hAnsiTheme="minorEastAsia" w:hint="eastAsia"/>
          <w:szCs w:val="21"/>
        </w:rPr>
        <w:t>年</w:t>
      </w:r>
      <w:r w:rsidR="00D675F5" w:rsidRPr="00960F82">
        <w:rPr>
          <w:rFonts w:asciiTheme="minorEastAsia" w:eastAsiaTheme="minorEastAsia" w:hAnsiTheme="minorEastAsia"/>
          <w:szCs w:val="21"/>
        </w:rPr>
        <w:t>12</w:t>
      </w:r>
      <w:r w:rsidR="00D675F5" w:rsidRPr="00960F82">
        <w:rPr>
          <w:rFonts w:asciiTheme="minorEastAsia" w:eastAsiaTheme="minorEastAsia" w:hAnsiTheme="minorEastAsia" w:hint="eastAsia"/>
          <w:szCs w:val="21"/>
        </w:rPr>
        <w:t>月</w:t>
      </w:r>
      <w:r w:rsidR="00D675F5" w:rsidRPr="00960F82">
        <w:rPr>
          <w:rFonts w:asciiTheme="minorEastAsia" w:eastAsiaTheme="minorEastAsia" w:hAnsiTheme="minorEastAsia"/>
          <w:szCs w:val="21"/>
        </w:rPr>
        <w:t>31</w:t>
      </w:r>
      <w:r w:rsidR="00D675F5" w:rsidRPr="00960F82">
        <w:rPr>
          <w:rFonts w:asciiTheme="minorEastAsia" w:eastAsiaTheme="minorEastAsia" w:hAnsiTheme="minorEastAsia" w:hint="eastAsia"/>
          <w:szCs w:val="21"/>
        </w:rPr>
        <w:t>日）</w:t>
      </w:r>
      <w:r w:rsidRPr="00960F82">
        <w:rPr>
          <w:rFonts w:asciiTheme="minorEastAsia" w:eastAsiaTheme="minorEastAsia" w:hAnsiTheme="minorEastAsia" w:hint="eastAsia"/>
          <w:kern w:val="0"/>
          <w:szCs w:val="21"/>
        </w:rPr>
        <w:t>的投资业绩及与同期基准的比较如下表所示：</w:t>
      </w:r>
    </w:p>
    <w:tbl>
      <w:tblPr>
        <w:tblW w:w="8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024"/>
        <w:gridCol w:w="1050"/>
        <w:gridCol w:w="1155"/>
        <w:gridCol w:w="1155"/>
        <w:gridCol w:w="1131"/>
        <w:gridCol w:w="1026"/>
      </w:tblGrid>
      <w:tr w:rsidR="00960F82" w:rsidRPr="00960F82" w:rsidTr="00D937F5">
        <w:trPr>
          <w:trHeight w:val="315"/>
        </w:trPr>
        <w:tc>
          <w:tcPr>
            <w:tcW w:w="1811" w:type="dxa"/>
            <w:vAlign w:val="center"/>
          </w:tcPr>
          <w:p w:rsidR="001D2E2F" w:rsidRPr="00960F82" w:rsidRDefault="001D2E2F" w:rsidP="00084917">
            <w:pPr>
              <w:tabs>
                <w:tab w:val="left" w:pos="5400"/>
              </w:tabs>
              <w:snapToGrid w:val="0"/>
              <w:spacing w:line="360" w:lineRule="auto"/>
              <w:ind w:leftChars="-51" w:left="-107" w:rightChars="-51" w:right="-107"/>
              <w:jc w:val="center"/>
              <w:rPr>
                <w:rFonts w:asciiTheme="minorEastAsia" w:eastAsiaTheme="minorEastAsia" w:hAnsiTheme="minorEastAsia"/>
                <w:szCs w:val="21"/>
              </w:rPr>
            </w:pPr>
            <w:r w:rsidRPr="00960F82">
              <w:rPr>
                <w:rFonts w:asciiTheme="minorEastAsia" w:eastAsiaTheme="minorEastAsia" w:hAnsiTheme="minorEastAsia" w:hint="eastAsia"/>
                <w:szCs w:val="21"/>
              </w:rPr>
              <w:t>阶段</w:t>
            </w:r>
          </w:p>
        </w:tc>
        <w:tc>
          <w:tcPr>
            <w:tcW w:w="1024" w:type="dxa"/>
            <w:vAlign w:val="center"/>
          </w:tcPr>
          <w:p w:rsidR="001D2E2F" w:rsidRPr="00960F82" w:rsidRDefault="001D2E2F" w:rsidP="00084917">
            <w:pPr>
              <w:tabs>
                <w:tab w:val="left" w:pos="5400"/>
              </w:tabs>
              <w:snapToGrid w:val="0"/>
              <w:spacing w:line="360" w:lineRule="auto"/>
              <w:ind w:leftChars="-51" w:left="-107" w:rightChars="-51" w:right="-107"/>
              <w:jc w:val="center"/>
              <w:rPr>
                <w:rFonts w:asciiTheme="minorEastAsia" w:eastAsiaTheme="minorEastAsia" w:hAnsiTheme="minorEastAsia"/>
                <w:szCs w:val="21"/>
              </w:rPr>
            </w:pPr>
            <w:r w:rsidRPr="00960F82">
              <w:rPr>
                <w:rFonts w:asciiTheme="minorEastAsia" w:eastAsiaTheme="minorEastAsia" w:hAnsiTheme="minorEastAsia" w:hint="eastAsia"/>
                <w:szCs w:val="21"/>
              </w:rPr>
              <w:t>净值增长率①</w:t>
            </w:r>
          </w:p>
        </w:tc>
        <w:tc>
          <w:tcPr>
            <w:tcW w:w="1050" w:type="dxa"/>
            <w:vAlign w:val="center"/>
          </w:tcPr>
          <w:p w:rsidR="001D2E2F" w:rsidRPr="00960F82" w:rsidRDefault="001D2E2F" w:rsidP="00084917">
            <w:pPr>
              <w:tabs>
                <w:tab w:val="left" w:pos="5400"/>
              </w:tabs>
              <w:snapToGrid w:val="0"/>
              <w:spacing w:line="360" w:lineRule="auto"/>
              <w:ind w:leftChars="-51" w:left="-107" w:rightChars="-51" w:right="-107"/>
              <w:jc w:val="center"/>
              <w:rPr>
                <w:rFonts w:asciiTheme="minorEastAsia" w:eastAsiaTheme="minorEastAsia" w:hAnsiTheme="minorEastAsia"/>
                <w:szCs w:val="21"/>
              </w:rPr>
            </w:pPr>
            <w:r w:rsidRPr="00960F82">
              <w:rPr>
                <w:rFonts w:asciiTheme="minorEastAsia" w:eastAsiaTheme="minorEastAsia" w:hAnsiTheme="minorEastAsia" w:hint="eastAsia"/>
                <w:szCs w:val="21"/>
              </w:rPr>
              <w:t>净值增长率标准差②</w:t>
            </w:r>
          </w:p>
        </w:tc>
        <w:tc>
          <w:tcPr>
            <w:tcW w:w="1155" w:type="dxa"/>
            <w:vAlign w:val="center"/>
          </w:tcPr>
          <w:p w:rsidR="001D2E2F" w:rsidRPr="00960F82" w:rsidRDefault="001D2E2F" w:rsidP="00084917">
            <w:pPr>
              <w:tabs>
                <w:tab w:val="left" w:pos="5400"/>
              </w:tabs>
              <w:snapToGrid w:val="0"/>
              <w:spacing w:line="360" w:lineRule="auto"/>
              <w:ind w:leftChars="-51" w:left="-107" w:rightChars="-51" w:right="-107"/>
              <w:jc w:val="center"/>
              <w:rPr>
                <w:rFonts w:asciiTheme="minorEastAsia" w:eastAsiaTheme="minorEastAsia" w:hAnsiTheme="minorEastAsia"/>
                <w:szCs w:val="21"/>
              </w:rPr>
            </w:pPr>
            <w:r w:rsidRPr="00960F82">
              <w:rPr>
                <w:rFonts w:asciiTheme="minorEastAsia" w:eastAsiaTheme="minorEastAsia" w:hAnsiTheme="minorEastAsia" w:hint="eastAsia"/>
                <w:szCs w:val="21"/>
              </w:rPr>
              <w:t>业绩比较基准收益率③</w:t>
            </w:r>
          </w:p>
        </w:tc>
        <w:tc>
          <w:tcPr>
            <w:tcW w:w="1155" w:type="dxa"/>
            <w:vAlign w:val="center"/>
          </w:tcPr>
          <w:p w:rsidR="001D2E2F" w:rsidRPr="00960F82" w:rsidRDefault="001D2E2F" w:rsidP="00084917">
            <w:pPr>
              <w:tabs>
                <w:tab w:val="left" w:pos="5400"/>
              </w:tabs>
              <w:snapToGrid w:val="0"/>
              <w:spacing w:line="360" w:lineRule="auto"/>
              <w:ind w:leftChars="-51" w:left="-107" w:rightChars="-51" w:right="-107"/>
              <w:jc w:val="center"/>
              <w:rPr>
                <w:rFonts w:asciiTheme="minorEastAsia" w:eastAsiaTheme="minorEastAsia" w:hAnsiTheme="minorEastAsia"/>
                <w:szCs w:val="21"/>
              </w:rPr>
            </w:pPr>
            <w:r w:rsidRPr="00960F82">
              <w:rPr>
                <w:rFonts w:asciiTheme="minorEastAsia" w:eastAsiaTheme="minorEastAsia" w:hAnsiTheme="minorEastAsia" w:hint="eastAsia"/>
                <w:szCs w:val="21"/>
              </w:rPr>
              <w:t>业绩比较基准收益率标准差④</w:t>
            </w:r>
          </w:p>
        </w:tc>
        <w:tc>
          <w:tcPr>
            <w:tcW w:w="1131" w:type="dxa"/>
            <w:vAlign w:val="center"/>
          </w:tcPr>
          <w:p w:rsidR="001D2E2F" w:rsidRPr="00960F82" w:rsidRDefault="001D2E2F" w:rsidP="00084917">
            <w:pPr>
              <w:tabs>
                <w:tab w:val="left" w:pos="5400"/>
              </w:tabs>
              <w:snapToGrid w:val="0"/>
              <w:spacing w:line="360" w:lineRule="auto"/>
              <w:ind w:leftChars="-51" w:left="-107" w:rightChars="-51" w:right="-107"/>
              <w:jc w:val="center"/>
              <w:rPr>
                <w:rFonts w:asciiTheme="minorEastAsia" w:eastAsiaTheme="minorEastAsia" w:hAnsiTheme="minorEastAsia"/>
                <w:szCs w:val="21"/>
              </w:rPr>
            </w:pPr>
            <w:r w:rsidRPr="00960F82">
              <w:rPr>
                <w:rFonts w:asciiTheme="minorEastAsia" w:eastAsiaTheme="minorEastAsia" w:hAnsiTheme="minorEastAsia" w:hint="eastAsia"/>
                <w:szCs w:val="21"/>
              </w:rPr>
              <w:t>①-③</w:t>
            </w:r>
          </w:p>
        </w:tc>
        <w:tc>
          <w:tcPr>
            <w:tcW w:w="1026" w:type="dxa"/>
            <w:vAlign w:val="center"/>
          </w:tcPr>
          <w:p w:rsidR="001D2E2F" w:rsidRPr="00960F82" w:rsidRDefault="001D2E2F" w:rsidP="00084917">
            <w:pPr>
              <w:tabs>
                <w:tab w:val="left" w:pos="5400"/>
              </w:tabs>
              <w:snapToGrid w:val="0"/>
              <w:spacing w:line="360" w:lineRule="auto"/>
              <w:ind w:leftChars="-52" w:left="-106" w:rightChars="-51" w:right="-107" w:hanging="3"/>
              <w:jc w:val="center"/>
              <w:rPr>
                <w:rFonts w:asciiTheme="minorEastAsia" w:eastAsiaTheme="minorEastAsia" w:hAnsiTheme="minorEastAsia"/>
                <w:szCs w:val="21"/>
              </w:rPr>
            </w:pPr>
            <w:r w:rsidRPr="00960F82">
              <w:rPr>
                <w:rFonts w:asciiTheme="minorEastAsia" w:eastAsiaTheme="minorEastAsia" w:hAnsiTheme="minorEastAsia" w:hint="eastAsia"/>
                <w:szCs w:val="21"/>
              </w:rPr>
              <w:t>②-④</w:t>
            </w:r>
          </w:p>
        </w:tc>
      </w:tr>
      <w:tr w:rsidR="00960F82" w:rsidRPr="00960F82" w:rsidTr="00D937F5">
        <w:trPr>
          <w:trHeight w:val="300"/>
        </w:trPr>
        <w:tc>
          <w:tcPr>
            <w:tcW w:w="1811" w:type="dxa"/>
            <w:vAlign w:val="center"/>
          </w:tcPr>
          <w:p w:rsidR="001D2E2F" w:rsidRPr="00960F82" w:rsidRDefault="001D2E2F" w:rsidP="00084917">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2010年1月1日至2010年12月31日</w:t>
            </w:r>
          </w:p>
        </w:tc>
        <w:tc>
          <w:tcPr>
            <w:tcW w:w="1024" w:type="dxa"/>
            <w:vAlign w:val="center"/>
          </w:tcPr>
          <w:p w:rsidR="001D2E2F" w:rsidRPr="00960F82" w:rsidRDefault="001D2E2F"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cs="Courier New"/>
                <w:szCs w:val="21"/>
              </w:rPr>
              <w:t>5.32%</w:t>
            </w:r>
          </w:p>
        </w:tc>
        <w:tc>
          <w:tcPr>
            <w:tcW w:w="1050" w:type="dxa"/>
            <w:vAlign w:val="center"/>
          </w:tcPr>
          <w:p w:rsidR="001D2E2F" w:rsidRPr="00960F82" w:rsidRDefault="001D2E2F"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cs="Courier New"/>
                <w:szCs w:val="21"/>
              </w:rPr>
              <w:t>1.35%</w:t>
            </w:r>
          </w:p>
        </w:tc>
        <w:tc>
          <w:tcPr>
            <w:tcW w:w="1155" w:type="dxa"/>
            <w:vAlign w:val="center"/>
          </w:tcPr>
          <w:p w:rsidR="001D2E2F" w:rsidRPr="00960F82" w:rsidRDefault="001D2E2F"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cs="Courier New"/>
                <w:szCs w:val="21"/>
              </w:rPr>
              <w:t>-14.46%</w:t>
            </w:r>
          </w:p>
        </w:tc>
        <w:tc>
          <w:tcPr>
            <w:tcW w:w="1155" w:type="dxa"/>
            <w:vAlign w:val="center"/>
          </w:tcPr>
          <w:p w:rsidR="001D2E2F" w:rsidRPr="00960F82" w:rsidRDefault="001D2E2F"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cs="Courier New"/>
                <w:szCs w:val="21"/>
              </w:rPr>
              <w:t>1.42%</w:t>
            </w:r>
          </w:p>
        </w:tc>
        <w:tc>
          <w:tcPr>
            <w:tcW w:w="1131" w:type="dxa"/>
            <w:vAlign w:val="center"/>
          </w:tcPr>
          <w:p w:rsidR="001D2E2F" w:rsidRPr="00960F82" w:rsidRDefault="001D2E2F"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cs="Courier New"/>
                <w:szCs w:val="21"/>
              </w:rPr>
              <w:t>19.78%</w:t>
            </w:r>
          </w:p>
        </w:tc>
        <w:tc>
          <w:tcPr>
            <w:tcW w:w="1026" w:type="dxa"/>
            <w:vAlign w:val="center"/>
          </w:tcPr>
          <w:p w:rsidR="001D2E2F" w:rsidRPr="00960F82" w:rsidRDefault="001D2E2F"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cs="Courier New"/>
                <w:szCs w:val="21"/>
              </w:rPr>
              <w:t>-0.07%</w:t>
            </w:r>
          </w:p>
        </w:tc>
      </w:tr>
      <w:tr w:rsidR="00960F82" w:rsidRPr="00960F82" w:rsidTr="00D937F5">
        <w:trPr>
          <w:trHeight w:val="300"/>
        </w:trPr>
        <w:tc>
          <w:tcPr>
            <w:tcW w:w="1811" w:type="dxa"/>
            <w:vAlign w:val="center"/>
          </w:tcPr>
          <w:p w:rsidR="0072486B" w:rsidRPr="00960F82" w:rsidRDefault="0072486B" w:rsidP="00084917">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2011年1月1日至2011年12月31日</w:t>
            </w:r>
          </w:p>
        </w:tc>
        <w:tc>
          <w:tcPr>
            <w:tcW w:w="1024" w:type="dxa"/>
            <w:vAlign w:val="center"/>
          </w:tcPr>
          <w:p w:rsidR="0072486B" w:rsidRPr="00960F82" w:rsidRDefault="0072486B"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hint="eastAsia"/>
                <w:szCs w:val="21"/>
              </w:rPr>
              <w:t>-26.54%</w:t>
            </w:r>
          </w:p>
        </w:tc>
        <w:tc>
          <w:tcPr>
            <w:tcW w:w="1050" w:type="dxa"/>
            <w:vAlign w:val="center"/>
          </w:tcPr>
          <w:p w:rsidR="0072486B" w:rsidRPr="00960F82" w:rsidRDefault="0072486B"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hint="eastAsia"/>
                <w:szCs w:val="21"/>
              </w:rPr>
              <w:t>1.18%</w:t>
            </w:r>
          </w:p>
        </w:tc>
        <w:tc>
          <w:tcPr>
            <w:tcW w:w="1155" w:type="dxa"/>
            <w:vAlign w:val="center"/>
          </w:tcPr>
          <w:p w:rsidR="0072486B" w:rsidRPr="00960F82" w:rsidRDefault="0072486B"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hint="eastAsia"/>
                <w:szCs w:val="21"/>
              </w:rPr>
              <w:t>-21.64%</w:t>
            </w:r>
          </w:p>
        </w:tc>
        <w:tc>
          <w:tcPr>
            <w:tcW w:w="1155" w:type="dxa"/>
            <w:vAlign w:val="center"/>
          </w:tcPr>
          <w:p w:rsidR="0072486B" w:rsidRPr="00960F82" w:rsidRDefault="0072486B"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hint="eastAsia"/>
                <w:szCs w:val="21"/>
              </w:rPr>
              <w:t>1.15%</w:t>
            </w:r>
          </w:p>
        </w:tc>
        <w:tc>
          <w:tcPr>
            <w:tcW w:w="1131" w:type="dxa"/>
            <w:vAlign w:val="center"/>
          </w:tcPr>
          <w:p w:rsidR="0072486B" w:rsidRPr="00960F82" w:rsidRDefault="0072486B"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hint="eastAsia"/>
                <w:szCs w:val="21"/>
              </w:rPr>
              <w:t>-4.90%</w:t>
            </w:r>
          </w:p>
        </w:tc>
        <w:tc>
          <w:tcPr>
            <w:tcW w:w="1026" w:type="dxa"/>
            <w:vAlign w:val="center"/>
          </w:tcPr>
          <w:p w:rsidR="0072486B" w:rsidRPr="00960F82" w:rsidRDefault="0072486B" w:rsidP="00084917">
            <w:pPr>
              <w:tabs>
                <w:tab w:val="left" w:pos="5400"/>
              </w:tabs>
              <w:snapToGrid w:val="0"/>
              <w:spacing w:line="360" w:lineRule="auto"/>
              <w:ind w:leftChars="-51" w:left="-107" w:rightChars="-51" w:right="-107"/>
              <w:jc w:val="right"/>
              <w:rPr>
                <w:rFonts w:asciiTheme="minorEastAsia" w:eastAsiaTheme="minorEastAsia" w:hAnsiTheme="minorEastAsia" w:cs="Courier New"/>
                <w:szCs w:val="21"/>
              </w:rPr>
            </w:pPr>
            <w:r w:rsidRPr="00960F82">
              <w:rPr>
                <w:rFonts w:asciiTheme="minorEastAsia" w:eastAsiaTheme="minorEastAsia" w:hAnsiTheme="minorEastAsia" w:hint="eastAsia"/>
                <w:szCs w:val="21"/>
              </w:rPr>
              <w:t>0.03%</w:t>
            </w:r>
          </w:p>
        </w:tc>
      </w:tr>
      <w:tr w:rsidR="00960F82" w:rsidRPr="00960F82" w:rsidTr="00D937F5">
        <w:trPr>
          <w:trHeight w:val="300"/>
        </w:trPr>
        <w:tc>
          <w:tcPr>
            <w:tcW w:w="1811" w:type="dxa"/>
            <w:vAlign w:val="center"/>
          </w:tcPr>
          <w:p w:rsidR="00A57C16" w:rsidRPr="00960F82" w:rsidRDefault="00A57C16" w:rsidP="00084917">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2012年1月1日至</w:t>
            </w:r>
            <w:r w:rsidR="00A05057" w:rsidRPr="00960F82">
              <w:rPr>
                <w:rFonts w:asciiTheme="minorEastAsia" w:eastAsiaTheme="minorEastAsia" w:hAnsiTheme="minorEastAsia" w:hint="eastAsia"/>
                <w:szCs w:val="21"/>
              </w:rPr>
              <w:t>2012年12</w:t>
            </w:r>
            <w:r w:rsidRPr="00960F82">
              <w:rPr>
                <w:rFonts w:asciiTheme="minorEastAsia" w:eastAsiaTheme="minorEastAsia" w:hAnsiTheme="minorEastAsia" w:hint="eastAsia"/>
                <w:szCs w:val="21"/>
              </w:rPr>
              <w:t>月</w:t>
            </w:r>
            <w:r w:rsidR="00A05057" w:rsidRPr="00960F82">
              <w:rPr>
                <w:rFonts w:asciiTheme="minorEastAsia" w:eastAsiaTheme="minorEastAsia" w:hAnsiTheme="minorEastAsia" w:hint="eastAsia"/>
                <w:szCs w:val="21"/>
              </w:rPr>
              <w:t>31</w:t>
            </w:r>
            <w:r w:rsidRPr="00960F82">
              <w:rPr>
                <w:rFonts w:asciiTheme="minorEastAsia" w:eastAsiaTheme="minorEastAsia" w:hAnsiTheme="minorEastAsia" w:hint="eastAsia"/>
                <w:szCs w:val="21"/>
              </w:rPr>
              <w:t>日</w:t>
            </w:r>
          </w:p>
        </w:tc>
        <w:tc>
          <w:tcPr>
            <w:tcW w:w="1024" w:type="dxa"/>
            <w:vAlign w:val="center"/>
          </w:tcPr>
          <w:p w:rsidR="00A57C16" w:rsidRPr="00960F82" w:rsidRDefault="001D3831"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2.87%</w:t>
            </w:r>
          </w:p>
        </w:tc>
        <w:tc>
          <w:tcPr>
            <w:tcW w:w="1050" w:type="dxa"/>
            <w:vAlign w:val="center"/>
          </w:tcPr>
          <w:p w:rsidR="00A57C16" w:rsidRPr="00960F82" w:rsidRDefault="001D3831"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1.15%</w:t>
            </w:r>
          </w:p>
        </w:tc>
        <w:tc>
          <w:tcPr>
            <w:tcW w:w="1155" w:type="dxa"/>
            <w:vAlign w:val="center"/>
          </w:tcPr>
          <w:p w:rsidR="00A57C16" w:rsidRPr="00960F82" w:rsidRDefault="001D3831" w:rsidP="00084917">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3.12%</w:t>
            </w:r>
          </w:p>
        </w:tc>
        <w:tc>
          <w:tcPr>
            <w:tcW w:w="1155" w:type="dxa"/>
            <w:vAlign w:val="center"/>
          </w:tcPr>
          <w:p w:rsidR="00A57C16" w:rsidRPr="00960F82" w:rsidRDefault="001D3831"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1.09%</w:t>
            </w:r>
          </w:p>
        </w:tc>
        <w:tc>
          <w:tcPr>
            <w:tcW w:w="1131" w:type="dxa"/>
            <w:vAlign w:val="center"/>
          </w:tcPr>
          <w:p w:rsidR="00A57C16" w:rsidRPr="00960F82" w:rsidRDefault="001D3831"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-0.25%</w:t>
            </w:r>
          </w:p>
        </w:tc>
        <w:tc>
          <w:tcPr>
            <w:tcW w:w="1026" w:type="dxa"/>
            <w:vAlign w:val="center"/>
          </w:tcPr>
          <w:p w:rsidR="00A57C16" w:rsidRPr="00960F82" w:rsidRDefault="001D3831"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0.06%</w:t>
            </w:r>
          </w:p>
        </w:tc>
      </w:tr>
      <w:tr w:rsidR="00960F82" w:rsidRPr="00960F82" w:rsidTr="00D937F5">
        <w:trPr>
          <w:trHeight w:val="300"/>
        </w:trPr>
        <w:tc>
          <w:tcPr>
            <w:tcW w:w="1811" w:type="dxa"/>
            <w:vAlign w:val="center"/>
          </w:tcPr>
          <w:p w:rsidR="00AF0F94" w:rsidRPr="00960F82" w:rsidRDefault="00AF0F94" w:rsidP="00084917">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2013年1月1日至2013年12月31日</w:t>
            </w:r>
          </w:p>
        </w:tc>
        <w:tc>
          <w:tcPr>
            <w:tcW w:w="1024" w:type="dxa"/>
            <w:vAlign w:val="center"/>
          </w:tcPr>
          <w:p w:rsidR="00AF0F94" w:rsidRPr="00960F82" w:rsidRDefault="00AF0F94"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18.27%</w:t>
            </w:r>
          </w:p>
        </w:tc>
        <w:tc>
          <w:tcPr>
            <w:tcW w:w="1050" w:type="dxa"/>
            <w:vAlign w:val="center"/>
          </w:tcPr>
          <w:p w:rsidR="00AF0F94" w:rsidRPr="00960F82" w:rsidRDefault="00AF0F94"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1.28%</w:t>
            </w:r>
          </w:p>
        </w:tc>
        <w:tc>
          <w:tcPr>
            <w:tcW w:w="1155" w:type="dxa"/>
            <w:vAlign w:val="center"/>
          </w:tcPr>
          <w:p w:rsidR="00AF0F94" w:rsidRPr="00960F82" w:rsidRDefault="00AF0F94" w:rsidP="00084917">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-6.80%</w:t>
            </w:r>
          </w:p>
        </w:tc>
        <w:tc>
          <w:tcPr>
            <w:tcW w:w="1155" w:type="dxa"/>
            <w:vAlign w:val="center"/>
          </w:tcPr>
          <w:p w:rsidR="00AF0F94" w:rsidRPr="00960F82" w:rsidRDefault="00AF0F94"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1.16%</w:t>
            </w:r>
          </w:p>
        </w:tc>
        <w:tc>
          <w:tcPr>
            <w:tcW w:w="1131" w:type="dxa"/>
            <w:vAlign w:val="center"/>
          </w:tcPr>
          <w:p w:rsidR="00AF0F94" w:rsidRPr="00960F82" w:rsidRDefault="00AF0F94"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25.07%</w:t>
            </w:r>
          </w:p>
        </w:tc>
        <w:tc>
          <w:tcPr>
            <w:tcW w:w="1026" w:type="dxa"/>
            <w:vAlign w:val="center"/>
          </w:tcPr>
          <w:p w:rsidR="00AF0F94" w:rsidRPr="00960F82" w:rsidRDefault="00AF0F94"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0.12%</w:t>
            </w:r>
          </w:p>
        </w:tc>
      </w:tr>
      <w:tr w:rsidR="00960F82" w:rsidRPr="00960F82" w:rsidTr="00D937F5">
        <w:trPr>
          <w:trHeight w:val="300"/>
        </w:trPr>
        <w:tc>
          <w:tcPr>
            <w:tcW w:w="1811" w:type="dxa"/>
            <w:vAlign w:val="center"/>
          </w:tcPr>
          <w:p w:rsidR="00BB1C18" w:rsidRPr="00960F82" w:rsidRDefault="00BB1C18" w:rsidP="00084917">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2014年1月1日至2014年12月31日</w:t>
            </w:r>
          </w:p>
        </w:tc>
        <w:tc>
          <w:tcPr>
            <w:tcW w:w="1024" w:type="dxa"/>
            <w:vAlign w:val="center"/>
          </w:tcPr>
          <w:p w:rsidR="00BB1C18" w:rsidRPr="00960F82" w:rsidRDefault="00E874AF"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-0.33%</w:t>
            </w:r>
          </w:p>
        </w:tc>
        <w:tc>
          <w:tcPr>
            <w:tcW w:w="1050" w:type="dxa"/>
            <w:vAlign w:val="center"/>
          </w:tcPr>
          <w:p w:rsidR="00BB1C18" w:rsidRPr="00960F82" w:rsidRDefault="00E874AF"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1.10%</w:t>
            </w:r>
          </w:p>
        </w:tc>
        <w:tc>
          <w:tcPr>
            <w:tcW w:w="1155" w:type="dxa"/>
            <w:vAlign w:val="center"/>
          </w:tcPr>
          <w:p w:rsidR="00BB1C18" w:rsidRPr="00960F82" w:rsidRDefault="00E874AF" w:rsidP="00084917">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53.06%</w:t>
            </w:r>
          </w:p>
        </w:tc>
        <w:tc>
          <w:tcPr>
            <w:tcW w:w="1155" w:type="dxa"/>
            <w:vAlign w:val="center"/>
          </w:tcPr>
          <w:p w:rsidR="00BB1C18" w:rsidRPr="00960F82" w:rsidRDefault="00E874AF"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1.09%</w:t>
            </w:r>
          </w:p>
        </w:tc>
        <w:tc>
          <w:tcPr>
            <w:tcW w:w="1131" w:type="dxa"/>
            <w:vAlign w:val="center"/>
          </w:tcPr>
          <w:p w:rsidR="00BB1C18" w:rsidRPr="00960F82" w:rsidRDefault="00E874AF"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-53.39%</w:t>
            </w:r>
          </w:p>
        </w:tc>
        <w:tc>
          <w:tcPr>
            <w:tcW w:w="1026" w:type="dxa"/>
            <w:vAlign w:val="center"/>
          </w:tcPr>
          <w:p w:rsidR="00BB1C18" w:rsidRPr="00960F82" w:rsidRDefault="00E874AF"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0.01%</w:t>
            </w:r>
          </w:p>
        </w:tc>
      </w:tr>
      <w:tr w:rsidR="00960F82" w:rsidRPr="00960F82" w:rsidTr="00D937F5">
        <w:trPr>
          <w:trHeight w:val="300"/>
        </w:trPr>
        <w:tc>
          <w:tcPr>
            <w:tcW w:w="1811" w:type="dxa"/>
            <w:vAlign w:val="center"/>
          </w:tcPr>
          <w:p w:rsidR="00D267BA" w:rsidRPr="00960F82" w:rsidRDefault="00D267BA" w:rsidP="00084917">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2015年1月1日至2015年12月31日</w:t>
            </w:r>
          </w:p>
        </w:tc>
        <w:tc>
          <w:tcPr>
            <w:tcW w:w="1024" w:type="dxa"/>
            <w:vAlign w:val="center"/>
          </w:tcPr>
          <w:p w:rsidR="00D267BA" w:rsidRPr="00960F82" w:rsidRDefault="00D267BA"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24.58%</w:t>
            </w:r>
          </w:p>
        </w:tc>
        <w:tc>
          <w:tcPr>
            <w:tcW w:w="1050" w:type="dxa"/>
            <w:vAlign w:val="center"/>
          </w:tcPr>
          <w:p w:rsidR="00D267BA" w:rsidRPr="00960F82" w:rsidRDefault="00D267BA"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2.75%</w:t>
            </w:r>
          </w:p>
        </w:tc>
        <w:tc>
          <w:tcPr>
            <w:tcW w:w="1155" w:type="dxa"/>
            <w:vAlign w:val="center"/>
          </w:tcPr>
          <w:p w:rsidR="00D267BA" w:rsidRPr="00960F82" w:rsidRDefault="00D267BA" w:rsidP="00084917">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9.29%</w:t>
            </w:r>
          </w:p>
        </w:tc>
        <w:tc>
          <w:tcPr>
            <w:tcW w:w="1155" w:type="dxa"/>
            <w:vAlign w:val="center"/>
          </w:tcPr>
          <w:p w:rsidR="00D267BA" w:rsidRPr="00960F82" w:rsidRDefault="00D267BA"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2.45%</w:t>
            </w:r>
          </w:p>
        </w:tc>
        <w:tc>
          <w:tcPr>
            <w:tcW w:w="1131" w:type="dxa"/>
            <w:vAlign w:val="center"/>
          </w:tcPr>
          <w:p w:rsidR="00D267BA" w:rsidRPr="00960F82" w:rsidRDefault="00D267BA"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15.29%</w:t>
            </w:r>
          </w:p>
        </w:tc>
        <w:tc>
          <w:tcPr>
            <w:tcW w:w="1026" w:type="dxa"/>
            <w:vAlign w:val="center"/>
          </w:tcPr>
          <w:p w:rsidR="00D267BA" w:rsidRPr="00960F82" w:rsidRDefault="00D267BA" w:rsidP="00084917">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0.30%</w:t>
            </w:r>
          </w:p>
        </w:tc>
      </w:tr>
      <w:tr w:rsidR="00960F82" w:rsidRPr="00960F82" w:rsidTr="00AE562A">
        <w:trPr>
          <w:trHeight w:val="300"/>
        </w:trPr>
        <w:tc>
          <w:tcPr>
            <w:tcW w:w="1811"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rsidP="00AE562A">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2016年1月1日至2016年12月31日</w:t>
            </w:r>
          </w:p>
        </w:tc>
        <w:tc>
          <w:tcPr>
            <w:tcW w:w="1024"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-4.85%</w:t>
            </w:r>
          </w:p>
        </w:tc>
        <w:tc>
          <w:tcPr>
            <w:tcW w:w="1050"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1.61%</w:t>
            </w:r>
          </w:p>
        </w:tc>
        <w:tc>
          <w:tcPr>
            <w:tcW w:w="1155"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rsidP="00AE562A">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-12.28%</w:t>
            </w:r>
          </w:p>
        </w:tc>
        <w:tc>
          <w:tcPr>
            <w:tcW w:w="1155"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1.45%</w:t>
            </w:r>
          </w:p>
        </w:tc>
        <w:tc>
          <w:tcPr>
            <w:tcW w:w="1131"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7.43%</w:t>
            </w:r>
          </w:p>
        </w:tc>
        <w:tc>
          <w:tcPr>
            <w:tcW w:w="1026" w:type="dxa"/>
            <w:tcBorders>
              <w:top w:val="single" w:sz="4" w:space="0" w:color="auto"/>
              <w:left w:val="single" w:sz="4" w:space="0" w:color="auto"/>
              <w:bottom w:val="single" w:sz="4" w:space="0" w:color="auto"/>
              <w:right w:val="single" w:sz="4" w:space="0" w:color="auto"/>
            </w:tcBorders>
            <w:vAlign w:val="center"/>
          </w:tcPr>
          <w:p w:rsidR="00AE562A" w:rsidRPr="00960F82" w:rsidRDefault="00AE562A">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hint="eastAsia"/>
                <w:szCs w:val="21"/>
              </w:rPr>
              <w:t>0.16%</w:t>
            </w:r>
          </w:p>
        </w:tc>
      </w:tr>
      <w:tr w:rsidR="00960F82" w:rsidRPr="00960F82" w:rsidTr="00AE562A">
        <w:trPr>
          <w:trHeight w:val="300"/>
        </w:trPr>
        <w:tc>
          <w:tcPr>
            <w:tcW w:w="1811"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hint="eastAsia"/>
                <w:szCs w:val="21"/>
              </w:rPr>
              <w:t>2017年1月1日至2017年</w:t>
            </w:r>
            <w:r w:rsidRPr="00960F82">
              <w:rPr>
                <w:rFonts w:asciiTheme="minorEastAsia" w:eastAsiaTheme="minorEastAsia" w:hAnsiTheme="minorEastAsia"/>
                <w:szCs w:val="21"/>
              </w:rPr>
              <w:t>12</w:t>
            </w:r>
            <w:r w:rsidRPr="00960F82">
              <w:rPr>
                <w:rFonts w:asciiTheme="minorEastAsia" w:eastAsiaTheme="minorEastAsia" w:hAnsiTheme="minorEastAsia" w:hint="eastAsia"/>
                <w:szCs w:val="21"/>
              </w:rPr>
              <w:t>月</w:t>
            </w:r>
            <w:r w:rsidRPr="00960F82">
              <w:rPr>
                <w:rFonts w:asciiTheme="minorEastAsia" w:eastAsiaTheme="minorEastAsia" w:hAnsiTheme="minorEastAsia"/>
                <w:szCs w:val="21"/>
              </w:rPr>
              <w:t>31</w:t>
            </w:r>
            <w:r w:rsidRPr="00960F82">
              <w:rPr>
                <w:rFonts w:asciiTheme="minorEastAsia" w:eastAsiaTheme="minorEastAsia" w:hAnsiTheme="minorEastAsia" w:hint="eastAsia"/>
                <w:szCs w:val="21"/>
              </w:rPr>
              <w:t>日</w:t>
            </w:r>
          </w:p>
        </w:tc>
        <w:tc>
          <w:tcPr>
            <w:tcW w:w="1024"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19.87%</w:t>
            </w:r>
          </w:p>
        </w:tc>
        <w:tc>
          <w:tcPr>
            <w:tcW w:w="1050"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0.84%</w:t>
            </w:r>
          </w:p>
        </w:tc>
        <w:tc>
          <w:tcPr>
            <w:tcW w:w="1155"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6.58%</w:t>
            </w:r>
          </w:p>
        </w:tc>
        <w:tc>
          <w:tcPr>
            <w:tcW w:w="1155"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0.55%</w:t>
            </w:r>
          </w:p>
        </w:tc>
        <w:tc>
          <w:tcPr>
            <w:tcW w:w="1131"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13.29%</w:t>
            </w:r>
          </w:p>
        </w:tc>
        <w:tc>
          <w:tcPr>
            <w:tcW w:w="1026" w:type="dxa"/>
            <w:tcBorders>
              <w:top w:val="single" w:sz="4" w:space="0" w:color="auto"/>
              <w:left w:val="single" w:sz="4" w:space="0" w:color="auto"/>
              <w:bottom w:val="single" w:sz="4" w:space="0" w:color="auto"/>
              <w:right w:val="single" w:sz="4" w:space="0" w:color="auto"/>
            </w:tcBorders>
            <w:vAlign w:val="center"/>
          </w:tcPr>
          <w:p w:rsidR="00934B5C" w:rsidRPr="00960F82" w:rsidRDefault="00934B5C" w:rsidP="00934B5C">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0.29%</w:t>
            </w:r>
          </w:p>
        </w:tc>
      </w:tr>
      <w:tr w:rsidR="00960F82" w:rsidRPr="00960F82" w:rsidTr="009625B4">
        <w:trPr>
          <w:trHeight w:val="300"/>
        </w:trPr>
        <w:tc>
          <w:tcPr>
            <w:tcW w:w="1811"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szCs w:val="21"/>
              </w:rPr>
              <w:t>2018年1月1日至2018年12月31日</w:t>
            </w:r>
          </w:p>
        </w:tc>
        <w:tc>
          <w:tcPr>
            <w:tcW w:w="1024"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-28.33%</w:t>
            </w:r>
          </w:p>
        </w:tc>
        <w:tc>
          <w:tcPr>
            <w:tcW w:w="1050"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1.37%</w:t>
            </w:r>
          </w:p>
        </w:tc>
        <w:tc>
          <w:tcPr>
            <w:tcW w:w="1155"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-24.60%</w:t>
            </w:r>
          </w:p>
        </w:tc>
        <w:tc>
          <w:tcPr>
            <w:tcW w:w="1155"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1.23%</w:t>
            </w:r>
          </w:p>
        </w:tc>
        <w:tc>
          <w:tcPr>
            <w:tcW w:w="1131"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-3.73%</w:t>
            </w:r>
          </w:p>
        </w:tc>
        <w:tc>
          <w:tcPr>
            <w:tcW w:w="1026" w:type="dxa"/>
            <w:tcBorders>
              <w:top w:val="single" w:sz="4" w:space="0" w:color="auto"/>
              <w:left w:val="single" w:sz="4" w:space="0" w:color="auto"/>
              <w:bottom w:val="single" w:sz="4" w:space="0" w:color="auto"/>
              <w:right w:val="single" w:sz="4" w:space="0" w:color="auto"/>
            </w:tcBorders>
            <w:vAlign w:val="center"/>
          </w:tcPr>
          <w:p w:rsidR="00F7389D" w:rsidRPr="00960F82" w:rsidRDefault="00F7389D" w:rsidP="00F7389D">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szCs w:val="21"/>
              </w:rPr>
              <w:t>0.14%</w:t>
            </w:r>
          </w:p>
        </w:tc>
      </w:tr>
      <w:tr w:rsidR="00960F82" w:rsidRPr="00960F82" w:rsidTr="00960F82">
        <w:trPr>
          <w:trHeight w:val="300"/>
        </w:trPr>
        <w:tc>
          <w:tcPr>
            <w:tcW w:w="1811"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leftChars="-51" w:left="-107" w:rightChars="-51" w:right="-107"/>
              <w:rPr>
                <w:rFonts w:asciiTheme="minorEastAsia" w:eastAsiaTheme="minorEastAsia" w:hAnsiTheme="minorEastAsia"/>
                <w:szCs w:val="21"/>
              </w:rPr>
            </w:pPr>
            <w:r w:rsidRPr="00960F82">
              <w:rPr>
                <w:rFonts w:asciiTheme="minorEastAsia" w:eastAsiaTheme="minorEastAsia" w:hAnsiTheme="minorEastAsia"/>
                <w:szCs w:val="21"/>
              </w:rPr>
              <w:t>2019年1月1日至2019年12月31日</w:t>
            </w:r>
          </w:p>
        </w:tc>
        <w:tc>
          <w:tcPr>
            <w:tcW w:w="1024"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rPr>
              <w:t>40.23%</w:t>
            </w:r>
          </w:p>
        </w:tc>
        <w:tc>
          <w:tcPr>
            <w:tcW w:w="1050"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rPr>
              <w:t>1.15%</w:t>
            </w:r>
          </w:p>
        </w:tc>
        <w:tc>
          <w:tcPr>
            <w:tcW w:w="1155"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rightChars="-51" w:right="-107"/>
              <w:jc w:val="right"/>
              <w:rPr>
                <w:rFonts w:asciiTheme="minorEastAsia" w:eastAsiaTheme="minorEastAsia" w:hAnsiTheme="minorEastAsia"/>
                <w:szCs w:val="21"/>
              </w:rPr>
            </w:pPr>
            <w:r w:rsidRPr="00960F82">
              <w:rPr>
                <w:rFonts w:asciiTheme="minorEastAsia" w:eastAsiaTheme="minorEastAsia" w:hAnsiTheme="minorEastAsia"/>
              </w:rPr>
              <w:t>22.39%</w:t>
            </w:r>
          </w:p>
        </w:tc>
        <w:tc>
          <w:tcPr>
            <w:tcW w:w="1155"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rPr>
              <w:t>1.14%</w:t>
            </w:r>
          </w:p>
        </w:tc>
        <w:tc>
          <w:tcPr>
            <w:tcW w:w="1131"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rPr>
              <w:t>17.84%</w:t>
            </w:r>
          </w:p>
        </w:tc>
        <w:tc>
          <w:tcPr>
            <w:tcW w:w="1026" w:type="dxa"/>
            <w:tcBorders>
              <w:top w:val="single" w:sz="4" w:space="0" w:color="auto"/>
              <w:left w:val="single" w:sz="4" w:space="0" w:color="auto"/>
              <w:bottom w:val="single" w:sz="4" w:space="0" w:color="auto"/>
              <w:right w:val="single" w:sz="4" w:space="0" w:color="auto"/>
            </w:tcBorders>
            <w:vAlign w:val="center"/>
          </w:tcPr>
          <w:p w:rsidR="00960F82" w:rsidRPr="00960F82" w:rsidRDefault="00960F82" w:rsidP="00960F82">
            <w:pPr>
              <w:tabs>
                <w:tab w:val="left" w:pos="5400"/>
              </w:tabs>
              <w:snapToGrid w:val="0"/>
              <w:spacing w:line="360" w:lineRule="auto"/>
              <w:ind w:leftChars="-51" w:left="-107" w:rightChars="-51" w:right="-107"/>
              <w:jc w:val="right"/>
              <w:rPr>
                <w:rFonts w:asciiTheme="minorEastAsia" w:eastAsiaTheme="minorEastAsia" w:hAnsiTheme="minorEastAsia"/>
                <w:szCs w:val="21"/>
              </w:rPr>
            </w:pPr>
            <w:r w:rsidRPr="00960F82">
              <w:rPr>
                <w:rFonts w:asciiTheme="minorEastAsia" w:eastAsiaTheme="minorEastAsia" w:hAnsiTheme="minorEastAsia"/>
              </w:rPr>
              <w:t>0.01%</w:t>
            </w:r>
          </w:p>
        </w:tc>
      </w:tr>
    </w:tbl>
    <w:p w:rsidR="00750981" w:rsidRPr="00960F82" w:rsidRDefault="00750981" w:rsidP="00084917">
      <w:pPr>
        <w:snapToGrid w:val="0"/>
        <w:spacing w:line="360" w:lineRule="auto"/>
        <w:ind w:firstLine="181"/>
        <w:rPr>
          <w:rFonts w:asciiTheme="minorEastAsia" w:eastAsiaTheme="minorEastAsia" w:hAnsiTheme="minorEastAsia"/>
        </w:rPr>
        <w:sectPr w:rsidR="00750981" w:rsidRPr="00960F82" w:rsidSect="005E306A">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66" w:name="_Toc92774756"/>
      <w:bookmarkStart w:id="67" w:name="_Toc30161796"/>
      <w:r w:rsidRPr="00960F82">
        <w:rPr>
          <w:rFonts w:asciiTheme="minorEastAsia" w:eastAsiaTheme="minorEastAsia" w:hAnsiTheme="minorEastAsia" w:hint="eastAsia"/>
          <w:b/>
        </w:rPr>
        <w:lastRenderedPageBreak/>
        <w:t>十、基金的财产</w:t>
      </w:r>
      <w:bookmarkEnd w:id="66"/>
      <w:bookmarkEnd w:id="67"/>
    </w:p>
    <w:p w:rsidR="001D2E2F" w:rsidRPr="00960F82" w:rsidRDefault="001D2E2F" w:rsidP="007F114F">
      <w:pPr>
        <w:numPr>
          <w:ilvl w:val="0"/>
          <w:numId w:val="25"/>
        </w:numPr>
        <w:autoSpaceDE w:val="0"/>
        <w:autoSpaceDN w:val="0"/>
        <w:adjustRightInd w:val="0"/>
        <w:snapToGrid w:val="0"/>
        <w:spacing w:line="360" w:lineRule="auto"/>
        <w:rPr>
          <w:rFonts w:asciiTheme="minorEastAsia" w:eastAsiaTheme="minorEastAsia" w:hAnsiTheme="minorEastAsia"/>
          <w:b/>
          <w:bCs/>
        </w:rPr>
      </w:pPr>
      <w:r w:rsidRPr="00960F82">
        <w:rPr>
          <w:rFonts w:asciiTheme="minorEastAsia" w:eastAsiaTheme="minorEastAsia" w:hAnsiTheme="minorEastAsia" w:hint="eastAsia"/>
          <w:b/>
          <w:bCs/>
        </w:rPr>
        <w:t>基金财产的构成</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基金资产总值是指所购买的各类证券价值、银行存款本息和基金应收的申购基金款以及其他投资所形成的价值总和。基金资产净值是指基金资产总值减去负债后的价值。</w:t>
      </w:r>
    </w:p>
    <w:p w:rsidR="001D2E2F" w:rsidRPr="00960F82" w:rsidRDefault="001D2E2F" w:rsidP="007F114F">
      <w:pPr>
        <w:numPr>
          <w:ilvl w:val="0"/>
          <w:numId w:val="25"/>
        </w:numPr>
        <w:autoSpaceDE w:val="0"/>
        <w:autoSpaceDN w:val="0"/>
        <w:adjustRightInd w:val="0"/>
        <w:snapToGrid w:val="0"/>
        <w:spacing w:line="360" w:lineRule="auto"/>
        <w:rPr>
          <w:rFonts w:asciiTheme="minorEastAsia" w:eastAsiaTheme="minorEastAsia" w:hAnsiTheme="minorEastAsia"/>
          <w:b/>
          <w:bCs/>
        </w:rPr>
      </w:pPr>
      <w:r w:rsidRPr="00960F82">
        <w:rPr>
          <w:rFonts w:asciiTheme="minorEastAsia" w:eastAsiaTheme="minorEastAsia" w:hAnsiTheme="minorEastAsia" w:hint="eastAsia"/>
          <w:b/>
          <w:bCs/>
        </w:rPr>
        <w:t>基金财产的账户</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本基金按有关规定开立基金专用银行存款账户以及证券账户，</w:t>
      </w:r>
      <w:r w:rsidRPr="00960F82">
        <w:rPr>
          <w:rFonts w:asciiTheme="minorEastAsia" w:eastAsiaTheme="minorEastAsia" w:hAnsiTheme="minorEastAsia"/>
          <w:szCs w:val="21"/>
        </w:rPr>
        <w:t>与基金管理人、基金托管人、基金</w:t>
      </w:r>
      <w:r w:rsidR="0004048E" w:rsidRPr="00960F82">
        <w:rPr>
          <w:rFonts w:asciiTheme="minorEastAsia" w:eastAsiaTheme="minorEastAsia" w:hAnsiTheme="minorEastAsia" w:hint="eastAsia"/>
          <w:szCs w:val="21"/>
        </w:rPr>
        <w:t>销售</w:t>
      </w:r>
      <w:r w:rsidRPr="00960F82">
        <w:rPr>
          <w:rFonts w:asciiTheme="minorEastAsia" w:eastAsiaTheme="minorEastAsia" w:hAnsiTheme="minorEastAsia"/>
          <w:szCs w:val="21"/>
        </w:rPr>
        <w:t>机构、</w:t>
      </w:r>
      <w:r w:rsidRPr="00960F82">
        <w:rPr>
          <w:rFonts w:asciiTheme="minorEastAsia" w:eastAsiaTheme="minorEastAsia" w:hAnsiTheme="minorEastAsia" w:hint="eastAsia"/>
          <w:szCs w:val="21"/>
        </w:rPr>
        <w:t>基金注册登记机构</w:t>
      </w:r>
      <w:r w:rsidRPr="00960F82">
        <w:rPr>
          <w:rFonts w:asciiTheme="minorEastAsia" w:eastAsiaTheme="minorEastAsia" w:hAnsiTheme="minorEastAsia"/>
          <w:szCs w:val="21"/>
        </w:rPr>
        <w:t>自有的</w:t>
      </w:r>
      <w:r w:rsidRPr="00960F82">
        <w:rPr>
          <w:rFonts w:asciiTheme="minorEastAsia" w:eastAsiaTheme="minorEastAsia" w:hAnsiTheme="minorEastAsia" w:hint="eastAsia"/>
          <w:szCs w:val="21"/>
        </w:rPr>
        <w:t>财</w:t>
      </w:r>
      <w:r w:rsidRPr="00960F82">
        <w:rPr>
          <w:rFonts w:asciiTheme="minorEastAsia" w:eastAsiaTheme="minorEastAsia" w:hAnsiTheme="minorEastAsia"/>
          <w:szCs w:val="21"/>
        </w:rPr>
        <w:t>产账户以及其它基金</w:t>
      </w:r>
      <w:r w:rsidRPr="00960F82">
        <w:rPr>
          <w:rFonts w:asciiTheme="minorEastAsia" w:eastAsiaTheme="minorEastAsia" w:hAnsiTheme="minorEastAsia" w:hint="eastAsia"/>
          <w:szCs w:val="21"/>
        </w:rPr>
        <w:t>财</w:t>
      </w:r>
      <w:r w:rsidRPr="00960F82">
        <w:rPr>
          <w:rFonts w:asciiTheme="minorEastAsia" w:eastAsiaTheme="minorEastAsia" w:hAnsiTheme="minorEastAsia"/>
          <w:szCs w:val="21"/>
        </w:rPr>
        <w:t>产账户相互独立。</w:t>
      </w:r>
    </w:p>
    <w:p w:rsidR="001D2E2F" w:rsidRPr="00960F82" w:rsidRDefault="001D2E2F" w:rsidP="007F114F">
      <w:pPr>
        <w:numPr>
          <w:ilvl w:val="0"/>
          <w:numId w:val="25"/>
        </w:numPr>
        <w:autoSpaceDE w:val="0"/>
        <w:autoSpaceDN w:val="0"/>
        <w:adjustRightInd w:val="0"/>
        <w:snapToGrid w:val="0"/>
        <w:spacing w:line="360" w:lineRule="auto"/>
        <w:rPr>
          <w:rFonts w:asciiTheme="minorEastAsia" w:eastAsiaTheme="minorEastAsia" w:hAnsiTheme="minorEastAsia"/>
          <w:b/>
          <w:bCs/>
        </w:rPr>
      </w:pPr>
      <w:r w:rsidRPr="00960F82">
        <w:rPr>
          <w:rFonts w:asciiTheme="minorEastAsia" w:eastAsiaTheme="minorEastAsia" w:hAnsiTheme="minorEastAsia" w:hint="eastAsia"/>
          <w:b/>
          <w:bCs/>
        </w:rPr>
        <w:t>基金财产的保管与处分</w:t>
      </w:r>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rPr>
        <w:t>本基金财产独立于基金管理人、基金托管人的固有财产，并由基金托管人保管。</w:t>
      </w:r>
      <w:r w:rsidRPr="00960F82">
        <w:rPr>
          <w:rFonts w:asciiTheme="minorEastAsia" w:eastAsiaTheme="minorEastAsia" w:hAnsiTheme="minorEastAsia" w:hint="eastAsia"/>
          <w:szCs w:val="21"/>
        </w:rPr>
        <w:t>基金管理人、基金托管人不得将基金财产归入其固有财产；基金管理人、基金托管人因基金财产的管理、运用或其他情形而取得的财产和收益，归入基金财产。</w:t>
      </w:r>
      <w:r w:rsidRPr="00960F82">
        <w:rPr>
          <w:rFonts w:asciiTheme="minorEastAsia" w:eastAsiaTheme="minorEastAsia" w:hAnsiTheme="minorEastAsia" w:hint="eastAsia"/>
        </w:rPr>
        <w:t>基金管理人、基金托管人以其自有的财产承担自身相应的法律责任，其债权人不得对基金财产行使请求冻结、扣押或其他权利。</w:t>
      </w:r>
      <w:r w:rsidRPr="00960F82">
        <w:rPr>
          <w:rFonts w:asciiTheme="minorEastAsia" w:eastAsiaTheme="minorEastAsia" w:hAnsiTheme="minorEastAsia" w:hint="eastAsia"/>
          <w:szCs w:val="21"/>
        </w:rPr>
        <w:t>基金管理人、基金托管人因依法解散、被依法撤消或被依法宣告破产等原因进行清算的，基金财产不属于其清算财产。非因基金财产本身承担的债务不得对基金财产强制执行。除依据《基金法》、《运作办法》、基金合同及其他有关规定处分外，基金财产不得被处分。</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基金管理人管理运作基金财产所产生的债权，不得与其固有资产产生的债务相互抵消；基金管理人管理运作不同基金的基金财产所产生的债权债务不得相互抵消。</w:t>
      </w:r>
    </w:p>
    <w:p w:rsidR="001D2E2F" w:rsidRPr="00960F82" w:rsidRDefault="001D2E2F" w:rsidP="00084917">
      <w:pPr>
        <w:snapToGrid w:val="0"/>
        <w:spacing w:line="360" w:lineRule="auto"/>
        <w:ind w:firstLine="420"/>
        <w:rPr>
          <w:rFonts w:asciiTheme="minorEastAsia" w:eastAsiaTheme="minorEastAsia" w:hAnsiTheme="minorEastAsia"/>
        </w:rPr>
      </w:pPr>
    </w:p>
    <w:p w:rsidR="006F79CF" w:rsidRPr="00960F82" w:rsidRDefault="006F79CF" w:rsidP="00084917">
      <w:pPr>
        <w:snapToGrid w:val="0"/>
        <w:spacing w:line="360" w:lineRule="auto"/>
        <w:ind w:firstLine="420"/>
        <w:rPr>
          <w:rFonts w:asciiTheme="minorEastAsia" w:eastAsiaTheme="minorEastAsia" w:hAnsiTheme="minorEastAsia"/>
        </w:rPr>
      </w:pPr>
    </w:p>
    <w:p w:rsidR="006F79CF" w:rsidRPr="00960F82" w:rsidRDefault="006F79CF" w:rsidP="00084917">
      <w:pPr>
        <w:snapToGrid w:val="0"/>
        <w:spacing w:line="360" w:lineRule="auto"/>
        <w:ind w:firstLine="420"/>
        <w:rPr>
          <w:rFonts w:asciiTheme="minorEastAsia" w:eastAsiaTheme="minorEastAsia" w:hAnsiTheme="minorEastAsia"/>
        </w:rPr>
      </w:pPr>
    </w:p>
    <w:p w:rsidR="006F79CF" w:rsidRPr="00960F82" w:rsidRDefault="006F79CF" w:rsidP="00084917">
      <w:pPr>
        <w:snapToGrid w:val="0"/>
        <w:spacing w:line="360" w:lineRule="auto"/>
        <w:ind w:firstLine="420"/>
        <w:rPr>
          <w:rFonts w:asciiTheme="minorEastAsia" w:eastAsiaTheme="minorEastAsia" w:hAnsiTheme="minorEastAsia"/>
        </w:rPr>
      </w:pPr>
    </w:p>
    <w:p w:rsidR="002A707B" w:rsidRPr="00960F82" w:rsidRDefault="002A707B">
      <w:pPr>
        <w:widowControl/>
        <w:jc w:val="left"/>
        <w:rPr>
          <w:rFonts w:asciiTheme="minorEastAsia" w:eastAsiaTheme="minorEastAsia" w:hAnsiTheme="minorEastAsia"/>
        </w:rPr>
      </w:pPr>
      <w:r w:rsidRPr="00960F82">
        <w:rPr>
          <w:rFonts w:asciiTheme="minorEastAsia" w:eastAsiaTheme="minorEastAsia" w:hAnsiTheme="minorEastAsia"/>
        </w:rPr>
        <w:br w:type="page"/>
      </w: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rPr>
      </w:pPr>
      <w:bookmarkStart w:id="68" w:name="_Toc92774757"/>
      <w:bookmarkStart w:id="69" w:name="_Toc30161797"/>
      <w:r w:rsidRPr="00960F82">
        <w:rPr>
          <w:rFonts w:asciiTheme="minorEastAsia" w:eastAsiaTheme="minorEastAsia" w:hAnsiTheme="minorEastAsia" w:hint="eastAsia"/>
          <w:b/>
        </w:rPr>
        <w:lastRenderedPageBreak/>
        <w:t>十一、基金资产的估值</w:t>
      </w:r>
      <w:bookmarkEnd w:id="68"/>
      <w:bookmarkEnd w:id="69"/>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0" w:name="_Toc30161798"/>
      <w:r w:rsidRPr="00960F82">
        <w:rPr>
          <w:rFonts w:asciiTheme="minorEastAsia" w:eastAsiaTheme="minorEastAsia" w:hAnsiTheme="minorEastAsia" w:hint="eastAsia"/>
          <w:szCs w:val="21"/>
        </w:rPr>
        <w:t>（一）估值目的</w:t>
      </w:r>
      <w:bookmarkEnd w:id="70"/>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基金估值的目的是为了准确、真实地反映基金相关金融资产和金融负债的公允价值。开放式基金份额申购、赎回价格应按基金估值后确定的基金份额净值计算。</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1" w:name="_Toc30161799"/>
      <w:r w:rsidRPr="00960F82">
        <w:rPr>
          <w:rFonts w:asciiTheme="minorEastAsia" w:eastAsiaTheme="minorEastAsia" w:hAnsiTheme="minorEastAsia" w:hint="eastAsia"/>
          <w:szCs w:val="21"/>
        </w:rPr>
        <w:t>（二）估值日</w:t>
      </w:r>
      <w:bookmarkEnd w:id="71"/>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本基金的估值日为上海和深圳证券交易所的交易日以及国家法律法规规定需要对外披露基金净值的非营业日。</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2" w:name="_Toc30161800"/>
      <w:r w:rsidRPr="00960F82">
        <w:rPr>
          <w:rFonts w:asciiTheme="minorEastAsia" w:eastAsiaTheme="minorEastAsia" w:hAnsiTheme="minorEastAsia" w:hint="eastAsia"/>
          <w:szCs w:val="21"/>
        </w:rPr>
        <w:t>（三）估值对象</w:t>
      </w:r>
      <w:bookmarkEnd w:id="72"/>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基金所持有的金融资产和金融负债</w:t>
      </w:r>
      <w:r w:rsidRPr="00960F82">
        <w:rPr>
          <w:rFonts w:asciiTheme="minorEastAsia" w:eastAsiaTheme="minorEastAsia" w:hAnsiTheme="minorEastAsia"/>
          <w:szCs w:val="21"/>
        </w:rPr>
        <w:t>。</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3" w:name="_Toc30161801"/>
      <w:r w:rsidRPr="00960F82">
        <w:rPr>
          <w:rFonts w:asciiTheme="minorEastAsia" w:eastAsiaTheme="minorEastAsia" w:hAnsiTheme="minorEastAsia" w:hint="eastAsia"/>
          <w:szCs w:val="21"/>
        </w:rPr>
        <w:t>（四）估值方法</w:t>
      </w:r>
      <w:bookmarkEnd w:id="73"/>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股票估值方法</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（1）上市流通股票的估值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上市流通股票按估值日其所在证券交易所的收盘价估值；估值日无交易的，以最近交易日的收盘价估值。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（2）未上市股票的估值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送股、转增股、配股和公开增发新股等发行未上市的股票，按估值日在交易所挂牌的同一股票的收盘价估值；估值日无交易的，以最近交易日的收盘价估值。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首次发行未上市的股票，采用估值技术确定公允价值，在估值技术难以可靠计量的情况下，按成本估值。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（3）有明确锁定期股票的估值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首次公开发行有明确锁定期的股票，同一股票在交易所上市后，按交易所上市的同一股票的收盘价估值；非公开发行且处于明确锁定期的股票，按监管机构或行业协会的有关规定确定公允价值。</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固定收益证券的估值办法</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（1）证券交易所市场实行净价交易的债券按估值日收盘净价估值，估值日没有交易的，按最近交易日的收盘净价估值。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（2）证券交易所市场未实行净价交易的债券按估值日收盘价减去债券收盘价中所含的债券应收利息得到的净价进行估值，估值日没有交易的，按有交易的最近交易日所采用的净价估值。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（3）未上市债券采用估值技术确定公允价值，在估值技术难以可靠计量的情况下，按成本估值。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（4）在银行间债券市场交易的债券、资产支持证券等固定收益品种，采用估值技术确定公允价值。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（5）交易所以大宗交易方式转让的资产支持证券，采用估值技术确定公允价值，在估值技术难以可靠计量公允价值的情况下，按成本进行后续计量。</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（6）同一债券同时在两个或两个以上市场交易的，按债券所处的市场分别估值。</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权证估值：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（1）配股权证的估值：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因持有股票而享有的配股权，采用估值技术进行估值。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（2）认沽/认购权证的估值：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从持有确认日起到卖出日或行权日止，上市交易的认沽/认购权证按估值日的收盘价估值，估值日没有交易的，按最近交易日的收盘价估值；未上市交易的认沽/认购权证采用估值技术确定公允价值，在估值技术难以可靠计量的情况下，按成本估值；停止交易、但未行权的权证，采用估值技术确定公允价值。</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其他资产按国家有关规定进行估值。</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在任何情况下，基金管理人采用上述1-4项规定的方法对基金财产进行估值，均应被认为采用了适当的估值方法。但是，如果基金管理人有充足的理由认为按上述方法对基金财产进行估值不能客观反映其公允价值的，基金管理人可在综合考虑市场成交价、市场报价、流动性、收益率曲线等多种因素的基础上与基金托管人商定后，按最能反映公允价值的价格估值。</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国家有最新规定的，按其规定进行估值。</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4" w:name="_Toc30161802"/>
      <w:r w:rsidRPr="00960F82">
        <w:rPr>
          <w:rFonts w:asciiTheme="minorEastAsia" w:eastAsiaTheme="minorEastAsia" w:hAnsiTheme="minorEastAsia" w:hint="eastAsia"/>
          <w:szCs w:val="21"/>
        </w:rPr>
        <w:t>（五）估值程序</w:t>
      </w:r>
      <w:bookmarkEnd w:id="74"/>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日常估值由基金管理人同基金托管人一同进行。基金份额净值由基金管理人完成估值后，将估值结果以书面形式报给基金托管人，基金托管人按《基金合同》规定的估值方法、时间、程序进行复核，基金托管人复核无误后盖章返回给基金管理人，由基金管理人对外公布。月末、年中和年末估值复核与基金会计账目的核对同时进行。</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5" w:name="_Toc30161803"/>
      <w:r w:rsidRPr="00960F82">
        <w:rPr>
          <w:rFonts w:asciiTheme="minorEastAsia" w:eastAsiaTheme="minorEastAsia" w:hAnsiTheme="minorEastAsia" w:hint="eastAsia"/>
          <w:szCs w:val="21"/>
        </w:rPr>
        <w:t>（六）暂停估值的情形</w:t>
      </w:r>
      <w:bookmarkEnd w:id="75"/>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基金投资所涉及的证券交易所遇法定节假日或因其他原因暂停营业时；</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因不可抗力或其他情形致使基金管理人、基金托管人无法准确评估基金财产价值时；</w:t>
      </w:r>
    </w:p>
    <w:p w:rsidR="0071674B"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71674B" w:rsidRPr="00960F82">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当前一估值日基金资产净值50%以上的资产出现无可参考的活跃市场价格且采用估值技术仍导致公允价值存在重大不确定性时，经与基金托管人协商一致并暂停估值时；</w:t>
      </w:r>
    </w:p>
    <w:p w:rsidR="001D2E2F" w:rsidRPr="00960F82" w:rsidRDefault="0071674B"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Pr="00960F82">
        <w:rPr>
          <w:rFonts w:asciiTheme="minorEastAsia" w:eastAsiaTheme="minorEastAsia" w:hAnsiTheme="minorEastAsia"/>
          <w:szCs w:val="21"/>
        </w:rPr>
        <w:t>、</w:t>
      </w:r>
      <w:r w:rsidR="001D2E2F" w:rsidRPr="00960F82">
        <w:rPr>
          <w:rFonts w:asciiTheme="minorEastAsia" w:eastAsiaTheme="minorEastAsia" w:hAnsiTheme="minorEastAsia" w:hint="eastAsia"/>
          <w:szCs w:val="21"/>
        </w:rPr>
        <w:t>中国证监会认定的其他情形。</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6" w:name="_Toc30161804"/>
      <w:r w:rsidRPr="00960F82">
        <w:rPr>
          <w:rFonts w:asciiTheme="minorEastAsia" w:eastAsiaTheme="minorEastAsia" w:hAnsiTheme="minorEastAsia" w:hint="eastAsia"/>
          <w:szCs w:val="21"/>
        </w:rPr>
        <w:t>（七）基金份额净值的确认</w:t>
      </w:r>
      <w:bookmarkEnd w:id="76"/>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用于基金信息披露的基金份额净值由基金管理人负责计算，基金托管人进行复核。基金管理人应于每个工作日交易结束后计算当日的基金份额净值并发送给基金托管人。基金托管人对净值计算结果复核确认后发送给基金管理人，由基金管理人对基金份额净值予以公布。</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基金份额净值的计算精确到0.0001元，小数点后第五位四舍五入。国家另有规定的，</w:t>
      </w:r>
      <w:r w:rsidRPr="00960F82">
        <w:rPr>
          <w:rFonts w:asciiTheme="minorEastAsia" w:eastAsiaTheme="minorEastAsia" w:hAnsiTheme="minorEastAsia" w:hint="eastAsia"/>
          <w:szCs w:val="21"/>
        </w:rPr>
        <w:lastRenderedPageBreak/>
        <w:t>从其规定。</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7" w:name="_Toc30161805"/>
      <w:r w:rsidRPr="00960F82">
        <w:rPr>
          <w:rFonts w:asciiTheme="minorEastAsia" w:eastAsiaTheme="minorEastAsia" w:hAnsiTheme="minorEastAsia" w:hint="eastAsia"/>
          <w:szCs w:val="21"/>
        </w:rPr>
        <w:t>（八）估值错误的处理</w:t>
      </w:r>
      <w:bookmarkEnd w:id="77"/>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当基金资产的估值导致基金份额净值小数点后四位（含第四位）内发生差错时，视为基金份额净值估值错误。</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基金管理人和基金托管人将采取必要、适当合理的措施确保基金资产估值的准确性、及时性。当基金份额净值出现错误时，基金管理人应当立即予以纠正，并采取合理的措施防止损失进一步扩大；当计价错误达到或超过基金份额净值的0.25%时，基金管理人应当报中国证监会备案；当计价错误达到或超过基金份额净值的0.5%时，基金管理人应当公告，并同时报中国证监会备案。</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前述内容如法律法规或监管机构另有规定的，按其规定处理。</w:t>
      </w:r>
    </w:p>
    <w:p w:rsidR="001D2E2F" w:rsidRPr="00960F82" w:rsidRDefault="001D2E2F" w:rsidP="00084917">
      <w:pPr>
        <w:snapToGrid w:val="0"/>
        <w:spacing w:line="360" w:lineRule="auto"/>
        <w:ind w:firstLineChars="200" w:firstLine="420"/>
        <w:outlineLvl w:val="1"/>
        <w:rPr>
          <w:rFonts w:asciiTheme="minorEastAsia" w:eastAsiaTheme="minorEastAsia" w:hAnsiTheme="minorEastAsia"/>
          <w:szCs w:val="21"/>
        </w:rPr>
      </w:pPr>
      <w:bookmarkStart w:id="78" w:name="_Toc30161806"/>
      <w:r w:rsidRPr="00960F82">
        <w:rPr>
          <w:rFonts w:asciiTheme="minorEastAsia" w:eastAsiaTheme="minorEastAsia" w:hAnsiTheme="minorEastAsia" w:hint="eastAsia"/>
          <w:szCs w:val="21"/>
        </w:rPr>
        <w:t>（九）特殊情形的处理</w:t>
      </w:r>
      <w:bookmarkEnd w:id="78"/>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基金管理人按本条第（四）款有关估值方法规定的第5项条款进行估值时，所造成的误差不作为基金份额净值错误处理。</w:t>
      </w:r>
    </w:p>
    <w:p w:rsidR="001D2E2F" w:rsidRPr="00960F82" w:rsidRDefault="006F79C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1D2E2F" w:rsidRPr="00960F82" w:rsidRDefault="001D2E2F" w:rsidP="00084917">
      <w:pPr>
        <w:pStyle w:val="aff9"/>
        <w:snapToGrid w:val="0"/>
        <w:spacing w:after="0" w:line="360" w:lineRule="auto"/>
        <w:ind w:firstLineChars="0" w:firstLine="210"/>
        <w:rPr>
          <w:rFonts w:asciiTheme="minorEastAsia" w:eastAsiaTheme="minorEastAsia" w:hAnsiTheme="minorEastAsia"/>
        </w:rPr>
      </w:pPr>
      <w:bookmarkStart w:id="79" w:name="_Toc13148331"/>
      <w:bookmarkStart w:id="80" w:name="_Toc13150559"/>
      <w:bookmarkStart w:id="81" w:name="_Toc13291944"/>
      <w:bookmarkStart w:id="82" w:name="_Toc13504670"/>
      <w:bookmarkStart w:id="83" w:name="_Toc13504786"/>
      <w:bookmarkStart w:id="84" w:name="_Toc13556279"/>
      <w:bookmarkStart w:id="85" w:name="_Toc14337401"/>
      <w:bookmarkEnd w:id="79"/>
      <w:bookmarkEnd w:id="80"/>
      <w:bookmarkEnd w:id="81"/>
      <w:bookmarkEnd w:id="82"/>
      <w:bookmarkEnd w:id="83"/>
      <w:bookmarkEnd w:id="84"/>
      <w:bookmarkEnd w:id="85"/>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6F79CF" w:rsidRPr="00960F82" w:rsidRDefault="006F79CF" w:rsidP="00084917">
      <w:pPr>
        <w:pStyle w:val="aff9"/>
        <w:snapToGrid w:val="0"/>
        <w:spacing w:after="0" w:line="360" w:lineRule="auto"/>
        <w:ind w:firstLineChars="0" w:firstLine="210"/>
        <w:rPr>
          <w:rFonts w:asciiTheme="minorEastAsia" w:eastAsiaTheme="minorEastAsia" w:hAnsiTheme="minorEastAsia"/>
        </w:rPr>
      </w:pPr>
    </w:p>
    <w:p w:rsidR="001D2E2F" w:rsidRPr="00960F82" w:rsidRDefault="001D2E2F" w:rsidP="00084917">
      <w:pPr>
        <w:pStyle w:val="aff9"/>
        <w:snapToGrid w:val="0"/>
        <w:spacing w:after="0" w:line="360" w:lineRule="auto"/>
        <w:ind w:firstLineChars="0" w:firstLine="210"/>
        <w:rPr>
          <w:rFonts w:asciiTheme="minorEastAsia" w:eastAsiaTheme="minorEastAsia" w:hAnsiTheme="minorEastAsia"/>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Cs/>
        </w:rPr>
      </w:pPr>
      <w:bookmarkStart w:id="86" w:name="_Toc30161807"/>
      <w:r w:rsidRPr="00960F82">
        <w:rPr>
          <w:rFonts w:asciiTheme="minorEastAsia" w:eastAsiaTheme="minorEastAsia" w:hAnsiTheme="minorEastAsia" w:hint="eastAsia"/>
          <w:b/>
          <w:bCs/>
        </w:rPr>
        <w:lastRenderedPageBreak/>
        <w:t>十二、基金的收益分配</w:t>
      </w:r>
      <w:bookmarkEnd w:id="86"/>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87" w:name="_Toc30161808"/>
      <w:r w:rsidRPr="00960F82">
        <w:rPr>
          <w:rFonts w:asciiTheme="minorEastAsia" w:eastAsiaTheme="minorEastAsia" w:hAnsiTheme="minorEastAsia" w:hint="eastAsia"/>
          <w:bCs/>
        </w:rPr>
        <w:t>（一）收益的构成</w:t>
      </w:r>
      <w:bookmarkEnd w:id="87"/>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基金收益包括：基金投资所得红利、股息、债券利息、买卖证券差价、银行存款利息以及其他收入。因运用基金资产带来的成本或费用的节约计入收益。</w:t>
      </w:r>
    </w:p>
    <w:p w:rsidR="001D2E2F" w:rsidRPr="00960F82" w:rsidRDefault="001D2E2F"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基金净收益为基金收益扣除按照有关规定可以在基金收益中扣除的费用等项目后的余额。</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88" w:name="_Toc30161809"/>
      <w:r w:rsidRPr="00960F82">
        <w:rPr>
          <w:rFonts w:asciiTheme="minorEastAsia" w:eastAsiaTheme="minorEastAsia" w:hAnsiTheme="minorEastAsia" w:hint="eastAsia"/>
          <w:bCs/>
        </w:rPr>
        <w:t>（二）收益分配原则</w:t>
      </w:r>
      <w:bookmarkEnd w:id="88"/>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收益分配采用现金方式，投资者可选择获取现金红利或者将现金红利按红利发放日前一工作日的基金份额净值自动转为基金份额进行再投资（简称“再投资方式”）；如果投资者没有明示选择，则视为选择现金方式；</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每一基金份额享有同等分配权；</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基金当期收益先弥补上期亏损后，方可进行当期收益分配；</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基金收益分配后每基金份额净值不能低于面值；</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如果基金投资当期出现亏损，则不进行收益分配；</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基金当年累计分配的收益不得低于该年度可分配收益的30%，不足部分于次年三个月内补足，但是每基金份额可分配收益不足0.01元时，可不分配。</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7、</w:t>
      </w:r>
      <w:r w:rsidR="001D2E2F" w:rsidRPr="00960F82">
        <w:rPr>
          <w:rFonts w:asciiTheme="minorEastAsia" w:eastAsiaTheme="minorEastAsia" w:hAnsiTheme="minorEastAsia" w:hint="eastAsia"/>
          <w:szCs w:val="21"/>
        </w:rPr>
        <w:t>在符合基金分红条件的前提下，本基金每年至少分红一次，最多不超过六次。基金合同生效当年不满3个月，收益可不分配。法律、法规或监管机构另有规定的从其规定。</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89" w:name="_Toc30161810"/>
      <w:r w:rsidRPr="00960F82">
        <w:rPr>
          <w:rFonts w:asciiTheme="minorEastAsia" w:eastAsiaTheme="minorEastAsia" w:hAnsiTheme="minorEastAsia" w:hint="eastAsia"/>
          <w:bCs/>
        </w:rPr>
        <w:t>（三）收益分配方案的确定与公告</w:t>
      </w:r>
      <w:bookmarkEnd w:id="89"/>
      <w:r w:rsidRPr="00960F82">
        <w:rPr>
          <w:rFonts w:asciiTheme="minorEastAsia" w:eastAsiaTheme="minorEastAsia" w:hAnsiTheme="minorEastAsia"/>
          <w:bCs/>
        </w:rPr>
        <w:tab/>
      </w:r>
    </w:p>
    <w:p w:rsidR="001D2E2F" w:rsidRPr="00960F82" w:rsidRDefault="001D2E2F"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基金收益分配方案中载明基金收益的范围、基金净收益、基金收益分配对象、分配原则、分配时间、分配数额及比例、分配方式及有关手续费等内容。</w:t>
      </w:r>
    </w:p>
    <w:p w:rsidR="001D2E2F" w:rsidRPr="00960F82" w:rsidRDefault="001D2E2F"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本基金收益分配方案由基金管理人拟定、基金托管人核实后确定，</w:t>
      </w:r>
      <w:r w:rsidR="002D277E" w:rsidRPr="00960F82">
        <w:rPr>
          <w:rFonts w:asciiTheme="minorEastAsia" w:eastAsiaTheme="minorEastAsia" w:hAnsiTheme="minorEastAsia" w:hint="eastAsia"/>
          <w:szCs w:val="21"/>
        </w:rPr>
        <w:t>在2日内在指定媒介公告。</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90" w:name="_Toc30161811"/>
      <w:r w:rsidRPr="00960F82">
        <w:rPr>
          <w:rFonts w:asciiTheme="minorEastAsia" w:eastAsiaTheme="minorEastAsia" w:hAnsiTheme="minorEastAsia" w:hint="eastAsia"/>
          <w:bCs/>
        </w:rPr>
        <w:t>（四）</w:t>
      </w:r>
      <w:r w:rsidRPr="00960F82">
        <w:rPr>
          <w:rFonts w:asciiTheme="minorEastAsia" w:eastAsiaTheme="minorEastAsia" w:hAnsiTheme="minorEastAsia"/>
          <w:bCs/>
        </w:rPr>
        <w:t>收益分配中发生的费用</w:t>
      </w:r>
      <w:bookmarkEnd w:id="90"/>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szCs w:val="21"/>
        </w:rPr>
        <w:t>收益分配采用红利再投资方式免收再投资的费用。</w:t>
      </w:r>
    </w:p>
    <w:p w:rsidR="001D2E2F" w:rsidRPr="00960F82" w:rsidRDefault="006F79CF" w:rsidP="006F79CF">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收益分配时发生的银行转帐等手续费由基金份额持有人自行承担；</w:t>
      </w:r>
      <w:r w:rsidR="001D2E2F" w:rsidRPr="00960F82">
        <w:rPr>
          <w:rFonts w:asciiTheme="minorEastAsia" w:eastAsiaTheme="minorEastAsia" w:hAnsiTheme="minorEastAsia"/>
          <w:szCs w:val="21"/>
        </w:rPr>
        <w:t>如果基金份额持</w:t>
      </w:r>
      <w:r w:rsidR="001D2E2F" w:rsidRPr="00960F82">
        <w:rPr>
          <w:rFonts w:asciiTheme="minorEastAsia" w:eastAsiaTheme="minorEastAsia" w:hAnsiTheme="minorEastAsia"/>
          <w:szCs w:val="21"/>
        </w:rPr>
        <w:lastRenderedPageBreak/>
        <w:t>有人所获现金红利不足支付前述银行</w:t>
      </w:r>
      <w:r w:rsidR="001D2E2F" w:rsidRPr="00960F82">
        <w:rPr>
          <w:rFonts w:asciiTheme="minorEastAsia" w:eastAsiaTheme="minorEastAsia" w:hAnsiTheme="minorEastAsia" w:hint="eastAsia"/>
          <w:szCs w:val="21"/>
        </w:rPr>
        <w:t>转帐等</w:t>
      </w:r>
      <w:r w:rsidR="001D2E2F" w:rsidRPr="00960F82">
        <w:rPr>
          <w:rFonts w:asciiTheme="minorEastAsia" w:eastAsiaTheme="minorEastAsia" w:hAnsiTheme="minorEastAsia"/>
          <w:szCs w:val="21"/>
        </w:rPr>
        <w:t>手续费，</w:t>
      </w:r>
      <w:r w:rsidR="001D2E2F" w:rsidRPr="00960F82">
        <w:rPr>
          <w:rFonts w:asciiTheme="minorEastAsia" w:eastAsiaTheme="minorEastAsia" w:hAnsiTheme="minorEastAsia" w:hint="eastAsia"/>
          <w:szCs w:val="21"/>
        </w:rPr>
        <w:t>注册登记机构</w:t>
      </w:r>
      <w:r w:rsidR="001D2E2F" w:rsidRPr="00960F82">
        <w:rPr>
          <w:rFonts w:asciiTheme="minorEastAsia" w:eastAsiaTheme="minorEastAsia" w:hAnsiTheme="minorEastAsia"/>
          <w:szCs w:val="21"/>
        </w:rPr>
        <w:t>自动将该基金份额持有人的现金红利按红利发放日</w:t>
      </w:r>
      <w:r w:rsidR="001D2E2F" w:rsidRPr="00960F82">
        <w:rPr>
          <w:rFonts w:asciiTheme="minorEastAsia" w:eastAsiaTheme="minorEastAsia" w:hAnsiTheme="minorEastAsia" w:hint="eastAsia"/>
          <w:szCs w:val="21"/>
        </w:rPr>
        <w:t>前一工作日</w:t>
      </w:r>
      <w:r w:rsidR="001D2E2F" w:rsidRPr="00960F82">
        <w:rPr>
          <w:rFonts w:asciiTheme="minorEastAsia" w:eastAsiaTheme="minorEastAsia" w:hAnsiTheme="minorEastAsia"/>
          <w:szCs w:val="21"/>
        </w:rPr>
        <w:t>的基金份额净值转为基金份额。</w:t>
      </w:r>
    </w:p>
    <w:p w:rsidR="001D2E2F" w:rsidRPr="00960F82" w:rsidRDefault="001D2E2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6F79CF" w:rsidRPr="00960F82" w:rsidRDefault="006F79CF" w:rsidP="00084917">
      <w:pPr>
        <w:snapToGrid w:val="0"/>
        <w:spacing w:line="360" w:lineRule="auto"/>
        <w:rPr>
          <w:rFonts w:asciiTheme="minorEastAsia" w:eastAsiaTheme="minorEastAsia" w:hAnsiTheme="minorEastAsia"/>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Cs/>
        </w:rPr>
      </w:pPr>
      <w:bookmarkStart w:id="91" w:name="_Toc30161812"/>
      <w:r w:rsidRPr="00960F82">
        <w:rPr>
          <w:rFonts w:asciiTheme="minorEastAsia" w:eastAsiaTheme="minorEastAsia" w:hAnsiTheme="minorEastAsia" w:hint="eastAsia"/>
          <w:b/>
          <w:bCs/>
        </w:rPr>
        <w:lastRenderedPageBreak/>
        <w:t>十三、基金的费用与税收</w:t>
      </w:r>
      <w:bookmarkEnd w:id="91"/>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92" w:name="_Toc30161813"/>
      <w:r w:rsidRPr="00960F82">
        <w:rPr>
          <w:rFonts w:asciiTheme="minorEastAsia" w:eastAsiaTheme="minorEastAsia" w:hAnsiTheme="minorEastAsia" w:hint="eastAsia"/>
          <w:bCs/>
        </w:rPr>
        <w:t>（一）与基金运作有关的费用</w:t>
      </w:r>
      <w:bookmarkEnd w:id="92"/>
    </w:p>
    <w:p w:rsidR="001D2E2F" w:rsidRPr="00960F82" w:rsidRDefault="00D759DD" w:rsidP="00D759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基金费用的种类</w:t>
      </w:r>
    </w:p>
    <w:p w:rsidR="001D2E2F" w:rsidRPr="00960F82" w:rsidRDefault="001D2E2F" w:rsidP="007F114F">
      <w:pPr>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基金管理人的管理费；</w:t>
      </w:r>
    </w:p>
    <w:p w:rsidR="001D2E2F" w:rsidRPr="00960F82" w:rsidRDefault="001D2E2F" w:rsidP="007F114F">
      <w:pPr>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基金托管人的托管费；</w:t>
      </w:r>
    </w:p>
    <w:p w:rsidR="001D2E2F" w:rsidRPr="00960F82" w:rsidRDefault="001D2E2F" w:rsidP="007F114F">
      <w:pPr>
        <w:pStyle w:val="a6"/>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基金信息披露费用；</w:t>
      </w:r>
    </w:p>
    <w:p w:rsidR="001D2E2F" w:rsidRPr="00960F82" w:rsidRDefault="001D2E2F" w:rsidP="007F114F">
      <w:pPr>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基金份额持有人大会费用；</w:t>
      </w:r>
    </w:p>
    <w:p w:rsidR="001D2E2F" w:rsidRPr="00960F82" w:rsidRDefault="001D2E2F" w:rsidP="007F114F">
      <w:pPr>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与基金相关的会计师费和律师费；</w:t>
      </w:r>
    </w:p>
    <w:p w:rsidR="001D2E2F" w:rsidRPr="00960F82" w:rsidRDefault="001D2E2F" w:rsidP="007F114F">
      <w:pPr>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szCs w:val="21"/>
        </w:rPr>
        <w:t>证券交易费用；</w:t>
      </w:r>
    </w:p>
    <w:p w:rsidR="001D2E2F" w:rsidRPr="00960F82" w:rsidRDefault="001D2E2F" w:rsidP="007F114F">
      <w:pPr>
        <w:numPr>
          <w:ilvl w:val="1"/>
          <w:numId w:val="26"/>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szCs w:val="21"/>
        </w:rPr>
        <w:t>按照国家有关规定和《基金合同》规定可以列入的其他费用。</w:t>
      </w:r>
    </w:p>
    <w:p w:rsidR="001D2E2F" w:rsidRPr="00960F82" w:rsidRDefault="001D2E2F" w:rsidP="00084917">
      <w:pPr>
        <w:snapToGrid w:val="0"/>
        <w:spacing w:line="360" w:lineRule="auto"/>
        <w:ind w:firstLineChars="550" w:firstLine="1155"/>
        <w:rPr>
          <w:rFonts w:asciiTheme="minorEastAsia" w:eastAsiaTheme="minorEastAsia" w:hAnsiTheme="minorEastAsia"/>
        </w:rPr>
      </w:pPr>
      <w:r w:rsidRPr="00960F82">
        <w:rPr>
          <w:rFonts w:asciiTheme="minorEastAsia" w:eastAsiaTheme="minorEastAsia" w:hAnsiTheme="minorEastAsia" w:hint="eastAsia"/>
          <w:szCs w:val="21"/>
        </w:rPr>
        <w:t>法律法规另有规定时从其规定。</w:t>
      </w:r>
    </w:p>
    <w:p w:rsidR="001D2E2F" w:rsidRPr="00960F82" w:rsidRDefault="00D759DD" w:rsidP="00D759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基金费用计提方法、计提标准和支付方式</w:t>
      </w:r>
    </w:p>
    <w:p w:rsidR="001D2E2F" w:rsidRPr="00960F82" w:rsidRDefault="001D2E2F" w:rsidP="007F114F">
      <w:pPr>
        <w:pStyle w:val="a6"/>
        <w:numPr>
          <w:ilvl w:val="0"/>
          <w:numId w:val="27"/>
        </w:numPr>
        <w:snapToGrid w:val="0"/>
        <w:spacing w:line="360" w:lineRule="auto"/>
        <w:rPr>
          <w:rFonts w:asciiTheme="minorEastAsia" w:eastAsiaTheme="minorEastAsia" w:hAnsiTheme="minorEastAsia"/>
          <w:szCs w:val="24"/>
        </w:rPr>
      </w:pPr>
      <w:r w:rsidRPr="00960F82">
        <w:rPr>
          <w:rFonts w:asciiTheme="minorEastAsia" w:eastAsiaTheme="minorEastAsia" w:hAnsiTheme="minorEastAsia" w:hint="eastAsia"/>
          <w:szCs w:val="24"/>
        </w:rPr>
        <w:t>基金管理人的管理费</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szCs w:val="21"/>
        </w:rPr>
        <w:t>基金管理费按基金前一日的资产净值乘以</w:t>
      </w:r>
      <w:r w:rsidRPr="00960F82">
        <w:rPr>
          <w:rFonts w:asciiTheme="minorEastAsia" w:eastAsiaTheme="minorEastAsia" w:hAnsiTheme="minorEastAsia" w:hint="eastAsia"/>
          <w:szCs w:val="21"/>
        </w:rPr>
        <w:t>1.5％</w:t>
      </w:r>
      <w:r w:rsidRPr="00960F82">
        <w:rPr>
          <w:rFonts w:asciiTheme="minorEastAsia" w:eastAsiaTheme="minorEastAsia" w:hAnsiTheme="minorEastAsia"/>
          <w:szCs w:val="21"/>
        </w:rPr>
        <w:t>的管理费年费率来计算，具体计算方法如下：</w:t>
      </w:r>
    </w:p>
    <w:p w:rsidR="001D2E2F" w:rsidRPr="00960F82" w:rsidRDefault="001D2E2F" w:rsidP="00084917">
      <w:pPr>
        <w:snapToGrid w:val="0"/>
        <w:spacing w:line="360" w:lineRule="auto"/>
        <w:ind w:firstLineChars="195" w:firstLine="409"/>
        <w:rPr>
          <w:rFonts w:asciiTheme="minorEastAsia" w:eastAsiaTheme="minorEastAsia" w:hAnsiTheme="minorEastAsia"/>
          <w:szCs w:val="21"/>
        </w:rPr>
      </w:pPr>
      <w:r w:rsidRPr="00960F82">
        <w:rPr>
          <w:rFonts w:asciiTheme="minorEastAsia" w:eastAsiaTheme="minorEastAsia" w:hAnsiTheme="minorEastAsia"/>
          <w:szCs w:val="21"/>
        </w:rPr>
        <w:t>每日应付的基金管理费=前一日该基金的资产净值×年管理费率÷</w:t>
      </w:r>
      <w:r w:rsidRPr="00960F82">
        <w:rPr>
          <w:rFonts w:asciiTheme="minorEastAsia" w:eastAsiaTheme="minorEastAsia" w:hAnsiTheme="minorEastAsia" w:hint="eastAsia"/>
          <w:szCs w:val="21"/>
        </w:rPr>
        <w:t>当年天数</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基金管理费每日计算，逐日累计至每个月月末，按月支付，由基金管理人向基金托管人发送基金管理费划付指令，基金托管人复核后于次月的前两个工作日内从基金资产中一次性支付给基金管理人。</w:t>
      </w:r>
    </w:p>
    <w:p w:rsidR="001D2E2F" w:rsidRPr="00960F82" w:rsidRDefault="001D2E2F" w:rsidP="007F114F">
      <w:pPr>
        <w:numPr>
          <w:ilvl w:val="0"/>
          <w:numId w:val="27"/>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基金托管人的托管费</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本基金的托管费按该基金前一日资产净值乘以</w:t>
      </w:r>
      <w:r w:rsidRPr="00960F82">
        <w:rPr>
          <w:rFonts w:asciiTheme="minorEastAsia" w:eastAsiaTheme="minorEastAsia" w:hAnsiTheme="minorEastAsia" w:hint="eastAsia"/>
          <w:szCs w:val="21"/>
        </w:rPr>
        <w:t>0.25%</w:t>
      </w:r>
      <w:r w:rsidRPr="00960F82">
        <w:rPr>
          <w:rFonts w:asciiTheme="minorEastAsia" w:eastAsiaTheme="minorEastAsia" w:hAnsiTheme="minorEastAsia"/>
          <w:szCs w:val="21"/>
        </w:rPr>
        <w:t>的托管费年费率来计算。计算方法如下：</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每日应支付的基金托管费=前一日该基金资产净值×年托管费率÷</w:t>
      </w:r>
      <w:r w:rsidRPr="00960F82">
        <w:rPr>
          <w:rFonts w:asciiTheme="minorEastAsia" w:eastAsiaTheme="minorEastAsia" w:hAnsiTheme="minorEastAsia" w:hint="eastAsia"/>
          <w:szCs w:val="21"/>
        </w:rPr>
        <w:t>当年天数</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基金托管费每日计算，逐日累计至每个月月末，按月支付。由基金管理人向基金托管人发送基金托管费划付指令，基金托管人复核后于次月的前两个工作日内从基金资产中一次性支付给基金托管人。</w:t>
      </w:r>
    </w:p>
    <w:p w:rsidR="001D2E2F" w:rsidRPr="00960F82" w:rsidRDefault="001D2E2F" w:rsidP="007F114F">
      <w:pPr>
        <w:numPr>
          <w:ilvl w:val="0"/>
          <w:numId w:val="27"/>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rPr>
        <w:t>上述1款中（3）至（7）项费用由基金托管人根据有关法规及相应协议的规定，按费用实际支出金额支付，列入当期基金费用。</w:t>
      </w:r>
    </w:p>
    <w:p w:rsidR="001D2E2F" w:rsidRPr="00960F82" w:rsidRDefault="00D759DD" w:rsidP="00D759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不列入基金费用的项目</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基金管理人和基金托管人因未履行或未完全履行义务导致的费用支出或基金资产的损失，以及处理与基金运作无关的事项发生的费用等不列入基金费用。</w:t>
      </w:r>
    </w:p>
    <w:p w:rsidR="001D2E2F" w:rsidRPr="00960F82" w:rsidRDefault="00D759DD" w:rsidP="00D759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基金管理人和基金托管人可磋商酌情调低基金管理费和基金托管费，经中国证监会</w:t>
      </w:r>
      <w:r w:rsidR="001D2E2F" w:rsidRPr="00960F82">
        <w:rPr>
          <w:rFonts w:asciiTheme="minorEastAsia" w:eastAsiaTheme="minorEastAsia" w:hAnsiTheme="minorEastAsia" w:hint="eastAsia"/>
          <w:szCs w:val="21"/>
        </w:rPr>
        <w:lastRenderedPageBreak/>
        <w:t>核准后公告。此项调整不需要基金份额持有人大会决议通过。</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93" w:name="_Toc30161814"/>
      <w:r w:rsidRPr="00960F82">
        <w:rPr>
          <w:rFonts w:asciiTheme="minorEastAsia" w:eastAsiaTheme="minorEastAsia" w:hAnsiTheme="minorEastAsia" w:hint="eastAsia"/>
          <w:bCs/>
        </w:rPr>
        <w:t>（二）与基金销售有关的费用</w:t>
      </w:r>
      <w:bookmarkEnd w:id="93"/>
    </w:p>
    <w:p w:rsidR="00EF00B2" w:rsidRPr="00960F82" w:rsidRDefault="00D759DD" w:rsidP="00D759DD">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1、</w:t>
      </w:r>
      <w:r w:rsidR="00EF00B2" w:rsidRPr="00960F82">
        <w:rPr>
          <w:rFonts w:asciiTheme="minorEastAsia" w:eastAsiaTheme="minorEastAsia" w:hAnsiTheme="minorEastAsia" w:hint="eastAsia"/>
          <w:szCs w:val="21"/>
        </w:rPr>
        <w:t>本基金对通过本公司直销中心申购的的特定投资群体与除此之外的其他投资者实施差别的申购费率。</w:t>
      </w:r>
    </w:p>
    <w:p w:rsidR="00EF00B2" w:rsidRPr="00960F82" w:rsidRDefault="00EF00B2" w:rsidP="00084917">
      <w:pPr>
        <w:pStyle w:val="a6"/>
        <w:snapToGrid w:val="0"/>
        <w:spacing w:line="360" w:lineRule="auto"/>
        <w:ind w:left="420" w:firstLine="0"/>
        <w:rPr>
          <w:rFonts w:asciiTheme="minorEastAsia" w:eastAsiaTheme="minorEastAsia" w:hAnsiTheme="minorEastAsia"/>
        </w:rPr>
      </w:pPr>
      <w:r w:rsidRPr="00960F82">
        <w:rPr>
          <w:rFonts w:asciiTheme="minorEastAsia" w:eastAsiaTheme="minorEastAsia" w:hAnsiTheme="minorEastAsia" w:hint="eastAsia"/>
        </w:rPr>
        <w:t>特定投资群体指全国社会保障基金、依法设立的基本养老保险基金、依法制定的企业年</w:t>
      </w:r>
    </w:p>
    <w:p w:rsidR="00EF00B2" w:rsidRPr="00960F82" w:rsidRDefault="00EF00B2" w:rsidP="00084917">
      <w:pPr>
        <w:pStyle w:val="a6"/>
        <w:snapToGrid w:val="0"/>
        <w:spacing w:line="360" w:lineRule="auto"/>
        <w:ind w:firstLine="0"/>
        <w:rPr>
          <w:rFonts w:asciiTheme="minorEastAsia" w:eastAsiaTheme="minorEastAsia" w:hAnsiTheme="minorEastAsia"/>
        </w:rPr>
      </w:pPr>
      <w:r w:rsidRPr="00960F82">
        <w:rPr>
          <w:rFonts w:asciiTheme="minorEastAsia" w:eastAsiaTheme="minorEastAsia" w:hAnsiTheme="minorEastAsia" w:hint="eastAsia"/>
        </w:rPr>
        <w:t>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EF00B2" w:rsidRPr="00960F82" w:rsidRDefault="00EF00B2" w:rsidP="00084917">
      <w:pPr>
        <w:pStyle w:val="a6"/>
        <w:snapToGrid w:val="0"/>
        <w:spacing w:line="360" w:lineRule="auto"/>
        <w:ind w:left="420" w:firstLine="0"/>
        <w:rPr>
          <w:rFonts w:asciiTheme="minorEastAsia" w:eastAsiaTheme="minorEastAsia" w:hAnsiTheme="minorEastAsia"/>
        </w:rPr>
      </w:pPr>
      <w:r w:rsidRPr="00960F82">
        <w:rPr>
          <w:rFonts w:asciiTheme="minorEastAsia" w:eastAsiaTheme="minorEastAsia" w:hAnsiTheme="minorEastAsia" w:hint="eastAsia"/>
        </w:rPr>
        <w:t>通过基金管理人的直销中心申购本基金的特定投资群体申购费率见下表</w:t>
      </w:r>
    </w:p>
    <w:tbl>
      <w:tblPr>
        <w:tblW w:w="0" w:type="auto"/>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3543"/>
        <w:gridCol w:w="3544"/>
      </w:tblGrid>
      <w:tr w:rsidR="00960F82" w:rsidRPr="00960F82" w:rsidTr="00EF00B2">
        <w:trPr>
          <w:jc w:val="center"/>
        </w:trPr>
        <w:tc>
          <w:tcPr>
            <w:tcW w:w="3543"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Style w:val="afff0"/>
                <w:rFonts w:asciiTheme="minorEastAsia" w:eastAsiaTheme="minorEastAsia" w:hAnsiTheme="minorEastAsia" w:hint="eastAsia"/>
                <w:b w:val="0"/>
                <w:szCs w:val="21"/>
              </w:rPr>
              <w:t>申购金额M（元）（含申购费）</w:t>
            </w:r>
          </w:p>
        </w:tc>
        <w:tc>
          <w:tcPr>
            <w:tcW w:w="3544"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Style w:val="afff0"/>
                <w:rFonts w:asciiTheme="minorEastAsia" w:eastAsiaTheme="minorEastAsia" w:hAnsiTheme="minorEastAsia" w:hint="eastAsia"/>
                <w:b w:val="0"/>
                <w:szCs w:val="21"/>
              </w:rPr>
              <w:t>前端申购费率</w:t>
            </w:r>
          </w:p>
        </w:tc>
      </w:tr>
      <w:tr w:rsidR="00960F82" w:rsidRPr="00960F82" w:rsidTr="00EF00B2">
        <w:trPr>
          <w:jc w:val="center"/>
        </w:trPr>
        <w:tc>
          <w:tcPr>
            <w:tcW w:w="3543"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M≥1000万</w:t>
            </w:r>
          </w:p>
        </w:tc>
        <w:tc>
          <w:tcPr>
            <w:tcW w:w="3544"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按笔收取，1000元/笔</w:t>
            </w:r>
          </w:p>
        </w:tc>
      </w:tr>
      <w:tr w:rsidR="00960F82" w:rsidRPr="00960F82" w:rsidTr="00EF00B2">
        <w:trPr>
          <w:jc w:val="center"/>
        </w:trPr>
        <w:tc>
          <w:tcPr>
            <w:tcW w:w="3543"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500万≤M＜1000万</w:t>
            </w:r>
          </w:p>
        </w:tc>
        <w:tc>
          <w:tcPr>
            <w:tcW w:w="3544"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0.03%</w:t>
            </w:r>
          </w:p>
        </w:tc>
      </w:tr>
      <w:tr w:rsidR="00960F82" w:rsidRPr="00960F82" w:rsidTr="00EF00B2">
        <w:trPr>
          <w:jc w:val="center"/>
        </w:trPr>
        <w:tc>
          <w:tcPr>
            <w:tcW w:w="3543"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100万≤M＜500万</w:t>
            </w:r>
          </w:p>
        </w:tc>
        <w:tc>
          <w:tcPr>
            <w:tcW w:w="3544"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0.12%</w:t>
            </w:r>
          </w:p>
        </w:tc>
      </w:tr>
      <w:tr w:rsidR="00960F82" w:rsidRPr="00960F82" w:rsidTr="00EF00B2">
        <w:trPr>
          <w:jc w:val="center"/>
        </w:trPr>
        <w:tc>
          <w:tcPr>
            <w:tcW w:w="3543"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M＜100万</w:t>
            </w:r>
          </w:p>
        </w:tc>
        <w:tc>
          <w:tcPr>
            <w:tcW w:w="3544" w:type="dxa"/>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0.15%</w:t>
            </w:r>
          </w:p>
        </w:tc>
      </w:tr>
    </w:tbl>
    <w:p w:rsidR="00EF00B2" w:rsidRPr="00960F82" w:rsidRDefault="00EF00B2" w:rsidP="00084917">
      <w:pPr>
        <w:pStyle w:val="a6"/>
        <w:snapToGrid w:val="0"/>
        <w:spacing w:line="360" w:lineRule="auto"/>
        <w:ind w:left="420" w:firstLine="0"/>
        <w:rPr>
          <w:rFonts w:asciiTheme="minorEastAsia" w:eastAsiaTheme="minorEastAsia" w:hAnsiTheme="minorEastAsia"/>
          <w:szCs w:val="21"/>
        </w:rPr>
      </w:pPr>
      <w:r w:rsidRPr="00960F82">
        <w:rPr>
          <w:rFonts w:asciiTheme="minorEastAsia" w:eastAsiaTheme="minorEastAsia" w:hAnsiTheme="minorEastAsia" w:hint="eastAsia"/>
          <w:szCs w:val="21"/>
        </w:rPr>
        <w:t>其他投资者申购本基金的申购费率见下表：</w:t>
      </w:r>
    </w:p>
    <w:tbl>
      <w:tblPr>
        <w:tblW w:w="0" w:type="auto"/>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3543"/>
        <w:gridCol w:w="3544"/>
      </w:tblGrid>
      <w:tr w:rsidR="00960F82" w:rsidRPr="00960F82" w:rsidTr="00873168">
        <w:trPr>
          <w:jc w:val="center"/>
        </w:trPr>
        <w:tc>
          <w:tcPr>
            <w:tcW w:w="3543"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Style w:val="afff0"/>
                <w:rFonts w:asciiTheme="minorEastAsia" w:eastAsiaTheme="minorEastAsia" w:hAnsiTheme="minorEastAsia" w:hint="eastAsia"/>
                <w:b w:val="0"/>
                <w:szCs w:val="21"/>
              </w:rPr>
              <w:t>申购金额M（元）（含申购费）</w:t>
            </w:r>
          </w:p>
        </w:tc>
        <w:tc>
          <w:tcPr>
            <w:tcW w:w="3544"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Style w:val="afff0"/>
                <w:rFonts w:asciiTheme="minorEastAsia" w:eastAsiaTheme="minorEastAsia" w:hAnsiTheme="minorEastAsia" w:hint="eastAsia"/>
                <w:b w:val="0"/>
                <w:szCs w:val="21"/>
              </w:rPr>
              <w:t>前端申购费率</w:t>
            </w:r>
          </w:p>
        </w:tc>
      </w:tr>
      <w:tr w:rsidR="00960F82" w:rsidRPr="00960F82" w:rsidTr="00873168">
        <w:trPr>
          <w:jc w:val="center"/>
        </w:trPr>
        <w:tc>
          <w:tcPr>
            <w:tcW w:w="3543"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M</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1000</w:t>
            </w:r>
            <w:r w:rsidRPr="00960F82">
              <w:rPr>
                <w:rFonts w:asciiTheme="minorEastAsia" w:eastAsiaTheme="minorEastAsia" w:hAnsiTheme="minorEastAsia" w:hint="eastAsia"/>
                <w:szCs w:val="21"/>
              </w:rPr>
              <w:t>万</w:t>
            </w:r>
          </w:p>
        </w:tc>
        <w:tc>
          <w:tcPr>
            <w:tcW w:w="3544"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按笔收取，</w:t>
            </w:r>
            <w:r w:rsidRPr="00960F82">
              <w:rPr>
                <w:rFonts w:asciiTheme="minorEastAsia" w:eastAsiaTheme="minorEastAsia" w:hAnsiTheme="minorEastAsia"/>
                <w:szCs w:val="21"/>
              </w:rPr>
              <w:t>1000</w:t>
            </w:r>
            <w:r w:rsidRPr="00960F82">
              <w:rPr>
                <w:rFonts w:asciiTheme="minorEastAsia" w:eastAsiaTheme="minorEastAsia" w:hAnsiTheme="minorEastAsia" w:hint="eastAsia"/>
                <w:szCs w:val="21"/>
              </w:rPr>
              <w:t>元</w:t>
            </w:r>
            <w:r w:rsidRPr="00960F82">
              <w:rPr>
                <w:rFonts w:asciiTheme="minorEastAsia" w:eastAsiaTheme="minorEastAsia" w:hAnsiTheme="minorEastAsia"/>
                <w:szCs w:val="21"/>
              </w:rPr>
              <w:t>/</w:t>
            </w:r>
            <w:r w:rsidRPr="00960F82">
              <w:rPr>
                <w:rFonts w:asciiTheme="minorEastAsia" w:eastAsiaTheme="minorEastAsia" w:hAnsiTheme="minorEastAsia" w:hint="eastAsia"/>
                <w:szCs w:val="21"/>
              </w:rPr>
              <w:t>笔</w:t>
            </w:r>
          </w:p>
        </w:tc>
      </w:tr>
      <w:tr w:rsidR="00960F82" w:rsidRPr="00960F82" w:rsidTr="00873168">
        <w:trPr>
          <w:jc w:val="center"/>
        </w:trPr>
        <w:tc>
          <w:tcPr>
            <w:tcW w:w="3543"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500</w:t>
            </w:r>
            <w:r w:rsidRPr="00960F82">
              <w:rPr>
                <w:rFonts w:asciiTheme="minorEastAsia" w:eastAsiaTheme="minorEastAsia" w:hAnsiTheme="minorEastAsia" w:hint="eastAsia"/>
                <w:szCs w:val="21"/>
              </w:rPr>
              <w:t>万≤</w:t>
            </w:r>
            <w:r w:rsidRPr="00960F82">
              <w:rPr>
                <w:rFonts w:asciiTheme="minorEastAsia" w:eastAsiaTheme="minorEastAsia" w:hAnsiTheme="minorEastAsia"/>
                <w:szCs w:val="21"/>
              </w:rPr>
              <w:t>M</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1000</w:t>
            </w:r>
            <w:r w:rsidRPr="00960F82">
              <w:rPr>
                <w:rFonts w:asciiTheme="minorEastAsia" w:eastAsiaTheme="minorEastAsia" w:hAnsiTheme="minorEastAsia" w:hint="eastAsia"/>
                <w:szCs w:val="21"/>
              </w:rPr>
              <w:t>万</w:t>
            </w:r>
          </w:p>
        </w:tc>
        <w:tc>
          <w:tcPr>
            <w:tcW w:w="3544"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0.3%</w:t>
            </w:r>
          </w:p>
        </w:tc>
      </w:tr>
      <w:tr w:rsidR="00960F82" w:rsidRPr="00960F82" w:rsidTr="00873168">
        <w:trPr>
          <w:jc w:val="center"/>
        </w:trPr>
        <w:tc>
          <w:tcPr>
            <w:tcW w:w="3543"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100</w:t>
            </w:r>
            <w:r w:rsidRPr="00960F82">
              <w:rPr>
                <w:rFonts w:asciiTheme="minorEastAsia" w:eastAsiaTheme="minorEastAsia" w:hAnsiTheme="minorEastAsia" w:hint="eastAsia"/>
                <w:szCs w:val="21"/>
              </w:rPr>
              <w:t>万≤</w:t>
            </w:r>
            <w:r w:rsidRPr="00960F82">
              <w:rPr>
                <w:rFonts w:asciiTheme="minorEastAsia" w:eastAsiaTheme="minorEastAsia" w:hAnsiTheme="minorEastAsia"/>
                <w:szCs w:val="21"/>
              </w:rPr>
              <w:t>M</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500</w:t>
            </w:r>
            <w:r w:rsidRPr="00960F82">
              <w:rPr>
                <w:rFonts w:asciiTheme="minorEastAsia" w:eastAsiaTheme="minorEastAsia" w:hAnsiTheme="minorEastAsia" w:hint="eastAsia"/>
                <w:szCs w:val="21"/>
              </w:rPr>
              <w:t>万</w:t>
            </w:r>
          </w:p>
        </w:tc>
        <w:tc>
          <w:tcPr>
            <w:tcW w:w="3544"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1.2%</w:t>
            </w:r>
          </w:p>
        </w:tc>
      </w:tr>
      <w:tr w:rsidR="00960F82" w:rsidRPr="00960F82" w:rsidTr="00873168">
        <w:trPr>
          <w:jc w:val="center"/>
        </w:trPr>
        <w:tc>
          <w:tcPr>
            <w:tcW w:w="3543"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M</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100</w:t>
            </w:r>
            <w:r w:rsidRPr="00960F82">
              <w:rPr>
                <w:rFonts w:asciiTheme="minorEastAsia" w:eastAsiaTheme="minorEastAsia" w:hAnsiTheme="minorEastAsia" w:hint="eastAsia"/>
                <w:szCs w:val="21"/>
              </w:rPr>
              <w:t>万</w:t>
            </w:r>
          </w:p>
        </w:tc>
        <w:tc>
          <w:tcPr>
            <w:tcW w:w="3544" w:type="dxa"/>
            <w:vAlign w:val="center"/>
          </w:tcPr>
          <w:p w:rsidR="00EF00B2" w:rsidRPr="00960F82" w:rsidRDefault="00EF00B2"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szCs w:val="21"/>
              </w:rPr>
              <w:t>1.5%</w:t>
            </w:r>
          </w:p>
        </w:tc>
      </w:tr>
    </w:tbl>
    <w:p w:rsidR="001D2E2F" w:rsidRPr="00960F82" w:rsidRDefault="001D2E2F" w:rsidP="00084917">
      <w:pPr>
        <w:pStyle w:val="a6"/>
        <w:tabs>
          <w:tab w:val="left" w:pos="735"/>
        </w:tabs>
        <w:snapToGrid w:val="0"/>
        <w:spacing w:line="360" w:lineRule="auto"/>
        <w:ind w:left="420" w:firstLine="0"/>
        <w:rPr>
          <w:rFonts w:asciiTheme="minorEastAsia" w:eastAsiaTheme="minorEastAsia" w:hAnsiTheme="minorEastAsia"/>
        </w:rPr>
      </w:pPr>
      <w:r w:rsidRPr="00960F82">
        <w:rPr>
          <w:rFonts w:asciiTheme="minorEastAsia" w:eastAsiaTheme="minorEastAsia" w:hAnsiTheme="minorEastAsia" w:hint="eastAsia"/>
          <w:kern w:val="0"/>
        </w:rPr>
        <w:t>投资人在一天之内如果有多笔申购，适用费率按单笔分别计算。</w:t>
      </w:r>
    </w:p>
    <w:p w:rsidR="001D2E2F" w:rsidRPr="00960F82" w:rsidRDefault="001D2E2F" w:rsidP="00084917">
      <w:pPr>
        <w:pStyle w:val="a6"/>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基金的申购费由申购人承担，不计入基金财产。</w:t>
      </w:r>
    </w:p>
    <w:p w:rsidR="001D2E2F" w:rsidRPr="00960F82" w:rsidRDefault="00D759DD" w:rsidP="00D759DD">
      <w:pPr>
        <w:pStyle w:val="a6"/>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2、</w:t>
      </w:r>
      <w:r w:rsidR="00A506F8" w:rsidRPr="00960F82">
        <w:rPr>
          <w:rFonts w:asciiTheme="minorEastAsia" w:eastAsiaTheme="minorEastAsia" w:hAnsiTheme="minorEastAsia" w:hint="eastAsia"/>
        </w:rPr>
        <w:t>本基金的赎回费率根据持有期限的不同分为四档</w:t>
      </w:r>
      <w:r w:rsidR="001D2E2F" w:rsidRPr="00960F82">
        <w:rPr>
          <w:rFonts w:asciiTheme="minorEastAsia" w:eastAsiaTheme="minorEastAsia" w:hAnsiTheme="minorEastAsia" w:hint="eastAsia"/>
        </w:rPr>
        <w:t>。持有期限的起始日为基金权益登记日。</w:t>
      </w:r>
    </w:p>
    <w:tbl>
      <w:tblPr>
        <w:tblW w:w="4135"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477"/>
        <w:gridCol w:w="3556"/>
      </w:tblGrid>
      <w:tr w:rsidR="00960F82" w:rsidRPr="00960F82" w:rsidTr="00D937F5">
        <w:trPr>
          <w:tblCellSpacing w:w="7" w:type="dxa"/>
          <w:jc w:val="center"/>
        </w:trPr>
        <w:tc>
          <w:tcPr>
            <w:tcW w:w="2457" w:type="pct"/>
            <w:shd w:val="clear" w:color="auto" w:fill="auto"/>
            <w:vAlign w:val="center"/>
          </w:tcPr>
          <w:p w:rsidR="001D2E2F" w:rsidRPr="00960F82" w:rsidRDefault="001D2E2F" w:rsidP="00084917">
            <w:pPr>
              <w:snapToGrid w:val="0"/>
              <w:spacing w:line="360" w:lineRule="auto"/>
              <w:ind w:leftChars="164" w:left="344"/>
              <w:rPr>
                <w:rStyle w:val="afff0"/>
                <w:rFonts w:asciiTheme="minorEastAsia" w:eastAsiaTheme="minorEastAsia" w:hAnsiTheme="minorEastAsia"/>
                <w:b w:val="0"/>
                <w:szCs w:val="21"/>
              </w:rPr>
            </w:pPr>
            <w:r w:rsidRPr="00960F82">
              <w:rPr>
                <w:rStyle w:val="afff0"/>
                <w:rFonts w:asciiTheme="minorEastAsia" w:eastAsiaTheme="minorEastAsia" w:hAnsiTheme="minorEastAsia" w:hint="eastAsia"/>
                <w:b w:val="0"/>
                <w:szCs w:val="21"/>
              </w:rPr>
              <w:t>持有基金时间（天）</w:t>
            </w:r>
          </w:p>
        </w:tc>
        <w:tc>
          <w:tcPr>
            <w:tcW w:w="2513" w:type="pct"/>
            <w:shd w:val="clear" w:color="auto" w:fill="auto"/>
            <w:vAlign w:val="center"/>
          </w:tcPr>
          <w:p w:rsidR="001D2E2F" w:rsidRPr="00960F82" w:rsidRDefault="001D2E2F" w:rsidP="00084917">
            <w:pPr>
              <w:snapToGrid w:val="0"/>
              <w:spacing w:line="360" w:lineRule="auto"/>
              <w:ind w:leftChars="226" w:left="475"/>
              <w:rPr>
                <w:rStyle w:val="afff0"/>
                <w:rFonts w:asciiTheme="minorEastAsia" w:eastAsiaTheme="minorEastAsia" w:hAnsiTheme="minorEastAsia"/>
                <w:b w:val="0"/>
                <w:szCs w:val="21"/>
              </w:rPr>
            </w:pPr>
            <w:r w:rsidRPr="00960F82">
              <w:rPr>
                <w:rStyle w:val="afff0"/>
                <w:rFonts w:asciiTheme="minorEastAsia" w:eastAsiaTheme="minorEastAsia" w:hAnsiTheme="minorEastAsia" w:hint="eastAsia"/>
                <w:b w:val="0"/>
                <w:szCs w:val="21"/>
              </w:rPr>
              <w:t>赎回费率</w:t>
            </w:r>
          </w:p>
        </w:tc>
      </w:tr>
      <w:tr w:rsidR="00960F82" w:rsidRPr="00960F82" w:rsidTr="00D937F5">
        <w:trPr>
          <w:tblCellSpacing w:w="7" w:type="dxa"/>
          <w:jc w:val="center"/>
        </w:trPr>
        <w:tc>
          <w:tcPr>
            <w:tcW w:w="2457" w:type="pct"/>
            <w:shd w:val="clear" w:color="auto" w:fill="auto"/>
            <w:vAlign w:val="center"/>
          </w:tcPr>
          <w:p w:rsidR="0071674B" w:rsidRPr="00960F82" w:rsidRDefault="0071674B" w:rsidP="00084917">
            <w:pPr>
              <w:snapToGrid w:val="0"/>
              <w:spacing w:line="360" w:lineRule="auto"/>
              <w:ind w:leftChars="164" w:left="344"/>
              <w:rPr>
                <w:rStyle w:val="afff0"/>
                <w:rFonts w:asciiTheme="minorEastAsia" w:eastAsiaTheme="minorEastAsia" w:hAnsiTheme="minorEastAsia"/>
                <w:b w:val="0"/>
                <w:szCs w:val="21"/>
              </w:rPr>
            </w:pPr>
            <w:r w:rsidRPr="00960F82">
              <w:rPr>
                <w:rStyle w:val="afff0"/>
                <w:rFonts w:asciiTheme="minorEastAsia" w:eastAsiaTheme="minorEastAsia" w:hAnsiTheme="minorEastAsia" w:hint="eastAsia"/>
                <w:b w:val="0"/>
                <w:szCs w:val="21"/>
              </w:rPr>
              <w:t>0</w:t>
            </w:r>
            <w:r w:rsidRPr="00960F82">
              <w:rPr>
                <w:rStyle w:val="afff0"/>
                <w:rFonts w:asciiTheme="minorEastAsia" w:eastAsiaTheme="minorEastAsia" w:hAnsiTheme="minorEastAsia"/>
                <w:b w:val="0"/>
                <w:szCs w:val="21"/>
              </w:rPr>
              <w:t>-6</w:t>
            </w:r>
          </w:p>
        </w:tc>
        <w:tc>
          <w:tcPr>
            <w:tcW w:w="2513" w:type="pct"/>
            <w:shd w:val="clear" w:color="auto" w:fill="auto"/>
            <w:vAlign w:val="center"/>
          </w:tcPr>
          <w:p w:rsidR="0071674B" w:rsidRPr="00960F82" w:rsidRDefault="0071674B" w:rsidP="00084917">
            <w:pPr>
              <w:snapToGrid w:val="0"/>
              <w:spacing w:line="360" w:lineRule="auto"/>
              <w:ind w:leftChars="226" w:left="475"/>
              <w:rPr>
                <w:rStyle w:val="afff0"/>
                <w:rFonts w:asciiTheme="minorEastAsia" w:eastAsiaTheme="minorEastAsia" w:hAnsiTheme="minorEastAsia"/>
                <w:b w:val="0"/>
                <w:szCs w:val="21"/>
              </w:rPr>
            </w:pPr>
            <w:r w:rsidRPr="00960F82">
              <w:rPr>
                <w:rStyle w:val="afff0"/>
                <w:rFonts w:asciiTheme="minorEastAsia" w:eastAsiaTheme="minorEastAsia" w:hAnsiTheme="minorEastAsia" w:hint="eastAsia"/>
                <w:b w:val="0"/>
                <w:szCs w:val="21"/>
              </w:rPr>
              <w:t>1</w:t>
            </w:r>
            <w:r w:rsidRPr="00960F82">
              <w:rPr>
                <w:rStyle w:val="afff0"/>
                <w:rFonts w:asciiTheme="minorEastAsia" w:eastAsiaTheme="minorEastAsia" w:hAnsiTheme="minorEastAsia"/>
                <w:b w:val="0"/>
                <w:szCs w:val="21"/>
              </w:rPr>
              <w:t>.50%</w:t>
            </w:r>
          </w:p>
        </w:tc>
      </w:tr>
      <w:tr w:rsidR="00960F82" w:rsidRPr="00960F82" w:rsidTr="00D937F5">
        <w:trPr>
          <w:tblCellSpacing w:w="7" w:type="dxa"/>
          <w:jc w:val="center"/>
        </w:trPr>
        <w:tc>
          <w:tcPr>
            <w:tcW w:w="2457" w:type="pct"/>
            <w:shd w:val="clear" w:color="auto" w:fill="auto"/>
            <w:vAlign w:val="center"/>
          </w:tcPr>
          <w:p w:rsidR="001D2E2F" w:rsidRPr="00960F82" w:rsidRDefault="0071674B" w:rsidP="00084917">
            <w:pPr>
              <w:snapToGrid w:val="0"/>
              <w:spacing w:line="360" w:lineRule="auto"/>
              <w:ind w:leftChars="164" w:left="344"/>
              <w:rPr>
                <w:rFonts w:asciiTheme="minorEastAsia" w:eastAsiaTheme="minorEastAsia" w:hAnsiTheme="minorEastAsia" w:cs="Arial Unicode MS"/>
                <w:szCs w:val="21"/>
              </w:rPr>
            </w:pPr>
            <w:r w:rsidRPr="00960F82">
              <w:rPr>
                <w:rFonts w:asciiTheme="minorEastAsia" w:eastAsiaTheme="minorEastAsia" w:hAnsiTheme="minorEastAsia"/>
                <w:szCs w:val="21"/>
              </w:rPr>
              <w:t>7</w:t>
            </w:r>
            <w:r w:rsidR="001D2E2F" w:rsidRPr="00960F82">
              <w:rPr>
                <w:rFonts w:asciiTheme="minorEastAsia" w:eastAsiaTheme="minorEastAsia" w:hAnsiTheme="minorEastAsia"/>
                <w:szCs w:val="21"/>
              </w:rPr>
              <w:t>-</w:t>
            </w:r>
            <w:r w:rsidR="001D2E2F" w:rsidRPr="00960F82">
              <w:rPr>
                <w:rStyle w:val="afff0"/>
                <w:rFonts w:asciiTheme="minorEastAsia" w:eastAsiaTheme="minorEastAsia" w:hAnsiTheme="minorEastAsia"/>
                <w:b w:val="0"/>
                <w:szCs w:val="21"/>
              </w:rPr>
              <w:t>364</w:t>
            </w:r>
          </w:p>
        </w:tc>
        <w:tc>
          <w:tcPr>
            <w:tcW w:w="2513" w:type="pct"/>
            <w:shd w:val="clear" w:color="auto" w:fill="auto"/>
            <w:vAlign w:val="center"/>
          </w:tcPr>
          <w:p w:rsidR="001D2E2F" w:rsidRPr="00960F82" w:rsidRDefault="001D2E2F" w:rsidP="00084917">
            <w:pPr>
              <w:snapToGrid w:val="0"/>
              <w:spacing w:line="360" w:lineRule="auto"/>
              <w:ind w:leftChars="226" w:left="475"/>
              <w:rPr>
                <w:rFonts w:asciiTheme="minorEastAsia" w:eastAsiaTheme="minorEastAsia" w:hAnsiTheme="minorEastAsia" w:cs="Arial Unicode MS"/>
                <w:szCs w:val="21"/>
              </w:rPr>
            </w:pPr>
            <w:r w:rsidRPr="00960F82">
              <w:rPr>
                <w:rFonts w:asciiTheme="minorEastAsia" w:eastAsiaTheme="minorEastAsia" w:hAnsiTheme="minorEastAsia"/>
                <w:szCs w:val="21"/>
              </w:rPr>
              <w:t>0.50%</w:t>
            </w:r>
          </w:p>
        </w:tc>
      </w:tr>
      <w:tr w:rsidR="00960F82" w:rsidRPr="00960F82" w:rsidTr="00D937F5">
        <w:trPr>
          <w:tblCellSpacing w:w="7" w:type="dxa"/>
          <w:jc w:val="center"/>
        </w:trPr>
        <w:tc>
          <w:tcPr>
            <w:tcW w:w="2457" w:type="pct"/>
            <w:shd w:val="clear" w:color="auto" w:fill="auto"/>
            <w:vAlign w:val="center"/>
          </w:tcPr>
          <w:p w:rsidR="001D2E2F" w:rsidRPr="00960F82" w:rsidRDefault="001D2E2F" w:rsidP="00084917">
            <w:pPr>
              <w:snapToGrid w:val="0"/>
              <w:spacing w:line="360" w:lineRule="auto"/>
              <w:ind w:leftChars="164" w:left="344"/>
              <w:rPr>
                <w:rFonts w:asciiTheme="minorEastAsia" w:eastAsiaTheme="minorEastAsia" w:hAnsiTheme="minorEastAsia" w:cs="Arial Unicode MS"/>
                <w:szCs w:val="21"/>
              </w:rPr>
            </w:pPr>
            <w:r w:rsidRPr="00960F82">
              <w:rPr>
                <w:rStyle w:val="afff0"/>
                <w:rFonts w:asciiTheme="minorEastAsia" w:eastAsiaTheme="minorEastAsia" w:hAnsiTheme="minorEastAsia"/>
                <w:b w:val="0"/>
                <w:szCs w:val="21"/>
              </w:rPr>
              <w:lastRenderedPageBreak/>
              <w:t>365</w:t>
            </w:r>
            <w:r w:rsidRPr="00960F82">
              <w:rPr>
                <w:rFonts w:asciiTheme="minorEastAsia" w:eastAsiaTheme="minorEastAsia" w:hAnsiTheme="minorEastAsia"/>
                <w:szCs w:val="21"/>
              </w:rPr>
              <w:t>-729</w:t>
            </w:r>
          </w:p>
        </w:tc>
        <w:tc>
          <w:tcPr>
            <w:tcW w:w="2513" w:type="pct"/>
            <w:shd w:val="clear" w:color="auto" w:fill="auto"/>
            <w:vAlign w:val="center"/>
          </w:tcPr>
          <w:p w:rsidR="001D2E2F" w:rsidRPr="00960F82" w:rsidRDefault="001D2E2F" w:rsidP="00084917">
            <w:pPr>
              <w:snapToGrid w:val="0"/>
              <w:spacing w:line="360" w:lineRule="auto"/>
              <w:ind w:leftChars="226" w:left="475"/>
              <w:rPr>
                <w:rFonts w:asciiTheme="minorEastAsia" w:eastAsiaTheme="minorEastAsia" w:hAnsiTheme="minorEastAsia" w:cs="Arial Unicode MS"/>
                <w:szCs w:val="21"/>
              </w:rPr>
            </w:pPr>
            <w:r w:rsidRPr="00960F82">
              <w:rPr>
                <w:rFonts w:asciiTheme="minorEastAsia" w:eastAsiaTheme="minorEastAsia" w:hAnsiTheme="minorEastAsia"/>
                <w:szCs w:val="21"/>
              </w:rPr>
              <w:t>0.25%</w:t>
            </w:r>
          </w:p>
        </w:tc>
      </w:tr>
      <w:tr w:rsidR="00960F82" w:rsidRPr="00960F82" w:rsidTr="00D937F5">
        <w:trPr>
          <w:tblCellSpacing w:w="7" w:type="dxa"/>
          <w:jc w:val="center"/>
        </w:trPr>
        <w:tc>
          <w:tcPr>
            <w:tcW w:w="2457" w:type="pct"/>
            <w:shd w:val="clear" w:color="auto" w:fill="auto"/>
            <w:vAlign w:val="center"/>
          </w:tcPr>
          <w:p w:rsidR="001D2E2F" w:rsidRPr="00960F82" w:rsidRDefault="001D2E2F" w:rsidP="00084917">
            <w:pPr>
              <w:snapToGrid w:val="0"/>
              <w:spacing w:line="360" w:lineRule="auto"/>
              <w:ind w:leftChars="164" w:left="344"/>
              <w:rPr>
                <w:rFonts w:asciiTheme="minorEastAsia" w:eastAsiaTheme="minorEastAsia" w:hAnsiTheme="minorEastAsia" w:cs="Arial Unicode MS"/>
                <w:szCs w:val="21"/>
              </w:rPr>
            </w:pPr>
            <w:r w:rsidRPr="00960F82">
              <w:rPr>
                <w:rFonts w:asciiTheme="minorEastAsia" w:eastAsiaTheme="minorEastAsia" w:hAnsiTheme="minorEastAsia"/>
                <w:szCs w:val="21"/>
              </w:rPr>
              <w:t>730</w:t>
            </w:r>
            <w:r w:rsidRPr="00960F82">
              <w:rPr>
                <w:rFonts w:asciiTheme="minorEastAsia" w:eastAsiaTheme="minorEastAsia" w:hAnsiTheme="minorEastAsia" w:hint="eastAsia"/>
                <w:szCs w:val="21"/>
              </w:rPr>
              <w:t>及以上</w:t>
            </w:r>
          </w:p>
        </w:tc>
        <w:tc>
          <w:tcPr>
            <w:tcW w:w="2513" w:type="pct"/>
            <w:shd w:val="clear" w:color="auto" w:fill="auto"/>
            <w:vAlign w:val="center"/>
          </w:tcPr>
          <w:p w:rsidR="001D2E2F" w:rsidRPr="00960F82" w:rsidRDefault="001D2E2F" w:rsidP="00084917">
            <w:pPr>
              <w:snapToGrid w:val="0"/>
              <w:spacing w:line="360" w:lineRule="auto"/>
              <w:ind w:leftChars="226" w:left="475"/>
              <w:rPr>
                <w:rFonts w:asciiTheme="minorEastAsia" w:eastAsiaTheme="minorEastAsia" w:hAnsiTheme="minorEastAsia" w:cs="Arial Unicode MS"/>
                <w:szCs w:val="21"/>
              </w:rPr>
            </w:pPr>
            <w:r w:rsidRPr="00960F82">
              <w:rPr>
                <w:rFonts w:asciiTheme="minorEastAsia" w:eastAsiaTheme="minorEastAsia" w:hAnsiTheme="minorEastAsia"/>
                <w:szCs w:val="21"/>
              </w:rPr>
              <w:t>0.00%</w:t>
            </w:r>
          </w:p>
        </w:tc>
      </w:tr>
    </w:tbl>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基金的赎回费由赎回人承担，</w:t>
      </w:r>
      <w:r w:rsidR="0071674B" w:rsidRPr="00960F82">
        <w:rPr>
          <w:rFonts w:asciiTheme="minorEastAsia" w:eastAsiaTheme="minorEastAsia" w:hAnsiTheme="minorEastAsia" w:hint="eastAsia"/>
          <w:szCs w:val="21"/>
        </w:rPr>
        <w:t>在基金份额持有人赎回基金份额时收取，对持有期少于7天（不含）的基金份额持有人所收取赎回费全额计入基金财产，对持有期在7天以上（含）的基金份额持有人所收取赎回费用总额的25%计入基金资产，</w:t>
      </w:r>
      <w:r w:rsidRPr="00960F82">
        <w:rPr>
          <w:rFonts w:asciiTheme="minorEastAsia" w:eastAsiaTheme="minorEastAsia" w:hAnsiTheme="minorEastAsia" w:hint="eastAsia"/>
          <w:szCs w:val="21"/>
        </w:rPr>
        <w:t>余额为注册登记费和其他手续费。</w:t>
      </w:r>
    </w:p>
    <w:p w:rsidR="001D2E2F" w:rsidRPr="00960F82" w:rsidRDefault="00D759DD" w:rsidP="00D759DD">
      <w:pPr>
        <w:pStyle w:val="a6"/>
        <w:tabs>
          <w:tab w:val="left" w:pos="735"/>
        </w:tabs>
        <w:snapToGrid w:val="0"/>
        <w:spacing w:line="360" w:lineRule="auto"/>
        <w:ind w:left="420" w:firstLine="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rPr>
        <w:t>转换费率</w:t>
      </w:r>
    </w:p>
    <w:p w:rsidR="001D2E2F" w:rsidRPr="00960F82" w:rsidRDefault="00525DF5"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目前，基金管理人已开通了本基金与旗下部分开放式基金之间的转换业务，具体实施办法和转换费率详见相关公告。</w:t>
      </w:r>
      <w:r w:rsidR="001D2E2F" w:rsidRPr="00960F82">
        <w:rPr>
          <w:rFonts w:asciiTheme="minorEastAsia" w:eastAsiaTheme="minorEastAsia" w:hAnsiTheme="minorEastAsia" w:hint="eastAsia"/>
          <w:szCs w:val="21"/>
        </w:rPr>
        <w:t>本基金的转换费用由投资者承担，基金转换费用由转出基金赎回费用和基金申购补差费用构成，其中转出基金赎回费</w:t>
      </w:r>
      <w:r w:rsidR="00437D6D" w:rsidRPr="00960F82">
        <w:rPr>
          <w:rFonts w:asciiTheme="minorEastAsia" w:eastAsiaTheme="minorEastAsia" w:hAnsiTheme="minorEastAsia" w:hint="eastAsia"/>
        </w:rPr>
        <w:t>按照</w:t>
      </w:r>
      <w:r w:rsidR="00E5015A" w:rsidRPr="00960F82">
        <w:rPr>
          <w:rFonts w:asciiTheme="minorEastAsia" w:eastAsiaTheme="minorEastAsia" w:hAnsiTheme="minorEastAsia" w:hint="eastAsia"/>
        </w:rPr>
        <w:t>各</w:t>
      </w:r>
      <w:r w:rsidR="00E5015A" w:rsidRPr="00960F82">
        <w:rPr>
          <w:rFonts w:asciiTheme="minorEastAsia" w:eastAsiaTheme="minorEastAsia" w:hAnsiTheme="minorEastAsia"/>
        </w:rPr>
        <w:t>基金的</w:t>
      </w:r>
      <w:r w:rsidR="00437D6D" w:rsidRPr="00960F82">
        <w:rPr>
          <w:rFonts w:asciiTheme="minorEastAsia" w:eastAsiaTheme="minorEastAsia" w:hAnsiTheme="minorEastAsia" w:hint="eastAsia"/>
        </w:rPr>
        <w:t>基金合同、更新的招募说明书及最新的相关公告约定的比例归入基金财产</w:t>
      </w:r>
      <w:r w:rsidR="001D2E2F" w:rsidRPr="00960F82">
        <w:rPr>
          <w:rFonts w:asciiTheme="minorEastAsia" w:eastAsiaTheme="minorEastAsia" w:hAnsiTheme="minorEastAsia" w:hint="eastAsia"/>
          <w:szCs w:val="21"/>
        </w:rPr>
        <w:t>，其余部分用于支付注册登记费等相关手续费，</w:t>
      </w:r>
      <w:r w:rsidR="001D2E2F" w:rsidRPr="00960F82">
        <w:rPr>
          <w:rFonts w:asciiTheme="minorEastAsia" w:eastAsiaTheme="minorEastAsia" w:hAnsiTheme="minorEastAsia"/>
          <w:szCs w:val="21"/>
        </w:rPr>
        <w:t>转换费用以人民币元为单位，计算结果按照四舍五入方法，保留小数点后两位</w:t>
      </w:r>
      <w:r w:rsidR="001D2E2F" w:rsidRPr="00960F82">
        <w:rPr>
          <w:rFonts w:asciiTheme="minorEastAsia" w:eastAsiaTheme="minorEastAsia" w:hAnsiTheme="minorEastAsia" w:hint="eastAsia"/>
          <w:szCs w:val="21"/>
        </w:rPr>
        <w:t>。</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szCs w:val="21"/>
        </w:rPr>
        <w:t>基金管理人可以在基金合同规定的范围内调整</w:t>
      </w:r>
      <w:r w:rsidR="001D2E2F" w:rsidRPr="00960F82">
        <w:rPr>
          <w:rFonts w:asciiTheme="minorEastAsia" w:eastAsiaTheme="minorEastAsia" w:hAnsiTheme="minorEastAsia" w:hint="eastAsia"/>
          <w:szCs w:val="21"/>
        </w:rPr>
        <w:t>上述</w:t>
      </w:r>
      <w:r w:rsidR="001D2E2F" w:rsidRPr="00960F82">
        <w:rPr>
          <w:rFonts w:asciiTheme="minorEastAsia" w:eastAsiaTheme="minorEastAsia" w:hAnsiTheme="minorEastAsia"/>
          <w:szCs w:val="21"/>
        </w:rPr>
        <w:t>费率</w:t>
      </w:r>
      <w:r w:rsidR="001D2E2F" w:rsidRPr="00960F82">
        <w:rPr>
          <w:rFonts w:asciiTheme="minorEastAsia" w:eastAsiaTheme="minorEastAsia" w:hAnsiTheme="minorEastAsia" w:hint="eastAsia"/>
          <w:szCs w:val="21"/>
        </w:rPr>
        <w:t>。</w:t>
      </w:r>
      <w:r w:rsidR="001D2E2F" w:rsidRPr="00960F82">
        <w:rPr>
          <w:rFonts w:asciiTheme="minorEastAsia" w:eastAsiaTheme="minorEastAsia" w:hAnsiTheme="minorEastAsia"/>
          <w:szCs w:val="21"/>
        </w:rPr>
        <w:t>上述费率如发生变更，基金管理人应最迟于新的费率实施前3个工作日在</w:t>
      </w:r>
      <w:r w:rsidR="008B3426" w:rsidRPr="00960F82">
        <w:rPr>
          <w:rFonts w:asciiTheme="minorEastAsia" w:eastAsiaTheme="minorEastAsia" w:hAnsiTheme="minorEastAsia" w:hint="eastAsia"/>
          <w:szCs w:val="21"/>
        </w:rPr>
        <w:t>指定</w:t>
      </w:r>
      <w:r w:rsidR="008B3426" w:rsidRPr="00960F82">
        <w:rPr>
          <w:rFonts w:asciiTheme="minorEastAsia" w:eastAsiaTheme="minorEastAsia" w:hAnsiTheme="minorEastAsia"/>
          <w:szCs w:val="21"/>
        </w:rPr>
        <w:t>媒介</w:t>
      </w:r>
      <w:r w:rsidR="001D2E2F" w:rsidRPr="00960F82">
        <w:rPr>
          <w:rFonts w:asciiTheme="minorEastAsia" w:eastAsiaTheme="minorEastAsia" w:hAnsiTheme="minorEastAsia"/>
          <w:szCs w:val="21"/>
        </w:rPr>
        <w:t>公告。</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6、</w:t>
      </w:r>
      <w:r w:rsidR="00E707A9" w:rsidRPr="00960F82">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94" w:name="_Toc30161815"/>
      <w:r w:rsidRPr="00960F82">
        <w:rPr>
          <w:rFonts w:asciiTheme="minorEastAsia" w:eastAsiaTheme="minorEastAsia" w:hAnsiTheme="minorEastAsia" w:hint="eastAsia"/>
          <w:bCs/>
        </w:rPr>
        <w:t>（三）基金税收</w:t>
      </w:r>
      <w:bookmarkEnd w:id="94"/>
    </w:p>
    <w:p w:rsidR="001D2E2F" w:rsidRPr="00960F82" w:rsidRDefault="001D2E2F" w:rsidP="00084917">
      <w:pPr>
        <w:snapToGrid w:val="0"/>
        <w:spacing w:line="360" w:lineRule="auto"/>
        <w:ind w:firstLine="480"/>
        <w:rPr>
          <w:rFonts w:asciiTheme="minorEastAsia" w:eastAsiaTheme="minorEastAsia" w:hAnsiTheme="minorEastAsia"/>
          <w:szCs w:val="21"/>
        </w:rPr>
      </w:pPr>
      <w:r w:rsidRPr="00960F82">
        <w:rPr>
          <w:rFonts w:asciiTheme="minorEastAsia" w:eastAsiaTheme="minorEastAsia" w:hAnsiTheme="minorEastAsia" w:hint="eastAsia"/>
          <w:szCs w:val="21"/>
        </w:rPr>
        <w:t>本基金运作过程中涉及的各纳税主体，应按国家税收法律、法规履行其纳税义务。</w:t>
      </w:r>
    </w:p>
    <w:p w:rsidR="001D2E2F" w:rsidRPr="00960F82" w:rsidRDefault="001D2E2F"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D759DD" w:rsidRPr="00960F82" w:rsidRDefault="00D759DD" w:rsidP="00084917">
      <w:pPr>
        <w:snapToGrid w:val="0"/>
        <w:spacing w:line="360" w:lineRule="auto"/>
        <w:rPr>
          <w:rFonts w:asciiTheme="minorEastAsia" w:eastAsiaTheme="minorEastAsia" w:hAnsiTheme="minorEastAsia"/>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Cs/>
        </w:rPr>
      </w:pPr>
      <w:bookmarkStart w:id="95" w:name="_Toc38437218"/>
      <w:bookmarkStart w:id="96" w:name="_Toc38437354"/>
      <w:bookmarkStart w:id="97" w:name="_Toc38437490"/>
      <w:bookmarkStart w:id="98" w:name="_Toc38437626"/>
      <w:bookmarkStart w:id="99" w:name="_Toc38437772"/>
      <w:bookmarkStart w:id="100" w:name="_Toc38437918"/>
      <w:bookmarkStart w:id="101" w:name="_Toc38438064"/>
      <w:bookmarkStart w:id="102" w:name="_Toc38438210"/>
      <w:bookmarkStart w:id="103" w:name="_Toc38438547"/>
      <w:bookmarkStart w:id="104" w:name="_Toc38438884"/>
      <w:bookmarkStart w:id="105" w:name="_Toc38439221"/>
      <w:bookmarkStart w:id="106" w:name="_Toc38439558"/>
      <w:bookmarkStart w:id="107" w:name="_Toc38439895"/>
      <w:bookmarkStart w:id="108" w:name="_Toc38440232"/>
      <w:bookmarkStart w:id="109" w:name="_Toc38440569"/>
      <w:bookmarkStart w:id="110" w:name="_Toc38440768"/>
      <w:bookmarkStart w:id="111" w:name="_Toc38441101"/>
      <w:bookmarkStart w:id="112" w:name="_Toc38441433"/>
      <w:bookmarkStart w:id="113" w:name="_Toc38441765"/>
      <w:bookmarkStart w:id="114" w:name="_Toc38442093"/>
      <w:bookmarkStart w:id="115" w:name="_Toc38442425"/>
      <w:bookmarkStart w:id="116" w:name="_Toc38442757"/>
      <w:bookmarkStart w:id="117" w:name="_Toc38443088"/>
      <w:bookmarkStart w:id="118" w:name="_Toc38443419"/>
      <w:bookmarkStart w:id="119" w:name="_Toc38443750"/>
      <w:bookmarkStart w:id="120" w:name="_Toc3016181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60F82">
        <w:rPr>
          <w:rFonts w:asciiTheme="minorEastAsia" w:eastAsiaTheme="minorEastAsia" w:hAnsiTheme="minorEastAsia" w:hint="eastAsia"/>
          <w:b/>
          <w:bCs/>
        </w:rPr>
        <w:lastRenderedPageBreak/>
        <w:t>十四、基金的会计与审计</w:t>
      </w:r>
      <w:bookmarkEnd w:id="120"/>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121" w:name="_Toc30161817"/>
      <w:r w:rsidRPr="00960F82">
        <w:rPr>
          <w:rFonts w:asciiTheme="minorEastAsia" w:eastAsiaTheme="minorEastAsia" w:hAnsiTheme="minorEastAsia" w:hint="eastAsia"/>
          <w:bCs/>
        </w:rPr>
        <w:t>（一）基金会计政策</w:t>
      </w:r>
      <w:bookmarkEnd w:id="121"/>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基金管理人为本基金的基金会计责任方；</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基金的会计年度为公历每年1月1日至12月31日；</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基金核算以人民币为记帐本位币，记帐单位是人民币元；</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会计制度执行国家有关的会计制度；</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本</w:t>
      </w:r>
      <w:r w:rsidR="001D2E2F" w:rsidRPr="00960F82">
        <w:rPr>
          <w:rFonts w:asciiTheme="minorEastAsia" w:eastAsiaTheme="minorEastAsia" w:hAnsiTheme="minorEastAsia"/>
          <w:szCs w:val="21"/>
        </w:rPr>
        <w:t>基金</w:t>
      </w:r>
      <w:r w:rsidR="001D2E2F" w:rsidRPr="00960F82">
        <w:rPr>
          <w:rFonts w:asciiTheme="minorEastAsia" w:eastAsiaTheme="minorEastAsia" w:hAnsiTheme="minorEastAsia" w:hint="eastAsia"/>
          <w:szCs w:val="21"/>
        </w:rPr>
        <w:t>独立建帐、独立核算；</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基金管理人及基金托管人各自保留完整的基金会计帐目、凭证并进行日常的会计核算，按照有关规定编制基金会计报表；</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7、</w:t>
      </w:r>
      <w:r w:rsidR="001D2E2F" w:rsidRPr="00960F82">
        <w:rPr>
          <w:rFonts w:asciiTheme="minorEastAsia" w:eastAsiaTheme="minorEastAsia" w:hAnsiTheme="minorEastAsia" w:hint="eastAsia"/>
          <w:szCs w:val="21"/>
        </w:rPr>
        <w:t>基金托管人每月与基金管理人就基金的会计核算、报表编制等进行核对并以书面方式确认。</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122" w:name="_Toc30161818"/>
      <w:r w:rsidRPr="00960F82">
        <w:rPr>
          <w:rFonts w:asciiTheme="minorEastAsia" w:eastAsiaTheme="minorEastAsia" w:hAnsiTheme="minorEastAsia" w:hint="eastAsia"/>
          <w:bCs/>
        </w:rPr>
        <w:t>（二）基金的审计</w:t>
      </w:r>
      <w:bookmarkEnd w:id="122"/>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基金管理人聘请具有证券</w:t>
      </w:r>
      <w:r w:rsidR="002D277E" w:rsidRPr="00960F82">
        <w:rPr>
          <w:rFonts w:asciiTheme="minorEastAsia" w:eastAsiaTheme="minorEastAsia" w:hAnsiTheme="minorEastAsia" w:hint="eastAsia"/>
          <w:szCs w:val="21"/>
        </w:rPr>
        <w:t>、期货相关业务资格</w:t>
      </w:r>
      <w:r w:rsidR="001D2E2F" w:rsidRPr="00960F82">
        <w:rPr>
          <w:rFonts w:asciiTheme="minorEastAsia" w:eastAsiaTheme="minorEastAsia" w:hAnsiTheme="minorEastAsia" w:hint="eastAsia"/>
          <w:szCs w:val="21"/>
        </w:rPr>
        <w:t>的会计师事务所及其注册会计师对基金年度财务报表及其它规定事项进行审计。会计师事务所及其注册会计师与基金管理人、基金托管人相互独立。</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会计师事务所更换经办注册会计师时，须事先征得基金管理人同意，并报中国证监会备案。</w:t>
      </w:r>
    </w:p>
    <w:p w:rsidR="001D2E2F" w:rsidRPr="00960F82" w:rsidRDefault="00D759DD" w:rsidP="00D759DD">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基金管理人（或基金托管人）认为有充足理由更换会计师事务所，经基金托管人（或基金管理人）同意可以更换。基金管理人应当在更换会计师事务所后2日内公告。</w:t>
      </w:r>
    </w:p>
    <w:p w:rsidR="001D2E2F" w:rsidRPr="00960F82" w:rsidRDefault="001D2E2F" w:rsidP="00084917">
      <w:pPr>
        <w:autoSpaceDE w:val="0"/>
        <w:autoSpaceDN w:val="0"/>
        <w:snapToGrid w:val="0"/>
        <w:spacing w:line="360" w:lineRule="auto"/>
        <w:ind w:firstLine="480"/>
        <w:rPr>
          <w:rFonts w:asciiTheme="minorEastAsia" w:eastAsiaTheme="minorEastAsia" w:hAnsiTheme="minorEastAsia"/>
          <w:szCs w:val="21"/>
        </w:rPr>
      </w:pPr>
      <w:bookmarkStart w:id="123" w:name="_Toc38433500"/>
      <w:bookmarkStart w:id="124" w:name="_Toc38433635"/>
      <w:bookmarkStart w:id="125" w:name="_Toc38433769"/>
      <w:bookmarkStart w:id="126" w:name="_Toc38433919"/>
      <w:bookmarkStart w:id="127" w:name="_Toc38434067"/>
      <w:bookmarkStart w:id="128" w:name="_Toc38434215"/>
      <w:bookmarkStart w:id="129" w:name="_Toc38434361"/>
      <w:bookmarkStart w:id="130" w:name="_Toc38434504"/>
      <w:bookmarkStart w:id="131" w:name="_Toc38434647"/>
      <w:bookmarkStart w:id="132" w:name="_Toc38434790"/>
      <w:bookmarkStart w:id="133" w:name="_Toc38434934"/>
      <w:bookmarkStart w:id="134" w:name="_Toc38437630"/>
      <w:bookmarkStart w:id="135" w:name="_Toc38437776"/>
      <w:bookmarkStart w:id="136" w:name="_Toc38437922"/>
      <w:bookmarkStart w:id="137" w:name="_Toc38438068"/>
      <w:bookmarkStart w:id="138" w:name="_Toc38438214"/>
      <w:bookmarkStart w:id="139" w:name="_Toc38438551"/>
      <w:bookmarkStart w:id="140" w:name="_Toc38438888"/>
      <w:bookmarkStart w:id="141" w:name="_Toc38439225"/>
      <w:bookmarkStart w:id="142" w:name="_Toc38439562"/>
      <w:bookmarkStart w:id="143" w:name="_Toc38439899"/>
      <w:bookmarkStart w:id="144" w:name="_Toc38440236"/>
      <w:bookmarkStart w:id="145" w:name="_Toc38440573"/>
      <w:bookmarkStart w:id="146" w:name="_Toc38440772"/>
      <w:bookmarkStart w:id="147" w:name="_Toc38441105"/>
      <w:bookmarkStart w:id="148" w:name="_Toc38441437"/>
      <w:bookmarkStart w:id="149" w:name="_Toc38441769"/>
      <w:bookmarkStart w:id="150" w:name="_Toc38442097"/>
      <w:bookmarkStart w:id="151" w:name="_Toc38442429"/>
      <w:bookmarkStart w:id="152" w:name="_Toc38442761"/>
      <w:bookmarkStart w:id="153" w:name="_Toc38443092"/>
      <w:bookmarkStart w:id="154" w:name="_Toc38443423"/>
      <w:bookmarkStart w:id="155" w:name="_Toc38443754"/>
      <w:bookmarkStart w:id="156" w:name="_Toc38433501"/>
      <w:bookmarkStart w:id="157" w:name="_Toc38433636"/>
      <w:bookmarkStart w:id="158" w:name="_Toc38433770"/>
      <w:bookmarkStart w:id="159" w:name="_Toc38433920"/>
      <w:bookmarkStart w:id="160" w:name="_Toc38434068"/>
      <w:bookmarkStart w:id="161" w:name="_Toc38434216"/>
      <w:bookmarkStart w:id="162" w:name="_Toc38434362"/>
      <w:bookmarkStart w:id="163" w:name="_Toc38434505"/>
      <w:bookmarkStart w:id="164" w:name="_Toc38434648"/>
      <w:bookmarkStart w:id="165" w:name="_Toc38434791"/>
      <w:bookmarkStart w:id="166" w:name="_Toc38434935"/>
      <w:bookmarkStart w:id="167" w:name="_Toc38437631"/>
      <w:bookmarkStart w:id="168" w:name="_Toc38437777"/>
      <w:bookmarkStart w:id="169" w:name="_Toc38437923"/>
      <w:bookmarkStart w:id="170" w:name="_Toc38438069"/>
      <w:bookmarkStart w:id="171" w:name="_Toc38438215"/>
      <w:bookmarkStart w:id="172" w:name="_Toc38438552"/>
      <w:bookmarkStart w:id="173" w:name="_Toc38438889"/>
      <w:bookmarkStart w:id="174" w:name="_Toc38439226"/>
      <w:bookmarkStart w:id="175" w:name="_Toc38439563"/>
      <w:bookmarkStart w:id="176" w:name="_Toc38439900"/>
      <w:bookmarkStart w:id="177" w:name="_Toc38440237"/>
      <w:bookmarkStart w:id="178" w:name="_Toc38440574"/>
      <w:bookmarkStart w:id="179" w:name="_Toc38440773"/>
      <w:bookmarkStart w:id="180" w:name="_Toc38441106"/>
      <w:bookmarkStart w:id="181" w:name="_Toc38441438"/>
      <w:bookmarkStart w:id="182" w:name="_Toc38441770"/>
      <w:bookmarkStart w:id="183" w:name="_Toc38442098"/>
      <w:bookmarkStart w:id="184" w:name="_Toc38442430"/>
      <w:bookmarkStart w:id="185" w:name="_Toc38442762"/>
      <w:bookmarkStart w:id="186" w:name="_Toc38443093"/>
      <w:bookmarkStart w:id="187" w:name="_Toc38443424"/>
      <w:bookmarkStart w:id="188" w:name="_Toc38443755"/>
      <w:bookmarkStart w:id="189" w:name="_Toc38433502"/>
      <w:bookmarkStart w:id="190" w:name="_Toc38433637"/>
      <w:bookmarkStart w:id="191" w:name="_Toc38433771"/>
      <w:bookmarkStart w:id="192" w:name="_Toc38433921"/>
      <w:bookmarkStart w:id="193" w:name="_Toc38434069"/>
      <w:bookmarkStart w:id="194" w:name="_Toc38434217"/>
      <w:bookmarkStart w:id="195" w:name="_Toc38434363"/>
      <w:bookmarkStart w:id="196" w:name="_Toc38434506"/>
      <w:bookmarkStart w:id="197" w:name="_Toc38434649"/>
      <w:bookmarkStart w:id="198" w:name="_Toc38434792"/>
      <w:bookmarkStart w:id="199" w:name="_Toc38434936"/>
      <w:bookmarkStart w:id="200" w:name="_Toc38437632"/>
      <w:bookmarkStart w:id="201" w:name="_Toc38437778"/>
      <w:bookmarkStart w:id="202" w:name="_Toc38437924"/>
      <w:bookmarkStart w:id="203" w:name="_Toc38438070"/>
      <w:bookmarkStart w:id="204" w:name="_Toc38438216"/>
      <w:bookmarkStart w:id="205" w:name="_Toc38438553"/>
      <w:bookmarkStart w:id="206" w:name="_Toc38438890"/>
      <w:bookmarkStart w:id="207" w:name="_Toc38439227"/>
      <w:bookmarkStart w:id="208" w:name="_Toc38439564"/>
      <w:bookmarkStart w:id="209" w:name="_Toc38439901"/>
      <w:bookmarkStart w:id="210" w:name="_Toc38440238"/>
      <w:bookmarkStart w:id="211" w:name="_Toc38440575"/>
      <w:bookmarkStart w:id="212" w:name="_Toc38440774"/>
      <w:bookmarkStart w:id="213" w:name="_Toc38441107"/>
      <w:bookmarkStart w:id="214" w:name="_Toc38441439"/>
      <w:bookmarkStart w:id="215" w:name="_Toc38441771"/>
      <w:bookmarkStart w:id="216" w:name="_Toc38442099"/>
      <w:bookmarkStart w:id="217" w:name="_Toc38442431"/>
      <w:bookmarkStart w:id="218" w:name="_Toc38442763"/>
      <w:bookmarkStart w:id="219" w:name="_Toc38443094"/>
      <w:bookmarkStart w:id="220" w:name="_Toc38443425"/>
      <w:bookmarkStart w:id="221" w:name="_Toc38443756"/>
      <w:bookmarkStart w:id="222" w:name="_Toc38433503"/>
      <w:bookmarkStart w:id="223" w:name="_Toc38433638"/>
      <w:bookmarkStart w:id="224" w:name="_Toc38433772"/>
      <w:bookmarkStart w:id="225" w:name="_Toc38433922"/>
      <w:bookmarkStart w:id="226" w:name="_Toc38434070"/>
      <w:bookmarkStart w:id="227" w:name="_Toc38434218"/>
      <w:bookmarkStart w:id="228" w:name="_Toc38434364"/>
      <w:bookmarkStart w:id="229" w:name="_Toc38434507"/>
      <w:bookmarkStart w:id="230" w:name="_Toc38434650"/>
      <w:bookmarkStart w:id="231" w:name="_Toc38434793"/>
      <w:bookmarkStart w:id="232" w:name="_Toc38434937"/>
      <w:bookmarkStart w:id="233" w:name="_Toc38437633"/>
      <w:bookmarkStart w:id="234" w:name="_Toc38437779"/>
      <w:bookmarkStart w:id="235" w:name="_Toc38437925"/>
      <w:bookmarkStart w:id="236" w:name="_Toc38438071"/>
      <w:bookmarkStart w:id="237" w:name="_Toc38438217"/>
      <w:bookmarkStart w:id="238" w:name="_Toc38438554"/>
      <w:bookmarkStart w:id="239" w:name="_Toc38438891"/>
      <w:bookmarkStart w:id="240" w:name="_Toc38439228"/>
      <w:bookmarkStart w:id="241" w:name="_Toc38439565"/>
      <w:bookmarkStart w:id="242" w:name="_Toc38439902"/>
      <w:bookmarkStart w:id="243" w:name="_Toc38440239"/>
      <w:bookmarkStart w:id="244" w:name="_Toc38440576"/>
      <w:bookmarkStart w:id="245" w:name="_Toc38440775"/>
      <w:bookmarkStart w:id="246" w:name="_Toc38441108"/>
      <w:bookmarkStart w:id="247" w:name="_Toc38441440"/>
      <w:bookmarkStart w:id="248" w:name="_Toc38441772"/>
      <w:bookmarkStart w:id="249" w:name="_Toc38442100"/>
      <w:bookmarkStart w:id="250" w:name="_Toc38442432"/>
      <w:bookmarkStart w:id="251" w:name="_Toc38442764"/>
      <w:bookmarkStart w:id="252" w:name="_Toc38443095"/>
      <w:bookmarkStart w:id="253" w:name="_Toc38443426"/>
      <w:bookmarkStart w:id="254" w:name="_Toc38443757"/>
      <w:bookmarkStart w:id="255" w:name="_Toc38433504"/>
      <w:bookmarkStart w:id="256" w:name="_Toc38433639"/>
      <w:bookmarkStart w:id="257" w:name="_Toc38433773"/>
      <w:bookmarkStart w:id="258" w:name="_Toc38433923"/>
      <w:bookmarkStart w:id="259" w:name="_Toc38434071"/>
      <w:bookmarkStart w:id="260" w:name="_Toc38434219"/>
      <w:bookmarkStart w:id="261" w:name="_Toc38434365"/>
      <w:bookmarkStart w:id="262" w:name="_Toc38434508"/>
      <w:bookmarkStart w:id="263" w:name="_Toc38434651"/>
      <w:bookmarkStart w:id="264" w:name="_Toc38434794"/>
      <w:bookmarkStart w:id="265" w:name="_Toc38434938"/>
      <w:bookmarkStart w:id="266" w:name="_Toc38437634"/>
      <w:bookmarkStart w:id="267" w:name="_Toc38437780"/>
      <w:bookmarkStart w:id="268" w:name="_Toc38437926"/>
      <w:bookmarkStart w:id="269" w:name="_Toc38438072"/>
      <w:bookmarkStart w:id="270" w:name="_Toc38438218"/>
      <w:bookmarkStart w:id="271" w:name="_Toc38438555"/>
      <w:bookmarkStart w:id="272" w:name="_Toc38438892"/>
      <w:bookmarkStart w:id="273" w:name="_Toc38439229"/>
      <w:bookmarkStart w:id="274" w:name="_Toc38439566"/>
      <w:bookmarkStart w:id="275" w:name="_Toc38439903"/>
      <w:bookmarkStart w:id="276" w:name="_Toc38440240"/>
      <w:bookmarkStart w:id="277" w:name="_Toc38440577"/>
      <w:bookmarkStart w:id="278" w:name="_Toc38440776"/>
      <w:bookmarkStart w:id="279" w:name="_Toc38441109"/>
      <w:bookmarkStart w:id="280" w:name="_Toc38441441"/>
      <w:bookmarkStart w:id="281" w:name="_Toc38441773"/>
      <w:bookmarkStart w:id="282" w:name="_Toc38442101"/>
      <w:bookmarkStart w:id="283" w:name="_Toc38442433"/>
      <w:bookmarkStart w:id="284" w:name="_Toc38442765"/>
      <w:bookmarkStart w:id="285" w:name="_Toc38443096"/>
      <w:bookmarkStart w:id="286" w:name="_Toc38443427"/>
      <w:bookmarkStart w:id="287" w:name="_Toc38443758"/>
      <w:bookmarkStart w:id="288" w:name="_Toc38433505"/>
      <w:bookmarkStart w:id="289" w:name="_Toc38433640"/>
      <w:bookmarkStart w:id="290" w:name="_Toc38433774"/>
      <w:bookmarkStart w:id="291" w:name="_Toc38433924"/>
      <w:bookmarkStart w:id="292" w:name="_Toc38434072"/>
      <w:bookmarkStart w:id="293" w:name="_Toc38434220"/>
      <w:bookmarkStart w:id="294" w:name="_Toc38434366"/>
      <w:bookmarkStart w:id="295" w:name="_Toc38434509"/>
      <w:bookmarkStart w:id="296" w:name="_Toc38434652"/>
      <w:bookmarkStart w:id="297" w:name="_Toc38434795"/>
      <w:bookmarkStart w:id="298" w:name="_Toc38434939"/>
      <w:bookmarkStart w:id="299" w:name="_Toc38437635"/>
      <w:bookmarkStart w:id="300" w:name="_Toc38437781"/>
      <w:bookmarkStart w:id="301" w:name="_Toc38437927"/>
      <w:bookmarkStart w:id="302" w:name="_Toc38438073"/>
      <w:bookmarkStart w:id="303" w:name="_Toc38438219"/>
      <w:bookmarkStart w:id="304" w:name="_Toc38438556"/>
      <w:bookmarkStart w:id="305" w:name="_Toc38438893"/>
      <w:bookmarkStart w:id="306" w:name="_Toc38439230"/>
      <w:bookmarkStart w:id="307" w:name="_Toc38439567"/>
      <w:bookmarkStart w:id="308" w:name="_Toc38439904"/>
      <w:bookmarkStart w:id="309" w:name="_Toc38440241"/>
      <w:bookmarkStart w:id="310" w:name="_Toc38440578"/>
      <w:bookmarkStart w:id="311" w:name="_Toc38440777"/>
      <w:bookmarkStart w:id="312" w:name="_Toc38441110"/>
      <w:bookmarkStart w:id="313" w:name="_Toc38441442"/>
      <w:bookmarkStart w:id="314" w:name="_Toc38441774"/>
      <w:bookmarkStart w:id="315" w:name="_Toc38442102"/>
      <w:bookmarkStart w:id="316" w:name="_Toc38442434"/>
      <w:bookmarkStart w:id="317" w:name="_Toc38442766"/>
      <w:bookmarkStart w:id="318" w:name="_Toc38443097"/>
      <w:bookmarkStart w:id="319" w:name="_Toc38443428"/>
      <w:bookmarkStart w:id="320" w:name="_Toc38443759"/>
      <w:bookmarkStart w:id="321" w:name="_Toc38433506"/>
      <w:bookmarkStart w:id="322" w:name="_Toc38433641"/>
      <w:bookmarkStart w:id="323" w:name="_Toc38433775"/>
      <w:bookmarkStart w:id="324" w:name="_Toc38433925"/>
      <w:bookmarkStart w:id="325" w:name="_Toc38434073"/>
      <w:bookmarkStart w:id="326" w:name="_Toc38434221"/>
      <w:bookmarkStart w:id="327" w:name="_Toc38434367"/>
      <w:bookmarkStart w:id="328" w:name="_Toc38434510"/>
      <w:bookmarkStart w:id="329" w:name="_Toc38434653"/>
      <w:bookmarkStart w:id="330" w:name="_Toc38434796"/>
      <w:bookmarkStart w:id="331" w:name="_Toc38434940"/>
      <w:bookmarkStart w:id="332" w:name="_Toc38437636"/>
      <w:bookmarkStart w:id="333" w:name="_Toc38437782"/>
      <w:bookmarkStart w:id="334" w:name="_Toc38437928"/>
      <w:bookmarkStart w:id="335" w:name="_Toc38438074"/>
      <w:bookmarkStart w:id="336" w:name="_Toc38438220"/>
      <w:bookmarkStart w:id="337" w:name="_Toc38438557"/>
      <w:bookmarkStart w:id="338" w:name="_Toc38438894"/>
      <w:bookmarkStart w:id="339" w:name="_Toc38439231"/>
      <w:bookmarkStart w:id="340" w:name="_Toc38439568"/>
      <w:bookmarkStart w:id="341" w:name="_Toc38439905"/>
      <w:bookmarkStart w:id="342" w:name="_Toc38440242"/>
      <w:bookmarkStart w:id="343" w:name="_Toc38440579"/>
      <w:bookmarkStart w:id="344" w:name="_Toc38440778"/>
      <w:bookmarkStart w:id="345" w:name="_Toc38441111"/>
      <w:bookmarkStart w:id="346" w:name="_Toc38441443"/>
      <w:bookmarkStart w:id="347" w:name="_Toc38441775"/>
      <w:bookmarkStart w:id="348" w:name="_Toc38442103"/>
      <w:bookmarkStart w:id="349" w:name="_Toc38442435"/>
      <w:bookmarkStart w:id="350" w:name="_Toc38442767"/>
      <w:bookmarkStart w:id="351" w:name="_Toc38443098"/>
      <w:bookmarkStart w:id="352" w:name="_Toc38443429"/>
      <w:bookmarkStart w:id="353" w:name="_Toc38443760"/>
      <w:bookmarkStart w:id="354" w:name="_Toc38433507"/>
      <w:bookmarkStart w:id="355" w:name="_Toc38433642"/>
      <w:bookmarkStart w:id="356" w:name="_Toc38433776"/>
      <w:bookmarkStart w:id="357" w:name="_Toc38433926"/>
      <w:bookmarkStart w:id="358" w:name="_Toc38434074"/>
      <w:bookmarkStart w:id="359" w:name="_Toc38434222"/>
      <w:bookmarkStart w:id="360" w:name="_Toc38434368"/>
      <w:bookmarkStart w:id="361" w:name="_Toc38434511"/>
      <w:bookmarkStart w:id="362" w:name="_Toc38434654"/>
      <w:bookmarkStart w:id="363" w:name="_Toc38434797"/>
      <w:bookmarkStart w:id="364" w:name="_Toc38434941"/>
      <w:bookmarkStart w:id="365" w:name="_Toc38437637"/>
      <w:bookmarkStart w:id="366" w:name="_Toc38437783"/>
      <w:bookmarkStart w:id="367" w:name="_Toc38437929"/>
      <w:bookmarkStart w:id="368" w:name="_Toc38438075"/>
      <w:bookmarkStart w:id="369" w:name="_Toc38438221"/>
      <w:bookmarkStart w:id="370" w:name="_Toc38438558"/>
      <w:bookmarkStart w:id="371" w:name="_Toc38438895"/>
      <w:bookmarkStart w:id="372" w:name="_Toc38439232"/>
      <w:bookmarkStart w:id="373" w:name="_Toc38439569"/>
      <w:bookmarkStart w:id="374" w:name="_Toc38439906"/>
      <w:bookmarkStart w:id="375" w:name="_Toc38440243"/>
      <w:bookmarkStart w:id="376" w:name="_Toc38440580"/>
      <w:bookmarkStart w:id="377" w:name="_Toc38440779"/>
      <w:bookmarkStart w:id="378" w:name="_Toc38441112"/>
      <w:bookmarkStart w:id="379" w:name="_Toc38441444"/>
      <w:bookmarkStart w:id="380" w:name="_Toc38441776"/>
      <w:bookmarkStart w:id="381" w:name="_Toc38442104"/>
      <w:bookmarkStart w:id="382" w:name="_Toc38442436"/>
      <w:bookmarkStart w:id="383" w:name="_Toc38442768"/>
      <w:bookmarkStart w:id="384" w:name="_Toc38443099"/>
      <w:bookmarkStart w:id="385" w:name="_Toc38443430"/>
      <w:bookmarkStart w:id="386" w:name="_Toc38443761"/>
      <w:bookmarkStart w:id="387" w:name="_Toc38433508"/>
      <w:bookmarkStart w:id="388" w:name="_Toc38433643"/>
      <w:bookmarkStart w:id="389" w:name="_Toc38433777"/>
      <w:bookmarkStart w:id="390" w:name="_Toc38433927"/>
      <w:bookmarkStart w:id="391" w:name="_Toc38434075"/>
      <w:bookmarkStart w:id="392" w:name="_Toc38434223"/>
      <w:bookmarkStart w:id="393" w:name="_Toc38434369"/>
      <w:bookmarkStart w:id="394" w:name="_Toc38434512"/>
      <w:bookmarkStart w:id="395" w:name="_Toc38434655"/>
      <w:bookmarkStart w:id="396" w:name="_Toc38434798"/>
      <w:bookmarkStart w:id="397" w:name="_Toc38434942"/>
      <w:bookmarkStart w:id="398" w:name="_Toc38437638"/>
      <w:bookmarkStart w:id="399" w:name="_Toc38437784"/>
      <w:bookmarkStart w:id="400" w:name="_Toc38437930"/>
      <w:bookmarkStart w:id="401" w:name="_Toc38438076"/>
      <w:bookmarkStart w:id="402" w:name="_Toc38438222"/>
      <w:bookmarkStart w:id="403" w:name="_Toc38438559"/>
      <w:bookmarkStart w:id="404" w:name="_Toc38438896"/>
      <w:bookmarkStart w:id="405" w:name="_Toc38439233"/>
      <w:bookmarkStart w:id="406" w:name="_Toc38439570"/>
      <w:bookmarkStart w:id="407" w:name="_Toc38439907"/>
      <w:bookmarkStart w:id="408" w:name="_Toc38440244"/>
      <w:bookmarkStart w:id="409" w:name="_Toc38440581"/>
      <w:bookmarkStart w:id="410" w:name="_Toc38440780"/>
      <w:bookmarkStart w:id="411" w:name="_Toc38441113"/>
      <w:bookmarkStart w:id="412" w:name="_Toc38441445"/>
      <w:bookmarkStart w:id="413" w:name="_Toc38441777"/>
      <w:bookmarkStart w:id="414" w:name="_Toc38442105"/>
      <w:bookmarkStart w:id="415" w:name="_Toc38442437"/>
      <w:bookmarkStart w:id="416" w:name="_Toc38442769"/>
      <w:bookmarkStart w:id="417" w:name="_Toc38443100"/>
      <w:bookmarkStart w:id="418" w:name="_Toc38443431"/>
      <w:bookmarkStart w:id="419" w:name="_Toc38443762"/>
      <w:bookmarkStart w:id="420" w:name="_Toc38433510"/>
      <w:bookmarkStart w:id="421" w:name="_Toc38433645"/>
      <w:bookmarkStart w:id="422" w:name="_Toc38433779"/>
      <w:bookmarkStart w:id="423" w:name="_Toc38433929"/>
      <w:bookmarkStart w:id="424" w:name="_Toc38434077"/>
      <w:bookmarkStart w:id="425" w:name="_Toc38434225"/>
      <w:bookmarkStart w:id="426" w:name="_Toc38434371"/>
      <w:bookmarkStart w:id="427" w:name="_Toc38434514"/>
      <w:bookmarkStart w:id="428" w:name="_Toc38434657"/>
      <w:bookmarkStart w:id="429" w:name="_Toc38434800"/>
      <w:bookmarkStart w:id="430" w:name="_Toc38434944"/>
      <w:bookmarkStart w:id="431" w:name="_Toc38437640"/>
      <w:bookmarkStart w:id="432" w:name="_Toc38437786"/>
      <w:bookmarkStart w:id="433" w:name="_Toc38437932"/>
      <w:bookmarkStart w:id="434" w:name="_Toc38438078"/>
      <w:bookmarkStart w:id="435" w:name="_Toc38438224"/>
      <w:bookmarkStart w:id="436" w:name="_Toc38438561"/>
      <w:bookmarkStart w:id="437" w:name="_Toc38438898"/>
      <w:bookmarkStart w:id="438" w:name="_Toc38439235"/>
      <w:bookmarkStart w:id="439" w:name="_Toc38439572"/>
      <w:bookmarkStart w:id="440" w:name="_Toc38439909"/>
      <w:bookmarkStart w:id="441" w:name="_Toc38440246"/>
      <w:bookmarkStart w:id="442" w:name="_Toc38440583"/>
      <w:bookmarkStart w:id="443" w:name="_Toc38440782"/>
      <w:bookmarkStart w:id="444" w:name="_Toc38441115"/>
      <w:bookmarkStart w:id="445" w:name="_Toc38441447"/>
      <w:bookmarkStart w:id="446" w:name="_Toc38441779"/>
      <w:bookmarkStart w:id="447" w:name="_Toc38442107"/>
      <w:bookmarkStart w:id="448" w:name="_Toc38442439"/>
      <w:bookmarkStart w:id="449" w:name="_Toc38442771"/>
      <w:bookmarkStart w:id="450" w:name="_Toc38443102"/>
      <w:bookmarkStart w:id="451" w:name="_Toc38443433"/>
      <w:bookmarkStart w:id="452" w:name="_Toc38443764"/>
      <w:bookmarkStart w:id="453" w:name="_Toc13148353"/>
      <w:bookmarkStart w:id="454" w:name="_Toc13150581"/>
      <w:bookmarkStart w:id="455" w:name="_Toc13291966"/>
      <w:bookmarkStart w:id="456" w:name="_Toc13504692"/>
      <w:bookmarkStart w:id="457" w:name="_Toc13504808"/>
      <w:bookmarkStart w:id="458" w:name="_Toc13556301"/>
      <w:bookmarkStart w:id="459" w:name="_Toc14337423"/>
      <w:bookmarkStart w:id="460" w:name="_Toc13148354"/>
      <w:bookmarkStart w:id="461" w:name="_Toc13150582"/>
      <w:bookmarkStart w:id="462" w:name="_Toc13291967"/>
      <w:bookmarkStart w:id="463" w:name="_Toc13504693"/>
      <w:bookmarkStart w:id="464" w:name="_Toc13504809"/>
      <w:bookmarkStart w:id="465" w:name="_Toc13556302"/>
      <w:bookmarkStart w:id="466" w:name="_Toc14337424"/>
      <w:bookmarkStart w:id="467" w:name="_Toc13148355"/>
      <w:bookmarkStart w:id="468" w:name="_Toc13150583"/>
      <w:bookmarkStart w:id="469" w:name="_Toc13291968"/>
      <w:bookmarkStart w:id="470" w:name="_Toc13504694"/>
      <w:bookmarkStart w:id="471" w:name="_Toc13504810"/>
      <w:bookmarkStart w:id="472" w:name="_Toc13556303"/>
      <w:bookmarkStart w:id="473" w:name="_Toc14337425"/>
      <w:bookmarkStart w:id="474" w:name="_Toc13148356"/>
      <w:bookmarkStart w:id="475" w:name="_Toc13150584"/>
      <w:bookmarkStart w:id="476" w:name="_Toc13291969"/>
      <w:bookmarkStart w:id="477" w:name="_Toc13504695"/>
      <w:bookmarkStart w:id="478" w:name="_Toc13504811"/>
      <w:bookmarkStart w:id="479" w:name="_Toc13556304"/>
      <w:bookmarkStart w:id="480" w:name="_Toc14337426"/>
      <w:bookmarkStart w:id="481" w:name="_Toc13148357"/>
      <w:bookmarkStart w:id="482" w:name="_Toc13150585"/>
      <w:bookmarkStart w:id="483" w:name="_Toc13291970"/>
      <w:bookmarkStart w:id="484" w:name="_Toc13504696"/>
      <w:bookmarkStart w:id="485" w:name="_Toc13504812"/>
      <w:bookmarkStart w:id="486" w:name="_Toc13556305"/>
      <w:bookmarkStart w:id="487" w:name="_Toc14337427"/>
      <w:bookmarkStart w:id="488" w:name="_Toc13148358"/>
      <w:bookmarkStart w:id="489" w:name="_Toc13150586"/>
      <w:bookmarkStart w:id="490" w:name="_Toc13291971"/>
      <w:bookmarkStart w:id="491" w:name="_Toc13504697"/>
      <w:bookmarkStart w:id="492" w:name="_Toc13504813"/>
      <w:bookmarkStart w:id="493" w:name="_Toc13556306"/>
      <w:bookmarkStart w:id="494" w:name="_Toc14337428"/>
      <w:bookmarkStart w:id="495" w:name="_Toc13148359"/>
      <w:bookmarkStart w:id="496" w:name="_Toc13150587"/>
      <w:bookmarkStart w:id="497" w:name="_Toc13291972"/>
      <w:bookmarkStart w:id="498" w:name="_Toc13504698"/>
      <w:bookmarkStart w:id="499" w:name="_Toc13504814"/>
      <w:bookmarkStart w:id="500" w:name="_Toc13556307"/>
      <w:bookmarkStart w:id="501" w:name="_Toc14337429"/>
      <w:bookmarkStart w:id="502" w:name="_Toc13148360"/>
      <w:bookmarkStart w:id="503" w:name="_Toc13150588"/>
      <w:bookmarkStart w:id="504" w:name="_Toc13291973"/>
      <w:bookmarkStart w:id="505" w:name="_Toc13504699"/>
      <w:bookmarkStart w:id="506" w:name="_Toc13504815"/>
      <w:bookmarkStart w:id="507" w:name="_Toc13556308"/>
      <w:bookmarkStart w:id="508" w:name="_Toc14337430"/>
      <w:bookmarkStart w:id="509" w:name="_Toc13148361"/>
      <w:bookmarkStart w:id="510" w:name="_Toc13150589"/>
      <w:bookmarkStart w:id="511" w:name="_Toc13291974"/>
      <w:bookmarkStart w:id="512" w:name="_Toc13504700"/>
      <w:bookmarkStart w:id="513" w:name="_Toc13504816"/>
      <w:bookmarkStart w:id="514" w:name="_Toc13556309"/>
      <w:bookmarkStart w:id="515" w:name="_Toc14337431"/>
      <w:bookmarkStart w:id="516" w:name="_Toc13148362"/>
      <w:bookmarkStart w:id="517" w:name="_Toc13150590"/>
      <w:bookmarkStart w:id="518" w:name="_Toc13291975"/>
      <w:bookmarkStart w:id="519" w:name="_Toc13504701"/>
      <w:bookmarkStart w:id="520" w:name="_Toc13504817"/>
      <w:bookmarkStart w:id="521" w:name="_Toc13556310"/>
      <w:bookmarkStart w:id="522" w:name="_Toc14337432"/>
      <w:bookmarkStart w:id="523" w:name="_Toc13148369"/>
      <w:bookmarkStart w:id="524" w:name="_Toc13150597"/>
      <w:bookmarkStart w:id="525" w:name="_Toc13291982"/>
      <w:bookmarkStart w:id="526" w:name="_Toc13504708"/>
      <w:bookmarkStart w:id="527" w:name="_Toc13504824"/>
      <w:bookmarkStart w:id="528" w:name="_Toc13556317"/>
      <w:bookmarkStart w:id="529" w:name="_Toc14337439"/>
      <w:bookmarkStart w:id="530" w:name="_Toc13148370"/>
      <w:bookmarkStart w:id="531" w:name="_Toc13150598"/>
      <w:bookmarkStart w:id="532" w:name="_Toc13291983"/>
      <w:bookmarkStart w:id="533" w:name="_Toc13504709"/>
      <w:bookmarkStart w:id="534" w:name="_Toc13504825"/>
      <w:bookmarkStart w:id="535" w:name="_Toc13556318"/>
      <w:bookmarkStart w:id="536" w:name="_Toc14337440"/>
      <w:bookmarkStart w:id="537" w:name="_Toc13148371"/>
      <w:bookmarkStart w:id="538" w:name="_Toc13150599"/>
      <w:bookmarkStart w:id="539" w:name="_Toc13291984"/>
      <w:bookmarkStart w:id="540" w:name="_Toc13504710"/>
      <w:bookmarkStart w:id="541" w:name="_Toc13504826"/>
      <w:bookmarkStart w:id="542" w:name="_Toc13556319"/>
      <w:bookmarkStart w:id="543" w:name="_Toc14337441"/>
      <w:bookmarkStart w:id="544" w:name="_Toc13148372"/>
      <w:bookmarkStart w:id="545" w:name="_Toc13150600"/>
      <w:bookmarkStart w:id="546" w:name="_Toc13291985"/>
      <w:bookmarkStart w:id="547" w:name="_Toc13504711"/>
      <w:bookmarkStart w:id="548" w:name="_Toc13504827"/>
      <w:bookmarkStart w:id="549" w:name="_Toc13556320"/>
      <w:bookmarkStart w:id="550" w:name="_Toc14337442"/>
      <w:bookmarkStart w:id="551" w:name="_Toc13148373"/>
      <w:bookmarkStart w:id="552" w:name="_Toc13150601"/>
      <w:bookmarkStart w:id="553" w:name="_Toc13291986"/>
      <w:bookmarkStart w:id="554" w:name="_Toc13504712"/>
      <w:bookmarkStart w:id="555" w:name="_Toc13504828"/>
      <w:bookmarkStart w:id="556" w:name="_Toc13556321"/>
      <w:bookmarkStart w:id="557" w:name="_Toc14337443"/>
      <w:bookmarkStart w:id="558" w:name="_Toc13148374"/>
      <w:bookmarkStart w:id="559" w:name="_Toc13150602"/>
      <w:bookmarkStart w:id="560" w:name="_Toc13291987"/>
      <w:bookmarkStart w:id="561" w:name="_Toc13504713"/>
      <w:bookmarkStart w:id="562" w:name="_Toc13504829"/>
      <w:bookmarkStart w:id="563" w:name="_Toc13556322"/>
      <w:bookmarkStart w:id="564" w:name="_Toc14337444"/>
      <w:bookmarkStart w:id="565" w:name="_Toc13148376"/>
      <w:bookmarkStart w:id="566" w:name="_Toc13150604"/>
      <w:bookmarkStart w:id="567" w:name="_Toc13291989"/>
      <w:bookmarkStart w:id="568" w:name="_Toc13504715"/>
      <w:bookmarkStart w:id="569" w:name="_Toc13504831"/>
      <w:bookmarkStart w:id="570" w:name="_Toc13556324"/>
      <w:bookmarkStart w:id="571" w:name="_Toc14337446"/>
      <w:bookmarkStart w:id="572" w:name="_Toc13148377"/>
      <w:bookmarkStart w:id="573" w:name="_Toc13150605"/>
      <w:bookmarkStart w:id="574" w:name="_Toc13291990"/>
      <w:bookmarkStart w:id="575" w:name="_Toc13504716"/>
      <w:bookmarkStart w:id="576" w:name="_Toc13504832"/>
      <w:bookmarkStart w:id="577" w:name="_Toc13556325"/>
      <w:bookmarkStart w:id="578" w:name="_Toc14337447"/>
      <w:bookmarkStart w:id="579" w:name="_Toc13148379"/>
      <w:bookmarkStart w:id="580" w:name="_Toc13150607"/>
      <w:bookmarkStart w:id="581" w:name="_Toc13291992"/>
      <w:bookmarkStart w:id="582" w:name="_Toc13504718"/>
      <w:bookmarkStart w:id="583" w:name="_Toc13504834"/>
      <w:bookmarkStart w:id="584" w:name="_Toc13556327"/>
      <w:bookmarkStart w:id="585" w:name="_Toc14337449"/>
      <w:bookmarkStart w:id="586" w:name="_Toc13148381"/>
      <w:bookmarkStart w:id="587" w:name="_Toc13150609"/>
      <w:bookmarkStart w:id="588" w:name="_Toc13291994"/>
      <w:bookmarkStart w:id="589" w:name="_Toc13504720"/>
      <w:bookmarkStart w:id="590" w:name="_Toc13504836"/>
      <w:bookmarkStart w:id="591" w:name="_Toc13556329"/>
      <w:bookmarkStart w:id="592" w:name="_Toc14337451"/>
      <w:bookmarkStart w:id="593" w:name="_Toc13148384"/>
      <w:bookmarkStart w:id="594" w:name="_Toc13150612"/>
      <w:bookmarkStart w:id="595" w:name="_Toc13291997"/>
      <w:bookmarkStart w:id="596" w:name="_Toc13504723"/>
      <w:bookmarkStart w:id="597" w:name="_Toc13504839"/>
      <w:bookmarkStart w:id="598" w:name="_Toc13556332"/>
      <w:bookmarkStart w:id="599" w:name="_Toc14337454"/>
      <w:bookmarkStart w:id="600" w:name="_Toc13148385"/>
      <w:bookmarkStart w:id="601" w:name="_Toc13150613"/>
      <w:bookmarkStart w:id="602" w:name="_Toc13291998"/>
      <w:bookmarkStart w:id="603" w:name="_Toc13504724"/>
      <w:bookmarkStart w:id="604" w:name="_Toc13504840"/>
      <w:bookmarkStart w:id="605" w:name="_Toc13556333"/>
      <w:bookmarkStart w:id="606" w:name="_Toc14337455"/>
      <w:bookmarkStart w:id="607" w:name="_Toc13148390"/>
      <w:bookmarkStart w:id="608" w:name="_Toc13150618"/>
      <w:bookmarkStart w:id="609" w:name="_Toc13292003"/>
      <w:bookmarkStart w:id="610" w:name="_Toc13504729"/>
      <w:bookmarkStart w:id="611" w:name="_Toc13504845"/>
      <w:bookmarkStart w:id="612" w:name="_Toc13556338"/>
      <w:bookmarkStart w:id="613" w:name="_Toc14337460"/>
      <w:bookmarkStart w:id="614" w:name="_Toc13148391"/>
      <w:bookmarkStart w:id="615" w:name="_Toc13150619"/>
      <w:bookmarkStart w:id="616" w:name="_Toc13292004"/>
      <w:bookmarkStart w:id="617" w:name="_Toc13504730"/>
      <w:bookmarkStart w:id="618" w:name="_Toc13504846"/>
      <w:bookmarkStart w:id="619" w:name="_Toc13556339"/>
      <w:bookmarkStart w:id="620" w:name="_Toc14337461"/>
      <w:bookmarkStart w:id="621" w:name="_Toc13148392"/>
      <w:bookmarkStart w:id="622" w:name="_Toc13150620"/>
      <w:bookmarkStart w:id="623" w:name="_Toc13292005"/>
      <w:bookmarkStart w:id="624" w:name="_Toc13504731"/>
      <w:bookmarkStart w:id="625" w:name="_Toc13504847"/>
      <w:bookmarkStart w:id="626" w:name="_Toc13556340"/>
      <w:bookmarkStart w:id="627" w:name="_Toc14337462"/>
      <w:bookmarkStart w:id="628" w:name="_Toc13148393"/>
      <w:bookmarkStart w:id="629" w:name="_Toc13150621"/>
      <w:bookmarkStart w:id="630" w:name="_Toc13292006"/>
      <w:bookmarkStart w:id="631" w:name="_Toc13504732"/>
      <w:bookmarkStart w:id="632" w:name="_Toc13504848"/>
      <w:bookmarkStart w:id="633" w:name="_Toc13556341"/>
      <w:bookmarkStart w:id="634" w:name="_Toc14337463"/>
      <w:bookmarkStart w:id="635" w:name="_Toc13148394"/>
      <w:bookmarkStart w:id="636" w:name="_Toc13150622"/>
      <w:bookmarkStart w:id="637" w:name="_Toc13292007"/>
      <w:bookmarkStart w:id="638" w:name="_Toc13504733"/>
      <w:bookmarkStart w:id="639" w:name="_Toc13504849"/>
      <w:bookmarkStart w:id="640" w:name="_Toc13556342"/>
      <w:bookmarkStart w:id="641" w:name="_Toc14337464"/>
      <w:bookmarkStart w:id="642" w:name="_Toc13148395"/>
      <w:bookmarkStart w:id="643" w:name="_Toc13150623"/>
      <w:bookmarkStart w:id="644" w:name="_Toc13292008"/>
      <w:bookmarkStart w:id="645" w:name="_Toc13504734"/>
      <w:bookmarkStart w:id="646" w:name="_Toc13504850"/>
      <w:bookmarkStart w:id="647" w:name="_Toc13556343"/>
      <w:bookmarkStart w:id="648" w:name="_Toc14337465"/>
      <w:bookmarkStart w:id="649" w:name="_Toc13148396"/>
      <w:bookmarkStart w:id="650" w:name="_Toc13150624"/>
      <w:bookmarkStart w:id="651" w:name="_Toc13292009"/>
      <w:bookmarkStart w:id="652" w:name="_Toc13504735"/>
      <w:bookmarkStart w:id="653" w:name="_Toc13504851"/>
      <w:bookmarkStart w:id="654" w:name="_Toc13556344"/>
      <w:bookmarkStart w:id="655" w:name="_Toc14337466"/>
      <w:bookmarkStart w:id="656" w:name="_Toc13148397"/>
      <w:bookmarkStart w:id="657" w:name="_Toc13150625"/>
      <w:bookmarkStart w:id="658" w:name="_Toc13292010"/>
      <w:bookmarkStart w:id="659" w:name="_Toc13504736"/>
      <w:bookmarkStart w:id="660" w:name="_Toc13504852"/>
      <w:bookmarkStart w:id="661" w:name="_Toc13556345"/>
      <w:bookmarkStart w:id="662" w:name="_Toc14337467"/>
      <w:bookmarkStart w:id="663" w:name="_Toc13148398"/>
      <w:bookmarkStart w:id="664" w:name="_Toc13150626"/>
      <w:bookmarkStart w:id="665" w:name="_Toc13292011"/>
      <w:bookmarkStart w:id="666" w:name="_Toc13504737"/>
      <w:bookmarkStart w:id="667" w:name="_Toc13504853"/>
      <w:bookmarkStart w:id="668" w:name="_Toc13556346"/>
      <w:bookmarkStart w:id="669" w:name="_Toc14337468"/>
      <w:bookmarkStart w:id="670" w:name="_Toc13148399"/>
      <w:bookmarkStart w:id="671" w:name="_Toc13150627"/>
      <w:bookmarkStart w:id="672" w:name="_Toc13292012"/>
      <w:bookmarkStart w:id="673" w:name="_Toc13504738"/>
      <w:bookmarkStart w:id="674" w:name="_Toc13504854"/>
      <w:bookmarkStart w:id="675" w:name="_Toc13556347"/>
      <w:bookmarkStart w:id="676" w:name="_Toc14337469"/>
      <w:bookmarkStart w:id="677" w:name="_Toc13148400"/>
      <w:bookmarkStart w:id="678" w:name="_Toc13150628"/>
      <w:bookmarkStart w:id="679" w:name="_Toc13292013"/>
      <w:bookmarkStart w:id="680" w:name="_Toc13504739"/>
      <w:bookmarkStart w:id="681" w:name="_Toc13504855"/>
      <w:bookmarkStart w:id="682" w:name="_Toc13556348"/>
      <w:bookmarkStart w:id="683" w:name="_Toc14337470"/>
      <w:bookmarkStart w:id="684" w:name="_Toc13148401"/>
      <w:bookmarkStart w:id="685" w:name="_Toc13150629"/>
      <w:bookmarkStart w:id="686" w:name="_Toc13292014"/>
      <w:bookmarkStart w:id="687" w:name="_Toc13504740"/>
      <w:bookmarkStart w:id="688" w:name="_Toc13504856"/>
      <w:bookmarkStart w:id="689" w:name="_Toc13556349"/>
      <w:bookmarkStart w:id="690" w:name="_Toc14337471"/>
      <w:bookmarkStart w:id="691" w:name="_Toc13148402"/>
      <w:bookmarkStart w:id="692" w:name="_Toc13150630"/>
      <w:bookmarkStart w:id="693" w:name="_Toc13292015"/>
      <w:bookmarkStart w:id="694" w:name="_Toc13504741"/>
      <w:bookmarkStart w:id="695" w:name="_Toc13504857"/>
      <w:bookmarkStart w:id="696" w:name="_Toc13556350"/>
      <w:bookmarkStart w:id="697" w:name="_Toc14337472"/>
      <w:bookmarkStart w:id="698" w:name="_Toc13148408"/>
      <w:bookmarkStart w:id="699" w:name="_Toc13150636"/>
      <w:bookmarkStart w:id="700" w:name="_Toc13292021"/>
      <w:bookmarkStart w:id="701" w:name="_Toc13504747"/>
      <w:bookmarkStart w:id="702" w:name="_Toc13504863"/>
      <w:bookmarkStart w:id="703" w:name="_Toc13556356"/>
      <w:bookmarkStart w:id="704" w:name="_Toc14337478"/>
      <w:bookmarkStart w:id="705" w:name="_Toc13148409"/>
      <w:bookmarkStart w:id="706" w:name="_Toc13150637"/>
      <w:bookmarkStart w:id="707" w:name="_Toc13292022"/>
      <w:bookmarkStart w:id="708" w:name="_Toc13504748"/>
      <w:bookmarkStart w:id="709" w:name="_Toc13504864"/>
      <w:bookmarkStart w:id="710" w:name="_Toc13556357"/>
      <w:bookmarkStart w:id="711" w:name="_Toc14337479"/>
      <w:bookmarkStart w:id="712" w:name="_Toc13148411"/>
      <w:bookmarkStart w:id="713" w:name="_Toc13150639"/>
      <w:bookmarkStart w:id="714" w:name="_Toc13292024"/>
      <w:bookmarkStart w:id="715" w:name="_Toc13504750"/>
      <w:bookmarkStart w:id="716" w:name="_Toc13504866"/>
      <w:bookmarkStart w:id="717" w:name="_Toc13556359"/>
      <w:bookmarkStart w:id="718" w:name="_Toc14337481"/>
      <w:bookmarkStart w:id="719" w:name="_Toc13148412"/>
      <w:bookmarkStart w:id="720" w:name="_Toc13150640"/>
      <w:bookmarkStart w:id="721" w:name="_Toc13292025"/>
      <w:bookmarkStart w:id="722" w:name="_Toc13504751"/>
      <w:bookmarkStart w:id="723" w:name="_Toc13504867"/>
      <w:bookmarkStart w:id="724" w:name="_Toc13556360"/>
      <w:bookmarkStart w:id="725" w:name="_Toc14337482"/>
      <w:bookmarkStart w:id="726" w:name="_Toc13148413"/>
      <w:bookmarkStart w:id="727" w:name="_Toc13150641"/>
      <w:bookmarkStart w:id="728" w:name="_Toc13292026"/>
      <w:bookmarkStart w:id="729" w:name="_Toc13504752"/>
      <w:bookmarkStart w:id="730" w:name="_Toc13504868"/>
      <w:bookmarkStart w:id="731" w:name="_Toc13556361"/>
      <w:bookmarkStart w:id="732" w:name="_Toc1433748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3E1F0F" w:rsidRPr="00960F82" w:rsidRDefault="003E1F0F" w:rsidP="00084917">
      <w:pPr>
        <w:autoSpaceDE w:val="0"/>
        <w:autoSpaceDN w:val="0"/>
        <w:snapToGrid w:val="0"/>
        <w:spacing w:line="360" w:lineRule="auto"/>
        <w:ind w:firstLine="480"/>
        <w:rPr>
          <w:rFonts w:asciiTheme="minorEastAsia" w:eastAsiaTheme="minorEastAsia" w:hAnsiTheme="minorEastAsia"/>
          <w:szCs w:val="21"/>
        </w:rPr>
        <w:sectPr w:rsidR="003E1F0F" w:rsidRPr="00960F82" w:rsidSect="005E306A">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Cs/>
        </w:rPr>
      </w:pPr>
      <w:bookmarkStart w:id="733" w:name="_Toc38438236"/>
      <w:bookmarkStart w:id="734" w:name="_Toc38438573"/>
      <w:bookmarkStart w:id="735" w:name="_Toc38438910"/>
      <w:bookmarkStart w:id="736" w:name="_Toc38439247"/>
      <w:bookmarkStart w:id="737" w:name="_Toc38439584"/>
      <w:bookmarkStart w:id="738" w:name="_Toc38439921"/>
      <w:bookmarkStart w:id="739" w:name="_Toc38440258"/>
      <w:bookmarkStart w:id="740" w:name="_Toc38440595"/>
      <w:bookmarkStart w:id="741" w:name="_Toc38440794"/>
      <w:bookmarkStart w:id="742" w:name="_Toc38441127"/>
      <w:bookmarkStart w:id="743" w:name="_Toc38441459"/>
      <w:bookmarkStart w:id="744" w:name="_Toc38441791"/>
      <w:bookmarkStart w:id="745" w:name="_Toc38442119"/>
      <w:bookmarkStart w:id="746" w:name="_Toc38442451"/>
      <w:bookmarkStart w:id="747" w:name="_Toc38442783"/>
      <w:bookmarkStart w:id="748" w:name="_Toc38443114"/>
      <w:bookmarkStart w:id="749" w:name="_Toc38443445"/>
      <w:bookmarkStart w:id="750" w:name="_Toc38443776"/>
      <w:bookmarkStart w:id="751" w:name="_Toc38438238"/>
      <w:bookmarkStart w:id="752" w:name="_Toc38438575"/>
      <w:bookmarkStart w:id="753" w:name="_Toc38438912"/>
      <w:bookmarkStart w:id="754" w:name="_Toc38439249"/>
      <w:bookmarkStart w:id="755" w:name="_Toc38439586"/>
      <w:bookmarkStart w:id="756" w:name="_Toc38439923"/>
      <w:bookmarkStart w:id="757" w:name="_Toc38440260"/>
      <w:bookmarkStart w:id="758" w:name="_Toc38440597"/>
      <w:bookmarkStart w:id="759" w:name="_Toc38440796"/>
      <w:bookmarkStart w:id="760" w:name="_Toc38441129"/>
      <w:bookmarkStart w:id="761" w:name="_Toc38441461"/>
      <w:bookmarkStart w:id="762" w:name="_Toc38441793"/>
      <w:bookmarkStart w:id="763" w:name="_Toc38442121"/>
      <w:bookmarkStart w:id="764" w:name="_Toc38442453"/>
      <w:bookmarkStart w:id="765" w:name="_Toc38442785"/>
      <w:bookmarkStart w:id="766" w:name="_Toc38443116"/>
      <w:bookmarkStart w:id="767" w:name="_Toc38443447"/>
      <w:bookmarkStart w:id="768" w:name="_Toc38443778"/>
      <w:bookmarkStart w:id="769" w:name="_Toc38438239"/>
      <w:bookmarkStart w:id="770" w:name="_Toc38438576"/>
      <w:bookmarkStart w:id="771" w:name="_Toc38438913"/>
      <w:bookmarkStart w:id="772" w:name="_Toc38439250"/>
      <w:bookmarkStart w:id="773" w:name="_Toc38439587"/>
      <w:bookmarkStart w:id="774" w:name="_Toc38439924"/>
      <w:bookmarkStart w:id="775" w:name="_Toc38440261"/>
      <w:bookmarkStart w:id="776" w:name="_Toc38440598"/>
      <w:bookmarkStart w:id="777" w:name="_Toc38440797"/>
      <w:bookmarkStart w:id="778" w:name="_Toc38441130"/>
      <w:bookmarkStart w:id="779" w:name="_Toc38441462"/>
      <w:bookmarkStart w:id="780" w:name="_Toc38441794"/>
      <w:bookmarkStart w:id="781" w:name="_Toc38442122"/>
      <w:bookmarkStart w:id="782" w:name="_Toc38442454"/>
      <w:bookmarkStart w:id="783" w:name="_Toc38442786"/>
      <w:bookmarkStart w:id="784" w:name="_Toc38443117"/>
      <w:bookmarkStart w:id="785" w:name="_Toc38443448"/>
      <w:bookmarkStart w:id="786" w:name="_Toc38443779"/>
      <w:bookmarkStart w:id="787" w:name="_Toc38438240"/>
      <w:bookmarkStart w:id="788" w:name="_Toc38438577"/>
      <w:bookmarkStart w:id="789" w:name="_Toc38438914"/>
      <w:bookmarkStart w:id="790" w:name="_Toc38439251"/>
      <w:bookmarkStart w:id="791" w:name="_Toc38439588"/>
      <w:bookmarkStart w:id="792" w:name="_Toc38439925"/>
      <w:bookmarkStart w:id="793" w:name="_Toc38440262"/>
      <w:bookmarkStart w:id="794" w:name="_Toc38440599"/>
      <w:bookmarkStart w:id="795" w:name="_Toc38440798"/>
      <w:bookmarkStart w:id="796" w:name="_Toc38441131"/>
      <w:bookmarkStart w:id="797" w:name="_Toc38441463"/>
      <w:bookmarkStart w:id="798" w:name="_Toc38441795"/>
      <w:bookmarkStart w:id="799" w:name="_Toc38442123"/>
      <w:bookmarkStart w:id="800" w:name="_Toc38442455"/>
      <w:bookmarkStart w:id="801" w:name="_Toc38442787"/>
      <w:bookmarkStart w:id="802" w:name="_Toc38443118"/>
      <w:bookmarkStart w:id="803" w:name="_Toc38443449"/>
      <w:bookmarkStart w:id="804" w:name="_Toc38443780"/>
      <w:bookmarkStart w:id="805" w:name="_Toc38438241"/>
      <w:bookmarkStart w:id="806" w:name="_Toc38438578"/>
      <w:bookmarkStart w:id="807" w:name="_Toc38438915"/>
      <w:bookmarkStart w:id="808" w:name="_Toc38439252"/>
      <w:bookmarkStart w:id="809" w:name="_Toc38439589"/>
      <w:bookmarkStart w:id="810" w:name="_Toc38439926"/>
      <w:bookmarkStart w:id="811" w:name="_Toc38440263"/>
      <w:bookmarkStart w:id="812" w:name="_Toc38440600"/>
      <w:bookmarkStart w:id="813" w:name="_Toc38440799"/>
      <w:bookmarkStart w:id="814" w:name="_Toc38441132"/>
      <w:bookmarkStart w:id="815" w:name="_Toc38441464"/>
      <w:bookmarkStart w:id="816" w:name="_Toc38441796"/>
      <w:bookmarkStart w:id="817" w:name="_Toc38442124"/>
      <w:bookmarkStart w:id="818" w:name="_Toc38442456"/>
      <w:bookmarkStart w:id="819" w:name="_Toc38442788"/>
      <w:bookmarkStart w:id="820" w:name="_Toc38443119"/>
      <w:bookmarkStart w:id="821" w:name="_Toc38443450"/>
      <w:bookmarkStart w:id="822" w:name="_Toc38443781"/>
      <w:bookmarkStart w:id="823" w:name="_Toc38438242"/>
      <w:bookmarkStart w:id="824" w:name="_Toc38438579"/>
      <w:bookmarkStart w:id="825" w:name="_Toc38438916"/>
      <w:bookmarkStart w:id="826" w:name="_Toc38439253"/>
      <w:bookmarkStart w:id="827" w:name="_Toc38439590"/>
      <w:bookmarkStart w:id="828" w:name="_Toc38439927"/>
      <w:bookmarkStart w:id="829" w:name="_Toc38440264"/>
      <w:bookmarkStart w:id="830" w:name="_Toc38440601"/>
      <w:bookmarkStart w:id="831" w:name="_Toc38440800"/>
      <w:bookmarkStart w:id="832" w:name="_Toc38441133"/>
      <w:bookmarkStart w:id="833" w:name="_Toc38441465"/>
      <w:bookmarkStart w:id="834" w:name="_Toc38441797"/>
      <w:bookmarkStart w:id="835" w:name="_Toc38442125"/>
      <w:bookmarkStart w:id="836" w:name="_Toc38442457"/>
      <w:bookmarkStart w:id="837" w:name="_Toc38442789"/>
      <w:bookmarkStart w:id="838" w:name="_Toc38443120"/>
      <w:bookmarkStart w:id="839" w:name="_Toc38443451"/>
      <w:bookmarkStart w:id="840" w:name="_Toc38443782"/>
      <w:bookmarkStart w:id="841" w:name="_Toc38438243"/>
      <w:bookmarkStart w:id="842" w:name="_Toc38438580"/>
      <w:bookmarkStart w:id="843" w:name="_Toc38438917"/>
      <w:bookmarkStart w:id="844" w:name="_Toc38439254"/>
      <w:bookmarkStart w:id="845" w:name="_Toc38439591"/>
      <w:bookmarkStart w:id="846" w:name="_Toc38439928"/>
      <w:bookmarkStart w:id="847" w:name="_Toc38440265"/>
      <w:bookmarkStart w:id="848" w:name="_Toc38440602"/>
      <w:bookmarkStart w:id="849" w:name="_Toc38440801"/>
      <w:bookmarkStart w:id="850" w:name="_Toc38441134"/>
      <w:bookmarkStart w:id="851" w:name="_Toc38441466"/>
      <w:bookmarkStart w:id="852" w:name="_Toc38441798"/>
      <w:bookmarkStart w:id="853" w:name="_Toc38442126"/>
      <w:bookmarkStart w:id="854" w:name="_Toc38442458"/>
      <w:bookmarkStart w:id="855" w:name="_Toc38442790"/>
      <w:bookmarkStart w:id="856" w:name="_Toc38443121"/>
      <w:bookmarkStart w:id="857" w:name="_Toc38443452"/>
      <w:bookmarkStart w:id="858" w:name="_Toc38443783"/>
      <w:bookmarkStart w:id="859" w:name="_Toc38438244"/>
      <w:bookmarkStart w:id="860" w:name="_Toc38438581"/>
      <w:bookmarkStart w:id="861" w:name="_Toc38438918"/>
      <w:bookmarkStart w:id="862" w:name="_Toc38439255"/>
      <w:bookmarkStart w:id="863" w:name="_Toc38439592"/>
      <w:bookmarkStart w:id="864" w:name="_Toc38439929"/>
      <w:bookmarkStart w:id="865" w:name="_Toc38440266"/>
      <w:bookmarkStart w:id="866" w:name="_Toc38440603"/>
      <w:bookmarkStart w:id="867" w:name="_Toc38440802"/>
      <w:bookmarkStart w:id="868" w:name="_Toc38441135"/>
      <w:bookmarkStart w:id="869" w:name="_Toc38441467"/>
      <w:bookmarkStart w:id="870" w:name="_Toc38441799"/>
      <w:bookmarkStart w:id="871" w:name="_Toc38442127"/>
      <w:bookmarkStart w:id="872" w:name="_Toc38442459"/>
      <w:bookmarkStart w:id="873" w:name="_Toc38442791"/>
      <w:bookmarkStart w:id="874" w:name="_Toc38443122"/>
      <w:bookmarkStart w:id="875" w:name="_Toc38443453"/>
      <w:bookmarkStart w:id="876" w:name="_Toc38443784"/>
      <w:bookmarkStart w:id="877" w:name="_Toc38438245"/>
      <w:bookmarkStart w:id="878" w:name="_Toc38438582"/>
      <w:bookmarkStart w:id="879" w:name="_Toc38438919"/>
      <w:bookmarkStart w:id="880" w:name="_Toc38439256"/>
      <w:bookmarkStart w:id="881" w:name="_Toc38439593"/>
      <w:bookmarkStart w:id="882" w:name="_Toc38439930"/>
      <w:bookmarkStart w:id="883" w:name="_Toc38440267"/>
      <w:bookmarkStart w:id="884" w:name="_Toc38440604"/>
      <w:bookmarkStart w:id="885" w:name="_Toc38440803"/>
      <w:bookmarkStart w:id="886" w:name="_Toc38441136"/>
      <w:bookmarkStart w:id="887" w:name="_Toc38441468"/>
      <w:bookmarkStart w:id="888" w:name="_Toc38441800"/>
      <w:bookmarkStart w:id="889" w:name="_Toc38442128"/>
      <w:bookmarkStart w:id="890" w:name="_Toc38442460"/>
      <w:bookmarkStart w:id="891" w:name="_Toc38442792"/>
      <w:bookmarkStart w:id="892" w:name="_Toc38443123"/>
      <w:bookmarkStart w:id="893" w:name="_Toc38443454"/>
      <w:bookmarkStart w:id="894" w:name="_Toc38443785"/>
      <w:bookmarkStart w:id="895" w:name="_Toc38438246"/>
      <w:bookmarkStart w:id="896" w:name="_Toc38438583"/>
      <w:bookmarkStart w:id="897" w:name="_Toc38438920"/>
      <w:bookmarkStart w:id="898" w:name="_Toc38439257"/>
      <w:bookmarkStart w:id="899" w:name="_Toc38439594"/>
      <w:bookmarkStart w:id="900" w:name="_Toc38439931"/>
      <w:bookmarkStart w:id="901" w:name="_Toc38440268"/>
      <w:bookmarkStart w:id="902" w:name="_Toc38440605"/>
      <w:bookmarkStart w:id="903" w:name="_Toc38440804"/>
      <w:bookmarkStart w:id="904" w:name="_Toc38441137"/>
      <w:bookmarkStart w:id="905" w:name="_Toc38441469"/>
      <w:bookmarkStart w:id="906" w:name="_Toc38441801"/>
      <w:bookmarkStart w:id="907" w:name="_Toc38442129"/>
      <w:bookmarkStart w:id="908" w:name="_Toc38442461"/>
      <w:bookmarkStart w:id="909" w:name="_Toc38442793"/>
      <w:bookmarkStart w:id="910" w:name="_Toc38443124"/>
      <w:bookmarkStart w:id="911" w:name="_Toc38443455"/>
      <w:bookmarkStart w:id="912" w:name="_Toc38443786"/>
      <w:bookmarkStart w:id="913" w:name="_Toc38438247"/>
      <w:bookmarkStart w:id="914" w:name="_Toc38438584"/>
      <w:bookmarkStart w:id="915" w:name="_Toc38438921"/>
      <w:bookmarkStart w:id="916" w:name="_Toc38439258"/>
      <w:bookmarkStart w:id="917" w:name="_Toc38439595"/>
      <w:bookmarkStart w:id="918" w:name="_Toc38439932"/>
      <w:bookmarkStart w:id="919" w:name="_Toc38440269"/>
      <w:bookmarkStart w:id="920" w:name="_Toc38440606"/>
      <w:bookmarkStart w:id="921" w:name="_Toc38440805"/>
      <w:bookmarkStart w:id="922" w:name="_Toc38441138"/>
      <w:bookmarkStart w:id="923" w:name="_Toc38441470"/>
      <w:bookmarkStart w:id="924" w:name="_Toc38441802"/>
      <w:bookmarkStart w:id="925" w:name="_Toc38442130"/>
      <w:bookmarkStart w:id="926" w:name="_Toc38442462"/>
      <w:bookmarkStart w:id="927" w:name="_Toc38442794"/>
      <w:bookmarkStart w:id="928" w:name="_Toc38443125"/>
      <w:bookmarkStart w:id="929" w:name="_Toc38443456"/>
      <w:bookmarkStart w:id="930" w:name="_Toc38443787"/>
      <w:bookmarkStart w:id="931" w:name="_Toc38438248"/>
      <w:bookmarkStart w:id="932" w:name="_Toc38438585"/>
      <w:bookmarkStart w:id="933" w:name="_Toc38438922"/>
      <w:bookmarkStart w:id="934" w:name="_Toc38439259"/>
      <w:bookmarkStart w:id="935" w:name="_Toc38439596"/>
      <w:bookmarkStart w:id="936" w:name="_Toc38439933"/>
      <w:bookmarkStart w:id="937" w:name="_Toc38440270"/>
      <w:bookmarkStart w:id="938" w:name="_Toc38440607"/>
      <w:bookmarkStart w:id="939" w:name="_Toc38440806"/>
      <w:bookmarkStart w:id="940" w:name="_Toc38441139"/>
      <w:bookmarkStart w:id="941" w:name="_Toc38441471"/>
      <w:bookmarkStart w:id="942" w:name="_Toc38441803"/>
      <w:bookmarkStart w:id="943" w:name="_Toc38442131"/>
      <w:bookmarkStart w:id="944" w:name="_Toc38442463"/>
      <w:bookmarkStart w:id="945" w:name="_Toc38442795"/>
      <w:bookmarkStart w:id="946" w:name="_Toc38443126"/>
      <w:bookmarkStart w:id="947" w:name="_Toc38443457"/>
      <w:bookmarkStart w:id="948" w:name="_Toc38443788"/>
      <w:bookmarkStart w:id="949" w:name="_Toc38438249"/>
      <w:bookmarkStart w:id="950" w:name="_Toc38438586"/>
      <w:bookmarkStart w:id="951" w:name="_Toc38438923"/>
      <w:bookmarkStart w:id="952" w:name="_Toc38439260"/>
      <w:bookmarkStart w:id="953" w:name="_Toc38439597"/>
      <w:bookmarkStart w:id="954" w:name="_Toc38439934"/>
      <w:bookmarkStart w:id="955" w:name="_Toc38440271"/>
      <w:bookmarkStart w:id="956" w:name="_Toc38440608"/>
      <w:bookmarkStart w:id="957" w:name="_Toc38440807"/>
      <w:bookmarkStart w:id="958" w:name="_Toc38441140"/>
      <w:bookmarkStart w:id="959" w:name="_Toc38441472"/>
      <w:bookmarkStart w:id="960" w:name="_Toc38441804"/>
      <w:bookmarkStart w:id="961" w:name="_Toc38442132"/>
      <w:bookmarkStart w:id="962" w:name="_Toc38442464"/>
      <w:bookmarkStart w:id="963" w:name="_Toc38442796"/>
      <w:bookmarkStart w:id="964" w:name="_Toc38443127"/>
      <w:bookmarkStart w:id="965" w:name="_Toc38443458"/>
      <w:bookmarkStart w:id="966" w:name="_Toc38443789"/>
      <w:bookmarkStart w:id="967" w:name="_Toc38438250"/>
      <w:bookmarkStart w:id="968" w:name="_Toc38438587"/>
      <w:bookmarkStart w:id="969" w:name="_Toc38438924"/>
      <w:bookmarkStart w:id="970" w:name="_Toc38439261"/>
      <w:bookmarkStart w:id="971" w:name="_Toc38439598"/>
      <w:bookmarkStart w:id="972" w:name="_Toc38439935"/>
      <w:bookmarkStart w:id="973" w:name="_Toc38440272"/>
      <w:bookmarkStart w:id="974" w:name="_Toc38440609"/>
      <w:bookmarkStart w:id="975" w:name="_Toc38440808"/>
      <w:bookmarkStart w:id="976" w:name="_Toc38441141"/>
      <w:bookmarkStart w:id="977" w:name="_Toc38441473"/>
      <w:bookmarkStart w:id="978" w:name="_Toc38441805"/>
      <w:bookmarkStart w:id="979" w:name="_Toc38442133"/>
      <w:bookmarkStart w:id="980" w:name="_Toc38442465"/>
      <w:bookmarkStart w:id="981" w:name="_Toc38442797"/>
      <w:bookmarkStart w:id="982" w:name="_Toc38443128"/>
      <w:bookmarkStart w:id="983" w:name="_Toc38443459"/>
      <w:bookmarkStart w:id="984" w:name="_Toc38443790"/>
      <w:bookmarkStart w:id="985" w:name="_Toc38438251"/>
      <w:bookmarkStart w:id="986" w:name="_Toc38438588"/>
      <w:bookmarkStart w:id="987" w:name="_Toc38438925"/>
      <w:bookmarkStart w:id="988" w:name="_Toc38439262"/>
      <w:bookmarkStart w:id="989" w:name="_Toc38439599"/>
      <w:bookmarkStart w:id="990" w:name="_Toc38439936"/>
      <w:bookmarkStart w:id="991" w:name="_Toc38440273"/>
      <w:bookmarkStart w:id="992" w:name="_Toc38440610"/>
      <w:bookmarkStart w:id="993" w:name="_Toc38440809"/>
      <w:bookmarkStart w:id="994" w:name="_Toc38441142"/>
      <w:bookmarkStart w:id="995" w:name="_Toc38441474"/>
      <w:bookmarkStart w:id="996" w:name="_Toc38441806"/>
      <w:bookmarkStart w:id="997" w:name="_Toc38442134"/>
      <w:bookmarkStart w:id="998" w:name="_Toc38442466"/>
      <w:bookmarkStart w:id="999" w:name="_Toc38442798"/>
      <w:bookmarkStart w:id="1000" w:name="_Toc38443129"/>
      <w:bookmarkStart w:id="1001" w:name="_Toc38443460"/>
      <w:bookmarkStart w:id="1002" w:name="_Toc38443791"/>
      <w:bookmarkStart w:id="1003" w:name="_Toc38438252"/>
      <w:bookmarkStart w:id="1004" w:name="_Toc38438589"/>
      <w:bookmarkStart w:id="1005" w:name="_Toc38438926"/>
      <w:bookmarkStart w:id="1006" w:name="_Toc38439263"/>
      <w:bookmarkStart w:id="1007" w:name="_Toc38439600"/>
      <w:bookmarkStart w:id="1008" w:name="_Toc38439937"/>
      <w:bookmarkStart w:id="1009" w:name="_Toc38440274"/>
      <w:bookmarkStart w:id="1010" w:name="_Toc38440611"/>
      <w:bookmarkStart w:id="1011" w:name="_Toc38440810"/>
      <w:bookmarkStart w:id="1012" w:name="_Toc38441143"/>
      <w:bookmarkStart w:id="1013" w:name="_Toc38441475"/>
      <w:bookmarkStart w:id="1014" w:name="_Toc38441807"/>
      <w:bookmarkStart w:id="1015" w:name="_Toc38442135"/>
      <w:bookmarkStart w:id="1016" w:name="_Toc38442467"/>
      <w:bookmarkStart w:id="1017" w:name="_Toc38442799"/>
      <w:bookmarkStart w:id="1018" w:name="_Toc38443130"/>
      <w:bookmarkStart w:id="1019" w:name="_Toc38443461"/>
      <w:bookmarkStart w:id="1020" w:name="_Toc38443792"/>
      <w:bookmarkStart w:id="1021" w:name="_Toc38438253"/>
      <w:bookmarkStart w:id="1022" w:name="_Toc38438590"/>
      <w:bookmarkStart w:id="1023" w:name="_Toc38438927"/>
      <w:bookmarkStart w:id="1024" w:name="_Toc38439264"/>
      <w:bookmarkStart w:id="1025" w:name="_Toc38439601"/>
      <w:bookmarkStart w:id="1026" w:name="_Toc38439938"/>
      <w:bookmarkStart w:id="1027" w:name="_Toc38440275"/>
      <w:bookmarkStart w:id="1028" w:name="_Toc38440612"/>
      <w:bookmarkStart w:id="1029" w:name="_Toc38440811"/>
      <w:bookmarkStart w:id="1030" w:name="_Toc38441144"/>
      <w:bookmarkStart w:id="1031" w:name="_Toc38441476"/>
      <w:bookmarkStart w:id="1032" w:name="_Toc38441808"/>
      <w:bookmarkStart w:id="1033" w:name="_Toc38442136"/>
      <w:bookmarkStart w:id="1034" w:name="_Toc38442468"/>
      <w:bookmarkStart w:id="1035" w:name="_Toc38442800"/>
      <w:bookmarkStart w:id="1036" w:name="_Toc38443131"/>
      <w:bookmarkStart w:id="1037" w:name="_Toc38443462"/>
      <w:bookmarkStart w:id="1038" w:name="_Toc38443793"/>
      <w:bookmarkStart w:id="1039" w:name="_Toc38438254"/>
      <w:bookmarkStart w:id="1040" w:name="_Toc38438591"/>
      <w:bookmarkStart w:id="1041" w:name="_Toc38438928"/>
      <w:bookmarkStart w:id="1042" w:name="_Toc38439265"/>
      <w:bookmarkStart w:id="1043" w:name="_Toc38439602"/>
      <w:bookmarkStart w:id="1044" w:name="_Toc38439939"/>
      <w:bookmarkStart w:id="1045" w:name="_Toc38440276"/>
      <w:bookmarkStart w:id="1046" w:name="_Toc38440613"/>
      <w:bookmarkStart w:id="1047" w:name="_Toc38440812"/>
      <w:bookmarkStart w:id="1048" w:name="_Toc38441145"/>
      <w:bookmarkStart w:id="1049" w:name="_Toc38441477"/>
      <w:bookmarkStart w:id="1050" w:name="_Toc38441809"/>
      <w:bookmarkStart w:id="1051" w:name="_Toc38442137"/>
      <w:bookmarkStart w:id="1052" w:name="_Toc38442469"/>
      <w:bookmarkStart w:id="1053" w:name="_Toc38442801"/>
      <w:bookmarkStart w:id="1054" w:name="_Toc38443132"/>
      <w:bookmarkStart w:id="1055" w:name="_Toc38443463"/>
      <w:bookmarkStart w:id="1056" w:name="_Toc38443794"/>
      <w:bookmarkStart w:id="1057" w:name="_Toc3016181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960F82">
        <w:rPr>
          <w:rFonts w:asciiTheme="minorEastAsia" w:eastAsiaTheme="minorEastAsia" w:hAnsiTheme="minorEastAsia" w:hint="eastAsia"/>
          <w:b/>
          <w:bCs/>
        </w:rPr>
        <w:lastRenderedPageBreak/>
        <w:t>十五、基金的信息披露</w:t>
      </w:r>
      <w:bookmarkEnd w:id="1057"/>
    </w:p>
    <w:p w:rsidR="001D2E2F" w:rsidRPr="00960F82" w:rsidRDefault="001D2E2F" w:rsidP="007F114F">
      <w:pPr>
        <w:numPr>
          <w:ilvl w:val="0"/>
          <w:numId w:val="29"/>
        </w:numPr>
        <w:autoSpaceDE w:val="0"/>
        <w:autoSpaceDN w:val="0"/>
        <w:adjustRightInd w:val="0"/>
        <w:snapToGrid w:val="0"/>
        <w:spacing w:line="360" w:lineRule="auto"/>
        <w:rPr>
          <w:rFonts w:asciiTheme="minorEastAsia" w:eastAsiaTheme="minorEastAsia" w:hAnsiTheme="minorEastAsia"/>
          <w:b/>
        </w:rPr>
      </w:pPr>
      <w:r w:rsidRPr="00960F82">
        <w:rPr>
          <w:rFonts w:asciiTheme="minorEastAsia" w:eastAsiaTheme="minorEastAsia" w:hAnsiTheme="minorEastAsia" w:hint="eastAsia"/>
          <w:b/>
          <w:bCs/>
        </w:rPr>
        <w:t>信息披露的形式</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本基金的信息披露严格按照《基金法》、《证券投资基金信息披露管理办法》、《证券投资基金信息披露内容和格式准则》、《证券投资基金信息披露编报规则》、基金合同及其它有关规定进行。本基金的信息披露事项须在</w:t>
      </w:r>
      <w:r w:rsidR="002D277E" w:rsidRPr="00960F82">
        <w:rPr>
          <w:rFonts w:asciiTheme="minorEastAsia" w:eastAsiaTheme="minorEastAsia" w:hAnsiTheme="minorEastAsia" w:hint="eastAsia"/>
          <w:szCs w:val="21"/>
        </w:rPr>
        <w:t>指定媒介</w:t>
      </w:r>
      <w:r w:rsidRPr="00960F82">
        <w:rPr>
          <w:rFonts w:asciiTheme="minorEastAsia" w:eastAsiaTheme="minorEastAsia" w:hAnsiTheme="minorEastAsia" w:hint="eastAsia"/>
        </w:rPr>
        <w:t>上公告。</w:t>
      </w:r>
    </w:p>
    <w:p w:rsidR="001D2E2F" w:rsidRPr="00960F82" w:rsidRDefault="001D2E2F" w:rsidP="007F114F">
      <w:pPr>
        <w:numPr>
          <w:ilvl w:val="0"/>
          <w:numId w:val="29"/>
        </w:numPr>
        <w:autoSpaceDE w:val="0"/>
        <w:autoSpaceDN w:val="0"/>
        <w:adjustRightInd w:val="0"/>
        <w:snapToGrid w:val="0"/>
        <w:spacing w:line="360" w:lineRule="auto"/>
        <w:rPr>
          <w:rFonts w:asciiTheme="minorEastAsia" w:eastAsiaTheme="minorEastAsia" w:hAnsiTheme="minorEastAsia"/>
          <w:b/>
        </w:rPr>
      </w:pPr>
      <w:r w:rsidRPr="00960F82">
        <w:rPr>
          <w:rFonts w:asciiTheme="minorEastAsia" w:eastAsiaTheme="minorEastAsia" w:hAnsiTheme="minorEastAsia" w:hint="eastAsia"/>
          <w:b/>
          <w:bCs/>
        </w:rPr>
        <w:t>信息披露的种类、披露时间和披露形式</w:t>
      </w:r>
    </w:p>
    <w:p w:rsidR="001D2E2F" w:rsidRPr="00960F82" w:rsidRDefault="00D759DD" w:rsidP="00084917">
      <w:pPr>
        <w:pStyle w:val="a6"/>
        <w:tabs>
          <w:tab w:val="left" w:pos="735"/>
        </w:tabs>
        <w:snapToGrid w:val="0"/>
        <w:spacing w:line="360" w:lineRule="auto"/>
        <w:ind w:firstLineChars="200" w:firstLine="422"/>
        <w:rPr>
          <w:rFonts w:asciiTheme="minorEastAsia" w:eastAsiaTheme="minorEastAsia" w:hAnsiTheme="minorEastAsia"/>
          <w:b/>
          <w:bCs/>
        </w:rPr>
      </w:pPr>
      <w:bookmarkStart w:id="1058" w:name="_Toc79236617"/>
      <w:bookmarkStart w:id="1059" w:name="_Toc79236618"/>
      <w:r w:rsidRPr="00960F82">
        <w:rPr>
          <w:rFonts w:asciiTheme="minorEastAsia" w:eastAsiaTheme="minorEastAsia" w:hAnsiTheme="minorEastAsia" w:hint="eastAsia"/>
          <w:b/>
          <w:bCs/>
        </w:rPr>
        <w:t>1、</w:t>
      </w:r>
      <w:r w:rsidR="001D2E2F" w:rsidRPr="00960F82">
        <w:rPr>
          <w:rFonts w:asciiTheme="minorEastAsia" w:eastAsiaTheme="minorEastAsia" w:hAnsiTheme="minorEastAsia" w:hint="eastAsia"/>
          <w:b/>
          <w:bCs/>
        </w:rPr>
        <w:t>招募说明书</w:t>
      </w:r>
      <w:bookmarkEnd w:id="1058"/>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本基金管理人依据《基金法》</w:t>
      </w:r>
      <w:r w:rsidRPr="00960F82">
        <w:rPr>
          <w:rFonts w:asciiTheme="minorEastAsia" w:eastAsiaTheme="minorEastAsia" w:hAnsiTheme="minorEastAsia"/>
        </w:rPr>
        <w:t>及</w:t>
      </w:r>
      <w:r w:rsidRPr="00960F82">
        <w:rPr>
          <w:rFonts w:asciiTheme="minorEastAsia" w:eastAsiaTheme="minorEastAsia" w:hAnsiTheme="minorEastAsia" w:hint="eastAsia"/>
        </w:rPr>
        <w:t>相关法律法规、</w:t>
      </w:r>
      <w:r w:rsidRPr="00960F82">
        <w:rPr>
          <w:rFonts w:asciiTheme="minorEastAsia" w:eastAsiaTheme="minorEastAsia" w:hAnsiTheme="minorEastAsia"/>
        </w:rPr>
        <w:t>实施准则</w:t>
      </w:r>
      <w:r w:rsidRPr="00960F82">
        <w:rPr>
          <w:rFonts w:asciiTheme="minorEastAsia" w:eastAsiaTheme="minorEastAsia" w:hAnsiTheme="minorEastAsia" w:hint="eastAsia"/>
        </w:rPr>
        <w:t>编制并公告《招募说明书》。</w:t>
      </w:r>
      <w:r w:rsidR="001833CF" w:rsidRPr="00960F82">
        <w:rPr>
          <w:rFonts w:asciiTheme="minorEastAsia" w:eastAsiaTheme="minorEastAsia" w:hAnsiTheme="minorEastAsia" w:hint="eastAsia"/>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1833CF" w:rsidRPr="00960F82" w:rsidRDefault="001833CF" w:rsidP="001833CF">
      <w:pPr>
        <w:pStyle w:val="a6"/>
        <w:tabs>
          <w:tab w:val="left" w:pos="735"/>
        </w:tabs>
        <w:snapToGrid w:val="0"/>
        <w:spacing w:line="360" w:lineRule="auto"/>
        <w:ind w:firstLineChars="200" w:firstLine="422"/>
        <w:rPr>
          <w:rFonts w:asciiTheme="minorEastAsia" w:eastAsiaTheme="minorEastAsia" w:hAnsiTheme="minorEastAsia"/>
          <w:b/>
          <w:bCs/>
        </w:rPr>
      </w:pPr>
      <w:r w:rsidRPr="00960F82">
        <w:rPr>
          <w:rFonts w:asciiTheme="minorEastAsia" w:eastAsiaTheme="minorEastAsia" w:hAnsiTheme="minorEastAsia" w:hint="eastAsia"/>
          <w:b/>
          <w:bCs/>
        </w:rPr>
        <w:t>2、基金产品资料概要</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b/>
          <w:bCs/>
        </w:rPr>
      </w:pPr>
      <w:r w:rsidRPr="00960F82">
        <w:rPr>
          <w:rFonts w:asciiTheme="minorEastAsia" w:eastAsiaTheme="minorEastAsia" w:hAnsiTheme="minorEastAsia" w:hint="eastAsia"/>
          <w:szCs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D2E2F" w:rsidRPr="00960F82" w:rsidRDefault="001833CF" w:rsidP="00084917">
      <w:pPr>
        <w:pStyle w:val="a6"/>
        <w:tabs>
          <w:tab w:val="left" w:pos="735"/>
        </w:tabs>
        <w:snapToGrid w:val="0"/>
        <w:spacing w:line="360" w:lineRule="auto"/>
        <w:ind w:firstLineChars="200" w:firstLine="422"/>
        <w:rPr>
          <w:rFonts w:asciiTheme="minorEastAsia" w:eastAsiaTheme="minorEastAsia" w:hAnsiTheme="minorEastAsia"/>
          <w:b/>
          <w:bCs/>
        </w:rPr>
      </w:pPr>
      <w:r w:rsidRPr="00960F82">
        <w:rPr>
          <w:rFonts w:asciiTheme="minorEastAsia" w:eastAsiaTheme="minorEastAsia" w:hAnsiTheme="minorEastAsia"/>
          <w:b/>
          <w:bCs/>
        </w:rPr>
        <w:t>3</w:t>
      </w:r>
      <w:r w:rsidR="00D759DD" w:rsidRPr="00960F82">
        <w:rPr>
          <w:rFonts w:asciiTheme="minorEastAsia" w:eastAsiaTheme="minorEastAsia" w:hAnsiTheme="minorEastAsia" w:hint="eastAsia"/>
          <w:b/>
          <w:bCs/>
        </w:rPr>
        <w:t>、</w:t>
      </w:r>
      <w:r w:rsidR="001D2E2F" w:rsidRPr="00960F82">
        <w:rPr>
          <w:rFonts w:asciiTheme="minorEastAsia" w:eastAsiaTheme="minorEastAsia" w:hAnsiTheme="minorEastAsia" w:hint="eastAsia"/>
          <w:b/>
          <w:bCs/>
        </w:rPr>
        <w:t>份额发售公告</w:t>
      </w:r>
      <w:bookmarkEnd w:id="1059"/>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rPr>
        <w:t>本基金管理人按照</w:t>
      </w:r>
      <w:r w:rsidRPr="00960F82">
        <w:rPr>
          <w:rFonts w:asciiTheme="minorEastAsia" w:eastAsiaTheme="minorEastAsia" w:hAnsiTheme="minorEastAsia" w:hint="eastAsia"/>
        </w:rPr>
        <w:t>《基金法》</w:t>
      </w:r>
      <w:r w:rsidRPr="00960F82">
        <w:rPr>
          <w:rFonts w:asciiTheme="minorEastAsia" w:eastAsiaTheme="minorEastAsia" w:hAnsiTheme="minorEastAsia"/>
        </w:rPr>
        <w:t>及</w:t>
      </w:r>
      <w:r w:rsidRPr="00960F82">
        <w:rPr>
          <w:rFonts w:asciiTheme="minorEastAsia" w:eastAsiaTheme="minorEastAsia" w:hAnsiTheme="minorEastAsia" w:hint="eastAsia"/>
        </w:rPr>
        <w:t>相关法律法规、</w:t>
      </w:r>
      <w:r w:rsidRPr="00960F82">
        <w:rPr>
          <w:rFonts w:asciiTheme="minorEastAsia" w:eastAsiaTheme="minorEastAsia" w:hAnsiTheme="minorEastAsia"/>
        </w:rPr>
        <w:t>实施准则的有关规定编制并发布份额发售公告</w:t>
      </w:r>
      <w:r w:rsidRPr="00960F82">
        <w:rPr>
          <w:rFonts w:asciiTheme="minorEastAsia" w:eastAsiaTheme="minorEastAsia" w:hAnsiTheme="minorEastAsia" w:hint="eastAsia"/>
        </w:rPr>
        <w:t>。</w:t>
      </w:r>
    </w:p>
    <w:p w:rsidR="001D2E2F" w:rsidRPr="00960F82" w:rsidRDefault="001833CF" w:rsidP="00084917">
      <w:pPr>
        <w:pStyle w:val="a6"/>
        <w:tabs>
          <w:tab w:val="left" w:pos="735"/>
        </w:tabs>
        <w:snapToGrid w:val="0"/>
        <w:spacing w:line="360" w:lineRule="auto"/>
        <w:ind w:firstLineChars="200" w:firstLine="422"/>
        <w:rPr>
          <w:rFonts w:asciiTheme="minorEastAsia" w:eastAsiaTheme="minorEastAsia" w:hAnsiTheme="minorEastAsia"/>
          <w:b/>
          <w:bCs/>
        </w:rPr>
      </w:pPr>
      <w:bookmarkStart w:id="1060" w:name="_Toc79236619"/>
      <w:r w:rsidRPr="00960F82">
        <w:rPr>
          <w:rFonts w:asciiTheme="minorEastAsia" w:eastAsiaTheme="minorEastAsia" w:hAnsiTheme="minorEastAsia"/>
          <w:b/>
          <w:bCs/>
        </w:rPr>
        <w:t>4</w:t>
      </w:r>
      <w:r w:rsidR="00D759DD" w:rsidRPr="00960F82">
        <w:rPr>
          <w:rFonts w:asciiTheme="minorEastAsia" w:eastAsiaTheme="minorEastAsia" w:hAnsiTheme="minorEastAsia" w:hint="eastAsia"/>
          <w:b/>
          <w:bCs/>
        </w:rPr>
        <w:t>、</w:t>
      </w:r>
      <w:r w:rsidRPr="00960F82">
        <w:rPr>
          <w:rFonts w:asciiTheme="minorEastAsia" w:eastAsiaTheme="minorEastAsia" w:hAnsiTheme="minorEastAsia" w:hint="eastAsia"/>
          <w:b/>
        </w:rPr>
        <w:t>基金定期报告，包括基金年度报告、基金中期报告和基金季度报告</w:t>
      </w:r>
      <w:bookmarkEnd w:id="1060"/>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szCs w:val="24"/>
        </w:rPr>
      </w:pPr>
      <w:r w:rsidRPr="00960F82">
        <w:rPr>
          <w:rFonts w:asciiTheme="minorEastAsia" w:eastAsiaTheme="minorEastAsia" w:hAnsiTheme="minorEastAsia" w:hint="eastAsia"/>
          <w:szCs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szCs w:val="24"/>
        </w:rPr>
      </w:pPr>
      <w:r w:rsidRPr="00960F82">
        <w:rPr>
          <w:rFonts w:asciiTheme="minorEastAsia" w:eastAsiaTheme="minorEastAsia" w:hAnsiTheme="minorEastAsia" w:hint="eastAsia"/>
          <w:szCs w:val="24"/>
        </w:rPr>
        <w:t>基金管理人应当在上半年结束之日起两个月内，编制完成基金中期报告，将中期报告登载在指定网站上，并将中期报告提示性公告登载在指定报刊上。</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szCs w:val="24"/>
        </w:rPr>
      </w:pPr>
      <w:r w:rsidRPr="00960F82">
        <w:rPr>
          <w:rFonts w:asciiTheme="minorEastAsia" w:eastAsiaTheme="minorEastAsia" w:hAnsiTheme="minorEastAsia" w:hint="eastAsia"/>
          <w:szCs w:val="24"/>
        </w:rPr>
        <w:t>基金管理人应当在季度结束之日起15个工作日内，编制完成基金季度报告，将季度报告登载在指定网站上，并将季度报告提示性公告登载在指定报刊上。</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szCs w:val="24"/>
        </w:rPr>
      </w:pPr>
      <w:r w:rsidRPr="00960F82">
        <w:rPr>
          <w:rFonts w:asciiTheme="minorEastAsia" w:eastAsiaTheme="minorEastAsia" w:hAnsiTheme="minorEastAsia" w:hint="eastAsia"/>
          <w:szCs w:val="24"/>
        </w:rPr>
        <w:t>《基金合同》生效不足2个月的，基金管理人可以不编制当期季度报告、中期报告或者年度报告。</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szCs w:val="24"/>
        </w:rPr>
      </w:pPr>
      <w:r w:rsidRPr="00960F82">
        <w:rPr>
          <w:rFonts w:asciiTheme="minorEastAsia" w:eastAsiaTheme="minorEastAsia" w:hAnsiTheme="minorEastAsia" w:hint="eastAsia"/>
          <w:szCs w:val="24"/>
        </w:rPr>
        <w:t>如报告期内出现单一投资者持有基金份额达到或超过基金总份额20%的情形，为保障其他投资者的权益，基金管理人至少应当在定期报告“影响投资者决策的其他重要信息”项下</w:t>
      </w:r>
      <w:r w:rsidRPr="00960F82">
        <w:rPr>
          <w:rFonts w:asciiTheme="minorEastAsia" w:eastAsiaTheme="minorEastAsia" w:hAnsiTheme="minorEastAsia" w:hint="eastAsia"/>
          <w:szCs w:val="24"/>
        </w:rPr>
        <w:lastRenderedPageBreak/>
        <w:t>披露该投资者的类别、报告期末持有份额及占比、报告期内持有份额变化情况及本基金的特有风险，中国证监会认定的特殊情形除外。</w:t>
      </w:r>
    </w:p>
    <w:p w:rsidR="0071674B" w:rsidRPr="00960F82" w:rsidRDefault="001833CF" w:rsidP="0071674B">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基金管理人应当在基金年度报告和中期报告中披露基金组合资产情况及其流动性风险分析等。</w:t>
      </w:r>
    </w:p>
    <w:p w:rsidR="001D2E2F" w:rsidRPr="00960F82" w:rsidRDefault="001833CF" w:rsidP="00084917">
      <w:pPr>
        <w:pStyle w:val="a6"/>
        <w:tabs>
          <w:tab w:val="left" w:pos="735"/>
        </w:tabs>
        <w:snapToGrid w:val="0"/>
        <w:spacing w:line="360" w:lineRule="auto"/>
        <w:ind w:firstLineChars="200" w:firstLine="422"/>
        <w:rPr>
          <w:rFonts w:asciiTheme="minorEastAsia" w:eastAsiaTheme="minorEastAsia" w:hAnsiTheme="minorEastAsia"/>
          <w:b/>
          <w:bCs/>
        </w:rPr>
      </w:pPr>
      <w:r w:rsidRPr="00960F82">
        <w:rPr>
          <w:rFonts w:asciiTheme="minorEastAsia" w:eastAsiaTheme="minorEastAsia" w:hAnsiTheme="minorEastAsia"/>
          <w:b/>
          <w:bCs/>
        </w:rPr>
        <w:t>5</w:t>
      </w:r>
      <w:r w:rsidR="00D759DD" w:rsidRPr="00960F82">
        <w:rPr>
          <w:rFonts w:asciiTheme="minorEastAsia" w:eastAsiaTheme="minorEastAsia" w:hAnsiTheme="minorEastAsia" w:hint="eastAsia"/>
          <w:b/>
          <w:bCs/>
        </w:rPr>
        <w:t>、</w:t>
      </w:r>
      <w:r w:rsidR="001D2E2F" w:rsidRPr="00960F82">
        <w:rPr>
          <w:rFonts w:asciiTheme="minorEastAsia" w:eastAsiaTheme="minorEastAsia" w:hAnsiTheme="minorEastAsia" w:hint="eastAsia"/>
          <w:b/>
          <w:bCs/>
        </w:rPr>
        <w:t>基金临时信息披露</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本基金发生重大事件，有关信息披露义务人应当在2日内编制临时报告书，并登载在指定报刊和指定网站上。</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w:t>
      </w:r>
      <w:r w:rsidRPr="00960F82">
        <w:rPr>
          <w:rFonts w:asciiTheme="minorEastAsia" w:eastAsiaTheme="minorEastAsia" w:hAnsiTheme="minorEastAsia" w:hint="eastAsia"/>
          <w:szCs w:val="21"/>
        </w:rPr>
        <w:t>）基金份额持有人大会的召开及决定的事项；</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2</w:t>
      </w:r>
      <w:r w:rsidRPr="00960F82">
        <w:rPr>
          <w:rFonts w:asciiTheme="minorEastAsia" w:eastAsiaTheme="minorEastAsia" w:hAnsiTheme="minorEastAsia" w:hint="eastAsia"/>
          <w:szCs w:val="21"/>
        </w:rPr>
        <w:t>）基金合同</w:t>
      </w:r>
      <w:r w:rsidRPr="00960F82">
        <w:rPr>
          <w:rFonts w:asciiTheme="minorEastAsia" w:eastAsiaTheme="minorEastAsia" w:hAnsiTheme="minorEastAsia"/>
          <w:szCs w:val="21"/>
        </w:rPr>
        <w:t>终止</w:t>
      </w:r>
      <w:r w:rsidRPr="00960F82">
        <w:rPr>
          <w:rFonts w:asciiTheme="minorEastAsia" w:eastAsiaTheme="minorEastAsia" w:hAnsiTheme="minorEastAsia" w:hint="eastAsia"/>
          <w:szCs w:val="21"/>
        </w:rPr>
        <w:t>、基金清算；</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3</w:t>
      </w:r>
      <w:r w:rsidRPr="00960F82">
        <w:rPr>
          <w:rFonts w:asciiTheme="minorEastAsia" w:eastAsiaTheme="minorEastAsia" w:hAnsiTheme="minorEastAsia" w:hint="eastAsia"/>
          <w:szCs w:val="21"/>
        </w:rPr>
        <w:t>）转换基金运作方式、基金合并；</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4</w:t>
      </w:r>
      <w:r w:rsidRPr="00960F82">
        <w:rPr>
          <w:rFonts w:asciiTheme="minorEastAsia" w:eastAsiaTheme="minorEastAsia" w:hAnsiTheme="minorEastAsia" w:hint="eastAsia"/>
          <w:szCs w:val="21"/>
        </w:rPr>
        <w:t>）更换基金管理人、基金托管人、基金份额登记机构，基金改聘会计师事务所；</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（5）基金管理人委托基金服务机构代为办理基金的份额登记、核算、估值等事项，基金托管人委托基金服务机构代为办理基金的核算、估值、复核等事项；</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6</w:t>
      </w:r>
      <w:r w:rsidRPr="00960F82">
        <w:rPr>
          <w:rFonts w:asciiTheme="minorEastAsia" w:eastAsiaTheme="minorEastAsia" w:hAnsiTheme="minorEastAsia" w:hint="eastAsia"/>
          <w:szCs w:val="21"/>
        </w:rPr>
        <w:t>）基金管理人、基金托管人的法定名称、住所发生变更；</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（7）基金管理公司变更持有百分之五以上股权的股东、基金管理人的实际控制人变更</w:t>
      </w:r>
      <w:r w:rsidRPr="00960F82">
        <w:rPr>
          <w:rFonts w:asciiTheme="minorEastAsia" w:eastAsiaTheme="minorEastAsia" w:hAnsiTheme="minorEastAsia"/>
          <w:szCs w:val="21"/>
        </w:rPr>
        <w:t>；</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8</w:t>
      </w:r>
      <w:r w:rsidRPr="00960F82">
        <w:rPr>
          <w:rFonts w:asciiTheme="minorEastAsia" w:eastAsiaTheme="minorEastAsia" w:hAnsiTheme="minorEastAsia" w:hint="eastAsia"/>
          <w:szCs w:val="21"/>
        </w:rPr>
        <w:t>）基金募集期延长或提前结束募集；</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9</w:t>
      </w:r>
      <w:r w:rsidRPr="00960F82">
        <w:rPr>
          <w:rFonts w:asciiTheme="minorEastAsia" w:eastAsiaTheme="minorEastAsia" w:hAnsiTheme="minorEastAsia" w:hint="eastAsia"/>
          <w:szCs w:val="21"/>
        </w:rPr>
        <w:t>）基金管理人的高级管理人员、基金经理和基金托管人专门基金托管部门负责人发生变动；</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10</w:t>
      </w:r>
      <w:r w:rsidRPr="00960F82">
        <w:rPr>
          <w:rFonts w:asciiTheme="minorEastAsia" w:eastAsiaTheme="minorEastAsia" w:hAnsiTheme="minorEastAsia" w:hint="eastAsia"/>
          <w:szCs w:val="21"/>
        </w:rPr>
        <w:t>）基金管理人的董事在最近</w:t>
      </w:r>
      <w:r w:rsidRPr="00960F82">
        <w:rPr>
          <w:rFonts w:asciiTheme="minorEastAsia" w:eastAsiaTheme="minorEastAsia" w:hAnsiTheme="minorEastAsia"/>
          <w:szCs w:val="21"/>
        </w:rPr>
        <w:t>12</w:t>
      </w:r>
      <w:r w:rsidRPr="00960F82">
        <w:rPr>
          <w:rFonts w:asciiTheme="minorEastAsia" w:eastAsiaTheme="minorEastAsia" w:hAnsiTheme="minorEastAsia" w:hint="eastAsia"/>
          <w:szCs w:val="21"/>
        </w:rPr>
        <w:t>个月内变更超过百分之五十，基金管理人、基金托管人专门基金托管部门的主要业务人员在最近</w:t>
      </w:r>
      <w:r w:rsidRPr="00960F82">
        <w:rPr>
          <w:rFonts w:asciiTheme="minorEastAsia" w:eastAsiaTheme="minorEastAsia" w:hAnsiTheme="minorEastAsia"/>
          <w:szCs w:val="21"/>
        </w:rPr>
        <w:t>12</w:t>
      </w:r>
      <w:r w:rsidRPr="00960F82">
        <w:rPr>
          <w:rFonts w:asciiTheme="minorEastAsia" w:eastAsiaTheme="minorEastAsia" w:hAnsiTheme="minorEastAsia" w:hint="eastAsia"/>
          <w:szCs w:val="21"/>
        </w:rPr>
        <w:t>个月内变动超过百分之三十；</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11</w:t>
      </w:r>
      <w:r w:rsidRPr="00960F82">
        <w:rPr>
          <w:rFonts w:asciiTheme="minorEastAsia" w:eastAsiaTheme="minorEastAsia" w:hAnsiTheme="minorEastAsia" w:hint="eastAsia"/>
          <w:szCs w:val="21"/>
        </w:rPr>
        <w:t>）涉及基金财产、基金管理业务、基金托管业务的诉讼或仲裁；</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12</w:t>
      </w:r>
      <w:r w:rsidRPr="00960F82">
        <w:rPr>
          <w:rFonts w:asciiTheme="minorEastAsia" w:eastAsiaTheme="minorEastAsia" w:hAnsiTheme="minorEastAsia"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13</w:t>
      </w:r>
      <w:r w:rsidRPr="00960F82">
        <w:rPr>
          <w:rFonts w:asciiTheme="minorEastAsia" w:eastAsiaTheme="minorEastAsia" w:hAnsiTheme="minorEastAsia" w:hint="eastAsia"/>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14</w:t>
      </w:r>
      <w:r w:rsidRPr="00960F82">
        <w:rPr>
          <w:rFonts w:asciiTheme="minorEastAsia" w:eastAsiaTheme="minorEastAsia" w:hAnsiTheme="minorEastAsia" w:hint="eastAsia"/>
          <w:szCs w:val="21"/>
        </w:rPr>
        <w:t>）基金收益分配事项；</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15</w:t>
      </w:r>
      <w:r w:rsidRPr="00960F82">
        <w:rPr>
          <w:rFonts w:asciiTheme="minorEastAsia" w:eastAsiaTheme="minorEastAsia" w:hAnsiTheme="minorEastAsia" w:hint="eastAsia"/>
          <w:szCs w:val="21"/>
        </w:rPr>
        <w:t>）管理费、托管费、申购费、赎回费等费用计提标准、计提方式和费率发生变更；</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16</w:t>
      </w:r>
      <w:r w:rsidRPr="00960F82">
        <w:rPr>
          <w:rFonts w:asciiTheme="minorEastAsia" w:eastAsiaTheme="minorEastAsia" w:hAnsiTheme="minorEastAsia" w:hint="eastAsia"/>
          <w:szCs w:val="21"/>
        </w:rPr>
        <w:t>）基金份额净值计价错误达基金份额净值百分之零点五；</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w:t>
      </w:r>
      <w:r w:rsidRPr="00960F82">
        <w:rPr>
          <w:rFonts w:asciiTheme="minorEastAsia" w:eastAsiaTheme="minorEastAsia" w:hAnsiTheme="minorEastAsia"/>
          <w:szCs w:val="21"/>
        </w:rPr>
        <w:t>17</w:t>
      </w:r>
      <w:r w:rsidRPr="00960F82">
        <w:rPr>
          <w:rFonts w:asciiTheme="minorEastAsia" w:eastAsiaTheme="minorEastAsia" w:hAnsiTheme="minorEastAsia" w:hint="eastAsia"/>
          <w:szCs w:val="21"/>
        </w:rPr>
        <w:t>）本基金开始办理申购、赎回；</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18</w:t>
      </w:r>
      <w:r w:rsidRPr="00960F82">
        <w:rPr>
          <w:rFonts w:asciiTheme="minorEastAsia" w:eastAsiaTheme="minorEastAsia" w:hAnsiTheme="minorEastAsia" w:hint="eastAsia"/>
          <w:szCs w:val="21"/>
        </w:rPr>
        <w:t>）本基金暂停接受申购、赎回申请或重新接受申购、赎回申请；</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19</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调整基金份额类别的设置；</w:t>
      </w:r>
    </w:p>
    <w:p w:rsidR="001833CF" w:rsidRPr="00960F82" w:rsidRDefault="001833CF" w:rsidP="001833CF">
      <w:pPr>
        <w:pStyle w:val="25"/>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Pr="00960F82">
        <w:rPr>
          <w:rFonts w:asciiTheme="minorEastAsia" w:eastAsiaTheme="minorEastAsia" w:hAnsiTheme="minorEastAsia"/>
          <w:szCs w:val="21"/>
        </w:rPr>
        <w:t>0</w:t>
      </w:r>
      <w:r w:rsidRPr="00960F82">
        <w:rPr>
          <w:rFonts w:asciiTheme="minorEastAsia" w:eastAsiaTheme="minorEastAsia" w:hAnsiTheme="minorEastAsia" w:hint="eastAsia"/>
          <w:szCs w:val="21"/>
        </w:rPr>
        <w:t>）基金推出新业务或服务；</w:t>
      </w:r>
    </w:p>
    <w:p w:rsidR="001833CF" w:rsidRPr="00960F82" w:rsidRDefault="001833CF" w:rsidP="00084917">
      <w:pPr>
        <w:pStyle w:val="a6"/>
        <w:tabs>
          <w:tab w:val="left" w:pos="735"/>
        </w:tabs>
        <w:snapToGrid w:val="0"/>
        <w:spacing w:line="360" w:lineRule="auto"/>
        <w:ind w:firstLineChars="200"/>
        <w:rPr>
          <w:rFonts w:asciiTheme="minorEastAsia" w:eastAsiaTheme="minorEastAsia" w:hAnsiTheme="minorEastAsia"/>
          <w:b/>
          <w:bCs/>
        </w:rPr>
      </w:pP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21</w:t>
      </w:r>
      <w:r w:rsidRPr="00960F82">
        <w:rPr>
          <w:rFonts w:asciiTheme="minorEastAsia" w:eastAsiaTheme="minorEastAsia" w:hAnsiTheme="minorEastAsia" w:hint="eastAsia"/>
          <w:szCs w:val="21"/>
        </w:rPr>
        <w:t>）基金信息披露义务人认为可能对基金份额持有人权益或者基金份额的价格产生重大影响的其他事项或中国证监会规定的其他事项。</w:t>
      </w:r>
    </w:p>
    <w:p w:rsidR="001833CF" w:rsidRPr="00960F82" w:rsidRDefault="001833CF" w:rsidP="003E1F0F">
      <w:pPr>
        <w:numPr>
          <w:ilvl w:val="0"/>
          <w:numId w:val="29"/>
        </w:numPr>
        <w:autoSpaceDE w:val="0"/>
        <w:autoSpaceDN w:val="0"/>
        <w:adjustRightInd w:val="0"/>
        <w:snapToGrid w:val="0"/>
        <w:spacing w:line="360" w:lineRule="auto"/>
        <w:rPr>
          <w:rFonts w:asciiTheme="minorEastAsia" w:eastAsiaTheme="minorEastAsia" w:hAnsiTheme="minorEastAsia"/>
          <w:b/>
          <w:bCs/>
        </w:rPr>
      </w:pPr>
      <w:r w:rsidRPr="00960F82">
        <w:rPr>
          <w:rFonts w:asciiTheme="minorEastAsia" w:eastAsiaTheme="minorEastAsia" w:hAnsiTheme="minorEastAsia" w:hint="eastAsia"/>
          <w:b/>
          <w:bCs/>
        </w:rPr>
        <w:t>信息披露事务管理</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bCs/>
        </w:rPr>
      </w:pPr>
      <w:r w:rsidRPr="00960F82">
        <w:rPr>
          <w:rFonts w:asciiTheme="minorEastAsia" w:eastAsiaTheme="minorEastAsia" w:hAnsiTheme="minorEastAsia" w:hint="eastAsia"/>
          <w:bCs/>
        </w:rPr>
        <w:t>基金管理人、基金托管人应当建立健全信息披露管理制度，指定专门部门及高级管理人员负责管理信息披露事务。</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bCs/>
        </w:rPr>
      </w:pPr>
      <w:r w:rsidRPr="00960F82">
        <w:rPr>
          <w:rFonts w:asciiTheme="minorEastAsia" w:eastAsiaTheme="minorEastAsia" w:hAnsiTheme="minorEastAsia" w:hint="eastAsia"/>
          <w:bCs/>
        </w:rPr>
        <w:t>基金信息披露义务人公开披露基金信息，应当符合中国证监会相关基金信息披露内容与格式准则等法规的规定。</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bCs/>
        </w:rPr>
      </w:pPr>
      <w:r w:rsidRPr="00960F82">
        <w:rPr>
          <w:rFonts w:asciiTheme="minorEastAsia" w:eastAsiaTheme="minorEastAsia" w:hAnsiTheme="minorEastAsia" w:hint="eastAsia"/>
          <w:bCs/>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bCs/>
        </w:rPr>
      </w:pPr>
      <w:r w:rsidRPr="00960F82">
        <w:rPr>
          <w:rFonts w:asciiTheme="minorEastAsia" w:eastAsiaTheme="minorEastAsia" w:hAnsiTheme="minorEastAsia" w:hint="eastAsia"/>
          <w:bCs/>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1833CF" w:rsidRPr="00960F82" w:rsidRDefault="001833CF" w:rsidP="001833CF">
      <w:pPr>
        <w:pStyle w:val="a6"/>
        <w:tabs>
          <w:tab w:val="left" w:pos="735"/>
        </w:tabs>
        <w:snapToGrid w:val="0"/>
        <w:spacing w:line="360" w:lineRule="auto"/>
        <w:ind w:firstLineChars="200"/>
        <w:rPr>
          <w:rFonts w:asciiTheme="minorEastAsia" w:eastAsiaTheme="minorEastAsia" w:hAnsiTheme="minorEastAsia"/>
          <w:bCs/>
        </w:rPr>
      </w:pPr>
      <w:r w:rsidRPr="00960F82">
        <w:rPr>
          <w:rFonts w:asciiTheme="minorEastAsia" w:eastAsiaTheme="minorEastAsia" w:hAnsiTheme="minorEastAsia" w:hint="eastAsia"/>
          <w:bCs/>
        </w:rPr>
        <w:t>基金管理人、基金托管人除依法在指定媒介上披露信息外，还可以根据需要在其他公共媒介披露信息，但是其他公共媒介不得早于指定媒介披露信息，并且在不同媒介上披露同一信息的内容应当一致。</w:t>
      </w:r>
    </w:p>
    <w:p w:rsidR="001D2E2F" w:rsidRPr="00960F82" w:rsidRDefault="001833C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bCs/>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1D2E2F" w:rsidRPr="00960F82" w:rsidRDefault="001D2E2F" w:rsidP="007F114F">
      <w:pPr>
        <w:numPr>
          <w:ilvl w:val="0"/>
          <w:numId w:val="29"/>
        </w:numPr>
        <w:autoSpaceDE w:val="0"/>
        <w:autoSpaceDN w:val="0"/>
        <w:adjustRightInd w:val="0"/>
        <w:snapToGrid w:val="0"/>
        <w:spacing w:line="360" w:lineRule="auto"/>
        <w:rPr>
          <w:rFonts w:asciiTheme="minorEastAsia" w:eastAsiaTheme="minorEastAsia" w:hAnsiTheme="minorEastAsia"/>
          <w:b/>
          <w:bCs/>
        </w:rPr>
      </w:pPr>
      <w:r w:rsidRPr="00960F82">
        <w:rPr>
          <w:rFonts w:asciiTheme="minorEastAsia" w:eastAsiaTheme="minorEastAsia" w:hAnsiTheme="minorEastAsia" w:hint="eastAsia"/>
          <w:b/>
          <w:bCs/>
        </w:rPr>
        <w:t>信息披露文件的存放与查阅</w:t>
      </w:r>
    </w:p>
    <w:p w:rsidR="001D2E2F" w:rsidRPr="00960F82" w:rsidRDefault="001833CF"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依法必须披露的信息发布后，基金管理人、基金托管人应当按照相关法律法规规定将信息置备于公司办公场所，供社会公众查阅、复制。</w:t>
      </w:r>
    </w:p>
    <w:p w:rsidR="001D2E2F" w:rsidRPr="00960F82" w:rsidRDefault="001D2E2F"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D759DD" w:rsidRPr="00960F82" w:rsidRDefault="00D759DD" w:rsidP="00084917">
      <w:pPr>
        <w:snapToGrid w:val="0"/>
        <w:spacing w:line="360" w:lineRule="auto"/>
        <w:ind w:firstLine="480"/>
        <w:rPr>
          <w:rFonts w:asciiTheme="minorEastAsia" w:eastAsiaTheme="minorEastAsia" w:hAnsiTheme="minorEastAsia"/>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bCs/>
        </w:rPr>
      </w:pPr>
      <w:bookmarkStart w:id="1061" w:name="_Toc92774762"/>
      <w:bookmarkStart w:id="1062" w:name="_Toc30161820"/>
      <w:bookmarkStart w:id="1063" w:name="_Toc38186653"/>
      <w:r w:rsidRPr="00960F82">
        <w:rPr>
          <w:rFonts w:asciiTheme="minorEastAsia" w:eastAsiaTheme="minorEastAsia" w:hAnsiTheme="minorEastAsia" w:hint="eastAsia"/>
          <w:b/>
          <w:bCs/>
          <w:kern w:val="44"/>
          <w:szCs w:val="44"/>
        </w:rPr>
        <w:t>十六、风险揭示</w:t>
      </w:r>
      <w:bookmarkEnd w:id="1061"/>
      <w:bookmarkEnd w:id="1062"/>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1064" w:name="_Toc30161821"/>
      <w:r w:rsidRPr="00960F82">
        <w:rPr>
          <w:rFonts w:asciiTheme="minorEastAsia" w:eastAsiaTheme="minorEastAsia" w:hAnsiTheme="minorEastAsia" w:hint="eastAsia"/>
          <w:bCs/>
        </w:rPr>
        <w:t>（一）市场风险</w:t>
      </w:r>
      <w:bookmarkEnd w:id="1064"/>
    </w:p>
    <w:p w:rsidR="001D2E2F" w:rsidRPr="00960F82" w:rsidRDefault="001D2E2F" w:rsidP="00084917">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基金主要投资于证券市场，而证券市场价格因受到经济因素、政治因素、投资者心理和交易制度等各种因素的影响而产生波动，从而导致基金收益水平发生变化，产生风险。主要的风险因素包括：</w:t>
      </w:r>
    </w:p>
    <w:p w:rsidR="001D2E2F" w:rsidRPr="00960F82" w:rsidRDefault="00D759DD" w:rsidP="00D759DD">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政策风险。因财政政策、货币政策、产业政策、地区发展政策等国家宏观政策发生变化，导致市场价格波动，影响基金收益而产生风险。</w:t>
      </w:r>
    </w:p>
    <w:p w:rsidR="001D2E2F" w:rsidRPr="00960F82" w:rsidRDefault="00D759DD" w:rsidP="00D759DD">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经济周期风险。随着经济运行的周期性变化，证券市场的收益水平也呈周期性变化，基金投资的收益水平也会随之变化，从而产生风险。</w:t>
      </w:r>
    </w:p>
    <w:p w:rsidR="001D2E2F" w:rsidRPr="00960F82" w:rsidRDefault="00D759DD" w:rsidP="00D759DD">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利率风险。金融市场利率的波动会导致证券市场价格和收益率的变动。利率直接影响着债券的价格和收益率，影响着企业的融资成本和利润。基金投资于债券和股票，其收益</w:t>
      </w:r>
      <w:r w:rsidR="001D2E2F" w:rsidRPr="00960F82">
        <w:rPr>
          <w:rFonts w:asciiTheme="minorEastAsia" w:eastAsiaTheme="minorEastAsia" w:hAnsiTheme="minorEastAsia" w:hint="eastAsia"/>
          <w:szCs w:val="21"/>
        </w:rPr>
        <w:lastRenderedPageBreak/>
        <w:t>水平可能会受到利率变化的影响。</w:t>
      </w:r>
    </w:p>
    <w:p w:rsidR="001D2E2F" w:rsidRPr="00960F82" w:rsidRDefault="00D759DD" w:rsidP="00D759DD">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上市公司经营风险。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1D2E2F" w:rsidRPr="00960F82" w:rsidRDefault="00D759DD" w:rsidP="00D759DD">
      <w:pPr>
        <w:pStyle w:val="25"/>
        <w:snapToGrid w:val="0"/>
        <w:spacing w:before="0" w:beforeAutospacing="0" w:after="0" w:afterAutospacing="0"/>
        <w:ind w:firstLineChars="0" w:firstLine="420"/>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购买力风险。基金份额持有人收益将主要通过现金形式来分配，而现金可能因为通货膨胀因素而使其购买力下降,从而使基金的实际收益下降。</w:t>
      </w:r>
    </w:p>
    <w:p w:rsidR="001D2E2F" w:rsidRPr="00960F82" w:rsidRDefault="001D2E2F" w:rsidP="00084917">
      <w:pPr>
        <w:pStyle w:val="23"/>
        <w:snapToGrid w:val="0"/>
        <w:spacing w:before="312" w:after="312" w:line="360" w:lineRule="auto"/>
        <w:ind w:firstLineChars="0" w:firstLine="0"/>
        <w:rPr>
          <w:rFonts w:asciiTheme="minorEastAsia" w:eastAsiaTheme="minorEastAsia" w:hAnsiTheme="minorEastAsia"/>
          <w:bCs/>
        </w:rPr>
      </w:pPr>
      <w:bookmarkStart w:id="1065" w:name="_Toc30161822"/>
      <w:r w:rsidRPr="00960F82">
        <w:rPr>
          <w:rFonts w:asciiTheme="minorEastAsia" w:eastAsiaTheme="minorEastAsia" w:hAnsiTheme="minorEastAsia" w:hint="eastAsia"/>
          <w:bCs/>
        </w:rPr>
        <w:t>（二）本基金特有的风险</w:t>
      </w:r>
      <w:bookmarkEnd w:id="1065"/>
    </w:p>
    <w:p w:rsidR="001D2E2F" w:rsidRPr="00960F82" w:rsidRDefault="001D2E2F" w:rsidP="00084917">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本基金采取自下而上的选股策略，对上市公司的研究是否准确、深入，构成本基金特有的风险。如上市公司未能实现本基金管理人预期的业绩增长率，则可能导致基金管理人以过高的价格买入该股票，将会降低基金收益。</w:t>
      </w:r>
    </w:p>
    <w:p w:rsidR="001D2E2F" w:rsidRPr="00960F82" w:rsidRDefault="001D2E2F" w:rsidP="00084917">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本基金主要投资成长性较高的上市公司股票，这些公司可能因受到市场的追捧，股价可能较高，股价波动幅度也较大，从而导致基金净值的波动也较大，给投资者带来一定风险。</w:t>
      </w:r>
    </w:p>
    <w:p w:rsidR="001D2E2F" w:rsidRPr="00960F82" w:rsidRDefault="001D2E2F" w:rsidP="00084917">
      <w:pPr>
        <w:pStyle w:val="23"/>
        <w:adjustRightInd w:val="0"/>
        <w:snapToGrid w:val="0"/>
        <w:spacing w:beforeLines="0" w:afterLines="0" w:line="360" w:lineRule="auto"/>
        <w:ind w:firstLineChars="0" w:firstLine="0"/>
        <w:rPr>
          <w:rFonts w:asciiTheme="minorEastAsia" w:eastAsiaTheme="minorEastAsia" w:hAnsiTheme="minorEastAsia"/>
          <w:bCs/>
        </w:rPr>
      </w:pPr>
      <w:bookmarkStart w:id="1066" w:name="_Toc30161823"/>
      <w:r w:rsidRPr="00960F82">
        <w:rPr>
          <w:rFonts w:asciiTheme="minorEastAsia" w:eastAsiaTheme="minorEastAsia" w:hAnsiTheme="minorEastAsia" w:hint="eastAsia"/>
          <w:bCs/>
        </w:rPr>
        <w:t>（三）流动性风险</w:t>
      </w:r>
      <w:bookmarkEnd w:id="1066"/>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t>1</w:t>
      </w:r>
      <w:r w:rsidRPr="00960F82">
        <w:rPr>
          <w:rFonts w:asciiTheme="minorEastAsia" w:eastAsiaTheme="minorEastAsia" w:hAnsiTheme="minorEastAsia" w:hint="eastAsia"/>
        </w:rPr>
        <w:t>、流动性风险评估</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本基金为混合型基金，可投资于</w:t>
      </w:r>
      <w:r w:rsidRPr="00960F82">
        <w:rPr>
          <w:rFonts w:asciiTheme="minorEastAsia" w:eastAsiaTheme="minorEastAsia" w:hAnsiTheme="minorEastAsia" w:hint="eastAsia"/>
          <w:kern w:val="0"/>
          <w:szCs w:val="21"/>
        </w:rPr>
        <w:t>国内依法公开发行、上市的股票和债券</w:t>
      </w:r>
      <w:r w:rsidRPr="00960F82">
        <w:rPr>
          <w:rFonts w:asciiTheme="minorEastAsia" w:eastAsiaTheme="minorEastAsia" w:hAnsiTheme="minorEastAsia" w:hint="eastAsia"/>
        </w:rPr>
        <w:t>，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t>2</w:t>
      </w:r>
      <w:r w:rsidRPr="00960F82">
        <w:rPr>
          <w:rFonts w:asciiTheme="minorEastAsia" w:eastAsiaTheme="minorEastAsia" w:hAnsiTheme="minorEastAsia" w:hint="eastAsia"/>
        </w:rPr>
        <w:t>、巨额赎回情形下的流动性风险管理措施</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当本基金出现巨额赎回时，基金管理人可以根据基金当时的资产组合状况决定接受全额赎回或部分延期赎回；此外，如本基金连续两日以上（含本数）发生巨额赎回，基金管理人认为有必要，可暂停接受赎回申请；已经接受的赎回申请可以延缓支付赎回款项，但不得超过正常支付时间</w:t>
      </w:r>
      <w:r w:rsidRPr="00960F82">
        <w:rPr>
          <w:rFonts w:asciiTheme="minorEastAsia" w:eastAsiaTheme="minorEastAsia" w:hAnsiTheme="minorEastAsia"/>
        </w:rPr>
        <w:t>20</w:t>
      </w:r>
      <w:r w:rsidRPr="00960F82">
        <w:rPr>
          <w:rFonts w:asciiTheme="minorEastAsia" w:eastAsiaTheme="minorEastAsia" w:hAnsiTheme="minorEastAsia" w:hint="eastAsia"/>
        </w:rPr>
        <w:t>个工作日。当本基金发生巨额赎回且单个基金份额持有人的赎回申请超过上一开放日基金总份额</w:t>
      </w:r>
      <w:r w:rsidRPr="00960F82">
        <w:rPr>
          <w:rFonts w:asciiTheme="minorEastAsia" w:eastAsiaTheme="minorEastAsia" w:hAnsiTheme="minorEastAsia"/>
        </w:rPr>
        <w:t>10%</w:t>
      </w:r>
      <w:r w:rsidRPr="00960F82">
        <w:rPr>
          <w:rFonts w:asciiTheme="minorEastAsia" w:eastAsiaTheme="minorEastAsia" w:hAnsiTheme="minorEastAsia" w:hint="eastAsia"/>
        </w:rPr>
        <w:t>的，基金管理人有权对该单个基金份额持有人超出该比例的赎回申请实施延期办理。具体情形、程序见招募说明书“六、基金份额的申购、赎回和</w:t>
      </w:r>
      <w:r w:rsidRPr="00960F82">
        <w:rPr>
          <w:rFonts w:asciiTheme="minorEastAsia" w:eastAsiaTheme="minorEastAsia" w:hAnsiTheme="minorEastAsia"/>
        </w:rPr>
        <w:t>转换</w:t>
      </w:r>
      <w:r w:rsidRPr="00960F82">
        <w:rPr>
          <w:rFonts w:asciiTheme="minorEastAsia" w:eastAsiaTheme="minorEastAsia" w:hAnsiTheme="minorEastAsia" w:hint="eastAsia"/>
        </w:rPr>
        <w:t>”“（九</w:t>
      </w:r>
      <w:r w:rsidRPr="00960F82">
        <w:rPr>
          <w:rFonts w:asciiTheme="minorEastAsia" w:eastAsiaTheme="minorEastAsia" w:hAnsiTheme="minorEastAsia"/>
        </w:rPr>
        <w:t>）</w:t>
      </w:r>
      <w:r w:rsidRPr="00960F82">
        <w:rPr>
          <w:rFonts w:asciiTheme="minorEastAsia" w:eastAsiaTheme="minorEastAsia" w:hAnsiTheme="minorEastAsia" w:hint="eastAsia"/>
        </w:rPr>
        <w:t>巨额赎回的认定及处理方式。”</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lastRenderedPageBreak/>
        <w:t>3</w:t>
      </w:r>
      <w:r w:rsidRPr="00960F82">
        <w:rPr>
          <w:rFonts w:asciiTheme="minorEastAsia" w:eastAsiaTheme="minorEastAsia" w:hAnsiTheme="minorEastAsia" w:hint="eastAsia"/>
        </w:rPr>
        <w:t>、除巨额赎回情形外实施备用的流动性风险管理工具的情形、程序及对投资者的潜在影响</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除巨额赎回情形外，本基金备用流动性风险管理工具包括但不限于暂停接受赎回申请、延缓支付赎回款项、收取短期赎回费、暂停基金估值以及证监会认定的其他措施。</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暂停接受赎回申请、延缓支付赎回款项等工具的情形、程序见招募说明书“六、基金份额的申购、赎回和</w:t>
      </w:r>
      <w:r w:rsidRPr="00960F82">
        <w:rPr>
          <w:rFonts w:asciiTheme="minorEastAsia" w:eastAsiaTheme="minorEastAsia" w:hAnsiTheme="minorEastAsia"/>
        </w:rPr>
        <w:t>转换</w:t>
      </w:r>
      <w:r w:rsidRPr="00960F82">
        <w:rPr>
          <w:rFonts w:asciiTheme="minorEastAsia" w:eastAsiaTheme="minorEastAsia" w:hAnsiTheme="minorEastAsia" w:hint="eastAsia"/>
        </w:rPr>
        <w:t>”之“（十）</w:t>
      </w:r>
      <w:r w:rsidRPr="00960F82">
        <w:rPr>
          <w:rFonts w:asciiTheme="minorEastAsia" w:eastAsiaTheme="minorEastAsia" w:hAnsiTheme="minorEastAsia"/>
          <w:bCs/>
          <w:szCs w:val="20"/>
        </w:rPr>
        <w:t>拒绝或暂停申购、赎回和转换的情形及处理方式</w:t>
      </w:r>
      <w:r w:rsidRPr="00960F82">
        <w:rPr>
          <w:rFonts w:asciiTheme="minorEastAsia" w:eastAsiaTheme="minorEastAsia" w:hAnsiTheme="minorEastAsia" w:hint="eastAsia"/>
        </w:rPr>
        <w:t>”的相关规定。若本基金暂停赎回申请，投资者在暂停赎回期间将无法赎回其持有的基金份额。若本基金延缓支付赎回款项，赎回款支付时间将后延，可能对投资者的资金安排带来不利影响。</w:t>
      </w:r>
    </w:p>
    <w:p w:rsidR="00733008" w:rsidRPr="00960F82" w:rsidRDefault="00733008" w:rsidP="00733008">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1D2E2F" w:rsidRPr="00960F82" w:rsidRDefault="00733008" w:rsidP="00733008">
      <w:pPr>
        <w:autoSpaceDE w:val="0"/>
        <w:autoSpaceDN w:val="0"/>
        <w:adjustRightInd w:val="0"/>
        <w:snapToGrid w:val="0"/>
        <w:spacing w:line="360" w:lineRule="auto"/>
        <w:ind w:firstLineChars="218" w:firstLine="458"/>
        <w:jc w:val="left"/>
        <w:rPr>
          <w:rFonts w:asciiTheme="minorEastAsia" w:eastAsiaTheme="minorEastAsia" w:hAnsiTheme="minorEastAsia"/>
        </w:rPr>
      </w:pPr>
      <w:r w:rsidRPr="00960F82">
        <w:rPr>
          <w:rFonts w:asciiTheme="minorEastAsia" w:eastAsiaTheme="minorEastAsia" w:hAnsiTheme="minorEastAsia" w:hint="eastAsia"/>
        </w:rPr>
        <w:t>暂停基金估值的情形、程序见招募说明书“十一、基金资产估值”之“（六）</w:t>
      </w:r>
      <w:r w:rsidRPr="00960F82">
        <w:rPr>
          <w:rFonts w:asciiTheme="minorEastAsia" w:eastAsiaTheme="minorEastAsia" w:hAnsiTheme="minorEastAsia" w:hint="eastAsia"/>
          <w:szCs w:val="21"/>
        </w:rPr>
        <w:t>暂停估值的情形</w:t>
      </w:r>
      <w:r w:rsidRPr="00960F82">
        <w:rPr>
          <w:rFonts w:asciiTheme="minorEastAsia" w:eastAsiaTheme="minorEastAsia" w:hAnsiTheme="minorEastAsia" w:hint="eastAsia"/>
        </w:rPr>
        <w:t>”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8B3426" w:rsidRPr="00960F82" w:rsidRDefault="008B3426" w:rsidP="003E1F0F">
      <w:pPr>
        <w:pStyle w:val="23"/>
        <w:adjustRightInd w:val="0"/>
        <w:snapToGrid w:val="0"/>
        <w:spacing w:beforeLines="0" w:afterLines="0" w:line="360" w:lineRule="auto"/>
        <w:ind w:firstLineChars="0" w:firstLine="0"/>
        <w:rPr>
          <w:rFonts w:asciiTheme="minorEastAsia" w:eastAsiaTheme="minorEastAsia" w:hAnsiTheme="minorEastAsia"/>
          <w:bCs/>
        </w:rPr>
      </w:pPr>
      <w:bookmarkStart w:id="1067" w:name="_Toc30161824"/>
      <w:r w:rsidRPr="00960F82">
        <w:rPr>
          <w:rFonts w:asciiTheme="minorEastAsia" w:eastAsiaTheme="minorEastAsia" w:hAnsiTheme="minorEastAsia" w:hint="eastAsia"/>
          <w:bCs/>
        </w:rPr>
        <w:t>（四）本基金法律文件中涉及基金风险特征的表述与销售机构对基金的风险评级可能不一致的风险</w:t>
      </w:r>
      <w:bookmarkEnd w:id="1067"/>
    </w:p>
    <w:p w:rsidR="008B3426" w:rsidRPr="00960F82" w:rsidRDefault="008B3426" w:rsidP="008B3426">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1D2E2F" w:rsidRPr="00960F82" w:rsidRDefault="001D2E2F" w:rsidP="00084917">
      <w:pPr>
        <w:pStyle w:val="23"/>
        <w:adjustRightInd w:val="0"/>
        <w:snapToGrid w:val="0"/>
        <w:spacing w:beforeLines="0" w:afterLines="0" w:line="360" w:lineRule="auto"/>
        <w:ind w:firstLineChars="0" w:firstLine="0"/>
        <w:rPr>
          <w:rFonts w:asciiTheme="minorEastAsia" w:eastAsiaTheme="minorEastAsia" w:hAnsiTheme="minorEastAsia"/>
          <w:bCs/>
        </w:rPr>
      </w:pPr>
      <w:bookmarkStart w:id="1068" w:name="_Toc30161825"/>
      <w:r w:rsidRPr="00960F82">
        <w:rPr>
          <w:rFonts w:asciiTheme="minorEastAsia" w:eastAsiaTheme="minorEastAsia" w:hAnsiTheme="minorEastAsia" w:hint="eastAsia"/>
          <w:bCs/>
        </w:rPr>
        <w:t>（</w:t>
      </w:r>
      <w:r w:rsidR="008B3426" w:rsidRPr="00960F82">
        <w:rPr>
          <w:rFonts w:asciiTheme="minorEastAsia" w:eastAsiaTheme="minorEastAsia" w:hAnsiTheme="minorEastAsia" w:hint="eastAsia"/>
          <w:bCs/>
        </w:rPr>
        <w:t>五</w:t>
      </w:r>
      <w:r w:rsidRPr="00960F82">
        <w:rPr>
          <w:rFonts w:asciiTheme="minorEastAsia" w:eastAsiaTheme="minorEastAsia" w:hAnsiTheme="minorEastAsia" w:hint="eastAsia"/>
          <w:bCs/>
        </w:rPr>
        <w:t>）管理风险</w:t>
      </w:r>
      <w:bookmarkEnd w:id="1068"/>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在基金管理运作过程中，基金管理人的知识、经验、判断、决策、技能等，会影响其对信息的占有以及对经济形势、证券价格走势的判断，从而影响基金收益水平；</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基金管理人和基金托管人的管理手段和管理技术等因素的变化也会影响基金收益水平。</w:t>
      </w:r>
    </w:p>
    <w:p w:rsidR="001D2E2F" w:rsidRPr="00960F82" w:rsidRDefault="001D2E2F" w:rsidP="00084917">
      <w:pPr>
        <w:pStyle w:val="23"/>
        <w:adjustRightInd w:val="0"/>
        <w:snapToGrid w:val="0"/>
        <w:spacing w:beforeLines="0" w:afterLines="0" w:line="360" w:lineRule="auto"/>
        <w:ind w:firstLineChars="0" w:firstLine="0"/>
        <w:rPr>
          <w:rFonts w:asciiTheme="minorEastAsia" w:eastAsiaTheme="minorEastAsia" w:hAnsiTheme="minorEastAsia"/>
          <w:bCs/>
        </w:rPr>
      </w:pPr>
      <w:bookmarkStart w:id="1069" w:name="_Toc30161826"/>
      <w:r w:rsidRPr="00960F82">
        <w:rPr>
          <w:rFonts w:asciiTheme="minorEastAsia" w:eastAsiaTheme="minorEastAsia" w:hAnsiTheme="minorEastAsia" w:hint="eastAsia"/>
          <w:bCs/>
        </w:rPr>
        <w:lastRenderedPageBreak/>
        <w:t>（</w:t>
      </w:r>
      <w:r w:rsidR="008B3426" w:rsidRPr="00960F82">
        <w:rPr>
          <w:rFonts w:asciiTheme="minorEastAsia" w:eastAsiaTheme="minorEastAsia" w:hAnsiTheme="minorEastAsia" w:hint="eastAsia"/>
          <w:bCs/>
        </w:rPr>
        <w:t>六</w:t>
      </w:r>
      <w:r w:rsidRPr="00960F82">
        <w:rPr>
          <w:rFonts w:asciiTheme="minorEastAsia" w:eastAsiaTheme="minorEastAsia" w:hAnsiTheme="minorEastAsia" w:hint="eastAsia"/>
          <w:bCs/>
        </w:rPr>
        <w:t>）其他风险</w:t>
      </w:r>
      <w:bookmarkEnd w:id="1069"/>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因技术因素而产生的风险，如电脑系统不可靠产生的风险；</w:t>
      </w:r>
    </w:p>
    <w:p w:rsidR="00FE139B"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2、</w:t>
      </w:r>
      <w:r w:rsidR="00FE139B" w:rsidRPr="00960F82">
        <w:rPr>
          <w:rFonts w:asciiTheme="minorEastAsia" w:eastAsiaTheme="minorEastAsia" w:hAnsiTheme="minorEastAsia" w:hint="eastAsia"/>
          <w:szCs w:val="21"/>
        </w:rPr>
        <w:t>因战争、自然灾害等不可抗力导致的基金管理人、基金托管人、基金</w:t>
      </w:r>
      <w:r w:rsidR="0004048E" w:rsidRPr="00960F82">
        <w:rPr>
          <w:rFonts w:asciiTheme="minorEastAsia" w:eastAsiaTheme="minorEastAsia" w:hAnsiTheme="minorEastAsia" w:hint="eastAsia"/>
          <w:szCs w:val="21"/>
        </w:rPr>
        <w:t>销售</w:t>
      </w:r>
      <w:r w:rsidR="00FE139B" w:rsidRPr="00960F82">
        <w:rPr>
          <w:rFonts w:asciiTheme="minorEastAsia" w:eastAsiaTheme="minorEastAsia" w:hAnsiTheme="minorEastAsia" w:hint="eastAsia"/>
          <w:szCs w:val="21"/>
        </w:rPr>
        <w:t>机构等机构无法正常工作，从而影响基金运作的风险；</w:t>
      </w:r>
    </w:p>
    <w:p w:rsidR="00FE139B"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3、</w:t>
      </w:r>
      <w:r w:rsidR="00FE139B" w:rsidRPr="00960F82">
        <w:rPr>
          <w:rFonts w:asciiTheme="minorEastAsia" w:eastAsiaTheme="minorEastAsia" w:hAnsiTheme="minorEastAsia" w:hint="eastAsia"/>
          <w:szCs w:val="21"/>
        </w:rPr>
        <w:t>因金融市场危机、代理商违约、基金托管人违约等超出基金管理人自身控制能力的因素出现，可能导致基金或者基金份额持有人利益受损的风险。</w:t>
      </w:r>
    </w:p>
    <w:p w:rsidR="00A8776C" w:rsidRPr="00960F82" w:rsidRDefault="00A8776C">
      <w:pPr>
        <w:widowControl/>
        <w:jc w:val="left"/>
        <w:rPr>
          <w:rFonts w:asciiTheme="minorEastAsia" w:eastAsiaTheme="minorEastAsia" w:hAnsiTheme="minorEastAsia"/>
          <w:szCs w:val="21"/>
        </w:rPr>
      </w:pPr>
      <w:r w:rsidRPr="00960F82">
        <w:rPr>
          <w:rFonts w:asciiTheme="minorEastAsia" w:eastAsiaTheme="minorEastAsia" w:hAnsiTheme="minorEastAsia"/>
          <w:szCs w:val="21"/>
        </w:rPr>
        <w:br w:type="page"/>
      </w: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bCs/>
        </w:rPr>
      </w:pPr>
      <w:bookmarkStart w:id="1070" w:name="_Toc38438275"/>
      <w:bookmarkStart w:id="1071" w:name="_Toc38438612"/>
      <w:bookmarkStart w:id="1072" w:name="_Toc38438949"/>
      <w:bookmarkStart w:id="1073" w:name="_Toc38439286"/>
      <w:bookmarkStart w:id="1074" w:name="_Toc38439623"/>
      <w:bookmarkStart w:id="1075" w:name="_Toc38439960"/>
      <w:bookmarkStart w:id="1076" w:name="_Toc38440297"/>
      <w:bookmarkStart w:id="1077" w:name="_Toc38440630"/>
      <w:bookmarkStart w:id="1078" w:name="_Toc38440829"/>
      <w:bookmarkStart w:id="1079" w:name="_Toc38441161"/>
      <w:bookmarkStart w:id="1080" w:name="_Toc38441493"/>
      <w:bookmarkStart w:id="1081" w:name="_Toc38441821"/>
      <w:bookmarkStart w:id="1082" w:name="_Toc38442153"/>
      <w:bookmarkStart w:id="1083" w:name="_Toc38442485"/>
      <w:bookmarkStart w:id="1084" w:name="_Toc38442816"/>
      <w:bookmarkStart w:id="1085" w:name="_Toc38443147"/>
      <w:bookmarkStart w:id="1086" w:name="_Toc38443478"/>
      <w:bookmarkStart w:id="1087" w:name="_Toc38443809"/>
      <w:bookmarkStart w:id="1088" w:name="_Toc38438277"/>
      <w:bookmarkStart w:id="1089" w:name="_Toc38438614"/>
      <w:bookmarkStart w:id="1090" w:name="_Toc38438951"/>
      <w:bookmarkStart w:id="1091" w:name="_Toc38439288"/>
      <w:bookmarkStart w:id="1092" w:name="_Toc38439625"/>
      <w:bookmarkStart w:id="1093" w:name="_Toc38439962"/>
      <w:bookmarkStart w:id="1094" w:name="_Toc38440299"/>
      <w:bookmarkStart w:id="1095" w:name="_Toc38440632"/>
      <w:bookmarkStart w:id="1096" w:name="_Toc38440831"/>
      <w:bookmarkStart w:id="1097" w:name="_Toc38441163"/>
      <w:bookmarkStart w:id="1098" w:name="_Toc38441495"/>
      <w:bookmarkStart w:id="1099" w:name="_Toc38441823"/>
      <w:bookmarkStart w:id="1100" w:name="_Toc38442155"/>
      <w:bookmarkStart w:id="1101" w:name="_Toc38442487"/>
      <w:bookmarkStart w:id="1102" w:name="_Toc38442818"/>
      <w:bookmarkStart w:id="1103" w:name="_Toc38443149"/>
      <w:bookmarkStart w:id="1104" w:name="_Toc38443480"/>
      <w:bookmarkStart w:id="1105" w:name="_Toc38443811"/>
      <w:bookmarkStart w:id="1106" w:name="_Toc38438278"/>
      <w:bookmarkStart w:id="1107" w:name="_Toc38438615"/>
      <w:bookmarkStart w:id="1108" w:name="_Toc38438952"/>
      <w:bookmarkStart w:id="1109" w:name="_Toc38439289"/>
      <w:bookmarkStart w:id="1110" w:name="_Toc38439626"/>
      <w:bookmarkStart w:id="1111" w:name="_Toc38439963"/>
      <w:bookmarkStart w:id="1112" w:name="_Toc38440300"/>
      <w:bookmarkStart w:id="1113" w:name="_Toc38440633"/>
      <w:bookmarkStart w:id="1114" w:name="_Toc38440832"/>
      <w:bookmarkStart w:id="1115" w:name="_Toc38441164"/>
      <w:bookmarkStart w:id="1116" w:name="_Toc38441496"/>
      <w:bookmarkStart w:id="1117" w:name="_Toc38441824"/>
      <w:bookmarkStart w:id="1118" w:name="_Toc38442156"/>
      <w:bookmarkStart w:id="1119" w:name="_Toc38442488"/>
      <w:bookmarkStart w:id="1120" w:name="_Toc38442819"/>
      <w:bookmarkStart w:id="1121" w:name="_Toc38443150"/>
      <w:bookmarkStart w:id="1122" w:name="_Toc38443481"/>
      <w:bookmarkStart w:id="1123" w:name="_Toc38443812"/>
      <w:bookmarkStart w:id="1124" w:name="_Toc38438279"/>
      <w:bookmarkStart w:id="1125" w:name="_Toc38438616"/>
      <w:bookmarkStart w:id="1126" w:name="_Toc38438953"/>
      <w:bookmarkStart w:id="1127" w:name="_Toc38439290"/>
      <w:bookmarkStart w:id="1128" w:name="_Toc38439627"/>
      <w:bookmarkStart w:id="1129" w:name="_Toc38439964"/>
      <w:bookmarkStart w:id="1130" w:name="_Toc38440301"/>
      <w:bookmarkStart w:id="1131" w:name="_Toc38440634"/>
      <w:bookmarkStart w:id="1132" w:name="_Toc38440833"/>
      <w:bookmarkStart w:id="1133" w:name="_Toc38441165"/>
      <w:bookmarkStart w:id="1134" w:name="_Toc38441497"/>
      <w:bookmarkStart w:id="1135" w:name="_Toc38441825"/>
      <w:bookmarkStart w:id="1136" w:name="_Toc38442157"/>
      <w:bookmarkStart w:id="1137" w:name="_Toc38442489"/>
      <w:bookmarkStart w:id="1138" w:name="_Toc38442820"/>
      <w:bookmarkStart w:id="1139" w:name="_Toc38443151"/>
      <w:bookmarkStart w:id="1140" w:name="_Toc38443482"/>
      <w:bookmarkStart w:id="1141" w:name="_Toc38443813"/>
      <w:bookmarkStart w:id="1142" w:name="_Toc38438280"/>
      <w:bookmarkStart w:id="1143" w:name="_Toc38438617"/>
      <w:bookmarkStart w:id="1144" w:name="_Toc38438954"/>
      <w:bookmarkStart w:id="1145" w:name="_Toc38439291"/>
      <w:bookmarkStart w:id="1146" w:name="_Toc38439628"/>
      <w:bookmarkStart w:id="1147" w:name="_Toc38439965"/>
      <w:bookmarkStart w:id="1148" w:name="_Toc38440302"/>
      <w:bookmarkStart w:id="1149" w:name="_Toc38440635"/>
      <w:bookmarkStart w:id="1150" w:name="_Toc38440834"/>
      <w:bookmarkStart w:id="1151" w:name="_Toc38441166"/>
      <w:bookmarkStart w:id="1152" w:name="_Toc38441498"/>
      <w:bookmarkStart w:id="1153" w:name="_Toc38441826"/>
      <w:bookmarkStart w:id="1154" w:name="_Toc38442158"/>
      <w:bookmarkStart w:id="1155" w:name="_Toc38442490"/>
      <w:bookmarkStart w:id="1156" w:name="_Toc38442821"/>
      <w:bookmarkStart w:id="1157" w:name="_Toc38443152"/>
      <w:bookmarkStart w:id="1158" w:name="_Toc38443483"/>
      <w:bookmarkStart w:id="1159" w:name="_Toc38443814"/>
      <w:bookmarkStart w:id="1160" w:name="_Toc38438281"/>
      <w:bookmarkStart w:id="1161" w:name="_Toc38438618"/>
      <w:bookmarkStart w:id="1162" w:name="_Toc38438955"/>
      <w:bookmarkStart w:id="1163" w:name="_Toc38439292"/>
      <w:bookmarkStart w:id="1164" w:name="_Toc38439629"/>
      <w:bookmarkStart w:id="1165" w:name="_Toc38439966"/>
      <w:bookmarkStart w:id="1166" w:name="_Toc38440303"/>
      <w:bookmarkStart w:id="1167" w:name="_Toc38440636"/>
      <w:bookmarkStart w:id="1168" w:name="_Toc38440835"/>
      <w:bookmarkStart w:id="1169" w:name="_Toc38441167"/>
      <w:bookmarkStart w:id="1170" w:name="_Toc38441499"/>
      <w:bookmarkStart w:id="1171" w:name="_Toc38441827"/>
      <w:bookmarkStart w:id="1172" w:name="_Toc38442159"/>
      <w:bookmarkStart w:id="1173" w:name="_Toc38442491"/>
      <w:bookmarkStart w:id="1174" w:name="_Toc38442822"/>
      <w:bookmarkStart w:id="1175" w:name="_Toc38443153"/>
      <w:bookmarkStart w:id="1176" w:name="_Toc38443484"/>
      <w:bookmarkStart w:id="1177" w:name="_Toc38443815"/>
      <w:bookmarkStart w:id="1178" w:name="_Toc38438282"/>
      <w:bookmarkStart w:id="1179" w:name="_Toc38438619"/>
      <w:bookmarkStart w:id="1180" w:name="_Toc38438956"/>
      <w:bookmarkStart w:id="1181" w:name="_Toc38439293"/>
      <w:bookmarkStart w:id="1182" w:name="_Toc38439630"/>
      <w:bookmarkStart w:id="1183" w:name="_Toc38439967"/>
      <w:bookmarkStart w:id="1184" w:name="_Toc38440304"/>
      <w:bookmarkStart w:id="1185" w:name="_Toc38440637"/>
      <w:bookmarkStart w:id="1186" w:name="_Toc38440836"/>
      <w:bookmarkStart w:id="1187" w:name="_Toc38441168"/>
      <w:bookmarkStart w:id="1188" w:name="_Toc38441500"/>
      <w:bookmarkStart w:id="1189" w:name="_Toc38441828"/>
      <w:bookmarkStart w:id="1190" w:name="_Toc38442160"/>
      <w:bookmarkStart w:id="1191" w:name="_Toc38442492"/>
      <w:bookmarkStart w:id="1192" w:name="_Toc38442823"/>
      <w:bookmarkStart w:id="1193" w:name="_Toc38443154"/>
      <w:bookmarkStart w:id="1194" w:name="_Toc38443485"/>
      <w:bookmarkStart w:id="1195" w:name="_Toc38443816"/>
      <w:bookmarkStart w:id="1196" w:name="_Toc38438283"/>
      <w:bookmarkStart w:id="1197" w:name="_Toc38438620"/>
      <w:bookmarkStart w:id="1198" w:name="_Toc38438957"/>
      <w:bookmarkStart w:id="1199" w:name="_Toc38439294"/>
      <w:bookmarkStart w:id="1200" w:name="_Toc38439631"/>
      <w:bookmarkStart w:id="1201" w:name="_Toc38439968"/>
      <w:bookmarkStart w:id="1202" w:name="_Toc38440305"/>
      <w:bookmarkStart w:id="1203" w:name="_Toc38440638"/>
      <w:bookmarkStart w:id="1204" w:name="_Toc38440837"/>
      <w:bookmarkStart w:id="1205" w:name="_Toc38441169"/>
      <w:bookmarkStart w:id="1206" w:name="_Toc38441501"/>
      <w:bookmarkStart w:id="1207" w:name="_Toc38441829"/>
      <w:bookmarkStart w:id="1208" w:name="_Toc38442161"/>
      <w:bookmarkStart w:id="1209" w:name="_Toc38442493"/>
      <w:bookmarkStart w:id="1210" w:name="_Toc38442824"/>
      <w:bookmarkStart w:id="1211" w:name="_Toc38443155"/>
      <w:bookmarkStart w:id="1212" w:name="_Toc38443486"/>
      <w:bookmarkStart w:id="1213" w:name="_Toc38443817"/>
      <w:bookmarkStart w:id="1214" w:name="_Toc38438284"/>
      <w:bookmarkStart w:id="1215" w:name="_Toc38438621"/>
      <w:bookmarkStart w:id="1216" w:name="_Toc38438958"/>
      <w:bookmarkStart w:id="1217" w:name="_Toc38439295"/>
      <w:bookmarkStart w:id="1218" w:name="_Toc38439632"/>
      <w:bookmarkStart w:id="1219" w:name="_Toc38439969"/>
      <w:bookmarkStart w:id="1220" w:name="_Toc38440306"/>
      <w:bookmarkStart w:id="1221" w:name="_Toc38440639"/>
      <w:bookmarkStart w:id="1222" w:name="_Toc38440838"/>
      <w:bookmarkStart w:id="1223" w:name="_Toc38441170"/>
      <w:bookmarkStart w:id="1224" w:name="_Toc38441502"/>
      <w:bookmarkStart w:id="1225" w:name="_Toc38441830"/>
      <w:bookmarkStart w:id="1226" w:name="_Toc38442162"/>
      <w:bookmarkStart w:id="1227" w:name="_Toc38442494"/>
      <w:bookmarkStart w:id="1228" w:name="_Toc38442825"/>
      <w:bookmarkStart w:id="1229" w:name="_Toc38443156"/>
      <w:bookmarkStart w:id="1230" w:name="_Toc38443487"/>
      <w:bookmarkStart w:id="1231" w:name="_Toc38443818"/>
      <w:bookmarkStart w:id="1232" w:name="_Toc38438285"/>
      <w:bookmarkStart w:id="1233" w:name="_Toc38438622"/>
      <w:bookmarkStart w:id="1234" w:name="_Toc38438959"/>
      <w:bookmarkStart w:id="1235" w:name="_Toc38439296"/>
      <w:bookmarkStart w:id="1236" w:name="_Toc38439633"/>
      <w:bookmarkStart w:id="1237" w:name="_Toc38439970"/>
      <w:bookmarkStart w:id="1238" w:name="_Toc38440307"/>
      <w:bookmarkStart w:id="1239" w:name="_Toc38440640"/>
      <w:bookmarkStart w:id="1240" w:name="_Toc38440839"/>
      <w:bookmarkStart w:id="1241" w:name="_Toc38441171"/>
      <w:bookmarkStart w:id="1242" w:name="_Toc38441503"/>
      <w:bookmarkStart w:id="1243" w:name="_Toc38441831"/>
      <w:bookmarkStart w:id="1244" w:name="_Toc38442163"/>
      <w:bookmarkStart w:id="1245" w:name="_Toc38442495"/>
      <w:bookmarkStart w:id="1246" w:name="_Toc38442826"/>
      <w:bookmarkStart w:id="1247" w:name="_Toc38443157"/>
      <w:bookmarkStart w:id="1248" w:name="_Toc38443488"/>
      <w:bookmarkStart w:id="1249" w:name="_Toc38443819"/>
      <w:bookmarkStart w:id="1250" w:name="_Toc38438286"/>
      <w:bookmarkStart w:id="1251" w:name="_Toc38438623"/>
      <w:bookmarkStart w:id="1252" w:name="_Toc38438960"/>
      <w:bookmarkStart w:id="1253" w:name="_Toc38439297"/>
      <w:bookmarkStart w:id="1254" w:name="_Toc38439634"/>
      <w:bookmarkStart w:id="1255" w:name="_Toc38439971"/>
      <w:bookmarkStart w:id="1256" w:name="_Toc38440308"/>
      <w:bookmarkStart w:id="1257" w:name="_Toc38440641"/>
      <w:bookmarkStart w:id="1258" w:name="_Toc38440840"/>
      <w:bookmarkStart w:id="1259" w:name="_Toc38441172"/>
      <w:bookmarkStart w:id="1260" w:name="_Toc38441504"/>
      <w:bookmarkStart w:id="1261" w:name="_Toc38441832"/>
      <w:bookmarkStart w:id="1262" w:name="_Toc38442164"/>
      <w:bookmarkStart w:id="1263" w:name="_Toc38442496"/>
      <w:bookmarkStart w:id="1264" w:name="_Toc38442827"/>
      <w:bookmarkStart w:id="1265" w:name="_Toc38443158"/>
      <w:bookmarkStart w:id="1266" w:name="_Toc38443489"/>
      <w:bookmarkStart w:id="1267" w:name="_Toc38443820"/>
      <w:bookmarkStart w:id="1268" w:name="_Toc38438287"/>
      <w:bookmarkStart w:id="1269" w:name="_Toc38438624"/>
      <w:bookmarkStart w:id="1270" w:name="_Toc38438961"/>
      <w:bookmarkStart w:id="1271" w:name="_Toc38439298"/>
      <w:bookmarkStart w:id="1272" w:name="_Toc38439635"/>
      <w:bookmarkStart w:id="1273" w:name="_Toc38439972"/>
      <w:bookmarkStart w:id="1274" w:name="_Toc38440309"/>
      <w:bookmarkStart w:id="1275" w:name="_Toc38440642"/>
      <w:bookmarkStart w:id="1276" w:name="_Toc38440841"/>
      <w:bookmarkStart w:id="1277" w:name="_Toc38441173"/>
      <w:bookmarkStart w:id="1278" w:name="_Toc38441505"/>
      <w:bookmarkStart w:id="1279" w:name="_Toc38441833"/>
      <w:bookmarkStart w:id="1280" w:name="_Toc38442165"/>
      <w:bookmarkStart w:id="1281" w:name="_Toc38442497"/>
      <w:bookmarkStart w:id="1282" w:name="_Toc38442828"/>
      <w:bookmarkStart w:id="1283" w:name="_Toc38443159"/>
      <w:bookmarkStart w:id="1284" w:name="_Toc38443490"/>
      <w:bookmarkStart w:id="1285" w:name="_Toc38443821"/>
      <w:bookmarkStart w:id="1286" w:name="_Toc38438288"/>
      <w:bookmarkStart w:id="1287" w:name="_Toc38438625"/>
      <w:bookmarkStart w:id="1288" w:name="_Toc38438962"/>
      <w:bookmarkStart w:id="1289" w:name="_Toc38439299"/>
      <w:bookmarkStart w:id="1290" w:name="_Toc38439636"/>
      <w:bookmarkStart w:id="1291" w:name="_Toc38439973"/>
      <w:bookmarkStart w:id="1292" w:name="_Toc38440310"/>
      <w:bookmarkStart w:id="1293" w:name="_Toc38440643"/>
      <w:bookmarkStart w:id="1294" w:name="_Toc38440842"/>
      <w:bookmarkStart w:id="1295" w:name="_Toc38441174"/>
      <w:bookmarkStart w:id="1296" w:name="_Toc38441506"/>
      <w:bookmarkStart w:id="1297" w:name="_Toc38441834"/>
      <w:bookmarkStart w:id="1298" w:name="_Toc38442166"/>
      <w:bookmarkStart w:id="1299" w:name="_Toc38442498"/>
      <w:bookmarkStart w:id="1300" w:name="_Toc38442829"/>
      <w:bookmarkStart w:id="1301" w:name="_Toc38443160"/>
      <w:bookmarkStart w:id="1302" w:name="_Toc38443491"/>
      <w:bookmarkStart w:id="1303" w:name="_Toc38443822"/>
      <w:bookmarkStart w:id="1304" w:name="_Toc38438289"/>
      <w:bookmarkStart w:id="1305" w:name="_Toc38438626"/>
      <w:bookmarkStart w:id="1306" w:name="_Toc38438963"/>
      <w:bookmarkStart w:id="1307" w:name="_Toc38439300"/>
      <w:bookmarkStart w:id="1308" w:name="_Toc38439637"/>
      <w:bookmarkStart w:id="1309" w:name="_Toc38439974"/>
      <w:bookmarkStart w:id="1310" w:name="_Toc38440311"/>
      <w:bookmarkStart w:id="1311" w:name="_Toc38440644"/>
      <w:bookmarkStart w:id="1312" w:name="_Toc38440843"/>
      <w:bookmarkStart w:id="1313" w:name="_Toc38441175"/>
      <w:bookmarkStart w:id="1314" w:name="_Toc38441507"/>
      <w:bookmarkStart w:id="1315" w:name="_Toc38441835"/>
      <w:bookmarkStart w:id="1316" w:name="_Toc38442167"/>
      <w:bookmarkStart w:id="1317" w:name="_Toc38442499"/>
      <w:bookmarkStart w:id="1318" w:name="_Toc38442830"/>
      <w:bookmarkStart w:id="1319" w:name="_Toc38443161"/>
      <w:bookmarkStart w:id="1320" w:name="_Toc38443492"/>
      <w:bookmarkStart w:id="1321" w:name="_Toc38443823"/>
      <w:bookmarkStart w:id="1322" w:name="_Toc38438290"/>
      <w:bookmarkStart w:id="1323" w:name="_Toc38438627"/>
      <w:bookmarkStart w:id="1324" w:name="_Toc38438964"/>
      <w:bookmarkStart w:id="1325" w:name="_Toc38439301"/>
      <w:bookmarkStart w:id="1326" w:name="_Toc38439638"/>
      <w:bookmarkStart w:id="1327" w:name="_Toc38439975"/>
      <w:bookmarkStart w:id="1328" w:name="_Toc38440312"/>
      <w:bookmarkStart w:id="1329" w:name="_Toc38440645"/>
      <w:bookmarkStart w:id="1330" w:name="_Toc38440844"/>
      <w:bookmarkStart w:id="1331" w:name="_Toc38441176"/>
      <w:bookmarkStart w:id="1332" w:name="_Toc38441508"/>
      <w:bookmarkStart w:id="1333" w:name="_Toc38441836"/>
      <w:bookmarkStart w:id="1334" w:name="_Toc38442168"/>
      <w:bookmarkStart w:id="1335" w:name="_Toc38442500"/>
      <w:bookmarkStart w:id="1336" w:name="_Toc38442831"/>
      <w:bookmarkStart w:id="1337" w:name="_Toc38443162"/>
      <w:bookmarkStart w:id="1338" w:name="_Toc38443493"/>
      <w:bookmarkStart w:id="1339" w:name="_Toc38443824"/>
      <w:bookmarkStart w:id="1340" w:name="_Toc38438291"/>
      <w:bookmarkStart w:id="1341" w:name="_Toc38438628"/>
      <w:bookmarkStart w:id="1342" w:name="_Toc38438965"/>
      <w:bookmarkStart w:id="1343" w:name="_Toc38439302"/>
      <w:bookmarkStart w:id="1344" w:name="_Toc38439639"/>
      <w:bookmarkStart w:id="1345" w:name="_Toc38439976"/>
      <w:bookmarkStart w:id="1346" w:name="_Toc38440313"/>
      <w:bookmarkStart w:id="1347" w:name="_Toc38440646"/>
      <w:bookmarkStart w:id="1348" w:name="_Toc38440845"/>
      <w:bookmarkStart w:id="1349" w:name="_Toc38441177"/>
      <w:bookmarkStart w:id="1350" w:name="_Toc38441509"/>
      <w:bookmarkStart w:id="1351" w:name="_Toc38441837"/>
      <w:bookmarkStart w:id="1352" w:name="_Toc38442169"/>
      <w:bookmarkStart w:id="1353" w:name="_Toc38442501"/>
      <w:bookmarkStart w:id="1354" w:name="_Toc38442832"/>
      <w:bookmarkStart w:id="1355" w:name="_Toc38443163"/>
      <w:bookmarkStart w:id="1356" w:name="_Toc38443494"/>
      <w:bookmarkStart w:id="1357" w:name="_Toc38443825"/>
      <w:bookmarkStart w:id="1358" w:name="_Toc38438292"/>
      <w:bookmarkStart w:id="1359" w:name="_Toc38438629"/>
      <w:bookmarkStart w:id="1360" w:name="_Toc38438966"/>
      <w:bookmarkStart w:id="1361" w:name="_Toc38439303"/>
      <w:bookmarkStart w:id="1362" w:name="_Toc38439640"/>
      <w:bookmarkStart w:id="1363" w:name="_Toc38439977"/>
      <w:bookmarkStart w:id="1364" w:name="_Toc38440314"/>
      <w:bookmarkStart w:id="1365" w:name="_Toc38440647"/>
      <w:bookmarkStart w:id="1366" w:name="_Toc38440846"/>
      <w:bookmarkStart w:id="1367" w:name="_Toc38441178"/>
      <w:bookmarkStart w:id="1368" w:name="_Toc38441510"/>
      <w:bookmarkStart w:id="1369" w:name="_Toc38441838"/>
      <w:bookmarkStart w:id="1370" w:name="_Toc38442170"/>
      <w:bookmarkStart w:id="1371" w:name="_Toc38442502"/>
      <w:bookmarkStart w:id="1372" w:name="_Toc38442833"/>
      <w:bookmarkStart w:id="1373" w:name="_Toc38443164"/>
      <w:bookmarkStart w:id="1374" w:name="_Toc38443495"/>
      <w:bookmarkStart w:id="1375" w:name="_Toc38443826"/>
      <w:bookmarkStart w:id="1376" w:name="_Toc38438293"/>
      <w:bookmarkStart w:id="1377" w:name="_Toc38438630"/>
      <w:bookmarkStart w:id="1378" w:name="_Toc38438967"/>
      <w:bookmarkStart w:id="1379" w:name="_Toc38439304"/>
      <w:bookmarkStart w:id="1380" w:name="_Toc38439641"/>
      <w:bookmarkStart w:id="1381" w:name="_Toc38439978"/>
      <w:bookmarkStart w:id="1382" w:name="_Toc38440315"/>
      <w:bookmarkStart w:id="1383" w:name="_Toc38440648"/>
      <w:bookmarkStart w:id="1384" w:name="_Toc38440847"/>
      <w:bookmarkStart w:id="1385" w:name="_Toc38441179"/>
      <w:bookmarkStart w:id="1386" w:name="_Toc38441511"/>
      <w:bookmarkStart w:id="1387" w:name="_Toc38441839"/>
      <w:bookmarkStart w:id="1388" w:name="_Toc38442171"/>
      <w:bookmarkStart w:id="1389" w:name="_Toc38442503"/>
      <w:bookmarkStart w:id="1390" w:name="_Toc38442834"/>
      <w:bookmarkStart w:id="1391" w:name="_Toc38443165"/>
      <w:bookmarkStart w:id="1392" w:name="_Toc38443496"/>
      <w:bookmarkStart w:id="1393" w:name="_Toc38443827"/>
      <w:bookmarkStart w:id="1394" w:name="_Toc38438296"/>
      <w:bookmarkStart w:id="1395" w:name="_Toc38438633"/>
      <w:bookmarkStart w:id="1396" w:name="_Toc38438970"/>
      <w:bookmarkStart w:id="1397" w:name="_Toc38439307"/>
      <w:bookmarkStart w:id="1398" w:name="_Toc38439644"/>
      <w:bookmarkStart w:id="1399" w:name="_Toc38439981"/>
      <w:bookmarkStart w:id="1400" w:name="_Toc38440318"/>
      <w:bookmarkStart w:id="1401" w:name="_Toc38440651"/>
      <w:bookmarkStart w:id="1402" w:name="_Toc38440850"/>
      <w:bookmarkStart w:id="1403" w:name="_Toc38441182"/>
      <w:bookmarkStart w:id="1404" w:name="_Toc38441514"/>
      <w:bookmarkStart w:id="1405" w:name="_Toc38441842"/>
      <w:bookmarkStart w:id="1406" w:name="_Toc38442174"/>
      <w:bookmarkStart w:id="1407" w:name="_Toc38442506"/>
      <w:bookmarkStart w:id="1408" w:name="_Toc38442837"/>
      <w:bookmarkStart w:id="1409" w:name="_Toc38443168"/>
      <w:bookmarkStart w:id="1410" w:name="_Toc38443499"/>
      <w:bookmarkStart w:id="1411" w:name="_Toc38443830"/>
      <w:bookmarkStart w:id="1412" w:name="_Toc38438297"/>
      <w:bookmarkStart w:id="1413" w:name="_Toc38438634"/>
      <w:bookmarkStart w:id="1414" w:name="_Toc38438971"/>
      <w:bookmarkStart w:id="1415" w:name="_Toc38439308"/>
      <w:bookmarkStart w:id="1416" w:name="_Toc38439645"/>
      <w:bookmarkStart w:id="1417" w:name="_Toc38439982"/>
      <w:bookmarkStart w:id="1418" w:name="_Toc38440319"/>
      <w:bookmarkStart w:id="1419" w:name="_Toc38440652"/>
      <w:bookmarkStart w:id="1420" w:name="_Toc38440851"/>
      <w:bookmarkStart w:id="1421" w:name="_Toc38441183"/>
      <w:bookmarkStart w:id="1422" w:name="_Toc38441515"/>
      <w:bookmarkStart w:id="1423" w:name="_Toc38441843"/>
      <w:bookmarkStart w:id="1424" w:name="_Toc38442175"/>
      <w:bookmarkStart w:id="1425" w:name="_Toc38442507"/>
      <w:bookmarkStart w:id="1426" w:name="_Toc38442838"/>
      <w:bookmarkStart w:id="1427" w:name="_Toc38443169"/>
      <w:bookmarkStart w:id="1428" w:name="_Toc38443500"/>
      <w:bookmarkStart w:id="1429" w:name="_Toc38443831"/>
      <w:bookmarkStart w:id="1430" w:name="_Toc38438298"/>
      <w:bookmarkStart w:id="1431" w:name="_Toc38438635"/>
      <w:bookmarkStart w:id="1432" w:name="_Toc38438972"/>
      <w:bookmarkStart w:id="1433" w:name="_Toc38439309"/>
      <w:bookmarkStart w:id="1434" w:name="_Toc38439646"/>
      <w:bookmarkStart w:id="1435" w:name="_Toc38439983"/>
      <w:bookmarkStart w:id="1436" w:name="_Toc38440320"/>
      <w:bookmarkStart w:id="1437" w:name="_Toc38440653"/>
      <w:bookmarkStart w:id="1438" w:name="_Toc38440852"/>
      <w:bookmarkStart w:id="1439" w:name="_Toc38441184"/>
      <w:bookmarkStart w:id="1440" w:name="_Toc38441516"/>
      <w:bookmarkStart w:id="1441" w:name="_Toc38441844"/>
      <w:bookmarkStart w:id="1442" w:name="_Toc38442176"/>
      <w:bookmarkStart w:id="1443" w:name="_Toc38442508"/>
      <w:bookmarkStart w:id="1444" w:name="_Toc38442839"/>
      <w:bookmarkStart w:id="1445" w:name="_Toc38443170"/>
      <w:bookmarkStart w:id="1446" w:name="_Toc38443501"/>
      <w:bookmarkStart w:id="1447" w:name="_Toc38443832"/>
      <w:bookmarkStart w:id="1448" w:name="_Toc38438299"/>
      <w:bookmarkStart w:id="1449" w:name="_Toc38438636"/>
      <w:bookmarkStart w:id="1450" w:name="_Toc38438973"/>
      <w:bookmarkStart w:id="1451" w:name="_Toc38439310"/>
      <w:bookmarkStart w:id="1452" w:name="_Toc38439647"/>
      <w:bookmarkStart w:id="1453" w:name="_Toc38439984"/>
      <w:bookmarkStart w:id="1454" w:name="_Toc38440321"/>
      <w:bookmarkStart w:id="1455" w:name="_Toc38440654"/>
      <w:bookmarkStart w:id="1456" w:name="_Toc38440853"/>
      <w:bookmarkStart w:id="1457" w:name="_Toc38441185"/>
      <w:bookmarkStart w:id="1458" w:name="_Toc38441517"/>
      <w:bookmarkStart w:id="1459" w:name="_Toc38441845"/>
      <w:bookmarkStart w:id="1460" w:name="_Toc38442177"/>
      <w:bookmarkStart w:id="1461" w:name="_Toc38442509"/>
      <w:bookmarkStart w:id="1462" w:name="_Toc38442840"/>
      <w:bookmarkStart w:id="1463" w:name="_Toc38443171"/>
      <w:bookmarkStart w:id="1464" w:name="_Toc38443502"/>
      <w:bookmarkStart w:id="1465" w:name="_Toc38443833"/>
      <w:bookmarkStart w:id="1466" w:name="_Toc38438301"/>
      <w:bookmarkStart w:id="1467" w:name="_Toc38438638"/>
      <w:bookmarkStart w:id="1468" w:name="_Toc38438975"/>
      <w:bookmarkStart w:id="1469" w:name="_Toc38439312"/>
      <w:bookmarkStart w:id="1470" w:name="_Toc38439649"/>
      <w:bookmarkStart w:id="1471" w:name="_Toc38439986"/>
      <w:bookmarkStart w:id="1472" w:name="_Toc38440323"/>
      <w:bookmarkStart w:id="1473" w:name="_Toc38440656"/>
      <w:bookmarkStart w:id="1474" w:name="_Toc38440855"/>
      <w:bookmarkStart w:id="1475" w:name="_Toc38441187"/>
      <w:bookmarkStart w:id="1476" w:name="_Toc38441519"/>
      <w:bookmarkStart w:id="1477" w:name="_Toc38441847"/>
      <w:bookmarkStart w:id="1478" w:name="_Toc38442179"/>
      <w:bookmarkStart w:id="1479" w:name="_Toc38442511"/>
      <w:bookmarkStart w:id="1480" w:name="_Toc38442842"/>
      <w:bookmarkStart w:id="1481" w:name="_Toc38443173"/>
      <w:bookmarkStart w:id="1482" w:name="_Toc38443504"/>
      <w:bookmarkStart w:id="1483" w:name="_Toc38443835"/>
      <w:bookmarkStart w:id="1484" w:name="_Toc38438302"/>
      <w:bookmarkStart w:id="1485" w:name="_Toc38438639"/>
      <w:bookmarkStart w:id="1486" w:name="_Toc38438976"/>
      <w:bookmarkStart w:id="1487" w:name="_Toc38439313"/>
      <w:bookmarkStart w:id="1488" w:name="_Toc38439650"/>
      <w:bookmarkStart w:id="1489" w:name="_Toc38439987"/>
      <w:bookmarkStart w:id="1490" w:name="_Toc38440324"/>
      <w:bookmarkStart w:id="1491" w:name="_Toc38440657"/>
      <w:bookmarkStart w:id="1492" w:name="_Toc38440856"/>
      <w:bookmarkStart w:id="1493" w:name="_Toc38441188"/>
      <w:bookmarkStart w:id="1494" w:name="_Toc38441520"/>
      <w:bookmarkStart w:id="1495" w:name="_Toc38441848"/>
      <w:bookmarkStart w:id="1496" w:name="_Toc38442180"/>
      <w:bookmarkStart w:id="1497" w:name="_Toc38442512"/>
      <w:bookmarkStart w:id="1498" w:name="_Toc38442843"/>
      <w:bookmarkStart w:id="1499" w:name="_Toc38443174"/>
      <w:bookmarkStart w:id="1500" w:name="_Toc38443505"/>
      <w:bookmarkStart w:id="1501" w:name="_Toc38443836"/>
      <w:bookmarkStart w:id="1502" w:name="_Toc38438303"/>
      <w:bookmarkStart w:id="1503" w:name="_Toc38438640"/>
      <w:bookmarkStart w:id="1504" w:name="_Toc38438977"/>
      <w:bookmarkStart w:id="1505" w:name="_Toc38439314"/>
      <w:bookmarkStart w:id="1506" w:name="_Toc38439651"/>
      <w:bookmarkStart w:id="1507" w:name="_Toc38439988"/>
      <w:bookmarkStart w:id="1508" w:name="_Toc38440325"/>
      <w:bookmarkStart w:id="1509" w:name="_Toc38440658"/>
      <w:bookmarkStart w:id="1510" w:name="_Toc38440857"/>
      <w:bookmarkStart w:id="1511" w:name="_Toc38441189"/>
      <w:bookmarkStart w:id="1512" w:name="_Toc38441521"/>
      <w:bookmarkStart w:id="1513" w:name="_Toc38441849"/>
      <w:bookmarkStart w:id="1514" w:name="_Toc38442181"/>
      <w:bookmarkStart w:id="1515" w:name="_Toc38442513"/>
      <w:bookmarkStart w:id="1516" w:name="_Toc38442844"/>
      <w:bookmarkStart w:id="1517" w:name="_Toc38443175"/>
      <w:bookmarkStart w:id="1518" w:name="_Toc38443506"/>
      <w:bookmarkStart w:id="1519" w:name="_Toc38443837"/>
      <w:bookmarkStart w:id="1520" w:name="_Toc38438304"/>
      <w:bookmarkStart w:id="1521" w:name="_Toc38438641"/>
      <w:bookmarkStart w:id="1522" w:name="_Toc38438978"/>
      <w:bookmarkStart w:id="1523" w:name="_Toc38439315"/>
      <w:bookmarkStart w:id="1524" w:name="_Toc38439652"/>
      <w:bookmarkStart w:id="1525" w:name="_Toc38439989"/>
      <w:bookmarkStart w:id="1526" w:name="_Toc38440326"/>
      <w:bookmarkStart w:id="1527" w:name="_Toc38440659"/>
      <w:bookmarkStart w:id="1528" w:name="_Toc38440858"/>
      <w:bookmarkStart w:id="1529" w:name="_Toc38441190"/>
      <w:bookmarkStart w:id="1530" w:name="_Toc38441522"/>
      <w:bookmarkStart w:id="1531" w:name="_Toc38441850"/>
      <w:bookmarkStart w:id="1532" w:name="_Toc38442182"/>
      <w:bookmarkStart w:id="1533" w:name="_Toc38442514"/>
      <w:bookmarkStart w:id="1534" w:name="_Toc38442845"/>
      <w:bookmarkStart w:id="1535" w:name="_Toc38443176"/>
      <w:bookmarkStart w:id="1536" w:name="_Toc38443507"/>
      <w:bookmarkStart w:id="1537" w:name="_Toc38443838"/>
      <w:bookmarkStart w:id="1538" w:name="_Toc38438305"/>
      <w:bookmarkStart w:id="1539" w:name="_Toc38438642"/>
      <w:bookmarkStart w:id="1540" w:name="_Toc38438979"/>
      <w:bookmarkStart w:id="1541" w:name="_Toc38439316"/>
      <w:bookmarkStart w:id="1542" w:name="_Toc38439653"/>
      <w:bookmarkStart w:id="1543" w:name="_Toc38439990"/>
      <w:bookmarkStart w:id="1544" w:name="_Toc38440327"/>
      <w:bookmarkStart w:id="1545" w:name="_Toc38440660"/>
      <w:bookmarkStart w:id="1546" w:name="_Toc38440859"/>
      <w:bookmarkStart w:id="1547" w:name="_Toc38441191"/>
      <w:bookmarkStart w:id="1548" w:name="_Toc38441523"/>
      <w:bookmarkStart w:id="1549" w:name="_Toc38441851"/>
      <w:bookmarkStart w:id="1550" w:name="_Toc38442183"/>
      <w:bookmarkStart w:id="1551" w:name="_Toc38442515"/>
      <w:bookmarkStart w:id="1552" w:name="_Toc38442846"/>
      <w:bookmarkStart w:id="1553" w:name="_Toc38443177"/>
      <w:bookmarkStart w:id="1554" w:name="_Toc38443508"/>
      <w:bookmarkStart w:id="1555" w:name="_Toc38443839"/>
      <w:bookmarkStart w:id="1556" w:name="_Toc38438306"/>
      <w:bookmarkStart w:id="1557" w:name="_Toc38438643"/>
      <w:bookmarkStart w:id="1558" w:name="_Toc38438980"/>
      <w:bookmarkStart w:id="1559" w:name="_Toc38439317"/>
      <w:bookmarkStart w:id="1560" w:name="_Toc38439654"/>
      <w:bookmarkStart w:id="1561" w:name="_Toc38439991"/>
      <w:bookmarkStart w:id="1562" w:name="_Toc38440328"/>
      <w:bookmarkStart w:id="1563" w:name="_Toc38440661"/>
      <w:bookmarkStart w:id="1564" w:name="_Toc38440860"/>
      <w:bookmarkStart w:id="1565" w:name="_Toc38441192"/>
      <w:bookmarkStart w:id="1566" w:name="_Toc38441524"/>
      <w:bookmarkStart w:id="1567" w:name="_Toc38441852"/>
      <w:bookmarkStart w:id="1568" w:name="_Toc38442184"/>
      <w:bookmarkStart w:id="1569" w:name="_Toc38442516"/>
      <w:bookmarkStart w:id="1570" w:name="_Toc38442847"/>
      <w:bookmarkStart w:id="1571" w:name="_Toc38443178"/>
      <w:bookmarkStart w:id="1572" w:name="_Toc38443509"/>
      <w:bookmarkStart w:id="1573" w:name="_Toc38443840"/>
      <w:bookmarkStart w:id="1574" w:name="_Toc13148421"/>
      <w:bookmarkStart w:id="1575" w:name="_Toc30161827"/>
      <w:bookmarkEnd w:id="1063"/>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960F82">
        <w:rPr>
          <w:rFonts w:asciiTheme="minorEastAsia" w:eastAsiaTheme="minorEastAsia" w:hAnsiTheme="minorEastAsia" w:hint="eastAsia"/>
          <w:b/>
          <w:bCs/>
        </w:rPr>
        <w:lastRenderedPageBreak/>
        <w:t>十七、基金合同的终止与基金财产的清算</w:t>
      </w:r>
      <w:bookmarkEnd w:id="1574"/>
      <w:bookmarkEnd w:id="1575"/>
    </w:p>
    <w:p w:rsidR="001D2E2F" w:rsidRPr="00960F82" w:rsidRDefault="001D2E2F" w:rsidP="00084917">
      <w:pPr>
        <w:pStyle w:val="23"/>
        <w:snapToGrid w:val="0"/>
        <w:spacing w:before="312" w:after="312" w:line="360" w:lineRule="auto"/>
        <w:ind w:firstLine="562"/>
        <w:rPr>
          <w:rFonts w:asciiTheme="minorEastAsia" w:eastAsiaTheme="minorEastAsia" w:hAnsiTheme="minorEastAsia"/>
          <w:bCs/>
        </w:rPr>
      </w:pPr>
      <w:bookmarkStart w:id="1576" w:name="_Toc30161828"/>
      <w:r w:rsidRPr="00960F82">
        <w:rPr>
          <w:rFonts w:asciiTheme="minorEastAsia" w:eastAsiaTheme="minorEastAsia" w:hAnsiTheme="minorEastAsia" w:hint="eastAsia"/>
          <w:bCs/>
        </w:rPr>
        <w:t>（一）基金合同的终止</w:t>
      </w:r>
      <w:bookmarkEnd w:id="1576"/>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出现下列情形之一的，经中国证监会批准后基金合同终止：</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存续期间内，基金份额持有人数量连续60个工作日达不到200人，或连续60个工作日基金资产净值低于人民币5000万元，基金管理人将宣布本基金合同终止；</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经基金份额持有人大会表决终止的；</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因重大违法、违规行为，被中国证监会责令终止的；</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基金管理人因解散、破产、撤销、丧失基金管理资格、停止营业等事由，不能继续担任本基金管理人的职务，而无其它基金管理公司承受其原有权利及义务；</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基金托管人因解散、破产、撤销、丧失基金托管资格、停止营业等事由，不能继续担任本基金托管人的职务，而无其它托管机构承受其原有权利及义务；</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法律法规和中国证监会规定的其他事由。</w:t>
      </w:r>
    </w:p>
    <w:p w:rsidR="001D2E2F" w:rsidRPr="00960F82" w:rsidRDefault="001D2E2F"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基金合同终止后，基金管理人和基金托管人依照《基金法》、《信托法》、《基金合同》及其他有关规定，行使请求给付报酬、从基金资产中获得补偿的权利时，可以留置基金财产或者对基金财产的权利归属人提出请求。</w:t>
      </w:r>
    </w:p>
    <w:p w:rsidR="001D2E2F" w:rsidRPr="00960F82" w:rsidRDefault="001D2E2F" w:rsidP="00084917">
      <w:pPr>
        <w:pStyle w:val="23"/>
        <w:snapToGrid w:val="0"/>
        <w:spacing w:before="312" w:after="312" w:line="360" w:lineRule="auto"/>
        <w:ind w:firstLine="562"/>
        <w:rPr>
          <w:rFonts w:asciiTheme="minorEastAsia" w:eastAsiaTheme="minorEastAsia" w:hAnsiTheme="minorEastAsia"/>
          <w:bCs/>
        </w:rPr>
      </w:pPr>
      <w:bookmarkStart w:id="1577" w:name="_Toc30161829"/>
      <w:r w:rsidRPr="00960F82">
        <w:rPr>
          <w:rFonts w:asciiTheme="minorEastAsia" w:eastAsiaTheme="minorEastAsia" w:hAnsiTheme="minorEastAsia" w:hint="eastAsia"/>
          <w:bCs/>
        </w:rPr>
        <w:t>（二）基金财产的清算</w:t>
      </w:r>
      <w:bookmarkEnd w:id="1577"/>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基金财产清算小组</w:t>
      </w:r>
    </w:p>
    <w:p w:rsidR="001D2E2F" w:rsidRPr="00960F82" w:rsidRDefault="001D2E2F" w:rsidP="00084917">
      <w:pPr>
        <w:numPr>
          <w:ilvl w:val="0"/>
          <w:numId w:val="1"/>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自基金合同终止之日起30个工作日内成立清算小组，基金财产清算小组在中国证监会的监督下进行基金财产清算。</w:t>
      </w:r>
    </w:p>
    <w:p w:rsidR="001D2E2F" w:rsidRPr="00960F82" w:rsidRDefault="001D2E2F" w:rsidP="00084917">
      <w:pPr>
        <w:numPr>
          <w:ilvl w:val="0"/>
          <w:numId w:val="1"/>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基金财产清算小组成员由基金发起人、基金管理人、基金托管人、具有从事证券相关业务资格的注册会计师、</w:t>
      </w:r>
      <w:r w:rsidRPr="00960F82">
        <w:rPr>
          <w:rFonts w:asciiTheme="minorEastAsia" w:eastAsiaTheme="minorEastAsia" w:hAnsiTheme="minorEastAsia" w:hint="eastAsia"/>
        </w:rPr>
        <w:t>具有从事证券法律业务资格的</w:t>
      </w:r>
      <w:r w:rsidRPr="00960F82">
        <w:rPr>
          <w:rFonts w:asciiTheme="minorEastAsia" w:eastAsiaTheme="minorEastAsia" w:hAnsiTheme="minorEastAsia" w:hint="eastAsia"/>
          <w:szCs w:val="21"/>
        </w:rPr>
        <w:t>律师以及中国证监会指定的人员组成。清算小组可以聘用必要的工作人员。清算小组在成立后五个工作日内应当公告。</w:t>
      </w:r>
    </w:p>
    <w:p w:rsidR="001D2E2F" w:rsidRPr="00960F82" w:rsidRDefault="001D2E2F" w:rsidP="00084917">
      <w:pPr>
        <w:numPr>
          <w:ilvl w:val="0"/>
          <w:numId w:val="1"/>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基金财产清算小组负责基金资产的保管、清理、估价、变现和分配。基金财产清算小组可以依法以基金的名义进行必要的民事活动。</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清算程序</w:t>
      </w:r>
    </w:p>
    <w:p w:rsidR="001D2E2F" w:rsidRPr="00960F82" w:rsidRDefault="001D2E2F" w:rsidP="00084917">
      <w:pPr>
        <w:numPr>
          <w:ilvl w:val="0"/>
          <w:numId w:val="2"/>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基金合同终止后，由基金财产清算小组统一接管基金；</w:t>
      </w:r>
    </w:p>
    <w:p w:rsidR="001D2E2F" w:rsidRPr="00960F82" w:rsidRDefault="001D2E2F" w:rsidP="00084917">
      <w:pPr>
        <w:numPr>
          <w:ilvl w:val="0"/>
          <w:numId w:val="2"/>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对基金资产和债权债务进行清理和确认；</w:t>
      </w:r>
    </w:p>
    <w:p w:rsidR="001D2E2F" w:rsidRPr="00960F82" w:rsidRDefault="001D2E2F" w:rsidP="00084917">
      <w:pPr>
        <w:numPr>
          <w:ilvl w:val="0"/>
          <w:numId w:val="2"/>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对基金资产进行估值和变现；</w:t>
      </w:r>
    </w:p>
    <w:p w:rsidR="001D2E2F" w:rsidRPr="00960F82" w:rsidRDefault="001D2E2F" w:rsidP="00084917">
      <w:pPr>
        <w:numPr>
          <w:ilvl w:val="0"/>
          <w:numId w:val="2"/>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将基金财产清算结果报告中国证监会；</w:t>
      </w:r>
    </w:p>
    <w:p w:rsidR="001D2E2F" w:rsidRPr="00960F82" w:rsidRDefault="001D2E2F" w:rsidP="00084917">
      <w:pPr>
        <w:numPr>
          <w:ilvl w:val="0"/>
          <w:numId w:val="2"/>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公布基金财产清算公告；</w:t>
      </w:r>
    </w:p>
    <w:p w:rsidR="001D2E2F" w:rsidRPr="00960F82" w:rsidRDefault="001D2E2F" w:rsidP="00084917">
      <w:pPr>
        <w:numPr>
          <w:ilvl w:val="0"/>
          <w:numId w:val="2"/>
        </w:numPr>
        <w:snapToGrid w:val="0"/>
        <w:spacing w:line="360" w:lineRule="auto"/>
        <w:ind w:left="0"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对基金</w:t>
      </w:r>
      <w:r w:rsidRPr="00960F82">
        <w:rPr>
          <w:rFonts w:asciiTheme="minorEastAsia" w:eastAsiaTheme="minorEastAsia" w:hAnsiTheme="minorEastAsia" w:hint="eastAsia"/>
        </w:rPr>
        <w:t>财</w:t>
      </w:r>
      <w:r w:rsidRPr="00960F82">
        <w:rPr>
          <w:rFonts w:asciiTheme="minorEastAsia" w:eastAsiaTheme="minorEastAsia" w:hAnsiTheme="minorEastAsia" w:hint="eastAsia"/>
          <w:szCs w:val="21"/>
        </w:rPr>
        <w:t>产进行分配。</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清算费用</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清算费用是指基金财产清算小组在进行基金财产清算过程中发生的所有合理费用，清算费用由基金财产清算小组优先从基金</w:t>
      </w:r>
      <w:r w:rsidRPr="00960F82">
        <w:rPr>
          <w:rFonts w:asciiTheme="minorEastAsia" w:eastAsiaTheme="minorEastAsia" w:hAnsiTheme="minorEastAsia" w:hint="eastAsia"/>
        </w:rPr>
        <w:t>财</w:t>
      </w:r>
      <w:r w:rsidRPr="00960F82">
        <w:rPr>
          <w:rFonts w:asciiTheme="minorEastAsia" w:eastAsiaTheme="minorEastAsia" w:hAnsiTheme="minorEastAsia" w:hint="eastAsia"/>
          <w:szCs w:val="21"/>
        </w:rPr>
        <w:t>产中支付。</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基金剩余财产的分配</w:t>
      </w:r>
    </w:p>
    <w:p w:rsidR="001D2E2F" w:rsidRPr="00960F82" w:rsidRDefault="001D2E2F" w:rsidP="00084917">
      <w:pPr>
        <w:pStyle w:val="a6"/>
        <w:tabs>
          <w:tab w:val="left" w:pos="735"/>
        </w:tabs>
        <w:snapToGrid w:val="0"/>
        <w:spacing w:line="360" w:lineRule="auto"/>
        <w:ind w:firstLineChars="200"/>
        <w:rPr>
          <w:rFonts w:asciiTheme="minorEastAsia" w:eastAsiaTheme="minorEastAsia" w:hAnsiTheme="minorEastAsia"/>
          <w:kern w:val="0"/>
        </w:rPr>
      </w:pPr>
      <w:r w:rsidRPr="00960F82">
        <w:rPr>
          <w:rFonts w:asciiTheme="minorEastAsia" w:eastAsiaTheme="minorEastAsia" w:hAnsiTheme="minorEastAsia" w:hint="eastAsia"/>
        </w:rPr>
        <w:t>基金财产按下列顺序清偿：</w:t>
      </w:r>
    </w:p>
    <w:p w:rsidR="001D2E2F" w:rsidRPr="00960F82" w:rsidRDefault="001D2E2F" w:rsidP="00084917">
      <w:pPr>
        <w:autoSpaceDE w:val="0"/>
        <w:autoSpaceDN w:val="0"/>
        <w:adjustRightInd w:val="0"/>
        <w:snapToGrid w:val="0"/>
        <w:spacing w:line="360" w:lineRule="auto"/>
        <w:ind w:firstLine="420"/>
        <w:jc w:val="left"/>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w:t>
      </w:r>
      <w:r w:rsidRPr="00960F82">
        <w:rPr>
          <w:rFonts w:asciiTheme="minorEastAsia" w:eastAsiaTheme="minorEastAsia" w:hAnsiTheme="minorEastAsia"/>
          <w:kern w:val="0"/>
          <w:szCs w:val="21"/>
        </w:rPr>
        <w:t>1</w:t>
      </w:r>
      <w:r w:rsidRPr="00960F82">
        <w:rPr>
          <w:rFonts w:asciiTheme="minorEastAsia" w:eastAsiaTheme="minorEastAsia" w:hAnsiTheme="minorEastAsia" w:hint="eastAsia"/>
          <w:kern w:val="0"/>
          <w:szCs w:val="21"/>
        </w:rPr>
        <w:t>）支付清算费用；</w:t>
      </w:r>
    </w:p>
    <w:p w:rsidR="001D2E2F" w:rsidRPr="00960F82" w:rsidRDefault="001D2E2F" w:rsidP="00084917">
      <w:pPr>
        <w:autoSpaceDE w:val="0"/>
        <w:autoSpaceDN w:val="0"/>
        <w:adjustRightInd w:val="0"/>
        <w:snapToGrid w:val="0"/>
        <w:spacing w:line="360" w:lineRule="auto"/>
        <w:ind w:firstLine="420"/>
        <w:jc w:val="left"/>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w:t>
      </w:r>
      <w:r w:rsidRPr="00960F82">
        <w:rPr>
          <w:rFonts w:asciiTheme="minorEastAsia" w:eastAsiaTheme="minorEastAsia" w:hAnsiTheme="minorEastAsia"/>
          <w:kern w:val="0"/>
          <w:szCs w:val="21"/>
        </w:rPr>
        <w:t>2</w:t>
      </w:r>
      <w:r w:rsidRPr="00960F82">
        <w:rPr>
          <w:rFonts w:asciiTheme="minorEastAsia" w:eastAsiaTheme="minorEastAsia" w:hAnsiTheme="minorEastAsia" w:hint="eastAsia"/>
          <w:kern w:val="0"/>
          <w:szCs w:val="21"/>
        </w:rPr>
        <w:t>）交纳所欠税款；</w:t>
      </w:r>
    </w:p>
    <w:p w:rsidR="001D2E2F" w:rsidRPr="00960F82" w:rsidRDefault="001D2E2F" w:rsidP="00084917">
      <w:pPr>
        <w:autoSpaceDE w:val="0"/>
        <w:autoSpaceDN w:val="0"/>
        <w:adjustRightInd w:val="0"/>
        <w:snapToGrid w:val="0"/>
        <w:spacing w:line="360" w:lineRule="auto"/>
        <w:ind w:firstLine="420"/>
        <w:jc w:val="left"/>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w:t>
      </w:r>
      <w:r w:rsidRPr="00960F82">
        <w:rPr>
          <w:rFonts w:asciiTheme="minorEastAsia" w:eastAsiaTheme="minorEastAsia" w:hAnsiTheme="minorEastAsia"/>
          <w:kern w:val="0"/>
          <w:szCs w:val="21"/>
        </w:rPr>
        <w:t>3</w:t>
      </w:r>
      <w:r w:rsidRPr="00960F82">
        <w:rPr>
          <w:rFonts w:asciiTheme="minorEastAsia" w:eastAsiaTheme="minorEastAsia" w:hAnsiTheme="minorEastAsia" w:hint="eastAsia"/>
          <w:kern w:val="0"/>
          <w:szCs w:val="21"/>
        </w:rPr>
        <w:t>）清偿基金债务；</w:t>
      </w:r>
    </w:p>
    <w:p w:rsidR="001D2E2F" w:rsidRPr="00960F82" w:rsidRDefault="001D2E2F" w:rsidP="00084917">
      <w:pPr>
        <w:autoSpaceDE w:val="0"/>
        <w:autoSpaceDN w:val="0"/>
        <w:adjustRightInd w:val="0"/>
        <w:snapToGrid w:val="0"/>
        <w:spacing w:line="360" w:lineRule="auto"/>
        <w:ind w:firstLine="420"/>
        <w:jc w:val="left"/>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w:t>
      </w:r>
      <w:r w:rsidRPr="00960F82">
        <w:rPr>
          <w:rFonts w:asciiTheme="minorEastAsia" w:eastAsiaTheme="minorEastAsia" w:hAnsiTheme="minorEastAsia"/>
          <w:kern w:val="0"/>
          <w:szCs w:val="21"/>
        </w:rPr>
        <w:t>4</w:t>
      </w:r>
      <w:r w:rsidRPr="00960F82">
        <w:rPr>
          <w:rFonts w:asciiTheme="minorEastAsia" w:eastAsiaTheme="minorEastAsia" w:hAnsiTheme="minorEastAsia" w:hint="eastAsia"/>
          <w:kern w:val="0"/>
          <w:szCs w:val="21"/>
        </w:rPr>
        <w:t>）按基金份额持有人持有的基金份额比例进行分配。</w:t>
      </w:r>
    </w:p>
    <w:p w:rsidR="001D2E2F" w:rsidRPr="00960F82" w:rsidRDefault="001D2E2F" w:rsidP="00084917">
      <w:pPr>
        <w:autoSpaceDE w:val="0"/>
        <w:autoSpaceDN w:val="0"/>
        <w:adjustRightInd w:val="0"/>
        <w:snapToGrid w:val="0"/>
        <w:spacing w:line="360" w:lineRule="auto"/>
        <w:ind w:firstLine="420"/>
        <w:jc w:val="left"/>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基金资产未按前款（</w:t>
      </w:r>
      <w:r w:rsidRPr="00960F82">
        <w:rPr>
          <w:rFonts w:asciiTheme="minorEastAsia" w:eastAsiaTheme="minorEastAsia" w:hAnsiTheme="minorEastAsia"/>
          <w:kern w:val="0"/>
          <w:szCs w:val="21"/>
        </w:rPr>
        <w:t>1</w:t>
      </w:r>
      <w:r w:rsidRPr="00960F82">
        <w:rPr>
          <w:rFonts w:asciiTheme="minorEastAsia" w:eastAsiaTheme="minorEastAsia" w:hAnsiTheme="minorEastAsia" w:hint="eastAsia"/>
          <w:kern w:val="0"/>
          <w:szCs w:val="21"/>
        </w:rPr>
        <w:t>）至（</w:t>
      </w:r>
      <w:r w:rsidRPr="00960F82">
        <w:rPr>
          <w:rFonts w:asciiTheme="minorEastAsia" w:eastAsiaTheme="minorEastAsia" w:hAnsiTheme="minorEastAsia"/>
          <w:kern w:val="0"/>
          <w:szCs w:val="21"/>
        </w:rPr>
        <w:t>3</w:t>
      </w:r>
      <w:r w:rsidRPr="00960F82">
        <w:rPr>
          <w:rFonts w:asciiTheme="minorEastAsia" w:eastAsiaTheme="minorEastAsia" w:hAnsiTheme="minorEastAsia" w:hint="eastAsia"/>
          <w:kern w:val="0"/>
          <w:szCs w:val="21"/>
        </w:rPr>
        <w:t>）项规定清偿前，不分配给基金份额持有人。</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基金财产清算的公告</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基金合同终止并报中国证监会备案后</w:t>
      </w:r>
      <w:r w:rsidRPr="00960F82">
        <w:rPr>
          <w:rFonts w:asciiTheme="minorEastAsia" w:eastAsiaTheme="minorEastAsia" w:hAnsiTheme="minorEastAsia"/>
          <w:szCs w:val="21"/>
        </w:rPr>
        <w:t>5</w:t>
      </w:r>
      <w:r w:rsidRPr="00960F82">
        <w:rPr>
          <w:rFonts w:asciiTheme="minorEastAsia" w:eastAsiaTheme="minorEastAsia" w:hAnsiTheme="minorEastAsia" w:hint="eastAsia"/>
          <w:szCs w:val="21"/>
        </w:rPr>
        <w:t>个工作日内由基金财产清算小组公告；清算过程中的有关重大事项须及时公告；清算小组作出的清算报告经会计师事务所审计、律师事务所出具法律意见书后，报中国证监会备案并公告。</w:t>
      </w:r>
    </w:p>
    <w:p w:rsidR="001D2E2F" w:rsidRPr="00960F82" w:rsidRDefault="00D759DD" w:rsidP="00D759DD">
      <w:pPr>
        <w:autoSpaceDE w:val="0"/>
        <w:autoSpaceDN w:val="0"/>
        <w:adjustRightInd w:val="0"/>
        <w:snapToGrid w:val="0"/>
        <w:spacing w:line="360" w:lineRule="auto"/>
        <w:ind w:firstLineChars="218" w:firstLine="458"/>
        <w:jc w:val="left"/>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清算帐册及文件的保存</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基金财产</w:t>
      </w:r>
      <w:r w:rsidRPr="00960F82">
        <w:rPr>
          <w:rFonts w:asciiTheme="minorEastAsia" w:eastAsiaTheme="minorEastAsia" w:hAnsiTheme="minorEastAsia" w:hint="eastAsia"/>
          <w:szCs w:val="21"/>
        </w:rPr>
        <w:t>清算帐册及有关文件由基金托管人保存</w:t>
      </w:r>
      <w:r w:rsidRPr="00960F82">
        <w:rPr>
          <w:rFonts w:asciiTheme="minorEastAsia" w:eastAsiaTheme="minorEastAsia" w:hAnsiTheme="minorEastAsia"/>
          <w:szCs w:val="21"/>
        </w:rPr>
        <w:t>15</w:t>
      </w:r>
      <w:r w:rsidRPr="00960F82">
        <w:rPr>
          <w:rFonts w:asciiTheme="minorEastAsia" w:eastAsiaTheme="minorEastAsia" w:hAnsiTheme="minorEastAsia" w:hint="eastAsia"/>
          <w:szCs w:val="21"/>
        </w:rPr>
        <w:t>年以上。</w:t>
      </w:r>
    </w:p>
    <w:p w:rsidR="001D2E2F" w:rsidRPr="00960F82" w:rsidRDefault="001D2E2F"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bCs/>
        </w:rPr>
      </w:pPr>
      <w:bookmarkStart w:id="1578" w:name="_Toc92774764"/>
      <w:bookmarkStart w:id="1579" w:name="_Toc30161830"/>
      <w:r w:rsidRPr="00960F82">
        <w:rPr>
          <w:rFonts w:asciiTheme="minorEastAsia" w:eastAsiaTheme="minorEastAsia" w:hAnsiTheme="minorEastAsia" w:hint="eastAsia"/>
          <w:b/>
          <w:bCs/>
        </w:rPr>
        <w:lastRenderedPageBreak/>
        <w:t>十八、基金合同的内容摘要</w:t>
      </w:r>
      <w:bookmarkEnd w:id="1578"/>
      <w:bookmarkEnd w:id="1579"/>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基金管理人的权利和义务</w:t>
      </w:r>
    </w:p>
    <w:p w:rsidR="001D2E2F" w:rsidRPr="00960F82" w:rsidRDefault="00D759DD" w:rsidP="00D759DD">
      <w:pPr>
        <w:pStyle w:val="a6"/>
        <w:snapToGrid w:val="0"/>
        <w:spacing w:line="360" w:lineRule="auto"/>
        <w:ind w:left="422" w:firstLine="0"/>
        <w:rPr>
          <w:rFonts w:asciiTheme="minorEastAsia" w:eastAsiaTheme="minorEastAsia" w:hAnsiTheme="minorEastAsia"/>
          <w:b/>
          <w:bCs/>
        </w:rPr>
      </w:pPr>
      <w:r w:rsidRPr="00960F82">
        <w:rPr>
          <w:rFonts w:asciiTheme="minorEastAsia" w:eastAsiaTheme="minorEastAsia" w:hAnsiTheme="minorEastAsia" w:hint="eastAsia"/>
          <w:b/>
          <w:bCs/>
        </w:rPr>
        <w:t>1、</w:t>
      </w:r>
      <w:r w:rsidR="001D2E2F" w:rsidRPr="00960F82">
        <w:rPr>
          <w:rFonts w:asciiTheme="minorEastAsia" w:eastAsiaTheme="minorEastAsia" w:hAnsiTheme="minorEastAsia" w:hint="eastAsia"/>
          <w:b/>
          <w:bCs/>
        </w:rPr>
        <w:t>基金管理人的权利</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自本基金合同生效之日起，基金管理人根据《基金合同》的规定，独立运用并管理基金资产；</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根据《基金合同》的规定获得基金管理费；</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在符合有关法律法规和《基金合同》的前提下，制订和调整开放式基金业务规则，决定基金的相关费率结构和收费方式；</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根据《基金合同》规定销售基金份额，并收取基金认购费、赎回费及其他法律法规规定的费用；</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担任基金的注册登记人并获得《基金合同》规定的注册登记费用；选择和更换注册登记代理机构,并对其注册登记代理行为进行必要的监督；</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根据有关法律法规和基金合同的规定，决定开展认购、赎回、基金转换等业务；</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在基金存续期内，根据有关法律法规和基金合同的规定，决定拒绝和暂停受理基金份额的申购、赎回和转换申请</w:t>
      </w:r>
      <w:r w:rsidRPr="00960F82">
        <w:rPr>
          <w:rFonts w:asciiTheme="minorEastAsia" w:eastAsiaTheme="minorEastAsia" w:hAnsiTheme="minorEastAsia" w:hint="eastAsia"/>
          <w:szCs w:val="21"/>
        </w:rPr>
        <w:t>；</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依据《基金合同》的规定，决定基金收益的分配方案；</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提议召开基金持有人大会；</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在基金托管人更换时，提名新的基金托管人；</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szCs w:val="21"/>
        </w:rPr>
        <w:t>依据</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基金合同</w:t>
      </w:r>
      <w:r w:rsidRPr="00960F82">
        <w:rPr>
          <w:rFonts w:asciiTheme="minorEastAsia" w:eastAsiaTheme="minorEastAsia" w:hAnsiTheme="minorEastAsia" w:hint="eastAsia"/>
          <w:szCs w:val="21"/>
        </w:rPr>
        <w:t>》</w:t>
      </w:r>
      <w:r w:rsidRPr="00960F82">
        <w:rPr>
          <w:rFonts w:asciiTheme="minorEastAsia" w:eastAsiaTheme="minorEastAsia" w:hAnsiTheme="minorEastAsia"/>
          <w:szCs w:val="21"/>
        </w:rPr>
        <w:t>及有关法律规定监督基金托管人，如认为基金托管人违反了本基金合同或国家有关法律规定对基金资产或基金持有人利益造成重大损失的，应呈报中国证监会和中国银监会，</w:t>
      </w:r>
      <w:r w:rsidRPr="00960F82">
        <w:rPr>
          <w:rFonts w:asciiTheme="minorEastAsia" w:eastAsiaTheme="minorEastAsia" w:hAnsiTheme="minorEastAsia" w:hint="eastAsia"/>
          <w:szCs w:val="21"/>
        </w:rPr>
        <w:t>并有权提议召开基金持有人大会，由基金持有人大会表决更换基金托管人，或</w:t>
      </w:r>
      <w:r w:rsidRPr="00960F82">
        <w:rPr>
          <w:rFonts w:asciiTheme="minorEastAsia" w:eastAsiaTheme="minorEastAsia" w:hAnsiTheme="minorEastAsia"/>
          <w:szCs w:val="21"/>
        </w:rPr>
        <w:t>采取</w:t>
      </w:r>
      <w:r w:rsidRPr="00960F82">
        <w:rPr>
          <w:rFonts w:asciiTheme="minorEastAsia" w:eastAsiaTheme="minorEastAsia" w:hAnsiTheme="minorEastAsia" w:hint="eastAsia"/>
          <w:szCs w:val="21"/>
        </w:rPr>
        <w:t>其它</w:t>
      </w:r>
      <w:r w:rsidRPr="00960F82">
        <w:rPr>
          <w:rFonts w:asciiTheme="minorEastAsia" w:eastAsiaTheme="minorEastAsia" w:hAnsiTheme="minorEastAsia"/>
          <w:szCs w:val="21"/>
        </w:rPr>
        <w:t>必要措施保护基金投资者的利益；</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选择、更换基金代销机构，对基金代销机构行为进行必要的监督和检查；如果基金管理人认为基金代销机构的作为或不作为违反了法律法规、《基金合同》或基金销售代理协议，基金管理人应行使法律法规、《基金合同》或基金销售代理协议赋予、给予、规定的基金管理人的任何及所有权利和救济措施，以保护基金资产的安全和基金投资者的利益；</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以基金资产负担因处理基金事务所支出的其他费用以及对第三人所负的债务，若基金管理人以其自有财产先行支付的，对基金资产有优先受偿的权利；</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按照《试点办法》，代表基金对其所投资的企业依法行使股东权利或行使因投资于其他证券产生的权利；</w:t>
      </w:r>
    </w:p>
    <w:p w:rsidR="001D2E2F" w:rsidRPr="00960F82" w:rsidRDefault="001D2E2F" w:rsidP="00084917">
      <w:pPr>
        <w:numPr>
          <w:ilvl w:val="0"/>
          <w:numId w:val="7"/>
        </w:numPr>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szCs w:val="21"/>
        </w:rPr>
        <w:t>本基金合同终止时，组建或参加清算小组，参与基金资产的保管、清理、估价、变现和分配；</w:t>
      </w:r>
    </w:p>
    <w:p w:rsidR="001D2E2F" w:rsidRPr="00960F82" w:rsidRDefault="001D2E2F" w:rsidP="00084917">
      <w:pPr>
        <w:numPr>
          <w:ilvl w:val="0"/>
          <w:numId w:val="7"/>
        </w:numPr>
        <w:snapToGrid w:val="0"/>
        <w:spacing w:line="360" w:lineRule="auto"/>
        <w:rPr>
          <w:rFonts w:asciiTheme="minorEastAsia" w:eastAsiaTheme="minorEastAsia" w:hAnsiTheme="minorEastAsia"/>
        </w:rPr>
      </w:pPr>
      <w:r w:rsidRPr="00960F82">
        <w:rPr>
          <w:rFonts w:asciiTheme="minorEastAsia" w:eastAsiaTheme="minorEastAsia" w:hAnsiTheme="minorEastAsia" w:hint="eastAsia"/>
          <w:szCs w:val="21"/>
        </w:rPr>
        <w:lastRenderedPageBreak/>
        <w:t>法律、法规、本《基金合同》以及依据本《基金合同》制定的其他法律文件所规定的其他权利。</w:t>
      </w:r>
    </w:p>
    <w:p w:rsidR="001D2E2F" w:rsidRPr="00960F82" w:rsidRDefault="00D759DD" w:rsidP="00D759DD">
      <w:pPr>
        <w:pStyle w:val="a6"/>
        <w:snapToGrid w:val="0"/>
        <w:spacing w:line="360" w:lineRule="auto"/>
        <w:ind w:left="422" w:firstLine="0"/>
        <w:rPr>
          <w:rFonts w:asciiTheme="minorEastAsia" w:eastAsiaTheme="minorEastAsia" w:hAnsiTheme="minorEastAsia"/>
          <w:b/>
          <w:bCs/>
        </w:rPr>
      </w:pPr>
      <w:r w:rsidRPr="00960F82">
        <w:rPr>
          <w:rFonts w:asciiTheme="minorEastAsia" w:eastAsiaTheme="minorEastAsia" w:hAnsiTheme="minorEastAsia" w:hint="eastAsia"/>
          <w:b/>
          <w:bCs/>
        </w:rPr>
        <w:t>2、</w:t>
      </w:r>
      <w:r w:rsidR="001D2E2F" w:rsidRPr="00960F82">
        <w:rPr>
          <w:rFonts w:asciiTheme="minorEastAsia" w:eastAsiaTheme="minorEastAsia" w:hAnsiTheme="minorEastAsia" w:hint="eastAsia"/>
          <w:b/>
          <w:bCs/>
        </w:rPr>
        <w:t>基金管理人的义务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（1）基金管理人将遵守《信托法》、《试点办法》、《基金合同》及其他有关规定，为基金持有人的最大利益处理基金事务；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基金管理人保证恪尽职守，依照诚实信用、勤勉尽责的原则，谨慎、有效管理和运用基金资产；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w:t>
      </w:r>
      <w:r w:rsidRPr="00960F82">
        <w:rPr>
          <w:rFonts w:asciiTheme="minorEastAsia" w:eastAsiaTheme="minorEastAsia" w:hAnsiTheme="minorEastAsia"/>
          <w:szCs w:val="21"/>
        </w:rPr>
        <w:t>设置相应的部门并</w:t>
      </w:r>
      <w:r w:rsidRPr="00960F82">
        <w:rPr>
          <w:rFonts w:asciiTheme="minorEastAsia" w:eastAsiaTheme="minorEastAsia" w:hAnsiTheme="minorEastAsia" w:hint="eastAsia"/>
          <w:szCs w:val="21"/>
        </w:rPr>
        <w:t>配备足够的具有专业资格的人员进行基金投资分析、决策，以专业化的经营方式管理和运作基金资产；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Pr="00960F82">
        <w:rPr>
          <w:rFonts w:asciiTheme="minorEastAsia" w:eastAsiaTheme="minorEastAsia" w:hAnsiTheme="minorEastAsia"/>
          <w:szCs w:val="21"/>
        </w:rPr>
        <w:t>设置相应的部门并配备足够的专业人员办理基金份额的认购、申购、赎回和其它业务或委托其它机构代理这些业务</w:t>
      </w:r>
      <w:r w:rsidRPr="00960F82">
        <w:rPr>
          <w:rFonts w:asciiTheme="minorEastAsia" w:eastAsiaTheme="minorEastAsia" w:hAnsiTheme="minorEastAsia" w:hint="eastAsia"/>
          <w:szCs w:val="21"/>
        </w:rPr>
        <w:t>；</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Pr="00960F82">
        <w:rPr>
          <w:rFonts w:asciiTheme="minorEastAsia" w:eastAsiaTheme="minorEastAsia" w:hAnsiTheme="minorEastAsia"/>
          <w:szCs w:val="21"/>
        </w:rPr>
        <w:t>设置相应的部门并配备足够的专业人员办理基金的注册与过户登记工作或委托其它机构代理该项业务</w:t>
      </w:r>
      <w:r w:rsidRPr="00960F82">
        <w:rPr>
          <w:rFonts w:asciiTheme="minorEastAsia" w:eastAsiaTheme="minorEastAsia" w:hAnsiTheme="minorEastAsia" w:hint="eastAsia"/>
          <w:szCs w:val="21"/>
        </w:rPr>
        <w:t>；</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建立健全内部控制制度，保证所管理的基金资产和基金管理人的固有资产相互独立，确保分别管理、分别计帐；保证本基金与基金管理人管理的其他基金之间在资产运作、财务管理等方面相互独立，确保分别管理、分别计帐；</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6）除依据《信托法》、《试点办法》、《基金合同》及其他有关规定外,不为自己及任何第三方谋取利益，基金管理人违反此义务，利用基金资产为自己及任何第三方谋取利益，所得利益归于基金资产，造成基金资产损失的，承担赔偿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基金管理人不得将基金资产转为其自有财产，违背此款规定的，将承担相应的责任，包括但不限于恢复基金资产的原状、承担赔偿责任；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（7）除依据《信托法》、《试点办法》、《基金合同》及其他有关规定外，基金管理人不得委托第三人管理、运作基金资产；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（8）接受基金托管人依据法律法规、本《基金合同》和《托管协议》对基金管理人履行本《基金合同》和托管协议的情况进行的监督；</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（9）</w:t>
      </w:r>
      <w:r w:rsidR="008B3426" w:rsidRPr="00960F82">
        <w:rPr>
          <w:rFonts w:asciiTheme="minorEastAsia" w:eastAsiaTheme="minorEastAsia" w:hAnsiTheme="minorEastAsia" w:hint="eastAsia"/>
          <w:szCs w:val="21"/>
        </w:rPr>
        <w:t>按规定计算并公告基金净值信息</w:t>
      </w:r>
      <w:r w:rsidRPr="00960F82">
        <w:rPr>
          <w:rFonts w:asciiTheme="minorEastAsia" w:eastAsiaTheme="minorEastAsia" w:hAnsiTheme="minorEastAsia" w:hint="eastAsia"/>
          <w:szCs w:val="21"/>
        </w:rPr>
        <w:t>；</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（10）按照法律和本《基金合同》的规定受理认、申购和赎回申请，及时、足额支付赎回款项；</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（11）严格按照《信托法》、《试点办法》、《基金合同》及其他有关规定履行信息披露及报告义务；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12）保守基金的商业秘密，不泄露基金投资计划等；除法律法规、《基金合同》、及其他有关规定另有规定外，在基金信息公开披露前应予保密，不向他人泄露，但因遵守和服从司法机构、中国证监会或其他监管机构的判决、裁决、决定、命令而作出的披露不应视为基金管理人违反本《基金合同》规定的保密义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（13）依据《基金合同》规定决定基金收益分配方案并及时向基金持有人分配基金收益；</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（14）不谋求对基金资产所投资的公司的控股和直接管理；</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（15）依据《试点办法》、《基金合同》及其他有关规定召集基金持有人大会，执行基金持有人大会决议；</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（16）进行基金会计核算并编制基金</w:t>
      </w:r>
      <w:r w:rsidR="008B3426" w:rsidRPr="00960F82">
        <w:rPr>
          <w:rFonts w:asciiTheme="minorEastAsia" w:eastAsiaTheme="minorEastAsia" w:hAnsiTheme="minorEastAsia" w:hint="eastAsia"/>
          <w:szCs w:val="21"/>
        </w:rPr>
        <w:t>季度报告、中期报告和年度报告</w:t>
      </w:r>
      <w:r w:rsidRPr="00960F82">
        <w:rPr>
          <w:rFonts w:asciiTheme="minorEastAsia" w:eastAsiaTheme="minorEastAsia" w:hAnsiTheme="minorEastAsia" w:hint="eastAsia"/>
          <w:szCs w:val="21"/>
        </w:rPr>
        <w:t>；</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（17）保存基金财产管理业务活动的记录、帐册、报表和其他相关资料15年以上；</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（18）参加基金财产清算小组，参与基金资产的保管、清理、估价、变现和分配；</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（19）当基金管理人将其义务委托第三方处理时，应当对第三方处理基金管理事务的行为承担责任；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（20）面临解散、依法被撤销、破产或者由接管人接管其资产时，及时报告中国证监会并通知基金托管人；</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（21）监督基金托管人按法律法规和合同规定履行自己的义务，基金托管人因过错造成基金资产损失时，基金管理人应为基金向基金托管人追偿，</w:t>
      </w:r>
      <w:r w:rsidRPr="00960F82">
        <w:rPr>
          <w:rFonts w:asciiTheme="minorEastAsia" w:eastAsiaTheme="minorEastAsia" w:hAnsiTheme="minorEastAsia" w:hint="eastAsia"/>
        </w:rPr>
        <w:t>但除法律法规另有规定外不连带承担基金托管人的责任</w:t>
      </w:r>
      <w:r w:rsidRPr="00960F82">
        <w:rPr>
          <w:rFonts w:asciiTheme="minorEastAsia" w:eastAsiaTheme="minorEastAsia" w:hAnsiTheme="minorEastAsia" w:hint="eastAsia"/>
          <w:szCs w:val="21"/>
        </w:rPr>
        <w:t>；</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22）基金管理人因违反《基金合同》规定的信托目的处分基金资产或者因违背《基金合同》规定的管理职责、处理基金事务不当而致使基金资产或基金持有人利益受到损失的，应当承担赔偿责任，其过错责任不因其退任而免除；</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（23）确保向基金投资人提供的各项文件或资料在规定时间内发出；保证投资人能够按照本《基金合同》规定的时间和方式，查阅到与基金有关的公开资料，并得到有关资料的复印件；</w:t>
      </w:r>
    </w:p>
    <w:p w:rsidR="001D2E2F" w:rsidRPr="00960F82" w:rsidRDefault="001D2E2F" w:rsidP="00084917">
      <w:pPr>
        <w:snapToGrid w:val="0"/>
        <w:spacing w:line="360" w:lineRule="auto"/>
        <w:ind w:firstLine="420"/>
        <w:rPr>
          <w:rFonts w:asciiTheme="minorEastAsia" w:eastAsiaTheme="minorEastAsia" w:hAnsiTheme="minorEastAsia"/>
          <w:kern w:val="0"/>
          <w:szCs w:val="21"/>
        </w:rPr>
      </w:pPr>
      <w:r w:rsidRPr="00960F82">
        <w:rPr>
          <w:rFonts w:asciiTheme="minorEastAsia" w:eastAsiaTheme="minorEastAsia" w:hAnsiTheme="minorEastAsia" w:hint="eastAsia"/>
          <w:szCs w:val="21"/>
        </w:rPr>
        <w:t>（24）</w:t>
      </w:r>
      <w:r w:rsidRPr="00960F82">
        <w:rPr>
          <w:rFonts w:asciiTheme="minorEastAsia" w:eastAsiaTheme="minorEastAsia" w:hAnsiTheme="minorEastAsia" w:hint="eastAsia"/>
          <w:kern w:val="0"/>
          <w:szCs w:val="21"/>
        </w:rPr>
        <w:t>负责为基金聘请注册会计师和律师；</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kern w:val="0"/>
          <w:szCs w:val="21"/>
        </w:rPr>
        <w:t>（25）不从事任何有损基金及本基金其他当事人利益的活动；</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（26）根据有关法律法规的要求办理基金备案手续；</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（27）</w:t>
      </w:r>
      <w:r w:rsidRPr="00960F82">
        <w:rPr>
          <w:rFonts w:asciiTheme="minorEastAsia" w:eastAsiaTheme="minorEastAsia" w:hAnsiTheme="minorEastAsia" w:hint="eastAsia"/>
        </w:rPr>
        <w:t>以基金管理人名义，代表基金持有人利益行使诉讼权利或者实施其他法律行为；</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（28）法律、法规、本《基金合同》以及依据本《基金合同》制定的其他法律文件所规定的其他义务。</w:t>
      </w:r>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基金托管人的权利和义务</w:t>
      </w:r>
    </w:p>
    <w:p w:rsidR="001D2E2F" w:rsidRPr="00960F82" w:rsidRDefault="001D2E2F" w:rsidP="00084917">
      <w:pPr>
        <w:pStyle w:val="a6"/>
        <w:snapToGrid w:val="0"/>
        <w:spacing w:line="360" w:lineRule="auto"/>
        <w:ind w:left="422" w:firstLine="0"/>
        <w:rPr>
          <w:rFonts w:asciiTheme="minorEastAsia" w:eastAsiaTheme="minorEastAsia" w:hAnsiTheme="minorEastAsia"/>
          <w:b/>
          <w:bCs/>
        </w:rPr>
      </w:pPr>
      <w:r w:rsidRPr="00960F82">
        <w:rPr>
          <w:rFonts w:asciiTheme="minorEastAsia" w:eastAsiaTheme="minorEastAsia" w:hAnsiTheme="minorEastAsia" w:hint="eastAsia"/>
          <w:b/>
          <w:bCs/>
        </w:rPr>
        <w:t>1</w:t>
      </w:r>
      <w:r w:rsidR="00D759DD" w:rsidRPr="00960F82">
        <w:rPr>
          <w:rFonts w:asciiTheme="minorEastAsia" w:eastAsiaTheme="minorEastAsia" w:hAnsiTheme="minorEastAsia" w:hint="eastAsia"/>
          <w:b/>
          <w:bCs/>
        </w:rPr>
        <w:t>、</w:t>
      </w:r>
      <w:r w:rsidRPr="00960F82">
        <w:rPr>
          <w:rFonts w:asciiTheme="minorEastAsia" w:eastAsiaTheme="minorEastAsia" w:hAnsiTheme="minorEastAsia" w:hint="eastAsia"/>
          <w:b/>
          <w:bCs/>
        </w:rPr>
        <w:t>基金托管人的权利</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（1）依法持有并保管基金的资产；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（2）依照《基金合同》的约定获得基金托管费；</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（3）监督基金的投资运作</w:t>
      </w:r>
      <w:r w:rsidRPr="00960F82">
        <w:rPr>
          <w:rFonts w:asciiTheme="minorEastAsia" w:eastAsiaTheme="minorEastAsia" w:hAnsiTheme="minorEastAsia" w:hint="eastAsia"/>
        </w:rPr>
        <w:t>；</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（4）在基金管理人更换时，提名新的基金管理人；</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（5）法律、法规、《基金合同》以及依据《基金合同》制定的其他法律文件所规定的其他权利。</w:t>
      </w:r>
    </w:p>
    <w:p w:rsidR="001D2E2F" w:rsidRPr="00960F82" w:rsidRDefault="001D2E2F" w:rsidP="00084917">
      <w:pPr>
        <w:pStyle w:val="a6"/>
        <w:snapToGrid w:val="0"/>
        <w:spacing w:line="360" w:lineRule="auto"/>
        <w:ind w:left="422" w:firstLine="0"/>
        <w:rPr>
          <w:rFonts w:asciiTheme="minorEastAsia" w:eastAsiaTheme="minorEastAsia" w:hAnsiTheme="minorEastAsia"/>
          <w:b/>
          <w:bCs/>
        </w:rPr>
      </w:pPr>
      <w:r w:rsidRPr="00960F82">
        <w:rPr>
          <w:rFonts w:asciiTheme="minorEastAsia" w:eastAsiaTheme="minorEastAsia" w:hAnsiTheme="minorEastAsia" w:hint="eastAsia"/>
          <w:b/>
          <w:bCs/>
        </w:rPr>
        <w:lastRenderedPageBreak/>
        <w:t>2</w:t>
      </w:r>
      <w:r w:rsidR="00D759DD" w:rsidRPr="00960F82">
        <w:rPr>
          <w:rFonts w:asciiTheme="minorEastAsia" w:eastAsiaTheme="minorEastAsia" w:hAnsiTheme="minorEastAsia" w:hint="eastAsia"/>
          <w:b/>
          <w:bCs/>
        </w:rPr>
        <w:t>、</w:t>
      </w:r>
      <w:r w:rsidRPr="00960F82">
        <w:rPr>
          <w:rFonts w:asciiTheme="minorEastAsia" w:eastAsiaTheme="minorEastAsia" w:hAnsiTheme="minorEastAsia" w:hint="eastAsia"/>
          <w:b/>
          <w:bCs/>
        </w:rPr>
        <w:t>基金托管人的义务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（1）基金托管人将遵守《信托法》、《试点办法》、《基金合同》及其他有关规定，依法持有基金资产，为基金持有人的最大利益处理基金事务；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（2）基金托管人保证恪尽职守，依照诚实信用、勤勉尽责的原则，谨慎、有效地持有并保管基金资产；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（3）设立专门的基金托管部，具有符合要求的营业场所，配备足够的、合格的熟悉基金托管业务的专职人员，负责基金资产托管事宜；</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建立健全内部风险监控制度、监察与稽核、财务管理及人事管理制度，确保基金资产的安全与完整，保证其托管的基金资产与基金托管人自有资产相互独立，保证其托管的本基金与其托管的其他基金资产之间相互独立；对不同的基金分别设置帐户，独立核算，分帐管理，保证不同基金之间在名册登记、帐户设置、资金划拨、帐册记录等方面相互独立；</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除依据《信托法》、《试点办法》、《基金合同》及其他有关规定外，不为自己及任何第三人谋取利益，基金托管人违反此义务，利用基金资产为自己及任何第三方谋取利益，所得利益归于基金资产，造成基金资产损失的，承担赔偿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基金托管人不得将基金资产转为其自有财产，违背此款规定的，将承担相应的责任，包括但不限于恢复基金资产的原状、承担赔偿责任；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（6）除依据《信托法》、《试点办法》、《基金合同》及其他有关规定外，基金托管人不得委托第三人托管基金资产；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（7）保管由基金管理人代表基金签订的与基金有关的重大合同及有关凭证；</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（8）按法律法规、基金合同的规定为基金设立证券帐户、银行存款帐户等基金资产帐户；根据基金管理人的投资指令，负责及时办理基金投资于证券的清算交割及执行，并负责办理基金名下的资金往来；</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9）保守基金商业秘密。除《信托法》、《试点办法》、《基金合同》及其他有关规定另有规定外，在基金信息公开披露前予以保密，不得向他人泄露；但因遵守和服从司法机构、中国证监会或其他监管机构的判决、裁决、决定、命令而作出的披露不应视为基金托管人违反本《基金合同》规定的保密义务；</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（10）复核、审查基金管理人计算的基金资产净值</w:t>
      </w:r>
      <w:r w:rsidR="008B3426" w:rsidRPr="00960F82">
        <w:rPr>
          <w:rFonts w:asciiTheme="minorEastAsia" w:eastAsiaTheme="minorEastAsia" w:hAnsiTheme="minorEastAsia" w:hint="eastAsia"/>
          <w:szCs w:val="21"/>
        </w:rPr>
        <w:t>、基金份额净值、</w:t>
      </w:r>
      <w:r w:rsidRPr="00960F82">
        <w:rPr>
          <w:rFonts w:asciiTheme="minorEastAsia" w:eastAsiaTheme="minorEastAsia" w:hAnsiTheme="minorEastAsia" w:hint="eastAsia"/>
          <w:szCs w:val="21"/>
        </w:rPr>
        <w:t>基金份额申购、赎回价格；</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（11）按规定出具基金管理人履行基金合同情况和基金托管情况的报告，并报中国证监会和中国银监会；</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（12）负责基金认购和赎回的资金保管和清算；</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（13）采取适当、合理的措施</w:t>
      </w:r>
      <w:r w:rsidRPr="00960F82">
        <w:rPr>
          <w:rFonts w:asciiTheme="minorEastAsia" w:eastAsiaTheme="minorEastAsia" w:hAnsiTheme="minorEastAsia"/>
          <w:szCs w:val="21"/>
        </w:rPr>
        <w:t>,</w:t>
      </w:r>
      <w:r w:rsidRPr="00960F82">
        <w:rPr>
          <w:rFonts w:asciiTheme="minorEastAsia" w:eastAsiaTheme="minorEastAsia" w:hAnsiTheme="minorEastAsia" w:hint="eastAsia"/>
          <w:szCs w:val="21"/>
        </w:rPr>
        <w:t>使开放式基金份额的认购、申购、赎回等事项符合基金合同等有关法律文件的规定；</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（14）采取适当、合理的措施</w:t>
      </w:r>
      <w:r w:rsidRPr="00960F82">
        <w:rPr>
          <w:rFonts w:asciiTheme="minorEastAsia" w:eastAsiaTheme="minorEastAsia" w:hAnsiTheme="minorEastAsia"/>
          <w:szCs w:val="21"/>
        </w:rPr>
        <w:t>,</w:t>
      </w:r>
      <w:r w:rsidRPr="00960F82">
        <w:rPr>
          <w:rFonts w:asciiTheme="minorEastAsia" w:eastAsiaTheme="minorEastAsia" w:hAnsiTheme="minorEastAsia" w:hint="eastAsia"/>
          <w:szCs w:val="21"/>
        </w:rPr>
        <w:t>使基金管理人用以计算开放式基金份额认购、申购、赎</w:t>
      </w:r>
      <w:r w:rsidRPr="00960F82">
        <w:rPr>
          <w:rFonts w:asciiTheme="minorEastAsia" w:eastAsiaTheme="minorEastAsia" w:hAnsiTheme="minorEastAsia" w:hint="eastAsia"/>
          <w:szCs w:val="21"/>
        </w:rPr>
        <w:lastRenderedPageBreak/>
        <w:t>回和注销价格的方法符合基金合同等法律文件的规定；</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（15）</w:t>
      </w:r>
      <w:r w:rsidRPr="00960F82">
        <w:rPr>
          <w:rFonts w:asciiTheme="minorEastAsia" w:eastAsiaTheme="minorEastAsia" w:hAnsiTheme="minorEastAsia"/>
        </w:rPr>
        <w:t>采取适当、合理的措施,使基金投资和融资的条件符合基金合同等法律文件的规定；</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（16）监督基金管理人的投资运作，发现基金管理人的投资指令违法、违规的，不予执行，向中国证监会报告；</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（17）</w:t>
      </w:r>
      <w:r w:rsidR="008B3426" w:rsidRPr="00960F82">
        <w:rPr>
          <w:rFonts w:asciiTheme="minorEastAsia" w:eastAsiaTheme="minorEastAsia" w:hAnsiTheme="minorEastAsia" w:hint="eastAsia"/>
          <w:szCs w:val="21"/>
        </w:rPr>
        <w:t>对基金财务会计报告、季度报告、中期报告和年度报告出具意见</w:t>
      </w:r>
      <w:r w:rsidRPr="00960F82">
        <w:rPr>
          <w:rFonts w:asciiTheme="minorEastAsia" w:eastAsiaTheme="minorEastAsia" w:hAnsiTheme="minorEastAsia" w:hint="eastAsia"/>
          <w:szCs w:val="21"/>
        </w:rPr>
        <w:t>；</w:t>
      </w:r>
      <w:r w:rsidRPr="00960F82">
        <w:rPr>
          <w:rFonts w:asciiTheme="minorEastAsia" w:eastAsiaTheme="minorEastAsia" w:hAnsiTheme="minorEastAsia" w:hint="eastAsia"/>
          <w:szCs w:val="21"/>
        </w:rPr>
        <w:tab/>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18）办理与基金托管业务活动有关的信息披露事项；在定期报告内出具基金托管人意见，说明基金管理人在各重要方面的运作是否严格按照本《基金合同》的规定进行，如果基金管理人有未执行本《基金合同》规定的行为，还应当说明基金托管人是否采取了适当的措施；</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（19）按有关规定，</w:t>
      </w:r>
      <w:r w:rsidRPr="00960F82">
        <w:rPr>
          <w:rFonts w:asciiTheme="minorEastAsia" w:eastAsiaTheme="minorEastAsia" w:hAnsiTheme="minorEastAsia" w:hint="eastAsia"/>
        </w:rPr>
        <w:t>保存基金托管业务活动的记录、账册、报表和其他相关资料</w:t>
      </w:r>
      <w:r w:rsidRPr="00960F82">
        <w:rPr>
          <w:rFonts w:asciiTheme="minorEastAsia" w:eastAsiaTheme="minorEastAsia" w:hAnsiTheme="minorEastAsia" w:hint="eastAsia"/>
          <w:szCs w:val="21"/>
        </w:rPr>
        <w:t>的完整记录等15年以上，建立并保存基金持有人名册；</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（20）按规定制作相关帐册并与基金管理人核对；</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（21）依据基金管理人的指令或有关规定向基金持有人支付基金分红和赎回款项；</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（22）参加基金财产清算小组，参与基金资产的保管、清理、估价、变现和分配；</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（23）面临解散、依法被撤销、破产或者由接管人接管其资产时，及时报告中国证监会和中国银监会，并通知基金管理人；</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（24）基金管理人因过错造成基金资产损失时，基金托管人应为基金向基金管理人追偿</w:t>
      </w:r>
      <w:r w:rsidRPr="00960F82">
        <w:rPr>
          <w:rFonts w:asciiTheme="minorEastAsia" w:eastAsiaTheme="minorEastAsia" w:hAnsiTheme="minorEastAsia" w:hint="eastAsia"/>
        </w:rPr>
        <w:t>，但除法律法规另有规定外不连带承担基金管理人的责任；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（25）因过错导致基金资产的损失或因违背托管职责或者处理基金事务不当对第三人所负债务或者自己受到的损失，应以其自有财产承担，其责任不因其退任而免除；</w:t>
      </w:r>
    </w:p>
    <w:p w:rsidR="001D2E2F" w:rsidRPr="00960F82" w:rsidRDefault="001D2E2F" w:rsidP="00084917">
      <w:pPr>
        <w:snapToGrid w:val="0"/>
        <w:spacing w:line="360" w:lineRule="auto"/>
        <w:ind w:firstLine="420"/>
        <w:rPr>
          <w:rFonts w:asciiTheme="minorEastAsia" w:eastAsiaTheme="minorEastAsia" w:hAnsiTheme="minorEastAsia"/>
          <w:kern w:val="0"/>
          <w:szCs w:val="21"/>
        </w:rPr>
      </w:pPr>
      <w:r w:rsidRPr="00960F82">
        <w:rPr>
          <w:rFonts w:asciiTheme="minorEastAsia" w:eastAsiaTheme="minorEastAsia" w:hAnsiTheme="minorEastAsia" w:hint="eastAsia"/>
          <w:szCs w:val="21"/>
        </w:rPr>
        <w:t>（26）</w:t>
      </w:r>
      <w:r w:rsidRPr="00960F82">
        <w:rPr>
          <w:rFonts w:asciiTheme="minorEastAsia" w:eastAsiaTheme="minorEastAsia" w:hAnsiTheme="minorEastAsia" w:hint="eastAsia"/>
          <w:kern w:val="0"/>
          <w:szCs w:val="21"/>
        </w:rPr>
        <w:t>不从事任何有损基金及本基金其他当事人利益的活动；</w:t>
      </w:r>
    </w:p>
    <w:p w:rsidR="001D2E2F" w:rsidRPr="00960F82" w:rsidRDefault="001D2E2F" w:rsidP="00084917">
      <w:pPr>
        <w:snapToGrid w:val="0"/>
        <w:spacing w:line="360" w:lineRule="auto"/>
        <w:ind w:firstLineChars="200" w:firstLine="420"/>
        <w:rPr>
          <w:rFonts w:asciiTheme="minorEastAsia" w:eastAsiaTheme="minorEastAsia" w:hAnsiTheme="minorEastAsia"/>
          <w:kern w:val="0"/>
          <w:szCs w:val="21"/>
        </w:rPr>
      </w:pPr>
      <w:r w:rsidRPr="00960F82">
        <w:rPr>
          <w:rFonts w:asciiTheme="minorEastAsia" w:eastAsiaTheme="minorEastAsia" w:hAnsiTheme="minorEastAsia" w:hint="eastAsia"/>
          <w:kern w:val="0"/>
          <w:szCs w:val="21"/>
        </w:rPr>
        <w:t>（27）</w:t>
      </w:r>
      <w:r w:rsidRPr="00960F82">
        <w:rPr>
          <w:rFonts w:asciiTheme="minorEastAsia" w:eastAsiaTheme="minorEastAsia" w:hAnsiTheme="minorEastAsia" w:hint="eastAsia"/>
          <w:szCs w:val="21"/>
        </w:rPr>
        <w:t>依据《试点办法》、《基金合同》及其他有关规定召集基金持有人大会，执行基金持有人大会决议；</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（28）法律、法规、本《基金合同》和依据本《基金合同》制定的其他法律文件所规定的其他义务。</w:t>
      </w:r>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基金份额持有人的权利和义务</w:t>
      </w:r>
    </w:p>
    <w:p w:rsidR="001D2E2F" w:rsidRPr="00960F82" w:rsidRDefault="00D759DD" w:rsidP="00D759DD">
      <w:pPr>
        <w:pStyle w:val="a6"/>
        <w:snapToGrid w:val="0"/>
        <w:spacing w:line="360" w:lineRule="auto"/>
        <w:ind w:left="422" w:firstLine="0"/>
        <w:rPr>
          <w:rFonts w:asciiTheme="minorEastAsia" w:eastAsiaTheme="minorEastAsia" w:hAnsiTheme="minorEastAsia"/>
          <w:b/>
          <w:bCs/>
        </w:rPr>
      </w:pPr>
      <w:r w:rsidRPr="00960F82">
        <w:rPr>
          <w:rFonts w:asciiTheme="minorEastAsia" w:eastAsiaTheme="minorEastAsia" w:hAnsiTheme="minorEastAsia" w:hint="eastAsia"/>
          <w:b/>
          <w:bCs/>
        </w:rPr>
        <w:t>1、</w:t>
      </w:r>
      <w:r w:rsidR="001D2E2F" w:rsidRPr="00960F82">
        <w:rPr>
          <w:rFonts w:asciiTheme="minorEastAsia" w:eastAsiaTheme="minorEastAsia" w:hAnsiTheme="minorEastAsia" w:hint="eastAsia"/>
          <w:b/>
          <w:bCs/>
        </w:rPr>
        <w:t>基金份额持有人权利</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基金持有人有权按法律法规、本《基金合同》以及依据本《基金合同》制定的其他法律文件的规定：</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（1）出席或者委派代表出席基金持有人大会，并行使表决权；</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（2）取得基金收益；</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（3）监督基金经营情况，查阅或者复制公开披露的基金信息资料；</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（4）按规定申购或赎回基金份额</w:t>
      </w:r>
      <w:r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并在规定的时间内取得有效申请的基金份额或款项</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（5）取得基金财产清算后的剩余资产；</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（6）要求基金管理人或基金托管人按法律法规、本《基金合同》以及依据本《基金合同》制定的其他法律文件的规定履行其义务；</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（7）按照有关法律法规和基金合同的规定召集基金持有人大会；</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（8）对基金管理人、基金托管人、基金代销机构损害其合法权益的行为依法提起诉讼；</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（9）法律、法规、本《基金合同》以及依据本《基金合同》制定的其他法律文件规定的其他权利。</w:t>
      </w:r>
    </w:p>
    <w:p w:rsidR="001D2E2F" w:rsidRPr="00960F82" w:rsidRDefault="00D759DD" w:rsidP="00D759DD">
      <w:pPr>
        <w:pStyle w:val="a6"/>
        <w:snapToGrid w:val="0"/>
        <w:spacing w:line="360" w:lineRule="auto"/>
        <w:ind w:left="422" w:firstLine="0"/>
        <w:rPr>
          <w:rFonts w:asciiTheme="minorEastAsia" w:eastAsiaTheme="minorEastAsia" w:hAnsiTheme="minorEastAsia"/>
          <w:b/>
          <w:bCs/>
        </w:rPr>
      </w:pPr>
      <w:r w:rsidRPr="00960F82">
        <w:rPr>
          <w:rFonts w:asciiTheme="minorEastAsia" w:eastAsiaTheme="minorEastAsia" w:hAnsiTheme="minorEastAsia" w:hint="eastAsia"/>
          <w:b/>
          <w:bCs/>
        </w:rPr>
        <w:t>2、</w:t>
      </w:r>
      <w:r w:rsidR="001D2E2F" w:rsidRPr="00960F82">
        <w:rPr>
          <w:rFonts w:asciiTheme="minorEastAsia" w:eastAsiaTheme="minorEastAsia" w:hAnsiTheme="minorEastAsia" w:hint="eastAsia"/>
          <w:b/>
          <w:bCs/>
        </w:rPr>
        <w:t>基金份额持有人义务</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（1）遵守本《基金合同》及根据本《基金合同》制订的相关业务规则；</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（2）缴纳基金认购、申购款项及规定的费用；</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（3）以其投资额为限承担基金亏损或者基金合同终止的有限责任；</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Pr="00960F82">
        <w:rPr>
          <w:rFonts w:asciiTheme="minorEastAsia" w:eastAsiaTheme="minorEastAsia" w:hAnsiTheme="minorEastAsia" w:hint="eastAsia"/>
        </w:rPr>
        <w:t>返还持有基金过程中获得的不当得利；</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（5）不从事任何有损基金及其他基金持有人利益的活动；</w:t>
      </w:r>
    </w:p>
    <w:p w:rsidR="001D2E2F" w:rsidRPr="00960F82" w:rsidRDefault="001D2E2F" w:rsidP="00084917">
      <w:pPr>
        <w:pStyle w:val="a6"/>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szCs w:val="21"/>
        </w:rPr>
        <w:t>（6）法律、法规、本《基金合同》以及依据本《基金合同》制定的其他法律文件所规定的其他义务。</w:t>
      </w:r>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基金份额持有人大会</w:t>
      </w:r>
    </w:p>
    <w:p w:rsidR="001D2E2F" w:rsidRPr="00960F82" w:rsidRDefault="00D759DD"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szCs w:val="21"/>
        </w:rPr>
        <w:t>基金持有人大会由基金持有人共同组成。基金持有人持有的每一基金份额拥有平等的投票权。</w:t>
      </w:r>
    </w:p>
    <w:p w:rsidR="001D2E2F" w:rsidRPr="00960F82" w:rsidRDefault="00D759DD"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szCs w:val="21"/>
        </w:rPr>
        <w:t>召开事由</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（1）有以下事由情形之一的，应当召开基金持有人大会：</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1）提前终止基金合同；</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2）更换基金托管人；</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3）更换基金管理人；</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4）提高基金管理人、基金托管人的报酬标准；</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5）转换基金运作方式；</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6）基金管理人或基金托管人要求召开基金持有人大会；</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7）单独或合计持有本基金总份额10％以上（含10％）基金份额的基金持有人（以基金管理人收到提议当日的基金份额计算，下同）就涉及本基金的同一事项书面要求召开基金持有人大会；</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8）法律法规和本基金合同规定的其他情形。</w:t>
      </w:r>
    </w:p>
    <w:p w:rsidR="001D2E2F" w:rsidRPr="00960F82" w:rsidRDefault="001D2E2F" w:rsidP="00084917">
      <w:pPr>
        <w:pStyle w:val="a6"/>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（2）需要决定下列事项之一时，不需召开基金持有人大会：</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1）调低基金管理费、基金托管费；</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2）在本基金合同规定的范围内变更本基金的申购费率、赎回费率或收费方式；</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3）因相应的法律、法规发生变动必须对基金合同进行修改；</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lastRenderedPageBreak/>
        <w:t>4）基金合同的修改对基金持有人利益无实质性不利影响；</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5）按照法律法规或本基金合同规定不需召开基金持有人大会的其它情形。</w:t>
      </w:r>
    </w:p>
    <w:p w:rsidR="001D2E2F" w:rsidRPr="00960F82" w:rsidRDefault="00D759DD" w:rsidP="00084917">
      <w:pPr>
        <w:pStyle w:val="a6"/>
        <w:snapToGrid w:val="0"/>
        <w:spacing w:line="360" w:lineRule="auto"/>
        <w:rPr>
          <w:rFonts w:asciiTheme="minorEastAsia" w:eastAsiaTheme="minorEastAsia" w:hAnsiTheme="minorEastAsia"/>
          <w:szCs w:val="21"/>
        </w:rPr>
      </w:pPr>
      <w:r w:rsidRPr="00960F82">
        <w:rPr>
          <w:rFonts w:asciiTheme="minorEastAsia" w:eastAsiaTheme="minorEastAsia" w:hAnsiTheme="minorEastAsia" w:hint="eastAsia"/>
        </w:rPr>
        <w:t>3、</w:t>
      </w:r>
      <w:r w:rsidR="001D2E2F" w:rsidRPr="00960F82">
        <w:rPr>
          <w:rFonts w:asciiTheme="minorEastAsia" w:eastAsiaTheme="minorEastAsia" w:hAnsiTheme="minorEastAsia" w:hint="eastAsia"/>
          <w:szCs w:val="21"/>
        </w:rPr>
        <w:t>召集</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（1）在正常情况下，基金持有人大会由基金管理人召集，开会时间及地点由基金管理人选择确定。</w:t>
      </w:r>
    </w:p>
    <w:p w:rsidR="001D2E2F" w:rsidRPr="00960F82" w:rsidRDefault="001D2E2F" w:rsidP="00084917">
      <w:pPr>
        <w:snapToGrid w:val="0"/>
        <w:spacing w:line="360" w:lineRule="auto"/>
        <w:ind w:firstLineChars="200" w:firstLine="420"/>
        <w:rPr>
          <w:rFonts w:asciiTheme="minorEastAsia" w:eastAsiaTheme="minorEastAsia" w:hAnsiTheme="minorEastAsia"/>
          <w:szCs w:val="18"/>
        </w:rPr>
      </w:pPr>
      <w:r w:rsidRPr="00960F82">
        <w:rPr>
          <w:rFonts w:asciiTheme="minorEastAsia" w:eastAsiaTheme="minorEastAsia" w:hAnsiTheme="minorEastAsia" w:hint="eastAsia"/>
          <w:szCs w:val="21"/>
        </w:rPr>
        <w:t>（2）</w:t>
      </w:r>
      <w:r w:rsidRPr="00960F82">
        <w:rPr>
          <w:rFonts w:asciiTheme="minorEastAsia" w:eastAsiaTheme="minorEastAsia" w:hAnsiTheme="minorEastAsia"/>
          <w:szCs w:val="18"/>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在更换基金管理人、审议与基金管理人有利益冲突的事项或基金管理人无法行使召集权的情况下，基金托管人应当召集基金持有人大会，并选择确定开会时间及地点。</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w:t>
      </w:r>
      <w:r w:rsidRPr="00960F82">
        <w:rPr>
          <w:rFonts w:asciiTheme="minorEastAsia" w:eastAsiaTheme="minorEastAsia" w:hAnsiTheme="minorEastAsia"/>
          <w:szCs w:val="21"/>
        </w:rPr>
        <w:t>代表基金份额</w:t>
      </w:r>
      <w:r w:rsidRPr="00960F82">
        <w:rPr>
          <w:rFonts w:asciiTheme="minorEastAsia" w:eastAsiaTheme="minorEastAsia" w:hAnsiTheme="minorEastAsia" w:hint="eastAsia"/>
          <w:szCs w:val="21"/>
        </w:rPr>
        <w:t>10％（含10％）</w:t>
      </w:r>
      <w:r w:rsidRPr="00960F82">
        <w:rPr>
          <w:rFonts w:asciiTheme="minorEastAsia" w:eastAsiaTheme="minorEastAsia" w:hAnsiTheme="minorEastAsia"/>
          <w:szCs w:val="21"/>
        </w:rPr>
        <w:t>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rsidR="001D2E2F" w:rsidRPr="00960F82" w:rsidRDefault="001D2E2F" w:rsidP="00084917">
      <w:pPr>
        <w:snapToGrid w:val="0"/>
        <w:spacing w:line="360" w:lineRule="auto"/>
        <w:ind w:firstLineChars="200" w:firstLine="420"/>
        <w:rPr>
          <w:rFonts w:asciiTheme="minorEastAsia" w:eastAsiaTheme="minorEastAsia" w:hAnsiTheme="minorEastAsia"/>
          <w:szCs w:val="18"/>
        </w:rPr>
      </w:pPr>
      <w:r w:rsidRPr="00960F82">
        <w:rPr>
          <w:rFonts w:asciiTheme="minorEastAsia" w:eastAsiaTheme="minorEastAsia" w:hAnsiTheme="minorEastAsia"/>
          <w:szCs w:val="18"/>
        </w:rPr>
        <w:t>基金管理人决定召集的，应当自出具书面决定之日起六十日内召开；基金管理人决定不召集，代表基金份额</w:t>
      </w:r>
      <w:r w:rsidRPr="00960F82">
        <w:rPr>
          <w:rFonts w:asciiTheme="minorEastAsia" w:eastAsiaTheme="minorEastAsia" w:hAnsiTheme="minorEastAsia" w:hint="eastAsia"/>
          <w:szCs w:val="21"/>
        </w:rPr>
        <w:t>10％（含10％）</w:t>
      </w:r>
      <w:r w:rsidRPr="00960F82">
        <w:rPr>
          <w:rFonts w:asciiTheme="minorEastAsia" w:eastAsiaTheme="minorEastAsia" w:hAnsiTheme="minorEastAsia"/>
          <w:szCs w:val="18"/>
        </w:rPr>
        <w:t>以上的基金份额持有人仍认为有必要召开的，应当向基金托管人提出书面提议。</w:t>
      </w:r>
    </w:p>
    <w:p w:rsidR="001D2E2F" w:rsidRPr="00960F82" w:rsidRDefault="001D2E2F" w:rsidP="00084917">
      <w:pPr>
        <w:snapToGrid w:val="0"/>
        <w:spacing w:line="360" w:lineRule="auto"/>
        <w:ind w:firstLineChars="200" w:firstLine="420"/>
        <w:rPr>
          <w:rFonts w:asciiTheme="minorEastAsia" w:eastAsiaTheme="minorEastAsia" w:hAnsiTheme="minorEastAsia"/>
          <w:szCs w:val="18"/>
        </w:rPr>
      </w:pPr>
      <w:r w:rsidRPr="00960F82">
        <w:rPr>
          <w:rFonts w:asciiTheme="minorEastAsia" w:eastAsiaTheme="minorEastAsia" w:hAnsiTheme="minorEastAsia"/>
          <w:szCs w:val="18"/>
        </w:rPr>
        <w:t>基金托管人应当自收到书面提议之日起十日内决定是否召集，并书面告知提出提议的基金份额持有人代表和基金管理人；基金托管人决定召集的，应当自出具书面决定之日起六十日内召开。</w:t>
      </w:r>
    </w:p>
    <w:p w:rsidR="001D2E2F" w:rsidRPr="00960F82" w:rsidRDefault="001D2E2F" w:rsidP="00084917">
      <w:pPr>
        <w:snapToGrid w:val="0"/>
        <w:spacing w:line="360" w:lineRule="auto"/>
        <w:ind w:firstLineChars="200" w:firstLine="420"/>
        <w:rPr>
          <w:rFonts w:asciiTheme="minorEastAsia" w:eastAsiaTheme="minorEastAsia" w:hAnsiTheme="minorEastAsia"/>
          <w:szCs w:val="18"/>
        </w:rPr>
      </w:pPr>
      <w:r w:rsidRPr="00960F82">
        <w:rPr>
          <w:rFonts w:asciiTheme="minorEastAsia" w:eastAsiaTheme="minorEastAsia" w:hAnsiTheme="minorEastAsia" w:hint="eastAsia"/>
          <w:szCs w:val="21"/>
        </w:rPr>
        <w:t>代表基金总份额10％以上（含10％）的基金持有人就同一事项要求召开基金持有人大会，而基金管理人、基金托管人都不召集或均无法行使召集权的，代表基金总份额10％以上（含10％）的基金持有人有权自行召集。</w:t>
      </w:r>
      <w:r w:rsidRPr="00960F82">
        <w:rPr>
          <w:rFonts w:asciiTheme="minorEastAsia" w:eastAsiaTheme="minorEastAsia" w:hAnsiTheme="minorEastAsia"/>
          <w:szCs w:val="18"/>
        </w:rPr>
        <w:t>基金份额持有人自行召集基金份额持有人大会的，应当至少提前三十日向中国证监会备案。基金份额持有人依法自行召集基金份额持有人大会的，基金管理人、基金托管人应当配合，不得阻碍、干扰。</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通知</w:t>
      </w:r>
    </w:p>
    <w:p w:rsidR="001D2E2F" w:rsidRPr="00960F82" w:rsidRDefault="001D2E2F" w:rsidP="00084917">
      <w:pPr>
        <w:pStyle w:val="a6"/>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召开基金持有人大会，召集人应当至少提前三十日通过指定</w:t>
      </w:r>
      <w:r w:rsidR="008B3426" w:rsidRPr="00960F82">
        <w:rPr>
          <w:rFonts w:asciiTheme="minorEastAsia" w:eastAsiaTheme="minorEastAsia" w:hAnsiTheme="minorEastAsia" w:hint="eastAsia"/>
        </w:rPr>
        <w:t>媒介</w:t>
      </w:r>
      <w:r w:rsidRPr="00960F82">
        <w:rPr>
          <w:rFonts w:asciiTheme="minorEastAsia" w:eastAsiaTheme="minorEastAsia" w:hAnsiTheme="minorEastAsia" w:hint="eastAsia"/>
        </w:rPr>
        <w:t>公告会议通知。</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基金持有人大会通知将至少载明以下内容：</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（1）会议召开的时间、地点、方式；</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（2）会议拟审议的主要事项、议事程序、表决方式；</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（3）权益登记日；</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（4）投票委托书送达时间和地点；</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（5）会务常设联系人姓名、电话；</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（6）其他注意事项。</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lastRenderedPageBreak/>
        <w:t>如采用通讯方式开会并进行表决的情况下，</w:t>
      </w:r>
      <w:r w:rsidRPr="00960F82">
        <w:rPr>
          <w:rFonts w:asciiTheme="minorEastAsia" w:eastAsiaTheme="minorEastAsia" w:hAnsiTheme="minorEastAsia"/>
        </w:rPr>
        <w:t>会议通知</w:t>
      </w:r>
      <w:r w:rsidRPr="00960F82">
        <w:rPr>
          <w:rFonts w:asciiTheme="minorEastAsia" w:eastAsiaTheme="minorEastAsia" w:hAnsiTheme="minorEastAsia" w:hint="eastAsia"/>
        </w:rPr>
        <w:t>应</w:t>
      </w:r>
      <w:r w:rsidRPr="00960F82">
        <w:rPr>
          <w:rFonts w:asciiTheme="minorEastAsia" w:eastAsiaTheme="minorEastAsia" w:hAnsiTheme="minorEastAsia"/>
        </w:rPr>
        <w:t>报中国证监会备案</w:t>
      </w:r>
      <w:r w:rsidRPr="00960F82">
        <w:rPr>
          <w:rFonts w:asciiTheme="minorEastAsia" w:eastAsiaTheme="minorEastAsia" w:hAnsiTheme="minorEastAsia" w:hint="eastAsia"/>
        </w:rPr>
        <w:t>，且除上述内容外还要在会议通知中说明具体通讯方式、委托的公证机关及其联系方式和联系人、书面表决意见的寄交和收取的方式等。</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5</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召开方式</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基金持有人大会的召开方式包括现场开会和通讯方式开会，具体由召集人确定，但更换基金管理人和基金托管人必须采取现场开会方式。</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（1）</w:t>
      </w:r>
      <w:r w:rsidRPr="00960F82">
        <w:rPr>
          <w:rFonts w:asciiTheme="minorEastAsia" w:eastAsiaTheme="minorEastAsia" w:hAnsiTheme="minorEastAsia" w:hint="eastAsia"/>
          <w:szCs w:val="21"/>
        </w:rPr>
        <w:t>现场开会</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1）本《基金合同》所指现场开会系指由基金持有人本人出席或出具授权委托书委派其代理人出席参加基金持有人大会</w:t>
      </w:r>
      <w:r w:rsidRPr="00960F82">
        <w:rPr>
          <w:rFonts w:asciiTheme="minorEastAsia" w:eastAsiaTheme="minorEastAsia" w:hAnsiTheme="minorEastAsia" w:hint="eastAsia"/>
          <w:szCs w:val="21"/>
        </w:rPr>
        <w:t>。现场开会时基金管理人和基金托管人的授权代表应当出席。</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2）基金持有人本人在出席基金持有人大会时，应向召集人出具符合法律、法规和规章、本《基金合同》及会议通知规定的有关证明文件。</w:t>
      </w:r>
      <w:r w:rsidRPr="00960F82">
        <w:rPr>
          <w:rFonts w:asciiTheme="minorEastAsia" w:eastAsiaTheme="minorEastAsia" w:hAnsiTheme="minorEastAsia" w:hint="eastAsia"/>
        </w:rPr>
        <w:t>基金持有人的代理人在出席基金持有人大会时，除应向召集人提交上述证明文件外，还应提交有关基金持有人出具的有效书面授权书。</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3）</w:t>
      </w:r>
      <w:r w:rsidRPr="00960F82">
        <w:rPr>
          <w:rFonts w:asciiTheme="minorEastAsia" w:eastAsiaTheme="minorEastAsia" w:hAnsiTheme="minorEastAsia"/>
        </w:rPr>
        <w:t>现场开会</w:t>
      </w:r>
      <w:r w:rsidRPr="00960F82">
        <w:rPr>
          <w:rFonts w:asciiTheme="minorEastAsia" w:eastAsiaTheme="minorEastAsia" w:hAnsiTheme="minorEastAsia" w:hint="eastAsia"/>
        </w:rPr>
        <w:t>须</w:t>
      </w:r>
      <w:r w:rsidRPr="00960F82">
        <w:rPr>
          <w:rFonts w:asciiTheme="minorEastAsia" w:eastAsiaTheme="minorEastAsia" w:hAnsiTheme="minorEastAsia"/>
        </w:rPr>
        <w:t>符合以下条件时</w:t>
      </w:r>
      <w:r w:rsidRPr="00960F82">
        <w:rPr>
          <w:rFonts w:asciiTheme="minorEastAsia" w:eastAsiaTheme="minorEastAsia" w:hAnsiTheme="minorEastAsia" w:hint="eastAsia"/>
        </w:rPr>
        <w:t>，方</w:t>
      </w:r>
      <w:r w:rsidRPr="00960F82">
        <w:rPr>
          <w:rFonts w:asciiTheme="minorEastAsia" w:eastAsiaTheme="minorEastAsia" w:hAnsiTheme="minorEastAsia"/>
        </w:rPr>
        <w:t>可进行基金持有人大会议程</w:t>
      </w:r>
      <w:r w:rsidRPr="00960F82">
        <w:rPr>
          <w:rFonts w:asciiTheme="minorEastAsia" w:eastAsiaTheme="minorEastAsia" w:hAnsiTheme="minorEastAsia" w:hint="eastAsia"/>
        </w:rPr>
        <w:t>：</w:t>
      </w:r>
      <w:r w:rsidRPr="00960F82">
        <w:rPr>
          <w:rFonts w:asciiTheme="minorEastAsia" w:eastAsiaTheme="minorEastAsia" w:hAnsiTheme="minorEastAsia"/>
        </w:rPr>
        <w:t>经核对</w:t>
      </w:r>
      <w:r w:rsidRPr="00960F82">
        <w:rPr>
          <w:rFonts w:asciiTheme="minorEastAsia" w:eastAsiaTheme="minorEastAsia" w:hAnsiTheme="minorEastAsia" w:hint="eastAsia"/>
        </w:rPr>
        <w:t>，</w:t>
      </w:r>
      <w:r w:rsidRPr="00960F82">
        <w:rPr>
          <w:rFonts w:asciiTheme="minorEastAsia" w:eastAsiaTheme="minorEastAsia" w:hAnsiTheme="minorEastAsia"/>
        </w:rPr>
        <w:t>汇总到会者出示的在权</w:t>
      </w:r>
      <w:r w:rsidRPr="00960F82">
        <w:rPr>
          <w:rFonts w:asciiTheme="minorEastAsia" w:eastAsiaTheme="minorEastAsia" w:hAnsiTheme="minorEastAsia" w:hint="eastAsia"/>
        </w:rPr>
        <w:t>益</w:t>
      </w:r>
      <w:r w:rsidRPr="00960F82">
        <w:rPr>
          <w:rFonts w:asciiTheme="minorEastAsia" w:eastAsiaTheme="minorEastAsia" w:hAnsiTheme="minorEastAsia"/>
        </w:rPr>
        <w:t>登记日持有基金份额的凭证显示</w:t>
      </w:r>
      <w:r w:rsidRPr="00960F82">
        <w:rPr>
          <w:rFonts w:asciiTheme="minorEastAsia" w:eastAsiaTheme="minorEastAsia" w:hAnsiTheme="minorEastAsia" w:hint="eastAsia"/>
        </w:rPr>
        <w:t>，到会的基金持有人代表</w:t>
      </w:r>
      <w:r w:rsidRPr="00960F82">
        <w:rPr>
          <w:rFonts w:asciiTheme="minorEastAsia" w:eastAsiaTheme="minorEastAsia" w:hAnsiTheme="minorEastAsia"/>
        </w:rPr>
        <w:t>的基金份额不少于</w:t>
      </w:r>
      <w:r w:rsidRPr="00960F82">
        <w:rPr>
          <w:rFonts w:asciiTheme="minorEastAsia" w:eastAsiaTheme="minorEastAsia" w:hAnsiTheme="minorEastAsia" w:hint="eastAsia"/>
        </w:rPr>
        <w:t>基金总份额50％。</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如上述条件未能满足，则召集人应当将会议至少推迟15个工作日后重新召集，并公告重新开会的时间和地点，</w:t>
      </w:r>
      <w:r w:rsidRPr="00960F82">
        <w:rPr>
          <w:rFonts w:asciiTheme="minorEastAsia" w:eastAsiaTheme="minorEastAsia" w:hAnsiTheme="minorEastAsia"/>
        </w:rPr>
        <w:t>再次开会日期的提前通知期限为10天</w:t>
      </w:r>
      <w:r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但确定有权出席会议的基金持有人资格的权益登记日不变。重新以现场开会方式再次召集基金持有人大会的，仍应满足上述条件。</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（2）通讯方式开会</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1）本《基金合同》所指通讯方式开会系指基金持有人将其对表决事项的投票以书面形式在表决截至日以前送达至召集人指定的地址。</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2）召集人按本《基金合同》规定公布会议通知后，在2个工作日内连续公布相关提示性公告。</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3）基金持有人本人在以书面通讯方式进行表决时，应向召集人以书面方式提交符合法律、法规和规章、本《基金合同》及会议通知规定的有关证明文件。基金持有人的代理人在以书面通讯方式进行表决时，应向召集人以书面方式提交有关基金持有人出具的有效的书面授权委托书和基金持有人应当提交的上述有关证明文件。不能满足上述要求的基金持有人或基金持有人的代理人所提交的书面表决意见被视为无效，其代表的基金份额不计入参加表决的总份额。</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召集人在公证机关的监督下按照会议通知规定的方式收取基金持有人的书面表决意见；在表决截止日以前实际送达召集人指定的地址的投票视为有效投票，本条款不适用本《基金合同》第二十八章第三条有关“视为送达”的规定。</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4）以通讯方式</w:t>
      </w:r>
      <w:r w:rsidRPr="00960F82">
        <w:rPr>
          <w:rFonts w:asciiTheme="minorEastAsia" w:eastAsiaTheme="minorEastAsia" w:hAnsiTheme="minorEastAsia" w:hint="eastAsia"/>
          <w:szCs w:val="21"/>
        </w:rPr>
        <w:t>开会须符合下列条件方视为有效：</w:t>
      </w:r>
      <w:r w:rsidRPr="00960F82">
        <w:rPr>
          <w:rFonts w:asciiTheme="minorEastAsia" w:eastAsiaTheme="minorEastAsia" w:hAnsiTheme="minorEastAsia" w:hint="eastAsia"/>
        </w:rPr>
        <w:t>本人直接或委托授权代表出具有效书</w:t>
      </w:r>
      <w:r w:rsidRPr="00960F82">
        <w:rPr>
          <w:rFonts w:asciiTheme="minorEastAsia" w:eastAsiaTheme="minorEastAsia" w:hAnsiTheme="minorEastAsia" w:hint="eastAsia"/>
        </w:rPr>
        <w:lastRenderedPageBreak/>
        <w:t>面意见的基金持有人</w:t>
      </w:r>
      <w:r w:rsidRPr="00960F82">
        <w:rPr>
          <w:rFonts w:asciiTheme="minorEastAsia" w:eastAsiaTheme="minorEastAsia" w:hAnsiTheme="minorEastAsia"/>
        </w:rPr>
        <w:t>所持有的基金份额不少于</w:t>
      </w:r>
      <w:r w:rsidRPr="00960F82">
        <w:rPr>
          <w:rFonts w:asciiTheme="minorEastAsia" w:eastAsiaTheme="minorEastAsia" w:hAnsiTheme="minorEastAsia" w:hint="eastAsia"/>
        </w:rPr>
        <w:t>基金份额总数的50％。</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如上述条件未能满足，则召集人应当将会议至少推迟15个工作日后重新召集，并公告重新开会的时间和地点，</w:t>
      </w:r>
      <w:r w:rsidRPr="00960F82">
        <w:rPr>
          <w:rFonts w:asciiTheme="minorEastAsia" w:eastAsiaTheme="minorEastAsia" w:hAnsiTheme="minorEastAsia"/>
        </w:rPr>
        <w:t>再次开会日期的提前通知期限为10天</w:t>
      </w:r>
      <w:r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但确定有权出席会议的基金持有人资格的权益登记日不变。重新以通迅方式再次召集基金持有人大会的，仍应满足上述条件。</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6</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内容与程序</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（1）议事内容：</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1）</w:t>
      </w:r>
      <w:r w:rsidRPr="00960F82">
        <w:rPr>
          <w:rFonts w:asciiTheme="minorEastAsia" w:eastAsiaTheme="minorEastAsia" w:hAnsiTheme="minorEastAsia"/>
        </w:rPr>
        <w:t>议事内容</w:t>
      </w:r>
      <w:r w:rsidRPr="00960F82">
        <w:rPr>
          <w:rFonts w:asciiTheme="minorEastAsia" w:eastAsiaTheme="minorEastAsia" w:hAnsiTheme="minorEastAsia" w:hint="eastAsia"/>
        </w:rPr>
        <w:t>包括“召开事由”所规定的事项；</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2）基金管理人、基金托管人、单独或合计持有本基金</w:t>
      </w:r>
      <w:r w:rsidRPr="00960F82">
        <w:rPr>
          <w:rFonts w:asciiTheme="minorEastAsia" w:eastAsiaTheme="minorEastAsia" w:hAnsiTheme="minorEastAsia"/>
        </w:rPr>
        <w:t>10%</w:t>
      </w:r>
      <w:r w:rsidRPr="00960F82">
        <w:rPr>
          <w:rFonts w:asciiTheme="minorEastAsia" w:eastAsiaTheme="minorEastAsia" w:hAnsiTheme="minorEastAsia" w:hint="eastAsia"/>
        </w:rPr>
        <w:t>以上</w:t>
      </w:r>
      <w:r w:rsidRPr="00960F82">
        <w:rPr>
          <w:rFonts w:asciiTheme="minorEastAsia" w:eastAsiaTheme="minorEastAsia" w:hAnsiTheme="minorEastAsia"/>
        </w:rPr>
        <w:t>(</w:t>
      </w:r>
      <w:r w:rsidRPr="00960F82">
        <w:rPr>
          <w:rFonts w:asciiTheme="minorEastAsia" w:eastAsiaTheme="minorEastAsia" w:hAnsiTheme="minorEastAsia" w:hint="eastAsia"/>
        </w:rPr>
        <w:t>含</w:t>
      </w:r>
      <w:r w:rsidRPr="00960F82">
        <w:rPr>
          <w:rFonts w:asciiTheme="minorEastAsia" w:eastAsiaTheme="minorEastAsia" w:hAnsiTheme="minorEastAsia"/>
        </w:rPr>
        <w:t>10%)</w:t>
      </w:r>
      <w:r w:rsidRPr="00960F82">
        <w:rPr>
          <w:rFonts w:asciiTheme="minorEastAsia" w:eastAsiaTheme="minorEastAsia" w:hAnsiTheme="minorEastAsia" w:hint="eastAsia"/>
        </w:rPr>
        <w:t>基金总份额的基金持有人可以在基金持有人大会召集人发出会议通知前向大会召集人提交需审议表决的议案；也可以在会议通知发出后向大会召集人提交临时提案。临时提案最迟应当在大会召开日前</w:t>
      </w:r>
      <w:r w:rsidRPr="00960F82">
        <w:rPr>
          <w:rFonts w:asciiTheme="minorEastAsia" w:eastAsiaTheme="minorEastAsia" w:hAnsiTheme="minorEastAsia"/>
        </w:rPr>
        <w:t>15</w:t>
      </w:r>
      <w:r w:rsidRPr="00960F82">
        <w:rPr>
          <w:rFonts w:asciiTheme="minorEastAsia" w:eastAsiaTheme="minorEastAsia" w:hAnsiTheme="minorEastAsia" w:hint="eastAsia"/>
        </w:rPr>
        <w:t>日提交召集人；召集人对于临时提案应当最迟在大会召开日前</w:t>
      </w:r>
      <w:r w:rsidRPr="00960F82">
        <w:rPr>
          <w:rFonts w:asciiTheme="minorEastAsia" w:eastAsiaTheme="minorEastAsia" w:hAnsiTheme="minorEastAsia"/>
        </w:rPr>
        <w:t>10</w:t>
      </w:r>
      <w:r w:rsidRPr="00960F82">
        <w:rPr>
          <w:rFonts w:asciiTheme="minorEastAsia" w:eastAsiaTheme="minorEastAsia" w:hAnsiTheme="minorEastAsia" w:hint="eastAsia"/>
        </w:rPr>
        <w:t>日公告，</w:t>
      </w:r>
      <w:r w:rsidRPr="00960F82">
        <w:rPr>
          <w:rFonts w:asciiTheme="minorEastAsia" w:eastAsiaTheme="minorEastAsia" w:hAnsiTheme="minorEastAsia"/>
        </w:rPr>
        <w:t>否则会议的召开日期应当顺延并保证至少有10天的间隔期。</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3）</w:t>
      </w:r>
      <w:r w:rsidRPr="00960F82">
        <w:rPr>
          <w:rFonts w:asciiTheme="minorEastAsia" w:eastAsiaTheme="minorEastAsia" w:hAnsiTheme="minorEastAsia"/>
        </w:rPr>
        <w:t>基金持有人大会的召集人发出召集会议的通知后，对原有提案的修改应当在基金持有人大会召开日前10天公告，否则会议的召开日期应当顺延并保证至少有10天的间隔期。</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4）</w:t>
      </w:r>
      <w:r w:rsidRPr="00960F82">
        <w:rPr>
          <w:rFonts w:asciiTheme="minorEastAsia" w:eastAsiaTheme="minorEastAsia" w:hAnsiTheme="minorEastAsia"/>
        </w:rPr>
        <w:t>基金持有人大会不得对未事先公告的议事内容进行表决。</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（2）议事程序</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t>1)</w:t>
      </w:r>
      <w:r w:rsidRPr="00960F82">
        <w:rPr>
          <w:rFonts w:asciiTheme="minorEastAsia" w:eastAsiaTheme="minorEastAsia" w:hAnsiTheme="minorEastAsia" w:hint="eastAsia"/>
        </w:rPr>
        <w:t>现场开会</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在现场开会的方式下</w:t>
      </w:r>
      <w:r w:rsidRPr="00960F82">
        <w:rPr>
          <w:rFonts w:asciiTheme="minorEastAsia" w:eastAsiaTheme="minorEastAsia" w:hAnsiTheme="minorEastAsia"/>
        </w:rPr>
        <w:t>,</w:t>
      </w:r>
      <w:r w:rsidRPr="00960F82">
        <w:rPr>
          <w:rFonts w:asciiTheme="minorEastAsia" w:eastAsiaTheme="minorEastAsia" w:hAnsiTheme="minorEastAsia" w:hint="eastAsia"/>
        </w:rPr>
        <w:t>首先由大会主持人按照规定程序宣布会议议事程序及注意事项</w:t>
      </w:r>
      <w:r w:rsidRPr="00960F82">
        <w:rPr>
          <w:rFonts w:asciiTheme="minorEastAsia" w:eastAsiaTheme="minorEastAsia" w:hAnsiTheme="minorEastAsia"/>
        </w:rPr>
        <w:t>,</w:t>
      </w:r>
      <w:r w:rsidRPr="00960F82">
        <w:rPr>
          <w:rFonts w:asciiTheme="minorEastAsia" w:eastAsiaTheme="minorEastAsia" w:hAnsiTheme="minorEastAsia" w:hint="eastAsia"/>
        </w:rPr>
        <w:t>确定和公布监票人</w:t>
      </w:r>
      <w:r w:rsidRPr="00960F82">
        <w:rPr>
          <w:rFonts w:asciiTheme="minorEastAsia" w:eastAsiaTheme="minorEastAsia" w:hAnsiTheme="minorEastAsia"/>
        </w:rPr>
        <w:t>,</w:t>
      </w:r>
      <w:r w:rsidRPr="00960F82">
        <w:rPr>
          <w:rFonts w:asciiTheme="minorEastAsia" w:eastAsiaTheme="minorEastAsia" w:hAnsiTheme="minorEastAsia" w:hint="eastAsia"/>
        </w:rPr>
        <w:t>然后由大会主持人宣读提案</w:t>
      </w:r>
      <w:r w:rsidRPr="00960F82">
        <w:rPr>
          <w:rFonts w:asciiTheme="minorEastAsia" w:eastAsiaTheme="minorEastAsia" w:hAnsiTheme="minorEastAsia"/>
        </w:rPr>
        <w:t>,</w:t>
      </w:r>
      <w:r w:rsidRPr="00960F82">
        <w:rPr>
          <w:rFonts w:asciiTheme="minorEastAsia" w:eastAsiaTheme="minorEastAsia" w:hAnsiTheme="minorEastAsia" w:hint="eastAsia"/>
        </w:rPr>
        <w:t>经讨论后进行表决，经律师见证或公证员公证后形成大会决议。</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基金持有人大会由基金管理人授权代表主持。在基金管理人授权代表未能主持大会的情况下</w:t>
      </w:r>
      <w:r w:rsidRPr="00960F82">
        <w:rPr>
          <w:rFonts w:asciiTheme="minorEastAsia" w:eastAsiaTheme="minorEastAsia" w:hAnsiTheme="minorEastAsia"/>
        </w:rPr>
        <w:t>,</w:t>
      </w:r>
      <w:r w:rsidRPr="00960F82">
        <w:rPr>
          <w:rFonts w:asciiTheme="minorEastAsia" w:eastAsiaTheme="minorEastAsia" w:hAnsiTheme="minorEastAsia" w:hint="eastAsia"/>
        </w:rPr>
        <w:t>由基金托管人授权代表主持；如果基金管理人和基金托管人授权代表均未能主持大会，则由出席大会的基金持有人或其代理人以所代表的基金份额</w:t>
      </w:r>
      <w:r w:rsidRPr="00960F82">
        <w:rPr>
          <w:rFonts w:asciiTheme="minorEastAsia" w:eastAsiaTheme="minorEastAsia" w:hAnsiTheme="minorEastAsia"/>
        </w:rPr>
        <w:t>50%</w:t>
      </w:r>
      <w:r w:rsidRPr="00960F82">
        <w:rPr>
          <w:rFonts w:asciiTheme="minorEastAsia" w:eastAsiaTheme="minorEastAsia" w:hAnsiTheme="minorEastAsia" w:hint="eastAsia"/>
        </w:rPr>
        <w:t>以上多数</w:t>
      </w:r>
      <w:r w:rsidRPr="00960F82">
        <w:rPr>
          <w:rFonts w:asciiTheme="minorEastAsia" w:eastAsiaTheme="minorEastAsia" w:hAnsiTheme="minorEastAsia"/>
        </w:rPr>
        <w:t>(</w:t>
      </w:r>
      <w:r w:rsidRPr="00960F82">
        <w:rPr>
          <w:rFonts w:asciiTheme="minorEastAsia" w:eastAsiaTheme="minorEastAsia" w:hAnsiTheme="minorEastAsia" w:hint="eastAsia"/>
        </w:rPr>
        <w:t>不含</w:t>
      </w:r>
      <w:r w:rsidRPr="00960F82">
        <w:rPr>
          <w:rFonts w:asciiTheme="minorEastAsia" w:eastAsiaTheme="minorEastAsia" w:hAnsiTheme="minorEastAsia"/>
        </w:rPr>
        <w:t>50%)</w:t>
      </w:r>
      <w:r w:rsidRPr="00960F82">
        <w:rPr>
          <w:rFonts w:asciiTheme="minorEastAsia" w:eastAsiaTheme="minorEastAsia" w:hAnsiTheme="minorEastAsia" w:hint="eastAsia"/>
        </w:rPr>
        <w:t>选举产生一名代表作为该次基金持有人大会的主持人。</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rPr>
        <w:t>召集人应当制作出席会议人员的签名册。签名册载明参加会议人员姓名</w:t>
      </w:r>
      <w:r w:rsidRPr="00960F82">
        <w:rPr>
          <w:rFonts w:asciiTheme="minorEastAsia" w:eastAsiaTheme="minorEastAsia" w:hAnsiTheme="minorEastAsia"/>
        </w:rPr>
        <w:t>(</w:t>
      </w:r>
      <w:r w:rsidRPr="00960F82">
        <w:rPr>
          <w:rFonts w:asciiTheme="minorEastAsia" w:eastAsiaTheme="minorEastAsia" w:hAnsiTheme="minorEastAsia" w:hint="eastAsia"/>
        </w:rPr>
        <w:t>或单位名称</w:t>
      </w:r>
      <w:r w:rsidRPr="00960F82">
        <w:rPr>
          <w:rFonts w:asciiTheme="minorEastAsia" w:eastAsiaTheme="minorEastAsia" w:hAnsiTheme="minorEastAsia"/>
        </w:rPr>
        <w:t>)</w:t>
      </w:r>
      <w:r w:rsidRPr="00960F82">
        <w:rPr>
          <w:rFonts w:asciiTheme="minorEastAsia" w:eastAsiaTheme="minorEastAsia" w:hAnsiTheme="minorEastAsia" w:hint="eastAsia"/>
        </w:rPr>
        <w:t>、身份证号码、住所地址、持有或者代表有表决权的基金份额、委托人姓名</w:t>
      </w:r>
      <w:r w:rsidRPr="00960F82">
        <w:rPr>
          <w:rFonts w:asciiTheme="minorEastAsia" w:eastAsiaTheme="minorEastAsia" w:hAnsiTheme="minorEastAsia"/>
        </w:rPr>
        <w:t>(</w:t>
      </w:r>
      <w:r w:rsidRPr="00960F82">
        <w:rPr>
          <w:rFonts w:asciiTheme="minorEastAsia" w:eastAsiaTheme="minorEastAsia" w:hAnsiTheme="minorEastAsia" w:hint="eastAsia"/>
        </w:rPr>
        <w:t>或单位名称</w:t>
      </w:r>
      <w:r w:rsidRPr="00960F82">
        <w:rPr>
          <w:rFonts w:asciiTheme="minorEastAsia" w:eastAsiaTheme="minorEastAsia" w:hAnsiTheme="minorEastAsia"/>
        </w:rPr>
        <w:t>)</w:t>
      </w:r>
      <w:r w:rsidRPr="00960F82">
        <w:rPr>
          <w:rFonts w:asciiTheme="minorEastAsia" w:eastAsiaTheme="minorEastAsia" w:hAnsiTheme="minorEastAsia" w:hint="eastAsia"/>
        </w:rPr>
        <w:t>等事项。</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2）通讯方式开会</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rPr>
        <w:t>在通讯方式开会的情况下，</w:t>
      </w:r>
      <w:r w:rsidRPr="00960F82">
        <w:rPr>
          <w:rFonts w:asciiTheme="minorEastAsia" w:eastAsiaTheme="minorEastAsia" w:hAnsiTheme="minorEastAsia"/>
        </w:rPr>
        <w:t>公告会议通知时应当同时公布提案</w:t>
      </w:r>
      <w:r w:rsidRPr="00960F82">
        <w:rPr>
          <w:rFonts w:asciiTheme="minorEastAsia" w:eastAsiaTheme="minorEastAsia" w:hAnsiTheme="minorEastAsia" w:hint="eastAsia"/>
        </w:rPr>
        <w:t>；在通知载明的表决截止日期后第二天在公证机构监督下统计全部有效表决，形成决议，报中国证监会备案。</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7</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表决</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（1）基金持有人所持每一份基金份额具有一票表决权，基金持有人可以委托代理人出席基金持有人大会并行使表决权；</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（2）基金持有人大会决议分为一般决议和特别决议。</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1）一般决议</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一般决议须经参加会议的基金持有人或其代理人所持表决权的50％以上通过方为有效。</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除下列2）所规定的须以特别决议通过的事项以外的其他事项均应以一般决议的方式通过。法律法规另有规定时从其规定。</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2）特别决议</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须经基金持有人大会通过的特别决议应当经参加会议的基金持有人或其代理人所持表决权的三分之二以上通过方为有效。涉及转换本基金运作方式、本基金合同终止、更换基金管理人、更换基金托管人等事由必须以特别决议通过方为有效。</w:t>
      </w:r>
    </w:p>
    <w:p w:rsidR="001D2E2F" w:rsidRPr="00960F82" w:rsidRDefault="001D2E2F" w:rsidP="00084917">
      <w:pPr>
        <w:snapToGrid w:val="0"/>
        <w:spacing w:line="360" w:lineRule="auto"/>
        <w:ind w:firstLineChars="200" w:firstLine="420"/>
        <w:rPr>
          <w:rFonts w:asciiTheme="minorEastAsia" w:eastAsiaTheme="minorEastAsia" w:hAnsiTheme="minorEastAsia"/>
          <w:b/>
        </w:rPr>
      </w:pPr>
      <w:r w:rsidRPr="00960F82">
        <w:rPr>
          <w:rFonts w:asciiTheme="minorEastAsia" w:eastAsiaTheme="minorEastAsia" w:hAnsiTheme="minorEastAsia" w:hint="eastAsia"/>
        </w:rPr>
        <w:t>（3）与某一表决事项有利害关系的基金持有人不得就该事项行使表决权；该基金持有人持有的基金份额所代表的表决权份额不计入有效的表决权总额；但是，上述有利害关系的基金持有人所代表的基金份额仍应计算入出席基金份额持有人大会之基金持有人及代理人所代表的基金份额总数。</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（4）基金持有人大会采取记名方式进行投票表决。</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（5）采取书面通讯方式进行表决时，除非在计票时有充分的相反证据证明，否则表面符合法律、法规和会议通知规定的书面表决意见即视为有效的表决；表决意见模糊不清或相互矛盾的视为无效表决。</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rPr>
        <w:t>（6）基金持有人大会的各项提案或同一项提案内并列的各项议题应当分开审议、逐项表决。</w:t>
      </w:r>
    </w:p>
    <w:p w:rsidR="001D2E2F" w:rsidRPr="00960F82" w:rsidRDefault="00D759DD"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8、</w:t>
      </w:r>
      <w:r w:rsidR="001D2E2F" w:rsidRPr="00960F82">
        <w:rPr>
          <w:rFonts w:asciiTheme="minorEastAsia" w:eastAsiaTheme="minorEastAsia" w:hAnsiTheme="minorEastAsia" w:hint="eastAsia"/>
        </w:rPr>
        <w:t>计票</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szCs w:val="21"/>
        </w:rPr>
        <w:t>（1）</w:t>
      </w:r>
      <w:r w:rsidRPr="00960F82">
        <w:rPr>
          <w:rFonts w:asciiTheme="minorEastAsia" w:eastAsiaTheme="minorEastAsia" w:hAnsiTheme="minorEastAsia" w:hint="eastAsia"/>
        </w:rPr>
        <w:t>现场开会</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t>1)</w:t>
      </w:r>
      <w:r w:rsidRPr="00960F82">
        <w:rPr>
          <w:rFonts w:asciiTheme="minorEastAsia" w:eastAsiaTheme="minorEastAsia" w:hAnsiTheme="minorEastAsia" w:hint="eastAsia"/>
        </w:rPr>
        <w:t>如基金持有人大会由基金管理人或基金托管人召集</w:t>
      </w:r>
      <w:r w:rsidRPr="00960F82">
        <w:rPr>
          <w:rFonts w:asciiTheme="minorEastAsia" w:eastAsiaTheme="minorEastAsia" w:hAnsiTheme="minorEastAsia"/>
        </w:rPr>
        <w:t>,</w:t>
      </w:r>
      <w:r w:rsidRPr="00960F82">
        <w:rPr>
          <w:rFonts w:asciiTheme="minorEastAsia" w:eastAsiaTheme="minorEastAsia" w:hAnsiTheme="minorEastAsia" w:hint="eastAsia"/>
        </w:rPr>
        <w:t>则基金持有人大会的主持人应当在会议开始后宣布在出席会议的基金持有人和代理人中选举两名代表与大会召集人授权的一名监督员共同担任监票人；如大会由基金持有人自行召集</w:t>
      </w:r>
      <w:r w:rsidRPr="00960F82">
        <w:rPr>
          <w:rFonts w:asciiTheme="minorEastAsia" w:eastAsiaTheme="minorEastAsia" w:hAnsiTheme="minorEastAsia"/>
        </w:rPr>
        <w:t>,</w:t>
      </w:r>
      <w:r w:rsidRPr="00960F82">
        <w:rPr>
          <w:rFonts w:asciiTheme="minorEastAsia" w:eastAsiaTheme="minorEastAsia" w:hAnsiTheme="minorEastAsia" w:hint="eastAsia"/>
        </w:rPr>
        <w:t>基金持有人大会的主持人应当在会议开始后宣布在出席会议的基金持有人和代理人中选举三名代表担任监票人。</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t>2)</w:t>
      </w:r>
      <w:r w:rsidRPr="00960F82">
        <w:rPr>
          <w:rFonts w:asciiTheme="minorEastAsia" w:eastAsiaTheme="minorEastAsia" w:hAnsiTheme="minorEastAsia" w:hint="eastAsia"/>
        </w:rPr>
        <w:t>监票人应当在基金持有人表决后立即进行清点并由大会主持人当场公布计票结果。</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rPr>
        <w:t>3)</w:t>
      </w:r>
      <w:r w:rsidRPr="00960F82">
        <w:rPr>
          <w:rFonts w:asciiTheme="minorEastAsia" w:eastAsiaTheme="minorEastAsia" w:hAnsiTheme="minorEastAsia" w:hint="eastAsia"/>
        </w:rPr>
        <w:t>如果大会主持人对于提交的表决结果有怀疑</w:t>
      </w:r>
      <w:r w:rsidRPr="00960F82">
        <w:rPr>
          <w:rFonts w:asciiTheme="minorEastAsia" w:eastAsiaTheme="minorEastAsia" w:hAnsiTheme="minorEastAsia"/>
        </w:rPr>
        <w:t>,</w:t>
      </w:r>
      <w:r w:rsidRPr="00960F82">
        <w:rPr>
          <w:rFonts w:asciiTheme="minorEastAsia" w:eastAsiaTheme="minorEastAsia" w:hAnsiTheme="minorEastAsia" w:hint="eastAsia"/>
        </w:rPr>
        <w:t>可以对所投票数进行重新清点；如果大会主持人未进行重新清点</w:t>
      </w:r>
      <w:r w:rsidRPr="00960F82">
        <w:rPr>
          <w:rFonts w:asciiTheme="minorEastAsia" w:eastAsiaTheme="minorEastAsia" w:hAnsiTheme="minorEastAsia"/>
        </w:rPr>
        <w:t>,</w:t>
      </w:r>
      <w:r w:rsidRPr="00960F82">
        <w:rPr>
          <w:rFonts w:asciiTheme="minorEastAsia" w:eastAsiaTheme="minorEastAsia" w:hAnsiTheme="minorEastAsia" w:hint="eastAsia"/>
        </w:rPr>
        <w:t>而出席会议的基金持有人或者代理人对大会主持人宣布的表决结果有异议</w:t>
      </w:r>
      <w:r w:rsidRPr="00960F82">
        <w:rPr>
          <w:rFonts w:asciiTheme="minorEastAsia" w:eastAsiaTheme="minorEastAsia" w:hAnsiTheme="minorEastAsia"/>
        </w:rPr>
        <w:t>,</w:t>
      </w:r>
      <w:r w:rsidRPr="00960F82">
        <w:rPr>
          <w:rFonts w:asciiTheme="minorEastAsia" w:eastAsiaTheme="minorEastAsia" w:hAnsiTheme="minorEastAsia" w:hint="eastAsia"/>
        </w:rPr>
        <w:t>有权在宣布表决结果后立即要求重新清点</w:t>
      </w:r>
      <w:r w:rsidRPr="00960F82">
        <w:rPr>
          <w:rFonts w:asciiTheme="minorEastAsia" w:eastAsiaTheme="minorEastAsia" w:hAnsiTheme="minorEastAsia"/>
        </w:rPr>
        <w:t>,</w:t>
      </w:r>
      <w:r w:rsidRPr="00960F82">
        <w:rPr>
          <w:rFonts w:asciiTheme="minorEastAsia" w:eastAsiaTheme="minorEastAsia" w:hAnsiTheme="minorEastAsia" w:hint="eastAsia"/>
        </w:rPr>
        <w:t>大会主持人应当立即重新清点并公布重新清点结果。</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szCs w:val="21"/>
        </w:rPr>
        <w:t>（2）</w:t>
      </w:r>
      <w:r w:rsidRPr="00960F82">
        <w:rPr>
          <w:rFonts w:asciiTheme="minorEastAsia" w:eastAsiaTheme="minorEastAsia" w:hAnsiTheme="minorEastAsia" w:hint="eastAsia"/>
        </w:rPr>
        <w:t>通讯方式开会</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在通讯方式开会的情况下</w:t>
      </w:r>
      <w:r w:rsidRPr="00960F82">
        <w:rPr>
          <w:rFonts w:asciiTheme="minorEastAsia" w:eastAsiaTheme="minorEastAsia" w:hAnsiTheme="minorEastAsia"/>
        </w:rPr>
        <w:t>,</w:t>
      </w:r>
      <w:r w:rsidRPr="00960F82">
        <w:rPr>
          <w:rFonts w:asciiTheme="minorEastAsia" w:eastAsiaTheme="minorEastAsia" w:hAnsiTheme="minorEastAsia" w:hint="eastAsia"/>
        </w:rPr>
        <w:t>计票方式为：由大会召集人授权的两名监督员在基金托管人授权代表的监督下进行计票</w:t>
      </w:r>
      <w:r w:rsidRPr="00960F82">
        <w:rPr>
          <w:rFonts w:asciiTheme="minorEastAsia" w:eastAsiaTheme="minorEastAsia" w:hAnsiTheme="minorEastAsia"/>
        </w:rPr>
        <w:t>,</w:t>
      </w:r>
      <w:r w:rsidRPr="00960F82">
        <w:rPr>
          <w:rFonts w:asciiTheme="minorEastAsia" w:eastAsiaTheme="minorEastAsia" w:hAnsiTheme="minorEastAsia" w:hint="eastAsia"/>
        </w:rPr>
        <w:t>并由公证机关对其计票过程予以公证。</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szCs w:val="21"/>
        </w:rPr>
        <w:t>9</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szCs w:val="21"/>
        </w:rPr>
        <w:t>生效与公告</w:t>
      </w:r>
    </w:p>
    <w:p w:rsidR="001D2E2F" w:rsidRPr="00960F82" w:rsidRDefault="001D2E2F" w:rsidP="00084917">
      <w:pPr>
        <w:snapToGrid w:val="0"/>
        <w:spacing w:line="360" w:lineRule="auto"/>
        <w:ind w:firstLineChars="200" w:firstLine="420"/>
        <w:rPr>
          <w:rFonts w:asciiTheme="minorEastAsia" w:eastAsiaTheme="minorEastAsia" w:hAnsiTheme="minorEastAsia"/>
          <w:szCs w:val="18"/>
        </w:rPr>
      </w:pPr>
      <w:r w:rsidRPr="00960F82">
        <w:rPr>
          <w:rFonts w:asciiTheme="minorEastAsia" w:eastAsiaTheme="minorEastAsia" w:hAnsiTheme="minorEastAsia" w:hint="eastAsia"/>
          <w:szCs w:val="18"/>
        </w:rPr>
        <w:lastRenderedPageBreak/>
        <w:t>基金持有人大会决议事项自通过之日起五日内报中国证监会核准或备案，经中国证监会依法核准或者出具无异议意见之日起生效。</w:t>
      </w:r>
    </w:p>
    <w:p w:rsidR="001D2E2F" w:rsidRPr="00960F82" w:rsidRDefault="001D2E2F" w:rsidP="00084917">
      <w:pPr>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szCs w:val="18"/>
        </w:rPr>
        <w:t>基金管理人、基金托管人和基金份额持有人应当执行生效的基金份额持有人大会的决定。</w:t>
      </w:r>
      <w:r w:rsidRPr="00960F82">
        <w:rPr>
          <w:rFonts w:asciiTheme="minorEastAsia" w:eastAsiaTheme="minorEastAsia" w:hAnsiTheme="minorEastAsia" w:hint="eastAsia"/>
        </w:rPr>
        <w:t>生效的基金持有人大会决议应</w:t>
      </w:r>
      <w:r w:rsidRPr="00960F82">
        <w:rPr>
          <w:rFonts w:asciiTheme="minorEastAsia" w:eastAsiaTheme="minorEastAsia" w:hAnsiTheme="minorEastAsia"/>
        </w:rPr>
        <w:t>在</w:t>
      </w:r>
      <w:r w:rsidR="008B3426" w:rsidRPr="00960F82">
        <w:rPr>
          <w:rFonts w:asciiTheme="minorEastAsia" w:eastAsiaTheme="minorEastAsia" w:hAnsiTheme="minorEastAsia" w:hint="eastAsia"/>
        </w:rPr>
        <w:t>指定媒介</w:t>
      </w:r>
      <w:r w:rsidRPr="00960F82">
        <w:rPr>
          <w:rFonts w:asciiTheme="minorEastAsia" w:eastAsiaTheme="minorEastAsia" w:hAnsiTheme="minorEastAsia" w:hint="eastAsia"/>
        </w:rPr>
        <w:t>上公告。</w:t>
      </w:r>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基金合同的终止</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出现下列情形之一的，经中国证监会批准后基金合同终止：</w:t>
      </w:r>
    </w:p>
    <w:p w:rsidR="001D2E2F" w:rsidRPr="00960F82" w:rsidRDefault="00D759DD" w:rsidP="00084917">
      <w:pPr>
        <w:autoSpaceDE w:val="0"/>
        <w:autoSpaceDN w:val="0"/>
        <w:snapToGrid w:val="0"/>
        <w:spacing w:line="360" w:lineRule="auto"/>
        <w:ind w:firstLineChars="200" w:firstLine="420"/>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1、</w:t>
      </w:r>
      <w:r w:rsidR="001D2E2F" w:rsidRPr="00960F82">
        <w:rPr>
          <w:rFonts w:asciiTheme="minorEastAsia" w:eastAsiaTheme="minorEastAsia" w:hAnsiTheme="minorEastAsia" w:hint="eastAsia"/>
          <w:szCs w:val="21"/>
        </w:rPr>
        <w:t>存续期间内，基金持有人数量连续60个工作日达不到200人，或连续60个工作日基金资产净值低于人民币5000万元，基金管理人将宣布本基金合同终止；</w:t>
      </w:r>
    </w:p>
    <w:p w:rsidR="001D2E2F" w:rsidRPr="00960F82" w:rsidRDefault="00D759DD" w:rsidP="00084917">
      <w:pPr>
        <w:autoSpaceDE w:val="0"/>
        <w:autoSpaceDN w:val="0"/>
        <w:snapToGrid w:val="0"/>
        <w:spacing w:line="360" w:lineRule="auto"/>
        <w:ind w:firstLineChars="200" w:firstLine="420"/>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2、</w:t>
      </w:r>
      <w:r w:rsidR="001D2E2F" w:rsidRPr="00960F82">
        <w:rPr>
          <w:rFonts w:asciiTheme="minorEastAsia" w:eastAsiaTheme="minorEastAsia" w:hAnsiTheme="minorEastAsia" w:hint="eastAsia"/>
          <w:szCs w:val="21"/>
        </w:rPr>
        <w:t>经基金持有人大会表决终止的；</w:t>
      </w:r>
    </w:p>
    <w:p w:rsidR="001D2E2F" w:rsidRPr="00960F82" w:rsidRDefault="00D759DD" w:rsidP="00084917">
      <w:pPr>
        <w:autoSpaceDE w:val="0"/>
        <w:autoSpaceDN w:val="0"/>
        <w:snapToGrid w:val="0"/>
        <w:spacing w:line="360" w:lineRule="auto"/>
        <w:ind w:firstLineChars="200" w:firstLine="420"/>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3、</w:t>
      </w:r>
      <w:r w:rsidR="001D2E2F" w:rsidRPr="00960F82">
        <w:rPr>
          <w:rFonts w:asciiTheme="minorEastAsia" w:eastAsiaTheme="minorEastAsia" w:hAnsiTheme="minorEastAsia" w:hint="eastAsia"/>
          <w:szCs w:val="21"/>
        </w:rPr>
        <w:t>因重大违法、违规行为，被中国证监会责令终止的；</w:t>
      </w:r>
    </w:p>
    <w:p w:rsidR="001D2E2F" w:rsidRPr="00960F82" w:rsidRDefault="00D759DD" w:rsidP="00084917">
      <w:pPr>
        <w:autoSpaceDE w:val="0"/>
        <w:autoSpaceDN w:val="0"/>
        <w:snapToGrid w:val="0"/>
        <w:spacing w:line="360" w:lineRule="auto"/>
        <w:ind w:right="-332" w:firstLineChars="200" w:firstLine="420"/>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4、</w:t>
      </w:r>
      <w:r w:rsidR="001D2E2F" w:rsidRPr="00960F82">
        <w:rPr>
          <w:rFonts w:asciiTheme="minorEastAsia" w:eastAsiaTheme="minorEastAsia" w:hAnsiTheme="minorEastAsia" w:hint="eastAsia"/>
          <w:szCs w:val="21"/>
        </w:rPr>
        <w:t>基金管理人因解散、破产、撤销、丧失基金管理资格、停止营业等事由，不能继续担任本基金管理人的职务，而无其它基金管理公司承受其原有权利及义务；</w:t>
      </w:r>
    </w:p>
    <w:p w:rsidR="001D2E2F" w:rsidRPr="00960F82" w:rsidRDefault="00D759DD" w:rsidP="00084917">
      <w:pPr>
        <w:autoSpaceDE w:val="0"/>
        <w:autoSpaceDN w:val="0"/>
        <w:snapToGrid w:val="0"/>
        <w:spacing w:line="360" w:lineRule="auto"/>
        <w:ind w:right="-332" w:firstLineChars="200" w:firstLine="420"/>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5、</w:t>
      </w:r>
      <w:r w:rsidR="001D2E2F" w:rsidRPr="00960F82">
        <w:rPr>
          <w:rFonts w:asciiTheme="minorEastAsia" w:eastAsiaTheme="minorEastAsia" w:hAnsiTheme="minorEastAsia" w:hint="eastAsia"/>
          <w:szCs w:val="21"/>
        </w:rPr>
        <w:t>基金托管人因解散、破产、撤销、丧失基金托管资格、停止营业等事由，不能继续担任本基金托管人的职务，而无其它托管机构承受其原有权利及义务；</w:t>
      </w:r>
    </w:p>
    <w:p w:rsidR="001D2E2F" w:rsidRPr="00960F82" w:rsidRDefault="00D759DD" w:rsidP="00084917">
      <w:pPr>
        <w:autoSpaceDE w:val="0"/>
        <w:autoSpaceDN w:val="0"/>
        <w:snapToGrid w:val="0"/>
        <w:spacing w:line="360" w:lineRule="auto"/>
        <w:ind w:right="-332" w:firstLineChars="200" w:firstLine="420"/>
        <w:textAlignment w:val="bottom"/>
        <w:rPr>
          <w:rFonts w:asciiTheme="minorEastAsia" w:eastAsiaTheme="minorEastAsia" w:hAnsiTheme="minorEastAsia"/>
          <w:szCs w:val="21"/>
        </w:rPr>
      </w:pPr>
      <w:r w:rsidRPr="00960F82">
        <w:rPr>
          <w:rFonts w:asciiTheme="minorEastAsia" w:eastAsiaTheme="minorEastAsia" w:hAnsiTheme="minorEastAsia" w:hint="eastAsia"/>
          <w:szCs w:val="21"/>
        </w:rPr>
        <w:t>6、</w:t>
      </w:r>
      <w:r w:rsidR="001D2E2F" w:rsidRPr="00960F82">
        <w:rPr>
          <w:rFonts w:asciiTheme="minorEastAsia" w:eastAsiaTheme="minorEastAsia" w:hAnsiTheme="minorEastAsia" w:hint="eastAsia"/>
          <w:szCs w:val="21"/>
        </w:rPr>
        <w:t>法律法规和中国证监会规定的其他事由。</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基金合同终止后，基金管理人和基金托管人依照《信托法》、《试点办法》、《基金合同》及其他有关规定，行使请求给付报酬、从基金资产中获得补偿的权利时，可以留置基金资产或者对基金资产的权利归属人提出请求。</w:t>
      </w:r>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争议的处理</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基金发起人、基金管理人、基金托管人之间因本《基金合同》产生的或与本《基金合同》有关的争议可首先通过友好协商解决，自一方书面要求协商解决争议之日起60日内如果争议未能以协商方式解决，则任何一方有权将争议提交中国国际经济贸易仲裁委员会根据提交仲裁时该会的仲裁规则进行仲裁。仲裁裁决是终局的，对仲裁各方当事人均具有约束力。除提交仲裁的争议之外，各方当事人仍应履行本《基金合同》的其他规定。</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szCs w:val="21"/>
        </w:rPr>
        <w:t>基金持有人或基金投资者作为一方当事人与基金发起人、基金管理人、基金托管人的一方或数方作为另一方当事人之间发生争议，首先通过友好协商解决，自一方书面要求协商解决争议之日起60日内如果争议未能以协商方式解决，则任何一方有权向有管辖权的人民法院起诉，也可将事后达成的仲裁协议向仲裁机构申请仲裁。</w:t>
      </w:r>
    </w:p>
    <w:p w:rsidR="001D2E2F" w:rsidRPr="00960F82" w:rsidRDefault="001D2E2F" w:rsidP="007F114F">
      <w:pPr>
        <w:numPr>
          <w:ilvl w:val="0"/>
          <w:numId w:val="30"/>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基金合同存放地和投资者取得基金合同的方式</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szCs w:val="21"/>
        </w:rPr>
        <w:t>本《基金合同》可印制成册，供投资者在基金管理人、基金托管人、代销机构办公场所查阅；投资者也可在支付一定工本费后获得本《基金合同》复印件或复制件，但应以《基金合同》正本为准。</w:t>
      </w:r>
    </w:p>
    <w:p w:rsidR="001D2E2F" w:rsidRPr="00960F82" w:rsidRDefault="001D2E2F" w:rsidP="00084917">
      <w:pPr>
        <w:snapToGrid w:val="0"/>
        <w:spacing w:line="360" w:lineRule="auto"/>
        <w:ind w:firstLine="420"/>
        <w:rPr>
          <w:rFonts w:asciiTheme="minorEastAsia" w:eastAsiaTheme="minorEastAsia" w:hAnsiTheme="minorEastAsia"/>
          <w:szCs w:val="21"/>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bCs/>
        </w:rPr>
      </w:pPr>
      <w:bookmarkStart w:id="1580" w:name="_Toc92774765"/>
      <w:bookmarkStart w:id="1581" w:name="_Toc30161831"/>
      <w:r w:rsidRPr="00960F82">
        <w:rPr>
          <w:rFonts w:asciiTheme="minorEastAsia" w:eastAsiaTheme="minorEastAsia" w:hAnsiTheme="minorEastAsia" w:hint="eastAsia"/>
          <w:b/>
          <w:bCs/>
        </w:rPr>
        <w:lastRenderedPageBreak/>
        <w:t>十九、基金托管协议的内容摘要</w:t>
      </w:r>
      <w:bookmarkEnd w:id="1580"/>
      <w:bookmarkEnd w:id="1581"/>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托管协议当事人</w:t>
      </w:r>
    </w:p>
    <w:p w:rsidR="001D2E2F" w:rsidRPr="00960F82" w:rsidRDefault="00D759DD" w:rsidP="00D759DD">
      <w:pPr>
        <w:snapToGrid w:val="0"/>
        <w:spacing w:line="360" w:lineRule="auto"/>
        <w:ind w:left="422" w:right="26"/>
        <w:rPr>
          <w:rFonts w:asciiTheme="minorEastAsia" w:eastAsiaTheme="minorEastAsia" w:hAnsiTheme="minorEastAsia"/>
          <w:b/>
          <w:bCs/>
        </w:rPr>
      </w:pPr>
      <w:r w:rsidRPr="00960F82">
        <w:rPr>
          <w:rFonts w:asciiTheme="minorEastAsia" w:eastAsiaTheme="minorEastAsia" w:hAnsiTheme="minorEastAsia" w:hint="eastAsia"/>
          <w:b/>
          <w:bCs/>
        </w:rPr>
        <w:t>1、</w:t>
      </w:r>
      <w:r w:rsidR="001D2E2F" w:rsidRPr="00960F82">
        <w:rPr>
          <w:rFonts w:asciiTheme="minorEastAsia" w:eastAsiaTheme="minorEastAsia" w:hAnsiTheme="minorEastAsia" w:hint="eastAsia"/>
          <w:b/>
          <w:bCs/>
        </w:rPr>
        <w:t>基金管理人（或简称“管理人”）</w:t>
      </w:r>
    </w:p>
    <w:p w:rsidR="001D2E2F" w:rsidRPr="00960F82" w:rsidRDefault="001D2E2F" w:rsidP="00084917">
      <w:pPr>
        <w:snapToGrid w:val="0"/>
        <w:spacing w:line="360" w:lineRule="auto"/>
        <w:ind w:right="26" w:firstLineChars="192" w:firstLine="403"/>
        <w:rPr>
          <w:rFonts w:asciiTheme="minorEastAsia" w:eastAsiaTheme="minorEastAsia" w:hAnsiTheme="minorEastAsia"/>
        </w:rPr>
      </w:pPr>
      <w:r w:rsidRPr="00960F82">
        <w:rPr>
          <w:rFonts w:asciiTheme="minorEastAsia" w:eastAsiaTheme="minorEastAsia" w:hAnsiTheme="minorEastAsia" w:hint="eastAsia"/>
        </w:rPr>
        <w:t>名称：易方达基金管理有限公司</w:t>
      </w:r>
    </w:p>
    <w:p w:rsidR="001D2E2F" w:rsidRPr="00960F82" w:rsidRDefault="001D2E2F" w:rsidP="00084917">
      <w:pPr>
        <w:snapToGrid w:val="0"/>
        <w:spacing w:line="360" w:lineRule="auto"/>
        <w:ind w:right="26" w:firstLineChars="192" w:firstLine="403"/>
        <w:rPr>
          <w:rFonts w:asciiTheme="minorEastAsia" w:eastAsiaTheme="minorEastAsia" w:hAnsiTheme="minorEastAsia"/>
        </w:rPr>
      </w:pPr>
      <w:r w:rsidRPr="00960F82">
        <w:rPr>
          <w:rFonts w:asciiTheme="minorEastAsia" w:eastAsiaTheme="minorEastAsia" w:hAnsiTheme="minorEastAsia" w:hint="eastAsia"/>
        </w:rPr>
        <w:t>地址：广州市</w:t>
      </w:r>
      <w:r w:rsidR="00D37056" w:rsidRPr="00960F82">
        <w:rPr>
          <w:rFonts w:asciiTheme="minorEastAsia" w:eastAsiaTheme="minorEastAsia" w:hAnsiTheme="minorEastAsia" w:hint="eastAsia"/>
        </w:rPr>
        <w:t>天河区珠江新城珠江东路30号广州银行大厦40-43楼</w:t>
      </w:r>
    </w:p>
    <w:p w:rsidR="001D2E2F" w:rsidRPr="00960F82" w:rsidRDefault="001D2E2F" w:rsidP="00084917">
      <w:pPr>
        <w:snapToGrid w:val="0"/>
        <w:spacing w:line="360" w:lineRule="auto"/>
        <w:ind w:right="26" w:firstLineChars="192" w:firstLine="403"/>
        <w:rPr>
          <w:rFonts w:asciiTheme="minorEastAsia" w:eastAsiaTheme="minorEastAsia" w:hAnsiTheme="minorEastAsia"/>
        </w:rPr>
      </w:pPr>
      <w:r w:rsidRPr="00960F82">
        <w:rPr>
          <w:rFonts w:asciiTheme="minorEastAsia" w:eastAsiaTheme="minorEastAsia" w:hAnsiTheme="minorEastAsia" w:hint="eastAsia"/>
        </w:rPr>
        <w:t>法定代表人:</w:t>
      </w:r>
      <w:r w:rsidR="00AC7228" w:rsidRPr="00960F82">
        <w:rPr>
          <w:rFonts w:asciiTheme="minorEastAsia" w:eastAsiaTheme="minorEastAsia" w:hAnsiTheme="minorEastAsia" w:hint="eastAsia"/>
        </w:rPr>
        <w:t>刘晓艳</w:t>
      </w:r>
    </w:p>
    <w:p w:rsidR="001D2E2F" w:rsidRPr="00960F82" w:rsidRDefault="001D2E2F" w:rsidP="00084917">
      <w:pPr>
        <w:snapToGrid w:val="0"/>
        <w:spacing w:line="360" w:lineRule="auto"/>
        <w:ind w:right="26" w:firstLineChars="192" w:firstLine="403"/>
        <w:rPr>
          <w:rFonts w:asciiTheme="minorEastAsia" w:eastAsiaTheme="minorEastAsia" w:hAnsiTheme="minorEastAsia"/>
        </w:rPr>
      </w:pPr>
      <w:r w:rsidRPr="00960F82">
        <w:rPr>
          <w:rFonts w:asciiTheme="minorEastAsia" w:eastAsiaTheme="minorEastAsia" w:hAnsiTheme="minorEastAsia" w:hint="eastAsia"/>
        </w:rPr>
        <w:t>注册资本：</w:t>
      </w:r>
      <w:r w:rsidR="000D1C2C" w:rsidRPr="00960F82">
        <w:rPr>
          <w:rFonts w:asciiTheme="minorEastAsia" w:eastAsiaTheme="minorEastAsia" w:hAnsiTheme="minorEastAsia" w:hint="eastAsia"/>
        </w:rPr>
        <w:t>13,244.2万元人民币</w:t>
      </w:r>
    </w:p>
    <w:p w:rsidR="001D2E2F" w:rsidRPr="00960F82" w:rsidRDefault="001D2E2F" w:rsidP="00084917">
      <w:pPr>
        <w:snapToGrid w:val="0"/>
        <w:spacing w:line="360" w:lineRule="auto"/>
        <w:ind w:right="26" w:firstLineChars="200" w:firstLine="420"/>
        <w:rPr>
          <w:rFonts w:asciiTheme="minorEastAsia" w:eastAsiaTheme="minorEastAsia" w:hAnsiTheme="minorEastAsia"/>
        </w:rPr>
      </w:pPr>
      <w:r w:rsidRPr="00960F82">
        <w:rPr>
          <w:rFonts w:asciiTheme="minorEastAsia" w:eastAsiaTheme="minorEastAsia" w:hAnsiTheme="minorEastAsia" w:hint="eastAsia"/>
        </w:rPr>
        <w:t>经营范围：</w:t>
      </w:r>
      <w:r w:rsidR="001232E8" w:rsidRPr="00960F82">
        <w:rPr>
          <w:rFonts w:asciiTheme="minorEastAsia" w:eastAsiaTheme="minorEastAsia" w:hAnsiTheme="minorEastAsia" w:hint="eastAsia"/>
        </w:rPr>
        <w:t>公开募集证券投资基金管理、基金销售、特定客户资产管理</w:t>
      </w:r>
    </w:p>
    <w:p w:rsidR="001D2E2F" w:rsidRPr="00960F82" w:rsidRDefault="001D2E2F" w:rsidP="00084917">
      <w:pPr>
        <w:snapToGrid w:val="0"/>
        <w:spacing w:line="360" w:lineRule="auto"/>
        <w:ind w:right="26" w:firstLineChars="192" w:firstLine="403"/>
        <w:rPr>
          <w:rFonts w:asciiTheme="minorEastAsia" w:eastAsiaTheme="minorEastAsia" w:hAnsiTheme="minorEastAsia"/>
        </w:rPr>
      </w:pPr>
      <w:r w:rsidRPr="00960F82">
        <w:rPr>
          <w:rFonts w:asciiTheme="minorEastAsia" w:eastAsiaTheme="minorEastAsia" w:hAnsiTheme="minorEastAsia" w:hint="eastAsia"/>
        </w:rPr>
        <w:t>组织形式</w:t>
      </w:r>
      <w:r w:rsidR="00D37056" w:rsidRPr="00960F82">
        <w:rPr>
          <w:rFonts w:asciiTheme="minorEastAsia" w:eastAsiaTheme="minorEastAsia" w:hAnsiTheme="minorEastAsia" w:hint="eastAsia"/>
        </w:rPr>
        <w:t>：</w:t>
      </w:r>
      <w:r w:rsidRPr="00960F82">
        <w:rPr>
          <w:rFonts w:asciiTheme="minorEastAsia" w:eastAsiaTheme="minorEastAsia" w:hAnsiTheme="minorEastAsia" w:hint="eastAsia"/>
        </w:rPr>
        <w:t>有限责任公司</w:t>
      </w:r>
    </w:p>
    <w:p w:rsidR="001D2E2F" w:rsidRPr="00960F82" w:rsidRDefault="001D2E2F" w:rsidP="00084917">
      <w:pPr>
        <w:snapToGrid w:val="0"/>
        <w:spacing w:line="360" w:lineRule="auto"/>
        <w:ind w:right="26" w:firstLine="420"/>
        <w:rPr>
          <w:rFonts w:asciiTheme="minorEastAsia" w:eastAsiaTheme="minorEastAsia" w:hAnsiTheme="minorEastAsia"/>
        </w:rPr>
      </w:pPr>
      <w:r w:rsidRPr="00960F82">
        <w:rPr>
          <w:rFonts w:asciiTheme="minorEastAsia" w:eastAsiaTheme="minorEastAsia" w:hAnsiTheme="minorEastAsia" w:hint="eastAsia"/>
        </w:rPr>
        <w:t>营业期限：持续经营</w:t>
      </w:r>
    </w:p>
    <w:p w:rsidR="001D2E2F" w:rsidRPr="00960F82" w:rsidRDefault="00D759DD" w:rsidP="00D759DD">
      <w:pPr>
        <w:snapToGrid w:val="0"/>
        <w:spacing w:line="360" w:lineRule="auto"/>
        <w:ind w:left="422" w:right="26"/>
        <w:rPr>
          <w:rFonts w:asciiTheme="minorEastAsia" w:eastAsiaTheme="minorEastAsia" w:hAnsiTheme="minorEastAsia"/>
          <w:b/>
          <w:bCs/>
        </w:rPr>
      </w:pPr>
      <w:r w:rsidRPr="00960F82">
        <w:rPr>
          <w:rFonts w:asciiTheme="minorEastAsia" w:eastAsiaTheme="minorEastAsia" w:hAnsiTheme="minorEastAsia" w:hint="eastAsia"/>
          <w:b/>
        </w:rPr>
        <w:t>2、</w:t>
      </w:r>
      <w:r w:rsidR="001D2E2F" w:rsidRPr="00960F82">
        <w:rPr>
          <w:rFonts w:asciiTheme="minorEastAsia" w:eastAsiaTheme="minorEastAsia" w:hAnsiTheme="minorEastAsia" w:hint="eastAsia"/>
          <w:b/>
          <w:bCs/>
        </w:rPr>
        <w:t>基金托管人（或简称“托管人”）</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名称：中国银行股份有限公司</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住所：北京市西城区复兴门内大街1号</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法定代表人:</w:t>
      </w:r>
      <w:r w:rsidR="00E93563" w:rsidRPr="00960F82">
        <w:rPr>
          <w:rFonts w:asciiTheme="minorEastAsia" w:eastAsiaTheme="minorEastAsia" w:hAnsiTheme="minorEastAsia" w:hint="eastAsia"/>
        </w:rPr>
        <w:t>刘连舸</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成立时间：1983年10月31日</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批准设立机关：中华人民共和国国家工商行政管理总局</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批准设立文号：1000001000134（营业执照号码）</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kern w:val="0"/>
        </w:rPr>
        <w:t>基金托管业务批准文号：中国证监会证监基字【1998】24号</w:t>
      </w:r>
    </w:p>
    <w:p w:rsidR="001D2E2F" w:rsidRPr="00960F82" w:rsidRDefault="001D2E2F" w:rsidP="00084917">
      <w:pPr>
        <w:tabs>
          <w:tab w:val="left" w:pos="1110"/>
        </w:tabs>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组织形式：股份有限公司</w:t>
      </w:r>
    </w:p>
    <w:p w:rsidR="001D2E2F" w:rsidRPr="00960F82" w:rsidRDefault="001D2E2F" w:rsidP="00084917">
      <w:pPr>
        <w:snapToGrid w:val="0"/>
        <w:spacing w:line="360" w:lineRule="auto"/>
        <w:ind w:right="26" w:firstLine="403"/>
        <w:rPr>
          <w:rFonts w:asciiTheme="minorEastAsia" w:eastAsiaTheme="minorEastAsia" w:hAnsiTheme="minorEastAsia"/>
        </w:rPr>
      </w:pPr>
      <w:r w:rsidRPr="00960F82">
        <w:rPr>
          <w:rFonts w:asciiTheme="minorEastAsia" w:eastAsiaTheme="minorEastAsia" w:hAnsiTheme="minorEastAsia" w:hint="eastAsia"/>
        </w:rPr>
        <w:t>注册资本：</w:t>
      </w:r>
      <w:r w:rsidR="0064101A" w:rsidRPr="00960F82">
        <w:rPr>
          <w:rFonts w:asciiTheme="minorEastAsia" w:eastAsiaTheme="minorEastAsia" w:hAnsiTheme="minorEastAsia" w:hint="eastAsia"/>
          <w:szCs w:val="21"/>
        </w:rPr>
        <w:t>人民币贰仟玖佰肆拾叁亿捌仟柒佰柒拾玖万壹仟贰佰肆拾壹元整</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营业期限：持续经营</w:t>
      </w:r>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基金托管人与基金管理人之间的业务监督、核查</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w:t>
      </w:r>
      <w:r w:rsidR="00D759DD" w:rsidRPr="00960F82">
        <w:rPr>
          <w:rFonts w:asciiTheme="minorEastAsia" w:eastAsiaTheme="minorEastAsia" w:hAnsiTheme="minorEastAsia" w:hint="eastAsia"/>
          <w:sz w:val="21"/>
        </w:rPr>
        <w:t>、</w:t>
      </w:r>
      <w:r w:rsidRPr="00960F82">
        <w:rPr>
          <w:rFonts w:asciiTheme="minorEastAsia" w:eastAsiaTheme="minorEastAsia" w:hAnsiTheme="minorEastAsia" w:hint="eastAsia"/>
          <w:sz w:val="21"/>
        </w:rPr>
        <w:t>基金托管人对基金管理人的业务监督、核查</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根据《基金法》、《试点办法》、《基金合同》和有关证券法规的规定，托管人应对基金管理人就基金资产的投资对象、基金资产的投资组合比例、基金资产的核算、基金资产净值的计算、基金管理人报酬的计提和支付、基金托管人报酬的计提和支付、基金的申购与赎回、基金收益分配等行为的合法性、合规性进行监督和核查。</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基金托管人发现基金管理人有违反《基金法》、《试点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（2）如基金托管人认为基金管理人的作为或不作为违反了法律法规、《基金合同》或本</w:t>
      </w:r>
      <w:r w:rsidRPr="00960F82">
        <w:rPr>
          <w:rFonts w:asciiTheme="minorEastAsia" w:eastAsiaTheme="minorEastAsia" w:hAnsiTheme="minorEastAsia" w:hint="eastAsia"/>
          <w:sz w:val="21"/>
        </w:rPr>
        <w:lastRenderedPageBreak/>
        <w:t>托管协议，基金托管人应呈报中国证监会和其他监管部门，有权利并有义务行使法律法规、《基金合同》或本托管协议赋予、给予、规定的基金托管人的任何及所有权利和救济措施，以保护基金资产的安全和基金投资者的利益，包括但不限于就更换基金管理人事宜召集基金持有人大会、代表基金对因基金管理人的过错造成的基金资产的损失向基金管理人索赔。</w:t>
      </w:r>
    </w:p>
    <w:p w:rsidR="001D2E2F" w:rsidRPr="00960F82" w:rsidRDefault="00D759DD"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w:t>
      </w:r>
      <w:r w:rsidR="001D2E2F" w:rsidRPr="00960F82">
        <w:rPr>
          <w:rFonts w:asciiTheme="minorEastAsia" w:eastAsiaTheme="minorEastAsia" w:hAnsiTheme="minorEastAsia" w:hint="eastAsia"/>
          <w:sz w:val="21"/>
        </w:rPr>
        <w:t>基金管理人对基金托管人的业务监督、核查</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根据《基金法》、《试点办法》、《基金合同》及其他有关规定，基金管理人就基金托管人是否及时执行基金管理人的投资指令、是否将基金资产和自有资产分账管理、是否擅自动用基金资产、是否按时将分配给基金持有人的收益划入分红派息账户等事项，对基金托管人进行监督和核查。</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基金管理人定期对基金托管人保管的基金资产进行核查。基金管理人发现基金托管人未对基金资产实行分账管理、擅自挪用基金资产、因基金托管人的过错导致基金资产灭失、减损、或处于危险状态的，基金管理人应立即以书面的方式要求基金托管人予以纠正和采取必要的补救措施。基金管理人有义务要求基金托管人赔偿基金因此所遭受的损失。</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基金管理人发现基金托管人的行为违反《基金法》、《试点办法》、《基金合同》和有关法律、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3）如基金管理人认为基金托管人的作为或不作为违反了法律法规、《基金合同》或本托管协议，基金管理人应呈报中国证监会和其他监管部门，有权利并有义务行使法律法规、《基金合同》或本托管协议赋予、给予、规定的基金管理人的任何及所有权利和救济措施，以保护基金资产的安全和基金投资者的利益，包括但不限于就更换基金托管人事宜召集基金持有人大会、代表基金对因基金托管人的过错造成的基金资产的损失向基金托管人索赔。</w:t>
      </w:r>
    </w:p>
    <w:p w:rsidR="001D2E2F" w:rsidRPr="00960F82" w:rsidRDefault="00D759DD"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3、</w:t>
      </w:r>
      <w:r w:rsidR="001D2E2F" w:rsidRPr="00960F82">
        <w:rPr>
          <w:rFonts w:asciiTheme="minorEastAsia" w:eastAsiaTheme="minorEastAsia" w:hAnsiTheme="minorEastAsia" w:hint="eastAsia"/>
          <w:sz w:val="21"/>
        </w:rPr>
        <w:t>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基金财产的保管</w:t>
      </w: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bCs/>
        </w:rPr>
        <w:t>1、</w:t>
      </w:r>
      <w:r w:rsidR="001D2E2F" w:rsidRPr="00960F82">
        <w:rPr>
          <w:rFonts w:asciiTheme="minorEastAsia" w:eastAsiaTheme="minorEastAsia" w:hAnsiTheme="minorEastAsia" w:hint="eastAsia"/>
          <w:b/>
          <w:bCs/>
        </w:rPr>
        <w:t>基金资产保管的原则</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本基金所有资产的保管责任，由基金托管人承担。基金托管人将遵守《信托法》、《基金法》、《试点办法》、《基金合同》及其他有关规定，为基金持有人的最大利益处理基金事务。基金托管人保证恪尽职守，依照诚实信用、勤勉尽责的原则，谨慎、有效的持有并保管基金资产。</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（2）基金托管人应当设立专门的基金托管部门，具有符合要求的营业场所，配备足够</w:t>
      </w:r>
      <w:r w:rsidRPr="00960F82">
        <w:rPr>
          <w:rFonts w:asciiTheme="minorEastAsia" w:eastAsiaTheme="minorEastAsia" w:hAnsiTheme="minorEastAsia" w:hint="eastAsia"/>
          <w:sz w:val="21"/>
        </w:rPr>
        <w:lastRenderedPageBreak/>
        <w:t>的、合格的熟悉基金托管业务的专职人员，负责基金资产托管事宜；建立健全内部风险监控制度，对负责基金资产托管的部门和人员的行为进行事先控制和事后监督，防范和减少风险。</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（3）基金托管人应当购置并保持对于基金资产的托管所必要的设备和设施（包括硬件和软件），并对设备和设施进行维修、维护和更换，以保持设备和设施的正常运行。</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4）除依据《信托法》、《基金法》、《试点办法》、本《基金合同》及其他有关规定外，不为自己及任何第三人谋取利益，基金托管人违反此义务，利用基金资产为自己及任何第三方谋取利益，所得利益归于基金资产；基金托管人不得将基金资产转为其固有财产，不得将固有资产与基金资产进行交易，或将不同基金资产进行相互交易；违背此款规定的，将承担相应的责任，包括但不限于恢复基金资产的原状、承担赔偿责任。</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5）基金托管人必须将基金资产与自有资产严格分开，将本基金资产与其托管的其他基金资产严格分开；基金托管人应当为基金设立独立的账户，建立独立的账簿，与基金托管人的其他业务和其他基金的托管业务实行严格的分账管理，保证不同基金之间在名册登记、账户设置、资金划拨、账册记录等方面具有实质的独立性。</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（6）除依据《信托法》、《基金法》、《试点办法》、本《基金合同》及其他有关规定外，基金托管人不得委托第三人托管基金资产；</w:t>
      </w:r>
    </w:p>
    <w:p w:rsidR="001D2E2F" w:rsidRPr="00960F82" w:rsidRDefault="001D2E2F" w:rsidP="00084917">
      <w:pPr>
        <w:overflowPunct w:val="0"/>
        <w:autoSpaceDE w:val="0"/>
        <w:autoSpaceDN w:val="0"/>
        <w:adjustRightInd w:val="0"/>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（7）基金托管人应安全、完整地保管基金资产；未经基金管理人的正当指令，不得自行运用、处分、分配基金的任何资产。</w:t>
      </w: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rPr>
        <w:t>2、</w:t>
      </w:r>
      <w:r w:rsidR="001D2E2F" w:rsidRPr="00960F82">
        <w:rPr>
          <w:rFonts w:asciiTheme="minorEastAsia" w:eastAsiaTheme="minorEastAsia" w:hAnsiTheme="minorEastAsia" w:hint="eastAsia"/>
          <w:b/>
          <w:bCs/>
        </w:rPr>
        <w:t>基金成立时募集资金的验证</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基金设立募集期满或基金发起人宣布停止募集时，基金发起人应将设立募集的全部资金存入其指定的验资专户；由基金发起人聘请具有从事相关业务资格的会计师事务所进行验资，出具验资报告，出具的验资报告应由参加验资的</w:t>
      </w:r>
      <w:r w:rsidRPr="00960F82">
        <w:rPr>
          <w:rFonts w:asciiTheme="minorEastAsia" w:eastAsiaTheme="minorEastAsia" w:hAnsiTheme="minorEastAsia"/>
          <w:sz w:val="21"/>
        </w:rPr>
        <w:t>2</w:t>
      </w:r>
      <w:r w:rsidRPr="00960F82">
        <w:rPr>
          <w:rFonts w:asciiTheme="minorEastAsia" w:eastAsiaTheme="minorEastAsia" w:hAnsiTheme="minorEastAsia" w:hint="eastAsia"/>
          <w:sz w:val="21"/>
        </w:rPr>
        <w:t>名以上（含</w:t>
      </w:r>
      <w:r w:rsidRPr="00960F82">
        <w:rPr>
          <w:rFonts w:asciiTheme="minorEastAsia" w:eastAsiaTheme="minorEastAsia" w:hAnsiTheme="minorEastAsia"/>
          <w:sz w:val="21"/>
        </w:rPr>
        <w:t>2</w:t>
      </w:r>
      <w:r w:rsidRPr="00960F82">
        <w:rPr>
          <w:rFonts w:asciiTheme="minorEastAsia" w:eastAsiaTheme="minorEastAsia" w:hAnsiTheme="minorEastAsia" w:hint="eastAsia"/>
          <w:sz w:val="21"/>
        </w:rPr>
        <w:t>名）中国注册会计师签字有效。</w:t>
      </w: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bCs/>
        </w:rPr>
        <w:t>3、</w:t>
      </w:r>
      <w:r w:rsidR="001D2E2F" w:rsidRPr="00960F82">
        <w:rPr>
          <w:rFonts w:asciiTheme="minorEastAsia" w:eastAsiaTheme="minorEastAsia" w:hAnsiTheme="minorEastAsia" w:hint="eastAsia"/>
          <w:b/>
          <w:bCs/>
        </w:rPr>
        <w:t>基金的银行账户的开设和管理</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（1）基金托管人应负责本基金的银行账户的开设和管理。</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基金托管人以本基金的名义在其营业机构开设本基金的银行账户。本基金的银行预留印鉴，由基金托管人保管和使用。本基金的一切货币收支活动，包括但不限于投资、支付赎回金额、支付基金收益、收取申购款，均需通过本基金的银行账户进行。</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（3）本基金银行账户的开立和使用，限于满足开展本基金业务的需要。基金托管人和基金管理人不得假借本基金的名义开立其他任何银行账户；亦不得使用基金的任何银行账户进行本基金业务以外的活动。</w:t>
      </w:r>
    </w:p>
    <w:p w:rsidR="001D2E2F" w:rsidRPr="00960F82" w:rsidRDefault="001D2E2F" w:rsidP="00084917">
      <w:pPr>
        <w:overflowPunct w:val="0"/>
        <w:autoSpaceDE w:val="0"/>
        <w:autoSpaceDN w:val="0"/>
        <w:adjustRightInd w:val="0"/>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4）基金银行账户的管理应符合《中华人民共和国票据法》、《银行账户管理办法》、《现金管理条例》、《中国人民银行利率管理的有关规定》、《关于大额现金支付管理的通知》、《支付结算办法》以及其他有关规定。</w:t>
      </w:r>
    </w:p>
    <w:p w:rsidR="001D2E2F" w:rsidRPr="00960F82" w:rsidRDefault="001D2E2F" w:rsidP="00084917">
      <w:pPr>
        <w:snapToGrid w:val="0"/>
        <w:spacing w:line="360" w:lineRule="auto"/>
        <w:ind w:firstLine="422"/>
        <w:rPr>
          <w:rFonts w:asciiTheme="minorEastAsia" w:eastAsiaTheme="minorEastAsia" w:hAnsiTheme="minorEastAsia"/>
          <w:b/>
          <w:bCs/>
        </w:rPr>
      </w:pP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bCs/>
        </w:rPr>
        <w:lastRenderedPageBreak/>
        <w:t>4、</w:t>
      </w:r>
      <w:r w:rsidR="001D2E2F" w:rsidRPr="00960F82">
        <w:rPr>
          <w:rFonts w:asciiTheme="minorEastAsia" w:eastAsiaTheme="minorEastAsia" w:hAnsiTheme="minorEastAsia" w:hint="eastAsia"/>
          <w:b/>
          <w:bCs/>
        </w:rPr>
        <w:t>基金证券账户和资金账户的开设和管理</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（1）基金托管人应当代表本基金，以托管人和本基金联名的方式在中国证券登记结算有限责任公司开设证券账户。</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本基金证券账户的开立和使用，限于满足开展本基金业务的需要。基金托管人和基金管理人不得出借和未经另一方同意擅自转让本基金的任何证券账户；亦不得使用本基金的任何证券账户进行本基金业务以外的活动。</w:t>
      </w:r>
    </w:p>
    <w:p w:rsidR="001D2E2F" w:rsidRPr="00960F82" w:rsidRDefault="001D2E2F" w:rsidP="00084917">
      <w:pPr>
        <w:pStyle w:val="a8"/>
        <w:snapToGrid w:val="0"/>
        <w:spacing w:line="360" w:lineRule="auto"/>
        <w:ind w:firstLine="420"/>
        <w:rPr>
          <w:rFonts w:asciiTheme="minorEastAsia" w:eastAsiaTheme="minorEastAsia" w:hAnsiTheme="minorEastAsia"/>
          <w:sz w:val="21"/>
          <w:szCs w:val="27"/>
        </w:rPr>
      </w:pPr>
      <w:r w:rsidRPr="00960F82">
        <w:rPr>
          <w:rFonts w:asciiTheme="minorEastAsia" w:eastAsiaTheme="minorEastAsia" w:hAnsiTheme="minorEastAsia" w:hint="eastAsia"/>
          <w:sz w:val="21"/>
        </w:rPr>
        <w:t>（3）</w:t>
      </w:r>
      <w:r w:rsidRPr="00960F82">
        <w:rPr>
          <w:rFonts w:asciiTheme="minorEastAsia" w:eastAsiaTheme="minorEastAsia" w:hAnsiTheme="minorEastAsia"/>
          <w:sz w:val="21"/>
          <w:szCs w:val="27"/>
        </w:rPr>
        <w:t>基金托管人以自身法人名义在中国证券登记结算</w:t>
      </w:r>
      <w:r w:rsidRPr="00960F82">
        <w:rPr>
          <w:rFonts w:asciiTheme="minorEastAsia" w:eastAsiaTheme="minorEastAsia" w:hAnsiTheme="minorEastAsia" w:hint="eastAsia"/>
          <w:sz w:val="21"/>
          <w:szCs w:val="27"/>
        </w:rPr>
        <w:t>有限责任</w:t>
      </w:r>
      <w:r w:rsidRPr="00960F82">
        <w:rPr>
          <w:rFonts w:asciiTheme="minorEastAsia" w:eastAsiaTheme="minorEastAsia" w:hAnsiTheme="minorEastAsia"/>
          <w:sz w:val="21"/>
          <w:szCs w:val="27"/>
        </w:rPr>
        <w:t>公司开立结算</w:t>
      </w:r>
      <w:r w:rsidRPr="00960F82">
        <w:rPr>
          <w:rFonts w:asciiTheme="minorEastAsia" w:eastAsiaTheme="minorEastAsia" w:hAnsiTheme="minorEastAsia" w:hint="eastAsia"/>
          <w:sz w:val="21"/>
          <w:szCs w:val="27"/>
        </w:rPr>
        <w:t>资</w:t>
      </w:r>
      <w:r w:rsidRPr="00960F82">
        <w:rPr>
          <w:rFonts w:asciiTheme="minorEastAsia" w:eastAsiaTheme="minorEastAsia" w:hAnsiTheme="minorEastAsia"/>
          <w:sz w:val="21"/>
          <w:szCs w:val="27"/>
        </w:rPr>
        <w:t>金账户，用于办理基金托管人所托管的</w:t>
      </w:r>
      <w:r w:rsidRPr="00960F82">
        <w:rPr>
          <w:rFonts w:asciiTheme="minorEastAsia" w:eastAsiaTheme="minorEastAsia" w:hAnsiTheme="minorEastAsia" w:hint="eastAsia"/>
          <w:sz w:val="21"/>
          <w:szCs w:val="27"/>
        </w:rPr>
        <w:t>包括本基金在内的</w:t>
      </w:r>
      <w:r w:rsidRPr="00960F82">
        <w:rPr>
          <w:rFonts w:asciiTheme="minorEastAsia" w:eastAsiaTheme="minorEastAsia" w:hAnsiTheme="minorEastAsia"/>
          <w:sz w:val="21"/>
          <w:szCs w:val="27"/>
        </w:rPr>
        <w:t>全部基金在证券交易所进行证券投资所涉及的资金结算业务。</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（4）基金证券账户和资金账户的开设和管理可以根据当时市场的通行做法办理，而不限于上述关于账户开设、使用的规定。</w:t>
      </w:r>
    </w:p>
    <w:p w:rsidR="001D2E2F" w:rsidRPr="00960F82" w:rsidRDefault="001D2E2F" w:rsidP="00084917">
      <w:pPr>
        <w:overflowPunct w:val="0"/>
        <w:autoSpaceDE w:val="0"/>
        <w:autoSpaceDN w:val="0"/>
        <w:adjustRightInd w:val="0"/>
        <w:snapToGrid w:val="0"/>
        <w:spacing w:line="360" w:lineRule="auto"/>
        <w:ind w:firstLineChars="200" w:firstLine="420"/>
        <w:rPr>
          <w:rFonts w:asciiTheme="minorEastAsia" w:eastAsiaTheme="minorEastAsia" w:hAnsiTheme="minorEastAsia"/>
        </w:rPr>
      </w:pPr>
      <w:r w:rsidRPr="00960F82">
        <w:rPr>
          <w:rFonts w:asciiTheme="minorEastAsia" w:eastAsiaTheme="minorEastAsia" w:hAnsiTheme="minorEastAsia" w:hint="eastAsia"/>
        </w:rPr>
        <w:t>（5）在本托管协议订立日之后，本基金被允许从事其他投资品种的投资业务的，涉及相关账户的开设、使用的，若无相关规定，则基金托管人应当比照并遵守上述关于账户开设、使用的规定。</w:t>
      </w: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shd w:val="pct15" w:color="auto" w:fill="FFFFFF"/>
        </w:rPr>
        <w:t>5、</w:t>
      </w:r>
      <w:r w:rsidR="001D2E2F" w:rsidRPr="00960F82">
        <w:rPr>
          <w:rFonts w:asciiTheme="minorEastAsia" w:eastAsiaTheme="minorEastAsia" w:hAnsiTheme="minorEastAsia" w:hint="eastAsia"/>
          <w:b/>
          <w:bCs/>
        </w:rPr>
        <w:t>国债托管专户的开设和管理</w:t>
      </w:r>
    </w:p>
    <w:p w:rsidR="001D2E2F" w:rsidRPr="00960F82" w:rsidRDefault="001D2E2F"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基金成立后，基金管理人负责以基金的名义申请并取得进入全国银行间同业拆借市场的交易资格，并代表基金进行交易；基金托管人负责以基金的名义在中央国债登记结算有限责任公司开设债券托管（乙类）账户，并代表基金进行债券和资金的清算。在上述手续办理完毕之后，由基金托管人负责向银行监管部门进行报备。</w:t>
      </w:r>
    </w:p>
    <w:p w:rsidR="001D2E2F" w:rsidRPr="00960F82" w:rsidRDefault="001D2E2F" w:rsidP="00084917">
      <w:pPr>
        <w:pStyle w:val="a6"/>
        <w:overflowPunct w:val="0"/>
        <w:autoSpaceDE w:val="0"/>
        <w:autoSpaceDN w:val="0"/>
        <w:adjustRightInd w:val="0"/>
        <w:snapToGrid w:val="0"/>
        <w:spacing w:line="360" w:lineRule="auto"/>
        <w:ind w:firstLineChars="200"/>
        <w:rPr>
          <w:rFonts w:asciiTheme="minorEastAsia" w:eastAsiaTheme="minorEastAsia" w:hAnsiTheme="minorEastAsia"/>
          <w:szCs w:val="24"/>
        </w:rPr>
      </w:pPr>
      <w:r w:rsidRPr="00960F82">
        <w:rPr>
          <w:rFonts w:asciiTheme="minorEastAsia" w:eastAsiaTheme="minorEastAsia" w:hAnsiTheme="minorEastAsia" w:hint="eastAsia"/>
        </w:rPr>
        <w:t>（2）基金管理人和基金托管人同时代表基金签订全国银行间债券市场债券回购主协议，协议正本由基金托管人保管，协议副本由基金管理人保存。</w:t>
      </w: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bCs/>
        </w:rPr>
        <w:t>6、</w:t>
      </w:r>
      <w:r w:rsidR="001D2E2F" w:rsidRPr="00960F82">
        <w:rPr>
          <w:rFonts w:asciiTheme="minorEastAsia" w:eastAsiaTheme="minorEastAsia" w:hAnsiTheme="minorEastAsia" w:hint="eastAsia"/>
          <w:b/>
          <w:bCs/>
        </w:rPr>
        <w:t>基金资产投资的有关实物证券的保管</w:t>
      </w:r>
    </w:p>
    <w:p w:rsidR="001D2E2F" w:rsidRPr="00960F82" w:rsidRDefault="001D2E2F" w:rsidP="00084917">
      <w:pPr>
        <w:pStyle w:val="32"/>
        <w:snapToGrid w:val="0"/>
        <w:spacing w:line="360" w:lineRule="auto"/>
        <w:ind w:firstLine="420"/>
        <w:rPr>
          <w:rFonts w:asciiTheme="minorEastAsia" w:eastAsiaTheme="minorEastAsia" w:hAnsiTheme="minorEastAsia"/>
          <w:color w:val="auto"/>
          <w:sz w:val="21"/>
        </w:rPr>
      </w:pPr>
      <w:r w:rsidRPr="00960F82">
        <w:rPr>
          <w:rFonts w:asciiTheme="minorEastAsia" w:eastAsiaTheme="minorEastAsia" w:hAnsiTheme="minorEastAsia" w:hint="eastAsia"/>
          <w:color w:val="auto"/>
          <w:sz w:val="21"/>
        </w:rPr>
        <w:t>实物证券由基金托管人存放于托管银行的保管库，但要与非本基金的其他实物证券分开保管；也可存入中央国债登记结算有限责任公司或中国证券登记结算有限责任公司的代保管库。保管凭证由基金托管人持有。实物证券的购买和转让，由基金托管人根据基金管理人的指令办理。</w:t>
      </w:r>
    </w:p>
    <w:p w:rsidR="001D2E2F" w:rsidRPr="00960F82" w:rsidRDefault="00D759DD" w:rsidP="00D759DD">
      <w:pPr>
        <w:snapToGrid w:val="0"/>
        <w:spacing w:line="360" w:lineRule="auto"/>
        <w:ind w:left="422"/>
        <w:rPr>
          <w:rFonts w:asciiTheme="minorEastAsia" w:eastAsiaTheme="minorEastAsia" w:hAnsiTheme="minorEastAsia"/>
          <w:b/>
          <w:bCs/>
        </w:rPr>
      </w:pPr>
      <w:r w:rsidRPr="00960F82">
        <w:rPr>
          <w:rFonts w:asciiTheme="minorEastAsia" w:eastAsiaTheme="minorEastAsia" w:hAnsiTheme="minorEastAsia" w:hint="eastAsia"/>
          <w:b/>
          <w:bCs/>
        </w:rPr>
        <w:t>7、</w:t>
      </w:r>
      <w:r w:rsidR="001D2E2F" w:rsidRPr="00960F82">
        <w:rPr>
          <w:rFonts w:asciiTheme="minorEastAsia" w:eastAsiaTheme="minorEastAsia" w:hAnsiTheme="minorEastAsia" w:hint="eastAsia"/>
          <w:b/>
          <w:bCs/>
        </w:rPr>
        <w:t>与基金资产有关的重大合同的保管</w:t>
      </w:r>
    </w:p>
    <w:p w:rsidR="001D2E2F" w:rsidRPr="00960F82" w:rsidRDefault="001D2E2F" w:rsidP="00084917">
      <w:pPr>
        <w:pStyle w:val="32"/>
        <w:snapToGrid w:val="0"/>
        <w:spacing w:line="360" w:lineRule="auto"/>
        <w:ind w:firstLine="420"/>
        <w:rPr>
          <w:rFonts w:asciiTheme="minorEastAsia" w:eastAsiaTheme="minorEastAsia" w:hAnsiTheme="minorEastAsia"/>
          <w:color w:val="auto"/>
          <w:sz w:val="21"/>
        </w:rPr>
      </w:pPr>
      <w:r w:rsidRPr="00960F82">
        <w:rPr>
          <w:rFonts w:asciiTheme="minorEastAsia" w:eastAsiaTheme="minorEastAsia" w:hAnsiTheme="minorEastAsia" w:hint="eastAsia"/>
          <w:color w:val="auto"/>
          <w:sz w:val="21"/>
        </w:rPr>
        <w:t>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w:t>
      </w:r>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基金资产净值计算与复核</w:t>
      </w:r>
    </w:p>
    <w:p w:rsidR="001D2E2F" w:rsidRPr="00960F82" w:rsidRDefault="001D2E2F" w:rsidP="00084917">
      <w:pPr>
        <w:pStyle w:val="32"/>
        <w:snapToGrid w:val="0"/>
        <w:spacing w:line="360" w:lineRule="auto"/>
        <w:ind w:right="26" w:firstLineChars="192" w:firstLine="403"/>
        <w:rPr>
          <w:rFonts w:asciiTheme="minorEastAsia" w:eastAsiaTheme="minorEastAsia" w:hAnsiTheme="minorEastAsia"/>
          <w:color w:val="auto"/>
          <w:sz w:val="21"/>
        </w:rPr>
      </w:pPr>
      <w:r w:rsidRPr="00960F82">
        <w:rPr>
          <w:rFonts w:asciiTheme="minorEastAsia" w:eastAsiaTheme="minorEastAsia" w:hAnsiTheme="minorEastAsia" w:hint="eastAsia"/>
          <w:color w:val="auto"/>
          <w:sz w:val="21"/>
        </w:rPr>
        <w:t>基金资产净值是指基金资产总值减去负债后的价值。基金单位资产净值是指计算日基金资产净值除以计算日基金单位总数后的价值。</w:t>
      </w:r>
    </w:p>
    <w:p w:rsidR="001D2E2F" w:rsidRPr="00960F82" w:rsidRDefault="001D2E2F" w:rsidP="00084917">
      <w:pPr>
        <w:pStyle w:val="32"/>
        <w:snapToGrid w:val="0"/>
        <w:spacing w:line="360" w:lineRule="auto"/>
        <w:ind w:firstLine="420"/>
        <w:rPr>
          <w:rFonts w:asciiTheme="minorEastAsia" w:eastAsiaTheme="minorEastAsia" w:hAnsiTheme="minorEastAsia"/>
          <w:color w:val="auto"/>
          <w:sz w:val="21"/>
        </w:rPr>
      </w:pPr>
      <w:r w:rsidRPr="00960F82">
        <w:rPr>
          <w:rFonts w:asciiTheme="minorEastAsia" w:eastAsiaTheme="minorEastAsia" w:hAnsiTheme="minorEastAsia" w:hint="eastAsia"/>
          <w:color w:val="auto"/>
          <w:sz w:val="21"/>
        </w:rPr>
        <w:t>基金管理人应每工作日对基金资产估值。估值原则应符合《基金合同》、《证券投资基金</w:t>
      </w:r>
      <w:r w:rsidRPr="00960F82">
        <w:rPr>
          <w:rFonts w:asciiTheme="minorEastAsia" w:eastAsiaTheme="minorEastAsia" w:hAnsiTheme="minorEastAsia" w:hint="eastAsia"/>
          <w:color w:val="auto"/>
          <w:sz w:val="21"/>
        </w:rPr>
        <w:lastRenderedPageBreak/>
        <w:t>会计核算办法》及其他法律、法规的规定。用于基金信息披露的基金资产净值和基金单位资产净值由基金管理人负责计算，基金托管人复核。基金管理人应于每个工作日结束后计算得出当日的基金单位资产净值，并在盖章后以加密传真方式发送给基金托管人。基金托管人应在收到上述传真后马上对净值计算结果进行复核，并在盖章后以加密传真方式将复核结果传送给基金管理人；如果基金托管人的复核结果与基金管理人的计算结果存在差异，且双方经协商未能达成一致，基金管理人有权按照其对基金净值的计算结果对外予以公布，基金托管人有权将相关情况报中国证监会备案。</w:t>
      </w:r>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基金份额持有人名册的登记与保管</w:t>
      </w:r>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b/>
          <w:bCs/>
        </w:rPr>
      </w:pPr>
      <w:r w:rsidRPr="00960F82">
        <w:rPr>
          <w:rFonts w:asciiTheme="minorEastAsia" w:eastAsiaTheme="minorEastAsia" w:hAnsiTheme="minorEastAsia" w:hint="eastAsia"/>
        </w:rPr>
        <w:t>基金持有人名册，包括基金设立募集期结束时的基金持有人名册、基金权益登记日的基金持有人名册、基金持有人大会登记日的基金持有人名册、每月最后一个交易日的基金持有人名册，应当根据有关法律法规的规定妥善保管之。为基金托管人履行有关法律法规、基金合同规定的职责之目的，基金管理人（注册登记人）应当提供任何必要的协助。</w:t>
      </w:r>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争议解决方式</w:t>
      </w:r>
    </w:p>
    <w:p w:rsidR="001D2E2F" w:rsidRPr="00960F82" w:rsidRDefault="001D2E2F" w:rsidP="00084917">
      <w:pPr>
        <w:autoSpaceDE w:val="0"/>
        <w:autoSpaceDN w:val="0"/>
        <w:adjustRightInd w:val="0"/>
        <w:snapToGrid w:val="0"/>
        <w:spacing w:line="360" w:lineRule="auto"/>
        <w:ind w:firstLine="420"/>
        <w:rPr>
          <w:rFonts w:asciiTheme="minorEastAsia" w:eastAsiaTheme="minorEastAsia" w:hAnsiTheme="minorEastAsia"/>
          <w:b/>
          <w:bCs/>
        </w:rPr>
      </w:pPr>
      <w:r w:rsidRPr="00960F82">
        <w:rPr>
          <w:rFonts w:asciiTheme="minorEastAsia" w:eastAsiaTheme="minorEastAsia" w:hAnsiTheme="minorEastAsia" w:hint="eastAsia"/>
        </w:rPr>
        <w:t>基金管理人、基金托管人之间因本协议产生的或与本协议有关的争议可通过友好协商解决，但若自一方书面提出协商解决争议之日起60日内争议未能以协商方式解决的，则任何一方有权将争议提交中国国际经济贸易仲裁委员会北京分会，根据提交仲裁时该会的仲裁规则进行仲裁。仲裁裁决是终局的，对仲裁各方当事人均具有约束力。除提交仲裁的争议之外，各方当事人仍应履行本协议的其他规定。争议处理期间，双方当事人应恪守基金管理人和基金托管人职责，各自继续忠实、勤勉、尽责地履行《基金合同》和托管协议规定的义务，维护基金持有人的合法权益。</w:t>
      </w:r>
    </w:p>
    <w:p w:rsidR="001D2E2F" w:rsidRPr="00960F82" w:rsidRDefault="001D2E2F" w:rsidP="007F114F">
      <w:pPr>
        <w:numPr>
          <w:ilvl w:val="0"/>
          <w:numId w:val="31"/>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托管协议的修改与终止</w:t>
      </w:r>
    </w:p>
    <w:p w:rsidR="001D2E2F" w:rsidRPr="00960F82" w:rsidRDefault="00D759DD"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1、</w:t>
      </w:r>
      <w:r w:rsidR="001D2E2F" w:rsidRPr="00960F82">
        <w:rPr>
          <w:rFonts w:asciiTheme="minorEastAsia" w:eastAsiaTheme="minorEastAsia" w:hAnsiTheme="minorEastAsia" w:hint="eastAsia"/>
          <w:sz w:val="21"/>
        </w:rPr>
        <w:t>本协议双方当事人经协商一致，可以对协议进行修改。修改后的新协议，其内容不得与《基金合同》的规定有任何冲突。修改后的新协议，报中国证监会批准后生效。因法律、法规及国家有权机关颁布之规定的变更和调整而导致本协议的部分条款与之不符的，则本协议自行适用法律、法规及国家有权机关颁布之新规定。</w:t>
      </w:r>
    </w:p>
    <w:p w:rsidR="001D2E2F" w:rsidRPr="00960F82" w:rsidRDefault="00D759DD" w:rsidP="00084917">
      <w:pPr>
        <w:pStyle w:val="a8"/>
        <w:snapToGrid w:val="0"/>
        <w:spacing w:line="360" w:lineRule="auto"/>
        <w:ind w:firstLine="420"/>
        <w:rPr>
          <w:rFonts w:asciiTheme="minorEastAsia" w:eastAsiaTheme="minorEastAsia" w:hAnsiTheme="minorEastAsia"/>
          <w:sz w:val="21"/>
        </w:rPr>
      </w:pPr>
      <w:r w:rsidRPr="00960F82">
        <w:rPr>
          <w:rFonts w:asciiTheme="minorEastAsia" w:eastAsiaTheme="minorEastAsia" w:hAnsiTheme="minorEastAsia" w:hint="eastAsia"/>
          <w:sz w:val="21"/>
        </w:rPr>
        <w:t>2、</w:t>
      </w:r>
      <w:r w:rsidR="001D2E2F" w:rsidRPr="00960F82">
        <w:rPr>
          <w:rFonts w:asciiTheme="minorEastAsia" w:eastAsiaTheme="minorEastAsia" w:hAnsiTheme="minorEastAsia" w:hint="eastAsia"/>
          <w:sz w:val="21"/>
        </w:rPr>
        <w:t>发生以下情况，本托管协议终止：</w:t>
      </w:r>
    </w:p>
    <w:p w:rsidR="001D2E2F" w:rsidRPr="00960F82" w:rsidRDefault="001D2E2F" w:rsidP="007F114F">
      <w:pPr>
        <w:pStyle w:val="a8"/>
        <w:numPr>
          <w:ilvl w:val="1"/>
          <w:numId w:val="32"/>
        </w:numPr>
        <w:tabs>
          <w:tab w:val="clear" w:pos="1620"/>
          <w:tab w:val="num" w:pos="1260"/>
        </w:tabs>
        <w:snapToGrid w:val="0"/>
        <w:spacing w:line="360" w:lineRule="auto"/>
        <w:ind w:firstLineChars="0" w:firstLine="150"/>
        <w:rPr>
          <w:rFonts w:asciiTheme="minorEastAsia" w:eastAsiaTheme="minorEastAsia" w:hAnsiTheme="minorEastAsia"/>
          <w:sz w:val="21"/>
        </w:rPr>
      </w:pPr>
      <w:r w:rsidRPr="00960F82">
        <w:rPr>
          <w:rFonts w:asciiTheme="minorEastAsia" w:eastAsiaTheme="minorEastAsia" w:hAnsiTheme="minorEastAsia" w:hint="eastAsia"/>
          <w:sz w:val="21"/>
        </w:rPr>
        <w:t>基金或《基金合同》终止；</w:t>
      </w:r>
    </w:p>
    <w:p w:rsidR="001D2E2F" w:rsidRPr="00960F82" w:rsidRDefault="001D2E2F" w:rsidP="007F114F">
      <w:pPr>
        <w:pStyle w:val="a8"/>
        <w:numPr>
          <w:ilvl w:val="1"/>
          <w:numId w:val="32"/>
        </w:numPr>
        <w:tabs>
          <w:tab w:val="clear" w:pos="1620"/>
          <w:tab w:val="num" w:pos="1260"/>
        </w:tabs>
        <w:snapToGrid w:val="0"/>
        <w:spacing w:line="360" w:lineRule="auto"/>
        <w:ind w:firstLineChars="0" w:firstLine="150"/>
        <w:rPr>
          <w:rFonts w:asciiTheme="minorEastAsia" w:eastAsiaTheme="minorEastAsia" w:hAnsiTheme="minorEastAsia"/>
          <w:sz w:val="21"/>
        </w:rPr>
      </w:pPr>
      <w:r w:rsidRPr="00960F82">
        <w:rPr>
          <w:rFonts w:asciiTheme="minorEastAsia" w:eastAsiaTheme="minorEastAsia" w:hAnsiTheme="minorEastAsia" w:hint="eastAsia"/>
          <w:sz w:val="21"/>
        </w:rPr>
        <w:t>本基金更换基金托管人；</w:t>
      </w:r>
    </w:p>
    <w:p w:rsidR="001D2E2F" w:rsidRPr="00960F82" w:rsidRDefault="001D2E2F" w:rsidP="007F114F">
      <w:pPr>
        <w:pStyle w:val="a8"/>
        <w:numPr>
          <w:ilvl w:val="1"/>
          <w:numId w:val="32"/>
        </w:numPr>
        <w:tabs>
          <w:tab w:val="clear" w:pos="1620"/>
          <w:tab w:val="num" w:pos="1260"/>
        </w:tabs>
        <w:snapToGrid w:val="0"/>
        <w:spacing w:line="360" w:lineRule="auto"/>
        <w:ind w:firstLineChars="0" w:firstLine="150"/>
        <w:rPr>
          <w:rFonts w:asciiTheme="minorEastAsia" w:eastAsiaTheme="minorEastAsia" w:hAnsiTheme="minorEastAsia"/>
          <w:sz w:val="21"/>
        </w:rPr>
      </w:pPr>
      <w:r w:rsidRPr="00960F82">
        <w:rPr>
          <w:rFonts w:asciiTheme="minorEastAsia" w:eastAsiaTheme="minorEastAsia" w:hAnsiTheme="minorEastAsia" w:hint="eastAsia"/>
          <w:sz w:val="21"/>
        </w:rPr>
        <w:t>本基金更换基金管理人；</w:t>
      </w:r>
    </w:p>
    <w:p w:rsidR="001D2E2F" w:rsidRPr="00960F82" w:rsidRDefault="001D2E2F" w:rsidP="007F114F">
      <w:pPr>
        <w:pStyle w:val="a8"/>
        <w:numPr>
          <w:ilvl w:val="1"/>
          <w:numId w:val="32"/>
        </w:numPr>
        <w:tabs>
          <w:tab w:val="clear" w:pos="1620"/>
          <w:tab w:val="num" w:pos="1260"/>
        </w:tabs>
        <w:snapToGrid w:val="0"/>
        <w:spacing w:line="360" w:lineRule="auto"/>
        <w:ind w:firstLineChars="0" w:firstLine="150"/>
        <w:rPr>
          <w:rFonts w:asciiTheme="minorEastAsia" w:eastAsiaTheme="minorEastAsia" w:hAnsiTheme="minorEastAsia"/>
          <w:sz w:val="21"/>
        </w:rPr>
      </w:pPr>
      <w:r w:rsidRPr="00960F82">
        <w:rPr>
          <w:rFonts w:asciiTheme="minorEastAsia" w:eastAsiaTheme="minorEastAsia" w:hAnsiTheme="minorEastAsia" w:hint="eastAsia"/>
          <w:sz w:val="21"/>
        </w:rPr>
        <w:t>发生《试点办法》或其他法律法规规定的终止事项。</w:t>
      </w:r>
    </w:p>
    <w:p w:rsidR="001D2E2F" w:rsidRPr="00960F82" w:rsidRDefault="001D2E2F" w:rsidP="00084917">
      <w:pPr>
        <w:snapToGrid w:val="0"/>
        <w:spacing w:line="360" w:lineRule="auto"/>
        <w:ind w:firstLine="420"/>
        <w:rPr>
          <w:rFonts w:asciiTheme="minorEastAsia" w:eastAsiaTheme="minorEastAsia" w:hAnsiTheme="minorEastAsia"/>
          <w:szCs w:val="21"/>
        </w:rPr>
      </w:pPr>
    </w:p>
    <w:p w:rsidR="001D2E2F" w:rsidRPr="00960F82" w:rsidRDefault="001D2E2F" w:rsidP="00084917">
      <w:pPr>
        <w:pStyle w:val="10"/>
        <w:snapToGrid w:val="0"/>
        <w:spacing w:before="312" w:after="312" w:line="360" w:lineRule="auto"/>
        <w:ind w:firstLine="643"/>
        <w:rPr>
          <w:rFonts w:asciiTheme="minorEastAsia" w:eastAsiaTheme="minorEastAsia" w:hAnsiTheme="minorEastAsia"/>
          <w:b/>
          <w:bCs/>
        </w:rPr>
      </w:pPr>
      <w:bookmarkStart w:id="1582" w:name="_Toc92774766"/>
      <w:bookmarkStart w:id="1583" w:name="_Toc30161832"/>
      <w:r w:rsidRPr="00960F82">
        <w:rPr>
          <w:rFonts w:asciiTheme="minorEastAsia" w:eastAsiaTheme="minorEastAsia" w:hAnsiTheme="minorEastAsia" w:hint="eastAsia"/>
          <w:b/>
          <w:bCs/>
        </w:rPr>
        <w:lastRenderedPageBreak/>
        <w:t>二十、对基金份额持有人的服务</w:t>
      </w:r>
      <w:bookmarkEnd w:id="1582"/>
      <w:bookmarkEnd w:id="1583"/>
    </w:p>
    <w:p w:rsidR="001D2E2F" w:rsidRPr="00960F82" w:rsidRDefault="001D2E2F" w:rsidP="00084917">
      <w:pPr>
        <w:pStyle w:val="affd"/>
        <w:snapToGrid w:val="0"/>
        <w:spacing w:line="360" w:lineRule="auto"/>
        <w:ind w:firstLineChars="200"/>
        <w:rPr>
          <w:rFonts w:asciiTheme="minorEastAsia" w:eastAsiaTheme="minorEastAsia" w:hAnsiTheme="minorEastAsia"/>
          <w:b/>
        </w:rPr>
      </w:pPr>
      <w:r w:rsidRPr="00960F82">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1D2E2F" w:rsidRPr="00960F82" w:rsidRDefault="001D2E2F" w:rsidP="007F114F">
      <w:pPr>
        <w:numPr>
          <w:ilvl w:val="0"/>
          <w:numId w:val="34"/>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基金份额持有人投资交易确认服务</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注册登记机构保留基金份额持有人名册上列明的所有基金份额持有人的基金交易记录。</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基金管理人直销</w:t>
      </w:r>
      <w:r w:rsidR="006B6B03" w:rsidRPr="00960F82">
        <w:rPr>
          <w:rFonts w:asciiTheme="minorEastAsia" w:eastAsiaTheme="minorEastAsia" w:hAnsiTheme="minorEastAsia" w:hint="eastAsia"/>
        </w:rPr>
        <w:t>网点</w:t>
      </w:r>
      <w:r w:rsidRPr="00960F82">
        <w:rPr>
          <w:rFonts w:asciiTheme="minorEastAsia" w:eastAsiaTheme="minorEastAsia" w:hAnsiTheme="minorEastAsia" w:hint="eastAsia"/>
        </w:rPr>
        <w:t>应根据在基金管理人直销</w:t>
      </w:r>
      <w:r w:rsidR="006B6B03" w:rsidRPr="00960F82">
        <w:rPr>
          <w:rFonts w:asciiTheme="minorEastAsia" w:eastAsiaTheme="minorEastAsia" w:hAnsiTheme="minorEastAsia" w:hint="eastAsia"/>
        </w:rPr>
        <w:t>网点</w:t>
      </w:r>
      <w:r w:rsidRPr="00960F82">
        <w:rPr>
          <w:rFonts w:asciiTheme="minorEastAsia" w:eastAsiaTheme="minorEastAsia" w:hAnsiTheme="minorEastAsia" w:hint="eastAsia"/>
        </w:rPr>
        <w:t>进行交易的投资者的要求提</w:t>
      </w:r>
      <w:r w:rsidR="006B6B03" w:rsidRPr="00960F82">
        <w:rPr>
          <w:rFonts w:asciiTheme="minorEastAsia" w:eastAsiaTheme="minorEastAsia" w:hAnsiTheme="minorEastAsia" w:hint="eastAsia"/>
        </w:rPr>
        <w:t>供</w:t>
      </w:r>
      <w:r w:rsidRPr="00960F82">
        <w:rPr>
          <w:rFonts w:asciiTheme="minorEastAsia" w:eastAsiaTheme="minorEastAsia" w:hAnsiTheme="minorEastAsia" w:hint="eastAsia"/>
        </w:rPr>
        <w:t>成交确认单。</w:t>
      </w:r>
      <w:r w:rsidR="006A5737" w:rsidRPr="00960F82">
        <w:rPr>
          <w:rFonts w:asciiTheme="minorEastAsia" w:eastAsiaTheme="minorEastAsia" w:hAnsiTheme="minorEastAsia" w:hint="eastAsia"/>
        </w:rPr>
        <w:t>基金非直销销售机构应根据在销售网点进行交易的投资者的要求提供成交确认单</w:t>
      </w:r>
      <w:r w:rsidR="0001554E" w:rsidRPr="00960F82">
        <w:rPr>
          <w:rFonts w:asciiTheme="minorEastAsia" w:eastAsiaTheme="minorEastAsia" w:hAnsiTheme="minorEastAsia" w:hint="eastAsia"/>
        </w:rPr>
        <w:t>。</w:t>
      </w:r>
    </w:p>
    <w:p w:rsidR="001D2E2F" w:rsidRPr="00960F82" w:rsidRDefault="001D2E2F" w:rsidP="007F114F">
      <w:pPr>
        <w:numPr>
          <w:ilvl w:val="0"/>
          <w:numId w:val="34"/>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基金份额持有人交易记录查询服务</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本基金份额持有人可通过基金管理人的客户服务中心查询历史交易记录。</w:t>
      </w:r>
    </w:p>
    <w:p w:rsidR="001D2E2F" w:rsidRPr="00960F82" w:rsidRDefault="001D2E2F" w:rsidP="007F114F">
      <w:pPr>
        <w:numPr>
          <w:ilvl w:val="0"/>
          <w:numId w:val="34"/>
        </w:numPr>
        <w:autoSpaceDE w:val="0"/>
        <w:autoSpaceDN w:val="0"/>
        <w:adjustRightInd w:val="0"/>
        <w:snapToGrid w:val="0"/>
        <w:spacing w:line="360" w:lineRule="auto"/>
        <w:ind w:firstLine="422"/>
        <w:rPr>
          <w:rFonts w:asciiTheme="minorEastAsia" w:eastAsiaTheme="minorEastAsia" w:hAnsiTheme="minorEastAsia"/>
        </w:rPr>
      </w:pPr>
      <w:r w:rsidRPr="00960F82">
        <w:rPr>
          <w:rFonts w:asciiTheme="minorEastAsia" w:eastAsiaTheme="minorEastAsia" w:hAnsiTheme="minorEastAsia" w:hint="eastAsia"/>
          <w:b/>
        </w:rPr>
        <w:t>基金份额持有人的对账单服务</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1</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rPr>
        <w:t>基金份额持有人可登录本公司网站（http://www.efunds.com.cn）查阅对账单。</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2</w:t>
      </w:r>
      <w:r w:rsidR="00D759DD" w:rsidRPr="00960F82">
        <w:rPr>
          <w:rFonts w:asciiTheme="minorEastAsia" w:eastAsiaTheme="minorEastAsia" w:hAnsiTheme="minorEastAsia" w:hint="eastAsia"/>
        </w:rPr>
        <w:t>、</w:t>
      </w:r>
      <w:r w:rsidRPr="00960F82">
        <w:rPr>
          <w:rFonts w:asciiTheme="minorEastAsia" w:eastAsiaTheme="minorEastAsia" w:hAnsiTheme="minorEastAsia" w:hint="eastAsia"/>
        </w:rPr>
        <w:t>基金份额持有人也可向本公司定制纸质、电子或短信形式的定期或不定期对账单。</w:t>
      </w:r>
    </w:p>
    <w:p w:rsidR="00147190" w:rsidRPr="00960F82" w:rsidRDefault="00147190" w:rsidP="00084917">
      <w:pPr>
        <w:snapToGrid w:val="0"/>
        <w:spacing w:line="360" w:lineRule="auto"/>
        <w:ind w:left="420"/>
        <w:rPr>
          <w:rFonts w:asciiTheme="minorEastAsia" w:eastAsiaTheme="minorEastAsia" w:hAnsiTheme="minorEastAsia"/>
          <w:szCs w:val="21"/>
        </w:rPr>
      </w:pPr>
      <w:r w:rsidRPr="00960F82">
        <w:rPr>
          <w:rFonts w:asciiTheme="minorEastAsia" w:eastAsiaTheme="minorEastAsia" w:hAnsiTheme="minorEastAsia" w:hint="eastAsia"/>
          <w:szCs w:val="21"/>
        </w:rPr>
        <w:t>具体查阅和定制账单的方法可参见本公司网站或拨打客服热线咨询。</w:t>
      </w:r>
    </w:p>
    <w:p w:rsidR="001D2E2F" w:rsidRPr="00960F82" w:rsidRDefault="001D2E2F" w:rsidP="007F114F">
      <w:pPr>
        <w:numPr>
          <w:ilvl w:val="0"/>
          <w:numId w:val="34"/>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定期定额投资计划</w:t>
      </w:r>
    </w:p>
    <w:p w:rsidR="001D2E2F" w:rsidRPr="00960F82" w:rsidRDefault="00BF0AC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kern w:val="0"/>
        </w:rPr>
        <w:t>基金管理人可利用</w:t>
      </w:r>
      <w:r w:rsidR="006A5737" w:rsidRPr="00960F82">
        <w:rPr>
          <w:rFonts w:asciiTheme="minorEastAsia" w:eastAsiaTheme="minorEastAsia" w:hAnsiTheme="minorEastAsia" w:hint="eastAsia"/>
        </w:rPr>
        <w:t>非直销销售</w:t>
      </w:r>
      <w:r w:rsidRPr="00960F82">
        <w:rPr>
          <w:rFonts w:asciiTheme="minorEastAsia" w:eastAsiaTheme="minorEastAsia" w:hAnsiTheme="minorEastAsia" w:hint="eastAsia"/>
          <w:kern w:val="0"/>
        </w:rPr>
        <w:t>机构网点和本公司网上交易系统为投资者提供定期定额投资的</w:t>
      </w:r>
      <w:r w:rsidRPr="00960F82">
        <w:rPr>
          <w:rFonts w:asciiTheme="minorEastAsia" w:eastAsiaTheme="minorEastAsia" w:hAnsiTheme="minorEastAsia" w:hint="eastAsia"/>
          <w:kern w:val="0"/>
          <w:szCs w:val="21"/>
        </w:rPr>
        <w:t>服务（本公司网上交易系统的定期定额投资服务目前仅对个人投资者开通）。</w:t>
      </w:r>
      <w:r w:rsidR="001D2E2F" w:rsidRPr="00960F82">
        <w:rPr>
          <w:rFonts w:asciiTheme="minorEastAsia" w:eastAsiaTheme="minorEastAsia" w:hAnsiTheme="minorEastAsia" w:hint="eastAsia"/>
        </w:rPr>
        <w:t>通过定期定额投资计划，投资者可以通过固定的渠道，定期定额申购基金份额，具体实施方法见相关公告。</w:t>
      </w:r>
    </w:p>
    <w:p w:rsidR="001D2E2F" w:rsidRPr="00960F82" w:rsidRDefault="001D2E2F" w:rsidP="007F114F">
      <w:pPr>
        <w:numPr>
          <w:ilvl w:val="0"/>
          <w:numId w:val="34"/>
        </w:numPr>
        <w:autoSpaceDE w:val="0"/>
        <w:autoSpaceDN w:val="0"/>
        <w:adjustRightInd w:val="0"/>
        <w:snapToGrid w:val="0"/>
        <w:spacing w:line="360" w:lineRule="auto"/>
        <w:ind w:firstLine="482"/>
        <w:rPr>
          <w:rFonts w:asciiTheme="minorEastAsia" w:eastAsiaTheme="minorEastAsia" w:hAnsiTheme="minorEastAsia"/>
          <w:b/>
          <w:bCs/>
        </w:rPr>
      </w:pPr>
      <w:r w:rsidRPr="00960F82">
        <w:rPr>
          <w:rFonts w:asciiTheme="minorEastAsia" w:eastAsiaTheme="minorEastAsia" w:hAnsiTheme="minorEastAsia" w:hint="eastAsia"/>
          <w:b/>
          <w:bCs/>
        </w:rPr>
        <w:t>资讯服务</w:t>
      </w:r>
    </w:p>
    <w:p w:rsidR="001D2E2F" w:rsidRPr="00960F82" w:rsidRDefault="00D759DD" w:rsidP="00D759DD">
      <w:pPr>
        <w:pStyle w:val="a6"/>
        <w:tabs>
          <w:tab w:val="left" w:pos="735"/>
        </w:tabs>
        <w:snapToGrid w:val="0"/>
        <w:spacing w:line="360" w:lineRule="auto"/>
        <w:ind w:left="420" w:firstLine="0"/>
        <w:rPr>
          <w:rFonts w:asciiTheme="minorEastAsia" w:eastAsiaTheme="minorEastAsia" w:hAnsiTheme="minorEastAsia"/>
          <w:b/>
          <w:bCs/>
        </w:rPr>
      </w:pPr>
      <w:r w:rsidRPr="00960F82">
        <w:rPr>
          <w:rFonts w:asciiTheme="minorEastAsia" w:eastAsiaTheme="minorEastAsia" w:hAnsiTheme="minorEastAsia" w:hint="eastAsia"/>
          <w:b/>
          <w:bCs/>
        </w:rPr>
        <w:t>1、</w:t>
      </w:r>
      <w:r w:rsidR="001D2E2F" w:rsidRPr="00960F82">
        <w:rPr>
          <w:rFonts w:asciiTheme="minorEastAsia" w:eastAsiaTheme="minorEastAsia" w:hAnsiTheme="minorEastAsia" w:hint="eastAsia"/>
          <w:b/>
          <w:bCs/>
        </w:rPr>
        <w:t>客户服务电话</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投资者如果想了解申购与赎回的交易情况、基金账户余额、基金产品与服务等信息，</w:t>
      </w:r>
      <w:r w:rsidR="00F416CB" w:rsidRPr="00960F82">
        <w:rPr>
          <w:rFonts w:asciiTheme="minorEastAsia" w:eastAsiaTheme="minorEastAsia" w:hAnsiTheme="minorEastAsia" w:hint="eastAsia"/>
          <w:kern w:val="0"/>
        </w:rPr>
        <w:t>或反馈投资过程中需要投诉与建议的情况，</w:t>
      </w:r>
      <w:r w:rsidRPr="00960F82">
        <w:rPr>
          <w:rFonts w:asciiTheme="minorEastAsia" w:eastAsiaTheme="minorEastAsia" w:hAnsiTheme="minorEastAsia" w:hint="eastAsia"/>
        </w:rPr>
        <w:t>可拨打如下电话：4008818088</w:t>
      </w:r>
      <w:r w:rsidRPr="00960F82">
        <w:rPr>
          <w:rFonts w:asciiTheme="minorEastAsia" w:eastAsiaTheme="minorEastAsia" w:hAnsiTheme="minorEastAsia"/>
        </w:rPr>
        <w:t>（免长途话费）</w:t>
      </w:r>
      <w:r w:rsidRPr="00960F82">
        <w:rPr>
          <w:rFonts w:asciiTheme="minorEastAsia" w:eastAsiaTheme="minorEastAsia" w:hAnsiTheme="minorEastAsia" w:hint="eastAsia"/>
        </w:rPr>
        <w:t>。</w:t>
      </w:r>
      <w:r w:rsidR="00F416CB" w:rsidRPr="00960F82">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1D2E2F" w:rsidRPr="00960F82" w:rsidRDefault="00D759DD" w:rsidP="00D759DD">
      <w:pPr>
        <w:pStyle w:val="a6"/>
        <w:tabs>
          <w:tab w:val="left" w:pos="735"/>
        </w:tabs>
        <w:snapToGrid w:val="0"/>
        <w:spacing w:line="360" w:lineRule="auto"/>
        <w:ind w:left="420" w:firstLine="0"/>
        <w:rPr>
          <w:rFonts w:asciiTheme="minorEastAsia" w:eastAsiaTheme="minorEastAsia" w:hAnsiTheme="minorEastAsia"/>
          <w:b/>
          <w:bCs/>
        </w:rPr>
      </w:pPr>
      <w:r w:rsidRPr="00960F82">
        <w:rPr>
          <w:rFonts w:asciiTheme="minorEastAsia" w:eastAsiaTheme="minorEastAsia" w:hAnsiTheme="minorEastAsia" w:hint="eastAsia"/>
          <w:b/>
          <w:bCs/>
        </w:rPr>
        <w:t>2、</w:t>
      </w:r>
      <w:r w:rsidR="001D2E2F" w:rsidRPr="00960F82">
        <w:rPr>
          <w:rFonts w:asciiTheme="minorEastAsia" w:eastAsiaTheme="minorEastAsia" w:hAnsiTheme="minorEastAsia" w:hint="eastAsia"/>
          <w:b/>
          <w:bCs/>
        </w:rPr>
        <w:t>互联网站及电子信箱</w:t>
      </w:r>
    </w:p>
    <w:p w:rsidR="001D2E2F" w:rsidRPr="00960F82" w:rsidRDefault="001D2E2F" w:rsidP="00084917">
      <w:pPr>
        <w:pStyle w:val="affd"/>
        <w:snapToGrid w:val="0"/>
        <w:spacing w:line="360" w:lineRule="auto"/>
        <w:ind w:firstLineChars="200"/>
        <w:rPr>
          <w:rFonts w:asciiTheme="minorEastAsia" w:eastAsiaTheme="minorEastAsia" w:hAnsiTheme="minorEastAsia"/>
        </w:rPr>
      </w:pPr>
      <w:r w:rsidRPr="00960F82">
        <w:rPr>
          <w:rFonts w:asciiTheme="minorEastAsia" w:eastAsiaTheme="minorEastAsia" w:hAnsiTheme="minorEastAsia" w:hint="eastAsia"/>
        </w:rPr>
        <w:t>网址：</w:t>
      </w:r>
      <w:r w:rsidRPr="00960F82">
        <w:rPr>
          <w:rFonts w:asciiTheme="minorEastAsia" w:eastAsiaTheme="minorEastAsia" w:hAnsiTheme="minorEastAsia"/>
        </w:rPr>
        <w:t>http://www.efunds.com.cn</w:t>
      </w:r>
    </w:p>
    <w:p w:rsidR="001D2E2F" w:rsidRPr="00960F82" w:rsidRDefault="001D2E2F" w:rsidP="00084917">
      <w:pPr>
        <w:snapToGrid w:val="0"/>
        <w:spacing w:line="360" w:lineRule="auto"/>
        <w:ind w:firstLine="420"/>
        <w:rPr>
          <w:rFonts w:asciiTheme="minorEastAsia" w:eastAsiaTheme="minorEastAsia" w:hAnsiTheme="minorEastAsia"/>
          <w:szCs w:val="21"/>
        </w:rPr>
      </w:pPr>
      <w:r w:rsidRPr="00960F82">
        <w:rPr>
          <w:rFonts w:asciiTheme="minorEastAsia" w:eastAsiaTheme="minorEastAsia" w:hAnsiTheme="minorEastAsia" w:hint="eastAsia"/>
        </w:rPr>
        <w:t>电子信箱：</w:t>
      </w:r>
      <w:r w:rsidRPr="00960F82">
        <w:rPr>
          <w:rFonts w:asciiTheme="minorEastAsia" w:eastAsiaTheme="minorEastAsia" w:hAnsiTheme="minorEastAsia"/>
        </w:rPr>
        <w:t>service@efunds.com.cn</w:t>
      </w:r>
    </w:p>
    <w:p w:rsidR="001D2E2F" w:rsidRPr="00960F82" w:rsidRDefault="001D2E2F"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D759DD" w:rsidRPr="00960F82" w:rsidRDefault="00D759DD" w:rsidP="00084917">
      <w:pPr>
        <w:snapToGrid w:val="0"/>
        <w:spacing w:line="360" w:lineRule="auto"/>
        <w:ind w:firstLine="420"/>
        <w:rPr>
          <w:rFonts w:asciiTheme="minorEastAsia" w:eastAsiaTheme="minorEastAsia" w:hAnsiTheme="minorEastAsia"/>
          <w:szCs w:val="21"/>
        </w:rPr>
      </w:pPr>
    </w:p>
    <w:p w:rsidR="0072486B" w:rsidRPr="00960F82" w:rsidRDefault="001D2E2F" w:rsidP="00084917">
      <w:pPr>
        <w:pStyle w:val="10"/>
        <w:snapToGrid w:val="0"/>
        <w:spacing w:before="312" w:after="312" w:line="360" w:lineRule="auto"/>
        <w:ind w:firstLineChars="0" w:firstLine="643"/>
        <w:rPr>
          <w:rFonts w:asciiTheme="minorEastAsia" w:eastAsiaTheme="minorEastAsia" w:hAnsiTheme="minorEastAsia"/>
          <w:b/>
          <w:bCs/>
        </w:rPr>
      </w:pPr>
      <w:bookmarkStart w:id="1584" w:name="_Toc92774767"/>
      <w:bookmarkStart w:id="1585" w:name="_Toc30161833"/>
      <w:r w:rsidRPr="00960F82">
        <w:rPr>
          <w:rFonts w:asciiTheme="minorEastAsia" w:eastAsiaTheme="minorEastAsia" w:hAnsiTheme="minorEastAsia" w:hint="eastAsia"/>
          <w:b/>
          <w:bCs/>
        </w:rPr>
        <w:lastRenderedPageBreak/>
        <w:t>二十一、其他应披露事项</w:t>
      </w:r>
      <w:bookmarkEnd w:id="1584"/>
      <w:bookmarkEnd w:id="1585"/>
    </w:p>
    <w:tbl>
      <w:tblPr>
        <w:tblW w:w="5000" w:type="pct"/>
        <w:tblLayout w:type="fixed"/>
        <w:tblLook w:val="04A0" w:firstRow="1" w:lastRow="0" w:firstColumn="1" w:lastColumn="0" w:noHBand="0" w:noVBand="1"/>
      </w:tblPr>
      <w:tblGrid>
        <w:gridCol w:w="7055"/>
        <w:gridCol w:w="1467"/>
      </w:tblGrid>
      <w:tr w:rsidR="00960F82" w:rsidRPr="00960F82" w:rsidTr="007F114F">
        <w:trPr>
          <w:trHeight w:val="285"/>
        </w:trPr>
        <w:tc>
          <w:tcPr>
            <w:tcW w:w="41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0B90" w:rsidRPr="00960F82" w:rsidRDefault="00083CDE" w:rsidP="00A40B90">
            <w:pPr>
              <w:widowControl/>
              <w:jc w:val="center"/>
              <w:rPr>
                <w:rFonts w:asciiTheme="minorEastAsia" w:eastAsiaTheme="minorEastAsia" w:hAnsiTheme="minorEastAsia" w:cs="宋体"/>
                <w:kern w:val="0"/>
                <w:szCs w:val="21"/>
              </w:rPr>
            </w:pPr>
            <w:r w:rsidRPr="00960F82">
              <w:rPr>
                <w:rFonts w:asciiTheme="minorEastAsia" w:eastAsiaTheme="minorEastAsia" w:hAnsiTheme="minorEastAsia" w:cs="宋体" w:hint="eastAsia"/>
                <w:kern w:val="0"/>
                <w:szCs w:val="21"/>
              </w:rPr>
              <w:t>公告事项</w:t>
            </w:r>
          </w:p>
        </w:tc>
        <w:tc>
          <w:tcPr>
            <w:tcW w:w="861" w:type="pct"/>
            <w:tcBorders>
              <w:top w:val="single" w:sz="8" w:space="0" w:color="auto"/>
              <w:left w:val="nil"/>
              <w:bottom w:val="single" w:sz="8" w:space="0" w:color="auto"/>
              <w:right w:val="single" w:sz="8" w:space="0" w:color="auto"/>
            </w:tcBorders>
            <w:shd w:val="clear" w:color="auto" w:fill="auto"/>
            <w:vAlign w:val="center"/>
            <w:hideMark/>
          </w:tcPr>
          <w:p w:rsidR="00A40B90" w:rsidRPr="00960F82" w:rsidRDefault="00083CDE" w:rsidP="00A40B90">
            <w:pPr>
              <w:widowControl/>
              <w:jc w:val="center"/>
              <w:rPr>
                <w:rFonts w:asciiTheme="minorEastAsia" w:eastAsiaTheme="minorEastAsia" w:hAnsiTheme="minorEastAsia" w:cs="宋体"/>
                <w:kern w:val="0"/>
                <w:szCs w:val="21"/>
              </w:rPr>
            </w:pPr>
            <w:r w:rsidRPr="00960F82">
              <w:rPr>
                <w:rFonts w:asciiTheme="minorEastAsia" w:eastAsiaTheme="minorEastAsia" w:hAnsiTheme="minorEastAsia" w:cs="宋体" w:hint="eastAsia"/>
                <w:kern w:val="0"/>
                <w:szCs w:val="21"/>
              </w:rPr>
              <w:t>披露日期</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易方达基金管理有限公司关于成都分公司营业场所变更的公告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2019-03-13</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易方达基金管理有限公司关于旗下部分开放式基金参加利得基金费率优惠活动的公告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2019-03-13</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tabs>
                <w:tab w:val="left" w:pos="1365"/>
              </w:tabs>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易方达基金管理有限公司关于提醒投资者及时提供或更新身份信息资料的公告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2019-03-19</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易方达基金管理有限公司关于旗下部分开放式基金参加昆仑银行费率优惠活动的公告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2019-03-29</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易方达基金管理有限公司关于旗下部分开放式基金参加交通银行手机银行申购及定期定额投资费率优惠活动的公告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2019-03-30</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易方达基金管理有限公司关于旗下部分开放式基金参加泉州银行费率优惠活动的公告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2019-04-01</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易方达基金管理有限公司关于旗下部分开放式基金参加中国工商银行申购费率优惠活动的公告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2019-04-01</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易方达基金管理有限公司关于旗下部分开放式基金增加青岛银行为销售机构的公告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2019-04-08</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易方达基金管理有限公司关于旗下部分开放式基金参加国盛证券费率优惠活动的公告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2019-04-12</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易方达基金管理有限公司关于旗下部分开放式基金参加齐商银行费率优惠活动的公告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2019-05-07</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易方达基金管理有限公司关于旗下部分开放式基金参加中国民生银行费率优惠活动的公告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2019-05-16</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易方达基金管理有限公司关于民族证券并入方正证券期间基金业务安排的提示性公告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2019-05-22</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易方达基金管理有限公司关于提醒网上直销个人投资者及时上传身份证件照片并完善、更新身份信息以免影响日常交易的公告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2019-05-28</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易方达基金管理有限公司关于调整转换业务货币市场基金未付收益支付规则的公告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2019-06-20</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易方达基金管理有限公司关于旗下部分开放式基金参加佛山农商银行费率优惠活动的公告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2019-06-21</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易方达基金管理有限公司关于旗下部分公开募集证券投资基金可投资于科创板股票的公告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2019-06-22</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易方达基金管理有限公司关于旗下部分开放式基金参加德邦证券费率优惠活动的公告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2019-06-24</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center"/>
            <w:hideMark/>
          </w:tcPr>
          <w:p w:rsidR="00083CDE" w:rsidRPr="00960F82" w:rsidRDefault="00083CDE" w:rsidP="00083CDE">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cs="宋体" w:hint="eastAsia"/>
                <w:kern w:val="0"/>
                <w:szCs w:val="21"/>
              </w:rPr>
              <w:t>易方达基金管理有限公司关于旗下部分开放式基金参加长城国瑞证券费率优惠活动的公告</w:t>
            </w:r>
          </w:p>
          <w:p w:rsidR="00083CDE" w:rsidRPr="00960F82" w:rsidRDefault="00083CDE" w:rsidP="00083CDE">
            <w:pPr>
              <w:widowControl/>
              <w:jc w:val="left"/>
              <w:rPr>
                <w:rFonts w:asciiTheme="minorEastAsia" w:eastAsiaTheme="minorEastAsia" w:hAnsiTheme="minorEastAsia" w:cs="宋体"/>
                <w:kern w:val="0"/>
                <w:szCs w:val="21"/>
              </w:rPr>
            </w:pP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2019-06-28</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易方达基金管理有限公司关于旗下部分开放式基金参加云南红塔银行费率优惠活动的公告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2019-07-05</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center"/>
            <w:hideMark/>
          </w:tcPr>
          <w:p w:rsidR="00083CDE" w:rsidRPr="00960F82" w:rsidRDefault="00083CDE" w:rsidP="00083CDE">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cs="宋体" w:hint="eastAsia"/>
                <w:kern w:val="0"/>
                <w:szCs w:val="21"/>
              </w:rPr>
              <w:t>易方达基金管理有限公司关于旗下部分开放式基金参加安信证券定期定额</w:t>
            </w:r>
            <w:r w:rsidRPr="00960F82">
              <w:rPr>
                <w:rFonts w:asciiTheme="minorEastAsia" w:eastAsiaTheme="minorEastAsia" w:hAnsiTheme="minorEastAsia" w:cs="宋体" w:hint="eastAsia"/>
                <w:kern w:val="0"/>
                <w:szCs w:val="21"/>
              </w:rPr>
              <w:lastRenderedPageBreak/>
              <w:t>投资费率优惠活动的公告</w:t>
            </w:r>
          </w:p>
          <w:p w:rsidR="00083CDE" w:rsidRPr="00960F82" w:rsidRDefault="00083CDE" w:rsidP="00083CDE">
            <w:pPr>
              <w:widowControl/>
              <w:jc w:val="left"/>
              <w:rPr>
                <w:rFonts w:asciiTheme="minorEastAsia" w:eastAsiaTheme="minorEastAsia" w:hAnsiTheme="minorEastAsia" w:cs="宋体"/>
                <w:kern w:val="0"/>
                <w:szCs w:val="21"/>
              </w:rPr>
            </w:pP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lastRenderedPageBreak/>
              <w:t>2019-07-15</w:t>
            </w:r>
          </w:p>
        </w:tc>
      </w:tr>
      <w:tr w:rsidR="00960F82" w:rsidRPr="00960F82" w:rsidTr="00960F82">
        <w:trPr>
          <w:trHeight w:val="285"/>
        </w:trPr>
        <w:tc>
          <w:tcPr>
            <w:tcW w:w="4139" w:type="pct"/>
            <w:tcBorders>
              <w:top w:val="nil"/>
              <w:left w:val="single" w:sz="8" w:space="0" w:color="auto"/>
              <w:bottom w:val="single" w:sz="8"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易方达基金管理有限公司关于旗下部分开放式基金参加红塔证券费率优惠活动的公告</w:t>
            </w:r>
          </w:p>
        </w:tc>
        <w:tc>
          <w:tcPr>
            <w:tcW w:w="861" w:type="pct"/>
            <w:tcBorders>
              <w:top w:val="nil"/>
              <w:left w:val="nil"/>
              <w:bottom w:val="single" w:sz="8"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2019-07-15</w:t>
            </w:r>
          </w:p>
        </w:tc>
      </w:tr>
      <w:tr w:rsidR="00960F82" w:rsidRPr="00960F82" w:rsidTr="00960F82">
        <w:trPr>
          <w:trHeight w:val="285"/>
        </w:trPr>
        <w:tc>
          <w:tcPr>
            <w:tcW w:w="4139" w:type="pct"/>
            <w:tcBorders>
              <w:top w:val="nil"/>
              <w:left w:val="single" w:sz="8" w:space="0" w:color="auto"/>
              <w:bottom w:val="single" w:sz="4" w:space="0" w:color="auto"/>
              <w:right w:val="single" w:sz="8"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易方达基金管理有限公司关于旗下部分开放式基金参加海通证券费率优惠活动的公告</w:t>
            </w:r>
          </w:p>
        </w:tc>
        <w:tc>
          <w:tcPr>
            <w:tcW w:w="861" w:type="pct"/>
            <w:tcBorders>
              <w:top w:val="nil"/>
              <w:left w:val="nil"/>
              <w:bottom w:val="single" w:sz="4" w:space="0" w:color="auto"/>
              <w:right w:val="single" w:sz="8"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2019-08-12</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易方达基金管理有限公司关于旗下部分开放式基金参加销售机构申购费率优惠活动的公告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2019-08-13</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易方达基金管理有限公司关于暂停北京中期时代基金销售有限公司办理旗下基金相关销售业务的公告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autoSpaceDE w:val="0"/>
              <w:autoSpaceDN w:val="0"/>
              <w:adjustRightInd w:val="0"/>
              <w:jc w:val="center"/>
              <w:rPr>
                <w:rFonts w:asciiTheme="minorEastAsia" w:eastAsiaTheme="minorEastAsia" w:hAnsiTheme="minorEastAsia"/>
                <w:szCs w:val="21"/>
              </w:rPr>
            </w:pPr>
            <w:r w:rsidRPr="00960F82">
              <w:rPr>
                <w:rFonts w:asciiTheme="minorEastAsia" w:eastAsiaTheme="minorEastAsia" w:hAnsiTheme="minorEastAsia" w:cs="宋体"/>
                <w:kern w:val="0"/>
                <w:szCs w:val="21"/>
              </w:rPr>
              <w:t>2019-08-13</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易方达基金管理有限公司关于暂停北京加和基金销售有限公司办理旗下基金相关销售业务的公告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autoSpaceDE w:val="0"/>
              <w:autoSpaceDN w:val="0"/>
              <w:adjustRightInd w:val="0"/>
              <w:jc w:val="center"/>
              <w:rPr>
                <w:rFonts w:asciiTheme="minorEastAsia" w:eastAsiaTheme="minorEastAsia" w:hAnsiTheme="minorEastAsia"/>
                <w:szCs w:val="21"/>
              </w:rPr>
            </w:pPr>
            <w:r w:rsidRPr="00960F82">
              <w:rPr>
                <w:rFonts w:asciiTheme="minorEastAsia" w:eastAsiaTheme="minorEastAsia" w:hAnsiTheme="minorEastAsia" w:cs="宋体"/>
                <w:kern w:val="0"/>
                <w:szCs w:val="21"/>
              </w:rPr>
              <w:t>2019-08-14</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易方达基金管理有限公司关于暂停上海凯石财富基金销售有限公司办理旗下基金相关销售业务的公告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2019-08-14</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易方达基金管理有限公司关于暂停深圳宜投基金销售有限公司办理旗下基金相关销售业务的公告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2019-08-14</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易方达基金管理有限公司关于暂停厦门市鑫鼎盛控股有限公司办理旗下基金相关销售业务的公告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2019-08-14</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易方达基金管理有限公司关于旗下部分开放式基金参加潍坊银行费率优惠活动的公告</w:t>
            </w:r>
            <w:bookmarkStart w:id="1586" w:name="_GoBack"/>
            <w:bookmarkEnd w:id="1586"/>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2019-08-26</w:t>
            </w:r>
          </w:p>
        </w:tc>
      </w:tr>
      <w:tr w:rsidR="003C0187" w:rsidRPr="00960F82" w:rsidTr="003C0187">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3C0187" w:rsidRPr="003C0187" w:rsidRDefault="003C0187" w:rsidP="003C0187">
            <w:pPr>
              <w:widowControl/>
              <w:jc w:val="left"/>
              <w:rPr>
                <w:rFonts w:asciiTheme="minorEastAsia" w:eastAsiaTheme="minorEastAsia" w:hAnsiTheme="minorEastAsia" w:hint="eastAsia"/>
                <w:szCs w:val="21"/>
              </w:rPr>
            </w:pPr>
            <w:r w:rsidRPr="003C0187">
              <w:rPr>
                <w:rFonts w:asciiTheme="minorEastAsia" w:eastAsiaTheme="minorEastAsia" w:hAnsiTheme="minorEastAsia" w:hint="eastAsia"/>
                <w:szCs w:val="21"/>
              </w:rPr>
              <w:t>易方达基金管理有限公司旗下基金季度报告提示性公告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3C0187" w:rsidRPr="003C0187" w:rsidRDefault="003C0187" w:rsidP="003C0187">
            <w:pPr>
              <w:widowControl/>
              <w:jc w:val="center"/>
              <w:rPr>
                <w:rFonts w:asciiTheme="minorEastAsia" w:eastAsiaTheme="minorEastAsia" w:hAnsiTheme="minorEastAsia"/>
                <w:szCs w:val="21"/>
              </w:rPr>
            </w:pPr>
            <w:r w:rsidRPr="003C0187">
              <w:rPr>
                <w:rFonts w:asciiTheme="minorEastAsia" w:eastAsiaTheme="minorEastAsia" w:hAnsiTheme="minorEastAsia" w:hint="eastAsia"/>
                <w:szCs w:val="21"/>
              </w:rPr>
              <w:t>2019-10-24</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bottom"/>
          </w:tcPr>
          <w:p w:rsidR="00083CDE" w:rsidRPr="00960F82" w:rsidRDefault="00083CDE" w:rsidP="00083CDE">
            <w:pPr>
              <w:widowControl/>
              <w:jc w:val="left"/>
              <w:rPr>
                <w:rFonts w:asciiTheme="minorEastAsia" w:eastAsiaTheme="minorEastAsia" w:hAnsiTheme="minorEastAsia" w:cs="宋体"/>
                <w:kern w:val="0"/>
                <w:szCs w:val="21"/>
              </w:rPr>
            </w:pPr>
            <w:r w:rsidRPr="00960F82">
              <w:rPr>
                <w:rFonts w:asciiTheme="minorEastAsia" w:eastAsiaTheme="minorEastAsia" w:hAnsiTheme="minorEastAsia" w:hint="eastAsia"/>
                <w:szCs w:val="21"/>
              </w:rPr>
              <w:t>易方达基金管理有限公司旗下部分开放式基金参加方正证券费率优惠活动的公告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2019-11-08</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cs="宋体" w:hint="eastAsia"/>
                <w:kern w:val="0"/>
                <w:szCs w:val="21"/>
              </w:rPr>
              <w:t>易方达基金管理有限公司旗下部分开放式基金增加中邮证券为销售机构的公告</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083CDE" w:rsidRPr="00960F82" w:rsidRDefault="00083CDE"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szCs w:val="21"/>
              </w:rPr>
              <w:t>2019-12-16</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易方达基金管理有限公司旗下部分开放式基金参加中国邮政储蓄银行个人网上银行和手机银行申购费率优惠活动的公告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2019-12-30</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易方达基金管理有限公司关于公司股权变更的公告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易方达基金管理有限公司旗下部分开放式基金参加烟台银行定期定额投资费率优惠活动的公告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易方达基金管理有限公司旗下部分开放式基金参加交通银行手机银行费率优惠活动的公告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易方达基金管理有限公司旗下部分开放式基金参加中国工商银行“2020倾心回馈”基金定期定额投资费率优惠活动的公告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易方达基金管理有限公司旗下部分开放式基金参加中国工商银行个人电子银行渠道申购费率优惠活动的公告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易方达基金管理有限公司旗下部分开放式基金参加昆仑银行费率优惠活动的公告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易方达基金管理有限公司旗下部分开放式基金参加苏州银行费率优惠活动的公告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r w:rsidR="00960F82" w:rsidRPr="00960F82" w:rsidTr="00960F82">
        <w:trPr>
          <w:trHeight w:val="285"/>
        </w:trPr>
        <w:tc>
          <w:tcPr>
            <w:tcW w:w="4139"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autoSpaceDE w:val="0"/>
              <w:autoSpaceDN w:val="0"/>
              <w:adjustRightInd w:val="0"/>
              <w:jc w:val="left"/>
              <w:rPr>
                <w:rFonts w:asciiTheme="minorEastAsia" w:eastAsiaTheme="minorEastAsia" w:hAnsiTheme="minorEastAsia" w:cs="宋体"/>
                <w:kern w:val="0"/>
                <w:szCs w:val="21"/>
              </w:rPr>
            </w:pPr>
            <w:r w:rsidRPr="00960F82">
              <w:rPr>
                <w:rFonts w:asciiTheme="minorEastAsia" w:eastAsiaTheme="minorEastAsia" w:hAnsiTheme="minorEastAsia" w:hint="eastAsia"/>
              </w:rPr>
              <w:t>易方达基金管理有限公司关于易方达积极成长证券投资基金根据《公开募集证券投资基金信息披露管理办法》修订基金合同、托管协议部分条款的公告</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960F82" w:rsidRPr="00960F82" w:rsidRDefault="00960F82" w:rsidP="00960F82">
            <w:pPr>
              <w:widowControl/>
              <w:jc w:val="center"/>
              <w:rPr>
                <w:rFonts w:asciiTheme="minorEastAsia" w:eastAsiaTheme="minorEastAsia" w:hAnsiTheme="minorEastAsia"/>
                <w:szCs w:val="21"/>
              </w:rPr>
            </w:pPr>
            <w:r w:rsidRPr="00960F82">
              <w:rPr>
                <w:rFonts w:asciiTheme="minorEastAsia" w:eastAsiaTheme="minorEastAsia" w:hAnsiTheme="minorEastAsia" w:hint="eastAsia"/>
              </w:rPr>
              <w:t>2019-12-31</w:t>
            </w:r>
          </w:p>
        </w:tc>
      </w:tr>
    </w:tbl>
    <w:p w:rsidR="001221AF" w:rsidRPr="00960F82" w:rsidRDefault="006A69EA" w:rsidP="00084917">
      <w:pPr>
        <w:pStyle w:val="a6"/>
        <w:snapToGrid w:val="0"/>
        <w:spacing w:line="360" w:lineRule="auto"/>
        <w:ind w:firstLine="0"/>
        <w:rPr>
          <w:rFonts w:asciiTheme="minorEastAsia" w:eastAsiaTheme="minorEastAsia" w:hAnsiTheme="minorEastAsia"/>
          <w:szCs w:val="21"/>
        </w:rPr>
      </w:pPr>
      <w:r w:rsidRPr="00960F82">
        <w:rPr>
          <w:rFonts w:asciiTheme="minorEastAsia" w:eastAsiaTheme="minorEastAsia" w:hAnsiTheme="minorEastAsia" w:hint="eastAsia"/>
          <w:szCs w:val="21"/>
        </w:rPr>
        <w:t>注：</w:t>
      </w:r>
      <w:r w:rsidR="00D675F5" w:rsidRPr="00960F82">
        <w:rPr>
          <w:rFonts w:asciiTheme="minorEastAsia" w:eastAsiaTheme="minorEastAsia" w:hAnsiTheme="minorEastAsia" w:hint="eastAsia"/>
          <w:szCs w:val="21"/>
        </w:rPr>
        <w:t>以上公告事项披露在指定媒介及基金管理人网站上。</w:t>
      </w:r>
    </w:p>
    <w:p w:rsidR="00D759DD" w:rsidRPr="00960F82" w:rsidRDefault="00D759DD" w:rsidP="00084917">
      <w:pPr>
        <w:pStyle w:val="a6"/>
        <w:snapToGrid w:val="0"/>
        <w:spacing w:line="360" w:lineRule="auto"/>
        <w:rPr>
          <w:rFonts w:asciiTheme="minorEastAsia" w:eastAsiaTheme="minorEastAsia" w:hAnsiTheme="minorEastAsia"/>
          <w:szCs w:val="21"/>
        </w:rPr>
      </w:pPr>
    </w:p>
    <w:p w:rsidR="00FD63D6" w:rsidRPr="00960F82" w:rsidRDefault="00FD63D6" w:rsidP="0037562B">
      <w:pPr>
        <w:widowControl/>
        <w:jc w:val="left"/>
        <w:rPr>
          <w:rFonts w:asciiTheme="minorEastAsia" w:eastAsiaTheme="minorEastAsia" w:hAnsiTheme="minorEastAsia"/>
          <w:szCs w:val="21"/>
        </w:rPr>
        <w:sectPr w:rsidR="00FD63D6" w:rsidRPr="00960F82" w:rsidSect="005E306A">
          <w:pgSz w:w="11906" w:h="16838" w:code="9"/>
          <w:pgMar w:top="1440" w:right="1800" w:bottom="1440" w:left="1800" w:header="851" w:footer="992" w:gutter="0"/>
          <w:cols w:space="425"/>
          <w:titlePg/>
          <w:docGrid w:type="lines" w:linePitch="312"/>
        </w:sectPr>
      </w:pPr>
    </w:p>
    <w:p w:rsidR="001D2E2F" w:rsidRPr="00960F82" w:rsidRDefault="001D2E2F" w:rsidP="00084917">
      <w:pPr>
        <w:pStyle w:val="10"/>
        <w:snapToGrid w:val="0"/>
        <w:spacing w:before="312" w:after="312" w:line="360" w:lineRule="auto"/>
        <w:ind w:firstLineChars="0" w:firstLine="0"/>
        <w:rPr>
          <w:rFonts w:asciiTheme="minorEastAsia" w:eastAsiaTheme="minorEastAsia" w:hAnsiTheme="minorEastAsia"/>
          <w:b/>
          <w:bCs/>
        </w:rPr>
      </w:pPr>
      <w:bookmarkStart w:id="1587" w:name="_Toc92774768"/>
      <w:bookmarkStart w:id="1588" w:name="_Toc30161834"/>
      <w:r w:rsidRPr="00960F82">
        <w:rPr>
          <w:rFonts w:asciiTheme="minorEastAsia" w:eastAsiaTheme="minorEastAsia" w:hAnsiTheme="minorEastAsia" w:hint="eastAsia"/>
          <w:b/>
          <w:bCs/>
        </w:rPr>
        <w:lastRenderedPageBreak/>
        <w:t>二十二、招募说明书的存放及查阅方式</w:t>
      </w:r>
      <w:bookmarkEnd w:id="1587"/>
      <w:bookmarkEnd w:id="1588"/>
    </w:p>
    <w:p w:rsidR="001D2E2F" w:rsidRPr="00960F82" w:rsidRDefault="001D2E2F" w:rsidP="00084917">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本招募说明书存放在基金管理人、基金托管人及基金</w:t>
      </w:r>
      <w:r w:rsidR="0004048E" w:rsidRPr="00960F82">
        <w:rPr>
          <w:rFonts w:asciiTheme="minorEastAsia" w:eastAsiaTheme="minorEastAsia" w:hAnsiTheme="minorEastAsia" w:hint="eastAsia"/>
        </w:rPr>
        <w:t>销售</w:t>
      </w:r>
      <w:r w:rsidRPr="00960F82">
        <w:rPr>
          <w:rFonts w:asciiTheme="minorEastAsia" w:eastAsiaTheme="minorEastAsia" w:hAnsiTheme="minorEastAsia" w:hint="eastAsia"/>
        </w:rPr>
        <w:t>机构住所，投资者可在营业时间免费查阅，也可按工本费购买复印件。</w:t>
      </w:r>
      <w:r w:rsidRPr="00960F82">
        <w:rPr>
          <w:rFonts w:asciiTheme="minorEastAsia" w:eastAsiaTheme="minorEastAsia" w:hAnsiTheme="minorEastAsia"/>
        </w:rPr>
        <w:t>基金管理人和基金托管人保证</w:t>
      </w:r>
      <w:r w:rsidRPr="00960F82">
        <w:rPr>
          <w:rFonts w:asciiTheme="minorEastAsia" w:eastAsiaTheme="minorEastAsia" w:hAnsiTheme="minorEastAsia" w:hint="eastAsia"/>
        </w:rPr>
        <w:t>其所提供的</w:t>
      </w:r>
      <w:r w:rsidRPr="00960F82">
        <w:rPr>
          <w:rFonts w:asciiTheme="minorEastAsia" w:eastAsiaTheme="minorEastAsia" w:hAnsiTheme="minorEastAsia"/>
        </w:rPr>
        <w:t>文本的内容与所公告的内容完全一致。</w:t>
      </w:r>
    </w:p>
    <w:p w:rsidR="001D2E2F" w:rsidRPr="00960F82" w:rsidRDefault="001D2E2F"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D759DD" w:rsidRPr="00960F82" w:rsidRDefault="00D759DD" w:rsidP="00084917">
      <w:pPr>
        <w:snapToGrid w:val="0"/>
        <w:spacing w:line="360" w:lineRule="auto"/>
        <w:ind w:firstLine="480"/>
        <w:rPr>
          <w:rFonts w:asciiTheme="minorEastAsia" w:eastAsiaTheme="minorEastAsia" w:hAnsiTheme="minorEastAsia"/>
          <w:szCs w:val="21"/>
        </w:rPr>
      </w:pPr>
    </w:p>
    <w:p w:rsidR="001D2E2F" w:rsidRPr="00960F82" w:rsidRDefault="001D2E2F" w:rsidP="00084917">
      <w:pPr>
        <w:pStyle w:val="10"/>
        <w:snapToGrid w:val="0"/>
        <w:spacing w:before="312" w:after="312" w:line="360" w:lineRule="auto"/>
        <w:ind w:firstLineChars="0" w:firstLine="0"/>
        <w:rPr>
          <w:rFonts w:asciiTheme="minorEastAsia" w:eastAsiaTheme="minorEastAsia" w:hAnsiTheme="minorEastAsia"/>
          <w:b/>
          <w:bCs/>
        </w:rPr>
      </w:pPr>
      <w:bookmarkStart w:id="1589" w:name="_Toc38438310"/>
      <w:bookmarkStart w:id="1590" w:name="_Toc38438647"/>
      <w:bookmarkStart w:id="1591" w:name="_Toc38438984"/>
      <w:bookmarkStart w:id="1592" w:name="_Toc38439321"/>
      <w:bookmarkStart w:id="1593" w:name="_Toc38439658"/>
      <w:bookmarkStart w:id="1594" w:name="_Toc38439995"/>
      <w:bookmarkStart w:id="1595" w:name="_Toc38440332"/>
      <w:bookmarkStart w:id="1596" w:name="_Toc38440665"/>
      <w:bookmarkStart w:id="1597" w:name="_Toc38440864"/>
      <w:bookmarkStart w:id="1598" w:name="_Toc38441196"/>
      <w:bookmarkStart w:id="1599" w:name="_Toc38441528"/>
      <w:bookmarkStart w:id="1600" w:name="_Toc38441856"/>
      <w:bookmarkStart w:id="1601" w:name="_Toc38442188"/>
      <w:bookmarkStart w:id="1602" w:name="_Toc38442520"/>
      <w:bookmarkStart w:id="1603" w:name="_Toc38442851"/>
      <w:bookmarkStart w:id="1604" w:name="_Toc38443182"/>
      <w:bookmarkStart w:id="1605" w:name="_Toc38443513"/>
      <w:bookmarkStart w:id="1606" w:name="_Toc38443844"/>
      <w:bookmarkStart w:id="1607" w:name="_Toc38438311"/>
      <w:bookmarkStart w:id="1608" w:name="_Toc38438648"/>
      <w:bookmarkStart w:id="1609" w:name="_Toc38438985"/>
      <w:bookmarkStart w:id="1610" w:name="_Toc38439322"/>
      <w:bookmarkStart w:id="1611" w:name="_Toc38439659"/>
      <w:bookmarkStart w:id="1612" w:name="_Toc38439996"/>
      <w:bookmarkStart w:id="1613" w:name="_Toc38440333"/>
      <w:bookmarkStart w:id="1614" w:name="_Toc38440666"/>
      <w:bookmarkStart w:id="1615" w:name="_Toc38440865"/>
      <w:bookmarkStart w:id="1616" w:name="_Toc38441197"/>
      <w:bookmarkStart w:id="1617" w:name="_Toc38441529"/>
      <w:bookmarkStart w:id="1618" w:name="_Toc38441857"/>
      <w:bookmarkStart w:id="1619" w:name="_Toc38442189"/>
      <w:bookmarkStart w:id="1620" w:name="_Toc38442521"/>
      <w:bookmarkStart w:id="1621" w:name="_Toc38442852"/>
      <w:bookmarkStart w:id="1622" w:name="_Toc38443183"/>
      <w:bookmarkStart w:id="1623" w:name="_Toc38443514"/>
      <w:bookmarkStart w:id="1624" w:name="_Toc38443845"/>
      <w:bookmarkStart w:id="1625" w:name="_Toc38438312"/>
      <w:bookmarkStart w:id="1626" w:name="_Toc38438649"/>
      <w:bookmarkStart w:id="1627" w:name="_Toc38438986"/>
      <w:bookmarkStart w:id="1628" w:name="_Toc38439323"/>
      <w:bookmarkStart w:id="1629" w:name="_Toc38439660"/>
      <w:bookmarkStart w:id="1630" w:name="_Toc38439997"/>
      <w:bookmarkStart w:id="1631" w:name="_Toc38440334"/>
      <w:bookmarkStart w:id="1632" w:name="_Toc38440667"/>
      <w:bookmarkStart w:id="1633" w:name="_Toc38440866"/>
      <w:bookmarkStart w:id="1634" w:name="_Toc38441198"/>
      <w:bookmarkStart w:id="1635" w:name="_Toc38441530"/>
      <w:bookmarkStart w:id="1636" w:name="_Toc38441858"/>
      <w:bookmarkStart w:id="1637" w:name="_Toc38442190"/>
      <w:bookmarkStart w:id="1638" w:name="_Toc38442522"/>
      <w:bookmarkStart w:id="1639" w:name="_Toc38442853"/>
      <w:bookmarkStart w:id="1640" w:name="_Toc38443184"/>
      <w:bookmarkStart w:id="1641" w:name="_Toc38443515"/>
      <w:bookmarkStart w:id="1642" w:name="_Toc38443846"/>
      <w:bookmarkStart w:id="1643" w:name="_Toc38438313"/>
      <w:bookmarkStart w:id="1644" w:name="_Toc38438650"/>
      <w:bookmarkStart w:id="1645" w:name="_Toc38438987"/>
      <w:bookmarkStart w:id="1646" w:name="_Toc38439324"/>
      <w:bookmarkStart w:id="1647" w:name="_Toc38439661"/>
      <w:bookmarkStart w:id="1648" w:name="_Toc38439998"/>
      <w:bookmarkStart w:id="1649" w:name="_Toc38440335"/>
      <w:bookmarkStart w:id="1650" w:name="_Toc38440668"/>
      <w:bookmarkStart w:id="1651" w:name="_Toc38440867"/>
      <w:bookmarkStart w:id="1652" w:name="_Toc38441199"/>
      <w:bookmarkStart w:id="1653" w:name="_Toc38441531"/>
      <w:bookmarkStart w:id="1654" w:name="_Toc38441859"/>
      <w:bookmarkStart w:id="1655" w:name="_Toc38442191"/>
      <w:bookmarkStart w:id="1656" w:name="_Toc38442523"/>
      <w:bookmarkStart w:id="1657" w:name="_Toc38442854"/>
      <w:bookmarkStart w:id="1658" w:name="_Toc38443185"/>
      <w:bookmarkStart w:id="1659" w:name="_Toc38443516"/>
      <w:bookmarkStart w:id="1660" w:name="_Toc38443847"/>
      <w:bookmarkStart w:id="1661" w:name="_Toc38438314"/>
      <w:bookmarkStart w:id="1662" w:name="_Toc38438651"/>
      <w:bookmarkStart w:id="1663" w:name="_Toc38438988"/>
      <w:bookmarkStart w:id="1664" w:name="_Toc38439325"/>
      <w:bookmarkStart w:id="1665" w:name="_Toc38439662"/>
      <w:bookmarkStart w:id="1666" w:name="_Toc38439999"/>
      <w:bookmarkStart w:id="1667" w:name="_Toc38440336"/>
      <w:bookmarkStart w:id="1668" w:name="_Toc38440669"/>
      <w:bookmarkStart w:id="1669" w:name="_Toc38440868"/>
      <w:bookmarkStart w:id="1670" w:name="_Toc38441200"/>
      <w:bookmarkStart w:id="1671" w:name="_Toc38441532"/>
      <w:bookmarkStart w:id="1672" w:name="_Toc38441860"/>
      <w:bookmarkStart w:id="1673" w:name="_Toc38442192"/>
      <w:bookmarkStart w:id="1674" w:name="_Toc38442524"/>
      <w:bookmarkStart w:id="1675" w:name="_Toc38442855"/>
      <w:bookmarkStart w:id="1676" w:name="_Toc38443186"/>
      <w:bookmarkStart w:id="1677" w:name="_Toc38443517"/>
      <w:bookmarkStart w:id="1678" w:name="_Toc38443848"/>
      <w:bookmarkStart w:id="1679" w:name="_Toc38438315"/>
      <w:bookmarkStart w:id="1680" w:name="_Toc38438652"/>
      <w:bookmarkStart w:id="1681" w:name="_Toc38438989"/>
      <w:bookmarkStart w:id="1682" w:name="_Toc38439326"/>
      <w:bookmarkStart w:id="1683" w:name="_Toc38439663"/>
      <w:bookmarkStart w:id="1684" w:name="_Toc38440000"/>
      <w:bookmarkStart w:id="1685" w:name="_Toc38440337"/>
      <w:bookmarkStart w:id="1686" w:name="_Toc38440670"/>
      <w:bookmarkStart w:id="1687" w:name="_Toc38440869"/>
      <w:bookmarkStart w:id="1688" w:name="_Toc38441201"/>
      <w:bookmarkStart w:id="1689" w:name="_Toc38441533"/>
      <w:bookmarkStart w:id="1690" w:name="_Toc38441861"/>
      <w:bookmarkStart w:id="1691" w:name="_Toc38442193"/>
      <w:bookmarkStart w:id="1692" w:name="_Toc38442525"/>
      <w:bookmarkStart w:id="1693" w:name="_Toc38442856"/>
      <w:bookmarkStart w:id="1694" w:name="_Toc38443187"/>
      <w:bookmarkStart w:id="1695" w:name="_Toc38443518"/>
      <w:bookmarkStart w:id="1696" w:name="_Toc38443849"/>
      <w:bookmarkStart w:id="1697" w:name="_Toc38438316"/>
      <w:bookmarkStart w:id="1698" w:name="_Toc38438653"/>
      <w:bookmarkStart w:id="1699" w:name="_Toc38438990"/>
      <w:bookmarkStart w:id="1700" w:name="_Toc38439327"/>
      <w:bookmarkStart w:id="1701" w:name="_Toc38439664"/>
      <w:bookmarkStart w:id="1702" w:name="_Toc38440001"/>
      <w:bookmarkStart w:id="1703" w:name="_Toc38440338"/>
      <w:bookmarkStart w:id="1704" w:name="_Toc38440671"/>
      <w:bookmarkStart w:id="1705" w:name="_Toc38440870"/>
      <w:bookmarkStart w:id="1706" w:name="_Toc38441202"/>
      <w:bookmarkStart w:id="1707" w:name="_Toc38441534"/>
      <w:bookmarkStart w:id="1708" w:name="_Toc38441862"/>
      <w:bookmarkStart w:id="1709" w:name="_Toc38442194"/>
      <w:bookmarkStart w:id="1710" w:name="_Toc38442526"/>
      <w:bookmarkStart w:id="1711" w:name="_Toc38442857"/>
      <w:bookmarkStart w:id="1712" w:name="_Toc38443188"/>
      <w:bookmarkStart w:id="1713" w:name="_Toc38443519"/>
      <w:bookmarkStart w:id="1714" w:name="_Toc38443850"/>
      <w:bookmarkStart w:id="1715" w:name="_Toc38438317"/>
      <w:bookmarkStart w:id="1716" w:name="_Toc38438654"/>
      <w:bookmarkStart w:id="1717" w:name="_Toc38438991"/>
      <w:bookmarkStart w:id="1718" w:name="_Toc38439328"/>
      <w:bookmarkStart w:id="1719" w:name="_Toc38439665"/>
      <w:bookmarkStart w:id="1720" w:name="_Toc38440002"/>
      <w:bookmarkStart w:id="1721" w:name="_Toc38440339"/>
      <w:bookmarkStart w:id="1722" w:name="_Toc38440672"/>
      <w:bookmarkStart w:id="1723" w:name="_Toc38440871"/>
      <w:bookmarkStart w:id="1724" w:name="_Toc38441203"/>
      <w:bookmarkStart w:id="1725" w:name="_Toc38441535"/>
      <w:bookmarkStart w:id="1726" w:name="_Toc38441863"/>
      <w:bookmarkStart w:id="1727" w:name="_Toc38442195"/>
      <w:bookmarkStart w:id="1728" w:name="_Toc38442527"/>
      <w:bookmarkStart w:id="1729" w:name="_Toc38442858"/>
      <w:bookmarkStart w:id="1730" w:name="_Toc38443189"/>
      <w:bookmarkStart w:id="1731" w:name="_Toc38443520"/>
      <w:bookmarkStart w:id="1732" w:name="_Toc38443851"/>
      <w:bookmarkStart w:id="1733" w:name="_Toc38438318"/>
      <w:bookmarkStart w:id="1734" w:name="_Toc38438655"/>
      <w:bookmarkStart w:id="1735" w:name="_Toc38438992"/>
      <w:bookmarkStart w:id="1736" w:name="_Toc38439329"/>
      <w:bookmarkStart w:id="1737" w:name="_Toc38439666"/>
      <w:bookmarkStart w:id="1738" w:name="_Toc38440003"/>
      <w:bookmarkStart w:id="1739" w:name="_Toc38440340"/>
      <w:bookmarkStart w:id="1740" w:name="_Toc38440673"/>
      <w:bookmarkStart w:id="1741" w:name="_Toc38440872"/>
      <w:bookmarkStart w:id="1742" w:name="_Toc38441204"/>
      <w:bookmarkStart w:id="1743" w:name="_Toc38441536"/>
      <w:bookmarkStart w:id="1744" w:name="_Toc38441864"/>
      <w:bookmarkStart w:id="1745" w:name="_Toc38442196"/>
      <w:bookmarkStart w:id="1746" w:name="_Toc38442528"/>
      <w:bookmarkStart w:id="1747" w:name="_Toc38442859"/>
      <w:bookmarkStart w:id="1748" w:name="_Toc38443190"/>
      <w:bookmarkStart w:id="1749" w:name="_Toc38443521"/>
      <w:bookmarkStart w:id="1750" w:name="_Toc38443852"/>
      <w:bookmarkStart w:id="1751" w:name="_Toc38438319"/>
      <w:bookmarkStart w:id="1752" w:name="_Toc38438656"/>
      <w:bookmarkStart w:id="1753" w:name="_Toc38438993"/>
      <w:bookmarkStart w:id="1754" w:name="_Toc38439330"/>
      <w:bookmarkStart w:id="1755" w:name="_Toc38439667"/>
      <w:bookmarkStart w:id="1756" w:name="_Toc38440004"/>
      <w:bookmarkStart w:id="1757" w:name="_Toc38440341"/>
      <w:bookmarkStart w:id="1758" w:name="_Toc38440674"/>
      <w:bookmarkStart w:id="1759" w:name="_Toc38440873"/>
      <w:bookmarkStart w:id="1760" w:name="_Toc38441205"/>
      <w:bookmarkStart w:id="1761" w:name="_Toc38441537"/>
      <w:bookmarkStart w:id="1762" w:name="_Toc38441865"/>
      <w:bookmarkStart w:id="1763" w:name="_Toc38442197"/>
      <w:bookmarkStart w:id="1764" w:name="_Toc38442529"/>
      <w:bookmarkStart w:id="1765" w:name="_Toc38442860"/>
      <w:bookmarkStart w:id="1766" w:name="_Toc38443191"/>
      <w:bookmarkStart w:id="1767" w:name="_Toc38443522"/>
      <w:bookmarkStart w:id="1768" w:name="_Toc38443853"/>
      <w:bookmarkStart w:id="1769" w:name="_Toc38438320"/>
      <w:bookmarkStart w:id="1770" w:name="_Toc38438657"/>
      <w:bookmarkStart w:id="1771" w:name="_Toc38438994"/>
      <w:bookmarkStart w:id="1772" w:name="_Toc38439331"/>
      <w:bookmarkStart w:id="1773" w:name="_Toc38439668"/>
      <w:bookmarkStart w:id="1774" w:name="_Toc38440005"/>
      <w:bookmarkStart w:id="1775" w:name="_Toc38440342"/>
      <w:bookmarkStart w:id="1776" w:name="_Toc38440675"/>
      <w:bookmarkStart w:id="1777" w:name="_Toc38440874"/>
      <w:bookmarkStart w:id="1778" w:name="_Toc38441206"/>
      <w:bookmarkStart w:id="1779" w:name="_Toc38441538"/>
      <w:bookmarkStart w:id="1780" w:name="_Toc38441866"/>
      <w:bookmarkStart w:id="1781" w:name="_Toc38442198"/>
      <w:bookmarkStart w:id="1782" w:name="_Toc38442530"/>
      <w:bookmarkStart w:id="1783" w:name="_Toc38442861"/>
      <w:bookmarkStart w:id="1784" w:name="_Toc38443192"/>
      <w:bookmarkStart w:id="1785" w:name="_Toc38443523"/>
      <w:bookmarkStart w:id="1786" w:name="_Toc38443854"/>
      <w:bookmarkStart w:id="1787" w:name="_Toc38438321"/>
      <w:bookmarkStart w:id="1788" w:name="_Toc38438658"/>
      <w:bookmarkStart w:id="1789" w:name="_Toc38438995"/>
      <w:bookmarkStart w:id="1790" w:name="_Toc38439332"/>
      <w:bookmarkStart w:id="1791" w:name="_Toc38439669"/>
      <w:bookmarkStart w:id="1792" w:name="_Toc38440006"/>
      <w:bookmarkStart w:id="1793" w:name="_Toc38440343"/>
      <w:bookmarkStart w:id="1794" w:name="_Toc38440676"/>
      <w:bookmarkStart w:id="1795" w:name="_Toc38440875"/>
      <w:bookmarkStart w:id="1796" w:name="_Toc38441207"/>
      <w:bookmarkStart w:id="1797" w:name="_Toc38441539"/>
      <w:bookmarkStart w:id="1798" w:name="_Toc38441867"/>
      <w:bookmarkStart w:id="1799" w:name="_Toc38442199"/>
      <w:bookmarkStart w:id="1800" w:name="_Toc38442531"/>
      <w:bookmarkStart w:id="1801" w:name="_Toc38442862"/>
      <w:bookmarkStart w:id="1802" w:name="_Toc38443193"/>
      <w:bookmarkStart w:id="1803" w:name="_Toc38443524"/>
      <w:bookmarkStart w:id="1804" w:name="_Toc38443855"/>
      <w:bookmarkStart w:id="1805" w:name="_Toc38438322"/>
      <w:bookmarkStart w:id="1806" w:name="_Toc38438659"/>
      <w:bookmarkStart w:id="1807" w:name="_Toc38438996"/>
      <w:bookmarkStart w:id="1808" w:name="_Toc38439333"/>
      <w:bookmarkStart w:id="1809" w:name="_Toc38439670"/>
      <w:bookmarkStart w:id="1810" w:name="_Toc38440007"/>
      <w:bookmarkStart w:id="1811" w:name="_Toc38440344"/>
      <w:bookmarkStart w:id="1812" w:name="_Toc38440677"/>
      <w:bookmarkStart w:id="1813" w:name="_Toc38440876"/>
      <w:bookmarkStart w:id="1814" w:name="_Toc38441208"/>
      <w:bookmarkStart w:id="1815" w:name="_Toc38441540"/>
      <w:bookmarkStart w:id="1816" w:name="_Toc38441868"/>
      <w:bookmarkStart w:id="1817" w:name="_Toc38442200"/>
      <w:bookmarkStart w:id="1818" w:name="_Toc38442532"/>
      <w:bookmarkStart w:id="1819" w:name="_Toc38442863"/>
      <w:bookmarkStart w:id="1820" w:name="_Toc38443194"/>
      <w:bookmarkStart w:id="1821" w:name="_Toc38443525"/>
      <w:bookmarkStart w:id="1822" w:name="_Toc38443856"/>
      <w:bookmarkStart w:id="1823" w:name="_Toc38438323"/>
      <w:bookmarkStart w:id="1824" w:name="_Toc38438660"/>
      <w:bookmarkStart w:id="1825" w:name="_Toc38438997"/>
      <w:bookmarkStart w:id="1826" w:name="_Toc38439334"/>
      <w:bookmarkStart w:id="1827" w:name="_Toc38439671"/>
      <w:bookmarkStart w:id="1828" w:name="_Toc38440008"/>
      <w:bookmarkStart w:id="1829" w:name="_Toc38440345"/>
      <w:bookmarkStart w:id="1830" w:name="_Toc38440678"/>
      <w:bookmarkStart w:id="1831" w:name="_Toc38440877"/>
      <w:bookmarkStart w:id="1832" w:name="_Toc38441209"/>
      <w:bookmarkStart w:id="1833" w:name="_Toc38441541"/>
      <w:bookmarkStart w:id="1834" w:name="_Toc38441869"/>
      <w:bookmarkStart w:id="1835" w:name="_Toc38442201"/>
      <w:bookmarkStart w:id="1836" w:name="_Toc38442533"/>
      <w:bookmarkStart w:id="1837" w:name="_Toc38442864"/>
      <w:bookmarkStart w:id="1838" w:name="_Toc38443195"/>
      <w:bookmarkStart w:id="1839" w:name="_Toc38443526"/>
      <w:bookmarkStart w:id="1840" w:name="_Toc38443857"/>
      <w:bookmarkStart w:id="1841" w:name="_Toc38438324"/>
      <w:bookmarkStart w:id="1842" w:name="_Toc38438661"/>
      <w:bookmarkStart w:id="1843" w:name="_Toc38438998"/>
      <w:bookmarkStart w:id="1844" w:name="_Toc38439335"/>
      <w:bookmarkStart w:id="1845" w:name="_Toc38439672"/>
      <w:bookmarkStart w:id="1846" w:name="_Toc38440009"/>
      <w:bookmarkStart w:id="1847" w:name="_Toc38440346"/>
      <w:bookmarkStart w:id="1848" w:name="_Toc38440679"/>
      <w:bookmarkStart w:id="1849" w:name="_Toc38440878"/>
      <w:bookmarkStart w:id="1850" w:name="_Toc38441210"/>
      <w:bookmarkStart w:id="1851" w:name="_Toc38441542"/>
      <w:bookmarkStart w:id="1852" w:name="_Toc38441870"/>
      <w:bookmarkStart w:id="1853" w:name="_Toc38442202"/>
      <w:bookmarkStart w:id="1854" w:name="_Toc38442534"/>
      <w:bookmarkStart w:id="1855" w:name="_Toc38442865"/>
      <w:bookmarkStart w:id="1856" w:name="_Toc38443196"/>
      <w:bookmarkStart w:id="1857" w:name="_Toc38443527"/>
      <w:bookmarkStart w:id="1858" w:name="_Toc38443858"/>
      <w:bookmarkStart w:id="1859" w:name="_Toc38438325"/>
      <w:bookmarkStart w:id="1860" w:name="_Toc38438662"/>
      <w:bookmarkStart w:id="1861" w:name="_Toc38438999"/>
      <w:bookmarkStart w:id="1862" w:name="_Toc38439336"/>
      <w:bookmarkStart w:id="1863" w:name="_Toc38439673"/>
      <w:bookmarkStart w:id="1864" w:name="_Toc38440010"/>
      <w:bookmarkStart w:id="1865" w:name="_Toc38440347"/>
      <w:bookmarkStart w:id="1866" w:name="_Toc38440879"/>
      <w:bookmarkStart w:id="1867" w:name="_Toc38441211"/>
      <w:bookmarkStart w:id="1868" w:name="_Toc38441543"/>
      <w:bookmarkStart w:id="1869" w:name="_Toc38441871"/>
      <w:bookmarkStart w:id="1870" w:name="_Toc38442203"/>
      <w:bookmarkStart w:id="1871" w:name="_Toc38442535"/>
      <w:bookmarkStart w:id="1872" w:name="_Toc38442866"/>
      <w:bookmarkStart w:id="1873" w:name="_Toc38443197"/>
      <w:bookmarkStart w:id="1874" w:name="_Toc38443528"/>
      <w:bookmarkStart w:id="1875" w:name="_Toc38443859"/>
      <w:bookmarkStart w:id="1876" w:name="_Toc38438326"/>
      <w:bookmarkStart w:id="1877" w:name="_Toc38438663"/>
      <w:bookmarkStart w:id="1878" w:name="_Toc38439000"/>
      <w:bookmarkStart w:id="1879" w:name="_Toc38439337"/>
      <w:bookmarkStart w:id="1880" w:name="_Toc38439674"/>
      <w:bookmarkStart w:id="1881" w:name="_Toc38440011"/>
      <w:bookmarkStart w:id="1882" w:name="_Toc38440348"/>
      <w:bookmarkStart w:id="1883" w:name="_Toc38440880"/>
      <w:bookmarkStart w:id="1884" w:name="_Toc38441212"/>
      <w:bookmarkStart w:id="1885" w:name="_Toc38441544"/>
      <w:bookmarkStart w:id="1886" w:name="_Toc38441872"/>
      <w:bookmarkStart w:id="1887" w:name="_Toc38442204"/>
      <w:bookmarkStart w:id="1888" w:name="_Toc38442536"/>
      <w:bookmarkStart w:id="1889" w:name="_Toc38442867"/>
      <w:bookmarkStart w:id="1890" w:name="_Toc38443198"/>
      <w:bookmarkStart w:id="1891" w:name="_Toc38443529"/>
      <w:bookmarkStart w:id="1892" w:name="_Toc38443860"/>
      <w:bookmarkStart w:id="1893" w:name="_Toc38438327"/>
      <w:bookmarkStart w:id="1894" w:name="_Toc38438664"/>
      <w:bookmarkStart w:id="1895" w:name="_Toc38439001"/>
      <w:bookmarkStart w:id="1896" w:name="_Toc38439338"/>
      <w:bookmarkStart w:id="1897" w:name="_Toc38439675"/>
      <w:bookmarkStart w:id="1898" w:name="_Toc38440012"/>
      <w:bookmarkStart w:id="1899" w:name="_Toc38440349"/>
      <w:bookmarkStart w:id="1900" w:name="_Toc38440881"/>
      <w:bookmarkStart w:id="1901" w:name="_Toc38441213"/>
      <w:bookmarkStart w:id="1902" w:name="_Toc38441545"/>
      <w:bookmarkStart w:id="1903" w:name="_Toc38441873"/>
      <w:bookmarkStart w:id="1904" w:name="_Toc38442205"/>
      <w:bookmarkStart w:id="1905" w:name="_Toc38442537"/>
      <w:bookmarkStart w:id="1906" w:name="_Toc38442868"/>
      <w:bookmarkStart w:id="1907" w:name="_Toc38443199"/>
      <w:bookmarkStart w:id="1908" w:name="_Toc38443530"/>
      <w:bookmarkStart w:id="1909" w:name="_Toc38443861"/>
      <w:bookmarkStart w:id="1910" w:name="_Toc38438328"/>
      <w:bookmarkStart w:id="1911" w:name="_Toc38438665"/>
      <w:bookmarkStart w:id="1912" w:name="_Toc38439002"/>
      <w:bookmarkStart w:id="1913" w:name="_Toc38439339"/>
      <w:bookmarkStart w:id="1914" w:name="_Toc38439676"/>
      <w:bookmarkStart w:id="1915" w:name="_Toc38440013"/>
      <w:bookmarkStart w:id="1916" w:name="_Toc38440350"/>
      <w:bookmarkStart w:id="1917" w:name="_Toc38440882"/>
      <w:bookmarkStart w:id="1918" w:name="_Toc38441214"/>
      <w:bookmarkStart w:id="1919" w:name="_Toc38441546"/>
      <w:bookmarkStart w:id="1920" w:name="_Toc38441874"/>
      <w:bookmarkStart w:id="1921" w:name="_Toc38442206"/>
      <w:bookmarkStart w:id="1922" w:name="_Toc38442538"/>
      <w:bookmarkStart w:id="1923" w:name="_Toc38442869"/>
      <w:bookmarkStart w:id="1924" w:name="_Toc38443200"/>
      <w:bookmarkStart w:id="1925" w:name="_Toc38443531"/>
      <w:bookmarkStart w:id="1926" w:name="_Toc38443862"/>
      <w:bookmarkStart w:id="1927" w:name="_Toc38438329"/>
      <w:bookmarkStart w:id="1928" w:name="_Toc38438666"/>
      <w:bookmarkStart w:id="1929" w:name="_Toc38439003"/>
      <w:bookmarkStart w:id="1930" w:name="_Toc38439340"/>
      <w:bookmarkStart w:id="1931" w:name="_Toc38439677"/>
      <w:bookmarkStart w:id="1932" w:name="_Toc38440014"/>
      <w:bookmarkStart w:id="1933" w:name="_Toc38440351"/>
      <w:bookmarkStart w:id="1934" w:name="_Toc38440883"/>
      <w:bookmarkStart w:id="1935" w:name="_Toc38441215"/>
      <w:bookmarkStart w:id="1936" w:name="_Toc38441547"/>
      <w:bookmarkStart w:id="1937" w:name="_Toc38441875"/>
      <w:bookmarkStart w:id="1938" w:name="_Toc38442207"/>
      <w:bookmarkStart w:id="1939" w:name="_Toc38442539"/>
      <w:bookmarkStart w:id="1940" w:name="_Toc38442870"/>
      <w:bookmarkStart w:id="1941" w:name="_Toc38443201"/>
      <w:bookmarkStart w:id="1942" w:name="_Toc38443532"/>
      <w:bookmarkStart w:id="1943" w:name="_Toc38443863"/>
      <w:bookmarkStart w:id="1944" w:name="_Toc38438330"/>
      <w:bookmarkStart w:id="1945" w:name="_Toc38438667"/>
      <w:bookmarkStart w:id="1946" w:name="_Toc38439004"/>
      <w:bookmarkStart w:id="1947" w:name="_Toc38439341"/>
      <w:bookmarkStart w:id="1948" w:name="_Toc38439678"/>
      <w:bookmarkStart w:id="1949" w:name="_Toc38440015"/>
      <w:bookmarkStart w:id="1950" w:name="_Toc38440352"/>
      <w:bookmarkStart w:id="1951" w:name="_Toc38440884"/>
      <w:bookmarkStart w:id="1952" w:name="_Toc38441216"/>
      <w:bookmarkStart w:id="1953" w:name="_Toc38441548"/>
      <w:bookmarkStart w:id="1954" w:name="_Toc38441876"/>
      <w:bookmarkStart w:id="1955" w:name="_Toc38442208"/>
      <w:bookmarkStart w:id="1956" w:name="_Toc38442540"/>
      <w:bookmarkStart w:id="1957" w:name="_Toc38442871"/>
      <w:bookmarkStart w:id="1958" w:name="_Toc38443202"/>
      <w:bookmarkStart w:id="1959" w:name="_Toc38443533"/>
      <w:bookmarkStart w:id="1960" w:name="_Toc38443864"/>
      <w:bookmarkStart w:id="1961" w:name="_Toc38438331"/>
      <w:bookmarkStart w:id="1962" w:name="_Toc38438668"/>
      <w:bookmarkStart w:id="1963" w:name="_Toc38439005"/>
      <w:bookmarkStart w:id="1964" w:name="_Toc38439342"/>
      <w:bookmarkStart w:id="1965" w:name="_Toc38439679"/>
      <w:bookmarkStart w:id="1966" w:name="_Toc38440016"/>
      <w:bookmarkStart w:id="1967" w:name="_Toc38440353"/>
      <w:bookmarkStart w:id="1968" w:name="_Toc38440885"/>
      <w:bookmarkStart w:id="1969" w:name="_Toc38441217"/>
      <w:bookmarkStart w:id="1970" w:name="_Toc38441549"/>
      <w:bookmarkStart w:id="1971" w:name="_Toc38441877"/>
      <w:bookmarkStart w:id="1972" w:name="_Toc38442209"/>
      <w:bookmarkStart w:id="1973" w:name="_Toc38442541"/>
      <w:bookmarkStart w:id="1974" w:name="_Toc38442872"/>
      <w:bookmarkStart w:id="1975" w:name="_Toc38443203"/>
      <w:bookmarkStart w:id="1976" w:name="_Toc38443534"/>
      <w:bookmarkStart w:id="1977" w:name="_Toc38443865"/>
      <w:bookmarkStart w:id="1978" w:name="_Toc38438332"/>
      <w:bookmarkStart w:id="1979" w:name="_Toc38438669"/>
      <w:bookmarkStart w:id="1980" w:name="_Toc38439006"/>
      <w:bookmarkStart w:id="1981" w:name="_Toc38439343"/>
      <w:bookmarkStart w:id="1982" w:name="_Toc38439680"/>
      <w:bookmarkStart w:id="1983" w:name="_Toc38440017"/>
      <w:bookmarkStart w:id="1984" w:name="_Toc38440354"/>
      <w:bookmarkStart w:id="1985" w:name="_Toc38440886"/>
      <w:bookmarkStart w:id="1986" w:name="_Toc38441218"/>
      <w:bookmarkStart w:id="1987" w:name="_Toc38441550"/>
      <w:bookmarkStart w:id="1988" w:name="_Toc38441878"/>
      <w:bookmarkStart w:id="1989" w:name="_Toc38442210"/>
      <w:bookmarkStart w:id="1990" w:name="_Toc38442542"/>
      <w:bookmarkStart w:id="1991" w:name="_Toc38442873"/>
      <w:bookmarkStart w:id="1992" w:name="_Toc38443204"/>
      <w:bookmarkStart w:id="1993" w:name="_Toc38443535"/>
      <w:bookmarkStart w:id="1994" w:name="_Toc38443866"/>
      <w:bookmarkStart w:id="1995" w:name="_Toc38438333"/>
      <w:bookmarkStart w:id="1996" w:name="_Toc38438670"/>
      <w:bookmarkStart w:id="1997" w:name="_Toc38439007"/>
      <w:bookmarkStart w:id="1998" w:name="_Toc38439344"/>
      <w:bookmarkStart w:id="1999" w:name="_Toc38439681"/>
      <w:bookmarkStart w:id="2000" w:name="_Toc38440018"/>
      <w:bookmarkStart w:id="2001" w:name="_Toc38440355"/>
      <w:bookmarkStart w:id="2002" w:name="_Toc38440887"/>
      <w:bookmarkStart w:id="2003" w:name="_Toc38441219"/>
      <w:bookmarkStart w:id="2004" w:name="_Toc38441551"/>
      <w:bookmarkStart w:id="2005" w:name="_Toc38441879"/>
      <w:bookmarkStart w:id="2006" w:name="_Toc38442211"/>
      <w:bookmarkStart w:id="2007" w:name="_Toc38442543"/>
      <w:bookmarkStart w:id="2008" w:name="_Toc38442874"/>
      <w:bookmarkStart w:id="2009" w:name="_Toc38443205"/>
      <w:bookmarkStart w:id="2010" w:name="_Toc38443536"/>
      <w:bookmarkStart w:id="2011" w:name="_Toc38443867"/>
      <w:bookmarkStart w:id="2012" w:name="_Toc38438334"/>
      <w:bookmarkStart w:id="2013" w:name="_Toc38438671"/>
      <w:bookmarkStart w:id="2014" w:name="_Toc38439008"/>
      <w:bookmarkStart w:id="2015" w:name="_Toc38439345"/>
      <w:bookmarkStart w:id="2016" w:name="_Toc38439682"/>
      <w:bookmarkStart w:id="2017" w:name="_Toc38440019"/>
      <w:bookmarkStart w:id="2018" w:name="_Toc38440356"/>
      <w:bookmarkStart w:id="2019" w:name="_Toc38440888"/>
      <w:bookmarkStart w:id="2020" w:name="_Toc38441220"/>
      <w:bookmarkStart w:id="2021" w:name="_Toc38441552"/>
      <w:bookmarkStart w:id="2022" w:name="_Toc38441880"/>
      <w:bookmarkStart w:id="2023" w:name="_Toc38442212"/>
      <w:bookmarkStart w:id="2024" w:name="_Toc38442544"/>
      <w:bookmarkStart w:id="2025" w:name="_Toc38442875"/>
      <w:bookmarkStart w:id="2026" w:name="_Toc38443206"/>
      <w:bookmarkStart w:id="2027" w:name="_Toc38443537"/>
      <w:bookmarkStart w:id="2028" w:name="_Toc38443868"/>
      <w:bookmarkStart w:id="2029" w:name="_Toc38438335"/>
      <w:bookmarkStart w:id="2030" w:name="_Toc38438672"/>
      <w:bookmarkStart w:id="2031" w:name="_Toc38439009"/>
      <w:bookmarkStart w:id="2032" w:name="_Toc38439346"/>
      <w:bookmarkStart w:id="2033" w:name="_Toc38439683"/>
      <w:bookmarkStart w:id="2034" w:name="_Toc38440020"/>
      <w:bookmarkStart w:id="2035" w:name="_Toc38440357"/>
      <w:bookmarkStart w:id="2036" w:name="_Toc38440889"/>
      <w:bookmarkStart w:id="2037" w:name="_Toc38441221"/>
      <w:bookmarkStart w:id="2038" w:name="_Toc38441553"/>
      <w:bookmarkStart w:id="2039" w:name="_Toc38441881"/>
      <w:bookmarkStart w:id="2040" w:name="_Toc38442213"/>
      <w:bookmarkStart w:id="2041" w:name="_Toc38442545"/>
      <w:bookmarkStart w:id="2042" w:name="_Toc38442876"/>
      <w:bookmarkStart w:id="2043" w:name="_Toc38443207"/>
      <w:bookmarkStart w:id="2044" w:name="_Toc38443538"/>
      <w:bookmarkStart w:id="2045" w:name="_Toc38443869"/>
      <w:bookmarkStart w:id="2046" w:name="_Toc38438336"/>
      <w:bookmarkStart w:id="2047" w:name="_Toc38438673"/>
      <w:bookmarkStart w:id="2048" w:name="_Toc38439010"/>
      <w:bookmarkStart w:id="2049" w:name="_Toc38439347"/>
      <w:bookmarkStart w:id="2050" w:name="_Toc38439684"/>
      <w:bookmarkStart w:id="2051" w:name="_Toc38440021"/>
      <w:bookmarkStart w:id="2052" w:name="_Toc38440358"/>
      <w:bookmarkStart w:id="2053" w:name="_Toc38440890"/>
      <w:bookmarkStart w:id="2054" w:name="_Toc38441222"/>
      <w:bookmarkStart w:id="2055" w:name="_Toc38441554"/>
      <w:bookmarkStart w:id="2056" w:name="_Toc38441882"/>
      <w:bookmarkStart w:id="2057" w:name="_Toc38442214"/>
      <w:bookmarkStart w:id="2058" w:name="_Toc38442546"/>
      <w:bookmarkStart w:id="2059" w:name="_Toc38442877"/>
      <w:bookmarkStart w:id="2060" w:name="_Toc38443208"/>
      <w:bookmarkStart w:id="2061" w:name="_Toc38443539"/>
      <w:bookmarkStart w:id="2062" w:name="_Toc38443870"/>
      <w:bookmarkStart w:id="2063" w:name="_Toc38438337"/>
      <w:bookmarkStart w:id="2064" w:name="_Toc38438674"/>
      <w:bookmarkStart w:id="2065" w:name="_Toc38439011"/>
      <w:bookmarkStart w:id="2066" w:name="_Toc38439348"/>
      <w:bookmarkStart w:id="2067" w:name="_Toc38439685"/>
      <w:bookmarkStart w:id="2068" w:name="_Toc38440022"/>
      <w:bookmarkStart w:id="2069" w:name="_Toc38440359"/>
      <w:bookmarkStart w:id="2070" w:name="_Toc38440891"/>
      <w:bookmarkStart w:id="2071" w:name="_Toc38441223"/>
      <w:bookmarkStart w:id="2072" w:name="_Toc38441555"/>
      <w:bookmarkStart w:id="2073" w:name="_Toc38441883"/>
      <w:bookmarkStart w:id="2074" w:name="_Toc38442215"/>
      <w:bookmarkStart w:id="2075" w:name="_Toc38442547"/>
      <w:bookmarkStart w:id="2076" w:name="_Toc38442878"/>
      <w:bookmarkStart w:id="2077" w:name="_Toc38443209"/>
      <w:bookmarkStart w:id="2078" w:name="_Toc38443540"/>
      <w:bookmarkStart w:id="2079" w:name="_Toc38443871"/>
      <w:bookmarkStart w:id="2080" w:name="_Toc38438338"/>
      <w:bookmarkStart w:id="2081" w:name="_Toc38438675"/>
      <w:bookmarkStart w:id="2082" w:name="_Toc38439012"/>
      <w:bookmarkStart w:id="2083" w:name="_Toc38439349"/>
      <w:bookmarkStart w:id="2084" w:name="_Toc38439686"/>
      <w:bookmarkStart w:id="2085" w:name="_Toc38440023"/>
      <w:bookmarkStart w:id="2086" w:name="_Toc38440360"/>
      <w:bookmarkStart w:id="2087" w:name="_Toc38440892"/>
      <w:bookmarkStart w:id="2088" w:name="_Toc38441224"/>
      <w:bookmarkStart w:id="2089" w:name="_Toc38441556"/>
      <w:bookmarkStart w:id="2090" w:name="_Toc38441884"/>
      <w:bookmarkStart w:id="2091" w:name="_Toc38442216"/>
      <w:bookmarkStart w:id="2092" w:name="_Toc38442548"/>
      <w:bookmarkStart w:id="2093" w:name="_Toc38442879"/>
      <w:bookmarkStart w:id="2094" w:name="_Toc38443210"/>
      <w:bookmarkStart w:id="2095" w:name="_Toc38443541"/>
      <w:bookmarkStart w:id="2096" w:name="_Toc38443872"/>
      <w:bookmarkStart w:id="2097" w:name="_Toc38438339"/>
      <w:bookmarkStart w:id="2098" w:name="_Toc38438676"/>
      <w:bookmarkStart w:id="2099" w:name="_Toc38439013"/>
      <w:bookmarkStart w:id="2100" w:name="_Toc38439350"/>
      <w:bookmarkStart w:id="2101" w:name="_Toc38439687"/>
      <w:bookmarkStart w:id="2102" w:name="_Toc38440024"/>
      <w:bookmarkStart w:id="2103" w:name="_Toc38440361"/>
      <w:bookmarkStart w:id="2104" w:name="_Toc38440893"/>
      <w:bookmarkStart w:id="2105" w:name="_Toc38441225"/>
      <w:bookmarkStart w:id="2106" w:name="_Toc38441557"/>
      <w:bookmarkStart w:id="2107" w:name="_Toc38441885"/>
      <w:bookmarkStart w:id="2108" w:name="_Toc38442217"/>
      <w:bookmarkStart w:id="2109" w:name="_Toc38442549"/>
      <w:bookmarkStart w:id="2110" w:name="_Toc38442880"/>
      <w:bookmarkStart w:id="2111" w:name="_Toc38443211"/>
      <w:bookmarkStart w:id="2112" w:name="_Toc38443542"/>
      <w:bookmarkStart w:id="2113" w:name="_Toc38443873"/>
      <w:bookmarkStart w:id="2114" w:name="_Toc38438340"/>
      <w:bookmarkStart w:id="2115" w:name="_Toc38438677"/>
      <w:bookmarkStart w:id="2116" w:name="_Toc38439014"/>
      <w:bookmarkStart w:id="2117" w:name="_Toc38439351"/>
      <w:bookmarkStart w:id="2118" w:name="_Toc38439688"/>
      <w:bookmarkStart w:id="2119" w:name="_Toc38440025"/>
      <w:bookmarkStart w:id="2120" w:name="_Toc38440362"/>
      <w:bookmarkStart w:id="2121" w:name="_Toc38440894"/>
      <w:bookmarkStart w:id="2122" w:name="_Toc38441226"/>
      <w:bookmarkStart w:id="2123" w:name="_Toc38441558"/>
      <w:bookmarkStart w:id="2124" w:name="_Toc38441886"/>
      <w:bookmarkStart w:id="2125" w:name="_Toc38442218"/>
      <w:bookmarkStart w:id="2126" w:name="_Toc38442550"/>
      <w:bookmarkStart w:id="2127" w:name="_Toc38442881"/>
      <w:bookmarkStart w:id="2128" w:name="_Toc38443212"/>
      <w:bookmarkStart w:id="2129" w:name="_Toc38443543"/>
      <w:bookmarkStart w:id="2130" w:name="_Toc38443874"/>
      <w:bookmarkStart w:id="2131" w:name="_Toc38438341"/>
      <w:bookmarkStart w:id="2132" w:name="_Toc38438678"/>
      <w:bookmarkStart w:id="2133" w:name="_Toc38439015"/>
      <w:bookmarkStart w:id="2134" w:name="_Toc38439352"/>
      <w:bookmarkStart w:id="2135" w:name="_Toc38439689"/>
      <w:bookmarkStart w:id="2136" w:name="_Toc38440026"/>
      <w:bookmarkStart w:id="2137" w:name="_Toc38440363"/>
      <w:bookmarkStart w:id="2138" w:name="_Toc38440895"/>
      <w:bookmarkStart w:id="2139" w:name="_Toc38441227"/>
      <w:bookmarkStart w:id="2140" w:name="_Toc38441559"/>
      <w:bookmarkStart w:id="2141" w:name="_Toc38441887"/>
      <w:bookmarkStart w:id="2142" w:name="_Toc38442219"/>
      <w:bookmarkStart w:id="2143" w:name="_Toc38442551"/>
      <w:bookmarkStart w:id="2144" w:name="_Toc38442882"/>
      <w:bookmarkStart w:id="2145" w:name="_Toc38443213"/>
      <w:bookmarkStart w:id="2146" w:name="_Toc38443544"/>
      <w:bookmarkStart w:id="2147" w:name="_Toc38443875"/>
      <w:bookmarkStart w:id="2148" w:name="_Toc38438342"/>
      <w:bookmarkStart w:id="2149" w:name="_Toc38438679"/>
      <w:bookmarkStart w:id="2150" w:name="_Toc38439016"/>
      <w:bookmarkStart w:id="2151" w:name="_Toc38439353"/>
      <w:bookmarkStart w:id="2152" w:name="_Toc38439690"/>
      <w:bookmarkStart w:id="2153" w:name="_Toc38440027"/>
      <w:bookmarkStart w:id="2154" w:name="_Toc38440364"/>
      <w:bookmarkStart w:id="2155" w:name="_Toc38440896"/>
      <w:bookmarkStart w:id="2156" w:name="_Toc38441228"/>
      <w:bookmarkStart w:id="2157" w:name="_Toc38441560"/>
      <w:bookmarkStart w:id="2158" w:name="_Toc38441888"/>
      <w:bookmarkStart w:id="2159" w:name="_Toc38442220"/>
      <w:bookmarkStart w:id="2160" w:name="_Toc38442552"/>
      <w:bookmarkStart w:id="2161" w:name="_Toc38442883"/>
      <w:bookmarkStart w:id="2162" w:name="_Toc38443214"/>
      <w:bookmarkStart w:id="2163" w:name="_Toc38443545"/>
      <w:bookmarkStart w:id="2164" w:name="_Toc38443876"/>
      <w:bookmarkStart w:id="2165" w:name="_Toc38438343"/>
      <w:bookmarkStart w:id="2166" w:name="_Toc38438680"/>
      <w:bookmarkStart w:id="2167" w:name="_Toc38439017"/>
      <w:bookmarkStart w:id="2168" w:name="_Toc38439354"/>
      <w:bookmarkStart w:id="2169" w:name="_Toc38439691"/>
      <w:bookmarkStart w:id="2170" w:name="_Toc38440028"/>
      <w:bookmarkStart w:id="2171" w:name="_Toc38440365"/>
      <w:bookmarkStart w:id="2172" w:name="_Toc38440897"/>
      <w:bookmarkStart w:id="2173" w:name="_Toc38441229"/>
      <w:bookmarkStart w:id="2174" w:name="_Toc38441561"/>
      <w:bookmarkStart w:id="2175" w:name="_Toc38441889"/>
      <w:bookmarkStart w:id="2176" w:name="_Toc38442221"/>
      <w:bookmarkStart w:id="2177" w:name="_Toc38442553"/>
      <w:bookmarkStart w:id="2178" w:name="_Toc38442884"/>
      <w:bookmarkStart w:id="2179" w:name="_Toc38443215"/>
      <w:bookmarkStart w:id="2180" w:name="_Toc38443546"/>
      <w:bookmarkStart w:id="2181" w:name="_Toc38443877"/>
      <w:bookmarkStart w:id="2182" w:name="_Toc38438350"/>
      <w:bookmarkStart w:id="2183" w:name="_Toc38438687"/>
      <w:bookmarkStart w:id="2184" w:name="_Toc38439024"/>
      <w:bookmarkStart w:id="2185" w:name="_Toc38439361"/>
      <w:bookmarkStart w:id="2186" w:name="_Toc38439698"/>
      <w:bookmarkStart w:id="2187" w:name="_Toc38440035"/>
      <w:bookmarkStart w:id="2188" w:name="_Toc38440372"/>
      <w:bookmarkStart w:id="2189" w:name="_Toc38440904"/>
      <w:bookmarkStart w:id="2190" w:name="_Toc38441236"/>
      <w:bookmarkStart w:id="2191" w:name="_Toc38441568"/>
      <w:bookmarkStart w:id="2192" w:name="_Toc38441896"/>
      <w:bookmarkStart w:id="2193" w:name="_Toc38442228"/>
      <w:bookmarkStart w:id="2194" w:name="_Toc38442560"/>
      <w:bookmarkStart w:id="2195" w:name="_Toc38442891"/>
      <w:bookmarkStart w:id="2196" w:name="_Toc38443222"/>
      <w:bookmarkStart w:id="2197" w:name="_Toc38443553"/>
      <w:bookmarkStart w:id="2198" w:name="_Toc38443883"/>
      <w:bookmarkStart w:id="2199" w:name="_Toc38438351"/>
      <w:bookmarkStart w:id="2200" w:name="_Toc38438688"/>
      <w:bookmarkStart w:id="2201" w:name="_Toc38439025"/>
      <w:bookmarkStart w:id="2202" w:name="_Toc38439362"/>
      <w:bookmarkStart w:id="2203" w:name="_Toc38439699"/>
      <w:bookmarkStart w:id="2204" w:name="_Toc38440036"/>
      <w:bookmarkStart w:id="2205" w:name="_Toc38440373"/>
      <w:bookmarkStart w:id="2206" w:name="_Toc38440905"/>
      <w:bookmarkStart w:id="2207" w:name="_Toc38441237"/>
      <w:bookmarkStart w:id="2208" w:name="_Toc38441569"/>
      <w:bookmarkStart w:id="2209" w:name="_Toc38441897"/>
      <w:bookmarkStart w:id="2210" w:name="_Toc38442229"/>
      <w:bookmarkStart w:id="2211" w:name="_Toc38442561"/>
      <w:bookmarkStart w:id="2212" w:name="_Toc38442892"/>
      <w:bookmarkStart w:id="2213" w:name="_Toc38443223"/>
      <w:bookmarkStart w:id="2214" w:name="_Toc38443554"/>
      <w:bookmarkStart w:id="2215" w:name="_Toc38443884"/>
      <w:bookmarkStart w:id="2216" w:name="_Toc38438352"/>
      <w:bookmarkStart w:id="2217" w:name="_Toc38438689"/>
      <w:bookmarkStart w:id="2218" w:name="_Toc38439026"/>
      <w:bookmarkStart w:id="2219" w:name="_Toc38439363"/>
      <w:bookmarkStart w:id="2220" w:name="_Toc38439700"/>
      <w:bookmarkStart w:id="2221" w:name="_Toc38440037"/>
      <w:bookmarkStart w:id="2222" w:name="_Toc38440374"/>
      <w:bookmarkStart w:id="2223" w:name="_Toc38440906"/>
      <w:bookmarkStart w:id="2224" w:name="_Toc38441238"/>
      <w:bookmarkStart w:id="2225" w:name="_Toc38441570"/>
      <w:bookmarkStart w:id="2226" w:name="_Toc38441898"/>
      <w:bookmarkStart w:id="2227" w:name="_Toc38442230"/>
      <w:bookmarkStart w:id="2228" w:name="_Toc38442562"/>
      <w:bookmarkStart w:id="2229" w:name="_Toc38442893"/>
      <w:bookmarkStart w:id="2230" w:name="_Toc38443224"/>
      <w:bookmarkStart w:id="2231" w:name="_Toc38443555"/>
      <w:bookmarkStart w:id="2232" w:name="_Toc38443885"/>
      <w:bookmarkStart w:id="2233" w:name="_Toc38438353"/>
      <w:bookmarkStart w:id="2234" w:name="_Toc38438690"/>
      <w:bookmarkStart w:id="2235" w:name="_Toc38439027"/>
      <w:bookmarkStart w:id="2236" w:name="_Toc38439364"/>
      <w:bookmarkStart w:id="2237" w:name="_Toc38439701"/>
      <w:bookmarkStart w:id="2238" w:name="_Toc38440038"/>
      <w:bookmarkStart w:id="2239" w:name="_Toc38440375"/>
      <w:bookmarkStart w:id="2240" w:name="_Toc38440907"/>
      <w:bookmarkStart w:id="2241" w:name="_Toc38441239"/>
      <w:bookmarkStart w:id="2242" w:name="_Toc38441571"/>
      <w:bookmarkStart w:id="2243" w:name="_Toc38441899"/>
      <w:bookmarkStart w:id="2244" w:name="_Toc38442231"/>
      <w:bookmarkStart w:id="2245" w:name="_Toc38442563"/>
      <w:bookmarkStart w:id="2246" w:name="_Toc38442894"/>
      <w:bookmarkStart w:id="2247" w:name="_Toc38443225"/>
      <w:bookmarkStart w:id="2248" w:name="_Toc38443556"/>
      <w:bookmarkStart w:id="2249" w:name="_Toc38443886"/>
      <w:bookmarkStart w:id="2250" w:name="_Toc38438354"/>
      <w:bookmarkStart w:id="2251" w:name="_Toc38438691"/>
      <w:bookmarkStart w:id="2252" w:name="_Toc38439028"/>
      <w:bookmarkStart w:id="2253" w:name="_Toc38439365"/>
      <w:bookmarkStart w:id="2254" w:name="_Toc38439702"/>
      <w:bookmarkStart w:id="2255" w:name="_Toc38440039"/>
      <w:bookmarkStart w:id="2256" w:name="_Toc38440376"/>
      <w:bookmarkStart w:id="2257" w:name="_Toc38440908"/>
      <w:bookmarkStart w:id="2258" w:name="_Toc38441240"/>
      <w:bookmarkStart w:id="2259" w:name="_Toc38441572"/>
      <w:bookmarkStart w:id="2260" w:name="_Toc38441900"/>
      <w:bookmarkStart w:id="2261" w:name="_Toc38442232"/>
      <w:bookmarkStart w:id="2262" w:name="_Toc38442564"/>
      <w:bookmarkStart w:id="2263" w:name="_Toc38442895"/>
      <w:bookmarkStart w:id="2264" w:name="_Toc38443226"/>
      <w:bookmarkStart w:id="2265" w:name="_Toc38443557"/>
      <w:bookmarkStart w:id="2266" w:name="_Toc38443887"/>
      <w:bookmarkStart w:id="2267" w:name="_Toc38438355"/>
      <w:bookmarkStart w:id="2268" w:name="_Toc38438692"/>
      <w:bookmarkStart w:id="2269" w:name="_Toc38439029"/>
      <w:bookmarkStart w:id="2270" w:name="_Toc38439366"/>
      <w:bookmarkStart w:id="2271" w:name="_Toc38439703"/>
      <w:bookmarkStart w:id="2272" w:name="_Toc38440040"/>
      <w:bookmarkStart w:id="2273" w:name="_Toc38440377"/>
      <w:bookmarkStart w:id="2274" w:name="_Toc38440909"/>
      <w:bookmarkStart w:id="2275" w:name="_Toc38441241"/>
      <w:bookmarkStart w:id="2276" w:name="_Toc38441573"/>
      <w:bookmarkStart w:id="2277" w:name="_Toc38441901"/>
      <w:bookmarkStart w:id="2278" w:name="_Toc38442233"/>
      <w:bookmarkStart w:id="2279" w:name="_Toc38442565"/>
      <w:bookmarkStart w:id="2280" w:name="_Toc38442896"/>
      <w:bookmarkStart w:id="2281" w:name="_Toc38443227"/>
      <w:bookmarkStart w:id="2282" w:name="_Toc38443558"/>
      <w:bookmarkStart w:id="2283" w:name="_Toc38443888"/>
      <w:bookmarkStart w:id="2284" w:name="_Toc38438356"/>
      <w:bookmarkStart w:id="2285" w:name="_Toc38438693"/>
      <w:bookmarkStart w:id="2286" w:name="_Toc38439030"/>
      <w:bookmarkStart w:id="2287" w:name="_Toc38439367"/>
      <w:bookmarkStart w:id="2288" w:name="_Toc38439704"/>
      <w:bookmarkStart w:id="2289" w:name="_Toc38440041"/>
      <w:bookmarkStart w:id="2290" w:name="_Toc38440378"/>
      <w:bookmarkStart w:id="2291" w:name="_Toc38440910"/>
      <w:bookmarkStart w:id="2292" w:name="_Toc38441242"/>
      <w:bookmarkStart w:id="2293" w:name="_Toc38441574"/>
      <w:bookmarkStart w:id="2294" w:name="_Toc38441902"/>
      <w:bookmarkStart w:id="2295" w:name="_Toc38442234"/>
      <w:bookmarkStart w:id="2296" w:name="_Toc38442566"/>
      <w:bookmarkStart w:id="2297" w:name="_Toc38442897"/>
      <w:bookmarkStart w:id="2298" w:name="_Toc38443228"/>
      <w:bookmarkStart w:id="2299" w:name="_Toc38443559"/>
      <w:bookmarkStart w:id="2300" w:name="_Toc38443889"/>
      <w:bookmarkStart w:id="2301" w:name="_Toc38438357"/>
      <w:bookmarkStart w:id="2302" w:name="_Toc38438694"/>
      <w:bookmarkStart w:id="2303" w:name="_Toc38439031"/>
      <w:bookmarkStart w:id="2304" w:name="_Toc38439368"/>
      <w:bookmarkStart w:id="2305" w:name="_Toc38439705"/>
      <w:bookmarkStart w:id="2306" w:name="_Toc38440042"/>
      <w:bookmarkStart w:id="2307" w:name="_Toc38440379"/>
      <w:bookmarkStart w:id="2308" w:name="_Toc38440911"/>
      <w:bookmarkStart w:id="2309" w:name="_Toc38441243"/>
      <w:bookmarkStart w:id="2310" w:name="_Toc38441575"/>
      <w:bookmarkStart w:id="2311" w:name="_Toc38441903"/>
      <w:bookmarkStart w:id="2312" w:name="_Toc38442235"/>
      <w:bookmarkStart w:id="2313" w:name="_Toc38442567"/>
      <w:bookmarkStart w:id="2314" w:name="_Toc38442898"/>
      <w:bookmarkStart w:id="2315" w:name="_Toc38443229"/>
      <w:bookmarkStart w:id="2316" w:name="_Toc38443560"/>
      <w:bookmarkStart w:id="2317" w:name="_Toc38443890"/>
      <w:bookmarkStart w:id="2318" w:name="_Toc38438358"/>
      <w:bookmarkStart w:id="2319" w:name="_Toc38438695"/>
      <w:bookmarkStart w:id="2320" w:name="_Toc38439032"/>
      <w:bookmarkStart w:id="2321" w:name="_Toc38439369"/>
      <w:bookmarkStart w:id="2322" w:name="_Toc38439706"/>
      <w:bookmarkStart w:id="2323" w:name="_Toc38440043"/>
      <w:bookmarkStart w:id="2324" w:name="_Toc38440380"/>
      <w:bookmarkStart w:id="2325" w:name="_Toc38440912"/>
      <w:bookmarkStart w:id="2326" w:name="_Toc38441244"/>
      <w:bookmarkStart w:id="2327" w:name="_Toc38441576"/>
      <w:bookmarkStart w:id="2328" w:name="_Toc38441904"/>
      <w:bookmarkStart w:id="2329" w:name="_Toc38442236"/>
      <w:bookmarkStart w:id="2330" w:name="_Toc38442568"/>
      <w:bookmarkStart w:id="2331" w:name="_Toc38442899"/>
      <w:bookmarkStart w:id="2332" w:name="_Toc38443230"/>
      <w:bookmarkStart w:id="2333" w:name="_Toc38443561"/>
      <w:bookmarkStart w:id="2334" w:name="_Toc38443891"/>
      <w:bookmarkStart w:id="2335" w:name="_Toc38438359"/>
      <w:bookmarkStart w:id="2336" w:name="_Toc38438696"/>
      <w:bookmarkStart w:id="2337" w:name="_Toc38439033"/>
      <w:bookmarkStart w:id="2338" w:name="_Toc38439370"/>
      <w:bookmarkStart w:id="2339" w:name="_Toc38439707"/>
      <w:bookmarkStart w:id="2340" w:name="_Toc38440044"/>
      <w:bookmarkStart w:id="2341" w:name="_Toc38440381"/>
      <w:bookmarkStart w:id="2342" w:name="_Toc38440913"/>
      <w:bookmarkStart w:id="2343" w:name="_Toc38441245"/>
      <w:bookmarkStart w:id="2344" w:name="_Toc38441577"/>
      <w:bookmarkStart w:id="2345" w:name="_Toc38441905"/>
      <w:bookmarkStart w:id="2346" w:name="_Toc38442237"/>
      <w:bookmarkStart w:id="2347" w:name="_Toc38442569"/>
      <w:bookmarkStart w:id="2348" w:name="_Toc38442900"/>
      <w:bookmarkStart w:id="2349" w:name="_Toc38443231"/>
      <w:bookmarkStart w:id="2350" w:name="_Toc38443562"/>
      <w:bookmarkStart w:id="2351" w:name="_Toc38443892"/>
      <w:bookmarkStart w:id="2352" w:name="_Toc38438360"/>
      <w:bookmarkStart w:id="2353" w:name="_Toc38438697"/>
      <w:bookmarkStart w:id="2354" w:name="_Toc38439034"/>
      <w:bookmarkStart w:id="2355" w:name="_Toc38439371"/>
      <w:bookmarkStart w:id="2356" w:name="_Toc38439708"/>
      <w:bookmarkStart w:id="2357" w:name="_Toc38440045"/>
      <w:bookmarkStart w:id="2358" w:name="_Toc38440382"/>
      <w:bookmarkStart w:id="2359" w:name="_Toc38440914"/>
      <w:bookmarkStart w:id="2360" w:name="_Toc38441246"/>
      <w:bookmarkStart w:id="2361" w:name="_Toc38441578"/>
      <w:bookmarkStart w:id="2362" w:name="_Toc38441906"/>
      <w:bookmarkStart w:id="2363" w:name="_Toc38442238"/>
      <w:bookmarkStart w:id="2364" w:name="_Toc38442570"/>
      <w:bookmarkStart w:id="2365" w:name="_Toc38442901"/>
      <w:bookmarkStart w:id="2366" w:name="_Toc38443232"/>
      <w:bookmarkStart w:id="2367" w:name="_Toc38443563"/>
      <w:bookmarkStart w:id="2368" w:name="_Toc38443893"/>
      <w:bookmarkStart w:id="2369" w:name="_Toc38438361"/>
      <w:bookmarkStart w:id="2370" w:name="_Toc38438698"/>
      <w:bookmarkStart w:id="2371" w:name="_Toc38439035"/>
      <w:bookmarkStart w:id="2372" w:name="_Toc38439372"/>
      <w:bookmarkStart w:id="2373" w:name="_Toc38439709"/>
      <w:bookmarkStart w:id="2374" w:name="_Toc38440046"/>
      <w:bookmarkStart w:id="2375" w:name="_Toc38440383"/>
      <w:bookmarkStart w:id="2376" w:name="_Toc38440915"/>
      <w:bookmarkStart w:id="2377" w:name="_Toc38441247"/>
      <w:bookmarkStart w:id="2378" w:name="_Toc38441579"/>
      <w:bookmarkStart w:id="2379" w:name="_Toc38441907"/>
      <w:bookmarkStart w:id="2380" w:name="_Toc38442239"/>
      <w:bookmarkStart w:id="2381" w:name="_Toc38442571"/>
      <w:bookmarkStart w:id="2382" w:name="_Toc38442902"/>
      <w:bookmarkStart w:id="2383" w:name="_Toc38443233"/>
      <w:bookmarkStart w:id="2384" w:name="_Toc38443564"/>
      <w:bookmarkStart w:id="2385" w:name="_Toc38443894"/>
      <w:bookmarkStart w:id="2386" w:name="_Toc38438362"/>
      <w:bookmarkStart w:id="2387" w:name="_Toc38438699"/>
      <w:bookmarkStart w:id="2388" w:name="_Toc38439036"/>
      <w:bookmarkStart w:id="2389" w:name="_Toc38439373"/>
      <w:bookmarkStart w:id="2390" w:name="_Toc38439710"/>
      <w:bookmarkStart w:id="2391" w:name="_Toc38440047"/>
      <w:bookmarkStart w:id="2392" w:name="_Toc38440384"/>
      <w:bookmarkStart w:id="2393" w:name="_Toc38440916"/>
      <w:bookmarkStart w:id="2394" w:name="_Toc38441248"/>
      <w:bookmarkStart w:id="2395" w:name="_Toc38441580"/>
      <w:bookmarkStart w:id="2396" w:name="_Toc38441908"/>
      <w:bookmarkStart w:id="2397" w:name="_Toc38442240"/>
      <w:bookmarkStart w:id="2398" w:name="_Toc38442572"/>
      <w:bookmarkStart w:id="2399" w:name="_Toc38442903"/>
      <w:bookmarkStart w:id="2400" w:name="_Toc38443234"/>
      <w:bookmarkStart w:id="2401" w:name="_Toc38443565"/>
      <w:bookmarkStart w:id="2402" w:name="_Toc38443895"/>
      <w:bookmarkStart w:id="2403" w:name="_Toc38438363"/>
      <w:bookmarkStart w:id="2404" w:name="_Toc38438700"/>
      <w:bookmarkStart w:id="2405" w:name="_Toc38439037"/>
      <w:bookmarkStart w:id="2406" w:name="_Toc38439374"/>
      <w:bookmarkStart w:id="2407" w:name="_Toc38439711"/>
      <w:bookmarkStart w:id="2408" w:name="_Toc38440048"/>
      <w:bookmarkStart w:id="2409" w:name="_Toc38440385"/>
      <w:bookmarkStart w:id="2410" w:name="_Toc38440917"/>
      <w:bookmarkStart w:id="2411" w:name="_Toc38441249"/>
      <w:bookmarkStart w:id="2412" w:name="_Toc38441581"/>
      <w:bookmarkStart w:id="2413" w:name="_Toc38441909"/>
      <w:bookmarkStart w:id="2414" w:name="_Toc38442241"/>
      <w:bookmarkStart w:id="2415" w:name="_Toc38442573"/>
      <w:bookmarkStart w:id="2416" w:name="_Toc38442904"/>
      <w:bookmarkStart w:id="2417" w:name="_Toc38443235"/>
      <w:bookmarkStart w:id="2418" w:name="_Toc38443566"/>
      <w:bookmarkStart w:id="2419" w:name="_Toc38443896"/>
      <w:bookmarkStart w:id="2420" w:name="_Toc38438364"/>
      <w:bookmarkStart w:id="2421" w:name="_Toc38438701"/>
      <w:bookmarkStart w:id="2422" w:name="_Toc38439038"/>
      <w:bookmarkStart w:id="2423" w:name="_Toc38439375"/>
      <w:bookmarkStart w:id="2424" w:name="_Toc38439712"/>
      <w:bookmarkStart w:id="2425" w:name="_Toc38440049"/>
      <w:bookmarkStart w:id="2426" w:name="_Toc38440386"/>
      <w:bookmarkStart w:id="2427" w:name="_Toc38440918"/>
      <w:bookmarkStart w:id="2428" w:name="_Toc38441250"/>
      <w:bookmarkStart w:id="2429" w:name="_Toc38441582"/>
      <w:bookmarkStart w:id="2430" w:name="_Toc38441910"/>
      <w:bookmarkStart w:id="2431" w:name="_Toc38442242"/>
      <w:bookmarkStart w:id="2432" w:name="_Toc38442574"/>
      <w:bookmarkStart w:id="2433" w:name="_Toc38442905"/>
      <w:bookmarkStart w:id="2434" w:name="_Toc38443236"/>
      <w:bookmarkStart w:id="2435" w:name="_Toc38443567"/>
      <w:bookmarkStart w:id="2436" w:name="_Toc38443897"/>
      <w:bookmarkStart w:id="2437" w:name="_Toc38438365"/>
      <w:bookmarkStart w:id="2438" w:name="_Toc38438702"/>
      <w:bookmarkStart w:id="2439" w:name="_Toc38439039"/>
      <w:bookmarkStart w:id="2440" w:name="_Toc38439376"/>
      <w:bookmarkStart w:id="2441" w:name="_Toc38439713"/>
      <w:bookmarkStart w:id="2442" w:name="_Toc38440050"/>
      <w:bookmarkStart w:id="2443" w:name="_Toc38440387"/>
      <w:bookmarkStart w:id="2444" w:name="_Toc38440919"/>
      <w:bookmarkStart w:id="2445" w:name="_Toc38441251"/>
      <w:bookmarkStart w:id="2446" w:name="_Toc38441583"/>
      <w:bookmarkStart w:id="2447" w:name="_Toc38441911"/>
      <w:bookmarkStart w:id="2448" w:name="_Toc38442243"/>
      <w:bookmarkStart w:id="2449" w:name="_Toc38442575"/>
      <w:bookmarkStart w:id="2450" w:name="_Toc38442906"/>
      <w:bookmarkStart w:id="2451" w:name="_Toc38443237"/>
      <w:bookmarkStart w:id="2452" w:name="_Toc38443568"/>
      <w:bookmarkStart w:id="2453" w:name="_Toc38443898"/>
      <w:bookmarkStart w:id="2454" w:name="_Toc38438366"/>
      <w:bookmarkStart w:id="2455" w:name="_Toc38438703"/>
      <w:bookmarkStart w:id="2456" w:name="_Toc38439040"/>
      <w:bookmarkStart w:id="2457" w:name="_Toc38439377"/>
      <w:bookmarkStart w:id="2458" w:name="_Toc38439714"/>
      <w:bookmarkStart w:id="2459" w:name="_Toc38440051"/>
      <w:bookmarkStart w:id="2460" w:name="_Toc38440388"/>
      <w:bookmarkStart w:id="2461" w:name="_Toc38440920"/>
      <w:bookmarkStart w:id="2462" w:name="_Toc38441252"/>
      <w:bookmarkStart w:id="2463" w:name="_Toc38441584"/>
      <w:bookmarkStart w:id="2464" w:name="_Toc38441912"/>
      <w:bookmarkStart w:id="2465" w:name="_Toc38442244"/>
      <w:bookmarkStart w:id="2466" w:name="_Toc38442576"/>
      <w:bookmarkStart w:id="2467" w:name="_Toc38442907"/>
      <w:bookmarkStart w:id="2468" w:name="_Toc38443238"/>
      <w:bookmarkStart w:id="2469" w:name="_Toc38443569"/>
      <w:bookmarkStart w:id="2470" w:name="_Toc38443899"/>
      <w:bookmarkStart w:id="2471" w:name="_Toc38438367"/>
      <w:bookmarkStart w:id="2472" w:name="_Toc38438704"/>
      <w:bookmarkStart w:id="2473" w:name="_Toc38439041"/>
      <w:bookmarkStart w:id="2474" w:name="_Toc38439378"/>
      <w:bookmarkStart w:id="2475" w:name="_Toc38439715"/>
      <w:bookmarkStart w:id="2476" w:name="_Toc38440052"/>
      <w:bookmarkStart w:id="2477" w:name="_Toc38440389"/>
      <w:bookmarkStart w:id="2478" w:name="_Toc38440921"/>
      <w:bookmarkStart w:id="2479" w:name="_Toc38441253"/>
      <w:bookmarkStart w:id="2480" w:name="_Toc38441585"/>
      <w:bookmarkStart w:id="2481" w:name="_Toc38441913"/>
      <w:bookmarkStart w:id="2482" w:name="_Toc38442245"/>
      <w:bookmarkStart w:id="2483" w:name="_Toc38442577"/>
      <w:bookmarkStart w:id="2484" w:name="_Toc38442908"/>
      <w:bookmarkStart w:id="2485" w:name="_Toc38443239"/>
      <w:bookmarkStart w:id="2486" w:name="_Toc38443570"/>
      <w:bookmarkStart w:id="2487" w:name="_Toc38443900"/>
      <w:bookmarkStart w:id="2488" w:name="_Toc38438368"/>
      <w:bookmarkStart w:id="2489" w:name="_Toc38438705"/>
      <w:bookmarkStart w:id="2490" w:name="_Toc38439042"/>
      <w:bookmarkStart w:id="2491" w:name="_Toc38439379"/>
      <w:bookmarkStart w:id="2492" w:name="_Toc38439716"/>
      <w:bookmarkStart w:id="2493" w:name="_Toc38440053"/>
      <w:bookmarkStart w:id="2494" w:name="_Toc38440390"/>
      <w:bookmarkStart w:id="2495" w:name="_Toc38440922"/>
      <w:bookmarkStart w:id="2496" w:name="_Toc38441254"/>
      <w:bookmarkStart w:id="2497" w:name="_Toc38441586"/>
      <w:bookmarkStart w:id="2498" w:name="_Toc38441914"/>
      <w:bookmarkStart w:id="2499" w:name="_Toc38442246"/>
      <w:bookmarkStart w:id="2500" w:name="_Toc38442578"/>
      <w:bookmarkStart w:id="2501" w:name="_Toc38442909"/>
      <w:bookmarkStart w:id="2502" w:name="_Toc38443240"/>
      <w:bookmarkStart w:id="2503" w:name="_Toc38443571"/>
      <w:bookmarkStart w:id="2504" w:name="_Toc38443901"/>
      <w:bookmarkStart w:id="2505" w:name="_Toc38438369"/>
      <w:bookmarkStart w:id="2506" w:name="_Toc38438706"/>
      <w:bookmarkStart w:id="2507" w:name="_Toc38439043"/>
      <w:bookmarkStart w:id="2508" w:name="_Toc38439380"/>
      <w:bookmarkStart w:id="2509" w:name="_Toc38439717"/>
      <w:bookmarkStart w:id="2510" w:name="_Toc38440054"/>
      <w:bookmarkStart w:id="2511" w:name="_Toc38440391"/>
      <w:bookmarkStart w:id="2512" w:name="_Toc38440923"/>
      <w:bookmarkStart w:id="2513" w:name="_Toc38441255"/>
      <w:bookmarkStart w:id="2514" w:name="_Toc38441587"/>
      <w:bookmarkStart w:id="2515" w:name="_Toc38441915"/>
      <w:bookmarkStart w:id="2516" w:name="_Toc38442247"/>
      <w:bookmarkStart w:id="2517" w:name="_Toc38442579"/>
      <w:bookmarkStart w:id="2518" w:name="_Toc38442910"/>
      <w:bookmarkStart w:id="2519" w:name="_Toc38443241"/>
      <w:bookmarkStart w:id="2520" w:name="_Toc38443572"/>
      <w:bookmarkStart w:id="2521" w:name="_Toc38443902"/>
      <w:bookmarkStart w:id="2522" w:name="_Toc38438371"/>
      <w:bookmarkStart w:id="2523" w:name="_Toc38438708"/>
      <w:bookmarkStart w:id="2524" w:name="_Toc38439045"/>
      <w:bookmarkStart w:id="2525" w:name="_Toc38439382"/>
      <w:bookmarkStart w:id="2526" w:name="_Toc38439719"/>
      <w:bookmarkStart w:id="2527" w:name="_Toc38440056"/>
      <w:bookmarkStart w:id="2528" w:name="_Toc38440393"/>
      <w:bookmarkStart w:id="2529" w:name="_Toc38440925"/>
      <w:bookmarkStart w:id="2530" w:name="_Toc38441257"/>
      <w:bookmarkStart w:id="2531" w:name="_Toc38441589"/>
      <w:bookmarkStart w:id="2532" w:name="_Toc38441917"/>
      <w:bookmarkStart w:id="2533" w:name="_Toc38442249"/>
      <w:bookmarkStart w:id="2534" w:name="_Toc38442581"/>
      <w:bookmarkStart w:id="2535" w:name="_Toc38442912"/>
      <w:bookmarkStart w:id="2536" w:name="_Toc38443243"/>
      <w:bookmarkStart w:id="2537" w:name="_Toc38443574"/>
      <w:bookmarkStart w:id="2538" w:name="_Toc38443904"/>
      <w:bookmarkStart w:id="2539" w:name="_Toc38438372"/>
      <w:bookmarkStart w:id="2540" w:name="_Toc38438709"/>
      <w:bookmarkStart w:id="2541" w:name="_Toc38439046"/>
      <w:bookmarkStart w:id="2542" w:name="_Toc38439383"/>
      <w:bookmarkStart w:id="2543" w:name="_Toc38439720"/>
      <w:bookmarkStart w:id="2544" w:name="_Toc38440057"/>
      <w:bookmarkStart w:id="2545" w:name="_Toc38440394"/>
      <w:bookmarkStart w:id="2546" w:name="_Toc38440926"/>
      <w:bookmarkStart w:id="2547" w:name="_Toc38441258"/>
      <w:bookmarkStart w:id="2548" w:name="_Toc38441590"/>
      <w:bookmarkStart w:id="2549" w:name="_Toc38441918"/>
      <w:bookmarkStart w:id="2550" w:name="_Toc38442250"/>
      <w:bookmarkStart w:id="2551" w:name="_Toc38442582"/>
      <w:bookmarkStart w:id="2552" w:name="_Toc38442913"/>
      <w:bookmarkStart w:id="2553" w:name="_Toc38443244"/>
      <w:bookmarkStart w:id="2554" w:name="_Toc38443575"/>
      <w:bookmarkStart w:id="2555" w:name="_Toc38443905"/>
      <w:bookmarkStart w:id="2556" w:name="_Toc38438373"/>
      <w:bookmarkStart w:id="2557" w:name="_Toc38438710"/>
      <w:bookmarkStart w:id="2558" w:name="_Toc38439047"/>
      <w:bookmarkStart w:id="2559" w:name="_Toc38439384"/>
      <w:bookmarkStart w:id="2560" w:name="_Toc38439721"/>
      <w:bookmarkStart w:id="2561" w:name="_Toc38440058"/>
      <w:bookmarkStart w:id="2562" w:name="_Toc38440395"/>
      <w:bookmarkStart w:id="2563" w:name="_Toc38440927"/>
      <w:bookmarkStart w:id="2564" w:name="_Toc38441259"/>
      <w:bookmarkStart w:id="2565" w:name="_Toc38441591"/>
      <w:bookmarkStart w:id="2566" w:name="_Toc38441919"/>
      <w:bookmarkStart w:id="2567" w:name="_Toc38442251"/>
      <w:bookmarkStart w:id="2568" w:name="_Toc38442583"/>
      <w:bookmarkStart w:id="2569" w:name="_Toc38442914"/>
      <w:bookmarkStart w:id="2570" w:name="_Toc38443245"/>
      <w:bookmarkStart w:id="2571" w:name="_Toc38443576"/>
      <w:bookmarkStart w:id="2572" w:name="_Toc38443906"/>
      <w:bookmarkStart w:id="2573" w:name="_Toc38438374"/>
      <w:bookmarkStart w:id="2574" w:name="_Toc38438711"/>
      <w:bookmarkStart w:id="2575" w:name="_Toc38439048"/>
      <w:bookmarkStart w:id="2576" w:name="_Toc38439385"/>
      <w:bookmarkStart w:id="2577" w:name="_Toc38439722"/>
      <w:bookmarkStart w:id="2578" w:name="_Toc38440059"/>
      <w:bookmarkStart w:id="2579" w:name="_Toc38440396"/>
      <w:bookmarkStart w:id="2580" w:name="_Toc38440928"/>
      <w:bookmarkStart w:id="2581" w:name="_Toc38441260"/>
      <w:bookmarkStart w:id="2582" w:name="_Toc38441592"/>
      <w:bookmarkStart w:id="2583" w:name="_Toc38441920"/>
      <w:bookmarkStart w:id="2584" w:name="_Toc38442252"/>
      <w:bookmarkStart w:id="2585" w:name="_Toc38442584"/>
      <w:bookmarkStart w:id="2586" w:name="_Toc38442915"/>
      <w:bookmarkStart w:id="2587" w:name="_Toc38443246"/>
      <w:bookmarkStart w:id="2588" w:name="_Toc38443577"/>
      <w:bookmarkStart w:id="2589" w:name="_Toc38443907"/>
      <w:bookmarkStart w:id="2590" w:name="_Toc38438375"/>
      <w:bookmarkStart w:id="2591" w:name="_Toc38438712"/>
      <w:bookmarkStart w:id="2592" w:name="_Toc38439049"/>
      <w:bookmarkStart w:id="2593" w:name="_Toc38439386"/>
      <w:bookmarkStart w:id="2594" w:name="_Toc38439723"/>
      <w:bookmarkStart w:id="2595" w:name="_Toc38440060"/>
      <w:bookmarkStart w:id="2596" w:name="_Toc38440397"/>
      <w:bookmarkStart w:id="2597" w:name="_Toc38440929"/>
      <w:bookmarkStart w:id="2598" w:name="_Toc38441261"/>
      <w:bookmarkStart w:id="2599" w:name="_Toc38441593"/>
      <w:bookmarkStart w:id="2600" w:name="_Toc38441921"/>
      <w:bookmarkStart w:id="2601" w:name="_Toc38442253"/>
      <w:bookmarkStart w:id="2602" w:name="_Toc38442585"/>
      <w:bookmarkStart w:id="2603" w:name="_Toc38442916"/>
      <w:bookmarkStart w:id="2604" w:name="_Toc38443247"/>
      <w:bookmarkStart w:id="2605" w:name="_Toc38443578"/>
      <w:bookmarkStart w:id="2606" w:name="_Toc38443908"/>
      <w:bookmarkStart w:id="2607" w:name="_Toc38438376"/>
      <w:bookmarkStart w:id="2608" w:name="_Toc38438713"/>
      <w:bookmarkStart w:id="2609" w:name="_Toc38439050"/>
      <w:bookmarkStart w:id="2610" w:name="_Toc38439387"/>
      <w:bookmarkStart w:id="2611" w:name="_Toc38439724"/>
      <w:bookmarkStart w:id="2612" w:name="_Toc38440061"/>
      <w:bookmarkStart w:id="2613" w:name="_Toc38440398"/>
      <w:bookmarkStart w:id="2614" w:name="_Toc38440930"/>
      <w:bookmarkStart w:id="2615" w:name="_Toc38441262"/>
      <w:bookmarkStart w:id="2616" w:name="_Toc38441594"/>
      <w:bookmarkStart w:id="2617" w:name="_Toc38441922"/>
      <w:bookmarkStart w:id="2618" w:name="_Toc38442254"/>
      <w:bookmarkStart w:id="2619" w:name="_Toc38442586"/>
      <w:bookmarkStart w:id="2620" w:name="_Toc38442917"/>
      <w:bookmarkStart w:id="2621" w:name="_Toc38443248"/>
      <w:bookmarkStart w:id="2622" w:name="_Toc38443579"/>
      <w:bookmarkStart w:id="2623" w:name="_Toc38443909"/>
      <w:bookmarkStart w:id="2624" w:name="_Toc38438377"/>
      <w:bookmarkStart w:id="2625" w:name="_Toc38438714"/>
      <w:bookmarkStart w:id="2626" w:name="_Toc38439051"/>
      <w:bookmarkStart w:id="2627" w:name="_Toc38439388"/>
      <w:bookmarkStart w:id="2628" w:name="_Toc38439725"/>
      <w:bookmarkStart w:id="2629" w:name="_Toc38440062"/>
      <w:bookmarkStart w:id="2630" w:name="_Toc38440399"/>
      <w:bookmarkStart w:id="2631" w:name="_Toc38440931"/>
      <w:bookmarkStart w:id="2632" w:name="_Toc38441263"/>
      <w:bookmarkStart w:id="2633" w:name="_Toc38441595"/>
      <w:bookmarkStart w:id="2634" w:name="_Toc38441923"/>
      <w:bookmarkStart w:id="2635" w:name="_Toc38442255"/>
      <w:bookmarkStart w:id="2636" w:name="_Toc38442587"/>
      <w:bookmarkStart w:id="2637" w:name="_Toc38442918"/>
      <w:bookmarkStart w:id="2638" w:name="_Toc38443249"/>
      <w:bookmarkStart w:id="2639" w:name="_Toc38443580"/>
      <w:bookmarkStart w:id="2640" w:name="_Toc38443910"/>
      <w:bookmarkStart w:id="2641" w:name="_Toc38438378"/>
      <w:bookmarkStart w:id="2642" w:name="_Toc38438715"/>
      <w:bookmarkStart w:id="2643" w:name="_Toc38439052"/>
      <w:bookmarkStart w:id="2644" w:name="_Toc38439389"/>
      <w:bookmarkStart w:id="2645" w:name="_Toc38439726"/>
      <w:bookmarkStart w:id="2646" w:name="_Toc38440063"/>
      <w:bookmarkStart w:id="2647" w:name="_Toc38440400"/>
      <w:bookmarkStart w:id="2648" w:name="_Toc38440932"/>
      <w:bookmarkStart w:id="2649" w:name="_Toc38441264"/>
      <w:bookmarkStart w:id="2650" w:name="_Toc38441596"/>
      <w:bookmarkStart w:id="2651" w:name="_Toc38441924"/>
      <w:bookmarkStart w:id="2652" w:name="_Toc38442256"/>
      <w:bookmarkStart w:id="2653" w:name="_Toc38442588"/>
      <w:bookmarkStart w:id="2654" w:name="_Toc38442919"/>
      <w:bookmarkStart w:id="2655" w:name="_Toc38443250"/>
      <w:bookmarkStart w:id="2656" w:name="_Toc38443581"/>
      <w:bookmarkStart w:id="2657" w:name="_Toc38443911"/>
      <w:bookmarkStart w:id="2658" w:name="_Toc38438379"/>
      <w:bookmarkStart w:id="2659" w:name="_Toc38438716"/>
      <w:bookmarkStart w:id="2660" w:name="_Toc38439053"/>
      <w:bookmarkStart w:id="2661" w:name="_Toc38439390"/>
      <w:bookmarkStart w:id="2662" w:name="_Toc38439727"/>
      <w:bookmarkStart w:id="2663" w:name="_Toc38440064"/>
      <w:bookmarkStart w:id="2664" w:name="_Toc38440401"/>
      <w:bookmarkStart w:id="2665" w:name="_Toc38440933"/>
      <w:bookmarkStart w:id="2666" w:name="_Toc38441265"/>
      <w:bookmarkStart w:id="2667" w:name="_Toc38441597"/>
      <w:bookmarkStart w:id="2668" w:name="_Toc38441925"/>
      <w:bookmarkStart w:id="2669" w:name="_Toc38442257"/>
      <w:bookmarkStart w:id="2670" w:name="_Toc38442589"/>
      <w:bookmarkStart w:id="2671" w:name="_Toc38442920"/>
      <w:bookmarkStart w:id="2672" w:name="_Toc38443251"/>
      <w:bookmarkStart w:id="2673" w:name="_Toc38443582"/>
      <w:bookmarkStart w:id="2674" w:name="_Toc38443912"/>
      <w:bookmarkStart w:id="2675" w:name="_Toc38438380"/>
      <w:bookmarkStart w:id="2676" w:name="_Toc38438717"/>
      <w:bookmarkStart w:id="2677" w:name="_Toc38439054"/>
      <w:bookmarkStart w:id="2678" w:name="_Toc38439391"/>
      <w:bookmarkStart w:id="2679" w:name="_Toc38439728"/>
      <w:bookmarkStart w:id="2680" w:name="_Toc38440065"/>
      <w:bookmarkStart w:id="2681" w:name="_Toc38440402"/>
      <w:bookmarkStart w:id="2682" w:name="_Toc38440934"/>
      <w:bookmarkStart w:id="2683" w:name="_Toc38441266"/>
      <w:bookmarkStart w:id="2684" w:name="_Toc38441598"/>
      <w:bookmarkStart w:id="2685" w:name="_Toc38441926"/>
      <w:bookmarkStart w:id="2686" w:name="_Toc38442258"/>
      <w:bookmarkStart w:id="2687" w:name="_Toc38442590"/>
      <w:bookmarkStart w:id="2688" w:name="_Toc38442921"/>
      <w:bookmarkStart w:id="2689" w:name="_Toc38443252"/>
      <w:bookmarkStart w:id="2690" w:name="_Toc38443583"/>
      <w:bookmarkStart w:id="2691" w:name="_Toc38443913"/>
      <w:bookmarkStart w:id="2692" w:name="_Toc38438381"/>
      <w:bookmarkStart w:id="2693" w:name="_Toc38438718"/>
      <w:bookmarkStart w:id="2694" w:name="_Toc38439055"/>
      <w:bookmarkStart w:id="2695" w:name="_Toc38439392"/>
      <w:bookmarkStart w:id="2696" w:name="_Toc38439729"/>
      <w:bookmarkStart w:id="2697" w:name="_Toc38440066"/>
      <w:bookmarkStart w:id="2698" w:name="_Toc38440403"/>
      <w:bookmarkStart w:id="2699" w:name="_Toc38440935"/>
      <w:bookmarkStart w:id="2700" w:name="_Toc38441267"/>
      <w:bookmarkStart w:id="2701" w:name="_Toc38441599"/>
      <w:bookmarkStart w:id="2702" w:name="_Toc38441927"/>
      <w:bookmarkStart w:id="2703" w:name="_Toc38442259"/>
      <w:bookmarkStart w:id="2704" w:name="_Toc38442591"/>
      <w:bookmarkStart w:id="2705" w:name="_Toc38442922"/>
      <w:bookmarkStart w:id="2706" w:name="_Toc38443253"/>
      <w:bookmarkStart w:id="2707" w:name="_Toc38443584"/>
      <w:bookmarkStart w:id="2708" w:name="_Toc38443914"/>
      <w:bookmarkStart w:id="2709" w:name="_Toc38438382"/>
      <w:bookmarkStart w:id="2710" w:name="_Toc38438719"/>
      <w:bookmarkStart w:id="2711" w:name="_Toc38439056"/>
      <w:bookmarkStart w:id="2712" w:name="_Toc38439393"/>
      <w:bookmarkStart w:id="2713" w:name="_Toc38439730"/>
      <w:bookmarkStart w:id="2714" w:name="_Toc38440067"/>
      <w:bookmarkStart w:id="2715" w:name="_Toc38440404"/>
      <w:bookmarkStart w:id="2716" w:name="_Toc38440936"/>
      <w:bookmarkStart w:id="2717" w:name="_Toc38441268"/>
      <w:bookmarkStart w:id="2718" w:name="_Toc38441600"/>
      <w:bookmarkStart w:id="2719" w:name="_Toc38441928"/>
      <w:bookmarkStart w:id="2720" w:name="_Toc38442260"/>
      <w:bookmarkStart w:id="2721" w:name="_Toc38442592"/>
      <w:bookmarkStart w:id="2722" w:name="_Toc38442923"/>
      <w:bookmarkStart w:id="2723" w:name="_Toc38443254"/>
      <w:bookmarkStart w:id="2724" w:name="_Toc38443585"/>
      <w:bookmarkStart w:id="2725" w:name="_Toc38443915"/>
      <w:bookmarkStart w:id="2726" w:name="_Toc38438383"/>
      <w:bookmarkStart w:id="2727" w:name="_Toc38438720"/>
      <w:bookmarkStart w:id="2728" w:name="_Toc38439057"/>
      <w:bookmarkStart w:id="2729" w:name="_Toc38439394"/>
      <w:bookmarkStart w:id="2730" w:name="_Toc38439731"/>
      <w:bookmarkStart w:id="2731" w:name="_Toc38440068"/>
      <w:bookmarkStart w:id="2732" w:name="_Toc38440405"/>
      <w:bookmarkStart w:id="2733" w:name="_Toc38440937"/>
      <w:bookmarkStart w:id="2734" w:name="_Toc38441269"/>
      <w:bookmarkStart w:id="2735" w:name="_Toc38441601"/>
      <w:bookmarkStart w:id="2736" w:name="_Toc38441929"/>
      <w:bookmarkStart w:id="2737" w:name="_Toc38442261"/>
      <w:bookmarkStart w:id="2738" w:name="_Toc38442593"/>
      <w:bookmarkStart w:id="2739" w:name="_Toc38442924"/>
      <w:bookmarkStart w:id="2740" w:name="_Toc38443255"/>
      <w:bookmarkStart w:id="2741" w:name="_Toc38443586"/>
      <w:bookmarkStart w:id="2742" w:name="_Toc38443916"/>
      <w:bookmarkStart w:id="2743" w:name="_Toc38438384"/>
      <w:bookmarkStart w:id="2744" w:name="_Toc38438721"/>
      <w:bookmarkStart w:id="2745" w:name="_Toc38439058"/>
      <w:bookmarkStart w:id="2746" w:name="_Toc38439395"/>
      <w:bookmarkStart w:id="2747" w:name="_Toc38439732"/>
      <w:bookmarkStart w:id="2748" w:name="_Toc38440069"/>
      <w:bookmarkStart w:id="2749" w:name="_Toc38440406"/>
      <w:bookmarkStart w:id="2750" w:name="_Toc38440938"/>
      <w:bookmarkStart w:id="2751" w:name="_Toc38441270"/>
      <w:bookmarkStart w:id="2752" w:name="_Toc38441602"/>
      <w:bookmarkStart w:id="2753" w:name="_Toc38441930"/>
      <w:bookmarkStart w:id="2754" w:name="_Toc38442262"/>
      <w:bookmarkStart w:id="2755" w:name="_Toc38442594"/>
      <w:bookmarkStart w:id="2756" w:name="_Toc38442925"/>
      <w:bookmarkStart w:id="2757" w:name="_Toc38443256"/>
      <w:bookmarkStart w:id="2758" w:name="_Toc38443587"/>
      <w:bookmarkStart w:id="2759" w:name="_Toc38443917"/>
      <w:bookmarkStart w:id="2760" w:name="_Toc38438385"/>
      <w:bookmarkStart w:id="2761" w:name="_Toc38438722"/>
      <w:bookmarkStart w:id="2762" w:name="_Toc38439059"/>
      <w:bookmarkStart w:id="2763" w:name="_Toc38439396"/>
      <w:bookmarkStart w:id="2764" w:name="_Toc38439733"/>
      <w:bookmarkStart w:id="2765" w:name="_Toc38440070"/>
      <w:bookmarkStart w:id="2766" w:name="_Toc38440407"/>
      <w:bookmarkStart w:id="2767" w:name="_Toc38440939"/>
      <w:bookmarkStart w:id="2768" w:name="_Toc38441271"/>
      <w:bookmarkStart w:id="2769" w:name="_Toc38441603"/>
      <w:bookmarkStart w:id="2770" w:name="_Toc38441931"/>
      <w:bookmarkStart w:id="2771" w:name="_Toc38442263"/>
      <w:bookmarkStart w:id="2772" w:name="_Toc38442595"/>
      <w:bookmarkStart w:id="2773" w:name="_Toc38442926"/>
      <w:bookmarkStart w:id="2774" w:name="_Toc38443257"/>
      <w:bookmarkStart w:id="2775" w:name="_Toc38443588"/>
      <w:bookmarkStart w:id="2776" w:name="_Toc38443918"/>
      <w:bookmarkStart w:id="2777" w:name="_Toc38438386"/>
      <w:bookmarkStart w:id="2778" w:name="_Toc38438723"/>
      <w:bookmarkStart w:id="2779" w:name="_Toc38439060"/>
      <w:bookmarkStart w:id="2780" w:name="_Toc38439397"/>
      <w:bookmarkStart w:id="2781" w:name="_Toc38439734"/>
      <w:bookmarkStart w:id="2782" w:name="_Toc38440071"/>
      <w:bookmarkStart w:id="2783" w:name="_Toc38440408"/>
      <w:bookmarkStart w:id="2784" w:name="_Toc38440940"/>
      <w:bookmarkStart w:id="2785" w:name="_Toc38441272"/>
      <w:bookmarkStart w:id="2786" w:name="_Toc38441604"/>
      <w:bookmarkStart w:id="2787" w:name="_Toc38441932"/>
      <w:bookmarkStart w:id="2788" w:name="_Toc38442264"/>
      <w:bookmarkStart w:id="2789" w:name="_Toc38442596"/>
      <w:bookmarkStart w:id="2790" w:name="_Toc38442927"/>
      <w:bookmarkStart w:id="2791" w:name="_Toc38443258"/>
      <w:bookmarkStart w:id="2792" w:name="_Toc38443589"/>
      <w:bookmarkStart w:id="2793" w:name="_Toc38443919"/>
      <w:bookmarkStart w:id="2794" w:name="_Toc38438387"/>
      <w:bookmarkStart w:id="2795" w:name="_Toc38438724"/>
      <w:bookmarkStart w:id="2796" w:name="_Toc38439061"/>
      <w:bookmarkStart w:id="2797" w:name="_Toc38439398"/>
      <w:bookmarkStart w:id="2798" w:name="_Toc38439735"/>
      <w:bookmarkStart w:id="2799" w:name="_Toc38440072"/>
      <w:bookmarkStart w:id="2800" w:name="_Toc38440409"/>
      <w:bookmarkStart w:id="2801" w:name="_Toc38440941"/>
      <w:bookmarkStart w:id="2802" w:name="_Toc38441273"/>
      <w:bookmarkStart w:id="2803" w:name="_Toc38441605"/>
      <w:bookmarkStart w:id="2804" w:name="_Toc38441933"/>
      <w:bookmarkStart w:id="2805" w:name="_Toc38442265"/>
      <w:bookmarkStart w:id="2806" w:name="_Toc38442597"/>
      <w:bookmarkStart w:id="2807" w:name="_Toc38442928"/>
      <w:bookmarkStart w:id="2808" w:name="_Toc38443259"/>
      <w:bookmarkStart w:id="2809" w:name="_Toc38443590"/>
      <w:bookmarkStart w:id="2810" w:name="_Toc38443920"/>
      <w:bookmarkStart w:id="2811" w:name="_Toc38438388"/>
      <w:bookmarkStart w:id="2812" w:name="_Toc38438725"/>
      <w:bookmarkStart w:id="2813" w:name="_Toc38439062"/>
      <w:bookmarkStart w:id="2814" w:name="_Toc38439399"/>
      <w:bookmarkStart w:id="2815" w:name="_Toc38439736"/>
      <w:bookmarkStart w:id="2816" w:name="_Toc38440073"/>
      <w:bookmarkStart w:id="2817" w:name="_Toc38440410"/>
      <w:bookmarkStart w:id="2818" w:name="_Toc38440942"/>
      <w:bookmarkStart w:id="2819" w:name="_Toc38441274"/>
      <w:bookmarkStart w:id="2820" w:name="_Toc38441606"/>
      <w:bookmarkStart w:id="2821" w:name="_Toc38441934"/>
      <w:bookmarkStart w:id="2822" w:name="_Toc38442266"/>
      <w:bookmarkStart w:id="2823" w:name="_Toc38442598"/>
      <w:bookmarkStart w:id="2824" w:name="_Toc38442929"/>
      <w:bookmarkStart w:id="2825" w:name="_Toc38443260"/>
      <w:bookmarkStart w:id="2826" w:name="_Toc38443591"/>
      <w:bookmarkStart w:id="2827" w:name="_Toc38443921"/>
      <w:bookmarkStart w:id="2828" w:name="_Toc38438389"/>
      <w:bookmarkStart w:id="2829" w:name="_Toc38438726"/>
      <w:bookmarkStart w:id="2830" w:name="_Toc38439063"/>
      <w:bookmarkStart w:id="2831" w:name="_Toc38439400"/>
      <w:bookmarkStart w:id="2832" w:name="_Toc38439737"/>
      <w:bookmarkStart w:id="2833" w:name="_Toc38440074"/>
      <w:bookmarkStart w:id="2834" w:name="_Toc38440411"/>
      <w:bookmarkStart w:id="2835" w:name="_Toc38440943"/>
      <w:bookmarkStart w:id="2836" w:name="_Toc38441275"/>
      <w:bookmarkStart w:id="2837" w:name="_Toc38441607"/>
      <w:bookmarkStart w:id="2838" w:name="_Toc38441935"/>
      <w:bookmarkStart w:id="2839" w:name="_Toc38442267"/>
      <w:bookmarkStart w:id="2840" w:name="_Toc38442599"/>
      <w:bookmarkStart w:id="2841" w:name="_Toc38442930"/>
      <w:bookmarkStart w:id="2842" w:name="_Toc38443261"/>
      <w:bookmarkStart w:id="2843" w:name="_Toc38443592"/>
      <w:bookmarkStart w:id="2844" w:name="_Toc38443922"/>
      <w:bookmarkStart w:id="2845" w:name="_Toc38438390"/>
      <w:bookmarkStart w:id="2846" w:name="_Toc38438727"/>
      <w:bookmarkStart w:id="2847" w:name="_Toc38439064"/>
      <w:bookmarkStart w:id="2848" w:name="_Toc38439401"/>
      <w:bookmarkStart w:id="2849" w:name="_Toc38439738"/>
      <w:bookmarkStart w:id="2850" w:name="_Toc38440075"/>
      <w:bookmarkStart w:id="2851" w:name="_Toc38440412"/>
      <w:bookmarkStart w:id="2852" w:name="_Toc38440944"/>
      <w:bookmarkStart w:id="2853" w:name="_Toc38441276"/>
      <w:bookmarkStart w:id="2854" w:name="_Toc38441608"/>
      <w:bookmarkStart w:id="2855" w:name="_Toc38441936"/>
      <w:bookmarkStart w:id="2856" w:name="_Toc38442268"/>
      <w:bookmarkStart w:id="2857" w:name="_Toc38442600"/>
      <w:bookmarkStart w:id="2858" w:name="_Toc38442931"/>
      <w:bookmarkStart w:id="2859" w:name="_Toc38443262"/>
      <w:bookmarkStart w:id="2860" w:name="_Toc38443593"/>
      <w:bookmarkStart w:id="2861" w:name="_Toc38443923"/>
      <w:bookmarkStart w:id="2862" w:name="_Toc38438391"/>
      <w:bookmarkStart w:id="2863" w:name="_Toc38438728"/>
      <w:bookmarkStart w:id="2864" w:name="_Toc38439065"/>
      <w:bookmarkStart w:id="2865" w:name="_Toc38439402"/>
      <w:bookmarkStart w:id="2866" w:name="_Toc38439739"/>
      <w:bookmarkStart w:id="2867" w:name="_Toc38440076"/>
      <w:bookmarkStart w:id="2868" w:name="_Toc38440413"/>
      <w:bookmarkStart w:id="2869" w:name="_Toc38440945"/>
      <w:bookmarkStart w:id="2870" w:name="_Toc38441277"/>
      <w:bookmarkStart w:id="2871" w:name="_Toc38441609"/>
      <w:bookmarkStart w:id="2872" w:name="_Toc38441937"/>
      <w:bookmarkStart w:id="2873" w:name="_Toc38442269"/>
      <w:bookmarkStart w:id="2874" w:name="_Toc38442601"/>
      <w:bookmarkStart w:id="2875" w:name="_Toc38442932"/>
      <w:bookmarkStart w:id="2876" w:name="_Toc38443263"/>
      <w:bookmarkStart w:id="2877" w:name="_Toc38443594"/>
      <w:bookmarkStart w:id="2878" w:name="_Toc38443924"/>
      <w:bookmarkStart w:id="2879" w:name="_Toc38438392"/>
      <w:bookmarkStart w:id="2880" w:name="_Toc38438729"/>
      <w:bookmarkStart w:id="2881" w:name="_Toc38439066"/>
      <w:bookmarkStart w:id="2882" w:name="_Toc38439403"/>
      <w:bookmarkStart w:id="2883" w:name="_Toc38439740"/>
      <w:bookmarkStart w:id="2884" w:name="_Toc38440077"/>
      <w:bookmarkStart w:id="2885" w:name="_Toc38440414"/>
      <w:bookmarkStart w:id="2886" w:name="_Toc38440946"/>
      <w:bookmarkStart w:id="2887" w:name="_Toc38441278"/>
      <w:bookmarkStart w:id="2888" w:name="_Toc38441610"/>
      <w:bookmarkStart w:id="2889" w:name="_Toc38441938"/>
      <w:bookmarkStart w:id="2890" w:name="_Toc38442270"/>
      <w:bookmarkStart w:id="2891" w:name="_Toc38442602"/>
      <w:bookmarkStart w:id="2892" w:name="_Toc38442933"/>
      <w:bookmarkStart w:id="2893" w:name="_Toc38443264"/>
      <w:bookmarkStart w:id="2894" w:name="_Toc38443595"/>
      <w:bookmarkStart w:id="2895" w:name="_Toc38443925"/>
      <w:bookmarkStart w:id="2896" w:name="_Toc38438393"/>
      <w:bookmarkStart w:id="2897" w:name="_Toc38438730"/>
      <w:bookmarkStart w:id="2898" w:name="_Toc38439067"/>
      <w:bookmarkStart w:id="2899" w:name="_Toc38439404"/>
      <w:bookmarkStart w:id="2900" w:name="_Toc38439741"/>
      <w:bookmarkStart w:id="2901" w:name="_Toc38440078"/>
      <w:bookmarkStart w:id="2902" w:name="_Toc38440415"/>
      <w:bookmarkStart w:id="2903" w:name="_Toc38440947"/>
      <w:bookmarkStart w:id="2904" w:name="_Toc38441279"/>
      <w:bookmarkStart w:id="2905" w:name="_Toc38441611"/>
      <w:bookmarkStart w:id="2906" w:name="_Toc38441939"/>
      <w:bookmarkStart w:id="2907" w:name="_Toc38442271"/>
      <w:bookmarkStart w:id="2908" w:name="_Toc38442603"/>
      <w:bookmarkStart w:id="2909" w:name="_Toc38442934"/>
      <w:bookmarkStart w:id="2910" w:name="_Toc38443265"/>
      <w:bookmarkStart w:id="2911" w:name="_Toc38443596"/>
      <w:bookmarkStart w:id="2912" w:name="_Toc38443926"/>
      <w:bookmarkStart w:id="2913" w:name="_Toc38438394"/>
      <w:bookmarkStart w:id="2914" w:name="_Toc38438731"/>
      <w:bookmarkStart w:id="2915" w:name="_Toc38439068"/>
      <w:bookmarkStart w:id="2916" w:name="_Toc38439405"/>
      <w:bookmarkStart w:id="2917" w:name="_Toc38439742"/>
      <w:bookmarkStart w:id="2918" w:name="_Toc38440079"/>
      <w:bookmarkStart w:id="2919" w:name="_Toc38440416"/>
      <w:bookmarkStart w:id="2920" w:name="_Toc38440948"/>
      <w:bookmarkStart w:id="2921" w:name="_Toc38441280"/>
      <w:bookmarkStart w:id="2922" w:name="_Toc38441612"/>
      <w:bookmarkStart w:id="2923" w:name="_Toc38441940"/>
      <w:bookmarkStart w:id="2924" w:name="_Toc38442272"/>
      <w:bookmarkStart w:id="2925" w:name="_Toc38442604"/>
      <w:bookmarkStart w:id="2926" w:name="_Toc38442935"/>
      <w:bookmarkStart w:id="2927" w:name="_Toc38443266"/>
      <w:bookmarkStart w:id="2928" w:name="_Toc38443597"/>
      <w:bookmarkStart w:id="2929" w:name="_Toc38443927"/>
      <w:bookmarkStart w:id="2930" w:name="_Toc38438395"/>
      <w:bookmarkStart w:id="2931" w:name="_Toc38438732"/>
      <w:bookmarkStart w:id="2932" w:name="_Toc38439069"/>
      <w:bookmarkStart w:id="2933" w:name="_Toc38439406"/>
      <w:bookmarkStart w:id="2934" w:name="_Toc38439743"/>
      <w:bookmarkStart w:id="2935" w:name="_Toc38440080"/>
      <w:bookmarkStart w:id="2936" w:name="_Toc38440417"/>
      <w:bookmarkStart w:id="2937" w:name="_Toc38440949"/>
      <w:bookmarkStart w:id="2938" w:name="_Toc38441281"/>
      <w:bookmarkStart w:id="2939" w:name="_Toc38441613"/>
      <w:bookmarkStart w:id="2940" w:name="_Toc38441941"/>
      <w:bookmarkStart w:id="2941" w:name="_Toc38442273"/>
      <w:bookmarkStart w:id="2942" w:name="_Toc38442605"/>
      <w:bookmarkStart w:id="2943" w:name="_Toc38442936"/>
      <w:bookmarkStart w:id="2944" w:name="_Toc38443267"/>
      <w:bookmarkStart w:id="2945" w:name="_Toc38443598"/>
      <w:bookmarkStart w:id="2946" w:name="_Toc38443928"/>
      <w:bookmarkStart w:id="2947" w:name="_Toc38438396"/>
      <w:bookmarkStart w:id="2948" w:name="_Toc38438733"/>
      <w:bookmarkStart w:id="2949" w:name="_Toc38439070"/>
      <w:bookmarkStart w:id="2950" w:name="_Toc38439407"/>
      <w:bookmarkStart w:id="2951" w:name="_Toc38439744"/>
      <w:bookmarkStart w:id="2952" w:name="_Toc38440081"/>
      <w:bookmarkStart w:id="2953" w:name="_Toc38440418"/>
      <w:bookmarkStart w:id="2954" w:name="_Toc38440950"/>
      <w:bookmarkStart w:id="2955" w:name="_Toc38441282"/>
      <w:bookmarkStart w:id="2956" w:name="_Toc38441614"/>
      <w:bookmarkStart w:id="2957" w:name="_Toc38441942"/>
      <w:bookmarkStart w:id="2958" w:name="_Toc38442274"/>
      <w:bookmarkStart w:id="2959" w:name="_Toc38442606"/>
      <w:bookmarkStart w:id="2960" w:name="_Toc38442937"/>
      <w:bookmarkStart w:id="2961" w:name="_Toc38443268"/>
      <w:bookmarkStart w:id="2962" w:name="_Toc38443599"/>
      <w:bookmarkStart w:id="2963" w:name="_Toc38443929"/>
      <w:bookmarkStart w:id="2964" w:name="_Toc38438397"/>
      <w:bookmarkStart w:id="2965" w:name="_Toc38438734"/>
      <w:bookmarkStart w:id="2966" w:name="_Toc38439071"/>
      <w:bookmarkStart w:id="2967" w:name="_Toc38439408"/>
      <w:bookmarkStart w:id="2968" w:name="_Toc38439745"/>
      <w:bookmarkStart w:id="2969" w:name="_Toc38440082"/>
      <w:bookmarkStart w:id="2970" w:name="_Toc38440419"/>
      <w:bookmarkStart w:id="2971" w:name="_Toc38440951"/>
      <w:bookmarkStart w:id="2972" w:name="_Toc38441283"/>
      <w:bookmarkStart w:id="2973" w:name="_Toc38441615"/>
      <w:bookmarkStart w:id="2974" w:name="_Toc38441943"/>
      <w:bookmarkStart w:id="2975" w:name="_Toc38442275"/>
      <w:bookmarkStart w:id="2976" w:name="_Toc38442607"/>
      <w:bookmarkStart w:id="2977" w:name="_Toc38442938"/>
      <w:bookmarkStart w:id="2978" w:name="_Toc38443269"/>
      <w:bookmarkStart w:id="2979" w:name="_Toc38443600"/>
      <w:bookmarkStart w:id="2980" w:name="_Toc38443930"/>
      <w:bookmarkStart w:id="2981" w:name="_Toc38438398"/>
      <w:bookmarkStart w:id="2982" w:name="_Toc38438735"/>
      <w:bookmarkStart w:id="2983" w:name="_Toc38439072"/>
      <w:bookmarkStart w:id="2984" w:name="_Toc38439409"/>
      <w:bookmarkStart w:id="2985" w:name="_Toc38439746"/>
      <w:bookmarkStart w:id="2986" w:name="_Toc38440083"/>
      <w:bookmarkStart w:id="2987" w:name="_Toc38440420"/>
      <w:bookmarkStart w:id="2988" w:name="_Toc38440952"/>
      <w:bookmarkStart w:id="2989" w:name="_Toc38441284"/>
      <w:bookmarkStart w:id="2990" w:name="_Toc38441616"/>
      <w:bookmarkStart w:id="2991" w:name="_Toc38441944"/>
      <w:bookmarkStart w:id="2992" w:name="_Toc38442276"/>
      <w:bookmarkStart w:id="2993" w:name="_Toc38442608"/>
      <w:bookmarkStart w:id="2994" w:name="_Toc38442939"/>
      <w:bookmarkStart w:id="2995" w:name="_Toc38443270"/>
      <w:bookmarkStart w:id="2996" w:name="_Toc38443601"/>
      <w:bookmarkStart w:id="2997" w:name="_Toc38443931"/>
      <w:bookmarkStart w:id="2998" w:name="_Toc38438400"/>
      <w:bookmarkStart w:id="2999" w:name="_Toc38438737"/>
      <w:bookmarkStart w:id="3000" w:name="_Toc38439074"/>
      <w:bookmarkStart w:id="3001" w:name="_Toc38439411"/>
      <w:bookmarkStart w:id="3002" w:name="_Toc38439748"/>
      <w:bookmarkStart w:id="3003" w:name="_Toc38440085"/>
      <w:bookmarkStart w:id="3004" w:name="_Toc38440422"/>
      <w:bookmarkStart w:id="3005" w:name="_Toc38440954"/>
      <w:bookmarkStart w:id="3006" w:name="_Toc38441286"/>
      <w:bookmarkStart w:id="3007" w:name="_Toc38441618"/>
      <w:bookmarkStart w:id="3008" w:name="_Toc38441946"/>
      <w:bookmarkStart w:id="3009" w:name="_Toc38442278"/>
      <w:bookmarkStart w:id="3010" w:name="_Toc38442610"/>
      <w:bookmarkStart w:id="3011" w:name="_Toc38442941"/>
      <w:bookmarkStart w:id="3012" w:name="_Toc38443272"/>
      <w:bookmarkStart w:id="3013" w:name="_Toc38443603"/>
      <w:bookmarkStart w:id="3014" w:name="_Toc38443933"/>
      <w:bookmarkStart w:id="3015" w:name="_Toc38438401"/>
      <w:bookmarkStart w:id="3016" w:name="_Toc38438738"/>
      <w:bookmarkStart w:id="3017" w:name="_Toc38439075"/>
      <w:bookmarkStart w:id="3018" w:name="_Toc38439412"/>
      <w:bookmarkStart w:id="3019" w:name="_Toc38439749"/>
      <w:bookmarkStart w:id="3020" w:name="_Toc38440086"/>
      <w:bookmarkStart w:id="3021" w:name="_Toc38440423"/>
      <w:bookmarkStart w:id="3022" w:name="_Toc38440955"/>
      <w:bookmarkStart w:id="3023" w:name="_Toc38441287"/>
      <w:bookmarkStart w:id="3024" w:name="_Toc38441619"/>
      <w:bookmarkStart w:id="3025" w:name="_Toc38441947"/>
      <w:bookmarkStart w:id="3026" w:name="_Toc38442279"/>
      <w:bookmarkStart w:id="3027" w:name="_Toc38442611"/>
      <w:bookmarkStart w:id="3028" w:name="_Toc38442942"/>
      <w:bookmarkStart w:id="3029" w:name="_Toc38443273"/>
      <w:bookmarkStart w:id="3030" w:name="_Toc38443604"/>
      <w:bookmarkStart w:id="3031" w:name="_Toc38443934"/>
      <w:bookmarkStart w:id="3032" w:name="_Toc38438402"/>
      <w:bookmarkStart w:id="3033" w:name="_Toc38438739"/>
      <w:bookmarkStart w:id="3034" w:name="_Toc38439076"/>
      <w:bookmarkStart w:id="3035" w:name="_Toc38439413"/>
      <w:bookmarkStart w:id="3036" w:name="_Toc38439750"/>
      <w:bookmarkStart w:id="3037" w:name="_Toc38440087"/>
      <w:bookmarkStart w:id="3038" w:name="_Toc38440424"/>
      <w:bookmarkStart w:id="3039" w:name="_Toc38440956"/>
      <w:bookmarkStart w:id="3040" w:name="_Toc38441288"/>
      <w:bookmarkStart w:id="3041" w:name="_Toc38441620"/>
      <w:bookmarkStart w:id="3042" w:name="_Toc38441948"/>
      <w:bookmarkStart w:id="3043" w:name="_Toc38442280"/>
      <w:bookmarkStart w:id="3044" w:name="_Toc38442612"/>
      <w:bookmarkStart w:id="3045" w:name="_Toc38442943"/>
      <w:bookmarkStart w:id="3046" w:name="_Toc38443274"/>
      <w:bookmarkStart w:id="3047" w:name="_Toc38443605"/>
      <w:bookmarkStart w:id="3048" w:name="_Toc38443935"/>
      <w:bookmarkStart w:id="3049" w:name="_Toc38438404"/>
      <w:bookmarkStart w:id="3050" w:name="_Toc38438741"/>
      <w:bookmarkStart w:id="3051" w:name="_Toc38439078"/>
      <w:bookmarkStart w:id="3052" w:name="_Toc38439415"/>
      <w:bookmarkStart w:id="3053" w:name="_Toc38439752"/>
      <w:bookmarkStart w:id="3054" w:name="_Toc38440089"/>
      <w:bookmarkStart w:id="3055" w:name="_Toc38440426"/>
      <w:bookmarkStart w:id="3056" w:name="_Toc38440958"/>
      <w:bookmarkStart w:id="3057" w:name="_Toc38441290"/>
      <w:bookmarkStart w:id="3058" w:name="_Toc38441622"/>
      <w:bookmarkStart w:id="3059" w:name="_Toc38441950"/>
      <w:bookmarkStart w:id="3060" w:name="_Toc38442282"/>
      <w:bookmarkStart w:id="3061" w:name="_Toc38442614"/>
      <w:bookmarkStart w:id="3062" w:name="_Toc38442945"/>
      <w:bookmarkStart w:id="3063" w:name="_Toc38443276"/>
      <w:bookmarkStart w:id="3064" w:name="_Toc38443607"/>
      <w:bookmarkStart w:id="3065" w:name="_Toc38443937"/>
      <w:bookmarkStart w:id="3066" w:name="_Toc38438405"/>
      <w:bookmarkStart w:id="3067" w:name="_Toc38438742"/>
      <w:bookmarkStart w:id="3068" w:name="_Toc38439079"/>
      <w:bookmarkStart w:id="3069" w:name="_Toc38439416"/>
      <w:bookmarkStart w:id="3070" w:name="_Toc38439753"/>
      <w:bookmarkStart w:id="3071" w:name="_Toc38440090"/>
      <w:bookmarkStart w:id="3072" w:name="_Toc38440427"/>
      <w:bookmarkStart w:id="3073" w:name="_Toc38440959"/>
      <w:bookmarkStart w:id="3074" w:name="_Toc38441291"/>
      <w:bookmarkStart w:id="3075" w:name="_Toc38441623"/>
      <w:bookmarkStart w:id="3076" w:name="_Toc38441951"/>
      <w:bookmarkStart w:id="3077" w:name="_Toc38442283"/>
      <w:bookmarkStart w:id="3078" w:name="_Toc38442615"/>
      <w:bookmarkStart w:id="3079" w:name="_Toc38442946"/>
      <w:bookmarkStart w:id="3080" w:name="_Toc38443277"/>
      <w:bookmarkStart w:id="3081" w:name="_Toc38443608"/>
      <w:bookmarkStart w:id="3082" w:name="_Toc38443938"/>
      <w:bookmarkStart w:id="3083" w:name="_Toc38438406"/>
      <w:bookmarkStart w:id="3084" w:name="_Toc38438743"/>
      <w:bookmarkStart w:id="3085" w:name="_Toc38439080"/>
      <w:bookmarkStart w:id="3086" w:name="_Toc38439417"/>
      <w:bookmarkStart w:id="3087" w:name="_Toc38439754"/>
      <w:bookmarkStart w:id="3088" w:name="_Toc38440091"/>
      <w:bookmarkStart w:id="3089" w:name="_Toc38440428"/>
      <w:bookmarkStart w:id="3090" w:name="_Toc38440960"/>
      <w:bookmarkStart w:id="3091" w:name="_Toc38441292"/>
      <w:bookmarkStart w:id="3092" w:name="_Toc38441624"/>
      <w:bookmarkStart w:id="3093" w:name="_Toc38441952"/>
      <w:bookmarkStart w:id="3094" w:name="_Toc38442284"/>
      <w:bookmarkStart w:id="3095" w:name="_Toc38442616"/>
      <w:bookmarkStart w:id="3096" w:name="_Toc38442947"/>
      <w:bookmarkStart w:id="3097" w:name="_Toc38443278"/>
      <w:bookmarkStart w:id="3098" w:name="_Toc38443609"/>
      <w:bookmarkStart w:id="3099" w:name="_Toc38443939"/>
      <w:bookmarkStart w:id="3100" w:name="_Toc38438407"/>
      <w:bookmarkStart w:id="3101" w:name="_Toc38438744"/>
      <w:bookmarkStart w:id="3102" w:name="_Toc38439081"/>
      <w:bookmarkStart w:id="3103" w:name="_Toc38439418"/>
      <w:bookmarkStart w:id="3104" w:name="_Toc38439755"/>
      <w:bookmarkStart w:id="3105" w:name="_Toc38440092"/>
      <w:bookmarkStart w:id="3106" w:name="_Toc38440429"/>
      <w:bookmarkStart w:id="3107" w:name="_Toc38440961"/>
      <w:bookmarkStart w:id="3108" w:name="_Toc38441293"/>
      <w:bookmarkStart w:id="3109" w:name="_Toc38441625"/>
      <w:bookmarkStart w:id="3110" w:name="_Toc38441953"/>
      <w:bookmarkStart w:id="3111" w:name="_Toc38442285"/>
      <w:bookmarkStart w:id="3112" w:name="_Toc38442617"/>
      <w:bookmarkStart w:id="3113" w:name="_Toc38442948"/>
      <w:bookmarkStart w:id="3114" w:name="_Toc38443279"/>
      <w:bookmarkStart w:id="3115" w:name="_Toc38443610"/>
      <w:bookmarkStart w:id="3116" w:name="_Toc38443940"/>
      <w:bookmarkStart w:id="3117" w:name="_Toc38438408"/>
      <w:bookmarkStart w:id="3118" w:name="_Toc38438745"/>
      <w:bookmarkStart w:id="3119" w:name="_Toc38439082"/>
      <w:bookmarkStart w:id="3120" w:name="_Toc38439419"/>
      <w:bookmarkStart w:id="3121" w:name="_Toc38439756"/>
      <w:bookmarkStart w:id="3122" w:name="_Toc38440093"/>
      <w:bookmarkStart w:id="3123" w:name="_Toc38440430"/>
      <w:bookmarkStart w:id="3124" w:name="_Toc38440962"/>
      <w:bookmarkStart w:id="3125" w:name="_Toc38441294"/>
      <w:bookmarkStart w:id="3126" w:name="_Toc38441626"/>
      <w:bookmarkStart w:id="3127" w:name="_Toc38441954"/>
      <w:bookmarkStart w:id="3128" w:name="_Toc38442286"/>
      <w:bookmarkStart w:id="3129" w:name="_Toc38442618"/>
      <w:bookmarkStart w:id="3130" w:name="_Toc38442949"/>
      <w:bookmarkStart w:id="3131" w:name="_Toc38443280"/>
      <w:bookmarkStart w:id="3132" w:name="_Toc38443611"/>
      <w:bookmarkStart w:id="3133" w:name="_Toc38443941"/>
      <w:bookmarkStart w:id="3134" w:name="_Toc38438409"/>
      <w:bookmarkStart w:id="3135" w:name="_Toc38438746"/>
      <w:bookmarkStart w:id="3136" w:name="_Toc38439083"/>
      <w:bookmarkStart w:id="3137" w:name="_Toc38439420"/>
      <w:bookmarkStart w:id="3138" w:name="_Toc38439757"/>
      <w:bookmarkStart w:id="3139" w:name="_Toc38440094"/>
      <w:bookmarkStart w:id="3140" w:name="_Toc38440431"/>
      <w:bookmarkStart w:id="3141" w:name="_Toc38440963"/>
      <w:bookmarkStart w:id="3142" w:name="_Toc38441295"/>
      <w:bookmarkStart w:id="3143" w:name="_Toc38441627"/>
      <w:bookmarkStart w:id="3144" w:name="_Toc38441955"/>
      <w:bookmarkStart w:id="3145" w:name="_Toc38442287"/>
      <w:bookmarkStart w:id="3146" w:name="_Toc38442619"/>
      <w:bookmarkStart w:id="3147" w:name="_Toc38442950"/>
      <w:bookmarkStart w:id="3148" w:name="_Toc38443281"/>
      <w:bookmarkStart w:id="3149" w:name="_Toc38443612"/>
      <w:bookmarkStart w:id="3150" w:name="_Toc38443942"/>
      <w:bookmarkStart w:id="3151" w:name="_Toc38438410"/>
      <w:bookmarkStart w:id="3152" w:name="_Toc38438747"/>
      <w:bookmarkStart w:id="3153" w:name="_Toc38439084"/>
      <w:bookmarkStart w:id="3154" w:name="_Toc38439421"/>
      <w:bookmarkStart w:id="3155" w:name="_Toc38439758"/>
      <w:bookmarkStart w:id="3156" w:name="_Toc38440095"/>
      <w:bookmarkStart w:id="3157" w:name="_Toc38440432"/>
      <w:bookmarkStart w:id="3158" w:name="_Toc38440964"/>
      <w:bookmarkStart w:id="3159" w:name="_Toc38441296"/>
      <w:bookmarkStart w:id="3160" w:name="_Toc38441628"/>
      <w:bookmarkStart w:id="3161" w:name="_Toc38441956"/>
      <w:bookmarkStart w:id="3162" w:name="_Toc38442288"/>
      <w:bookmarkStart w:id="3163" w:name="_Toc38442620"/>
      <w:bookmarkStart w:id="3164" w:name="_Toc38442951"/>
      <w:bookmarkStart w:id="3165" w:name="_Toc38443282"/>
      <w:bookmarkStart w:id="3166" w:name="_Toc38443613"/>
      <w:bookmarkStart w:id="3167" w:name="_Toc38443943"/>
      <w:bookmarkStart w:id="3168" w:name="_Toc38438411"/>
      <w:bookmarkStart w:id="3169" w:name="_Toc38438748"/>
      <w:bookmarkStart w:id="3170" w:name="_Toc38439085"/>
      <w:bookmarkStart w:id="3171" w:name="_Toc38439422"/>
      <w:bookmarkStart w:id="3172" w:name="_Toc38439759"/>
      <w:bookmarkStart w:id="3173" w:name="_Toc38440096"/>
      <w:bookmarkStart w:id="3174" w:name="_Toc38440433"/>
      <w:bookmarkStart w:id="3175" w:name="_Toc38440965"/>
      <w:bookmarkStart w:id="3176" w:name="_Toc38441297"/>
      <w:bookmarkStart w:id="3177" w:name="_Toc38441629"/>
      <w:bookmarkStart w:id="3178" w:name="_Toc38441957"/>
      <w:bookmarkStart w:id="3179" w:name="_Toc38442289"/>
      <w:bookmarkStart w:id="3180" w:name="_Toc38442621"/>
      <w:bookmarkStart w:id="3181" w:name="_Toc38442952"/>
      <w:bookmarkStart w:id="3182" w:name="_Toc38443283"/>
      <w:bookmarkStart w:id="3183" w:name="_Toc38443614"/>
      <w:bookmarkStart w:id="3184" w:name="_Toc38443944"/>
      <w:bookmarkStart w:id="3185" w:name="_Toc38438412"/>
      <w:bookmarkStart w:id="3186" w:name="_Toc38438749"/>
      <w:bookmarkStart w:id="3187" w:name="_Toc38439086"/>
      <w:bookmarkStart w:id="3188" w:name="_Toc38439423"/>
      <w:bookmarkStart w:id="3189" w:name="_Toc38439760"/>
      <w:bookmarkStart w:id="3190" w:name="_Toc38440097"/>
      <w:bookmarkStart w:id="3191" w:name="_Toc38440434"/>
      <w:bookmarkStart w:id="3192" w:name="_Toc38440966"/>
      <w:bookmarkStart w:id="3193" w:name="_Toc38441298"/>
      <w:bookmarkStart w:id="3194" w:name="_Toc38441630"/>
      <w:bookmarkStart w:id="3195" w:name="_Toc38441958"/>
      <w:bookmarkStart w:id="3196" w:name="_Toc38442290"/>
      <w:bookmarkStart w:id="3197" w:name="_Toc38442622"/>
      <w:bookmarkStart w:id="3198" w:name="_Toc38442953"/>
      <w:bookmarkStart w:id="3199" w:name="_Toc38443284"/>
      <w:bookmarkStart w:id="3200" w:name="_Toc38443615"/>
      <w:bookmarkStart w:id="3201" w:name="_Toc38443945"/>
      <w:bookmarkStart w:id="3202" w:name="_Toc38438413"/>
      <w:bookmarkStart w:id="3203" w:name="_Toc38438750"/>
      <w:bookmarkStart w:id="3204" w:name="_Toc38439087"/>
      <w:bookmarkStart w:id="3205" w:name="_Toc38439424"/>
      <w:bookmarkStart w:id="3206" w:name="_Toc38439761"/>
      <w:bookmarkStart w:id="3207" w:name="_Toc38440098"/>
      <w:bookmarkStart w:id="3208" w:name="_Toc38440435"/>
      <w:bookmarkStart w:id="3209" w:name="_Toc38440967"/>
      <w:bookmarkStart w:id="3210" w:name="_Toc38441299"/>
      <w:bookmarkStart w:id="3211" w:name="_Toc38441631"/>
      <w:bookmarkStart w:id="3212" w:name="_Toc38441959"/>
      <w:bookmarkStart w:id="3213" w:name="_Toc38442291"/>
      <w:bookmarkStart w:id="3214" w:name="_Toc38442623"/>
      <w:bookmarkStart w:id="3215" w:name="_Toc38442954"/>
      <w:bookmarkStart w:id="3216" w:name="_Toc38443285"/>
      <w:bookmarkStart w:id="3217" w:name="_Toc38443616"/>
      <w:bookmarkStart w:id="3218" w:name="_Toc38443946"/>
      <w:bookmarkStart w:id="3219" w:name="_Toc38438414"/>
      <w:bookmarkStart w:id="3220" w:name="_Toc38438751"/>
      <w:bookmarkStart w:id="3221" w:name="_Toc38439088"/>
      <w:bookmarkStart w:id="3222" w:name="_Toc38439425"/>
      <w:bookmarkStart w:id="3223" w:name="_Toc38439762"/>
      <w:bookmarkStart w:id="3224" w:name="_Toc38440099"/>
      <w:bookmarkStart w:id="3225" w:name="_Toc38440436"/>
      <w:bookmarkStart w:id="3226" w:name="_Toc38440968"/>
      <w:bookmarkStart w:id="3227" w:name="_Toc38441300"/>
      <w:bookmarkStart w:id="3228" w:name="_Toc38441632"/>
      <w:bookmarkStart w:id="3229" w:name="_Toc38441960"/>
      <w:bookmarkStart w:id="3230" w:name="_Toc38442292"/>
      <w:bookmarkStart w:id="3231" w:name="_Toc38442624"/>
      <w:bookmarkStart w:id="3232" w:name="_Toc38442955"/>
      <w:bookmarkStart w:id="3233" w:name="_Toc38443286"/>
      <w:bookmarkStart w:id="3234" w:name="_Toc38443617"/>
      <w:bookmarkStart w:id="3235" w:name="_Toc38443947"/>
      <w:bookmarkStart w:id="3236" w:name="_Toc38438415"/>
      <w:bookmarkStart w:id="3237" w:name="_Toc38438752"/>
      <w:bookmarkStart w:id="3238" w:name="_Toc38439089"/>
      <w:bookmarkStart w:id="3239" w:name="_Toc38439426"/>
      <w:bookmarkStart w:id="3240" w:name="_Toc38439763"/>
      <w:bookmarkStart w:id="3241" w:name="_Toc38440100"/>
      <w:bookmarkStart w:id="3242" w:name="_Toc38440437"/>
      <w:bookmarkStart w:id="3243" w:name="_Toc38440969"/>
      <w:bookmarkStart w:id="3244" w:name="_Toc38441301"/>
      <w:bookmarkStart w:id="3245" w:name="_Toc38441633"/>
      <w:bookmarkStart w:id="3246" w:name="_Toc38441961"/>
      <w:bookmarkStart w:id="3247" w:name="_Toc38442293"/>
      <w:bookmarkStart w:id="3248" w:name="_Toc38442625"/>
      <w:bookmarkStart w:id="3249" w:name="_Toc38442956"/>
      <w:bookmarkStart w:id="3250" w:name="_Toc38443287"/>
      <w:bookmarkStart w:id="3251" w:name="_Toc38443618"/>
      <w:bookmarkStart w:id="3252" w:name="_Toc38443948"/>
      <w:bookmarkStart w:id="3253" w:name="_Toc38438416"/>
      <w:bookmarkStart w:id="3254" w:name="_Toc38438753"/>
      <w:bookmarkStart w:id="3255" w:name="_Toc38439090"/>
      <w:bookmarkStart w:id="3256" w:name="_Toc38439427"/>
      <w:bookmarkStart w:id="3257" w:name="_Toc38439764"/>
      <w:bookmarkStart w:id="3258" w:name="_Toc38440101"/>
      <w:bookmarkStart w:id="3259" w:name="_Toc38440438"/>
      <w:bookmarkStart w:id="3260" w:name="_Toc38440970"/>
      <w:bookmarkStart w:id="3261" w:name="_Toc38441302"/>
      <w:bookmarkStart w:id="3262" w:name="_Toc38441634"/>
      <w:bookmarkStart w:id="3263" w:name="_Toc38441962"/>
      <w:bookmarkStart w:id="3264" w:name="_Toc38442294"/>
      <w:bookmarkStart w:id="3265" w:name="_Toc38442626"/>
      <w:bookmarkStart w:id="3266" w:name="_Toc38442957"/>
      <w:bookmarkStart w:id="3267" w:name="_Toc38443288"/>
      <w:bookmarkStart w:id="3268" w:name="_Toc38443619"/>
      <w:bookmarkStart w:id="3269" w:name="_Toc38443949"/>
      <w:bookmarkStart w:id="3270" w:name="_Toc38438417"/>
      <w:bookmarkStart w:id="3271" w:name="_Toc38438754"/>
      <w:bookmarkStart w:id="3272" w:name="_Toc38439091"/>
      <w:bookmarkStart w:id="3273" w:name="_Toc38439428"/>
      <w:bookmarkStart w:id="3274" w:name="_Toc38439765"/>
      <w:bookmarkStart w:id="3275" w:name="_Toc38440102"/>
      <w:bookmarkStart w:id="3276" w:name="_Toc38440439"/>
      <w:bookmarkStart w:id="3277" w:name="_Toc38440971"/>
      <w:bookmarkStart w:id="3278" w:name="_Toc38441303"/>
      <w:bookmarkStart w:id="3279" w:name="_Toc38441635"/>
      <w:bookmarkStart w:id="3280" w:name="_Toc38441963"/>
      <w:bookmarkStart w:id="3281" w:name="_Toc38442295"/>
      <w:bookmarkStart w:id="3282" w:name="_Toc38442627"/>
      <w:bookmarkStart w:id="3283" w:name="_Toc38442958"/>
      <w:bookmarkStart w:id="3284" w:name="_Toc38443289"/>
      <w:bookmarkStart w:id="3285" w:name="_Toc38443620"/>
      <w:bookmarkStart w:id="3286" w:name="_Toc38443950"/>
      <w:bookmarkStart w:id="3287" w:name="_Toc38438418"/>
      <w:bookmarkStart w:id="3288" w:name="_Toc38438755"/>
      <w:bookmarkStart w:id="3289" w:name="_Toc38439092"/>
      <w:bookmarkStart w:id="3290" w:name="_Toc38439429"/>
      <w:bookmarkStart w:id="3291" w:name="_Toc38439766"/>
      <w:bookmarkStart w:id="3292" w:name="_Toc38440103"/>
      <w:bookmarkStart w:id="3293" w:name="_Toc38440440"/>
      <w:bookmarkStart w:id="3294" w:name="_Toc38440972"/>
      <w:bookmarkStart w:id="3295" w:name="_Toc38441304"/>
      <w:bookmarkStart w:id="3296" w:name="_Toc38441636"/>
      <w:bookmarkStart w:id="3297" w:name="_Toc38441964"/>
      <w:bookmarkStart w:id="3298" w:name="_Toc38442296"/>
      <w:bookmarkStart w:id="3299" w:name="_Toc38442628"/>
      <w:bookmarkStart w:id="3300" w:name="_Toc38442959"/>
      <w:bookmarkStart w:id="3301" w:name="_Toc38443290"/>
      <w:bookmarkStart w:id="3302" w:name="_Toc38443621"/>
      <w:bookmarkStart w:id="3303" w:name="_Toc38443951"/>
      <w:bookmarkStart w:id="3304" w:name="_Toc38438419"/>
      <w:bookmarkStart w:id="3305" w:name="_Toc38438756"/>
      <w:bookmarkStart w:id="3306" w:name="_Toc38439093"/>
      <w:bookmarkStart w:id="3307" w:name="_Toc38439430"/>
      <w:bookmarkStart w:id="3308" w:name="_Toc38439767"/>
      <w:bookmarkStart w:id="3309" w:name="_Toc38440104"/>
      <w:bookmarkStart w:id="3310" w:name="_Toc38440441"/>
      <w:bookmarkStart w:id="3311" w:name="_Toc38440973"/>
      <w:bookmarkStart w:id="3312" w:name="_Toc38441305"/>
      <w:bookmarkStart w:id="3313" w:name="_Toc38441637"/>
      <w:bookmarkStart w:id="3314" w:name="_Toc38441965"/>
      <w:bookmarkStart w:id="3315" w:name="_Toc38442297"/>
      <w:bookmarkStart w:id="3316" w:name="_Toc38442629"/>
      <w:bookmarkStart w:id="3317" w:name="_Toc38442960"/>
      <w:bookmarkStart w:id="3318" w:name="_Toc38443291"/>
      <w:bookmarkStart w:id="3319" w:name="_Toc38443622"/>
      <w:bookmarkStart w:id="3320" w:name="_Toc38443952"/>
      <w:bookmarkStart w:id="3321" w:name="_Toc38438420"/>
      <w:bookmarkStart w:id="3322" w:name="_Toc38438757"/>
      <w:bookmarkStart w:id="3323" w:name="_Toc38439094"/>
      <w:bookmarkStart w:id="3324" w:name="_Toc38439431"/>
      <w:bookmarkStart w:id="3325" w:name="_Toc38439768"/>
      <w:bookmarkStart w:id="3326" w:name="_Toc38440105"/>
      <w:bookmarkStart w:id="3327" w:name="_Toc38440442"/>
      <w:bookmarkStart w:id="3328" w:name="_Toc38440974"/>
      <w:bookmarkStart w:id="3329" w:name="_Toc38441306"/>
      <w:bookmarkStart w:id="3330" w:name="_Toc38441638"/>
      <w:bookmarkStart w:id="3331" w:name="_Toc38441966"/>
      <w:bookmarkStart w:id="3332" w:name="_Toc38442298"/>
      <w:bookmarkStart w:id="3333" w:name="_Toc38442630"/>
      <w:bookmarkStart w:id="3334" w:name="_Toc38442961"/>
      <w:bookmarkStart w:id="3335" w:name="_Toc38443292"/>
      <w:bookmarkStart w:id="3336" w:name="_Toc38443623"/>
      <w:bookmarkStart w:id="3337" w:name="_Toc38443953"/>
      <w:bookmarkStart w:id="3338" w:name="_Toc38438421"/>
      <w:bookmarkStart w:id="3339" w:name="_Toc38438758"/>
      <w:bookmarkStart w:id="3340" w:name="_Toc38439095"/>
      <w:bookmarkStart w:id="3341" w:name="_Toc38439432"/>
      <w:bookmarkStart w:id="3342" w:name="_Toc38439769"/>
      <w:bookmarkStart w:id="3343" w:name="_Toc38440106"/>
      <w:bookmarkStart w:id="3344" w:name="_Toc38440443"/>
      <w:bookmarkStart w:id="3345" w:name="_Toc38440975"/>
      <w:bookmarkStart w:id="3346" w:name="_Toc38441307"/>
      <w:bookmarkStart w:id="3347" w:name="_Toc38441639"/>
      <w:bookmarkStart w:id="3348" w:name="_Toc38441967"/>
      <w:bookmarkStart w:id="3349" w:name="_Toc38442299"/>
      <w:bookmarkStart w:id="3350" w:name="_Toc38442631"/>
      <w:bookmarkStart w:id="3351" w:name="_Toc38442962"/>
      <w:bookmarkStart w:id="3352" w:name="_Toc38443293"/>
      <w:bookmarkStart w:id="3353" w:name="_Toc38443624"/>
      <w:bookmarkStart w:id="3354" w:name="_Toc38443954"/>
      <w:bookmarkStart w:id="3355" w:name="_Toc38438422"/>
      <w:bookmarkStart w:id="3356" w:name="_Toc38438759"/>
      <w:bookmarkStart w:id="3357" w:name="_Toc38439096"/>
      <w:bookmarkStart w:id="3358" w:name="_Toc38439433"/>
      <w:bookmarkStart w:id="3359" w:name="_Toc38439770"/>
      <w:bookmarkStart w:id="3360" w:name="_Toc38440107"/>
      <w:bookmarkStart w:id="3361" w:name="_Toc38440444"/>
      <w:bookmarkStart w:id="3362" w:name="_Toc38440976"/>
      <w:bookmarkStart w:id="3363" w:name="_Toc38441308"/>
      <w:bookmarkStart w:id="3364" w:name="_Toc38441640"/>
      <w:bookmarkStart w:id="3365" w:name="_Toc38441968"/>
      <w:bookmarkStart w:id="3366" w:name="_Toc38442300"/>
      <w:bookmarkStart w:id="3367" w:name="_Toc38442632"/>
      <w:bookmarkStart w:id="3368" w:name="_Toc38442963"/>
      <w:bookmarkStart w:id="3369" w:name="_Toc38443294"/>
      <w:bookmarkStart w:id="3370" w:name="_Toc38443625"/>
      <w:bookmarkStart w:id="3371" w:name="_Toc38443955"/>
      <w:bookmarkStart w:id="3372" w:name="_Toc38438423"/>
      <w:bookmarkStart w:id="3373" w:name="_Toc38438760"/>
      <w:bookmarkStart w:id="3374" w:name="_Toc38439097"/>
      <w:bookmarkStart w:id="3375" w:name="_Toc38439434"/>
      <w:bookmarkStart w:id="3376" w:name="_Toc38439771"/>
      <w:bookmarkStart w:id="3377" w:name="_Toc38440108"/>
      <w:bookmarkStart w:id="3378" w:name="_Toc38440445"/>
      <w:bookmarkStart w:id="3379" w:name="_Toc38440977"/>
      <w:bookmarkStart w:id="3380" w:name="_Toc38441309"/>
      <w:bookmarkStart w:id="3381" w:name="_Toc38441641"/>
      <w:bookmarkStart w:id="3382" w:name="_Toc38441969"/>
      <w:bookmarkStart w:id="3383" w:name="_Toc38442301"/>
      <w:bookmarkStart w:id="3384" w:name="_Toc38442633"/>
      <w:bookmarkStart w:id="3385" w:name="_Toc38442964"/>
      <w:bookmarkStart w:id="3386" w:name="_Toc38443295"/>
      <w:bookmarkStart w:id="3387" w:name="_Toc38443626"/>
      <w:bookmarkStart w:id="3388" w:name="_Toc38443956"/>
      <w:bookmarkStart w:id="3389" w:name="_Toc38438424"/>
      <w:bookmarkStart w:id="3390" w:name="_Toc38438761"/>
      <w:bookmarkStart w:id="3391" w:name="_Toc38439098"/>
      <w:bookmarkStart w:id="3392" w:name="_Toc38439435"/>
      <w:bookmarkStart w:id="3393" w:name="_Toc38439772"/>
      <w:bookmarkStart w:id="3394" w:name="_Toc38440109"/>
      <w:bookmarkStart w:id="3395" w:name="_Toc38440446"/>
      <w:bookmarkStart w:id="3396" w:name="_Toc38440978"/>
      <w:bookmarkStart w:id="3397" w:name="_Toc38441310"/>
      <w:bookmarkStart w:id="3398" w:name="_Toc38441642"/>
      <w:bookmarkStart w:id="3399" w:name="_Toc38441970"/>
      <w:bookmarkStart w:id="3400" w:name="_Toc38442302"/>
      <w:bookmarkStart w:id="3401" w:name="_Toc38442634"/>
      <w:bookmarkStart w:id="3402" w:name="_Toc38442965"/>
      <w:bookmarkStart w:id="3403" w:name="_Toc38443296"/>
      <w:bookmarkStart w:id="3404" w:name="_Toc38443627"/>
      <w:bookmarkStart w:id="3405" w:name="_Toc38443957"/>
      <w:bookmarkStart w:id="3406" w:name="_Toc38438425"/>
      <w:bookmarkStart w:id="3407" w:name="_Toc38438762"/>
      <w:bookmarkStart w:id="3408" w:name="_Toc38439099"/>
      <w:bookmarkStart w:id="3409" w:name="_Toc38439436"/>
      <w:bookmarkStart w:id="3410" w:name="_Toc38439773"/>
      <w:bookmarkStart w:id="3411" w:name="_Toc38440110"/>
      <w:bookmarkStart w:id="3412" w:name="_Toc38440447"/>
      <w:bookmarkStart w:id="3413" w:name="_Toc38440979"/>
      <w:bookmarkStart w:id="3414" w:name="_Toc38441311"/>
      <w:bookmarkStart w:id="3415" w:name="_Toc38441643"/>
      <w:bookmarkStart w:id="3416" w:name="_Toc38441971"/>
      <w:bookmarkStart w:id="3417" w:name="_Toc38442303"/>
      <w:bookmarkStart w:id="3418" w:name="_Toc38442635"/>
      <w:bookmarkStart w:id="3419" w:name="_Toc38442966"/>
      <w:bookmarkStart w:id="3420" w:name="_Toc38443297"/>
      <w:bookmarkStart w:id="3421" w:name="_Toc38443628"/>
      <w:bookmarkStart w:id="3422" w:name="_Toc38443958"/>
      <w:bookmarkStart w:id="3423" w:name="_Toc38438426"/>
      <w:bookmarkStart w:id="3424" w:name="_Toc38438763"/>
      <w:bookmarkStart w:id="3425" w:name="_Toc38439100"/>
      <w:bookmarkStart w:id="3426" w:name="_Toc38439437"/>
      <w:bookmarkStart w:id="3427" w:name="_Toc38439774"/>
      <w:bookmarkStart w:id="3428" w:name="_Toc38440111"/>
      <w:bookmarkStart w:id="3429" w:name="_Toc38440448"/>
      <w:bookmarkStart w:id="3430" w:name="_Toc38440980"/>
      <w:bookmarkStart w:id="3431" w:name="_Toc38441312"/>
      <w:bookmarkStart w:id="3432" w:name="_Toc38441644"/>
      <w:bookmarkStart w:id="3433" w:name="_Toc38441972"/>
      <w:bookmarkStart w:id="3434" w:name="_Toc38442304"/>
      <w:bookmarkStart w:id="3435" w:name="_Toc38442636"/>
      <w:bookmarkStart w:id="3436" w:name="_Toc38442967"/>
      <w:bookmarkStart w:id="3437" w:name="_Toc38443298"/>
      <w:bookmarkStart w:id="3438" w:name="_Toc38443629"/>
      <w:bookmarkStart w:id="3439" w:name="_Toc38443959"/>
      <w:bookmarkStart w:id="3440" w:name="_Toc38438427"/>
      <w:bookmarkStart w:id="3441" w:name="_Toc38438764"/>
      <w:bookmarkStart w:id="3442" w:name="_Toc38439101"/>
      <w:bookmarkStart w:id="3443" w:name="_Toc38439438"/>
      <w:bookmarkStart w:id="3444" w:name="_Toc38439775"/>
      <w:bookmarkStart w:id="3445" w:name="_Toc38440112"/>
      <w:bookmarkStart w:id="3446" w:name="_Toc38440449"/>
      <w:bookmarkStart w:id="3447" w:name="_Toc38440981"/>
      <w:bookmarkStart w:id="3448" w:name="_Toc38441313"/>
      <w:bookmarkStart w:id="3449" w:name="_Toc38441645"/>
      <w:bookmarkStart w:id="3450" w:name="_Toc38441973"/>
      <w:bookmarkStart w:id="3451" w:name="_Toc38442305"/>
      <w:bookmarkStart w:id="3452" w:name="_Toc38442637"/>
      <w:bookmarkStart w:id="3453" w:name="_Toc38442968"/>
      <w:bookmarkStart w:id="3454" w:name="_Toc38443299"/>
      <w:bookmarkStart w:id="3455" w:name="_Toc38443630"/>
      <w:bookmarkStart w:id="3456" w:name="_Toc38443960"/>
      <w:bookmarkStart w:id="3457" w:name="_Toc38438428"/>
      <w:bookmarkStart w:id="3458" w:name="_Toc38438765"/>
      <w:bookmarkStart w:id="3459" w:name="_Toc38439102"/>
      <w:bookmarkStart w:id="3460" w:name="_Toc38439439"/>
      <w:bookmarkStart w:id="3461" w:name="_Toc38439776"/>
      <w:bookmarkStart w:id="3462" w:name="_Toc38440113"/>
      <w:bookmarkStart w:id="3463" w:name="_Toc38440450"/>
      <w:bookmarkStart w:id="3464" w:name="_Toc38440982"/>
      <w:bookmarkStart w:id="3465" w:name="_Toc38441314"/>
      <w:bookmarkStart w:id="3466" w:name="_Toc38441646"/>
      <w:bookmarkStart w:id="3467" w:name="_Toc38441974"/>
      <w:bookmarkStart w:id="3468" w:name="_Toc38442306"/>
      <w:bookmarkStart w:id="3469" w:name="_Toc38442638"/>
      <w:bookmarkStart w:id="3470" w:name="_Toc38442969"/>
      <w:bookmarkStart w:id="3471" w:name="_Toc38443300"/>
      <w:bookmarkStart w:id="3472" w:name="_Toc38443631"/>
      <w:bookmarkStart w:id="3473" w:name="_Toc38443961"/>
      <w:bookmarkStart w:id="3474" w:name="_Toc38438429"/>
      <w:bookmarkStart w:id="3475" w:name="_Toc38438766"/>
      <w:bookmarkStart w:id="3476" w:name="_Toc38439103"/>
      <w:bookmarkStart w:id="3477" w:name="_Toc38439440"/>
      <w:bookmarkStart w:id="3478" w:name="_Toc38439777"/>
      <w:bookmarkStart w:id="3479" w:name="_Toc38440114"/>
      <w:bookmarkStart w:id="3480" w:name="_Toc38440451"/>
      <w:bookmarkStart w:id="3481" w:name="_Toc38440983"/>
      <w:bookmarkStart w:id="3482" w:name="_Toc38441315"/>
      <w:bookmarkStart w:id="3483" w:name="_Toc38441647"/>
      <w:bookmarkStart w:id="3484" w:name="_Toc38441975"/>
      <w:bookmarkStart w:id="3485" w:name="_Toc38442307"/>
      <w:bookmarkStart w:id="3486" w:name="_Toc38442639"/>
      <w:bookmarkStart w:id="3487" w:name="_Toc38442970"/>
      <w:bookmarkStart w:id="3488" w:name="_Toc38443301"/>
      <w:bookmarkStart w:id="3489" w:name="_Toc38443632"/>
      <w:bookmarkStart w:id="3490" w:name="_Toc38443962"/>
      <w:bookmarkStart w:id="3491" w:name="_Toc38438430"/>
      <w:bookmarkStart w:id="3492" w:name="_Toc38438767"/>
      <w:bookmarkStart w:id="3493" w:name="_Toc38439104"/>
      <w:bookmarkStart w:id="3494" w:name="_Toc38439441"/>
      <w:bookmarkStart w:id="3495" w:name="_Toc38439778"/>
      <w:bookmarkStart w:id="3496" w:name="_Toc38440115"/>
      <w:bookmarkStart w:id="3497" w:name="_Toc38440452"/>
      <w:bookmarkStart w:id="3498" w:name="_Toc38440984"/>
      <w:bookmarkStart w:id="3499" w:name="_Toc38441316"/>
      <w:bookmarkStart w:id="3500" w:name="_Toc38441648"/>
      <w:bookmarkStart w:id="3501" w:name="_Toc38441976"/>
      <w:bookmarkStart w:id="3502" w:name="_Toc38442308"/>
      <w:bookmarkStart w:id="3503" w:name="_Toc38442640"/>
      <w:bookmarkStart w:id="3504" w:name="_Toc38442971"/>
      <w:bookmarkStart w:id="3505" w:name="_Toc38443302"/>
      <w:bookmarkStart w:id="3506" w:name="_Toc38443633"/>
      <w:bookmarkStart w:id="3507" w:name="_Toc38443963"/>
      <w:bookmarkStart w:id="3508" w:name="_Toc38438431"/>
      <w:bookmarkStart w:id="3509" w:name="_Toc38438768"/>
      <w:bookmarkStart w:id="3510" w:name="_Toc38439105"/>
      <w:bookmarkStart w:id="3511" w:name="_Toc38439442"/>
      <w:bookmarkStart w:id="3512" w:name="_Toc38439779"/>
      <w:bookmarkStart w:id="3513" w:name="_Toc38440116"/>
      <w:bookmarkStart w:id="3514" w:name="_Toc38440453"/>
      <w:bookmarkStart w:id="3515" w:name="_Toc38440985"/>
      <w:bookmarkStart w:id="3516" w:name="_Toc38441317"/>
      <w:bookmarkStart w:id="3517" w:name="_Toc38441649"/>
      <w:bookmarkStart w:id="3518" w:name="_Toc38441977"/>
      <w:bookmarkStart w:id="3519" w:name="_Toc38442309"/>
      <w:bookmarkStart w:id="3520" w:name="_Toc38442641"/>
      <w:bookmarkStart w:id="3521" w:name="_Toc38442972"/>
      <w:bookmarkStart w:id="3522" w:name="_Toc38443303"/>
      <w:bookmarkStart w:id="3523" w:name="_Toc38443634"/>
      <w:bookmarkStart w:id="3524" w:name="_Toc38443964"/>
      <w:bookmarkStart w:id="3525" w:name="_Toc38438432"/>
      <w:bookmarkStart w:id="3526" w:name="_Toc38438769"/>
      <w:bookmarkStart w:id="3527" w:name="_Toc38439106"/>
      <w:bookmarkStart w:id="3528" w:name="_Toc38439443"/>
      <w:bookmarkStart w:id="3529" w:name="_Toc38439780"/>
      <w:bookmarkStart w:id="3530" w:name="_Toc38440117"/>
      <w:bookmarkStart w:id="3531" w:name="_Toc38440454"/>
      <w:bookmarkStart w:id="3532" w:name="_Toc38440986"/>
      <w:bookmarkStart w:id="3533" w:name="_Toc38441318"/>
      <w:bookmarkStart w:id="3534" w:name="_Toc38441650"/>
      <w:bookmarkStart w:id="3535" w:name="_Toc38441978"/>
      <w:bookmarkStart w:id="3536" w:name="_Toc38442310"/>
      <w:bookmarkStart w:id="3537" w:name="_Toc38442642"/>
      <w:bookmarkStart w:id="3538" w:name="_Toc38442973"/>
      <w:bookmarkStart w:id="3539" w:name="_Toc38443304"/>
      <w:bookmarkStart w:id="3540" w:name="_Toc38443635"/>
      <w:bookmarkStart w:id="3541" w:name="_Toc38443965"/>
      <w:bookmarkStart w:id="3542" w:name="_Toc38438433"/>
      <w:bookmarkStart w:id="3543" w:name="_Toc38438770"/>
      <w:bookmarkStart w:id="3544" w:name="_Toc38439107"/>
      <w:bookmarkStart w:id="3545" w:name="_Toc38439444"/>
      <w:bookmarkStart w:id="3546" w:name="_Toc38439781"/>
      <w:bookmarkStart w:id="3547" w:name="_Toc38440118"/>
      <w:bookmarkStart w:id="3548" w:name="_Toc38440455"/>
      <w:bookmarkStart w:id="3549" w:name="_Toc38440987"/>
      <w:bookmarkStart w:id="3550" w:name="_Toc38441319"/>
      <w:bookmarkStart w:id="3551" w:name="_Toc38441651"/>
      <w:bookmarkStart w:id="3552" w:name="_Toc38441979"/>
      <w:bookmarkStart w:id="3553" w:name="_Toc38442311"/>
      <w:bookmarkStart w:id="3554" w:name="_Toc38442643"/>
      <w:bookmarkStart w:id="3555" w:name="_Toc38442974"/>
      <w:bookmarkStart w:id="3556" w:name="_Toc38443305"/>
      <w:bookmarkStart w:id="3557" w:name="_Toc38443636"/>
      <w:bookmarkStart w:id="3558" w:name="_Toc38443966"/>
      <w:bookmarkStart w:id="3559" w:name="_Toc38438434"/>
      <w:bookmarkStart w:id="3560" w:name="_Toc38438771"/>
      <w:bookmarkStart w:id="3561" w:name="_Toc38439108"/>
      <w:bookmarkStart w:id="3562" w:name="_Toc38439445"/>
      <w:bookmarkStart w:id="3563" w:name="_Toc38439782"/>
      <w:bookmarkStart w:id="3564" w:name="_Toc38440119"/>
      <w:bookmarkStart w:id="3565" w:name="_Toc38440456"/>
      <w:bookmarkStart w:id="3566" w:name="_Toc38440988"/>
      <w:bookmarkStart w:id="3567" w:name="_Toc38441320"/>
      <w:bookmarkStart w:id="3568" w:name="_Toc38441652"/>
      <w:bookmarkStart w:id="3569" w:name="_Toc38441980"/>
      <w:bookmarkStart w:id="3570" w:name="_Toc38442312"/>
      <w:bookmarkStart w:id="3571" w:name="_Toc38442644"/>
      <w:bookmarkStart w:id="3572" w:name="_Toc38442975"/>
      <w:bookmarkStart w:id="3573" w:name="_Toc38443306"/>
      <w:bookmarkStart w:id="3574" w:name="_Toc38443637"/>
      <w:bookmarkStart w:id="3575" w:name="_Toc38443967"/>
      <w:bookmarkStart w:id="3576" w:name="_Toc38438435"/>
      <w:bookmarkStart w:id="3577" w:name="_Toc38438772"/>
      <w:bookmarkStart w:id="3578" w:name="_Toc38439109"/>
      <w:bookmarkStart w:id="3579" w:name="_Toc38439446"/>
      <w:bookmarkStart w:id="3580" w:name="_Toc38439783"/>
      <w:bookmarkStart w:id="3581" w:name="_Toc38440120"/>
      <w:bookmarkStart w:id="3582" w:name="_Toc38440457"/>
      <w:bookmarkStart w:id="3583" w:name="_Toc38440989"/>
      <w:bookmarkStart w:id="3584" w:name="_Toc38441321"/>
      <w:bookmarkStart w:id="3585" w:name="_Toc38441653"/>
      <w:bookmarkStart w:id="3586" w:name="_Toc38441981"/>
      <w:bookmarkStart w:id="3587" w:name="_Toc38442313"/>
      <w:bookmarkStart w:id="3588" w:name="_Toc38442645"/>
      <w:bookmarkStart w:id="3589" w:name="_Toc38442976"/>
      <w:bookmarkStart w:id="3590" w:name="_Toc38443307"/>
      <w:bookmarkStart w:id="3591" w:name="_Toc38443638"/>
      <w:bookmarkStart w:id="3592" w:name="_Toc38443968"/>
      <w:bookmarkStart w:id="3593" w:name="_Toc38438436"/>
      <w:bookmarkStart w:id="3594" w:name="_Toc38438773"/>
      <w:bookmarkStart w:id="3595" w:name="_Toc38439110"/>
      <w:bookmarkStart w:id="3596" w:name="_Toc38439447"/>
      <w:bookmarkStart w:id="3597" w:name="_Toc38439784"/>
      <w:bookmarkStart w:id="3598" w:name="_Toc38440121"/>
      <w:bookmarkStart w:id="3599" w:name="_Toc38440458"/>
      <w:bookmarkStart w:id="3600" w:name="_Toc38440990"/>
      <w:bookmarkStart w:id="3601" w:name="_Toc38441322"/>
      <w:bookmarkStart w:id="3602" w:name="_Toc38441654"/>
      <w:bookmarkStart w:id="3603" w:name="_Toc38441982"/>
      <w:bookmarkStart w:id="3604" w:name="_Toc38442314"/>
      <w:bookmarkStart w:id="3605" w:name="_Toc38442646"/>
      <w:bookmarkStart w:id="3606" w:name="_Toc38442977"/>
      <w:bookmarkStart w:id="3607" w:name="_Toc38443308"/>
      <w:bookmarkStart w:id="3608" w:name="_Toc38443639"/>
      <w:bookmarkStart w:id="3609" w:name="_Toc38443969"/>
      <w:bookmarkStart w:id="3610" w:name="_Toc38438437"/>
      <w:bookmarkStart w:id="3611" w:name="_Toc38438774"/>
      <w:bookmarkStart w:id="3612" w:name="_Toc38439111"/>
      <w:bookmarkStart w:id="3613" w:name="_Toc38439448"/>
      <w:bookmarkStart w:id="3614" w:name="_Toc38439785"/>
      <w:bookmarkStart w:id="3615" w:name="_Toc38440122"/>
      <w:bookmarkStart w:id="3616" w:name="_Toc38440459"/>
      <w:bookmarkStart w:id="3617" w:name="_Toc38440991"/>
      <w:bookmarkStart w:id="3618" w:name="_Toc38441323"/>
      <w:bookmarkStart w:id="3619" w:name="_Toc38441655"/>
      <w:bookmarkStart w:id="3620" w:name="_Toc38441983"/>
      <w:bookmarkStart w:id="3621" w:name="_Toc38442315"/>
      <w:bookmarkStart w:id="3622" w:name="_Toc38442647"/>
      <w:bookmarkStart w:id="3623" w:name="_Toc38442978"/>
      <w:bookmarkStart w:id="3624" w:name="_Toc38443309"/>
      <w:bookmarkStart w:id="3625" w:name="_Toc38443640"/>
      <w:bookmarkStart w:id="3626" w:name="_Toc38443970"/>
      <w:bookmarkStart w:id="3627" w:name="_Toc38438438"/>
      <w:bookmarkStart w:id="3628" w:name="_Toc38438775"/>
      <w:bookmarkStart w:id="3629" w:name="_Toc38439112"/>
      <w:bookmarkStart w:id="3630" w:name="_Toc38439449"/>
      <w:bookmarkStart w:id="3631" w:name="_Toc38439786"/>
      <w:bookmarkStart w:id="3632" w:name="_Toc38440123"/>
      <w:bookmarkStart w:id="3633" w:name="_Toc38440460"/>
      <w:bookmarkStart w:id="3634" w:name="_Toc38440992"/>
      <w:bookmarkStart w:id="3635" w:name="_Toc38441324"/>
      <w:bookmarkStart w:id="3636" w:name="_Toc38441656"/>
      <w:bookmarkStart w:id="3637" w:name="_Toc38441984"/>
      <w:bookmarkStart w:id="3638" w:name="_Toc38442316"/>
      <w:bookmarkStart w:id="3639" w:name="_Toc38442648"/>
      <w:bookmarkStart w:id="3640" w:name="_Toc38442979"/>
      <w:bookmarkStart w:id="3641" w:name="_Toc38443310"/>
      <w:bookmarkStart w:id="3642" w:name="_Toc38443641"/>
      <w:bookmarkStart w:id="3643" w:name="_Toc38443971"/>
      <w:bookmarkStart w:id="3644" w:name="_Toc38438439"/>
      <w:bookmarkStart w:id="3645" w:name="_Toc38438776"/>
      <w:bookmarkStart w:id="3646" w:name="_Toc38439113"/>
      <w:bookmarkStart w:id="3647" w:name="_Toc38439450"/>
      <w:bookmarkStart w:id="3648" w:name="_Toc38439787"/>
      <w:bookmarkStart w:id="3649" w:name="_Toc38440124"/>
      <w:bookmarkStart w:id="3650" w:name="_Toc38440461"/>
      <w:bookmarkStart w:id="3651" w:name="_Toc38440993"/>
      <w:bookmarkStart w:id="3652" w:name="_Toc38441325"/>
      <w:bookmarkStart w:id="3653" w:name="_Toc38441657"/>
      <w:bookmarkStart w:id="3654" w:name="_Toc38441985"/>
      <w:bookmarkStart w:id="3655" w:name="_Toc38442317"/>
      <w:bookmarkStart w:id="3656" w:name="_Toc38442649"/>
      <w:bookmarkStart w:id="3657" w:name="_Toc38442980"/>
      <w:bookmarkStart w:id="3658" w:name="_Toc38443311"/>
      <w:bookmarkStart w:id="3659" w:name="_Toc38443642"/>
      <w:bookmarkStart w:id="3660" w:name="_Toc38443972"/>
      <w:bookmarkStart w:id="3661" w:name="_Toc38438440"/>
      <w:bookmarkStart w:id="3662" w:name="_Toc38438777"/>
      <w:bookmarkStart w:id="3663" w:name="_Toc38439114"/>
      <w:bookmarkStart w:id="3664" w:name="_Toc38439451"/>
      <w:bookmarkStart w:id="3665" w:name="_Toc38439788"/>
      <w:bookmarkStart w:id="3666" w:name="_Toc38440125"/>
      <w:bookmarkStart w:id="3667" w:name="_Toc38440462"/>
      <w:bookmarkStart w:id="3668" w:name="_Toc38440994"/>
      <w:bookmarkStart w:id="3669" w:name="_Toc38441326"/>
      <w:bookmarkStart w:id="3670" w:name="_Toc38441658"/>
      <w:bookmarkStart w:id="3671" w:name="_Toc38441986"/>
      <w:bookmarkStart w:id="3672" w:name="_Toc38442318"/>
      <w:bookmarkStart w:id="3673" w:name="_Toc38442650"/>
      <w:bookmarkStart w:id="3674" w:name="_Toc38442981"/>
      <w:bookmarkStart w:id="3675" w:name="_Toc38443312"/>
      <w:bookmarkStart w:id="3676" w:name="_Toc38443643"/>
      <w:bookmarkStart w:id="3677" w:name="_Toc38443973"/>
      <w:bookmarkStart w:id="3678" w:name="_Toc38438441"/>
      <w:bookmarkStart w:id="3679" w:name="_Toc38438778"/>
      <w:bookmarkStart w:id="3680" w:name="_Toc38439115"/>
      <w:bookmarkStart w:id="3681" w:name="_Toc38439452"/>
      <w:bookmarkStart w:id="3682" w:name="_Toc38439789"/>
      <w:bookmarkStart w:id="3683" w:name="_Toc38440126"/>
      <w:bookmarkStart w:id="3684" w:name="_Toc38440463"/>
      <w:bookmarkStart w:id="3685" w:name="_Toc38440995"/>
      <w:bookmarkStart w:id="3686" w:name="_Toc38441327"/>
      <w:bookmarkStart w:id="3687" w:name="_Toc38441659"/>
      <w:bookmarkStart w:id="3688" w:name="_Toc38441987"/>
      <w:bookmarkStart w:id="3689" w:name="_Toc38442319"/>
      <w:bookmarkStart w:id="3690" w:name="_Toc38442651"/>
      <w:bookmarkStart w:id="3691" w:name="_Toc38442982"/>
      <w:bookmarkStart w:id="3692" w:name="_Toc38443313"/>
      <w:bookmarkStart w:id="3693" w:name="_Toc38443644"/>
      <w:bookmarkStart w:id="3694" w:name="_Toc38443974"/>
      <w:bookmarkStart w:id="3695" w:name="_Toc38438442"/>
      <w:bookmarkStart w:id="3696" w:name="_Toc38438779"/>
      <w:bookmarkStart w:id="3697" w:name="_Toc38439116"/>
      <w:bookmarkStart w:id="3698" w:name="_Toc38439453"/>
      <w:bookmarkStart w:id="3699" w:name="_Toc38439790"/>
      <w:bookmarkStart w:id="3700" w:name="_Toc38440127"/>
      <w:bookmarkStart w:id="3701" w:name="_Toc38440464"/>
      <w:bookmarkStart w:id="3702" w:name="_Toc38440996"/>
      <w:bookmarkStart w:id="3703" w:name="_Toc38441328"/>
      <w:bookmarkStart w:id="3704" w:name="_Toc38441660"/>
      <w:bookmarkStart w:id="3705" w:name="_Toc38441988"/>
      <w:bookmarkStart w:id="3706" w:name="_Toc38442320"/>
      <w:bookmarkStart w:id="3707" w:name="_Toc38442652"/>
      <w:bookmarkStart w:id="3708" w:name="_Toc38442983"/>
      <w:bookmarkStart w:id="3709" w:name="_Toc38443314"/>
      <w:bookmarkStart w:id="3710" w:name="_Toc38443645"/>
      <w:bookmarkStart w:id="3711" w:name="_Toc38443975"/>
      <w:bookmarkStart w:id="3712" w:name="_Toc38438443"/>
      <w:bookmarkStart w:id="3713" w:name="_Toc38438780"/>
      <w:bookmarkStart w:id="3714" w:name="_Toc38439117"/>
      <w:bookmarkStart w:id="3715" w:name="_Toc38439454"/>
      <w:bookmarkStart w:id="3716" w:name="_Toc38439791"/>
      <w:bookmarkStart w:id="3717" w:name="_Toc38440128"/>
      <w:bookmarkStart w:id="3718" w:name="_Toc38440465"/>
      <w:bookmarkStart w:id="3719" w:name="_Toc38440997"/>
      <w:bookmarkStart w:id="3720" w:name="_Toc38441329"/>
      <w:bookmarkStart w:id="3721" w:name="_Toc38441661"/>
      <w:bookmarkStart w:id="3722" w:name="_Toc38441989"/>
      <w:bookmarkStart w:id="3723" w:name="_Toc38442321"/>
      <w:bookmarkStart w:id="3724" w:name="_Toc38442653"/>
      <w:bookmarkStart w:id="3725" w:name="_Toc38442984"/>
      <w:bookmarkStart w:id="3726" w:name="_Toc38443315"/>
      <w:bookmarkStart w:id="3727" w:name="_Toc38443646"/>
      <w:bookmarkStart w:id="3728" w:name="_Toc38443976"/>
      <w:bookmarkStart w:id="3729" w:name="_Toc38438444"/>
      <w:bookmarkStart w:id="3730" w:name="_Toc38438781"/>
      <w:bookmarkStart w:id="3731" w:name="_Toc38439118"/>
      <w:bookmarkStart w:id="3732" w:name="_Toc38439455"/>
      <w:bookmarkStart w:id="3733" w:name="_Toc38439792"/>
      <w:bookmarkStart w:id="3734" w:name="_Toc38440129"/>
      <w:bookmarkStart w:id="3735" w:name="_Toc38440466"/>
      <w:bookmarkStart w:id="3736" w:name="_Toc38440998"/>
      <w:bookmarkStart w:id="3737" w:name="_Toc38441330"/>
      <w:bookmarkStart w:id="3738" w:name="_Toc38441662"/>
      <w:bookmarkStart w:id="3739" w:name="_Toc38441990"/>
      <w:bookmarkStart w:id="3740" w:name="_Toc38442322"/>
      <w:bookmarkStart w:id="3741" w:name="_Toc38442654"/>
      <w:bookmarkStart w:id="3742" w:name="_Toc38442985"/>
      <w:bookmarkStart w:id="3743" w:name="_Toc38443316"/>
      <w:bookmarkStart w:id="3744" w:name="_Toc38443647"/>
      <w:bookmarkStart w:id="3745" w:name="_Toc38443977"/>
      <w:bookmarkStart w:id="3746" w:name="_Toc38438445"/>
      <w:bookmarkStart w:id="3747" w:name="_Toc38438782"/>
      <w:bookmarkStart w:id="3748" w:name="_Toc38439119"/>
      <w:bookmarkStart w:id="3749" w:name="_Toc38439456"/>
      <w:bookmarkStart w:id="3750" w:name="_Toc38439793"/>
      <w:bookmarkStart w:id="3751" w:name="_Toc38440130"/>
      <w:bookmarkStart w:id="3752" w:name="_Toc38440467"/>
      <w:bookmarkStart w:id="3753" w:name="_Toc38440999"/>
      <w:bookmarkStart w:id="3754" w:name="_Toc38441331"/>
      <w:bookmarkStart w:id="3755" w:name="_Toc38441663"/>
      <w:bookmarkStart w:id="3756" w:name="_Toc38441991"/>
      <w:bookmarkStart w:id="3757" w:name="_Toc38442323"/>
      <w:bookmarkStart w:id="3758" w:name="_Toc38442655"/>
      <w:bookmarkStart w:id="3759" w:name="_Toc38442986"/>
      <w:bookmarkStart w:id="3760" w:name="_Toc38443317"/>
      <w:bookmarkStart w:id="3761" w:name="_Toc38443648"/>
      <w:bookmarkStart w:id="3762" w:name="_Toc38443978"/>
      <w:bookmarkStart w:id="3763" w:name="_Toc38438446"/>
      <w:bookmarkStart w:id="3764" w:name="_Toc38438783"/>
      <w:bookmarkStart w:id="3765" w:name="_Toc38439120"/>
      <w:bookmarkStart w:id="3766" w:name="_Toc38439457"/>
      <w:bookmarkStart w:id="3767" w:name="_Toc38439794"/>
      <w:bookmarkStart w:id="3768" w:name="_Toc38440131"/>
      <w:bookmarkStart w:id="3769" w:name="_Toc38440468"/>
      <w:bookmarkStart w:id="3770" w:name="_Toc38441000"/>
      <w:bookmarkStart w:id="3771" w:name="_Toc38441332"/>
      <w:bookmarkStart w:id="3772" w:name="_Toc38441664"/>
      <w:bookmarkStart w:id="3773" w:name="_Toc38441992"/>
      <w:bookmarkStart w:id="3774" w:name="_Toc38442324"/>
      <w:bookmarkStart w:id="3775" w:name="_Toc38442656"/>
      <w:bookmarkStart w:id="3776" w:name="_Toc38442987"/>
      <w:bookmarkStart w:id="3777" w:name="_Toc38443318"/>
      <w:bookmarkStart w:id="3778" w:name="_Toc38443649"/>
      <w:bookmarkStart w:id="3779" w:name="_Toc38443979"/>
      <w:bookmarkStart w:id="3780" w:name="_Toc38438447"/>
      <w:bookmarkStart w:id="3781" w:name="_Toc38438784"/>
      <w:bookmarkStart w:id="3782" w:name="_Toc38439121"/>
      <w:bookmarkStart w:id="3783" w:name="_Toc38439458"/>
      <w:bookmarkStart w:id="3784" w:name="_Toc38439795"/>
      <w:bookmarkStart w:id="3785" w:name="_Toc38440132"/>
      <w:bookmarkStart w:id="3786" w:name="_Toc38440469"/>
      <w:bookmarkStart w:id="3787" w:name="_Toc38441001"/>
      <w:bookmarkStart w:id="3788" w:name="_Toc38441333"/>
      <w:bookmarkStart w:id="3789" w:name="_Toc38441665"/>
      <w:bookmarkStart w:id="3790" w:name="_Toc38441993"/>
      <w:bookmarkStart w:id="3791" w:name="_Toc38442325"/>
      <w:bookmarkStart w:id="3792" w:name="_Toc38442657"/>
      <w:bookmarkStart w:id="3793" w:name="_Toc38442988"/>
      <w:bookmarkStart w:id="3794" w:name="_Toc38443319"/>
      <w:bookmarkStart w:id="3795" w:name="_Toc38443650"/>
      <w:bookmarkStart w:id="3796" w:name="_Toc38443980"/>
      <w:bookmarkStart w:id="3797" w:name="_Toc38438448"/>
      <w:bookmarkStart w:id="3798" w:name="_Toc38438785"/>
      <w:bookmarkStart w:id="3799" w:name="_Toc38439122"/>
      <w:bookmarkStart w:id="3800" w:name="_Toc38439459"/>
      <w:bookmarkStart w:id="3801" w:name="_Toc38439796"/>
      <w:bookmarkStart w:id="3802" w:name="_Toc38440133"/>
      <w:bookmarkStart w:id="3803" w:name="_Toc38440470"/>
      <w:bookmarkStart w:id="3804" w:name="_Toc38441002"/>
      <w:bookmarkStart w:id="3805" w:name="_Toc38441334"/>
      <w:bookmarkStart w:id="3806" w:name="_Toc38441666"/>
      <w:bookmarkStart w:id="3807" w:name="_Toc38441994"/>
      <w:bookmarkStart w:id="3808" w:name="_Toc38442326"/>
      <w:bookmarkStart w:id="3809" w:name="_Toc38442658"/>
      <w:bookmarkStart w:id="3810" w:name="_Toc38442989"/>
      <w:bookmarkStart w:id="3811" w:name="_Toc38443320"/>
      <w:bookmarkStart w:id="3812" w:name="_Toc38443651"/>
      <w:bookmarkStart w:id="3813" w:name="_Toc38443981"/>
      <w:bookmarkStart w:id="3814" w:name="_Toc38438449"/>
      <w:bookmarkStart w:id="3815" w:name="_Toc38438786"/>
      <w:bookmarkStart w:id="3816" w:name="_Toc38439123"/>
      <w:bookmarkStart w:id="3817" w:name="_Toc38439460"/>
      <w:bookmarkStart w:id="3818" w:name="_Toc38439797"/>
      <w:bookmarkStart w:id="3819" w:name="_Toc38440134"/>
      <w:bookmarkStart w:id="3820" w:name="_Toc38440471"/>
      <w:bookmarkStart w:id="3821" w:name="_Toc38441003"/>
      <w:bookmarkStart w:id="3822" w:name="_Toc38441335"/>
      <w:bookmarkStart w:id="3823" w:name="_Toc38441667"/>
      <w:bookmarkStart w:id="3824" w:name="_Toc38441995"/>
      <w:bookmarkStart w:id="3825" w:name="_Toc38442327"/>
      <w:bookmarkStart w:id="3826" w:name="_Toc38442659"/>
      <w:bookmarkStart w:id="3827" w:name="_Toc38442990"/>
      <w:bookmarkStart w:id="3828" w:name="_Toc38443321"/>
      <w:bookmarkStart w:id="3829" w:name="_Toc38443652"/>
      <w:bookmarkStart w:id="3830" w:name="_Toc38443982"/>
      <w:bookmarkStart w:id="3831" w:name="_Toc38438450"/>
      <w:bookmarkStart w:id="3832" w:name="_Toc38438787"/>
      <w:bookmarkStart w:id="3833" w:name="_Toc38439124"/>
      <w:bookmarkStart w:id="3834" w:name="_Toc38439461"/>
      <w:bookmarkStart w:id="3835" w:name="_Toc38439798"/>
      <w:bookmarkStart w:id="3836" w:name="_Toc38440135"/>
      <w:bookmarkStart w:id="3837" w:name="_Toc38440472"/>
      <w:bookmarkStart w:id="3838" w:name="_Toc38441004"/>
      <w:bookmarkStart w:id="3839" w:name="_Toc38441336"/>
      <w:bookmarkStart w:id="3840" w:name="_Toc38441668"/>
      <w:bookmarkStart w:id="3841" w:name="_Toc38441996"/>
      <w:bookmarkStart w:id="3842" w:name="_Toc38442328"/>
      <w:bookmarkStart w:id="3843" w:name="_Toc38442660"/>
      <w:bookmarkStart w:id="3844" w:name="_Toc38442991"/>
      <w:bookmarkStart w:id="3845" w:name="_Toc38443322"/>
      <w:bookmarkStart w:id="3846" w:name="_Toc38443653"/>
      <w:bookmarkStart w:id="3847" w:name="_Toc38443983"/>
      <w:bookmarkStart w:id="3848" w:name="_Toc38438451"/>
      <w:bookmarkStart w:id="3849" w:name="_Toc38438788"/>
      <w:bookmarkStart w:id="3850" w:name="_Toc38439125"/>
      <w:bookmarkStart w:id="3851" w:name="_Toc38439462"/>
      <w:bookmarkStart w:id="3852" w:name="_Toc38439799"/>
      <w:bookmarkStart w:id="3853" w:name="_Toc38440136"/>
      <w:bookmarkStart w:id="3854" w:name="_Toc38440473"/>
      <w:bookmarkStart w:id="3855" w:name="_Toc38441005"/>
      <w:bookmarkStart w:id="3856" w:name="_Toc38441337"/>
      <w:bookmarkStart w:id="3857" w:name="_Toc38441669"/>
      <w:bookmarkStart w:id="3858" w:name="_Toc38441997"/>
      <w:bookmarkStart w:id="3859" w:name="_Toc38442329"/>
      <w:bookmarkStart w:id="3860" w:name="_Toc38442661"/>
      <w:bookmarkStart w:id="3861" w:name="_Toc38442992"/>
      <w:bookmarkStart w:id="3862" w:name="_Toc38443323"/>
      <w:bookmarkStart w:id="3863" w:name="_Toc38443654"/>
      <w:bookmarkStart w:id="3864" w:name="_Toc38443984"/>
      <w:bookmarkStart w:id="3865" w:name="_Toc38438452"/>
      <w:bookmarkStart w:id="3866" w:name="_Toc38438789"/>
      <w:bookmarkStart w:id="3867" w:name="_Toc38439126"/>
      <w:bookmarkStart w:id="3868" w:name="_Toc38439463"/>
      <w:bookmarkStart w:id="3869" w:name="_Toc38439800"/>
      <w:bookmarkStart w:id="3870" w:name="_Toc38440137"/>
      <w:bookmarkStart w:id="3871" w:name="_Toc38440474"/>
      <w:bookmarkStart w:id="3872" w:name="_Toc38441006"/>
      <w:bookmarkStart w:id="3873" w:name="_Toc38441338"/>
      <w:bookmarkStart w:id="3874" w:name="_Toc38441670"/>
      <w:bookmarkStart w:id="3875" w:name="_Toc38441998"/>
      <w:bookmarkStart w:id="3876" w:name="_Toc38442330"/>
      <w:bookmarkStart w:id="3877" w:name="_Toc38442662"/>
      <w:bookmarkStart w:id="3878" w:name="_Toc38442993"/>
      <w:bookmarkStart w:id="3879" w:name="_Toc38443324"/>
      <w:bookmarkStart w:id="3880" w:name="_Toc38443655"/>
      <w:bookmarkStart w:id="3881" w:name="_Toc38443985"/>
      <w:bookmarkStart w:id="3882" w:name="_Toc38438453"/>
      <w:bookmarkStart w:id="3883" w:name="_Toc38438790"/>
      <w:bookmarkStart w:id="3884" w:name="_Toc38439127"/>
      <w:bookmarkStart w:id="3885" w:name="_Toc38439464"/>
      <w:bookmarkStart w:id="3886" w:name="_Toc38439801"/>
      <w:bookmarkStart w:id="3887" w:name="_Toc38440138"/>
      <w:bookmarkStart w:id="3888" w:name="_Toc38440475"/>
      <w:bookmarkStart w:id="3889" w:name="_Toc38441007"/>
      <w:bookmarkStart w:id="3890" w:name="_Toc38441339"/>
      <w:bookmarkStart w:id="3891" w:name="_Toc38441671"/>
      <w:bookmarkStart w:id="3892" w:name="_Toc38441999"/>
      <w:bookmarkStart w:id="3893" w:name="_Toc38442331"/>
      <w:bookmarkStart w:id="3894" w:name="_Toc38442663"/>
      <w:bookmarkStart w:id="3895" w:name="_Toc38442994"/>
      <w:bookmarkStart w:id="3896" w:name="_Toc38443325"/>
      <w:bookmarkStart w:id="3897" w:name="_Toc38443656"/>
      <w:bookmarkStart w:id="3898" w:name="_Toc38443986"/>
      <w:bookmarkStart w:id="3899" w:name="_Toc38438454"/>
      <w:bookmarkStart w:id="3900" w:name="_Toc38438791"/>
      <w:bookmarkStart w:id="3901" w:name="_Toc38439128"/>
      <w:bookmarkStart w:id="3902" w:name="_Toc38439465"/>
      <w:bookmarkStart w:id="3903" w:name="_Toc38439802"/>
      <w:bookmarkStart w:id="3904" w:name="_Toc38440139"/>
      <w:bookmarkStart w:id="3905" w:name="_Toc38440476"/>
      <w:bookmarkStart w:id="3906" w:name="_Toc38441008"/>
      <w:bookmarkStart w:id="3907" w:name="_Toc38441340"/>
      <w:bookmarkStart w:id="3908" w:name="_Toc38441672"/>
      <w:bookmarkStart w:id="3909" w:name="_Toc38442000"/>
      <w:bookmarkStart w:id="3910" w:name="_Toc38442332"/>
      <w:bookmarkStart w:id="3911" w:name="_Toc38442664"/>
      <w:bookmarkStart w:id="3912" w:name="_Toc38442995"/>
      <w:bookmarkStart w:id="3913" w:name="_Toc38443326"/>
      <w:bookmarkStart w:id="3914" w:name="_Toc38443657"/>
      <w:bookmarkStart w:id="3915" w:name="_Toc38443987"/>
      <w:bookmarkStart w:id="3916" w:name="_Toc38438455"/>
      <w:bookmarkStart w:id="3917" w:name="_Toc38438792"/>
      <w:bookmarkStart w:id="3918" w:name="_Toc38439129"/>
      <w:bookmarkStart w:id="3919" w:name="_Toc38439466"/>
      <w:bookmarkStart w:id="3920" w:name="_Toc38439803"/>
      <w:bookmarkStart w:id="3921" w:name="_Toc38440140"/>
      <w:bookmarkStart w:id="3922" w:name="_Toc38440477"/>
      <w:bookmarkStart w:id="3923" w:name="_Toc38441009"/>
      <w:bookmarkStart w:id="3924" w:name="_Toc38441341"/>
      <w:bookmarkStart w:id="3925" w:name="_Toc38441673"/>
      <w:bookmarkStart w:id="3926" w:name="_Toc38442001"/>
      <w:bookmarkStart w:id="3927" w:name="_Toc38442333"/>
      <w:bookmarkStart w:id="3928" w:name="_Toc38442665"/>
      <w:bookmarkStart w:id="3929" w:name="_Toc38442996"/>
      <w:bookmarkStart w:id="3930" w:name="_Toc38443327"/>
      <w:bookmarkStart w:id="3931" w:name="_Toc38443658"/>
      <w:bookmarkStart w:id="3932" w:name="_Toc38443988"/>
      <w:bookmarkStart w:id="3933" w:name="_Toc38438456"/>
      <w:bookmarkStart w:id="3934" w:name="_Toc38438793"/>
      <w:bookmarkStart w:id="3935" w:name="_Toc38439130"/>
      <w:bookmarkStart w:id="3936" w:name="_Toc38439467"/>
      <w:bookmarkStart w:id="3937" w:name="_Toc38439804"/>
      <w:bookmarkStart w:id="3938" w:name="_Toc38440141"/>
      <w:bookmarkStart w:id="3939" w:name="_Toc38440478"/>
      <w:bookmarkStart w:id="3940" w:name="_Toc38441010"/>
      <w:bookmarkStart w:id="3941" w:name="_Toc38441342"/>
      <w:bookmarkStart w:id="3942" w:name="_Toc38441674"/>
      <w:bookmarkStart w:id="3943" w:name="_Toc38442002"/>
      <w:bookmarkStart w:id="3944" w:name="_Toc38442334"/>
      <w:bookmarkStart w:id="3945" w:name="_Toc38442666"/>
      <w:bookmarkStart w:id="3946" w:name="_Toc38442997"/>
      <w:bookmarkStart w:id="3947" w:name="_Toc38443328"/>
      <w:bookmarkStart w:id="3948" w:name="_Toc38443659"/>
      <w:bookmarkStart w:id="3949" w:name="_Toc38443989"/>
      <w:bookmarkStart w:id="3950" w:name="_Toc38438457"/>
      <w:bookmarkStart w:id="3951" w:name="_Toc38438794"/>
      <w:bookmarkStart w:id="3952" w:name="_Toc38439131"/>
      <w:bookmarkStart w:id="3953" w:name="_Toc38439468"/>
      <w:bookmarkStart w:id="3954" w:name="_Toc38439805"/>
      <w:bookmarkStart w:id="3955" w:name="_Toc38440142"/>
      <w:bookmarkStart w:id="3956" w:name="_Toc38440479"/>
      <w:bookmarkStart w:id="3957" w:name="_Toc38441011"/>
      <w:bookmarkStart w:id="3958" w:name="_Toc38441343"/>
      <w:bookmarkStart w:id="3959" w:name="_Toc38441675"/>
      <w:bookmarkStart w:id="3960" w:name="_Toc38442003"/>
      <w:bookmarkStart w:id="3961" w:name="_Toc38442335"/>
      <w:bookmarkStart w:id="3962" w:name="_Toc38442667"/>
      <w:bookmarkStart w:id="3963" w:name="_Toc38442998"/>
      <w:bookmarkStart w:id="3964" w:name="_Toc38443329"/>
      <w:bookmarkStart w:id="3965" w:name="_Toc38443660"/>
      <w:bookmarkStart w:id="3966" w:name="_Toc38443990"/>
      <w:bookmarkStart w:id="3967" w:name="_Toc38438458"/>
      <w:bookmarkStart w:id="3968" w:name="_Toc38438795"/>
      <w:bookmarkStart w:id="3969" w:name="_Toc38439132"/>
      <w:bookmarkStart w:id="3970" w:name="_Toc38439469"/>
      <w:bookmarkStart w:id="3971" w:name="_Toc38439806"/>
      <w:bookmarkStart w:id="3972" w:name="_Toc38440143"/>
      <w:bookmarkStart w:id="3973" w:name="_Toc38440480"/>
      <w:bookmarkStart w:id="3974" w:name="_Toc38441012"/>
      <w:bookmarkStart w:id="3975" w:name="_Toc38441344"/>
      <w:bookmarkStart w:id="3976" w:name="_Toc38441676"/>
      <w:bookmarkStart w:id="3977" w:name="_Toc38442004"/>
      <w:bookmarkStart w:id="3978" w:name="_Toc38442336"/>
      <w:bookmarkStart w:id="3979" w:name="_Toc38442668"/>
      <w:bookmarkStart w:id="3980" w:name="_Toc38442999"/>
      <w:bookmarkStart w:id="3981" w:name="_Toc38443330"/>
      <w:bookmarkStart w:id="3982" w:name="_Toc38443661"/>
      <w:bookmarkStart w:id="3983" w:name="_Toc38443991"/>
      <w:bookmarkStart w:id="3984" w:name="_Toc92774769"/>
      <w:bookmarkStart w:id="3985" w:name="_Toc30161835"/>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r w:rsidRPr="00960F82">
        <w:rPr>
          <w:rFonts w:asciiTheme="minorEastAsia" w:eastAsiaTheme="minorEastAsia" w:hAnsiTheme="minorEastAsia" w:hint="eastAsia"/>
          <w:b/>
          <w:bCs/>
        </w:rPr>
        <w:lastRenderedPageBreak/>
        <w:t>二十三、备查文件</w:t>
      </w:r>
      <w:bookmarkEnd w:id="3984"/>
      <w:bookmarkEnd w:id="3985"/>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1、</w:t>
      </w:r>
      <w:r w:rsidR="001D2E2F" w:rsidRPr="00960F82">
        <w:rPr>
          <w:rFonts w:asciiTheme="minorEastAsia" w:eastAsiaTheme="minorEastAsia" w:hAnsiTheme="minorEastAsia" w:hint="eastAsia"/>
        </w:rPr>
        <w:t>中国证监会批准易方达积极成长证券投资基金设立的文件；</w:t>
      </w:r>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2、</w:t>
      </w:r>
      <w:r w:rsidR="001D2E2F" w:rsidRPr="00960F82">
        <w:rPr>
          <w:rFonts w:asciiTheme="minorEastAsia" w:eastAsiaTheme="minorEastAsia" w:hAnsiTheme="minorEastAsia" w:hint="eastAsia"/>
        </w:rPr>
        <w:t>《易方达积极成长证券投资基金基金合同》；</w:t>
      </w:r>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3、</w:t>
      </w:r>
      <w:r w:rsidR="001D2E2F" w:rsidRPr="00960F82">
        <w:rPr>
          <w:rFonts w:asciiTheme="minorEastAsia" w:eastAsiaTheme="minorEastAsia" w:hAnsiTheme="minorEastAsia" w:hint="eastAsia"/>
        </w:rPr>
        <w:t>《易方达积极成长证券投资基金托管协议》；</w:t>
      </w:r>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4、</w:t>
      </w:r>
      <w:r w:rsidR="001D2E2F" w:rsidRPr="00960F82">
        <w:rPr>
          <w:rFonts w:asciiTheme="minorEastAsia" w:eastAsiaTheme="minorEastAsia" w:hAnsiTheme="minorEastAsia" w:hint="eastAsia"/>
        </w:rPr>
        <w:t>《易方达基金管理有限公司开放式基金业务规则》；</w:t>
      </w:r>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5、</w:t>
      </w:r>
      <w:r w:rsidR="001D2E2F" w:rsidRPr="00960F82">
        <w:rPr>
          <w:rFonts w:asciiTheme="minorEastAsia" w:eastAsiaTheme="minorEastAsia" w:hAnsiTheme="minorEastAsia" w:hint="eastAsia"/>
        </w:rPr>
        <w:t>法律意见书；</w:t>
      </w:r>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6、</w:t>
      </w:r>
      <w:r w:rsidR="001D2E2F" w:rsidRPr="00960F82">
        <w:rPr>
          <w:rFonts w:asciiTheme="minorEastAsia" w:eastAsiaTheme="minorEastAsia" w:hAnsiTheme="minorEastAsia" w:hint="eastAsia"/>
        </w:rPr>
        <w:t>基金管理人业务资格批件和营业执照；</w:t>
      </w:r>
    </w:p>
    <w:p w:rsidR="001D2E2F" w:rsidRPr="00960F82" w:rsidRDefault="00D759DD" w:rsidP="00D759DD">
      <w:pPr>
        <w:snapToGrid w:val="0"/>
        <w:spacing w:line="360" w:lineRule="auto"/>
        <w:ind w:firstLine="480"/>
        <w:rPr>
          <w:rFonts w:asciiTheme="minorEastAsia" w:eastAsiaTheme="minorEastAsia" w:hAnsiTheme="minorEastAsia"/>
        </w:rPr>
      </w:pPr>
      <w:r w:rsidRPr="00960F82">
        <w:rPr>
          <w:rFonts w:asciiTheme="minorEastAsia" w:eastAsiaTheme="minorEastAsia" w:hAnsiTheme="minorEastAsia" w:hint="eastAsia"/>
        </w:rPr>
        <w:t>7、</w:t>
      </w:r>
      <w:r w:rsidR="001D2E2F" w:rsidRPr="00960F82">
        <w:rPr>
          <w:rFonts w:asciiTheme="minorEastAsia" w:eastAsiaTheme="minorEastAsia" w:hAnsiTheme="minorEastAsia" w:hint="eastAsia"/>
        </w:rPr>
        <w:t>基金托管人业务资格批件和营业执照。</w:t>
      </w:r>
    </w:p>
    <w:p w:rsidR="001D2E2F" w:rsidRPr="00960F82" w:rsidRDefault="001D2E2F" w:rsidP="00084917">
      <w:pPr>
        <w:snapToGrid w:val="0"/>
        <w:spacing w:line="360" w:lineRule="auto"/>
        <w:ind w:firstLine="420"/>
        <w:rPr>
          <w:rFonts w:asciiTheme="minorEastAsia" w:eastAsiaTheme="minorEastAsia" w:hAnsiTheme="minorEastAsia"/>
        </w:rPr>
      </w:pPr>
      <w:r w:rsidRPr="00960F82">
        <w:rPr>
          <w:rFonts w:asciiTheme="minorEastAsia" w:eastAsiaTheme="minorEastAsia" w:hAnsiTheme="minorEastAsia" w:hint="eastAsia"/>
        </w:rPr>
        <w:t>存放地点：基金管理人、基金托管人处</w:t>
      </w:r>
    </w:p>
    <w:p w:rsidR="001D2E2F" w:rsidRPr="00960F82" w:rsidRDefault="001D2E2F" w:rsidP="00084917">
      <w:pPr>
        <w:snapToGrid w:val="0"/>
        <w:spacing w:line="360" w:lineRule="auto"/>
        <w:ind w:firstLineChars="200" w:firstLine="420"/>
        <w:rPr>
          <w:rFonts w:asciiTheme="minorEastAsia" w:eastAsiaTheme="minorEastAsia" w:hAnsiTheme="minorEastAsia"/>
          <w:szCs w:val="21"/>
        </w:rPr>
      </w:pPr>
      <w:r w:rsidRPr="00960F82">
        <w:rPr>
          <w:rFonts w:asciiTheme="minorEastAsia" w:eastAsiaTheme="minorEastAsia" w:hAnsiTheme="minorEastAsia" w:hint="eastAsia"/>
        </w:rPr>
        <w:t>查阅方式：投资者可在营业时间免费查阅，也可按工本费购买复印件。</w:t>
      </w:r>
    </w:p>
    <w:p w:rsidR="001D2E2F" w:rsidRPr="00960F82" w:rsidRDefault="001D2E2F" w:rsidP="00084917">
      <w:pPr>
        <w:snapToGrid w:val="0"/>
        <w:spacing w:line="360" w:lineRule="auto"/>
        <w:ind w:left="480"/>
        <w:rPr>
          <w:rFonts w:asciiTheme="minorEastAsia" w:eastAsiaTheme="minorEastAsia" w:hAnsiTheme="minorEastAsia"/>
          <w:szCs w:val="21"/>
        </w:rPr>
      </w:pPr>
    </w:p>
    <w:p w:rsidR="00DB03C6" w:rsidRPr="00960F82" w:rsidRDefault="00DB03C6" w:rsidP="00084917">
      <w:pPr>
        <w:snapToGrid w:val="0"/>
        <w:spacing w:line="360" w:lineRule="auto"/>
        <w:ind w:left="480"/>
        <w:rPr>
          <w:rFonts w:asciiTheme="minorEastAsia" w:eastAsiaTheme="minorEastAsia" w:hAnsiTheme="minorEastAsia"/>
          <w:szCs w:val="21"/>
        </w:rPr>
      </w:pPr>
    </w:p>
    <w:p w:rsidR="001D2E2F" w:rsidRPr="00960F82" w:rsidRDefault="004B076D" w:rsidP="00084917">
      <w:pPr>
        <w:snapToGrid w:val="0"/>
        <w:spacing w:line="360" w:lineRule="auto"/>
        <w:ind w:left="360"/>
        <w:jc w:val="right"/>
        <w:rPr>
          <w:rFonts w:asciiTheme="minorEastAsia" w:eastAsiaTheme="minorEastAsia" w:hAnsiTheme="minorEastAsia"/>
        </w:rPr>
      </w:pPr>
      <w:r w:rsidRPr="00960F82">
        <w:rPr>
          <w:rFonts w:asciiTheme="minorEastAsia" w:eastAsiaTheme="minorEastAsia" w:hAnsiTheme="minorEastAsia" w:hint="eastAsia"/>
        </w:rPr>
        <w:t>易方达基金管理有限公司</w:t>
      </w:r>
    </w:p>
    <w:p w:rsidR="001619D4" w:rsidRPr="00960F82" w:rsidRDefault="00083CDE" w:rsidP="00084917">
      <w:pPr>
        <w:snapToGrid w:val="0"/>
        <w:spacing w:line="360" w:lineRule="auto"/>
        <w:ind w:right="315"/>
        <w:jc w:val="right"/>
        <w:rPr>
          <w:rFonts w:asciiTheme="minorEastAsia" w:eastAsiaTheme="minorEastAsia" w:hAnsiTheme="minorEastAsia"/>
        </w:rPr>
      </w:pPr>
      <w:bookmarkStart w:id="3986" w:name="_PictureBullets"/>
      <w:bookmarkEnd w:id="3986"/>
      <w:r w:rsidRPr="00960F82">
        <w:rPr>
          <w:rFonts w:asciiTheme="minorEastAsia" w:eastAsiaTheme="minorEastAsia" w:hAnsiTheme="minorEastAsia"/>
        </w:rPr>
        <w:t>2020年1月</w:t>
      </w:r>
      <w:r w:rsidR="00960F82" w:rsidRPr="00960F82">
        <w:rPr>
          <w:rFonts w:asciiTheme="minorEastAsia" w:eastAsiaTheme="minorEastAsia" w:hAnsiTheme="minorEastAsia"/>
        </w:rPr>
        <w:t>18</w:t>
      </w:r>
      <w:r w:rsidRPr="00960F82">
        <w:rPr>
          <w:rFonts w:asciiTheme="minorEastAsia" w:eastAsiaTheme="minorEastAsia" w:hAnsiTheme="minorEastAsia"/>
        </w:rPr>
        <w:t>日</w:t>
      </w:r>
    </w:p>
    <w:sectPr w:rsidR="001619D4" w:rsidRPr="00960F82" w:rsidSect="005E306A">
      <w:pgSz w:w="11906" w:h="16838" w:code="9"/>
      <w:pgMar w:top="1440" w:right="1800" w:bottom="1440" w:left="1800" w:header="851" w:footer="992" w:gutter="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E9" w:rsidRDefault="004E05E9" w:rsidP="00C72900">
      <w:r>
        <w:separator/>
      </w:r>
    </w:p>
  </w:endnote>
  <w:endnote w:type="continuationSeparator" w:id="0">
    <w:p w:rsidR="004E05E9" w:rsidRDefault="004E05E9" w:rsidP="00C7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c"/>
      <w:framePr w:wrap="around" w:vAnchor="text" w:hAnchor="margin" w:xAlign="center" w:y="1"/>
      <w:ind w:firstLine="360"/>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FF100F" w:rsidRDefault="00FF100F">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c"/>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c"/>
      <w:ind w:firstLineChars="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c"/>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c"/>
      <w:framePr w:wrap="around" w:vAnchor="text" w:hAnchor="margin" w:xAlign="center" w:y="1"/>
      <w:ind w:firstLine="360"/>
      <w:rPr>
        <w:rStyle w:val="ab"/>
      </w:rPr>
    </w:pPr>
    <w:r>
      <w:rPr>
        <w:rStyle w:val="ab"/>
      </w:rPr>
      <w:fldChar w:fldCharType="begin"/>
    </w:r>
    <w:r>
      <w:rPr>
        <w:rStyle w:val="ab"/>
      </w:rPr>
      <w:instrText xml:space="preserve">PAGE  </w:instrText>
    </w:r>
    <w:r>
      <w:rPr>
        <w:rStyle w:val="ab"/>
      </w:rPr>
      <w:fldChar w:fldCharType="separate"/>
    </w:r>
    <w:r w:rsidR="003C0187">
      <w:rPr>
        <w:rStyle w:val="ab"/>
        <w:noProof/>
      </w:rPr>
      <w:t>135</w:t>
    </w:r>
    <w:r>
      <w:rPr>
        <w:rStyle w:val="ab"/>
      </w:rPr>
      <w:fldChar w:fldCharType="end"/>
    </w:r>
  </w:p>
  <w:p w:rsidR="00FF100F" w:rsidRDefault="00FF100F">
    <w:pPr>
      <w:pStyle w:val="ac"/>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c"/>
      <w:ind w:firstLineChars="0" w:firstLine="0"/>
      <w:jc w:val="center"/>
    </w:pPr>
    <w:r>
      <w:rPr>
        <w:rStyle w:val="ab"/>
      </w:rPr>
      <w:fldChar w:fldCharType="begin"/>
    </w:r>
    <w:r>
      <w:rPr>
        <w:rStyle w:val="ab"/>
      </w:rPr>
      <w:instrText xml:space="preserve"> PAGE </w:instrText>
    </w:r>
    <w:r>
      <w:rPr>
        <w:rStyle w:val="ab"/>
      </w:rPr>
      <w:fldChar w:fldCharType="separate"/>
    </w:r>
    <w:r w:rsidR="003C0187">
      <w:rPr>
        <w:rStyle w:val="ab"/>
        <w:noProof/>
      </w:rPr>
      <w:t>138</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E9" w:rsidRDefault="004E05E9" w:rsidP="00C72900">
      <w:r>
        <w:separator/>
      </w:r>
    </w:p>
  </w:footnote>
  <w:footnote w:type="continuationSeparator" w:id="0">
    <w:p w:rsidR="004E05E9" w:rsidRDefault="004E05E9" w:rsidP="00C7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Default="00FF100F">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Pr="00626469" w:rsidRDefault="00FF100F" w:rsidP="001F7A85">
    <w:pPr>
      <w:pStyle w:val="aa"/>
      <w:pBdr>
        <w:bottom w:val="none" w:sz="0" w:space="0" w:color="auto"/>
      </w:pBdr>
      <w:ind w:firstLineChars="0" w:firstLine="0"/>
      <w:jc w:val="both"/>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0F" w:rsidRPr="00626469" w:rsidRDefault="00FF100F" w:rsidP="001F7A85">
    <w:pPr>
      <w:pStyle w:val="aa"/>
      <w:pBdr>
        <w:bottom w:val="none" w:sz="0" w:space="0" w:color="auto"/>
      </w:pBdr>
      <w:ind w:firstLineChars="0" w:firstLine="0"/>
      <w:jc w:val="both"/>
      <w:rPr>
        <w:rFonts w:ascii="宋体" w:eastAsia="宋体" w:hAnsi="宋体"/>
      </w:rPr>
    </w:pPr>
  </w:p>
  <w:p w:rsidR="00FF100F" w:rsidRPr="0037562B" w:rsidRDefault="00FF100F" w:rsidP="00796CD9">
    <w:pPr>
      <w:pStyle w:val="aa"/>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E41B6A"/>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70587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8342E714"/>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4112C2A4"/>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2FB20F7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AF2F03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040581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B948570"/>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DA0B2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9EEE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AD2D3E"/>
    <w:multiLevelType w:val="singleLevel"/>
    <w:tmpl w:val="3FC4C67E"/>
    <w:lvl w:ilvl="0">
      <w:start w:val="1"/>
      <w:numFmt w:val="decimal"/>
      <w:lvlText w:val="(%1)"/>
      <w:lvlJc w:val="left"/>
      <w:pPr>
        <w:ind w:left="420" w:hanging="420"/>
      </w:pPr>
      <w:rPr>
        <w:rFonts w:hint="default"/>
        <w:b w:val="0"/>
        <w:i w:val="0"/>
        <w:sz w:val="21"/>
      </w:rPr>
    </w:lvl>
  </w:abstractNum>
  <w:abstractNum w:abstractNumId="11" w15:restartNumberingAfterBreak="0">
    <w:nsid w:val="108C078C"/>
    <w:multiLevelType w:val="hybridMultilevel"/>
    <w:tmpl w:val="8FB0D388"/>
    <w:lvl w:ilvl="0" w:tplc="3FC4C67E">
      <w:start w:val="1"/>
      <w:numFmt w:val="decimal"/>
      <w:lvlText w:val="(%1)"/>
      <w:lvlJc w:val="left"/>
      <w:pPr>
        <w:tabs>
          <w:tab w:val="num" w:pos="900"/>
        </w:tabs>
        <w:ind w:left="900" w:hanging="420"/>
      </w:pPr>
      <w:rPr>
        <w:rFonts w:hint="default"/>
        <w:b w:val="0"/>
        <w:i w:val="0"/>
        <w:sz w:val="21"/>
      </w:rPr>
    </w:lvl>
    <w:lvl w:ilvl="1" w:tplc="3FC4C67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18A81F74"/>
    <w:multiLevelType w:val="hybridMultilevel"/>
    <w:tmpl w:val="C040CD3A"/>
    <w:lvl w:ilvl="0" w:tplc="CB66A624">
      <w:start w:val="1"/>
      <w:numFmt w:val="decimal"/>
      <w:lvlText w:val="(%1)"/>
      <w:lvlJc w:val="left"/>
      <w:pPr>
        <w:tabs>
          <w:tab w:val="num" w:pos="1380"/>
        </w:tabs>
        <w:ind w:left="1380" w:hanging="420"/>
      </w:pPr>
      <w:rPr>
        <w:rFonts w:hint="eastAsia"/>
      </w:rPr>
    </w:lvl>
    <w:lvl w:ilvl="1" w:tplc="39803D94">
      <w:start w:val="1"/>
      <w:numFmt w:val="decimal"/>
      <w:lvlText w:val="（%2）"/>
      <w:lvlJc w:val="left"/>
      <w:pPr>
        <w:tabs>
          <w:tab w:val="num" w:pos="1620"/>
        </w:tabs>
        <w:ind w:left="480" w:firstLine="4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19CF4CF9"/>
    <w:multiLevelType w:val="hybridMultilevel"/>
    <w:tmpl w:val="4C7EE49C"/>
    <w:lvl w:ilvl="0" w:tplc="271E205C">
      <w:start w:val="1"/>
      <w:numFmt w:val="decimal"/>
      <w:lvlText w:val="（%1）"/>
      <w:lvlJc w:val="left"/>
      <w:pPr>
        <w:tabs>
          <w:tab w:val="num" w:pos="987"/>
        </w:tabs>
        <w:ind w:left="987" w:hanging="567"/>
      </w:pPr>
      <w:rPr>
        <w:rFonts w:hint="eastAsia"/>
      </w:rPr>
    </w:lvl>
    <w:lvl w:ilvl="1" w:tplc="04090019" w:tentative="1">
      <w:start w:val="1"/>
      <w:numFmt w:val="lowerLetter"/>
      <w:lvlText w:val="%2)"/>
      <w:lvlJc w:val="left"/>
      <w:pPr>
        <w:tabs>
          <w:tab w:val="num" w:pos="976"/>
        </w:tabs>
        <w:ind w:left="976" w:hanging="420"/>
      </w:pPr>
    </w:lvl>
    <w:lvl w:ilvl="2" w:tplc="0409001B" w:tentative="1">
      <w:start w:val="1"/>
      <w:numFmt w:val="lowerRoman"/>
      <w:lvlText w:val="%3."/>
      <w:lvlJc w:val="righ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9" w:tentative="1">
      <w:start w:val="1"/>
      <w:numFmt w:val="lowerLetter"/>
      <w:lvlText w:val="%5)"/>
      <w:lvlJc w:val="left"/>
      <w:pPr>
        <w:tabs>
          <w:tab w:val="num" w:pos="2236"/>
        </w:tabs>
        <w:ind w:left="2236" w:hanging="420"/>
      </w:p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14"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15:restartNumberingAfterBreak="0">
    <w:nsid w:val="1BF11592"/>
    <w:multiLevelType w:val="hybridMultilevel"/>
    <w:tmpl w:val="E012977A"/>
    <w:lvl w:ilvl="0" w:tplc="91140FD0">
      <w:start w:val="1"/>
      <w:numFmt w:val="chineseCountingThousand"/>
      <w:lvlText w:val="(%1)"/>
      <w:lvlJc w:val="left"/>
      <w:pPr>
        <w:tabs>
          <w:tab w:val="num" w:pos="780"/>
        </w:tabs>
        <w:ind w:left="136" w:firstLine="284"/>
      </w:pPr>
      <w:rPr>
        <w:rFonts w:hint="eastAsia"/>
        <w:b/>
        <w:i w:val="0"/>
        <w:sz w:val="21"/>
        <w:szCs w:val="21"/>
      </w:rPr>
    </w:lvl>
    <w:lvl w:ilvl="1" w:tplc="04090019" w:tentative="1">
      <w:start w:val="1"/>
      <w:numFmt w:val="lowerLetter"/>
      <w:lvlText w:val="%2)"/>
      <w:lvlJc w:val="left"/>
      <w:pPr>
        <w:tabs>
          <w:tab w:val="num" w:pos="976"/>
        </w:tabs>
        <w:ind w:left="976" w:hanging="420"/>
      </w:pPr>
    </w:lvl>
    <w:lvl w:ilvl="2" w:tplc="0409001B" w:tentative="1">
      <w:start w:val="1"/>
      <w:numFmt w:val="lowerRoman"/>
      <w:lvlText w:val="%3."/>
      <w:lvlJc w:val="righ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9" w:tentative="1">
      <w:start w:val="1"/>
      <w:numFmt w:val="lowerLetter"/>
      <w:lvlText w:val="%5)"/>
      <w:lvlJc w:val="left"/>
      <w:pPr>
        <w:tabs>
          <w:tab w:val="num" w:pos="2236"/>
        </w:tabs>
        <w:ind w:left="2236" w:hanging="420"/>
      </w:p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16" w15:restartNumberingAfterBreak="0">
    <w:nsid w:val="23693406"/>
    <w:multiLevelType w:val="hybridMultilevel"/>
    <w:tmpl w:val="7470810C"/>
    <w:lvl w:ilvl="0" w:tplc="5CEADD54">
      <w:start w:val="1"/>
      <w:numFmt w:val="japaneseCounting"/>
      <w:lvlText w:val="%1、"/>
      <w:lvlJc w:val="left"/>
      <w:pPr>
        <w:tabs>
          <w:tab w:val="num" w:pos="12"/>
        </w:tabs>
        <w:ind w:left="12" w:hanging="720"/>
      </w:pPr>
      <w:rPr>
        <w:rFonts w:hint="default"/>
      </w:rPr>
    </w:lvl>
    <w:lvl w:ilvl="1" w:tplc="8FCC12C6">
      <w:start w:val="1"/>
      <w:numFmt w:val="japaneseCounting"/>
      <w:lvlText w:val="（%2）"/>
      <w:lvlJc w:val="left"/>
      <w:pPr>
        <w:tabs>
          <w:tab w:val="num" w:pos="567"/>
        </w:tabs>
        <w:ind w:left="567" w:hanging="855"/>
      </w:pPr>
      <w:rPr>
        <w:rFonts w:hint="default"/>
      </w:rPr>
    </w:lvl>
    <w:lvl w:ilvl="2" w:tplc="0409001B">
      <w:start w:val="1"/>
      <w:numFmt w:val="lowerRoman"/>
      <w:lvlText w:val="%3."/>
      <w:lvlJc w:val="right"/>
      <w:pPr>
        <w:tabs>
          <w:tab w:val="num" w:pos="552"/>
        </w:tabs>
        <w:ind w:left="552" w:hanging="420"/>
      </w:pPr>
    </w:lvl>
    <w:lvl w:ilvl="3" w:tplc="09A0A5DE">
      <w:start w:val="1"/>
      <w:numFmt w:val="decimalEnclosedCircle"/>
      <w:lvlText w:val="%4"/>
      <w:lvlJc w:val="left"/>
      <w:pPr>
        <w:tabs>
          <w:tab w:val="num" w:pos="912"/>
        </w:tabs>
        <w:ind w:left="912" w:hanging="360"/>
      </w:pPr>
      <w:rPr>
        <w:rFonts w:hint="eastAsia"/>
      </w:rPr>
    </w:lvl>
    <w:lvl w:ilvl="4" w:tplc="04090019" w:tentative="1">
      <w:start w:val="1"/>
      <w:numFmt w:val="lowerLetter"/>
      <w:lvlText w:val="%5)"/>
      <w:lvlJc w:val="left"/>
      <w:pPr>
        <w:tabs>
          <w:tab w:val="num" w:pos="1392"/>
        </w:tabs>
        <w:ind w:left="1392" w:hanging="420"/>
      </w:pPr>
    </w:lvl>
    <w:lvl w:ilvl="5" w:tplc="0409001B" w:tentative="1">
      <w:start w:val="1"/>
      <w:numFmt w:val="lowerRoman"/>
      <w:lvlText w:val="%6."/>
      <w:lvlJc w:val="right"/>
      <w:pPr>
        <w:tabs>
          <w:tab w:val="num" w:pos="1812"/>
        </w:tabs>
        <w:ind w:left="1812" w:hanging="420"/>
      </w:pPr>
    </w:lvl>
    <w:lvl w:ilvl="6" w:tplc="0409000F" w:tentative="1">
      <w:start w:val="1"/>
      <w:numFmt w:val="decimal"/>
      <w:lvlText w:val="%7."/>
      <w:lvlJc w:val="left"/>
      <w:pPr>
        <w:tabs>
          <w:tab w:val="num" w:pos="2232"/>
        </w:tabs>
        <w:ind w:left="2232" w:hanging="420"/>
      </w:pPr>
    </w:lvl>
    <w:lvl w:ilvl="7" w:tplc="04090019" w:tentative="1">
      <w:start w:val="1"/>
      <w:numFmt w:val="lowerLetter"/>
      <w:lvlText w:val="%8)"/>
      <w:lvlJc w:val="left"/>
      <w:pPr>
        <w:tabs>
          <w:tab w:val="num" w:pos="2652"/>
        </w:tabs>
        <w:ind w:left="2652" w:hanging="420"/>
      </w:pPr>
    </w:lvl>
    <w:lvl w:ilvl="8" w:tplc="0409001B" w:tentative="1">
      <w:start w:val="1"/>
      <w:numFmt w:val="lowerRoman"/>
      <w:lvlText w:val="%9."/>
      <w:lvlJc w:val="right"/>
      <w:pPr>
        <w:tabs>
          <w:tab w:val="num" w:pos="3072"/>
        </w:tabs>
        <w:ind w:left="3072" w:hanging="420"/>
      </w:pPr>
    </w:lvl>
  </w:abstractNum>
  <w:abstractNum w:abstractNumId="17"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1"/>
      <w:suff w:val="nothing"/>
      <w:lvlText w:val=""/>
      <w:lvlJc w:val="left"/>
      <w:pPr>
        <w:ind w:left="851" w:firstLine="0"/>
      </w:pPr>
      <w:rPr>
        <w:rFonts w:hint="eastAsia"/>
      </w:rPr>
    </w:lvl>
    <w:lvl w:ilvl="4">
      <w:start w:val="1"/>
      <w:numFmt w:val="none"/>
      <w:pStyle w:val="51"/>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8" w15:restartNumberingAfterBreak="0">
    <w:nsid w:val="251A1BE7"/>
    <w:multiLevelType w:val="hybridMultilevel"/>
    <w:tmpl w:val="549C6A64"/>
    <w:lvl w:ilvl="0" w:tplc="682A70EC">
      <w:start w:val="1"/>
      <w:numFmt w:val="chineseCountingThousand"/>
      <w:lvlText w:val="（%1）"/>
      <w:lvlJc w:val="left"/>
      <w:pPr>
        <w:tabs>
          <w:tab w:val="num" w:pos="1140"/>
        </w:tabs>
        <w:ind w:left="0" w:firstLine="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7B33931"/>
    <w:multiLevelType w:val="hybridMultilevel"/>
    <w:tmpl w:val="A23A28A8"/>
    <w:lvl w:ilvl="0" w:tplc="5D0875D8">
      <w:start w:val="1"/>
      <w:numFmt w:val="chineseCountingThousand"/>
      <w:lvlText w:val="（%1）."/>
      <w:lvlJc w:val="left"/>
      <w:pPr>
        <w:tabs>
          <w:tab w:val="num" w:pos="1140"/>
        </w:tabs>
        <w:ind w:left="0" w:firstLine="420"/>
      </w:pPr>
      <w:rPr>
        <w:rFonts w:hint="eastAsia"/>
      </w:rPr>
    </w:lvl>
    <w:lvl w:ilvl="1" w:tplc="C8DE7F70">
      <w:start w:val="1"/>
      <w:numFmt w:val="decimal"/>
      <w:lvlText w:val="（%2）"/>
      <w:lvlJc w:val="left"/>
      <w:pPr>
        <w:tabs>
          <w:tab w:val="num" w:pos="114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3143E80"/>
    <w:multiLevelType w:val="singleLevel"/>
    <w:tmpl w:val="D2907824"/>
    <w:lvl w:ilvl="0">
      <w:start w:val="1"/>
      <w:numFmt w:val="decimal"/>
      <w:pStyle w:val="a1"/>
      <w:lvlText w:val="表%1："/>
      <w:lvlJc w:val="left"/>
      <w:pPr>
        <w:tabs>
          <w:tab w:val="num" w:pos="720"/>
        </w:tabs>
        <w:ind w:left="425" w:hanging="425"/>
      </w:pPr>
      <w:rPr>
        <w:rFonts w:ascii="黑体" w:eastAsia="黑体" w:hint="eastAsia"/>
        <w:sz w:val="24"/>
      </w:rPr>
    </w:lvl>
  </w:abstractNum>
  <w:abstractNum w:abstractNumId="21" w15:restartNumberingAfterBreak="0">
    <w:nsid w:val="36EB266F"/>
    <w:multiLevelType w:val="hybridMultilevel"/>
    <w:tmpl w:val="4B3EED3E"/>
    <w:lvl w:ilvl="0" w:tplc="4F98CAE6">
      <w:start w:val="1"/>
      <w:numFmt w:val="bullet"/>
      <w:pStyle w:val="21"/>
      <w:lvlText w:val=""/>
      <w:lvlJc w:val="left"/>
      <w:pPr>
        <w:tabs>
          <w:tab w:val="num" w:pos="1211"/>
        </w:tabs>
        <w:ind w:left="1191" w:hanging="340"/>
      </w:pPr>
      <w:rPr>
        <w:rFonts w:ascii="Wingdings" w:hAnsi="Wingdings" w:cs="Times New Roman" w:hint="default"/>
        <w:color w:val="000000"/>
      </w:rPr>
    </w:lvl>
    <w:lvl w:ilvl="1" w:tplc="04090003">
      <w:start w:val="1"/>
      <w:numFmt w:val="bullet"/>
      <w:lvlText w:val=""/>
      <w:lvlJc w:val="left"/>
      <w:pPr>
        <w:tabs>
          <w:tab w:val="num" w:pos="840"/>
        </w:tabs>
        <w:ind w:left="840" w:hanging="420"/>
      </w:pPr>
      <w:rPr>
        <w:rFonts w:ascii="Wingdings" w:hAnsi="Wingdings" w:cs="Times New Roman" w:hint="default"/>
      </w:rPr>
    </w:lvl>
    <w:lvl w:ilvl="2" w:tplc="04090005">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3">
      <w:start w:val="1"/>
      <w:numFmt w:val="bullet"/>
      <w:lvlText w:val=""/>
      <w:lvlJc w:val="left"/>
      <w:pPr>
        <w:tabs>
          <w:tab w:val="num" w:pos="2100"/>
        </w:tabs>
        <w:ind w:left="2100" w:hanging="420"/>
      </w:pPr>
      <w:rPr>
        <w:rFonts w:ascii="Wingdings" w:hAnsi="Wingdings" w:cs="Times New Roman" w:hint="default"/>
      </w:rPr>
    </w:lvl>
    <w:lvl w:ilvl="5" w:tplc="04090005">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3">
      <w:start w:val="1"/>
      <w:numFmt w:val="bullet"/>
      <w:lvlText w:val=""/>
      <w:lvlJc w:val="left"/>
      <w:pPr>
        <w:tabs>
          <w:tab w:val="num" w:pos="3360"/>
        </w:tabs>
        <w:ind w:left="3360" w:hanging="420"/>
      </w:pPr>
      <w:rPr>
        <w:rFonts w:ascii="Wingdings" w:hAnsi="Wingdings" w:cs="Times New Roman" w:hint="default"/>
      </w:rPr>
    </w:lvl>
    <w:lvl w:ilvl="8" w:tplc="04090005">
      <w:start w:val="1"/>
      <w:numFmt w:val="bullet"/>
      <w:lvlText w:val=""/>
      <w:lvlJc w:val="left"/>
      <w:pPr>
        <w:tabs>
          <w:tab w:val="num" w:pos="3780"/>
        </w:tabs>
        <w:ind w:left="3780" w:hanging="420"/>
      </w:pPr>
      <w:rPr>
        <w:rFonts w:ascii="Wingdings" w:hAnsi="Wingdings" w:cs="Times New Roman" w:hint="default"/>
      </w:rPr>
    </w:lvl>
  </w:abstractNum>
  <w:abstractNum w:abstractNumId="22" w15:restartNumberingAfterBreak="0">
    <w:nsid w:val="43223798"/>
    <w:multiLevelType w:val="hybridMultilevel"/>
    <w:tmpl w:val="E5FCB83C"/>
    <w:lvl w:ilvl="0" w:tplc="682A70EC">
      <w:start w:val="1"/>
      <w:numFmt w:val="chineseCountingThousand"/>
      <w:lvlText w:val="（%1）"/>
      <w:lvlJc w:val="left"/>
      <w:pPr>
        <w:tabs>
          <w:tab w:val="num" w:pos="1140"/>
        </w:tabs>
        <w:ind w:left="0" w:firstLine="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A3B02E2"/>
    <w:multiLevelType w:val="hybridMultilevel"/>
    <w:tmpl w:val="6C72C8E6"/>
    <w:lvl w:ilvl="0" w:tplc="54000E30">
      <w:start w:val="1"/>
      <w:numFmt w:val="decimal"/>
      <w:lvlText w:val="（%1）"/>
      <w:lvlJc w:val="left"/>
      <w:pPr>
        <w:tabs>
          <w:tab w:val="num" w:pos="1134"/>
        </w:tabs>
        <w:ind w:left="1134" w:hanging="7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25D0DCD"/>
    <w:multiLevelType w:val="singleLevel"/>
    <w:tmpl w:val="3FC4C67E"/>
    <w:lvl w:ilvl="0">
      <w:start w:val="1"/>
      <w:numFmt w:val="decimal"/>
      <w:lvlText w:val="(%1)"/>
      <w:lvlJc w:val="left"/>
      <w:pPr>
        <w:ind w:left="420" w:hanging="420"/>
      </w:pPr>
      <w:rPr>
        <w:rFonts w:hint="default"/>
        <w:b w:val="0"/>
        <w:i w:val="0"/>
        <w:sz w:val="21"/>
      </w:rPr>
    </w:lvl>
  </w:abstractNum>
  <w:abstractNum w:abstractNumId="25" w15:restartNumberingAfterBreak="0">
    <w:nsid w:val="5562621F"/>
    <w:multiLevelType w:val="hybridMultilevel"/>
    <w:tmpl w:val="1A3A79AA"/>
    <w:lvl w:ilvl="0" w:tplc="FFFFFFFF">
      <w:start w:val="1"/>
      <w:numFmt w:val="decimal"/>
      <w:lvlText w:val="%1."/>
      <w:lvlJc w:val="left"/>
      <w:pPr>
        <w:tabs>
          <w:tab w:val="num" w:pos="780"/>
        </w:tabs>
        <w:ind w:left="420" w:firstLine="0"/>
      </w:pPr>
      <w:rPr>
        <w:rFonts w:hint="eastAsia"/>
      </w:rPr>
    </w:lvl>
    <w:lvl w:ilvl="1" w:tplc="FFFFFFFF">
      <w:start w:val="1"/>
      <w:numFmt w:val="decimal"/>
      <w:lvlText w:val="（%2）"/>
      <w:lvlJc w:val="left"/>
      <w:pPr>
        <w:tabs>
          <w:tab w:val="num" w:pos="1134"/>
        </w:tabs>
        <w:ind w:left="1134" w:hanging="714"/>
      </w:pPr>
      <w:rPr>
        <w:rFonts w:hint="eastAsia"/>
      </w:rPr>
    </w:lvl>
    <w:lvl w:ilvl="2" w:tplc="FFFFFFFF">
      <w:start w:val="1"/>
      <w:numFmt w:val="decimal"/>
      <w:lvlText w:val="%3"/>
      <w:lvlJc w:val="left"/>
      <w:pPr>
        <w:tabs>
          <w:tab w:val="num" w:pos="780"/>
        </w:tabs>
        <w:ind w:left="420" w:firstLine="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58EC2BAD"/>
    <w:multiLevelType w:val="hybridMultilevel"/>
    <w:tmpl w:val="BEC40DD6"/>
    <w:lvl w:ilvl="0" w:tplc="1BF0124E">
      <w:start w:val="1"/>
      <w:numFmt w:val="decimalEnclosedCircle"/>
      <w:lvlText w:val="%1"/>
      <w:lvlJc w:val="left"/>
      <w:pPr>
        <w:tabs>
          <w:tab w:val="num" w:pos="988"/>
        </w:tabs>
        <w:ind w:left="988" w:hanging="420"/>
      </w:pPr>
      <w:rPr>
        <w:rFonts w:ascii="宋体" w:eastAsia="宋体" w:hAnsi="宋体" w:cs="宋体"/>
      </w:rPr>
    </w:lvl>
    <w:lvl w:ilvl="1" w:tplc="841C8DC8" w:tentative="1">
      <w:start w:val="1"/>
      <w:numFmt w:val="lowerLetter"/>
      <w:lvlText w:val="%2)"/>
      <w:lvlJc w:val="left"/>
      <w:pPr>
        <w:tabs>
          <w:tab w:val="num" w:pos="1320"/>
        </w:tabs>
        <w:ind w:left="1320" w:hanging="420"/>
      </w:pPr>
    </w:lvl>
    <w:lvl w:ilvl="2" w:tplc="A1B2D0EE"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DB4F22"/>
    <w:multiLevelType w:val="hybridMultilevel"/>
    <w:tmpl w:val="3B98B5EE"/>
    <w:lvl w:ilvl="0" w:tplc="0784B866">
      <w:start w:val="1"/>
      <w:numFmt w:val="decimal"/>
      <w:lvlText w:val="（%1）"/>
      <w:lvlJc w:val="left"/>
      <w:pPr>
        <w:tabs>
          <w:tab w:val="num" w:pos="987"/>
        </w:tabs>
        <w:ind w:left="987" w:hanging="567"/>
      </w:pPr>
      <w:rPr>
        <w:rFonts w:hint="eastAsia"/>
      </w:rPr>
    </w:lvl>
    <w:lvl w:ilvl="1" w:tplc="7C4CD084" w:tentative="1">
      <w:start w:val="1"/>
      <w:numFmt w:val="lowerLetter"/>
      <w:lvlText w:val="%2)"/>
      <w:lvlJc w:val="left"/>
      <w:pPr>
        <w:tabs>
          <w:tab w:val="num" w:pos="976"/>
        </w:tabs>
        <w:ind w:left="976" w:hanging="420"/>
      </w:pPr>
    </w:lvl>
    <w:lvl w:ilvl="2" w:tplc="0409001B" w:tentative="1">
      <w:start w:val="1"/>
      <w:numFmt w:val="lowerRoman"/>
      <w:lvlText w:val="%3."/>
      <w:lvlJc w:val="right"/>
      <w:pPr>
        <w:tabs>
          <w:tab w:val="num" w:pos="1396"/>
        </w:tabs>
        <w:ind w:left="1396" w:hanging="420"/>
      </w:pPr>
    </w:lvl>
    <w:lvl w:ilvl="3" w:tplc="ACC0C634" w:tentative="1">
      <w:start w:val="1"/>
      <w:numFmt w:val="decimal"/>
      <w:lvlText w:val="%4."/>
      <w:lvlJc w:val="left"/>
      <w:pPr>
        <w:tabs>
          <w:tab w:val="num" w:pos="1816"/>
        </w:tabs>
        <w:ind w:left="1816" w:hanging="420"/>
      </w:pPr>
    </w:lvl>
    <w:lvl w:ilvl="4" w:tplc="04090019" w:tentative="1">
      <w:start w:val="1"/>
      <w:numFmt w:val="lowerLetter"/>
      <w:lvlText w:val="%5)"/>
      <w:lvlJc w:val="left"/>
      <w:pPr>
        <w:tabs>
          <w:tab w:val="num" w:pos="2236"/>
        </w:tabs>
        <w:ind w:left="2236" w:hanging="420"/>
      </w:p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28"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1"/>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29" w15:restartNumberingAfterBreak="0">
    <w:nsid w:val="689E54D9"/>
    <w:multiLevelType w:val="hybridMultilevel"/>
    <w:tmpl w:val="97ECA8E2"/>
    <w:lvl w:ilvl="0" w:tplc="0409001B">
      <w:start w:val="1"/>
      <w:numFmt w:val="chineseCountingThousand"/>
      <w:lvlText w:val="（%1）"/>
      <w:lvlJc w:val="left"/>
      <w:pPr>
        <w:tabs>
          <w:tab w:val="num" w:pos="1140"/>
        </w:tabs>
        <w:ind w:left="136" w:firstLine="284"/>
      </w:pPr>
      <w:rPr>
        <w:rFonts w:hint="eastAsia"/>
      </w:rPr>
    </w:lvl>
    <w:lvl w:ilvl="1" w:tplc="04090019">
      <w:start w:val="1"/>
      <w:numFmt w:val="decimal"/>
      <w:lvlText w:val="%2."/>
      <w:lvlJc w:val="left"/>
      <w:pPr>
        <w:tabs>
          <w:tab w:val="num" w:pos="780"/>
        </w:tabs>
        <w:ind w:left="0" w:firstLine="420"/>
      </w:pPr>
      <w:rPr>
        <w:rFonts w:hint="eastAsia"/>
      </w:rPr>
    </w:lvl>
    <w:lvl w:ilvl="2" w:tplc="0409001B">
      <w:start w:val="1"/>
      <w:numFmt w:val="chineseCountingThousand"/>
      <w:lvlText w:val="（%3）"/>
      <w:lvlJc w:val="left"/>
      <w:pPr>
        <w:tabs>
          <w:tab w:val="num" w:pos="1140"/>
        </w:tabs>
        <w:ind w:left="0" w:firstLine="420"/>
      </w:pPr>
      <w:rPr>
        <w:rFonts w:hint="eastAsia"/>
      </w:rPr>
    </w:lvl>
    <w:lvl w:ilvl="3" w:tplc="0409000F">
      <w:start w:val="1"/>
      <w:numFmt w:val="decimal"/>
      <w:lvlText w:val="%4."/>
      <w:lvlJc w:val="left"/>
      <w:pPr>
        <w:tabs>
          <w:tab w:val="num" w:pos="780"/>
        </w:tabs>
        <w:ind w:left="0" w:firstLine="420"/>
      </w:pPr>
      <w:rPr>
        <w:rFonts w:hint="eastAsia"/>
      </w:rPr>
    </w:lvl>
    <w:lvl w:ilvl="4" w:tplc="04090019">
      <w:start w:val="1"/>
      <w:numFmt w:val="decimal"/>
      <w:lvlText w:val="%5"/>
      <w:lvlJc w:val="left"/>
      <w:pPr>
        <w:tabs>
          <w:tab w:val="num" w:pos="780"/>
        </w:tabs>
        <w:ind w:left="0" w:firstLine="420"/>
      </w:pPr>
      <w:rPr>
        <w:rFonts w:hint="eastAsia"/>
      </w:r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30" w15:restartNumberingAfterBreak="0">
    <w:nsid w:val="6FE147B6"/>
    <w:multiLevelType w:val="singleLevel"/>
    <w:tmpl w:val="5DAA9A04"/>
    <w:lvl w:ilvl="0">
      <w:start w:val="1"/>
      <w:numFmt w:val="decimal"/>
      <w:pStyle w:val="22"/>
      <w:lvlText w:val="(%1)"/>
      <w:lvlJc w:val="left"/>
      <w:pPr>
        <w:tabs>
          <w:tab w:val="num" w:pos="360"/>
        </w:tabs>
        <w:ind w:left="0" w:firstLine="0"/>
      </w:pPr>
      <w:rPr>
        <w:rFonts w:hint="eastAsia"/>
      </w:rPr>
    </w:lvl>
  </w:abstractNum>
  <w:abstractNum w:abstractNumId="31" w15:restartNumberingAfterBreak="0">
    <w:nsid w:val="70DB50AD"/>
    <w:multiLevelType w:val="hybridMultilevel"/>
    <w:tmpl w:val="434288CE"/>
    <w:lvl w:ilvl="0" w:tplc="04090011">
      <w:start w:val="1"/>
      <w:numFmt w:val="bullet"/>
      <w:pStyle w:val="1"/>
      <w:lvlText w:val=""/>
      <w:lvlJc w:val="left"/>
      <w:pPr>
        <w:tabs>
          <w:tab w:val="num" w:pos="1211"/>
        </w:tabs>
        <w:ind w:left="1191" w:hanging="340"/>
      </w:pPr>
      <w:rPr>
        <w:rFonts w:ascii="Wingdings" w:hAnsi="Wingdings" w:cs="Times New Roman" w:hint="default"/>
        <w:color w:val="000000"/>
      </w:rPr>
    </w:lvl>
    <w:lvl w:ilvl="1" w:tplc="04090019">
      <w:start w:val="1"/>
      <w:numFmt w:val="bullet"/>
      <w:lvlText w:val=""/>
      <w:lvlJc w:val="left"/>
      <w:pPr>
        <w:tabs>
          <w:tab w:val="num" w:pos="840"/>
        </w:tabs>
        <w:ind w:left="840" w:hanging="420"/>
      </w:pPr>
      <w:rPr>
        <w:rFonts w:ascii="Wingdings" w:hAnsi="Wingdings" w:cs="Times New Roman" w:hint="default"/>
      </w:rPr>
    </w:lvl>
    <w:lvl w:ilvl="2" w:tplc="0409001B">
      <w:start w:val="1"/>
      <w:numFmt w:val="bullet"/>
      <w:lvlText w:val=""/>
      <w:lvlJc w:val="left"/>
      <w:pPr>
        <w:tabs>
          <w:tab w:val="num" w:pos="1260"/>
        </w:tabs>
        <w:ind w:left="1260" w:hanging="420"/>
      </w:pPr>
      <w:rPr>
        <w:rFonts w:ascii="Wingdings" w:hAnsi="Wingdings" w:cs="Times New Roman" w:hint="default"/>
      </w:rPr>
    </w:lvl>
    <w:lvl w:ilvl="3" w:tplc="0409000F">
      <w:start w:val="1"/>
      <w:numFmt w:val="bullet"/>
      <w:lvlText w:val=""/>
      <w:lvlJc w:val="left"/>
      <w:pPr>
        <w:tabs>
          <w:tab w:val="num" w:pos="1680"/>
        </w:tabs>
        <w:ind w:left="1680" w:hanging="420"/>
      </w:pPr>
      <w:rPr>
        <w:rFonts w:ascii="Wingdings" w:hAnsi="Wingdings" w:cs="Times New Roman" w:hint="default"/>
      </w:rPr>
    </w:lvl>
    <w:lvl w:ilvl="4" w:tplc="04090019">
      <w:start w:val="1"/>
      <w:numFmt w:val="bullet"/>
      <w:lvlText w:val=""/>
      <w:lvlJc w:val="left"/>
      <w:pPr>
        <w:tabs>
          <w:tab w:val="num" w:pos="2100"/>
        </w:tabs>
        <w:ind w:left="2100" w:hanging="420"/>
      </w:pPr>
      <w:rPr>
        <w:rFonts w:ascii="Wingdings" w:hAnsi="Wingdings" w:cs="Times New Roman" w:hint="default"/>
      </w:rPr>
    </w:lvl>
    <w:lvl w:ilvl="5" w:tplc="0409001B">
      <w:start w:val="1"/>
      <w:numFmt w:val="bullet"/>
      <w:lvlText w:val=""/>
      <w:lvlJc w:val="left"/>
      <w:pPr>
        <w:tabs>
          <w:tab w:val="num" w:pos="2520"/>
        </w:tabs>
        <w:ind w:left="2520" w:hanging="420"/>
      </w:pPr>
      <w:rPr>
        <w:rFonts w:ascii="Wingdings" w:hAnsi="Wingdings" w:cs="Times New Roman" w:hint="default"/>
      </w:rPr>
    </w:lvl>
    <w:lvl w:ilvl="6" w:tplc="0409000F">
      <w:start w:val="1"/>
      <w:numFmt w:val="bullet"/>
      <w:lvlText w:val=""/>
      <w:lvlJc w:val="left"/>
      <w:pPr>
        <w:tabs>
          <w:tab w:val="num" w:pos="2940"/>
        </w:tabs>
        <w:ind w:left="2940" w:hanging="420"/>
      </w:pPr>
      <w:rPr>
        <w:rFonts w:ascii="Wingdings" w:hAnsi="Wingdings" w:cs="Times New Roman" w:hint="default"/>
      </w:rPr>
    </w:lvl>
    <w:lvl w:ilvl="7" w:tplc="04090019">
      <w:start w:val="1"/>
      <w:numFmt w:val="bullet"/>
      <w:lvlText w:val=""/>
      <w:lvlJc w:val="left"/>
      <w:pPr>
        <w:tabs>
          <w:tab w:val="num" w:pos="3360"/>
        </w:tabs>
        <w:ind w:left="3360" w:hanging="420"/>
      </w:pPr>
      <w:rPr>
        <w:rFonts w:ascii="Wingdings" w:hAnsi="Wingdings" w:cs="Times New Roman" w:hint="default"/>
      </w:rPr>
    </w:lvl>
    <w:lvl w:ilvl="8" w:tplc="0409001B">
      <w:start w:val="1"/>
      <w:numFmt w:val="bullet"/>
      <w:lvlText w:val=""/>
      <w:lvlJc w:val="left"/>
      <w:pPr>
        <w:tabs>
          <w:tab w:val="num" w:pos="3780"/>
        </w:tabs>
        <w:ind w:left="3780" w:hanging="420"/>
      </w:pPr>
      <w:rPr>
        <w:rFonts w:ascii="Wingdings" w:hAnsi="Wingdings" w:cs="Times New Roman" w:hint="default"/>
      </w:rPr>
    </w:lvl>
  </w:abstractNum>
  <w:abstractNum w:abstractNumId="32" w15:restartNumberingAfterBreak="0">
    <w:nsid w:val="71C01A57"/>
    <w:multiLevelType w:val="hybridMultilevel"/>
    <w:tmpl w:val="12583FE6"/>
    <w:lvl w:ilvl="0" w:tplc="D89ED826">
      <w:start w:val="1"/>
      <w:numFmt w:val="decimal"/>
      <w:lvlText w:val="（%1）"/>
      <w:lvlJc w:val="left"/>
      <w:pPr>
        <w:tabs>
          <w:tab w:val="num" w:pos="987"/>
        </w:tabs>
        <w:ind w:left="987" w:hanging="567"/>
      </w:pPr>
      <w:rPr>
        <w:rFonts w:hint="eastAsia"/>
      </w:rPr>
    </w:lvl>
    <w:lvl w:ilvl="1" w:tplc="04090019">
      <w:start w:val="1"/>
      <w:numFmt w:val="japaneseCounting"/>
      <w:lvlText w:val="（%2）"/>
      <w:lvlJc w:val="left"/>
      <w:pPr>
        <w:tabs>
          <w:tab w:val="num" w:pos="1276"/>
        </w:tabs>
        <w:ind w:left="1276" w:hanging="720"/>
      </w:pPr>
      <w:rPr>
        <w:rFonts w:hint="eastAsia"/>
        <w:b/>
      </w:rPr>
    </w:lvl>
    <w:lvl w:ilvl="2" w:tplc="0409001B" w:tentative="1">
      <w:start w:val="1"/>
      <w:numFmt w:val="lowerRoman"/>
      <w:lvlText w:val="%3."/>
      <w:lvlJc w:val="righ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9" w:tentative="1">
      <w:start w:val="1"/>
      <w:numFmt w:val="lowerLetter"/>
      <w:lvlText w:val="%5)"/>
      <w:lvlJc w:val="left"/>
      <w:pPr>
        <w:tabs>
          <w:tab w:val="num" w:pos="2236"/>
        </w:tabs>
        <w:ind w:left="2236" w:hanging="420"/>
      </w:pPr>
    </w:lvl>
    <w:lvl w:ilvl="5" w:tplc="0409001B" w:tentative="1">
      <w:start w:val="1"/>
      <w:numFmt w:val="lowerRoman"/>
      <w:lvlText w:val="%6."/>
      <w:lvlJc w:val="righ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9" w:tentative="1">
      <w:start w:val="1"/>
      <w:numFmt w:val="lowerLetter"/>
      <w:lvlText w:val="%8)"/>
      <w:lvlJc w:val="left"/>
      <w:pPr>
        <w:tabs>
          <w:tab w:val="num" w:pos="3496"/>
        </w:tabs>
        <w:ind w:left="3496" w:hanging="420"/>
      </w:pPr>
    </w:lvl>
    <w:lvl w:ilvl="8" w:tplc="0409001B" w:tentative="1">
      <w:start w:val="1"/>
      <w:numFmt w:val="lowerRoman"/>
      <w:lvlText w:val="%9."/>
      <w:lvlJc w:val="right"/>
      <w:pPr>
        <w:tabs>
          <w:tab w:val="num" w:pos="3916"/>
        </w:tabs>
        <w:ind w:left="3916" w:hanging="420"/>
      </w:pPr>
    </w:lvl>
  </w:abstractNum>
  <w:abstractNum w:abstractNumId="33" w15:restartNumberingAfterBreak="0">
    <w:nsid w:val="76D800A8"/>
    <w:multiLevelType w:val="hybridMultilevel"/>
    <w:tmpl w:val="CCAA1C10"/>
    <w:lvl w:ilvl="0" w:tplc="21E6D36A">
      <w:start w:val="1"/>
      <w:numFmt w:val="decimal"/>
      <w:lvlText w:val="（%1）"/>
      <w:lvlJc w:val="left"/>
      <w:pPr>
        <w:tabs>
          <w:tab w:val="num" w:pos="987"/>
        </w:tabs>
        <w:ind w:left="987" w:hanging="567"/>
      </w:pPr>
      <w:rPr>
        <w:rFonts w:hint="eastAsia"/>
      </w:rPr>
    </w:lvl>
    <w:lvl w:ilvl="1" w:tplc="04090003" w:tentative="1">
      <w:start w:val="1"/>
      <w:numFmt w:val="lowerLetter"/>
      <w:lvlText w:val="%2)"/>
      <w:lvlJc w:val="left"/>
      <w:pPr>
        <w:tabs>
          <w:tab w:val="num" w:pos="976"/>
        </w:tabs>
        <w:ind w:left="976" w:hanging="420"/>
      </w:pPr>
    </w:lvl>
    <w:lvl w:ilvl="2" w:tplc="04090005" w:tentative="1">
      <w:start w:val="1"/>
      <w:numFmt w:val="lowerRoman"/>
      <w:lvlText w:val="%3."/>
      <w:lvlJc w:val="right"/>
      <w:pPr>
        <w:tabs>
          <w:tab w:val="num" w:pos="1396"/>
        </w:tabs>
        <w:ind w:left="1396" w:hanging="420"/>
      </w:pPr>
    </w:lvl>
    <w:lvl w:ilvl="3" w:tplc="04090001" w:tentative="1">
      <w:start w:val="1"/>
      <w:numFmt w:val="decimal"/>
      <w:lvlText w:val="%4."/>
      <w:lvlJc w:val="left"/>
      <w:pPr>
        <w:tabs>
          <w:tab w:val="num" w:pos="1816"/>
        </w:tabs>
        <w:ind w:left="1816" w:hanging="420"/>
      </w:pPr>
    </w:lvl>
    <w:lvl w:ilvl="4" w:tplc="04090003" w:tentative="1">
      <w:start w:val="1"/>
      <w:numFmt w:val="lowerLetter"/>
      <w:lvlText w:val="%5)"/>
      <w:lvlJc w:val="left"/>
      <w:pPr>
        <w:tabs>
          <w:tab w:val="num" w:pos="2236"/>
        </w:tabs>
        <w:ind w:left="2236" w:hanging="420"/>
      </w:pPr>
    </w:lvl>
    <w:lvl w:ilvl="5" w:tplc="04090005" w:tentative="1">
      <w:start w:val="1"/>
      <w:numFmt w:val="lowerRoman"/>
      <w:lvlText w:val="%6."/>
      <w:lvlJc w:val="right"/>
      <w:pPr>
        <w:tabs>
          <w:tab w:val="num" w:pos="2656"/>
        </w:tabs>
        <w:ind w:left="2656" w:hanging="420"/>
      </w:pPr>
    </w:lvl>
    <w:lvl w:ilvl="6" w:tplc="04090001" w:tentative="1">
      <w:start w:val="1"/>
      <w:numFmt w:val="decimal"/>
      <w:lvlText w:val="%7."/>
      <w:lvlJc w:val="left"/>
      <w:pPr>
        <w:tabs>
          <w:tab w:val="num" w:pos="3076"/>
        </w:tabs>
        <w:ind w:left="3076" w:hanging="420"/>
      </w:pPr>
    </w:lvl>
    <w:lvl w:ilvl="7" w:tplc="04090003" w:tentative="1">
      <w:start w:val="1"/>
      <w:numFmt w:val="lowerLetter"/>
      <w:lvlText w:val="%8)"/>
      <w:lvlJc w:val="left"/>
      <w:pPr>
        <w:tabs>
          <w:tab w:val="num" w:pos="3496"/>
        </w:tabs>
        <w:ind w:left="3496" w:hanging="420"/>
      </w:pPr>
    </w:lvl>
    <w:lvl w:ilvl="8" w:tplc="04090005" w:tentative="1">
      <w:start w:val="1"/>
      <w:numFmt w:val="lowerRoman"/>
      <w:lvlText w:val="%9."/>
      <w:lvlJc w:val="right"/>
      <w:pPr>
        <w:tabs>
          <w:tab w:val="num" w:pos="3916"/>
        </w:tabs>
        <w:ind w:left="3916" w:hanging="420"/>
      </w:pPr>
    </w:lvl>
  </w:abstractNum>
  <w:abstractNum w:abstractNumId="34" w15:restartNumberingAfterBreak="0">
    <w:nsid w:val="77B4748A"/>
    <w:multiLevelType w:val="hybridMultilevel"/>
    <w:tmpl w:val="814A644C"/>
    <w:lvl w:ilvl="0" w:tplc="271E205C">
      <w:start w:val="1"/>
      <w:numFmt w:val="decimal"/>
      <w:lvlText w:val="%1."/>
      <w:lvlJc w:val="left"/>
      <w:pPr>
        <w:tabs>
          <w:tab w:val="num" w:pos="780"/>
        </w:tabs>
        <w:ind w:left="420" w:firstLine="0"/>
      </w:pPr>
      <w:rPr>
        <w:rFonts w:hint="eastAsia"/>
      </w:rPr>
    </w:lvl>
    <w:lvl w:ilvl="1" w:tplc="2BD6213E">
      <w:start w:val="1"/>
      <w:numFmt w:val="decimal"/>
      <w:lvlText w:val="（%2）"/>
      <w:lvlJc w:val="left"/>
      <w:pPr>
        <w:tabs>
          <w:tab w:val="num" w:pos="851"/>
        </w:tabs>
        <w:ind w:left="851" w:hanging="567"/>
      </w:pPr>
      <w:rPr>
        <w:rFonts w:hint="eastAsia"/>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8632D19"/>
    <w:multiLevelType w:val="hybridMultilevel"/>
    <w:tmpl w:val="8FE01356"/>
    <w:lvl w:ilvl="0" w:tplc="99AA8908">
      <w:start w:val="1"/>
      <w:numFmt w:val="chineseCountingThousand"/>
      <w:lvlText w:val="（%1）"/>
      <w:lvlJc w:val="left"/>
      <w:pPr>
        <w:tabs>
          <w:tab w:val="num" w:pos="1140"/>
        </w:tabs>
        <w:ind w:left="0" w:firstLine="420"/>
      </w:pPr>
      <w:rPr>
        <w:rFonts w:hint="eastAsia"/>
      </w:rPr>
    </w:lvl>
    <w:lvl w:ilvl="1" w:tplc="271E205C"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CC566B1"/>
    <w:multiLevelType w:val="multilevel"/>
    <w:tmpl w:val="AE161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E0E31A3"/>
    <w:multiLevelType w:val="hybridMultilevel"/>
    <w:tmpl w:val="EFCC16FE"/>
    <w:lvl w:ilvl="0" w:tplc="0409000F">
      <w:start w:val="1"/>
      <w:numFmt w:val="decimal"/>
      <w:lvlText w:val="（%1）"/>
      <w:lvlJc w:val="left"/>
      <w:pPr>
        <w:tabs>
          <w:tab w:val="num" w:pos="114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24"/>
  </w:num>
  <w:num w:numId="3">
    <w:abstractNumId w:val="14"/>
  </w:num>
  <w:num w:numId="4">
    <w:abstractNumId w:val="17"/>
  </w:num>
  <w:num w:numId="5">
    <w:abstractNumId w:val="28"/>
  </w:num>
  <w:num w:numId="6">
    <w:abstractNumId w:val="16"/>
  </w:num>
  <w:num w:numId="7">
    <w:abstractNumId w:val="11"/>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34"/>
  </w:num>
  <w:num w:numId="21">
    <w:abstractNumId w:val="13"/>
  </w:num>
  <w:num w:numId="22">
    <w:abstractNumId w:val="27"/>
  </w:num>
  <w:num w:numId="23">
    <w:abstractNumId w:val="33"/>
  </w:num>
  <w:num w:numId="24">
    <w:abstractNumId w:val="32"/>
  </w:num>
  <w:num w:numId="25">
    <w:abstractNumId w:val="29"/>
  </w:num>
  <w:num w:numId="26">
    <w:abstractNumId w:val="19"/>
  </w:num>
  <w:num w:numId="27">
    <w:abstractNumId w:val="37"/>
  </w:num>
  <w:num w:numId="28">
    <w:abstractNumId w:val="23"/>
  </w:num>
  <w:num w:numId="29">
    <w:abstractNumId w:val="22"/>
  </w:num>
  <w:num w:numId="30">
    <w:abstractNumId w:val="35"/>
  </w:num>
  <w:num w:numId="31">
    <w:abstractNumId w:val="18"/>
  </w:num>
  <w:num w:numId="32">
    <w:abstractNumId w:val="12"/>
  </w:num>
  <w:num w:numId="33">
    <w:abstractNumId w:val="2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1"/>
  </w:num>
  <w:num w:numId="37">
    <w:abstractNumId w:val="30"/>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44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E2F"/>
    <w:rsid w:val="00005FAB"/>
    <w:rsid w:val="00007130"/>
    <w:rsid w:val="00007B25"/>
    <w:rsid w:val="0001496A"/>
    <w:rsid w:val="000152A6"/>
    <w:rsid w:val="0001554E"/>
    <w:rsid w:val="00017E87"/>
    <w:rsid w:val="00022683"/>
    <w:rsid w:val="00024AB3"/>
    <w:rsid w:val="00025FDD"/>
    <w:rsid w:val="00033C1A"/>
    <w:rsid w:val="00034169"/>
    <w:rsid w:val="0003524C"/>
    <w:rsid w:val="00036107"/>
    <w:rsid w:val="000371B2"/>
    <w:rsid w:val="0004048E"/>
    <w:rsid w:val="000409D1"/>
    <w:rsid w:val="00042768"/>
    <w:rsid w:val="00046A70"/>
    <w:rsid w:val="00047D63"/>
    <w:rsid w:val="0005020F"/>
    <w:rsid w:val="0005326B"/>
    <w:rsid w:val="00053C04"/>
    <w:rsid w:val="00054F80"/>
    <w:rsid w:val="000555F0"/>
    <w:rsid w:val="00056BC1"/>
    <w:rsid w:val="00057530"/>
    <w:rsid w:val="0006147D"/>
    <w:rsid w:val="00061667"/>
    <w:rsid w:val="0006258B"/>
    <w:rsid w:val="00063E8C"/>
    <w:rsid w:val="00063FBB"/>
    <w:rsid w:val="000653CD"/>
    <w:rsid w:val="000834C1"/>
    <w:rsid w:val="00083CDE"/>
    <w:rsid w:val="0008423C"/>
    <w:rsid w:val="00084917"/>
    <w:rsid w:val="000852C7"/>
    <w:rsid w:val="00092E1C"/>
    <w:rsid w:val="00093D40"/>
    <w:rsid w:val="0009716C"/>
    <w:rsid w:val="000A03BE"/>
    <w:rsid w:val="000A0542"/>
    <w:rsid w:val="000A2FD2"/>
    <w:rsid w:val="000A4931"/>
    <w:rsid w:val="000A6A54"/>
    <w:rsid w:val="000B29CD"/>
    <w:rsid w:val="000B49BF"/>
    <w:rsid w:val="000C0501"/>
    <w:rsid w:val="000C18EE"/>
    <w:rsid w:val="000C22AB"/>
    <w:rsid w:val="000C2FD2"/>
    <w:rsid w:val="000C4607"/>
    <w:rsid w:val="000C64DF"/>
    <w:rsid w:val="000C7130"/>
    <w:rsid w:val="000D0ACE"/>
    <w:rsid w:val="000D1C2C"/>
    <w:rsid w:val="000D31C0"/>
    <w:rsid w:val="000D3F21"/>
    <w:rsid w:val="000D6AD1"/>
    <w:rsid w:val="000E1405"/>
    <w:rsid w:val="000E4CFB"/>
    <w:rsid w:val="000E57D6"/>
    <w:rsid w:val="000E6FBE"/>
    <w:rsid w:val="000E7E51"/>
    <w:rsid w:val="000F0AE7"/>
    <w:rsid w:val="000F1F27"/>
    <w:rsid w:val="000F2382"/>
    <w:rsid w:val="000F28B9"/>
    <w:rsid w:val="000F2DE3"/>
    <w:rsid w:val="000F54B8"/>
    <w:rsid w:val="000F6C11"/>
    <w:rsid w:val="000F74D3"/>
    <w:rsid w:val="0010426C"/>
    <w:rsid w:val="00111564"/>
    <w:rsid w:val="0011484A"/>
    <w:rsid w:val="001148E8"/>
    <w:rsid w:val="00115F1A"/>
    <w:rsid w:val="00117EDD"/>
    <w:rsid w:val="001208F2"/>
    <w:rsid w:val="001215A7"/>
    <w:rsid w:val="00121C5F"/>
    <w:rsid w:val="001221AF"/>
    <w:rsid w:val="001232D6"/>
    <w:rsid w:val="001232E8"/>
    <w:rsid w:val="001246DC"/>
    <w:rsid w:val="00126B29"/>
    <w:rsid w:val="00127343"/>
    <w:rsid w:val="00130364"/>
    <w:rsid w:val="0013246A"/>
    <w:rsid w:val="001330BB"/>
    <w:rsid w:val="0013714A"/>
    <w:rsid w:val="00137ABF"/>
    <w:rsid w:val="00141619"/>
    <w:rsid w:val="001443FB"/>
    <w:rsid w:val="00144641"/>
    <w:rsid w:val="00145DB2"/>
    <w:rsid w:val="00147190"/>
    <w:rsid w:val="00150E03"/>
    <w:rsid w:val="001523F4"/>
    <w:rsid w:val="00153649"/>
    <w:rsid w:val="00153DF5"/>
    <w:rsid w:val="001540FF"/>
    <w:rsid w:val="00154808"/>
    <w:rsid w:val="001561FE"/>
    <w:rsid w:val="00156490"/>
    <w:rsid w:val="00157457"/>
    <w:rsid w:val="00160B26"/>
    <w:rsid w:val="00160C1B"/>
    <w:rsid w:val="001619D4"/>
    <w:rsid w:val="0016463F"/>
    <w:rsid w:val="00166FB7"/>
    <w:rsid w:val="00170239"/>
    <w:rsid w:val="00171D15"/>
    <w:rsid w:val="00172AE9"/>
    <w:rsid w:val="00172F53"/>
    <w:rsid w:val="00175D3D"/>
    <w:rsid w:val="00180976"/>
    <w:rsid w:val="0018153C"/>
    <w:rsid w:val="001833CF"/>
    <w:rsid w:val="001840D5"/>
    <w:rsid w:val="001847AC"/>
    <w:rsid w:val="00186813"/>
    <w:rsid w:val="001878F9"/>
    <w:rsid w:val="00187A52"/>
    <w:rsid w:val="00192902"/>
    <w:rsid w:val="001941B6"/>
    <w:rsid w:val="00196E95"/>
    <w:rsid w:val="001A1DC2"/>
    <w:rsid w:val="001A33E6"/>
    <w:rsid w:val="001A382D"/>
    <w:rsid w:val="001A385F"/>
    <w:rsid w:val="001A394D"/>
    <w:rsid w:val="001A51E9"/>
    <w:rsid w:val="001A610C"/>
    <w:rsid w:val="001B060B"/>
    <w:rsid w:val="001B482D"/>
    <w:rsid w:val="001B5706"/>
    <w:rsid w:val="001C3AB9"/>
    <w:rsid w:val="001C541C"/>
    <w:rsid w:val="001C5677"/>
    <w:rsid w:val="001C79CB"/>
    <w:rsid w:val="001D2E2F"/>
    <w:rsid w:val="001D35D3"/>
    <w:rsid w:val="001D3831"/>
    <w:rsid w:val="001D6468"/>
    <w:rsid w:val="001D6BA0"/>
    <w:rsid w:val="001D7BD6"/>
    <w:rsid w:val="001E020E"/>
    <w:rsid w:val="001E0331"/>
    <w:rsid w:val="001E678A"/>
    <w:rsid w:val="001F27CD"/>
    <w:rsid w:val="001F294F"/>
    <w:rsid w:val="001F2EDB"/>
    <w:rsid w:val="001F336E"/>
    <w:rsid w:val="001F3D12"/>
    <w:rsid w:val="001F7271"/>
    <w:rsid w:val="001F7A85"/>
    <w:rsid w:val="00207060"/>
    <w:rsid w:val="00215C97"/>
    <w:rsid w:val="00220B2A"/>
    <w:rsid w:val="00221330"/>
    <w:rsid w:val="0022340C"/>
    <w:rsid w:val="0022345A"/>
    <w:rsid w:val="002247BC"/>
    <w:rsid w:val="002250F4"/>
    <w:rsid w:val="00225EE2"/>
    <w:rsid w:val="00226A0D"/>
    <w:rsid w:val="00227C9A"/>
    <w:rsid w:val="002308BB"/>
    <w:rsid w:val="002310EE"/>
    <w:rsid w:val="0023194B"/>
    <w:rsid w:val="00231B04"/>
    <w:rsid w:val="00232060"/>
    <w:rsid w:val="00233003"/>
    <w:rsid w:val="00233723"/>
    <w:rsid w:val="00235C04"/>
    <w:rsid w:val="002403EF"/>
    <w:rsid w:val="00241DBD"/>
    <w:rsid w:val="002420DE"/>
    <w:rsid w:val="00243AEB"/>
    <w:rsid w:val="0024552B"/>
    <w:rsid w:val="00245AE6"/>
    <w:rsid w:val="00246FB8"/>
    <w:rsid w:val="00250EF5"/>
    <w:rsid w:val="00251658"/>
    <w:rsid w:val="00252157"/>
    <w:rsid w:val="0025242C"/>
    <w:rsid w:val="002527DA"/>
    <w:rsid w:val="0025468E"/>
    <w:rsid w:val="00254838"/>
    <w:rsid w:val="00256BF2"/>
    <w:rsid w:val="00263B56"/>
    <w:rsid w:val="00263DAC"/>
    <w:rsid w:val="00270198"/>
    <w:rsid w:val="002721FA"/>
    <w:rsid w:val="00273065"/>
    <w:rsid w:val="002759D3"/>
    <w:rsid w:val="002807F4"/>
    <w:rsid w:val="00281349"/>
    <w:rsid w:val="0028175D"/>
    <w:rsid w:val="00283168"/>
    <w:rsid w:val="00283A2D"/>
    <w:rsid w:val="00286876"/>
    <w:rsid w:val="00286CAB"/>
    <w:rsid w:val="00290585"/>
    <w:rsid w:val="00290BBE"/>
    <w:rsid w:val="002916A8"/>
    <w:rsid w:val="002922A0"/>
    <w:rsid w:val="002923A4"/>
    <w:rsid w:val="00292A2A"/>
    <w:rsid w:val="0029461B"/>
    <w:rsid w:val="00294C0B"/>
    <w:rsid w:val="002A0BE8"/>
    <w:rsid w:val="002A0CB8"/>
    <w:rsid w:val="002A17DC"/>
    <w:rsid w:val="002A1E09"/>
    <w:rsid w:val="002A2C16"/>
    <w:rsid w:val="002A490A"/>
    <w:rsid w:val="002A707B"/>
    <w:rsid w:val="002B2EC9"/>
    <w:rsid w:val="002B5922"/>
    <w:rsid w:val="002B5F0D"/>
    <w:rsid w:val="002B690C"/>
    <w:rsid w:val="002B7B94"/>
    <w:rsid w:val="002C1C22"/>
    <w:rsid w:val="002C1EF5"/>
    <w:rsid w:val="002C61BF"/>
    <w:rsid w:val="002D0D24"/>
    <w:rsid w:val="002D26DD"/>
    <w:rsid w:val="002D277E"/>
    <w:rsid w:val="002D3DF9"/>
    <w:rsid w:val="002D5204"/>
    <w:rsid w:val="002D6557"/>
    <w:rsid w:val="002D75BF"/>
    <w:rsid w:val="002E22A6"/>
    <w:rsid w:val="002E63D0"/>
    <w:rsid w:val="002E6500"/>
    <w:rsid w:val="002F25CF"/>
    <w:rsid w:val="002F710C"/>
    <w:rsid w:val="002F770D"/>
    <w:rsid w:val="0030458C"/>
    <w:rsid w:val="00305ACA"/>
    <w:rsid w:val="00310023"/>
    <w:rsid w:val="00310C45"/>
    <w:rsid w:val="00312160"/>
    <w:rsid w:val="00312ED6"/>
    <w:rsid w:val="0031399E"/>
    <w:rsid w:val="00316123"/>
    <w:rsid w:val="00317AFD"/>
    <w:rsid w:val="003235D1"/>
    <w:rsid w:val="00325AB7"/>
    <w:rsid w:val="0033001C"/>
    <w:rsid w:val="0033035E"/>
    <w:rsid w:val="003305F9"/>
    <w:rsid w:val="00331F31"/>
    <w:rsid w:val="00332271"/>
    <w:rsid w:val="00332C7B"/>
    <w:rsid w:val="0033337D"/>
    <w:rsid w:val="00336256"/>
    <w:rsid w:val="003367F7"/>
    <w:rsid w:val="003369FE"/>
    <w:rsid w:val="00337A0B"/>
    <w:rsid w:val="00340D78"/>
    <w:rsid w:val="003445D1"/>
    <w:rsid w:val="00344EAA"/>
    <w:rsid w:val="00347045"/>
    <w:rsid w:val="00347628"/>
    <w:rsid w:val="0035179E"/>
    <w:rsid w:val="003521D9"/>
    <w:rsid w:val="00353ED9"/>
    <w:rsid w:val="00357A57"/>
    <w:rsid w:val="00363C1B"/>
    <w:rsid w:val="0037524F"/>
    <w:rsid w:val="0037562B"/>
    <w:rsid w:val="003760E5"/>
    <w:rsid w:val="003762B4"/>
    <w:rsid w:val="003769BD"/>
    <w:rsid w:val="00377049"/>
    <w:rsid w:val="0038041C"/>
    <w:rsid w:val="00380A02"/>
    <w:rsid w:val="00382D44"/>
    <w:rsid w:val="0039084A"/>
    <w:rsid w:val="0039302B"/>
    <w:rsid w:val="003965E5"/>
    <w:rsid w:val="00397523"/>
    <w:rsid w:val="003A0B02"/>
    <w:rsid w:val="003A1ACD"/>
    <w:rsid w:val="003A3969"/>
    <w:rsid w:val="003A5F0F"/>
    <w:rsid w:val="003B0173"/>
    <w:rsid w:val="003B0E11"/>
    <w:rsid w:val="003B27FB"/>
    <w:rsid w:val="003B2ADD"/>
    <w:rsid w:val="003B4845"/>
    <w:rsid w:val="003B48B5"/>
    <w:rsid w:val="003B49E9"/>
    <w:rsid w:val="003B5FFB"/>
    <w:rsid w:val="003B69A2"/>
    <w:rsid w:val="003B6B2F"/>
    <w:rsid w:val="003B6D7F"/>
    <w:rsid w:val="003C0187"/>
    <w:rsid w:val="003C0F7F"/>
    <w:rsid w:val="003C1E63"/>
    <w:rsid w:val="003C234B"/>
    <w:rsid w:val="003C4409"/>
    <w:rsid w:val="003C5046"/>
    <w:rsid w:val="003C66B1"/>
    <w:rsid w:val="003C68B2"/>
    <w:rsid w:val="003D227B"/>
    <w:rsid w:val="003D337E"/>
    <w:rsid w:val="003D48C3"/>
    <w:rsid w:val="003D4A16"/>
    <w:rsid w:val="003E1145"/>
    <w:rsid w:val="003E15AB"/>
    <w:rsid w:val="003E1F0F"/>
    <w:rsid w:val="003E67AF"/>
    <w:rsid w:val="003E728F"/>
    <w:rsid w:val="003E78A1"/>
    <w:rsid w:val="003E7A33"/>
    <w:rsid w:val="003F00B7"/>
    <w:rsid w:val="003F5C66"/>
    <w:rsid w:val="003F7478"/>
    <w:rsid w:val="004016AF"/>
    <w:rsid w:val="00402A67"/>
    <w:rsid w:val="004030FE"/>
    <w:rsid w:val="0040446E"/>
    <w:rsid w:val="004054C3"/>
    <w:rsid w:val="00406C03"/>
    <w:rsid w:val="00406DAA"/>
    <w:rsid w:val="004107B7"/>
    <w:rsid w:val="00410CB3"/>
    <w:rsid w:val="00410E67"/>
    <w:rsid w:val="00417350"/>
    <w:rsid w:val="00417AAB"/>
    <w:rsid w:val="00420BAB"/>
    <w:rsid w:val="00421CCD"/>
    <w:rsid w:val="00425AC0"/>
    <w:rsid w:val="0042613E"/>
    <w:rsid w:val="004265AF"/>
    <w:rsid w:val="00426930"/>
    <w:rsid w:val="00430261"/>
    <w:rsid w:val="004321B7"/>
    <w:rsid w:val="00432AA3"/>
    <w:rsid w:val="00434021"/>
    <w:rsid w:val="00434495"/>
    <w:rsid w:val="00435D4A"/>
    <w:rsid w:val="00436A8B"/>
    <w:rsid w:val="00437729"/>
    <w:rsid w:val="00437D6D"/>
    <w:rsid w:val="004473FA"/>
    <w:rsid w:val="004474A2"/>
    <w:rsid w:val="00447E22"/>
    <w:rsid w:val="0045085E"/>
    <w:rsid w:val="0045304E"/>
    <w:rsid w:val="00453BE1"/>
    <w:rsid w:val="00455544"/>
    <w:rsid w:val="00456E67"/>
    <w:rsid w:val="004575B4"/>
    <w:rsid w:val="00457641"/>
    <w:rsid w:val="00457937"/>
    <w:rsid w:val="00461B0D"/>
    <w:rsid w:val="004645C4"/>
    <w:rsid w:val="00465F38"/>
    <w:rsid w:val="004660C4"/>
    <w:rsid w:val="00467A86"/>
    <w:rsid w:val="004700B9"/>
    <w:rsid w:val="0047012F"/>
    <w:rsid w:val="00471CCF"/>
    <w:rsid w:val="0047441F"/>
    <w:rsid w:val="00474EE7"/>
    <w:rsid w:val="00480826"/>
    <w:rsid w:val="00482499"/>
    <w:rsid w:val="00482800"/>
    <w:rsid w:val="00484A2D"/>
    <w:rsid w:val="004860A0"/>
    <w:rsid w:val="00491DE1"/>
    <w:rsid w:val="00494C74"/>
    <w:rsid w:val="00494EFF"/>
    <w:rsid w:val="004954A5"/>
    <w:rsid w:val="0049680D"/>
    <w:rsid w:val="00496E3D"/>
    <w:rsid w:val="004A2CA2"/>
    <w:rsid w:val="004A2FBF"/>
    <w:rsid w:val="004A55BA"/>
    <w:rsid w:val="004A5B31"/>
    <w:rsid w:val="004B076D"/>
    <w:rsid w:val="004B0DCF"/>
    <w:rsid w:val="004B1709"/>
    <w:rsid w:val="004B1C0B"/>
    <w:rsid w:val="004B21AE"/>
    <w:rsid w:val="004B2573"/>
    <w:rsid w:val="004B2DE8"/>
    <w:rsid w:val="004B2EB9"/>
    <w:rsid w:val="004B360D"/>
    <w:rsid w:val="004B7F06"/>
    <w:rsid w:val="004C1916"/>
    <w:rsid w:val="004C3ECD"/>
    <w:rsid w:val="004C5EA2"/>
    <w:rsid w:val="004D09FE"/>
    <w:rsid w:val="004D135E"/>
    <w:rsid w:val="004D2995"/>
    <w:rsid w:val="004E05E9"/>
    <w:rsid w:val="004E1465"/>
    <w:rsid w:val="004E1B11"/>
    <w:rsid w:val="004E64A5"/>
    <w:rsid w:val="004F0389"/>
    <w:rsid w:val="004F39CA"/>
    <w:rsid w:val="004F42E0"/>
    <w:rsid w:val="004F64C5"/>
    <w:rsid w:val="004F7286"/>
    <w:rsid w:val="004F7FA3"/>
    <w:rsid w:val="00503391"/>
    <w:rsid w:val="00504CDE"/>
    <w:rsid w:val="005054C2"/>
    <w:rsid w:val="005055A9"/>
    <w:rsid w:val="00505D73"/>
    <w:rsid w:val="0050660B"/>
    <w:rsid w:val="005156D4"/>
    <w:rsid w:val="00515CA6"/>
    <w:rsid w:val="00516272"/>
    <w:rsid w:val="00516A4C"/>
    <w:rsid w:val="005212D6"/>
    <w:rsid w:val="00521631"/>
    <w:rsid w:val="0052261E"/>
    <w:rsid w:val="005240F3"/>
    <w:rsid w:val="00525638"/>
    <w:rsid w:val="00525DF5"/>
    <w:rsid w:val="00526152"/>
    <w:rsid w:val="00526218"/>
    <w:rsid w:val="00527AE1"/>
    <w:rsid w:val="00530AF3"/>
    <w:rsid w:val="00531B35"/>
    <w:rsid w:val="00533FB6"/>
    <w:rsid w:val="00534365"/>
    <w:rsid w:val="00536FAA"/>
    <w:rsid w:val="005403FB"/>
    <w:rsid w:val="00542427"/>
    <w:rsid w:val="005424E3"/>
    <w:rsid w:val="005440D6"/>
    <w:rsid w:val="00544776"/>
    <w:rsid w:val="00544F10"/>
    <w:rsid w:val="00547FD2"/>
    <w:rsid w:val="00550898"/>
    <w:rsid w:val="005547DB"/>
    <w:rsid w:val="0055695D"/>
    <w:rsid w:val="005574B8"/>
    <w:rsid w:val="00557E6C"/>
    <w:rsid w:val="005605D2"/>
    <w:rsid w:val="00560A7F"/>
    <w:rsid w:val="0056223B"/>
    <w:rsid w:val="00565021"/>
    <w:rsid w:val="00567695"/>
    <w:rsid w:val="005715EE"/>
    <w:rsid w:val="00571BA7"/>
    <w:rsid w:val="005721B6"/>
    <w:rsid w:val="00574B1C"/>
    <w:rsid w:val="00580017"/>
    <w:rsid w:val="00581682"/>
    <w:rsid w:val="005832AE"/>
    <w:rsid w:val="005837C3"/>
    <w:rsid w:val="00590D1B"/>
    <w:rsid w:val="005910CA"/>
    <w:rsid w:val="00593D60"/>
    <w:rsid w:val="005964E1"/>
    <w:rsid w:val="005968EB"/>
    <w:rsid w:val="005A07F5"/>
    <w:rsid w:val="005A0AC1"/>
    <w:rsid w:val="005A0AF7"/>
    <w:rsid w:val="005A11E0"/>
    <w:rsid w:val="005A2C86"/>
    <w:rsid w:val="005A2D40"/>
    <w:rsid w:val="005A73B3"/>
    <w:rsid w:val="005B3411"/>
    <w:rsid w:val="005B3935"/>
    <w:rsid w:val="005B644F"/>
    <w:rsid w:val="005B7074"/>
    <w:rsid w:val="005B768D"/>
    <w:rsid w:val="005C0024"/>
    <w:rsid w:val="005C2B80"/>
    <w:rsid w:val="005C2C9D"/>
    <w:rsid w:val="005C2F1D"/>
    <w:rsid w:val="005C5CE9"/>
    <w:rsid w:val="005C7317"/>
    <w:rsid w:val="005D042A"/>
    <w:rsid w:val="005D1FB3"/>
    <w:rsid w:val="005D2D26"/>
    <w:rsid w:val="005D2F67"/>
    <w:rsid w:val="005E06F6"/>
    <w:rsid w:val="005E1374"/>
    <w:rsid w:val="005E192F"/>
    <w:rsid w:val="005E2407"/>
    <w:rsid w:val="005E306A"/>
    <w:rsid w:val="005E3B62"/>
    <w:rsid w:val="005E49FE"/>
    <w:rsid w:val="005E4DAE"/>
    <w:rsid w:val="005E66CD"/>
    <w:rsid w:val="005E7BBE"/>
    <w:rsid w:val="005F1D13"/>
    <w:rsid w:val="005F5223"/>
    <w:rsid w:val="005F59DD"/>
    <w:rsid w:val="005F6CCB"/>
    <w:rsid w:val="005F747F"/>
    <w:rsid w:val="00600BD1"/>
    <w:rsid w:val="00601369"/>
    <w:rsid w:val="0060265B"/>
    <w:rsid w:val="00603FAC"/>
    <w:rsid w:val="00605744"/>
    <w:rsid w:val="00610743"/>
    <w:rsid w:val="00612877"/>
    <w:rsid w:val="00612DA8"/>
    <w:rsid w:val="006144B6"/>
    <w:rsid w:val="00615F74"/>
    <w:rsid w:val="00616251"/>
    <w:rsid w:val="00621F0B"/>
    <w:rsid w:val="006230C0"/>
    <w:rsid w:val="00625D50"/>
    <w:rsid w:val="006266E3"/>
    <w:rsid w:val="00626791"/>
    <w:rsid w:val="00627270"/>
    <w:rsid w:val="006309F1"/>
    <w:rsid w:val="00631C62"/>
    <w:rsid w:val="006325C2"/>
    <w:rsid w:val="00635DDE"/>
    <w:rsid w:val="00636A2C"/>
    <w:rsid w:val="0064101A"/>
    <w:rsid w:val="0064223A"/>
    <w:rsid w:val="00646DD6"/>
    <w:rsid w:val="00652162"/>
    <w:rsid w:val="00653B54"/>
    <w:rsid w:val="00654DDE"/>
    <w:rsid w:val="00655471"/>
    <w:rsid w:val="006569C7"/>
    <w:rsid w:val="00657A8F"/>
    <w:rsid w:val="00661FDB"/>
    <w:rsid w:val="006639B9"/>
    <w:rsid w:val="00664303"/>
    <w:rsid w:val="00666E5F"/>
    <w:rsid w:val="006678D5"/>
    <w:rsid w:val="00667BAD"/>
    <w:rsid w:val="00670E39"/>
    <w:rsid w:val="0067106D"/>
    <w:rsid w:val="0067284E"/>
    <w:rsid w:val="006729AB"/>
    <w:rsid w:val="00672FE5"/>
    <w:rsid w:val="006732E2"/>
    <w:rsid w:val="00673721"/>
    <w:rsid w:val="0067487A"/>
    <w:rsid w:val="00677F08"/>
    <w:rsid w:val="00681674"/>
    <w:rsid w:val="006827C6"/>
    <w:rsid w:val="0068503E"/>
    <w:rsid w:val="0068697E"/>
    <w:rsid w:val="00691470"/>
    <w:rsid w:val="006948C5"/>
    <w:rsid w:val="006A397D"/>
    <w:rsid w:val="006A4325"/>
    <w:rsid w:val="006A5266"/>
    <w:rsid w:val="006A5737"/>
    <w:rsid w:val="006A69EA"/>
    <w:rsid w:val="006A7AFA"/>
    <w:rsid w:val="006B28DD"/>
    <w:rsid w:val="006B3CD4"/>
    <w:rsid w:val="006B6B03"/>
    <w:rsid w:val="006B7018"/>
    <w:rsid w:val="006B7BD6"/>
    <w:rsid w:val="006C02C7"/>
    <w:rsid w:val="006C6D4E"/>
    <w:rsid w:val="006C6EBF"/>
    <w:rsid w:val="006D0307"/>
    <w:rsid w:val="006D0BB5"/>
    <w:rsid w:val="006D1176"/>
    <w:rsid w:val="006D484C"/>
    <w:rsid w:val="006D532D"/>
    <w:rsid w:val="006D7BF5"/>
    <w:rsid w:val="006E0316"/>
    <w:rsid w:val="006E0880"/>
    <w:rsid w:val="006E16BC"/>
    <w:rsid w:val="006E3A65"/>
    <w:rsid w:val="006F5909"/>
    <w:rsid w:val="006F79CF"/>
    <w:rsid w:val="00700C7B"/>
    <w:rsid w:val="007056CF"/>
    <w:rsid w:val="00711027"/>
    <w:rsid w:val="00715FE4"/>
    <w:rsid w:val="0071674B"/>
    <w:rsid w:val="00721B6B"/>
    <w:rsid w:val="0072285C"/>
    <w:rsid w:val="0072327B"/>
    <w:rsid w:val="0072486B"/>
    <w:rsid w:val="00727E55"/>
    <w:rsid w:val="00731A6B"/>
    <w:rsid w:val="00731CDC"/>
    <w:rsid w:val="00733008"/>
    <w:rsid w:val="00733A4A"/>
    <w:rsid w:val="00733DB9"/>
    <w:rsid w:val="00736DB8"/>
    <w:rsid w:val="00736EDB"/>
    <w:rsid w:val="00740532"/>
    <w:rsid w:val="007417CC"/>
    <w:rsid w:val="00743640"/>
    <w:rsid w:val="00744D8F"/>
    <w:rsid w:val="00746B22"/>
    <w:rsid w:val="00750981"/>
    <w:rsid w:val="007517B7"/>
    <w:rsid w:val="00757EB7"/>
    <w:rsid w:val="00761413"/>
    <w:rsid w:val="00767CAA"/>
    <w:rsid w:val="007712E1"/>
    <w:rsid w:val="00774EC4"/>
    <w:rsid w:val="00775766"/>
    <w:rsid w:val="0077607C"/>
    <w:rsid w:val="0077716F"/>
    <w:rsid w:val="007807DA"/>
    <w:rsid w:val="00787456"/>
    <w:rsid w:val="00790AC1"/>
    <w:rsid w:val="00790C79"/>
    <w:rsid w:val="007916D7"/>
    <w:rsid w:val="00791792"/>
    <w:rsid w:val="0079464E"/>
    <w:rsid w:val="00794FDD"/>
    <w:rsid w:val="00795447"/>
    <w:rsid w:val="007954B2"/>
    <w:rsid w:val="0079598D"/>
    <w:rsid w:val="00796CD9"/>
    <w:rsid w:val="007A048A"/>
    <w:rsid w:val="007A5C18"/>
    <w:rsid w:val="007B03DC"/>
    <w:rsid w:val="007B1DA0"/>
    <w:rsid w:val="007B37C3"/>
    <w:rsid w:val="007C114E"/>
    <w:rsid w:val="007C24C2"/>
    <w:rsid w:val="007D321E"/>
    <w:rsid w:val="007D592A"/>
    <w:rsid w:val="007D6676"/>
    <w:rsid w:val="007E0B70"/>
    <w:rsid w:val="007F114F"/>
    <w:rsid w:val="007F1829"/>
    <w:rsid w:val="007F4344"/>
    <w:rsid w:val="007F76BD"/>
    <w:rsid w:val="00800051"/>
    <w:rsid w:val="00800465"/>
    <w:rsid w:val="00802305"/>
    <w:rsid w:val="00802345"/>
    <w:rsid w:val="008044D1"/>
    <w:rsid w:val="00810372"/>
    <w:rsid w:val="0081261B"/>
    <w:rsid w:val="008153BE"/>
    <w:rsid w:val="008158CE"/>
    <w:rsid w:val="008200C0"/>
    <w:rsid w:val="00820716"/>
    <w:rsid w:val="00820842"/>
    <w:rsid w:val="00821067"/>
    <w:rsid w:val="0082305B"/>
    <w:rsid w:val="0082502D"/>
    <w:rsid w:val="008260F2"/>
    <w:rsid w:val="00827696"/>
    <w:rsid w:val="008307F1"/>
    <w:rsid w:val="00831460"/>
    <w:rsid w:val="0083207F"/>
    <w:rsid w:val="0083318D"/>
    <w:rsid w:val="0083455A"/>
    <w:rsid w:val="00834CD8"/>
    <w:rsid w:val="008350A6"/>
    <w:rsid w:val="00835EFB"/>
    <w:rsid w:val="00841918"/>
    <w:rsid w:val="00841FD1"/>
    <w:rsid w:val="008428B0"/>
    <w:rsid w:val="00845B56"/>
    <w:rsid w:val="00846740"/>
    <w:rsid w:val="00846CA1"/>
    <w:rsid w:val="00847322"/>
    <w:rsid w:val="00850389"/>
    <w:rsid w:val="00850712"/>
    <w:rsid w:val="00851E27"/>
    <w:rsid w:val="00852C20"/>
    <w:rsid w:val="00856AF1"/>
    <w:rsid w:val="008604D3"/>
    <w:rsid w:val="008619E6"/>
    <w:rsid w:val="0086298B"/>
    <w:rsid w:val="00865624"/>
    <w:rsid w:val="00871322"/>
    <w:rsid w:val="00872950"/>
    <w:rsid w:val="00873168"/>
    <w:rsid w:val="0087334C"/>
    <w:rsid w:val="00876EE8"/>
    <w:rsid w:val="00886D77"/>
    <w:rsid w:val="0089033F"/>
    <w:rsid w:val="008909DD"/>
    <w:rsid w:val="008913A0"/>
    <w:rsid w:val="008A1A94"/>
    <w:rsid w:val="008A44F0"/>
    <w:rsid w:val="008A7999"/>
    <w:rsid w:val="008B031E"/>
    <w:rsid w:val="008B25C2"/>
    <w:rsid w:val="008B3426"/>
    <w:rsid w:val="008B4656"/>
    <w:rsid w:val="008B4B95"/>
    <w:rsid w:val="008B51A4"/>
    <w:rsid w:val="008C3D1E"/>
    <w:rsid w:val="008C5604"/>
    <w:rsid w:val="008C656A"/>
    <w:rsid w:val="008C66FA"/>
    <w:rsid w:val="008C7696"/>
    <w:rsid w:val="008C7F28"/>
    <w:rsid w:val="008D1752"/>
    <w:rsid w:val="008D1B27"/>
    <w:rsid w:val="008D32BF"/>
    <w:rsid w:val="008D3E51"/>
    <w:rsid w:val="008D5AB6"/>
    <w:rsid w:val="008D5DEA"/>
    <w:rsid w:val="008D6328"/>
    <w:rsid w:val="008E2D8A"/>
    <w:rsid w:val="008E444C"/>
    <w:rsid w:val="008E555B"/>
    <w:rsid w:val="008E703C"/>
    <w:rsid w:val="008E7E54"/>
    <w:rsid w:val="008F065F"/>
    <w:rsid w:val="008F0AE8"/>
    <w:rsid w:val="008F0C78"/>
    <w:rsid w:val="008F0F6A"/>
    <w:rsid w:val="008F440B"/>
    <w:rsid w:val="008F4C19"/>
    <w:rsid w:val="008F5022"/>
    <w:rsid w:val="008F71DB"/>
    <w:rsid w:val="009023B1"/>
    <w:rsid w:val="00902CFA"/>
    <w:rsid w:val="00904E3F"/>
    <w:rsid w:val="009056D7"/>
    <w:rsid w:val="0090658C"/>
    <w:rsid w:val="00906776"/>
    <w:rsid w:val="00913617"/>
    <w:rsid w:val="00913F9F"/>
    <w:rsid w:val="00914182"/>
    <w:rsid w:val="00916476"/>
    <w:rsid w:val="00917853"/>
    <w:rsid w:val="00920CD1"/>
    <w:rsid w:val="00920DB8"/>
    <w:rsid w:val="00921A47"/>
    <w:rsid w:val="00921BF9"/>
    <w:rsid w:val="00923F5F"/>
    <w:rsid w:val="0092460E"/>
    <w:rsid w:val="009277CD"/>
    <w:rsid w:val="00927B3B"/>
    <w:rsid w:val="009301A4"/>
    <w:rsid w:val="00930F45"/>
    <w:rsid w:val="00934B5C"/>
    <w:rsid w:val="00936232"/>
    <w:rsid w:val="009372EB"/>
    <w:rsid w:val="00942812"/>
    <w:rsid w:val="009459E7"/>
    <w:rsid w:val="00945E25"/>
    <w:rsid w:val="00946A75"/>
    <w:rsid w:val="00946B78"/>
    <w:rsid w:val="00946CF8"/>
    <w:rsid w:val="009501F0"/>
    <w:rsid w:val="00951067"/>
    <w:rsid w:val="00951791"/>
    <w:rsid w:val="0095459B"/>
    <w:rsid w:val="009559F6"/>
    <w:rsid w:val="0095666F"/>
    <w:rsid w:val="009572CD"/>
    <w:rsid w:val="00960F82"/>
    <w:rsid w:val="009625B4"/>
    <w:rsid w:val="00964229"/>
    <w:rsid w:val="0096624C"/>
    <w:rsid w:val="0096744E"/>
    <w:rsid w:val="00967F75"/>
    <w:rsid w:val="00970083"/>
    <w:rsid w:val="009718DC"/>
    <w:rsid w:val="009779ED"/>
    <w:rsid w:val="00981AB2"/>
    <w:rsid w:val="00981EEB"/>
    <w:rsid w:val="00982B4E"/>
    <w:rsid w:val="00983D57"/>
    <w:rsid w:val="00987DD2"/>
    <w:rsid w:val="00991D79"/>
    <w:rsid w:val="00991E9A"/>
    <w:rsid w:val="00991ECF"/>
    <w:rsid w:val="009926BC"/>
    <w:rsid w:val="0099346D"/>
    <w:rsid w:val="009953B7"/>
    <w:rsid w:val="009A2168"/>
    <w:rsid w:val="009A3D5E"/>
    <w:rsid w:val="009A6C9A"/>
    <w:rsid w:val="009B2FE2"/>
    <w:rsid w:val="009B6E60"/>
    <w:rsid w:val="009B70CE"/>
    <w:rsid w:val="009C0520"/>
    <w:rsid w:val="009C096F"/>
    <w:rsid w:val="009C3A65"/>
    <w:rsid w:val="009D0420"/>
    <w:rsid w:val="009D27A5"/>
    <w:rsid w:val="009D45D6"/>
    <w:rsid w:val="009D47D3"/>
    <w:rsid w:val="009D5F64"/>
    <w:rsid w:val="009D6395"/>
    <w:rsid w:val="009D65A3"/>
    <w:rsid w:val="009D78B1"/>
    <w:rsid w:val="009E27A7"/>
    <w:rsid w:val="009F1D49"/>
    <w:rsid w:val="009F4A3B"/>
    <w:rsid w:val="009F6AEA"/>
    <w:rsid w:val="009F799E"/>
    <w:rsid w:val="00A010F2"/>
    <w:rsid w:val="00A02533"/>
    <w:rsid w:val="00A02B55"/>
    <w:rsid w:val="00A03E9C"/>
    <w:rsid w:val="00A03F1A"/>
    <w:rsid w:val="00A05057"/>
    <w:rsid w:val="00A0515A"/>
    <w:rsid w:val="00A065BF"/>
    <w:rsid w:val="00A071AB"/>
    <w:rsid w:val="00A07281"/>
    <w:rsid w:val="00A130EA"/>
    <w:rsid w:val="00A1356D"/>
    <w:rsid w:val="00A2167B"/>
    <w:rsid w:val="00A2167E"/>
    <w:rsid w:val="00A21A79"/>
    <w:rsid w:val="00A22EC1"/>
    <w:rsid w:val="00A23F45"/>
    <w:rsid w:val="00A3341E"/>
    <w:rsid w:val="00A33547"/>
    <w:rsid w:val="00A339C5"/>
    <w:rsid w:val="00A349AC"/>
    <w:rsid w:val="00A34DFD"/>
    <w:rsid w:val="00A373BB"/>
    <w:rsid w:val="00A37A87"/>
    <w:rsid w:val="00A37B62"/>
    <w:rsid w:val="00A4011C"/>
    <w:rsid w:val="00A40B90"/>
    <w:rsid w:val="00A424A3"/>
    <w:rsid w:val="00A5015B"/>
    <w:rsid w:val="00A506F8"/>
    <w:rsid w:val="00A533A9"/>
    <w:rsid w:val="00A56F2D"/>
    <w:rsid w:val="00A57C16"/>
    <w:rsid w:val="00A62A17"/>
    <w:rsid w:val="00A63512"/>
    <w:rsid w:val="00A64196"/>
    <w:rsid w:val="00A64A1B"/>
    <w:rsid w:val="00A667B0"/>
    <w:rsid w:val="00A73146"/>
    <w:rsid w:val="00A73630"/>
    <w:rsid w:val="00A73F37"/>
    <w:rsid w:val="00A75A94"/>
    <w:rsid w:val="00A75F3A"/>
    <w:rsid w:val="00A7695F"/>
    <w:rsid w:val="00A812E1"/>
    <w:rsid w:val="00A81667"/>
    <w:rsid w:val="00A82BFF"/>
    <w:rsid w:val="00A84602"/>
    <w:rsid w:val="00A8526A"/>
    <w:rsid w:val="00A8776C"/>
    <w:rsid w:val="00A926C4"/>
    <w:rsid w:val="00A95102"/>
    <w:rsid w:val="00A9515A"/>
    <w:rsid w:val="00A95CB4"/>
    <w:rsid w:val="00AA0368"/>
    <w:rsid w:val="00AA1B25"/>
    <w:rsid w:val="00AA2911"/>
    <w:rsid w:val="00AA3B0F"/>
    <w:rsid w:val="00AA4068"/>
    <w:rsid w:val="00AA4ADC"/>
    <w:rsid w:val="00AA4CA8"/>
    <w:rsid w:val="00AA6946"/>
    <w:rsid w:val="00AB04D1"/>
    <w:rsid w:val="00AB129D"/>
    <w:rsid w:val="00AB20A7"/>
    <w:rsid w:val="00AB257D"/>
    <w:rsid w:val="00AB4950"/>
    <w:rsid w:val="00AB58B7"/>
    <w:rsid w:val="00AB59EB"/>
    <w:rsid w:val="00AB65C8"/>
    <w:rsid w:val="00AC0D2A"/>
    <w:rsid w:val="00AC2815"/>
    <w:rsid w:val="00AC33E4"/>
    <w:rsid w:val="00AC6DD0"/>
    <w:rsid w:val="00AC7228"/>
    <w:rsid w:val="00AD028F"/>
    <w:rsid w:val="00AD06D6"/>
    <w:rsid w:val="00AD40AE"/>
    <w:rsid w:val="00AD6F98"/>
    <w:rsid w:val="00AD73EA"/>
    <w:rsid w:val="00AE4837"/>
    <w:rsid w:val="00AE562A"/>
    <w:rsid w:val="00AE576F"/>
    <w:rsid w:val="00AE708E"/>
    <w:rsid w:val="00AE768B"/>
    <w:rsid w:val="00AF0A75"/>
    <w:rsid w:val="00AF0F94"/>
    <w:rsid w:val="00AF20B2"/>
    <w:rsid w:val="00AF7C99"/>
    <w:rsid w:val="00B02ABE"/>
    <w:rsid w:val="00B04E63"/>
    <w:rsid w:val="00B106E2"/>
    <w:rsid w:val="00B10D10"/>
    <w:rsid w:val="00B2097C"/>
    <w:rsid w:val="00B21703"/>
    <w:rsid w:val="00B21E52"/>
    <w:rsid w:val="00B224A8"/>
    <w:rsid w:val="00B23D3A"/>
    <w:rsid w:val="00B251FE"/>
    <w:rsid w:val="00B258CC"/>
    <w:rsid w:val="00B30201"/>
    <w:rsid w:val="00B336E5"/>
    <w:rsid w:val="00B37CE5"/>
    <w:rsid w:val="00B41E5B"/>
    <w:rsid w:val="00B44239"/>
    <w:rsid w:val="00B44E48"/>
    <w:rsid w:val="00B4547C"/>
    <w:rsid w:val="00B46902"/>
    <w:rsid w:val="00B5039D"/>
    <w:rsid w:val="00B5244E"/>
    <w:rsid w:val="00B526A8"/>
    <w:rsid w:val="00B53238"/>
    <w:rsid w:val="00B54570"/>
    <w:rsid w:val="00B547BD"/>
    <w:rsid w:val="00B54F42"/>
    <w:rsid w:val="00B621D4"/>
    <w:rsid w:val="00B63F77"/>
    <w:rsid w:val="00B64F65"/>
    <w:rsid w:val="00B65BE5"/>
    <w:rsid w:val="00B705A9"/>
    <w:rsid w:val="00B70E1F"/>
    <w:rsid w:val="00B72793"/>
    <w:rsid w:val="00B72C8B"/>
    <w:rsid w:val="00B74A1F"/>
    <w:rsid w:val="00B81449"/>
    <w:rsid w:val="00B860AC"/>
    <w:rsid w:val="00B8641A"/>
    <w:rsid w:val="00B86B18"/>
    <w:rsid w:val="00B86D33"/>
    <w:rsid w:val="00B9364D"/>
    <w:rsid w:val="00B960F0"/>
    <w:rsid w:val="00B96FDE"/>
    <w:rsid w:val="00BA160C"/>
    <w:rsid w:val="00BA1E9D"/>
    <w:rsid w:val="00BA3B06"/>
    <w:rsid w:val="00BA7016"/>
    <w:rsid w:val="00BB0801"/>
    <w:rsid w:val="00BB1C18"/>
    <w:rsid w:val="00BB23BB"/>
    <w:rsid w:val="00BB2D18"/>
    <w:rsid w:val="00BB7060"/>
    <w:rsid w:val="00BC26A3"/>
    <w:rsid w:val="00BC327D"/>
    <w:rsid w:val="00BC4C66"/>
    <w:rsid w:val="00BC578E"/>
    <w:rsid w:val="00BC58C2"/>
    <w:rsid w:val="00BC7BF9"/>
    <w:rsid w:val="00BD0EBD"/>
    <w:rsid w:val="00BD10D9"/>
    <w:rsid w:val="00BD1EF9"/>
    <w:rsid w:val="00BD35C6"/>
    <w:rsid w:val="00BD3B80"/>
    <w:rsid w:val="00BD40CB"/>
    <w:rsid w:val="00BD4708"/>
    <w:rsid w:val="00BE0127"/>
    <w:rsid w:val="00BE2208"/>
    <w:rsid w:val="00BE4432"/>
    <w:rsid w:val="00BE6D67"/>
    <w:rsid w:val="00BE7FB8"/>
    <w:rsid w:val="00BF0ACF"/>
    <w:rsid w:val="00BF0BE0"/>
    <w:rsid w:val="00BF194F"/>
    <w:rsid w:val="00BF2C51"/>
    <w:rsid w:val="00BF4BFE"/>
    <w:rsid w:val="00BF54A0"/>
    <w:rsid w:val="00BF572A"/>
    <w:rsid w:val="00C04898"/>
    <w:rsid w:val="00C11AA6"/>
    <w:rsid w:val="00C11F68"/>
    <w:rsid w:val="00C12399"/>
    <w:rsid w:val="00C134D0"/>
    <w:rsid w:val="00C15F0B"/>
    <w:rsid w:val="00C16FA3"/>
    <w:rsid w:val="00C2052A"/>
    <w:rsid w:val="00C241AF"/>
    <w:rsid w:val="00C25E05"/>
    <w:rsid w:val="00C27564"/>
    <w:rsid w:val="00C3076D"/>
    <w:rsid w:val="00C30BB4"/>
    <w:rsid w:val="00C316AA"/>
    <w:rsid w:val="00C31E89"/>
    <w:rsid w:val="00C326D5"/>
    <w:rsid w:val="00C35504"/>
    <w:rsid w:val="00C35E9F"/>
    <w:rsid w:val="00C403C2"/>
    <w:rsid w:val="00C42650"/>
    <w:rsid w:val="00C42F38"/>
    <w:rsid w:val="00C44558"/>
    <w:rsid w:val="00C44999"/>
    <w:rsid w:val="00C4521E"/>
    <w:rsid w:val="00C47D33"/>
    <w:rsid w:val="00C516E9"/>
    <w:rsid w:val="00C527B8"/>
    <w:rsid w:val="00C52C56"/>
    <w:rsid w:val="00C53C90"/>
    <w:rsid w:val="00C5718C"/>
    <w:rsid w:val="00C6360A"/>
    <w:rsid w:val="00C63878"/>
    <w:rsid w:val="00C64778"/>
    <w:rsid w:val="00C64D5E"/>
    <w:rsid w:val="00C67E04"/>
    <w:rsid w:val="00C7019A"/>
    <w:rsid w:val="00C7282C"/>
    <w:rsid w:val="00C72900"/>
    <w:rsid w:val="00C72FC4"/>
    <w:rsid w:val="00C734EF"/>
    <w:rsid w:val="00C74F7C"/>
    <w:rsid w:val="00C82F6A"/>
    <w:rsid w:val="00C86590"/>
    <w:rsid w:val="00C86EB8"/>
    <w:rsid w:val="00C9429D"/>
    <w:rsid w:val="00C95A60"/>
    <w:rsid w:val="00C96D15"/>
    <w:rsid w:val="00C96E4F"/>
    <w:rsid w:val="00C972D8"/>
    <w:rsid w:val="00CA1ED1"/>
    <w:rsid w:val="00CA68E9"/>
    <w:rsid w:val="00CB009D"/>
    <w:rsid w:val="00CB0F17"/>
    <w:rsid w:val="00CB757D"/>
    <w:rsid w:val="00CC09E5"/>
    <w:rsid w:val="00CC0AD9"/>
    <w:rsid w:val="00CC197E"/>
    <w:rsid w:val="00CC2854"/>
    <w:rsid w:val="00CC4318"/>
    <w:rsid w:val="00CC4914"/>
    <w:rsid w:val="00CC647B"/>
    <w:rsid w:val="00CC671D"/>
    <w:rsid w:val="00CC7A27"/>
    <w:rsid w:val="00CC7C7D"/>
    <w:rsid w:val="00CD3FB9"/>
    <w:rsid w:val="00CD4C3F"/>
    <w:rsid w:val="00CD4FC3"/>
    <w:rsid w:val="00CE076D"/>
    <w:rsid w:val="00CE3884"/>
    <w:rsid w:val="00CE4E21"/>
    <w:rsid w:val="00CE5043"/>
    <w:rsid w:val="00CE5A41"/>
    <w:rsid w:val="00CF5EFE"/>
    <w:rsid w:val="00CF631A"/>
    <w:rsid w:val="00CF7BEE"/>
    <w:rsid w:val="00D00E2A"/>
    <w:rsid w:val="00D03B7E"/>
    <w:rsid w:val="00D0421B"/>
    <w:rsid w:val="00D06694"/>
    <w:rsid w:val="00D06F14"/>
    <w:rsid w:val="00D070B7"/>
    <w:rsid w:val="00D10033"/>
    <w:rsid w:val="00D10D9B"/>
    <w:rsid w:val="00D117CE"/>
    <w:rsid w:val="00D16CE5"/>
    <w:rsid w:val="00D1747D"/>
    <w:rsid w:val="00D206D3"/>
    <w:rsid w:val="00D267BA"/>
    <w:rsid w:val="00D33D14"/>
    <w:rsid w:val="00D344E1"/>
    <w:rsid w:val="00D34880"/>
    <w:rsid w:val="00D35C6A"/>
    <w:rsid w:val="00D36946"/>
    <w:rsid w:val="00D37056"/>
    <w:rsid w:val="00D37B2D"/>
    <w:rsid w:val="00D431D3"/>
    <w:rsid w:val="00D43C6D"/>
    <w:rsid w:val="00D43E9A"/>
    <w:rsid w:val="00D443DC"/>
    <w:rsid w:val="00D4795F"/>
    <w:rsid w:val="00D50686"/>
    <w:rsid w:val="00D50711"/>
    <w:rsid w:val="00D52386"/>
    <w:rsid w:val="00D57775"/>
    <w:rsid w:val="00D61005"/>
    <w:rsid w:val="00D62735"/>
    <w:rsid w:val="00D63F8D"/>
    <w:rsid w:val="00D65C66"/>
    <w:rsid w:val="00D675F5"/>
    <w:rsid w:val="00D67F26"/>
    <w:rsid w:val="00D7090C"/>
    <w:rsid w:val="00D70C6B"/>
    <w:rsid w:val="00D71731"/>
    <w:rsid w:val="00D71E2A"/>
    <w:rsid w:val="00D75650"/>
    <w:rsid w:val="00D759DD"/>
    <w:rsid w:val="00D772A0"/>
    <w:rsid w:val="00D7794F"/>
    <w:rsid w:val="00D77D1B"/>
    <w:rsid w:val="00D77D6A"/>
    <w:rsid w:val="00D801E0"/>
    <w:rsid w:val="00D83BB5"/>
    <w:rsid w:val="00D83F4A"/>
    <w:rsid w:val="00D84BB7"/>
    <w:rsid w:val="00D84F13"/>
    <w:rsid w:val="00D8794C"/>
    <w:rsid w:val="00D92E6E"/>
    <w:rsid w:val="00D937F5"/>
    <w:rsid w:val="00D96DA8"/>
    <w:rsid w:val="00DA2BA9"/>
    <w:rsid w:val="00DA46F3"/>
    <w:rsid w:val="00DB03C6"/>
    <w:rsid w:val="00DB5983"/>
    <w:rsid w:val="00DB7692"/>
    <w:rsid w:val="00DB7E16"/>
    <w:rsid w:val="00DC23D0"/>
    <w:rsid w:val="00DC5602"/>
    <w:rsid w:val="00DC781B"/>
    <w:rsid w:val="00DC7F67"/>
    <w:rsid w:val="00DD10EF"/>
    <w:rsid w:val="00DD11A1"/>
    <w:rsid w:val="00DD17B3"/>
    <w:rsid w:val="00DD1C2F"/>
    <w:rsid w:val="00DD1DD6"/>
    <w:rsid w:val="00DD301B"/>
    <w:rsid w:val="00DE4E74"/>
    <w:rsid w:val="00DE78F1"/>
    <w:rsid w:val="00DF06DF"/>
    <w:rsid w:val="00DF0BF9"/>
    <w:rsid w:val="00DF185B"/>
    <w:rsid w:val="00DF1C0E"/>
    <w:rsid w:val="00DF524E"/>
    <w:rsid w:val="00DF5809"/>
    <w:rsid w:val="00DF5AF3"/>
    <w:rsid w:val="00E00953"/>
    <w:rsid w:val="00E009E2"/>
    <w:rsid w:val="00E02BF1"/>
    <w:rsid w:val="00E048A4"/>
    <w:rsid w:val="00E12678"/>
    <w:rsid w:val="00E20637"/>
    <w:rsid w:val="00E20BF8"/>
    <w:rsid w:val="00E20CCE"/>
    <w:rsid w:val="00E236C7"/>
    <w:rsid w:val="00E25737"/>
    <w:rsid w:val="00E26F10"/>
    <w:rsid w:val="00E3096D"/>
    <w:rsid w:val="00E31156"/>
    <w:rsid w:val="00E329FA"/>
    <w:rsid w:val="00E32AF3"/>
    <w:rsid w:val="00E36291"/>
    <w:rsid w:val="00E40479"/>
    <w:rsid w:val="00E423A7"/>
    <w:rsid w:val="00E433A9"/>
    <w:rsid w:val="00E43FA7"/>
    <w:rsid w:val="00E5015A"/>
    <w:rsid w:val="00E5191D"/>
    <w:rsid w:val="00E52F65"/>
    <w:rsid w:val="00E54644"/>
    <w:rsid w:val="00E55229"/>
    <w:rsid w:val="00E56748"/>
    <w:rsid w:val="00E56843"/>
    <w:rsid w:val="00E67043"/>
    <w:rsid w:val="00E67312"/>
    <w:rsid w:val="00E674F1"/>
    <w:rsid w:val="00E707A9"/>
    <w:rsid w:val="00E7081A"/>
    <w:rsid w:val="00E71082"/>
    <w:rsid w:val="00E72A53"/>
    <w:rsid w:val="00E77FE5"/>
    <w:rsid w:val="00E80206"/>
    <w:rsid w:val="00E80476"/>
    <w:rsid w:val="00E82733"/>
    <w:rsid w:val="00E84ACB"/>
    <w:rsid w:val="00E874AF"/>
    <w:rsid w:val="00E874B3"/>
    <w:rsid w:val="00E9290C"/>
    <w:rsid w:val="00E93563"/>
    <w:rsid w:val="00E95FD6"/>
    <w:rsid w:val="00E97278"/>
    <w:rsid w:val="00EA50EE"/>
    <w:rsid w:val="00EA696A"/>
    <w:rsid w:val="00EA6B52"/>
    <w:rsid w:val="00EA7276"/>
    <w:rsid w:val="00EB4239"/>
    <w:rsid w:val="00EB7841"/>
    <w:rsid w:val="00EC39EF"/>
    <w:rsid w:val="00EC612E"/>
    <w:rsid w:val="00EC6269"/>
    <w:rsid w:val="00EC6B03"/>
    <w:rsid w:val="00ED1BAF"/>
    <w:rsid w:val="00ED1FB3"/>
    <w:rsid w:val="00ED2FA2"/>
    <w:rsid w:val="00ED3981"/>
    <w:rsid w:val="00ED4899"/>
    <w:rsid w:val="00ED54DF"/>
    <w:rsid w:val="00ED59B0"/>
    <w:rsid w:val="00ED6586"/>
    <w:rsid w:val="00ED6FAD"/>
    <w:rsid w:val="00EE19AF"/>
    <w:rsid w:val="00EE3C32"/>
    <w:rsid w:val="00EF00B2"/>
    <w:rsid w:val="00EF08E2"/>
    <w:rsid w:val="00EF0E70"/>
    <w:rsid w:val="00EF1E24"/>
    <w:rsid w:val="00EF3167"/>
    <w:rsid w:val="00EF3764"/>
    <w:rsid w:val="00EF494F"/>
    <w:rsid w:val="00F00394"/>
    <w:rsid w:val="00F01668"/>
    <w:rsid w:val="00F016BC"/>
    <w:rsid w:val="00F0229E"/>
    <w:rsid w:val="00F036CA"/>
    <w:rsid w:val="00F04553"/>
    <w:rsid w:val="00F0467A"/>
    <w:rsid w:val="00F05A55"/>
    <w:rsid w:val="00F061C9"/>
    <w:rsid w:val="00F11954"/>
    <w:rsid w:val="00F1514D"/>
    <w:rsid w:val="00F15A5F"/>
    <w:rsid w:val="00F15CCB"/>
    <w:rsid w:val="00F162C2"/>
    <w:rsid w:val="00F174F3"/>
    <w:rsid w:val="00F21946"/>
    <w:rsid w:val="00F21A27"/>
    <w:rsid w:val="00F26170"/>
    <w:rsid w:val="00F261F6"/>
    <w:rsid w:val="00F26430"/>
    <w:rsid w:val="00F27CF4"/>
    <w:rsid w:val="00F32099"/>
    <w:rsid w:val="00F33FF6"/>
    <w:rsid w:val="00F34812"/>
    <w:rsid w:val="00F35A96"/>
    <w:rsid w:val="00F3704A"/>
    <w:rsid w:val="00F416CB"/>
    <w:rsid w:val="00F44B9A"/>
    <w:rsid w:val="00F471F5"/>
    <w:rsid w:val="00F50CA5"/>
    <w:rsid w:val="00F50F28"/>
    <w:rsid w:val="00F524E3"/>
    <w:rsid w:val="00F526CA"/>
    <w:rsid w:val="00F548E6"/>
    <w:rsid w:val="00F60BFB"/>
    <w:rsid w:val="00F60DBC"/>
    <w:rsid w:val="00F61337"/>
    <w:rsid w:val="00F61802"/>
    <w:rsid w:val="00F62276"/>
    <w:rsid w:val="00F637BC"/>
    <w:rsid w:val="00F64CCC"/>
    <w:rsid w:val="00F6537E"/>
    <w:rsid w:val="00F65506"/>
    <w:rsid w:val="00F679D8"/>
    <w:rsid w:val="00F71375"/>
    <w:rsid w:val="00F7389D"/>
    <w:rsid w:val="00F73DE2"/>
    <w:rsid w:val="00F73E5C"/>
    <w:rsid w:val="00F74CFA"/>
    <w:rsid w:val="00F755F8"/>
    <w:rsid w:val="00F77C0A"/>
    <w:rsid w:val="00F81268"/>
    <w:rsid w:val="00F82C0B"/>
    <w:rsid w:val="00F909B1"/>
    <w:rsid w:val="00F91305"/>
    <w:rsid w:val="00F94ACF"/>
    <w:rsid w:val="00FA07F9"/>
    <w:rsid w:val="00FA3202"/>
    <w:rsid w:val="00FA3341"/>
    <w:rsid w:val="00FA5644"/>
    <w:rsid w:val="00FA72AE"/>
    <w:rsid w:val="00FB0894"/>
    <w:rsid w:val="00FB7590"/>
    <w:rsid w:val="00FC38B1"/>
    <w:rsid w:val="00FC4D61"/>
    <w:rsid w:val="00FC6146"/>
    <w:rsid w:val="00FC70E1"/>
    <w:rsid w:val="00FC7700"/>
    <w:rsid w:val="00FD3DD8"/>
    <w:rsid w:val="00FD47AC"/>
    <w:rsid w:val="00FD63D6"/>
    <w:rsid w:val="00FE12C5"/>
    <w:rsid w:val="00FE139B"/>
    <w:rsid w:val="00FE13F8"/>
    <w:rsid w:val="00FE169D"/>
    <w:rsid w:val="00FE289F"/>
    <w:rsid w:val="00FE2C51"/>
    <w:rsid w:val="00FE3DDD"/>
    <w:rsid w:val="00FE680F"/>
    <w:rsid w:val="00FF100F"/>
    <w:rsid w:val="00FF1312"/>
    <w:rsid w:val="00FF3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7AA606B-DEBD-4BD9-9021-C070DE3C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2E2F"/>
    <w:pPr>
      <w:widowControl w:val="0"/>
      <w:jc w:val="both"/>
    </w:pPr>
    <w:rPr>
      <w:rFonts w:ascii="Times New Roman" w:hAnsi="Times New Roman"/>
      <w:kern w:val="2"/>
      <w:sz w:val="21"/>
      <w:szCs w:val="24"/>
    </w:rPr>
  </w:style>
  <w:style w:type="paragraph" w:styleId="10">
    <w:name w:val="heading 1"/>
    <w:aliases w:val="Heading 0,H1,PIM 1,Heading 11,level 1,Level 1 Head,h1,123321,Level 1 Topic Heading"/>
    <w:basedOn w:val="a2"/>
    <w:next w:val="a2"/>
    <w:link w:val="1Char"/>
    <w:qFormat/>
    <w:rsid w:val="001D2E2F"/>
    <w:pPr>
      <w:keepNext/>
      <w:spacing w:beforeLines="100" w:afterLines="100"/>
      <w:ind w:firstLineChars="200" w:firstLine="200"/>
      <w:jc w:val="center"/>
      <w:outlineLvl w:val="0"/>
    </w:pPr>
    <w:rPr>
      <w:rFonts w:ascii="黑体" w:eastAsia="黑体"/>
      <w:sz w:val="32"/>
      <w:szCs w:val="32"/>
    </w:rPr>
  </w:style>
  <w:style w:type="paragraph" w:styleId="23">
    <w:name w:val="heading 2"/>
    <w:aliases w:val="标题 2 Char Char,H2,Heading 2 Hidden,Heading 2 CCBS,2nd level,h2,2,Header 2,PIM2,l2,Level 2 Head,proj2,proj21,proj22,proj23,proj24,proj25,proj26,proj27,proj28,proj29,proj210,proj211,proj212,proj221,proj231,proj241,proj251,proj261,proj271,proj281"/>
    <w:basedOn w:val="a2"/>
    <w:next w:val="a2"/>
    <w:link w:val="2Char"/>
    <w:qFormat/>
    <w:rsid w:val="001D2E2F"/>
    <w:pPr>
      <w:keepNext/>
      <w:keepLines/>
      <w:spacing w:beforeLines="100" w:afterLines="100"/>
      <w:ind w:firstLineChars="200" w:firstLine="200"/>
      <w:outlineLvl w:val="1"/>
    </w:pPr>
    <w:rPr>
      <w:rFonts w:ascii="Arial" w:hAnsi="Arial"/>
      <w:b/>
      <w:sz w:val="28"/>
      <w:szCs w:val="28"/>
    </w:rPr>
  </w:style>
  <w:style w:type="paragraph" w:styleId="31">
    <w:name w:val="heading 3"/>
    <w:aliases w:val="Heading 3 - old,H3,l3,CT,h3,3rd level,Level 3 Head,level_3,PIM 3,sect1.2.3,Bold Head,bh,3,heading 3,标题 4.1.1,Fab-3,sect1.2.31,sect1.2.32,sect1.2.311,sect1.2.33,sect1.2.312,Title3,sl3,Heading 3under,- Maj Side,prop3,3heading,Heading 31,Map,H31,HeadC"/>
    <w:basedOn w:val="a2"/>
    <w:next w:val="a2"/>
    <w:link w:val="3Char"/>
    <w:qFormat/>
    <w:rsid w:val="001D2E2F"/>
    <w:pPr>
      <w:numPr>
        <w:ilvl w:val="2"/>
        <w:numId w:val="5"/>
      </w:numPr>
      <w:spacing w:before="260" w:after="260" w:line="416" w:lineRule="auto"/>
      <w:outlineLvl w:val="2"/>
    </w:pPr>
    <w:rPr>
      <w:rFonts w:ascii="仿宋_GB2312" w:eastAsia="仿宋_GB2312"/>
      <w:sz w:val="24"/>
      <w:szCs w:val="20"/>
    </w:rPr>
  </w:style>
  <w:style w:type="paragraph" w:styleId="41">
    <w:name w:val="heading 4"/>
    <w:aliases w:val="H4,PIM 4,h4,Fab-4,T5,Ref Heading 1,rh1,Heading sql,sect 1.2.3.4"/>
    <w:basedOn w:val="a2"/>
    <w:next w:val="a2"/>
    <w:link w:val="4Char"/>
    <w:qFormat/>
    <w:rsid w:val="001D2E2F"/>
    <w:pPr>
      <w:keepNext/>
      <w:keepLines/>
      <w:numPr>
        <w:ilvl w:val="3"/>
        <w:numId w:val="4"/>
      </w:numPr>
      <w:spacing w:before="280" w:after="290" w:line="376" w:lineRule="auto"/>
      <w:ind w:firstLineChars="200" w:firstLine="200"/>
      <w:outlineLvl w:val="3"/>
    </w:pPr>
    <w:rPr>
      <w:rFonts w:ascii="Arial" w:eastAsia="黑体" w:hAnsi="Arial"/>
      <w:b/>
      <w:bCs/>
      <w:sz w:val="28"/>
      <w:szCs w:val="28"/>
    </w:rPr>
  </w:style>
  <w:style w:type="paragraph" w:styleId="51">
    <w:name w:val="heading 5"/>
    <w:basedOn w:val="a2"/>
    <w:next w:val="a2"/>
    <w:link w:val="5Char"/>
    <w:qFormat/>
    <w:rsid w:val="001D2E2F"/>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2"/>
    <w:next w:val="a2"/>
    <w:link w:val="6Char"/>
    <w:qFormat/>
    <w:rsid w:val="001D2E2F"/>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2"/>
    <w:next w:val="a2"/>
    <w:link w:val="7Char"/>
    <w:qFormat/>
    <w:rsid w:val="001D2E2F"/>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2"/>
    <w:next w:val="a2"/>
    <w:link w:val="8Char"/>
    <w:qFormat/>
    <w:rsid w:val="001D2E2F"/>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2"/>
    <w:next w:val="a2"/>
    <w:link w:val="9Char"/>
    <w:qFormat/>
    <w:rsid w:val="001D2E2F"/>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eading 0 Char,H1 Char,PIM 1 Char,Heading 11 Char,level 1 Char,Level 1 Head Char,h1 Char,123321 Char,Level 1 Topic Heading Char"/>
    <w:basedOn w:val="a3"/>
    <w:link w:val="10"/>
    <w:rsid w:val="001D2E2F"/>
    <w:rPr>
      <w:rFonts w:ascii="黑体" w:eastAsia="黑体" w:hAnsi="Times New Roman" w:cs="Times New Roman"/>
      <w:sz w:val="32"/>
      <w:szCs w:val="32"/>
    </w:rPr>
  </w:style>
  <w:style w:type="character" w:customStyle="1" w:styleId="2Char">
    <w:name w:val="标题 2 Char"/>
    <w:aliases w:val="标题 2 Char Char Char,H2 Char,Heading 2 Hidden Char,Heading 2 CCBS Char,2nd level Char,h2 Char,2 Char,Header 2 Char,PIM2 Char,l2 Char,Level 2 Head Char,proj2 Char,proj21 Char,proj22 Char,proj23 Char,proj24 Char,proj25 Char,proj26 Char"/>
    <w:basedOn w:val="a3"/>
    <w:link w:val="23"/>
    <w:rsid w:val="001D2E2F"/>
    <w:rPr>
      <w:rFonts w:ascii="Arial" w:eastAsia="宋体" w:hAnsi="Arial" w:cs="Times New Roman"/>
      <w:b/>
      <w:sz w:val="28"/>
      <w:szCs w:val="28"/>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3"/>
    <w:link w:val="31"/>
    <w:rsid w:val="001D2E2F"/>
    <w:rPr>
      <w:rFonts w:ascii="仿宋_GB2312" w:eastAsia="仿宋_GB2312" w:hAnsi="Times New Roman"/>
      <w:kern w:val="2"/>
      <w:sz w:val="24"/>
    </w:rPr>
  </w:style>
  <w:style w:type="character" w:customStyle="1" w:styleId="4Char">
    <w:name w:val="标题 4 Char"/>
    <w:aliases w:val="H4 Char,PIM 4 Char,h4 Char,Fab-4 Char,T5 Char,Ref Heading 1 Char,rh1 Char,Heading sql Char,sect 1.2.3.4 Char"/>
    <w:basedOn w:val="a3"/>
    <w:link w:val="41"/>
    <w:rsid w:val="001D2E2F"/>
    <w:rPr>
      <w:rFonts w:ascii="Arial" w:eastAsia="黑体" w:hAnsi="Arial"/>
      <w:b/>
      <w:bCs/>
      <w:kern w:val="2"/>
      <w:sz w:val="28"/>
      <w:szCs w:val="28"/>
    </w:rPr>
  </w:style>
  <w:style w:type="character" w:customStyle="1" w:styleId="5Char">
    <w:name w:val="标题 5 Char"/>
    <w:basedOn w:val="a3"/>
    <w:link w:val="51"/>
    <w:rsid w:val="001D2E2F"/>
    <w:rPr>
      <w:rFonts w:ascii="Times New Roman" w:hAnsi="Times New Roman"/>
      <w:b/>
      <w:bCs/>
      <w:kern w:val="2"/>
      <w:sz w:val="28"/>
      <w:szCs w:val="28"/>
    </w:rPr>
  </w:style>
  <w:style w:type="character" w:customStyle="1" w:styleId="6Char">
    <w:name w:val="标题 6 Char"/>
    <w:basedOn w:val="a3"/>
    <w:link w:val="6"/>
    <w:rsid w:val="001D2E2F"/>
    <w:rPr>
      <w:rFonts w:ascii="Arial" w:eastAsia="黑体" w:hAnsi="Arial"/>
      <w:b/>
      <w:bCs/>
      <w:kern w:val="2"/>
      <w:sz w:val="24"/>
      <w:szCs w:val="24"/>
    </w:rPr>
  </w:style>
  <w:style w:type="character" w:customStyle="1" w:styleId="7Char">
    <w:name w:val="标题 7 Char"/>
    <w:basedOn w:val="a3"/>
    <w:link w:val="7"/>
    <w:rsid w:val="001D2E2F"/>
    <w:rPr>
      <w:rFonts w:ascii="Times New Roman" w:hAnsi="Times New Roman"/>
      <w:b/>
      <w:bCs/>
      <w:kern w:val="2"/>
      <w:sz w:val="24"/>
      <w:szCs w:val="24"/>
    </w:rPr>
  </w:style>
  <w:style w:type="character" w:customStyle="1" w:styleId="8Char">
    <w:name w:val="标题 8 Char"/>
    <w:basedOn w:val="a3"/>
    <w:link w:val="8"/>
    <w:rsid w:val="001D2E2F"/>
    <w:rPr>
      <w:rFonts w:ascii="Arial" w:eastAsia="黑体" w:hAnsi="Arial"/>
      <w:kern w:val="2"/>
      <w:sz w:val="24"/>
      <w:szCs w:val="24"/>
    </w:rPr>
  </w:style>
  <w:style w:type="character" w:customStyle="1" w:styleId="9Char">
    <w:name w:val="标题 9 Char"/>
    <w:basedOn w:val="a3"/>
    <w:link w:val="9"/>
    <w:rsid w:val="001D2E2F"/>
    <w:rPr>
      <w:rFonts w:ascii="Arial" w:eastAsia="黑体" w:hAnsi="Arial"/>
      <w:kern w:val="2"/>
      <w:sz w:val="24"/>
      <w:szCs w:val="21"/>
    </w:rPr>
  </w:style>
  <w:style w:type="paragraph" w:customStyle="1" w:styleId="211">
    <w:name w:val="样式 标题 2 + 段前: 1 行 段后: 1 行"/>
    <w:basedOn w:val="23"/>
    <w:rsid w:val="001D2E2F"/>
    <w:pPr>
      <w:numPr>
        <w:numId w:val="3"/>
      </w:numPr>
      <w:spacing w:before="447" w:after="447"/>
    </w:pPr>
    <w:rPr>
      <w:b w:val="0"/>
      <w:szCs w:val="20"/>
    </w:rPr>
  </w:style>
  <w:style w:type="paragraph" w:customStyle="1" w:styleId="211211">
    <w:name w:val="样式 样式 标题 2 + 段前: 1 行 段后: 1 行2 + 段前: 1 行 段后: 1 行"/>
    <w:basedOn w:val="2112"/>
    <w:rsid w:val="001D2E2F"/>
    <w:pPr>
      <w:tabs>
        <w:tab w:val="num" w:pos="720"/>
      </w:tabs>
      <w:ind w:left="720" w:hanging="720"/>
    </w:pPr>
  </w:style>
  <w:style w:type="paragraph" w:customStyle="1" w:styleId="2112">
    <w:name w:val="样式 标题 2 + 段前: 1 行 段后: 1 行2"/>
    <w:basedOn w:val="23"/>
    <w:rsid w:val="001D2E2F"/>
    <w:rPr>
      <w:bCs/>
      <w:szCs w:val="20"/>
    </w:rPr>
  </w:style>
  <w:style w:type="paragraph" w:styleId="a6">
    <w:name w:val="Normal Indent"/>
    <w:aliases w:val="正文缩进1,ALT+Z"/>
    <w:basedOn w:val="a2"/>
    <w:rsid w:val="001D2E2F"/>
    <w:pPr>
      <w:ind w:firstLine="420"/>
    </w:pPr>
    <w:rPr>
      <w:szCs w:val="20"/>
    </w:rPr>
  </w:style>
  <w:style w:type="paragraph" w:styleId="11">
    <w:name w:val="toc 1"/>
    <w:basedOn w:val="a2"/>
    <w:next w:val="a2"/>
    <w:autoRedefine/>
    <w:uiPriority w:val="39"/>
    <w:rsid w:val="001D2E2F"/>
    <w:pPr>
      <w:tabs>
        <w:tab w:val="right" w:leader="dot" w:pos="8296"/>
      </w:tabs>
      <w:jc w:val="left"/>
    </w:pPr>
    <w:rPr>
      <w:rFonts w:ascii="宋体" w:eastAsia="黑体" w:hAnsi="宋体"/>
      <w:bCs/>
      <w:caps/>
      <w:noProof/>
      <w:kern w:val="44"/>
      <w:sz w:val="24"/>
      <w:szCs w:val="28"/>
    </w:rPr>
  </w:style>
  <w:style w:type="paragraph" w:styleId="24">
    <w:name w:val="toc 2"/>
    <w:basedOn w:val="a2"/>
    <w:next w:val="a2"/>
    <w:autoRedefine/>
    <w:uiPriority w:val="39"/>
    <w:rsid w:val="001D2E2F"/>
    <w:pPr>
      <w:ind w:left="320" w:firstLineChars="200" w:firstLine="200"/>
      <w:jc w:val="left"/>
    </w:pPr>
    <w:rPr>
      <w:rFonts w:eastAsia="仿宋_GB2312"/>
      <w:smallCaps/>
      <w:szCs w:val="20"/>
    </w:rPr>
  </w:style>
  <w:style w:type="paragraph" w:customStyle="1" w:styleId="12">
    <w:name w:val="样式 标题 1 + 黑体 非加粗"/>
    <w:basedOn w:val="10"/>
    <w:rsid w:val="001D2E2F"/>
    <w:pPr>
      <w:pageBreakBefore/>
    </w:pPr>
    <w:rPr>
      <w:rFonts w:hAnsi="黑体"/>
      <w:b/>
    </w:rPr>
  </w:style>
  <w:style w:type="paragraph" w:customStyle="1" w:styleId="111">
    <w:name w:val="样式 标题 1 + 段前: 1 行 段后: 1 行"/>
    <w:basedOn w:val="10"/>
    <w:rsid w:val="001D2E2F"/>
    <w:pPr>
      <w:pageBreakBefore/>
    </w:pPr>
    <w:rPr>
      <w:szCs w:val="20"/>
    </w:rPr>
  </w:style>
  <w:style w:type="paragraph" w:customStyle="1" w:styleId="115">
    <w:name w:val="样式 标题 1 + 段前: 1.5 行"/>
    <w:basedOn w:val="a2"/>
    <w:rsid w:val="001D2E2F"/>
    <w:pPr>
      <w:tabs>
        <w:tab w:val="num" w:pos="990"/>
      </w:tabs>
      <w:ind w:left="990" w:hanging="840"/>
    </w:pPr>
    <w:rPr>
      <w:sz w:val="24"/>
      <w:szCs w:val="20"/>
    </w:rPr>
  </w:style>
  <w:style w:type="paragraph" w:styleId="32">
    <w:name w:val="Body Text Indent 3"/>
    <w:basedOn w:val="a2"/>
    <w:link w:val="3Char0"/>
    <w:rsid w:val="001D2E2F"/>
    <w:pPr>
      <w:ind w:firstLineChars="200" w:firstLine="480"/>
    </w:pPr>
    <w:rPr>
      <w:rFonts w:ascii="宋体" w:hAnsi="宋体"/>
      <w:color w:val="FF0000"/>
      <w:sz w:val="24"/>
      <w:szCs w:val="20"/>
    </w:rPr>
  </w:style>
  <w:style w:type="character" w:customStyle="1" w:styleId="3Char0">
    <w:name w:val="正文文本缩进 3 Char"/>
    <w:basedOn w:val="a3"/>
    <w:link w:val="32"/>
    <w:rsid w:val="001D2E2F"/>
    <w:rPr>
      <w:rFonts w:ascii="宋体" w:eastAsia="宋体" w:hAnsi="宋体" w:cs="Times New Roman"/>
      <w:color w:val="FF0000"/>
      <w:sz w:val="24"/>
      <w:szCs w:val="20"/>
    </w:rPr>
  </w:style>
  <w:style w:type="paragraph" w:styleId="a7">
    <w:name w:val="Plain Text"/>
    <w:basedOn w:val="a2"/>
    <w:link w:val="Char"/>
    <w:rsid w:val="001D2E2F"/>
    <w:pPr>
      <w:ind w:firstLineChars="200" w:firstLine="200"/>
    </w:pPr>
    <w:rPr>
      <w:rFonts w:ascii="宋体" w:hAnsi="Courier New"/>
      <w:sz w:val="24"/>
      <w:szCs w:val="21"/>
    </w:rPr>
  </w:style>
  <w:style w:type="character" w:customStyle="1" w:styleId="Char">
    <w:name w:val="纯文本 Char"/>
    <w:basedOn w:val="a3"/>
    <w:link w:val="a7"/>
    <w:rsid w:val="001D2E2F"/>
    <w:rPr>
      <w:rFonts w:ascii="宋体" w:eastAsia="宋体" w:hAnsi="Courier New" w:cs="Times New Roman"/>
      <w:sz w:val="24"/>
      <w:szCs w:val="21"/>
    </w:rPr>
  </w:style>
  <w:style w:type="paragraph" w:styleId="a8">
    <w:name w:val="Body Text Indent"/>
    <w:basedOn w:val="a2"/>
    <w:link w:val="Char0"/>
    <w:rsid w:val="001D2E2F"/>
    <w:pPr>
      <w:ind w:firstLineChars="200" w:firstLine="480"/>
    </w:pPr>
    <w:rPr>
      <w:rFonts w:ascii="宋体" w:hAnsi="宋体"/>
      <w:sz w:val="24"/>
    </w:rPr>
  </w:style>
  <w:style w:type="character" w:customStyle="1" w:styleId="Char0">
    <w:name w:val="正文文本缩进 Char"/>
    <w:basedOn w:val="a3"/>
    <w:link w:val="a8"/>
    <w:rsid w:val="001D2E2F"/>
    <w:rPr>
      <w:rFonts w:ascii="宋体" w:eastAsia="宋体" w:hAnsi="宋体" w:cs="Times New Roman"/>
      <w:sz w:val="24"/>
      <w:szCs w:val="24"/>
    </w:rPr>
  </w:style>
  <w:style w:type="paragraph" w:customStyle="1" w:styleId="25">
    <w:name w:val="样式 首行缩进:  2 字符"/>
    <w:basedOn w:val="a2"/>
    <w:rsid w:val="001D2E2F"/>
    <w:pPr>
      <w:spacing w:before="100" w:beforeAutospacing="1" w:after="100" w:afterAutospacing="1" w:line="360" w:lineRule="auto"/>
      <w:ind w:firstLineChars="200" w:firstLine="480"/>
    </w:pPr>
    <w:rPr>
      <w:szCs w:val="20"/>
    </w:rPr>
  </w:style>
  <w:style w:type="paragraph" w:customStyle="1" w:styleId="2211">
    <w:name w:val="样式 标题 2 + 首行缩进:  2 字符 段前: 1 行 段后: 1 行"/>
    <w:basedOn w:val="23"/>
    <w:rsid w:val="001D2E2F"/>
    <w:pPr>
      <w:tabs>
        <w:tab w:val="num" w:pos="1319"/>
      </w:tabs>
      <w:ind w:left="1319" w:firstLineChars="0" w:hanging="420"/>
    </w:pPr>
    <w:rPr>
      <w:bCs/>
      <w:szCs w:val="20"/>
    </w:rPr>
  </w:style>
  <w:style w:type="character" w:styleId="a9">
    <w:name w:val="Hyperlink"/>
    <w:basedOn w:val="a3"/>
    <w:uiPriority w:val="99"/>
    <w:rsid w:val="001D2E2F"/>
    <w:rPr>
      <w:color w:val="0000FF"/>
      <w:u w:val="single"/>
    </w:rPr>
  </w:style>
  <w:style w:type="paragraph" w:styleId="aa">
    <w:name w:val="header"/>
    <w:basedOn w:val="a2"/>
    <w:link w:val="Char1"/>
    <w:uiPriority w:val="99"/>
    <w:rsid w:val="001D2E2F"/>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customStyle="1" w:styleId="Char1">
    <w:name w:val="页眉 Char"/>
    <w:basedOn w:val="a3"/>
    <w:link w:val="aa"/>
    <w:uiPriority w:val="99"/>
    <w:rsid w:val="001D2E2F"/>
    <w:rPr>
      <w:rFonts w:ascii="Times New Roman" w:eastAsia="仿宋_GB2312" w:hAnsi="Times New Roman" w:cs="Times New Roman"/>
      <w:sz w:val="18"/>
      <w:szCs w:val="20"/>
    </w:rPr>
  </w:style>
  <w:style w:type="character" w:styleId="ab">
    <w:name w:val="page number"/>
    <w:basedOn w:val="a3"/>
    <w:rsid w:val="001D2E2F"/>
  </w:style>
  <w:style w:type="paragraph" w:styleId="ac">
    <w:name w:val="footer"/>
    <w:basedOn w:val="a2"/>
    <w:link w:val="Char2"/>
    <w:uiPriority w:val="99"/>
    <w:rsid w:val="001D2E2F"/>
    <w:pPr>
      <w:tabs>
        <w:tab w:val="center" w:pos="4153"/>
        <w:tab w:val="right" w:pos="8306"/>
      </w:tabs>
      <w:snapToGrid w:val="0"/>
      <w:ind w:firstLineChars="200" w:firstLine="200"/>
      <w:jc w:val="left"/>
    </w:pPr>
    <w:rPr>
      <w:rFonts w:eastAsia="仿宋_GB2312"/>
      <w:sz w:val="18"/>
      <w:szCs w:val="20"/>
    </w:rPr>
  </w:style>
  <w:style w:type="character" w:customStyle="1" w:styleId="Char2">
    <w:name w:val="页脚 Char"/>
    <w:basedOn w:val="a3"/>
    <w:link w:val="ac"/>
    <w:uiPriority w:val="99"/>
    <w:rsid w:val="001D2E2F"/>
    <w:rPr>
      <w:rFonts w:ascii="Times New Roman" w:eastAsia="仿宋_GB2312" w:hAnsi="Times New Roman" w:cs="Times New Roman"/>
      <w:sz w:val="18"/>
      <w:szCs w:val="20"/>
    </w:rPr>
  </w:style>
  <w:style w:type="paragraph" w:customStyle="1" w:styleId="2111111">
    <w:name w:val="样式 样式 样式 标题 2 + 段前: 1 行 段后: 1 行1 + 段前: 1 行 段后: 1 行 + 段前: 1 行 段后..."/>
    <w:basedOn w:val="a2"/>
    <w:rsid w:val="001D2E2F"/>
    <w:pPr>
      <w:keepNext/>
      <w:keepLines/>
      <w:numPr>
        <w:ilvl w:val="1"/>
        <w:numId w:val="4"/>
      </w:numPr>
      <w:spacing w:beforeLines="100" w:afterLines="100"/>
      <w:outlineLvl w:val="1"/>
    </w:pPr>
    <w:rPr>
      <w:rFonts w:ascii="Arial" w:hAnsi="Arial"/>
      <w:b/>
      <w:bCs/>
      <w:sz w:val="28"/>
      <w:szCs w:val="20"/>
    </w:rPr>
  </w:style>
  <w:style w:type="paragraph" w:styleId="26">
    <w:name w:val="Body Text Indent 2"/>
    <w:basedOn w:val="a2"/>
    <w:link w:val="2Char0"/>
    <w:rsid w:val="001D2E2F"/>
    <w:pPr>
      <w:autoSpaceDE w:val="0"/>
      <w:autoSpaceDN w:val="0"/>
      <w:adjustRightInd w:val="0"/>
      <w:ind w:firstLineChars="225" w:firstLine="540"/>
      <w:jc w:val="left"/>
    </w:pPr>
    <w:rPr>
      <w:rFonts w:ascii="宋体" w:hAnsi="宋体"/>
      <w:sz w:val="24"/>
    </w:rPr>
  </w:style>
  <w:style w:type="character" w:customStyle="1" w:styleId="2Char0">
    <w:name w:val="正文文本缩进 2 Char"/>
    <w:basedOn w:val="a3"/>
    <w:link w:val="26"/>
    <w:rsid w:val="001D2E2F"/>
    <w:rPr>
      <w:rFonts w:ascii="宋体" w:eastAsia="宋体" w:hAnsi="宋体" w:cs="Times New Roman"/>
      <w:sz w:val="24"/>
      <w:szCs w:val="24"/>
    </w:rPr>
  </w:style>
  <w:style w:type="paragraph" w:styleId="ad">
    <w:name w:val="Body Text"/>
    <w:aliases w:val="正文文字 Char Char Char Char Char Char Char"/>
    <w:basedOn w:val="a2"/>
    <w:link w:val="Char3"/>
    <w:rsid w:val="001D2E2F"/>
    <w:pPr>
      <w:autoSpaceDE w:val="0"/>
      <w:autoSpaceDN w:val="0"/>
      <w:adjustRightInd w:val="0"/>
      <w:jc w:val="left"/>
    </w:pPr>
    <w:rPr>
      <w:rFonts w:ascii="宋体"/>
      <w:kern w:val="0"/>
      <w:sz w:val="24"/>
    </w:rPr>
  </w:style>
  <w:style w:type="character" w:customStyle="1" w:styleId="Char3">
    <w:name w:val="正文文本 Char"/>
    <w:aliases w:val="正文文字 Char Char Char Char Char Char Char Char"/>
    <w:basedOn w:val="a3"/>
    <w:link w:val="ad"/>
    <w:rsid w:val="001D2E2F"/>
    <w:rPr>
      <w:rFonts w:ascii="宋体" w:eastAsia="宋体" w:hAnsi="Times New Roman" w:cs="Times New Roman"/>
      <w:kern w:val="0"/>
      <w:sz w:val="24"/>
      <w:szCs w:val="24"/>
    </w:rPr>
  </w:style>
  <w:style w:type="paragraph" w:customStyle="1" w:styleId="2111">
    <w:name w:val="样式 标题 2 + 段前: 1 行 段后: 1 行1"/>
    <w:basedOn w:val="23"/>
    <w:rsid w:val="001D2E2F"/>
    <w:pPr>
      <w:ind w:firstLineChars="0" w:firstLine="0"/>
    </w:pPr>
    <w:rPr>
      <w:bCs/>
      <w:szCs w:val="20"/>
    </w:rPr>
  </w:style>
  <w:style w:type="paragraph" w:customStyle="1" w:styleId="211111">
    <w:name w:val="样式 样式 标题 2 + 段前: 1 行 段后: 1 行1 + 段前: 1 行 段后: 1 行"/>
    <w:basedOn w:val="2111"/>
    <w:rsid w:val="001D2E2F"/>
  </w:style>
  <w:style w:type="paragraph" w:customStyle="1" w:styleId="1211">
    <w:name w:val="样式 标题 1 + 首行缩进:  2 字符 段前: 1 行 段后: 1 行"/>
    <w:basedOn w:val="10"/>
    <w:rsid w:val="001D2E2F"/>
    <w:pPr>
      <w:pageBreakBefore/>
      <w:ind w:firstLineChars="0" w:firstLine="0"/>
    </w:pPr>
    <w:rPr>
      <w:szCs w:val="20"/>
    </w:rPr>
  </w:style>
  <w:style w:type="paragraph" w:customStyle="1" w:styleId="22111">
    <w:name w:val="样式 标题 2 + 首行缩进:  2 字符 段前: 1 行 段后: 1 行1"/>
    <w:basedOn w:val="23"/>
    <w:rsid w:val="001D2E2F"/>
    <w:pPr>
      <w:ind w:firstLineChars="0" w:firstLine="0"/>
    </w:pPr>
    <w:rPr>
      <w:bCs/>
      <w:szCs w:val="20"/>
    </w:rPr>
  </w:style>
  <w:style w:type="paragraph" w:customStyle="1" w:styleId="2113">
    <w:name w:val="样式 标题 2 + 段前: 1 行 段后: 1 行3"/>
    <w:basedOn w:val="23"/>
    <w:rsid w:val="001D2E2F"/>
    <w:pPr>
      <w:ind w:firstLineChars="0" w:firstLine="0"/>
    </w:pPr>
    <w:rPr>
      <w:bCs/>
      <w:szCs w:val="20"/>
    </w:rPr>
  </w:style>
  <w:style w:type="paragraph" w:customStyle="1" w:styleId="211311">
    <w:name w:val="样式 样式 标题 2 + 段前: 1 行 段后: 1 行3 + 段前: 1 行 段后: 1 行"/>
    <w:basedOn w:val="2113"/>
    <w:rsid w:val="001D2E2F"/>
    <w:pPr>
      <w:spacing w:before="440" w:after="440"/>
      <w:jc w:val="center"/>
    </w:pPr>
  </w:style>
  <w:style w:type="paragraph" w:styleId="ae">
    <w:name w:val="Balloon Text"/>
    <w:basedOn w:val="a2"/>
    <w:link w:val="Char4"/>
    <w:semiHidden/>
    <w:rsid w:val="001D2E2F"/>
    <w:pPr>
      <w:ind w:firstLineChars="200" w:firstLine="200"/>
    </w:pPr>
    <w:rPr>
      <w:sz w:val="16"/>
      <w:szCs w:val="16"/>
    </w:rPr>
  </w:style>
  <w:style w:type="character" w:customStyle="1" w:styleId="Char4">
    <w:name w:val="批注框文本 Char"/>
    <w:basedOn w:val="a3"/>
    <w:link w:val="ae"/>
    <w:semiHidden/>
    <w:rsid w:val="001D2E2F"/>
    <w:rPr>
      <w:rFonts w:ascii="Times New Roman" w:eastAsia="宋体" w:hAnsi="Times New Roman" w:cs="Times New Roman"/>
      <w:sz w:val="16"/>
      <w:szCs w:val="16"/>
    </w:rPr>
  </w:style>
  <w:style w:type="paragraph" w:styleId="27">
    <w:name w:val="Body Text 2"/>
    <w:basedOn w:val="a2"/>
    <w:link w:val="2Char1"/>
    <w:rsid w:val="001D2E2F"/>
    <w:pPr>
      <w:widowControl/>
      <w:tabs>
        <w:tab w:val="left" w:pos="1470"/>
      </w:tabs>
      <w:autoSpaceDE w:val="0"/>
      <w:autoSpaceDN w:val="0"/>
      <w:spacing w:beforeLines="50" w:afterLines="50" w:line="360" w:lineRule="auto"/>
      <w:textAlignment w:val="bottom"/>
    </w:pPr>
    <w:rPr>
      <w:sz w:val="24"/>
    </w:rPr>
  </w:style>
  <w:style w:type="character" w:customStyle="1" w:styleId="2Char1">
    <w:name w:val="正文文本 2 Char"/>
    <w:basedOn w:val="a3"/>
    <w:link w:val="27"/>
    <w:rsid w:val="001D2E2F"/>
    <w:rPr>
      <w:rFonts w:ascii="Times New Roman" w:eastAsia="宋体" w:hAnsi="Times New Roman" w:cs="Times New Roman"/>
      <w:sz w:val="24"/>
      <w:szCs w:val="24"/>
    </w:rPr>
  </w:style>
  <w:style w:type="paragraph" w:styleId="af">
    <w:name w:val="footnote text"/>
    <w:basedOn w:val="a2"/>
    <w:link w:val="Char5"/>
    <w:semiHidden/>
    <w:rsid w:val="001D2E2F"/>
    <w:pPr>
      <w:snapToGrid w:val="0"/>
      <w:jc w:val="left"/>
    </w:pPr>
    <w:rPr>
      <w:sz w:val="18"/>
      <w:szCs w:val="18"/>
    </w:rPr>
  </w:style>
  <w:style w:type="character" w:customStyle="1" w:styleId="Char5">
    <w:name w:val="脚注文本 Char"/>
    <w:basedOn w:val="a3"/>
    <w:link w:val="af"/>
    <w:semiHidden/>
    <w:rsid w:val="001D2E2F"/>
    <w:rPr>
      <w:rFonts w:ascii="Times New Roman" w:eastAsia="宋体" w:hAnsi="Times New Roman" w:cs="Times New Roman"/>
      <w:sz w:val="18"/>
      <w:szCs w:val="18"/>
    </w:rPr>
  </w:style>
  <w:style w:type="paragraph" w:styleId="33">
    <w:name w:val="toc 3"/>
    <w:basedOn w:val="a2"/>
    <w:next w:val="a2"/>
    <w:autoRedefine/>
    <w:uiPriority w:val="39"/>
    <w:rsid w:val="001D2E2F"/>
    <w:pPr>
      <w:ind w:leftChars="400" w:left="840"/>
    </w:pPr>
    <w:rPr>
      <w:rFonts w:eastAsia="仿宋_GB2312"/>
    </w:rPr>
  </w:style>
  <w:style w:type="paragraph" w:styleId="42">
    <w:name w:val="toc 4"/>
    <w:basedOn w:val="a2"/>
    <w:next w:val="a2"/>
    <w:autoRedefine/>
    <w:uiPriority w:val="39"/>
    <w:rsid w:val="001D2E2F"/>
    <w:pPr>
      <w:ind w:leftChars="600" w:left="1260"/>
    </w:pPr>
  </w:style>
  <w:style w:type="paragraph" w:styleId="52">
    <w:name w:val="toc 5"/>
    <w:basedOn w:val="a2"/>
    <w:next w:val="a2"/>
    <w:autoRedefine/>
    <w:uiPriority w:val="39"/>
    <w:rsid w:val="001D2E2F"/>
    <w:pPr>
      <w:ind w:leftChars="800" w:left="1680"/>
    </w:pPr>
  </w:style>
  <w:style w:type="paragraph" w:styleId="60">
    <w:name w:val="toc 6"/>
    <w:basedOn w:val="a2"/>
    <w:next w:val="a2"/>
    <w:autoRedefine/>
    <w:uiPriority w:val="39"/>
    <w:rsid w:val="001D2E2F"/>
    <w:pPr>
      <w:ind w:leftChars="1000" w:left="2100"/>
    </w:pPr>
  </w:style>
  <w:style w:type="paragraph" w:styleId="70">
    <w:name w:val="toc 7"/>
    <w:basedOn w:val="a2"/>
    <w:next w:val="a2"/>
    <w:autoRedefine/>
    <w:uiPriority w:val="39"/>
    <w:rsid w:val="001D2E2F"/>
    <w:pPr>
      <w:ind w:leftChars="1200" w:left="2520"/>
    </w:pPr>
  </w:style>
  <w:style w:type="paragraph" w:styleId="80">
    <w:name w:val="toc 8"/>
    <w:basedOn w:val="a2"/>
    <w:next w:val="a2"/>
    <w:autoRedefine/>
    <w:uiPriority w:val="39"/>
    <w:rsid w:val="001D2E2F"/>
    <w:pPr>
      <w:ind w:leftChars="1400" w:left="2940"/>
    </w:pPr>
  </w:style>
  <w:style w:type="paragraph" w:styleId="90">
    <w:name w:val="toc 9"/>
    <w:basedOn w:val="a2"/>
    <w:next w:val="a2"/>
    <w:autoRedefine/>
    <w:uiPriority w:val="39"/>
    <w:rsid w:val="001D2E2F"/>
    <w:pPr>
      <w:ind w:leftChars="1600" w:left="3360"/>
    </w:pPr>
  </w:style>
  <w:style w:type="character" w:styleId="af0">
    <w:name w:val="footnote reference"/>
    <w:basedOn w:val="a3"/>
    <w:semiHidden/>
    <w:rsid w:val="001D2E2F"/>
    <w:rPr>
      <w:vertAlign w:val="superscript"/>
    </w:rPr>
  </w:style>
  <w:style w:type="paragraph" w:styleId="af1">
    <w:name w:val="Document Map"/>
    <w:basedOn w:val="a2"/>
    <w:link w:val="Char6"/>
    <w:semiHidden/>
    <w:rsid w:val="001D2E2F"/>
    <w:pPr>
      <w:shd w:val="clear" w:color="auto" w:fill="000080"/>
    </w:pPr>
  </w:style>
  <w:style w:type="character" w:customStyle="1" w:styleId="Char6">
    <w:name w:val="文档结构图 Char"/>
    <w:basedOn w:val="a3"/>
    <w:link w:val="af1"/>
    <w:semiHidden/>
    <w:rsid w:val="001D2E2F"/>
    <w:rPr>
      <w:rFonts w:ascii="Times New Roman" w:eastAsia="宋体" w:hAnsi="Times New Roman" w:cs="Times New Roman"/>
      <w:szCs w:val="24"/>
      <w:shd w:val="clear" w:color="auto" w:fill="000080"/>
    </w:rPr>
  </w:style>
  <w:style w:type="character" w:customStyle="1" w:styleId="big1">
    <w:name w:val="big1"/>
    <w:basedOn w:val="a3"/>
    <w:rsid w:val="001D2E2F"/>
    <w:rPr>
      <w:spacing w:val="360"/>
      <w:sz w:val="22"/>
      <w:szCs w:val="22"/>
    </w:rPr>
  </w:style>
  <w:style w:type="character" w:styleId="af2">
    <w:name w:val="FollowedHyperlink"/>
    <w:basedOn w:val="a3"/>
    <w:uiPriority w:val="99"/>
    <w:rsid w:val="001D2E2F"/>
    <w:rPr>
      <w:color w:val="800080"/>
      <w:u w:val="single"/>
    </w:rPr>
  </w:style>
  <w:style w:type="character" w:customStyle="1" w:styleId="sm1">
    <w:name w:val="sm1"/>
    <w:basedOn w:val="a3"/>
    <w:rsid w:val="001D2E2F"/>
    <w:rPr>
      <w:spacing w:val="280"/>
      <w:sz w:val="18"/>
      <w:szCs w:val="18"/>
    </w:rPr>
  </w:style>
  <w:style w:type="character" w:customStyle="1" w:styleId="md2">
    <w:name w:val="md2"/>
    <w:basedOn w:val="a3"/>
    <w:rsid w:val="001D2E2F"/>
    <w:rPr>
      <w:spacing w:val="300"/>
      <w:sz w:val="21"/>
      <w:szCs w:val="21"/>
    </w:rPr>
  </w:style>
  <w:style w:type="paragraph" w:customStyle="1" w:styleId="13">
    <w:name w:val="1"/>
    <w:basedOn w:val="a2"/>
    <w:rsid w:val="001D2E2F"/>
    <w:pPr>
      <w:spacing w:before="100" w:beforeAutospacing="1" w:after="120" w:afterAutospacing="1" w:line="360" w:lineRule="auto"/>
      <w:ind w:leftChars="200" w:left="420"/>
    </w:pPr>
  </w:style>
  <w:style w:type="character" w:customStyle="1" w:styleId="read1">
    <w:name w:val="read1"/>
    <w:basedOn w:val="a3"/>
    <w:rsid w:val="001D2E2F"/>
    <w:rPr>
      <w:rFonts w:ascii="ˎ̥" w:hAnsi="ˎ̥" w:hint="default"/>
      <w:strike w:val="0"/>
      <w:dstrike w:val="0"/>
      <w:color w:val="000000"/>
      <w:u w:val="none"/>
      <w:effect w:val="none"/>
    </w:rPr>
  </w:style>
  <w:style w:type="paragraph" w:customStyle="1" w:styleId="unnamed1">
    <w:name w:val="unnamed1"/>
    <w:basedOn w:val="a2"/>
    <w:rsid w:val="001D2E2F"/>
    <w:pPr>
      <w:widowControl/>
      <w:spacing w:before="60" w:after="60"/>
      <w:ind w:left="15" w:right="15"/>
      <w:jc w:val="left"/>
    </w:pPr>
    <w:rPr>
      <w:rFonts w:ascii="宋体" w:hAnsi="宋体" w:cs="Arial Unicode MS" w:hint="eastAsia"/>
      <w:color w:val="000000"/>
      <w:kern w:val="0"/>
      <w:sz w:val="18"/>
      <w:szCs w:val="18"/>
    </w:rPr>
  </w:style>
  <w:style w:type="paragraph" w:styleId="HTML">
    <w:name w:val="HTML Address"/>
    <w:basedOn w:val="a2"/>
    <w:link w:val="HTMLChar"/>
    <w:rsid w:val="001D2E2F"/>
    <w:rPr>
      <w:i/>
      <w:iCs/>
    </w:rPr>
  </w:style>
  <w:style w:type="character" w:customStyle="1" w:styleId="HTMLChar">
    <w:name w:val="HTML 地址 Char"/>
    <w:basedOn w:val="a3"/>
    <w:link w:val="HTML"/>
    <w:rsid w:val="001D2E2F"/>
    <w:rPr>
      <w:rFonts w:ascii="Times New Roman" w:eastAsia="宋体" w:hAnsi="Times New Roman" w:cs="Times New Roman"/>
      <w:i/>
      <w:iCs/>
      <w:szCs w:val="24"/>
    </w:rPr>
  </w:style>
  <w:style w:type="paragraph" w:styleId="HTML0">
    <w:name w:val="HTML Preformatted"/>
    <w:basedOn w:val="a2"/>
    <w:link w:val="HTMLChar0"/>
    <w:uiPriority w:val="99"/>
    <w:rsid w:val="001D2E2F"/>
    <w:rPr>
      <w:rFonts w:ascii="Courier New" w:hAnsi="Courier New" w:cs="Courier New"/>
      <w:sz w:val="20"/>
      <w:szCs w:val="20"/>
    </w:rPr>
  </w:style>
  <w:style w:type="character" w:customStyle="1" w:styleId="HTMLChar0">
    <w:name w:val="HTML 预设格式 Char"/>
    <w:basedOn w:val="a3"/>
    <w:link w:val="HTML0"/>
    <w:uiPriority w:val="99"/>
    <w:rsid w:val="001D2E2F"/>
    <w:rPr>
      <w:rFonts w:ascii="Courier New" w:eastAsia="宋体" w:hAnsi="Courier New" w:cs="Courier New"/>
      <w:sz w:val="20"/>
      <w:szCs w:val="20"/>
    </w:rPr>
  </w:style>
  <w:style w:type="paragraph" w:styleId="af3">
    <w:name w:val="Title"/>
    <w:basedOn w:val="a2"/>
    <w:link w:val="Char7"/>
    <w:qFormat/>
    <w:rsid w:val="001D2E2F"/>
    <w:pPr>
      <w:spacing w:before="240" w:after="60"/>
      <w:jc w:val="center"/>
      <w:outlineLvl w:val="0"/>
    </w:pPr>
    <w:rPr>
      <w:rFonts w:ascii="Arial" w:hAnsi="Arial" w:cs="Arial"/>
      <w:b/>
      <w:bCs/>
      <w:sz w:val="32"/>
      <w:szCs w:val="32"/>
    </w:rPr>
  </w:style>
  <w:style w:type="character" w:customStyle="1" w:styleId="Char7">
    <w:name w:val="标题 Char"/>
    <w:basedOn w:val="a3"/>
    <w:link w:val="af3"/>
    <w:rsid w:val="001D2E2F"/>
    <w:rPr>
      <w:rFonts w:ascii="Arial" w:eastAsia="宋体" w:hAnsi="Arial" w:cs="Arial"/>
      <w:b/>
      <w:bCs/>
      <w:sz w:val="32"/>
      <w:szCs w:val="32"/>
    </w:rPr>
  </w:style>
  <w:style w:type="paragraph" w:styleId="af4">
    <w:name w:val="Salutation"/>
    <w:basedOn w:val="a2"/>
    <w:next w:val="a2"/>
    <w:link w:val="Char8"/>
    <w:rsid w:val="001D2E2F"/>
  </w:style>
  <w:style w:type="character" w:customStyle="1" w:styleId="Char8">
    <w:name w:val="称呼 Char"/>
    <w:basedOn w:val="a3"/>
    <w:link w:val="af4"/>
    <w:rsid w:val="001D2E2F"/>
    <w:rPr>
      <w:rFonts w:ascii="Times New Roman" w:eastAsia="宋体" w:hAnsi="Times New Roman" w:cs="Times New Roman"/>
      <w:szCs w:val="24"/>
    </w:rPr>
  </w:style>
  <w:style w:type="paragraph" w:styleId="af5">
    <w:name w:val="E-mail Signature"/>
    <w:basedOn w:val="a2"/>
    <w:link w:val="Char9"/>
    <w:rsid w:val="001D2E2F"/>
  </w:style>
  <w:style w:type="character" w:customStyle="1" w:styleId="Char9">
    <w:name w:val="电子邮件签名 Char"/>
    <w:basedOn w:val="a3"/>
    <w:link w:val="af5"/>
    <w:rsid w:val="001D2E2F"/>
    <w:rPr>
      <w:rFonts w:ascii="Times New Roman" w:eastAsia="宋体" w:hAnsi="Times New Roman" w:cs="Times New Roman"/>
      <w:szCs w:val="24"/>
    </w:rPr>
  </w:style>
  <w:style w:type="paragraph" w:styleId="af6">
    <w:name w:val="macro"/>
    <w:link w:val="Chara"/>
    <w:semiHidden/>
    <w:rsid w:val="001D2E2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a">
    <w:name w:val="宏文本 Char"/>
    <w:basedOn w:val="a3"/>
    <w:link w:val="af6"/>
    <w:semiHidden/>
    <w:rsid w:val="001D2E2F"/>
    <w:rPr>
      <w:rFonts w:ascii="Courier New" w:hAnsi="Courier New" w:cs="Courier New"/>
      <w:kern w:val="2"/>
      <w:sz w:val="24"/>
      <w:szCs w:val="24"/>
      <w:lang w:val="en-US" w:eastAsia="zh-CN" w:bidi="ar-SA"/>
    </w:rPr>
  </w:style>
  <w:style w:type="paragraph" w:styleId="af7">
    <w:name w:val="envelope return"/>
    <w:basedOn w:val="a2"/>
    <w:rsid w:val="001D2E2F"/>
    <w:pPr>
      <w:snapToGrid w:val="0"/>
    </w:pPr>
    <w:rPr>
      <w:rFonts w:ascii="Arial" w:hAnsi="Arial" w:cs="Arial"/>
    </w:rPr>
  </w:style>
  <w:style w:type="paragraph" w:styleId="af8">
    <w:name w:val="Closing"/>
    <w:basedOn w:val="a2"/>
    <w:link w:val="Charb"/>
    <w:rsid w:val="001D2E2F"/>
    <w:pPr>
      <w:ind w:leftChars="2100" w:left="100"/>
    </w:pPr>
  </w:style>
  <w:style w:type="character" w:customStyle="1" w:styleId="Charb">
    <w:name w:val="结束语 Char"/>
    <w:basedOn w:val="a3"/>
    <w:link w:val="af8"/>
    <w:rsid w:val="001D2E2F"/>
    <w:rPr>
      <w:rFonts w:ascii="Times New Roman" w:eastAsia="宋体" w:hAnsi="Times New Roman" w:cs="Times New Roman"/>
      <w:szCs w:val="24"/>
    </w:rPr>
  </w:style>
  <w:style w:type="paragraph" w:styleId="af9">
    <w:name w:val="List"/>
    <w:basedOn w:val="a2"/>
    <w:rsid w:val="001D2E2F"/>
    <w:pPr>
      <w:ind w:left="200" w:hangingChars="200" w:hanging="200"/>
    </w:pPr>
  </w:style>
  <w:style w:type="paragraph" w:styleId="28">
    <w:name w:val="List 2"/>
    <w:basedOn w:val="a2"/>
    <w:rsid w:val="001D2E2F"/>
    <w:pPr>
      <w:ind w:leftChars="200" w:left="100" w:hangingChars="200" w:hanging="200"/>
    </w:pPr>
  </w:style>
  <w:style w:type="paragraph" w:styleId="34">
    <w:name w:val="List 3"/>
    <w:basedOn w:val="a2"/>
    <w:rsid w:val="001D2E2F"/>
    <w:pPr>
      <w:ind w:leftChars="400" w:left="100" w:hangingChars="200" w:hanging="200"/>
    </w:pPr>
  </w:style>
  <w:style w:type="paragraph" w:styleId="43">
    <w:name w:val="List 4"/>
    <w:basedOn w:val="a2"/>
    <w:rsid w:val="001D2E2F"/>
    <w:pPr>
      <w:ind w:leftChars="600" w:left="100" w:hangingChars="200" w:hanging="200"/>
    </w:pPr>
  </w:style>
  <w:style w:type="paragraph" w:styleId="53">
    <w:name w:val="List 5"/>
    <w:basedOn w:val="a2"/>
    <w:rsid w:val="001D2E2F"/>
    <w:pPr>
      <w:ind w:leftChars="800" w:left="100" w:hangingChars="200" w:hanging="200"/>
    </w:pPr>
  </w:style>
  <w:style w:type="paragraph" w:styleId="a">
    <w:name w:val="List Number"/>
    <w:basedOn w:val="a2"/>
    <w:rsid w:val="001D2E2F"/>
    <w:pPr>
      <w:numPr>
        <w:numId w:val="9"/>
      </w:numPr>
    </w:pPr>
  </w:style>
  <w:style w:type="paragraph" w:styleId="2">
    <w:name w:val="List Number 2"/>
    <w:basedOn w:val="a2"/>
    <w:rsid w:val="001D2E2F"/>
    <w:pPr>
      <w:numPr>
        <w:numId w:val="10"/>
      </w:numPr>
    </w:pPr>
  </w:style>
  <w:style w:type="paragraph" w:styleId="3">
    <w:name w:val="List Number 3"/>
    <w:basedOn w:val="a2"/>
    <w:rsid w:val="001D2E2F"/>
    <w:pPr>
      <w:numPr>
        <w:numId w:val="11"/>
      </w:numPr>
    </w:pPr>
  </w:style>
  <w:style w:type="paragraph" w:styleId="4">
    <w:name w:val="List Number 4"/>
    <w:basedOn w:val="a2"/>
    <w:rsid w:val="001D2E2F"/>
    <w:pPr>
      <w:numPr>
        <w:numId w:val="12"/>
      </w:numPr>
    </w:pPr>
  </w:style>
  <w:style w:type="paragraph" w:styleId="5">
    <w:name w:val="List Number 5"/>
    <w:basedOn w:val="a2"/>
    <w:rsid w:val="001D2E2F"/>
    <w:pPr>
      <w:numPr>
        <w:numId w:val="13"/>
      </w:numPr>
    </w:pPr>
  </w:style>
  <w:style w:type="paragraph" w:styleId="afa">
    <w:name w:val="List Continue"/>
    <w:basedOn w:val="a2"/>
    <w:rsid w:val="001D2E2F"/>
    <w:pPr>
      <w:spacing w:after="120"/>
      <w:ind w:leftChars="200" w:left="420"/>
    </w:pPr>
  </w:style>
  <w:style w:type="paragraph" w:styleId="29">
    <w:name w:val="List Continue 2"/>
    <w:basedOn w:val="a2"/>
    <w:rsid w:val="001D2E2F"/>
    <w:pPr>
      <w:spacing w:after="120"/>
      <w:ind w:leftChars="400" w:left="840"/>
    </w:pPr>
  </w:style>
  <w:style w:type="paragraph" w:styleId="35">
    <w:name w:val="List Continue 3"/>
    <w:basedOn w:val="a2"/>
    <w:rsid w:val="001D2E2F"/>
    <w:pPr>
      <w:spacing w:after="120"/>
      <w:ind w:leftChars="600" w:left="1260"/>
    </w:pPr>
  </w:style>
  <w:style w:type="paragraph" w:styleId="44">
    <w:name w:val="List Continue 4"/>
    <w:basedOn w:val="a2"/>
    <w:rsid w:val="001D2E2F"/>
    <w:pPr>
      <w:spacing w:after="120"/>
      <w:ind w:leftChars="800" w:left="1680"/>
    </w:pPr>
  </w:style>
  <w:style w:type="paragraph" w:styleId="54">
    <w:name w:val="List Continue 5"/>
    <w:basedOn w:val="a2"/>
    <w:rsid w:val="001D2E2F"/>
    <w:pPr>
      <w:spacing w:after="120"/>
      <w:ind w:leftChars="1000" w:left="2100"/>
    </w:pPr>
  </w:style>
  <w:style w:type="paragraph" w:styleId="a0">
    <w:name w:val="List Bullet"/>
    <w:basedOn w:val="a2"/>
    <w:autoRedefine/>
    <w:rsid w:val="001D2E2F"/>
    <w:pPr>
      <w:numPr>
        <w:numId w:val="14"/>
      </w:numPr>
    </w:pPr>
  </w:style>
  <w:style w:type="paragraph" w:styleId="20">
    <w:name w:val="List Bullet 2"/>
    <w:basedOn w:val="a2"/>
    <w:autoRedefine/>
    <w:rsid w:val="001D2E2F"/>
    <w:pPr>
      <w:numPr>
        <w:numId w:val="15"/>
      </w:numPr>
    </w:pPr>
  </w:style>
  <w:style w:type="paragraph" w:styleId="30">
    <w:name w:val="List Bullet 3"/>
    <w:basedOn w:val="a2"/>
    <w:autoRedefine/>
    <w:rsid w:val="001D2E2F"/>
    <w:pPr>
      <w:numPr>
        <w:numId w:val="16"/>
      </w:numPr>
    </w:pPr>
  </w:style>
  <w:style w:type="paragraph" w:styleId="40">
    <w:name w:val="List Bullet 4"/>
    <w:basedOn w:val="a2"/>
    <w:autoRedefine/>
    <w:rsid w:val="001D2E2F"/>
    <w:pPr>
      <w:numPr>
        <w:numId w:val="17"/>
      </w:numPr>
    </w:pPr>
  </w:style>
  <w:style w:type="paragraph" w:styleId="50">
    <w:name w:val="List Bullet 5"/>
    <w:basedOn w:val="a2"/>
    <w:autoRedefine/>
    <w:rsid w:val="001D2E2F"/>
    <w:pPr>
      <w:numPr>
        <w:numId w:val="18"/>
      </w:numPr>
    </w:pPr>
  </w:style>
  <w:style w:type="paragraph" w:styleId="afb">
    <w:name w:val="annotation text"/>
    <w:basedOn w:val="a2"/>
    <w:link w:val="Charc"/>
    <w:semiHidden/>
    <w:rsid w:val="001D2E2F"/>
    <w:pPr>
      <w:jc w:val="left"/>
    </w:pPr>
  </w:style>
  <w:style w:type="character" w:customStyle="1" w:styleId="Charc">
    <w:name w:val="批注文字 Char"/>
    <w:basedOn w:val="a3"/>
    <w:link w:val="afb"/>
    <w:semiHidden/>
    <w:rsid w:val="001D2E2F"/>
    <w:rPr>
      <w:rFonts w:ascii="Times New Roman" w:eastAsia="宋体" w:hAnsi="Times New Roman" w:cs="Times New Roman"/>
      <w:szCs w:val="24"/>
    </w:rPr>
  </w:style>
  <w:style w:type="paragraph" w:styleId="afc">
    <w:name w:val="Normal (Web)"/>
    <w:basedOn w:val="a2"/>
    <w:rsid w:val="001D2E2F"/>
    <w:rPr>
      <w:sz w:val="24"/>
    </w:rPr>
  </w:style>
  <w:style w:type="paragraph" w:styleId="afd">
    <w:name w:val="Signature"/>
    <w:basedOn w:val="a2"/>
    <w:link w:val="Chard"/>
    <w:rsid w:val="001D2E2F"/>
    <w:pPr>
      <w:ind w:leftChars="2100" w:left="100"/>
    </w:pPr>
  </w:style>
  <w:style w:type="character" w:customStyle="1" w:styleId="Chard">
    <w:name w:val="签名 Char"/>
    <w:basedOn w:val="a3"/>
    <w:link w:val="afd"/>
    <w:rsid w:val="001D2E2F"/>
    <w:rPr>
      <w:rFonts w:ascii="Times New Roman" w:eastAsia="宋体" w:hAnsi="Times New Roman" w:cs="Times New Roman"/>
      <w:szCs w:val="24"/>
    </w:rPr>
  </w:style>
  <w:style w:type="paragraph" w:styleId="afe">
    <w:name w:val="Date"/>
    <w:basedOn w:val="a2"/>
    <w:next w:val="a2"/>
    <w:link w:val="Chare"/>
    <w:rsid w:val="001D2E2F"/>
    <w:pPr>
      <w:ind w:leftChars="2500" w:left="100"/>
    </w:pPr>
  </w:style>
  <w:style w:type="character" w:customStyle="1" w:styleId="Chare">
    <w:name w:val="日期 Char"/>
    <w:basedOn w:val="a3"/>
    <w:link w:val="afe"/>
    <w:rsid w:val="001D2E2F"/>
    <w:rPr>
      <w:rFonts w:ascii="Times New Roman" w:eastAsia="宋体" w:hAnsi="Times New Roman" w:cs="Times New Roman"/>
      <w:szCs w:val="24"/>
    </w:rPr>
  </w:style>
  <w:style w:type="paragraph" w:styleId="14">
    <w:name w:val="index 1"/>
    <w:basedOn w:val="a2"/>
    <w:next w:val="a2"/>
    <w:autoRedefine/>
    <w:semiHidden/>
    <w:rsid w:val="001D2E2F"/>
  </w:style>
  <w:style w:type="paragraph" w:styleId="2a">
    <w:name w:val="index 2"/>
    <w:basedOn w:val="a2"/>
    <w:next w:val="a2"/>
    <w:autoRedefine/>
    <w:semiHidden/>
    <w:rsid w:val="001D2E2F"/>
    <w:pPr>
      <w:ind w:leftChars="200" w:left="200"/>
    </w:pPr>
  </w:style>
  <w:style w:type="paragraph" w:styleId="36">
    <w:name w:val="index 3"/>
    <w:basedOn w:val="a2"/>
    <w:next w:val="a2"/>
    <w:autoRedefine/>
    <w:semiHidden/>
    <w:rsid w:val="001D2E2F"/>
    <w:pPr>
      <w:ind w:leftChars="400" w:left="400"/>
    </w:pPr>
  </w:style>
  <w:style w:type="paragraph" w:styleId="45">
    <w:name w:val="index 4"/>
    <w:basedOn w:val="a2"/>
    <w:next w:val="a2"/>
    <w:autoRedefine/>
    <w:semiHidden/>
    <w:rsid w:val="001D2E2F"/>
    <w:pPr>
      <w:ind w:leftChars="600" w:left="600"/>
    </w:pPr>
  </w:style>
  <w:style w:type="paragraph" w:styleId="55">
    <w:name w:val="index 5"/>
    <w:basedOn w:val="a2"/>
    <w:next w:val="a2"/>
    <w:autoRedefine/>
    <w:semiHidden/>
    <w:rsid w:val="001D2E2F"/>
    <w:pPr>
      <w:ind w:leftChars="800" w:left="800"/>
    </w:pPr>
  </w:style>
  <w:style w:type="paragraph" w:styleId="61">
    <w:name w:val="index 6"/>
    <w:basedOn w:val="a2"/>
    <w:next w:val="a2"/>
    <w:autoRedefine/>
    <w:semiHidden/>
    <w:rsid w:val="001D2E2F"/>
    <w:pPr>
      <w:ind w:leftChars="1000" w:left="1000"/>
    </w:pPr>
  </w:style>
  <w:style w:type="paragraph" w:styleId="71">
    <w:name w:val="index 7"/>
    <w:basedOn w:val="a2"/>
    <w:next w:val="a2"/>
    <w:autoRedefine/>
    <w:semiHidden/>
    <w:rsid w:val="001D2E2F"/>
    <w:pPr>
      <w:ind w:leftChars="1200" w:left="1200"/>
    </w:pPr>
  </w:style>
  <w:style w:type="paragraph" w:styleId="81">
    <w:name w:val="index 8"/>
    <w:basedOn w:val="a2"/>
    <w:next w:val="a2"/>
    <w:autoRedefine/>
    <w:semiHidden/>
    <w:rsid w:val="001D2E2F"/>
    <w:pPr>
      <w:ind w:leftChars="1400" w:left="1400"/>
    </w:pPr>
  </w:style>
  <w:style w:type="paragraph" w:styleId="91">
    <w:name w:val="index 9"/>
    <w:basedOn w:val="a2"/>
    <w:next w:val="a2"/>
    <w:autoRedefine/>
    <w:semiHidden/>
    <w:rsid w:val="001D2E2F"/>
    <w:pPr>
      <w:ind w:leftChars="1600" w:left="1600"/>
    </w:pPr>
  </w:style>
  <w:style w:type="paragraph" w:styleId="aff">
    <w:name w:val="index heading"/>
    <w:basedOn w:val="a2"/>
    <w:next w:val="14"/>
    <w:semiHidden/>
    <w:rsid w:val="001D2E2F"/>
    <w:rPr>
      <w:rFonts w:ascii="Arial" w:hAnsi="Arial" w:cs="Arial"/>
      <w:b/>
      <w:bCs/>
    </w:rPr>
  </w:style>
  <w:style w:type="paragraph" w:styleId="aff0">
    <w:name w:val="Subtitle"/>
    <w:basedOn w:val="a2"/>
    <w:link w:val="Charf"/>
    <w:qFormat/>
    <w:rsid w:val="001D2E2F"/>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3"/>
    <w:link w:val="aff0"/>
    <w:rsid w:val="001D2E2F"/>
    <w:rPr>
      <w:rFonts w:ascii="Arial" w:eastAsia="宋体" w:hAnsi="Arial" w:cs="Arial"/>
      <w:b/>
      <w:bCs/>
      <w:kern w:val="28"/>
      <w:sz w:val="32"/>
      <w:szCs w:val="32"/>
    </w:rPr>
  </w:style>
  <w:style w:type="paragraph" w:styleId="aff1">
    <w:name w:val="caption"/>
    <w:basedOn w:val="a2"/>
    <w:next w:val="a2"/>
    <w:qFormat/>
    <w:rsid w:val="001D2E2F"/>
    <w:pPr>
      <w:spacing w:before="152" w:after="160"/>
    </w:pPr>
    <w:rPr>
      <w:rFonts w:ascii="Arial" w:eastAsia="黑体" w:hAnsi="Arial" w:cs="Arial"/>
      <w:sz w:val="20"/>
      <w:szCs w:val="20"/>
    </w:rPr>
  </w:style>
  <w:style w:type="paragraph" w:styleId="aff2">
    <w:name w:val="table of figures"/>
    <w:basedOn w:val="a2"/>
    <w:next w:val="a2"/>
    <w:semiHidden/>
    <w:rsid w:val="001D2E2F"/>
    <w:pPr>
      <w:ind w:leftChars="200" w:left="840" w:hangingChars="200" w:hanging="420"/>
    </w:pPr>
  </w:style>
  <w:style w:type="paragraph" w:styleId="aff3">
    <w:name w:val="endnote text"/>
    <w:basedOn w:val="a2"/>
    <w:link w:val="Charf0"/>
    <w:semiHidden/>
    <w:rsid w:val="001D2E2F"/>
    <w:pPr>
      <w:snapToGrid w:val="0"/>
      <w:jc w:val="left"/>
    </w:pPr>
  </w:style>
  <w:style w:type="character" w:customStyle="1" w:styleId="Charf0">
    <w:name w:val="尾注文本 Char"/>
    <w:basedOn w:val="a3"/>
    <w:link w:val="aff3"/>
    <w:semiHidden/>
    <w:rsid w:val="001D2E2F"/>
    <w:rPr>
      <w:rFonts w:ascii="Times New Roman" w:eastAsia="宋体" w:hAnsi="Times New Roman" w:cs="Times New Roman"/>
      <w:szCs w:val="24"/>
    </w:rPr>
  </w:style>
  <w:style w:type="paragraph" w:styleId="aff4">
    <w:name w:val="Block Text"/>
    <w:basedOn w:val="a2"/>
    <w:rsid w:val="001D2E2F"/>
    <w:pPr>
      <w:spacing w:after="120"/>
      <w:ind w:leftChars="700" w:left="1440" w:rightChars="700" w:right="1440"/>
    </w:pPr>
  </w:style>
  <w:style w:type="paragraph" w:styleId="aff5">
    <w:name w:val="envelope address"/>
    <w:basedOn w:val="a2"/>
    <w:rsid w:val="001D2E2F"/>
    <w:pPr>
      <w:framePr w:w="7920" w:h="1980" w:hRule="exact" w:hSpace="180" w:wrap="auto" w:hAnchor="page" w:xAlign="center" w:yAlign="bottom"/>
      <w:snapToGrid w:val="0"/>
      <w:ind w:leftChars="1400" w:left="100"/>
    </w:pPr>
    <w:rPr>
      <w:rFonts w:ascii="Arial" w:hAnsi="Arial" w:cs="Arial"/>
      <w:sz w:val="24"/>
    </w:rPr>
  </w:style>
  <w:style w:type="paragraph" w:styleId="aff6">
    <w:name w:val="Message Header"/>
    <w:basedOn w:val="a2"/>
    <w:link w:val="Charf1"/>
    <w:rsid w:val="001D2E2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3"/>
    <w:link w:val="aff6"/>
    <w:rsid w:val="001D2E2F"/>
    <w:rPr>
      <w:rFonts w:ascii="Arial" w:eastAsia="宋体" w:hAnsi="Arial" w:cs="Arial"/>
      <w:sz w:val="24"/>
      <w:szCs w:val="24"/>
      <w:shd w:val="pct20" w:color="auto" w:fill="auto"/>
    </w:rPr>
  </w:style>
  <w:style w:type="paragraph" w:styleId="aff7">
    <w:name w:val="table of authorities"/>
    <w:basedOn w:val="a2"/>
    <w:next w:val="a2"/>
    <w:semiHidden/>
    <w:rsid w:val="001D2E2F"/>
    <w:pPr>
      <w:ind w:leftChars="200" w:left="420"/>
    </w:pPr>
  </w:style>
  <w:style w:type="paragraph" w:styleId="aff8">
    <w:name w:val="toa heading"/>
    <w:basedOn w:val="a2"/>
    <w:next w:val="a2"/>
    <w:semiHidden/>
    <w:rsid w:val="001D2E2F"/>
    <w:pPr>
      <w:spacing w:before="120"/>
    </w:pPr>
    <w:rPr>
      <w:rFonts w:ascii="Arial" w:hAnsi="Arial" w:cs="Arial"/>
      <w:sz w:val="24"/>
    </w:rPr>
  </w:style>
  <w:style w:type="paragraph" w:styleId="aff9">
    <w:name w:val="Body Text First Indent"/>
    <w:basedOn w:val="ad"/>
    <w:link w:val="Charf2"/>
    <w:rsid w:val="001D2E2F"/>
    <w:pPr>
      <w:autoSpaceDE/>
      <w:autoSpaceDN/>
      <w:adjustRightInd/>
      <w:spacing w:after="120"/>
      <w:ind w:firstLineChars="100" w:firstLine="420"/>
      <w:jc w:val="both"/>
    </w:pPr>
    <w:rPr>
      <w:rFonts w:ascii="Times New Roman"/>
      <w:kern w:val="2"/>
      <w:sz w:val="21"/>
    </w:rPr>
  </w:style>
  <w:style w:type="character" w:customStyle="1" w:styleId="Charf2">
    <w:name w:val="正文首行缩进 Char"/>
    <w:basedOn w:val="Char3"/>
    <w:link w:val="aff9"/>
    <w:rsid w:val="001D2E2F"/>
    <w:rPr>
      <w:rFonts w:ascii="Times New Roman" w:eastAsia="宋体" w:hAnsi="Times New Roman" w:cs="Times New Roman"/>
      <w:kern w:val="0"/>
      <w:sz w:val="24"/>
      <w:szCs w:val="24"/>
    </w:rPr>
  </w:style>
  <w:style w:type="paragraph" w:styleId="2b">
    <w:name w:val="Body Text First Indent 2"/>
    <w:basedOn w:val="a8"/>
    <w:link w:val="2Char2"/>
    <w:rsid w:val="001D2E2F"/>
    <w:pPr>
      <w:spacing w:after="120"/>
      <w:ind w:leftChars="200" w:left="420" w:firstLine="210"/>
    </w:pPr>
    <w:rPr>
      <w:rFonts w:ascii="Times New Roman" w:hAnsi="Times New Roman"/>
      <w:sz w:val="21"/>
    </w:rPr>
  </w:style>
  <w:style w:type="character" w:customStyle="1" w:styleId="2Char2">
    <w:name w:val="正文首行缩进 2 Char"/>
    <w:basedOn w:val="Char0"/>
    <w:link w:val="2b"/>
    <w:rsid w:val="001D2E2F"/>
    <w:rPr>
      <w:rFonts w:ascii="Times New Roman" w:eastAsia="宋体" w:hAnsi="Times New Roman" w:cs="Times New Roman"/>
      <w:sz w:val="24"/>
      <w:szCs w:val="24"/>
    </w:rPr>
  </w:style>
  <w:style w:type="paragraph" w:styleId="37">
    <w:name w:val="Body Text 3"/>
    <w:basedOn w:val="a2"/>
    <w:link w:val="3Char1"/>
    <w:rsid w:val="001D2E2F"/>
    <w:pPr>
      <w:spacing w:after="120"/>
    </w:pPr>
    <w:rPr>
      <w:sz w:val="16"/>
      <w:szCs w:val="16"/>
    </w:rPr>
  </w:style>
  <w:style w:type="character" w:customStyle="1" w:styleId="3Char1">
    <w:name w:val="正文文本 3 Char"/>
    <w:basedOn w:val="a3"/>
    <w:link w:val="37"/>
    <w:rsid w:val="001D2E2F"/>
    <w:rPr>
      <w:rFonts w:ascii="Times New Roman" w:eastAsia="宋体" w:hAnsi="Times New Roman" w:cs="Times New Roman"/>
      <w:sz w:val="16"/>
      <w:szCs w:val="16"/>
    </w:rPr>
  </w:style>
  <w:style w:type="paragraph" w:styleId="affa">
    <w:name w:val="Note Heading"/>
    <w:basedOn w:val="a2"/>
    <w:next w:val="a2"/>
    <w:link w:val="Charf3"/>
    <w:rsid w:val="001D2E2F"/>
    <w:pPr>
      <w:jc w:val="center"/>
    </w:pPr>
  </w:style>
  <w:style w:type="character" w:customStyle="1" w:styleId="Charf3">
    <w:name w:val="注释标题 Char"/>
    <w:basedOn w:val="a3"/>
    <w:link w:val="affa"/>
    <w:rsid w:val="001D2E2F"/>
    <w:rPr>
      <w:rFonts w:ascii="Times New Roman" w:eastAsia="宋体" w:hAnsi="Times New Roman" w:cs="Times New Roman"/>
      <w:szCs w:val="24"/>
    </w:rPr>
  </w:style>
  <w:style w:type="paragraph" w:customStyle="1" w:styleId="affb">
    <w:name w:val="项目"/>
    <w:basedOn w:val="41"/>
    <w:rsid w:val="001D2E2F"/>
    <w:pPr>
      <w:numPr>
        <w:ilvl w:val="0"/>
        <w:numId w:val="0"/>
      </w:numPr>
      <w:snapToGrid w:val="0"/>
      <w:spacing w:before="120" w:after="120" w:line="360" w:lineRule="auto"/>
    </w:pPr>
    <w:rPr>
      <w:rFonts w:ascii="Times New Roman" w:eastAsia="楷体_GB2312" w:hAnsi="Times New Roman"/>
      <w:b w:val="0"/>
      <w:sz w:val="24"/>
      <w:szCs w:val="20"/>
    </w:rPr>
  </w:style>
  <w:style w:type="paragraph" w:customStyle="1" w:styleId="affc">
    <w:name w:val="表格文字"/>
    <w:basedOn w:val="ad"/>
    <w:rsid w:val="001D2E2F"/>
    <w:pPr>
      <w:autoSpaceDE/>
      <w:autoSpaceDN/>
      <w:adjustRightInd/>
      <w:spacing w:before="60" w:after="60"/>
      <w:jc w:val="center"/>
    </w:pPr>
    <w:rPr>
      <w:rFonts w:ascii="Times New Roman" w:eastAsia="楷体_GB2312"/>
      <w:bCs/>
      <w:kern w:val="2"/>
      <w:sz w:val="21"/>
      <w:szCs w:val="20"/>
    </w:rPr>
  </w:style>
  <w:style w:type="character" w:customStyle="1" w:styleId="font141">
    <w:name w:val="font141"/>
    <w:basedOn w:val="a3"/>
    <w:rsid w:val="001D2E2F"/>
    <w:rPr>
      <w:rFonts w:ascii="宋体" w:eastAsia="宋体" w:hAnsi="宋体" w:hint="eastAsia"/>
      <w:spacing w:val="300"/>
      <w:sz w:val="21"/>
      <w:szCs w:val="21"/>
    </w:rPr>
  </w:style>
  <w:style w:type="character" w:customStyle="1" w:styleId="da">
    <w:name w:val="da"/>
    <w:basedOn w:val="a3"/>
    <w:rsid w:val="001D2E2F"/>
  </w:style>
  <w:style w:type="paragraph" w:customStyle="1" w:styleId="affd">
    <w:name w:val="特点"/>
    <w:aliases w:val="表正文,正文非缩进,段1"/>
    <w:basedOn w:val="a2"/>
    <w:next w:val="a6"/>
    <w:rsid w:val="001D2E2F"/>
    <w:pPr>
      <w:ind w:firstLine="420"/>
    </w:pPr>
    <w:rPr>
      <w:szCs w:val="20"/>
    </w:rPr>
  </w:style>
  <w:style w:type="paragraph" w:customStyle="1" w:styleId="xl33">
    <w:name w:val="xl33"/>
    <w:basedOn w:val="a2"/>
    <w:rsid w:val="001D2E2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1">
    <w:name w:val="表标题"/>
    <w:basedOn w:val="a6"/>
    <w:rsid w:val="001D2E2F"/>
    <w:pPr>
      <w:numPr>
        <w:numId w:val="33"/>
      </w:numPr>
      <w:spacing w:before="120" w:after="60" w:line="288" w:lineRule="auto"/>
    </w:pPr>
    <w:rPr>
      <w:sz w:val="28"/>
    </w:rPr>
  </w:style>
  <w:style w:type="paragraph" w:customStyle="1" w:styleId="xl29">
    <w:name w:val="xl29"/>
    <w:basedOn w:val="a2"/>
    <w:rsid w:val="001D2E2F"/>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 w:type="paragraph" w:customStyle="1" w:styleId="xl30">
    <w:name w:val="xl30"/>
    <w:basedOn w:val="a2"/>
    <w:rsid w:val="001D2E2F"/>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paragraph" w:customStyle="1" w:styleId="21">
    <w:name w:val="样式2"/>
    <w:basedOn w:val="a2"/>
    <w:autoRedefine/>
    <w:rsid w:val="001D2E2F"/>
    <w:pPr>
      <w:numPr>
        <w:numId w:val="36"/>
      </w:numPr>
      <w:tabs>
        <w:tab w:val="left" w:pos="900"/>
      </w:tabs>
      <w:spacing w:line="360" w:lineRule="auto"/>
    </w:pPr>
    <w:rPr>
      <w:rFonts w:ascii="宋体" w:hAnsi="宋体"/>
      <w:szCs w:val="21"/>
    </w:rPr>
  </w:style>
  <w:style w:type="paragraph" w:customStyle="1" w:styleId="1">
    <w:name w:val="样式1后小项目"/>
    <w:basedOn w:val="21"/>
    <w:autoRedefine/>
    <w:rsid w:val="001D2E2F"/>
    <w:pPr>
      <w:numPr>
        <w:numId w:val="35"/>
      </w:numPr>
    </w:pPr>
  </w:style>
  <w:style w:type="paragraph" w:customStyle="1" w:styleId="affe">
    <w:name w:val="简单回函地址"/>
    <w:basedOn w:val="a2"/>
    <w:rsid w:val="001D2E2F"/>
  </w:style>
  <w:style w:type="character" w:customStyle="1" w:styleId="afff">
    <w:name w:val="a"/>
    <w:basedOn w:val="a3"/>
    <w:rsid w:val="001D2E2F"/>
  </w:style>
  <w:style w:type="character" w:styleId="afff0">
    <w:name w:val="Strong"/>
    <w:basedOn w:val="a3"/>
    <w:qFormat/>
    <w:rsid w:val="001D2E2F"/>
    <w:rPr>
      <w:b/>
      <w:bCs/>
    </w:rPr>
  </w:style>
  <w:style w:type="paragraph" w:customStyle="1" w:styleId="CharCharCharChar">
    <w:name w:val="Char Char Char Char"/>
    <w:basedOn w:val="a2"/>
    <w:autoRedefine/>
    <w:rsid w:val="001D2E2F"/>
    <w:pPr>
      <w:tabs>
        <w:tab w:val="num" w:pos="840"/>
      </w:tabs>
      <w:adjustRightInd w:val="0"/>
      <w:spacing w:line="360" w:lineRule="atLeast"/>
      <w:ind w:left="840" w:hanging="360"/>
      <w:textAlignment w:val="baseline"/>
    </w:pPr>
    <w:rPr>
      <w:sz w:val="24"/>
    </w:rPr>
  </w:style>
  <w:style w:type="character" w:styleId="HTML1">
    <w:name w:val="HTML Typewriter"/>
    <w:basedOn w:val="a3"/>
    <w:uiPriority w:val="99"/>
    <w:rsid w:val="001D2E2F"/>
    <w:rPr>
      <w:rFonts w:ascii="黑体" w:eastAsia="黑体" w:hAnsi="Courier New" w:cs="Courier New"/>
      <w:sz w:val="20"/>
      <w:szCs w:val="20"/>
    </w:rPr>
  </w:style>
  <w:style w:type="character" w:customStyle="1" w:styleId="text1">
    <w:name w:val="text1"/>
    <w:basedOn w:val="a3"/>
    <w:rsid w:val="001D2E2F"/>
    <w:rPr>
      <w:rFonts w:hint="default"/>
      <w:b w:val="0"/>
      <w:bCs w:val="0"/>
      <w:i w:val="0"/>
      <w:iCs w:val="0"/>
      <w:smallCaps w:val="0"/>
      <w:strike w:val="0"/>
      <w:dstrike w:val="0"/>
      <w:color w:val="000000"/>
      <w:spacing w:val="345"/>
      <w:sz w:val="18"/>
      <w:szCs w:val="18"/>
      <w:u w:val="none"/>
      <w:effect w:val="none"/>
    </w:rPr>
  </w:style>
  <w:style w:type="character" w:customStyle="1" w:styleId="style21">
    <w:name w:val="style21"/>
    <w:basedOn w:val="a3"/>
    <w:rsid w:val="001D2E2F"/>
    <w:rPr>
      <w:rFonts w:ascii="Arial" w:hAnsi="Arial" w:cs="Arial" w:hint="default"/>
    </w:rPr>
  </w:style>
  <w:style w:type="character" w:customStyle="1" w:styleId="fontcolor3">
    <w:name w:val="fontcolor3"/>
    <w:basedOn w:val="a3"/>
    <w:rsid w:val="001D2E2F"/>
    <w:rPr>
      <w:color w:val="6C057B"/>
    </w:rPr>
  </w:style>
  <w:style w:type="paragraph" w:customStyle="1" w:styleId="font14">
    <w:name w:val="font14"/>
    <w:basedOn w:val="a2"/>
    <w:rsid w:val="001D2E2F"/>
    <w:pPr>
      <w:widowControl/>
      <w:spacing w:before="100" w:beforeAutospacing="1" w:after="100" w:afterAutospacing="1" w:line="360" w:lineRule="auto"/>
      <w:jc w:val="left"/>
    </w:pPr>
    <w:rPr>
      <w:rFonts w:eastAsia="Arial Unicode MS" w:cs="Arial Unicode MS"/>
      <w:kern w:val="0"/>
      <w:szCs w:val="21"/>
    </w:rPr>
  </w:style>
  <w:style w:type="character" w:customStyle="1" w:styleId="txtcontent11">
    <w:name w:val="txtcontent11"/>
    <w:basedOn w:val="a3"/>
    <w:rsid w:val="001D2E2F"/>
    <w:rPr>
      <w:rFonts w:hint="default"/>
      <w:b w:val="0"/>
      <w:bCs w:val="0"/>
      <w:color w:val="000000"/>
      <w:spacing w:val="360"/>
      <w:sz w:val="21"/>
      <w:szCs w:val="21"/>
    </w:rPr>
  </w:style>
  <w:style w:type="paragraph" w:customStyle="1" w:styleId="Charf4">
    <w:name w:val="Char"/>
    <w:basedOn w:val="a2"/>
    <w:rsid w:val="001D2E2F"/>
  </w:style>
  <w:style w:type="paragraph" w:customStyle="1" w:styleId="CharCharCharChar1">
    <w:name w:val="Char Char Char Char1"/>
    <w:basedOn w:val="a2"/>
    <w:autoRedefine/>
    <w:rsid w:val="001D2E2F"/>
    <w:pPr>
      <w:tabs>
        <w:tab w:val="num" w:pos="360"/>
      </w:tabs>
      <w:spacing w:before="312" w:after="312" w:line="360" w:lineRule="auto"/>
    </w:pPr>
    <w:rPr>
      <w:sz w:val="24"/>
    </w:rPr>
  </w:style>
  <w:style w:type="character" w:customStyle="1" w:styleId="15">
    <w:name w:val="15"/>
    <w:basedOn w:val="a3"/>
    <w:rsid w:val="001D2E2F"/>
  </w:style>
  <w:style w:type="paragraph" w:customStyle="1" w:styleId="CharCharCharCharCharCharChar">
    <w:name w:val="Char Char Char Char Char Char Char"/>
    <w:basedOn w:val="a2"/>
    <w:rsid w:val="001D2E2F"/>
  </w:style>
  <w:style w:type="paragraph" w:customStyle="1" w:styleId="Default">
    <w:name w:val="Default"/>
    <w:rsid w:val="00FF1312"/>
    <w:pPr>
      <w:widowControl w:val="0"/>
      <w:autoSpaceDE w:val="0"/>
      <w:autoSpaceDN w:val="0"/>
      <w:adjustRightInd w:val="0"/>
    </w:pPr>
    <w:rPr>
      <w:rFonts w:ascii="Times New Roman" w:hAnsi="Times New Roman"/>
      <w:color w:val="000000"/>
      <w:sz w:val="24"/>
      <w:szCs w:val="24"/>
    </w:rPr>
  </w:style>
  <w:style w:type="character" w:customStyle="1" w:styleId="CharChar11">
    <w:name w:val="Char Char11"/>
    <w:basedOn w:val="a3"/>
    <w:locked/>
    <w:rsid w:val="00D37056"/>
    <w:rPr>
      <w:rFonts w:ascii="宋体" w:eastAsia="宋体" w:hAnsi="Courier New" w:cs="Courier New"/>
      <w:kern w:val="2"/>
      <w:sz w:val="21"/>
      <w:szCs w:val="21"/>
      <w:lang w:val="en-US" w:eastAsia="zh-CN" w:bidi="ar-SA"/>
    </w:rPr>
  </w:style>
  <w:style w:type="paragraph" w:styleId="afff1">
    <w:name w:val="Revision"/>
    <w:hidden/>
    <w:uiPriority w:val="99"/>
    <w:semiHidden/>
    <w:rsid w:val="00D35C6A"/>
    <w:rPr>
      <w:rFonts w:ascii="Times New Roman" w:hAnsi="Times New Roman"/>
      <w:kern w:val="2"/>
      <w:sz w:val="21"/>
      <w:szCs w:val="24"/>
    </w:rPr>
  </w:style>
  <w:style w:type="character" w:customStyle="1" w:styleId="Char10">
    <w:name w:val="纯文本 Char1"/>
    <w:basedOn w:val="a3"/>
    <w:semiHidden/>
    <w:locked/>
    <w:rsid w:val="00056BC1"/>
    <w:rPr>
      <w:rFonts w:ascii="宋体" w:hAnsi="Courier New" w:cs="Courier New"/>
      <w:kern w:val="2"/>
      <w:sz w:val="21"/>
      <w:szCs w:val="21"/>
    </w:rPr>
  </w:style>
  <w:style w:type="table" w:styleId="afff2">
    <w:name w:val="Table Grid"/>
    <w:basedOn w:val="a4"/>
    <w:qFormat/>
    <w:rsid w:val="002C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annotation reference"/>
    <w:basedOn w:val="a3"/>
    <w:uiPriority w:val="99"/>
    <w:semiHidden/>
    <w:unhideWhenUsed/>
    <w:rsid w:val="00733008"/>
    <w:rPr>
      <w:sz w:val="21"/>
      <w:szCs w:val="21"/>
    </w:rPr>
  </w:style>
  <w:style w:type="paragraph" w:styleId="afff4">
    <w:name w:val="annotation subject"/>
    <w:basedOn w:val="afb"/>
    <w:next w:val="afb"/>
    <w:link w:val="Charf5"/>
    <w:semiHidden/>
    <w:unhideWhenUsed/>
    <w:rsid w:val="00733008"/>
    <w:rPr>
      <w:b/>
      <w:bCs/>
    </w:rPr>
  </w:style>
  <w:style w:type="character" w:customStyle="1" w:styleId="Charf5">
    <w:name w:val="批注主题 Char"/>
    <w:basedOn w:val="Charc"/>
    <w:link w:val="afff4"/>
    <w:uiPriority w:val="99"/>
    <w:semiHidden/>
    <w:rsid w:val="00733008"/>
    <w:rPr>
      <w:rFonts w:ascii="Times New Roman" w:eastAsia="宋体" w:hAnsi="Times New Roman" w:cs="Times New Roman"/>
      <w:b/>
      <w:bCs/>
      <w:kern w:val="2"/>
      <w:sz w:val="21"/>
      <w:szCs w:val="24"/>
    </w:rPr>
  </w:style>
  <w:style w:type="paragraph" w:customStyle="1" w:styleId="22">
    <w:name w:val="列表2"/>
    <w:basedOn w:val="a2"/>
    <w:next w:val="af3"/>
    <w:rsid w:val="008F0F6A"/>
    <w:pPr>
      <w:numPr>
        <w:numId w:val="37"/>
      </w:numPr>
      <w:spacing w:line="360" w:lineRule="auto"/>
      <w:ind w:leftChars="-200" w:left="-200" w:firstLineChars="200" w:firstLine="200"/>
    </w:pPr>
    <w:rPr>
      <w:rFonts w:ascii="宋体"/>
      <w:szCs w:val="20"/>
    </w:rPr>
  </w:style>
  <w:style w:type="paragraph" w:customStyle="1" w:styleId="16">
    <w:name w:val="列表1"/>
    <w:basedOn w:val="a2"/>
    <w:next w:val="a2"/>
    <w:rsid w:val="008F0F6A"/>
    <w:pPr>
      <w:tabs>
        <w:tab w:val="num" w:pos="644"/>
      </w:tabs>
      <w:spacing w:line="360" w:lineRule="auto"/>
      <w:ind w:leftChars="-200" w:left="567" w:firstLineChars="200" w:hanging="283"/>
    </w:pPr>
    <w:rPr>
      <w:szCs w:val="20"/>
    </w:rPr>
  </w:style>
  <w:style w:type="character" w:customStyle="1" w:styleId="read">
    <w:name w:val="read"/>
    <w:basedOn w:val="a3"/>
    <w:rsid w:val="008F0F6A"/>
  </w:style>
  <w:style w:type="table" w:styleId="afff5">
    <w:name w:val="Table Theme"/>
    <w:basedOn w:val="a4"/>
    <w:rsid w:val="008F0F6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2"/>
    <w:autoRedefine/>
    <w:rsid w:val="008F0F6A"/>
    <w:pPr>
      <w:tabs>
        <w:tab w:val="num" w:pos="360"/>
        <w:tab w:val="num" w:pos="990"/>
      </w:tabs>
      <w:ind w:leftChars="-200" w:left="-200" w:firstLineChars="200" w:firstLine="200"/>
    </w:pPr>
    <w:rPr>
      <w:sz w:val="24"/>
    </w:rPr>
  </w:style>
  <w:style w:type="character" w:customStyle="1" w:styleId="heigh1801">
    <w:name w:val="heigh1801"/>
    <w:basedOn w:val="a3"/>
    <w:rsid w:val="008F0F6A"/>
  </w:style>
  <w:style w:type="paragraph" w:customStyle="1" w:styleId="CharCharChar1">
    <w:name w:val="Char Char Char1"/>
    <w:basedOn w:val="a2"/>
    <w:rsid w:val="008F0F6A"/>
    <w:pPr>
      <w:ind w:leftChars="-200" w:left="-200" w:firstLineChars="200" w:firstLine="200"/>
    </w:pPr>
  </w:style>
  <w:style w:type="paragraph" w:customStyle="1" w:styleId="afff6">
    <w:name w:val="正文所"/>
    <w:basedOn w:val="a2"/>
    <w:rsid w:val="008F0F6A"/>
    <w:pPr>
      <w:spacing w:line="360" w:lineRule="auto"/>
      <w:ind w:leftChars="-200" w:left="-200" w:firstLineChars="200" w:firstLine="420"/>
    </w:pPr>
  </w:style>
  <w:style w:type="paragraph" w:customStyle="1" w:styleId="Char11">
    <w:name w:val="Char1"/>
    <w:basedOn w:val="a2"/>
    <w:rsid w:val="008F0F6A"/>
    <w:pPr>
      <w:ind w:leftChars="-200" w:left="-200" w:firstLineChars="200" w:firstLine="200"/>
    </w:pPr>
  </w:style>
  <w:style w:type="character" w:customStyle="1" w:styleId="CharChar">
    <w:name w:val="Char Char"/>
    <w:basedOn w:val="a3"/>
    <w:locked/>
    <w:rsid w:val="008F0F6A"/>
    <w:rPr>
      <w:rFonts w:ascii="Calibri" w:eastAsia="宋体" w:hAnsi="Courier New" w:cs="Courier New"/>
      <w:kern w:val="2"/>
      <w:sz w:val="21"/>
      <w:szCs w:val="21"/>
      <w:lang w:val="en-US" w:eastAsia="zh-CN" w:bidi="ar-SA"/>
    </w:rPr>
  </w:style>
  <w:style w:type="paragraph" w:styleId="afff7">
    <w:name w:val="List Paragraph"/>
    <w:basedOn w:val="a2"/>
    <w:uiPriority w:val="34"/>
    <w:qFormat/>
    <w:rsid w:val="008F0F6A"/>
    <w:pPr>
      <w:ind w:leftChars="-200" w:left="-200"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6">
      <w:bodyDiv w:val="1"/>
      <w:marLeft w:val="0"/>
      <w:marRight w:val="0"/>
      <w:marTop w:val="0"/>
      <w:marBottom w:val="0"/>
      <w:divBdr>
        <w:top w:val="none" w:sz="0" w:space="0" w:color="auto"/>
        <w:left w:val="none" w:sz="0" w:space="0" w:color="auto"/>
        <w:bottom w:val="none" w:sz="0" w:space="0" w:color="auto"/>
        <w:right w:val="none" w:sz="0" w:space="0" w:color="auto"/>
      </w:divBdr>
    </w:div>
    <w:div w:id="553922">
      <w:bodyDiv w:val="1"/>
      <w:marLeft w:val="0"/>
      <w:marRight w:val="0"/>
      <w:marTop w:val="0"/>
      <w:marBottom w:val="0"/>
      <w:divBdr>
        <w:top w:val="none" w:sz="0" w:space="0" w:color="auto"/>
        <w:left w:val="none" w:sz="0" w:space="0" w:color="auto"/>
        <w:bottom w:val="none" w:sz="0" w:space="0" w:color="auto"/>
        <w:right w:val="none" w:sz="0" w:space="0" w:color="auto"/>
      </w:divBdr>
    </w:div>
    <w:div w:id="7491955">
      <w:bodyDiv w:val="1"/>
      <w:marLeft w:val="0"/>
      <w:marRight w:val="0"/>
      <w:marTop w:val="0"/>
      <w:marBottom w:val="0"/>
      <w:divBdr>
        <w:top w:val="none" w:sz="0" w:space="0" w:color="auto"/>
        <w:left w:val="none" w:sz="0" w:space="0" w:color="auto"/>
        <w:bottom w:val="none" w:sz="0" w:space="0" w:color="auto"/>
        <w:right w:val="none" w:sz="0" w:space="0" w:color="auto"/>
      </w:divBdr>
    </w:div>
    <w:div w:id="10107873">
      <w:bodyDiv w:val="1"/>
      <w:marLeft w:val="0"/>
      <w:marRight w:val="0"/>
      <w:marTop w:val="0"/>
      <w:marBottom w:val="0"/>
      <w:divBdr>
        <w:top w:val="none" w:sz="0" w:space="0" w:color="auto"/>
        <w:left w:val="none" w:sz="0" w:space="0" w:color="auto"/>
        <w:bottom w:val="none" w:sz="0" w:space="0" w:color="auto"/>
        <w:right w:val="none" w:sz="0" w:space="0" w:color="auto"/>
      </w:divBdr>
    </w:div>
    <w:div w:id="20934981">
      <w:bodyDiv w:val="1"/>
      <w:marLeft w:val="0"/>
      <w:marRight w:val="0"/>
      <w:marTop w:val="0"/>
      <w:marBottom w:val="0"/>
      <w:divBdr>
        <w:top w:val="none" w:sz="0" w:space="0" w:color="auto"/>
        <w:left w:val="none" w:sz="0" w:space="0" w:color="auto"/>
        <w:bottom w:val="none" w:sz="0" w:space="0" w:color="auto"/>
        <w:right w:val="none" w:sz="0" w:space="0" w:color="auto"/>
      </w:divBdr>
    </w:div>
    <w:div w:id="24184280">
      <w:bodyDiv w:val="1"/>
      <w:marLeft w:val="0"/>
      <w:marRight w:val="0"/>
      <w:marTop w:val="0"/>
      <w:marBottom w:val="0"/>
      <w:divBdr>
        <w:top w:val="none" w:sz="0" w:space="0" w:color="auto"/>
        <w:left w:val="none" w:sz="0" w:space="0" w:color="auto"/>
        <w:bottom w:val="none" w:sz="0" w:space="0" w:color="auto"/>
        <w:right w:val="none" w:sz="0" w:space="0" w:color="auto"/>
      </w:divBdr>
    </w:div>
    <w:div w:id="27263882">
      <w:bodyDiv w:val="1"/>
      <w:marLeft w:val="0"/>
      <w:marRight w:val="0"/>
      <w:marTop w:val="0"/>
      <w:marBottom w:val="0"/>
      <w:divBdr>
        <w:top w:val="none" w:sz="0" w:space="0" w:color="auto"/>
        <w:left w:val="none" w:sz="0" w:space="0" w:color="auto"/>
        <w:bottom w:val="none" w:sz="0" w:space="0" w:color="auto"/>
        <w:right w:val="none" w:sz="0" w:space="0" w:color="auto"/>
      </w:divBdr>
    </w:div>
    <w:div w:id="50930455">
      <w:bodyDiv w:val="1"/>
      <w:marLeft w:val="0"/>
      <w:marRight w:val="0"/>
      <w:marTop w:val="0"/>
      <w:marBottom w:val="0"/>
      <w:divBdr>
        <w:top w:val="none" w:sz="0" w:space="0" w:color="auto"/>
        <w:left w:val="none" w:sz="0" w:space="0" w:color="auto"/>
        <w:bottom w:val="none" w:sz="0" w:space="0" w:color="auto"/>
        <w:right w:val="none" w:sz="0" w:space="0" w:color="auto"/>
      </w:divBdr>
    </w:div>
    <w:div w:id="82069343">
      <w:bodyDiv w:val="1"/>
      <w:marLeft w:val="0"/>
      <w:marRight w:val="0"/>
      <w:marTop w:val="0"/>
      <w:marBottom w:val="0"/>
      <w:divBdr>
        <w:top w:val="none" w:sz="0" w:space="0" w:color="auto"/>
        <w:left w:val="none" w:sz="0" w:space="0" w:color="auto"/>
        <w:bottom w:val="none" w:sz="0" w:space="0" w:color="auto"/>
        <w:right w:val="none" w:sz="0" w:space="0" w:color="auto"/>
      </w:divBdr>
    </w:div>
    <w:div w:id="107743083">
      <w:bodyDiv w:val="1"/>
      <w:marLeft w:val="0"/>
      <w:marRight w:val="0"/>
      <w:marTop w:val="0"/>
      <w:marBottom w:val="0"/>
      <w:divBdr>
        <w:top w:val="none" w:sz="0" w:space="0" w:color="auto"/>
        <w:left w:val="none" w:sz="0" w:space="0" w:color="auto"/>
        <w:bottom w:val="none" w:sz="0" w:space="0" w:color="auto"/>
        <w:right w:val="none" w:sz="0" w:space="0" w:color="auto"/>
      </w:divBdr>
    </w:div>
    <w:div w:id="119155335">
      <w:bodyDiv w:val="1"/>
      <w:marLeft w:val="0"/>
      <w:marRight w:val="0"/>
      <w:marTop w:val="0"/>
      <w:marBottom w:val="0"/>
      <w:divBdr>
        <w:top w:val="none" w:sz="0" w:space="0" w:color="auto"/>
        <w:left w:val="none" w:sz="0" w:space="0" w:color="auto"/>
        <w:bottom w:val="none" w:sz="0" w:space="0" w:color="auto"/>
        <w:right w:val="none" w:sz="0" w:space="0" w:color="auto"/>
      </w:divBdr>
    </w:div>
    <w:div w:id="121120677">
      <w:bodyDiv w:val="1"/>
      <w:marLeft w:val="0"/>
      <w:marRight w:val="0"/>
      <w:marTop w:val="0"/>
      <w:marBottom w:val="0"/>
      <w:divBdr>
        <w:top w:val="none" w:sz="0" w:space="0" w:color="auto"/>
        <w:left w:val="none" w:sz="0" w:space="0" w:color="auto"/>
        <w:bottom w:val="none" w:sz="0" w:space="0" w:color="auto"/>
        <w:right w:val="none" w:sz="0" w:space="0" w:color="auto"/>
      </w:divBdr>
    </w:div>
    <w:div w:id="123087202">
      <w:bodyDiv w:val="1"/>
      <w:marLeft w:val="0"/>
      <w:marRight w:val="0"/>
      <w:marTop w:val="0"/>
      <w:marBottom w:val="0"/>
      <w:divBdr>
        <w:top w:val="none" w:sz="0" w:space="0" w:color="auto"/>
        <w:left w:val="none" w:sz="0" w:space="0" w:color="auto"/>
        <w:bottom w:val="none" w:sz="0" w:space="0" w:color="auto"/>
        <w:right w:val="none" w:sz="0" w:space="0" w:color="auto"/>
      </w:divBdr>
    </w:div>
    <w:div w:id="126627354">
      <w:bodyDiv w:val="1"/>
      <w:marLeft w:val="0"/>
      <w:marRight w:val="0"/>
      <w:marTop w:val="0"/>
      <w:marBottom w:val="0"/>
      <w:divBdr>
        <w:top w:val="none" w:sz="0" w:space="0" w:color="auto"/>
        <w:left w:val="none" w:sz="0" w:space="0" w:color="auto"/>
        <w:bottom w:val="none" w:sz="0" w:space="0" w:color="auto"/>
        <w:right w:val="none" w:sz="0" w:space="0" w:color="auto"/>
      </w:divBdr>
    </w:div>
    <w:div w:id="204103130">
      <w:bodyDiv w:val="1"/>
      <w:marLeft w:val="0"/>
      <w:marRight w:val="0"/>
      <w:marTop w:val="0"/>
      <w:marBottom w:val="0"/>
      <w:divBdr>
        <w:top w:val="none" w:sz="0" w:space="0" w:color="auto"/>
        <w:left w:val="none" w:sz="0" w:space="0" w:color="auto"/>
        <w:bottom w:val="none" w:sz="0" w:space="0" w:color="auto"/>
        <w:right w:val="none" w:sz="0" w:space="0" w:color="auto"/>
      </w:divBdr>
    </w:div>
    <w:div w:id="235284492">
      <w:bodyDiv w:val="1"/>
      <w:marLeft w:val="0"/>
      <w:marRight w:val="0"/>
      <w:marTop w:val="0"/>
      <w:marBottom w:val="0"/>
      <w:divBdr>
        <w:top w:val="none" w:sz="0" w:space="0" w:color="auto"/>
        <w:left w:val="none" w:sz="0" w:space="0" w:color="auto"/>
        <w:bottom w:val="none" w:sz="0" w:space="0" w:color="auto"/>
        <w:right w:val="none" w:sz="0" w:space="0" w:color="auto"/>
      </w:divBdr>
    </w:div>
    <w:div w:id="242182903">
      <w:bodyDiv w:val="1"/>
      <w:marLeft w:val="0"/>
      <w:marRight w:val="0"/>
      <w:marTop w:val="0"/>
      <w:marBottom w:val="0"/>
      <w:divBdr>
        <w:top w:val="none" w:sz="0" w:space="0" w:color="auto"/>
        <w:left w:val="none" w:sz="0" w:space="0" w:color="auto"/>
        <w:bottom w:val="none" w:sz="0" w:space="0" w:color="auto"/>
        <w:right w:val="none" w:sz="0" w:space="0" w:color="auto"/>
      </w:divBdr>
    </w:div>
    <w:div w:id="248467392">
      <w:bodyDiv w:val="1"/>
      <w:marLeft w:val="0"/>
      <w:marRight w:val="0"/>
      <w:marTop w:val="0"/>
      <w:marBottom w:val="0"/>
      <w:divBdr>
        <w:top w:val="none" w:sz="0" w:space="0" w:color="auto"/>
        <w:left w:val="none" w:sz="0" w:space="0" w:color="auto"/>
        <w:bottom w:val="none" w:sz="0" w:space="0" w:color="auto"/>
        <w:right w:val="none" w:sz="0" w:space="0" w:color="auto"/>
      </w:divBdr>
    </w:div>
    <w:div w:id="271666504">
      <w:bodyDiv w:val="1"/>
      <w:marLeft w:val="0"/>
      <w:marRight w:val="0"/>
      <w:marTop w:val="0"/>
      <w:marBottom w:val="0"/>
      <w:divBdr>
        <w:top w:val="none" w:sz="0" w:space="0" w:color="auto"/>
        <w:left w:val="none" w:sz="0" w:space="0" w:color="auto"/>
        <w:bottom w:val="none" w:sz="0" w:space="0" w:color="auto"/>
        <w:right w:val="none" w:sz="0" w:space="0" w:color="auto"/>
      </w:divBdr>
    </w:div>
    <w:div w:id="309671824">
      <w:bodyDiv w:val="1"/>
      <w:marLeft w:val="0"/>
      <w:marRight w:val="0"/>
      <w:marTop w:val="0"/>
      <w:marBottom w:val="0"/>
      <w:divBdr>
        <w:top w:val="none" w:sz="0" w:space="0" w:color="auto"/>
        <w:left w:val="none" w:sz="0" w:space="0" w:color="auto"/>
        <w:bottom w:val="none" w:sz="0" w:space="0" w:color="auto"/>
        <w:right w:val="none" w:sz="0" w:space="0" w:color="auto"/>
      </w:divBdr>
    </w:div>
    <w:div w:id="364135249">
      <w:bodyDiv w:val="1"/>
      <w:marLeft w:val="0"/>
      <w:marRight w:val="0"/>
      <w:marTop w:val="0"/>
      <w:marBottom w:val="0"/>
      <w:divBdr>
        <w:top w:val="none" w:sz="0" w:space="0" w:color="auto"/>
        <w:left w:val="none" w:sz="0" w:space="0" w:color="auto"/>
        <w:bottom w:val="none" w:sz="0" w:space="0" w:color="auto"/>
        <w:right w:val="none" w:sz="0" w:space="0" w:color="auto"/>
      </w:divBdr>
    </w:div>
    <w:div w:id="366568332">
      <w:bodyDiv w:val="1"/>
      <w:marLeft w:val="0"/>
      <w:marRight w:val="0"/>
      <w:marTop w:val="0"/>
      <w:marBottom w:val="0"/>
      <w:divBdr>
        <w:top w:val="none" w:sz="0" w:space="0" w:color="auto"/>
        <w:left w:val="none" w:sz="0" w:space="0" w:color="auto"/>
        <w:bottom w:val="none" w:sz="0" w:space="0" w:color="auto"/>
        <w:right w:val="none" w:sz="0" w:space="0" w:color="auto"/>
      </w:divBdr>
    </w:div>
    <w:div w:id="389505071">
      <w:bodyDiv w:val="1"/>
      <w:marLeft w:val="0"/>
      <w:marRight w:val="0"/>
      <w:marTop w:val="0"/>
      <w:marBottom w:val="0"/>
      <w:divBdr>
        <w:top w:val="none" w:sz="0" w:space="0" w:color="auto"/>
        <w:left w:val="none" w:sz="0" w:space="0" w:color="auto"/>
        <w:bottom w:val="none" w:sz="0" w:space="0" w:color="auto"/>
        <w:right w:val="none" w:sz="0" w:space="0" w:color="auto"/>
      </w:divBdr>
    </w:div>
    <w:div w:id="423192318">
      <w:bodyDiv w:val="1"/>
      <w:marLeft w:val="0"/>
      <w:marRight w:val="0"/>
      <w:marTop w:val="0"/>
      <w:marBottom w:val="0"/>
      <w:divBdr>
        <w:top w:val="none" w:sz="0" w:space="0" w:color="auto"/>
        <w:left w:val="none" w:sz="0" w:space="0" w:color="auto"/>
        <w:bottom w:val="none" w:sz="0" w:space="0" w:color="auto"/>
        <w:right w:val="none" w:sz="0" w:space="0" w:color="auto"/>
      </w:divBdr>
    </w:div>
    <w:div w:id="441918936">
      <w:bodyDiv w:val="1"/>
      <w:marLeft w:val="0"/>
      <w:marRight w:val="0"/>
      <w:marTop w:val="0"/>
      <w:marBottom w:val="0"/>
      <w:divBdr>
        <w:top w:val="none" w:sz="0" w:space="0" w:color="auto"/>
        <w:left w:val="none" w:sz="0" w:space="0" w:color="auto"/>
        <w:bottom w:val="none" w:sz="0" w:space="0" w:color="auto"/>
        <w:right w:val="none" w:sz="0" w:space="0" w:color="auto"/>
      </w:divBdr>
    </w:div>
    <w:div w:id="462621859">
      <w:bodyDiv w:val="1"/>
      <w:marLeft w:val="0"/>
      <w:marRight w:val="0"/>
      <w:marTop w:val="0"/>
      <w:marBottom w:val="0"/>
      <w:divBdr>
        <w:top w:val="none" w:sz="0" w:space="0" w:color="auto"/>
        <w:left w:val="none" w:sz="0" w:space="0" w:color="auto"/>
        <w:bottom w:val="none" w:sz="0" w:space="0" w:color="auto"/>
        <w:right w:val="none" w:sz="0" w:space="0" w:color="auto"/>
      </w:divBdr>
    </w:div>
    <w:div w:id="477496744">
      <w:bodyDiv w:val="1"/>
      <w:marLeft w:val="0"/>
      <w:marRight w:val="0"/>
      <w:marTop w:val="0"/>
      <w:marBottom w:val="0"/>
      <w:divBdr>
        <w:top w:val="none" w:sz="0" w:space="0" w:color="auto"/>
        <w:left w:val="none" w:sz="0" w:space="0" w:color="auto"/>
        <w:bottom w:val="none" w:sz="0" w:space="0" w:color="auto"/>
        <w:right w:val="none" w:sz="0" w:space="0" w:color="auto"/>
      </w:divBdr>
    </w:div>
    <w:div w:id="478503073">
      <w:bodyDiv w:val="1"/>
      <w:marLeft w:val="0"/>
      <w:marRight w:val="0"/>
      <w:marTop w:val="0"/>
      <w:marBottom w:val="0"/>
      <w:divBdr>
        <w:top w:val="none" w:sz="0" w:space="0" w:color="auto"/>
        <w:left w:val="none" w:sz="0" w:space="0" w:color="auto"/>
        <w:bottom w:val="none" w:sz="0" w:space="0" w:color="auto"/>
        <w:right w:val="none" w:sz="0" w:space="0" w:color="auto"/>
      </w:divBdr>
    </w:div>
    <w:div w:id="480080230">
      <w:bodyDiv w:val="1"/>
      <w:marLeft w:val="0"/>
      <w:marRight w:val="0"/>
      <w:marTop w:val="0"/>
      <w:marBottom w:val="0"/>
      <w:divBdr>
        <w:top w:val="none" w:sz="0" w:space="0" w:color="auto"/>
        <w:left w:val="none" w:sz="0" w:space="0" w:color="auto"/>
        <w:bottom w:val="none" w:sz="0" w:space="0" w:color="auto"/>
        <w:right w:val="none" w:sz="0" w:space="0" w:color="auto"/>
      </w:divBdr>
    </w:div>
    <w:div w:id="488331492">
      <w:bodyDiv w:val="1"/>
      <w:marLeft w:val="0"/>
      <w:marRight w:val="0"/>
      <w:marTop w:val="0"/>
      <w:marBottom w:val="0"/>
      <w:divBdr>
        <w:top w:val="none" w:sz="0" w:space="0" w:color="auto"/>
        <w:left w:val="none" w:sz="0" w:space="0" w:color="auto"/>
        <w:bottom w:val="none" w:sz="0" w:space="0" w:color="auto"/>
        <w:right w:val="none" w:sz="0" w:space="0" w:color="auto"/>
      </w:divBdr>
    </w:div>
    <w:div w:id="492111344">
      <w:bodyDiv w:val="1"/>
      <w:marLeft w:val="0"/>
      <w:marRight w:val="0"/>
      <w:marTop w:val="0"/>
      <w:marBottom w:val="0"/>
      <w:divBdr>
        <w:top w:val="none" w:sz="0" w:space="0" w:color="auto"/>
        <w:left w:val="none" w:sz="0" w:space="0" w:color="auto"/>
        <w:bottom w:val="none" w:sz="0" w:space="0" w:color="auto"/>
        <w:right w:val="none" w:sz="0" w:space="0" w:color="auto"/>
      </w:divBdr>
    </w:div>
    <w:div w:id="499735361">
      <w:bodyDiv w:val="1"/>
      <w:marLeft w:val="0"/>
      <w:marRight w:val="0"/>
      <w:marTop w:val="0"/>
      <w:marBottom w:val="0"/>
      <w:divBdr>
        <w:top w:val="none" w:sz="0" w:space="0" w:color="auto"/>
        <w:left w:val="none" w:sz="0" w:space="0" w:color="auto"/>
        <w:bottom w:val="none" w:sz="0" w:space="0" w:color="auto"/>
        <w:right w:val="none" w:sz="0" w:space="0" w:color="auto"/>
      </w:divBdr>
    </w:div>
    <w:div w:id="506334581">
      <w:bodyDiv w:val="1"/>
      <w:marLeft w:val="0"/>
      <w:marRight w:val="0"/>
      <w:marTop w:val="0"/>
      <w:marBottom w:val="0"/>
      <w:divBdr>
        <w:top w:val="none" w:sz="0" w:space="0" w:color="auto"/>
        <w:left w:val="none" w:sz="0" w:space="0" w:color="auto"/>
        <w:bottom w:val="none" w:sz="0" w:space="0" w:color="auto"/>
        <w:right w:val="none" w:sz="0" w:space="0" w:color="auto"/>
      </w:divBdr>
    </w:div>
    <w:div w:id="507670115">
      <w:bodyDiv w:val="1"/>
      <w:marLeft w:val="0"/>
      <w:marRight w:val="0"/>
      <w:marTop w:val="0"/>
      <w:marBottom w:val="0"/>
      <w:divBdr>
        <w:top w:val="none" w:sz="0" w:space="0" w:color="auto"/>
        <w:left w:val="none" w:sz="0" w:space="0" w:color="auto"/>
        <w:bottom w:val="none" w:sz="0" w:space="0" w:color="auto"/>
        <w:right w:val="none" w:sz="0" w:space="0" w:color="auto"/>
      </w:divBdr>
    </w:div>
    <w:div w:id="578370830">
      <w:bodyDiv w:val="1"/>
      <w:marLeft w:val="0"/>
      <w:marRight w:val="0"/>
      <w:marTop w:val="0"/>
      <w:marBottom w:val="0"/>
      <w:divBdr>
        <w:top w:val="none" w:sz="0" w:space="0" w:color="auto"/>
        <w:left w:val="none" w:sz="0" w:space="0" w:color="auto"/>
        <w:bottom w:val="none" w:sz="0" w:space="0" w:color="auto"/>
        <w:right w:val="none" w:sz="0" w:space="0" w:color="auto"/>
      </w:divBdr>
    </w:div>
    <w:div w:id="615718150">
      <w:bodyDiv w:val="1"/>
      <w:marLeft w:val="0"/>
      <w:marRight w:val="0"/>
      <w:marTop w:val="0"/>
      <w:marBottom w:val="0"/>
      <w:divBdr>
        <w:top w:val="none" w:sz="0" w:space="0" w:color="auto"/>
        <w:left w:val="none" w:sz="0" w:space="0" w:color="auto"/>
        <w:bottom w:val="none" w:sz="0" w:space="0" w:color="auto"/>
        <w:right w:val="none" w:sz="0" w:space="0" w:color="auto"/>
      </w:divBdr>
    </w:div>
    <w:div w:id="616524530">
      <w:bodyDiv w:val="1"/>
      <w:marLeft w:val="0"/>
      <w:marRight w:val="0"/>
      <w:marTop w:val="0"/>
      <w:marBottom w:val="0"/>
      <w:divBdr>
        <w:top w:val="none" w:sz="0" w:space="0" w:color="auto"/>
        <w:left w:val="none" w:sz="0" w:space="0" w:color="auto"/>
        <w:bottom w:val="none" w:sz="0" w:space="0" w:color="auto"/>
        <w:right w:val="none" w:sz="0" w:space="0" w:color="auto"/>
      </w:divBdr>
    </w:div>
    <w:div w:id="637076081">
      <w:bodyDiv w:val="1"/>
      <w:marLeft w:val="0"/>
      <w:marRight w:val="0"/>
      <w:marTop w:val="0"/>
      <w:marBottom w:val="0"/>
      <w:divBdr>
        <w:top w:val="none" w:sz="0" w:space="0" w:color="auto"/>
        <w:left w:val="none" w:sz="0" w:space="0" w:color="auto"/>
        <w:bottom w:val="none" w:sz="0" w:space="0" w:color="auto"/>
        <w:right w:val="none" w:sz="0" w:space="0" w:color="auto"/>
      </w:divBdr>
    </w:div>
    <w:div w:id="653294495">
      <w:bodyDiv w:val="1"/>
      <w:marLeft w:val="0"/>
      <w:marRight w:val="0"/>
      <w:marTop w:val="0"/>
      <w:marBottom w:val="0"/>
      <w:divBdr>
        <w:top w:val="none" w:sz="0" w:space="0" w:color="auto"/>
        <w:left w:val="none" w:sz="0" w:space="0" w:color="auto"/>
        <w:bottom w:val="none" w:sz="0" w:space="0" w:color="auto"/>
        <w:right w:val="none" w:sz="0" w:space="0" w:color="auto"/>
      </w:divBdr>
    </w:div>
    <w:div w:id="699283963">
      <w:bodyDiv w:val="1"/>
      <w:marLeft w:val="0"/>
      <w:marRight w:val="0"/>
      <w:marTop w:val="0"/>
      <w:marBottom w:val="0"/>
      <w:divBdr>
        <w:top w:val="none" w:sz="0" w:space="0" w:color="auto"/>
        <w:left w:val="none" w:sz="0" w:space="0" w:color="auto"/>
        <w:bottom w:val="none" w:sz="0" w:space="0" w:color="auto"/>
        <w:right w:val="none" w:sz="0" w:space="0" w:color="auto"/>
      </w:divBdr>
    </w:div>
    <w:div w:id="705644122">
      <w:bodyDiv w:val="1"/>
      <w:marLeft w:val="0"/>
      <w:marRight w:val="0"/>
      <w:marTop w:val="0"/>
      <w:marBottom w:val="0"/>
      <w:divBdr>
        <w:top w:val="none" w:sz="0" w:space="0" w:color="auto"/>
        <w:left w:val="none" w:sz="0" w:space="0" w:color="auto"/>
        <w:bottom w:val="none" w:sz="0" w:space="0" w:color="auto"/>
        <w:right w:val="none" w:sz="0" w:space="0" w:color="auto"/>
      </w:divBdr>
    </w:div>
    <w:div w:id="720791744">
      <w:bodyDiv w:val="1"/>
      <w:marLeft w:val="0"/>
      <w:marRight w:val="0"/>
      <w:marTop w:val="0"/>
      <w:marBottom w:val="0"/>
      <w:divBdr>
        <w:top w:val="none" w:sz="0" w:space="0" w:color="auto"/>
        <w:left w:val="none" w:sz="0" w:space="0" w:color="auto"/>
        <w:bottom w:val="none" w:sz="0" w:space="0" w:color="auto"/>
        <w:right w:val="none" w:sz="0" w:space="0" w:color="auto"/>
      </w:divBdr>
    </w:div>
    <w:div w:id="739252567">
      <w:bodyDiv w:val="1"/>
      <w:marLeft w:val="0"/>
      <w:marRight w:val="0"/>
      <w:marTop w:val="0"/>
      <w:marBottom w:val="0"/>
      <w:divBdr>
        <w:top w:val="none" w:sz="0" w:space="0" w:color="auto"/>
        <w:left w:val="none" w:sz="0" w:space="0" w:color="auto"/>
        <w:bottom w:val="none" w:sz="0" w:space="0" w:color="auto"/>
        <w:right w:val="none" w:sz="0" w:space="0" w:color="auto"/>
      </w:divBdr>
    </w:div>
    <w:div w:id="740178960">
      <w:bodyDiv w:val="1"/>
      <w:marLeft w:val="0"/>
      <w:marRight w:val="0"/>
      <w:marTop w:val="0"/>
      <w:marBottom w:val="0"/>
      <w:divBdr>
        <w:top w:val="none" w:sz="0" w:space="0" w:color="auto"/>
        <w:left w:val="none" w:sz="0" w:space="0" w:color="auto"/>
        <w:bottom w:val="none" w:sz="0" w:space="0" w:color="auto"/>
        <w:right w:val="none" w:sz="0" w:space="0" w:color="auto"/>
      </w:divBdr>
    </w:div>
    <w:div w:id="751507657">
      <w:bodyDiv w:val="1"/>
      <w:marLeft w:val="0"/>
      <w:marRight w:val="0"/>
      <w:marTop w:val="0"/>
      <w:marBottom w:val="0"/>
      <w:divBdr>
        <w:top w:val="none" w:sz="0" w:space="0" w:color="auto"/>
        <w:left w:val="none" w:sz="0" w:space="0" w:color="auto"/>
        <w:bottom w:val="none" w:sz="0" w:space="0" w:color="auto"/>
        <w:right w:val="none" w:sz="0" w:space="0" w:color="auto"/>
      </w:divBdr>
    </w:div>
    <w:div w:id="805128004">
      <w:bodyDiv w:val="1"/>
      <w:marLeft w:val="0"/>
      <w:marRight w:val="0"/>
      <w:marTop w:val="0"/>
      <w:marBottom w:val="0"/>
      <w:divBdr>
        <w:top w:val="none" w:sz="0" w:space="0" w:color="auto"/>
        <w:left w:val="none" w:sz="0" w:space="0" w:color="auto"/>
        <w:bottom w:val="none" w:sz="0" w:space="0" w:color="auto"/>
        <w:right w:val="none" w:sz="0" w:space="0" w:color="auto"/>
      </w:divBdr>
    </w:div>
    <w:div w:id="838890137">
      <w:bodyDiv w:val="1"/>
      <w:marLeft w:val="0"/>
      <w:marRight w:val="0"/>
      <w:marTop w:val="0"/>
      <w:marBottom w:val="0"/>
      <w:divBdr>
        <w:top w:val="none" w:sz="0" w:space="0" w:color="auto"/>
        <w:left w:val="none" w:sz="0" w:space="0" w:color="auto"/>
        <w:bottom w:val="none" w:sz="0" w:space="0" w:color="auto"/>
        <w:right w:val="none" w:sz="0" w:space="0" w:color="auto"/>
      </w:divBdr>
    </w:div>
    <w:div w:id="841555229">
      <w:bodyDiv w:val="1"/>
      <w:marLeft w:val="0"/>
      <w:marRight w:val="0"/>
      <w:marTop w:val="0"/>
      <w:marBottom w:val="0"/>
      <w:divBdr>
        <w:top w:val="none" w:sz="0" w:space="0" w:color="auto"/>
        <w:left w:val="none" w:sz="0" w:space="0" w:color="auto"/>
        <w:bottom w:val="none" w:sz="0" w:space="0" w:color="auto"/>
        <w:right w:val="none" w:sz="0" w:space="0" w:color="auto"/>
      </w:divBdr>
    </w:div>
    <w:div w:id="849100413">
      <w:bodyDiv w:val="1"/>
      <w:marLeft w:val="0"/>
      <w:marRight w:val="0"/>
      <w:marTop w:val="0"/>
      <w:marBottom w:val="0"/>
      <w:divBdr>
        <w:top w:val="none" w:sz="0" w:space="0" w:color="auto"/>
        <w:left w:val="none" w:sz="0" w:space="0" w:color="auto"/>
        <w:bottom w:val="none" w:sz="0" w:space="0" w:color="auto"/>
        <w:right w:val="none" w:sz="0" w:space="0" w:color="auto"/>
      </w:divBdr>
    </w:div>
    <w:div w:id="855003568">
      <w:bodyDiv w:val="1"/>
      <w:marLeft w:val="0"/>
      <w:marRight w:val="0"/>
      <w:marTop w:val="0"/>
      <w:marBottom w:val="0"/>
      <w:divBdr>
        <w:top w:val="none" w:sz="0" w:space="0" w:color="auto"/>
        <w:left w:val="none" w:sz="0" w:space="0" w:color="auto"/>
        <w:bottom w:val="none" w:sz="0" w:space="0" w:color="auto"/>
        <w:right w:val="none" w:sz="0" w:space="0" w:color="auto"/>
      </w:divBdr>
    </w:div>
    <w:div w:id="882330097">
      <w:bodyDiv w:val="1"/>
      <w:marLeft w:val="0"/>
      <w:marRight w:val="0"/>
      <w:marTop w:val="0"/>
      <w:marBottom w:val="0"/>
      <w:divBdr>
        <w:top w:val="none" w:sz="0" w:space="0" w:color="auto"/>
        <w:left w:val="none" w:sz="0" w:space="0" w:color="auto"/>
        <w:bottom w:val="none" w:sz="0" w:space="0" w:color="auto"/>
        <w:right w:val="none" w:sz="0" w:space="0" w:color="auto"/>
      </w:divBdr>
    </w:div>
    <w:div w:id="891773964">
      <w:bodyDiv w:val="1"/>
      <w:marLeft w:val="0"/>
      <w:marRight w:val="0"/>
      <w:marTop w:val="0"/>
      <w:marBottom w:val="0"/>
      <w:divBdr>
        <w:top w:val="none" w:sz="0" w:space="0" w:color="auto"/>
        <w:left w:val="none" w:sz="0" w:space="0" w:color="auto"/>
        <w:bottom w:val="none" w:sz="0" w:space="0" w:color="auto"/>
        <w:right w:val="none" w:sz="0" w:space="0" w:color="auto"/>
      </w:divBdr>
    </w:div>
    <w:div w:id="893352084">
      <w:bodyDiv w:val="1"/>
      <w:marLeft w:val="0"/>
      <w:marRight w:val="0"/>
      <w:marTop w:val="0"/>
      <w:marBottom w:val="0"/>
      <w:divBdr>
        <w:top w:val="none" w:sz="0" w:space="0" w:color="auto"/>
        <w:left w:val="none" w:sz="0" w:space="0" w:color="auto"/>
        <w:bottom w:val="none" w:sz="0" w:space="0" w:color="auto"/>
        <w:right w:val="none" w:sz="0" w:space="0" w:color="auto"/>
      </w:divBdr>
    </w:div>
    <w:div w:id="896086137">
      <w:bodyDiv w:val="1"/>
      <w:marLeft w:val="0"/>
      <w:marRight w:val="0"/>
      <w:marTop w:val="0"/>
      <w:marBottom w:val="0"/>
      <w:divBdr>
        <w:top w:val="none" w:sz="0" w:space="0" w:color="auto"/>
        <w:left w:val="none" w:sz="0" w:space="0" w:color="auto"/>
        <w:bottom w:val="none" w:sz="0" w:space="0" w:color="auto"/>
        <w:right w:val="none" w:sz="0" w:space="0" w:color="auto"/>
      </w:divBdr>
    </w:div>
    <w:div w:id="917327880">
      <w:bodyDiv w:val="1"/>
      <w:marLeft w:val="0"/>
      <w:marRight w:val="0"/>
      <w:marTop w:val="0"/>
      <w:marBottom w:val="0"/>
      <w:divBdr>
        <w:top w:val="none" w:sz="0" w:space="0" w:color="auto"/>
        <w:left w:val="none" w:sz="0" w:space="0" w:color="auto"/>
        <w:bottom w:val="none" w:sz="0" w:space="0" w:color="auto"/>
        <w:right w:val="none" w:sz="0" w:space="0" w:color="auto"/>
      </w:divBdr>
    </w:div>
    <w:div w:id="920213042">
      <w:bodyDiv w:val="1"/>
      <w:marLeft w:val="0"/>
      <w:marRight w:val="0"/>
      <w:marTop w:val="0"/>
      <w:marBottom w:val="0"/>
      <w:divBdr>
        <w:top w:val="none" w:sz="0" w:space="0" w:color="auto"/>
        <w:left w:val="none" w:sz="0" w:space="0" w:color="auto"/>
        <w:bottom w:val="none" w:sz="0" w:space="0" w:color="auto"/>
        <w:right w:val="none" w:sz="0" w:space="0" w:color="auto"/>
      </w:divBdr>
    </w:div>
    <w:div w:id="921715364">
      <w:bodyDiv w:val="1"/>
      <w:marLeft w:val="0"/>
      <w:marRight w:val="0"/>
      <w:marTop w:val="0"/>
      <w:marBottom w:val="0"/>
      <w:divBdr>
        <w:top w:val="none" w:sz="0" w:space="0" w:color="auto"/>
        <w:left w:val="none" w:sz="0" w:space="0" w:color="auto"/>
        <w:bottom w:val="none" w:sz="0" w:space="0" w:color="auto"/>
        <w:right w:val="none" w:sz="0" w:space="0" w:color="auto"/>
      </w:divBdr>
    </w:div>
    <w:div w:id="924605884">
      <w:bodyDiv w:val="1"/>
      <w:marLeft w:val="0"/>
      <w:marRight w:val="0"/>
      <w:marTop w:val="0"/>
      <w:marBottom w:val="0"/>
      <w:divBdr>
        <w:top w:val="none" w:sz="0" w:space="0" w:color="auto"/>
        <w:left w:val="none" w:sz="0" w:space="0" w:color="auto"/>
        <w:bottom w:val="none" w:sz="0" w:space="0" w:color="auto"/>
        <w:right w:val="none" w:sz="0" w:space="0" w:color="auto"/>
      </w:divBdr>
    </w:div>
    <w:div w:id="929120080">
      <w:bodyDiv w:val="1"/>
      <w:marLeft w:val="0"/>
      <w:marRight w:val="0"/>
      <w:marTop w:val="0"/>
      <w:marBottom w:val="0"/>
      <w:divBdr>
        <w:top w:val="none" w:sz="0" w:space="0" w:color="auto"/>
        <w:left w:val="none" w:sz="0" w:space="0" w:color="auto"/>
        <w:bottom w:val="none" w:sz="0" w:space="0" w:color="auto"/>
        <w:right w:val="none" w:sz="0" w:space="0" w:color="auto"/>
      </w:divBdr>
    </w:div>
    <w:div w:id="934903217">
      <w:bodyDiv w:val="1"/>
      <w:marLeft w:val="0"/>
      <w:marRight w:val="0"/>
      <w:marTop w:val="0"/>
      <w:marBottom w:val="0"/>
      <w:divBdr>
        <w:top w:val="none" w:sz="0" w:space="0" w:color="auto"/>
        <w:left w:val="none" w:sz="0" w:space="0" w:color="auto"/>
        <w:bottom w:val="none" w:sz="0" w:space="0" w:color="auto"/>
        <w:right w:val="none" w:sz="0" w:space="0" w:color="auto"/>
      </w:divBdr>
    </w:div>
    <w:div w:id="948971562">
      <w:bodyDiv w:val="1"/>
      <w:marLeft w:val="0"/>
      <w:marRight w:val="0"/>
      <w:marTop w:val="0"/>
      <w:marBottom w:val="0"/>
      <w:divBdr>
        <w:top w:val="none" w:sz="0" w:space="0" w:color="auto"/>
        <w:left w:val="none" w:sz="0" w:space="0" w:color="auto"/>
        <w:bottom w:val="none" w:sz="0" w:space="0" w:color="auto"/>
        <w:right w:val="none" w:sz="0" w:space="0" w:color="auto"/>
      </w:divBdr>
    </w:div>
    <w:div w:id="964895476">
      <w:bodyDiv w:val="1"/>
      <w:marLeft w:val="0"/>
      <w:marRight w:val="0"/>
      <w:marTop w:val="0"/>
      <w:marBottom w:val="0"/>
      <w:divBdr>
        <w:top w:val="none" w:sz="0" w:space="0" w:color="auto"/>
        <w:left w:val="none" w:sz="0" w:space="0" w:color="auto"/>
        <w:bottom w:val="none" w:sz="0" w:space="0" w:color="auto"/>
        <w:right w:val="none" w:sz="0" w:space="0" w:color="auto"/>
      </w:divBdr>
    </w:div>
    <w:div w:id="1026056117">
      <w:bodyDiv w:val="1"/>
      <w:marLeft w:val="0"/>
      <w:marRight w:val="0"/>
      <w:marTop w:val="0"/>
      <w:marBottom w:val="0"/>
      <w:divBdr>
        <w:top w:val="none" w:sz="0" w:space="0" w:color="auto"/>
        <w:left w:val="none" w:sz="0" w:space="0" w:color="auto"/>
        <w:bottom w:val="none" w:sz="0" w:space="0" w:color="auto"/>
        <w:right w:val="none" w:sz="0" w:space="0" w:color="auto"/>
      </w:divBdr>
    </w:div>
    <w:div w:id="1031951475">
      <w:bodyDiv w:val="1"/>
      <w:marLeft w:val="0"/>
      <w:marRight w:val="0"/>
      <w:marTop w:val="0"/>
      <w:marBottom w:val="0"/>
      <w:divBdr>
        <w:top w:val="none" w:sz="0" w:space="0" w:color="auto"/>
        <w:left w:val="none" w:sz="0" w:space="0" w:color="auto"/>
        <w:bottom w:val="none" w:sz="0" w:space="0" w:color="auto"/>
        <w:right w:val="none" w:sz="0" w:space="0" w:color="auto"/>
      </w:divBdr>
    </w:div>
    <w:div w:id="1042943571">
      <w:bodyDiv w:val="1"/>
      <w:marLeft w:val="0"/>
      <w:marRight w:val="0"/>
      <w:marTop w:val="0"/>
      <w:marBottom w:val="0"/>
      <w:divBdr>
        <w:top w:val="none" w:sz="0" w:space="0" w:color="auto"/>
        <w:left w:val="none" w:sz="0" w:space="0" w:color="auto"/>
        <w:bottom w:val="none" w:sz="0" w:space="0" w:color="auto"/>
        <w:right w:val="none" w:sz="0" w:space="0" w:color="auto"/>
      </w:divBdr>
    </w:div>
    <w:div w:id="1052194796">
      <w:bodyDiv w:val="1"/>
      <w:marLeft w:val="0"/>
      <w:marRight w:val="0"/>
      <w:marTop w:val="0"/>
      <w:marBottom w:val="0"/>
      <w:divBdr>
        <w:top w:val="none" w:sz="0" w:space="0" w:color="auto"/>
        <w:left w:val="none" w:sz="0" w:space="0" w:color="auto"/>
        <w:bottom w:val="none" w:sz="0" w:space="0" w:color="auto"/>
        <w:right w:val="none" w:sz="0" w:space="0" w:color="auto"/>
      </w:divBdr>
    </w:div>
    <w:div w:id="1054306650">
      <w:bodyDiv w:val="1"/>
      <w:marLeft w:val="0"/>
      <w:marRight w:val="0"/>
      <w:marTop w:val="0"/>
      <w:marBottom w:val="0"/>
      <w:divBdr>
        <w:top w:val="none" w:sz="0" w:space="0" w:color="auto"/>
        <w:left w:val="none" w:sz="0" w:space="0" w:color="auto"/>
        <w:bottom w:val="none" w:sz="0" w:space="0" w:color="auto"/>
        <w:right w:val="none" w:sz="0" w:space="0" w:color="auto"/>
      </w:divBdr>
    </w:div>
    <w:div w:id="1079444245">
      <w:bodyDiv w:val="1"/>
      <w:marLeft w:val="0"/>
      <w:marRight w:val="0"/>
      <w:marTop w:val="0"/>
      <w:marBottom w:val="0"/>
      <w:divBdr>
        <w:top w:val="none" w:sz="0" w:space="0" w:color="auto"/>
        <w:left w:val="none" w:sz="0" w:space="0" w:color="auto"/>
        <w:bottom w:val="none" w:sz="0" w:space="0" w:color="auto"/>
        <w:right w:val="none" w:sz="0" w:space="0" w:color="auto"/>
      </w:divBdr>
    </w:div>
    <w:div w:id="1082290711">
      <w:bodyDiv w:val="1"/>
      <w:marLeft w:val="0"/>
      <w:marRight w:val="0"/>
      <w:marTop w:val="0"/>
      <w:marBottom w:val="0"/>
      <w:divBdr>
        <w:top w:val="none" w:sz="0" w:space="0" w:color="auto"/>
        <w:left w:val="none" w:sz="0" w:space="0" w:color="auto"/>
        <w:bottom w:val="none" w:sz="0" w:space="0" w:color="auto"/>
        <w:right w:val="none" w:sz="0" w:space="0" w:color="auto"/>
      </w:divBdr>
    </w:div>
    <w:div w:id="1089352867">
      <w:bodyDiv w:val="1"/>
      <w:marLeft w:val="0"/>
      <w:marRight w:val="0"/>
      <w:marTop w:val="0"/>
      <w:marBottom w:val="0"/>
      <w:divBdr>
        <w:top w:val="none" w:sz="0" w:space="0" w:color="auto"/>
        <w:left w:val="none" w:sz="0" w:space="0" w:color="auto"/>
        <w:bottom w:val="none" w:sz="0" w:space="0" w:color="auto"/>
        <w:right w:val="none" w:sz="0" w:space="0" w:color="auto"/>
      </w:divBdr>
    </w:div>
    <w:div w:id="1100905934">
      <w:bodyDiv w:val="1"/>
      <w:marLeft w:val="0"/>
      <w:marRight w:val="0"/>
      <w:marTop w:val="0"/>
      <w:marBottom w:val="0"/>
      <w:divBdr>
        <w:top w:val="none" w:sz="0" w:space="0" w:color="auto"/>
        <w:left w:val="none" w:sz="0" w:space="0" w:color="auto"/>
        <w:bottom w:val="none" w:sz="0" w:space="0" w:color="auto"/>
        <w:right w:val="none" w:sz="0" w:space="0" w:color="auto"/>
      </w:divBdr>
    </w:div>
    <w:div w:id="1107197209">
      <w:bodyDiv w:val="1"/>
      <w:marLeft w:val="0"/>
      <w:marRight w:val="0"/>
      <w:marTop w:val="0"/>
      <w:marBottom w:val="0"/>
      <w:divBdr>
        <w:top w:val="none" w:sz="0" w:space="0" w:color="auto"/>
        <w:left w:val="none" w:sz="0" w:space="0" w:color="auto"/>
        <w:bottom w:val="none" w:sz="0" w:space="0" w:color="auto"/>
        <w:right w:val="none" w:sz="0" w:space="0" w:color="auto"/>
      </w:divBdr>
    </w:div>
    <w:div w:id="1108767989">
      <w:bodyDiv w:val="1"/>
      <w:marLeft w:val="0"/>
      <w:marRight w:val="0"/>
      <w:marTop w:val="0"/>
      <w:marBottom w:val="0"/>
      <w:divBdr>
        <w:top w:val="none" w:sz="0" w:space="0" w:color="auto"/>
        <w:left w:val="none" w:sz="0" w:space="0" w:color="auto"/>
        <w:bottom w:val="none" w:sz="0" w:space="0" w:color="auto"/>
        <w:right w:val="none" w:sz="0" w:space="0" w:color="auto"/>
      </w:divBdr>
    </w:div>
    <w:div w:id="1120756635">
      <w:bodyDiv w:val="1"/>
      <w:marLeft w:val="0"/>
      <w:marRight w:val="0"/>
      <w:marTop w:val="0"/>
      <w:marBottom w:val="0"/>
      <w:divBdr>
        <w:top w:val="none" w:sz="0" w:space="0" w:color="auto"/>
        <w:left w:val="none" w:sz="0" w:space="0" w:color="auto"/>
        <w:bottom w:val="none" w:sz="0" w:space="0" w:color="auto"/>
        <w:right w:val="none" w:sz="0" w:space="0" w:color="auto"/>
      </w:divBdr>
    </w:div>
    <w:div w:id="1143347399">
      <w:bodyDiv w:val="1"/>
      <w:marLeft w:val="0"/>
      <w:marRight w:val="0"/>
      <w:marTop w:val="0"/>
      <w:marBottom w:val="0"/>
      <w:divBdr>
        <w:top w:val="none" w:sz="0" w:space="0" w:color="auto"/>
        <w:left w:val="none" w:sz="0" w:space="0" w:color="auto"/>
        <w:bottom w:val="none" w:sz="0" w:space="0" w:color="auto"/>
        <w:right w:val="none" w:sz="0" w:space="0" w:color="auto"/>
      </w:divBdr>
    </w:div>
    <w:div w:id="1175538323">
      <w:bodyDiv w:val="1"/>
      <w:marLeft w:val="0"/>
      <w:marRight w:val="0"/>
      <w:marTop w:val="0"/>
      <w:marBottom w:val="0"/>
      <w:divBdr>
        <w:top w:val="none" w:sz="0" w:space="0" w:color="auto"/>
        <w:left w:val="none" w:sz="0" w:space="0" w:color="auto"/>
        <w:bottom w:val="none" w:sz="0" w:space="0" w:color="auto"/>
        <w:right w:val="none" w:sz="0" w:space="0" w:color="auto"/>
      </w:divBdr>
    </w:div>
    <w:div w:id="1195849471">
      <w:bodyDiv w:val="1"/>
      <w:marLeft w:val="0"/>
      <w:marRight w:val="0"/>
      <w:marTop w:val="0"/>
      <w:marBottom w:val="0"/>
      <w:divBdr>
        <w:top w:val="none" w:sz="0" w:space="0" w:color="auto"/>
        <w:left w:val="none" w:sz="0" w:space="0" w:color="auto"/>
        <w:bottom w:val="none" w:sz="0" w:space="0" w:color="auto"/>
        <w:right w:val="none" w:sz="0" w:space="0" w:color="auto"/>
      </w:divBdr>
    </w:div>
    <w:div w:id="1211723393">
      <w:bodyDiv w:val="1"/>
      <w:marLeft w:val="0"/>
      <w:marRight w:val="0"/>
      <w:marTop w:val="0"/>
      <w:marBottom w:val="0"/>
      <w:divBdr>
        <w:top w:val="none" w:sz="0" w:space="0" w:color="auto"/>
        <w:left w:val="none" w:sz="0" w:space="0" w:color="auto"/>
        <w:bottom w:val="none" w:sz="0" w:space="0" w:color="auto"/>
        <w:right w:val="none" w:sz="0" w:space="0" w:color="auto"/>
      </w:divBdr>
    </w:div>
    <w:div w:id="1217593724">
      <w:bodyDiv w:val="1"/>
      <w:marLeft w:val="0"/>
      <w:marRight w:val="0"/>
      <w:marTop w:val="0"/>
      <w:marBottom w:val="0"/>
      <w:divBdr>
        <w:top w:val="none" w:sz="0" w:space="0" w:color="auto"/>
        <w:left w:val="none" w:sz="0" w:space="0" w:color="auto"/>
        <w:bottom w:val="none" w:sz="0" w:space="0" w:color="auto"/>
        <w:right w:val="none" w:sz="0" w:space="0" w:color="auto"/>
      </w:divBdr>
    </w:div>
    <w:div w:id="1237134928">
      <w:bodyDiv w:val="1"/>
      <w:marLeft w:val="0"/>
      <w:marRight w:val="0"/>
      <w:marTop w:val="0"/>
      <w:marBottom w:val="0"/>
      <w:divBdr>
        <w:top w:val="none" w:sz="0" w:space="0" w:color="auto"/>
        <w:left w:val="none" w:sz="0" w:space="0" w:color="auto"/>
        <w:bottom w:val="none" w:sz="0" w:space="0" w:color="auto"/>
        <w:right w:val="none" w:sz="0" w:space="0" w:color="auto"/>
      </w:divBdr>
    </w:div>
    <w:div w:id="1262565726">
      <w:bodyDiv w:val="1"/>
      <w:marLeft w:val="0"/>
      <w:marRight w:val="0"/>
      <w:marTop w:val="0"/>
      <w:marBottom w:val="0"/>
      <w:divBdr>
        <w:top w:val="none" w:sz="0" w:space="0" w:color="auto"/>
        <w:left w:val="none" w:sz="0" w:space="0" w:color="auto"/>
        <w:bottom w:val="none" w:sz="0" w:space="0" w:color="auto"/>
        <w:right w:val="none" w:sz="0" w:space="0" w:color="auto"/>
      </w:divBdr>
    </w:div>
    <w:div w:id="1269695533">
      <w:bodyDiv w:val="1"/>
      <w:marLeft w:val="0"/>
      <w:marRight w:val="0"/>
      <w:marTop w:val="0"/>
      <w:marBottom w:val="0"/>
      <w:divBdr>
        <w:top w:val="none" w:sz="0" w:space="0" w:color="auto"/>
        <w:left w:val="none" w:sz="0" w:space="0" w:color="auto"/>
        <w:bottom w:val="none" w:sz="0" w:space="0" w:color="auto"/>
        <w:right w:val="none" w:sz="0" w:space="0" w:color="auto"/>
      </w:divBdr>
    </w:div>
    <w:div w:id="1271477456">
      <w:bodyDiv w:val="1"/>
      <w:marLeft w:val="0"/>
      <w:marRight w:val="0"/>
      <w:marTop w:val="0"/>
      <w:marBottom w:val="0"/>
      <w:divBdr>
        <w:top w:val="none" w:sz="0" w:space="0" w:color="auto"/>
        <w:left w:val="none" w:sz="0" w:space="0" w:color="auto"/>
        <w:bottom w:val="none" w:sz="0" w:space="0" w:color="auto"/>
        <w:right w:val="none" w:sz="0" w:space="0" w:color="auto"/>
      </w:divBdr>
    </w:div>
    <w:div w:id="1272930823">
      <w:bodyDiv w:val="1"/>
      <w:marLeft w:val="0"/>
      <w:marRight w:val="0"/>
      <w:marTop w:val="0"/>
      <w:marBottom w:val="0"/>
      <w:divBdr>
        <w:top w:val="none" w:sz="0" w:space="0" w:color="auto"/>
        <w:left w:val="none" w:sz="0" w:space="0" w:color="auto"/>
        <w:bottom w:val="none" w:sz="0" w:space="0" w:color="auto"/>
        <w:right w:val="none" w:sz="0" w:space="0" w:color="auto"/>
      </w:divBdr>
    </w:div>
    <w:div w:id="1285309116">
      <w:bodyDiv w:val="1"/>
      <w:marLeft w:val="0"/>
      <w:marRight w:val="0"/>
      <w:marTop w:val="0"/>
      <w:marBottom w:val="0"/>
      <w:divBdr>
        <w:top w:val="none" w:sz="0" w:space="0" w:color="auto"/>
        <w:left w:val="none" w:sz="0" w:space="0" w:color="auto"/>
        <w:bottom w:val="none" w:sz="0" w:space="0" w:color="auto"/>
        <w:right w:val="none" w:sz="0" w:space="0" w:color="auto"/>
      </w:divBdr>
    </w:div>
    <w:div w:id="1287270960">
      <w:bodyDiv w:val="1"/>
      <w:marLeft w:val="0"/>
      <w:marRight w:val="0"/>
      <w:marTop w:val="0"/>
      <w:marBottom w:val="0"/>
      <w:divBdr>
        <w:top w:val="none" w:sz="0" w:space="0" w:color="auto"/>
        <w:left w:val="none" w:sz="0" w:space="0" w:color="auto"/>
        <w:bottom w:val="none" w:sz="0" w:space="0" w:color="auto"/>
        <w:right w:val="none" w:sz="0" w:space="0" w:color="auto"/>
      </w:divBdr>
    </w:div>
    <w:div w:id="1305741317">
      <w:bodyDiv w:val="1"/>
      <w:marLeft w:val="0"/>
      <w:marRight w:val="0"/>
      <w:marTop w:val="0"/>
      <w:marBottom w:val="0"/>
      <w:divBdr>
        <w:top w:val="none" w:sz="0" w:space="0" w:color="auto"/>
        <w:left w:val="none" w:sz="0" w:space="0" w:color="auto"/>
        <w:bottom w:val="none" w:sz="0" w:space="0" w:color="auto"/>
        <w:right w:val="none" w:sz="0" w:space="0" w:color="auto"/>
      </w:divBdr>
    </w:div>
    <w:div w:id="1331983409">
      <w:bodyDiv w:val="1"/>
      <w:marLeft w:val="0"/>
      <w:marRight w:val="0"/>
      <w:marTop w:val="0"/>
      <w:marBottom w:val="0"/>
      <w:divBdr>
        <w:top w:val="none" w:sz="0" w:space="0" w:color="auto"/>
        <w:left w:val="none" w:sz="0" w:space="0" w:color="auto"/>
        <w:bottom w:val="none" w:sz="0" w:space="0" w:color="auto"/>
        <w:right w:val="none" w:sz="0" w:space="0" w:color="auto"/>
      </w:divBdr>
    </w:div>
    <w:div w:id="1332875161">
      <w:bodyDiv w:val="1"/>
      <w:marLeft w:val="0"/>
      <w:marRight w:val="0"/>
      <w:marTop w:val="0"/>
      <w:marBottom w:val="0"/>
      <w:divBdr>
        <w:top w:val="none" w:sz="0" w:space="0" w:color="auto"/>
        <w:left w:val="none" w:sz="0" w:space="0" w:color="auto"/>
        <w:bottom w:val="none" w:sz="0" w:space="0" w:color="auto"/>
        <w:right w:val="none" w:sz="0" w:space="0" w:color="auto"/>
      </w:divBdr>
    </w:div>
    <w:div w:id="1338338688">
      <w:bodyDiv w:val="1"/>
      <w:marLeft w:val="0"/>
      <w:marRight w:val="0"/>
      <w:marTop w:val="0"/>
      <w:marBottom w:val="0"/>
      <w:divBdr>
        <w:top w:val="none" w:sz="0" w:space="0" w:color="auto"/>
        <w:left w:val="none" w:sz="0" w:space="0" w:color="auto"/>
        <w:bottom w:val="none" w:sz="0" w:space="0" w:color="auto"/>
        <w:right w:val="none" w:sz="0" w:space="0" w:color="auto"/>
      </w:divBdr>
    </w:div>
    <w:div w:id="1376347723">
      <w:bodyDiv w:val="1"/>
      <w:marLeft w:val="0"/>
      <w:marRight w:val="0"/>
      <w:marTop w:val="0"/>
      <w:marBottom w:val="0"/>
      <w:divBdr>
        <w:top w:val="none" w:sz="0" w:space="0" w:color="auto"/>
        <w:left w:val="none" w:sz="0" w:space="0" w:color="auto"/>
        <w:bottom w:val="none" w:sz="0" w:space="0" w:color="auto"/>
        <w:right w:val="none" w:sz="0" w:space="0" w:color="auto"/>
      </w:divBdr>
    </w:div>
    <w:div w:id="1384066090">
      <w:bodyDiv w:val="1"/>
      <w:marLeft w:val="0"/>
      <w:marRight w:val="0"/>
      <w:marTop w:val="0"/>
      <w:marBottom w:val="0"/>
      <w:divBdr>
        <w:top w:val="none" w:sz="0" w:space="0" w:color="auto"/>
        <w:left w:val="none" w:sz="0" w:space="0" w:color="auto"/>
        <w:bottom w:val="none" w:sz="0" w:space="0" w:color="auto"/>
        <w:right w:val="none" w:sz="0" w:space="0" w:color="auto"/>
      </w:divBdr>
    </w:div>
    <w:div w:id="1384135397">
      <w:bodyDiv w:val="1"/>
      <w:marLeft w:val="0"/>
      <w:marRight w:val="0"/>
      <w:marTop w:val="0"/>
      <w:marBottom w:val="0"/>
      <w:divBdr>
        <w:top w:val="none" w:sz="0" w:space="0" w:color="auto"/>
        <w:left w:val="none" w:sz="0" w:space="0" w:color="auto"/>
        <w:bottom w:val="none" w:sz="0" w:space="0" w:color="auto"/>
        <w:right w:val="none" w:sz="0" w:space="0" w:color="auto"/>
      </w:divBdr>
    </w:div>
    <w:div w:id="1399788663">
      <w:bodyDiv w:val="1"/>
      <w:marLeft w:val="0"/>
      <w:marRight w:val="0"/>
      <w:marTop w:val="0"/>
      <w:marBottom w:val="0"/>
      <w:divBdr>
        <w:top w:val="none" w:sz="0" w:space="0" w:color="auto"/>
        <w:left w:val="none" w:sz="0" w:space="0" w:color="auto"/>
        <w:bottom w:val="none" w:sz="0" w:space="0" w:color="auto"/>
        <w:right w:val="none" w:sz="0" w:space="0" w:color="auto"/>
      </w:divBdr>
    </w:div>
    <w:div w:id="1410617146">
      <w:bodyDiv w:val="1"/>
      <w:marLeft w:val="0"/>
      <w:marRight w:val="0"/>
      <w:marTop w:val="0"/>
      <w:marBottom w:val="0"/>
      <w:divBdr>
        <w:top w:val="none" w:sz="0" w:space="0" w:color="auto"/>
        <w:left w:val="none" w:sz="0" w:space="0" w:color="auto"/>
        <w:bottom w:val="none" w:sz="0" w:space="0" w:color="auto"/>
        <w:right w:val="none" w:sz="0" w:space="0" w:color="auto"/>
      </w:divBdr>
    </w:div>
    <w:div w:id="1416198401">
      <w:bodyDiv w:val="1"/>
      <w:marLeft w:val="0"/>
      <w:marRight w:val="0"/>
      <w:marTop w:val="0"/>
      <w:marBottom w:val="0"/>
      <w:divBdr>
        <w:top w:val="none" w:sz="0" w:space="0" w:color="auto"/>
        <w:left w:val="none" w:sz="0" w:space="0" w:color="auto"/>
        <w:bottom w:val="none" w:sz="0" w:space="0" w:color="auto"/>
        <w:right w:val="none" w:sz="0" w:space="0" w:color="auto"/>
      </w:divBdr>
    </w:div>
    <w:div w:id="1431318465">
      <w:bodyDiv w:val="1"/>
      <w:marLeft w:val="0"/>
      <w:marRight w:val="0"/>
      <w:marTop w:val="0"/>
      <w:marBottom w:val="0"/>
      <w:divBdr>
        <w:top w:val="none" w:sz="0" w:space="0" w:color="auto"/>
        <w:left w:val="none" w:sz="0" w:space="0" w:color="auto"/>
        <w:bottom w:val="none" w:sz="0" w:space="0" w:color="auto"/>
        <w:right w:val="none" w:sz="0" w:space="0" w:color="auto"/>
      </w:divBdr>
    </w:div>
    <w:div w:id="1443956081">
      <w:bodyDiv w:val="1"/>
      <w:marLeft w:val="0"/>
      <w:marRight w:val="0"/>
      <w:marTop w:val="0"/>
      <w:marBottom w:val="0"/>
      <w:divBdr>
        <w:top w:val="none" w:sz="0" w:space="0" w:color="auto"/>
        <w:left w:val="none" w:sz="0" w:space="0" w:color="auto"/>
        <w:bottom w:val="none" w:sz="0" w:space="0" w:color="auto"/>
        <w:right w:val="none" w:sz="0" w:space="0" w:color="auto"/>
      </w:divBdr>
    </w:div>
    <w:div w:id="1457528983">
      <w:bodyDiv w:val="1"/>
      <w:marLeft w:val="0"/>
      <w:marRight w:val="0"/>
      <w:marTop w:val="0"/>
      <w:marBottom w:val="0"/>
      <w:divBdr>
        <w:top w:val="none" w:sz="0" w:space="0" w:color="auto"/>
        <w:left w:val="none" w:sz="0" w:space="0" w:color="auto"/>
        <w:bottom w:val="none" w:sz="0" w:space="0" w:color="auto"/>
        <w:right w:val="none" w:sz="0" w:space="0" w:color="auto"/>
      </w:divBdr>
    </w:div>
    <w:div w:id="1469858005">
      <w:bodyDiv w:val="1"/>
      <w:marLeft w:val="0"/>
      <w:marRight w:val="0"/>
      <w:marTop w:val="0"/>
      <w:marBottom w:val="0"/>
      <w:divBdr>
        <w:top w:val="none" w:sz="0" w:space="0" w:color="auto"/>
        <w:left w:val="none" w:sz="0" w:space="0" w:color="auto"/>
        <w:bottom w:val="none" w:sz="0" w:space="0" w:color="auto"/>
        <w:right w:val="none" w:sz="0" w:space="0" w:color="auto"/>
      </w:divBdr>
    </w:div>
    <w:div w:id="1485048787">
      <w:bodyDiv w:val="1"/>
      <w:marLeft w:val="0"/>
      <w:marRight w:val="0"/>
      <w:marTop w:val="0"/>
      <w:marBottom w:val="0"/>
      <w:divBdr>
        <w:top w:val="none" w:sz="0" w:space="0" w:color="auto"/>
        <w:left w:val="none" w:sz="0" w:space="0" w:color="auto"/>
        <w:bottom w:val="none" w:sz="0" w:space="0" w:color="auto"/>
        <w:right w:val="none" w:sz="0" w:space="0" w:color="auto"/>
      </w:divBdr>
    </w:div>
    <w:div w:id="1493793160">
      <w:bodyDiv w:val="1"/>
      <w:marLeft w:val="0"/>
      <w:marRight w:val="0"/>
      <w:marTop w:val="0"/>
      <w:marBottom w:val="0"/>
      <w:divBdr>
        <w:top w:val="none" w:sz="0" w:space="0" w:color="auto"/>
        <w:left w:val="none" w:sz="0" w:space="0" w:color="auto"/>
        <w:bottom w:val="none" w:sz="0" w:space="0" w:color="auto"/>
        <w:right w:val="none" w:sz="0" w:space="0" w:color="auto"/>
      </w:divBdr>
    </w:div>
    <w:div w:id="1517042373">
      <w:bodyDiv w:val="1"/>
      <w:marLeft w:val="0"/>
      <w:marRight w:val="0"/>
      <w:marTop w:val="0"/>
      <w:marBottom w:val="0"/>
      <w:divBdr>
        <w:top w:val="none" w:sz="0" w:space="0" w:color="auto"/>
        <w:left w:val="none" w:sz="0" w:space="0" w:color="auto"/>
        <w:bottom w:val="none" w:sz="0" w:space="0" w:color="auto"/>
        <w:right w:val="none" w:sz="0" w:space="0" w:color="auto"/>
      </w:divBdr>
    </w:div>
    <w:div w:id="1518353141">
      <w:bodyDiv w:val="1"/>
      <w:marLeft w:val="0"/>
      <w:marRight w:val="0"/>
      <w:marTop w:val="0"/>
      <w:marBottom w:val="0"/>
      <w:divBdr>
        <w:top w:val="none" w:sz="0" w:space="0" w:color="auto"/>
        <w:left w:val="none" w:sz="0" w:space="0" w:color="auto"/>
        <w:bottom w:val="none" w:sz="0" w:space="0" w:color="auto"/>
        <w:right w:val="none" w:sz="0" w:space="0" w:color="auto"/>
      </w:divBdr>
    </w:div>
    <w:div w:id="1575092507">
      <w:bodyDiv w:val="1"/>
      <w:marLeft w:val="0"/>
      <w:marRight w:val="0"/>
      <w:marTop w:val="0"/>
      <w:marBottom w:val="0"/>
      <w:divBdr>
        <w:top w:val="none" w:sz="0" w:space="0" w:color="auto"/>
        <w:left w:val="none" w:sz="0" w:space="0" w:color="auto"/>
        <w:bottom w:val="none" w:sz="0" w:space="0" w:color="auto"/>
        <w:right w:val="none" w:sz="0" w:space="0" w:color="auto"/>
      </w:divBdr>
    </w:div>
    <w:div w:id="1585606916">
      <w:bodyDiv w:val="1"/>
      <w:marLeft w:val="0"/>
      <w:marRight w:val="0"/>
      <w:marTop w:val="0"/>
      <w:marBottom w:val="0"/>
      <w:divBdr>
        <w:top w:val="none" w:sz="0" w:space="0" w:color="auto"/>
        <w:left w:val="none" w:sz="0" w:space="0" w:color="auto"/>
        <w:bottom w:val="none" w:sz="0" w:space="0" w:color="auto"/>
        <w:right w:val="none" w:sz="0" w:space="0" w:color="auto"/>
      </w:divBdr>
    </w:div>
    <w:div w:id="1637372396">
      <w:bodyDiv w:val="1"/>
      <w:marLeft w:val="0"/>
      <w:marRight w:val="0"/>
      <w:marTop w:val="0"/>
      <w:marBottom w:val="0"/>
      <w:divBdr>
        <w:top w:val="none" w:sz="0" w:space="0" w:color="auto"/>
        <w:left w:val="none" w:sz="0" w:space="0" w:color="auto"/>
        <w:bottom w:val="none" w:sz="0" w:space="0" w:color="auto"/>
        <w:right w:val="none" w:sz="0" w:space="0" w:color="auto"/>
      </w:divBdr>
    </w:div>
    <w:div w:id="1640449977">
      <w:bodyDiv w:val="1"/>
      <w:marLeft w:val="0"/>
      <w:marRight w:val="0"/>
      <w:marTop w:val="0"/>
      <w:marBottom w:val="0"/>
      <w:divBdr>
        <w:top w:val="none" w:sz="0" w:space="0" w:color="auto"/>
        <w:left w:val="none" w:sz="0" w:space="0" w:color="auto"/>
        <w:bottom w:val="none" w:sz="0" w:space="0" w:color="auto"/>
        <w:right w:val="none" w:sz="0" w:space="0" w:color="auto"/>
      </w:divBdr>
    </w:div>
    <w:div w:id="1660571289">
      <w:bodyDiv w:val="1"/>
      <w:marLeft w:val="0"/>
      <w:marRight w:val="0"/>
      <w:marTop w:val="0"/>
      <w:marBottom w:val="0"/>
      <w:divBdr>
        <w:top w:val="none" w:sz="0" w:space="0" w:color="auto"/>
        <w:left w:val="none" w:sz="0" w:space="0" w:color="auto"/>
        <w:bottom w:val="none" w:sz="0" w:space="0" w:color="auto"/>
        <w:right w:val="none" w:sz="0" w:space="0" w:color="auto"/>
      </w:divBdr>
    </w:div>
    <w:div w:id="1713312179">
      <w:bodyDiv w:val="1"/>
      <w:marLeft w:val="0"/>
      <w:marRight w:val="0"/>
      <w:marTop w:val="0"/>
      <w:marBottom w:val="0"/>
      <w:divBdr>
        <w:top w:val="none" w:sz="0" w:space="0" w:color="auto"/>
        <w:left w:val="none" w:sz="0" w:space="0" w:color="auto"/>
        <w:bottom w:val="none" w:sz="0" w:space="0" w:color="auto"/>
        <w:right w:val="none" w:sz="0" w:space="0" w:color="auto"/>
      </w:divBdr>
    </w:div>
    <w:div w:id="1731003440">
      <w:bodyDiv w:val="1"/>
      <w:marLeft w:val="0"/>
      <w:marRight w:val="0"/>
      <w:marTop w:val="0"/>
      <w:marBottom w:val="0"/>
      <w:divBdr>
        <w:top w:val="none" w:sz="0" w:space="0" w:color="auto"/>
        <w:left w:val="none" w:sz="0" w:space="0" w:color="auto"/>
        <w:bottom w:val="none" w:sz="0" w:space="0" w:color="auto"/>
        <w:right w:val="none" w:sz="0" w:space="0" w:color="auto"/>
      </w:divBdr>
    </w:div>
    <w:div w:id="1745178699">
      <w:bodyDiv w:val="1"/>
      <w:marLeft w:val="0"/>
      <w:marRight w:val="0"/>
      <w:marTop w:val="0"/>
      <w:marBottom w:val="0"/>
      <w:divBdr>
        <w:top w:val="none" w:sz="0" w:space="0" w:color="auto"/>
        <w:left w:val="none" w:sz="0" w:space="0" w:color="auto"/>
        <w:bottom w:val="none" w:sz="0" w:space="0" w:color="auto"/>
        <w:right w:val="none" w:sz="0" w:space="0" w:color="auto"/>
      </w:divBdr>
    </w:div>
    <w:div w:id="1764915491">
      <w:bodyDiv w:val="1"/>
      <w:marLeft w:val="0"/>
      <w:marRight w:val="0"/>
      <w:marTop w:val="0"/>
      <w:marBottom w:val="0"/>
      <w:divBdr>
        <w:top w:val="none" w:sz="0" w:space="0" w:color="auto"/>
        <w:left w:val="none" w:sz="0" w:space="0" w:color="auto"/>
        <w:bottom w:val="none" w:sz="0" w:space="0" w:color="auto"/>
        <w:right w:val="none" w:sz="0" w:space="0" w:color="auto"/>
      </w:divBdr>
    </w:div>
    <w:div w:id="1781141184">
      <w:bodyDiv w:val="1"/>
      <w:marLeft w:val="0"/>
      <w:marRight w:val="0"/>
      <w:marTop w:val="0"/>
      <w:marBottom w:val="0"/>
      <w:divBdr>
        <w:top w:val="none" w:sz="0" w:space="0" w:color="auto"/>
        <w:left w:val="none" w:sz="0" w:space="0" w:color="auto"/>
        <w:bottom w:val="none" w:sz="0" w:space="0" w:color="auto"/>
        <w:right w:val="none" w:sz="0" w:space="0" w:color="auto"/>
      </w:divBdr>
    </w:div>
    <w:div w:id="1782070013">
      <w:bodyDiv w:val="1"/>
      <w:marLeft w:val="0"/>
      <w:marRight w:val="0"/>
      <w:marTop w:val="0"/>
      <w:marBottom w:val="0"/>
      <w:divBdr>
        <w:top w:val="none" w:sz="0" w:space="0" w:color="auto"/>
        <w:left w:val="none" w:sz="0" w:space="0" w:color="auto"/>
        <w:bottom w:val="none" w:sz="0" w:space="0" w:color="auto"/>
        <w:right w:val="none" w:sz="0" w:space="0" w:color="auto"/>
      </w:divBdr>
    </w:div>
    <w:div w:id="1798597421">
      <w:bodyDiv w:val="1"/>
      <w:marLeft w:val="0"/>
      <w:marRight w:val="0"/>
      <w:marTop w:val="0"/>
      <w:marBottom w:val="0"/>
      <w:divBdr>
        <w:top w:val="none" w:sz="0" w:space="0" w:color="auto"/>
        <w:left w:val="none" w:sz="0" w:space="0" w:color="auto"/>
        <w:bottom w:val="none" w:sz="0" w:space="0" w:color="auto"/>
        <w:right w:val="none" w:sz="0" w:space="0" w:color="auto"/>
      </w:divBdr>
    </w:div>
    <w:div w:id="1812358289">
      <w:bodyDiv w:val="1"/>
      <w:marLeft w:val="0"/>
      <w:marRight w:val="0"/>
      <w:marTop w:val="0"/>
      <w:marBottom w:val="0"/>
      <w:divBdr>
        <w:top w:val="none" w:sz="0" w:space="0" w:color="auto"/>
        <w:left w:val="none" w:sz="0" w:space="0" w:color="auto"/>
        <w:bottom w:val="none" w:sz="0" w:space="0" w:color="auto"/>
        <w:right w:val="none" w:sz="0" w:space="0" w:color="auto"/>
      </w:divBdr>
    </w:div>
    <w:div w:id="1818305683">
      <w:bodyDiv w:val="1"/>
      <w:marLeft w:val="0"/>
      <w:marRight w:val="0"/>
      <w:marTop w:val="0"/>
      <w:marBottom w:val="0"/>
      <w:divBdr>
        <w:top w:val="none" w:sz="0" w:space="0" w:color="auto"/>
        <w:left w:val="none" w:sz="0" w:space="0" w:color="auto"/>
        <w:bottom w:val="none" w:sz="0" w:space="0" w:color="auto"/>
        <w:right w:val="none" w:sz="0" w:space="0" w:color="auto"/>
      </w:divBdr>
    </w:div>
    <w:div w:id="1852988455">
      <w:bodyDiv w:val="1"/>
      <w:marLeft w:val="0"/>
      <w:marRight w:val="0"/>
      <w:marTop w:val="0"/>
      <w:marBottom w:val="0"/>
      <w:divBdr>
        <w:top w:val="none" w:sz="0" w:space="0" w:color="auto"/>
        <w:left w:val="none" w:sz="0" w:space="0" w:color="auto"/>
        <w:bottom w:val="none" w:sz="0" w:space="0" w:color="auto"/>
        <w:right w:val="none" w:sz="0" w:space="0" w:color="auto"/>
      </w:divBdr>
    </w:div>
    <w:div w:id="1878271765">
      <w:bodyDiv w:val="1"/>
      <w:marLeft w:val="0"/>
      <w:marRight w:val="0"/>
      <w:marTop w:val="0"/>
      <w:marBottom w:val="0"/>
      <w:divBdr>
        <w:top w:val="none" w:sz="0" w:space="0" w:color="auto"/>
        <w:left w:val="none" w:sz="0" w:space="0" w:color="auto"/>
        <w:bottom w:val="none" w:sz="0" w:space="0" w:color="auto"/>
        <w:right w:val="none" w:sz="0" w:space="0" w:color="auto"/>
      </w:divBdr>
    </w:div>
    <w:div w:id="1901018379">
      <w:bodyDiv w:val="1"/>
      <w:marLeft w:val="0"/>
      <w:marRight w:val="0"/>
      <w:marTop w:val="0"/>
      <w:marBottom w:val="0"/>
      <w:divBdr>
        <w:top w:val="none" w:sz="0" w:space="0" w:color="auto"/>
        <w:left w:val="none" w:sz="0" w:space="0" w:color="auto"/>
        <w:bottom w:val="none" w:sz="0" w:space="0" w:color="auto"/>
        <w:right w:val="none" w:sz="0" w:space="0" w:color="auto"/>
      </w:divBdr>
    </w:div>
    <w:div w:id="1929383715">
      <w:bodyDiv w:val="1"/>
      <w:marLeft w:val="0"/>
      <w:marRight w:val="0"/>
      <w:marTop w:val="0"/>
      <w:marBottom w:val="0"/>
      <w:divBdr>
        <w:top w:val="none" w:sz="0" w:space="0" w:color="auto"/>
        <w:left w:val="none" w:sz="0" w:space="0" w:color="auto"/>
        <w:bottom w:val="none" w:sz="0" w:space="0" w:color="auto"/>
        <w:right w:val="none" w:sz="0" w:space="0" w:color="auto"/>
      </w:divBdr>
    </w:div>
    <w:div w:id="1988971040">
      <w:bodyDiv w:val="1"/>
      <w:marLeft w:val="0"/>
      <w:marRight w:val="0"/>
      <w:marTop w:val="0"/>
      <w:marBottom w:val="0"/>
      <w:divBdr>
        <w:top w:val="none" w:sz="0" w:space="0" w:color="auto"/>
        <w:left w:val="none" w:sz="0" w:space="0" w:color="auto"/>
        <w:bottom w:val="none" w:sz="0" w:space="0" w:color="auto"/>
        <w:right w:val="none" w:sz="0" w:space="0" w:color="auto"/>
      </w:divBdr>
    </w:div>
    <w:div w:id="2045934471">
      <w:bodyDiv w:val="1"/>
      <w:marLeft w:val="0"/>
      <w:marRight w:val="0"/>
      <w:marTop w:val="0"/>
      <w:marBottom w:val="0"/>
      <w:divBdr>
        <w:top w:val="none" w:sz="0" w:space="0" w:color="auto"/>
        <w:left w:val="none" w:sz="0" w:space="0" w:color="auto"/>
        <w:bottom w:val="none" w:sz="0" w:space="0" w:color="auto"/>
        <w:right w:val="none" w:sz="0" w:space="0" w:color="auto"/>
      </w:divBdr>
    </w:div>
    <w:div w:id="2053647652">
      <w:bodyDiv w:val="1"/>
      <w:marLeft w:val="0"/>
      <w:marRight w:val="0"/>
      <w:marTop w:val="0"/>
      <w:marBottom w:val="0"/>
      <w:divBdr>
        <w:top w:val="none" w:sz="0" w:space="0" w:color="auto"/>
        <w:left w:val="none" w:sz="0" w:space="0" w:color="auto"/>
        <w:bottom w:val="none" w:sz="0" w:space="0" w:color="auto"/>
        <w:right w:val="none" w:sz="0" w:space="0" w:color="auto"/>
      </w:divBdr>
    </w:div>
    <w:div w:id="2060980549">
      <w:bodyDiv w:val="1"/>
      <w:marLeft w:val="0"/>
      <w:marRight w:val="0"/>
      <w:marTop w:val="0"/>
      <w:marBottom w:val="0"/>
      <w:divBdr>
        <w:top w:val="none" w:sz="0" w:space="0" w:color="auto"/>
        <w:left w:val="none" w:sz="0" w:space="0" w:color="auto"/>
        <w:bottom w:val="none" w:sz="0" w:space="0" w:color="auto"/>
        <w:right w:val="none" w:sz="0" w:space="0" w:color="auto"/>
      </w:divBdr>
    </w:div>
    <w:div w:id="2107263795">
      <w:bodyDiv w:val="1"/>
      <w:marLeft w:val="0"/>
      <w:marRight w:val="0"/>
      <w:marTop w:val="0"/>
      <w:marBottom w:val="0"/>
      <w:divBdr>
        <w:top w:val="none" w:sz="0" w:space="0" w:color="auto"/>
        <w:left w:val="none" w:sz="0" w:space="0" w:color="auto"/>
        <w:bottom w:val="none" w:sz="0" w:space="0" w:color="auto"/>
        <w:right w:val="none" w:sz="0" w:space="0" w:color="auto"/>
      </w:divBdr>
    </w:div>
    <w:div w:id="2114278625">
      <w:bodyDiv w:val="1"/>
      <w:marLeft w:val="0"/>
      <w:marRight w:val="0"/>
      <w:marTop w:val="0"/>
      <w:marBottom w:val="0"/>
      <w:divBdr>
        <w:top w:val="none" w:sz="0" w:space="0" w:color="auto"/>
        <w:left w:val="none" w:sz="0" w:space="0" w:color="auto"/>
        <w:bottom w:val="none" w:sz="0" w:space="0" w:color="auto"/>
        <w:right w:val="none" w:sz="0" w:space="0" w:color="auto"/>
      </w:divBdr>
    </w:div>
    <w:div w:id="21302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5293C5-188F-4FC2-9553-BF9B01B1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15436</Words>
  <Characters>87986</Characters>
  <Application>Microsoft Office Word</Application>
  <DocSecurity>0</DocSecurity>
  <Lines>733</Lines>
  <Paragraphs>206</Paragraphs>
  <ScaleCrop>false</ScaleCrop>
  <Company>易方达基金管理有限公司</Company>
  <LinksUpToDate>false</LinksUpToDate>
  <CharactersWithSpaces>103216</CharactersWithSpaces>
  <SharedDoc>false</SharedDoc>
  <HLinks>
    <vt:vector size="492" baseType="variant">
      <vt:variant>
        <vt:i4>1376313</vt:i4>
      </vt:variant>
      <vt:variant>
        <vt:i4>488</vt:i4>
      </vt:variant>
      <vt:variant>
        <vt:i4>0</vt:i4>
      </vt:variant>
      <vt:variant>
        <vt:i4>5</vt:i4>
      </vt:variant>
      <vt:variant>
        <vt:lpwstr/>
      </vt:variant>
      <vt:variant>
        <vt:lpwstr>_Toc401755900</vt:lpwstr>
      </vt:variant>
      <vt:variant>
        <vt:i4>1835064</vt:i4>
      </vt:variant>
      <vt:variant>
        <vt:i4>482</vt:i4>
      </vt:variant>
      <vt:variant>
        <vt:i4>0</vt:i4>
      </vt:variant>
      <vt:variant>
        <vt:i4>5</vt:i4>
      </vt:variant>
      <vt:variant>
        <vt:lpwstr/>
      </vt:variant>
      <vt:variant>
        <vt:lpwstr>_Toc401755899</vt:lpwstr>
      </vt:variant>
      <vt:variant>
        <vt:i4>1835064</vt:i4>
      </vt:variant>
      <vt:variant>
        <vt:i4>476</vt:i4>
      </vt:variant>
      <vt:variant>
        <vt:i4>0</vt:i4>
      </vt:variant>
      <vt:variant>
        <vt:i4>5</vt:i4>
      </vt:variant>
      <vt:variant>
        <vt:lpwstr/>
      </vt:variant>
      <vt:variant>
        <vt:lpwstr>_Toc401755898</vt:lpwstr>
      </vt:variant>
      <vt:variant>
        <vt:i4>1835064</vt:i4>
      </vt:variant>
      <vt:variant>
        <vt:i4>470</vt:i4>
      </vt:variant>
      <vt:variant>
        <vt:i4>0</vt:i4>
      </vt:variant>
      <vt:variant>
        <vt:i4>5</vt:i4>
      </vt:variant>
      <vt:variant>
        <vt:lpwstr/>
      </vt:variant>
      <vt:variant>
        <vt:lpwstr>_Toc401755897</vt:lpwstr>
      </vt:variant>
      <vt:variant>
        <vt:i4>1835064</vt:i4>
      </vt:variant>
      <vt:variant>
        <vt:i4>464</vt:i4>
      </vt:variant>
      <vt:variant>
        <vt:i4>0</vt:i4>
      </vt:variant>
      <vt:variant>
        <vt:i4>5</vt:i4>
      </vt:variant>
      <vt:variant>
        <vt:lpwstr/>
      </vt:variant>
      <vt:variant>
        <vt:lpwstr>_Toc401755896</vt:lpwstr>
      </vt:variant>
      <vt:variant>
        <vt:i4>1835064</vt:i4>
      </vt:variant>
      <vt:variant>
        <vt:i4>458</vt:i4>
      </vt:variant>
      <vt:variant>
        <vt:i4>0</vt:i4>
      </vt:variant>
      <vt:variant>
        <vt:i4>5</vt:i4>
      </vt:variant>
      <vt:variant>
        <vt:lpwstr/>
      </vt:variant>
      <vt:variant>
        <vt:lpwstr>_Toc401755895</vt:lpwstr>
      </vt:variant>
      <vt:variant>
        <vt:i4>1835064</vt:i4>
      </vt:variant>
      <vt:variant>
        <vt:i4>452</vt:i4>
      </vt:variant>
      <vt:variant>
        <vt:i4>0</vt:i4>
      </vt:variant>
      <vt:variant>
        <vt:i4>5</vt:i4>
      </vt:variant>
      <vt:variant>
        <vt:lpwstr/>
      </vt:variant>
      <vt:variant>
        <vt:lpwstr>_Toc401755894</vt:lpwstr>
      </vt:variant>
      <vt:variant>
        <vt:i4>1835064</vt:i4>
      </vt:variant>
      <vt:variant>
        <vt:i4>446</vt:i4>
      </vt:variant>
      <vt:variant>
        <vt:i4>0</vt:i4>
      </vt:variant>
      <vt:variant>
        <vt:i4>5</vt:i4>
      </vt:variant>
      <vt:variant>
        <vt:lpwstr/>
      </vt:variant>
      <vt:variant>
        <vt:lpwstr>_Toc401755893</vt:lpwstr>
      </vt:variant>
      <vt:variant>
        <vt:i4>1835064</vt:i4>
      </vt:variant>
      <vt:variant>
        <vt:i4>440</vt:i4>
      </vt:variant>
      <vt:variant>
        <vt:i4>0</vt:i4>
      </vt:variant>
      <vt:variant>
        <vt:i4>5</vt:i4>
      </vt:variant>
      <vt:variant>
        <vt:lpwstr/>
      </vt:variant>
      <vt:variant>
        <vt:lpwstr>_Toc401755892</vt:lpwstr>
      </vt:variant>
      <vt:variant>
        <vt:i4>1835064</vt:i4>
      </vt:variant>
      <vt:variant>
        <vt:i4>434</vt:i4>
      </vt:variant>
      <vt:variant>
        <vt:i4>0</vt:i4>
      </vt:variant>
      <vt:variant>
        <vt:i4>5</vt:i4>
      </vt:variant>
      <vt:variant>
        <vt:lpwstr/>
      </vt:variant>
      <vt:variant>
        <vt:lpwstr>_Toc401755891</vt:lpwstr>
      </vt:variant>
      <vt:variant>
        <vt:i4>1835064</vt:i4>
      </vt:variant>
      <vt:variant>
        <vt:i4>428</vt:i4>
      </vt:variant>
      <vt:variant>
        <vt:i4>0</vt:i4>
      </vt:variant>
      <vt:variant>
        <vt:i4>5</vt:i4>
      </vt:variant>
      <vt:variant>
        <vt:lpwstr/>
      </vt:variant>
      <vt:variant>
        <vt:lpwstr>_Toc401755890</vt:lpwstr>
      </vt:variant>
      <vt:variant>
        <vt:i4>1900600</vt:i4>
      </vt:variant>
      <vt:variant>
        <vt:i4>422</vt:i4>
      </vt:variant>
      <vt:variant>
        <vt:i4>0</vt:i4>
      </vt:variant>
      <vt:variant>
        <vt:i4>5</vt:i4>
      </vt:variant>
      <vt:variant>
        <vt:lpwstr/>
      </vt:variant>
      <vt:variant>
        <vt:lpwstr>_Toc401755889</vt:lpwstr>
      </vt:variant>
      <vt:variant>
        <vt:i4>1900600</vt:i4>
      </vt:variant>
      <vt:variant>
        <vt:i4>416</vt:i4>
      </vt:variant>
      <vt:variant>
        <vt:i4>0</vt:i4>
      </vt:variant>
      <vt:variant>
        <vt:i4>5</vt:i4>
      </vt:variant>
      <vt:variant>
        <vt:lpwstr/>
      </vt:variant>
      <vt:variant>
        <vt:lpwstr>_Toc401755888</vt:lpwstr>
      </vt:variant>
      <vt:variant>
        <vt:i4>1900600</vt:i4>
      </vt:variant>
      <vt:variant>
        <vt:i4>410</vt:i4>
      </vt:variant>
      <vt:variant>
        <vt:i4>0</vt:i4>
      </vt:variant>
      <vt:variant>
        <vt:i4>5</vt:i4>
      </vt:variant>
      <vt:variant>
        <vt:lpwstr/>
      </vt:variant>
      <vt:variant>
        <vt:lpwstr>_Toc401755887</vt:lpwstr>
      </vt:variant>
      <vt:variant>
        <vt:i4>1900600</vt:i4>
      </vt:variant>
      <vt:variant>
        <vt:i4>404</vt:i4>
      </vt:variant>
      <vt:variant>
        <vt:i4>0</vt:i4>
      </vt:variant>
      <vt:variant>
        <vt:i4>5</vt:i4>
      </vt:variant>
      <vt:variant>
        <vt:lpwstr/>
      </vt:variant>
      <vt:variant>
        <vt:lpwstr>_Toc401755886</vt:lpwstr>
      </vt:variant>
      <vt:variant>
        <vt:i4>1900600</vt:i4>
      </vt:variant>
      <vt:variant>
        <vt:i4>398</vt:i4>
      </vt:variant>
      <vt:variant>
        <vt:i4>0</vt:i4>
      </vt:variant>
      <vt:variant>
        <vt:i4>5</vt:i4>
      </vt:variant>
      <vt:variant>
        <vt:lpwstr/>
      </vt:variant>
      <vt:variant>
        <vt:lpwstr>_Toc401755885</vt:lpwstr>
      </vt:variant>
      <vt:variant>
        <vt:i4>1900600</vt:i4>
      </vt:variant>
      <vt:variant>
        <vt:i4>392</vt:i4>
      </vt:variant>
      <vt:variant>
        <vt:i4>0</vt:i4>
      </vt:variant>
      <vt:variant>
        <vt:i4>5</vt:i4>
      </vt:variant>
      <vt:variant>
        <vt:lpwstr/>
      </vt:variant>
      <vt:variant>
        <vt:lpwstr>_Toc401755884</vt:lpwstr>
      </vt:variant>
      <vt:variant>
        <vt:i4>1900600</vt:i4>
      </vt:variant>
      <vt:variant>
        <vt:i4>386</vt:i4>
      </vt:variant>
      <vt:variant>
        <vt:i4>0</vt:i4>
      </vt:variant>
      <vt:variant>
        <vt:i4>5</vt:i4>
      </vt:variant>
      <vt:variant>
        <vt:lpwstr/>
      </vt:variant>
      <vt:variant>
        <vt:lpwstr>_Toc401755883</vt:lpwstr>
      </vt:variant>
      <vt:variant>
        <vt:i4>1900600</vt:i4>
      </vt:variant>
      <vt:variant>
        <vt:i4>380</vt:i4>
      </vt:variant>
      <vt:variant>
        <vt:i4>0</vt:i4>
      </vt:variant>
      <vt:variant>
        <vt:i4>5</vt:i4>
      </vt:variant>
      <vt:variant>
        <vt:lpwstr/>
      </vt:variant>
      <vt:variant>
        <vt:lpwstr>_Toc401755882</vt:lpwstr>
      </vt:variant>
      <vt:variant>
        <vt:i4>1900600</vt:i4>
      </vt:variant>
      <vt:variant>
        <vt:i4>374</vt:i4>
      </vt:variant>
      <vt:variant>
        <vt:i4>0</vt:i4>
      </vt:variant>
      <vt:variant>
        <vt:i4>5</vt:i4>
      </vt:variant>
      <vt:variant>
        <vt:lpwstr/>
      </vt:variant>
      <vt:variant>
        <vt:lpwstr>_Toc401755881</vt:lpwstr>
      </vt:variant>
      <vt:variant>
        <vt:i4>1900600</vt:i4>
      </vt:variant>
      <vt:variant>
        <vt:i4>368</vt:i4>
      </vt:variant>
      <vt:variant>
        <vt:i4>0</vt:i4>
      </vt:variant>
      <vt:variant>
        <vt:i4>5</vt:i4>
      </vt:variant>
      <vt:variant>
        <vt:lpwstr/>
      </vt:variant>
      <vt:variant>
        <vt:lpwstr>_Toc401755880</vt:lpwstr>
      </vt:variant>
      <vt:variant>
        <vt:i4>1179704</vt:i4>
      </vt:variant>
      <vt:variant>
        <vt:i4>362</vt:i4>
      </vt:variant>
      <vt:variant>
        <vt:i4>0</vt:i4>
      </vt:variant>
      <vt:variant>
        <vt:i4>5</vt:i4>
      </vt:variant>
      <vt:variant>
        <vt:lpwstr/>
      </vt:variant>
      <vt:variant>
        <vt:lpwstr>_Toc401755879</vt:lpwstr>
      </vt:variant>
      <vt:variant>
        <vt:i4>1179704</vt:i4>
      </vt:variant>
      <vt:variant>
        <vt:i4>356</vt:i4>
      </vt:variant>
      <vt:variant>
        <vt:i4>0</vt:i4>
      </vt:variant>
      <vt:variant>
        <vt:i4>5</vt:i4>
      </vt:variant>
      <vt:variant>
        <vt:lpwstr/>
      </vt:variant>
      <vt:variant>
        <vt:lpwstr>_Toc401755878</vt:lpwstr>
      </vt:variant>
      <vt:variant>
        <vt:i4>1179704</vt:i4>
      </vt:variant>
      <vt:variant>
        <vt:i4>350</vt:i4>
      </vt:variant>
      <vt:variant>
        <vt:i4>0</vt:i4>
      </vt:variant>
      <vt:variant>
        <vt:i4>5</vt:i4>
      </vt:variant>
      <vt:variant>
        <vt:lpwstr/>
      </vt:variant>
      <vt:variant>
        <vt:lpwstr>_Toc401755877</vt:lpwstr>
      </vt:variant>
      <vt:variant>
        <vt:i4>1179704</vt:i4>
      </vt:variant>
      <vt:variant>
        <vt:i4>344</vt:i4>
      </vt:variant>
      <vt:variant>
        <vt:i4>0</vt:i4>
      </vt:variant>
      <vt:variant>
        <vt:i4>5</vt:i4>
      </vt:variant>
      <vt:variant>
        <vt:lpwstr/>
      </vt:variant>
      <vt:variant>
        <vt:lpwstr>_Toc401755876</vt:lpwstr>
      </vt:variant>
      <vt:variant>
        <vt:i4>1179704</vt:i4>
      </vt:variant>
      <vt:variant>
        <vt:i4>338</vt:i4>
      </vt:variant>
      <vt:variant>
        <vt:i4>0</vt:i4>
      </vt:variant>
      <vt:variant>
        <vt:i4>5</vt:i4>
      </vt:variant>
      <vt:variant>
        <vt:lpwstr/>
      </vt:variant>
      <vt:variant>
        <vt:lpwstr>_Toc401755875</vt:lpwstr>
      </vt:variant>
      <vt:variant>
        <vt:i4>1179704</vt:i4>
      </vt:variant>
      <vt:variant>
        <vt:i4>332</vt:i4>
      </vt:variant>
      <vt:variant>
        <vt:i4>0</vt:i4>
      </vt:variant>
      <vt:variant>
        <vt:i4>5</vt:i4>
      </vt:variant>
      <vt:variant>
        <vt:lpwstr/>
      </vt:variant>
      <vt:variant>
        <vt:lpwstr>_Toc401755874</vt:lpwstr>
      </vt:variant>
      <vt:variant>
        <vt:i4>1179704</vt:i4>
      </vt:variant>
      <vt:variant>
        <vt:i4>326</vt:i4>
      </vt:variant>
      <vt:variant>
        <vt:i4>0</vt:i4>
      </vt:variant>
      <vt:variant>
        <vt:i4>5</vt:i4>
      </vt:variant>
      <vt:variant>
        <vt:lpwstr/>
      </vt:variant>
      <vt:variant>
        <vt:lpwstr>_Toc401755873</vt:lpwstr>
      </vt:variant>
      <vt:variant>
        <vt:i4>1179704</vt:i4>
      </vt:variant>
      <vt:variant>
        <vt:i4>320</vt:i4>
      </vt:variant>
      <vt:variant>
        <vt:i4>0</vt:i4>
      </vt:variant>
      <vt:variant>
        <vt:i4>5</vt:i4>
      </vt:variant>
      <vt:variant>
        <vt:lpwstr/>
      </vt:variant>
      <vt:variant>
        <vt:lpwstr>_Toc401755872</vt:lpwstr>
      </vt:variant>
      <vt:variant>
        <vt:i4>1179704</vt:i4>
      </vt:variant>
      <vt:variant>
        <vt:i4>314</vt:i4>
      </vt:variant>
      <vt:variant>
        <vt:i4>0</vt:i4>
      </vt:variant>
      <vt:variant>
        <vt:i4>5</vt:i4>
      </vt:variant>
      <vt:variant>
        <vt:lpwstr/>
      </vt:variant>
      <vt:variant>
        <vt:lpwstr>_Toc401755871</vt:lpwstr>
      </vt:variant>
      <vt:variant>
        <vt:i4>1179704</vt:i4>
      </vt:variant>
      <vt:variant>
        <vt:i4>308</vt:i4>
      </vt:variant>
      <vt:variant>
        <vt:i4>0</vt:i4>
      </vt:variant>
      <vt:variant>
        <vt:i4>5</vt:i4>
      </vt:variant>
      <vt:variant>
        <vt:lpwstr/>
      </vt:variant>
      <vt:variant>
        <vt:lpwstr>_Toc401755870</vt:lpwstr>
      </vt:variant>
      <vt:variant>
        <vt:i4>1245240</vt:i4>
      </vt:variant>
      <vt:variant>
        <vt:i4>302</vt:i4>
      </vt:variant>
      <vt:variant>
        <vt:i4>0</vt:i4>
      </vt:variant>
      <vt:variant>
        <vt:i4>5</vt:i4>
      </vt:variant>
      <vt:variant>
        <vt:lpwstr/>
      </vt:variant>
      <vt:variant>
        <vt:lpwstr>_Toc401755869</vt:lpwstr>
      </vt:variant>
      <vt:variant>
        <vt:i4>1245240</vt:i4>
      </vt:variant>
      <vt:variant>
        <vt:i4>296</vt:i4>
      </vt:variant>
      <vt:variant>
        <vt:i4>0</vt:i4>
      </vt:variant>
      <vt:variant>
        <vt:i4>5</vt:i4>
      </vt:variant>
      <vt:variant>
        <vt:lpwstr/>
      </vt:variant>
      <vt:variant>
        <vt:lpwstr>_Toc401755868</vt:lpwstr>
      </vt:variant>
      <vt:variant>
        <vt:i4>1245240</vt:i4>
      </vt:variant>
      <vt:variant>
        <vt:i4>290</vt:i4>
      </vt:variant>
      <vt:variant>
        <vt:i4>0</vt:i4>
      </vt:variant>
      <vt:variant>
        <vt:i4>5</vt:i4>
      </vt:variant>
      <vt:variant>
        <vt:lpwstr/>
      </vt:variant>
      <vt:variant>
        <vt:lpwstr>_Toc401755867</vt:lpwstr>
      </vt:variant>
      <vt:variant>
        <vt:i4>1245240</vt:i4>
      </vt:variant>
      <vt:variant>
        <vt:i4>284</vt:i4>
      </vt:variant>
      <vt:variant>
        <vt:i4>0</vt:i4>
      </vt:variant>
      <vt:variant>
        <vt:i4>5</vt:i4>
      </vt:variant>
      <vt:variant>
        <vt:lpwstr/>
      </vt:variant>
      <vt:variant>
        <vt:lpwstr>_Toc401755866</vt:lpwstr>
      </vt:variant>
      <vt:variant>
        <vt:i4>1245240</vt:i4>
      </vt:variant>
      <vt:variant>
        <vt:i4>278</vt:i4>
      </vt:variant>
      <vt:variant>
        <vt:i4>0</vt:i4>
      </vt:variant>
      <vt:variant>
        <vt:i4>5</vt:i4>
      </vt:variant>
      <vt:variant>
        <vt:lpwstr/>
      </vt:variant>
      <vt:variant>
        <vt:lpwstr>_Toc401755865</vt:lpwstr>
      </vt:variant>
      <vt:variant>
        <vt:i4>1245240</vt:i4>
      </vt:variant>
      <vt:variant>
        <vt:i4>272</vt:i4>
      </vt:variant>
      <vt:variant>
        <vt:i4>0</vt:i4>
      </vt:variant>
      <vt:variant>
        <vt:i4>5</vt:i4>
      </vt:variant>
      <vt:variant>
        <vt:lpwstr/>
      </vt:variant>
      <vt:variant>
        <vt:lpwstr>_Toc401755864</vt:lpwstr>
      </vt:variant>
      <vt:variant>
        <vt:i4>1245240</vt:i4>
      </vt:variant>
      <vt:variant>
        <vt:i4>266</vt:i4>
      </vt:variant>
      <vt:variant>
        <vt:i4>0</vt:i4>
      </vt:variant>
      <vt:variant>
        <vt:i4>5</vt:i4>
      </vt:variant>
      <vt:variant>
        <vt:lpwstr/>
      </vt:variant>
      <vt:variant>
        <vt:lpwstr>_Toc401755863</vt:lpwstr>
      </vt:variant>
      <vt:variant>
        <vt:i4>1245240</vt:i4>
      </vt:variant>
      <vt:variant>
        <vt:i4>260</vt:i4>
      </vt:variant>
      <vt:variant>
        <vt:i4>0</vt:i4>
      </vt:variant>
      <vt:variant>
        <vt:i4>5</vt:i4>
      </vt:variant>
      <vt:variant>
        <vt:lpwstr/>
      </vt:variant>
      <vt:variant>
        <vt:lpwstr>_Toc401755862</vt:lpwstr>
      </vt:variant>
      <vt:variant>
        <vt:i4>1245240</vt:i4>
      </vt:variant>
      <vt:variant>
        <vt:i4>254</vt:i4>
      </vt:variant>
      <vt:variant>
        <vt:i4>0</vt:i4>
      </vt:variant>
      <vt:variant>
        <vt:i4>5</vt:i4>
      </vt:variant>
      <vt:variant>
        <vt:lpwstr/>
      </vt:variant>
      <vt:variant>
        <vt:lpwstr>_Toc401755861</vt:lpwstr>
      </vt:variant>
      <vt:variant>
        <vt:i4>1245240</vt:i4>
      </vt:variant>
      <vt:variant>
        <vt:i4>248</vt:i4>
      </vt:variant>
      <vt:variant>
        <vt:i4>0</vt:i4>
      </vt:variant>
      <vt:variant>
        <vt:i4>5</vt:i4>
      </vt:variant>
      <vt:variant>
        <vt:lpwstr/>
      </vt:variant>
      <vt:variant>
        <vt:lpwstr>_Toc401755860</vt:lpwstr>
      </vt:variant>
      <vt:variant>
        <vt:i4>1048632</vt:i4>
      </vt:variant>
      <vt:variant>
        <vt:i4>242</vt:i4>
      </vt:variant>
      <vt:variant>
        <vt:i4>0</vt:i4>
      </vt:variant>
      <vt:variant>
        <vt:i4>5</vt:i4>
      </vt:variant>
      <vt:variant>
        <vt:lpwstr/>
      </vt:variant>
      <vt:variant>
        <vt:lpwstr>_Toc401755859</vt:lpwstr>
      </vt:variant>
      <vt:variant>
        <vt:i4>1048632</vt:i4>
      </vt:variant>
      <vt:variant>
        <vt:i4>236</vt:i4>
      </vt:variant>
      <vt:variant>
        <vt:i4>0</vt:i4>
      </vt:variant>
      <vt:variant>
        <vt:i4>5</vt:i4>
      </vt:variant>
      <vt:variant>
        <vt:lpwstr/>
      </vt:variant>
      <vt:variant>
        <vt:lpwstr>_Toc401755858</vt:lpwstr>
      </vt:variant>
      <vt:variant>
        <vt:i4>1048632</vt:i4>
      </vt:variant>
      <vt:variant>
        <vt:i4>230</vt:i4>
      </vt:variant>
      <vt:variant>
        <vt:i4>0</vt:i4>
      </vt:variant>
      <vt:variant>
        <vt:i4>5</vt:i4>
      </vt:variant>
      <vt:variant>
        <vt:lpwstr/>
      </vt:variant>
      <vt:variant>
        <vt:lpwstr>_Toc401755857</vt:lpwstr>
      </vt:variant>
      <vt:variant>
        <vt:i4>1048632</vt:i4>
      </vt:variant>
      <vt:variant>
        <vt:i4>224</vt:i4>
      </vt:variant>
      <vt:variant>
        <vt:i4>0</vt:i4>
      </vt:variant>
      <vt:variant>
        <vt:i4>5</vt:i4>
      </vt:variant>
      <vt:variant>
        <vt:lpwstr/>
      </vt:variant>
      <vt:variant>
        <vt:lpwstr>_Toc401755856</vt:lpwstr>
      </vt:variant>
      <vt:variant>
        <vt:i4>1048632</vt:i4>
      </vt:variant>
      <vt:variant>
        <vt:i4>218</vt:i4>
      </vt:variant>
      <vt:variant>
        <vt:i4>0</vt:i4>
      </vt:variant>
      <vt:variant>
        <vt:i4>5</vt:i4>
      </vt:variant>
      <vt:variant>
        <vt:lpwstr/>
      </vt:variant>
      <vt:variant>
        <vt:lpwstr>_Toc401755855</vt:lpwstr>
      </vt:variant>
      <vt:variant>
        <vt:i4>1048632</vt:i4>
      </vt:variant>
      <vt:variant>
        <vt:i4>212</vt:i4>
      </vt:variant>
      <vt:variant>
        <vt:i4>0</vt:i4>
      </vt:variant>
      <vt:variant>
        <vt:i4>5</vt:i4>
      </vt:variant>
      <vt:variant>
        <vt:lpwstr/>
      </vt:variant>
      <vt:variant>
        <vt:lpwstr>_Toc401755854</vt:lpwstr>
      </vt:variant>
      <vt:variant>
        <vt:i4>1048632</vt:i4>
      </vt:variant>
      <vt:variant>
        <vt:i4>206</vt:i4>
      </vt:variant>
      <vt:variant>
        <vt:i4>0</vt:i4>
      </vt:variant>
      <vt:variant>
        <vt:i4>5</vt:i4>
      </vt:variant>
      <vt:variant>
        <vt:lpwstr/>
      </vt:variant>
      <vt:variant>
        <vt:lpwstr>_Toc401755853</vt:lpwstr>
      </vt:variant>
      <vt:variant>
        <vt:i4>1048632</vt:i4>
      </vt:variant>
      <vt:variant>
        <vt:i4>200</vt:i4>
      </vt:variant>
      <vt:variant>
        <vt:i4>0</vt:i4>
      </vt:variant>
      <vt:variant>
        <vt:i4>5</vt:i4>
      </vt:variant>
      <vt:variant>
        <vt:lpwstr/>
      </vt:variant>
      <vt:variant>
        <vt:lpwstr>_Toc401755852</vt:lpwstr>
      </vt:variant>
      <vt:variant>
        <vt:i4>1048632</vt:i4>
      </vt:variant>
      <vt:variant>
        <vt:i4>194</vt:i4>
      </vt:variant>
      <vt:variant>
        <vt:i4>0</vt:i4>
      </vt:variant>
      <vt:variant>
        <vt:i4>5</vt:i4>
      </vt:variant>
      <vt:variant>
        <vt:lpwstr/>
      </vt:variant>
      <vt:variant>
        <vt:lpwstr>_Toc401755851</vt:lpwstr>
      </vt:variant>
      <vt:variant>
        <vt:i4>1048632</vt:i4>
      </vt:variant>
      <vt:variant>
        <vt:i4>188</vt:i4>
      </vt:variant>
      <vt:variant>
        <vt:i4>0</vt:i4>
      </vt:variant>
      <vt:variant>
        <vt:i4>5</vt:i4>
      </vt:variant>
      <vt:variant>
        <vt:lpwstr/>
      </vt:variant>
      <vt:variant>
        <vt:lpwstr>_Toc401755850</vt:lpwstr>
      </vt:variant>
      <vt:variant>
        <vt:i4>1114168</vt:i4>
      </vt:variant>
      <vt:variant>
        <vt:i4>182</vt:i4>
      </vt:variant>
      <vt:variant>
        <vt:i4>0</vt:i4>
      </vt:variant>
      <vt:variant>
        <vt:i4>5</vt:i4>
      </vt:variant>
      <vt:variant>
        <vt:lpwstr/>
      </vt:variant>
      <vt:variant>
        <vt:lpwstr>_Toc401755849</vt:lpwstr>
      </vt:variant>
      <vt:variant>
        <vt:i4>1114168</vt:i4>
      </vt:variant>
      <vt:variant>
        <vt:i4>176</vt:i4>
      </vt:variant>
      <vt:variant>
        <vt:i4>0</vt:i4>
      </vt:variant>
      <vt:variant>
        <vt:i4>5</vt:i4>
      </vt:variant>
      <vt:variant>
        <vt:lpwstr/>
      </vt:variant>
      <vt:variant>
        <vt:lpwstr>_Toc401755848</vt:lpwstr>
      </vt:variant>
      <vt:variant>
        <vt:i4>1114168</vt:i4>
      </vt:variant>
      <vt:variant>
        <vt:i4>170</vt:i4>
      </vt:variant>
      <vt:variant>
        <vt:i4>0</vt:i4>
      </vt:variant>
      <vt:variant>
        <vt:i4>5</vt:i4>
      </vt:variant>
      <vt:variant>
        <vt:lpwstr/>
      </vt:variant>
      <vt:variant>
        <vt:lpwstr>_Toc401755847</vt:lpwstr>
      </vt:variant>
      <vt:variant>
        <vt:i4>1114168</vt:i4>
      </vt:variant>
      <vt:variant>
        <vt:i4>164</vt:i4>
      </vt:variant>
      <vt:variant>
        <vt:i4>0</vt:i4>
      </vt:variant>
      <vt:variant>
        <vt:i4>5</vt:i4>
      </vt:variant>
      <vt:variant>
        <vt:lpwstr/>
      </vt:variant>
      <vt:variant>
        <vt:lpwstr>_Toc401755846</vt:lpwstr>
      </vt:variant>
      <vt:variant>
        <vt:i4>1114168</vt:i4>
      </vt:variant>
      <vt:variant>
        <vt:i4>158</vt:i4>
      </vt:variant>
      <vt:variant>
        <vt:i4>0</vt:i4>
      </vt:variant>
      <vt:variant>
        <vt:i4>5</vt:i4>
      </vt:variant>
      <vt:variant>
        <vt:lpwstr/>
      </vt:variant>
      <vt:variant>
        <vt:lpwstr>_Toc401755845</vt:lpwstr>
      </vt:variant>
      <vt:variant>
        <vt:i4>1114168</vt:i4>
      </vt:variant>
      <vt:variant>
        <vt:i4>152</vt:i4>
      </vt:variant>
      <vt:variant>
        <vt:i4>0</vt:i4>
      </vt:variant>
      <vt:variant>
        <vt:i4>5</vt:i4>
      </vt:variant>
      <vt:variant>
        <vt:lpwstr/>
      </vt:variant>
      <vt:variant>
        <vt:lpwstr>_Toc401755844</vt:lpwstr>
      </vt:variant>
      <vt:variant>
        <vt:i4>1114168</vt:i4>
      </vt:variant>
      <vt:variant>
        <vt:i4>146</vt:i4>
      </vt:variant>
      <vt:variant>
        <vt:i4>0</vt:i4>
      </vt:variant>
      <vt:variant>
        <vt:i4>5</vt:i4>
      </vt:variant>
      <vt:variant>
        <vt:lpwstr/>
      </vt:variant>
      <vt:variant>
        <vt:lpwstr>_Toc401755843</vt:lpwstr>
      </vt:variant>
      <vt:variant>
        <vt:i4>1114168</vt:i4>
      </vt:variant>
      <vt:variant>
        <vt:i4>140</vt:i4>
      </vt:variant>
      <vt:variant>
        <vt:i4>0</vt:i4>
      </vt:variant>
      <vt:variant>
        <vt:i4>5</vt:i4>
      </vt:variant>
      <vt:variant>
        <vt:lpwstr/>
      </vt:variant>
      <vt:variant>
        <vt:lpwstr>_Toc401755842</vt:lpwstr>
      </vt:variant>
      <vt:variant>
        <vt:i4>1114168</vt:i4>
      </vt:variant>
      <vt:variant>
        <vt:i4>134</vt:i4>
      </vt:variant>
      <vt:variant>
        <vt:i4>0</vt:i4>
      </vt:variant>
      <vt:variant>
        <vt:i4>5</vt:i4>
      </vt:variant>
      <vt:variant>
        <vt:lpwstr/>
      </vt:variant>
      <vt:variant>
        <vt:lpwstr>_Toc401755841</vt:lpwstr>
      </vt:variant>
      <vt:variant>
        <vt:i4>1114168</vt:i4>
      </vt:variant>
      <vt:variant>
        <vt:i4>128</vt:i4>
      </vt:variant>
      <vt:variant>
        <vt:i4>0</vt:i4>
      </vt:variant>
      <vt:variant>
        <vt:i4>5</vt:i4>
      </vt:variant>
      <vt:variant>
        <vt:lpwstr/>
      </vt:variant>
      <vt:variant>
        <vt:lpwstr>_Toc401755840</vt:lpwstr>
      </vt:variant>
      <vt:variant>
        <vt:i4>1441848</vt:i4>
      </vt:variant>
      <vt:variant>
        <vt:i4>122</vt:i4>
      </vt:variant>
      <vt:variant>
        <vt:i4>0</vt:i4>
      </vt:variant>
      <vt:variant>
        <vt:i4>5</vt:i4>
      </vt:variant>
      <vt:variant>
        <vt:lpwstr/>
      </vt:variant>
      <vt:variant>
        <vt:lpwstr>_Toc401755839</vt:lpwstr>
      </vt:variant>
      <vt:variant>
        <vt:i4>1441848</vt:i4>
      </vt:variant>
      <vt:variant>
        <vt:i4>116</vt:i4>
      </vt:variant>
      <vt:variant>
        <vt:i4>0</vt:i4>
      </vt:variant>
      <vt:variant>
        <vt:i4>5</vt:i4>
      </vt:variant>
      <vt:variant>
        <vt:lpwstr/>
      </vt:variant>
      <vt:variant>
        <vt:lpwstr>_Toc401755838</vt:lpwstr>
      </vt:variant>
      <vt:variant>
        <vt:i4>1441848</vt:i4>
      </vt:variant>
      <vt:variant>
        <vt:i4>110</vt:i4>
      </vt:variant>
      <vt:variant>
        <vt:i4>0</vt:i4>
      </vt:variant>
      <vt:variant>
        <vt:i4>5</vt:i4>
      </vt:variant>
      <vt:variant>
        <vt:lpwstr/>
      </vt:variant>
      <vt:variant>
        <vt:lpwstr>_Toc401755837</vt:lpwstr>
      </vt:variant>
      <vt:variant>
        <vt:i4>1441848</vt:i4>
      </vt:variant>
      <vt:variant>
        <vt:i4>104</vt:i4>
      </vt:variant>
      <vt:variant>
        <vt:i4>0</vt:i4>
      </vt:variant>
      <vt:variant>
        <vt:i4>5</vt:i4>
      </vt:variant>
      <vt:variant>
        <vt:lpwstr/>
      </vt:variant>
      <vt:variant>
        <vt:lpwstr>_Toc401755836</vt:lpwstr>
      </vt:variant>
      <vt:variant>
        <vt:i4>1441848</vt:i4>
      </vt:variant>
      <vt:variant>
        <vt:i4>98</vt:i4>
      </vt:variant>
      <vt:variant>
        <vt:i4>0</vt:i4>
      </vt:variant>
      <vt:variant>
        <vt:i4>5</vt:i4>
      </vt:variant>
      <vt:variant>
        <vt:lpwstr/>
      </vt:variant>
      <vt:variant>
        <vt:lpwstr>_Toc401755835</vt:lpwstr>
      </vt:variant>
      <vt:variant>
        <vt:i4>1441848</vt:i4>
      </vt:variant>
      <vt:variant>
        <vt:i4>92</vt:i4>
      </vt:variant>
      <vt:variant>
        <vt:i4>0</vt:i4>
      </vt:variant>
      <vt:variant>
        <vt:i4>5</vt:i4>
      </vt:variant>
      <vt:variant>
        <vt:lpwstr/>
      </vt:variant>
      <vt:variant>
        <vt:lpwstr>_Toc401755834</vt:lpwstr>
      </vt:variant>
      <vt:variant>
        <vt:i4>1441848</vt:i4>
      </vt:variant>
      <vt:variant>
        <vt:i4>86</vt:i4>
      </vt:variant>
      <vt:variant>
        <vt:i4>0</vt:i4>
      </vt:variant>
      <vt:variant>
        <vt:i4>5</vt:i4>
      </vt:variant>
      <vt:variant>
        <vt:lpwstr/>
      </vt:variant>
      <vt:variant>
        <vt:lpwstr>_Toc401755833</vt:lpwstr>
      </vt:variant>
      <vt:variant>
        <vt:i4>1441848</vt:i4>
      </vt:variant>
      <vt:variant>
        <vt:i4>80</vt:i4>
      </vt:variant>
      <vt:variant>
        <vt:i4>0</vt:i4>
      </vt:variant>
      <vt:variant>
        <vt:i4>5</vt:i4>
      </vt:variant>
      <vt:variant>
        <vt:lpwstr/>
      </vt:variant>
      <vt:variant>
        <vt:lpwstr>_Toc401755832</vt:lpwstr>
      </vt:variant>
      <vt:variant>
        <vt:i4>1441848</vt:i4>
      </vt:variant>
      <vt:variant>
        <vt:i4>74</vt:i4>
      </vt:variant>
      <vt:variant>
        <vt:i4>0</vt:i4>
      </vt:variant>
      <vt:variant>
        <vt:i4>5</vt:i4>
      </vt:variant>
      <vt:variant>
        <vt:lpwstr/>
      </vt:variant>
      <vt:variant>
        <vt:lpwstr>_Toc401755831</vt:lpwstr>
      </vt:variant>
      <vt:variant>
        <vt:i4>1441848</vt:i4>
      </vt:variant>
      <vt:variant>
        <vt:i4>68</vt:i4>
      </vt:variant>
      <vt:variant>
        <vt:i4>0</vt:i4>
      </vt:variant>
      <vt:variant>
        <vt:i4>5</vt:i4>
      </vt:variant>
      <vt:variant>
        <vt:lpwstr/>
      </vt:variant>
      <vt:variant>
        <vt:lpwstr>_Toc401755830</vt:lpwstr>
      </vt:variant>
      <vt:variant>
        <vt:i4>1507384</vt:i4>
      </vt:variant>
      <vt:variant>
        <vt:i4>62</vt:i4>
      </vt:variant>
      <vt:variant>
        <vt:i4>0</vt:i4>
      </vt:variant>
      <vt:variant>
        <vt:i4>5</vt:i4>
      </vt:variant>
      <vt:variant>
        <vt:lpwstr/>
      </vt:variant>
      <vt:variant>
        <vt:lpwstr>_Toc401755829</vt:lpwstr>
      </vt:variant>
      <vt:variant>
        <vt:i4>1507384</vt:i4>
      </vt:variant>
      <vt:variant>
        <vt:i4>56</vt:i4>
      </vt:variant>
      <vt:variant>
        <vt:i4>0</vt:i4>
      </vt:variant>
      <vt:variant>
        <vt:i4>5</vt:i4>
      </vt:variant>
      <vt:variant>
        <vt:lpwstr/>
      </vt:variant>
      <vt:variant>
        <vt:lpwstr>_Toc401755828</vt:lpwstr>
      </vt:variant>
      <vt:variant>
        <vt:i4>1507384</vt:i4>
      </vt:variant>
      <vt:variant>
        <vt:i4>50</vt:i4>
      </vt:variant>
      <vt:variant>
        <vt:i4>0</vt:i4>
      </vt:variant>
      <vt:variant>
        <vt:i4>5</vt:i4>
      </vt:variant>
      <vt:variant>
        <vt:lpwstr/>
      </vt:variant>
      <vt:variant>
        <vt:lpwstr>_Toc401755827</vt:lpwstr>
      </vt:variant>
      <vt:variant>
        <vt:i4>1507384</vt:i4>
      </vt:variant>
      <vt:variant>
        <vt:i4>44</vt:i4>
      </vt:variant>
      <vt:variant>
        <vt:i4>0</vt:i4>
      </vt:variant>
      <vt:variant>
        <vt:i4>5</vt:i4>
      </vt:variant>
      <vt:variant>
        <vt:lpwstr/>
      </vt:variant>
      <vt:variant>
        <vt:lpwstr>_Toc401755826</vt:lpwstr>
      </vt:variant>
      <vt:variant>
        <vt:i4>1507384</vt:i4>
      </vt:variant>
      <vt:variant>
        <vt:i4>38</vt:i4>
      </vt:variant>
      <vt:variant>
        <vt:i4>0</vt:i4>
      </vt:variant>
      <vt:variant>
        <vt:i4>5</vt:i4>
      </vt:variant>
      <vt:variant>
        <vt:lpwstr/>
      </vt:variant>
      <vt:variant>
        <vt:lpwstr>_Toc401755825</vt:lpwstr>
      </vt:variant>
      <vt:variant>
        <vt:i4>1507384</vt:i4>
      </vt:variant>
      <vt:variant>
        <vt:i4>32</vt:i4>
      </vt:variant>
      <vt:variant>
        <vt:i4>0</vt:i4>
      </vt:variant>
      <vt:variant>
        <vt:i4>5</vt:i4>
      </vt:variant>
      <vt:variant>
        <vt:lpwstr/>
      </vt:variant>
      <vt:variant>
        <vt:lpwstr>_Toc401755824</vt:lpwstr>
      </vt:variant>
      <vt:variant>
        <vt:i4>1507384</vt:i4>
      </vt:variant>
      <vt:variant>
        <vt:i4>26</vt:i4>
      </vt:variant>
      <vt:variant>
        <vt:i4>0</vt:i4>
      </vt:variant>
      <vt:variant>
        <vt:i4>5</vt:i4>
      </vt:variant>
      <vt:variant>
        <vt:lpwstr/>
      </vt:variant>
      <vt:variant>
        <vt:lpwstr>_Toc401755823</vt:lpwstr>
      </vt:variant>
      <vt:variant>
        <vt:i4>1507384</vt:i4>
      </vt:variant>
      <vt:variant>
        <vt:i4>20</vt:i4>
      </vt:variant>
      <vt:variant>
        <vt:i4>0</vt:i4>
      </vt:variant>
      <vt:variant>
        <vt:i4>5</vt:i4>
      </vt:variant>
      <vt:variant>
        <vt:lpwstr/>
      </vt:variant>
      <vt:variant>
        <vt:lpwstr>_Toc401755822</vt:lpwstr>
      </vt:variant>
      <vt:variant>
        <vt:i4>1507384</vt:i4>
      </vt:variant>
      <vt:variant>
        <vt:i4>14</vt:i4>
      </vt:variant>
      <vt:variant>
        <vt:i4>0</vt:i4>
      </vt:variant>
      <vt:variant>
        <vt:i4>5</vt:i4>
      </vt:variant>
      <vt:variant>
        <vt:lpwstr/>
      </vt:variant>
      <vt:variant>
        <vt:lpwstr>_Toc401755821</vt:lpwstr>
      </vt:variant>
      <vt:variant>
        <vt:i4>1507384</vt:i4>
      </vt:variant>
      <vt:variant>
        <vt:i4>8</vt:i4>
      </vt:variant>
      <vt:variant>
        <vt:i4>0</vt:i4>
      </vt:variant>
      <vt:variant>
        <vt:i4>5</vt:i4>
      </vt:variant>
      <vt:variant>
        <vt:lpwstr/>
      </vt:variant>
      <vt:variant>
        <vt:lpwstr>_Toc401755820</vt:lpwstr>
      </vt:variant>
      <vt:variant>
        <vt:i4>1310776</vt:i4>
      </vt:variant>
      <vt:variant>
        <vt:i4>2</vt:i4>
      </vt:variant>
      <vt:variant>
        <vt:i4>0</vt:i4>
      </vt:variant>
      <vt:variant>
        <vt:i4>5</vt:i4>
      </vt:variant>
      <vt:variant>
        <vt:lpwstr/>
      </vt:variant>
      <vt:variant>
        <vt:lpwstr>_Toc401755819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杨敏</dc:creator>
  <cp:lastModifiedBy>陈红</cp:lastModifiedBy>
  <cp:revision>8</cp:revision>
  <cp:lastPrinted>2012-04-09T08:21:00Z</cp:lastPrinted>
  <dcterms:created xsi:type="dcterms:W3CDTF">2020-01-15T09:31:00Z</dcterms:created>
  <dcterms:modified xsi:type="dcterms:W3CDTF">2020-01-17T08:52:00Z</dcterms:modified>
</cp:coreProperties>
</file>