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易方达价值成长混合型证券投资基金分红公告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公告送出日期：2020年1月21日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易方达价值成长混合型证券投资基金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易方达价值成长混合</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110010</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2007</w:t>
            </w:r>
            <w:r w:rsidRPr="00D36ADB">
              <w:rPr>
                <w:rFonts w:eastAsia="宋体"/>
                <w:sz w:val="24"/>
                <w:szCs w:val="24"/>
              </w:rPr>
              <w:t>年</w:t>
            </w:r>
            <w:r w:rsidRPr="00D36ADB">
              <w:rPr>
                <w:rFonts w:eastAsia="宋体"/>
                <w:sz w:val="24"/>
                <w:szCs w:val="24"/>
              </w:rPr>
              <w:t>4</w:t>
            </w:r>
            <w:r w:rsidRPr="00D36ADB">
              <w:rPr>
                <w:rFonts w:eastAsia="宋体"/>
                <w:sz w:val="24"/>
                <w:szCs w:val="24"/>
              </w:rPr>
              <w:t>月</w:t>
            </w:r>
            <w:r w:rsidRPr="00D36ADB">
              <w:rPr>
                <w:rFonts w:eastAsia="宋体"/>
                <w:sz w:val="24"/>
                <w:szCs w:val="24"/>
              </w:rPr>
              <w:t>2</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中国工商银行股份有限公司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《公开募集证券投资基金信息披露管理办法》、《易方达价值成长混合型证券投资基金基金合同》、《易方达价值成长混合型证券投资基金更新的招募说明书》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1.9107</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2,670,869,730.96</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267,086,973.10</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0.50</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注：根据《易方达价值成长混合型证券投资基金基金合同》规定，在符合有关基金分红条件的前提下，本基金每年收益分配次数最多为十二次，全年分配比例不得低于年度可供分配收益的10%。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w:t>
            </w:r>
          </w:p>
        </w:tc>
      </w:tr>
      <w:tr w:rsidR="003D60F4" w:rsidRPr="005F3BD7" w:rsidTr="003D60F4">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2C343A" w:rsidP="003D60F4">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21</w:t>
            </w:r>
            <w:r w:rsidRPr="00002462">
              <w:rPr>
                <w:rFonts w:eastAsia="宋体"/>
                <w:sz w:val="24"/>
                <w:szCs w:val="24"/>
              </w:rPr>
              <w:t>日</w:t>
            </w:r>
            <w:bookmarkStart w:id="2" w:name="_GoBack"/>
            <w:bookmarkEnd w:id="2"/>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22</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23</w:t>
            </w:r>
            <w:r w:rsidRPr="00D36ADB">
              <w:rPr>
                <w:rFonts w:eastAsia="宋体"/>
                <w:sz w:val="24"/>
                <w:szCs w:val="24"/>
              </w:rPr>
              <w:t>日起投资者可以查</w:t>
            </w:r>
            <w:r w:rsidRPr="00D36ADB">
              <w:rPr>
                <w:rFonts w:eastAsia="宋体"/>
                <w:sz w:val="24"/>
                <w:szCs w:val="24"/>
              </w:rPr>
              <w:lastRenderedPageBreak/>
              <w:t>询、赎回。权益登记日之前（不含权益登记日）办理了转托管转出尚未办理转托管转入的基金份额，其分红方式按照红利再投资处理。</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875720" w:rsidRDefault="009434F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注：（1）选择现金红利方式的投资者的红利款将于2020年1月22日自基金托管账户划出。</w:t>
      </w:r>
    </w:p>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875720" w:rsidRDefault="009434F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（1）权益登记日申请申购或转换转入的基金份额不享有本次分红权益，权益登记日申请赎回或转换转出的基金份额享有本次分红权益。 </w:t>
      </w:r>
    </w:p>
    <w:p w:rsidR="00875720" w:rsidRDefault="009434F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（2）本次分红确认的方式按照投资者在权益登记日之前（不含权益登记日）最后一次选择成功的分红方式为准。</w:t>
      </w:r>
    </w:p>
    <w:p w:rsidR="00875720" w:rsidRDefault="009434F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由于支付现金分红款时将发生一定的银行转帐等手续费用，为保护投资者的利益，根据基金合同的有关规定，当基金份额持有人的现金红利小于5元时，基金注册登记机构将该持有人的现金红利自动再投资为基金份额。</w:t>
      </w:r>
    </w:p>
    <w:p w:rsidR="00875720" w:rsidRDefault="009434F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投资者可以通过拨打易方达基金管理有限公司客户服务热线40088-18088（免长途话费），或登陆网站http://www.efunds.com.cn了解相关情况。投资者也可以前往本基金有关销售机构进行咨询。本基金的销售机构详见本基金更新的招募说明书或相关公告。</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2020年1月21日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22" w:rsidRDefault="00FE3D22" w:rsidP="00893436">
      <w:r>
        <w:separator/>
      </w:r>
    </w:p>
  </w:endnote>
  <w:endnote w:type="continuationSeparator" w:id="0">
    <w:p w:rsidR="00FE3D22" w:rsidRDefault="00FE3D22"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22" w:rsidRDefault="00FE3D22" w:rsidP="00893436">
      <w:r>
        <w:separator/>
      </w:r>
    </w:p>
  </w:footnote>
  <w:footnote w:type="continuationSeparator" w:id="0">
    <w:p w:rsidR="00FE3D22" w:rsidRDefault="00FE3D22"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D60F4"/>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75720"/>
    <w:rsid w:val="00893436"/>
    <w:rsid w:val="008B088E"/>
    <w:rsid w:val="008D1F66"/>
    <w:rsid w:val="008D4E10"/>
    <w:rsid w:val="009117E2"/>
    <w:rsid w:val="009434FA"/>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 w:val="00FE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Company>微软中国</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cp:revision>
  <dcterms:created xsi:type="dcterms:W3CDTF">2020-01-17T03:22:00Z</dcterms:created>
  <dcterms:modified xsi:type="dcterms:W3CDTF">2020-01-17T03:25:00Z</dcterms:modified>
</cp:coreProperties>
</file>