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834447" w:rsidRDefault="00893436" w:rsidP="00893436">
      <w:pPr>
        <w:widowControl/>
        <w:jc w:val="center"/>
        <w:rPr>
          <w:rFonts w:asciiTheme="minorEastAsia" w:eastAsiaTheme="minorEastAsia" w:hAnsiTheme="minorEastAsia" w:cs="宋体"/>
          <w:b/>
          <w:kern w:val="0"/>
          <w:sz w:val="30"/>
          <w:szCs w:val="30"/>
        </w:rPr>
      </w:pPr>
      <w:r w:rsidRPr="00834447">
        <w:rPr>
          <w:rFonts w:asciiTheme="minorEastAsia" w:eastAsiaTheme="minorEastAsia" w:hAnsiTheme="minorEastAsia" w:cs="宋体" w:hint="eastAsia"/>
          <w:b/>
          <w:kern w:val="0"/>
          <w:sz w:val="30"/>
          <w:szCs w:val="30"/>
        </w:rPr>
        <w:t>易方达安悦超短债债券型证券投资基金分红公告</w:t>
      </w:r>
    </w:p>
    <w:p w:rsidR="00893436" w:rsidRPr="00834447" w:rsidRDefault="00893436" w:rsidP="00893436">
      <w:pPr>
        <w:spacing w:line="560" w:lineRule="exact"/>
        <w:jc w:val="center"/>
        <w:rPr>
          <w:rFonts w:asciiTheme="minorEastAsia" w:eastAsiaTheme="minorEastAsia" w:hAnsiTheme="minorEastAsia"/>
          <w:b/>
          <w:color w:val="000000"/>
          <w:sz w:val="24"/>
          <w:szCs w:val="24"/>
        </w:rPr>
      </w:pPr>
      <w:r w:rsidRPr="00834447">
        <w:rPr>
          <w:rFonts w:asciiTheme="minorEastAsia" w:eastAsiaTheme="minorEastAsia" w:hAnsiTheme="minorEastAsia"/>
          <w:b/>
          <w:color w:val="000000"/>
          <w:sz w:val="24"/>
          <w:szCs w:val="24"/>
        </w:rPr>
        <w:t>公告送出日期：2020年1月21日</w:t>
      </w:r>
    </w:p>
    <w:p w:rsidR="00893436" w:rsidRPr="00BD5586" w:rsidRDefault="00893436" w:rsidP="00893436">
      <w:pPr>
        <w:spacing w:line="560" w:lineRule="exact"/>
        <w:jc w:val="center"/>
        <w:rPr>
          <w:color w:val="000000"/>
          <w:sz w:val="24"/>
        </w:rPr>
      </w:pPr>
    </w:p>
    <w:p w:rsidR="00893436" w:rsidRDefault="00834447" w:rsidP="00834447">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00893436" w:rsidRPr="00834447">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2"/>
        <w:gridCol w:w="1851"/>
        <w:gridCol w:w="1851"/>
        <w:gridCol w:w="1852"/>
      </w:tblGrid>
      <w:tr w:rsidR="00F4042E" w:rsidRPr="00AD278A" w:rsidTr="00476371">
        <w:trPr>
          <w:jc w:val="center"/>
        </w:trPr>
        <w:tc>
          <w:tcPr>
            <w:tcW w:w="4052" w:type="dxa"/>
            <w:gridSpan w:val="2"/>
          </w:tcPr>
          <w:p w:rsidR="00F4042E" w:rsidRPr="00834447" w:rsidRDefault="00F4042E" w:rsidP="00476371">
            <w:pPr>
              <w:rPr>
                <w:rFonts w:eastAsia="宋体"/>
                <w:sz w:val="24"/>
                <w:szCs w:val="24"/>
              </w:rPr>
            </w:pPr>
            <w:r w:rsidRPr="00834447">
              <w:rPr>
                <w:rFonts w:eastAsia="宋体"/>
                <w:sz w:val="24"/>
                <w:szCs w:val="24"/>
              </w:rPr>
              <w:t>基金名称</w:t>
            </w:r>
          </w:p>
        </w:tc>
        <w:tc>
          <w:tcPr>
            <w:tcW w:w="5554" w:type="dxa"/>
            <w:gridSpan w:val="3"/>
            <w:vAlign w:val="center"/>
          </w:tcPr>
          <w:p w:rsidR="00F4042E" w:rsidRPr="00834447" w:rsidRDefault="00F4042E" w:rsidP="00476371">
            <w:pPr>
              <w:rPr>
                <w:rFonts w:eastAsia="宋体"/>
                <w:sz w:val="24"/>
                <w:szCs w:val="24"/>
              </w:rPr>
            </w:pPr>
            <w:r w:rsidRPr="00834447">
              <w:rPr>
                <w:rFonts w:eastAsia="宋体"/>
                <w:sz w:val="24"/>
                <w:szCs w:val="24"/>
              </w:rPr>
              <w:t>易方达安悦超短债债券型证券投资基金</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基金简称</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易方达安悦超短债债券</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基金主代码</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006662</w:t>
            </w:r>
          </w:p>
        </w:tc>
      </w:tr>
      <w:tr w:rsidR="00F4042E" w:rsidRPr="00002462" w:rsidTr="00476371">
        <w:trPr>
          <w:jc w:val="center"/>
        </w:trPr>
        <w:tc>
          <w:tcPr>
            <w:tcW w:w="4052" w:type="dxa"/>
            <w:gridSpan w:val="2"/>
            <w:vAlign w:val="center"/>
          </w:tcPr>
          <w:p w:rsidR="00F4042E" w:rsidRPr="00002462" w:rsidRDefault="00F4042E" w:rsidP="00476371">
            <w:pPr>
              <w:rPr>
                <w:rFonts w:eastAsia="宋体"/>
                <w:sz w:val="24"/>
                <w:szCs w:val="24"/>
              </w:rPr>
            </w:pPr>
            <w:r w:rsidRPr="00002462">
              <w:rPr>
                <w:rFonts w:eastAsia="宋体"/>
                <w:sz w:val="24"/>
                <w:szCs w:val="24"/>
              </w:rPr>
              <w:t>基金合同生效日</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2018</w:t>
            </w:r>
            <w:r w:rsidRPr="00002462">
              <w:rPr>
                <w:rFonts w:eastAsia="宋体"/>
                <w:sz w:val="24"/>
                <w:szCs w:val="24"/>
              </w:rPr>
              <w:t>年</w:t>
            </w:r>
            <w:r w:rsidRPr="00002462">
              <w:rPr>
                <w:rFonts w:eastAsia="宋体"/>
                <w:sz w:val="24"/>
                <w:szCs w:val="24"/>
              </w:rPr>
              <w:t>12</w:t>
            </w:r>
            <w:r w:rsidRPr="00002462">
              <w:rPr>
                <w:rFonts w:eastAsia="宋体"/>
                <w:sz w:val="24"/>
                <w:szCs w:val="24"/>
              </w:rPr>
              <w:t>月</w:t>
            </w:r>
            <w:r w:rsidRPr="00002462">
              <w:rPr>
                <w:rFonts w:eastAsia="宋体"/>
                <w:sz w:val="24"/>
                <w:szCs w:val="24"/>
              </w:rPr>
              <w:t>5</w:t>
            </w:r>
            <w:r w:rsidRPr="00002462">
              <w:rPr>
                <w:rFonts w:eastAsia="宋体"/>
                <w:sz w:val="24"/>
                <w:szCs w:val="24"/>
              </w:rPr>
              <w:t>日</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基金管理人名称</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易方达基金管理有限公司</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基金托管人名称</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中国民生银行股份有限公司</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公告依据</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《公开募集证券投资基金信息披露管理办法》、《易方达安悦超短债债券型证券投资基金基金合同》、《易方达安悦超短债债券型证券投资基金更新的招募说明书》</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收益分配基准日</w:t>
            </w:r>
          </w:p>
        </w:tc>
        <w:tc>
          <w:tcPr>
            <w:tcW w:w="5554" w:type="dxa"/>
            <w:gridSpan w:val="3"/>
          </w:tcPr>
          <w:p w:rsidR="00F4042E" w:rsidRPr="00002462" w:rsidRDefault="00F4042E" w:rsidP="00476371">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15</w:t>
            </w:r>
            <w:r w:rsidRPr="00002462">
              <w:rPr>
                <w:rFonts w:eastAsia="宋体"/>
                <w:sz w:val="24"/>
                <w:szCs w:val="24"/>
              </w:rPr>
              <w:t>日</w:t>
            </w:r>
          </w:p>
        </w:tc>
      </w:tr>
      <w:tr w:rsidR="00893436" w:rsidRPr="00002462" w:rsidTr="0045170D">
        <w:trPr>
          <w:jc w:val="center"/>
        </w:trPr>
        <w:tc>
          <w:tcPr>
            <w:tcW w:w="4052" w:type="dxa"/>
            <w:gridSpan w:val="2"/>
            <w:vAlign w:val="center"/>
          </w:tcPr>
          <w:p w:rsidR="00893436" w:rsidRPr="00002462" w:rsidRDefault="00893436" w:rsidP="00AD278A">
            <w:pPr>
              <w:rPr>
                <w:rFonts w:eastAsia="宋体"/>
                <w:sz w:val="24"/>
                <w:szCs w:val="24"/>
              </w:rPr>
            </w:pPr>
            <w:r w:rsidRPr="00002462">
              <w:rPr>
                <w:rFonts w:eastAsia="宋体"/>
                <w:sz w:val="24"/>
                <w:szCs w:val="24"/>
              </w:rPr>
              <w:t>有关年度分红次数的说明</w:t>
            </w:r>
          </w:p>
        </w:tc>
        <w:tc>
          <w:tcPr>
            <w:tcW w:w="5554" w:type="dxa"/>
            <w:gridSpan w:val="3"/>
            <w:vAlign w:val="center"/>
          </w:tcPr>
          <w:p w:rsidR="00893436" w:rsidRPr="00002462" w:rsidRDefault="009732A4" w:rsidP="00AD278A">
            <w:pPr>
              <w:rPr>
                <w:rFonts w:eastAsia="宋体"/>
                <w:sz w:val="24"/>
                <w:szCs w:val="24"/>
              </w:rPr>
            </w:pPr>
            <w:r w:rsidRPr="00002462">
              <w:rPr>
                <w:rFonts w:eastAsia="宋体"/>
                <w:sz w:val="24"/>
                <w:szCs w:val="24"/>
              </w:rPr>
              <w:t>本次分红为</w:t>
            </w:r>
            <w:r w:rsidRPr="00002462">
              <w:rPr>
                <w:rFonts w:eastAsia="宋体"/>
                <w:sz w:val="24"/>
                <w:szCs w:val="24"/>
              </w:rPr>
              <w:t>2020</w:t>
            </w:r>
            <w:r w:rsidRPr="00002462">
              <w:rPr>
                <w:rFonts w:eastAsia="宋体"/>
                <w:sz w:val="24"/>
                <w:szCs w:val="24"/>
              </w:rPr>
              <w:t>年度的第</w:t>
            </w:r>
            <w:r w:rsidRPr="00002462">
              <w:rPr>
                <w:rFonts w:eastAsia="宋体"/>
                <w:sz w:val="24"/>
                <w:szCs w:val="24"/>
              </w:rPr>
              <w:t>1</w:t>
            </w:r>
            <w:r w:rsidRPr="00002462">
              <w:rPr>
                <w:rFonts w:eastAsia="宋体"/>
                <w:sz w:val="24"/>
                <w:szCs w:val="24"/>
              </w:rPr>
              <w:t>次分红</w:t>
            </w:r>
          </w:p>
        </w:tc>
      </w:tr>
      <w:tr w:rsidR="00CB3D18" w:rsidRPr="00002462" w:rsidTr="0045170D">
        <w:trPr>
          <w:jc w:val="center"/>
        </w:trPr>
        <w:tc>
          <w:tcPr>
            <w:tcW w:w="4052" w:type="dxa"/>
            <w:gridSpan w:val="2"/>
          </w:tcPr>
          <w:p w:rsidR="00CB3D18" w:rsidRPr="00002462" w:rsidRDefault="00CB3D18" w:rsidP="00AD278A">
            <w:pPr>
              <w:rPr>
                <w:rFonts w:eastAsia="宋体"/>
                <w:sz w:val="24"/>
                <w:szCs w:val="24"/>
              </w:rPr>
            </w:pPr>
            <w:r w:rsidRPr="00002462">
              <w:rPr>
                <w:rFonts w:eastAsia="宋体"/>
                <w:sz w:val="24"/>
                <w:szCs w:val="24"/>
              </w:rPr>
              <w:t>下属分级基金的基金简称</w:t>
            </w:r>
          </w:p>
        </w:tc>
        <w:tc>
          <w:tcPr>
            <w:tcW w:w="1851" w:type="dxa"/>
          </w:tcPr>
          <w:p w:rsidR="00CB3D18" w:rsidRPr="00002462" w:rsidRDefault="00CB3D18" w:rsidP="00AD278A">
            <w:pPr>
              <w:rPr>
                <w:rFonts w:eastAsia="宋体"/>
                <w:sz w:val="24"/>
                <w:szCs w:val="24"/>
              </w:rPr>
            </w:pPr>
            <w:r w:rsidRPr="00002462">
              <w:rPr>
                <w:rFonts w:eastAsia="宋体"/>
                <w:sz w:val="24"/>
                <w:szCs w:val="24"/>
              </w:rPr>
              <w:t>易方达安悦超短债债券</w:t>
            </w:r>
            <w:r w:rsidRPr="00002462">
              <w:rPr>
                <w:rFonts w:eastAsia="宋体"/>
                <w:sz w:val="24"/>
                <w:szCs w:val="24"/>
              </w:rPr>
              <w:t>A</w:t>
            </w:r>
          </w:p>
        </w:tc>
        <w:tc>
          <w:tcPr>
            <w:tcW w:w="1851" w:type="dxa"/>
          </w:tcPr>
          <w:p w:rsidR="00CB3D18" w:rsidRPr="00002462" w:rsidRDefault="00CB3D18" w:rsidP="00AD278A">
            <w:pPr>
              <w:rPr>
                <w:rFonts w:eastAsia="宋体"/>
                <w:sz w:val="24"/>
                <w:szCs w:val="24"/>
              </w:rPr>
            </w:pPr>
            <w:r w:rsidRPr="00002462">
              <w:rPr>
                <w:rFonts w:eastAsia="宋体"/>
                <w:sz w:val="24"/>
                <w:szCs w:val="24"/>
              </w:rPr>
              <w:t>易方达安悦超短债债券</w:t>
            </w:r>
            <w:r w:rsidRPr="00002462">
              <w:rPr>
                <w:rFonts w:eastAsia="宋体"/>
                <w:sz w:val="24"/>
                <w:szCs w:val="24"/>
              </w:rPr>
              <w:t>C</w:t>
            </w:r>
          </w:p>
        </w:tc>
        <w:tc>
          <w:tcPr>
            <w:tcW w:w="1852" w:type="dxa"/>
          </w:tcPr>
          <w:p w:rsidR="00CB3D18" w:rsidRPr="00002462" w:rsidRDefault="00CB3D18" w:rsidP="00AD278A">
            <w:pPr>
              <w:rPr>
                <w:rFonts w:eastAsia="宋体"/>
                <w:sz w:val="24"/>
                <w:szCs w:val="24"/>
              </w:rPr>
            </w:pPr>
            <w:r w:rsidRPr="00002462">
              <w:rPr>
                <w:rFonts w:eastAsia="宋体"/>
                <w:sz w:val="24"/>
                <w:szCs w:val="24"/>
              </w:rPr>
              <w:t>易方达安悦超短债债券</w:t>
            </w:r>
            <w:r w:rsidRPr="00002462">
              <w:rPr>
                <w:rFonts w:eastAsia="宋体"/>
                <w:sz w:val="24"/>
                <w:szCs w:val="24"/>
              </w:rPr>
              <w:t>F</w:t>
            </w:r>
          </w:p>
        </w:tc>
      </w:tr>
      <w:tr w:rsidR="00CB3D18" w:rsidRPr="00002462" w:rsidTr="0045170D">
        <w:trPr>
          <w:jc w:val="center"/>
        </w:trPr>
        <w:tc>
          <w:tcPr>
            <w:tcW w:w="4052" w:type="dxa"/>
            <w:gridSpan w:val="2"/>
          </w:tcPr>
          <w:p w:rsidR="00CB3D18" w:rsidRPr="00002462" w:rsidRDefault="00CB3D18" w:rsidP="00AD278A">
            <w:pPr>
              <w:rPr>
                <w:rFonts w:eastAsia="宋体"/>
                <w:sz w:val="24"/>
                <w:szCs w:val="24"/>
              </w:rPr>
            </w:pPr>
            <w:r w:rsidRPr="00002462">
              <w:rPr>
                <w:rFonts w:eastAsia="宋体"/>
                <w:sz w:val="24"/>
                <w:szCs w:val="24"/>
              </w:rPr>
              <w:t>下属分级基金的交易代码</w:t>
            </w:r>
          </w:p>
        </w:tc>
        <w:tc>
          <w:tcPr>
            <w:tcW w:w="1851" w:type="dxa"/>
          </w:tcPr>
          <w:p w:rsidR="00CB3D18" w:rsidRPr="00002462" w:rsidRDefault="00CB3D18" w:rsidP="00AD278A">
            <w:pPr>
              <w:rPr>
                <w:rFonts w:eastAsia="宋体"/>
                <w:sz w:val="24"/>
                <w:szCs w:val="24"/>
              </w:rPr>
            </w:pPr>
            <w:r w:rsidRPr="00002462">
              <w:rPr>
                <w:rFonts w:eastAsia="宋体"/>
                <w:sz w:val="24"/>
                <w:szCs w:val="24"/>
              </w:rPr>
              <w:t>006662</w:t>
            </w:r>
          </w:p>
        </w:tc>
        <w:tc>
          <w:tcPr>
            <w:tcW w:w="1851" w:type="dxa"/>
          </w:tcPr>
          <w:p w:rsidR="00CB3D18" w:rsidRPr="00002462" w:rsidRDefault="00CB3D18" w:rsidP="00AD278A">
            <w:pPr>
              <w:rPr>
                <w:rFonts w:eastAsia="宋体"/>
                <w:sz w:val="24"/>
                <w:szCs w:val="24"/>
              </w:rPr>
            </w:pPr>
            <w:r w:rsidRPr="00002462">
              <w:rPr>
                <w:rFonts w:eastAsia="宋体"/>
                <w:sz w:val="24"/>
                <w:szCs w:val="24"/>
              </w:rPr>
              <w:t>006663</w:t>
            </w:r>
          </w:p>
        </w:tc>
        <w:tc>
          <w:tcPr>
            <w:tcW w:w="1852" w:type="dxa"/>
          </w:tcPr>
          <w:p w:rsidR="00CB3D18" w:rsidRPr="00002462" w:rsidRDefault="00CB3D18" w:rsidP="00AD278A">
            <w:pPr>
              <w:rPr>
                <w:rFonts w:eastAsia="宋体"/>
                <w:sz w:val="24"/>
                <w:szCs w:val="24"/>
              </w:rPr>
            </w:pPr>
            <w:r w:rsidRPr="00002462">
              <w:rPr>
                <w:rFonts w:eastAsia="宋体"/>
                <w:sz w:val="24"/>
                <w:szCs w:val="24"/>
              </w:rPr>
              <w:t>006664</w:t>
            </w:r>
          </w:p>
        </w:tc>
      </w:tr>
      <w:tr w:rsidR="00F4042E" w:rsidRPr="00002462" w:rsidTr="0045170D">
        <w:trPr>
          <w:jc w:val="center"/>
        </w:trPr>
        <w:tc>
          <w:tcPr>
            <w:tcW w:w="1980" w:type="dxa"/>
            <w:vMerge w:val="restart"/>
            <w:vAlign w:val="center"/>
          </w:tcPr>
          <w:p w:rsidR="00F4042E" w:rsidRPr="00002462" w:rsidRDefault="00F4042E" w:rsidP="00AD278A">
            <w:pPr>
              <w:rPr>
                <w:rFonts w:eastAsia="宋体"/>
                <w:sz w:val="24"/>
                <w:szCs w:val="24"/>
              </w:rPr>
            </w:pPr>
            <w:r w:rsidRPr="00002462">
              <w:rPr>
                <w:rFonts w:eastAsia="宋体"/>
                <w:sz w:val="24"/>
                <w:szCs w:val="24"/>
              </w:rPr>
              <w:t>截止基准日下属分级基金的相关指标</w:t>
            </w:r>
          </w:p>
        </w:tc>
        <w:tc>
          <w:tcPr>
            <w:tcW w:w="2072" w:type="dxa"/>
          </w:tcPr>
          <w:p w:rsidR="00F4042E" w:rsidRPr="00002462" w:rsidRDefault="00F4042E" w:rsidP="00AD278A">
            <w:pPr>
              <w:rPr>
                <w:rFonts w:eastAsia="宋体"/>
                <w:sz w:val="24"/>
                <w:szCs w:val="24"/>
              </w:rPr>
            </w:pPr>
            <w:r w:rsidRPr="00002462">
              <w:rPr>
                <w:rFonts w:eastAsia="宋体"/>
                <w:sz w:val="24"/>
                <w:szCs w:val="24"/>
              </w:rPr>
              <w:t>基准日下属分级基金份额净值（单位：</w:t>
            </w:r>
            <w:r w:rsidR="00493562" w:rsidRPr="00002462">
              <w:rPr>
                <w:rFonts w:eastAsia="宋体"/>
                <w:sz w:val="24"/>
                <w:szCs w:val="24"/>
              </w:rPr>
              <w:t>元</w:t>
            </w:r>
            <w:r w:rsidRPr="00002462">
              <w:rPr>
                <w:rFonts w:eastAsia="宋体"/>
                <w:sz w:val="24"/>
                <w:szCs w:val="24"/>
              </w:rPr>
              <w:t>）</w:t>
            </w:r>
          </w:p>
        </w:tc>
        <w:tc>
          <w:tcPr>
            <w:tcW w:w="1851" w:type="dxa"/>
          </w:tcPr>
          <w:p w:rsidR="00F4042E" w:rsidRPr="00002462" w:rsidRDefault="00F4042E" w:rsidP="00AD278A">
            <w:pPr>
              <w:rPr>
                <w:rFonts w:eastAsia="宋体"/>
                <w:sz w:val="24"/>
                <w:szCs w:val="24"/>
              </w:rPr>
            </w:pPr>
            <w:r w:rsidRPr="00002462">
              <w:rPr>
                <w:rFonts w:eastAsia="宋体"/>
                <w:sz w:val="24"/>
                <w:szCs w:val="24"/>
              </w:rPr>
              <w:t>1.0186</w:t>
            </w:r>
          </w:p>
        </w:tc>
        <w:tc>
          <w:tcPr>
            <w:tcW w:w="1851" w:type="dxa"/>
          </w:tcPr>
          <w:p w:rsidR="00F4042E" w:rsidRPr="00002462" w:rsidRDefault="00F4042E" w:rsidP="00AD278A">
            <w:pPr>
              <w:rPr>
                <w:rFonts w:eastAsia="宋体"/>
                <w:sz w:val="24"/>
                <w:szCs w:val="24"/>
              </w:rPr>
            </w:pPr>
            <w:r w:rsidRPr="00002462">
              <w:rPr>
                <w:rFonts w:eastAsia="宋体"/>
                <w:sz w:val="24"/>
                <w:szCs w:val="24"/>
              </w:rPr>
              <w:t>1.0177</w:t>
            </w:r>
          </w:p>
        </w:tc>
        <w:tc>
          <w:tcPr>
            <w:tcW w:w="1852" w:type="dxa"/>
          </w:tcPr>
          <w:p w:rsidR="00F4042E" w:rsidRPr="00002462" w:rsidRDefault="00F4042E" w:rsidP="00AD278A">
            <w:pPr>
              <w:rPr>
                <w:rFonts w:eastAsia="宋体"/>
                <w:sz w:val="24"/>
                <w:szCs w:val="24"/>
              </w:rPr>
            </w:pPr>
            <w:r w:rsidRPr="00002462">
              <w:rPr>
                <w:rFonts w:eastAsia="宋体"/>
                <w:sz w:val="24"/>
                <w:szCs w:val="24"/>
              </w:rPr>
              <w:t>1.0176</w:t>
            </w:r>
          </w:p>
        </w:tc>
      </w:tr>
      <w:tr w:rsidR="00F4042E" w:rsidRPr="00002462" w:rsidTr="0045170D">
        <w:trPr>
          <w:trHeight w:val="405"/>
          <w:jc w:val="center"/>
        </w:trPr>
        <w:tc>
          <w:tcPr>
            <w:tcW w:w="1980" w:type="dxa"/>
            <w:vMerge/>
          </w:tcPr>
          <w:p w:rsidR="00F4042E" w:rsidRPr="00002462" w:rsidRDefault="00F4042E" w:rsidP="00AD278A">
            <w:pPr>
              <w:rPr>
                <w:rFonts w:eastAsia="宋体"/>
                <w:sz w:val="24"/>
                <w:szCs w:val="24"/>
              </w:rPr>
            </w:pPr>
          </w:p>
        </w:tc>
        <w:tc>
          <w:tcPr>
            <w:tcW w:w="2072" w:type="dxa"/>
            <w:vAlign w:val="center"/>
          </w:tcPr>
          <w:p w:rsidR="00F4042E" w:rsidRPr="00002462" w:rsidRDefault="00F4042E" w:rsidP="00AD278A">
            <w:pPr>
              <w:rPr>
                <w:rFonts w:eastAsia="宋体"/>
                <w:sz w:val="24"/>
                <w:szCs w:val="24"/>
              </w:rPr>
            </w:pPr>
            <w:r w:rsidRPr="00002462">
              <w:rPr>
                <w:rFonts w:eastAsia="宋体"/>
                <w:sz w:val="24"/>
                <w:szCs w:val="24"/>
              </w:rPr>
              <w:t>基准日下属分级基金可供分配利润（单位：</w:t>
            </w:r>
            <w:r w:rsidR="00493562" w:rsidRPr="00002462">
              <w:rPr>
                <w:rFonts w:eastAsia="宋体"/>
                <w:sz w:val="24"/>
                <w:szCs w:val="24"/>
              </w:rPr>
              <w:t>元</w:t>
            </w:r>
            <w:r w:rsidRPr="00002462">
              <w:rPr>
                <w:rFonts w:eastAsia="宋体"/>
                <w:sz w:val="24"/>
                <w:szCs w:val="24"/>
              </w:rPr>
              <w:t>）</w:t>
            </w:r>
          </w:p>
        </w:tc>
        <w:tc>
          <w:tcPr>
            <w:tcW w:w="1851" w:type="dxa"/>
          </w:tcPr>
          <w:p w:rsidR="00F4042E" w:rsidRPr="00002462" w:rsidRDefault="00F4042E" w:rsidP="00AD278A">
            <w:pPr>
              <w:rPr>
                <w:rFonts w:eastAsia="宋体"/>
                <w:sz w:val="24"/>
                <w:szCs w:val="24"/>
              </w:rPr>
            </w:pPr>
            <w:r w:rsidRPr="00002462">
              <w:rPr>
                <w:rFonts w:eastAsia="宋体"/>
                <w:sz w:val="24"/>
                <w:szCs w:val="24"/>
              </w:rPr>
              <w:t>36,606,815.33</w:t>
            </w:r>
          </w:p>
        </w:tc>
        <w:tc>
          <w:tcPr>
            <w:tcW w:w="1851" w:type="dxa"/>
          </w:tcPr>
          <w:p w:rsidR="00F4042E" w:rsidRPr="00002462" w:rsidRDefault="00F4042E" w:rsidP="00AD278A">
            <w:pPr>
              <w:rPr>
                <w:rFonts w:eastAsia="宋体"/>
                <w:sz w:val="24"/>
                <w:szCs w:val="24"/>
              </w:rPr>
            </w:pPr>
            <w:r w:rsidRPr="00002462">
              <w:rPr>
                <w:rFonts w:eastAsia="宋体"/>
                <w:sz w:val="24"/>
                <w:szCs w:val="24"/>
              </w:rPr>
              <w:t>25,199,539.77</w:t>
            </w:r>
          </w:p>
        </w:tc>
        <w:tc>
          <w:tcPr>
            <w:tcW w:w="1852" w:type="dxa"/>
          </w:tcPr>
          <w:p w:rsidR="00F4042E" w:rsidRPr="00002462" w:rsidRDefault="00F4042E" w:rsidP="00AD278A">
            <w:pPr>
              <w:rPr>
                <w:rFonts w:eastAsia="宋体"/>
                <w:sz w:val="24"/>
                <w:szCs w:val="24"/>
              </w:rPr>
            </w:pPr>
            <w:r w:rsidRPr="00002462">
              <w:rPr>
                <w:rFonts w:eastAsia="宋体"/>
                <w:sz w:val="24"/>
                <w:szCs w:val="24"/>
              </w:rPr>
              <w:t>97,030.55</w:t>
            </w:r>
          </w:p>
        </w:tc>
      </w:tr>
      <w:tr w:rsidR="00734F76">
        <w:trPr>
          <w:jc w:val="center"/>
        </w:trPr>
        <w:tc>
          <w:tcPr>
            <w:tcW w:w="1980" w:type="dxa"/>
            <w:vMerge/>
          </w:tcPr>
          <w:p w:rsidR="00734F76" w:rsidRDefault="00734F76"/>
        </w:tc>
        <w:tc>
          <w:tcPr>
            <w:tcW w:w="2072" w:type="dxa"/>
            <w:vAlign w:val="center"/>
          </w:tcPr>
          <w:p w:rsidR="00734F76" w:rsidRDefault="00F519C0">
            <w:pPr>
              <w:jc w:val="center"/>
            </w:pPr>
            <w:r>
              <w:rPr>
                <w:rFonts w:eastAsia="宋体"/>
                <w:sz w:val="24"/>
                <w:szCs w:val="24"/>
              </w:rPr>
              <w:t>截止基准日按照基金合同约定的分红比例计算的应分配金额（单位：元）</w:t>
            </w:r>
          </w:p>
        </w:tc>
        <w:tc>
          <w:tcPr>
            <w:tcW w:w="1851" w:type="dxa"/>
            <w:vAlign w:val="center"/>
          </w:tcPr>
          <w:p w:rsidR="00734F76" w:rsidRDefault="00F519C0">
            <w:pPr>
              <w:jc w:val="left"/>
            </w:pPr>
            <w:r>
              <w:rPr>
                <w:rFonts w:eastAsia="宋体"/>
                <w:sz w:val="24"/>
                <w:szCs w:val="24"/>
              </w:rPr>
              <w:t>-</w:t>
            </w:r>
          </w:p>
        </w:tc>
        <w:tc>
          <w:tcPr>
            <w:tcW w:w="1851" w:type="dxa"/>
            <w:vAlign w:val="center"/>
          </w:tcPr>
          <w:p w:rsidR="00734F76" w:rsidRDefault="00F519C0">
            <w:pPr>
              <w:jc w:val="left"/>
            </w:pPr>
            <w:r>
              <w:rPr>
                <w:rFonts w:eastAsia="宋体"/>
                <w:sz w:val="24"/>
                <w:szCs w:val="24"/>
              </w:rPr>
              <w:t>-</w:t>
            </w:r>
          </w:p>
        </w:tc>
        <w:tc>
          <w:tcPr>
            <w:tcW w:w="1852" w:type="dxa"/>
            <w:vAlign w:val="center"/>
          </w:tcPr>
          <w:p w:rsidR="00734F76" w:rsidRDefault="00F519C0">
            <w:pPr>
              <w:jc w:val="left"/>
            </w:pPr>
            <w:r>
              <w:rPr>
                <w:rFonts w:eastAsia="宋体"/>
                <w:sz w:val="24"/>
                <w:szCs w:val="24"/>
              </w:rPr>
              <w:t>-</w:t>
            </w:r>
          </w:p>
        </w:tc>
      </w:tr>
      <w:tr w:rsidR="00DB6924" w:rsidRPr="00002462" w:rsidTr="0045170D">
        <w:trPr>
          <w:jc w:val="center"/>
        </w:trPr>
        <w:tc>
          <w:tcPr>
            <w:tcW w:w="4052" w:type="dxa"/>
            <w:gridSpan w:val="2"/>
          </w:tcPr>
          <w:p w:rsidR="00DB6924" w:rsidRPr="00002462" w:rsidRDefault="00DB6924" w:rsidP="00AD278A">
            <w:pPr>
              <w:rPr>
                <w:rFonts w:eastAsia="宋体"/>
                <w:sz w:val="24"/>
                <w:szCs w:val="24"/>
              </w:rPr>
            </w:pPr>
            <w:r w:rsidRPr="00002462">
              <w:rPr>
                <w:rFonts w:eastAsia="宋体"/>
                <w:sz w:val="24"/>
                <w:szCs w:val="24"/>
              </w:rPr>
              <w:t>本次下属分级基金分红方案（单位：元</w:t>
            </w:r>
            <w:r w:rsidRPr="00002462">
              <w:rPr>
                <w:rFonts w:eastAsia="宋体"/>
                <w:sz w:val="24"/>
                <w:szCs w:val="24"/>
              </w:rPr>
              <w:t>/10</w:t>
            </w:r>
            <w:r w:rsidRPr="00002462">
              <w:rPr>
                <w:rFonts w:eastAsia="宋体"/>
                <w:sz w:val="24"/>
                <w:szCs w:val="24"/>
              </w:rPr>
              <w:t>份基金份额）</w:t>
            </w:r>
          </w:p>
        </w:tc>
        <w:tc>
          <w:tcPr>
            <w:tcW w:w="1851" w:type="dxa"/>
          </w:tcPr>
          <w:p w:rsidR="00DB6924" w:rsidRPr="00002462" w:rsidRDefault="00DB6924" w:rsidP="00AD278A">
            <w:pPr>
              <w:rPr>
                <w:rFonts w:eastAsia="宋体"/>
                <w:sz w:val="24"/>
                <w:szCs w:val="24"/>
              </w:rPr>
            </w:pPr>
            <w:r w:rsidRPr="00002462">
              <w:rPr>
                <w:rFonts w:eastAsia="宋体"/>
                <w:sz w:val="24"/>
                <w:szCs w:val="24"/>
              </w:rPr>
              <w:t>0.08</w:t>
            </w:r>
          </w:p>
        </w:tc>
        <w:tc>
          <w:tcPr>
            <w:tcW w:w="1851" w:type="dxa"/>
          </w:tcPr>
          <w:p w:rsidR="00DB6924" w:rsidRPr="00002462" w:rsidRDefault="00DB6924" w:rsidP="00AD278A">
            <w:pPr>
              <w:rPr>
                <w:rFonts w:eastAsia="宋体"/>
                <w:sz w:val="24"/>
                <w:szCs w:val="24"/>
              </w:rPr>
            </w:pPr>
            <w:r w:rsidRPr="00002462">
              <w:rPr>
                <w:rFonts w:eastAsia="宋体"/>
                <w:sz w:val="24"/>
                <w:szCs w:val="24"/>
              </w:rPr>
              <w:t>0.08</w:t>
            </w:r>
          </w:p>
        </w:tc>
        <w:tc>
          <w:tcPr>
            <w:tcW w:w="1852" w:type="dxa"/>
          </w:tcPr>
          <w:p w:rsidR="00DB6924" w:rsidRPr="00002462" w:rsidRDefault="00DB6924" w:rsidP="00AD278A">
            <w:pPr>
              <w:rPr>
                <w:rFonts w:eastAsia="宋体"/>
                <w:sz w:val="24"/>
                <w:szCs w:val="24"/>
              </w:rPr>
            </w:pPr>
            <w:r w:rsidRPr="00002462">
              <w:rPr>
                <w:rFonts w:eastAsia="宋体"/>
                <w:sz w:val="24"/>
                <w:szCs w:val="24"/>
              </w:rPr>
              <w:t>0.08</w:t>
            </w:r>
          </w:p>
        </w:tc>
      </w:tr>
    </w:tbl>
    <w:p w:rsidR="00834447" w:rsidRPr="00002462" w:rsidRDefault="00834447" w:rsidP="0045170D">
      <w:pPr>
        <w:spacing w:line="360" w:lineRule="auto"/>
        <w:rPr>
          <w:rFonts w:eastAsia="宋体"/>
          <w:sz w:val="24"/>
          <w:szCs w:val="24"/>
        </w:rPr>
      </w:pPr>
    </w:p>
    <w:p w:rsidR="00893436" w:rsidRPr="00002462" w:rsidRDefault="00834447" w:rsidP="00834447">
      <w:pPr>
        <w:pStyle w:val="3"/>
        <w:keepNext w:val="0"/>
        <w:keepLines w:val="0"/>
        <w:spacing w:before="0" w:after="0" w:line="360" w:lineRule="auto"/>
        <w:rPr>
          <w:bCs w:val="0"/>
          <w:sz w:val="24"/>
          <w:szCs w:val="24"/>
        </w:rPr>
      </w:pPr>
      <w:bookmarkStart w:id="1" w:name="_Toc275961419"/>
      <w:r w:rsidRPr="00002462">
        <w:rPr>
          <w:bCs w:val="0"/>
          <w:sz w:val="24"/>
          <w:szCs w:val="24"/>
        </w:rPr>
        <w:t>2.</w:t>
      </w:r>
      <w:r w:rsidR="00893436" w:rsidRPr="00002462">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权益登记日</w:t>
            </w:r>
          </w:p>
        </w:tc>
        <w:tc>
          <w:tcPr>
            <w:tcW w:w="6119" w:type="dxa"/>
          </w:tcPr>
          <w:p w:rsidR="00893436" w:rsidRPr="00002462" w:rsidRDefault="00362297" w:rsidP="00AD278A">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21</w:t>
            </w:r>
            <w:r w:rsidRPr="00002462">
              <w:rPr>
                <w:rFonts w:eastAsia="宋体"/>
                <w:sz w:val="24"/>
                <w:szCs w:val="24"/>
              </w:rPr>
              <w:t>日</w:t>
            </w:r>
          </w:p>
        </w:tc>
      </w:tr>
      <w:tr w:rsidR="00474229" w:rsidRPr="00002462" w:rsidTr="00474229">
        <w:trPr>
          <w:jc w:val="center"/>
        </w:trPr>
        <w:tc>
          <w:tcPr>
            <w:tcW w:w="3201" w:type="dxa"/>
          </w:tcPr>
          <w:p w:rsidR="000B3E71" w:rsidRPr="00002462" w:rsidRDefault="000B3E71" w:rsidP="000B3E71">
            <w:pPr>
              <w:rPr>
                <w:rFonts w:eastAsia="宋体"/>
                <w:sz w:val="24"/>
                <w:szCs w:val="24"/>
              </w:rPr>
            </w:pPr>
            <w:r w:rsidRPr="00002462">
              <w:rPr>
                <w:rFonts w:eastAsia="宋体"/>
                <w:sz w:val="24"/>
                <w:szCs w:val="24"/>
              </w:rPr>
              <w:t>除息日</w:t>
            </w:r>
          </w:p>
        </w:tc>
        <w:tc>
          <w:tcPr>
            <w:tcW w:w="3059" w:type="dxa"/>
          </w:tcPr>
          <w:p w:rsidR="000B3E71" w:rsidRPr="00D36ADB" w:rsidRDefault="000B3E71" w:rsidP="00474229">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21</w:t>
            </w:r>
            <w:r w:rsidRPr="00002462">
              <w:rPr>
                <w:rFonts w:eastAsia="宋体"/>
                <w:sz w:val="24"/>
                <w:szCs w:val="24"/>
              </w:rPr>
              <w:t>日</w:t>
            </w:r>
            <w:bookmarkStart w:id="2" w:name="_GoBack"/>
            <w:bookmarkEnd w:id="2"/>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现金红利发放日</w:t>
            </w:r>
          </w:p>
        </w:tc>
        <w:tc>
          <w:tcPr>
            <w:tcW w:w="6119" w:type="dxa"/>
          </w:tcPr>
          <w:p w:rsidR="00893436" w:rsidRPr="00002462" w:rsidRDefault="00BA7F58" w:rsidP="00AD278A">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22</w:t>
            </w:r>
            <w:r w:rsidRPr="00002462">
              <w:rPr>
                <w:rFonts w:eastAsia="宋体"/>
                <w:sz w:val="24"/>
                <w:szCs w:val="24"/>
              </w:rPr>
              <w:t>日</w:t>
            </w:r>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分红对象</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权益登记日在易方达基金管理有限公司登记在册的本基金全体持有人。</w:t>
            </w:r>
          </w:p>
        </w:tc>
      </w:tr>
      <w:tr w:rsidR="00893436" w:rsidRPr="00002462" w:rsidTr="0045170D">
        <w:trPr>
          <w:jc w:val="center"/>
        </w:trPr>
        <w:tc>
          <w:tcPr>
            <w:tcW w:w="3201" w:type="dxa"/>
            <w:shd w:val="clear" w:color="auto" w:fill="auto"/>
            <w:vAlign w:val="center"/>
          </w:tcPr>
          <w:p w:rsidR="00893436" w:rsidRPr="00002462" w:rsidRDefault="00893436" w:rsidP="00AD278A">
            <w:pPr>
              <w:rPr>
                <w:rFonts w:eastAsia="宋体"/>
                <w:sz w:val="24"/>
                <w:szCs w:val="24"/>
              </w:rPr>
            </w:pPr>
            <w:r w:rsidRPr="00002462">
              <w:rPr>
                <w:rFonts w:eastAsia="宋体"/>
                <w:sz w:val="24"/>
                <w:szCs w:val="24"/>
              </w:rPr>
              <w:lastRenderedPageBreak/>
              <w:t>红利再投资相关事项的说明</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选择红利再投资方式的投资者红利再投资所得的基金份额将按</w:t>
            </w: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21</w:t>
            </w:r>
            <w:r w:rsidRPr="00002462">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23</w:t>
            </w:r>
            <w:r w:rsidRPr="00002462">
              <w:rPr>
                <w:rFonts w:eastAsia="宋体"/>
                <w:sz w:val="24"/>
                <w:szCs w:val="24"/>
              </w:rPr>
              <w:t>日起投资者可以查询、赎回。权益登记日之前（不含权益登记日）办理了转托管转出尚未办理转托管转入的基金份额，其分红方式按照红利再投资处理。</w:t>
            </w:r>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税收相关事项的说明</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根据相关法律法规规定，基金向投资者分配的基金收益，暂免征收所得税。</w:t>
            </w:r>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费用相关事项的说明</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本基金本次分红免收分红手续费；选择红利再投资方式的投资者其红利再投资所得的基金份额免收申购费用。</w:t>
            </w:r>
          </w:p>
        </w:tc>
      </w:tr>
    </w:tbl>
    <w:p w:rsidR="00734F76" w:rsidRDefault="00F519C0">
      <w:pPr>
        <w:spacing w:line="360" w:lineRule="auto"/>
        <w:ind w:firstLineChars="200" w:firstLine="48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2020</w:t>
      </w:r>
      <w:r>
        <w:rPr>
          <w:rFonts w:eastAsia="宋体"/>
          <w:color w:val="000000"/>
          <w:sz w:val="24"/>
          <w:szCs w:val="24"/>
        </w:rPr>
        <w:t>年</w:t>
      </w:r>
      <w:r>
        <w:rPr>
          <w:rFonts w:eastAsia="宋体"/>
          <w:color w:val="000000"/>
          <w:sz w:val="24"/>
          <w:szCs w:val="24"/>
        </w:rPr>
        <w:t>1</w:t>
      </w:r>
      <w:r>
        <w:rPr>
          <w:rFonts w:eastAsia="宋体"/>
          <w:color w:val="000000"/>
          <w:sz w:val="24"/>
          <w:szCs w:val="24"/>
        </w:rPr>
        <w:t>月</w:t>
      </w:r>
      <w:r>
        <w:rPr>
          <w:rFonts w:eastAsia="宋体"/>
          <w:color w:val="000000"/>
          <w:sz w:val="24"/>
          <w:szCs w:val="24"/>
        </w:rPr>
        <w:t>22</w:t>
      </w:r>
      <w:r>
        <w:rPr>
          <w:rFonts w:eastAsia="宋体"/>
          <w:color w:val="000000"/>
          <w:sz w:val="24"/>
          <w:szCs w:val="24"/>
        </w:rPr>
        <w:t>日自基金托管账户划出。</w:t>
      </w:r>
    </w:p>
    <w:p w:rsidR="00893436" w:rsidRPr="00002462" w:rsidRDefault="00284B1B" w:rsidP="00834447">
      <w:pPr>
        <w:spacing w:line="360" w:lineRule="auto"/>
        <w:ind w:firstLineChars="200" w:firstLine="480"/>
        <w:rPr>
          <w:rFonts w:eastAsia="宋体"/>
          <w:color w:val="000000"/>
          <w:sz w:val="24"/>
          <w:szCs w:val="24"/>
        </w:rPr>
      </w:pPr>
      <w:r w:rsidRPr="00002462">
        <w:rPr>
          <w:rFonts w:eastAsia="宋体"/>
          <w:color w:val="000000"/>
          <w:sz w:val="24"/>
          <w:szCs w:val="24"/>
        </w:rPr>
        <w:t>（</w:t>
      </w:r>
      <w:r w:rsidRPr="00002462">
        <w:rPr>
          <w:rFonts w:eastAsia="宋体"/>
          <w:color w:val="000000"/>
          <w:sz w:val="24"/>
          <w:szCs w:val="24"/>
        </w:rPr>
        <w:t>2</w:t>
      </w:r>
      <w:r w:rsidRPr="00002462">
        <w:rPr>
          <w:rFonts w:eastAsia="宋体"/>
          <w:color w:val="000000"/>
          <w:sz w:val="24"/>
          <w:szCs w:val="24"/>
        </w:rPr>
        <w:t>）冻结基金份额的红利发放按照《易方达基金管理有限公司开放式基金业务规则》的相关规定处理。</w:t>
      </w:r>
    </w:p>
    <w:p w:rsidR="00834447" w:rsidRPr="00002462" w:rsidRDefault="00834447" w:rsidP="0045170D">
      <w:pPr>
        <w:spacing w:line="360" w:lineRule="auto"/>
        <w:rPr>
          <w:rFonts w:eastAsia="宋体"/>
          <w:color w:val="000000"/>
          <w:sz w:val="24"/>
          <w:szCs w:val="24"/>
        </w:rPr>
      </w:pPr>
    </w:p>
    <w:p w:rsidR="00893436" w:rsidRPr="00002462" w:rsidRDefault="00834447" w:rsidP="00834447">
      <w:pPr>
        <w:pStyle w:val="3"/>
        <w:keepNext w:val="0"/>
        <w:keepLines w:val="0"/>
        <w:spacing w:before="0" w:after="0" w:line="360" w:lineRule="auto"/>
        <w:rPr>
          <w:bCs w:val="0"/>
          <w:sz w:val="24"/>
          <w:szCs w:val="24"/>
        </w:rPr>
      </w:pPr>
      <w:bookmarkStart w:id="3" w:name="_Toc275961420"/>
      <w:r w:rsidRPr="00002462">
        <w:rPr>
          <w:bCs w:val="0"/>
          <w:sz w:val="24"/>
          <w:szCs w:val="24"/>
        </w:rPr>
        <w:t>3.</w:t>
      </w:r>
      <w:r w:rsidR="00893436" w:rsidRPr="00002462">
        <w:rPr>
          <w:bCs w:val="0"/>
          <w:sz w:val="24"/>
          <w:szCs w:val="24"/>
        </w:rPr>
        <w:t>其他需要提示的事项</w:t>
      </w:r>
      <w:bookmarkEnd w:id="3"/>
    </w:p>
    <w:p w:rsidR="00734F76" w:rsidRDefault="00F519C0">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734F76" w:rsidRDefault="00F519C0">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）本次分红确认的方式按照投资者在权益登记日之前（不含权益登记日）最后一次选择成功的分红方式为准。</w:t>
      </w:r>
    </w:p>
    <w:p w:rsidR="00734F76" w:rsidRDefault="00F519C0">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）由于支付现金分红款时将发生一定的银行转帐等手续费用，为保护投资者的利益，根据基金合同的有关规定，当每类基金份额持有人的现金红利小于</w:t>
      </w:r>
      <w:r>
        <w:rPr>
          <w:rFonts w:eastAsia="宋体"/>
          <w:color w:val="000000"/>
          <w:sz w:val="24"/>
          <w:szCs w:val="24"/>
        </w:rPr>
        <w:t>5</w:t>
      </w:r>
      <w:r>
        <w:rPr>
          <w:rFonts w:eastAsia="宋体"/>
          <w:color w:val="000000"/>
          <w:sz w:val="24"/>
          <w:szCs w:val="24"/>
        </w:rPr>
        <w:t>元时，基金注册登记机构将该持有人的现金红利自动再投资为基金份额。</w:t>
      </w:r>
    </w:p>
    <w:p w:rsidR="00734F76" w:rsidRDefault="00F519C0">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4</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（免长途话费），或登陆网站</w:t>
      </w:r>
      <w:r>
        <w:rPr>
          <w:rFonts w:eastAsia="宋体"/>
          <w:color w:val="000000"/>
          <w:sz w:val="24"/>
          <w:szCs w:val="24"/>
        </w:rPr>
        <w:t>http://www.efunds.com.cn</w:t>
      </w:r>
      <w:r>
        <w:rPr>
          <w:rFonts w:eastAsia="宋体"/>
          <w:color w:val="000000"/>
          <w:sz w:val="24"/>
          <w:szCs w:val="24"/>
        </w:rPr>
        <w:t>了解相关情况。投资者也可以前往本基金有关销售机构进行咨询。本基金的销售机构详见本基金更新的招募说明书或相关公告。</w:t>
      </w:r>
    </w:p>
    <w:p w:rsidR="00364C2A" w:rsidRPr="00002462" w:rsidRDefault="00284B1B" w:rsidP="00834447">
      <w:pPr>
        <w:spacing w:line="360" w:lineRule="auto"/>
        <w:ind w:firstLineChars="200" w:firstLine="480"/>
        <w:rPr>
          <w:rFonts w:eastAsia="宋体"/>
          <w:color w:val="000000"/>
          <w:sz w:val="24"/>
          <w:szCs w:val="24"/>
        </w:rPr>
      </w:pPr>
      <w:r w:rsidRPr="00002462">
        <w:rPr>
          <w:rFonts w:eastAsia="宋体"/>
          <w:color w:val="000000"/>
          <w:sz w:val="24"/>
          <w:szCs w:val="24"/>
        </w:rPr>
        <w:t>特此公告。</w:t>
      </w:r>
    </w:p>
    <w:p w:rsidR="00002462" w:rsidRPr="00002462" w:rsidRDefault="00002462" w:rsidP="00834447">
      <w:pPr>
        <w:spacing w:line="360" w:lineRule="auto"/>
        <w:ind w:firstLineChars="200" w:firstLine="480"/>
        <w:rPr>
          <w:rFonts w:eastAsia="宋体"/>
          <w:color w:val="000000"/>
          <w:sz w:val="24"/>
          <w:szCs w:val="24"/>
        </w:rPr>
      </w:pPr>
    </w:p>
    <w:p w:rsidR="00002462" w:rsidRPr="00002462" w:rsidRDefault="00002462" w:rsidP="00834447">
      <w:pPr>
        <w:spacing w:line="360" w:lineRule="auto"/>
        <w:ind w:firstLineChars="200" w:firstLine="480"/>
        <w:rPr>
          <w:rFonts w:eastAsia="宋体"/>
          <w:color w:val="000000"/>
          <w:sz w:val="24"/>
          <w:szCs w:val="24"/>
        </w:rPr>
      </w:pPr>
    </w:p>
    <w:p w:rsidR="00002462" w:rsidRPr="009B270B" w:rsidRDefault="00002462" w:rsidP="009B270B">
      <w:pPr>
        <w:spacing w:line="360" w:lineRule="auto"/>
        <w:ind w:firstLineChars="200" w:firstLine="480"/>
        <w:jc w:val="right"/>
        <w:rPr>
          <w:rFonts w:asciiTheme="minorEastAsia" w:eastAsiaTheme="minorEastAsia" w:hAnsiTheme="minorEastAsia"/>
          <w:color w:val="000000"/>
          <w:sz w:val="24"/>
          <w:szCs w:val="24"/>
        </w:rPr>
      </w:pPr>
      <w:r w:rsidRPr="009B270B">
        <w:rPr>
          <w:rFonts w:asciiTheme="minorEastAsia" w:eastAsiaTheme="minorEastAsia" w:hAnsiTheme="minorEastAsia"/>
          <w:color w:val="000000"/>
          <w:sz w:val="24"/>
          <w:szCs w:val="24"/>
        </w:rPr>
        <w:t>易方达基金管理有限公司</w:t>
      </w:r>
    </w:p>
    <w:p w:rsidR="00002462" w:rsidRPr="00834447" w:rsidRDefault="00002462" w:rsidP="009B270B">
      <w:pPr>
        <w:spacing w:line="360" w:lineRule="auto"/>
        <w:ind w:firstLineChars="200" w:firstLine="480"/>
        <w:jc w:val="right"/>
        <w:rPr>
          <w:rFonts w:asciiTheme="minorEastAsia" w:eastAsiaTheme="minorEastAsia" w:hAnsiTheme="minorEastAsia"/>
          <w:color w:val="000000"/>
          <w:sz w:val="24"/>
          <w:szCs w:val="24"/>
        </w:rPr>
      </w:pPr>
      <w:r w:rsidRPr="009B270B">
        <w:rPr>
          <w:rFonts w:asciiTheme="minorEastAsia" w:eastAsiaTheme="minorEastAsia" w:hAnsiTheme="minorEastAsia"/>
          <w:color w:val="000000"/>
          <w:sz w:val="24"/>
          <w:szCs w:val="24"/>
        </w:rPr>
        <w:lastRenderedPageBreak/>
        <w:t>2020年1月21日</w:t>
      </w:r>
    </w:p>
    <w:sectPr w:rsidR="00002462" w:rsidRPr="00834447"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84" w:rsidRDefault="00AB6384" w:rsidP="00893436">
      <w:r>
        <w:separator/>
      </w:r>
    </w:p>
  </w:endnote>
  <w:endnote w:type="continuationSeparator" w:id="0">
    <w:p w:rsidR="00AB6384" w:rsidRDefault="00AB6384"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84" w:rsidRDefault="00AB6384" w:rsidP="00893436">
      <w:r>
        <w:separator/>
      </w:r>
    </w:p>
  </w:footnote>
  <w:footnote w:type="continuationSeparator" w:id="0">
    <w:p w:rsidR="00AB6384" w:rsidRDefault="00AB6384"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2462"/>
    <w:rsid w:val="00041353"/>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226206"/>
    <w:rsid w:val="00242E4D"/>
    <w:rsid w:val="00284B1B"/>
    <w:rsid w:val="002A63B7"/>
    <w:rsid w:val="002D7AB6"/>
    <w:rsid w:val="003160F8"/>
    <w:rsid w:val="00362297"/>
    <w:rsid w:val="0039192C"/>
    <w:rsid w:val="003E51F2"/>
    <w:rsid w:val="00410642"/>
    <w:rsid w:val="00413675"/>
    <w:rsid w:val="0045170D"/>
    <w:rsid w:val="00474229"/>
    <w:rsid w:val="00486934"/>
    <w:rsid w:val="00493562"/>
    <w:rsid w:val="004966BA"/>
    <w:rsid w:val="004C0BA2"/>
    <w:rsid w:val="004D6DAF"/>
    <w:rsid w:val="0050279B"/>
    <w:rsid w:val="00506E3A"/>
    <w:rsid w:val="005444A0"/>
    <w:rsid w:val="005715B6"/>
    <w:rsid w:val="005D4DB0"/>
    <w:rsid w:val="00602C3F"/>
    <w:rsid w:val="00605A2A"/>
    <w:rsid w:val="006369D9"/>
    <w:rsid w:val="006555D5"/>
    <w:rsid w:val="006A2E06"/>
    <w:rsid w:val="00721B55"/>
    <w:rsid w:val="00734F76"/>
    <w:rsid w:val="007E2715"/>
    <w:rsid w:val="00834447"/>
    <w:rsid w:val="00893436"/>
    <w:rsid w:val="008D1F66"/>
    <w:rsid w:val="009302F7"/>
    <w:rsid w:val="009732A4"/>
    <w:rsid w:val="009B270B"/>
    <w:rsid w:val="009D3EC9"/>
    <w:rsid w:val="00A81C93"/>
    <w:rsid w:val="00AB6384"/>
    <w:rsid w:val="00AC5908"/>
    <w:rsid w:val="00AD278A"/>
    <w:rsid w:val="00B173D1"/>
    <w:rsid w:val="00B44BBE"/>
    <w:rsid w:val="00B52116"/>
    <w:rsid w:val="00B96324"/>
    <w:rsid w:val="00BA7F58"/>
    <w:rsid w:val="00BD7533"/>
    <w:rsid w:val="00BF5698"/>
    <w:rsid w:val="00C33DDD"/>
    <w:rsid w:val="00CB3D18"/>
    <w:rsid w:val="00CC53FB"/>
    <w:rsid w:val="00DA77C4"/>
    <w:rsid w:val="00DB6924"/>
    <w:rsid w:val="00E24390"/>
    <w:rsid w:val="00E37219"/>
    <w:rsid w:val="00E379B4"/>
    <w:rsid w:val="00E500B6"/>
    <w:rsid w:val="00E955E5"/>
    <w:rsid w:val="00EA44B8"/>
    <w:rsid w:val="00F0033B"/>
    <w:rsid w:val="00F055D7"/>
    <w:rsid w:val="00F4042E"/>
    <w:rsid w:val="00F45E48"/>
    <w:rsid w:val="00F519C0"/>
    <w:rsid w:val="00F66FAA"/>
    <w:rsid w:val="00F85686"/>
    <w:rsid w:val="00FD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5D3E5-7C06-4E5D-9342-29B8BB3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34447"/>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34447"/>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1261</Characters>
  <Application>Microsoft Office Word</Application>
  <DocSecurity>0</DocSecurity>
  <Lines>10</Lines>
  <Paragraphs>2</Paragraphs>
  <ScaleCrop>false</ScaleCrop>
  <Company>微软中国</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cp:revision>
  <dcterms:created xsi:type="dcterms:W3CDTF">2020-01-16T10:01:00Z</dcterms:created>
  <dcterms:modified xsi:type="dcterms:W3CDTF">2020-01-16T10:06:00Z</dcterms:modified>
</cp:coreProperties>
</file>