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7F6" w:rsidRPr="009802E0" w:rsidRDefault="007937F6" w:rsidP="00FE018D">
      <w:pPr>
        <w:adjustRightInd w:val="0"/>
        <w:snapToGrid w:val="0"/>
        <w:spacing w:line="360" w:lineRule="auto"/>
        <w:ind w:firstLine="881"/>
        <w:jc w:val="center"/>
        <w:rPr>
          <w:rFonts w:asciiTheme="minorEastAsia" w:eastAsiaTheme="minorEastAsia" w:hAnsiTheme="minorEastAsia"/>
          <w:b/>
          <w:sz w:val="44"/>
        </w:rPr>
      </w:pPr>
    </w:p>
    <w:p w:rsidR="00B43AC4" w:rsidRPr="009802E0" w:rsidRDefault="00084D4D" w:rsidP="00FE018D">
      <w:pPr>
        <w:tabs>
          <w:tab w:val="left" w:pos="5115"/>
        </w:tabs>
        <w:adjustRightInd w:val="0"/>
        <w:snapToGrid w:val="0"/>
        <w:spacing w:line="360" w:lineRule="auto"/>
        <w:ind w:firstLine="881"/>
        <w:jc w:val="left"/>
        <w:rPr>
          <w:rFonts w:asciiTheme="minorEastAsia" w:eastAsiaTheme="minorEastAsia" w:hAnsiTheme="minorEastAsia"/>
          <w:b/>
          <w:sz w:val="44"/>
        </w:rPr>
      </w:pPr>
      <w:r w:rsidRPr="009802E0">
        <w:rPr>
          <w:rFonts w:asciiTheme="minorEastAsia" w:eastAsiaTheme="minorEastAsia" w:hAnsiTheme="minorEastAsia"/>
          <w:b/>
          <w:sz w:val="44"/>
        </w:rPr>
        <w:tab/>
      </w:r>
    </w:p>
    <w:p w:rsidR="00B43AC4" w:rsidRPr="009802E0" w:rsidRDefault="00B43AC4" w:rsidP="00FE018D">
      <w:pPr>
        <w:adjustRightInd w:val="0"/>
        <w:snapToGrid w:val="0"/>
        <w:spacing w:line="360" w:lineRule="auto"/>
        <w:ind w:firstLine="881"/>
        <w:jc w:val="center"/>
        <w:rPr>
          <w:rFonts w:asciiTheme="minorEastAsia" w:eastAsiaTheme="minorEastAsia" w:hAnsiTheme="minorEastAsia"/>
          <w:b/>
          <w:sz w:val="44"/>
        </w:rPr>
      </w:pPr>
    </w:p>
    <w:p w:rsidR="00B43AC4" w:rsidRPr="009802E0" w:rsidRDefault="00B43AC4" w:rsidP="00FE018D">
      <w:pPr>
        <w:adjustRightInd w:val="0"/>
        <w:snapToGrid w:val="0"/>
        <w:spacing w:line="360" w:lineRule="auto"/>
        <w:jc w:val="center"/>
        <w:rPr>
          <w:rFonts w:asciiTheme="minorEastAsia" w:eastAsiaTheme="minorEastAsia" w:hAnsiTheme="minorEastAsia"/>
          <w:b/>
          <w:sz w:val="44"/>
        </w:rPr>
      </w:pPr>
      <w:r w:rsidRPr="009802E0">
        <w:rPr>
          <w:rFonts w:asciiTheme="minorEastAsia" w:eastAsiaTheme="minorEastAsia" w:hAnsiTheme="minorEastAsia" w:hint="eastAsia"/>
          <w:b/>
          <w:sz w:val="44"/>
        </w:rPr>
        <w:t>易方达</w:t>
      </w:r>
      <w:r w:rsidR="002844EC" w:rsidRPr="009802E0">
        <w:rPr>
          <w:rFonts w:asciiTheme="minorEastAsia" w:eastAsiaTheme="minorEastAsia" w:hAnsiTheme="minorEastAsia" w:hint="eastAsia"/>
          <w:b/>
          <w:bCs/>
          <w:sz w:val="44"/>
        </w:rPr>
        <w:t>安心回报</w:t>
      </w:r>
      <w:r w:rsidRPr="009802E0">
        <w:rPr>
          <w:rFonts w:asciiTheme="minorEastAsia" w:eastAsiaTheme="minorEastAsia" w:hAnsiTheme="minorEastAsia" w:hint="eastAsia"/>
          <w:b/>
          <w:bCs/>
          <w:sz w:val="44"/>
        </w:rPr>
        <w:t>债券型证券投资基金</w:t>
      </w:r>
    </w:p>
    <w:p w:rsidR="00B43AC4" w:rsidRPr="009802E0" w:rsidRDefault="00A13D5E" w:rsidP="00FE018D">
      <w:pPr>
        <w:adjustRightInd w:val="0"/>
        <w:snapToGrid w:val="0"/>
        <w:spacing w:line="360" w:lineRule="auto"/>
        <w:jc w:val="center"/>
        <w:rPr>
          <w:rFonts w:asciiTheme="minorEastAsia" w:eastAsiaTheme="minorEastAsia" w:hAnsiTheme="minorEastAsia"/>
          <w:b/>
          <w:sz w:val="44"/>
        </w:rPr>
      </w:pPr>
      <w:r w:rsidRPr="009802E0">
        <w:rPr>
          <w:rFonts w:asciiTheme="minorEastAsia" w:eastAsiaTheme="minorEastAsia" w:hAnsiTheme="minorEastAsia" w:hint="eastAsia"/>
          <w:b/>
          <w:sz w:val="44"/>
        </w:rPr>
        <w:t>更</w:t>
      </w:r>
      <w:r w:rsidR="00F81EE6" w:rsidRPr="009802E0">
        <w:rPr>
          <w:rFonts w:asciiTheme="minorEastAsia" w:eastAsiaTheme="minorEastAsia" w:hAnsiTheme="minorEastAsia" w:hint="eastAsia"/>
          <w:b/>
          <w:sz w:val="44"/>
        </w:rPr>
        <w:t>新的</w:t>
      </w:r>
      <w:r w:rsidR="00B43AC4" w:rsidRPr="009802E0">
        <w:rPr>
          <w:rFonts w:asciiTheme="minorEastAsia" w:eastAsiaTheme="minorEastAsia" w:hAnsiTheme="minorEastAsia" w:hint="eastAsia"/>
          <w:b/>
          <w:sz w:val="44"/>
        </w:rPr>
        <w:t>招募说明书</w:t>
      </w:r>
    </w:p>
    <w:p w:rsidR="00B43AC4" w:rsidRPr="009802E0" w:rsidRDefault="00B43AC4" w:rsidP="00FE018D">
      <w:pPr>
        <w:adjustRightInd w:val="0"/>
        <w:snapToGrid w:val="0"/>
        <w:spacing w:line="360" w:lineRule="auto"/>
        <w:jc w:val="center"/>
        <w:rPr>
          <w:rFonts w:asciiTheme="minorEastAsia" w:eastAsiaTheme="minorEastAsia" w:hAnsiTheme="minorEastAsia"/>
          <w:b/>
          <w:sz w:val="44"/>
        </w:rPr>
      </w:pPr>
    </w:p>
    <w:p w:rsidR="00B43AC4" w:rsidRPr="009802E0" w:rsidRDefault="00B43AC4" w:rsidP="00FE018D">
      <w:pPr>
        <w:adjustRightInd w:val="0"/>
        <w:snapToGrid w:val="0"/>
        <w:spacing w:line="360" w:lineRule="auto"/>
        <w:ind w:leftChars="800" w:left="1680"/>
        <w:rPr>
          <w:rFonts w:asciiTheme="minorEastAsia" w:eastAsiaTheme="minorEastAsia" w:hAnsiTheme="minorEastAsia"/>
          <w:sz w:val="30"/>
          <w:szCs w:val="30"/>
        </w:rPr>
      </w:pPr>
    </w:p>
    <w:p w:rsidR="00B43AC4" w:rsidRPr="009802E0" w:rsidRDefault="00B43AC4" w:rsidP="00FE018D">
      <w:pPr>
        <w:adjustRightInd w:val="0"/>
        <w:snapToGrid w:val="0"/>
        <w:spacing w:line="360" w:lineRule="auto"/>
        <w:ind w:leftChars="800" w:left="1680"/>
        <w:rPr>
          <w:rFonts w:asciiTheme="minorEastAsia" w:eastAsiaTheme="minorEastAsia" w:hAnsiTheme="minorEastAsia"/>
          <w:sz w:val="30"/>
          <w:szCs w:val="30"/>
        </w:rPr>
      </w:pPr>
    </w:p>
    <w:p w:rsidR="002B5B21" w:rsidRPr="009802E0" w:rsidRDefault="002B5B21" w:rsidP="00FE018D">
      <w:pPr>
        <w:adjustRightInd w:val="0"/>
        <w:snapToGrid w:val="0"/>
        <w:spacing w:line="360" w:lineRule="auto"/>
        <w:ind w:leftChars="800" w:left="1680"/>
        <w:rPr>
          <w:rFonts w:asciiTheme="minorEastAsia" w:eastAsiaTheme="minorEastAsia" w:hAnsiTheme="minorEastAsia"/>
          <w:sz w:val="30"/>
          <w:szCs w:val="30"/>
        </w:rPr>
      </w:pPr>
    </w:p>
    <w:p w:rsidR="002B5B21" w:rsidRPr="009802E0" w:rsidRDefault="002B5B21" w:rsidP="00FE018D">
      <w:pPr>
        <w:adjustRightInd w:val="0"/>
        <w:snapToGrid w:val="0"/>
        <w:spacing w:line="360" w:lineRule="auto"/>
        <w:ind w:leftChars="800" w:left="1680"/>
        <w:rPr>
          <w:rFonts w:asciiTheme="minorEastAsia" w:eastAsiaTheme="minorEastAsia" w:hAnsiTheme="minorEastAsia"/>
          <w:sz w:val="30"/>
          <w:szCs w:val="30"/>
        </w:rPr>
      </w:pPr>
    </w:p>
    <w:p w:rsidR="00B43AC4" w:rsidRPr="009802E0" w:rsidRDefault="00B43AC4" w:rsidP="00FE018D">
      <w:pPr>
        <w:adjustRightInd w:val="0"/>
        <w:snapToGrid w:val="0"/>
        <w:spacing w:line="360" w:lineRule="auto"/>
        <w:ind w:leftChars="800" w:left="1680"/>
        <w:rPr>
          <w:rFonts w:asciiTheme="minorEastAsia" w:eastAsiaTheme="minorEastAsia" w:hAnsiTheme="minorEastAsia"/>
          <w:sz w:val="30"/>
          <w:szCs w:val="30"/>
        </w:rPr>
      </w:pPr>
    </w:p>
    <w:p w:rsidR="00B43AC4" w:rsidRPr="009802E0" w:rsidRDefault="00B43AC4" w:rsidP="00FE018D">
      <w:pPr>
        <w:adjustRightInd w:val="0"/>
        <w:snapToGrid w:val="0"/>
        <w:spacing w:line="360" w:lineRule="auto"/>
        <w:ind w:leftChars="800" w:left="1680"/>
        <w:rPr>
          <w:rFonts w:asciiTheme="minorEastAsia" w:eastAsiaTheme="minorEastAsia" w:hAnsiTheme="minorEastAsia"/>
          <w:sz w:val="30"/>
          <w:szCs w:val="30"/>
        </w:rPr>
      </w:pPr>
    </w:p>
    <w:p w:rsidR="00B43AC4" w:rsidRPr="009802E0" w:rsidRDefault="00B43AC4" w:rsidP="00FE018D">
      <w:pPr>
        <w:adjustRightInd w:val="0"/>
        <w:snapToGrid w:val="0"/>
        <w:spacing w:line="360" w:lineRule="auto"/>
        <w:ind w:leftChars="800" w:left="1680"/>
        <w:rPr>
          <w:rFonts w:asciiTheme="minorEastAsia" w:eastAsiaTheme="minorEastAsia" w:hAnsiTheme="minorEastAsia"/>
          <w:sz w:val="30"/>
          <w:szCs w:val="30"/>
        </w:rPr>
      </w:pPr>
    </w:p>
    <w:p w:rsidR="00FE018D" w:rsidRPr="009802E0" w:rsidRDefault="00FE018D" w:rsidP="00FE018D">
      <w:pPr>
        <w:adjustRightInd w:val="0"/>
        <w:snapToGrid w:val="0"/>
        <w:spacing w:line="360" w:lineRule="auto"/>
        <w:ind w:leftChars="800" w:left="1680"/>
        <w:rPr>
          <w:rFonts w:asciiTheme="minorEastAsia" w:eastAsiaTheme="minorEastAsia" w:hAnsiTheme="minorEastAsia"/>
          <w:sz w:val="30"/>
          <w:szCs w:val="30"/>
        </w:rPr>
      </w:pPr>
    </w:p>
    <w:p w:rsidR="00FE018D" w:rsidRPr="009802E0" w:rsidRDefault="00FE018D" w:rsidP="00FE018D">
      <w:pPr>
        <w:adjustRightInd w:val="0"/>
        <w:snapToGrid w:val="0"/>
        <w:spacing w:line="360" w:lineRule="auto"/>
        <w:ind w:leftChars="800" w:left="1680"/>
        <w:rPr>
          <w:rFonts w:asciiTheme="minorEastAsia" w:eastAsiaTheme="minorEastAsia" w:hAnsiTheme="minorEastAsia"/>
          <w:sz w:val="30"/>
          <w:szCs w:val="30"/>
        </w:rPr>
      </w:pPr>
    </w:p>
    <w:p w:rsidR="00CB427F" w:rsidRPr="009802E0" w:rsidRDefault="00B43AC4" w:rsidP="00FE018D">
      <w:pPr>
        <w:adjustRightInd w:val="0"/>
        <w:snapToGrid w:val="0"/>
        <w:spacing w:line="360" w:lineRule="auto"/>
        <w:ind w:leftChars="686" w:left="1679" w:hangingChars="74" w:hanging="238"/>
        <w:rPr>
          <w:rFonts w:asciiTheme="minorEastAsia" w:eastAsiaTheme="minorEastAsia" w:hAnsiTheme="minorEastAsia"/>
          <w:b/>
          <w:sz w:val="32"/>
          <w:szCs w:val="32"/>
        </w:rPr>
      </w:pPr>
      <w:r w:rsidRPr="009802E0">
        <w:rPr>
          <w:rFonts w:asciiTheme="minorEastAsia" w:eastAsiaTheme="minorEastAsia" w:hAnsiTheme="minorEastAsia" w:hint="eastAsia"/>
          <w:b/>
          <w:sz w:val="32"/>
          <w:szCs w:val="32"/>
        </w:rPr>
        <w:t>基金管理人：易方达基金管理有限公司</w:t>
      </w:r>
    </w:p>
    <w:p w:rsidR="00B43AC4" w:rsidRPr="009802E0" w:rsidRDefault="00B43AC4" w:rsidP="00FE018D">
      <w:pPr>
        <w:adjustRightInd w:val="0"/>
        <w:snapToGrid w:val="0"/>
        <w:spacing w:line="360" w:lineRule="auto"/>
        <w:ind w:leftChars="685" w:left="1438"/>
        <w:rPr>
          <w:rFonts w:asciiTheme="minorEastAsia" w:eastAsiaTheme="minorEastAsia" w:hAnsiTheme="minorEastAsia"/>
          <w:b/>
          <w:sz w:val="32"/>
          <w:szCs w:val="32"/>
        </w:rPr>
      </w:pPr>
      <w:r w:rsidRPr="009802E0">
        <w:rPr>
          <w:rFonts w:asciiTheme="minorEastAsia" w:eastAsiaTheme="minorEastAsia" w:hAnsiTheme="minorEastAsia" w:hint="eastAsia"/>
          <w:b/>
          <w:sz w:val="32"/>
          <w:szCs w:val="32"/>
        </w:rPr>
        <w:t>基金托管人：中国工商银行股份有限公司</w:t>
      </w:r>
    </w:p>
    <w:p w:rsidR="00B43AC4" w:rsidRPr="009802E0" w:rsidRDefault="00B43AC4" w:rsidP="00FE018D">
      <w:pPr>
        <w:adjustRightInd w:val="0"/>
        <w:snapToGrid w:val="0"/>
        <w:spacing w:line="360" w:lineRule="auto"/>
        <w:ind w:firstLine="561"/>
        <w:rPr>
          <w:rFonts w:asciiTheme="minorEastAsia" w:eastAsiaTheme="minorEastAsia" w:hAnsiTheme="minorEastAsia"/>
          <w:b/>
          <w:sz w:val="24"/>
        </w:rPr>
      </w:pPr>
    </w:p>
    <w:p w:rsidR="0096166C" w:rsidRPr="009802E0" w:rsidRDefault="0096166C" w:rsidP="00FE018D">
      <w:pPr>
        <w:adjustRightInd w:val="0"/>
        <w:snapToGrid w:val="0"/>
        <w:spacing w:line="360" w:lineRule="auto"/>
        <w:ind w:firstLine="561"/>
        <w:jc w:val="center"/>
        <w:rPr>
          <w:rFonts w:asciiTheme="minorEastAsia" w:eastAsiaTheme="minorEastAsia" w:hAnsiTheme="minorEastAsia"/>
          <w:sz w:val="30"/>
          <w:szCs w:val="30"/>
        </w:rPr>
      </w:pPr>
      <w:r w:rsidRPr="009802E0">
        <w:rPr>
          <w:rFonts w:asciiTheme="minorEastAsia" w:eastAsiaTheme="minorEastAsia" w:hAnsiTheme="minorEastAsia" w:hint="eastAsia"/>
          <w:sz w:val="30"/>
          <w:szCs w:val="30"/>
        </w:rPr>
        <w:t>二○二○年六月</w:t>
      </w:r>
    </w:p>
    <w:p w:rsidR="00C439B4" w:rsidRPr="009802E0" w:rsidRDefault="00C439B4" w:rsidP="00FE018D">
      <w:pPr>
        <w:adjustRightInd w:val="0"/>
        <w:snapToGrid w:val="0"/>
        <w:spacing w:line="360" w:lineRule="auto"/>
        <w:ind w:firstLine="561"/>
        <w:jc w:val="center"/>
        <w:rPr>
          <w:rFonts w:asciiTheme="minorEastAsia" w:eastAsiaTheme="minorEastAsia" w:hAnsiTheme="minorEastAsia"/>
          <w:b/>
          <w:sz w:val="28"/>
          <w:szCs w:val="28"/>
        </w:rPr>
      </w:pPr>
    </w:p>
    <w:p w:rsidR="00B43AC4" w:rsidRPr="009802E0" w:rsidRDefault="00B43AC4" w:rsidP="00FE018D">
      <w:pPr>
        <w:adjustRightInd w:val="0"/>
        <w:snapToGrid w:val="0"/>
        <w:spacing w:line="360" w:lineRule="auto"/>
        <w:ind w:firstLine="561"/>
        <w:jc w:val="center"/>
        <w:rPr>
          <w:rFonts w:asciiTheme="minorEastAsia" w:eastAsiaTheme="minorEastAsia" w:hAnsiTheme="minorEastAsia"/>
          <w:b/>
          <w:sz w:val="28"/>
          <w:szCs w:val="28"/>
        </w:rPr>
      </w:pPr>
      <w:r w:rsidRPr="009802E0">
        <w:rPr>
          <w:rFonts w:asciiTheme="minorEastAsia" w:eastAsiaTheme="minorEastAsia" w:hAnsiTheme="minorEastAsia" w:hint="eastAsia"/>
          <w:b/>
          <w:sz w:val="28"/>
          <w:szCs w:val="28"/>
        </w:rPr>
        <w:lastRenderedPageBreak/>
        <w:t>重要提示</w:t>
      </w:r>
    </w:p>
    <w:p w:rsidR="00B43AC4" w:rsidRPr="009802E0" w:rsidRDefault="00B43AC4" w:rsidP="00FE018D">
      <w:pPr>
        <w:adjustRightInd w:val="0"/>
        <w:snapToGrid w:val="0"/>
        <w:spacing w:line="360" w:lineRule="auto"/>
        <w:ind w:firstLine="420"/>
        <w:rPr>
          <w:rFonts w:asciiTheme="minorEastAsia" w:eastAsiaTheme="minorEastAsia" w:hAnsiTheme="minorEastAsia"/>
          <w:b/>
          <w:szCs w:val="21"/>
        </w:rPr>
      </w:pPr>
      <w:r w:rsidRPr="009802E0">
        <w:rPr>
          <w:rFonts w:asciiTheme="minorEastAsia" w:eastAsiaTheme="minorEastAsia" w:hAnsiTheme="minorEastAsia" w:hint="eastAsia"/>
          <w:b/>
          <w:szCs w:val="21"/>
        </w:rPr>
        <w:t>本基金根据201</w:t>
      </w:r>
      <w:r w:rsidR="00000042" w:rsidRPr="009802E0">
        <w:rPr>
          <w:rFonts w:asciiTheme="minorEastAsia" w:eastAsiaTheme="minorEastAsia" w:hAnsiTheme="minorEastAsia" w:hint="eastAsia"/>
          <w:b/>
          <w:szCs w:val="21"/>
        </w:rPr>
        <w:t>1</w:t>
      </w:r>
      <w:r w:rsidRPr="009802E0">
        <w:rPr>
          <w:rFonts w:asciiTheme="minorEastAsia" w:eastAsiaTheme="minorEastAsia" w:hAnsiTheme="minorEastAsia" w:hint="eastAsia"/>
          <w:b/>
          <w:szCs w:val="21"/>
        </w:rPr>
        <w:t>年</w:t>
      </w:r>
      <w:r w:rsidR="00000042" w:rsidRPr="009802E0">
        <w:rPr>
          <w:rFonts w:asciiTheme="minorEastAsia" w:eastAsiaTheme="minorEastAsia" w:hAnsiTheme="minorEastAsia" w:hint="eastAsia"/>
          <w:b/>
          <w:szCs w:val="21"/>
        </w:rPr>
        <w:t>5</w:t>
      </w:r>
      <w:r w:rsidRPr="009802E0">
        <w:rPr>
          <w:rFonts w:asciiTheme="minorEastAsia" w:eastAsiaTheme="minorEastAsia" w:hAnsiTheme="minorEastAsia" w:hint="eastAsia"/>
          <w:b/>
          <w:szCs w:val="21"/>
        </w:rPr>
        <w:t>月</w:t>
      </w:r>
      <w:r w:rsidR="000776C0" w:rsidRPr="009802E0">
        <w:rPr>
          <w:rFonts w:asciiTheme="minorEastAsia" w:eastAsiaTheme="minorEastAsia" w:hAnsiTheme="minorEastAsia" w:hint="eastAsia"/>
          <w:b/>
          <w:szCs w:val="21"/>
        </w:rPr>
        <w:t>9</w:t>
      </w:r>
      <w:r w:rsidRPr="009802E0">
        <w:rPr>
          <w:rFonts w:asciiTheme="minorEastAsia" w:eastAsiaTheme="minorEastAsia" w:hAnsiTheme="minorEastAsia" w:hint="eastAsia"/>
          <w:b/>
          <w:szCs w:val="21"/>
        </w:rPr>
        <w:t>日中国证券监督管理委员会《关于核准易方达</w:t>
      </w:r>
      <w:r w:rsidR="002844EC" w:rsidRPr="009802E0">
        <w:rPr>
          <w:rFonts w:asciiTheme="minorEastAsia" w:eastAsiaTheme="minorEastAsia" w:hAnsiTheme="minorEastAsia" w:hint="eastAsia"/>
          <w:b/>
          <w:szCs w:val="21"/>
        </w:rPr>
        <w:t>安心回报</w:t>
      </w:r>
      <w:r w:rsidRPr="009802E0">
        <w:rPr>
          <w:rFonts w:asciiTheme="minorEastAsia" w:eastAsiaTheme="minorEastAsia" w:hAnsiTheme="minorEastAsia" w:hint="eastAsia"/>
          <w:b/>
          <w:szCs w:val="21"/>
        </w:rPr>
        <w:t>债券型证券投资基金募集的批复》（证监许可</w:t>
      </w:r>
      <w:r w:rsidRPr="009802E0">
        <w:rPr>
          <w:rFonts w:asciiTheme="minorEastAsia" w:eastAsiaTheme="minorEastAsia" w:hAnsiTheme="minorEastAsia"/>
          <w:b/>
          <w:szCs w:val="21"/>
        </w:rPr>
        <w:t>[20</w:t>
      </w:r>
      <w:r w:rsidRPr="009802E0">
        <w:rPr>
          <w:rFonts w:asciiTheme="minorEastAsia" w:eastAsiaTheme="minorEastAsia" w:hAnsiTheme="minorEastAsia" w:hint="eastAsia"/>
          <w:b/>
          <w:szCs w:val="21"/>
        </w:rPr>
        <w:t>1</w:t>
      </w:r>
      <w:r w:rsidR="00000042" w:rsidRPr="009802E0">
        <w:rPr>
          <w:rFonts w:asciiTheme="minorEastAsia" w:eastAsiaTheme="minorEastAsia" w:hAnsiTheme="minorEastAsia" w:hint="eastAsia"/>
          <w:b/>
          <w:szCs w:val="21"/>
        </w:rPr>
        <w:t>1</w:t>
      </w:r>
      <w:r w:rsidRPr="009802E0">
        <w:rPr>
          <w:rFonts w:asciiTheme="minorEastAsia" w:eastAsiaTheme="minorEastAsia" w:hAnsiTheme="minorEastAsia" w:hint="eastAsia"/>
          <w:b/>
          <w:szCs w:val="21"/>
        </w:rPr>
        <w:t>]</w:t>
      </w:r>
      <w:r w:rsidR="00000042" w:rsidRPr="009802E0">
        <w:rPr>
          <w:rFonts w:asciiTheme="minorEastAsia" w:eastAsiaTheme="minorEastAsia" w:hAnsiTheme="minorEastAsia" w:hint="eastAsia"/>
          <w:b/>
          <w:szCs w:val="21"/>
        </w:rPr>
        <w:t>665</w:t>
      </w:r>
      <w:r w:rsidRPr="009802E0">
        <w:rPr>
          <w:rFonts w:asciiTheme="minorEastAsia" w:eastAsiaTheme="minorEastAsia" w:hAnsiTheme="minorEastAsia" w:hint="eastAsia"/>
          <w:b/>
          <w:szCs w:val="21"/>
        </w:rPr>
        <w:t>号）和</w:t>
      </w:r>
      <w:r w:rsidRPr="009802E0">
        <w:rPr>
          <w:rFonts w:asciiTheme="minorEastAsia" w:eastAsiaTheme="minorEastAsia" w:hAnsiTheme="minorEastAsia"/>
          <w:b/>
          <w:szCs w:val="21"/>
        </w:rPr>
        <w:t>20</w:t>
      </w:r>
      <w:r w:rsidRPr="009802E0">
        <w:rPr>
          <w:rFonts w:asciiTheme="minorEastAsia" w:eastAsiaTheme="minorEastAsia" w:hAnsiTheme="minorEastAsia" w:hint="eastAsia"/>
          <w:b/>
          <w:szCs w:val="21"/>
        </w:rPr>
        <w:t>1</w:t>
      </w:r>
      <w:r w:rsidR="00CF6A23" w:rsidRPr="009802E0">
        <w:rPr>
          <w:rFonts w:asciiTheme="minorEastAsia" w:eastAsiaTheme="minorEastAsia" w:hAnsiTheme="minorEastAsia" w:hint="eastAsia"/>
          <w:b/>
          <w:szCs w:val="21"/>
        </w:rPr>
        <w:t>1</w:t>
      </w:r>
      <w:r w:rsidRPr="009802E0">
        <w:rPr>
          <w:rFonts w:asciiTheme="minorEastAsia" w:eastAsiaTheme="minorEastAsia" w:hAnsiTheme="minorEastAsia" w:hint="eastAsia"/>
          <w:b/>
          <w:szCs w:val="21"/>
        </w:rPr>
        <w:t>年</w:t>
      </w:r>
      <w:r w:rsidR="00CF6A23" w:rsidRPr="009802E0">
        <w:rPr>
          <w:rFonts w:asciiTheme="minorEastAsia" w:eastAsiaTheme="minorEastAsia" w:hAnsiTheme="minorEastAsia" w:hint="eastAsia"/>
          <w:b/>
          <w:szCs w:val="21"/>
        </w:rPr>
        <w:t>5</w:t>
      </w:r>
      <w:r w:rsidRPr="009802E0">
        <w:rPr>
          <w:rFonts w:asciiTheme="minorEastAsia" w:eastAsiaTheme="minorEastAsia" w:hAnsiTheme="minorEastAsia" w:hint="eastAsia"/>
          <w:b/>
          <w:szCs w:val="21"/>
        </w:rPr>
        <w:t>月</w:t>
      </w:r>
      <w:r w:rsidR="00C809C2" w:rsidRPr="009802E0">
        <w:rPr>
          <w:rFonts w:asciiTheme="minorEastAsia" w:eastAsiaTheme="minorEastAsia" w:hAnsiTheme="minorEastAsia" w:hint="eastAsia"/>
          <w:b/>
          <w:szCs w:val="21"/>
        </w:rPr>
        <w:t>12</w:t>
      </w:r>
      <w:r w:rsidRPr="009802E0">
        <w:rPr>
          <w:rFonts w:asciiTheme="minorEastAsia" w:eastAsiaTheme="minorEastAsia" w:hAnsiTheme="minorEastAsia" w:hint="eastAsia"/>
          <w:b/>
          <w:szCs w:val="21"/>
        </w:rPr>
        <w:t>日《关于易方达</w:t>
      </w:r>
      <w:r w:rsidR="002844EC" w:rsidRPr="009802E0">
        <w:rPr>
          <w:rFonts w:asciiTheme="minorEastAsia" w:eastAsiaTheme="minorEastAsia" w:hAnsiTheme="minorEastAsia" w:hint="eastAsia"/>
          <w:b/>
          <w:szCs w:val="21"/>
        </w:rPr>
        <w:t>安心回报</w:t>
      </w:r>
      <w:r w:rsidRPr="009802E0">
        <w:rPr>
          <w:rFonts w:asciiTheme="minorEastAsia" w:eastAsiaTheme="minorEastAsia" w:hAnsiTheme="minorEastAsia" w:hint="eastAsia"/>
          <w:b/>
          <w:szCs w:val="21"/>
        </w:rPr>
        <w:t>债券型证券投资基金募集时间安排的确认函》（基金部函</w:t>
      </w:r>
      <w:r w:rsidRPr="009802E0">
        <w:rPr>
          <w:rFonts w:asciiTheme="minorEastAsia" w:eastAsiaTheme="minorEastAsia" w:hAnsiTheme="minorEastAsia"/>
          <w:b/>
          <w:szCs w:val="21"/>
        </w:rPr>
        <w:t>[20</w:t>
      </w:r>
      <w:r w:rsidRPr="009802E0">
        <w:rPr>
          <w:rFonts w:asciiTheme="minorEastAsia" w:eastAsiaTheme="minorEastAsia" w:hAnsiTheme="minorEastAsia" w:hint="eastAsia"/>
          <w:b/>
          <w:szCs w:val="21"/>
        </w:rPr>
        <w:t>1</w:t>
      </w:r>
      <w:r w:rsidR="00C809C2" w:rsidRPr="009802E0">
        <w:rPr>
          <w:rFonts w:asciiTheme="minorEastAsia" w:eastAsiaTheme="minorEastAsia" w:hAnsiTheme="minorEastAsia" w:hint="eastAsia"/>
          <w:b/>
          <w:szCs w:val="21"/>
        </w:rPr>
        <w:t>1</w:t>
      </w:r>
      <w:r w:rsidRPr="009802E0">
        <w:rPr>
          <w:rFonts w:asciiTheme="minorEastAsia" w:eastAsiaTheme="minorEastAsia" w:hAnsiTheme="minorEastAsia" w:hint="eastAsia"/>
          <w:b/>
          <w:szCs w:val="21"/>
        </w:rPr>
        <w:t>]</w:t>
      </w:r>
      <w:r w:rsidR="00C809C2" w:rsidRPr="009802E0">
        <w:rPr>
          <w:rFonts w:asciiTheme="minorEastAsia" w:eastAsiaTheme="minorEastAsia" w:hAnsiTheme="minorEastAsia" w:hint="eastAsia"/>
          <w:b/>
          <w:szCs w:val="21"/>
        </w:rPr>
        <w:t>295</w:t>
      </w:r>
      <w:r w:rsidRPr="009802E0">
        <w:rPr>
          <w:rFonts w:asciiTheme="minorEastAsia" w:eastAsiaTheme="minorEastAsia" w:hAnsiTheme="minorEastAsia" w:hint="eastAsia"/>
          <w:b/>
          <w:szCs w:val="21"/>
        </w:rPr>
        <w:t>号）的核准，进行募集。</w:t>
      </w:r>
      <w:r w:rsidR="00F40113" w:rsidRPr="009802E0">
        <w:rPr>
          <w:rFonts w:asciiTheme="minorEastAsia" w:eastAsiaTheme="minorEastAsia" w:hAnsiTheme="minorEastAsia" w:hint="eastAsia"/>
          <w:b/>
          <w:szCs w:val="21"/>
        </w:rPr>
        <w:t>本基金的基金合同于2011年6月21日正式</w:t>
      </w:r>
      <w:r w:rsidR="00E44ADC" w:rsidRPr="009802E0">
        <w:rPr>
          <w:rFonts w:asciiTheme="minorEastAsia" w:eastAsiaTheme="minorEastAsia" w:hAnsiTheme="minorEastAsia" w:hint="eastAsia"/>
          <w:b/>
          <w:szCs w:val="21"/>
        </w:rPr>
        <w:t>生效</w:t>
      </w:r>
      <w:r w:rsidR="00F40113" w:rsidRPr="009802E0">
        <w:rPr>
          <w:rFonts w:asciiTheme="minorEastAsia" w:eastAsiaTheme="minorEastAsia" w:hAnsiTheme="minorEastAsia" w:hint="eastAsia"/>
          <w:b/>
          <w:szCs w:val="21"/>
        </w:rPr>
        <w:t>。</w:t>
      </w:r>
    </w:p>
    <w:p w:rsidR="00B43AC4" w:rsidRPr="009802E0" w:rsidRDefault="00B43AC4" w:rsidP="00FE018D">
      <w:pPr>
        <w:adjustRightInd w:val="0"/>
        <w:snapToGrid w:val="0"/>
        <w:spacing w:line="360" w:lineRule="auto"/>
        <w:ind w:firstLine="420"/>
        <w:rPr>
          <w:rFonts w:asciiTheme="minorEastAsia" w:eastAsiaTheme="minorEastAsia" w:hAnsiTheme="minorEastAsia"/>
          <w:b/>
          <w:szCs w:val="21"/>
        </w:rPr>
      </w:pPr>
      <w:r w:rsidRPr="009802E0">
        <w:rPr>
          <w:rFonts w:asciiTheme="minorEastAsia" w:eastAsiaTheme="minorEastAsia" w:hAnsiTheme="minorEastAsia" w:hint="eastAsia"/>
          <w:b/>
          <w:szCs w:val="21"/>
        </w:rPr>
        <w:t>基金管理人保证《招募说明书》的内容真实、准确、完整。本《招募说明书》经中国证监会核准，但中国证监会对本基金募集的核准，并不表明其对本基金的价值和收益作出实质性判断或保证，也不表明投资于本基金没有风险。</w:t>
      </w:r>
    </w:p>
    <w:p w:rsidR="00B43AC4" w:rsidRPr="009802E0" w:rsidRDefault="00B43AC4" w:rsidP="00FE018D">
      <w:pPr>
        <w:adjustRightInd w:val="0"/>
        <w:snapToGrid w:val="0"/>
        <w:spacing w:line="360" w:lineRule="auto"/>
        <w:ind w:firstLine="480"/>
        <w:rPr>
          <w:rFonts w:asciiTheme="minorEastAsia" w:eastAsiaTheme="minorEastAsia" w:hAnsiTheme="minorEastAsia"/>
          <w:b/>
          <w:szCs w:val="21"/>
        </w:rPr>
      </w:pPr>
      <w:r w:rsidRPr="009802E0">
        <w:rPr>
          <w:rFonts w:asciiTheme="minorEastAsia" w:eastAsiaTheme="minorEastAsia" w:hAnsiTheme="minorEastAsia"/>
          <w:b/>
          <w:szCs w:val="21"/>
        </w:rPr>
        <w:t>基金管理人依照恪尽职守、诚实信用、谨慎勤勉的原则管理和运用基金</w:t>
      </w:r>
      <w:r w:rsidRPr="009802E0">
        <w:rPr>
          <w:rFonts w:asciiTheme="minorEastAsia" w:eastAsiaTheme="minorEastAsia" w:hAnsiTheme="minorEastAsia" w:hint="eastAsia"/>
          <w:b/>
          <w:szCs w:val="21"/>
        </w:rPr>
        <w:t>财产</w:t>
      </w:r>
      <w:r w:rsidRPr="009802E0">
        <w:rPr>
          <w:rFonts w:asciiTheme="minorEastAsia" w:eastAsiaTheme="minorEastAsia" w:hAnsiTheme="minorEastAsia"/>
          <w:b/>
          <w:szCs w:val="21"/>
        </w:rPr>
        <w:t>，</w:t>
      </w:r>
      <w:r w:rsidRPr="009802E0">
        <w:rPr>
          <w:rFonts w:asciiTheme="minorEastAsia" w:eastAsiaTheme="minorEastAsia" w:hAnsiTheme="minorEastAsia" w:hint="eastAsia"/>
          <w:b/>
          <w:szCs w:val="21"/>
        </w:rPr>
        <w:t>但</w:t>
      </w:r>
      <w:r w:rsidRPr="009802E0">
        <w:rPr>
          <w:rFonts w:asciiTheme="minorEastAsia" w:eastAsiaTheme="minorEastAsia" w:hAnsiTheme="minorEastAsia"/>
          <w:b/>
          <w:szCs w:val="21"/>
        </w:rPr>
        <w:t>不保证基金一定盈利，也不保证最低收益</w:t>
      </w:r>
      <w:r w:rsidRPr="009802E0">
        <w:rPr>
          <w:rFonts w:asciiTheme="minorEastAsia" w:eastAsiaTheme="minorEastAsia" w:hAnsiTheme="minorEastAsia" w:hint="eastAsia"/>
          <w:b/>
          <w:szCs w:val="21"/>
        </w:rPr>
        <w:t>。</w:t>
      </w:r>
    </w:p>
    <w:p w:rsidR="00B43AC4" w:rsidRPr="009802E0" w:rsidRDefault="00B43AC4" w:rsidP="00FE018D">
      <w:pPr>
        <w:adjustRightInd w:val="0"/>
        <w:snapToGrid w:val="0"/>
        <w:spacing w:line="360" w:lineRule="auto"/>
        <w:ind w:firstLine="357"/>
        <w:rPr>
          <w:rFonts w:asciiTheme="minorEastAsia" w:eastAsiaTheme="minorEastAsia" w:hAnsiTheme="minorEastAsia"/>
          <w:b/>
        </w:rPr>
      </w:pPr>
      <w:r w:rsidRPr="009802E0">
        <w:rPr>
          <w:rFonts w:asciiTheme="minorEastAsia" w:eastAsiaTheme="minorEastAsia" w:hAnsiTheme="minorEastAsia" w:hint="eastAsia"/>
          <w:b/>
        </w:rPr>
        <w:t>本基金主要投资于固定收益品种并</w:t>
      </w:r>
      <w:r w:rsidR="00803E99" w:rsidRPr="009802E0">
        <w:rPr>
          <w:rFonts w:asciiTheme="minorEastAsia" w:eastAsiaTheme="minorEastAsia" w:hAnsiTheme="minorEastAsia" w:hint="eastAsia"/>
          <w:b/>
        </w:rPr>
        <w:t>辅以权益类品种，</w:t>
      </w:r>
      <w:r w:rsidRPr="009802E0">
        <w:rPr>
          <w:rFonts w:asciiTheme="minorEastAsia" w:eastAsiaTheme="minorEastAsia" w:hAnsiTheme="minorEastAsia" w:hint="eastAsia"/>
          <w:b/>
        </w:rPr>
        <w:t>投资者在投资本基金前，需充分了解本基金的产品特性，并承担基金投资中出现的各类风险。</w:t>
      </w:r>
      <w:r w:rsidRPr="009802E0">
        <w:rPr>
          <w:rFonts w:asciiTheme="minorEastAsia" w:eastAsiaTheme="minorEastAsia" w:hAnsiTheme="minorEastAsia" w:hint="eastAsia"/>
          <w:b/>
          <w:szCs w:val="21"/>
        </w:rPr>
        <w:t>投资本基金可能遇到的风险包括</w:t>
      </w:r>
      <w:r w:rsidRPr="009802E0">
        <w:rPr>
          <w:rFonts w:asciiTheme="minorEastAsia" w:eastAsiaTheme="minorEastAsia" w:hAnsiTheme="minorEastAsia" w:hint="eastAsia"/>
          <w:b/>
        </w:rPr>
        <w:t>：利率风险，本基金持有的</w:t>
      </w:r>
      <w:r w:rsidR="00406BB3" w:rsidRPr="009802E0">
        <w:rPr>
          <w:rFonts w:asciiTheme="minorEastAsia" w:eastAsiaTheme="minorEastAsia" w:hAnsiTheme="minorEastAsia" w:hint="eastAsia"/>
          <w:b/>
        </w:rPr>
        <w:t>信用品种</w:t>
      </w:r>
      <w:r w:rsidRPr="009802E0">
        <w:rPr>
          <w:rFonts w:asciiTheme="minorEastAsia" w:eastAsiaTheme="minorEastAsia" w:hAnsiTheme="minorEastAsia" w:hint="eastAsia"/>
          <w:b/>
        </w:rPr>
        <w:t>违约带来的信用风险，新股发行数量减少及新股申购收益率降低带来的风险，</w:t>
      </w:r>
      <w:r w:rsidR="00405D3F" w:rsidRPr="009802E0">
        <w:rPr>
          <w:rFonts w:asciiTheme="minorEastAsia" w:eastAsiaTheme="minorEastAsia" w:hAnsiTheme="minorEastAsia" w:hint="eastAsia"/>
          <w:b/>
        </w:rPr>
        <w:t>股票市场的系统性风险及个别证券特有的非系统性风险，</w:t>
      </w:r>
      <w:r w:rsidRPr="009802E0">
        <w:rPr>
          <w:rFonts w:asciiTheme="minorEastAsia" w:eastAsiaTheme="minorEastAsia" w:hAnsiTheme="minorEastAsia" w:hint="eastAsia"/>
          <w:b/>
        </w:rPr>
        <w:t>等等；基金运作风险，包括由于基金投资人连续大量赎回基金产生的流动性风险，基金管理人在基金管理</w:t>
      </w:r>
      <w:r w:rsidR="005640AA" w:rsidRPr="009802E0">
        <w:rPr>
          <w:rFonts w:asciiTheme="minorEastAsia" w:eastAsiaTheme="minorEastAsia" w:hAnsiTheme="minorEastAsia" w:hint="eastAsia"/>
          <w:b/>
        </w:rPr>
        <w:t>运作</w:t>
      </w:r>
      <w:r w:rsidRPr="009802E0">
        <w:rPr>
          <w:rFonts w:asciiTheme="minorEastAsia" w:eastAsiaTheme="minorEastAsia" w:hAnsiTheme="minorEastAsia" w:hint="eastAsia"/>
          <w:b/>
        </w:rPr>
        <w:t>过程中产生的基金管理风险，等等</w:t>
      </w:r>
      <w:r w:rsidR="00CA6516" w:rsidRPr="009802E0">
        <w:rPr>
          <w:rFonts w:asciiTheme="minorEastAsia" w:eastAsiaTheme="minorEastAsia" w:hAnsiTheme="minorEastAsia" w:hint="eastAsia"/>
          <w:b/>
        </w:rPr>
        <w:t>；本基金法律文件中涉及基金风险特征的表述与销售机构对基金的风险评级可能不一致的风险</w:t>
      </w:r>
      <w:r w:rsidRPr="009802E0">
        <w:rPr>
          <w:rFonts w:asciiTheme="minorEastAsia" w:eastAsiaTheme="minorEastAsia" w:hAnsiTheme="minorEastAsia" w:hint="eastAsia"/>
          <w:b/>
        </w:rPr>
        <w:t>。此外，本基金以1元初始面值进行募集，在市场波动等因素的影响下，存在单位份额净值跌破1元初始面值的风险。</w:t>
      </w:r>
    </w:p>
    <w:p w:rsidR="00A21425" w:rsidRPr="009802E0" w:rsidRDefault="0096095A" w:rsidP="00FE018D">
      <w:pPr>
        <w:adjustRightInd w:val="0"/>
        <w:snapToGrid w:val="0"/>
        <w:spacing w:line="360" w:lineRule="auto"/>
        <w:ind w:firstLine="360"/>
        <w:rPr>
          <w:rFonts w:asciiTheme="minorEastAsia" w:eastAsiaTheme="minorEastAsia" w:hAnsiTheme="minorEastAsia"/>
          <w:b/>
        </w:rPr>
      </w:pPr>
      <w:r w:rsidRPr="009802E0">
        <w:rPr>
          <w:rFonts w:asciiTheme="minorEastAsia" w:eastAsiaTheme="minorEastAsia" w:hAnsiTheme="minorEastAsia" w:hint="eastAsia"/>
          <w:b/>
        </w:rPr>
        <w:t>本基金力争战胜通货膨胀和银行定期存款利率</w:t>
      </w:r>
      <w:r w:rsidR="00A21425" w:rsidRPr="009802E0">
        <w:rPr>
          <w:rFonts w:asciiTheme="minorEastAsia" w:eastAsiaTheme="minorEastAsia" w:hAnsiTheme="minorEastAsia" w:hint="eastAsia"/>
          <w:b/>
        </w:rPr>
        <w:t>，但本基金的收益水平有可能不能达到或超过同期的目标收益率水平，投资者面临获得低于目标收益率甚至亏损的风险。</w:t>
      </w:r>
    </w:p>
    <w:p w:rsidR="00B43AC4" w:rsidRPr="009802E0" w:rsidRDefault="009E0B5C" w:rsidP="00FE018D">
      <w:pPr>
        <w:adjustRightInd w:val="0"/>
        <w:snapToGrid w:val="0"/>
        <w:spacing w:line="360" w:lineRule="auto"/>
        <w:ind w:firstLineChars="200" w:firstLine="422"/>
        <w:rPr>
          <w:rFonts w:asciiTheme="minorEastAsia" w:eastAsiaTheme="minorEastAsia" w:hAnsiTheme="minorEastAsia"/>
          <w:b/>
          <w:szCs w:val="21"/>
        </w:rPr>
      </w:pPr>
      <w:r w:rsidRPr="009802E0">
        <w:rPr>
          <w:rFonts w:asciiTheme="minorEastAsia" w:eastAsiaTheme="minorEastAsia" w:hAnsiTheme="minorEastAsia" w:hint="eastAsia"/>
          <w:b/>
        </w:rPr>
        <w:t>基金不同于银行储蓄</w:t>
      </w:r>
      <w:r w:rsidR="00B43AC4" w:rsidRPr="009802E0">
        <w:rPr>
          <w:rFonts w:asciiTheme="minorEastAsia" w:eastAsiaTheme="minorEastAsia" w:hAnsiTheme="minorEastAsia" w:hint="eastAsia"/>
          <w:b/>
        </w:rPr>
        <w:t>，基金投资者有可能获得较高的收益，也有可能损失本金。</w:t>
      </w:r>
      <w:r w:rsidR="005640AA" w:rsidRPr="009802E0">
        <w:rPr>
          <w:rFonts w:asciiTheme="minorEastAsia" w:eastAsiaTheme="minorEastAsia" w:hAnsiTheme="minorEastAsia" w:hint="eastAsia"/>
          <w:b/>
        </w:rPr>
        <w:t>投资有风险，</w:t>
      </w:r>
      <w:r w:rsidR="00B43AC4" w:rsidRPr="009802E0">
        <w:rPr>
          <w:rFonts w:asciiTheme="minorEastAsia" w:eastAsiaTheme="minorEastAsia" w:hAnsiTheme="minorEastAsia" w:hint="eastAsia"/>
          <w:b/>
          <w:szCs w:val="21"/>
        </w:rPr>
        <w:t>投资者在进行投资决策前，请仔细阅读本基金的《招募说明书》及《基金合同》。</w:t>
      </w:r>
    </w:p>
    <w:p w:rsidR="00E96C82" w:rsidRPr="009802E0" w:rsidRDefault="00B43AC4" w:rsidP="00FE018D">
      <w:pPr>
        <w:adjustRightInd w:val="0"/>
        <w:snapToGrid w:val="0"/>
        <w:spacing w:line="360" w:lineRule="auto"/>
        <w:ind w:firstLine="480"/>
        <w:rPr>
          <w:rFonts w:asciiTheme="minorEastAsia" w:eastAsiaTheme="minorEastAsia" w:hAnsiTheme="minorEastAsia"/>
          <w:b/>
          <w:szCs w:val="21"/>
        </w:rPr>
      </w:pPr>
      <w:r w:rsidRPr="009802E0">
        <w:rPr>
          <w:rFonts w:asciiTheme="minorEastAsia" w:eastAsiaTheme="minorEastAsia" w:hAnsiTheme="minorEastAsia" w:hint="eastAsia"/>
          <w:b/>
          <w:szCs w:val="21"/>
        </w:rPr>
        <w:t>基金的过往业绩并不预示其未来表现。</w:t>
      </w:r>
    </w:p>
    <w:p w:rsidR="00E47848" w:rsidRPr="009802E0" w:rsidRDefault="00E47848" w:rsidP="00FE018D">
      <w:pPr>
        <w:adjustRightInd w:val="0"/>
        <w:snapToGrid w:val="0"/>
        <w:spacing w:line="360" w:lineRule="auto"/>
        <w:ind w:firstLine="480"/>
        <w:rPr>
          <w:rFonts w:asciiTheme="minorEastAsia" w:eastAsiaTheme="minorEastAsia" w:hAnsiTheme="minorEastAsia"/>
          <w:b/>
          <w:szCs w:val="21"/>
        </w:rPr>
      </w:pPr>
      <w:r w:rsidRPr="009802E0">
        <w:rPr>
          <w:rFonts w:asciiTheme="minorEastAsia" w:eastAsiaTheme="minorEastAsia" w:hAnsiTheme="minorEastAsia" w:hint="eastAsia"/>
          <w:b/>
          <w:szCs w:val="21"/>
        </w:rPr>
        <w:t>基金合同约定的基金产品资料概要编制、披露与更新要求，自《信息披露办法》实施之日起一年后开始执行。</w:t>
      </w:r>
    </w:p>
    <w:p w:rsidR="00833612" w:rsidRPr="009802E0" w:rsidRDefault="00DD4A2D" w:rsidP="00034552">
      <w:pPr>
        <w:adjustRightInd w:val="0"/>
        <w:snapToGrid w:val="0"/>
        <w:spacing w:line="360" w:lineRule="auto"/>
        <w:ind w:firstLineChars="200" w:firstLine="422"/>
        <w:rPr>
          <w:rFonts w:asciiTheme="minorEastAsia" w:eastAsiaTheme="minorEastAsia" w:hAnsiTheme="minorEastAsia"/>
          <w:b/>
          <w:szCs w:val="21"/>
        </w:rPr>
      </w:pPr>
      <w:r w:rsidRPr="009802E0">
        <w:rPr>
          <w:rFonts w:asciiTheme="minorEastAsia" w:eastAsiaTheme="minorEastAsia" w:hAnsiTheme="minorEastAsia" w:hint="eastAsia"/>
          <w:b/>
          <w:szCs w:val="21"/>
        </w:rPr>
        <w:t>除非另有说明，</w:t>
      </w:r>
      <w:r w:rsidR="0096166C" w:rsidRPr="009802E0">
        <w:rPr>
          <w:rFonts w:asciiTheme="minorEastAsia" w:eastAsiaTheme="minorEastAsia" w:hAnsiTheme="minorEastAsia" w:hint="eastAsia"/>
          <w:b/>
          <w:szCs w:val="21"/>
        </w:rPr>
        <w:t>本招募说明书所载内容截止日为2020年5月16日</w:t>
      </w:r>
      <w:r w:rsidR="00833612" w:rsidRPr="009802E0">
        <w:rPr>
          <w:rFonts w:asciiTheme="minorEastAsia" w:eastAsiaTheme="minorEastAsia" w:hAnsiTheme="minorEastAsia"/>
          <w:b/>
          <w:szCs w:val="21"/>
        </w:rPr>
        <w:t>，</w:t>
      </w:r>
      <w:r w:rsidR="0096166C" w:rsidRPr="009802E0">
        <w:rPr>
          <w:rFonts w:asciiTheme="minorEastAsia" w:eastAsiaTheme="minorEastAsia" w:hAnsiTheme="minorEastAsia"/>
          <w:b/>
          <w:szCs w:val="21"/>
        </w:rPr>
        <w:t>有关财务数据截止日为2020年3月31日</w:t>
      </w:r>
      <w:r w:rsidR="00833612" w:rsidRPr="009802E0">
        <w:rPr>
          <w:rFonts w:asciiTheme="minorEastAsia" w:eastAsiaTheme="minorEastAsia" w:hAnsiTheme="minorEastAsia"/>
          <w:b/>
          <w:szCs w:val="21"/>
        </w:rPr>
        <w:t>，</w:t>
      </w:r>
      <w:r w:rsidR="0096166C" w:rsidRPr="009802E0">
        <w:rPr>
          <w:rFonts w:asciiTheme="minorEastAsia" w:eastAsiaTheme="minorEastAsia" w:hAnsiTheme="minorEastAsia"/>
          <w:b/>
          <w:szCs w:val="21"/>
        </w:rPr>
        <w:t>净值表现截止日为2019年12月31日</w:t>
      </w:r>
      <w:r w:rsidR="00833612" w:rsidRPr="009802E0">
        <w:rPr>
          <w:rFonts w:asciiTheme="minorEastAsia" w:eastAsiaTheme="minorEastAsia" w:hAnsiTheme="minorEastAsia"/>
          <w:b/>
          <w:szCs w:val="21"/>
        </w:rPr>
        <w:t>。（本报告中财务数据未经审计）</w:t>
      </w:r>
    </w:p>
    <w:p w:rsidR="002C74C2" w:rsidRPr="009802E0" w:rsidRDefault="002C74C2" w:rsidP="00034552">
      <w:pPr>
        <w:adjustRightInd w:val="0"/>
        <w:snapToGrid w:val="0"/>
        <w:spacing w:line="360" w:lineRule="auto"/>
        <w:ind w:firstLineChars="200" w:firstLine="422"/>
        <w:rPr>
          <w:rFonts w:asciiTheme="minorEastAsia" w:eastAsiaTheme="minorEastAsia" w:hAnsiTheme="minorEastAsia"/>
          <w:b/>
          <w:szCs w:val="21"/>
        </w:rPr>
        <w:sectPr w:rsidR="002C74C2" w:rsidRPr="009802E0" w:rsidSect="00833612">
          <w:headerReference w:type="even" r:id="rId9"/>
          <w:headerReference w:type="default" r:id="rId10"/>
          <w:footerReference w:type="even" r:id="rId11"/>
          <w:footerReference w:type="default" r:id="rId12"/>
          <w:headerReference w:type="first" r:id="rId13"/>
          <w:footerReference w:type="first" r:id="rId14"/>
          <w:pgSz w:w="11906" w:h="16838" w:code="9"/>
          <w:pgMar w:top="1701" w:right="1814" w:bottom="1701" w:left="1814" w:header="1134" w:footer="1247" w:gutter="0"/>
          <w:pgNumType w:fmt="upperRoman" w:start="1"/>
          <w:cols w:space="425"/>
          <w:titlePg/>
          <w:docGrid w:type="lines" w:linePitch="447"/>
        </w:sectPr>
      </w:pPr>
    </w:p>
    <w:p w:rsidR="00B43AC4" w:rsidRPr="009802E0" w:rsidRDefault="00B43AC4" w:rsidP="00FE018D">
      <w:pPr>
        <w:adjustRightInd w:val="0"/>
        <w:snapToGrid w:val="0"/>
        <w:spacing w:line="360" w:lineRule="auto"/>
        <w:jc w:val="center"/>
        <w:rPr>
          <w:rFonts w:asciiTheme="minorEastAsia" w:eastAsiaTheme="minorEastAsia" w:hAnsiTheme="minorEastAsia"/>
          <w:sz w:val="30"/>
        </w:rPr>
      </w:pPr>
      <w:r w:rsidRPr="009802E0">
        <w:rPr>
          <w:rFonts w:asciiTheme="minorEastAsia" w:eastAsiaTheme="minorEastAsia" w:hAnsiTheme="minorEastAsia" w:hint="eastAsia"/>
          <w:sz w:val="30"/>
        </w:rPr>
        <w:lastRenderedPageBreak/>
        <w:t>目录</w:t>
      </w:r>
    </w:p>
    <w:p w:rsidR="009802E0" w:rsidRDefault="00B35B6A">
      <w:pPr>
        <w:pStyle w:val="10"/>
        <w:rPr>
          <w:rFonts w:asciiTheme="minorHAnsi" w:eastAsiaTheme="minorEastAsia" w:hAnsiTheme="minorHAnsi" w:cstheme="minorBidi"/>
          <w:caps w:val="0"/>
          <w:color w:val="auto"/>
          <w:sz w:val="21"/>
          <w:szCs w:val="22"/>
        </w:rPr>
      </w:pPr>
      <w:r w:rsidRPr="009802E0">
        <w:rPr>
          <w:rFonts w:asciiTheme="minorEastAsia" w:eastAsiaTheme="minorEastAsia" w:hAnsiTheme="minorEastAsia"/>
          <w:b/>
          <w:color w:val="auto"/>
        </w:rPr>
        <w:fldChar w:fldCharType="begin"/>
      </w:r>
      <w:r w:rsidR="00B43AC4" w:rsidRPr="009802E0">
        <w:rPr>
          <w:rFonts w:asciiTheme="minorEastAsia" w:eastAsiaTheme="minorEastAsia" w:hAnsiTheme="minorEastAsia"/>
          <w:b/>
          <w:color w:val="auto"/>
        </w:rPr>
        <w:instrText xml:space="preserve"> TOC \o "1-3" \h \z \u </w:instrText>
      </w:r>
      <w:r w:rsidRPr="009802E0">
        <w:rPr>
          <w:rFonts w:asciiTheme="minorEastAsia" w:eastAsiaTheme="minorEastAsia" w:hAnsiTheme="minorEastAsia"/>
          <w:b/>
          <w:color w:val="auto"/>
        </w:rPr>
        <w:fldChar w:fldCharType="separate"/>
      </w:r>
      <w:hyperlink w:anchor="_Toc43301872" w:history="1">
        <w:r w:rsidR="009802E0" w:rsidRPr="00CC2DA1">
          <w:rPr>
            <w:rStyle w:val="a8"/>
            <w:rFonts w:asciiTheme="minorEastAsia" w:hAnsiTheme="minorEastAsia" w:hint="eastAsia"/>
            <w:b/>
          </w:rPr>
          <w:t>一、绪言</w:t>
        </w:r>
        <w:r w:rsidR="009802E0">
          <w:rPr>
            <w:webHidden/>
          </w:rPr>
          <w:tab/>
        </w:r>
        <w:r w:rsidR="009802E0">
          <w:rPr>
            <w:webHidden/>
          </w:rPr>
          <w:fldChar w:fldCharType="begin"/>
        </w:r>
        <w:r w:rsidR="009802E0">
          <w:rPr>
            <w:webHidden/>
          </w:rPr>
          <w:instrText xml:space="preserve"> PAGEREF _Toc43301872 \h </w:instrText>
        </w:r>
        <w:r w:rsidR="009802E0">
          <w:rPr>
            <w:webHidden/>
          </w:rPr>
        </w:r>
        <w:r w:rsidR="009802E0">
          <w:rPr>
            <w:webHidden/>
          </w:rPr>
          <w:fldChar w:fldCharType="separate"/>
        </w:r>
        <w:r w:rsidR="009802E0">
          <w:rPr>
            <w:webHidden/>
          </w:rPr>
          <w:t>1</w:t>
        </w:r>
        <w:r w:rsidR="009802E0">
          <w:rPr>
            <w:webHidden/>
          </w:rPr>
          <w:fldChar w:fldCharType="end"/>
        </w:r>
      </w:hyperlink>
    </w:p>
    <w:p w:rsidR="009802E0" w:rsidRDefault="009802E0">
      <w:pPr>
        <w:pStyle w:val="10"/>
        <w:rPr>
          <w:rFonts w:asciiTheme="minorHAnsi" w:eastAsiaTheme="minorEastAsia" w:hAnsiTheme="minorHAnsi" w:cstheme="minorBidi"/>
          <w:caps w:val="0"/>
          <w:color w:val="auto"/>
          <w:sz w:val="21"/>
          <w:szCs w:val="22"/>
        </w:rPr>
      </w:pPr>
      <w:hyperlink w:anchor="_Toc43301873" w:history="1">
        <w:r w:rsidRPr="00CC2DA1">
          <w:rPr>
            <w:rStyle w:val="a8"/>
            <w:rFonts w:asciiTheme="minorEastAsia" w:hAnsiTheme="minorEastAsia" w:hint="eastAsia"/>
            <w:b/>
          </w:rPr>
          <w:t>二、释义</w:t>
        </w:r>
        <w:r>
          <w:rPr>
            <w:webHidden/>
          </w:rPr>
          <w:tab/>
        </w:r>
        <w:r>
          <w:rPr>
            <w:webHidden/>
          </w:rPr>
          <w:fldChar w:fldCharType="begin"/>
        </w:r>
        <w:r>
          <w:rPr>
            <w:webHidden/>
          </w:rPr>
          <w:instrText xml:space="preserve"> PAGEREF _Toc43301873 \h </w:instrText>
        </w:r>
        <w:r>
          <w:rPr>
            <w:webHidden/>
          </w:rPr>
        </w:r>
        <w:r>
          <w:rPr>
            <w:webHidden/>
          </w:rPr>
          <w:fldChar w:fldCharType="separate"/>
        </w:r>
        <w:r>
          <w:rPr>
            <w:webHidden/>
          </w:rPr>
          <w:t>2</w:t>
        </w:r>
        <w:r>
          <w:rPr>
            <w:webHidden/>
          </w:rPr>
          <w:fldChar w:fldCharType="end"/>
        </w:r>
      </w:hyperlink>
    </w:p>
    <w:p w:rsidR="009802E0" w:rsidRDefault="009802E0">
      <w:pPr>
        <w:pStyle w:val="10"/>
        <w:rPr>
          <w:rFonts w:asciiTheme="minorHAnsi" w:eastAsiaTheme="minorEastAsia" w:hAnsiTheme="minorHAnsi" w:cstheme="minorBidi"/>
          <w:caps w:val="0"/>
          <w:color w:val="auto"/>
          <w:sz w:val="21"/>
          <w:szCs w:val="22"/>
        </w:rPr>
      </w:pPr>
      <w:hyperlink w:anchor="_Toc43301874" w:history="1">
        <w:r w:rsidRPr="00CC2DA1">
          <w:rPr>
            <w:rStyle w:val="a8"/>
            <w:rFonts w:asciiTheme="minorEastAsia" w:hAnsiTheme="minorEastAsia" w:hint="eastAsia"/>
            <w:b/>
            <w:bCs/>
          </w:rPr>
          <w:t>三、基金管理人</w:t>
        </w:r>
        <w:r>
          <w:rPr>
            <w:webHidden/>
          </w:rPr>
          <w:tab/>
        </w:r>
        <w:r>
          <w:rPr>
            <w:webHidden/>
          </w:rPr>
          <w:fldChar w:fldCharType="begin"/>
        </w:r>
        <w:r>
          <w:rPr>
            <w:webHidden/>
          </w:rPr>
          <w:instrText xml:space="preserve"> PAGEREF _Toc43301874 \h </w:instrText>
        </w:r>
        <w:r>
          <w:rPr>
            <w:webHidden/>
          </w:rPr>
        </w:r>
        <w:r>
          <w:rPr>
            <w:webHidden/>
          </w:rPr>
          <w:fldChar w:fldCharType="separate"/>
        </w:r>
        <w:r>
          <w:rPr>
            <w:webHidden/>
          </w:rPr>
          <w:t>6</w:t>
        </w:r>
        <w:r>
          <w:rPr>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875" w:history="1">
        <w:r w:rsidRPr="00CC2DA1">
          <w:rPr>
            <w:rStyle w:val="a8"/>
            <w:rFonts w:asciiTheme="minorEastAsia" w:hAnsiTheme="minorEastAsia" w:cs="仿宋_GB2312" w:hint="eastAsia"/>
            <w:bCs/>
            <w:noProof/>
            <w:kern w:val="0"/>
          </w:rPr>
          <w:t>（一）基金管理人基本情况</w:t>
        </w:r>
        <w:r>
          <w:rPr>
            <w:noProof/>
            <w:webHidden/>
          </w:rPr>
          <w:tab/>
        </w:r>
        <w:r>
          <w:rPr>
            <w:noProof/>
            <w:webHidden/>
          </w:rPr>
          <w:fldChar w:fldCharType="begin"/>
        </w:r>
        <w:r>
          <w:rPr>
            <w:noProof/>
            <w:webHidden/>
          </w:rPr>
          <w:instrText xml:space="preserve"> PAGEREF _Toc43301875 \h </w:instrText>
        </w:r>
        <w:r>
          <w:rPr>
            <w:noProof/>
            <w:webHidden/>
          </w:rPr>
        </w:r>
        <w:r>
          <w:rPr>
            <w:noProof/>
            <w:webHidden/>
          </w:rPr>
          <w:fldChar w:fldCharType="separate"/>
        </w:r>
        <w:r>
          <w:rPr>
            <w:noProof/>
            <w:webHidden/>
          </w:rPr>
          <w:t>6</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876" w:history="1">
        <w:r w:rsidRPr="00CC2DA1">
          <w:rPr>
            <w:rStyle w:val="a8"/>
            <w:rFonts w:asciiTheme="minorEastAsia" w:hAnsiTheme="minorEastAsia" w:hint="eastAsia"/>
            <w:bCs/>
            <w:noProof/>
          </w:rPr>
          <w:t>（二）主要人员情况</w:t>
        </w:r>
        <w:r>
          <w:rPr>
            <w:noProof/>
            <w:webHidden/>
          </w:rPr>
          <w:tab/>
        </w:r>
        <w:r>
          <w:rPr>
            <w:noProof/>
            <w:webHidden/>
          </w:rPr>
          <w:fldChar w:fldCharType="begin"/>
        </w:r>
        <w:r>
          <w:rPr>
            <w:noProof/>
            <w:webHidden/>
          </w:rPr>
          <w:instrText xml:space="preserve"> PAGEREF _Toc43301876 \h </w:instrText>
        </w:r>
        <w:r>
          <w:rPr>
            <w:noProof/>
            <w:webHidden/>
          </w:rPr>
        </w:r>
        <w:r>
          <w:rPr>
            <w:noProof/>
            <w:webHidden/>
          </w:rPr>
          <w:fldChar w:fldCharType="separate"/>
        </w:r>
        <w:r>
          <w:rPr>
            <w:noProof/>
            <w:webHidden/>
          </w:rPr>
          <w:t>6</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877" w:history="1">
        <w:r w:rsidRPr="00CC2DA1">
          <w:rPr>
            <w:rStyle w:val="a8"/>
            <w:rFonts w:asciiTheme="minorEastAsia" w:hAnsiTheme="minorEastAsia" w:hint="eastAsia"/>
            <w:bCs/>
            <w:noProof/>
          </w:rPr>
          <w:t>（三）基金管理人的职责</w:t>
        </w:r>
        <w:r>
          <w:rPr>
            <w:noProof/>
            <w:webHidden/>
          </w:rPr>
          <w:tab/>
        </w:r>
        <w:r>
          <w:rPr>
            <w:noProof/>
            <w:webHidden/>
          </w:rPr>
          <w:fldChar w:fldCharType="begin"/>
        </w:r>
        <w:r>
          <w:rPr>
            <w:noProof/>
            <w:webHidden/>
          </w:rPr>
          <w:instrText xml:space="preserve"> PAGEREF _Toc43301877 \h </w:instrText>
        </w:r>
        <w:r>
          <w:rPr>
            <w:noProof/>
            <w:webHidden/>
          </w:rPr>
        </w:r>
        <w:r>
          <w:rPr>
            <w:noProof/>
            <w:webHidden/>
          </w:rPr>
          <w:fldChar w:fldCharType="separate"/>
        </w:r>
        <w:r>
          <w:rPr>
            <w:noProof/>
            <w:webHidden/>
          </w:rPr>
          <w:t>14</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878" w:history="1">
        <w:r w:rsidRPr="00CC2DA1">
          <w:rPr>
            <w:rStyle w:val="a8"/>
            <w:rFonts w:asciiTheme="minorEastAsia" w:hAnsiTheme="minorEastAsia" w:hint="eastAsia"/>
            <w:bCs/>
            <w:noProof/>
          </w:rPr>
          <w:t>（四）基金管理人的承诺</w:t>
        </w:r>
        <w:r>
          <w:rPr>
            <w:noProof/>
            <w:webHidden/>
          </w:rPr>
          <w:tab/>
        </w:r>
        <w:r>
          <w:rPr>
            <w:noProof/>
            <w:webHidden/>
          </w:rPr>
          <w:fldChar w:fldCharType="begin"/>
        </w:r>
        <w:r>
          <w:rPr>
            <w:noProof/>
            <w:webHidden/>
          </w:rPr>
          <w:instrText xml:space="preserve"> PAGEREF _Toc43301878 \h </w:instrText>
        </w:r>
        <w:r>
          <w:rPr>
            <w:noProof/>
            <w:webHidden/>
          </w:rPr>
        </w:r>
        <w:r>
          <w:rPr>
            <w:noProof/>
            <w:webHidden/>
          </w:rPr>
          <w:fldChar w:fldCharType="separate"/>
        </w:r>
        <w:r>
          <w:rPr>
            <w:noProof/>
            <w:webHidden/>
          </w:rPr>
          <w:t>15</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879" w:history="1">
        <w:r w:rsidRPr="00CC2DA1">
          <w:rPr>
            <w:rStyle w:val="a8"/>
            <w:rFonts w:asciiTheme="minorEastAsia" w:hAnsiTheme="minorEastAsia" w:hint="eastAsia"/>
            <w:bCs/>
            <w:noProof/>
          </w:rPr>
          <w:t>（五）基金管理人的内部控制制度</w:t>
        </w:r>
        <w:r>
          <w:rPr>
            <w:noProof/>
            <w:webHidden/>
          </w:rPr>
          <w:tab/>
        </w:r>
        <w:r>
          <w:rPr>
            <w:noProof/>
            <w:webHidden/>
          </w:rPr>
          <w:fldChar w:fldCharType="begin"/>
        </w:r>
        <w:r>
          <w:rPr>
            <w:noProof/>
            <w:webHidden/>
          </w:rPr>
          <w:instrText xml:space="preserve"> PAGEREF _Toc43301879 \h </w:instrText>
        </w:r>
        <w:r>
          <w:rPr>
            <w:noProof/>
            <w:webHidden/>
          </w:rPr>
        </w:r>
        <w:r>
          <w:rPr>
            <w:noProof/>
            <w:webHidden/>
          </w:rPr>
          <w:fldChar w:fldCharType="separate"/>
        </w:r>
        <w:r>
          <w:rPr>
            <w:noProof/>
            <w:webHidden/>
          </w:rPr>
          <w:t>16</w:t>
        </w:r>
        <w:r>
          <w:rPr>
            <w:noProof/>
            <w:webHidden/>
          </w:rPr>
          <w:fldChar w:fldCharType="end"/>
        </w:r>
      </w:hyperlink>
    </w:p>
    <w:p w:rsidR="009802E0" w:rsidRDefault="009802E0">
      <w:pPr>
        <w:pStyle w:val="10"/>
        <w:rPr>
          <w:rFonts w:asciiTheme="minorHAnsi" w:eastAsiaTheme="minorEastAsia" w:hAnsiTheme="minorHAnsi" w:cstheme="minorBidi"/>
          <w:caps w:val="0"/>
          <w:color w:val="auto"/>
          <w:sz w:val="21"/>
          <w:szCs w:val="22"/>
        </w:rPr>
      </w:pPr>
      <w:hyperlink w:anchor="_Toc43301880" w:history="1">
        <w:r w:rsidRPr="00CC2DA1">
          <w:rPr>
            <w:rStyle w:val="a8"/>
            <w:rFonts w:asciiTheme="minorEastAsia" w:hAnsiTheme="minorEastAsia" w:hint="eastAsia"/>
            <w:b/>
            <w:bCs/>
          </w:rPr>
          <w:t>四、基金托管人</w:t>
        </w:r>
        <w:r>
          <w:rPr>
            <w:webHidden/>
          </w:rPr>
          <w:tab/>
        </w:r>
        <w:r>
          <w:rPr>
            <w:webHidden/>
          </w:rPr>
          <w:fldChar w:fldCharType="begin"/>
        </w:r>
        <w:r>
          <w:rPr>
            <w:webHidden/>
          </w:rPr>
          <w:instrText xml:space="preserve"> PAGEREF _Toc43301880 \h </w:instrText>
        </w:r>
        <w:r>
          <w:rPr>
            <w:webHidden/>
          </w:rPr>
        </w:r>
        <w:r>
          <w:rPr>
            <w:webHidden/>
          </w:rPr>
          <w:fldChar w:fldCharType="separate"/>
        </w:r>
        <w:r>
          <w:rPr>
            <w:webHidden/>
          </w:rPr>
          <w:t>19</w:t>
        </w:r>
        <w:r>
          <w:rPr>
            <w:webHidden/>
          </w:rPr>
          <w:fldChar w:fldCharType="end"/>
        </w:r>
      </w:hyperlink>
    </w:p>
    <w:p w:rsidR="009802E0" w:rsidRDefault="009802E0">
      <w:pPr>
        <w:pStyle w:val="10"/>
        <w:rPr>
          <w:rFonts w:asciiTheme="minorHAnsi" w:eastAsiaTheme="minorEastAsia" w:hAnsiTheme="minorHAnsi" w:cstheme="minorBidi"/>
          <w:caps w:val="0"/>
          <w:color w:val="auto"/>
          <w:sz w:val="21"/>
          <w:szCs w:val="22"/>
        </w:rPr>
      </w:pPr>
      <w:hyperlink w:anchor="_Toc43301881" w:history="1">
        <w:r w:rsidRPr="00CC2DA1">
          <w:rPr>
            <w:rStyle w:val="a8"/>
            <w:rFonts w:asciiTheme="minorEastAsia" w:hAnsiTheme="minorEastAsia" w:hint="eastAsia"/>
            <w:b/>
          </w:rPr>
          <w:t>五、相关服务机构</w:t>
        </w:r>
        <w:r>
          <w:rPr>
            <w:webHidden/>
          </w:rPr>
          <w:tab/>
        </w:r>
        <w:r>
          <w:rPr>
            <w:webHidden/>
          </w:rPr>
          <w:fldChar w:fldCharType="begin"/>
        </w:r>
        <w:r>
          <w:rPr>
            <w:webHidden/>
          </w:rPr>
          <w:instrText xml:space="preserve"> PAGEREF _Toc43301881 \h </w:instrText>
        </w:r>
        <w:r>
          <w:rPr>
            <w:webHidden/>
          </w:rPr>
        </w:r>
        <w:r>
          <w:rPr>
            <w:webHidden/>
          </w:rPr>
          <w:fldChar w:fldCharType="separate"/>
        </w:r>
        <w:r>
          <w:rPr>
            <w:webHidden/>
          </w:rPr>
          <w:t>23</w:t>
        </w:r>
        <w:r>
          <w:rPr>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882" w:history="1">
        <w:r w:rsidRPr="00CC2DA1">
          <w:rPr>
            <w:rStyle w:val="a8"/>
            <w:rFonts w:asciiTheme="minorEastAsia" w:hAnsiTheme="minorEastAsia" w:hint="eastAsia"/>
            <w:noProof/>
          </w:rPr>
          <w:t>（一）基金份额销售机构</w:t>
        </w:r>
        <w:r>
          <w:rPr>
            <w:noProof/>
            <w:webHidden/>
          </w:rPr>
          <w:tab/>
        </w:r>
        <w:r>
          <w:rPr>
            <w:noProof/>
            <w:webHidden/>
          </w:rPr>
          <w:fldChar w:fldCharType="begin"/>
        </w:r>
        <w:r>
          <w:rPr>
            <w:noProof/>
            <w:webHidden/>
          </w:rPr>
          <w:instrText xml:space="preserve"> PAGEREF _Toc43301882 \h </w:instrText>
        </w:r>
        <w:r>
          <w:rPr>
            <w:noProof/>
            <w:webHidden/>
          </w:rPr>
        </w:r>
        <w:r>
          <w:rPr>
            <w:noProof/>
            <w:webHidden/>
          </w:rPr>
          <w:fldChar w:fldCharType="separate"/>
        </w:r>
        <w:r>
          <w:rPr>
            <w:noProof/>
            <w:webHidden/>
          </w:rPr>
          <w:t>23</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883" w:history="1">
        <w:r w:rsidRPr="00CC2DA1">
          <w:rPr>
            <w:rStyle w:val="a8"/>
            <w:rFonts w:asciiTheme="minorEastAsia" w:hAnsiTheme="minorEastAsia" w:hint="eastAsia"/>
            <w:noProof/>
          </w:rPr>
          <w:t>（二）基金注册登记机构</w:t>
        </w:r>
        <w:r>
          <w:rPr>
            <w:noProof/>
            <w:webHidden/>
          </w:rPr>
          <w:tab/>
        </w:r>
        <w:r>
          <w:rPr>
            <w:noProof/>
            <w:webHidden/>
          </w:rPr>
          <w:fldChar w:fldCharType="begin"/>
        </w:r>
        <w:r>
          <w:rPr>
            <w:noProof/>
            <w:webHidden/>
          </w:rPr>
          <w:instrText xml:space="preserve"> PAGEREF _Toc43301883 \h </w:instrText>
        </w:r>
        <w:r>
          <w:rPr>
            <w:noProof/>
            <w:webHidden/>
          </w:rPr>
        </w:r>
        <w:r>
          <w:rPr>
            <w:noProof/>
            <w:webHidden/>
          </w:rPr>
          <w:fldChar w:fldCharType="separate"/>
        </w:r>
        <w:r>
          <w:rPr>
            <w:noProof/>
            <w:webHidden/>
          </w:rPr>
          <w:t>87</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884" w:history="1">
        <w:r w:rsidRPr="00CC2DA1">
          <w:rPr>
            <w:rStyle w:val="a8"/>
            <w:rFonts w:asciiTheme="minorEastAsia" w:hAnsiTheme="minorEastAsia" w:hint="eastAsia"/>
            <w:noProof/>
          </w:rPr>
          <w:t>（三）律师事务所和经办律师</w:t>
        </w:r>
        <w:r>
          <w:rPr>
            <w:noProof/>
            <w:webHidden/>
          </w:rPr>
          <w:tab/>
        </w:r>
        <w:r>
          <w:rPr>
            <w:noProof/>
            <w:webHidden/>
          </w:rPr>
          <w:fldChar w:fldCharType="begin"/>
        </w:r>
        <w:r>
          <w:rPr>
            <w:noProof/>
            <w:webHidden/>
          </w:rPr>
          <w:instrText xml:space="preserve"> PAGEREF _Toc43301884 \h </w:instrText>
        </w:r>
        <w:r>
          <w:rPr>
            <w:noProof/>
            <w:webHidden/>
          </w:rPr>
        </w:r>
        <w:r>
          <w:rPr>
            <w:noProof/>
            <w:webHidden/>
          </w:rPr>
          <w:fldChar w:fldCharType="separate"/>
        </w:r>
        <w:r>
          <w:rPr>
            <w:noProof/>
            <w:webHidden/>
          </w:rPr>
          <w:t>87</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885" w:history="1">
        <w:r w:rsidRPr="00CC2DA1">
          <w:rPr>
            <w:rStyle w:val="a8"/>
            <w:rFonts w:asciiTheme="minorEastAsia" w:hAnsiTheme="minorEastAsia" w:hint="eastAsia"/>
            <w:noProof/>
          </w:rPr>
          <w:t>（四）会计师事务所和经办注册会计师</w:t>
        </w:r>
        <w:r>
          <w:rPr>
            <w:noProof/>
            <w:webHidden/>
          </w:rPr>
          <w:tab/>
        </w:r>
        <w:r>
          <w:rPr>
            <w:noProof/>
            <w:webHidden/>
          </w:rPr>
          <w:fldChar w:fldCharType="begin"/>
        </w:r>
        <w:r>
          <w:rPr>
            <w:noProof/>
            <w:webHidden/>
          </w:rPr>
          <w:instrText xml:space="preserve"> PAGEREF _Toc43301885 \h </w:instrText>
        </w:r>
        <w:r>
          <w:rPr>
            <w:noProof/>
            <w:webHidden/>
          </w:rPr>
        </w:r>
        <w:r>
          <w:rPr>
            <w:noProof/>
            <w:webHidden/>
          </w:rPr>
          <w:fldChar w:fldCharType="separate"/>
        </w:r>
        <w:r>
          <w:rPr>
            <w:noProof/>
            <w:webHidden/>
          </w:rPr>
          <w:t>88</w:t>
        </w:r>
        <w:r>
          <w:rPr>
            <w:noProof/>
            <w:webHidden/>
          </w:rPr>
          <w:fldChar w:fldCharType="end"/>
        </w:r>
      </w:hyperlink>
    </w:p>
    <w:p w:rsidR="009802E0" w:rsidRDefault="009802E0">
      <w:pPr>
        <w:pStyle w:val="10"/>
        <w:rPr>
          <w:rFonts w:asciiTheme="minorHAnsi" w:eastAsiaTheme="minorEastAsia" w:hAnsiTheme="minorHAnsi" w:cstheme="minorBidi"/>
          <w:caps w:val="0"/>
          <w:color w:val="auto"/>
          <w:sz w:val="21"/>
          <w:szCs w:val="22"/>
        </w:rPr>
      </w:pPr>
      <w:hyperlink w:anchor="_Toc43301886" w:history="1">
        <w:r w:rsidRPr="00CC2DA1">
          <w:rPr>
            <w:rStyle w:val="a8"/>
            <w:rFonts w:asciiTheme="minorEastAsia" w:hAnsiTheme="minorEastAsia" w:hint="eastAsia"/>
            <w:b/>
            <w:bCs/>
          </w:rPr>
          <w:t>六、基金的募集</w:t>
        </w:r>
        <w:r>
          <w:rPr>
            <w:webHidden/>
          </w:rPr>
          <w:tab/>
        </w:r>
        <w:r>
          <w:rPr>
            <w:webHidden/>
          </w:rPr>
          <w:fldChar w:fldCharType="begin"/>
        </w:r>
        <w:r>
          <w:rPr>
            <w:webHidden/>
          </w:rPr>
          <w:instrText xml:space="preserve"> PAGEREF _Toc43301886 \h </w:instrText>
        </w:r>
        <w:r>
          <w:rPr>
            <w:webHidden/>
          </w:rPr>
        </w:r>
        <w:r>
          <w:rPr>
            <w:webHidden/>
          </w:rPr>
          <w:fldChar w:fldCharType="separate"/>
        </w:r>
        <w:r>
          <w:rPr>
            <w:webHidden/>
          </w:rPr>
          <w:t>89</w:t>
        </w:r>
        <w:r>
          <w:rPr>
            <w:webHidden/>
          </w:rPr>
          <w:fldChar w:fldCharType="end"/>
        </w:r>
      </w:hyperlink>
    </w:p>
    <w:p w:rsidR="009802E0" w:rsidRDefault="009802E0">
      <w:pPr>
        <w:pStyle w:val="10"/>
        <w:rPr>
          <w:rFonts w:asciiTheme="minorHAnsi" w:eastAsiaTheme="minorEastAsia" w:hAnsiTheme="minorHAnsi" w:cstheme="minorBidi"/>
          <w:caps w:val="0"/>
          <w:color w:val="auto"/>
          <w:sz w:val="21"/>
          <w:szCs w:val="22"/>
        </w:rPr>
      </w:pPr>
      <w:hyperlink w:anchor="_Toc43301887" w:history="1">
        <w:r w:rsidRPr="00CC2DA1">
          <w:rPr>
            <w:rStyle w:val="a8"/>
            <w:rFonts w:asciiTheme="minorEastAsia" w:hAnsiTheme="minorEastAsia" w:hint="eastAsia"/>
            <w:b/>
            <w:bCs/>
          </w:rPr>
          <w:t>七、基金合同的生效</w:t>
        </w:r>
        <w:r>
          <w:rPr>
            <w:webHidden/>
          </w:rPr>
          <w:tab/>
        </w:r>
        <w:r>
          <w:rPr>
            <w:webHidden/>
          </w:rPr>
          <w:fldChar w:fldCharType="begin"/>
        </w:r>
        <w:r>
          <w:rPr>
            <w:webHidden/>
          </w:rPr>
          <w:instrText xml:space="preserve"> PAGEREF _Toc43301887 \h </w:instrText>
        </w:r>
        <w:r>
          <w:rPr>
            <w:webHidden/>
          </w:rPr>
        </w:r>
        <w:r>
          <w:rPr>
            <w:webHidden/>
          </w:rPr>
          <w:fldChar w:fldCharType="separate"/>
        </w:r>
        <w:r>
          <w:rPr>
            <w:webHidden/>
          </w:rPr>
          <w:t>90</w:t>
        </w:r>
        <w:r>
          <w:rPr>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888" w:history="1">
        <w:r w:rsidRPr="00CC2DA1">
          <w:rPr>
            <w:rStyle w:val="a8"/>
            <w:rFonts w:asciiTheme="minorEastAsia" w:hAnsiTheme="minorEastAsia" w:hint="eastAsia"/>
            <w:bCs/>
            <w:noProof/>
          </w:rPr>
          <w:t>（一）基金合同的生效</w:t>
        </w:r>
        <w:r>
          <w:rPr>
            <w:noProof/>
            <w:webHidden/>
          </w:rPr>
          <w:tab/>
        </w:r>
        <w:r>
          <w:rPr>
            <w:noProof/>
            <w:webHidden/>
          </w:rPr>
          <w:fldChar w:fldCharType="begin"/>
        </w:r>
        <w:r>
          <w:rPr>
            <w:noProof/>
            <w:webHidden/>
          </w:rPr>
          <w:instrText xml:space="preserve"> PAGEREF _Toc43301888 \h </w:instrText>
        </w:r>
        <w:r>
          <w:rPr>
            <w:noProof/>
            <w:webHidden/>
          </w:rPr>
        </w:r>
        <w:r>
          <w:rPr>
            <w:noProof/>
            <w:webHidden/>
          </w:rPr>
          <w:fldChar w:fldCharType="separate"/>
        </w:r>
        <w:r>
          <w:rPr>
            <w:noProof/>
            <w:webHidden/>
          </w:rPr>
          <w:t>90</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889" w:history="1">
        <w:r w:rsidRPr="00CC2DA1">
          <w:rPr>
            <w:rStyle w:val="a8"/>
            <w:rFonts w:asciiTheme="minorEastAsia" w:hAnsiTheme="minorEastAsia" w:hint="eastAsia"/>
            <w:bCs/>
            <w:noProof/>
          </w:rPr>
          <w:t>（二）基金存续期内的基金份额持有人数量和资金额</w:t>
        </w:r>
        <w:r>
          <w:rPr>
            <w:noProof/>
            <w:webHidden/>
          </w:rPr>
          <w:tab/>
        </w:r>
        <w:r>
          <w:rPr>
            <w:noProof/>
            <w:webHidden/>
          </w:rPr>
          <w:fldChar w:fldCharType="begin"/>
        </w:r>
        <w:r>
          <w:rPr>
            <w:noProof/>
            <w:webHidden/>
          </w:rPr>
          <w:instrText xml:space="preserve"> PAGEREF _Toc43301889 \h </w:instrText>
        </w:r>
        <w:r>
          <w:rPr>
            <w:noProof/>
            <w:webHidden/>
          </w:rPr>
        </w:r>
        <w:r>
          <w:rPr>
            <w:noProof/>
            <w:webHidden/>
          </w:rPr>
          <w:fldChar w:fldCharType="separate"/>
        </w:r>
        <w:r>
          <w:rPr>
            <w:noProof/>
            <w:webHidden/>
          </w:rPr>
          <w:t>90</w:t>
        </w:r>
        <w:r>
          <w:rPr>
            <w:noProof/>
            <w:webHidden/>
          </w:rPr>
          <w:fldChar w:fldCharType="end"/>
        </w:r>
      </w:hyperlink>
    </w:p>
    <w:p w:rsidR="009802E0" w:rsidRDefault="009802E0">
      <w:pPr>
        <w:pStyle w:val="10"/>
        <w:rPr>
          <w:rFonts w:asciiTheme="minorHAnsi" w:eastAsiaTheme="minorEastAsia" w:hAnsiTheme="minorHAnsi" w:cstheme="minorBidi"/>
          <w:caps w:val="0"/>
          <w:color w:val="auto"/>
          <w:sz w:val="21"/>
          <w:szCs w:val="22"/>
        </w:rPr>
      </w:pPr>
      <w:hyperlink w:anchor="_Toc43301890" w:history="1">
        <w:r w:rsidRPr="00CC2DA1">
          <w:rPr>
            <w:rStyle w:val="a8"/>
            <w:rFonts w:asciiTheme="minorEastAsia" w:hAnsiTheme="minorEastAsia" w:hint="eastAsia"/>
            <w:b/>
            <w:bCs/>
          </w:rPr>
          <w:t>八、基金份额的申购、赎回</w:t>
        </w:r>
        <w:r>
          <w:rPr>
            <w:webHidden/>
          </w:rPr>
          <w:tab/>
        </w:r>
        <w:r>
          <w:rPr>
            <w:webHidden/>
          </w:rPr>
          <w:fldChar w:fldCharType="begin"/>
        </w:r>
        <w:r>
          <w:rPr>
            <w:webHidden/>
          </w:rPr>
          <w:instrText xml:space="preserve"> PAGEREF _Toc43301890 \h </w:instrText>
        </w:r>
        <w:r>
          <w:rPr>
            <w:webHidden/>
          </w:rPr>
        </w:r>
        <w:r>
          <w:rPr>
            <w:webHidden/>
          </w:rPr>
          <w:fldChar w:fldCharType="separate"/>
        </w:r>
        <w:r>
          <w:rPr>
            <w:webHidden/>
          </w:rPr>
          <w:t>91</w:t>
        </w:r>
        <w:r>
          <w:rPr>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891" w:history="1">
        <w:r w:rsidRPr="00CC2DA1">
          <w:rPr>
            <w:rStyle w:val="a8"/>
            <w:rFonts w:asciiTheme="minorEastAsia" w:hAnsiTheme="minorEastAsia" w:hint="eastAsia"/>
            <w:bCs/>
            <w:noProof/>
          </w:rPr>
          <w:t>（一）基金投资者范围</w:t>
        </w:r>
        <w:r>
          <w:rPr>
            <w:noProof/>
            <w:webHidden/>
          </w:rPr>
          <w:tab/>
        </w:r>
        <w:r>
          <w:rPr>
            <w:noProof/>
            <w:webHidden/>
          </w:rPr>
          <w:fldChar w:fldCharType="begin"/>
        </w:r>
        <w:r>
          <w:rPr>
            <w:noProof/>
            <w:webHidden/>
          </w:rPr>
          <w:instrText xml:space="preserve"> PAGEREF _Toc43301891 \h </w:instrText>
        </w:r>
        <w:r>
          <w:rPr>
            <w:noProof/>
            <w:webHidden/>
          </w:rPr>
        </w:r>
        <w:r>
          <w:rPr>
            <w:noProof/>
            <w:webHidden/>
          </w:rPr>
          <w:fldChar w:fldCharType="separate"/>
        </w:r>
        <w:r>
          <w:rPr>
            <w:noProof/>
            <w:webHidden/>
          </w:rPr>
          <w:t>91</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892" w:history="1">
        <w:r w:rsidRPr="00CC2DA1">
          <w:rPr>
            <w:rStyle w:val="a8"/>
            <w:rFonts w:asciiTheme="minorEastAsia" w:hAnsiTheme="minorEastAsia" w:hint="eastAsia"/>
            <w:bCs/>
            <w:noProof/>
          </w:rPr>
          <w:t>（二）申购与赎回的场所</w:t>
        </w:r>
        <w:r>
          <w:rPr>
            <w:noProof/>
            <w:webHidden/>
          </w:rPr>
          <w:tab/>
        </w:r>
        <w:r>
          <w:rPr>
            <w:noProof/>
            <w:webHidden/>
          </w:rPr>
          <w:fldChar w:fldCharType="begin"/>
        </w:r>
        <w:r>
          <w:rPr>
            <w:noProof/>
            <w:webHidden/>
          </w:rPr>
          <w:instrText xml:space="preserve"> PAGEREF _Toc43301892 \h </w:instrText>
        </w:r>
        <w:r>
          <w:rPr>
            <w:noProof/>
            <w:webHidden/>
          </w:rPr>
        </w:r>
        <w:r>
          <w:rPr>
            <w:noProof/>
            <w:webHidden/>
          </w:rPr>
          <w:fldChar w:fldCharType="separate"/>
        </w:r>
        <w:r>
          <w:rPr>
            <w:noProof/>
            <w:webHidden/>
          </w:rPr>
          <w:t>91</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893" w:history="1">
        <w:r w:rsidRPr="00CC2DA1">
          <w:rPr>
            <w:rStyle w:val="a8"/>
            <w:rFonts w:asciiTheme="minorEastAsia" w:hAnsiTheme="minorEastAsia" w:hint="eastAsia"/>
            <w:bCs/>
            <w:noProof/>
          </w:rPr>
          <w:t>（三）申购与赎回办理的开放日及时间</w:t>
        </w:r>
        <w:r>
          <w:rPr>
            <w:noProof/>
            <w:webHidden/>
          </w:rPr>
          <w:tab/>
        </w:r>
        <w:r>
          <w:rPr>
            <w:noProof/>
            <w:webHidden/>
          </w:rPr>
          <w:fldChar w:fldCharType="begin"/>
        </w:r>
        <w:r>
          <w:rPr>
            <w:noProof/>
            <w:webHidden/>
          </w:rPr>
          <w:instrText xml:space="preserve"> PAGEREF _Toc43301893 \h </w:instrText>
        </w:r>
        <w:r>
          <w:rPr>
            <w:noProof/>
            <w:webHidden/>
          </w:rPr>
        </w:r>
        <w:r>
          <w:rPr>
            <w:noProof/>
            <w:webHidden/>
          </w:rPr>
          <w:fldChar w:fldCharType="separate"/>
        </w:r>
        <w:r>
          <w:rPr>
            <w:noProof/>
            <w:webHidden/>
          </w:rPr>
          <w:t>91</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894" w:history="1">
        <w:r w:rsidRPr="00CC2DA1">
          <w:rPr>
            <w:rStyle w:val="a8"/>
            <w:rFonts w:asciiTheme="minorEastAsia" w:hAnsiTheme="minorEastAsia" w:hint="eastAsia"/>
            <w:bCs/>
            <w:noProof/>
          </w:rPr>
          <w:t>（四）申购与赎回的原则</w:t>
        </w:r>
        <w:r>
          <w:rPr>
            <w:noProof/>
            <w:webHidden/>
          </w:rPr>
          <w:tab/>
        </w:r>
        <w:r>
          <w:rPr>
            <w:noProof/>
            <w:webHidden/>
          </w:rPr>
          <w:fldChar w:fldCharType="begin"/>
        </w:r>
        <w:r>
          <w:rPr>
            <w:noProof/>
            <w:webHidden/>
          </w:rPr>
          <w:instrText xml:space="preserve"> PAGEREF _Toc43301894 \h </w:instrText>
        </w:r>
        <w:r>
          <w:rPr>
            <w:noProof/>
            <w:webHidden/>
          </w:rPr>
        </w:r>
        <w:r>
          <w:rPr>
            <w:noProof/>
            <w:webHidden/>
          </w:rPr>
          <w:fldChar w:fldCharType="separate"/>
        </w:r>
        <w:r>
          <w:rPr>
            <w:noProof/>
            <w:webHidden/>
          </w:rPr>
          <w:t>91</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895" w:history="1">
        <w:r w:rsidRPr="00CC2DA1">
          <w:rPr>
            <w:rStyle w:val="a8"/>
            <w:rFonts w:asciiTheme="minorEastAsia" w:hAnsiTheme="minorEastAsia" w:hint="eastAsia"/>
            <w:bCs/>
            <w:noProof/>
          </w:rPr>
          <w:t>（五）申购与赎回的程序</w:t>
        </w:r>
        <w:r>
          <w:rPr>
            <w:noProof/>
            <w:webHidden/>
          </w:rPr>
          <w:tab/>
        </w:r>
        <w:r>
          <w:rPr>
            <w:noProof/>
            <w:webHidden/>
          </w:rPr>
          <w:fldChar w:fldCharType="begin"/>
        </w:r>
        <w:r>
          <w:rPr>
            <w:noProof/>
            <w:webHidden/>
          </w:rPr>
          <w:instrText xml:space="preserve"> PAGEREF _Toc43301895 \h </w:instrText>
        </w:r>
        <w:r>
          <w:rPr>
            <w:noProof/>
            <w:webHidden/>
          </w:rPr>
        </w:r>
        <w:r>
          <w:rPr>
            <w:noProof/>
            <w:webHidden/>
          </w:rPr>
          <w:fldChar w:fldCharType="separate"/>
        </w:r>
        <w:r>
          <w:rPr>
            <w:noProof/>
            <w:webHidden/>
          </w:rPr>
          <w:t>91</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896" w:history="1">
        <w:r w:rsidRPr="00CC2DA1">
          <w:rPr>
            <w:rStyle w:val="a8"/>
            <w:rFonts w:asciiTheme="minorEastAsia" w:hAnsiTheme="minorEastAsia" w:hint="eastAsia"/>
            <w:bCs/>
            <w:noProof/>
          </w:rPr>
          <w:t>（六）申购与赎回的数额限制</w:t>
        </w:r>
        <w:r>
          <w:rPr>
            <w:noProof/>
            <w:webHidden/>
          </w:rPr>
          <w:tab/>
        </w:r>
        <w:r>
          <w:rPr>
            <w:noProof/>
            <w:webHidden/>
          </w:rPr>
          <w:fldChar w:fldCharType="begin"/>
        </w:r>
        <w:r>
          <w:rPr>
            <w:noProof/>
            <w:webHidden/>
          </w:rPr>
          <w:instrText xml:space="preserve"> PAGEREF _Toc43301896 \h </w:instrText>
        </w:r>
        <w:r>
          <w:rPr>
            <w:noProof/>
            <w:webHidden/>
          </w:rPr>
        </w:r>
        <w:r>
          <w:rPr>
            <w:noProof/>
            <w:webHidden/>
          </w:rPr>
          <w:fldChar w:fldCharType="separate"/>
        </w:r>
        <w:r>
          <w:rPr>
            <w:noProof/>
            <w:webHidden/>
          </w:rPr>
          <w:t>92</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897" w:history="1">
        <w:r w:rsidRPr="00CC2DA1">
          <w:rPr>
            <w:rStyle w:val="a8"/>
            <w:rFonts w:asciiTheme="minorEastAsia" w:hAnsiTheme="minorEastAsia" w:hint="eastAsia"/>
            <w:bCs/>
            <w:noProof/>
          </w:rPr>
          <w:t>（七）基金的申购费和赎回费</w:t>
        </w:r>
        <w:r>
          <w:rPr>
            <w:noProof/>
            <w:webHidden/>
          </w:rPr>
          <w:tab/>
        </w:r>
        <w:r>
          <w:rPr>
            <w:noProof/>
            <w:webHidden/>
          </w:rPr>
          <w:fldChar w:fldCharType="begin"/>
        </w:r>
        <w:r>
          <w:rPr>
            <w:noProof/>
            <w:webHidden/>
          </w:rPr>
          <w:instrText xml:space="preserve"> PAGEREF _Toc43301897 \h </w:instrText>
        </w:r>
        <w:r>
          <w:rPr>
            <w:noProof/>
            <w:webHidden/>
          </w:rPr>
        </w:r>
        <w:r>
          <w:rPr>
            <w:noProof/>
            <w:webHidden/>
          </w:rPr>
          <w:fldChar w:fldCharType="separate"/>
        </w:r>
        <w:r>
          <w:rPr>
            <w:noProof/>
            <w:webHidden/>
          </w:rPr>
          <w:t>93</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898" w:history="1">
        <w:r w:rsidRPr="00CC2DA1">
          <w:rPr>
            <w:rStyle w:val="a8"/>
            <w:rFonts w:asciiTheme="minorEastAsia" w:hAnsiTheme="minorEastAsia" w:hint="eastAsia"/>
            <w:bCs/>
            <w:noProof/>
          </w:rPr>
          <w:t>（八）申购和赎回的数额和价格</w:t>
        </w:r>
        <w:r>
          <w:rPr>
            <w:noProof/>
            <w:webHidden/>
          </w:rPr>
          <w:tab/>
        </w:r>
        <w:r>
          <w:rPr>
            <w:noProof/>
            <w:webHidden/>
          </w:rPr>
          <w:fldChar w:fldCharType="begin"/>
        </w:r>
        <w:r>
          <w:rPr>
            <w:noProof/>
            <w:webHidden/>
          </w:rPr>
          <w:instrText xml:space="preserve"> PAGEREF _Toc43301898 \h </w:instrText>
        </w:r>
        <w:r>
          <w:rPr>
            <w:noProof/>
            <w:webHidden/>
          </w:rPr>
        </w:r>
        <w:r>
          <w:rPr>
            <w:noProof/>
            <w:webHidden/>
          </w:rPr>
          <w:fldChar w:fldCharType="separate"/>
        </w:r>
        <w:r>
          <w:rPr>
            <w:noProof/>
            <w:webHidden/>
          </w:rPr>
          <w:t>94</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899" w:history="1">
        <w:r w:rsidRPr="00CC2DA1">
          <w:rPr>
            <w:rStyle w:val="a8"/>
            <w:rFonts w:asciiTheme="minorEastAsia" w:hAnsiTheme="minorEastAsia" w:hint="eastAsia"/>
            <w:bCs/>
            <w:noProof/>
          </w:rPr>
          <w:t>（九）申购与赎回的注册登记</w:t>
        </w:r>
        <w:r>
          <w:rPr>
            <w:noProof/>
            <w:webHidden/>
          </w:rPr>
          <w:tab/>
        </w:r>
        <w:r>
          <w:rPr>
            <w:noProof/>
            <w:webHidden/>
          </w:rPr>
          <w:fldChar w:fldCharType="begin"/>
        </w:r>
        <w:r>
          <w:rPr>
            <w:noProof/>
            <w:webHidden/>
          </w:rPr>
          <w:instrText xml:space="preserve"> PAGEREF _Toc43301899 \h </w:instrText>
        </w:r>
        <w:r>
          <w:rPr>
            <w:noProof/>
            <w:webHidden/>
          </w:rPr>
        </w:r>
        <w:r>
          <w:rPr>
            <w:noProof/>
            <w:webHidden/>
          </w:rPr>
          <w:fldChar w:fldCharType="separate"/>
        </w:r>
        <w:r>
          <w:rPr>
            <w:noProof/>
            <w:webHidden/>
          </w:rPr>
          <w:t>96</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00" w:history="1">
        <w:r w:rsidRPr="00CC2DA1">
          <w:rPr>
            <w:rStyle w:val="a8"/>
            <w:rFonts w:asciiTheme="minorEastAsia" w:hAnsiTheme="minorEastAsia" w:hint="eastAsia"/>
            <w:bCs/>
            <w:noProof/>
          </w:rPr>
          <w:t>（十）巨额赎回的认定及处理方式</w:t>
        </w:r>
        <w:r>
          <w:rPr>
            <w:noProof/>
            <w:webHidden/>
          </w:rPr>
          <w:tab/>
        </w:r>
        <w:r>
          <w:rPr>
            <w:noProof/>
            <w:webHidden/>
          </w:rPr>
          <w:fldChar w:fldCharType="begin"/>
        </w:r>
        <w:r>
          <w:rPr>
            <w:noProof/>
            <w:webHidden/>
          </w:rPr>
          <w:instrText xml:space="preserve"> PAGEREF _Toc43301900 \h </w:instrText>
        </w:r>
        <w:r>
          <w:rPr>
            <w:noProof/>
            <w:webHidden/>
          </w:rPr>
        </w:r>
        <w:r>
          <w:rPr>
            <w:noProof/>
            <w:webHidden/>
          </w:rPr>
          <w:fldChar w:fldCharType="separate"/>
        </w:r>
        <w:r>
          <w:rPr>
            <w:noProof/>
            <w:webHidden/>
          </w:rPr>
          <w:t>97</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01" w:history="1">
        <w:r w:rsidRPr="00CC2DA1">
          <w:rPr>
            <w:rStyle w:val="a8"/>
            <w:rFonts w:asciiTheme="minorEastAsia" w:hAnsiTheme="minorEastAsia" w:hint="eastAsia"/>
            <w:bCs/>
            <w:noProof/>
          </w:rPr>
          <w:t>（十一）拒绝或暂停申购、暂停赎回的情形及处理</w:t>
        </w:r>
        <w:r>
          <w:rPr>
            <w:noProof/>
            <w:webHidden/>
          </w:rPr>
          <w:tab/>
        </w:r>
        <w:r>
          <w:rPr>
            <w:noProof/>
            <w:webHidden/>
          </w:rPr>
          <w:fldChar w:fldCharType="begin"/>
        </w:r>
        <w:r>
          <w:rPr>
            <w:noProof/>
            <w:webHidden/>
          </w:rPr>
          <w:instrText xml:space="preserve"> PAGEREF _Toc43301901 \h </w:instrText>
        </w:r>
        <w:r>
          <w:rPr>
            <w:noProof/>
            <w:webHidden/>
          </w:rPr>
        </w:r>
        <w:r>
          <w:rPr>
            <w:noProof/>
            <w:webHidden/>
          </w:rPr>
          <w:fldChar w:fldCharType="separate"/>
        </w:r>
        <w:r>
          <w:rPr>
            <w:noProof/>
            <w:webHidden/>
          </w:rPr>
          <w:t>97</w:t>
        </w:r>
        <w:r>
          <w:rPr>
            <w:noProof/>
            <w:webHidden/>
          </w:rPr>
          <w:fldChar w:fldCharType="end"/>
        </w:r>
      </w:hyperlink>
    </w:p>
    <w:p w:rsidR="009802E0" w:rsidRDefault="009802E0">
      <w:pPr>
        <w:pStyle w:val="10"/>
        <w:rPr>
          <w:rFonts w:asciiTheme="minorHAnsi" w:eastAsiaTheme="minorEastAsia" w:hAnsiTheme="minorHAnsi" w:cstheme="minorBidi"/>
          <w:caps w:val="0"/>
          <w:color w:val="auto"/>
          <w:sz w:val="21"/>
          <w:szCs w:val="22"/>
        </w:rPr>
      </w:pPr>
      <w:hyperlink w:anchor="_Toc43301902" w:history="1">
        <w:r w:rsidRPr="00CC2DA1">
          <w:rPr>
            <w:rStyle w:val="a8"/>
            <w:rFonts w:asciiTheme="minorEastAsia" w:hAnsiTheme="minorEastAsia" w:hint="eastAsia"/>
            <w:b/>
            <w:bCs/>
          </w:rPr>
          <w:t>九、基金转换</w:t>
        </w:r>
        <w:r>
          <w:rPr>
            <w:webHidden/>
          </w:rPr>
          <w:tab/>
        </w:r>
        <w:r>
          <w:rPr>
            <w:webHidden/>
          </w:rPr>
          <w:fldChar w:fldCharType="begin"/>
        </w:r>
        <w:r>
          <w:rPr>
            <w:webHidden/>
          </w:rPr>
          <w:instrText xml:space="preserve"> PAGEREF _Toc43301902 \h </w:instrText>
        </w:r>
        <w:r>
          <w:rPr>
            <w:webHidden/>
          </w:rPr>
        </w:r>
        <w:r>
          <w:rPr>
            <w:webHidden/>
          </w:rPr>
          <w:fldChar w:fldCharType="separate"/>
        </w:r>
        <w:r>
          <w:rPr>
            <w:webHidden/>
          </w:rPr>
          <w:t>100</w:t>
        </w:r>
        <w:r>
          <w:rPr>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03" w:history="1">
        <w:r w:rsidRPr="00CC2DA1">
          <w:rPr>
            <w:rStyle w:val="a8"/>
            <w:rFonts w:asciiTheme="minorEastAsia" w:hAnsiTheme="minorEastAsia" w:hint="eastAsia"/>
            <w:noProof/>
          </w:rPr>
          <w:t>（一）基金转换开始日及时间</w:t>
        </w:r>
        <w:r>
          <w:rPr>
            <w:noProof/>
            <w:webHidden/>
          </w:rPr>
          <w:tab/>
        </w:r>
        <w:r>
          <w:rPr>
            <w:noProof/>
            <w:webHidden/>
          </w:rPr>
          <w:fldChar w:fldCharType="begin"/>
        </w:r>
        <w:r>
          <w:rPr>
            <w:noProof/>
            <w:webHidden/>
          </w:rPr>
          <w:instrText xml:space="preserve"> PAGEREF _Toc43301903 \h </w:instrText>
        </w:r>
        <w:r>
          <w:rPr>
            <w:noProof/>
            <w:webHidden/>
          </w:rPr>
        </w:r>
        <w:r>
          <w:rPr>
            <w:noProof/>
            <w:webHidden/>
          </w:rPr>
          <w:fldChar w:fldCharType="separate"/>
        </w:r>
        <w:r>
          <w:rPr>
            <w:noProof/>
            <w:webHidden/>
          </w:rPr>
          <w:t>100</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04" w:history="1">
        <w:r w:rsidRPr="00CC2DA1">
          <w:rPr>
            <w:rStyle w:val="a8"/>
            <w:rFonts w:asciiTheme="minorEastAsia" w:hAnsiTheme="minorEastAsia" w:hint="eastAsia"/>
            <w:noProof/>
          </w:rPr>
          <w:t>（二）基金转换的原则</w:t>
        </w:r>
        <w:r>
          <w:rPr>
            <w:noProof/>
            <w:webHidden/>
          </w:rPr>
          <w:tab/>
        </w:r>
        <w:r>
          <w:rPr>
            <w:noProof/>
            <w:webHidden/>
          </w:rPr>
          <w:fldChar w:fldCharType="begin"/>
        </w:r>
        <w:r>
          <w:rPr>
            <w:noProof/>
            <w:webHidden/>
          </w:rPr>
          <w:instrText xml:space="preserve"> PAGEREF _Toc43301904 \h </w:instrText>
        </w:r>
        <w:r>
          <w:rPr>
            <w:noProof/>
            <w:webHidden/>
          </w:rPr>
        </w:r>
        <w:r>
          <w:rPr>
            <w:noProof/>
            <w:webHidden/>
          </w:rPr>
          <w:fldChar w:fldCharType="separate"/>
        </w:r>
        <w:r>
          <w:rPr>
            <w:noProof/>
            <w:webHidden/>
          </w:rPr>
          <w:t>100</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05" w:history="1">
        <w:r w:rsidRPr="00CC2DA1">
          <w:rPr>
            <w:rStyle w:val="a8"/>
            <w:rFonts w:asciiTheme="minorEastAsia" w:hAnsiTheme="minorEastAsia" w:hint="eastAsia"/>
            <w:noProof/>
          </w:rPr>
          <w:t>（三）基金转换的程序</w:t>
        </w:r>
        <w:r>
          <w:rPr>
            <w:noProof/>
            <w:webHidden/>
          </w:rPr>
          <w:tab/>
        </w:r>
        <w:r>
          <w:rPr>
            <w:noProof/>
            <w:webHidden/>
          </w:rPr>
          <w:fldChar w:fldCharType="begin"/>
        </w:r>
        <w:r>
          <w:rPr>
            <w:noProof/>
            <w:webHidden/>
          </w:rPr>
          <w:instrText xml:space="preserve"> PAGEREF _Toc43301905 \h </w:instrText>
        </w:r>
        <w:r>
          <w:rPr>
            <w:noProof/>
            <w:webHidden/>
          </w:rPr>
        </w:r>
        <w:r>
          <w:rPr>
            <w:noProof/>
            <w:webHidden/>
          </w:rPr>
          <w:fldChar w:fldCharType="separate"/>
        </w:r>
        <w:r>
          <w:rPr>
            <w:noProof/>
            <w:webHidden/>
          </w:rPr>
          <w:t>100</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06" w:history="1">
        <w:r w:rsidRPr="00CC2DA1">
          <w:rPr>
            <w:rStyle w:val="a8"/>
            <w:rFonts w:asciiTheme="minorEastAsia" w:hAnsiTheme="minorEastAsia" w:hint="eastAsia"/>
            <w:noProof/>
          </w:rPr>
          <w:t>（四）基金转换的数额限制</w:t>
        </w:r>
        <w:r>
          <w:rPr>
            <w:noProof/>
            <w:webHidden/>
          </w:rPr>
          <w:tab/>
        </w:r>
        <w:r>
          <w:rPr>
            <w:noProof/>
            <w:webHidden/>
          </w:rPr>
          <w:fldChar w:fldCharType="begin"/>
        </w:r>
        <w:r>
          <w:rPr>
            <w:noProof/>
            <w:webHidden/>
          </w:rPr>
          <w:instrText xml:space="preserve"> PAGEREF _Toc43301906 \h </w:instrText>
        </w:r>
        <w:r>
          <w:rPr>
            <w:noProof/>
            <w:webHidden/>
          </w:rPr>
        </w:r>
        <w:r>
          <w:rPr>
            <w:noProof/>
            <w:webHidden/>
          </w:rPr>
          <w:fldChar w:fldCharType="separate"/>
        </w:r>
        <w:r>
          <w:rPr>
            <w:noProof/>
            <w:webHidden/>
          </w:rPr>
          <w:t>101</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07" w:history="1">
        <w:r w:rsidRPr="00CC2DA1">
          <w:rPr>
            <w:rStyle w:val="a8"/>
            <w:rFonts w:asciiTheme="minorEastAsia" w:hAnsiTheme="minorEastAsia" w:hint="eastAsia"/>
            <w:noProof/>
          </w:rPr>
          <w:t>（五）基金转换费率</w:t>
        </w:r>
        <w:r>
          <w:rPr>
            <w:noProof/>
            <w:webHidden/>
          </w:rPr>
          <w:tab/>
        </w:r>
        <w:r>
          <w:rPr>
            <w:noProof/>
            <w:webHidden/>
          </w:rPr>
          <w:fldChar w:fldCharType="begin"/>
        </w:r>
        <w:r>
          <w:rPr>
            <w:noProof/>
            <w:webHidden/>
          </w:rPr>
          <w:instrText xml:space="preserve"> PAGEREF _Toc43301907 \h </w:instrText>
        </w:r>
        <w:r>
          <w:rPr>
            <w:noProof/>
            <w:webHidden/>
          </w:rPr>
        </w:r>
        <w:r>
          <w:rPr>
            <w:noProof/>
            <w:webHidden/>
          </w:rPr>
          <w:fldChar w:fldCharType="separate"/>
        </w:r>
        <w:r>
          <w:rPr>
            <w:noProof/>
            <w:webHidden/>
          </w:rPr>
          <w:t>101</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08" w:history="1">
        <w:r w:rsidRPr="00CC2DA1">
          <w:rPr>
            <w:rStyle w:val="a8"/>
            <w:rFonts w:asciiTheme="minorEastAsia" w:hAnsiTheme="minorEastAsia" w:hint="eastAsia"/>
            <w:noProof/>
          </w:rPr>
          <w:t>（六）基金转换份额的计算方式</w:t>
        </w:r>
        <w:r>
          <w:rPr>
            <w:noProof/>
            <w:webHidden/>
          </w:rPr>
          <w:tab/>
        </w:r>
        <w:r>
          <w:rPr>
            <w:noProof/>
            <w:webHidden/>
          </w:rPr>
          <w:fldChar w:fldCharType="begin"/>
        </w:r>
        <w:r>
          <w:rPr>
            <w:noProof/>
            <w:webHidden/>
          </w:rPr>
          <w:instrText xml:space="preserve"> PAGEREF _Toc43301908 \h </w:instrText>
        </w:r>
        <w:r>
          <w:rPr>
            <w:noProof/>
            <w:webHidden/>
          </w:rPr>
        </w:r>
        <w:r>
          <w:rPr>
            <w:noProof/>
            <w:webHidden/>
          </w:rPr>
          <w:fldChar w:fldCharType="separate"/>
        </w:r>
        <w:r>
          <w:rPr>
            <w:noProof/>
            <w:webHidden/>
          </w:rPr>
          <w:t>101</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09" w:history="1">
        <w:r w:rsidRPr="00CC2DA1">
          <w:rPr>
            <w:rStyle w:val="a8"/>
            <w:rFonts w:asciiTheme="minorEastAsia" w:hAnsiTheme="minorEastAsia" w:hint="eastAsia"/>
            <w:noProof/>
          </w:rPr>
          <w:t>（七）基金转换的注册登记</w:t>
        </w:r>
        <w:r>
          <w:rPr>
            <w:noProof/>
            <w:webHidden/>
          </w:rPr>
          <w:tab/>
        </w:r>
        <w:r>
          <w:rPr>
            <w:noProof/>
            <w:webHidden/>
          </w:rPr>
          <w:fldChar w:fldCharType="begin"/>
        </w:r>
        <w:r>
          <w:rPr>
            <w:noProof/>
            <w:webHidden/>
          </w:rPr>
          <w:instrText xml:space="preserve"> PAGEREF _Toc43301909 \h </w:instrText>
        </w:r>
        <w:r>
          <w:rPr>
            <w:noProof/>
            <w:webHidden/>
          </w:rPr>
        </w:r>
        <w:r>
          <w:rPr>
            <w:noProof/>
            <w:webHidden/>
          </w:rPr>
          <w:fldChar w:fldCharType="separate"/>
        </w:r>
        <w:r>
          <w:rPr>
            <w:noProof/>
            <w:webHidden/>
          </w:rPr>
          <w:t>104</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10" w:history="1">
        <w:r w:rsidRPr="00CC2DA1">
          <w:rPr>
            <w:rStyle w:val="a8"/>
            <w:rFonts w:asciiTheme="minorEastAsia" w:hAnsiTheme="minorEastAsia" w:hint="eastAsia"/>
            <w:noProof/>
          </w:rPr>
          <w:t>（八）基金转换与巨额赎回</w:t>
        </w:r>
        <w:r>
          <w:rPr>
            <w:noProof/>
            <w:webHidden/>
          </w:rPr>
          <w:tab/>
        </w:r>
        <w:r>
          <w:rPr>
            <w:noProof/>
            <w:webHidden/>
          </w:rPr>
          <w:fldChar w:fldCharType="begin"/>
        </w:r>
        <w:r>
          <w:rPr>
            <w:noProof/>
            <w:webHidden/>
          </w:rPr>
          <w:instrText xml:space="preserve"> PAGEREF _Toc43301910 \h </w:instrText>
        </w:r>
        <w:r>
          <w:rPr>
            <w:noProof/>
            <w:webHidden/>
          </w:rPr>
        </w:r>
        <w:r>
          <w:rPr>
            <w:noProof/>
            <w:webHidden/>
          </w:rPr>
          <w:fldChar w:fldCharType="separate"/>
        </w:r>
        <w:r>
          <w:rPr>
            <w:noProof/>
            <w:webHidden/>
          </w:rPr>
          <w:t>104</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11" w:history="1">
        <w:r w:rsidRPr="00CC2DA1">
          <w:rPr>
            <w:rStyle w:val="a8"/>
            <w:rFonts w:asciiTheme="minorEastAsia" w:hAnsiTheme="minorEastAsia" w:hint="eastAsia"/>
            <w:noProof/>
          </w:rPr>
          <w:t>（九）暂停基金转换的情形</w:t>
        </w:r>
        <w:r>
          <w:rPr>
            <w:noProof/>
            <w:webHidden/>
          </w:rPr>
          <w:tab/>
        </w:r>
        <w:r>
          <w:rPr>
            <w:noProof/>
            <w:webHidden/>
          </w:rPr>
          <w:fldChar w:fldCharType="begin"/>
        </w:r>
        <w:r>
          <w:rPr>
            <w:noProof/>
            <w:webHidden/>
          </w:rPr>
          <w:instrText xml:space="preserve"> PAGEREF _Toc43301911 \h </w:instrText>
        </w:r>
        <w:r>
          <w:rPr>
            <w:noProof/>
            <w:webHidden/>
          </w:rPr>
        </w:r>
        <w:r>
          <w:rPr>
            <w:noProof/>
            <w:webHidden/>
          </w:rPr>
          <w:fldChar w:fldCharType="separate"/>
        </w:r>
        <w:r>
          <w:rPr>
            <w:noProof/>
            <w:webHidden/>
          </w:rPr>
          <w:t>104</w:t>
        </w:r>
        <w:r>
          <w:rPr>
            <w:noProof/>
            <w:webHidden/>
          </w:rPr>
          <w:fldChar w:fldCharType="end"/>
        </w:r>
      </w:hyperlink>
    </w:p>
    <w:p w:rsidR="009802E0" w:rsidRDefault="009802E0">
      <w:pPr>
        <w:pStyle w:val="10"/>
        <w:rPr>
          <w:rFonts w:asciiTheme="minorHAnsi" w:eastAsiaTheme="minorEastAsia" w:hAnsiTheme="minorHAnsi" w:cstheme="minorBidi"/>
          <w:caps w:val="0"/>
          <w:color w:val="auto"/>
          <w:sz w:val="21"/>
          <w:szCs w:val="22"/>
        </w:rPr>
      </w:pPr>
      <w:hyperlink w:anchor="_Toc43301912" w:history="1">
        <w:r w:rsidRPr="00CC2DA1">
          <w:rPr>
            <w:rStyle w:val="a8"/>
            <w:rFonts w:asciiTheme="minorEastAsia" w:hAnsiTheme="minorEastAsia" w:hint="eastAsia"/>
            <w:b/>
          </w:rPr>
          <w:t>十、基金的转托管、非交易过户、冻结与解冻</w:t>
        </w:r>
        <w:r>
          <w:rPr>
            <w:webHidden/>
          </w:rPr>
          <w:tab/>
        </w:r>
        <w:r>
          <w:rPr>
            <w:webHidden/>
          </w:rPr>
          <w:fldChar w:fldCharType="begin"/>
        </w:r>
        <w:r>
          <w:rPr>
            <w:webHidden/>
          </w:rPr>
          <w:instrText xml:space="preserve"> PAGEREF _Toc43301912 \h </w:instrText>
        </w:r>
        <w:r>
          <w:rPr>
            <w:webHidden/>
          </w:rPr>
        </w:r>
        <w:r>
          <w:rPr>
            <w:webHidden/>
          </w:rPr>
          <w:fldChar w:fldCharType="separate"/>
        </w:r>
        <w:r>
          <w:rPr>
            <w:webHidden/>
          </w:rPr>
          <w:t>106</w:t>
        </w:r>
        <w:r>
          <w:rPr>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13" w:history="1">
        <w:r w:rsidRPr="00CC2DA1">
          <w:rPr>
            <w:rStyle w:val="a8"/>
            <w:rFonts w:asciiTheme="minorEastAsia" w:hAnsiTheme="minorEastAsia" w:hint="eastAsia"/>
            <w:bCs/>
            <w:noProof/>
          </w:rPr>
          <w:t>（一）转托管</w:t>
        </w:r>
        <w:r>
          <w:rPr>
            <w:noProof/>
            <w:webHidden/>
          </w:rPr>
          <w:tab/>
        </w:r>
        <w:r>
          <w:rPr>
            <w:noProof/>
            <w:webHidden/>
          </w:rPr>
          <w:fldChar w:fldCharType="begin"/>
        </w:r>
        <w:r>
          <w:rPr>
            <w:noProof/>
            <w:webHidden/>
          </w:rPr>
          <w:instrText xml:space="preserve"> PAGEREF _Toc43301913 \h </w:instrText>
        </w:r>
        <w:r>
          <w:rPr>
            <w:noProof/>
            <w:webHidden/>
          </w:rPr>
        </w:r>
        <w:r>
          <w:rPr>
            <w:noProof/>
            <w:webHidden/>
          </w:rPr>
          <w:fldChar w:fldCharType="separate"/>
        </w:r>
        <w:r>
          <w:rPr>
            <w:noProof/>
            <w:webHidden/>
          </w:rPr>
          <w:t>106</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14" w:history="1">
        <w:r w:rsidRPr="00CC2DA1">
          <w:rPr>
            <w:rStyle w:val="a8"/>
            <w:rFonts w:asciiTheme="minorEastAsia" w:hAnsiTheme="minorEastAsia" w:hint="eastAsia"/>
            <w:bCs/>
            <w:noProof/>
          </w:rPr>
          <w:t>（二）基金的非交易过户</w:t>
        </w:r>
        <w:r>
          <w:rPr>
            <w:noProof/>
            <w:webHidden/>
          </w:rPr>
          <w:tab/>
        </w:r>
        <w:r>
          <w:rPr>
            <w:noProof/>
            <w:webHidden/>
          </w:rPr>
          <w:fldChar w:fldCharType="begin"/>
        </w:r>
        <w:r>
          <w:rPr>
            <w:noProof/>
            <w:webHidden/>
          </w:rPr>
          <w:instrText xml:space="preserve"> PAGEREF _Toc43301914 \h </w:instrText>
        </w:r>
        <w:r>
          <w:rPr>
            <w:noProof/>
            <w:webHidden/>
          </w:rPr>
        </w:r>
        <w:r>
          <w:rPr>
            <w:noProof/>
            <w:webHidden/>
          </w:rPr>
          <w:fldChar w:fldCharType="separate"/>
        </w:r>
        <w:r>
          <w:rPr>
            <w:noProof/>
            <w:webHidden/>
          </w:rPr>
          <w:t>106</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15" w:history="1">
        <w:r w:rsidRPr="00CC2DA1">
          <w:rPr>
            <w:rStyle w:val="a8"/>
            <w:rFonts w:asciiTheme="minorEastAsia" w:hAnsiTheme="minorEastAsia" w:hint="eastAsia"/>
            <w:bCs/>
            <w:noProof/>
          </w:rPr>
          <w:t>（三）基金的冻结与解冻</w:t>
        </w:r>
        <w:r>
          <w:rPr>
            <w:noProof/>
            <w:webHidden/>
          </w:rPr>
          <w:tab/>
        </w:r>
        <w:r>
          <w:rPr>
            <w:noProof/>
            <w:webHidden/>
          </w:rPr>
          <w:fldChar w:fldCharType="begin"/>
        </w:r>
        <w:r>
          <w:rPr>
            <w:noProof/>
            <w:webHidden/>
          </w:rPr>
          <w:instrText xml:space="preserve"> PAGEREF _Toc43301915 \h </w:instrText>
        </w:r>
        <w:r>
          <w:rPr>
            <w:noProof/>
            <w:webHidden/>
          </w:rPr>
        </w:r>
        <w:r>
          <w:rPr>
            <w:noProof/>
            <w:webHidden/>
          </w:rPr>
          <w:fldChar w:fldCharType="separate"/>
        </w:r>
        <w:r>
          <w:rPr>
            <w:noProof/>
            <w:webHidden/>
          </w:rPr>
          <w:t>106</w:t>
        </w:r>
        <w:r>
          <w:rPr>
            <w:noProof/>
            <w:webHidden/>
          </w:rPr>
          <w:fldChar w:fldCharType="end"/>
        </w:r>
      </w:hyperlink>
    </w:p>
    <w:p w:rsidR="009802E0" w:rsidRDefault="009802E0">
      <w:pPr>
        <w:pStyle w:val="10"/>
        <w:rPr>
          <w:rFonts w:asciiTheme="minorHAnsi" w:eastAsiaTheme="minorEastAsia" w:hAnsiTheme="minorHAnsi" w:cstheme="minorBidi"/>
          <w:caps w:val="0"/>
          <w:color w:val="auto"/>
          <w:sz w:val="21"/>
          <w:szCs w:val="22"/>
        </w:rPr>
      </w:pPr>
      <w:hyperlink w:anchor="_Toc43301916" w:history="1">
        <w:r w:rsidRPr="00CC2DA1">
          <w:rPr>
            <w:rStyle w:val="a8"/>
            <w:rFonts w:asciiTheme="minorEastAsia" w:hAnsiTheme="minorEastAsia" w:hint="eastAsia"/>
            <w:b/>
          </w:rPr>
          <w:t>十一、基金的投资</w:t>
        </w:r>
        <w:r>
          <w:rPr>
            <w:webHidden/>
          </w:rPr>
          <w:tab/>
        </w:r>
        <w:r>
          <w:rPr>
            <w:webHidden/>
          </w:rPr>
          <w:fldChar w:fldCharType="begin"/>
        </w:r>
        <w:r>
          <w:rPr>
            <w:webHidden/>
          </w:rPr>
          <w:instrText xml:space="preserve"> PAGEREF _Toc43301916 \h </w:instrText>
        </w:r>
        <w:r>
          <w:rPr>
            <w:webHidden/>
          </w:rPr>
        </w:r>
        <w:r>
          <w:rPr>
            <w:webHidden/>
          </w:rPr>
          <w:fldChar w:fldCharType="separate"/>
        </w:r>
        <w:r>
          <w:rPr>
            <w:webHidden/>
          </w:rPr>
          <w:t>107</w:t>
        </w:r>
        <w:r>
          <w:rPr>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17" w:history="1">
        <w:r w:rsidRPr="00CC2DA1">
          <w:rPr>
            <w:rStyle w:val="a8"/>
            <w:rFonts w:asciiTheme="minorEastAsia" w:hAnsiTheme="minorEastAsia" w:hint="eastAsia"/>
            <w:noProof/>
          </w:rPr>
          <w:t>（一）投资目标</w:t>
        </w:r>
        <w:r>
          <w:rPr>
            <w:noProof/>
            <w:webHidden/>
          </w:rPr>
          <w:tab/>
        </w:r>
        <w:r>
          <w:rPr>
            <w:noProof/>
            <w:webHidden/>
          </w:rPr>
          <w:fldChar w:fldCharType="begin"/>
        </w:r>
        <w:r>
          <w:rPr>
            <w:noProof/>
            <w:webHidden/>
          </w:rPr>
          <w:instrText xml:space="preserve"> PAGEREF _Toc43301917 \h </w:instrText>
        </w:r>
        <w:r>
          <w:rPr>
            <w:noProof/>
            <w:webHidden/>
          </w:rPr>
        </w:r>
        <w:r>
          <w:rPr>
            <w:noProof/>
            <w:webHidden/>
          </w:rPr>
          <w:fldChar w:fldCharType="separate"/>
        </w:r>
        <w:r>
          <w:rPr>
            <w:noProof/>
            <w:webHidden/>
          </w:rPr>
          <w:t>107</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18" w:history="1">
        <w:r w:rsidRPr="00CC2DA1">
          <w:rPr>
            <w:rStyle w:val="a8"/>
            <w:rFonts w:asciiTheme="minorEastAsia" w:hAnsiTheme="minorEastAsia" w:hint="eastAsia"/>
            <w:noProof/>
          </w:rPr>
          <w:t>（二）投资理念</w:t>
        </w:r>
        <w:r>
          <w:rPr>
            <w:noProof/>
            <w:webHidden/>
          </w:rPr>
          <w:tab/>
        </w:r>
        <w:r>
          <w:rPr>
            <w:noProof/>
            <w:webHidden/>
          </w:rPr>
          <w:fldChar w:fldCharType="begin"/>
        </w:r>
        <w:r>
          <w:rPr>
            <w:noProof/>
            <w:webHidden/>
          </w:rPr>
          <w:instrText xml:space="preserve"> PAGEREF _Toc43301918 \h </w:instrText>
        </w:r>
        <w:r>
          <w:rPr>
            <w:noProof/>
            <w:webHidden/>
          </w:rPr>
        </w:r>
        <w:r>
          <w:rPr>
            <w:noProof/>
            <w:webHidden/>
          </w:rPr>
          <w:fldChar w:fldCharType="separate"/>
        </w:r>
        <w:r>
          <w:rPr>
            <w:noProof/>
            <w:webHidden/>
          </w:rPr>
          <w:t>107</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19" w:history="1">
        <w:r w:rsidRPr="00CC2DA1">
          <w:rPr>
            <w:rStyle w:val="a8"/>
            <w:rFonts w:asciiTheme="minorEastAsia" w:hAnsiTheme="minorEastAsia" w:hint="eastAsia"/>
            <w:noProof/>
          </w:rPr>
          <w:t>（三）投资范围</w:t>
        </w:r>
        <w:r>
          <w:rPr>
            <w:noProof/>
            <w:webHidden/>
          </w:rPr>
          <w:tab/>
        </w:r>
        <w:r>
          <w:rPr>
            <w:noProof/>
            <w:webHidden/>
          </w:rPr>
          <w:fldChar w:fldCharType="begin"/>
        </w:r>
        <w:r>
          <w:rPr>
            <w:noProof/>
            <w:webHidden/>
          </w:rPr>
          <w:instrText xml:space="preserve"> PAGEREF _Toc43301919 \h </w:instrText>
        </w:r>
        <w:r>
          <w:rPr>
            <w:noProof/>
            <w:webHidden/>
          </w:rPr>
        </w:r>
        <w:r>
          <w:rPr>
            <w:noProof/>
            <w:webHidden/>
          </w:rPr>
          <w:fldChar w:fldCharType="separate"/>
        </w:r>
        <w:r>
          <w:rPr>
            <w:noProof/>
            <w:webHidden/>
          </w:rPr>
          <w:t>107</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20" w:history="1">
        <w:r w:rsidRPr="00CC2DA1">
          <w:rPr>
            <w:rStyle w:val="a8"/>
            <w:rFonts w:asciiTheme="minorEastAsia" w:hAnsiTheme="minorEastAsia" w:hint="eastAsia"/>
            <w:noProof/>
          </w:rPr>
          <w:t>（四）投资策略</w:t>
        </w:r>
        <w:r>
          <w:rPr>
            <w:noProof/>
            <w:webHidden/>
          </w:rPr>
          <w:tab/>
        </w:r>
        <w:r>
          <w:rPr>
            <w:noProof/>
            <w:webHidden/>
          </w:rPr>
          <w:fldChar w:fldCharType="begin"/>
        </w:r>
        <w:r>
          <w:rPr>
            <w:noProof/>
            <w:webHidden/>
          </w:rPr>
          <w:instrText xml:space="preserve"> PAGEREF _Toc43301920 \h </w:instrText>
        </w:r>
        <w:r>
          <w:rPr>
            <w:noProof/>
            <w:webHidden/>
          </w:rPr>
        </w:r>
        <w:r>
          <w:rPr>
            <w:noProof/>
            <w:webHidden/>
          </w:rPr>
          <w:fldChar w:fldCharType="separate"/>
        </w:r>
        <w:r>
          <w:rPr>
            <w:noProof/>
            <w:webHidden/>
          </w:rPr>
          <w:t>107</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21" w:history="1">
        <w:r w:rsidRPr="00CC2DA1">
          <w:rPr>
            <w:rStyle w:val="a8"/>
            <w:rFonts w:asciiTheme="minorEastAsia" w:hAnsiTheme="minorEastAsia" w:hint="eastAsia"/>
            <w:noProof/>
          </w:rPr>
          <w:t>（五）业绩比较基准</w:t>
        </w:r>
        <w:r>
          <w:rPr>
            <w:noProof/>
            <w:webHidden/>
          </w:rPr>
          <w:tab/>
        </w:r>
        <w:r>
          <w:rPr>
            <w:noProof/>
            <w:webHidden/>
          </w:rPr>
          <w:fldChar w:fldCharType="begin"/>
        </w:r>
        <w:r>
          <w:rPr>
            <w:noProof/>
            <w:webHidden/>
          </w:rPr>
          <w:instrText xml:space="preserve"> PAGEREF _Toc43301921 \h </w:instrText>
        </w:r>
        <w:r>
          <w:rPr>
            <w:noProof/>
            <w:webHidden/>
          </w:rPr>
        </w:r>
        <w:r>
          <w:rPr>
            <w:noProof/>
            <w:webHidden/>
          </w:rPr>
          <w:fldChar w:fldCharType="separate"/>
        </w:r>
        <w:r>
          <w:rPr>
            <w:noProof/>
            <w:webHidden/>
          </w:rPr>
          <w:t>110</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22" w:history="1">
        <w:r w:rsidRPr="00CC2DA1">
          <w:rPr>
            <w:rStyle w:val="a8"/>
            <w:rFonts w:asciiTheme="minorEastAsia" w:hAnsiTheme="minorEastAsia" w:hint="eastAsia"/>
            <w:noProof/>
          </w:rPr>
          <w:t>（六）风险收益特征</w:t>
        </w:r>
        <w:r>
          <w:rPr>
            <w:noProof/>
            <w:webHidden/>
          </w:rPr>
          <w:tab/>
        </w:r>
        <w:r>
          <w:rPr>
            <w:noProof/>
            <w:webHidden/>
          </w:rPr>
          <w:fldChar w:fldCharType="begin"/>
        </w:r>
        <w:r>
          <w:rPr>
            <w:noProof/>
            <w:webHidden/>
          </w:rPr>
          <w:instrText xml:space="preserve"> PAGEREF _Toc43301922 \h </w:instrText>
        </w:r>
        <w:r>
          <w:rPr>
            <w:noProof/>
            <w:webHidden/>
          </w:rPr>
        </w:r>
        <w:r>
          <w:rPr>
            <w:noProof/>
            <w:webHidden/>
          </w:rPr>
          <w:fldChar w:fldCharType="separate"/>
        </w:r>
        <w:r>
          <w:rPr>
            <w:noProof/>
            <w:webHidden/>
          </w:rPr>
          <w:t>111</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23" w:history="1">
        <w:r w:rsidRPr="00CC2DA1">
          <w:rPr>
            <w:rStyle w:val="a8"/>
            <w:rFonts w:asciiTheme="minorEastAsia" w:hAnsiTheme="minorEastAsia" w:hint="eastAsia"/>
            <w:noProof/>
          </w:rPr>
          <w:t>（七）投资决策</w:t>
        </w:r>
        <w:r>
          <w:rPr>
            <w:noProof/>
            <w:webHidden/>
          </w:rPr>
          <w:tab/>
        </w:r>
        <w:r>
          <w:rPr>
            <w:noProof/>
            <w:webHidden/>
          </w:rPr>
          <w:fldChar w:fldCharType="begin"/>
        </w:r>
        <w:r>
          <w:rPr>
            <w:noProof/>
            <w:webHidden/>
          </w:rPr>
          <w:instrText xml:space="preserve"> PAGEREF _Toc43301923 \h </w:instrText>
        </w:r>
        <w:r>
          <w:rPr>
            <w:noProof/>
            <w:webHidden/>
          </w:rPr>
        </w:r>
        <w:r>
          <w:rPr>
            <w:noProof/>
            <w:webHidden/>
          </w:rPr>
          <w:fldChar w:fldCharType="separate"/>
        </w:r>
        <w:r>
          <w:rPr>
            <w:noProof/>
            <w:webHidden/>
          </w:rPr>
          <w:t>111</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24" w:history="1">
        <w:r w:rsidRPr="00CC2DA1">
          <w:rPr>
            <w:rStyle w:val="a8"/>
            <w:rFonts w:asciiTheme="minorEastAsia" w:hAnsiTheme="minorEastAsia" w:hint="eastAsia"/>
            <w:noProof/>
          </w:rPr>
          <w:t>（八）投资禁止行为与限制</w:t>
        </w:r>
        <w:r>
          <w:rPr>
            <w:noProof/>
            <w:webHidden/>
          </w:rPr>
          <w:tab/>
        </w:r>
        <w:r>
          <w:rPr>
            <w:noProof/>
            <w:webHidden/>
          </w:rPr>
          <w:fldChar w:fldCharType="begin"/>
        </w:r>
        <w:r>
          <w:rPr>
            <w:noProof/>
            <w:webHidden/>
          </w:rPr>
          <w:instrText xml:space="preserve"> PAGEREF _Toc43301924 \h </w:instrText>
        </w:r>
        <w:r>
          <w:rPr>
            <w:noProof/>
            <w:webHidden/>
          </w:rPr>
        </w:r>
        <w:r>
          <w:rPr>
            <w:noProof/>
            <w:webHidden/>
          </w:rPr>
          <w:fldChar w:fldCharType="separate"/>
        </w:r>
        <w:r>
          <w:rPr>
            <w:noProof/>
            <w:webHidden/>
          </w:rPr>
          <w:t>111</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25" w:history="1">
        <w:r w:rsidRPr="00CC2DA1">
          <w:rPr>
            <w:rStyle w:val="a8"/>
            <w:rFonts w:asciiTheme="minorEastAsia" w:hAnsiTheme="minorEastAsia" w:hint="eastAsia"/>
            <w:noProof/>
          </w:rPr>
          <w:t>（九）投资组合比例调整</w:t>
        </w:r>
        <w:r>
          <w:rPr>
            <w:noProof/>
            <w:webHidden/>
          </w:rPr>
          <w:tab/>
        </w:r>
        <w:r>
          <w:rPr>
            <w:noProof/>
            <w:webHidden/>
          </w:rPr>
          <w:fldChar w:fldCharType="begin"/>
        </w:r>
        <w:r>
          <w:rPr>
            <w:noProof/>
            <w:webHidden/>
          </w:rPr>
          <w:instrText xml:space="preserve"> PAGEREF _Toc43301925 \h </w:instrText>
        </w:r>
        <w:r>
          <w:rPr>
            <w:noProof/>
            <w:webHidden/>
          </w:rPr>
        </w:r>
        <w:r>
          <w:rPr>
            <w:noProof/>
            <w:webHidden/>
          </w:rPr>
          <w:fldChar w:fldCharType="separate"/>
        </w:r>
        <w:r>
          <w:rPr>
            <w:noProof/>
            <w:webHidden/>
          </w:rPr>
          <w:t>113</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26" w:history="1">
        <w:r w:rsidRPr="00CC2DA1">
          <w:rPr>
            <w:rStyle w:val="a8"/>
            <w:rFonts w:asciiTheme="minorEastAsia" w:hAnsiTheme="minorEastAsia" w:hint="eastAsia"/>
            <w:noProof/>
            <w:kern w:val="0"/>
          </w:rPr>
          <w:t>（十）基金的融资、融券</w:t>
        </w:r>
        <w:r>
          <w:rPr>
            <w:noProof/>
            <w:webHidden/>
          </w:rPr>
          <w:tab/>
        </w:r>
        <w:r>
          <w:rPr>
            <w:noProof/>
            <w:webHidden/>
          </w:rPr>
          <w:fldChar w:fldCharType="begin"/>
        </w:r>
        <w:r>
          <w:rPr>
            <w:noProof/>
            <w:webHidden/>
          </w:rPr>
          <w:instrText xml:space="preserve"> PAGEREF _Toc43301926 \h </w:instrText>
        </w:r>
        <w:r>
          <w:rPr>
            <w:noProof/>
            <w:webHidden/>
          </w:rPr>
        </w:r>
        <w:r>
          <w:rPr>
            <w:noProof/>
            <w:webHidden/>
          </w:rPr>
          <w:fldChar w:fldCharType="separate"/>
        </w:r>
        <w:r>
          <w:rPr>
            <w:noProof/>
            <w:webHidden/>
          </w:rPr>
          <w:t>113</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27" w:history="1">
        <w:r w:rsidRPr="00CC2DA1">
          <w:rPr>
            <w:rStyle w:val="a8"/>
            <w:rFonts w:asciiTheme="minorEastAsia" w:hAnsiTheme="minorEastAsia" w:hint="eastAsia"/>
            <w:noProof/>
          </w:rPr>
          <w:t>（十一）基金管理人代表基金行使所投资证券产生权利的处理原则及方法</w:t>
        </w:r>
        <w:r>
          <w:rPr>
            <w:noProof/>
            <w:webHidden/>
          </w:rPr>
          <w:tab/>
        </w:r>
        <w:r>
          <w:rPr>
            <w:noProof/>
            <w:webHidden/>
          </w:rPr>
          <w:fldChar w:fldCharType="begin"/>
        </w:r>
        <w:r>
          <w:rPr>
            <w:noProof/>
            <w:webHidden/>
          </w:rPr>
          <w:instrText xml:space="preserve"> PAGEREF _Toc43301927 \h </w:instrText>
        </w:r>
        <w:r>
          <w:rPr>
            <w:noProof/>
            <w:webHidden/>
          </w:rPr>
        </w:r>
        <w:r>
          <w:rPr>
            <w:noProof/>
            <w:webHidden/>
          </w:rPr>
          <w:fldChar w:fldCharType="separate"/>
        </w:r>
        <w:r>
          <w:rPr>
            <w:noProof/>
            <w:webHidden/>
          </w:rPr>
          <w:t>113</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28" w:history="1">
        <w:r w:rsidRPr="00CC2DA1">
          <w:rPr>
            <w:rStyle w:val="a8"/>
            <w:rFonts w:asciiTheme="minorEastAsia" w:hAnsiTheme="minorEastAsia" w:hint="eastAsia"/>
            <w:noProof/>
          </w:rPr>
          <w:t>（十二）基金投资组合报告（未经审计）</w:t>
        </w:r>
        <w:r>
          <w:rPr>
            <w:noProof/>
            <w:webHidden/>
          </w:rPr>
          <w:tab/>
        </w:r>
        <w:r>
          <w:rPr>
            <w:noProof/>
            <w:webHidden/>
          </w:rPr>
          <w:fldChar w:fldCharType="begin"/>
        </w:r>
        <w:r>
          <w:rPr>
            <w:noProof/>
            <w:webHidden/>
          </w:rPr>
          <w:instrText xml:space="preserve"> PAGEREF _Toc43301928 \h </w:instrText>
        </w:r>
        <w:r>
          <w:rPr>
            <w:noProof/>
            <w:webHidden/>
          </w:rPr>
        </w:r>
        <w:r>
          <w:rPr>
            <w:noProof/>
            <w:webHidden/>
          </w:rPr>
          <w:fldChar w:fldCharType="separate"/>
        </w:r>
        <w:r>
          <w:rPr>
            <w:noProof/>
            <w:webHidden/>
          </w:rPr>
          <w:t>113</w:t>
        </w:r>
        <w:r>
          <w:rPr>
            <w:noProof/>
            <w:webHidden/>
          </w:rPr>
          <w:fldChar w:fldCharType="end"/>
        </w:r>
      </w:hyperlink>
    </w:p>
    <w:p w:rsidR="009802E0" w:rsidRDefault="009802E0">
      <w:pPr>
        <w:pStyle w:val="10"/>
        <w:rPr>
          <w:rFonts w:asciiTheme="minorHAnsi" w:eastAsiaTheme="minorEastAsia" w:hAnsiTheme="minorHAnsi" w:cstheme="minorBidi"/>
          <w:caps w:val="0"/>
          <w:color w:val="auto"/>
          <w:sz w:val="21"/>
          <w:szCs w:val="22"/>
        </w:rPr>
      </w:pPr>
      <w:hyperlink w:anchor="_Toc43301929" w:history="1">
        <w:r w:rsidRPr="00CC2DA1">
          <w:rPr>
            <w:rStyle w:val="a8"/>
            <w:rFonts w:asciiTheme="minorEastAsia" w:hAnsiTheme="minorEastAsia" w:hint="eastAsia"/>
            <w:b/>
          </w:rPr>
          <w:t>十二、基金的业绩</w:t>
        </w:r>
        <w:r>
          <w:rPr>
            <w:webHidden/>
          </w:rPr>
          <w:tab/>
        </w:r>
        <w:r>
          <w:rPr>
            <w:webHidden/>
          </w:rPr>
          <w:fldChar w:fldCharType="begin"/>
        </w:r>
        <w:r>
          <w:rPr>
            <w:webHidden/>
          </w:rPr>
          <w:instrText xml:space="preserve"> PAGEREF _Toc43301929 \h </w:instrText>
        </w:r>
        <w:r>
          <w:rPr>
            <w:webHidden/>
          </w:rPr>
        </w:r>
        <w:r>
          <w:rPr>
            <w:webHidden/>
          </w:rPr>
          <w:fldChar w:fldCharType="separate"/>
        </w:r>
        <w:r>
          <w:rPr>
            <w:webHidden/>
          </w:rPr>
          <w:t>119</w:t>
        </w:r>
        <w:r>
          <w:rPr>
            <w:webHidden/>
          </w:rPr>
          <w:fldChar w:fldCharType="end"/>
        </w:r>
      </w:hyperlink>
    </w:p>
    <w:p w:rsidR="009802E0" w:rsidRDefault="009802E0">
      <w:pPr>
        <w:pStyle w:val="10"/>
        <w:rPr>
          <w:rFonts w:asciiTheme="minorHAnsi" w:eastAsiaTheme="minorEastAsia" w:hAnsiTheme="minorHAnsi" w:cstheme="minorBidi"/>
          <w:caps w:val="0"/>
          <w:color w:val="auto"/>
          <w:sz w:val="21"/>
          <w:szCs w:val="22"/>
        </w:rPr>
      </w:pPr>
      <w:hyperlink w:anchor="_Toc43301930" w:history="1">
        <w:r w:rsidRPr="00CC2DA1">
          <w:rPr>
            <w:rStyle w:val="a8"/>
            <w:rFonts w:asciiTheme="minorEastAsia" w:hAnsiTheme="minorEastAsia" w:hint="eastAsia"/>
            <w:b/>
          </w:rPr>
          <w:t>十三、基金的财产</w:t>
        </w:r>
        <w:r>
          <w:rPr>
            <w:webHidden/>
          </w:rPr>
          <w:tab/>
        </w:r>
        <w:r>
          <w:rPr>
            <w:webHidden/>
          </w:rPr>
          <w:fldChar w:fldCharType="begin"/>
        </w:r>
        <w:r>
          <w:rPr>
            <w:webHidden/>
          </w:rPr>
          <w:instrText xml:space="preserve"> PAGEREF _Toc43301930 \h </w:instrText>
        </w:r>
        <w:r>
          <w:rPr>
            <w:webHidden/>
          </w:rPr>
        </w:r>
        <w:r>
          <w:rPr>
            <w:webHidden/>
          </w:rPr>
          <w:fldChar w:fldCharType="separate"/>
        </w:r>
        <w:r>
          <w:rPr>
            <w:webHidden/>
          </w:rPr>
          <w:t>121</w:t>
        </w:r>
        <w:r>
          <w:rPr>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31" w:history="1">
        <w:r w:rsidRPr="00CC2DA1">
          <w:rPr>
            <w:rStyle w:val="a8"/>
            <w:rFonts w:asciiTheme="minorEastAsia" w:hAnsiTheme="minorEastAsia" w:hint="eastAsia"/>
            <w:noProof/>
          </w:rPr>
          <w:t>（一）基金资产总值</w:t>
        </w:r>
        <w:r>
          <w:rPr>
            <w:noProof/>
            <w:webHidden/>
          </w:rPr>
          <w:tab/>
        </w:r>
        <w:r>
          <w:rPr>
            <w:noProof/>
            <w:webHidden/>
          </w:rPr>
          <w:fldChar w:fldCharType="begin"/>
        </w:r>
        <w:r>
          <w:rPr>
            <w:noProof/>
            <w:webHidden/>
          </w:rPr>
          <w:instrText xml:space="preserve"> PAGEREF _Toc43301931 \h </w:instrText>
        </w:r>
        <w:r>
          <w:rPr>
            <w:noProof/>
            <w:webHidden/>
          </w:rPr>
        </w:r>
        <w:r>
          <w:rPr>
            <w:noProof/>
            <w:webHidden/>
          </w:rPr>
          <w:fldChar w:fldCharType="separate"/>
        </w:r>
        <w:r>
          <w:rPr>
            <w:noProof/>
            <w:webHidden/>
          </w:rPr>
          <w:t>121</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32" w:history="1">
        <w:r w:rsidRPr="00CC2DA1">
          <w:rPr>
            <w:rStyle w:val="a8"/>
            <w:rFonts w:asciiTheme="minorEastAsia" w:hAnsiTheme="minorEastAsia" w:hint="eastAsia"/>
            <w:noProof/>
          </w:rPr>
          <w:t>（二）基金资产净值</w:t>
        </w:r>
        <w:r>
          <w:rPr>
            <w:noProof/>
            <w:webHidden/>
          </w:rPr>
          <w:tab/>
        </w:r>
        <w:r>
          <w:rPr>
            <w:noProof/>
            <w:webHidden/>
          </w:rPr>
          <w:fldChar w:fldCharType="begin"/>
        </w:r>
        <w:r>
          <w:rPr>
            <w:noProof/>
            <w:webHidden/>
          </w:rPr>
          <w:instrText xml:space="preserve"> PAGEREF _Toc43301932 \h </w:instrText>
        </w:r>
        <w:r>
          <w:rPr>
            <w:noProof/>
            <w:webHidden/>
          </w:rPr>
        </w:r>
        <w:r>
          <w:rPr>
            <w:noProof/>
            <w:webHidden/>
          </w:rPr>
          <w:fldChar w:fldCharType="separate"/>
        </w:r>
        <w:r>
          <w:rPr>
            <w:noProof/>
            <w:webHidden/>
          </w:rPr>
          <w:t>121</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33" w:history="1">
        <w:r w:rsidRPr="00CC2DA1">
          <w:rPr>
            <w:rStyle w:val="a8"/>
            <w:rFonts w:asciiTheme="minorEastAsia" w:hAnsiTheme="minorEastAsia" w:hint="eastAsia"/>
            <w:noProof/>
          </w:rPr>
          <w:t>（三）基金财产的账户</w:t>
        </w:r>
        <w:r>
          <w:rPr>
            <w:noProof/>
            <w:webHidden/>
          </w:rPr>
          <w:tab/>
        </w:r>
        <w:r>
          <w:rPr>
            <w:noProof/>
            <w:webHidden/>
          </w:rPr>
          <w:fldChar w:fldCharType="begin"/>
        </w:r>
        <w:r>
          <w:rPr>
            <w:noProof/>
            <w:webHidden/>
          </w:rPr>
          <w:instrText xml:space="preserve"> PAGEREF _Toc43301933 \h </w:instrText>
        </w:r>
        <w:r>
          <w:rPr>
            <w:noProof/>
            <w:webHidden/>
          </w:rPr>
        </w:r>
        <w:r>
          <w:rPr>
            <w:noProof/>
            <w:webHidden/>
          </w:rPr>
          <w:fldChar w:fldCharType="separate"/>
        </w:r>
        <w:r>
          <w:rPr>
            <w:noProof/>
            <w:webHidden/>
          </w:rPr>
          <w:t>121</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34" w:history="1">
        <w:r w:rsidRPr="00CC2DA1">
          <w:rPr>
            <w:rStyle w:val="a8"/>
            <w:rFonts w:asciiTheme="minorEastAsia" w:hAnsiTheme="minorEastAsia" w:hint="eastAsia"/>
            <w:noProof/>
          </w:rPr>
          <w:t>（四）基金财产的保管和处分</w:t>
        </w:r>
        <w:r>
          <w:rPr>
            <w:noProof/>
            <w:webHidden/>
          </w:rPr>
          <w:tab/>
        </w:r>
        <w:r>
          <w:rPr>
            <w:noProof/>
            <w:webHidden/>
          </w:rPr>
          <w:fldChar w:fldCharType="begin"/>
        </w:r>
        <w:r>
          <w:rPr>
            <w:noProof/>
            <w:webHidden/>
          </w:rPr>
          <w:instrText xml:space="preserve"> PAGEREF _Toc43301934 \h </w:instrText>
        </w:r>
        <w:r>
          <w:rPr>
            <w:noProof/>
            <w:webHidden/>
          </w:rPr>
        </w:r>
        <w:r>
          <w:rPr>
            <w:noProof/>
            <w:webHidden/>
          </w:rPr>
          <w:fldChar w:fldCharType="separate"/>
        </w:r>
        <w:r>
          <w:rPr>
            <w:noProof/>
            <w:webHidden/>
          </w:rPr>
          <w:t>121</w:t>
        </w:r>
        <w:r>
          <w:rPr>
            <w:noProof/>
            <w:webHidden/>
          </w:rPr>
          <w:fldChar w:fldCharType="end"/>
        </w:r>
      </w:hyperlink>
    </w:p>
    <w:p w:rsidR="009802E0" w:rsidRDefault="009802E0">
      <w:pPr>
        <w:pStyle w:val="10"/>
        <w:rPr>
          <w:rFonts w:asciiTheme="minorHAnsi" w:eastAsiaTheme="minorEastAsia" w:hAnsiTheme="minorHAnsi" w:cstheme="minorBidi"/>
          <w:caps w:val="0"/>
          <w:color w:val="auto"/>
          <w:sz w:val="21"/>
          <w:szCs w:val="22"/>
        </w:rPr>
      </w:pPr>
      <w:hyperlink w:anchor="_Toc43301935" w:history="1">
        <w:r w:rsidRPr="00CC2DA1">
          <w:rPr>
            <w:rStyle w:val="a8"/>
            <w:rFonts w:asciiTheme="minorEastAsia" w:hAnsiTheme="minorEastAsia" w:hint="eastAsia"/>
            <w:b/>
          </w:rPr>
          <w:t>十四、基金资产的估值</w:t>
        </w:r>
        <w:r>
          <w:rPr>
            <w:webHidden/>
          </w:rPr>
          <w:tab/>
        </w:r>
        <w:r>
          <w:rPr>
            <w:webHidden/>
          </w:rPr>
          <w:fldChar w:fldCharType="begin"/>
        </w:r>
        <w:r>
          <w:rPr>
            <w:webHidden/>
          </w:rPr>
          <w:instrText xml:space="preserve"> PAGEREF _Toc43301935 \h </w:instrText>
        </w:r>
        <w:r>
          <w:rPr>
            <w:webHidden/>
          </w:rPr>
        </w:r>
        <w:r>
          <w:rPr>
            <w:webHidden/>
          </w:rPr>
          <w:fldChar w:fldCharType="separate"/>
        </w:r>
        <w:r>
          <w:rPr>
            <w:webHidden/>
          </w:rPr>
          <w:t>122</w:t>
        </w:r>
        <w:r>
          <w:rPr>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36" w:history="1">
        <w:r w:rsidRPr="00CC2DA1">
          <w:rPr>
            <w:rStyle w:val="a8"/>
            <w:rFonts w:asciiTheme="minorEastAsia" w:hAnsiTheme="minorEastAsia" w:hint="eastAsia"/>
            <w:noProof/>
          </w:rPr>
          <w:t>（一）估值目的</w:t>
        </w:r>
        <w:r>
          <w:rPr>
            <w:noProof/>
            <w:webHidden/>
          </w:rPr>
          <w:tab/>
        </w:r>
        <w:r>
          <w:rPr>
            <w:noProof/>
            <w:webHidden/>
          </w:rPr>
          <w:fldChar w:fldCharType="begin"/>
        </w:r>
        <w:r>
          <w:rPr>
            <w:noProof/>
            <w:webHidden/>
          </w:rPr>
          <w:instrText xml:space="preserve"> PAGEREF _Toc43301936 \h </w:instrText>
        </w:r>
        <w:r>
          <w:rPr>
            <w:noProof/>
            <w:webHidden/>
          </w:rPr>
        </w:r>
        <w:r>
          <w:rPr>
            <w:noProof/>
            <w:webHidden/>
          </w:rPr>
          <w:fldChar w:fldCharType="separate"/>
        </w:r>
        <w:r>
          <w:rPr>
            <w:noProof/>
            <w:webHidden/>
          </w:rPr>
          <w:t>122</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37" w:history="1">
        <w:r w:rsidRPr="00CC2DA1">
          <w:rPr>
            <w:rStyle w:val="a8"/>
            <w:rFonts w:asciiTheme="minorEastAsia" w:hAnsiTheme="minorEastAsia" w:hint="eastAsia"/>
            <w:noProof/>
          </w:rPr>
          <w:t>（二）估值日</w:t>
        </w:r>
        <w:r>
          <w:rPr>
            <w:noProof/>
            <w:webHidden/>
          </w:rPr>
          <w:tab/>
        </w:r>
        <w:r>
          <w:rPr>
            <w:noProof/>
            <w:webHidden/>
          </w:rPr>
          <w:fldChar w:fldCharType="begin"/>
        </w:r>
        <w:r>
          <w:rPr>
            <w:noProof/>
            <w:webHidden/>
          </w:rPr>
          <w:instrText xml:space="preserve"> PAGEREF _Toc43301937 \h </w:instrText>
        </w:r>
        <w:r>
          <w:rPr>
            <w:noProof/>
            <w:webHidden/>
          </w:rPr>
        </w:r>
        <w:r>
          <w:rPr>
            <w:noProof/>
            <w:webHidden/>
          </w:rPr>
          <w:fldChar w:fldCharType="separate"/>
        </w:r>
        <w:r>
          <w:rPr>
            <w:noProof/>
            <w:webHidden/>
          </w:rPr>
          <w:t>122</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38" w:history="1">
        <w:r w:rsidRPr="00CC2DA1">
          <w:rPr>
            <w:rStyle w:val="a8"/>
            <w:rFonts w:asciiTheme="minorEastAsia" w:hAnsiTheme="minorEastAsia" w:hint="eastAsia"/>
            <w:noProof/>
          </w:rPr>
          <w:t>（三）估值对象</w:t>
        </w:r>
        <w:r>
          <w:rPr>
            <w:noProof/>
            <w:webHidden/>
          </w:rPr>
          <w:tab/>
        </w:r>
        <w:r>
          <w:rPr>
            <w:noProof/>
            <w:webHidden/>
          </w:rPr>
          <w:fldChar w:fldCharType="begin"/>
        </w:r>
        <w:r>
          <w:rPr>
            <w:noProof/>
            <w:webHidden/>
          </w:rPr>
          <w:instrText xml:space="preserve"> PAGEREF _Toc43301938 \h </w:instrText>
        </w:r>
        <w:r>
          <w:rPr>
            <w:noProof/>
            <w:webHidden/>
          </w:rPr>
        </w:r>
        <w:r>
          <w:rPr>
            <w:noProof/>
            <w:webHidden/>
          </w:rPr>
          <w:fldChar w:fldCharType="separate"/>
        </w:r>
        <w:r>
          <w:rPr>
            <w:noProof/>
            <w:webHidden/>
          </w:rPr>
          <w:t>122</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39" w:history="1">
        <w:r w:rsidRPr="00CC2DA1">
          <w:rPr>
            <w:rStyle w:val="a8"/>
            <w:rFonts w:asciiTheme="minorEastAsia" w:hAnsiTheme="minorEastAsia" w:hint="eastAsia"/>
            <w:noProof/>
          </w:rPr>
          <w:t>（四）估值程序</w:t>
        </w:r>
        <w:r>
          <w:rPr>
            <w:noProof/>
            <w:webHidden/>
          </w:rPr>
          <w:tab/>
        </w:r>
        <w:r>
          <w:rPr>
            <w:noProof/>
            <w:webHidden/>
          </w:rPr>
          <w:fldChar w:fldCharType="begin"/>
        </w:r>
        <w:r>
          <w:rPr>
            <w:noProof/>
            <w:webHidden/>
          </w:rPr>
          <w:instrText xml:space="preserve"> PAGEREF _Toc43301939 \h </w:instrText>
        </w:r>
        <w:r>
          <w:rPr>
            <w:noProof/>
            <w:webHidden/>
          </w:rPr>
        </w:r>
        <w:r>
          <w:rPr>
            <w:noProof/>
            <w:webHidden/>
          </w:rPr>
          <w:fldChar w:fldCharType="separate"/>
        </w:r>
        <w:r>
          <w:rPr>
            <w:noProof/>
            <w:webHidden/>
          </w:rPr>
          <w:t>122</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40" w:history="1">
        <w:r w:rsidRPr="00CC2DA1">
          <w:rPr>
            <w:rStyle w:val="a8"/>
            <w:rFonts w:asciiTheme="minorEastAsia" w:hAnsiTheme="minorEastAsia" w:hint="eastAsia"/>
            <w:noProof/>
          </w:rPr>
          <w:t>（五）估值方法</w:t>
        </w:r>
        <w:r>
          <w:rPr>
            <w:noProof/>
            <w:webHidden/>
          </w:rPr>
          <w:tab/>
        </w:r>
        <w:r>
          <w:rPr>
            <w:noProof/>
            <w:webHidden/>
          </w:rPr>
          <w:fldChar w:fldCharType="begin"/>
        </w:r>
        <w:r>
          <w:rPr>
            <w:noProof/>
            <w:webHidden/>
          </w:rPr>
          <w:instrText xml:space="preserve"> PAGEREF _Toc43301940 \h </w:instrText>
        </w:r>
        <w:r>
          <w:rPr>
            <w:noProof/>
            <w:webHidden/>
          </w:rPr>
        </w:r>
        <w:r>
          <w:rPr>
            <w:noProof/>
            <w:webHidden/>
          </w:rPr>
          <w:fldChar w:fldCharType="separate"/>
        </w:r>
        <w:r>
          <w:rPr>
            <w:noProof/>
            <w:webHidden/>
          </w:rPr>
          <w:t>122</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41" w:history="1">
        <w:r w:rsidRPr="00CC2DA1">
          <w:rPr>
            <w:rStyle w:val="a8"/>
            <w:rFonts w:asciiTheme="minorEastAsia" w:hAnsiTheme="minorEastAsia" w:hint="eastAsia"/>
            <w:noProof/>
          </w:rPr>
          <w:t>（六）基金份额净值的确认和估值错误的处理</w:t>
        </w:r>
        <w:r>
          <w:rPr>
            <w:noProof/>
            <w:webHidden/>
          </w:rPr>
          <w:tab/>
        </w:r>
        <w:r>
          <w:rPr>
            <w:noProof/>
            <w:webHidden/>
          </w:rPr>
          <w:fldChar w:fldCharType="begin"/>
        </w:r>
        <w:r>
          <w:rPr>
            <w:noProof/>
            <w:webHidden/>
          </w:rPr>
          <w:instrText xml:space="preserve"> PAGEREF _Toc43301941 \h </w:instrText>
        </w:r>
        <w:r>
          <w:rPr>
            <w:noProof/>
            <w:webHidden/>
          </w:rPr>
        </w:r>
        <w:r>
          <w:rPr>
            <w:noProof/>
            <w:webHidden/>
          </w:rPr>
          <w:fldChar w:fldCharType="separate"/>
        </w:r>
        <w:r>
          <w:rPr>
            <w:noProof/>
            <w:webHidden/>
          </w:rPr>
          <w:t>123</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42" w:history="1">
        <w:r w:rsidRPr="00CC2DA1">
          <w:rPr>
            <w:rStyle w:val="a8"/>
            <w:rFonts w:asciiTheme="minorEastAsia" w:hAnsiTheme="minorEastAsia" w:hint="eastAsia"/>
            <w:noProof/>
          </w:rPr>
          <w:t>（七）暂停估值的情形</w:t>
        </w:r>
        <w:r>
          <w:rPr>
            <w:noProof/>
            <w:webHidden/>
          </w:rPr>
          <w:tab/>
        </w:r>
        <w:r>
          <w:rPr>
            <w:noProof/>
            <w:webHidden/>
          </w:rPr>
          <w:fldChar w:fldCharType="begin"/>
        </w:r>
        <w:r>
          <w:rPr>
            <w:noProof/>
            <w:webHidden/>
          </w:rPr>
          <w:instrText xml:space="preserve"> PAGEREF _Toc43301942 \h </w:instrText>
        </w:r>
        <w:r>
          <w:rPr>
            <w:noProof/>
            <w:webHidden/>
          </w:rPr>
        </w:r>
        <w:r>
          <w:rPr>
            <w:noProof/>
            <w:webHidden/>
          </w:rPr>
          <w:fldChar w:fldCharType="separate"/>
        </w:r>
        <w:r>
          <w:rPr>
            <w:noProof/>
            <w:webHidden/>
          </w:rPr>
          <w:t>125</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43" w:history="1">
        <w:r w:rsidRPr="00CC2DA1">
          <w:rPr>
            <w:rStyle w:val="a8"/>
            <w:rFonts w:asciiTheme="minorEastAsia" w:hAnsiTheme="minorEastAsia" w:hint="eastAsia"/>
            <w:noProof/>
          </w:rPr>
          <w:t>（八）特殊情形的处理</w:t>
        </w:r>
        <w:r>
          <w:rPr>
            <w:noProof/>
            <w:webHidden/>
          </w:rPr>
          <w:tab/>
        </w:r>
        <w:r>
          <w:rPr>
            <w:noProof/>
            <w:webHidden/>
          </w:rPr>
          <w:fldChar w:fldCharType="begin"/>
        </w:r>
        <w:r>
          <w:rPr>
            <w:noProof/>
            <w:webHidden/>
          </w:rPr>
          <w:instrText xml:space="preserve"> PAGEREF _Toc43301943 \h </w:instrText>
        </w:r>
        <w:r>
          <w:rPr>
            <w:noProof/>
            <w:webHidden/>
          </w:rPr>
        </w:r>
        <w:r>
          <w:rPr>
            <w:noProof/>
            <w:webHidden/>
          </w:rPr>
          <w:fldChar w:fldCharType="separate"/>
        </w:r>
        <w:r>
          <w:rPr>
            <w:noProof/>
            <w:webHidden/>
          </w:rPr>
          <w:t>125</w:t>
        </w:r>
        <w:r>
          <w:rPr>
            <w:noProof/>
            <w:webHidden/>
          </w:rPr>
          <w:fldChar w:fldCharType="end"/>
        </w:r>
      </w:hyperlink>
    </w:p>
    <w:p w:rsidR="009802E0" w:rsidRDefault="009802E0">
      <w:pPr>
        <w:pStyle w:val="10"/>
        <w:rPr>
          <w:rFonts w:asciiTheme="minorHAnsi" w:eastAsiaTheme="minorEastAsia" w:hAnsiTheme="minorHAnsi" w:cstheme="minorBidi"/>
          <w:caps w:val="0"/>
          <w:color w:val="auto"/>
          <w:sz w:val="21"/>
          <w:szCs w:val="22"/>
        </w:rPr>
      </w:pPr>
      <w:hyperlink w:anchor="_Toc43301944" w:history="1">
        <w:r w:rsidRPr="00CC2DA1">
          <w:rPr>
            <w:rStyle w:val="a8"/>
            <w:rFonts w:asciiTheme="minorEastAsia" w:hAnsiTheme="minorEastAsia" w:hint="eastAsia"/>
            <w:b/>
          </w:rPr>
          <w:t>十五、基金的收益分配</w:t>
        </w:r>
        <w:r>
          <w:rPr>
            <w:webHidden/>
          </w:rPr>
          <w:tab/>
        </w:r>
        <w:r>
          <w:rPr>
            <w:webHidden/>
          </w:rPr>
          <w:fldChar w:fldCharType="begin"/>
        </w:r>
        <w:r>
          <w:rPr>
            <w:webHidden/>
          </w:rPr>
          <w:instrText xml:space="preserve"> PAGEREF _Toc43301944 \h </w:instrText>
        </w:r>
        <w:r>
          <w:rPr>
            <w:webHidden/>
          </w:rPr>
        </w:r>
        <w:r>
          <w:rPr>
            <w:webHidden/>
          </w:rPr>
          <w:fldChar w:fldCharType="separate"/>
        </w:r>
        <w:r>
          <w:rPr>
            <w:webHidden/>
          </w:rPr>
          <w:t>126</w:t>
        </w:r>
        <w:r>
          <w:rPr>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45" w:history="1">
        <w:r w:rsidRPr="00CC2DA1">
          <w:rPr>
            <w:rStyle w:val="a8"/>
            <w:rFonts w:asciiTheme="minorEastAsia" w:hAnsiTheme="minorEastAsia" w:hint="eastAsia"/>
            <w:noProof/>
          </w:rPr>
          <w:t>（一）基金利润的构成</w:t>
        </w:r>
        <w:r>
          <w:rPr>
            <w:noProof/>
            <w:webHidden/>
          </w:rPr>
          <w:tab/>
        </w:r>
        <w:r>
          <w:rPr>
            <w:noProof/>
            <w:webHidden/>
          </w:rPr>
          <w:fldChar w:fldCharType="begin"/>
        </w:r>
        <w:r>
          <w:rPr>
            <w:noProof/>
            <w:webHidden/>
          </w:rPr>
          <w:instrText xml:space="preserve"> PAGEREF _Toc43301945 \h </w:instrText>
        </w:r>
        <w:r>
          <w:rPr>
            <w:noProof/>
            <w:webHidden/>
          </w:rPr>
        </w:r>
        <w:r>
          <w:rPr>
            <w:noProof/>
            <w:webHidden/>
          </w:rPr>
          <w:fldChar w:fldCharType="separate"/>
        </w:r>
        <w:r>
          <w:rPr>
            <w:noProof/>
            <w:webHidden/>
          </w:rPr>
          <w:t>126</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46" w:history="1">
        <w:r w:rsidRPr="00CC2DA1">
          <w:rPr>
            <w:rStyle w:val="a8"/>
            <w:rFonts w:asciiTheme="minorEastAsia" w:hAnsiTheme="minorEastAsia" w:hint="eastAsia"/>
            <w:noProof/>
          </w:rPr>
          <w:t>（二）基金可供分配利润</w:t>
        </w:r>
        <w:r>
          <w:rPr>
            <w:noProof/>
            <w:webHidden/>
          </w:rPr>
          <w:tab/>
        </w:r>
        <w:r>
          <w:rPr>
            <w:noProof/>
            <w:webHidden/>
          </w:rPr>
          <w:fldChar w:fldCharType="begin"/>
        </w:r>
        <w:r>
          <w:rPr>
            <w:noProof/>
            <w:webHidden/>
          </w:rPr>
          <w:instrText xml:space="preserve"> PAGEREF _Toc43301946 \h </w:instrText>
        </w:r>
        <w:r>
          <w:rPr>
            <w:noProof/>
            <w:webHidden/>
          </w:rPr>
        </w:r>
        <w:r>
          <w:rPr>
            <w:noProof/>
            <w:webHidden/>
          </w:rPr>
          <w:fldChar w:fldCharType="separate"/>
        </w:r>
        <w:r>
          <w:rPr>
            <w:noProof/>
            <w:webHidden/>
          </w:rPr>
          <w:t>126</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47" w:history="1">
        <w:r w:rsidRPr="00CC2DA1">
          <w:rPr>
            <w:rStyle w:val="a8"/>
            <w:rFonts w:asciiTheme="minorEastAsia" w:hAnsiTheme="minorEastAsia" w:hint="eastAsia"/>
            <w:noProof/>
          </w:rPr>
          <w:t>（三）收益分配原则</w:t>
        </w:r>
        <w:r>
          <w:rPr>
            <w:noProof/>
            <w:webHidden/>
          </w:rPr>
          <w:tab/>
        </w:r>
        <w:r>
          <w:rPr>
            <w:noProof/>
            <w:webHidden/>
          </w:rPr>
          <w:fldChar w:fldCharType="begin"/>
        </w:r>
        <w:r>
          <w:rPr>
            <w:noProof/>
            <w:webHidden/>
          </w:rPr>
          <w:instrText xml:space="preserve"> PAGEREF _Toc43301947 \h </w:instrText>
        </w:r>
        <w:r>
          <w:rPr>
            <w:noProof/>
            <w:webHidden/>
          </w:rPr>
        </w:r>
        <w:r>
          <w:rPr>
            <w:noProof/>
            <w:webHidden/>
          </w:rPr>
          <w:fldChar w:fldCharType="separate"/>
        </w:r>
        <w:r>
          <w:rPr>
            <w:noProof/>
            <w:webHidden/>
          </w:rPr>
          <w:t>126</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48" w:history="1">
        <w:r w:rsidRPr="00CC2DA1">
          <w:rPr>
            <w:rStyle w:val="a8"/>
            <w:rFonts w:asciiTheme="minorEastAsia" w:hAnsiTheme="minorEastAsia" w:hint="eastAsia"/>
            <w:noProof/>
          </w:rPr>
          <w:t>（四）收益分配方案</w:t>
        </w:r>
        <w:r>
          <w:rPr>
            <w:noProof/>
            <w:webHidden/>
          </w:rPr>
          <w:tab/>
        </w:r>
        <w:r>
          <w:rPr>
            <w:noProof/>
            <w:webHidden/>
          </w:rPr>
          <w:fldChar w:fldCharType="begin"/>
        </w:r>
        <w:r>
          <w:rPr>
            <w:noProof/>
            <w:webHidden/>
          </w:rPr>
          <w:instrText xml:space="preserve"> PAGEREF _Toc43301948 \h </w:instrText>
        </w:r>
        <w:r>
          <w:rPr>
            <w:noProof/>
            <w:webHidden/>
          </w:rPr>
        </w:r>
        <w:r>
          <w:rPr>
            <w:noProof/>
            <w:webHidden/>
          </w:rPr>
          <w:fldChar w:fldCharType="separate"/>
        </w:r>
        <w:r>
          <w:rPr>
            <w:noProof/>
            <w:webHidden/>
          </w:rPr>
          <w:t>126</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49" w:history="1">
        <w:r w:rsidRPr="00CC2DA1">
          <w:rPr>
            <w:rStyle w:val="a8"/>
            <w:rFonts w:asciiTheme="minorEastAsia" w:hAnsiTheme="minorEastAsia" w:hint="eastAsia"/>
            <w:noProof/>
          </w:rPr>
          <w:t>（五）收益分配方案的确定、公告与实施</w:t>
        </w:r>
        <w:r>
          <w:rPr>
            <w:noProof/>
            <w:webHidden/>
          </w:rPr>
          <w:tab/>
        </w:r>
        <w:r>
          <w:rPr>
            <w:noProof/>
            <w:webHidden/>
          </w:rPr>
          <w:fldChar w:fldCharType="begin"/>
        </w:r>
        <w:r>
          <w:rPr>
            <w:noProof/>
            <w:webHidden/>
          </w:rPr>
          <w:instrText xml:space="preserve"> PAGEREF _Toc43301949 \h </w:instrText>
        </w:r>
        <w:r>
          <w:rPr>
            <w:noProof/>
            <w:webHidden/>
          </w:rPr>
        </w:r>
        <w:r>
          <w:rPr>
            <w:noProof/>
            <w:webHidden/>
          </w:rPr>
          <w:fldChar w:fldCharType="separate"/>
        </w:r>
        <w:r>
          <w:rPr>
            <w:noProof/>
            <w:webHidden/>
          </w:rPr>
          <w:t>126</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50" w:history="1">
        <w:r w:rsidRPr="00CC2DA1">
          <w:rPr>
            <w:rStyle w:val="a8"/>
            <w:rFonts w:asciiTheme="minorEastAsia" w:hAnsiTheme="minorEastAsia" w:hint="eastAsia"/>
            <w:noProof/>
          </w:rPr>
          <w:t>（六）收益分配中发生的费用</w:t>
        </w:r>
        <w:r>
          <w:rPr>
            <w:noProof/>
            <w:webHidden/>
          </w:rPr>
          <w:tab/>
        </w:r>
        <w:r>
          <w:rPr>
            <w:noProof/>
            <w:webHidden/>
          </w:rPr>
          <w:fldChar w:fldCharType="begin"/>
        </w:r>
        <w:r>
          <w:rPr>
            <w:noProof/>
            <w:webHidden/>
          </w:rPr>
          <w:instrText xml:space="preserve"> PAGEREF _Toc43301950 \h </w:instrText>
        </w:r>
        <w:r>
          <w:rPr>
            <w:noProof/>
            <w:webHidden/>
          </w:rPr>
        </w:r>
        <w:r>
          <w:rPr>
            <w:noProof/>
            <w:webHidden/>
          </w:rPr>
          <w:fldChar w:fldCharType="separate"/>
        </w:r>
        <w:r>
          <w:rPr>
            <w:noProof/>
            <w:webHidden/>
          </w:rPr>
          <w:t>126</w:t>
        </w:r>
        <w:r>
          <w:rPr>
            <w:noProof/>
            <w:webHidden/>
          </w:rPr>
          <w:fldChar w:fldCharType="end"/>
        </w:r>
      </w:hyperlink>
    </w:p>
    <w:p w:rsidR="009802E0" w:rsidRDefault="009802E0">
      <w:pPr>
        <w:pStyle w:val="10"/>
        <w:rPr>
          <w:rFonts w:asciiTheme="minorHAnsi" w:eastAsiaTheme="minorEastAsia" w:hAnsiTheme="minorHAnsi" w:cstheme="minorBidi"/>
          <w:caps w:val="0"/>
          <w:color w:val="auto"/>
          <w:sz w:val="21"/>
          <w:szCs w:val="22"/>
        </w:rPr>
      </w:pPr>
      <w:hyperlink w:anchor="_Toc43301951" w:history="1">
        <w:r w:rsidRPr="00CC2DA1">
          <w:rPr>
            <w:rStyle w:val="a8"/>
            <w:rFonts w:asciiTheme="minorEastAsia" w:hAnsiTheme="minorEastAsia" w:hint="eastAsia"/>
            <w:b/>
          </w:rPr>
          <w:t>十六、基金的费用与税收</w:t>
        </w:r>
        <w:r>
          <w:rPr>
            <w:webHidden/>
          </w:rPr>
          <w:tab/>
        </w:r>
        <w:r>
          <w:rPr>
            <w:webHidden/>
          </w:rPr>
          <w:fldChar w:fldCharType="begin"/>
        </w:r>
        <w:r>
          <w:rPr>
            <w:webHidden/>
          </w:rPr>
          <w:instrText xml:space="preserve"> PAGEREF _Toc43301951 \h </w:instrText>
        </w:r>
        <w:r>
          <w:rPr>
            <w:webHidden/>
          </w:rPr>
        </w:r>
        <w:r>
          <w:rPr>
            <w:webHidden/>
          </w:rPr>
          <w:fldChar w:fldCharType="separate"/>
        </w:r>
        <w:r>
          <w:rPr>
            <w:webHidden/>
          </w:rPr>
          <w:t>127</w:t>
        </w:r>
        <w:r>
          <w:rPr>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52" w:history="1">
        <w:r w:rsidRPr="00CC2DA1">
          <w:rPr>
            <w:rStyle w:val="a8"/>
            <w:rFonts w:asciiTheme="minorEastAsia" w:hAnsiTheme="minorEastAsia" w:hint="eastAsia"/>
            <w:noProof/>
          </w:rPr>
          <w:t>（一）与基金运作相关的费用</w:t>
        </w:r>
        <w:r>
          <w:rPr>
            <w:noProof/>
            <w:webHidden/>
          </w:rPr>
          <w:tab/>
        </w:r>
        <w:r>
          <w:rPr>
            <w:noProof/>
            <w:webHidden/>
          </w:rPr>
          <w:fldChar w:fldCharType="begin"/>
        </w:r>
        <w:r>
          <w:rPr>
            <w:noProof/>
            <w:webHidden/>
          </w:rPr>
          <w:instrText xml:space="preserve"> PAGEREF _Toc43301952 \h </w:instrText>
        </w:r>
        <w:r>
          <w:rPr>
            <w:noProof/>
            <w:webHidden/>
          </w:rPr>
        </w:r>
        <w:r>
          <w:rPr>
            <w:noProof/>
            <w:webHidden/>
          </w:rPr>
          <w:fldChar w:fldCharType="separate"/>
        </w:r>
        <w:r>
          <w:rPr>
            <w:noProof/>
            <w:webHidden/>
          </w:rPr>
          <w:t>127</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53" w:history="1">
        <w:r w:rsidRPr="00CC2DA1">
          <w:rPr>
            <w:rStyle w:val="a8"/>
            <w:rFonts w:asciiTheme="minorEastAsia" w:hAnsiTheme="minorEastAsia" w:hint="eastAsia"/>
            <w:noProof/>
          </w:rPr>
          <w:t>（二）与基金销售相关的费用</w:t>
        </w:r>
        <w:r>
          <w:rPr>
            <w:noProof/>
            <w:webHidden/>
          </w:rPr>
          <w:tab/>
        </w:r>
        <w:r>
          <w:rPr>
            <w:noProof/>
            <w:webHidden/>
          </w:rPr>
          <w:fldChar w:fldCharType="begin"/>
        </w:r>
        <w:r>
          <w:rPr>
            <w:noProof/>
            <w:webHidden/>
          </w:rPr>
          <w:instrText xml:space="preserve"> PAGEREF _Toc43301953 \h </w:instrText>
        </w:r>
        <w:r>
          <w:rPr>
            <w:noProof/>
            <w:webHidden/>
          </w:rPr>
        </w:r>
        <w:r>
          <w:rPr>
            <w:noProof/>
            <w:webHidden/>
          </w:rPr>
          <w:fldChar w:fldCharType="separate"/>
        </w:r>
        <w:r>
          <w:rPr>
            <w:noProof/>
            <w:webHidden/>
          </w:rPr>
          <w:t>128</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54" w:history="1">
        <w:r w:rsidRPr="00CC2DA1">
          <w:rPr>
            <w:rStyle w:val="a8"/>
            <w:rFonts w:asciiTheme="minorEastAsia" w:hAnsiTheme="minorEastAsia" w:hint="eastAsia"/>
            <w:noProof/>
          </w:rPr>
          <w:t>（三）基金税收</w:t>
        </w:r>
        <w:r>
          <w:rPr>
            <w:noProof/>
            <w:webHidden/>
          </w:rPr>
          <w:tab/>
        </w:r>
        <w:r>
          <w:rPr>
            <w:noProof/>
            <w:webHidden/>
          </w:rPr>
          <w:fldChar w:fldCharType="begin"/>
        </w:r>
        <w:r>
          <w:rPr>
            <w:noProof/>
            <w:webHidden/>
          </w:rPr>
          <w:instrText xml:space="preserve"> PAGEREF _Toc43301954 \h </w:instrText>
        </w:r>
        <w:r>
          <w:rPr>
            <w:noProof/>
            <w:webHidden/>
          </w:rPr>
        </w:r>
        <w:r>
          <w:rPr>
            <w:noProof/>
            <w:webHidden/>
          </w:rPr>
          <w:fldChar w:fldCharType="separate"/>
        </w:r>
        <w:r>
          <w:rPr>
            <w:noProof/>
            <w:webHidden/>
          </w:rPr>
          <w:t>129</w:t>
        </w:r>
        <w:r>
          <w:rPr>
            <w:noProof/>
            <w:webHidden/>
          </w:rPr>
          <w:fldChar w:fldCharType="end"/>
        </w:r>
      </w:hyperlink>
    </w:p>
    <w:p w:rsidR="009802E0" w:rsidRDefault="009802E0">
      <w:pPr>
        <w:pStyle w:val="10"/>
        <w:rPr>
          <w:rFonts w:asciiTheme="minorHAnsi" w:eastAsiaTheme="minorEastAsia" w:hAnsiTheme="minorHAnsi" w:cstheme="minorBidi"/>
          <w:caps w:val="0"/>
          <w:color w:val="auto"/>
          <w:sz w:val="21"/>
          <w:szCs w:val="22"/>
        </w:rPr>
      </w:pPr>
      <w:hyperlink w:anchor="_Toc43301955" w:history="1">
        <w:r w:rsidRPr="00CC2DA1">
          <w:rPr>
            <w:rStyle w:val="a8"/>
            <w:rFonts w:asciiTheme="minorEastAsia" w:hAnsiTheme="minorEastAsia" w:hint="eastAsia"/>
            <w:b/>
          </w:rPr>
          <w:t>十七、基金的会计与审计</w:t>
        </w:r>
        <w:r>
          <w:rPr>
            <w:webHidden/>
          </w:rPr>
          <w:tab/>
        </w:r>
        <w:r>
          <w:rPr>
            <w:webHidden/>
          </w:rPr>
          <w:fldChar w:fldCharType="begin"/>
        </w:r>
        <w:r>
          <w:rPr>
            <w:webHidden/>
          </w:rPr>
          <w:instrText xml:space="preserve"> PAGEREF _Toc43301955 \h </w:instrText>
        </w:r>
        <w:r>
          <w:rPr>
            <w:webHidden/>
          </w:rPr>
        </w:r>
        <w:r>
          <w:rPr>
            <w:webHidden/>
          </w:rPr>
          <w:fldChar w:fldCharType="separate"/>
        </w:r>
        <w:r>
          <w:rPr>
            <w:webHidden/>
          </w:rPr>
          <w:t>130</w:t>
        </w:r>
        <w:r>
          <w:rPr>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56" w:history="1">
        <w:r w:rsidRPr="00CC2DA1">
          <w:rPr>
            <w:rStyle w:val="a8"/>
            <w:rFonts w:asciiTheme="minorEastAsia" w:hAnsiTheme="minorEastAsia" w:hint="eastAsia"/>
            <w:noProof/>
          </w:rPr>
          <w:t>（一）基金会计政策</w:t>
        </w:r>
        <w:r>
          <w:rPr>
            <w:noProof/>
            <w:webHidden/>
          </w:rPr>
          <w:tab/>
        </w:r>
        <w:r>
          <w:rPr>
            <w:noProof/>
            <w:webHidden/>
          </w:rPr>
          <w:fldChar w:fldCharType="begin"/>
        </w:r>
        <w:r>
          <w:rPr>
            <w:noProof/>
            <w:webHidden/>
          </w:rPr>
          <w:instrText xml:space="preserve"> PAGEREF _Toc43301956 \h </w:instrText>
        </w:r>
        <w:r>
          <w:rPr>
            <w:noProof/>
            <w:webHidden/>
          </w:rPr>
        </w:r>
        <w:r>
          <w:rPr>
            <w:noProof/>
            <w:webHidden/>
          </w:rPr>
          <w:fldChar w:fldCharType="separate"/>
        </w:r>
        <w:r>
          <w:rPr>
            <w:noProof/>
            <w:webHidden/>
          </w:rPr>
          <w:t>130</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57" w:history="1">
        <w:r w:rsidRPr="00CC2DA1">
          <w:rPr>
            <w:rStyle w:val="a8"/>
            <w:rFonts w:asciiTheme="minorEastAsia" w:hAnsiTheme="minorEastAsia" w:hint="eastAsia"/>
            <w:noProof/>
          </w:rPr>
          <w:t>（二）基金审计</w:t>
        </w:r>
        <w:r>
          <w:rPr>
            <w:noProof/>
            <w:webHidden/>
          </w:rPr>
          <w:tab/>
        </w:r>
        <w:r>
          <w:rPr>
            <w:noProof/>
            <w:webHidden/>
          </w:rPr>
          <w:fldChar w:fldCharType="begin"/>
        </w:r>
        <w:r>
          <w:rPr>
            <w:noProof/>
            <w:webHidden/>
          </w:rPr>
          <w:instrText xml:space="preserve"> PAGEREF _Toc43301957 \h </w:instrText>
        </w:r>
        <w:r>
          <w:rPr>
            <w:noProof/>
            <w:webHidden/>
          </w:rPr>
        </w:r>
        <w:r>
          <w:rPr>
            <w:noProof/>
            <w:webHidden/>
          </w:rPr>
          <w:fldChar w:fldCharType="separate"/>
        </w:r>
        <w:r>
          <w:rPr>
            <w:noProof/>
            <w:webHidden/>
          </w:rPr>
          <w:t>130</w:t>
        </w:r>
        <w:r>
          <w:rPr>
            <w:noProof/>
            <w:webHidden/>
          </w:rPr>
          <w:fldChar w:fldCharType="end"/>
        </w:r>
      </w:hyperlink>
    </w:p>
    <w:p w:rsidR="009802E0" w:rsidRDefault="009802E0">
      <w:pPr>
        <w:pStyle w:val="10"/>
        <w:rPr>
          <w:rFonts w:asciiTheme="minorHAnsi" w:eastAsiaTheme="minorEastAsia" w:hAnsiTheme="minorHAnsi" w:cstheme="minorBidi"/>
          <w:caps w:val="0"/>
          <w:color w:val="auto"/>
          <w:sz w:val="21"/>
          <w:szCs w:val="22"/>
        </w:rPr>
      </w:pPr>
      <w:hyperlink w:anchor="_Toc43301958" w:history="1">
        <w:r w:rsidRPr="00CC2DA1">
          <w:rPr>
            <w:rStyle w:val="a8"/>
            <w:rFonts w:asciiTheme="minorEastAsia" w:hAnsiTheme="minorEastAsia" w:hint="eastAsia"/>
            <w:b/>
          </w:rPr>
          <w:t>十八、基金的信息披露</w:t>
        </w:r>
        <w:r>
          <w:rPr>
            <w:webHidden/>
          </w:rPr>
          <w:tab/>
        </w:r>
        <w:r>
          <w:rPr>
            <w:webHidden/>
          </w:rPr>
          <w:fldChar w:fldCharType="begin"/>
        </w:r>
        <w:r>
          <w:rPr>
            <w:webHidden/>
          </w:rPr>
          <w:instrText xml:space="preserve"> PAGEREF _Toc43301958 \h </w:instrText>
        </w:r>
        <w:r>
          <w:rPr>
            <w:webHidden/>
          </w:rPr>
        </w:r>
        <w:r>
          <w:rPr>
            <w:webHidden/>
          </w:rPr>
          <w:fldChar w:fldCharType="separate"/>
        </w:r>
        <w:r>
          <w:rPr>
            <w:webHidden/>
          </w:rPr>
          <w:t>131</w:t>
        </w:r>
        <w:r>
          <w:rPr>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59" w:history="1">
        <w:r w:rsidRPr="00CC2DA1">
          <w:rPr>
            <w:rStyle w:val="a8"/>
            <w:rFonts w:asciiTheme="minorEastAsia" w:hAnsiTheme="minorEastAsia" w:hint="eastAsia"/>
            <w:noProof/>
          </w:rPr>
          <w:t>（一）信息披露的形式</w:t>
        </w:r>
        <w:r>
          <w:rPr>
            <w:noProof/>
            <w:webHidden/>
          </w:rPr>
          <w:tab/>
        </w:r>
        <w:r>
          <w:rPr>
            <w:noProof/>
            <w:webHidden/>
          </w:rPr>
          <w:fldChar w:fldCharType="begin"/>
        </w:r>
        <w:r>
          <w:rPr>
            <w:noProof/>
            <w:webHidden/>
          </w:rPr>
          <w:instrText xml:space="preserve"> PAGEREF _Toc43301959 \h </w:instrText>
        </w:r>
        <w:r>
          <w:rPr>
            <w:noProof/>
            <w:webHidden/>
          </w:rPr>
        </w:r>
        <w:r>
          <w:rPr>
            <w:noProof/>
            <w:webHidden/>
          </w:rPr>
          <w:fldChar w:fldCharType="separate"/>
        </w:r>
        <w:r>
          <w:rPr>
            <w:noProof/>
            <w:webHidden/>
          </w:rPr>
          <w:t>131</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60" w:history="1">
        <w:r w:rsidRPr="00CC2DA1">
          <w:rPr>
            <w:rStyle w:val="a8"/>
            <w:rFonts w:asciiTheme="minorEastAsia" w:hAnsiTheme="minorEastAsia" w:hint="eastAsia"/>
            <w:noProof/>
          </w:rPr>
          <w:t>（二）信息披露的种类、披露时间和披露形式</w:t>
        </w:r>
        <w:r>
          <w:rPr>
            <w:noProof/>
            <w:webHidden/>
          </w:rPr>
          <w:tab/>
        </w:r>
        <w:r>
          <w:rPr>
            <w:noProof/>
            <w:webHidden/>
          </w:rPr>
          <w:fldChar w:fldCharType="begin"/>
        </w:r>
        <w:r>
          <w:rPr>
            <w:noProof/>
            <w:webHidden/>
          </w:rPr>
          <w:instrText xml:space="preserve"> PAGEREF _Toc43301960 \h </w:instrText>
        </w:r>
        <w:r>
          <w:rPr>
            <w:noProof/>
            <w:webHidden/>
          </w:rPr>
        </w:r>
        <w:r>
          <w:rPr>
            <w:noProof/>
            <w:webHidden/>
          </w:rPr>
          <w:fldChar w:fldCharType="separate"/>
        </w:r>
        <w:r>
          <w:rPr>
            <w:noProof/>
            <w:webHidden/>
          </w:rPr>
          <w:t>131</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61" w:history="1">
        <w:r w:rsidRPr="00CC2DA1">
          <w:rPr>
            <w:rStyle w:val="a8"/>
            <w:rFonts w:asciiTheme="minorEastAsia" w:hAnsiTheme="minorEastAsia" w:hint="eastAsia"/>
            <w:noProof/>
          </w:rPr>
          <w:t>（三）信息披露文件的存放与查阅</w:t>
        </w:r>
        <w:r>
          <w:rPr>
            <w:noProof/>
            <w:webHidden/>
          </w:rPr>
          <w:tab/>
        </w:r>
        <w:r>
          <w:rPr>
            <w:noProof/>
            <w:webHidden/>
          </w:rPr>
          <w:fldChar w:fldCharType="begin"/>
        </w:r>
        <w:r>
          <w:rPr>
            <w:noProof/>
            <w:webHidden/>
          </w:rPr>
          <w:instrText xml:space="preserve"> PAGEREF _Toc43301961 \h </w:instrText>
        </w:r>
        <w:r>
          <w:rPr>
            <w:noProof/>
            <w:webHidden/>
          </w:rPr>
        </w:r>
        <w:r>
          <w:rPr>
            <w:noProof/>
            <w:webHidden/>
          </w:rPr>
          <w:fldChar w:fldCharType="separate"/>
        </w:r>
        <w:r>
          <w:rPr>
            <w:noProof/>
            <w:webHidden/>
          </w:rPr>
          <w:t>134</w:t>
        </w:r>
        <w:r>
          <w:rPr>
            <w:noProof/>
            <w:webHidden/>
          </w:rPr>
          <w:fldChar w:fldCharType="end"/>
        </w:r>
      </w:hyperlink>
    </w:p>
    <w:p w:rsidR="009802E0" w:rsidRDefault="009802E0">
      <w:pPr>
        <w:pStyle w:val="10"/>
        <w:rPr>
          <w:rFonts w:asciiTheme="minorHAnsi" w:eastAsiaTheme="minorEastAsia" w:hAnsiTheme="minorHAnsi" w:cstheme="minorBidi"/>
          <w:caps w:val="0"/>
          <w:color w:val="auto"/>
          <w:sz w:val="21"/>
          <w:szCs w:val="22"/>
        </w:rPr>
      </w:pPr>
      <w:hyperlink w:anchor="_Toc43301962" w:history="1">
        <w:r w:rsidRPr="00CC2DA1">
          <w:rPr>
            <w:rStyle w:val="a8"/>
            <w:rFonts w:asciiTheme="minorEastAsia" w:hAnsiTheme="minorEastAsia" w:hint="eastAsia"/>
            <w:b/>
          </w:rPr>
          <w:t>十九、风险揭示</w:t>
        </w:r>
        <w:r>
          <w:rPr>
            <w:webHidden/>
          </w:rPr>
          <w:tab/>
        </w:r>
        <w:r>
          <w:rPr>
            <w:webHidden/>
          </w:rPr>
          <w:fldChar w:fldCharType="begin"/>
        </w:r>
        <w:r>
          <w:rPr>
            <w:webHidden/>
          </w:rPr>
          <w:instrText xml:space="preserve"> PAGEREF _Toc43301962 \h </w:instrText>
        </w:r>
        <w:r>
          <w:rPr>
            <w:webHidden/>
          </w:rPr>
        </w:r>
        <w:r>
          <w:rPr>
            <w:webHidden/>
          </w:rPr>
          <w:fldChar w:fldCharType="separate"/>
        </w:r>
        <w:r>
          <w:rPr>
            <w:webHidden/>
          </w:rPr>
          <w:t>135</w:t>
        </w:r>
        <w:r>
          <w:rPr>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63" w:history="1">
        <w:r w:rsidRPr="00CC2DA1">
          <w:rPr>
            <w:rStyle w:val="a8"/>
            <w:rFonts w:asciiTheme="minorEastAsia" w:hAnsiTheme="minorEastAsia" w:hint="eastAsia"/>
            <w:noProof/>
          </w:rPr>
          <w:t>（一）市场风险</w:t>
        </w:r>
        <w:r>
          <w:rPr>
            <w:noProof/>
            <w:webHidden/>
          </w:rPr>
          <w:tab/>
        </w:r>
        <w:r>
          <w:rPr>
            <w:noProof/>
            <w:webHidden/>
          </w:rPr>
          <w:fldChar w:fldCharType="begin"/>
        </w:r>
        <w:r>
          <w:rPr>
            <w:noProof/>
            <w:webHidden/>
          </w:rPr>
          <w:instrText xml:space="preserve"> PAGEREF _Toc43301963 \h </w:instrText>
        </w:r>
        <w:r>
          <w:rPr>
            <w:noProof/>
            <w:webHidden/>
          </w:rPr>
        </w:r>
        <w:r>
          <w:rPr>
            <w:noProof/>
            <w:webHidden/>
          </w:rPr>
          <w:fldChar w:fldCharType="separate"/>
        </w:r>
        <w:r>
          <w:rPr>
            <w:noProof/>
            <w:webHidden/>
          </w:rPr>
          <w:t>135</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64" w:history="1">
        <w:r w:rsidRPr="00CC2DA1">
          <w:rPr>
            <w:rStyle w:val="a8"/>
            <w:rFonts w:asciiTheme="minorEastAsia" w:hAnsiTheme="minorEastAsia" w:hint="eastAsia"/>
            <w:noProof/>
          </w:rPr>
          <w:t>（二）管理风险</w:t>
        </w:r>
        <w:r>
          <w:rPr>
            <w:noProof/>
            <w:webHidden/>
          </w:rPr>
          <w:tab/>
        </w:r>
        <w:r>
          <w:rPr>
            <w:noProof/>
            <w:webHidden/>
          </w:rPr>
          <w:fldChar w:fldCharType="begin"/>
        </w:r>
        <w:r>
          <w:rPr>
            <w:noProof/>
            <w:webHidden/>
          </w:rPr>
          <w:instrText xml:space="preserve"> PAGEREF _Toc43301964 \h </w:instrText>
        </w:r>
        <w:r>
          <w:rPr>
            <w:noProof/>
            <w:webHidden/>
          </w:rPr>
        </w:r>
        <w:r>
          <w:rPr>
            <w:noProof/>
            <w:webHidden/>
          </w:rPr>
          <w:fldChar w:fldCharType="separate"/>
        </w:r>
        <w:r>
          <w:rPr>
            <w:noProof/>
            <w:webHidden/>
          </w:rPr>
          <w:t>136</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65" w:history="1">
        <w:r w:rsidRPr="00CC2DA1">
          <w:rPr>
            <w:rStyle w:val="a8"/>
            <w:rFonts w:asciiTheme="minorEastAsia" w:hAnsiTheme="minorEastAsia" w:hint="eastAsia"/>
            <w:noProof/>
          </w:rPr>
          <w:t>（三）流动性风险</w:t>
        </w:r>
        <w:r>
          <w:rPr>
            <w:noProof/>
            <w:webHidden/>
          </w:rPr>
          <w:tab/>
        </w:r>
        <w:r>
          <w:rPr>
            <w:noProof/>
            <w:webHidden/>
          </w:rPr>
          <w:fldChar w:fldCharType="begin"/>
        </w:r>
        <w:r>
          <w:rPr>
            <w:noProof/>
            <w:webHidden/>
          </w:rPr>
          <w:instrText xml:space="preserve"> PAGEREF _Toc43301965 \h </w:instrText>
        </w:r>
        <w:r>
          <w:rPr>
            <w:noProof/>
            <w:webHidden/>
          </w:rPr>
        </w:r>
        <w:r>
          <w:rPr>
            <w:noProof/>
            <w:webHidden/>
          </w:rPr>
          <w:fldChar w:fldCharType="separate"/>
        </w:r>
        <w:r>
          <w:rPr>
            <w:noProof/>
            <w:webHidden/>
          </w:rPr>
          <w:t>136</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66" w:history="1">
        <w:r w:rsidRPr="00CC2DA1">
          <w:rPr>
            <w:rStyle w:val="a8"/>
            <w:rFonts w:asciiTheme="minorEastAsia" w:hAnsiTheme="minorEastAsia" w:hint="eastAsia"/>
            <w:noProof/>
          </w:rPr>
          <w:t>（四）本基金法律文件中涉及基金风险特征的表述与销售机构对基金的风险评级可能不一致的风险</w:t>
        </w:r>
        <w:r>
          <w:rPr>
            <w:noProof/>
            <w:webHidden/>
          </w:rPr>
          <w:tab/>
        </w:r>
        <w:r>
          <w:rPr>
            <w:noProof/>
            <w:webHidden/>
          </w:rPr>
          <w:fldChar w:fldCharType="begin"/>
        </w:r>
        <w:r>
          <w:rPr>
            <w:noProof/>
            <w:webHidden/>
          </w:rPr>
          <w:instrText xml:space="preserve"> PAGEREF _Toc43301966 \h </w:instrText>
        </w:r>
        <w:r>
          <w:rPr>
            <w:noProof/>
            <w:webHidden/>
          </w:rPr>
        </w:r>
        <w:r>
          <w:rPr>
            <w:noProof/>
            <w:webHidden/>
          </w:rPr>
          <w:fldChar w:fldCharType="separate"/>
        </w:r>
        <w:r>
          <w:rPr>
            <w:noProof/>
            <w:webHidden/>
          </w:rPr>
          <w:t>137</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67" w:history="1">
        <w:r w:rsidRPr="00CC2DA1">
          <w:rPr>
            <w:rStyle w:val="a8"/>
            <w:rFonts w:asciiTheme="minorEastAsia" w:hAnsiTheme="minorEastAsia" w:hint="eastAsia"/>
            <w:noProof/>
          </w:rPr>
          <w:t>（五）特有风险</w:t>
        </w:r>
        <w:r>
          <w:rPr>
            <w:noProof/>
            <w:webHidden/>
          </w:rPr>
          <w:tab/>
        </w:r>
        <w:r>
          <w:rPr>
            <w:noProof/>
            <w:webHidden/>
          </w:rPr>
          <w:fldChar w:fldCharType="begin"/>
        </w:r>
        <w:r>
          <w:rPr>
            <w:noProof/>
            <w:webHidden/>
          </w:rPr>
          <w:instrText xml:space="preserve"> PAGEREF _Toc43301967 \h </w:instrText>
        </w:r>
        <w:r>
          <w:rPr>
            <w:noProof/>
            <w:webHidden/>
          </w:rPr>
        </w:r>
        <w:r>
          <w:rPr>
            <w:noProof/>
            <w:webHidden/>
          </w:rPr>
          <w:fldChar w:fldCharType="separate"/>
        </w:r>
        <w:r>
          <w:rPr>
            <w:noProof/>
            <w:webHidden/>
          </w:rPr>
          <w:t>137</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68" w:history="1">
        <w:r w:rsidRPr="00CC2DA1">
          <w:rPr>
            <w:rStyle w:val="a8"/>
            <w:rFonts w:asciiTheme="minorEastAsia" w:hAnsiTheme="minorEastAsia" w:hint="eastAsia"/>
            <w:noProof/>
          </w:rPr>
          <w:t>（六）其他风险</w:t>
        </w:r>
        <w:r>
          <w:rPr>
            <w:noProof/>
            <w:webHidden/>
          </w:rPr>
          <w:tab/>
        </w:r>
        <w:r>
          <w:rPr>
            <w:noProof/>
            <w:webHidden/>
          </w:rPr>
          <w:fldChar w:fldCharType="begin"/>
        </w:r>
        <w:r>
          <w:rPr>
            <w:noProof/>
            <w:webHidden/>
          </w:rPr>
          <w:instrText xml:space="preserve"> PAGEREF _Toc43301968 \h </w:instrText>
        </w:r>
        <w:r>
          <w:rPr>
            <w:noProof/>
            <w:webHidden/>
          </w:rPr>
        </w:r>
        <w:r>
          <w:rPr>
            <w:noProof/>
            <w:webHidden/>
          </w:rPr>
          <w:fldChar w:fldCharType="separate"/>
        </w:r>
        <w:r>
          <w:rPr>
            <w:noProof/>
            <w:webHidden/>
          </w:rPr>
          <w:t>138</w:t>
        </w:r>
        <w:r>
          <w:rPr>
            <w:noProof/>
            <w:webHidden/>
          </w:rPr>
          <w:fldChar w:fldCharType="end"/>
        </w:r>
      </w:hyperlink>
    </w:p>
    <w:p w:rsidR="009802E0" w:rsidRDefault="009802E0">
      <w:pPr>
        <w:pStyle w:val="10"/>
        <w:rPr>
          <w:rFonts w:asciiTheme="minorHAnsi" w:eastAsiaTheme="minorEastAsia" w:hAnsiTheme="minorHAnsi" w:cstheme="minorBidi"/>
          <w:caps w:val="0"/>
          <w:color w:val="auto"/>
          <w:sz w:val="21"/>
          <w:szCs w:val="22"/>
        </w:rPr>
      </w:pPr>
      <w:hyperlink w:anchor="_Toc43301969" w:history="1">
        <w:r w:rsidRPr="00CC2DA1">
          <w:rPr>
            <w:rStyle w:val="a8"/>
            <w:rFonts w:asciiTheme="minorEastAsia" w:hAnsiTheme="minorEastAsia" w:hint="eastAsia"/>
            <w:b/>
          </w:rPr>
          <w:t>二十、基金合同的变更、终止与基金财产的清算</w:t>
        </w:r>
        <w:r>
          <w:rPr>
            <w:webHidden/>
          </w:rPr>
          <w:tab/>
        </w:r>
        <w:r>
          <w:rPr>
            <w:webHidden/>
          </w:rPr>
          <w:fldChar w:fldCharType="begin"/>
        </w:r>
        <w:r>
          <w:rPr>
            <w:webHidden/>
          </w:rPr>
          <w:instrText xml:space="preserve"> PAGEREF _Toc43301969 \h </w:instrText>
        </w:r>
        <w:r>
          <w:rPr>
            <w:webHidden/>
          </w:rPr>
        </w:r>
        <w:r>
          <w:rPr>
            <w:webHidden/>
          </w:rPr>
          <w:fldChar w:fldCharType="separate"/>
        </w:r>
        <w:r>
          <w:rPr>
            <w:webHidden/>
          </w:rPr>
          <w:t>139</w:t>
        </w:r>
        <w:r>
          <w:rPr>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70" w:history="1">
        <w:r w:rsidRPr="00CC2DA1">
          <w:rPr>
            <w:rStyle w:val="a8"/>
            <w:rFonts w:asciiTheme="minorEastAsia" w:hAnsiTheme="minorEastAsia" w:hint="eastAsia"/>
            <w:noProof/>
          </w:rPr>
          <w:t>（一）基金合同的变更</w:t>
        </w:r>
        <w:r>
          <w:rPr>
            <w:noProof/>
            <w:webHidden/>
          </w:rPr>
          <w:tab/>
        </w:r>
        <w:r>
          <w:rPr>
            <w:noProof/>
            <w:webHidden/>
          </w:rPr>
          <w:fldChar w:fldCharType="begin"/>
        </w:r>
        <w:r>
          <w:rPr>
            <w:noProof/>
            <w:webHidden/>
          </w:rPr>
          <w:instrText xml:space="preserve"> PAGEREF _Toc43301970 \h </w:instrText>
        </w:r>
        <w:r>
          <w:rPr>
            <w:noProof/>
            <w:webHidden/>
          </w:rPr>
        </w:r>
        <w:r>
          <w:rPr>
            <w:noProof/>
            <w:webHidden/>
          </w:rPr>
          <w:fldChar w:fldCharType="separate"/>
        </w:r>
        <w:r>
          <w:rPr>
            <w:noProof/>
            <w:webHidden/>
          </w:rPr>
          <w:t>139</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71" w:history="1">
        <w:r w:rsidRPr="00CC2DA1">
          <w:rPr>
            <w:rStyle w:val="a8"/>
            <w:rFonts w:asciiTheme="minorEastAsia" w:hAnsiTheme="minorEastAsia" w:hint="eastAsia"/>
            <w:noProof/>
          </w:rPr>
          <w:t>（二）基金合同的终止</w:t>
        </w:r>
        <w:r>
          <w:rPr>
            <w:noProof/>
            <w:webHidden/>
          </w:rPr>
          <w:tab/>
        </w:r>
        <w:r>
          <w:rPr>
            <w:noProof/>
            <w:webHidden/>
          </w:rPr>
          <w:fldChar w:fldCharType="begin"/>
        </w:r>
        <w:r>
          <w:rPr>
            <w:noProof/>
            <w:webHidden/>
          </w:rPr>
          <w:instrText xml:space="preserve"> PAGEREF _Toc43301971 \h </w:instrText>
        </w:r>
        <w:r>
          <w:rPr>
            <w:noProof/>
            <w:webHidden/>
          </w:rPr>
        </w:r>
        <w:r>
          <w:rPr>
            <w:noProof/>
            <w:webHidden/>
          </w:rPr>
          <w:fldChar w:fldCharType="separate"/>
        </w:r>
        <w:r>
          <w:rPr>
            <w:noProof/>
            <w:webHidden/>
          </w:rPr>
          <w:t>139</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72" w:history="1">
        <w:r w:rsidRPr="00CC2DA1">
          <w:rPr>
            <w:rStyle w:val="a8"/>
            <w:rFonts w:asciiTheme="minorEastAsia" w:hAnsiTheme="minorEastAsia" w:hint="eastAsia"/>
            <w:noProof/>
          </w:rPr>
          <w:t>（三）基金财产的清算</w:t>
        </w:r>
        <w:r>
          <w:rPr>
            <w:noProof/>
            <w:webHidden/>
          </w:rPr>
          <w:tab/>
        </w:r>
        <w:r>
          <w:rPr>
            <w:noProof/>
            <w:webHidden/>
          </w:rPr>
          <w:fldChar w:fldCharType="begin"/>
        </w:r>
        <w:r>
          <w:rPr>
            <w:noProof/>
            <w:webHidden/>
          </w:rPr>
          <w:instrText xml:space="preserve"> PAGEREF _Toc43301972 \h </w:instrText>
        </w:r>
        <w:r>
          <w:rPr>
            <w:noProof/>
            <w:webHidden/>
          </w:rPr>
        </w:r>
        <w:r>
          <w:rPr>
            <w:noProof/>
            <w:webHidden/>
          </w:rPr>
          <w:fldChar w:fldCharType="separate"/>
        </w:r>
        <w:r>
          <w:rPr>
            <w:noProof/>
            <w:webHidden/>
          </w:rPr>
          <w:t>140</w:t>
        </w:r>
        <w:r>
          <w:rPr>
            <w:noProof/>
            <w:webHidden/>
          </w:rPr>
          <w:fldChar w:fldCharType="end"/>
        </w:r>
      </w:hyperlink>
    </w:p>
    <w:p w:rsidR="009802E0" w:rsidRDefault="009802E0">
      <w:pPr>
        <w:pStyle w:val="10"/>
        <w:rPr>
          <w:rFonts w:asciiTheme="minorHAnsi" w:eastAsiaTheme="minorEastAsia" w:hAnsiTheme="minorHAnsi" w:cstheme="minorBidi"/>
          <w:caps w:val="0"/>
          <w:color w:val="auto"/>
          <w:sz w:val="21"/>
          <w:szCs w:val="22"/>
        </w:rPr>
      </w:pPr>
      <w:hyperlink w:anchor="_Toc43301973" w:history="1">
        <w:r w:rsidRPr="00CC2DA1">
          <w:rPr>
            <w:rStyle w:val="a8"/>
            <w:rFonts w:asciiTheme="minorEastAsia" w:hAnsiTheme="minorEastAsia" w:hint="eastAsia"/>
            <w:b/>
          </w:rPr>
          <w:t>二十一、基金合同的内容摘要</w:t>
        </w:r>
        <w:r>
          <w:rPr>
            <w:webHidden/>
          </w:rPr>
          <w:tab/>
        </w:r>
        <w:r>
          <w:rPr>
            <w:webHidden/>
          </w:rPr>
          <w:fldChar w:fldCharType="begin"/>
        </w:r>
        <w:r>
          <w:rPr>
            <w:webHidden/>
          </w:rPr>
          <w:instrText xml:space="preserve"> PAGEREF _Toc43301973 \h </w:instrText>
        </w:r>
        <w:r>
          <w:rPr>
            <w:webHidden/>
          </w:rPr>
        </w:r>
        <w:r>
          <w:rPr>
            <w:webHidden/>
          </w:rPr>
          <w:fldChar w:fldCharType="separate"/>
        </w:r>
        <w:r>
          <w:rPr>
            <w:webHidden/>
          </w:rPr>
          <w:t>142</w:t>
        </w:r>
        <w:r>
          <w:rPr>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74" w:history="1">
        <w:r w:rsidRPr="00CC2DA1">
          <w:rPr>
            <w:rStyle w:val="a8"/>
            <w:rFonts w:asciiTheme="minorEastAsia" w:hAnsiTheme="minorEastAsia" w:hint="eastAsia"/>
            <w:bCs/>
            <w:noProof/>
          </w:rPr>
          <w:t>（一）基金管理人的权利和义务</w:t>
        </w:r>
        <w:r>
          <w:rPr>
            <w:noProof/>
            <w:webHidden/>
          </w:rPr>
          <w:tab/>
        </w:r>
        <w:r>
          <w:rPr>
            <w:noProof/>
            <w:webHidden/>
          </w:rPr>
          <w:fldChar w:fldCharType="begin"/>
        </w:r>
        <w:r>
          <w:rPr>
            <w:noProof/>
            <w:webHidden/>
          </w:rPr>
          <w:instrText xml:space="preserve"> PAGEREF _Toc43301974 \h </w:instrText>
        </w:r>
        <w:r>
          <w:rPr>
            <w:noProof/>
            <w:webHidden/>
          </w:rPr>
        </w:r>
        <w:r>
          <w:rPr>
            <w:noProof/>
            <w:webHidden/>
          </w:rPr>
          <w:fldChar w:fldCharType="separate"/>
        </w:r>
        <w:r>
          <w:rPr>
            <w:noProof/>
            <w:webHidden/>
          </w:rPr>
          <w:t>142</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75" w:history="1">
        <w:r w:rsidRPr="00CC2DA1">
          <w:rPr>
            <w:rStyle w:val="a8"/>
            <w:rFonts w:asciiTheme="minorEastAsia" w:hAnsiTheme="minorEastAsia" w:hint="eastAsia"/>
            <w:bCs/>
            <w:noProof/>
          </w:rPr>
          <w:t>（二）基金托管人的权利和义务</w:t>
        </w:r>
        <w:r>
          <w:rPr>
            <w:noProof/>
            <w:webHidden/>
          </w:rPr>
          <w:tab/>
        </w:r>
        <w:r>
          <w:rPr>
            <w:noProof/>
            <w:webHidden/>
          </w:rPr>
          <w:fldChar w:fldCharType="begin"/>
        </w:r>
        <w:r>
          <w:rPr>
            <w:noProof/>
            <w:webHidden/>
          </w:rPr>
          <w:instrText xml:space="preserve"> PAGEREF _Toc43301975 \h </w:instrText>
        </w:r>
        <w:r>
          <w:rPr>
            <w:noProof/>
            <w:webHidden/>
          </w:rPr>
        </w:r>
        <w:r>
          <w:rPr>
            <w:noProof/>
            <w:webHidden/>
          </w:rPr>
          <w:fldChar w:fldCharType="separate"/>
        </w:r>
        <w:r>
          <w:rPr>
            <w:noProof/>
            <w:webHidden/>
          </w:rPr>
          <w:t>144</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76" w:history="1">
        <w:r w:rsidRPr="00CC2DA1">
          <w:rPr>
            <w:rStyle w:val="a8"/>
            <w:rFonts w:asciiTheme="minorEastAsia" w:hAnsiTheme="minorEastAsia" w:hint="eastAsia"/>
            <w:bCs/>
            <w:noProof/>
          </w:rPr>
          <w:t>（三）基金份额持有人的权利和义务</w:t>
        </w:r>
        <w:r>
          <w:rPr>
            <w:noProof/>
            <w:webHidden/>
          </w:rPr>
          <w:tab/>
        </w:r>
        <w:r>
          <w:rPr>
            <w:noProof/>
            <w:webHidden/>
          </w:rPr>
          <w:fldChar w:fldCharType="begin"/>
        </w:r>
        <w:r>
          <w:rPr>
            <w:noProof/>
            <w:webHidden/>
          </w:rPr>
          <w:instrText xml:space="preserve"> PAGEREF _Toc43301976 \h </w:instrText>
        </w:r>
        <w:r>
          <w:rPr>
            <w:noProof/>
            <w:webHidden/>
          </w:rPr>
        </w:r>
        <w:r>
          <w:rPr>
            <w:noProof/>
            <w:webHidden/>
          </w:rPr>
          <w:fldChar w:fldCharType="separate"/>
        </w:r>
        <w:r>
          <w:rPr>
            <w:noProof/>
            <w:webHidden/>
          </w:rPr>
          <w:t>146</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77" w:history="1">
        <w:r w:rsidRPr="00CC2DA1">
          <w:rPr>
            <w:rStyle w:val="a8"/>
            <w:rFonts w:asciiTheme="minorEastAsia" w:hAnsiTheme="minorEastAsia" w:hint="eastAsia"/>
            <w:bCs/>
            <w:noProof/>
          </w:rPr>
          <w:t>（四）基金份额持有人大会</w:t>
        </w:r>
        <w:r>
          <w:rPr>
            <w:noProof/>
            <w:webHidden/>
          </w:rPr>
          <w:tab/>
        </w:r>
        <w:r>
          <w:rPr>
            <w:noProof/>
            <w:webHidden/>
          </w:rPr>
          <w:fldChar w:fldCharType="begin"/>
        </w:r>
        <w:r>
          <w:rPr>
            <w:noProof/>
            <w:webHidden/>
          </w:rPr>
          <w:instrText xml:space="preserve"> PAGEREF _Toc43301977 \h </w:instrText>
        </w:r>
        <w:r>
          <w:rPr>
            <w:noProof/>
            <w:webHidden/>
          </w:rPr>
        </w:r>
        <w:r>
          <w:rPr>
            <w:noProof/>
            <w:webHidden/>
          </w:rPr>
          <w:fldChar w:fldCharType="separate"/>
        </w:r>
        <w:r>
          <w:rPr>
            <w:noProof/>
            <w:webHidden/>
          </w:rPr>
          <w:t>146</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78" w:history="1">
        <w:r w:rsidRPr="00CC2DA1">
          <w:rPr>
            <w:rStyle w:val="a8"/>
            <w:rFonts w:asciiTheme="minorEastAsia" w:hAnsiTheme="minorEastAsia" w:hint="eastAsia"/>
            <w:bCs/>
            <w:noProof/>
          </w:rPr>
          <w:t>（五）基金合同的变更、终止与基金财产的清算</w:t>
        </w:r>
        <w:r>
          <w:rPr>
            <w:noProof/>
            <w:webHidden/>
          </w:rPr>
          <w:tab/>
        </w:r>
        <w:r>
          <w:rPr>
            <w:noProof/>
            <w:webHidden/>
          </w:rPr>
          <w:fldChar w:fldCharType="begin"/>
        </w:r>
        <w:r>
          <w:rPr>
            <w:noProof/>
            <w:webHidden/>
          </w:rPr>
          <w:instrText xml:space="preserve"> PAGEREF _Toc43301978 \h </w:instrText>
        </w:r>
        <w:r>
          <w:rPr>
            <w:noProof/>
            <w:webHidden/>
          </w:rPr>
        </w:r>
        <w:r>
          <w:rPr>
            <w:noProof/>
            <w:webHidden/>
          </w:rPr>
          <w:fldChar w:fldCharType="separate"/>
        </w:r>
        <w:r>
          <w:rPr>
            <w:noProof/>
            <w:webHidden/>
          </w:rPr>
          <w:t>152</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79" w:history="1">
        <w:r w:rsidRPr="00CC2DA1">
          <w:rPr>
            <w:rStyle w:val="a8"/>
            <w:rFonts w:asciiTheme="minorEastAsia" w:hAnsiTheme="minorEastAsia" w:hint="eastAsia"/>
            <w:bCs/>
            <w:noProof/>
          </w:rPr>
          <w:t>（六）争议的处理</w:t>
        </w:r>
        <w:r>
          <w:rPr>
            <w:noProof/>
            <w:webHidden/>
          </w:rPr>
          <w:tab/>
        </w:r>
        <w:r>
          <w:rPr>
            <w:noProof/>
            <w:webHidden/>
          </w:rPr>
          <w:fldChar w:fldCharType="begin"/>
        </w:r>
        <w:r>
          <w:rPr>
            <w:noProof/>
            <w:webHidden/>
          </w:rPr>
          <w:instrText xml:space="preserve"> PAGEREF _Toc43301979 \h </w:instrText>
        </w:r>
        <w:r>
          <w:rPr>
            <w:noProof/>
            <w:webHidden/>
          </w:rPr>
        </w:r>
        <w:r>
          <w:rPr>
            <w:noProof/>
            <w:webHidden/>
          </w:rPr>
          <w:fldChar w:fldCharType="separate"/>
        </w:r>
        <w:r>
          <w:rPr>
            <w:noProof/>
            <w:webHidden/>
          </w:rPr>
          <w:t>154</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80" w:history="1">
        <w:r w:rsidRPr="00CC2DA1">
          <w:rPr>
            <w:rStyle w:val="a8"/>
            <w:rFonts w:asciiTheme="minorEastAsia" w:hAnsiTheme="minorEastAsia" w:hint="eastAsia"/>
            <w:bCs/>
            <w:noProof/>
          </w:rPr>
          <w:t>（七）基金合同的效力</w:t>
        </w:r>
        <w:r>
          <w:rPr>
            <w:noProof/>
            <w:webHidden/>
          </w:rPr>
          <w:tab/>
        </w:r>
        <w:r>
          <w:rPr>
            <w:noProof/>
            <w:webHidden/>
          </w:rPr>
          <w:fldChar w:fldCharType="begin"/>
        </w:r>
        <w:r>
          <w:rPr>
            <w:noProof/>
            <w:webHidden/>
          </w:rPr>
          <w:instrText xml:space="preserve"> PAGEREF _Toc43301980 \h </w:instrText>
        </w:r>
        <w:r>
          <w:rPr>
            <w:noProof/>
            <w:webHidden/>
          </w:rPr>
        </w:r>
        <w:r>
          <w:rPr>
            <w:noProof/>
            <w:webHidden/>
          </w:rPr>
          <w:fldChar w:fldCharType="separate"/>
        </w:r>
        <w:r>
          <w:rPr>
            <w:noProof/>
            <w:webHidden/>
          </w:rPr>
          <w:t>154</w:t>
        </w:r>
        <w:r>
          <w:rPr>
            <w:noProof/>
            <w:webHidden/>
          </w:rPr>
          <w:fldChar w:fldCharType="end"/>
        </w:r>
      </w:hyperlink>
    </w:p>
    <w:p w:rsidR="009802E0" w:rsidRDefault="009802E0">
      <w:pPr>
        <w:pStyle w:val="10"/>
        <w:rPr>
          <w:rFonts w:asciiTheme="minorHAnsi" w:eastAsiaTheme="minorEastAsia" w:hAnsiTheme="minorHAnsi" w:cstheme="minorBidi"/>
          <w:caps w:val="0"/>
          <w:color w:val="auto"/>
          <w:sz w:val="21"/>
          <w:szCs w:val="22"/>
        </w:rPr>
      </w:pPr>
      <w:hyperlink w:anchor="_Toc43301981" w:history="1">
        <w:r w:rsidRPr="00CC2DA1">
          <w:rPr>
            <w:rStyle w:val="a8"/>
            <w:rFonts w:asciiTheme="minorEastAsia" w:hAnsiTheme="minorEastAsia" w:hint="eastAsia"/>
            <w:b/>
          </w:rPr>
          <w:t>二十二、基金托管协议的内容摘要</w:t>
        </w:r>
        <w:r>
          <w:rPr>
            <w:webHidden/>
          </w:rPr>
          <w:tab/>
        </w:r>
        <w:r>
          <w:rPr>
            <w:webHidden/>
          </w:rPr>
          <w:fldChar w:fldCharType="begin"/>
        </w:r>
        <w:r>
          <w:rPr>
            <w:webHidden/>
          </w:rPr>
          <w:instrText xml:space="preserve"> PAGEREF _Toc43301981 \h </w:instrText>
        </w:r>
        <w:r>
          <w:rPr>
            <w:webHidden/>
          </w:rPr>
        </w:r>
        <w:r>
          <w:rPr>
            <w:webHidden/>
          </w:rPr>
          <w:fldChar w:fldCharType="separate"/>
        </w:r>
        <w:r>
          <w:rPr>
            <w:webHidden/>
          </w:rPr>
          <w:t>156</w:t>
        </w:r>
        <w:r>
          <w:rPr>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82" w:history="1">
        <w:r w:rsidRPr="00CC2DA1">
          <w:rPr>
            <w:rStyle w:val="a8"/>
            <w:rFonts w:asciiTheme="minorEastAsia" w:hAnsiTheme="minorEastAsia" w:hint="eastAsia"/>
            <w:bCs/>
            <w:noProof/>
          </w:rPr>
          <w:t>（一）托管协议当事人</w:t>
        </w:r>
        <w:r>
          <w:rPr>
            <w:noProof/>
            <w:webHidden/>
          </w:rPr>
          <w:tab/>
        </w:r>
        <w:r>
          <w:rPr>
            <w:noProof/>
            <w:webHidden/>
          </w:rPr>
          <w:fldChar w:fldCharType="begin"/>
        </w:r>
        <w:r>
          <w:rPr>
            <w:noProof/>
            <w:webHidden/>
          </w:rPr>
          <w:instrText xml:space="preserve"> PAGEREF _Toc43301982 \h </w:instrText>
        </w:r>
        <w:r>
          <w:rPr>
            <w:noProof/>
            <w:webHidden/>
          </w:rPr>
        </w:r>
        <w:r>
          <w:rPr>
            <w:noProof/>
            <w:webHidden/>
          </w:rPr>
          <w:fldChar w:fldCharType="separate"/>
        </w:r>
        <w:r>
          <w:rPr>
            <w:noProof/>
            <w:webHidden/>
          </w:rPr>
          <w:t>156</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83" w:history="1">
        <w:r w:rsidRPr="00CC2DA1">
          <w:rPr>
            <w:rStyle w:val="a8"/>
            <w:rFonts w:asciiTheme="minorEastAsia" w:hAnsiTheme="minorEastAsia" w:hint="eastAsia"/>
            <w:bCs/>
            <w:noProof/>
          </w:rPr>
          <w:t>（二）基金托管人对基金管理人的业务监督、核查</w:t>
        </w:r>
        <w:r>
          <w:rPr>
            <w:noProof/>
            <w:webHidden/>
          </w:rPr>
          <w:tab/>
        </w:r>
        <w:r>
          <w:rPr>
            <w:noProof/>
            <w:webHidden/>
          </w:rPr>
          <w:fldChar w:fldCharType="begin"/>
        </w:r>
        <w:r>
          <w:rPr>
            <w:noProof/>
            <w:webHidden/>
          </w:rPr>
          <w:instrText xml:space="preserve"> PAGEREF _Toc43301983 \h </w:instrText>
        </w:r>
        <w:r>
          <w:rPr>
            <w:noProof/>
            <w:webHidden/>
          </w:rPr>
        </w:r>
        <w:r>
          <w:rPr>
            <w:noProof/>
            <w:webHidden/>
          </w:rPr>
          <w:fldChar w:fldCharType="separate"/>
        </w:r>
        <w:r>
          <w:rPr>
            <w:noProof/>
            <w:webHidden/>
          </w:rPr>
          <w:t>156</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84" w:history="1">
        <w:r w:rsidRPr="00CC2DA1">
          <w:rPr>
            <w:rStyle w:val="a8"/>
            <w:rFonts w:asciiTheme="minorEastAsia" w:hAnsiTheme="minorEastAsia" w:hint="eastAsia"/>
            <w:bCs/>
            <w:noProof/>
          </w:rPr>
          <w:t>（三）基金管理人对基金托管人的业务核查</w:t>
        </w:r>
        <w:r>
          <w:rPr>
            <w:noProof/>
            <w:webHidden/>
          </w:rPr>
          <w:tab/>
        </w:r>
        <w:r>
          <w:rPr>
            <w:noProof/>
            <w:webHidden/>
          </w:rPr>
          <w:fldChar w:fldCharType="begin"/>
        </w:r>
        <w:r>
          <w:rPr>
            <w:noProof/>
            <w:webHidden/>
          </w:rPr>
          <w:instrText xml:space="preserve"> PAGEREF _Toc43301984 \h </w:instrText>
        </w:r>
        <w:r>
          <w:rPr>
            <w:noProof/>
            <w:webHidden/>
          </w:rPr>
        </w:r>
        <w:r>
          <w:rPr>
            <w:noProof/>
            <w:webHidden/>
          </w:rPr>
          <w:fldChar w:fldCharType="separate"/>
        </w:r>
        <w:r>
          <w:rPr>
            <w:noProof/>
            <w:webHidden/>
          </w:rPr>
          <w:t>161</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85" w:history="1">
        <w:r w:rsidRPr="00CC2DA1">
          <w:rPr>
            <w:rStyle w:val="a8"/>
            <w:rFonts w:asciiTheme="minorEastAsia" w:hAnsiTheme="minorEastAsia" w:hint="eastAsia"/>
            <w:bCs/>
            <w:noProof/>
          </w:rPr>
          <w:t>（四）基金财产的保管</w:t>
        </w:r>
        <w:r>
          <w:rPr>
            <w:noProof/>
            <w:webHidden/>
          </w:rPr>
          <w:tab/>
        </w:r>
        <w:r>
          <w:rPr>
            <w:noProof/>
            <w:webHidden/>
          </w:rPr>
          <w:fldChar w:fldCharType="begin"/>
        </w:r>
        <w:r>
          <w:rPr>
            <w:noProof/>
            <w:webHidden/>
          </w:rPr>
          <w:instrText xml:space="preserve"> PAGEREF _Toc43301985 \h </w:instrText>
        </w:r>
        <w:r>
          <w:rPr>
            <w:noProof/>
            <w:webHidden/>
          </w:rPr>
        </w:r>
        <w:r>
          <w:rPr>
            <w:noProof/>
            <w:webHidden/>
          </w:rPr>
          <w:fldChar w:fldCharType="separate"/>
        </w:r>
        <w:r>
          <w:rPr>
            <w:noProof/>
            <w:webHidden/>
          </w:rPr>
          <w:t>162</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86" w:history="1">
        <w:r w:rsidRPr="00CC2DA1">
          <w:rPr>
            <w:rStyle w:val="a8"/>
            <w:rFonts w:asciiTheme="minorEastAsia" w:hAnsiTheme="minorEastAsia" w:hint="eastAsia"/>
            <w:bCs/>
            <w:noProof/>
          </w:rPr>
          <w:t>（五）基金资产净值计算与复核</w:t>
        </w:r>
        <w:r>
          <w:rPr>
            <w:noProof/>
            <w:webHidden/>
          </w:rPr>
          <w:tab/>
        </w:r>
        <w:r>
          <w:rPr>
            <w:noProof/>
            <w:webHidden/>
          </w:rPr>
          <w:fldChar w:fldCharType="begin"/>
        </w:r>
        <w:r>
          <w:rPr>
            <w:noProof/>
            <w:webHidden/>
          </w:rPr>
          <w:instrText xml:space="preserve"> PAGEREF _Toc43301986 \h </w:instrText>
        </w:r>
        <w:r>
          <w:rPr>
            <w:noProof/>
            <w:webHidden/>
          </w:rPr>
        </w:r>
        <w:r>
          <w:rPr>
            <w:noProof/>
            <w:webHidden/>
          </w:rPr>
          <w:fldChar w:fldCharType="separate"/>
        </w:r>
        <w:r>
          <w:rPr>
            <w:noProof/>
            <w:webHidden/>
          </w:rPr>
          <w:t>164</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87" w:history="1">
        <w:r w:rsidRPr="00CC2DA1">
          <w:rPr>
            <w:rStyle w:val="a8"/>
            <w:rFonts w:asciiTheme="minorEastAsia" w:hAnsiTheme="minorEastAsia" w:hint="eastAsia"/>
            <w:bCs/>
            <w:noProof/>
          </w:rPr>
          <w:t>（六）基金份额持有人名册的保管</w:t>
        </w:r>
        <w:r>
          <w:rPr>
            <w:noProof/>
            <w:webHidden/>
          </w:rPr>
          <w:tab/>
        </w:r>
        <w:r>
          <w:rPr>
            <w:noProof/>
            <w:webHidden/>
          </w:rPr>
          <w:fldChar w:fldCharType="begin"/>
        </w:r>
        <w:r>
          <w:rPr>
            <w:noProof/>
            <w:webHidden/>
          </w:rPr>
          <w:instrText xml:space="preserve"> PAGEREF _Toc43301987 \h </w:instrText>
        </w:r>
        <w:r>
          <w:rPr>
            <w:noProof/>
            <w:webHidden/>
          </w:rPr>
        </w:r>
        <w:r>
          <w:rPr>
            <w:noProof/>
            <w:webHidden/>
          </w:rPr>
          <w:fldChar w:fldCharType="separate"/>
        </w:r>
        <w:r>
          <w:rPr>
            <w:noProof/>
            <w:webHidden/>
          </w:rPr>
          <w:t>165</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88" w:history="1">
        <w:r w:rsidRPr="00CC2DA1">
          <w:rPr>
            <w:rStyle w:val="a8"/>
            <w:rFonts w:asciiTheme="minorEastAsia" w:hAnsiTheme="minorEastAsia" w:hint="eastAsia"/>
            <w:bCs/>
            <w:noProof/>
          </w:rPr>
          <w:t>（七）适用法律与争议解决方式</w:t>
        </w:r>
        <w:r>
          <w:rPr>
            <w:noProof/>
            <w:webHidden/>
          </w:rPr>
          <w:tab/>
        </w:r>
        <w:r>
          <w:rPr>
            <w:noProof/>
            <w:webHidden/>
          </w:rPr>
          <w:fldChar w:fldCharType="begin"/>
        </w:r>
        <w:r>
          <w:rPr>
            <w:noProof/>
            <w:webHidden/>
          </w:rPr>
          <w:instrText xml:space="preserve"> PAGEREF _Toc43301988 \h </w:instrText>
        </w:r>
        <w:r>
          <w:rPr>
            <w:noProof/>
            <w:webHidden/>
          </w:rPr>
        </w:r>
        <w:r>
          <w:rPr>
            <w:noProof/>
            <w:webHidden/>
          </w:rPr>
          <w:fldChar w:fldCharType="separate"/>
        </w:r>
        <w:r>
          <w:rPr>
            <w:noProof/>
            <w:webHidden/>
          </w:rPr>
          <w:t>166</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89" w:history="1">
        <w:r w:rsidRPr="00CC2DA1">
          <w:rPr>
            <w:rStyle w:val="a8"/>
            <w:rFonts w:asciiTheme="minorEastAsia" w:hAnsiTheme="minorEastAsia" w:hint="eastAsia"/>
            <w:bCs/>
            <w:noProof/>
          </w:rPr>
          <w:t>（八）托管协议的变更与终止</w:t>
        </w:r>
        <w:r>
          <w:rPr>
            <w:noProof/>
            <w:webHidden/>
          </w:rPr>
          <w:tab/>
        </w:r>
        <w:r>
          <w:rPr>
            <w:noProof/>
            <w:webHidden/>
          </w:rPr>
          <w:fldChar w:fldCharType="begin"/>
        </w:r>
        <w:r>
          <w:rPr>
            <w:noProof/>
            <w:webHidden/>
          </w:rPr>
          <w:instrText xml:space="preserve"> PAGEREF _Toc43301989 \h </w:instrText>
        </w:r>
        <w:r>
          <w:rPr>
            <w:noProof/>
            <w:webHidden/>
          </w:rPr>
        </w:r>
        <w:r>
          <w:rPr>
            <w:noProof/>
            <w:webHidden/>
          </w:rPr>
          <w:fldChar w:fldCharType="separate"/>
        </w:r>
        <w:r>
          <w:rPr>
            <w:noProof/>
            <w:webHidden/>
          </w:rPr>
          <w:t>166</w:t>
        </w:r>
        <w:r>
          <w:rPr>
            <w:noProof/>
            <w:webHidden/>
          </w:rPr>
          <w:fldChar w:fldCharType="end"/>
        </w:r>
      </w:hyperlink>
    </w:p>
    <w:p w:rsidR="009802E0" w:rsidRDefault="009802E0">
      <w:pPr>
        <w:pStyle w:val="10"/>
        <w:rPr>
          <w:rFonts w:asciiTheme="minorHAnsi" w:eastAsiaTheme="minorEastAsia" w:hAnsiTheme="minorHAnsi" w:cstheme="minorBidi"/>
          <w:caps w:val="0"/>
          <w:color w:val="auto"/>
          <w:sz w:val="21"/>
          <w:szCs w:val="22"/>
        </w:rPr>
      </w:pPr>
      <w:hyperlink w:anchor="_Toc43301990" w:history="1">
        <w:r w:rsidRPr="00CC2DA1">
          <w:rPr>
            <w:rStyle w:val="a8"/>
            <w:rFonts w:asciiTheme="minorEastAsia" w:hAnsiTheme="minorEastAsia" w:hint="eastAsia"/>
            <w:b/>
          </w:rPr>
          <w:t>二十三、对基金份额持有人的服务</w:t>
        </w:r>
        <w:r>
          <w:rPr>
            <w:webHidden/>
          </w:rPr>
          <w:tab/>
        </w:r>
        <w:r>
          <w:rPr>
            <w:webHidden/>
          </w:rPr>
          <w:fldChar w:fldCharType="begin"/>
        </w:r>
        <w:r>
          <w:rPr>
            <w:webHidden/>
          </w:rPr>
          <w:instrText xml:space="preserve"> PAGEREF _Toc43301990 \h </w:instrText>
        </w:r>
        <w:r>
          <w:rPr>
            <w:webHidden/>
          </w:rPr>
        </w:r>
        <w:r>
          <w:rPr>
            <w:webHidden/>
          </w:rPr>
          <w:fldChar w:fldCharType="separate"/>
        </w:r>
        <w:r>
          <w:rPr>
            <w:webHidden/>
          </w:rPr>
          <w:t>167</w:t>
        </w:r>
        <w:r>
          <w:rPr>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91" w:history="1">
        <w:r w:rsidRPr="00CC2DA1">
          <w:rPr>
            <w:rStyle w:val="a8"/>
            <w:rFonts w:asciiTheme="minorEastAsia" w:hAnsiTheme="minorEastAsia" w:hint="eastAsia"/>
            <w:bCs/>
            <w:noProof/>
          </w:rPr>
          <w:t>（一）基金份额持有人投资交易确认服务</w:t>
        </w:r>
        <w:r>
          <w:rPr>
            <w:noProof/>
            <w:webHidden/>
          </w:rPr>
          <w:tab/>
        </w:r>
        <w:r>
          <w:rPr>
            <w:noProof/>
            <w:webHidden/>
          </w:rPr>
          <w:fldChar w:fldCharType="begin"/>
        </w:r>
        <w:r>
          <w:rPr>
            <w:noProof/>
            <w:webHidden/>
          </w:rPr>
          <w:instrText xml:space="preserve"> PAGEREF _Toc43301991 \h </w:instrText>
        </w:r>
        <w:r>
          <w:rPr>
            <w:noProof/>
            <w:webHidden/>
          </w:rPr>
        </w:r>
        <w:r>
          <w:rPr>
            <w:noProof/>
            <w:webHidden/>
          </w:rPr>
          <w:fldChar w:fldCharType="separate"/>
        </w:r>
        <w:r>
          <w:rPr>
            <w:noProof/>
            <w:webHidden/>
          </w:rPr>
          <w:t>167</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92" w:history="1">
        <w:r w:rsidRPr="00CC2DA1">
          <w:rPr>
            <w:rStyle w:val="a8"/>
            <w:rFonts w:asciiTheme="minorEastAsia" w:hAnsiTheme="minorEastAsia" w:hint="eastAsia"/>
            <w:bCs/>
            <w:noProof/>
          </w:rPr>
          <w:t>（二）基金份额持有人交易记录查询服务</w:t>
        </w:r>
        <w:r>
          <w:rPr>
            <w:noProof/>
            <w:webHidden/>
          </w:rPr>
          <w:tab/>
        </w:r>
        <w:r>
          <w:rPr>
            <w:noProof/>
            <w:webHidden/>
          </w:rPr>
          <w:fldChar w:fldCharType="begin"/>
        </w:r>
        <w:r>
          <w:rPr>
            <w:noProof/>
            <w:webHidden/>
          </w:rPr>
          <w:instrText xml:space="preserve"> PAGEREF _Toc43301992 \h </w:instrText>
        </w:r>
        <w:r>
          <w:rPr>
            <w:noProof/>
            <w:webHidden/>
          </w:rPr>
        </w:r>
        <w:r>
          <w:rPr>
            <w:noProof/>
            <w:webHidden/>
          </w:rPr>
          <w:fldChar w:fldCharType="separate"/>
        </w:r>
        <w:r>
          <w:rPr>
            <w:noProof/>
            <w:webHidden/>
          </w:rPr>
          <w:t>167</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93" w:history="1">
        <w:r w:rsidRPr="00CC2DA1">
          <w:rPr>
            <w:rStyle w:val="a8"/>
            <w:rFonts w:asciiTheme="minorEastAsia" w:hAnsiTheme="minorEastAsia" w:hint="eastAsia"/>
            <w:bCs/>
            <w:noProof/>
          </w:rPr>
          <w:t>（三）基金份额持有人的对账单服务</w:t>
        </w:r>
        <w:r>
          <w:rPr>
            <w:noProof/>
            <w:webHidden/>
          </w:rPr>
          <w:tab/>
        </w:r>
        <w:r>
          <w:rPr>
            <w:noProof/>
            <w:webHidden/>
          </w:rPr>
          <w:fldChar w:fldCharType="begin"/>
        </w:r>
        <w:r>
          <w:rPr>
            <w:noProof/>
            <w:webHidden/>
          </w:rPr>
          <w:instrText xml:space="preserve"> PAGEREF _Toc43301993 \h </w:instrText>
        </w:r>
        <w:r>
          <w:rPr>
            <w:noProof/>
            <w:webHidden/>
          </w:rPr>
        </w:r>
        <w:r>
          <w:rPr>
            <w:noProof/>
            <w:webHidden/>
          </w:rPr>
          <w:fldChar w:fldCharType="separate"/>
        </w:r>
        <w:r>
          <w:rPr>
            <w:noProof/>
            <w:webHidden/>
          </w:rPr>
          <w:t>167</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94" w:history="1">
        <w:r w:rsidRPr="00CC2DA1">
          <w:rPr>
            <w:rStyle w:val="a8"/>
            <w:rFonts w:asciiTheme="minorEastAsia" w:hAnsiTheme="minorEastAsia" w:hint="eastAsia"/>
            <w:bCs/>
            <w:noProof/>
          </w:rPr>
          <w:t>（四）定期定额投资计划</w:t>
        </w:r>
        <w:r>
          <w:rPr>
            <w:noProof/>
            <w:webHidden/>
          </w:rPr>
          <w:tab/>
        </w:r>
        <w:r>
          <w:rPr>
            <w:noProof/>
            <w:webHidden/>
          </w:rPr>
          <w:fldChar w:fldCharType="begin"/>
        </w:r>
        <w:r>
          <w:rPr>
            <w:noProof/>
            <w:webHidden/>
          </w:rPr>
          <w:instrText xml:space="preserve"> PAGEREF _Toc43301994 \h </w:instrText>
        </w:r>
        <w:r>
          <w:rPr>
            <w:noProof/>
            <w:webHidden/>
          </w:rPr>
        </w:r>
        <w:r>
          <w:rPr>
            <w:noProof/>
            <w:webHidden/>
          </w:rPr>
          <w:fldChar w:fldCharType="separate"/>
        </w:r>
        <w:r>
          <w:rPr>
            <w:noProof/>
            <w:webHidden/>
          </w:rPr>
          <w:t>167</w:t>
        </w:r>
        <w:r>
          <w:rPr>
            <w:noProof/>
            <w:webHidden/>
          </w:rPr>
          <w:fldChar w:fldCharType="end"/>
        </w:r>
      </w:hyperlink>
    </w:p>
    <w:p w:rsidR="009802E0" w:rsidRDefault="009802E0">
      <w:pPr>
        <w:pStyle w:val="23"/>
        <w:tabs>
          <w:tab w:val="right" w:leader="dot" w:pos="8268"/>
        </w:tabs>
        <w:ind w:firstLine="420"/>
        <w:rPr>
          <w:rFonts w:asciiTheme="minorHAnsi" w:eastAsiaTheme="minorEastAsia" w:hAnsiTheme="minorHAnsi" w:cstheme="minorBidi"/>
          <w:smallCaps w:val="0"/>
          <w:noProof/>
          <w:szCs w:val="22"/>
        </w:rPr>
      </w:pPr>
      <w:hyperlink w:anchor="_Toc43301995" w:history="1">
        <w:r w:rsidRPr="00CC2DA1">
          <w:rPr>
            <w:rStyle w:val="a8"/>
            <w:rFonts w:asciiTheme="minorEastAsia" w:hAnsiTheme="minorEastAsia" w:hint="eastAsia"/>
            <w:bCs/>
            <w:noProof/>
          </w:rPr>
          <w:t>（五）资讯服务</w:t>
        </w:r>
        <w:r>
          <w:rPr>
            <w:noProof/>
            <w:webHidden/>
          </w:rPr>
          <w:tab/>
        </w:r>
        <w:r>
          <w:rPr>
            <w:noProof/>
            <w:webHidden/>
          </w:rPr>
          <w:fldChar w:fldCharType="begin"/>
        </w:r>
        <w:r>
          <w:rPr>
            <w:noProof/>
            <w:webHidden/>
          </w:rPr>
          <w:instrText xml:space="preserve"> PAGEREF _Toc43301995 \h </w:instrText>
        </w:r>
        <w:r>
          <w:rPr>
            <w:noProof/>
            <w:webHidden/>
          </w:rPr>
        </w:r>
        <w:r>
          <w:rPr>
            <w:noProof/>
            <w:webHidden/>
          </w:rPr>
          <w:fldChar w:fldCharType="separate"/>
        </w:r>
        <w:r>
          <w:rPr>
            <w:noProof/>
            <w:webHidden/>
          </w:rPr>
          <w:t>167</w:t>
        </w:r>
        <w:r>
          <w:rPr>
            <w:noProof/>
            <w:webHidden/>
          </w:rPr>
          <w:fldChar w:fldCharType="end"/>
        </w:r>
      </w:hyperlink>
    </w:p>
    <w:p w:rsidR="009802E0" w:rsidRDefault="009802E0">
      <w:pPr>
        <w:pStyle w:val="10"/>
        <w:rPr>
          <w:rFonts w:asciiTheme="minorHAnsi" w:eastAsiaTheme="minorEastAsia" w:hAnsiTheme="minorHAnsi" w:cstheme="minorBidi"/>
          <w:caps w:val="0"/>
          <w:color w:val="auto"/>
          <w:sz w:val="21"/>
          <w:szCs w:val="22"/>
        </w:rPr>
      </w:pPr>
      <w:hyperlink w:anchor="_Toc43301996" w:history="1">
        <w:r w:rsidRPr="00CC2DA1">
          <w:rPr>
            <w:rStyle w:val="a8"/>
            <w:rFonts w:asciiTheme="minorEastAsia" w:hAnsiTheme="minorEastAsia" w:hint="eastAsia"/>
            <w:b/>
          </w:rPr>
          <w:t>二十四、其他应披露事项</w:t>
        </w:r>
        <w:r>
          <w:rPr>
            <w:webHidden/>
          </w:rPr>
          <w:tab/>
        </w:r>
        <w:r>
          <w:rPr>
            <w:webHidden/>
          </w:rPr>
          <w:fldChar w:fldCharType="begin"/>
        </w:r>
        <w:r>
          <w:rPr>
            <w:webHidden/>
          </w:rPr>
          <w:instrText xml:space="preserve"> PAGEREF _Toc43301996 \h </w:instrText>
        </w:r>
        <w:r>
          <w:rPr>
            <w:webHidden/>
          </w:rPr>
        </w:r>
        <w:r>
          <w:rPr>
            <w:webHidden/>
          </w:rPr>
          <w:fldChar w:fldCharType="separate"/>
        </w:r>
        <w:r>
          <w:rPr>
            <w:webHidden/>
          </w:rPr>
          <w:t>168</w:t>
        </w:r>
        <w:r>
          <w:rPr>
            <w:webHidden/>
          </w:rPr>
          <w:fldChar w:fldCharType="end"/>
        </w:r>
      </w:hyperlink>
    </w:p>
    <w:p w:rsidR="009802E0" w:rsidRDefault="009802E0">
      <w:pPr>
        <w:pStyle w:val="10"/>
        <w:rPr>
          <w:rFonts w:asciiTheme="minorHAnsi" w:eastAsiaTheme="minorEastAsia" w:hAnsiTheme="minorHAnsi" w:cstheme="minorBidi"/>
          <w:caps w:val="0"/>
          <w:color w:val="auto"/>
          <w:sz w:val="21"/>
          <w:szCs w:val="22"/>
        </w:rPr>
      </w:pPr>
      <w:hyperlink w:anchor="_Toc43301997" w:history="1">
        <w:r w:rsidRPr="00CC2DA1">
          <w:rPr>
            <w:rStyle w:val="a8"/>
            <w:rFonts w:asciiTheme="minorEastAsia" w:hAnsiTheme="minorEastAsia" w:hint="eastAsia"/>
            <w:b/>
          </w:rPr>
          <w:t>二十五、招募说明书的存放及查阅方式</w:t>
        </w:r>
        <w:r>
          <w:rPr>
            <w:webHidden/>
          </w:rPr>
          <w:tab/>
        </w:r>
        <w:r>
          <w:rPr>
            <w:webHidden/>
          </w:rPr>
          <w:fldChar w:fldCharType="begin"/>
        </w:r>
        <w:r>
          <w:rPr>
            <w:webHidden/>
          </w:rPr>
          <w:instrText xml:space="preserve"> PAGEREF _Toc43301997 \h </w:instrText>
        </w:r>
        <w:r>
          <w:rPr>
            <w:webHidden/>
          </w:rPr>
        </w:r>
        <w:r>
          <w:rPr>
            <w:webHidden/>
          </w:rPr>
          <w:fldChar w:fldCharType="separate"/>
        </w:r>
        <w:r>
          <w:rPr>
            <w:webHidden/>
          </w:rPr>
          <w:t>172</w:t>
        </w:r>
        <w:r>
          <w:rPr>
            <w:webHidden/>
          </w:rPr>
          <w:fldChar w:fldCharType="end"/>
        </w:r>
      </w:hyperlink>
    </w:p>
    <w:p w:rsidR="009802E0" w:rsidRDefault="009802E0">
      <w:pPr>
        <w:pStyle w:val="10"/>
        <w:rPr>
          <w:rFonts w:asciiTheme="minorHAnsi" w:eastAsiaTheme="minorEastAsia" w:hAnsiTheme="minorHAnsi" w:cstheme="minorBidi"/>
          <w:caps w:val="0"/>
          <w:color w:val="auto"/>
          <w:sz w:val="21"/>
          <w:szCs w:val="22"/>
        </w:rPr>
      </w:pPr>
      <w:hyperlink w:anchor="_Toc43301998" w:history="1">
        <w:r w:rsidRPr="00CC2DA1">
          <w:rPr>
            <w:rStyle w:val="a8"/>
            <w:rFonts w:asciiTheme="minorEastAsia" w:hAnsiTheme="minorEastAsia" w:hint="eastAsia"/>
            <w:b/>
          </w:rPr>
          <w:t>二十六、备查</w:t>
        </w:r>
        <w:r w:rsidRPr="00CC2DA1">
          <w:rPr>
            <w:rStyle w:val="a8"/>
            <w:rFonts w:asciiTheme="minorEastAsia" w:hAnsiTheme="minorEastAsia" w:hint="eastAsia"/>
            <w:b/>
          </w:rPr>
          <w:t>文</w:t>
        </w:r>
        <w:r w:rsidRPr="00CC2DA1">
          <w:rPr>
            <w:rStyle w:val="a8"/>
            <w:rFonts w:asciiTheme="minorEastAsia" w:hAnsiTheme="minorEastAsia" w:hint="eastAsia"/>
            <w:b/>
          </w:rPr>
          <w:t>件</w:t>
        </w:r>
        <w:r>
          <w:rPr>
            <w:webHidden/>
          </w:rPr>
          <w:tab/>
        </w:r>
        <w:r>
          <w:rPr>
            <w:webHidden/>
          </w:rPr>
          <w:fldChar w:fldCharType="begin"/>
        </w:r>
        <w:r>
          <w:rPr>
            <w:webHidden/>
          </w:rPr>
          <w:instrText xml:space="preserve"> PAGEREF _Toc43301998 \h </w:instrText>
        </w:r>
        <w:r>
          <w:rPr>
            <w:webHidden/>
          </w:rPr>
        </w:r>
        <w:r>
          <w:rPr>
            <w:webHidden/>
          </w:rPr>
          <w:fldChar w:fldCharType="separate"/>
        </w:r>
        <w:r>
          <w:rPr>
            <w:webHidden/>
          </w:rPr>
          <w:t>173</w:t>
        </w:r>
        <w:r>
          <w:rPr>
            <w:webHidden/>
          </w:rPr>
          <w:fldChar w:fldCharType="end"/>
        </w:r>
      </w:hyperlink>
    </w:p>
    <w:p w:rsidR="00B43AC4" w:rsidRPr="009802E0" w:rsidRDefault="00B35B6A" w:rsidP="00FE018D">
      <w:pPr>
        <w:adjustRightInd w:val="0"/>
        <w:snapToGrid w:val="0"/>
        <w:spacing w:line="360" w:lineRule="auto"/>
        <w:ind w:firstLine="560"/>
        <w:jc w:val="center"/>
        <w:rPr>
          <w:rFonts w:asciiTheme="minorEastAsia" w:eastAsiaTheme="minorEastAsia" w:hAnsiTheme="minorEastAsia"/>
        </w:rPr>
        <w:sectPr w:rsidR="00B43AC4" w:rsidRPr="009802E0">
          <w:footerReference w:type="default" r:id="rId15"/>
          <w:pgSz w:w="11906" w:h="16838" w:code="9"/>
          <w:pgMar w:top="1701" w:right="1814" w:bottom="1701" w:left="1814" w:header="1134" w:footer="1247" w:gutter="0"/>
          <w:pgNumType w:fmt="upperRoman" w:start="1"/>
          <w:cols w:space="720"/>
          <w:docGrid w:type="lines" w:linePitch="447"/>
        </w:sectPr>
      </w:pPr>
      <w:r w:rsidRPr="009802E0">
        <w:rPr>
          <w:rFonts w:asciiTheme="minorEastAsia" w:eastAsiaTheme="minorEastAsia" w:hAnsiTheme="minorEastAsia"/>
          <w:b/>
          <w:noProof/>
          <w:sz w:val="24"/>
          <w:szCs w:val="28"/>
        </w:rPr>
        <w:fldChar w:fldCharType="end"/>
      </w:r>
    </w:p>
    <w:p w:rsidR="00B43AC4" w:rsidRPr="009802E0" w:rsidRDefault="00B43AC4" w:rsidP="00FE018D">
      <w:pPr>
        <w:pStyle w:val="111"/>
        <w:pageBreakBefore w:val="0"/>
        <w:adjustRightInd w:val="0"/>
        <w:snapToGrid w:val="0"/>
        <w:spacing w:beforeLines="0" w:afterLines="0" w:line="360" w:lineRule="auto"/>
        <w:ind w:firstLineChars="0" w:firstLine="0"/>
        <w:rPr>
          <w:rFonts w:asciiTheme="minorEastAsia" w:eastAsiaTheme="minorEastAsia" w:hAnsiTheme="minorEastAsia"/>
          <w:b/>
          <w:sz w:val="30"/>
        </w:rPr>
      </w:pPr>
      <w:bookmarkStart w:id="0" w:name="_Toc43301872"/>
      <w:r w:rsidRPr="009802E0">
        <w:rPr>
          <w:rFonts w:asciiTheme="minorEastAsia" w:eastAsiaTheme="minorEastAsia" w:hAnsiTheme="minorEastAsia" w:hint="eastAsia"/>
          <w:b/>
          <w:sz w:val="30"/>
        </w:rPr>
        <w:lastRenderedPageBreak/>
        <w:t>一、绪言</w:t>
      </w:r>
      <w:bookmarkEnd w:id="0"/>
    </w:p>
    <w:p w:rsidR="00B43AC4" w:rsidRPr="009802E0" w:rsidRDefault="00B43AC4" w:rsidP="00FE018D">
      <w:pPr>
        <w:autoSpaceDE w:val="0"/>
        <w:autoSpaceDN w:val="0"/>
        <w:adjustRightInd w:val="0"/>
        <w:snapToGrid w:val="0"/>
        <w:spacing w:line="360" w:lineRule="auto"/>
        <w:ind w:firstLine="420"/>
        <w:rPr>
          <w:rFonts w:asciiTheme="minorEastAsia" w:eastAsiaTheme="minorEastAsia" w:hAnsiTheme="minorEastAsia"/>
        </w:rPr>
      </w:pPr>
      <w:r w:rsidRPr="009802E0">
        <w:rPr>
          <w:rFonts w:asciiTheme="minorEastAsia" w:eastAsiaTheme="minorEastAsia" w:hAnsiTheme="minorEastAsia" w:hint="eastAsia"/>
        </w:rPr>
        <w:t>本招募说明书依据《中华人民共和国证券投资基金法》（以下简称《基金法》）、《证券投资基金运作管理办法》（以下简称《运作办法》）、《证券投资基金销售管理办法》（以下简称《销售办法》）、《证券投资基金信息披露管理办法》（以下简称《</w:t>
      </w:r>
      <w:r w:rsidR="004E4473" w:rsidRPr="009802E0">
        <w:rPr>
          <w:rFonts w:asciiTheme="minorEastAsia" w:eastAsiaTheme="minorEastAsia" w:hAnsiTheme="minorEastAsia" w:hint="eastAsia"/>
        </w:rPr>
        <w:t>公开募集</w:t>
      </w:r>
      <w:r w:rsidRPr="009802E0">
        <w:rPr>
          <w:rFonts w:asciiTheme="minorEastAsia" w:eastAsiaTheme="minorEastAsia" w:hAnsiTheme="minorEastAsia" w:hint="eastAsia"/>
        </w:rPr>
        <w:t>信息披露办法》）、《证券投资基金信息披露内容与格式准则第</w:t>
      </w:r>
      <w:r w:rsidRPr="009802E0">
        <w:rPr>
          <w:rFonts w:asciiTheme="minorEastAsia" w:eastAsiaTheme="minorEastAsia" w:hAnsiTheme="minorEastAsia"/>
        </w:rPr>
        <w:t>5</w:t>
      </w:r>
      <w:r w:rsidRPr="009802E0">
        <w:rPr>
          <w:rFonts w:asciiTheme="minorEastAsia" w:eastAsiaTheme="minorEastAsia" w:hAnsiTheme="minorEastAsia" w:hint="eastAsia"/>
        </w:rPr>
        <w:t>号</w:t>
      </w:r>
      <w:r w:rsidRPr="009802E0">
        <w:rPr>
          <w:rFonts w:asciiTheme="minorEastAsia" w:eastAsiaTheme="minorEastAsia" w:hAnsiTheme="minorEastAsia"/>
        </w:rPr>
        <w:t>&lt;</w:t>
      </w:r>
      <w:r w:rsidRPr="009802E0">
        <w:rPr>
          <w:rFonts w:asciiTheme="minorEastAsia" w:eastAsiaTheme="minorEastAsia" w:hAnsiTheme="minorEastAsia" w:hint="eastAsia"/>
        </w:rPr>
        <w:t>招募说明书的内容与格式</w:t>
      </w:r>
      <w:r w:rsidRPr="009802E0">
        <w:rPr>
          <w:rFonts w:asciiTheme="minorEastAsia" w:eastAsiaTheme="minorEastAsia" w:hAnsiTheme="minorEastAsia"/>
        </w:rPr>
        <w:t>&gt;</w:t>
      </w:r>
      <w:r w:rsidRPr="009802E0">
        <w:rPr>
          <w:rFonts w:asciiTheme="minorEastAsia" w:eastAsiaTheme="minorEastAsia" w:hAnsiTheme="minorEastAsia" w:hint="eastAsia"/>
        </w:rPr>
        <w:t>》</w:t>
      </w:r>
      <w:r w:rsidR="00954E08" w:rsidRPr="009802E0">
        <w:rPr>
          <w:rFonts w:asciiTheme="minorEastAsia" w:eastAsiaTheme="minorEastAsia" w:hAnsiTheme="minorEastAsia" w:hint="eastAsia"/>
        </w:rPr>
        <w:t>、《公开募集开放式证券投资基金流动性风险管理规定》（以下简称“《管理规定》”）</w:t>
      </w:r>
      <w:r w:rsidRPr="009802E0">
        <w:rPr>
          <w:rFonts w:asciiTheme="minorEastAsia" w:eastAsiaTheme="minorEastAsia" w:hAnsiTheme="minorEastAsia" w:hint="eastAsia"/>
        </w:rPr>
        <w:t>、《易方达</w:t>
      </w:r>
      <w:r w:rsidR="002844EC" w:rsidRPr="009802E0">
        <w:rPr>
          <w:rFonts w:asciiTheme="minorEastAsia" w:eastAsiaTheme="minorEastAsia" w:hAnsiTheme="minorEastAsia" w:hint="eastAsia"/>
        </w:rPr>
        <w:t>安心回报</w:t>
      </w:r>
      <w:r w:rsidRPr="009802E0">
        <w:rPr>
          <w:rFonts w:asciiTheme="minorEastAsia" w:eastAsiaTheme="minorEastAsia" w:hAnsiTheme="minorEastAsia" w:hint="eastAsia"/>
        </w:rPr>
        <w:t>债券型证券投资基金基金合同》（以下简称基金合同）及其它有关规定等编写。</w:t>
      </w:r>
    </w:p>
    <w:p w:rsidR="00B43AC4" w:rsidRPr="009802E0" w:rsidRDefault="00B43AC4" w:rsidP="00FE018D">
      <w:pPr>
        <w:adjustRightInd w:val="0"/>
        <w:snapToGrid w:val="0"/>
        <w:spacing w:line="360" w:lineRule="auto"/>
        <w:ind w:firstLine="482"/>
        <w:rPr>
          <w:rFonts w:asciiTheme="minorEastAsia" w:eastAsiaTheme="minorEastAsia" w:hAnsiTheme="minorEastAsia"/>
        </w:rPr>
      </w:pPr>
      <w:r w:rsidRPr="009802E0">
        <w:rPr>
          <w:rStyle w:val="da"/>
          <w:rFonts w:asciiTheme="minorEastAsia" w:eastAsiaTheme="minorEastAsia" w:hAnsiTheme="minor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Pr="009802E0">
        <w:rPr>
          <w:rStyle w:val="da"/>
          <w:rFonts w:asciiTheme="minorEastAsia" w:eastAsiaTheme="minorEastAsia" w:hAnsiTheme="minorEastAsia" w:hint="eastAsia"/>
        </w:rPr>
        <w:t>，</w:t>
      </w:r>
      <w:r w:rsidRPr="009802E0">
        <w:rPr>
          <w:rStyle w:val="da"/>
          <w:rFonts w:asciiTheme="minorEastAsia" w:eastAsiaTheme="minorEastAsia" w:hAnsiTheme="minorEastAsia"/>
        </w:rPr>
        <w:t>或对本招募说明书作任何解释或者说明。</w:t>
      </w:r>
    </w:p>
    <w:p w:rsidR="00B43AC4" w:rsidRPr="009802E0" w:rsidRDefault="00B43AC4" w:rsidP="00FE018D">
      <w:pPr>
        <w:adjustRightInd w:val="0"/>
        <w:snapToGrid w:val="0"/>
        <w:spacing w:line="360" w:lineRule="auto"/>
        <w:ind w:firstLine="482"/>
        <w:rPr>
          <w:rStyle w:val="da"/>
          <w:rFonts w:asciiTheme="minorEastAsia" w:eastAsiaTheme="minorEastAsia" w:hAnsiTheme="minorEastAsia"/>
        </w:rPr>
      </w:pPr>
      <w:r w:rsidRPr="009802E0">
        <w:rPr>
          <w:rStyle w:val="da"/>
          <w:rFonts w:asciiTheme="minorEastAsia" w:eastAsiaTheme="minorEastAsia" w:hAnsiTheme="minorEastAsia"/>
        </w:rPr>
        <w:t>本招募说明书根据本基金的基金合同编写</w:t>
      </w:r>
      <w:r w:rsidRPr="009802E0">
        <w:rPr>
          <w:rStyle w:val="da"/>
          <w:rFonts w:asciiTheme="minorEastAsia" w:eastAsiaTheme="minorEastAsia" w:hAnsiTheme="minorEastAsia" w:hint="eastAsia"/>
        </w:rPr>
        <w:t>，</w:t>
      </w:r>
      <w:r w:rsidRPr="009802E0">
        <w:rPr>
          <w:rStyle w:val="da"/>
          <w:rFonts w:asciiTheme="minorEastAsia" w:eastAsiaTheme="minorEastAsia" w:hAnsiTheme="minorEastAsia"/>
        </w:rPr>
        <w:t>并经中国证监会核准。基金合同是约定基金当事人之间权利、义务的法律文件。基金投资人自依基金合同取得基金份额</w:t>
      </w:r>
      <w:r w:rsidRPr="009802E0">
        <w:rPr>
          <w:rStyle w:val="da"/>
          <w:rFonts w:asciiTheme="minorEastAsia" w:eastAsiaTheme="minorEastAsia" w:hAnsiTheme="minorEastAsia" w:hint="eastAsia"/>
        </w:rPr>
        <w:t>，</w:t>
      </w:r>
      <w:r w:rsidRPr="009802E0">
        <w:rPr>
          <w:rStyle w:val="da"/>
          <w:rFonts w:asciiTheme="minorEastAsia" w:eastAsiaTheme="minorEastAsia" w:hAnsiTheme="minorEastAsia"/>
        </w:rPr>
        <w:t>即成为基金份额持有人和本基金合同的当事人</w:t>
      </w:r>
      <w:r w:rsidRPr="009802E0">
        <w:rPr>
          <w:rStyle w:val="da"/>
          <w:rFonts w:asciiTheme="minorEastAsia" w:eastAsiaTheme="minorEastAsia" w:hAnsiTheme="minorEastAsia" w:hint="eastAsia"/>
        </w:rPr>
        <w:t>，</w:t>
      </w:r>
      <w:r w:rsidRPr="009802E0">
        <w:rPr>
          <w:rStyle w:val="da"/>
          <w:rFonts w:asciiTheme="minorEastAsia" w:eastAsiaTheme="minorEastAsia" w:hAnsiTheme="minorEastAsia"/>
        </w:rPr>
        <w:t>其持有基金份额的行为本身即表明其对基金合同的承认和接受</w:t>
      </w:r>
      <w:r w:rsidRPr="009802E0">
        <w:rPr>
          <w:rStyle w:val="da"/>
          <w:rFonts w:asciiTheme="minorEastAsia" w:eastAsiaTheme="minorEastAsia" w:hAnsiTheme="minorEastAsia" w:hint="eastAsia"/>
        </w:rPr>
        <w:t>，</w:t>
      </w:r>
      <w:r w:rsidRPr="009802E0">
        <w:rPr>
          <w:rStyle w:val="da"/>
          <w:rFonts w:asciiTheme="minorEastAsia" w:eastAsiaTheme="minorEastAsia" w:hAnsiTheme="minorEastAsia"/>
        </w:rPr>
        <w:t>并按照《基金法》、基金合同及其他有关规定享有权利、承担义务。基金投资人欲了解基金份额持有人的权利和义务</w:t>
      </w:r>
      <w:r w:rsidRPr="009802E0">
        <w:rPr>
          <w:rStyle w:val="da"/>
          <w:rFonts w:asciiTheme="minorEastAsia" w:eastAsiaTheme="minorEastAsia" w:hAnsiTheme="minorEastAsia" w:hint="eastAsia"/>
        </w:rPr>
        <w:t>，</w:t>
      </w:r>
      <w:r w:rsidRPr="009802E0">
        <w:rPr>
          <w:rStyle w:val="da"/>
          <w:rFonts w:asciiTheme="minorEastAsia" w:eastAsiaTheme="minorEastAsia" w:hAnsiTheme="minorEastAsia"/>
        </w:rPr>
        <w:t>应详细查阅基金合同。</w:t>
      </w:r>
    </w:p>
    <w:p w:rsidR="00B43AC4" w:rsidRPr="009802E0" w:rsidRDefault="00B43AC4" w:rsidP="00FE018D">
      <w:pPr>
        <w:adjustRightInd w:val="0"/>
        <w:snapToGrid w:val="0"/>
        <w:spacing w:line="360" w:lineRule="auto"/>
        <w:ind w:firstLine="482"/>
        <w:rPr>
          <w:rFonts w:asciiTheme="minorEastAsia" w:eastAsiaTheme="minorEastAsia" w:hAnsiTheme="minorEastAsia"/>
        </w:rPr>
      </w:pPr>
    </w:p>
    <w:p w:rsidR="00B43AC4" w:rsidRPr="009802E0" w:rsidRDefault="00B43AC4" w:rsidP="00FE018D">
      <w:pPr>
        <w:adjustRightInd w:val="0"/>
        <w:snapToGrid w:val="0"/>
        <w:spacing w:line="360" w:lineRule="auto"/>
        <w:ind w:firstLine="482"/>
        <w:rPr>
          <w:rFonts w:asciiTheme="minorEastAsia" w:eastAsiaTheme="minorEastAsia" w:hAnsiTheme="minorEastAsia"/>
        </w:rPr>
      </w:pPr>
    </w:p>
    <w:p w:rsidR="00B43AC4" w:rsidRPr="009802E0" w:rsidRDefault="00B43AC4" w:rsidP="00FE018D">
      <w:pPr>
        <w:adjustRightInd w:val="0"/>
        <w:snapToGrid w:val="0"/>
        <w:spacing w:line="360" w:lineRule="auto"/>
        <w:ind w:firstLine="482"/>
        <w:rPr>
          <w:rFonts w:asciiTheme="minorEastAsia" w:eastAsiaTheme="minorEastAsia" w:hAnsiTheme="minorEastAsia"/>
        </w:rPr>
      </w:pPr>
    </w:p>
    <w:p w:rsidR="00B43AC4" w:rsidRPr="009802E0" w:rsidRDefault="00B43AC4" w:rsidP="00FE018D">
      <w:pPr>
        <w:adjustRightInd w:val="0"/>
        <w:snapToGrid w:val="0"/>
        <w:spacing w:line="360" w:lineRule="auto"/>
        <w:ind w:firstLine="482"/>
        <w:rPr>
          <w:rFonts w:asciiTheme="minorEastAsia" w:eastAsiaTheme="minorEastAsia" w:hAnsiTheme="minorEastAsia"/>
        </w:rPr>
      </w:pPr>
    </w:p>
    <w:p w:rsidR="00B43AC4" w:rsidRPr="009802E0" w:rsidRDefault="00B43AC4" w:rsidP="00FE018D">
      <w:pPr>
        <w:adjustRightInd w:val="0"/>
        <w:snapToGrid w:val="0"/>
        <w:spacing w:line="360" w:lineRule="auto"/>
        <w:ind w:firstLine="482"/>
        <w:rPr>
          <w:rFonts w:asciiTheme="minorEastAsia" w:eastAsiaTheme="minorEastAsia" w:hAnsiTheme="minorEastAsia"/>
        </w:rPr>
      </w:pPr>
    </w:p>
    <w:p w:rsidR="00B43AC4" w:rsidRPr="009802E0" w:rsidRDefault="00B43AC4" w:rsidP="00FE018D">
      <w:pPr>
        <w:adjustRightInd w:val="0"/>
        <w:snapToGrid w:val="0"/>
        <w:spacing w:line="360" w:lineRule="auto"/>
        <w:ind w:firstLine="482"/>
        <w:rPr>
          <w:rFonts w:asciiTheme="minorEastAsia" w:eastAsiaTheme="minorEastAsia" w:hAnsiTheme="minorEastAsia"/>
        </w:rPr>
      </w:pPr>
    </w:p>
    <w:p w:rsidR="00B43AC4" w:rsidRPr="009802E0" w:rsidRDefault="00B43AC4" w:rsidP="00FE018D">
      <w:pPr>
        <w:adjustRightInd w:val="0"/>
        <w:snapToGrid w:val="0"/>
        <w:spacing w:line="360" w:lineRule="auto"/>
        <w:ind w:firstLine="482"/>
        <w:rPr>
          <w:rFonts w:asciiTheme="minorEastAsia" w:eastAsiaTheme="minorEastAsia" w:hAnsiTheme="minorEastAsia"/>
        </w:rPr>
      </w:pPr>
    </w:p>
    <w:p w:rsidR="00B43AC4" w:rsidRPr="009802E0" w:rsidRDefault="00B43AC4" w:rsidP="00FE018D">
      <w:pPr>
        <w:adjustRightInd w:val="0"/>
        <w:snapToGrid w:val="0"/>
        <w:spacing w:line="360" w:lineRule="auto"/>
        <w:ind w:firstLine="482"/>
        <w:rPr>
          <w:rFonts w:asciiTheme="minorEastAsia" w:eastAsiaTheme="minorEastAsia" w:hAnsiTheme="minorEastAsia"/>
        </w:rPr>
      </w:pPr>
    </w:p>
    <w:p w:rsidR="00B43AC4" w:rsidRPr="009802E0" w:rsidRDefault="00B43AC4" w:rsidP="00FE018D">
      <w:pPr>
        <w:adjustRightInd w:val="0"/>
        <w:snapToGrid w:val="0"/>
        <w:spacing w:line="360" w:lineRule="auto"/>
        <w:ind w:firstLine="482"/>
        <w:rPr>
          <w:rFonts w:asciiTheme="minorEastAsia" w:eastAsiaTheme="minorEastAsia" w:hAnsiTheme="minorEastAsia"/>
        </w:rPr>
      </w:pPr>
    </w:p>
    <w:p w:rsidR="00B43AC4" w:rsidRPr="009802E0" w:rsidRDefault="00B43AC4" w:rsidP="00FE018D">
      <w:pPr>
        <w:adjustRightInd w:val="0"/>
        <w:snapToGrid w:val="0"/>
        <w:spacing w:line="360" w:lineRule="auto"/>
        <w:ind w:firstLine="482"/>
        <w:rPr>
          <w:rFonts w:asciiTheme="minorEastAsia" w:eastAsiaTheme="minorEastAsia" w:hAnsiTheme="minorEastAsia"/>
        </w:rPr>
      </w:pPr>
    </w:p>
    <w:p w:rsidR="00B43AC4" w:rsidRPr="009802E0" w:rsidRDefault="00B43AC4" w:rsidP="00FE018D">
      <w:pPr>
        <w:adjustRightInd w:val="0"/>
        <w:snapToGrid w:val="0"/>
        <w:spacing w:line="360" w:lineRule="auto"/>
        <w:ind w:firstLine="482"/>
        <w:rPr>
          <w:rFonts w:asciiTheme="minorEastAsia" w:eastAsiaTheme="minorEastAsia" w:hAnsiTheme="minorEastAsia"/>
        </w:rPr>
      </w:pPr>
    </w:p>
    <w:p w:rsidR="00B43AC4" w:rsidRPr="009802E0" w:rsidRDefault="00B43AC4" w:rsidP="00FE018D">
      <w:pPr>
        <w:adjustRightInd w:val="0"/>
        <w:snapToGrid w:val="0"/>
        <w:spacing w:line="360" w:lineRule="auto"/>
        <w:ind w:firstLine="482"/>
        <w:rPr>
          <w:rFonts w:asciiTheme="minorEastAsia" w:eastAsiaTheme="minorEastAsia" w:hAnsiTheme="minorEastAsia"/>
        </w:rPr>
      </w:pPr>
    </w:p>
    <w:p w:rsidR="00B43AC4" w:rsidRPr="009802E0" w:rsidRDefault="00B43AC4" w:rsidP="00FE018D">
      <w:pPr>
        <w:adjustRightInd w:val="0"/>
        <w:snapToGrid w:val="0"/>
        <w:spacing w:line="360" w:lineRule="auto"/>
        <w:ind w:firstLine="482"/>
        <w:rPr>
          <w:rFonts w:asciiTheme="minorEastAsia" w:eastAsiaTheme="minorEastAsia" w:hAnsiTheme="minorEastAsia"/>
        </w:rPr>
      </w:pPr>
    </w:p>
    <w:p w:rsidR="00B43AC4" w:rsidRPr="009802E0" w:rsidRDefault="00B43AC4" w:rsidP="00FE018D">
      <w:pPr>
        <w:adjustRightInd w:val="0"/>
        <w:snapToGrid w:val="0"/>
        <w:spacing w:line="360" w:lineRule="auto"/>
        <w:ind w:firstLine="482"/>
        <w:rPr>
          <w:rFonts w:asciiTheme="minorEastAsia" w:eastAsiaTheme="minorEastAsia" w:hAnsiTheme="minorEastAsia"/>
        </w:rPr>
      </w:pPr>
    </w:p>
    <w:p w:rsidR="00B43AC4" w:rsidRPr="009802E0" w:rsidRDefault="00B43AC4" w:rsidP="00FE018D">
      <w:pPr>
        <w:adjustRightInd w:val="0"/>
        <w:snapToGrid w:val="0"/>
        <w:spacing w:line="360" w:lineRule="auto"/>
        <w:ind w:firstLine="482"/>
        <w:rPr>
          <w:rFonts w:asciiTheme="minorEastAsia" w:eastAsiaTheme="minorEastAsia" w:hAnsiTheme="minorEastAsia"/>
        </w:rPr>
      </w:pPr>
    </w:p>
    <w:p w:rsidR="00B43AC4" w:rsidRPr="009802E0" w:rsidRDefault="00B43AC4" w:rsidP="00FE018D">
      <w:pPr>
        <w:adjustRightInd w:val="0"/>
        <w:snapToGrid w:val="0"/>
        <w:spacing w:line="360" w:lineRule="auto"/>
        <w:ind w:firstLine="482"/>
        <w:rPr>
          <w:rFonts w:asciiTheme="minorEastAsia" w:eastAsiaTheme="minorEastAsia" w:hAnsiTheme="minorEastAsia"/>
        </w:rPr>
      </w:pPr>
    </w:p>
    <w:p w:rsidR="00B43AC4" w:rsidRPr="009802E0" w:rsidRDefault="00B43AC4" w:rsidP="00FE018D">
      <w:pPr>
        <w:adjustRightInd w:val="0"/>
        <w:snapToGrid w:val="0"/>
        <w:spacing w:line="360" w:lineRule="auto"/>
        <w:ind w:firstLine="482"/>
        <w:rPr>
          <w:rFonts w:asciiTheme="minorEastAsia" w:eastAsiaTheme="minorEastAsia" w:hAnsiTheme="minorEastAsia"/>
        </w:rPr>
      </w:pPr>
    </w:p>
    <w:p w:rsidR="00CB427F" w:rsidRPr="009802E0" w:rsidRDefault="00B43AC4" w:rsidP="00FE018D">
      <w:pPr>
        <w:pStyle w:val="111"/>
        <w:pageBreakBefore w:val="0"/>
        <w:adjustRightInd w:val="0"/>
        <w:snapToGrid w:val="0"/>
        <w:spacing w:beforeLines="0" w:afterLines="0" w:line="360" w:lineRule="auto"/>
        <w:ind w:firstLine="602"/>
        <w:rPr>
          <w:rFonts w:asciiTheme="minorEastAsia" w:eastAsiaTheme="minorEastAsia" w:hAnsiTheme="minorEastAsia"/>
          <w:b/>
          <w:sz w:val="30"/>
        </w:rPr>
      </w:pPr>
      <w:bookmarkStart w:id="1" w:name="_Toc43301873"/>
      <w:r w:rsidRPr="009802E0">
        <w:rPr>
          <w:rFonts w:asciiTheme="minorEastAsia" w:eastAsiaTheme="minorEastAsia" w:hAnsiTheme="minorEastAsia" w:hint="eastAsia"/>
          <w:b/>
          <w:sz w:val="30"/>
        </w:rPr>
        <w:lastRenderedPageBreak/>
        <w:t>二、释义</w:t>
      </w:r>
      <w:bookmarkEnd w:id="1"/>
    </w:p>
    <w:p w:rsidR="00B43AC4" w:rsidRPr="009802E0" w:rsidRDefault="00B43AC4" w:rsidP="00FE018D">
      <w:pPr>
        <w:adjustRightInd w:val="0"/>
        <w:snapToGrid w:val="0"/>
        <w:spacing w:line="360" w:lineRule="auto"/>
        <w:ind w:firstLineChars="100" w:firstLine="210"/>
        <w:rPr>
          <w:rFonts w:asciiTheme="minorEastAsia" w:eastAsiaTheme="minorEastAsia" w:hAnsiTheme="minorEastAsia"/>
        </w:rPr>
      </w:pPr>
      <w:r w:rsidRPr="009802E0">
        <w:rPr>
          <w:rFonts w:asciiTheme="minorEastAsia" w:eastAsiaTheme="minorEastAsia" w:hAnsiTheme="minorEastAsia" w:hint="eastAsia"/>
        </w:rPr>
        <w:t>本招募说明书中除非文意另有所指</w:t>
      </w:r>
      <w:r w:rsidRPr="009802E0">
        <w:rPr>
          <w:rFonts w:asciiTheme="minorEastAsia" w:eastAsiaTheme="minorEastAsia" w:hAnsiTheme="minorEastAsia"/>
        </w:rPr>
        <w:t>，</w:t>
      </w:r>
      <w:r w:rsidRPr="009802E0">
        <w:rPr>
          <w:rFonts w:asciiTheme="minorEastAsia" w:eastAsiaTheme="minorEastAsia" w:hAnsiTheme="minorEastAsia" w:hint="eastAsia"/>
        </w:rPr>
        <w:t>下列词语有如下含义：</w:t>
      </w:r>
    </w:p>
    <w:tbl>
      <w:tblPr>
        <w:tblW w:w="0" w:type="auto"/>
        <w:tblInd w:w="250" w:type="dxa"/>
        <w:tblLayout w:type="fixed"/>
        <w:tblLook w:val="0000" w:firstRow="0" w:lastRow="0" w:firstColumn="0" w:lastColumn="0" w:noHBand="0" w:noVBand="0"/>
      </w:tblPr>
      <w:tblGrid>
        <w:gridCol w:w="2552"/>
        <w:gridCol w:w="5601"/>
      </w:tblGrid>
      <w:tr w:rsidR="00F1417A" w:rsidRPr="009802E0" w:rsidTr="00B43AC4">
        <w:tc>
          <w:tcPr>
            <w:tcW w:w="2552" w:type="dxa"/>
          </w:tcPr>
          <w:p w:rsidR="00B43AC4" w:rsidRPr="009802E0" w:rsidRDefault="00B43AC4"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基金或本基金：</w:t>
            </w:r>
          </w:p>
        </w:tc>
        <w:tc>
          <w:tcPr>
            <w:tcW w:w="5601" w:type="dxa"/>
          </w:tcPr>
          <w:p w:rsidR="00B43AC4" w:rsidRPr="009802E0" w:rsidRDefault="00B43AC4" w:rsidP="00FE018D">
            <w:pPr>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指易方达</w:t>
            </w:r>
            <w:r w:rsidR="002844EC" w:rsidRPr="009802E0">
              <w:rPr>
                <w:rFonts w:asciiTheme="minorEastAsia" w:eastAsiaTheme="minorEastAsia" w:hAnsiTheme="minorEastAsia" w:hint="eastAsia"/>
                <w:kern w:val="0"/>
                <w:szCs w:val="21"/>
              </w:rPr>
              <w:t>安心回报</w:t>
            </w:r>
            <w:r w:rsidRPr="009802E0">
              <w:rPr>
                <w:rFonts w:asciiTheme="minorEastAsia" w:eastAsiaTheme="minorEastAsia" w:hAnsiTheme="minorEastAsia" w:hint="eastAsia"/>
                <w:kern w:val="0"/>
                <w:szCs w:val="21"/>
              </w:rPr>
              <w:t>债券型证券投资基金；</w:t>
            </w:r>
          </w:p>
        </w:tc>
      </w:tr>
      <w:tr w:rsidR="00F1417A" w:rsidRPr="009802E0" w:rsidTr="00B43AC4">
        <w:tc>
          <w:tcPr>
            <w:tcW w:w="2552" w:type="dxa"/>
          </w:tcPr>
          <w:p w:rsidR="00B43AC4" w:rsidRPr="009802E0" w:rsidRDefault="00B43AC4"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基金合同或本基金合同：</w:t>
            </w:r>
          </w:p>
        </w:tc>
        <w:tc>
          <w:tcPr>
            <w:tcW w:w="5601" w:type="dxa"/>
          </w:tcPr>
          <w:p w:rsidR="00B43AC4" w:rsidRPr="009802E0" w:rsidRDefault="00B43AC4" w:rsidP="00FE018D">
            <w:pPr>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指《易方达</w:t>
            </w:r>
            <w:r w:rsidR="002844EC" w:rsidRPr="009802E0">
              <w:rPr>
                <w:rFonts w:asciiTheme="minorEastAsia" w:eastAsiaTheme="minorEastAsia" w:hAnsiTheme="minorEastAsia" w:hint="eastAsia"/>
                <w:kern w:val="0"/>
                <w:szCs w:val="21"/>
              </w:rPr>
              <w:t>安心回报</w:t>
            </w:r>
            <w:r w:rsidRPr="009802E0">
              <w:rPr>
                <w:rFonts w:asciiTheme="minorEastAsia" w:eastAsiaTheme="minorEastAsia" w:hAnsiTheme="minorEastAsia" w:hint="eastAsia"/>
                <w:kern w:val="0"/>
                <w:szCs w:val="21"/>
              </w:rPr>
              <w:t>债券型证券投资基金基金合同》及对基金合同的任何有效修订和补充；</w:t>
            </w:r>
          </w:p>
        </w:tc>
      </w:tr>
      <w:tr w:rsidR="00F1417A" w:rsidRPr="009802E0" w:rsidTr="00B43AC4">
        <w:tc>
          <w:tcPr>
            <w:tcW w:w="2552" w:type="dxa"/>
          </w:tcPr>
          <w:p w:rsidR="00B43AC4" w:rsidRPr="009802E0" w:rsidRDefault="00B43AC4"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招募说明书：</w:t>
            </w:r>
          </w:p>
          <w:p w:rsidR="004E4473" w:rsidRPr="009802E0" w:rsidRDefault="004E4473" w:rsidP="00FE018D">
            <w:pPr>
              <w:adjustRightInd w:val="0"/>
              <w:snapToGrid w:val="0"/>
              <w:spacing w:line="360" w:lineRule="auto"/>
              <w:rPr>
                <w:rFonts w:asciiTheme="minorEastAsia" w:eastAsiaTheme="minorEastAsia" w:hAnsiTheme="minorEastAsia"/>
                <w:szCs w:val="21"/>
              </w:rPr>
            </w:pPr>
          </w:p>
          <w:p w:rsidR="004E4473" w:rsidRPr="009802E0" w:rsidRDefault="004E4473"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基金产品资料概要</w:t>
            </w:r>
          </w:p>
        </w:tc>
        <w:tc>
          <w:tcPr>
            <w:tcW w:w="5601" w:type="dxa"/>
          </w:tcPr>
          <w:p w:rsidR="00B43AC4" w:rsidRPr="009802E0" w:rsidRDefault="00B43AC4" w:rsidP="004E4473">
            <w:pPr>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指《易方达</w:t>
            </w:r>
            <w:r w:rsidR="002844EC" w:rsidRPr="009802E0">
              <w:rPr>
                <w:rFonts w:asciiTheme="minorEastAsia" w:eastAsiaTheme="minorEastAsia" w:hAnsiTheme="minorEastAsia" w:hint="eastAsia"/>
                <w:kern w:val="0"/>
                <w:szCs w:val="21"/>
              </w:rPr>
              <w:t>安心回报</w:t>
            </w:r>
            <w:r w:rsidRPr="009802E0">
              <w:rPr>
                <w:rFonts w:asciiTheme="minorEastAsia" w:eastAsiaTheme="minorEastAsia" w:hAnsiTheme="minorEastAsia" w:hint="eastAsia"/>
                <w:kern w:val="0"/>
                <w:szCs w:val="21"/>
              </w:rPr>
              <w:t>债券型证券投资基金招募说明书》及其更新；</w:t>
            </w:r>
          </w:p>
          <w:p w:rsidR="004E4473" w:rsidRPr="009802E0" w:rsidRDefault="004E4473" w:rsidP="004E4473">
            <w:pPr>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《易方达安心回报债券型证券投资基金基金产品资料概要》及其更新</w:t>
            </w:r>
          </w:p>
        </w:tc>
      </w:tr>
      <w:tr w:rsidR="00F1417A" w:rsidRPr="009802E0" w:rsidTr="00B43AC4">
        <w:tc>
          <w:tcPr>
            <w:tcW w:w="2552" w:type="dxa"/>
          </w:tcPr>
          <w:p w:rsidR="00B43AC4" w:rsidRPr="009802E0" w:rsidRDefault="00B43AC4"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发售公告：</w:t>
            </w:r>
          </w:p>
        </w:tc>
        <w:tc>
          <w:tcPr>
            <w:tcW w:w="5601" w:type="dxa"/>
          </w:tcPr>
          <w:p w:rsidR="00B43AC4" w:rsidRPr="009802E0" w:rsidRDefault="00B43AC4" w:rsidP="00FE018D">
            <w:pPr>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指《易方达</w:t>
            </w:r>
            <w:r w:rsidR="002844EC" w:rsidRPr="009802E0">
              <w:rPr>
                <w:rFonts w:asciiTheme="minorEastAsia" w:eastAsiaTheme="minorEastAsia" w:hAnsiTheme="minorEastAsia" w:hint="eastAsia"/>
                <w:kern w:val="0"/>
                <w:szCs w:val="21"/>
              </w:rPr>
              <w:t>安心回报</w:t>
            </w:r>
            <w:r w:rsidRPr="009802E0">
              <w:rPr>
                <w:rFonts w:asciiTheme="minorEastAsia" w:eastAsiaTheme="minorEastAsia" w:hAnsiTheme="minorEastAsia" w:hint="eastAsia"/>
                <w:kern w:val="0"/>
                <w:szCs w:val="21"/>
              </w:rPr>
              <w:t>债券型证券投资基金</w:t>
            </w:r>
            <w:r w:rsidR="008E25C0" w:rsidRPr="009802E0">
              <w:rPr>
                <w:rFonts w:asciiTheme="minorEastAsia" w:eastAsiaTheme="minorEastAsia" w:hAnsiTheme="minorEastAsia" w:hint="eastAsia"/>
                <w:kern w:val="0"/>
                <w:szCs w:val="21"/>
              </w:rPr>
              <w:t>基金</w:t>
            </w:r>
            <w:r w:rsidRPr="009802E0">
              <w:rPr>
                <w:rFonts w:asciiTheme="minorEastAsia" w:eastAsiaTheme="minorEastAsia" w:hAnsiTheme="minorEastAsia" w:hint="eastAsia"/>
                <w:kern w:val="0"/>
                <w:szCs w:val="21"/>
              </w:rPr>
              <w:t>份额发售公告》</w:t>
            </w:r>
          </w:p>
        </w:tc>
      </w:tr>
      <w:tr w:rsidR="00F1417A" w:rsidRPr="009802E0" w:rsidTr="00B43AC4">
        <w:tc>
          <w:tcPr>
            <w:tcW w:w="2552" w:type="dxa"/>
          </w:tcPr>
          <w:p w:rsidR="00B43AC4" w:rsidRPr="009802E0" w:rsidRDefault="00B43AC4"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托管协议：</w:t>
            </w:r>
          </w:p>
        </w:tc>
        <w:tc>
          <w:tcPr>
            <w:tcW w:w="5601" w:type="dxa"/>
          </w:tcPr>
          <w:p w:rsidR="00B43AC4" w:rsidRPr="009802E0" w:rsidRDefault="00B43AC4" w:rsidP="00FE018D">
            <w:pPr>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指《易方达</w:t>
            </w:r>
            <w:r w:rsidR="002844EC" w:rsidRPr="009802E0">
              <w:rPr>
                <w:rFonts w:asciiTheme="minorEastAsia" w:eastAsiaTheme="minorEastAsia" w:hAnsiTheme="minorEastAsia" w:hint="eastAsia"/>
                <w:kern w:val="0"/>
                <w:szCs w:val="21"/>
              </w:rPr>
              <w:t>安心回报</w:t>
            </w:r>
            <w:r w:rsidRPr="009802E0">
              <w:rPr>
                <w:rFonts w:asciiTheme="minorEastAsia" w:eastAsiaTheme="minorEastAsia" w:hAnsiTheme="minorEastAsia" w:hint="eastAsia"/>
                <w:kern w:val="0"/>
                <w:szCs w:val="21"/>
              </w:rPr>
              <w:t>债券型证券投资基金托管协议》及其任何有效修订和补充；</w:t>
            </w:r>
          </w:p>
        </w:tc>
      </w:tr>
      <w:tr w:rsidR="00F1417A" w:rsidRPr="009802E0" w:rsidTr="00B43AC4">
        <w:tc>
          <w:tcPr>
            <w:tcW w:w="2552" w:type="dxa"/>
          </w:tcPr>
          <w:p w:rsidR="00B43AC4" w:rsidRPr="009802E0" w:rsidRDefault="00B43AC4"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中国证监会：</w:t>
            </w:r>
          </w:p>
        </w:tc>
        <w:tc>
          <w:tcPr>
            <w:tcW w:w="5601" w:type="dxa"/>
          </w:tcPr>
          <w:p w:rsidR="00B43AC4" w:rsidRPr="009802E0" w:rsidRDefault="00B43AC4" w:rsidP="00FE018D">
            <w:pPr>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指中国证券监督管理委员会；</w:t>
            </w:r>
          </w:p>
        </w:tc>
      </w:tr>
      <w:tr w:rsidR="00F1417A" w:rsidRPr="009802E0" w:rsidTr="00B43AC4">
        <w:tc>
          <w:tcPr>
            <w:tcW w:w="2552" w:type="dxa"/>
          </w:tcPr>
          <w:p w:rsidR="00B43AC4" w:rsidRPr="009802E0" w:rsidRDefault="00954E08"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kern w:val="0"/>
                <w:szCs w:val="21"/>
              </w:rPr>
              <w:t>银行业监督管理机构</w:t>
            </w:r>
            <w:r w:rsidR="00B43AC4" w:rsidRPr="009802E0">
              <w:rPr>
                <w:rFonts w:asciiTheme="minorEastAsia" w:eastAsiaTheme="minorEastAsia" w:hAnsiTheme="minorEastAsia" w:hint="eastAsia"/>
                <w:szCs w:val="21"/>
              </w:rPr>
              <w:t>：</w:t>
            </w:r>
          </w:p>
        </w:tc>
        <w:tc>
          <w:tcPr>
            <w:tcW w:w="5601" w:type="dxa"/>
          </w:tcPr>
          <w:p w:rsidR="00B43AC4" w:rsidRPr="009802E0" w:rsidRDefault="00B43AC4" w:rsidP="00FE018D">
            <w:pPr>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指</w:t>
            </w:r>
            <w:r w:rsidR="002B5FE4" w:rsidRPr="009802E0">
              <w:rPr>
                <w:rStyle w:val="da"/>
                <w:rFonts w:asciiTheme="minorEastAsia" w:eastAsiaTheme="minorEastAsia" w:hAnsiTheme="minorEastAsia" w:hint="eastAsia"/>
              </w:rPr>
              <w:t>中国人民银行和/或</w:t>
            </w:r>
            <w:r w:rsidR="00954E08" w:rsidRPr="009802E0">
              <w:rPr>
                <w:rFonts w:asciiTheme="minorEastAsia" w:eastAsiaTheme="minorEastAsia" w:hAnsiTheme="minorEastAsia"/>
                <w:kern w:val="0"/>
                <w:szCs w:val="21"/>
              </w:rPr>
              <w:t>中国银行</w:t>
            </w:r>
            <w:r w:rsidR="00954E08" w:rsidRPr="009802E0">
              <w:rPr>
                <w:rFonts w:asciiTheme="minorEastAsia" w:eastAsiaTheme="minorEastAsia" w:hAnsiTheme="minorEastAsia" w:hint="eastAsia"/>
                <w:kern w:val="0"/>
                <w:szCs w:val="21"/>
              </w:rPr>
              <w:t>保险</w:t>
            </w:r>
            <w:r w:rsidR="00954E08" w:rsidRPr="009802E0">
              <w:rPr>
                <w:rFonts w:asciiTheme="minorEastAsia" w:eastAsiaTheme="minorEastAsia" w:hAnsiTheme="minorEastAsia"/>
                <w:kern w:val="0"/>
                <w:szCs w:val="21"/>
              </w:rPr>
              <w:t>监督管理委员会</w:t>
            </w:r>
            <w:r w:rsidRPr="009802E0">
              <w:rPr>
                <w:rFonts w:asciiTheme="minorEastAsia" w:eastAsiaTheme="minorEastAsia" w:hAnsiTheme="minorEastAsia" w:hint="eastAsia"/>
                <w:kern w:val="0"/>
                <w:szCs w:val="21"/>
              </w:rPr>
              <w:t>；</w:t>
            </w:r>
          </w:p>
        </w:tc>
      </w:tr>
      <w:tr w:rsidR="00F1417A" w:rsidRPr="009802E0" w:rsidTr="00B43AC4">
        <w:tc>
          <w:tcPr>
            <w:tcW w:w="2552" w:type="dxa"/>
          </w:tcPr>
          <w:p w:rsidR="00B43AC4" w:rsidRPr="009802E0" w:rsidRDefault="00B43AC4"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《基金法》：</w:t>
            </w:r>
          </w:p>
        </w:tc>
        <w:tc>
          <w:tcPr>
            <w:tcW w:w="5601" w:type="dxa"/>
          </w:tcPr>
          <w:p w:rsidR="00B43AC4" w:rsidRPr="009802E0" w:rsidRDefault="00B43AC4" w:rsidP="00FE018D">
            <w:pPr>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指2003年10月28日经第十届全国人民代表大会常务委员会第五次会议通过的自2004年6月1日起实施的《中华人民共和国证券投资基金法》及不时做出的修订；</w:t>
            </w:r>
          </w:p>
        </w:tc>
      </w:tr>
      <w:tr w:rsidR="00F1417A" w:rsidRPr="009802E0" w:rsidTr="00B43AC4">
        <w:tc>
          <w:tcPr>
            <w:tcW w:w="2552" w:type="dxa"/>
          </w:tcPr>
          <w:p w:rsidR="00B43AC4" w:rsidRPr="009802E0" w:rsidRDefault="00B43AC4"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《销售办法》：</w:t>
            </w:r>
          </w:p>
        </w:tc>
        <w:tc>
          <w:tcPr>
            <w:tcW w:w="5601" w:type="dxa"/>
          </w:tcPr>
          <w:p w:rsidR="00B43AC4" w:rsidRPr="009802E0" w:rsidRDefault="00B43AC4" w:rsidP="00FE018D">
            <w:pPr>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指2004年6月25日由中国证监会公布并于2004年7月1日起实施的《证券投资基金销售管理办法》及不时做出的修订；</w:t>
            </w:r>
          </w:p>
        </w:tc>
      </w:tr>
      <w:tr w:rsidR="00F1417A" w:rsidRPr="009802E0" w:rsidTr="00450327">
        <w:tc>
          <w:tcPr>
            <w:tcW w:w="2552" w:type="dxa"/>
          </w:tcPr>
          <w:p w:rsidR="00B43AC4" w:rsidRPr="009802E0" w:rsidRDefault="00B43AC4"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《运作办法》：</w:t>
            </w:r>
          </w:p>
          <w:p w:rsidR="00954E08" w:rsidRPr="009802E0" w:rsidRDefault="00954E08" w:rsidP="00FE018D">
            <w:pPr>
              <w:adjustRightInd w:val="0"/>
              <w:snapToGrid w:val="0"/>
              <w:spacing w:line="360" w:lineRule="auto"/>
              <w:rPr>
                <w:rFonts w:asciiTheme="minorEastAsia" w:eastAsiaTheme="minorEastAsia" w:hAnsiTheme="minorEastAsia"/>
                <w:szCs w:val="21"/>
              </w:rPr>
            </w:pPr>
          </w:p>
          <w:p w:rsidR="00954E08" w:rsidRPr="009802E0" w:rsidRDefault="00954E08" w:rsidP="00FE018D">
            <w:pPr>
              <w:adjustRightInd w:val="0"/>
              <w:snapToGrid w:val="0"/>
              <w:spacing w:line="360" w:lineRule="auto"/>
              <w:rPr>
                <w:rFonts w:asciiTheme="minorEastAsia" w:eastAsiaTheme="minorEastAsia" w:hAnsiTheme="minorEastAsia"/>
                <w:szCs w:val="21"/>
              </w:rPr>
            </w:pPr>
          </w:p>
          <w:p w:rsidR="00954E08" w:rsidRPr="009802E0" w:rsidRDefault="00954E08"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kern w:val="0"/>
                <w:szCs w:val="21"/>
              </w:rPr>
              <w:t>《管理规定</w:t>
            </w:r>
            <w:r w:rsidRPr="009802E0">
              <w:rPr>
                <w:rFonts w:asciiTheme="minorEastAsia" w:eastAsiaTheme="minorEastAsia" w:hAnsiTheme="minorEastAsia"/>
                <w:szCs w:val="21"/>
              </w:rPr>
              <w:t>》：</w:t>
            </w:r>
          </w:p>
        </w:tc>
        <w:tc>
          <w:tcPr>
            <w:tcW w:w="5601" w:type="dxa"/>
          </w:tcPr>
          <w:p w:rsidR="00B43AC4" w:rsidRPr="009802E0" w:rsidRDefault="00B43AC4" w:rsidP="00FE018D">
            <w:pPr>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指2004年6月29日由中国证监会公布并于2004年7月1日起实施的《证券投资基金运作管理办法》及不时做出的修订；</w:t>
            </w:r>
          </w:p>
          <w:p w:rsidR="00954E08" w:rsidRPr="009802E0" w:rsidRDefault="00954E08" w:rsidP="00FE018D">
            <w:pPr>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指中国证监会2017年8月31日颁布、同年10月1日实施的《公开募集开放式证券投资基金流动性风险管理规定》及颁布机关对其不时做出的修订</w:t>
            </w:r>
          </w:p>
        </w:tc>
      </w:tr>
      <w:tr w:rsidR="00F1417A" w:rsidRPr="009802E0" w:rsidTr="00B43AC4">
        <w:tc>
          <w:tcPr>
            <w:tcW w:w="2552" w:type="dxa"/>
          </w:tcPr>
          <w:p w:rsidR="00B43AC4" w:rsidRPr="009802E0" w:rsidRDefault="00B43AC4"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《信息披露办法》：</w:t>
            </w:r>
          </w:p>
        </w:tc>
        <w:tc>
          <w:tcPr>
            <w:tcW w:w="5601" w:type="dxa"/>
          </w:tcPr>
          <w:p w:rsidR="00B43AC4" w:rsidRPr="009802E0" w:rsidRDefault="004E4473"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中国证监会2019年7月26日颁布、同年9月1日实施的《公开募集证券投资基金信息披露管理办法》及颁布机关对其不时做出的修订</w:t>
            </w:r>
          </w:p>
        </w:tc>
      </w:tr>
      <w:tr w:rsidR="00F1417A" w:rsidRPr="009802E0" w:rsidTr="00450327">
        <w:trPr>
          <w:trHeight w:val="585"/>
        </w:trPr>
        <w:tc>
          <w:tcPr>
            <w:tcW w:w="2552" w:type="dxa"/>
          </w:tcPr>
          <w:p w:rsidR="007A5A68" w:rsidRPr="009802E0" w:rsidRDefault="007A5A68"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《业务规则》</w:t>
            </w:r>
            <w:r w:rsidR="00847560" w:rsidRPr="009802E0">
              <w:rPr>
                <w:rFonts w:asciiTheme="minorEastAsia" w:eastAsiaTheme="minorEastAsia" w:hAnsiTheme="minorEastAsia" w:hint="eastAsia"/>
                <w:szCs w:val="21"/>
              </w:rPr>
              <w:t>：</w:t>
            </w:r>
          </w:p>
        </w:tc>
        <w:tc>
          <w:tcPr>
            <w:tcW w:w="5601" w:type="dxa"/>
          </w:tcPr>
          <w:p w:rsidR="007A5A68" w:rsidRPr="009802E0" w:rsidRDefault="007A5A68"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szCs w:val="21"/>
              </w:rPr>
              <w:t>《</w:t>
            </w:r>
            <w:r w:rsidRPr="009802E0">
              <w:rPr>
                <w:rFonts w:asciiTheme="minorEastAsia" w:eastAsiaTheme="minorEastAsia" w:hAnsiTheme="minorEastAsia" w:hint="eastAsia"/>
                <w:szCs w:val="21"/>
              </w:rPr>
              <w:t>易方达基金管理有限公司开放式基金业务规则</w:t>
            </w:r>
            <w:r w:rsidRPr="009802E0">
              <w:rPr>
                <w:rFonts w:asciiTheme="minorEastAsia" w:eastAsiaTheme="minorEastAsia" w:hAnsiTheme="minorEastAsia"/>
                <w:szCs w:val="21"/>
              </w:rPr>
              <w:t>》</w:t>
            </w:r>
          </w:p>
        </w:tc>
      </w:tr>
      <w:tr w:rsidR="00F1417A" w:rsidRPr="009802E0" w:rsidTr="00B43AC4">
        <w:tc>
          <w:tcPr>
            <w:tcW w:w="2552" w:type="dxa"/>
          </w:tcPr>
          <w:p w:rsidR="00B43AC4" w:rsidRPr="009802E0" w:rsidRDefault="00B43AC4"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元：</w:t>
            </w:r>
          </w:p>
        </w:tc>
        <w:tc>
          <w:tcPr>
            <w:tcW w:w="5601" w:type="dxa"/>
          </w:tcPr>
          <w:p w:rsidR="00B43AC4" w:rsidRPr="009802E0" w:rsidRDefault="00B43AC4" w:rsidP="00FE018D">
            <w:pPr>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指人民币元；</w:t>
            </w:r>
          </w:p>
        </w:tc>
      </w:tr>
      <w:tr w:rsidR="00F1417A" w:rsidRPr="009802E0" w:rsidTr="00B43AC4">
        <w:tc>
          <w:tcPr>
            <w:tcW w:w="2552" w:type="dxa"/>
          </w:tcPr>
          <w:p w:rsidR="00B43AC4" w:rsidRPr="009802E0" w:rsidRDefault="00B43AC4"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基金管理人：</w:t>
            </w:r>
          </w:p>
        </w:tc>
        <w:tc>
          <w:tcPr>
            <w:tcW w:w="5601" w:type="dxa"/>
          </w:tcPr>
          <w:p w:rsidR="00B43AC4" w:rsidRPr="009802E0" w:rsidRDefault="00B43AC4" w:rsidP="00FE018D">
            <w:pPr>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指易方达基金管理有限公司；</w:t>
            </w:r>
          </w:p>
        </w:tc>
      </w:tr>
      <w:tr w:rsidR="00F1417A" w:rsidRPr="009802E0" w:rsidTr="00B43AC4">
        <w:tc>
          <w:tcPr>
            <w:tcW w:w="2552" w:type="dxa"/>
          </w:tcPr>
          <w:p w:rsidR="00B43AC4" w:rsidRPr="009802E0" w:rsidRDefault="00B43AC4"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基金托管人：</w:t>
            </w:r>
          </w:p>
        </w:tc>
        <w:tc>
          <w:tcPr>
            <w:tcW w:w="5601" w:type="dxa"/>
          </w:tcPr>
          <w:p w:rsidR="00B43AC4" w:rsidRPr="009802E0" w:rsidRDefault="00B43AC4" w:rsidP="00FE018D">
            <w:pPr>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指中国工商银行股份有限公司；</w:t>
            </w:r>
          </w:p>
        </w:tc>
      </w:tr>
      <w:tr w:rsidR="00F1417A" w:rsidRPr="009802E0" w:rsidTr="00B43AC4">
        <w:tc>
          <w:tcPr>
            <w:tcW w:w="2552" w:type="dxa"/>
          </w:tcPr>
          <w:p w:rsidR="00B43AC4" w:rsidRPr="009802E0" w:rsidRDefault="002F1CD1"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kern w:val="0"/>
                <w:szCs w:val="21"/>
              </w:rPr>
              <w:t>注册登记</w:t>
            </w:r>
            <w:r w:rsidR="00B43AC4" w:rsidRPr="009802E0">
              <w:rPr>
                <w:rFonts w:asciiTheme="minorEastAsia" w:eastAsiaTheme="minorEastAsia" w:hAnsiTheme="minorEastAsia" w:hint="eastAsia"/>
                <w:kern w:val="0"/>
                <w:szCs w:val="21"/>
              </w:rPr>
              <w:t>业务：</w:t>
            </w:r>
          </w:p>
        </w:tc>
        <w:tc>
          <w:tcPr>
            <w:tcW w:w="5601" w:type="dxa"/>
          </w:tcPr>
          <w:p w:rsidR="00B43AC4" w:rsidRPr="009802E0" w:rsidRDefault="002F4A3E" w:rsidP="00FE018D">
            <w:pPr>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指</w:t>
            </w:r>
            <w:r w:rsidR="00335477" w:rsidRPr="009802E0">
              <w:rPr>
                <w:rFonts w:asciiTheme="minorEastAsia" w:eastAsiaTheme="minorEastAsia" w:hAnsiTheme="minorEastAsia" w:hint="eastAsia"/>
                <w:kern w:val="0"/>
                <w:szCs w:val="21"/>
              </w:rPr>
              <w:t>基金登记、存管、清算和交收业务，具体内容包括投资者基金账户管理、基金份额注册登记、清算及基金交易确认、发放红利、建立并保管基金份额持有人名册等</w:t>
            </w:r>
            <w:r w:rsidR="00B43AC4" w:rsidRPr="009802E0">
              <w:rPr>
                <w:rFonts w:asciiTheme="minorEastAsia" w:eastAsiaTheme="minorEastAsia" w:hAnsiTheme="minorEastAsia" w:hint="eastAsia"/>
                <w:kern w:val="0"/>
                <w:szCs w:val="21"/>
              </w:rPr>
              <w:t>；</w:t>
            </w:r>
          </w:p>
        </w:tc>
      </w:tr>
      <w:tr w:rsidR="00F1417A" w:rsidRPr="009802E0" w:rsidTr="00B43AC4">
        <w:tc>
          <w:tcPr>
            <w:tcW w:w="2552" w:type="dxa"/>
          </w:tcPr>
          <w:p w:rsidR="00B43AC4" w:rsidRPr="009802E0" w:rsidRDefault="00F916A5"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kern w:val="0"/>
                <w:szCs w:val="21"/>
              </w:rPr>
              <w:t>基金注册登记机构</w:t>
            </w:r>
            <w:r w:rsidR="00B43AC4" w:rsidRPr="009802E0">
              <w:rPr>
                <w:rFonts w:asciiTheme="minorEastAsia" w:eastAsiaTheme="minorEastAsia" w:hAnsiTheme="minorEastAsia" w:hint="eastAsia"/>
                <w:kern w:val="0"/>
                <w:szCs w:val="21"/>
              </w:rPr>
              <w:t>：</w:t>
            </w:r>
          </w:p>
        </w:tc>
        <w:tc>
          <w:tcPr>
            <w:tcW w:w="5601" w:type="dxa"/>
          </w:tcPr>
          <w:p w:rsidR="00B43AC4" w:rsidRPr="009802E0" w:rsidRDefault="008647A3" w:rsidP="00FE018D">
            <w:pPr>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指</w:t>
            </w:r>
            <w:r w:rsidR="00F916A5" w:rsidRPr="009802E0">
              <w:rPr>
                <w:rFonts w:asciiTheme="minorEastAsia" w:eastAsiaTheme="minorEastAsia" w:hAnsiTheme="minorEastAsia" w:hint="eastAsia"/>
                <w:kern w:val="0"/>
                <w:szCs w:val="21"/>
              </w:rPr>
              <w:t>易方达基金管理有限公司或其委托的其他符合条件的办理基金注册登记业务的机构</w:t>
            </w:r>
            <w:r w:rsidR="00B43AC4" w:rsidRPr="009802E0">
              <w:rPr>
                <w:rFonts w:asciiTheme="minorEastAsia" w:eastAsiaTheme="minorEastAsia" w:hAnsiTheme="minorEastAsia" w:hint="eastAsia"/>
                <w:kern w:val="0"/>
                <w:szCs w:val="21"/>
              </w:rPr>
              <w:t>；</w:t>
            </w:r>
          </w:p>
        </w:tc>
      </w:tr>
      <w:tr w:rsidR="00F1417A" w:rsidRPr="009802E0" w:rsidTr="00B43AC4">
        <w:tc>
          <w:tcPr>
            <w:tcW w:w="2552" w:type="dxa"/>
          </w:tcPr>
          <w:p w:rsidR="00B43AC4" w:rsidRPr="009802E0" w:rsidRDefault="00B43AC4"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投资者：</w:t>
            </w:r>
          </w:p>
        </w:tc>
        <w:tc>
          <w:tcPr>
            <w:tcW w:w="5601" w:type="dxa"/>
          </w:tcPr>
          <w:p w:rsidR="00B43AC4" w:rsidRPr="009802E0" w:rsidRDefault="00B43AC4" w:rsidP="00FE018D">
            <w:pPr>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指</w:t>
            </w:r>
            <w:r w:rsidR="00C90835" w:rsidRPr="009802E0">
              <w:rPr>
                <w:rFonts w:asciiTheme="minorEastAsia" w:eastAsiaTheme="minorEastAsia" w:hAnsiTheme="minorEastAsia" w:hint="eastAsia"/>
                <w:szCs w:val="21"/>
              </w:rPr>
              <w:t>个人投资者、机构投资者、合格境外机构投资者和法律法规或中国证监会允许购买开放式证券投资基金的其他投资者的总称</w:t>
            </w:r>
            <w:r w:rsidRPr="009802E0">
              <w:rPr>
                <w:rFonts w:asciiTheme="minorEastAsia" w:eastAsiaTheme="minorEastAsia" w:hAnsiTheme="minorEastAsia" w:hint="eastAsia"/>
                <w:kern w:val="0"/>
                <w:szCs w:val="21"/>
              </w:rPr>
              <w:t>；</w:t>
            </w:r>
          </w:p>
        </w:tc>
      </w:tr>
      <w:tr w:rsidR="00F1417A" w:rsidRPr="009802E0" w:rsidTr="00B43AC4">
        <w:tc>
          <w:tcPr>
            <w:tcW w:w="2552" w:type="dxa"/>
          </w:tcPr>
          <w:p w:rsidR="00B43AC4" w:rsidRPr="009802E0" w:rsidRDefault="00B43AC4"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个人投资者：</w:t>
            </w:r>
          </w:p>
        </w:tc>
        <w:tc>
          <w:tcPr>
            <w:tcW w:w="5601" w:type="dxa"/>
          </w:tcPr>
          <w:p w:rsidR="00B43AC4" w:rsidRPr="009802E0" w:rsidRDefault="00B43AC4" w:rsidP="00FE018D">
            <w:pPr>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指</w:t>
            </w:r>
            <w:r w:rsidR="00C90835" w:rsidRPr="009802E0">
              <w:rPr>
                <w:rFonts w:asciiTheme="minorEastAsia" w:eastAsiaTheme="minorEastAsia" w:hAnsiTheme="minorEastAsia" w:hint="eastAsia"/>
                <w:szCs w:val="21"/>
              </w:rPr>
              <w:t>符合法律法规规定的条件可以投资开放式证券投资基金的自然人</w:t>
            </w:r>
            <w:r w:rsidRPr="009802E0">
              <w:rPr>
                <w:rFonts w:asciiTheme="minorEastAsia" w:eastAsiaTheme="minorEastAsia" w:hAnsiTheme="minorEastAsia" w:hint="eastAsia"/>
                <w:kern w:val="0"/>
                <w:szCs w:val="21"/>
              </w:rPr>
              <w:t>；</w:t>
            </w:r>
          </w:p>
        </w:tc>
      </w:tr>
      <w:tr w:rsidR="00F1417A" w:rsidRPr="009802E0" w:rsidTr="00B43AC4">
        <w:tc>
          <w:tcPr>
            <w:tcW w:w="2552" w:type="dxa"/>
          </w:tcPr>
          <w:p w:rsidR="00B43AC4" w:rsidRPr="009802E0" w:rsidRDefault="00B43AC4"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机构投资者：</w:t>
            </w:r>
          </w:p>
        </w:tc>
        <w:tc>
          <w:tcPr>
            <w:tcW w:w="5601" w:type="dxa"/>
          </w:tcPr>
          <w:p w:rsidR="00B43AC4" w:rsidRPr="009802E0" w:rsidRDefault="00B43AC4" w:rsidP="00FE018D">
            <w:pPr>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指</w:t>
            </w:r>
            <w:r w:rsidR="00C90835" w:rsidRPr="009802E0">
              <w:rPr>
                <w:rFonts w:asciiTheme="minorEastAsia" w:eastAsiaTheme="minorEastAsia" w:hAnsiTheme="minorEastAsia" w:hint="eastAsia"/>
                <w:szCs w:val="21"/>
              </w:rPr>
              <w:t>符合法律法规规定可以投资开放式证券投资基金的在中国合法注册登记并存续或经政府有关部门批准设立的并存续的企业法人、事业法人、社会团体和其他组织</w:t>
            </w:r>
            <w:r w:rsidRPr="009802E0">
              <w:rPr>
                <w:rFonts w:asciiTheme="minorEastAsia" w:eastAsiaTheme="minorEastAsia" w:hAnsiTheme="minorEastAsia" w:hint="eastAsia"/>
                <w:kern w:val="0"/>
                <w:szCs w:val="21"/>
              </w:rPr>
              <w:t>；</w:t>
            </w:r>
          </w:p>
        </w:tc>
      </w:tr>
      <w:tr w:rsidR="00F1417A" w:rsidRPr="009802E0" w:rsidTr="00B43AC4">
        <w:tc>
          <w:tcPr>
            <w:tcW w:w="2552" w:type="dxa"/>
          </w:tcPr>
          <w:p w:rsidR="00B43AC4" w:rsidRPr="009802E0" w:rsidRDefault="00B43AC4"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合格境外机构投资者：</w:t>
            </w:r>
          </w:p>
        </w:tc>
        <w:tc>
          <w:tcPr>
            <w:tcW w:w="5601" w:type="dxa"/>
          </w:tcPr>
          <w:p w:rsidR="00B43AC4" w:rsidRPr="009802E0" w:rsidRDefault="00B43AC4" w:rsidP="00FE018D">
            <w:pPr>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指</w:t>
            </w:r>
            <w:r w:rsidR="00C90835" w:rsidRPr="009802E0">
              <w:rPr>
                <w:rFonts w:asciiTheme="minorEastAsia" w:eastAsiaTheme="minorEastAsia" w:hAnsiTheme="minorEastAsia" w:hint="eastAsia"/>
                <w:szCs w:val="21"/>
              </w:rPr>
              <w:t>符合《合格境外机构投资者境内证券投资管理办法》及相关法律法规规定的可投资于中国境内合法募集的证券投资基金的中国境外的</w:t>
            </w:r>
            <w:r w:rsidR="00C90835" w:rsidRPr="009802E0">
              <w:rPr>
                <w:rFonts w:asciiTheme="minorEastAsia" w:eastAsiaTheme="minorEastAsia" w:hAnsiTheme="minorEastAsia"/>
                <w:szCs w:val="21"/>
              </w:rPr>
              <w:t>基金管理机构、保险公司、证券公司以及其他资产管理机构</w:t>
            </w:r>
            <w:r w:rsidRPr="009802E0">
              <w:rPr>
                <w:rFonts w:asciiTheme="minorEastAsia" w:eastAsiaTheme="minorEastAsia" w:hAnsiTheme="minorEastAsia" w:hint="eastAsia"/>
                <w:kern w:val="0"/>
                <w:szCs w:val="21"/>
              </w:rPr>
              <w:t>；</w:t>
            </w:r>
          </w:p>
        </w:tc>
      </w:tr>
      <w:tr w:rsidR="00F1417A" w:rsidRPr="009802E0" w:rsidTr="00B43AC4">
        <w:tc>
          <w:tcPr>
            <w:tcW w:w="2552" w:type="dxa"/>
          </w:tcPr>
          <w:p w:rsidR="00B43AC4" w:rsidRPr="009802E0" w:rsidRDefault="00B43AC4"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基金份额持有人大会：</w:t>
            </w:r>
          </w:p>
        </w:tc>
        <w:tc>
          <w:tcPr>
            <w:tcW w:w="5601" w:type="dxa"/>
          </w:tcPr>
          <w:p w:rsidR="00B43AC4" w:rsidRPr="009802E0" w:rsidRDefault="00B43AC4" w:rsidP="00FE018D">
            <w:pPr>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指按照本基金合同第九部分之规定召集、召开并由基金份额持有人或其合法的代理人进行表决的会议；</w:t>
            </w:r>
          </w:p>
        </w:tc>
      </w:tr>
      <w:tr w:rsidR="00F1417A" w:rsidRPr="009802E0" w:rsidTr="00B43AC4">
        <w:tc>
          <w:tcPr>
            <w:tcW w:w="2552" w:type="dxa"/>
          </w:tcPr>
          <w:p w:rsidR="00B43AC4" w:rsidRPr="009802E0" w:rsidRDefault="00B43AC4"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基金募集期：</w:t>
            </w:r>
          </w:p>
        </w:tc>
        <w:tc>
          <w:tcPr>
            <w:tcW w:w="5601" w:type="dxa"/>
          </w:tcPr>
          <w:p w:rsidR="00B43AC4" w:rsidRPr="009802E0" w:rsidRDefault="00B43AC4" w:rsidP="00FE018D">
            <w:pPr>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指</w:t>
            </w:r>
            <w:r w:rsidR="00C90835" w:rsidRPr="009802E0">
              <w:rPr>
                <w:rFonts w:asciiTheme="minorEastAsia" w:eastAsiaTheme="minorEastAsia" w:hAnsiTheme="minorEastAsia" w:hint="eastAsia"/>
                <w:szCs w:val="21"/>
              </w:rPr>
              <w:t>自基金份额发售之日起不超过3个月的期限</w:t>
            </w:r>
            <w:r w:rsidRPr="009802E0">
              <w:rPr>
                <w:rFonts w:asciiTheme="minorEastAsia" w:eastAsiaTheme="minorEastAsia" w:hAnsiTheme="minorEastAsia" w:hint="eastAsia"/>
                <w:kern w:val="0"/>
                <w:szCs w:val="21"/>
              </w:rPr>
              <w:t>；</w:t>
            </w:r>
          </w:p>
        </w:tc>
      </w:tr>
      <w:tr w:rsidR="00F1417A" w:rsidRPr="009802E0" w:rsidTr="00B43AC4">
        <w:tc>
          <w:tcPr>
            <w:tcW w:w="2552" w:type="dxa"/>
          </w:tcPr>
          <w:p w:rsidR="00B43AC4" w:rsidRPr="009802E0" w:rsidRDefault="00B43AC4"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基金合同生效日：</w:t>
            </w:r>
          </w:p>
        </w:tc>
        <w:tc>
          <w:tcPr>
            <w:tcW w:w="5601" w:type="dxa"/>
          </w:tcPr>
          <w:p w:rsidR="00B43AC4" w:rsidRPr="009802E0" w:rsidRDefault="00B43AC4" w:rsidP="00FE018D">
            <w:pPr>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指</w:t>
            </w:r>
            <w:r w:rsidR="00C90835" w:rsidRPr="009802E0">
              <w:rPr>
                <w:rFonts w:asciiTheme="minorEastAsia" w:eastAsiaTheme="minorEastAsia" w:hAnsiTheme="minorEastAsia"/>
                <w:szCs w:val="21"/>
              </w:rPr>
              <w:t>基金</w:t>
            </w:r>
            <w:r w:rsidR="00C90835" w:rsidRPr="009802E0">
              <w:rPr>
                <w:rFonts w:asciiTheme="minorEastAsia" w:eastAsiaTheme="minorEastAsia" w:hAnsiTheme="minorEastAsia" w:hint="eastAsia"/>
                <w:szCs w:val="21"/>
              </w:rPr>
              <w:t>募集</w:t>
            </w:r>
            <w:r w:rsidR="00C90835" w:rsidRPr="009802E0">
              <w:rPr>
                <w:rFonts w:asciiTheme="minorEastAsia" w:eastAsiaTheme="minorEastAsia" w:hAnsiTheme="minorEastAsia"/>
                <w:szCs w:val="21"/>
              </w:rPr>
              <w:t>达到法律规定及</w:t>
            </w:r>
            <w:r w:rsidR="00C90835" w:rsidRPr="009802E0">
              <w:rPr>
                <w:rFonts w:asciiTheme="minorEastAsia" w:eastAsiaTheme="minorEastAsia" w:hAnsiTheme="minorEastAsia" w:hint="eastAsia"/>
                <w:szCs w:val="21"/>
              </w:rPr>
              <w:t>《</w:t>
            </w:r>
            <w:r w:rsidR="00C90835" w:rsidRPr="009802E0">
              <w:rPr>
                <w:rFonts w:asciiTheme="minorEastAsia" w:eastAsiaTheme="minorEastAsia" w:hAnsiTheme="minorEastAsia"/>
                <w:szCs w:val="21"/>
              </w:rPr>
              <w:t>基金合同</w:t>
            </w:r>
            <w:r w:rsidR="00C90835" w:rsidRPr="009802E0">
              <w:rPr>
                <w:rFonts w:asciiTheme="minorEastAsia" w:eastAsiaTheme="minorEastAsia" w:hAnsiTheme="minorEastAsia" w:hint="eastAsia"/>
                <w:szCs w:val="21"/>
              </w:rPr>
              <w:t>》约定</w:t>
            </w:r>
            <w:r w:rsidR="00C90835" w:rsidRPr="009802E0">
              <w:rPr>
                <w:rFonts w:asciiTheme="minorEastAsia" w:eastAsiaTheme="minorEastAsia" w:hAnsiTheme="minorEastAsia"/>
                <w:szCs w:val="21"/>
              </w:rPr>
              <w:t>的条件，</w:t>
            </w:r>
            <w:r w:rsidR="00C90835" w:rsidRPr="009802E0">
              <w:rPr>
                <w:rFonts w:asciiTheme="minorEastAsia" w:eastAsiaTheme="minorEastAsia" w:hAnsiTheme="minorEastAsia" w:hint="eastAsia"/>
                <w:szCs w:val="21"/>
              </w:rPr>
              <w:t>基金管理人聘请法定机构验资并办理完毕基金备案手续，获得中国证监会书面确认之日</w:t>
            </w:r>
            <w:r w:rsidRPr="009802E0">
              <w:rPr>
                <w:rFonts w:asciiTheme="minorEastAsia" w:eastAsiaTheme="minorEastAsia" w:hAnsiTheme="minorEastAsia" w:hint="eastAsia"/>
                <w:kern w:val="0"/>
                <w:szCs w:val="21"/>
              </w:rPr>
              <w:t>；</w:t>
            </w:r>
          </w:p>
        </w:tc>
      </w:tr>
      <w:tr w:rsidR="00F1417A" w:rsidRPr="009802E0" w:rsidTr="00B43AC4">
        <w:tc>
          <w:tcPr>
            <w:tcW w:w="2552" w:type="dxa"/>
          </w:tcPr>
          <w:p w:rsidR="00B43AC4" w:rsidRPr="009802E0" w:rsidRDefault="00B43AC4"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存续期：</w:t>
            </w:r>
          </w:p>
        </w:tc>
        <w:tc>
          <w:tcPr>
            <w:tcW w:w="5601" w:type="dxa"/>
          </w:tcPr>
          <w:p w:rsidR="00B43AC4" w:rsidRPr="009802E0" w:rsidRDefault="00B43AC4" w:rsidP="00FE018D">
            <w:pPr>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指本基金合同</w:t>
            </w:r>
            <w:r w:rsidR="00D50ADD" w:rsidRPr="009802E0">
              <w:rPr>
                <w:rFonts w:asciiTheme="minorEastAsia" w:eastAsiaTheme="minorEastAsia" w:hAnsiTheme="minorEastAsia" w:hint="eastAsia"/>
                <w:kern w:val="0"/>
                <w:szCs w:val="21"/>
              </w:rPr>
              <w:t>生效后合法存续的不定期之期间</w:t>
            </w:r>
            <w:r w:rsidRPr="009802E0">
              <w:rPr>
                <w:rFonts w:asciiTheme="minorEastAsia" w:eastAsiaTheme="minorEastAsia" w:hAnsiTheme="minorEastAsia" w:hint="eastAsia"/>
                <w:kern w:val="0"/>
                <w:szCs w:val="21"/>
              </w:rPr>
              <w:t>；</w:t>
            </w:r>
          </w:p>
        </w:tc>
      </w:tr>
      <w:tr w:rsidR="00F1417A" w:rsidRPr="009802E0" w:rsidTr="00B43AC4">
        <w:tc>
          <w:tcPr>
            <w:tcW w:w="2552" w:type="dxa"/>
          </w:tcPr>
          <w:p w:rsidR="00B43AC4" w:rsidRPr="009802E0" w:rsidRDefault="00B43AC4"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日/天：</w:t>
            </w:r>
          </w:p>
        </w:tc>
        <w:tc>
          <w:tcPr>
            <w:tcW w:w="5601" w:type="dxa"/>
          </w:tcPr>
          <w:p w:rsidR="00B43AC4" w:rsidRPr="009802E0" w:rsidRDefault="00B43AC4" w:rsidP="00FE018D">
            <w:pPr>
              <w:tabs>
                <w:tab w:val="left" w:pos="1650"/>
              </w:tabs>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指公历日</w:t>
            </w:r>
          </w:p>
        </w:tc>
      </w:tr>
      <w:tr w:rsidR="00F1417A" w:rsidRPr="009802E0" w:rsidTr="00B43AC4">
        <w:tc>
          <w:tcPr>
            <w:tcW w:w="2552" w:type="dxa"/>
          </w:tcPr>
          <w:p w:rsidR="000C6F8B" w:rsidRPr="009802E0" w:rsidRDefault="000C6F8B"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月</w:t>
            </w:r>
            <w:r w:rsidR="00847560" w:rsidRPr="009802E0">
              <w:rPr>
                <w:rFonts w:asciiTheme="minorEastAsia" w:eastAsiaTheme="minorEastAsia" w:hAnsiTheme="minorEastAsia" w:hint="eastAsia"/>
                <w:szCs w:val="21"/>
              </w:rPr>
              <w:t>：</w:t>
            </w:r>
          </w:p>
        </w:tc>
        <w:tc>
          <w:tcPr>
            <w:tcW w:w="5601" w:type="dxa"/>
          </w:tcPr>
          <w:p w:rsidR="000C6F8B" w:rsidRPr="009802E0" w:rsidRDefault="000C6F8B" w:rsidP="00FE018D">
            <w:pPr>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指公历月</w:t>
            </w:r>
          </w:p>
        </w:tc>
      </w:tr>
      <w:tr w:rsidR="00F1417A" w:rsidRPr="009802E0" w:rsidTr="00B43AC4">
        <w:tc>
          <w:tcPr>
            <w:tcW w:w="2552" w:type="dxa"/>
          </w:tcPr>
          <w:p w:rsidR="00B43AC4" w:rsidRPr="009802E0" w:rsidRDefault="00B43AC4"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kern w:val="0"/>
                <w:szCs w:val="21"/>
              </w:rPr>
              <w:t>工作日、交易日：</w:t>
            </w:r>
          </w:p>
        </w:tc>
        <w:tc>
          <w:tcPr>
            <w:tcW w:w="5601" w:type="dxa"/>
          </w:tcPr>
          <w:p w:rsidR="00B43AC4" w:rsidRPr="009802E0" w:rsidRDefault="00B43AC4" w:rsidP="00FE018D">
            <w:pPr>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指上海证券交易所和深圳证券交易所的正常交易日；</w:t>
            </w:r>
          </w:p>
        </w:tc>
      </w:tr>
      <w:tr w:rsidR="00F1417A" w:rsidRPr="009802E0" w:rsidTr="00B43AC4">
        <w:tc>
          <w:tcPr>
            <w:tcW w:w="2552" w:type="dxa"/>
          </w:tcPr>
          <w:p w:rsidR="00B43AC4" w:rsidRPr="009802E0" w:rsidRDefault="00B43AC4"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认购：</w:t>
            </w:r>
          </w:p>
        </w:tc>
        <w:tc>
          <w:tcPr>
            <w:tcW w:w="5601" w:type="dxa"/>
          </w:tcPr>
          <w:p w:rsidR="00B43AC4" w:rsidRPr="009802E0" w:rsidRDefault="00B43AC4" w:rsidP="00FE018D">
            <w:pPr>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指</w:t>
            </w:r>
            <w:r w:rsidR="00C90835" w:rsidRPr="009802E0">
              <w:rPr>
                <w:rFonts w:asciiTheme="minorEastAsia" w:eastAsiaTheme="minorEastAsia" w:hAnsiTheme="minorEastAsia" w:hint="eastAsia"/>
                <w:szCs w:val="21"/>
              </w:rPr>
              <w:t>在本基金募集期内投资者购买本基金基金份额的行为</w:t>
            </w:r>
            <w:r w:rsidRPr="009802E0">
              <w:rPr>
                <w:rFonts w:asciiTheme="minorEastAsia" w:eastAsiaTheme="minorEastAsia" w:hAnsiTheme="minorEastAsia" w:hint="eastAsia"/>
                <w:kern w:val="0"/>
                <w:szCs w:val="21"/>
              </w:rPr>
              <w:t>；</w:t>
            </w:r>
          </w:p>
        </w:tc>
      </w:tr>
      <w:tr w:rsidR="00F1417A" w:rsidRPr="009802E0" w:rsidTr="00B43AC4">
        <w:tc>
          <w:tcPr>
            <w:tcW w:w="2552" w:type="dxa"/>
          </w:tcPr>
          <w:p w:rsidR="00370399" w:rsidRPr="009802E0" w:rsidRDefault="00370399"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发售：</w:t>
            </w:r>
          </w:p>
        </w:tc>
        <w:tc>
          <w:tcPr>
            <w:tcW w:w="5601" w:type="dxa"/>
          </w:tcPr>
          <w:p w:rsidR="00370399" w:rsidRPr="009802E0" w:rsidRDefault="00370399" w:rsidP="00FE018D">
            <w:pPr>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szCs w:val="21"/>
              </w:rPr>
              <w:t>指在本基金募集期内，销售机构向投资者销售本基金份额的行为；</w:t>
            </w:r>
          </w:p>
        </w:tc>
      </w:tr>
      <w:tr w:rsidR="00F1417A" w:rsidRPr="009802E0" w:rsidTr="00B43AC4">
        <w:tc>
          <w:tcPr>
            <w:tcW w:w="2552" w:type="dxa"/>
          </w:tcPr>
          <w:p w:rsidR="00B43AC4" w:rsidRPr="009802E0" w:rsidRDefault="00B43AC4"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kern w:val="0"/>
                <w:szCs w:val="21"/>
              </w:rPr>
              <w:t>申购：</w:t>
            </w:r>
          </w:p>
        </w:tc>
        <w:tc>
          <w:tcPr>
            <w:tcW w:w="5601" w:type="dxa"/>
          </w:tcPr>
          <w:p w:rsidR="00B43AC4" w:rsidRPr="009802E0" w:rsidRDefault="00B43AC4"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指</w:t>
            </w:r>
            <w:r w:rsidR="008D7F34" w:rsidRPr="009802E0">
              <w:rPr>
                <w:rFonts w:asciiTheme="minorEastAsia" w:eastAsiaTheme="minorEastAsia" w:hAnsiTheme="minorEastAsia" w:hint="eastAsia"/>
                <w:szCs w:val="21"/>
              </w:rPr>
              <w:t>《基金合同》生效后，</w:t>
            </w:r>
            <w:r w:rsidR="00C90835" w:rsidRPr="009802E0">
              <w:rPr>
                <w:rFonts w:asciiTheme="minorEastAsia" w:eastAsiaTheme="minorEastAsia" w:hAnsiTheme="minorEastAsia" w:hint="eastAsia"/>
                <w:szCs w:val="21"/>
              </w:rPr>
              <w:t>基金投资者根据基金销售网点规定的手续，向基金管理人购买基金份额的行为。本基金的日常申购自《基金合同》生效后不超过3个月的时间开始办理</w:t>
            </w:r>
            <w:r w:rsidRPr="009802E0">
              <w:rPr>
                <w:rFonts w:asciiTheme="minorEastAsia" w:eastAsiaTheme="minorEastAsia" w:hAnsiTheme="minorEastAsia" w:hint="eastAsia"/>
                <w:szCs w:val="21"/>
              </w:rPr>
              <w:t>；</w:t>
            </w:r>
          </w:p>
        </w:tc>
      </w:tr>
      <w:tr w:rsidR="00F1417A" w:rsidRPr="009802E0" w:rsidTr="00B43AC4">
        <w:tc>
          <w:tcPr>
            <w:tcW w:w="2552" w:type="dxa"/>
          </w:tcPr>
          <w:p w:rsidR="00B43AC4" w:rsidRPr="009802E0" w:rsidRDefault="00B43AC4" w:rsidP="00FE018D">
            <w:pPr>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lastRenderedPageBreak/>
              <w:t>赎回：</w:t>
            </w:r>
          </w:p>
        </w:tc>
        <w:tc>
          <w:tcPr>
            <w:tcW w:w="5601" w:type="dxa"/>
          </w:tcPr>
          <w:p w:rsidR="00B43AC4" w:rsidRPr="009802E0" w:rsidRDefault="00B43AC4"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指</w:t>
            </w:r>
            <w:r w:rsidR="008D7F34" w:rsidRPr="009802E0">
              <w:rPr>
                <w:rFonts w:asciiTheme="minorEastAsia" w:eastAsiaTheme="minorEastAsia" w:hAnsiTheme="minorEastAsia" w:hint="eastAsia"/>
                <w:szCs w:val="21"/>
              </w:rPr>
              <w:t>《基金合同》生效后，</w:t>
            </w:r>
            <w:r w:rsidR="00C90835" w:rsidRPr="009802E0">
              <w:rPr>
                <w:rFonts w:asciiTheme="minorEastAsia" w:eastAsiaTheme="minorEastAsia" w:hAnsiTheme="minorEastAsia" w:hint="eastAsia"/>
                <w:szCs w:val="21"/>
              </w:rPr>
              <w:t>基金投资者根据基金销售网点规定的手续，向基金管理人卖出基金份额的行为。本基金的日常赎回自《基金合同》生效后不超过3个月的时间开始办理</w:t>
            </w:r>
            <w:r w:rsidRPr="009802E0">
              <w:rPr>
                <w:rFonts w:asciiTheme="minorEastAsia" w:eastAsiaTheme="minorEastAsia" w:hAnsiTheme="minorEastAsia" w:hint="eastAsia"/>
                <w:szCs w:val="21"/>
              </w:rPr>
              <w:t>；</w:t>
            </w:r>
          </w:p>
        </w:tc>
      </w:tr>
      <w:tr w:rsidR="00F1417A" w:rsidRPr="009802E0" w:rsidTr="00B43AC4">
        <w:tc>
          <w:tcPr>
            <w:tcW w:w="2552" w:type="dxa"/>
          </w:tcPr>
          <w:p w:rsidR="00370399" w:rsidRPr="009802E0" w:rsidRDefault="00370399" w:rsidP="00FE018D">
            <w:pPr>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巨额赎回：</w:t>
            </w:r>
          </w:p>
        </w:tc>
        <w:tc>
          <w:tcPr>
            <w:tcW w:w="5601" w:type="dxa"/>
          </w:tcPr>
          <w:p w:rsidR="00370399" w:rsidRPr="009802E0" w:rsidRDefault="00370399" w:rsidP="00FE018D">
            <w:pPr>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szCs w:val="21"/>
              </w:rPr>
              <w:t>指在单个开放日，本基金的基金份额净赎回申请（赎回申请总数加上基金转换中转出申请份额总数后扣除申购申请总数及基金转换中转入申请份额总数后的余额）超过上一</w:t>
            </w:r>
            <w:r w:rsidR="00AF49A6" w:rsidRPr="009802E0">
              <w:rPr>
                <w:rFonts w:asciiTheme="minorEastAsia" w:eastAsiaTheme="minorEastAsia" w:hAnsiTheme="minorEastAsia" w:hint="eastAsia"/>
                <w:szCs w:val="21"/>
              </w:rPr>
              <w:t>开放</w:t>
            </w:r>
            <w:r w:rsidRPr="009802E0">
              <w:rPr>
                <w:rFonts w:asciiTheme="minorEastAsia" w:eastAsiaTheme="minorEastAsia" w:hAnsiTheme="minorEastAsia" w:hint="eastAsia"/>
                <w:szCs w:val="21"/>
              </w:rPr>
              <w:t>日本基金总份额的</w:t>
            </w:r>
            <w:r w:rsidRPr="009802E0">
              <w:rPr>
                <w:rFonts w:asciiTheme="minorEastAsia" w:eastAsiaTheme="minorEastAsia" w:hAnsiTheme="minorEastAsia"/>
                <w:szCs w:val="21"/>
              </w:rPr>
              <w:t>10%</w:t>
            </w:r>
            <w:r w:rsidRPr="009802E0">
              <w:rPr>
                <w:rFonts w:asciiTheme="minorEastAsia" w:eastAsiaTheme="minorEastAsia" w:hAnsiTheme="minorEastAsia" w:hint="eastAsia"/>
                <w:szCs w:val="21"/>
              </w:rPr>
              <w:t>时的情形；</w:t>
            </w:r>
          </w:p>
        </w:tc>
      </w:tr>
      <w:tr w:rsidR="00F1417A" w:rsidRPr="009802E0" w:rsidTr="00B43AC4">
        <w:tc>
          <w:tcPr>
            <w:tcW w:w="2552" w:type="dxa"/>
          </w:tcPr>
          <w:p w:rsidR="00B43AC4" w:rsidRPr="009802E0" w:rsidRDefault="00B43AC4"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基金转换：</w:t>
            </w:r>
          </w:p>
        </w:tc>
        <w:tc>
          <w:tcPr>
            <w:tcW w:w="5601" w:type="dxa"/>
          </w:tcPr>
          <w:p w:rsidR="00B43AC4" w:rsidRPr="009802E0" w:rsidRDefault="00C90835"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指投资者按基金管理人规定的条件，向基金管理人提出申请将其所持有的基金管理人管理的某一开放式基金（转出基金）的全部或部分基金份额转换为基金管理人管理的某一其他开放式基金（转入基金）的基金份额的行为</w:t>
            </w:r>
            <w:r w:rsidR="00B43AC4" w:rsidRPr="009802E0">
              <w:rPr>
                <w:rFonts w:asciiTheme="minorEastAsia" w:eastAsiaTheme="minorEastAsia" w:hAnsiTheme="minorEastAsia" w:hint="eastAsia"/>
                <w:szCs w:val="21"/>
              </w:rPr>
              <w:t>；</w:t>
            </w:r>
          </w:p>
        </w:tc>
      </w:tr>
      <w:tr w:rsidR="00F1417A" w:rsidRPr="009802E0" w:rsidTr="00B43AC4">
        <w:tc>
          <w:tcPr>
            <w:tcW w:w="2552" w:type="dxa"/>
          </w:tcPr>
          <w:p w:rsidR="00332013" w:rsidRPr="009802E0" w:rsidRDefault="00332013"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A类份额</w:t>
            </w:r>
          </w:p>
        </w:tc>
        <w:tc>
          <w:tcPr>
            <w:tcW w:w="5601" w:type="dxa"/>
          </w:tcPr>
          <w:p w:rsidR="00332013" w:rsidRPr="009802E0" w:rsidRDefault="008B6026"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指在投资者认购/申购基金时收取认购/申购费用，在赎回时根据持有期限收取赎回费用，并不再从本类别基金资产中计提销售服务费的基金份额</w:t>
            </w:r>
            <w:r w:rsidR="00BC128D" w:rsidRPr="009802E0">
              <w:rPr>
                <w:rFonts w:asciiTheme="minorEastAsia" w:eastAsiaTheme="minorEastAsia" w:hAnsiTheme="minorEastAsia" w:hint="eastAsia"/>
                <w:szCs w:val="21"/>
              </w:rPr>
              <w:t>；</w:t>
            </w:r>
          </w:p>
        </w:tc>
      </w:tr>
      <w:tr w:rsidR="00F1417A" w:rsidRPr="009802E0" w:rsidTr="00B43AC4">
        <w:tc>
          <w:tcPr>
            <w:tcW w:w="2552" w:type="dxa"/>
          </w:tcPr>
          <w:p w:rsidR="00332013" w:rsidRPr="009802E0" w:rsidRDefault="00332013" w:rsidP="00FE018D">
            <w:pPr>
              <w:adjustRightInd w:val="0"/>
              <w:snapToGrid w:val="0"/>
              <w:spacing w:line="360" w:lineRule="auto"/>
              <w:rPr>
                <w:rFonts w:asciiTheme="minorEastAsia" w:eastAsiaTheme="minorEastAsia" w:hAnsiTheme="minorEastAsia"/>
                <w:sz w:val="24"/>
              </w:rPr>
            </w:pPr>
            <w:r w:rsidRPr="009802E0">
              <w:rPr>
                <w:rFonts w:asciiTheme="minorEastAsia" w:eastAsiaTheme="minorEastAsia" w:hAnsiTheme="minorEastAsia" w:hint="eastAsia"/>
                <w:szCs w:val="21"/>
              </w:rPr>
              <w:t>B类份额</w:t>
            </w:r>
          </w:p>
        </w:tc>
        <w:tc>
          <w:tcPr>
            <w:tcW w:w="5601" w:type="dxa"/>
          </w:tcPr>
          <w:p w:rsidR="00332013" w:rsidRPr="009802E0" w:rsidRDefault="008B6026"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指从本类别基金资产中计提销售服务费、不收取认购</w:t>
            </w:r>
            <w:r w:rsidRPr="009802E0">
              <w:rPr>
                <w:rFonts w:asciiTheme="minorEastAsia" w:eastAsiaTheme="minorEastAsia" w:hAnsiTheme="minorEastAsia"/>
                <w:szCs w:val="21"/>
              </w:rPr>
              <w:t>/</w:t>
            </w:r>
            <w:r w:rsidRPr="009802E0">
              <w:rPr>
                <w:rFonts w:asciiTheme="minorEastAsia" w:eastAsiaTheme="minorEastAsia" w:hAnsiTheme="minorEastAsia" w:hint="eastAsia"/>
                <w:szCs w:val="21"/>
              </w:rPr>
              <w:t>申购费用，但对持有期限少于</w:t>
            </w:r>
            <w:r w:rsidRPr="009802E0">
              <w:rPr>
                <w:rFonts w:asciiTheme="minorEastAsia" w:eastAsiaTheme="minorEastAsia" w:hAnsiTheme="minorEastAsia"/>
                <w:szCs w:val="21"/>
              </w:rPr>
              <w:t>30</w:t>
            </w:r>
            <w:r w:rsidRPr="009802E0">
              <w:rPr>
                <w:rFonts w:asciiTheme="minorEastAsia" w:eastAsiaTheme="minorEastAsia" w:hAnsiTheme="minorEastAsia" w:hint="eastAsia"/>
                <w:szCs w:val="21"/>
              </w:rPr>
              <w:t>日的本类别基金份额的赎回收取赎回费的基金份额</w:t>
            </w:r>
            <w:r w:rsidR="00BC128D" w:rsidRPr="009802E0">
              <w:rPr>
                <w:rFonts w:asciiTheme="minorEastAsia" w:eastAsiaTheme="minorEastAsia" w:hAnsiTheme="minorEastAsia" w:hint="eastAsia"/>
                <w:szCs w:val="21"/>
              </w:rPr>
              <w:t>；</w:t>
            </w:r>
          </w:p>
        </w:tc>
      </w:tr>
      <w:tr w:rsidR="00F1417A" w:rsidRPr="009802E0" w:rsidTr="00B43AC4">
        <w:tc>
          <w:tcPr>
            <w:tcW w:w="2552" w:type="dxa"/>
          </w:tcPr>
          <w:p w:rsidR="00370399" w:rsidRPr="009802E0" w:rsidRDefault="00370399"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定期定额投资计划：</w:t>
            </w:r>
          </w:p>
        </w:tc>
        <w:tc>
          <w:tcPr>
            <w:tcW w:w="5601" w:type="dxa"/>
          </w:tcPr>
          <w:p w:rsidR="00370399" w:rsidRPr="009802E0" w:rsidRDefault="00370399"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指投资者通过有关销售机构提出申请，约定每期扣款日、扣款金额及扣款方式，由销售机构于每期约定扣款日在投资者指定银行账户内自动完成扣款及基金申购申请的一种投资方式；</w:t>
            </w:r>
          </w:p>
        </w:tc>
      </w:tr>
      <w:tr w:rsidR="00F1417A" w:rsidRPr="009802E0" w:rsidTr="00B43AC4">
        <w:tc>
          <w:tcPr>
            <w:tcW w:w="2552" w:type="dxa"/>
          </w:tcPr>
          <w:p w:rsidR="00B43AC4" w:rsidRPr="009802E0" w:rsidRDefault="00B43AC4"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指令：</w:t>
            </w:r>
          </w:p>
        </w:tc>
        <w:tc>
          <w:tcPr>
            <w:tcW w:w="5601" w:type="dxa"/>
          </w:tcPr>
          <w:p w:rsidR="00B43AC4" w:rsidRPr="009802E0" w:rsidRDefault="00B43AC4"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指基金管理人在运用基金财产进行投资时，向基金托管人发出的资金划拨及实物券调拨等指令；</w:t>
            </w:r>
          </w:p>
        </w:tc>
      </w:tr>
      <w:tr w:rsidR="00F1417A" w:rsidRPr="009802E0" w:rsidTr="00B43AC4">
        <w:tc>
          <w:tcPr>
            <w:tcW w:w="2552" w:type="dxa"/>
          </w:tcPr>
          <w:p w:rsidR="00B43AC4" w:rsidRPr="009802E0" w:rsidRDefault="007909DB"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非直销销售</w:t>
            </w:r>
            <w:r w:rsidR="00B43AC4" w:rsidRPr="009802E0">
              <w:rPr>
                <w:rFonts w:asciiTheme="minorEastAsia" w:eastAsiaTheme="minorEastAsia" w:hAnsiTheme="minorEastAsia" w:hint="eastAsia"/>
                <w:kern w:val="0"/>
                <w:szCs w:val="21"/>
              </w:rPr>
              <w:t>机构：</w:t>
            </w:r>
          </w:p>
        </w:tc>
        <w:tc>
          <w:tcPr>
            <w:tcW w:w="5601" w:type="dxa"/>
          </w:tcPr>
          <w:p w:rsidR="00B43AC4" w:rsidRPr="009802E0" w:rsidRDefault="007909DB" w:rsidP="00FE018D">
            <w:pPr>
              <w:adjustRightInd w:val="0"/>
              <w:snapToGrid w:val="0"/>
              <w:spacing w:line="360" w:lineRule="auto"/>
              <w:rPr>
                <w:rFonts w:asciiTheme="minorEastAsia" w:eastAsiaTheme="minorEastAsia" w:hAnsiTheme="minorEastAsia"/>
                <w:kern w:val="0"/>
                <w:szCs w:val="21"/>
              </w:rPr>
            </w:pPr>
            <w:r w:rsidRPr="009802E0">
              <w:rPr>
                <w:rStyle w:val="da"/>
                <w:rFonts w:asciiTheme="minorEastAsia" w:eastAsiaTheme="minorEastAsia" w:hAnsiTheme="minorEastAsia" w:hint="eastAsia"/>
              </w:rPr>
              <w:t>指符合《销售办法》和中国证监会规定的其他条件，取得基金销售业务资格并</w:t>
            </w:r>
            <w:r w:rsidR="00DE13F2" w:rsidRPr="009802E0">
              <w:rPr>
                <w:rStyle w:val="da"/>
                <w:rFonts w:asciiTheme="minorEastAsia" w:eastAsiaTheme="minorEastAsia" w:hAnsiTheme="minorEastAsia" w:hint="eastAsia"/>
              </w:rPr>
              <w:t>与基金管理人签订了基金销售服务协议</w:t>
            </w:r>
            <w:r w:rsidRPr="009802E0">
              <w:rPr>
                <w:rStyle w:val="da"/>
                <w:rFonts w:asciiTheme="minorEastAsia" w:eastAsiaTheme="minorEastAsia" w:hAnsiTheme="minorEastAsia" w:hint="eastAsia"/>
              </w:rPr>
              <w:t>，办理基金销售业务的机构</w:t>
            </w:r>
            <w:r w:rsidR="00370399" w:rsidRPr="009802E0">
              <w:rPr>
                <w:rFonts w:asciiTheme="minorEastAsia" w:eastAsiaTheme="minorEastAsia" w:hAnsiTheme="minorEastAsia" w:hint="eastAsia"/>
                <w:kern w:val="0"/>
                <w:szCs w:val="21"/>
              </w:rPr>
              <w:t>；</w:t>
            </w:r>
          </w:p>
        </w:tc>
      </w:tr>
      <w:tr w:rsidR="00F1417A" w:rsidRPr="009802E0" w:rsidTr="00B43AC4">
        <w:tc>
          <w:tcPr>
            <w:tcW w:w="2552" w:type="dxa"/>
          </w:tcPr>
          <w:p w:rsidR="007909DB" w:rsidRPr="009802E0" w:rsidRDefault="007909DB" w:rsidP="00FE018D">
            <w:pPr>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szCs w:val="21"/>
              </w:rPr>
              <w:t>直销机构：</w:t>
            </w:r>
          </w:p>
        </w:tc>
        <w:tc>
          <w:tcPr>
            <w:tcW w:w="5601" w:type="dxa"/>
          </w:tcPr>
          <w:p w:rsidR="007909DB" w:rsidRPr="009802E0" w:rsidRDefault="007909DB"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指易方达基金管理有限公司</w:t>
            </w:r>
          </w:p>
        </w:tc>
      </w:tr>
      <w:tr w:rsidR="00F1417A" w:rsidRPr="009802E0" w:rsidTr="00B43AC4">
        <w:tc>
          <w:tcPr>
            <w:tcW w:w="2552" w:type="dxa"/>
          </w:tcPr>
          <w:p w:rsidR="00B43AC4" w:rsidRPr="009802E0" w:rsidRDefault="00B43AC4"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销售机构：</w:t>
            </w:r>
          </w:p>
        </w:tc>
        <w:tc>
          <w:tcPr>
            <w:tcW w:w="5601" w:type="dxa"/>
          </w:tcPr>
          <w:p w:rsidR="00B43AC4" w:rsidRPr="009802E0" w:rsidRDefault="00370399" w:rsidP="00FE018D">
            <w:pPr>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szCs w:val="21"/>
              </w:rPr>
              <w:t>指基金管理人及</w:t>
            </w:r>
            <w:r w:rsidR="007909DB" w:rsidRPr="009802E0">
              <w:rPr>
                <w:rFonts w:asciiTheme="minorEastAsia" w:eastAsiaTheme="minorEastAsia" w:hAnsiTheme="minorEastAsia" w:hint="eastAsia"/>
                <w:szCs w:val="21"/>
              </w:rPr>
              <w:t>非直销销售机构</w:t>
            </w:r>
            <w:r w:rsidR="00B43AC4" w:rsidRPr="009802E0">
              <w:rPr>
                <w:rFonts w:asciiTheme="minorEastAsia" w:eastAsiaTheme="minorEastAsia" w:hAnsiTheme="minorEastAsia" w:hint="eastAsia"/>
                <w:kern w:val="0"/>
                <w:szCs w:val="21"/>
              </w:rPr>
              <w:t>；</w:t>
            </w:r>
          </w:p>
        </w:tc>
      </w:tr>
      <w:tr w:rsidR="00F1417A" w:rsidRPr="009802E0" w:rsidTr="00B43AC4">
        <w:tc>
          <w:tcPr>
            <w:tcW w:w="2552" w:type="dxa"/>
          </w:tcPr>
          <w:p w:rsidR="00B43AC4" w:rsidRPr="009802E0" w:rsidRDefault="00B43AC4"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基金销售网点：</w:t>
            </w:r>
          </w:p>
        </w:tc>
        <w:tc>
          <w:tcPr>
            <w:tcW w:w="5601" w:type="dxa"/>
          </w:tcPr>
          <w:p w:rsidR="00B43AC4" w:rsidRPr="009802E0" w:rsidRDefault="00370399" w:rsidP="00FE018D">
            <w:pPr>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szCs w:val="21"/>
              </w:rPr>
              <w:t>指基金管理人的直销网点及</w:t>
            </w:r>
            <w:r w:rsidR="007909DB" w:rsidRPr="009802E0">
              <w:rPr>
                <w:rStyle w:val="da"/>
                <w:rFonts w:asciiTheme="minorEastAsia" w:eastAsiaTheme="minorEastAsia" w:hAnsiTheme="minorEastAsia" w:hint="eastAsia"/>
              </w:rPr>
              <w:t>非直销销售机构</w:t>
            </w:r>
            <w:r w:rsidR="007909DB" w:rsidRPr="009802E0">
              <w:rPr>
                <w:rFonts w:asciiTheme="minorEastAsia" w:eastAsiaTheme="minorEastAsia" w:hAnsiTheme="minorEastAsia" w:hint="eastAsia"/>
                <w:szCs w:val="21"/>
              </w:rPr>
              <w:t>的销售网点</w:t>
            </w:r>
            <w:r w:rsidR="00B43AC4" w:rsidRPr="009802E0">
              <w:rPr>
                <w:rFonts w:asciiTheme="minorEastAsia" w:eastAsiaTheme="minorEastAsia" w:hAnsiTheme="minorEastAsia" w:hint="eastAsia"/>
                <w:kern w:val="0"/>
                <w:szCs w:val="21"/>
              </w:rPr>
              <w:t>；</w:t>
            </w:r>
          </w:p>
        </w:tc>
      </w:tr>
      <w:tr w:rsidR="00F1417A" w:rsidRPr="009802E0" w:rsidTr="00B43AC4">
        <w:tc>
          <w:tcPr>
            <w:tcW w:w="2552" w:type="dxa"/>
          </w:tcPr>
          <w:p w:rsidR="00B43AC4" w:rsidRPr="009802E0" w:rsidRDefault="004E4473"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指定媒介</w:t>
            </w:r>
            <w:r w:rsidR="00B43AC4" w:rsidRPr="009802E0">
              <w:rPr>
                <w:rFonts w:asciiTheme="minorEastAsia" w:eastAsiaTheme="minorEastAsia" w:hAnsiTheme="minorEastAsia" w:hint="eastAsia"/>
                <w:szCs w:val="21"/>
              </w:rPr>
              <w:t>：</w:t>
            </w:r>
          </w:p>
        </w:tc>
        <w:tc>
          <w:tcPr>
            <w:tcW w:w="5601" w:type="dxa"/>
          </w:tcPr>
          <w:p w:rsidR="00B43AC4" w:rsidRPr="009802E0" w:rsidRDefault="004E4473" w:rsidP="00FE018D">
            <w:pPr>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中国证监会指定的用以进行信息披露的全国性报刊及指定互联网网站（包括基金管理人网站、基金托管人网站、中国证监会基金电子披露网站）等媒介</w:t>
            </w:r>
            <w:r w:rsidR="00B43AC4" w:rsidRPr="009802E0">
              <w:rPr>
                <w:rFonts w:asciiTheme="minorEastAsia" w:eastAsiaTheme="minorEastAsia" w:hAnsiTheme="minorEastAsia" w:hint="eastAsia"/>
                <w:kern w:val="0"/>
                <w:szCs w:val="21"/>
              </w:rPr>
              <w:t>；</w:t>
            </w:r>
          </w:p>
        </w:tc>
      </w:tr>
      <w:tr w:rsidR="00F1417A" w:rsidRPr="009802E0" w:rsidTr="00B43AC4">
        <w:tc>
          <w:tcPr>
            <w:tcW w:w="2552" w:type="dxa"/>
          </w:tcPr>
          <w:p w:rsidR="00B43AC4" w:rsidRPr="009802E0" w:rsidRDefault="00B43AC4"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基金账户：</w:t>
            </w:r>
          </w:p>
        </w:tc>
        <w:tc>
          <w:tcPr>
            <w:tcW w:w="5601" w:type="dxa"/>
          </w:tcPr>
          <w:p w:rsidR="00B43AC4" w:rsidRPr="009802E0" w:rsidRDefault="00B43AC4" w:rsidP="00FE018D">
            <w:pPr>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指</w:t>
            </w:r>
            <w:r w:rsidR="00370399" w:rsidRPr="009802E0">
              <w:rPr>
                <w:rFonts w:asciiTheme="minorEastAsia" w:eastAsiaTheme="minorEastAsia" w:hAnsiTheme="minorEastAsia" w:hint="eastAsia"/>
                <w:szCs w:val="21"/>
              </w:rPr>
              <w:t>基金注册登记机构</w:t>
            </w:r>
            <w:r w:rsidR="002823B0" w:rsidRPr="009802E0">
              <w:rPr>
                <w:rFonts w:asciiTheme="minorEastAsia" w:eastAsiaTheme="minorEastAsia" w:hAnsiTheme="minorEastAsia" w:hint="eastAsia"/>
                <w:szCs w:val="21"/>
              </w:rPr>
              <w:t>为</w:t>
            </w:r>
            <w:r w:rsidR="00370399" w:rsidRPr="009802E0">
              <w:rPr>
                <w:rFonts w:asciiTheme="minorEastAsia" w:eastAsiaTheme="minorEastAsia" w:hAnsiTheme="minorEastAsia" w:hint="eastAsia"/>
                <w:szCs w:val="21"/>
              </w:rPr>
              <w:t>投资者开立的用于记录投资者持有基金管理人管理的开放式基金份额情况的账户</w:t>
            </w:r>
            <w:r w:rsidRPr="009802E0">
              <w:rPr>
                <w:rFonts w:asciiTheme="minorEastAsia" w:eastAsiaTheme="minorEastAsia" w:hAnsiTheme="minorEastAsia" w:hint="eastAsia"/>
                <w:kern w:val="0"/>
                <w:szCs w:val="21"/>
              </w:rPr>
              <w:t>；</w:t>
            </w:r>
          </w:p>
        </w:tc>
      </w:tr>
      <w:tr w:rsidR="00F1417A" w:rsidRPr="009802E0" w:rsidTr="00B43AC4">
        <w:tc>
          <w:tcPr>
            <w:tcW w:w="2552" w:type="dxa"/>
          </w:tcPr>
          <w:p w:rsidR="00B43AC4" w:rsidRPr="009802E0" w:rsidRDefault="00B43AC4"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交易账户：</w:t>
            </w:r>
          </w:p>
        </w:tc>
        <w:tc>
          <w:tcPr>
            <w:tcW w:w="5601" w:type="dxa"/>
          </w:tcPr>
          <w:p w:rsidR="00B43AC4" w:rsidRPr="009802E0" w:rsidRDefault="00370399" w:rsidP="00FE018D">
            <w:pPr>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szCs w:val="21"/>
              </w:rPr>
              <w:t>指各销售机构为投资者开立的记录投资者通过该销售机构办理基金交易所引起的基金份额的变动及结余情况的账户</w:t>
            </w:r>
            <w:r w:rsidR="00B43AC4" w:rsidRPr="009802E0">
              <w:rPr>
                <w:rFonts w:asciiTheme="minorEastAsia" w:eastAsiaTheme="minorEastAsia" w:hAnsiTheme="minorEastAsia" w:hint="eastAsia"/>
                <w:kern w:val="0"/>
                <w:szCs w:val="21"/>
              </w:rPr>
              <w:t>；</w:t>
            </w:r>
          </w:p>
        </w:tc>
      </w:tr>
      <w:tr w:rsidR="00F1417A" w:rsidRPr="009802E0" w:rsidTr="00B43AC4">
        <w:tc>
          <w:tcPr>
            <w:tcW w:w="2552" w:type="dxa"/>
          </w:tcPr>
          <w:p w:rsidR="00370399" w:rsidRPr="009802E0" w:rsidRDefault="00370399"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转托管</w:t>
            </w:r>
            <w:r w:rsidR="006D24DF" w:rsidRPr="009802E0">
              <w:rPr>
                <w:rFonts w:asciiTheme="minorEastAsia" w:eastAsiaTheme="minorEastAsia" w:hAnsiTheme="minorEastAsia" w:hint="eastAsia"/>
                <w:szCs w:val="21"/>
              </w:rPr>
              <w:t>：</w:t>
            </w:r>
          </w:p>
        </w:tc>
        <w:tc>
          <w:tcPr>
            <w:tcW w:w="5601" w:type="dxa"/>
          </w:tcPr>
          <w:p w:rsidR="00370399" w:rsidRPr="009802E0" w:rsidDel="00370399" w:rsidRDefault="006D24DF" w:rsidP="00FE018D">
            <w:pPr>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szCs w:val="21"/>
              </w:rPr>
              <w:t>指投资者将其持有的同一基金账户下的基金份额从某一交易账户转入另一交易账户的业务</w:t>
            </w:r>
            <w:r w:rsidRPr="009802E0">
              <w:rPr>
                <w:rFonts w:asciiTheme="minorEastAsia" w:eastAsiaTheme="minorEastAsia" w:hAnsiTheme="minorEastAsia" w:hint="eastAsia"/>
                <w:szCs w:val="21"/>
              </w:rPr>
              <w:t>；</w:t>
            </w:r>
          </w:p>
        </w:tc>
      </w:tr>
      <w:tr w:rsidR="00F1417A" w:rsidRPr="009802E0" w:rsidTr="00B43AC4">
        <w:tc>
          <w:tcPr>
            <w:tcW w:w="2552" w:type="dxa"/>
          </w:tcPr>
          <w:p w:rsidR="00B43AC4" w:rsidRPr="009802E0" w:rsidRDefault="00B43AC4"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开放日：</w:t>
            </w:r>
          </w:p>
        </w:tc>
        <w:tc>
          <w:tcPr>
            <w:tcW w:w="5601" w:type="dxa"/>
          </w:tcPr>
          <w:p w:rsidR="00B43AC4" w:rsidRPr="009802E0" w:rsidRDefault="00B43AC4"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指销售机构办理本基金份额申购、赎回等业务的工作日；</w:t>
            </w:r>
          </w:p>
        </w:tc>
      </w:tr>
      <w:tr w:rsidR="00F1417A" w:rsidRPr="009802E0" w:rsidTr="00B43AC4">
        <w:tc>
          <w:tcPr>
            <w:tcW w:w="2552" w:type="dxa"/>
          </w:tcPr>
          <w:p w:rsidR="00B43AC4" w:rsidRPr="009802E0" w:rsidRDefault="00B43AC4"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kern w:val="0"/>
                <w:szCs w:val="21"/>
              </w:rPr>
              <w:t>T日：</w:t>
            </w:r>
          </w:p>
        </w:tc>
        <w:tc>
          <w:tcPr>
            <w:tcW w:w="5601" w:type="dxa"/>
          </w:tcPr>
          <w:p w:rsidR="00B43AC4" w:rsidRPr="009802E0" w:rsidRDefault="00B43AC4" w:rsidP="00FE018D">
            <w:pPr>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指销售机构受理投资者申购、赎回或其他业务申请的日期；</w:t>
            </w:r>
          </w:p>
        </w:tc>
      </w:tr>
      <w:tr w:rsidR="00F1417A" w:rsidRPr="009802E0" w:rsidTr="00B43AC4">
        <w:tc>
          <w:tcPr>
            <w:tcW w:w="2552" w:type="dxa"/>
          </w:tcPr>
          <w:p w:rsidR="00B43AC4" w:rsidRPr="009802E0" w:rsidRDefault="00B43AC4"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T+n日：</w:t>
            </w:r>
          </w:p>
        </w:tc>
        <w:tc>
          <w:tcPr>
            <w:tcW w:w="5601" w:type="dxa"/>
          </w:tcPr>
          <w:p w:rsidR="00B43AC4" w:rsidRPr="009802E0" w:rsidRDefault="00B43AC4" w:rsidP="00FE018D">
            <w:pPr>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指T日后（不包括T日）第n个工作日，n指自然数；</w:t>
            </w:r>
          </w:p>
        </w:tc>
      </w:tr>
      <w:tr w:rsidR="00F1417A" w:rsidRPr="009802E0" w:rsidTr="00B43AC4">
        <w:tc>
          <w:tcPr>
            <w:tcW w:w="2552" w:type="dxa"/>
          </w:tcPr>
          <w:p w:rsidR="00B43AC4" w:rsidRPr="009802E0" w:rsidRDefault="00B43AC4"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kern w:val="0"/>
                <w:szCs w:val="21"/>
              </w:rPr>
              <w:t>基金利润：</w:t>
            </w:r>
          </w:p>
        </w:tc>
        <w:tc>
          <w:tcPr>
            <w:tcW w:w="5601" w:type="dxa"/>
          </w:tcPr>
          <w:p w:rsidR="00B43AC4" w:rsidRPr="009802E0" w:rsidRDefault="00B43AC4" w:rsidP="00FE018D">
            <w:pPr>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szCs w:val="21"/>
              </w:rPr>
              <w:t>指基金利息收入、投资收益、公允价值变动收益和其他收入扣除相关费用后的余额；</w:t>
            </w:r>
          </w:p>
        </w:tc>
      </w:tr>
      <w:tr w:rsidR="00F1417A" w:rsidRPr="009802E0" w:rsidTr="00B43AC4">
        <w:tc>
          <w:tcPr>
            <w:tcW w:w="2552" w:type="dxa"/>
          </w:tcPr>
          <w:p w:rsidR="00B43AC4" w:rsidRPr="009802E0" w:rsidRDefault="00B43AC4"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基金份额净值：</w:t>
            </w:r>
          </w:p>
        </w:tc>
        <w:tc>
          <w:tcPr>
            <w:tcW w:w="5601" w:type="dxa"/>
          </w:tcPr>
          <w:p w:rsidR="00B43AC4" w:rsidRPr="009802E0" w:rsidRDefault="00B43AC4" w:rsidP="00FE018D">
            <w:pPr>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szCs w:val="21"/>
              </w:rPr>
              <w:t>指以计算日基金资产净值除以计算日基金份额余额所得的单位基金份额的价值；</w:t>
            </w:r>
          </w:p>
        </w:tc>
      </w:tr>
      <w:tr w:rsidR="00F1417A" w:rsidRPr="009802E0" w:rsidTr="00B43AC4">
        <w:tc>
          <w:tcPr>
            <w:tcW w:w="2552" w:type="dxa"/>
          </w:tcPr>
          <w:p w:rsidR="00B43AC4" w:rsidRPr="009802E0" w:rsidRDefault="00B43AC4"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kern w:val="0"/>
                <w:szCs w:val="21"/>
              </w:rPr>
              <w:t>基金资产估值：</w:t>
            </w:r>
          </w:p>
        </w:tc>
        <w:tc>
          <w:tcPr>
            <w:tcW w:w="5601" w:type="dxa"/>
          </w:tcPr>
          <w:p w:rsidR="00B43AC4" w:rsidRPr="009802E0" w:rsidRDefault="00B43AC4" w:rsidP="00FE018D">
            <w:pPr>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指计算、评估基金资产和负债的价值，以确定基金资产净值和基金份额净值的过程；</w:t>
            </w:r>
          </w:p>
        </w:tc>
      </w:tr>
      <w:tr w:rsidR="00F1417A" w:rsidRPr="009802E0" w:rsidTr="00B43AC4">
        <w:tc>
          <w:tcPr>
            <w:tcW w:w="2552" w:type="dxa"/>
          </w:tcPr>
          <w:p w:rsidR="00B43AC4" w:rsidRPr="009802E0" w:rsidRDefault="00B43AC4"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法律法规：</w:t>
            </w:r>
          </w:p>
        </w:tc>
        <w:tc>
          <w:tcPr>
            <w:tcW w:w="5601" w:type="dxa"/>
          </w:tcPr>
          <w:p w:rsidR="00B43AC4" w:rsidRPr="009802E0" w:rsidRDefault="00B43AC4" w:rsidP="00FE018D">
            <w:pPr>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指中华人民共和国现行有效的法律、行政法规、司法解释、地方法规、地方规章、部门规章及其他规范性文件以及对于该等法律法规的不时修改和补充；</w:t>
            </w:r>
          </w:p>
        </w:tc>
      </w:tr>
      <w:tr w:rsidR="00177FD0" w:rsidRPr="009802E0" w:rsidTr="00B43AC4">
        <w:tc>
          <w:tcPr>
            <w:tcW w:w="2552" w:type="dxa"/>
          </w:tcPr>
          <w:p w:rsidR="00B43AC4" w:rsidRPr="009802E0" w:rsidRDefault="00B43AC4"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szCs w:val="21"/>
              </w:rPr>
              <w:t>不可抗力：</w:t>
            </w:r>
          </w:p>
          <w:p w:rsidR="00954E08" w:rsidRPr="009802E0" w:rsidRDefault="00954E08" w:rsidP="00FE018D">
            <w:pPr>
              <w:adjustRightInd w:val="0"/>
              <w:snapToGrid w:val="0"/>
              <w:spacing w:line="360" w:lineRule="auto"/>
              <w:rPr>
                <w:rFonts w:asciiTheme="minorEastAsia" w:eastAsiaTheme="minorEastAsia" w:hAnsiTheme="minorEastAsia"/>
                <w:szCs w:val="21"/>
              </w:rPr>
            </w:pPr>
          </w:p>
          <w:p w:rsidR="00954E08" w:rsidRPr="009802E0" w:rsidRDefault="00954E08" w:rsidP="00FE018D">
            <w:pPr>
              <w:adjustRightInd w:val="0"/>
              <w:snapToGrid w:val="0"/>
              <w:spacing w:line="360" w:lineRule="auto"/>
              <w:rPr>
                <w:rFonts w:asciiTheme="minorEastAsia" w:eastAsiaTheme="minorEastAsia" w:hAnsiTheme="minorEastAsia"/>
                <w:szCs w:val="21"/>
              </w:rPr>
            </w:pPr>
          </w:p>
          <w:p w:rsidR="00954E08" w:rsidRPr="009802E0" w:rsidRDefault="00954E08" w:rsidP="00FE018D">
            <w:pPr>
              <w:adjustRightInd w:val="0"/>
              <w:snapToGrid w:val="0"/>
              <w:spacing w:line="360" w:lineRule="auto"/>
              <w:rPr>
                <w:rFonts w:asciiTheme="minorEastAsia" w:eastAsiaTheme="minorEastAsia" w:hAnsiTheme="minorEastAsia"/>
                <w:szCs w:val="21"/>
              </w:rPr>
            </w:pPr>
          </w:p>
          <w:p w:rsidR="00954E08" w:rsidRPr="009802E0" w:rsidRDefault="00954E08" w:rsidP="00FE018D">
            <w:pPr>
              <w:adjustRightInd w:val="0"/>
              <w:snapToGrid w:val="0"/>
              <w:spacing w:line="360" w:lineRule="auto"/>
              <w:rPr>
                <w:rFonts w:asciiTheme="minorEastAsia" w:eastAsiaTheme="minorEastAsia" w:hAnsiTheme="minorEastAsia"/>
                <w:szCs w:val="21"/>
              </w:rPr>
            </w:pPr>
          </w:p>
          <w:p w:rsidR="00954E08" w:rsidRPr="009802E0" w:rsidRDefault="00954E08" w:rsidP="00FE018D">
            <w:pPr>
              <w:adjustRightInd w:val="0"/>
              <w:snapToGrid w:val="0"/>
              <w:spacing w:line="360" w:lineRule="auto"/>
              <w:rPr>
                <w:rFonts w:asciiTheme="minorEastAsia" w:eastAsiaTheme="minorEastAsia" w:hAnsiTheme="minorEastAsia"/>
                <w:szCs w:val="21"/>
              </w:rPr>
            </w:pPr>
            <w:r w:rsidRPr="009802E0">
              <w:rPr>
                <w:rFonts w:asciiTheme="minorEastAsia" w:eastAsiaTheme="minorEastAsia" w:hAnsiTheme="minorEastAsia" w:hint="eastAsia"/>
                <w:kern w:val="0"/>
                <w:szCs w:val="21"/>
              </w:rPr>
              <w:t>流动性受限资产</w:t>
            </w:r>
            <w:r w:rsidRPr="009802E0">
              <w:rPr>
                <w:rFonts w:asciiTheme="minorEastAsia" w:eastAsiaTheme="minorEastAsia" w:hAnsiTheme="minorEastAsia"/>
                <w:kern w:val="0"/>
                <w:szCs w:val="21"/>
              </w:rPr>
              <w:t>：</w:t>
            </w:r>
          </w:p>
        </w:tc>
        <w:tc>
          <w:tcPr>
            <w:tcW w:w="5601" w:type="dxa"/>
          </w:tcPr>
          <w:p w:rsidR="00954E08" w:rsidRPr="009802E0" w:rsidRDefault="00B43AC4" w:rsidP="00FE018D">
            <w:pPr>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指任何无法预见、无法克服、无法避免的事件和因素，包括但不限于洪水、地震及其他自然灾害、战争、疫情、骚乱、火灾、政府征用、没收、法律变化、突发停电、电脑系统或数据传输系统非正常停止以及其他突发事件、证券交易场所非正常暂停或停止交易等</w:t>
            </w:r>
            <w:r w:rsidR="00954E08" w:rsidRPr="009802E0">
              <w:rPr>
                <w:rFonts w:asciiTheme="minorEastAsia" w:eastAsiaTheme="minorEastAsia" w:hAnsiTheme="minorEastAsia" w:hint="eastAsia"/>
                <w:kern w:val="0"/>
                <w:szCs w:val="21"/>
              </w:rPr>
              <w:t>；</w:t>
            </w:r>
          </w:p>
          <w:p w:rsidR="00B43AC4" w:rsidRPr="009802E0" w:rsidRDefault="00954E08" w:rsidP="00FE018D">
            <w:pPr>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tc>
      </w:tr>
    </w:tbl>
    <w:p w:rsidR="00B43AC4" w:rsidRPr="009802E0" w:rsidRDefault="00B43AC4" w:rsidP="00FE018D">
      <w:pPr>
        <w:adjustRightInd w:val="0"/>
        <w:snapToGrid w:val="0"/>
        <w:spacing w:line="360" w:lineRule="auto"/>
        <w:ind w:firstLine="181"/>
        <w:jc w:val="center"/>
        <w:rPr>
          <w:rFonts w:asciiTheme="minorEastAsia" w:eastAsiaTheme="minorEastAsia" w:hAnsiTheme="minorEastAsia"/>
        </w:rPr>
      </w:pPr>
    </w:p>
    <w:p w:rsidR="00B43AC4" w:rsidRPr="009802E0" w:rsidRDefault="00B43AC4" w:rsidP="00FE018D">
      <w:pPr>
        <w:adjustRightInd w:val="0"/>
        <w:snapToGrid w:val="0"/>
        <w:spacing w:line="360" w:lineRule="auto"/>
        <w:ind w:firstLine="480"/>
        <w:jc w:val="center"/>
        <w:rPr>
          <w:rFonts w:asciiTheme="minorEastAsia" w:eastAsiaTheme="minorEastAsia" w:hAnsiTheme="minorEastAsia"/>
        </w:rPr>
      </w:pPr>
    </w:p>
    <w:p w:rsidR="00CB427F" w:rsidRPr="009802E0" w:rsidRDefault="00B43AC4" w:rsidP="00FE018D">
      <w:pPr>
        <w:pStyle w:val="111"/>
        <w:pageBreakBefore w:val="0"/>
        <w:adjustRightInd w:val="0"/>
        <w:snapToGrid w:val="0"/>
        <w:spacing w:beforeLines="0" w:afterLines="0" w:line="360" w:lineRule="auto"/>
        <w:ind w:firstLine="643"/>
        <w:rPr>
          <w:rFonts w:asciiTheme="minorEastAsia" w:eastAsiaTheme="minorEastAsia" w:hAnsiTheme="minorEastAsia"/>
          <w:b/>
          <w:bCs/>
        </w:rPr>
      </w:pPr>
      <w:r w:rsidRPr="009802E0">
        <w:rPr>
          <w:rFonts w:asciiTheme="minorEastAsia" w:eastAsiaTheme="minorEastAsia" w:hAnsiTheme="minorEastAsia"/>
          <w:b/>
          <w:bCs/>
        </w:rPr>
        <w:br w:type="column"/>
      </w:r>
      <w:bookmarkStart w:id="2" w:name="_Toc43301874"/>
      <w:r w:rsidRPr="009802E0">
        <w:rPr>
          <w:rFonts w:asciiTheme="minorEastAsia" w:eastAsiaTheme="minorEastAsia" w:hAnsiTheme="minorEastAsia" w:hint="eastAsia"/>
          <w:b/>
          <w:bCs/>
        </w:rPr>
        <w:lastRenderedPageBreak/>
        <w:t>三、基金管理人</w:t>
      </w:r>
      <w:bookmarkEnd w:id="2"/>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sz w:val="21"/>
        </w:rPr>
      </w:pPr>
      <w:bookmarkStart w:id="3" w:name="_Toc43301875"/>
      <w:r w:rsidRPr="009802E0">
        <w:rPr>
          <w:rFonts w:asciiTheme="minorEastAsia" w:eastAsiaTheme="minorEastAsia" w:hAnsiTheme="minorEastAsia" w:cs="仿宋_GB2312" w:hint="eastAsia"/>
          <w:b w:val="0"/>
          <w:bCs/>
          <w:kern w:val="0"/>
          <w:szCs w:val="24"/>
        </w:rPr>
        <w:t>（一）</w:t>
      </w:r>
      <w:r w:rsidRPr="009802E0">
        <w:rPr>
          <w:rFonts w:asciiTheme="minorEastAsia" w:eastAsiaTheme="minorEastAsia" w:hAnsiTheme="minorEastAsia" w:cs="仿宋_GB2312"/>
          <w:b w:val="0"/>
          <w:bCs/>
          <w:kern w:val="0"/>
          <w:szCs w:val="24"/>
        </w:rPr>
        <w:t>基金管理人</w:t>
      </w:r>
      <w:r w:rsidRPr="009802E0">
        <w:rPr>
          <w:rFonts w:asciiTheme="minorEastAsia" w:eastAsiaTheme="minorEastAsia" w:hAnsiTheme="minorEastAsia" w:cs="仿宋_GB2312" w:hint="eastAsia"/>
          <w:b w:val="0"/>
          <w:bCs/>
          <w:kern w:val="0"/>
          <w:szCs w:val="24"/>
        </w:rPr>
        <w:t>基本情况</w:t>
      </w:r>
      <w:bookmarkEnd w:id="3"/>
    </w:p>
    <w:p w:rsidR="00677B8F" w:rsidRPr="009802E0" w:rsidRDefault="00B43AC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1</w:t>
      </w:r>
      <w:r w:rsidR="002B5B21" w:rsidRPr="009802E0">
        <w:rPr>
          <w:rFonts w:asciiTheme="minorEastAsia" w:eastAsiaTheme="minorEastAsia" w:hAnsiTheme="minorEastAsia" w:hint="eastAsia"/>
          <w:szCs w:val="21"/>
        </w:rPr>
        <w:t>、</w:t>
      </w:r>
      <w:r w:rsidR="00677B8F" w:rsidRPr="009802E0">
        <w:rPr>
          <w:rFonts w:asciiTheme="minorEastAsia" w:eastAsiaTheme="minorEastAsia" w:hAnsiTheme="minorEastAsia" w:hint="eastAsia"/>
          <w:szCs w:val="21"/>
        </w:rPr>
        <w:t>基金管理人：易方达基金管理有限公司</w:t>
      </w:r>
    </w:p>
    <w:p w:rsidR="00677B8F" w:rsidRPr="009802E0" w:rsidRDefault="00677B8F"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注册地址：</w:t>
      </w:r>
      <w:r w:rsidR="00954E08" w:rsidRPr="009802E0">
        <w:rPr>
          <w:rFonts w:asciiTheme="minorEastAsia" w:eastAsiaTheme="minorEastAsia" w:hAnsiTheme="minorEastAsia" w:hint="eastAsia"/>
          <w:kern w:val="0"/>
          <w:szCs w:val="21"/>
        </w:rPr>
        <w:t>广东省珠海市横琴新区宝华路6号105室－42891（集中办公区）</w:t>
      </w:r>
    </w:p>
    <w:p w:rsidR="00677B8F" w:rsidRPr="009802E0" w:rsidRDefault="00677B8F"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办公地址：广州市天河区珠江新城珠江东路30号广州银行大厦40-43楼</w:t>
      </w:r>
    </w:p>
    <w:p w:rsidR="00677B8F" w:rsidRPr="009802E0" w:rsidRDefault="00677B8F"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设立日期：2001年4月17日</w:t>
      </w:r>
    </w:p>
    <w:p w:rsidR="00677B8F" w:rsidRPr="009802E0" w:rsidRDefault="00677B8F"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法定代表人：</w:t>
      </w:r>
      <w:r w:rsidR="00BA778E" w:rsidRPr="009802E0">
        <w:rPr>
          <w:rFonts w:asciiTheme="minorEastAsia" w:eastAsiaTheme="minorEastAsia" w:hAnsiTheme="minorEastAsia" w:hint="eastAsia"/>
          <w:szCs w:val="21"/>
        </w:rPr>
        <w:t>刘晓艳</w:t>
      </w:r>
    </w:p>
    <w:p w:rsidR="00677B8F" w:rsidRPr="009802E0" w:rsidRDefault="00677B8F"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联系电话：4008818088</w:t>
      </w:r>
    </w:p>
    <w:p w:rsidR="00677B8F" w:rsidRPr="009802E0" w:rsidRDefault="00530B9E"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联系人：李红枫</w:t>
      </w:r>
    </w:p>
    <w:p w:rsidR="00B43AC4" w:rsidRPr="009802E0" w:rsidRDefault="00C461F8"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注册资本：13,244.2万元人民币</w:t>
      </w:r>
    </w:p>
    <w:p w:rsidR="00FB49F6" w:rsidRPr="009802E0" w:rsidRDefault="00FB49F6"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经营范围：公开募集证券投资基金管理、基金销售、特定客户资产管理</w:t>
      </w:r>
    </w:p>
    <w:p w:rsidR="00B43AC4" w:rsidRPr="009802E0" w:rsidRDefault="00B43AC4" w:rsidP="00FE018D">
      <w:pPr>
        <w:adjustRightInd w:val="0"/>
        <w:snapToGrid w:val="0"/>
        <w:spacing w:line="360" w:lineRule="auto"/>
        <w:ind w:firstLine="420"/>
        <w:rPr>
          <w:rFonts w:asciiTheme="minorEastAsia" w:eastAsiaTheme="minorEastAsia" w:hAnsiTheme="minorEastAsia"/>
        </w:rPr>
      </w:pPr>
      <w:r w:rsidRPr="009802E0">
        <w:rPr>
          <w:rFonts w:asciiTheme="minorEastAsia" w:eastAsiaTheme="minorEastAsia" w:hAnsiTheme="minorEastAsia" w:hint="eastAsia"/>
        </w:rPr>
        <w:t>2</w:t>
      </w:r>
      <w:r w:rsidR="002B5B21" w:rsidRPr="009802E0">
        <w:rPr>
          <w:rFonts w:asciiTheme="minorEastAsia" w:eastAsiaTheme="minorEastAsia" w:hAnsiTheme="minorEastAsia" w:hint="eastAsia"/>
        </w:rPr>
        <w:t>、</w:t>
      </w:r>
      <w:r w:rsidRPr="009802E0">
        <w:rPr>
          <w:rFonts w:asciiTheme="minorEastAsia" w:eastAsiaTheme="minorEastAsia" w:hAnsiTheme="minorEastAsia" w:hint="eastAsia"/>
        </w:rPr>
        <w:t>股权结构：</w:t>
      </w:r>
    </w:p>
    <w:tbl>
      <w:tblPr>
        <w:tblW w:w="6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8"/>
        <w:gridCol w:w="1837"/>
      </w:tblGrid>
      <w:tr w:rsidR="00F1417A" w:rsidRPr="009802E0" w:rsidTr="00AD3DAC">
        <w:trPr>
          <w:jc w:val="center"/>
        </w:trPr>
        <w:tc>
          <w:tcPr>
            <w:tcW w:w="5068" w:type="dxa"/>
            <w:vAlign w:val="center"/>
          </w:tcPr>
          <w:p w:rsidR="00B43AC4" w:rsidRPr="009802E0" w:rsidRDefault="00B43AC4" w:rsidP="00AD3DAC">
            <w:pPr>
              <w:adjustRightInd w:val="0"/>
              <w:snapToGrid w:val="0"/>
              <w:spacing w:line="360" w:lineRule="auto"/>
              <w:jc w:val="center"/>
              <w:rPr>
                <w:rFonts w:asciiTheme="minorEastAsia" w:eastAsiaTheme="minorEastAsia" w:hAnsiTheme="minorEastAsia"/>
              </w:rPr>
            </w:pPr>
            <w:r w:rsidRPr="009802E0">
              <w:rPr>
                <w:rFonts w:asciiTheme="minorEastAsia" w:eastAsiaTheme="minorEastAsia" w:hAnsiTheme="minorEastAsia" w:hint="eastAsia"/>
              </w:rPr>
              <w:t>股东名称</w:t>
            </w:r>
          </w:p>
        </w:tc>
        <w:tc>
          <w:tcPr>
            <w:tcW w:w="1837" w:type="dxa"/>
            <w:vAlign w:val="center"/>
          </w:tcPr>
          <w:p w:rsidR="00B43AC4" w:rsidRPr="009802E0" w:rsidRDefault="00B43AC4" w:rsidP="00AD3DAC">
            <w:pPr>
              <w:adjustRightInd w:val="0"/>
              <w:snapToGrid w:val="0"/>
              <w:spacing w:line="360" w:lineRule="auto"/>
              <w:jc w:val="center"/>
              <w:rPr>
                <w:rFonts w:asciiTheme="minorEastAsia" w:eastAsiaTheme="minorEastAsia" w:hAnsiTheme="minorEastAsia"/>
              </w:rPr>
            </w:pPr>
            <w:r w:rsidRPr="009802E0">
              <w:rPr>
                <w:rFonts w:asciiTheme="minorEastAsia" w:eastAsiaTheme="minorEastAsia" w:hAnsiTheme="minorEastAsia" w:hint="eastAsia"/>
              </w:rPr>
              <w:t>出资比例</w:t>
            </w:r>
          </w:p>
        </w:tc>
      </w:tr>
      <w:tr w:rsidR="00F1417A" w:rsidRPr="009802E0" w:rsidTr="00AD3DAC">
        <w:trPr>
          <w:jc w:val="center"/>
        </w:trPr>
        <w:tc>
          <w:tcPr>
            <w:tcW w:w="5068" w:type="dxa"/>
            <w:vAlign w:val="center"/>
          </w:tcPr>
          <w:p w:rsidR="00B43AC4" w:rsidRPr="009802E0" w:rsidRDefault="00C461F8" w:rsidP="00AD3DA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rPr>
              <w:t>广东粤财信托有限公司</w:t>
            </w:r>
          </w:p>
        </w:tc>
        <w:tc>
          <w:tcPr>
            <w:tcW w:w="1837" w:type="dxa"/>
            <w:vAlign w:val="center"/>
          </w:tcPr>
          <w:p w:rsidR="00B43AC4" w:rsidRPr="009802E0" w:rsidRDefault="00C461F8" w:rsidP="008203FC">
            <w:pPr>
              <w:adjustRightInd w:val="0"/>
              <w:snapToGrid w:val="0"/>
              <w:spacing w:line="360" w:lineRule="auto"/>
              <w:jc w:val="right"/>
              <w:rPr>
                <w:rFonts w:asciiTheme="minorEastAsia" w:eastAsiaTheme="minorEastAsia" w:hAnsiTheme="minorEastAsia"/>
              </w:rPr>
            </w:pPr>
            <w:r w:rsidRPr="009802E0">
              <w:rPr>
                <w:rFonts w:asciiTheme="minorEastAsia" w:eastAsiaTheme="minorEastAsia" w:hAnsiTheme="minorEastAsia"/>
              </w:rPr>
              <w:t>22.6514％</w:t>
            </w:r>
          </w:p>
        </w:tc>
      </w:tr>
      <w:tr w:rsidR="00F1417A" w:rsidRPr="009802E0" w:rsidTr="00AD3DAC">
        <w:trPr>
          <w:jc w:val="center"/>
        </w:trPr>
        <w:tc>
          <w:tcPr>
            <w:tcW w:w="5068" w:type="dxa"/>
            <w:vAlign w:val="center"/>
          </w:tcPr>
          <w:p w:rsidR="00B43AC4" w:rsidRPr="009802E0" w:rsidRDefault="00C461F8" w:rsidP="00AD3DA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rPr>
              <w:t>广发证券股份有限公司</w:t>
            </w:r>
          </w:p>
        </w:tc>
        <w:tc>
          <w:tcPr>
            <w:tcW w:w="1837" w:type="dxa"/>
            <w:vAlign w:val="center"/>
          </w:tcPr>
          <w:p w:rsidR="00B43AC4" w:rsidRPr="009802E0" w:rsidRDefault="00C461F8" w:rsidP="008203FC">
            <w:pPr>
              <w:adjustRightInd w:val="0"/>
              <w:snapToGrid w:val="0"/>
              <w:spacing w:line="360" w:lineRule="auto"/>
              <w:jc w:val="right"/>
              <w:rPr>
                <w:rFonts w:asciiTheme="minorEastAsia" w:eastAsiaTheme="minorEastAsia" w:hAnsiTheme="minorEastAsia"/>
              </w:rPr>
            </w:pPr>
            <w:r w:rsidRPr="009802E0">
              <w:rPr>
                <w:rFonts w:asciiTheme="minorEastAsia" w:eastAsiaTheme="minorEastAsia" w:hAnsiTheme="minorEastAsia"/>
              </w:rPr>
              <w:t>22.6514％</w:t>
            </w:r>
          </w:p>
        </w:tc>
      </w:tr>
      <w:tr w:rsidR="00F1417A" w:rsidRPr="009802E0" w:rsidTr="00AD3DAC">
        <w:trPr>
          <w:jc w:val="center"/>
        </w:trPr>
        <w:tc>
          <w:tcPr>
            <w:tcW w:w="5068" w:type="dxa"/>
            <w:vAlign w:val="center"/>
          </w:tcPr>
          <w:p w:rsidR="00B43AC4" w:rsidRPr="009802E0" w:rsidRDefault="00C461F8" w:rsidP="00AD3DA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rPr>
              <w:t>盈峰控股集团有限公司</w:t>
            </w:r>
          </w:p>
        </w:tc>
        <w:tc>
          <w:tcPr>
            <w:tcW w:w="1837" w:type="dxa"/>
            <w:vAlign w:val="center"/>
          </w:tcPr>
          <w:p w:rsidR="00B43AC4" w:rsidRPr="009802E0" w:rsidRDefault="00C461F8" w:rsidP="008203FC">
            <w:pPr>
              <w:adjustRightInd w:val="0"/>
              <w:snapToGrid w:val="0"/>
              <w:spacing w:line="360" w:lineRule="auto"/>
              <w:jc w:val="right"/>
              <w:rPr>
                <w:rFonts w:asciiTheme="minorEastAsia" w:eastAsiaTheme="minorEastAsia" w:hAnsiTheme="minorEastAsia"/>
              </w:rPr>
            </w:pPr>
            <w:r w:rsidRPr="009802E0">
              <w:rPr>
                <w:rFonts w:asciiTheme="minorEastAsia" w:eastAsiaTheme="minorEastAsia" w:hAnsiTheme="minorEastAsia"/>
              </w:rPr>
              <w:t>22.6514％</w:t>
            </w:r>
          </w:p>
        </w:tc>
      </w:tr>
      <w:tr w:rsidR="00F1417A" w:rsidRPr="009802E0" w:rsidTr="00AD3DAC">
        <w:trPr>
          <w:jc w:val="center"/>
        </w:trPr>
        <w:tc>
          <w:tcPr>
            <w:tcW w:w="5068" w:type="dxa"/>
            <w:vAlign w:val="center"/>
          </w:tcPr>
          <w:p w:rsidR="00B43AC4" w:rsidRPr="009802E0" w:rsidRDefault="00C461F8" w:rsidP="00AD3DA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rPr>
              <w:t>广东省广晟资产经营有限公司</w:t>
            </w:r>
          </w:p>
        </w:tc>
        <w:tc>
          <w:tcPr>
            <w:tcW w:w="1837" w:type="dxa"/>
            <w:vAlign w:val="center"/>
          </w:tcPr>
          <w:p w:rsidR="00B43AC4" w:rsidRPr="009802E0" w:rsidRDefault="00C461F8" w:rsidP="008203FC">
            <w:pPr>
              <w:adjustRightInd w:val="0"/>
              <w:snapToGrid w:val="0"/>
              <w:spacing w:line="360" w:lineRule="auto"/>
              <w:jc w:val="right"/>
              <w:rPr>
                <w:rFonts w:asciiTheme="minorEastAsia" w:eastAsiaTheme="minorEastAsia" w:hAnsiTheme="minorEastAsia"/>
              </w:rPr>
            </w:pPr>
            <w:r w:rsidRPr="009802E0">
              <w:rPr>
                <w:rFonts w:asciiTheme="minorEastAsia" w:eastAsiaTheme="minorEastAsia" w:hAnsiTheme="minorEastAsia"/>
              </w:rPr>
              <w:t>15.1010％</w:t>
            </w:r>
          </w:p>
        </w:tc>
      </w:tr>
      <w:tr w:rsidR="00F1417A" w:rsidRPr="009802E0" w:rsidTr="00AD3DAC">
        <w:trPr>
          <w:jc w:val="center"/>
        </w:trPr>
        <w:tc>
          <w:tcPr>
            <w:tcW w:w="5068" w:type="dxa"/>
            <w:vAlign w:val="center"/>
          </w:tcPr>
          <w:p w:rsidR="00B43AC4" w:rsidRPr="009802E0" w:rsidRDefault="00C461F8" w:rsidP="00AD3DA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rPr>
              <w:t>广州市广永国有资产经营有限公司</w:t>
            </w:r>
          </w:p>
        </w:tc>
        <w:tc>
          <w:tcPr>
            <w:tcW w:w="1837" w:type="dxa"/>
            <w:vAlign w:val="center"/>
          </w:tcPr>
          <w:p w:rsidR="00B43AC4" w:rsidRPr="009802E0" w:rsidRDefault="00C461F8" w:rsidP="008203FC">
            <w:pPr>
              <w:adjustRightInd w:val="0"/>
              <w:snapToGrid w:val="0"/>
              <w:spacing w:line="360" w:lineRule="auto"/>
              <w:jc w:val="right"/>
              <w:rPr>
                <w:rFonts w:asciiTheme="minorEastAsia" w:eastAsiaTheme="minorEastAsia" w:hAnsiTheme="minorEastAsia"/>
              </w:rPr>
            </w:pPr>
            <w:r w:rsidRPr="009802E0">
              <w:rPr>
                <w:rFonts w:asciiTheme="minorEastAsia" w:eastAsiaTheme="minorEastAsia" w:hAnsiTheme="minorEastAsia"/>
              </w:rPr>
              <w:t>7.5505％</w:t>
            </w:r>
          </w:p>
        </w:tc>
      </w:tr>
      <w:tr w:rsidR="00F1417A" w:rsidRPr="009802E0" w:rsidTr="00AD3DAC">
        <w:trPr>
          <w:jc w:val="center"/>
        </w:trPr>
        <w:tc>
          <w:tcPr>
            <w:tcW w:w="5068" w:type="dxa"/>
            <w:vAlign w:val="center"/>
          </w:tcPr>
          <w:p w:rsidR="00B43AC4" w:rsidRPr="009802E0" w:rsidRDefault="00C461F8" w:rsidP="00AD3DA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rPr>
              <w:t>珠海祺荣宝股权投资合伙企业（有限合伙）</w:t>
            </w:r>
          </w:p>
        </w:tc>
        <w:tc>
          <w:tcPr>
            <w:tcW w:w="1837" w:type="dxa"/>
            <w:vAlign w:val="center"/>
          </w:tcPr>
          <w:p w:rsidR="00B43AC4" w:rsidRPr="009802E0" w:rsidRDefault="00C461F8" w:rsidP="008203FC">
            <w:pPr>
              <w:adjustRightInd w:val="0"/>
              <w:snapToGrid w:val="0"/>
              <w:spacing w:line="360" w:lineRule="auto"/>
              <w:jc w:val="right"/>
              <w:rPr>
                <w:rFonts w:asciiTheme="minorEastAsia" w:eastAsiaTheme="minorEastAsia" w:hAnsiTheme="minorEastAsia"/>
              </w:rPr>
            </w:pPr>
            <w:r w:rsidRPr="009802E0">
              <w:rPr>
                <w:rFonts w:asciiTheme="minorEastAsia" w:eastAsiaTheme="minorEastAsia" w:hAnsiTheme="minorEastAsia"/>
              </w:rPr>
              <w:t>1.5087％</w:t>
            </w:r>
          </w:p>
        </w:tc>
      </w:tr>
      <w:tr w:rsidR="00C461F8" w:rsidRPr="009802E0" w:rsidTr="00AD3DAC">
        <w:trPr>
          <w:jc w:val="center"/>
        </w:trPr>
        <w:tc>
          <w:tcPr>
            <w:tcW w:w="5068" w:type="dxa"/>
            <w:vAlign w:val="center"/>
          </w:tcPr>
          <w:p w:rsidR="00C461F8" w:rsidRPr="009802E0" w:rsidRDefault="00C461F8" w:rsidP="00AD3DA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rPr>
              <w:t>珠海祺泰宝股权投资合伙企业（有限合伙）</w:t>
            </w:r>
          </w:p>
        </w:tc>
        <w:tc>
          <w:tcPr>
            <w:tcW w:w="1837" w:type="dxa"/>
            <w:vAlign w:val="center"/>
          </w:tcPr>
          <w:p w:rsidR="00C461F8" w:rsidRPr="009802E0" w:rsidRDefault="00C461F8" w:rsidP="008203FC">
            <w:pPr>
              <w:adjustRightInd w:val="0"/>
              <w:snapToGrid w:val="0"/>
              <w:spacing w:line="360" w:lineRule="auto"/>
              <w:jc w:val="right"/>
              <w:rPr>
                <w:rFonts w:asciiTheme="minorEastAsia" w:eastAsiaTheme="minorEastAsia" w:hAnsiTheme="minorEastAsia"/>
              </w:rPr>
            </w:pPr>
            <w:r w:rsidRPr="009802E0">
              <w:rPr>
                <w:rFonts w:asciiTheme="minorEastAsia" w:eastAsiaTheme="minorEastAsia" w:hAnsiTheme="minorEastAsia"/>
              </w:rPr>
              <w:t>1.6205％</w:t>
            </w:r>
          </w:p>
        </w:tc>
      </w:tr>
      <w:tr w:rsidR="00C461F8" w:rsidRPr="009802E0" w:rsidTr="00AD3DAC">
        <w:trPr>
          <w:jc w:val="center"/>
        </w:trPr>
        <w:tc>
          <w:tcPr>
            <w:tcW w:w="5068" w:type="dxa"/>
            <w:vAlign w:val="center"/>
          </w:tcPr>
          <w:p w:rsidR="00C461F8" w:rsidRPr="009802E0" w:rsidRDefault="00C461F8" w:rsidP="00AD3DA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rPr>
              <w:t>珠海祺丰宝股权投资合伙企业（有限合伙）</w:t>
            </w:r>
          </w:p>
        </w:tc>
        <w:tc>
          <w:tcPr>
            <w:tcW w:w="1837" w:type="dxa"/>
            <w:vAlign w:val="center"/>
          </w:tcPr>
          <w:p w:rsidR="00C461F8" w:rsidRPr="009802E0" w:rsidRDefault="00C461F8" w:rsidP="008203FC">
            <w:pPr>
              <w:adjustRightInd w:val="0"/>
              <w:snapToGrid w:val="0"/>
              <w:spacing w:line="360" w:lineRule="auto"/>
              <w:jc w:val="right"/>
              <w:rPr>
                <w:rFonts w:asciiTheme="minorEastAsia" w:eastAsiaTheme="minorEastAsia" w:hAnsiTheme="minorEastAsia"/>
              </w:rPr>
            </w:pPr>
            <w:r w:rsidRPr="009802E0">
              <w:rPr>
                <w:rFonts w:asciiTheme="minorEastAsia" w:eastAsiaTheme="minorEastAsia" w:hAnsiTheme="minorEastAsia"/>
              </w:rPr>
              <w:t>1.5309％</w:t>
            </w:r>
          </w:p>
        </w:tc>
      </w:tr>
      <w:tr w:rsidR="00C461F8" w:rsidRPr="009802E0" w:rsidTr="00AD3DAC">
        <w:trPr>
          <w:jc w:val="center"/>
        </w:trPr>
        <w:tc>
          <w:tcPr>
            <w:tcW w:w="5068" w:type="dxa"/>
            <w:vAlign w:val="center"/>
          </w:tcPr>
          <w:p w:rsidR="00C461F8" w:rsidRPr="009802E0" w:rsidRDefault="00C461F8" w:rsidP="00AD3DA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rPr>
              <w:t>珠海聚莱康股权投资合伙企业（有限合伙）</w:t>
            </w:r>
          </w:p>
        </w:tc>
        <w:tc>
          <w:tcPr>
            <w:tcW w:w="1837" w:type="dxa"/>
            <w:vAlign w:val="center"/>
          </w:tcPr>
          <w:p w:rsidR="00C461F8" w:rsidRPr="009802E0" w:rsidRDefault="00C461F8" w:rsidP="008203FC">
            <w:pPr>
              <w:adjustRightInd w:val="0"/>
              <w:snapToGrid w:val="0"/>
              <w:spacing w:line="360" w:lineRule="auto"/>
              <w:jc w:val="right"/>
              <w:rPr>
                <w:rFonts w:asciiTheme="minorEastAsia" w:eastAsiaTheme="minorEastAsia" w:hAnsiTheme="minorEastAsia"/>
              </w:rPr>
            </w:pPr>
            <w:r w:rsidRPr="009802E0">
              <w:rPr>
                <w:rFonts w:asciiTheme="minorEastAsia" w:eastAsiaTheme="minorEastAsia" w:hAnsiTheme="minorEastAsia"/>
              </w:rPr>
              <w:t>1.7558％</w:t>
            </w:r>
          </w:p>
        </w:tc>
      </w:tr>
      <w:tr w:rsidR="00C461F8" w:rsidRPr="009802E0" w:rsidTr="00AD3DAC">
        <w:trPr>
          <w:jc w:val="center"/>
        </w:trPr>
        <w:tc>
          <w:tcPr>
            <w:tcW w:w="5068" w:type="dxa"/>
            <w:vAlign w:val="center"/>
          </w:tcPr>
          <w:p w:rsidR="00C461F8" w:rsidRPr="009802E0" w:rsidRDefault="00C461F8" w:rsidP="00AD3DA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rPr>
              <w:t>珠海聚宁康股权投资合伙企业（有限合伙）</w:t>
            </w:r>
          </w:p>
        </w:tc>
        <w:tc>
          <w:tcPr>
            <w:tcW w:w="1837" w:type="dxa"/>
            <w:vAlign w:val="center"/>
          </w:tcPr>
          <w:p w:rsidR="00C461F8" w:rsidRPr="009802E0" w:rsidRDefault="00C461F8" w:rsidP="008203FC">
            <w:pPr>
              <w:adjustRightInd w:val="0"/>
              <w:snapToGrid w:val="0"/>
              <w:spacing w:line="360" w:lineRule="auto"/>
              <w:jc w:val="right"/>
              <w:rPr>
                <w:rFonts w:asciiTheme="minorEastAsia" w:eastAsiaTheme="minorEastAsia" w:hAnsiTheme="minorEastAsia"/>
              </w:rPr>
            </w:pPr>
            <w:r w:rsidRPr="009802E0">
              <w:rPr>
                <w:rFonts w:asciiTheme="minorEastAsia" w:eastAsiaTheme="minorEastAsia" w:hAnsiTheme="minorEastAsia"/>
              </w:rPr>
              <w:t>1.4396％</w:t>
            </w:r>
          </w:p>
        </w:tc>
      </w:tr>
      <w:tr w:rsidR="00C461F8" w:rsidRPr="009802E0" w:rsidTr="00AD3DAC">
        <w:trPr>
          <w:jc w:val="center"/>
        </w:trPr>
        <w:tc>
          <w:tcPr>
            <w:tcW w:w="5068" w:type="dxa"/>
            <w:vAlign w:val="center"/>
          </w:tcPr>
          <w:p w:rsidR="00C461F8" w:rsidRPr="009802E0" w:rsidRDefault="00C461F8" w:rsidP="00AD3DA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rPr>
              <w:t>珠海聚弘康股权投资合伙企业（有限合伙）</w:t>
            </w:r>
          </w:p>
        </w:tc>
        <w:tc>
          <w:tcPr>
            <w:tcW w:w="1837" w:type="dxa"/>
            <w:vAlign w:val="center"/>
          </w:tcPr>
          <w:p w:rsidR="00C461F8" w:rsidRPr="009802E0" w:rsidRDefault="00C461F8" w:rsidP="008203FC">
            <w:pPr>
              <w:adjustRightInd w:val="0"/>
              <w:snapToGrid w:val="0"/>
              <w:spacing w:line="360" w:lineRule="auto"/>
              <w:jc w:val="right"/>
              <w:rPr>
                <w:rFonts w:asciiTheme="minorEastAsia" w:eastAsiaTheme="minorEastAsia" w:hAnsiTheme="minorEastAsia"/>
              </w:rPr>
            </w:pPr>
            <w:r w:rsidRPr="009802E0">
              <w:rPr>
                <w:rFonts w:asciiTheme="minorEastAsia" w:eastAsiaTheme="minorEastAsia" w:hAnsiTheme="minorEastAsia"/>
              </w:rPr>
              <w:t>1.5388％</w:t>
            </w:r>
          </w:p>
        </w:tc>
      </w:tr>
      <w:tr w:rsidR="00C461F8" w:rsidRPr="009802E0" w:rsidTr="00AD3DAC">
        <w:trPr>
          <w:jc w:val="center"/>
        </w:trPr>
        <w:tc>
          <w:tcPr>
            <w:tcW w:w="5068" w:type="dxa"/>
            <w:vAlign w:val="center"/>
          </w:tcPr>
          <w:p w:rsidR="00C461F8" w:rsidRPr="009802E0" w:rsidRDefault="00C461F8" w:rsidP="00AD3DA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rPr>
              <w:t>总</w:t>
            </w:r>
            <w:r w:rsidRPr="009802E0">
              <w:rPr>
                <w:rFonts w:asciiTheme="minorEastAsia" w:eastAsiaTheme="minorEastAsia" w:hAnsiTheme="minorEastAsia"/>
              </w:rPr>
              <w:t>计</w:t>
            </w:r>
          </w:p>
        </w:tc>
        <w:tc>
          <w:tcPr>
            <w:tcW w:w="1837" w:type="dxa"/>
            <w:vAlign w:val="center"/>
          </w:tcPr>
          <w:p w:rsidR="00C461F8" w:rsidRPr="009802E0" w:rsidRDefault="00C461F8" w:rsidP="008203FC">
            <w:pPr>
              <w:adjustRightInd w:val="0"/>
              <w:snapToGrid w:val="0"/>
              <w:spacing w:line="360" w:lineRule="auto"/>
              <w:jc w:val="right"/>
              <w:rPr>
                <w:rFonts w:asciiTheme="minorEastAsia" w:eastAsiaTheme="minorEastAsia" w:hAnsiTheme="minorEastAsia"/>
              </w:rPr>
            </w:pPr>
            <w:r w:rsidRPr="009802E0">
              <w:rPr>
                <w:rFonts w:asciiTheme="minorEastAsia" w:eastAsiaTheme="minorEastAsia" w:hAnsiTheme="minorEastAsia"/>
              </w:rPr>
              <w:t>100％</w:t>
            </w:r>
          </w:p>
        </w:tc>
      </w:tr>
    </w:tbl>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cs="仿宋_GB2312"/>
          <w:b w:val="0"/>
          <w:bCs/>
          <w:kern w:val="0"/>
          <w:szCs w:val="24"/>
        </w:rPr>
      </w:pPr>
      <w:bookmarkStart w:id="4" w:name="_Toc43301876"/>
      <w:r w:rsidRPr="009802E0">
        <w:rPr>
          <w:rFonts w:asciiTheme="minorEastAsia" w:eastAsiaTheme="minorEastAsia" w:hAnsiTheme="minorEastAsia" w:hint="eastAsia"/>
          <w:b w:val="0"/>
          <w:bCs/>
          <w:szCs w:val="21"/>
        </w:rPr>
        <w:t>（二）</w:t>
      </w:r>
      <w:r w:rsidRPr="009802E0">
        <w:rPr>
          <w:rFonts w:asciiTheme="minorEastAsia" w:eastAsiaTheme="minorEastAsia" w:hAnsiTheme="minorEastAsia"/>
          <w:b w:val="0"/>
          <w:bCs/>
          <w:szCs w:val="21"/>
        </w:rPr>
        <w:t>主要人员情况</w:t>
      </w:r>
      <w:bookmarkEnd w:id="4"/>
    </w:p>
    <w:p w:rsidR="00B43AC4" w:rsidRPr="009802E0" w:rsidRDefault="00B43AC4" w:rsidP="00FE018D">
      <w:pPr>
        <w:adjustRightInd w:val="0"/>
        <w:snapToGrid w:val="0"/>
        <w:spacing w:line="360" w:lineRule="auto"/>
        <w:ind w:firstLine="420"/>
        <w:rPr>
          <w:rFonts w:asciiTheme="minorEastAsia" w:eastAsiaTheme="minorEastAsia" w:hAnsiTheme="minorEastAsia"/>
        </w:rPr>
      </w:pPr>
      <w:r w:rsidRPr="009802E0">
        <w:rPr>
          <w:rFonts w:asciiTheme="minorEastAsia" w:eastAsiaTheme="minorEastAsia" w:hAnsiTheme="minorEastAsia" w:hint="eastAsia"/>
        </w:rPr>
        <w:t>1</w:t>
      </w:r>
      <w:r w:rsidR="002B5B21" w:rsidRPr="009802E0">
        <w:rPr>
          <w:rFonts w:asciiTheme="minorEastAsia" w:eastAsiaTheme="minorEastAsia" w:hAnsiTheme="minorEastAsia" w:hint="eastAsia"/>
        </w:rPr>
        <w:t>、</w:t>
      </w:r>
      <w:r w:rsidRPr="009802E0">
        <w:rPr>
          <w:rFonts w:asciiTheme="minorEastAsia" w:eastAsiaTheme="minorEastAsia" w:hAnsiTheme="minorEastAsia" w:hint="eastAsia"/>
        </w:rPr>
        <w:t>董事、监事及高级管理人员</w:t>
      </w:r>
    </w:p>
    <w:p w:rsidR="00BF2B4B" w:rsidRPr="009802E0" w:rsidRDefault="00BF2B4B" w:rsidP="009802E0">
      <w:pPr>
        <w:adjustRightInd w:val="0"/>
        <w:snapToGrid w:val="0"/>
        <w:spacing w:line="360" w:lineRule="auto"/>
        <w:ind w:firstLine="420"/>
        <w:rPr>
          <w:rFonts w:asciiTheme="minorEastAsia" w:eastAsiaTheme="minorEastAsia" w:hAnsiTheme="minorEastAsia"/>
          <w:kern w:val="0"/>
        </w:rPr>
      </w:pPr>
      <w:r w:rsidRPr="009802E0">
        <w:rPr>
          <w:rFonts w:asciiTheme="minorEastAsia" w:eastAsiaTheme="minorEastAsia" w:hAnsiTheme="minorEastAsia" w:hint="eastAsia"/>
          <w:kern w:val="0"/>
          <w:szCs w:val="21"/>
        </w:rPr>
        <w:t>詹余引先生，工商管理博士，董事长。曾任中国平安保险公司证券部研究咨询室总经理助理；平安证券有限责任公司研究咨询部副总经理（主持工作）、国债部副总经理（主持工作）、资产管理部副总经理、总经理；中国平安保险股份有限公司投资管理部副总经理（主持工作）；全国社会保障基金理事会投资部资产配置处处长、投资部副主任、境外投资部主任、投资部主任、证券投资部主任。现任易方达基金管理有限公司董事长；易方达国际控股</w:t>
      </w:r>
      <w:r w:rsidRPr="009802E0">
        <w:rPr>
          <w:rFonts w:asciiTheme="minorEastAsia" w:eastAsiaTheme="minorEastAsia" w:hAnsiTheme="minorEastAsia" w:hint="eastAsia"/>
          <w:kern w:val="0"/>
          <w:szCs w:val="21"/>
        </w:rPr>
        <w:lastRenderedPageBreak/>
        <w:t>有限公司董事长。</w:t>
      </w:r>
    </w:p>
    <w:p w:rsidR="00BF2B4B" w:rsidRPr="009802E0" w:rsidRDefault="00BF2B4B" w:rsidP="009802E0">
      <w:pPr>
        <w:adjustRightInd w:val="0"/>
        <w:snapToGrid w:val="0"/>
        <w:spacing w:line="360" w:lineRule="auto"/>
        <w:ind w:firstLine="420"/>
        <w:rPr>
          <w:rFonts w:asciiTheme="minorEastAsia" w:eastAsiaTheme="minorEastAsia" w:hAnsiTheme="minorEastAsia"/>
          <w:kern w:val="0"/>
        </w:rPr>
      </w:pPr>
      <w:r w:rsidRPr="009802E0">
        <w:rPr>
          <w:rFonts w:asciiTheme="minorEastAsia" w:eastAsiaTheme="minorEastAsia" w:hAnsiTheme="minorEastAsia" w:hint="eastAsia"/>
          <w:kern w:val="0"/>
          <w:szCs w:val="21"/>
        </w:rPr>
        <w:t>刘晓艳女士，经济学博士，副董事长、总裁。曾任广发证券有限责任公司投资理财部副经理、基金经理，基金投资理财部副总经理、基金资产管理部总经理；易方达基金管理有限公司督察员、监察部总经理、市场部总经理、总裁助理、公司副总裁、常务副总裁。现任易方达基金管理有限公司副董事长、总裁；易方达资产管理（香港）有限公司董事长。</w:t>
      </w:r>
    </w:p>
    <w:p w:rsidR="00BF2B4B" w:rsidRPr="009802E0" w:rsidRDefault="00BF2B4B" w:rsidP="009802E0">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周泽群先生，高级管理人员工商管理硕士（EMBA），董事。曾任珠海粤财实业有限公司董事长；粤财控股（北京）有限公司总经理、董事长；广东粤财投资控股有限公司总经理助理、办公室主任，广东粤财投资控股有限公司副总经理。现任易方达基金管理有限公司董事；广东粤财投资控股有限公司董事、总经理。</w:t>
      </w:r>
    </w:p>
    <w:p w:rsidR="00BF2B4B" w:rsidRPr="009802E0" w:rsidRDefault="00BF2B4B" w:rsidP="009802E0">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秦力先生，经济学博士，董事。曾任广发证券投资银行部常务副总经理、投资理财部总经理、资金营运部总经理、规划管理部总经理、投资自营部总经理、公司总经理助理、副总经理；广东金融高新区股权交易中心有限公司董事长；广发控股（香港）有限公司董事；广发证券资产管理（广东）有限公司董事长。现任易方达基金管理有限公司董事；广发证券股份有限公司执行董事、常务副总经理；广发控股（香港）有限公司董事长。</w:t>
      </w:r>
    </w:p>
    <w:p w:rsidR="00BF2B4B" w:rsidRPr="009802E0" w:rsidRDefault="00BF2B4B" w:rsidP="009802E0">
      <w:pPr>
        <w:adjustRightInd w:val="0"/>
        <w:snapToGrid w:val="0"/>
        <w:spacing w:line="360" w:lineRule="auto"/>
        <w:ind w:firstLine="420"/>
        <w:rPr>
          <w:rFonts w:asciiTheme="minorEastAsia" w:eastAsiaTheme="minorEastAsia" w:hAnsiTheme="minorEastAsia"/>
          <w:szCs w:val="21"/>
        </w:rPr>
      </w:pPr>
      <w:r w:rsidRPr="009802E0">
        <w:rPr>
          <w:rFonts w:asciiTheme="minorEastAsia" w:eastAsiaTheme="minorEastAsia" w:hAnsiTheme="minorEastAsia" w:hint="eastAsia"/>
          <w:kern w:val="0"/>
          <w:szCs w:val="21"/>
        </w:rPr>
        <w:t>陈志辉先生，管理学硕士，董事。曾任美的集团税务总监；安永会计师事务所广州分所高级审计员；盈峰控股集团有限公司资财中心总经理。现任易方达基金管理有限公司董事；宁波盈峰股权投资基金管理有限公司合伙人、联席总裁；深圳市盈峰环保产业基金管理有限公司监事；广东顺德盈峰互联网产业投资管理有限公司监事；广东神华保险代理有限公司董事；西安高新盈峰创业投资管理有限公司董事。</w:t>
      </w:r>
    </w:p>
    <w:p w:rsidR="00BF2B4B" w:rsidRPr="009802E0" w:rsidRDefault="00BF2B4B" w:rsidP="009802E0">
      <w:pPr>
        <w:adjustRightInd w:val="0"/>
        <w:snapToGrid w:val="0"/>
        <w:spacing w:line="360" w:lineRule="auto"/>
        <w:ind w:firstLine="420"/>
        <w:rPr>
          <w:rFonts w:asciiTheme="minorEastAsia" w:eastAsiaTheme="minorEastAsia" w:hAnsiTheme="minorEastAsia"/>
          <w:szCs w:val="21"/>
        </w:rPr>
      </w:pPr>
      <w:r w:rsidRPr="009802E0">
        <w:rPr>
          <w:rFonts w:asciiTheme="minorEastAsia" w:eastAsiaTheme="minorEastAsia" w:hAnsiTheme="minorEastAsia" w:hint="eastAsia"/>
          <w:kern w:val="0"/>
          <w:szCs w:val="21"/>
        </w:rPr>
        <w:t>戚思胤先生，经济学硕士，董事。曾任广东省高速公路发展股份有限公司证券部投资者关系管理业务员、投资者关系管理主管、信息披露主管、证券事务代表；广东省广晟资产经营有限公司资本运营部高级主管、团委副书记、副部长、部长；（香港）广晟投资发展有限公司董事、常务副总经理等职务。现任易方达基金管理有限公司董事；广东省广晟资产经营有限公司董事会办公室（法务中心）主任；广东风华高新科技股份有限公司董事；佛山电器照明股份有限公司董事；深圳市中金岭南有色金属股份有限公司董事；佛山市国星光电股份有限公司董事；广东南粤银行股份有限公司董事。</w:t>
      </w:r>
    </w:p>
    <w:p w:rsidR="00BF2B4B" w:rsidRPr="009802E0" w:rsidRDefault="00BF2B4B" w:rsidP="009802E0">
      <w:pPr>
        <w:adjustRightInd w:val="0"/>
        <w:snapToGrid w:val="0"/>
        <w:spacing w:line="360" w:lineRule="auto"/>
        <w:ind w:firstLine="420"/>
        <w:rPr>
          <w:rFonts w:asciiTheme="minorEastAsia" w:eastAsiaTheme="minorEastAsia" w:hAnsiTheme="minorEastAsia"/>
          <w:szCs w:val="21"/>
        </w:rPr>
      </w:pPr>
      <w:r w:rsidRPr="009802E0">
        <w:rPr>
          <w:rFonts w:asciiTheme="minorEastAsia" w:eastAsiaTheme="minorEastAsia" w:hAnsiTheme="minorEastAsia" w:hint="eastAsia"/>
          <w:kern w:val="0"/>
          <w:szCs w:val="21"/>
        </w:rPr>
        <w:t>忻榕女士，工商行政管理博士，独立董事。曾任中科院研究生院讲师；美国加州高温橡胶公司市场部经理；美国加州大学讲师；美国南加州大学助理教授；香港科技大学副教授；中欧国际工商学院教授；瑞士洛桑管理学院教授。现任易方达基金管理有限公司独立董事；中欧国际工商学院教授；复星旅游文化集团（开曼）有限公司独立董事；</w:t>
      </w:r>
      <w:hyperlink r:id="rId16" w:tgtFrame="_blank" w:history="1">
        <w:r w:rsidRPr="009802E0">
          <w:rPr>
            <w:rFonts w:asciiTheme="minorEastAsia" w:eastAsiaTheme="minorEastAsia" w:hAnsiTheme="minorEastAsia" w:hint="eastAsia"/>
          </w:rPr>
          <w:t>上海汇招信息技术有限公司</w:t>
        </w:r>
      </w:hyperlink>
      <w:r w:rsidRPr="009802E0">
        <w:rPr>
          <w:rFonts w:asciiTheme="minorEastAsia" w:eastAsiaTheme="minorEastAsia" w:hAnsiTheme="minorEastAsia" w:hint="eastAsia"/>
          <w:kern w:val="0"/>
          <w:szCs w:val="21"/>
        </w:rPr>
        <w:t>董事。</w:t>
      </w:r>
    </w:p>
    <w:p w:rsidR="00BF2B4B" w:rsidRPr="009802E0" w:rsidRDefault="00BF2B4B" w:rsidP="009802E0">
      <w:pPr>
        <w:adjustRightInd w:val="0"/>
        <w:snapToGrid w:val="0"/>
        <w:spacing w:line="360" w:lineRule="auto"/>
        <w:ind w:firstLine="420"/>
        <w:rPr>
          <w:rFonts w:asciiTheme="minorEastAsia" w:eastAsiaTheme="minorEastAsia" w:hAnsiTheme="minorEastAsia"/>
          <w:szCs w:val="21"/>
        </w:rPr>
      </w:pPr>
      <w:r w:rsidRPr="009802E0">
        <w:rPr>
          <w:rFonts w:asciiTheme="minorEastAsia" w:eastAsiaTheme="minorEastAsia" w:hAnsiTheme="minorEastAsia" w:hint="eastAsia"/>
          <w:kern w:val="0"/>
          <w:szCs w:val="21"/>
        </w:rPr>
        <w:t>谭劲松先生，管理学博士（会计学），独立董事。曾任邵阳市财会学校教师；中山大学管理学院助教、讲师、副教授。现任易方达基金管理有限公司独立董事；中山大学管理学院教授；中远海运特种运输股份有限公司独立董事；上海莱士血液制品股份有限公司独立董事；</w:t>
      </w:r>
      <w:r w:rsidRPr="009802E0">
        <w:rPr>
          <w:rFonts w:asciiTheme="minorEastAsia" w:eastAsiaTheme="minorEastAsia" w:hAnsiTheme="minorEastAsia" w:hint="eastAsia"/>
          <w:kern w:val="0"/>
          <w:szCs w:val="21"/>
        </w:rPr>
        <w:lastRenderedPageBreak/>
        <w:t>珠海华发实业股份有限公司独立董事；广州恒运企业集团股份有限公司独立董事；中国南方航空股份有限公司独立董事；广州环保投资集团有限公司外部董事；玉山银行（中国）有限公司独立董事；广东粤财金融租赁股份有限公司独立董事；中新广州知识城投资开发有限公司监事；美的置业控股有限公司独立非执行董事；中信证券华南股份有限公司独立董事。</w:t>
      </w:r>
    </w:p>
    <w:p w:rsidR="00BF2B4B" w:rsidRPr="009802E0" w:rsidRDefault="00BF2B4B" w:rsidP="009802E0">
      <w:pPr>
        <w:adjustRightInd w:val="0"/>
        <w:snapToGrid w:val="0"/>
        <w:spacing w:line="360" w:lineRule="auto"/>
        <w:ind w:firstLine="420"/>
        <w:rPr>
          <w:rFonts w:asciiTheme="minorEastAsia" w:eastAsiaTheme="minorEastAsia" w:hAnsiTheme="minorEastAsia"/>
          <w:szCs w:val="21"/>
        </w:rPr>
      </w:pPr>
      <w:r w:rsidRPr="009802E0">
        <w:rPr>
          <w:rFonts w:asciiTheme="minorEastAsia" w:eastAsiaTheme="minorEastAsia" w:hAnsiTheme="minorEastAsia" w:hint="eastAsia"/>
          <w:kern w:val="0"/>
          <w:szCs w:val="21"/>
        </w:rPr>
        <w:t>庄伟燕女士，法学博士，独立董事。曾任广东省妇女联合会干部；广东鸿鼎律师事务所主任；广东广悦鸿鼎律师事务所管委会主任。现任易方达基金管理有限公司独立董事；广东广信君达律师事务所高级合伙人。</w:t>
      </w:r>
    </w:p>
    <w:p w:rsidR="00BF2B4B" w:rsidRPr="009802E0" w:rsidRDefault="00BF2B4B" w:rsidP="009802E0">
      <w:pPr>
        <w:adjustRightInd w:val="0"/>
        <w:snapToGrid w:val="0"/>
        <w:spacing w:line="360" w:lineRule="auto"/>
        <w:ind w:firstLine="420"/>
        <w:rPr>
          <w:rFonts w:asciiTheme="minorEastAsia" w:eastAsiaTheme="minorEastAsia" w:hAnsiTheme="minorEastAsia"/>
          <w:szCs w:val="21"/>
        </w:rPr>
      </w:pPr>
      <w:r w:rsidRPr="009802E0">
        <w:rPr>
          <w:rFonts w:asciiTheme="minorEastAsia" w:eastAsiaTheme="minorEastAsia" w:hAnsiTheme="minorEastAsia" w:hint="eastAsia"/>
          <w:kern w:val="0"/>
          <w:szCs w:val="21"/>
        </w:rPr>
        <w:t>刘发宏先生，工商管理硕士（MBA），监事会主席。曾任天津商学院团总支书记兼政治辅导员、人事处干部；海南省三亚国际奥林匹克射击娱乐中心会计主管；三英（珠海）纺织有限公司财务主管；珠海市饼业食品有限公司财务部长、审计部长；珠海市国弘财务顾问有限公司项目经理；珠海市迪威有限公司会计师；珠海市卡都九洲食品有限公司财务总监；珠海格力集团（派驻下属企业）财务总监；珠海市国资委（派驻国有企业）财务总监；珠海港置业开发有限公司总经理；酒鬼酒股份有限公司副总经理；广东粤财投资控股有限公司审计部总经理；广东粤财信托有限公司党委委员、副书记。现任易方达基金管理有限公司监事会主席；广东粤财投资控股有限公司党委办主任、人力资源部总经理；广东粤财信托有限公司董事。</w:t>
      </w:r>
    </w:p>
    <w:p w:rsidR="00BF2B4B" w:rsidRPr="009802E0" w:rsidRDefault="00BF2B4B" w:rsidP="009802E0">
      <w:pPr>
        <w:adjustRightInd w:val="0"/>
        <w:snapToGrid w:val="0"/>
        <w:spacing w:line="360" w:lineRule="auto"/>
        <w:ind w:firstLine="420"/>
        <w:rPr>
          <w:rFonts w:asciiTheme="minorEastAsia" w:eastAsiaTheme="minorEastAsia" w:hAnsiTheme="minorEastAsia"/>
          <w:szCs w:val="21"/>
        </w:rPr>
      </w:pPr>
      <w:r w:rsidRPr="009802E0">
        <w:rPr>
          <w:rFonts w:asciiTheme="minorEastAsia" w:eastAsiaTheme="minorEastAsia" w:hAnsiTheme="minorEastAsia" w:hint="eastAsia"/>
          <w:kern w:val="0"/>
          <w:szCs w:val="21"/>
        </w:rPr>
        <w:t>董志钢先生，法学学士，监事。曾任中国建设银行广东省分行法律事务部科员、脱钩办法律事务室副经理、中农信托管办任经理；中国信达资产管理公司广州办事处处置办处置业务部经理；广东卓信律师事务所律师；广东合邦律师事务所律师；广东省粤科资产管理股份有限公司总经理。现任易方达基金管理有限公司监事；广州市广永国有资产经营有限公司董事长；广州广永股权投资基金管理有限公司董事长；广州广永投资管理有限公司董事长、总经理。</w:t>
      </w:r>
    </w:p>
    <w:p w:rsidR="00BF2B4B" w:rsidRPr="009802E0" w:rsidRDefault="00BF2B4B" w:rsidP="009802E0">
      <w:pPr>
        <w:adjustRightInd w:val="0"/>
        <w:snapToGrid w:val="0"/>
        <w:spacing w:line="360" w:lineRule="auto"/>
        <w:ind w:firstLine="420"/>
        <w:rPr>
          <w:rFonts w:asciiTheme="minorEastAsia" w:eastAsiaTheme="minorEastAsia" w:hAnsiTheme="minorEastAsia"/>
          <w:szCs w:val="21"/>
        </w:rPr>
      </w:pPr>
      <w:r w:rsidRPr="009802E0">
        <w:rPr>
          <w:rFonts w:asciiTheme="minorEastAsia" w:eastAsiaTheme="minorEastAsia" w:hAnsiTheme="minorEastAsia" w:hint="eastAsia"/>
          <w:kern w:val="0"/>
          <w:szCs w:val="21"/>
        </w:rPr>
        <w:t>陈国祥先生，经济学硕士，监事。曾任交通银行广州分行江南西营业部经理；广东粤财信托投资公司证券部副总经理、基金部总经理；易方达基金管理有限公司市场拓展部总经理、总裁助理、市场总监。现任易方达基金管理有限公司监事、党群工作部联席总经理。</w:t>
      </w:r>
    </w:p>
    <w:p w:rsidR="00BF2B4B" w:rsidRPr="009802E0" w:rsidRDefault="00BF2B4B" w:rsidP="009802E0">
      <w:pPr>
        <w:adjustRightInd w:val="0"/>
        <w:snapToGrid w:val="0"/>
        <w:spacing w:line="360" w:lineRule="auto"/>
        <w:ind w:firstLine="420"/>
        <w:rPr>
          <w:rFonts w:asciiTheme="minorEastAsia" w:eastAsiaTheme="minorEastAsia" w:hAnsiTheme="minorEastAsia"/>
          <w:szCs w:val="21"/>
        </w:rPr>
      </w:pPr>
      <w:r w:rsidRPr="009802E0">
        <w:rPr>
          <w:rFonts w:asciiTheme="minorEastAsia" w:eastAsiaTheme="minorEastAsia" w:hAnsiTheme="minorEastAsia" w:hint="eastAsia"/>
          <w:kern w:val="0"/>
          <w:szCs w:val="21"/>
        </w:rPr>
        <w:t>廖智先生，经济学硕士，监事。曾任广东证券股份有限公司基金部主管；易方达基金管理有限公司综合管理部副总经理、人力资源部副总经理、市场部总经理、互联网金融部总经理。现任易方达基金管理有限公司监事、总裁助理、综合管理部总经理；广东粤财互联网金融股份有限公司董事。</w:t>
      </w:r>
    </w:p>
    <w:p w:rsidR="00BF2B4B" w:rsidRPr="009802E0" w:rsidRDefault="00BF2B4B" w:rsidP="009802E0">
      <w:pPr>
        <w:adjustRightInd w:val="0"/>
        <w:snapToGrid w:val="0"/>
        <w:spacing w:line="360" w:lineRule="auto"/>
        <w:ind w:firstLine="420"/>
        <w:rPr>
          <w:rFonts w:asciiTheme="minorEastAsia" w:eastAsiaTheme="minorEastAsia" w:hAnsiTheme="minorEastAsia"/>
          <w:szCs w:val="21"/>
        </w:rPr>
      </w:pPr>
      <w:r w:rsidRPr="009802E0">
        <w:rPr>
          <w:rFonts w:asciiTheme="minorEastAsia" w:eastAsiaTheme="minorEastAsia" w:hAnsiTheme="minorEastAsia" w:hint="eastAsia"/>
          <w:kern w:val="0"/>
          <w:szCs w:val="21"/>
        </w:rPr>
        <w:t>邓志盛先生，经济学研究生，监事。曾任广东证监会信息部部长、中国证监会广州证管办机构二处处长；金鹰基金管理有限公司副总经理；易方达基金管理有限公司综合管理部总经理、董事会秘书。现任易方达基金管理有限公司监事、行政总监、党群工作部总经理。</w:t>
      </w:r>
    </w:p>
    <w:p w:rsidR="00BF2B4B" w:rsidRPr="009802E0" w:rsidRDefault="00BF2B4B" w:rsidP="009802E0">
      <w:pPr>
        <w:adjustRightInd w:val="0"/>
        <w:snapToGrid w:val="0"/>
        <w:spacing w:line="360" w:lineRule="auto"/>
        <w:ind w:firstLine="420"/>
        <w:rPr>
          <w:rFonts w:asciiTheme="minorEastAsia" w:eastAsiaTheme="minorEastAsia" w:hAnsiTheme="minorEastAsia"/>
          <w:szCs w:val="21"/>
        </w:rPr>
      </w:pPr>
      <w:r w:rsidRPr="009802E0">
        <w:rPr>
          <w:rFonts w:asciiTheme="minorEastAsia" w:eastAsiaTheme="minorEastAsia" w:hAnsiTheme="minorEastAsia" w:hint="eastAsia"/>
          <w:kern w:val="0"/>
          <w:szCs w:val="21"/>
        </w:rPr>
        <w:t>张优造先生，工商管理硕士(MBA)，常务副总裁。曾任南方证券交易中心业务发展部经理；广东证券公司发行上市部经理；深圳证券业务部总经理、基金部总经理；易方达基金管</w:t>
      </w:r>
      <w:r w:rsidRPr="009802E0">
        <w:rPr>
          <w:rFonts w:asciiTheme="minorEastAsia" w:eastAsiaTheme="minorEastAsia" w:hAnsiTheme="minorEastAsia" w:hint="eastAsia"/>
          <w:kern w:val="0"/>
          <w:szCs w:val="21"/>
        </w:rPr>
        <w:lastRenderedPageBreak/>
        <w:t>理有限公司董事、副总裁。现任易方达基金管理有限公司常务副总裁；易方达国际控股有限公司董事。</w:t>
      </w:r>
    </w:p>
    <w:p w:rsidR="00BF2B4B" w:rsidRPr="009802E0" w:rsidRDefault="00BF2B4B" w:rsidP="009802E0">
      <w:pPr>
        <w:adjustRightInd w:val="0"/>
        <w:snapToGrid w:val="0"/>
        <w:spacing w:line="360" w:lineRule="auto"/>
        <w:ind w:firstLine="420"/>
        <w:rPr>
          <w:rFonts w:asciiTheme="minorEastAsia" w:eastAsiaTheme="minorEastAsia" w:hAnsiTheme="minorEastAsia"/>
          <w:szCs w:val="21"/>
        </w:rPr>
      </w:pPr>
      <w:r w:rsidRPr="009802E0">
        <w:rPr>
          <w:rFonts w:asciiTheme="minorEastAsia" w:eastAsiaTheme="minorEastAsia" w:hAnsiTheme="minorEastAsia" w:hint="eastAsia"/>
          <w:kern w:val="0"/>
          <w:szCs w:val="21"/>
        </w:rPr>
        <w:t>陈彤先生，经济学博士，副总裁。曾任中国经济开发信托投资公司成都营业部研发部副经理、交易部经理、研发部经理、证券总部研究部行业研究员；易方达基金管理有限公司市场拓展部主管、基金科瑞基金经理、市场部华东区大区销售经理、市场部总经理助理、南京分公司总经理、成都分公司总经理、上海分公司总经理、总裁助理、市场总监。现任易方达基金管理有限公司副总裁；易方达国际控股有限公司董事。</w:t>
      </w:r>
    </w:p>
    <w:p w:rsidR="00BF2B4B" w:rsidRPr="009802E0" w:rsidRDefault="00BF2B4B" w:rsidP="009802E0">
      <w:pPr>
        <w:adjustRightInd w:val="0"/>
        <w:snapToGrid w:val="0"/>
        <w:spacing w:line="360" w:lineRule="auto"/>
        <w:ind w:firstLine="420"/>
        <w:rPr>
          <w:rFonts w:asciiTheme="minorEastAsia" w:eastAsiaTheme="minorEastAsia" w:hAnsiTheme="minorEastAsia"/>
          <w:szCs w:val="21"/>
        </w:rPr>
      </w:pPr>
      <w:r w:rsidRPr="009802E0">
        <w:rPr>
          <w:rFonts w:asciiTheme="minorEastAsia" w:eastAsiaTheme="minorEastAsia" w:hAnsiTheme="minorEastAsia" w:hint="eastAsia"/>
          <w:kern w:val="0"/>
          <w:szCs w:val="21"/>
        </w:rPr>
        <w:t>马骏先生，高级管理人员工商管理硕士（EMBA），副总裁。曾任君安证券有限公司营业部职员；深圳众大投资有限公司投资部副总经理；广发证券有限责任公司研究员；易方达基金管理有限公司固定收益部总经理、现金管理部总经理、固定收益总部总经理、总裁助理、固定收益投资总监、固定收益首席投资官、基金科讯基金经理、易方达50指数证券投资基金基金经理、易方达深证100交易型开放式指数基金基金经理。现任易方达基金管理有限公司副总裁；易方达资产管理（香港）有限公司董事、人民币合格境外投资者（RQFII）业务负责人、证券交易负责人员（RO）、就证券提供意见负责人员（RO）、提供资产管理负责人员（RO）、固定收益投资决策委员会委员、产品审批委员会委员。</w:t>
      </w:r>
    </w:p>
    <w:p w:rsidR="00BF2B4B" w:rsidRPr="009802E0" w:rsidRDefault="00BF2B4B" w:rsidP="009802E0">
      <w:pPr>
        <w:adjustRightInd w:val="0"/>
        <w:snapToGrid w:val="0"/>
        <w:spacing w:line="360" w:lineRule="auto"/>
        <w:ind w:firstLine="420"/>
        <w:rPr>
          <w:rFonts w:asciiTheme="minorEastAsia" w:eastAsiaTheme="minorEastAsia" w:hAnsiTheme="minorEastAsia"/>
          <w:szCs w:val="21"/>
        </w:rPr>
      </w:pPr>
      <w:r w:rsidRPr="009802E0">
        <w:rPr>
          <w:rFonts w:asciiTheme="minorEastAsia" w:eastAsiaTheme="minorEastAsia" w:hAnsiTheme="minorEastAsia" w:hint="eastAsia"/>
          <w:kern w:val="0"/>
          <w:szCs w:val="21"/>
        </w:rPr>
        <w:t>吴欣荣先生，工学硕士，副总裁。曾任易方达基金管理有限公司研究员、投资管理部经理、基金投资部副总经理、研究部副总经理、研究部总经理、基金投资部总经理、公募基金投资部总经理、权益投资总部总经理、总裁助理、权益投资总监、基金科瑞基金经理、易方达科汇灵活配置混合型证券投资基金基金经理、易方达价值精选股票型证券投资基金基金经理。现任易方达基金管理有限公司副总裁；易方达国际控股有限公司董事。</w:t>
      </w:r>
    </w:p>
    <w:p w:rsidR="00BF2B4B" w:rsidRPr="009802E0" w:rsidRDefault="00BF2B4B" w:rsidP="009802E0">
      <w:pPr>
        <w:adjustRightInd w:val="0"/>
        <w:snapToGrid w:val="0"/>
        <w:spacing w:line="360" w:lineRule="auto"/>
        <w:ind w:firstLine="420"/>
        <w:rPr>
          <w:rFonts w:asciiTheme="minorEastAsia" w:eastAsiaTheme="minorEastAsia" w:hAnsiTheme="minorEastAsia"/>
          <w:szCs w:val="21"/>
        </w:rPr>
      </w:pPr>
      <w:r w:rsidRPr="009802E0">
        <w:rPr>
          <w:rFonts w:asciiTheme="minorEastAsia" w:eastAsiaTheme="minorEastAsia" w:hAnsiTheme="minorEastAsia" w:hint="eastAsia"/>
          <w:kern w:val="0"/>
          <w:szCs w:val="21"/>
        </w:rPr>
        <w:t>张南女士，经济学博士，督察长。曾任广东省经济贸易委员会主任科员、副处长；易方达基金管理有限公司市场拓展部副总经理、监察部总经理。现任易方达基金管理有限公司督察长。</w:t>
      </w:r>
    </w:p>
    <w:p w:rsidR="00BF2B4B" w:rsidRPr="009802E0" w:rsidRDefault="00BF2B4B" w:rsidP="009802E0">
      <w:pPr>
        <w:adjustRightInd w:val="0"/>
        <w:snapToGrid w:val="0"/>
        <w:spacing w:line="360" w:lineRule="auto"/>
        <w:ind w:firstLine="420"/>
        <w:rPr>
          <w:rFonts w:asciiTheme="minorEastAsia" w:eastAsiaTheme="minorEastAsia" w:hAnsiTheme="minorEastAsia"/>
          <w:szCs w:val="21"/>
        </w:rPr>
      </w:pPr>
      <w:r w:rsidRPr="009802E0">
        <w:rPr>
          <w:rFonts w:asciiTheme="minorEastAsia" w:eastAsiaTheme="minorEastAsia" w:hAnsiTheme="minorEastAsia" w:hint="eastAsia"/>
          <w:kern w:val="0"/>
          <w:szCs w:val="21"/>
        </w:rPr>
        <w:t>范岳先生，工商管理硕士(MBA)，首席产品官。曾任中国工商银行深圳分行国际业务部科员；深圳证券登记结算公司办公室经理、国际部经理；深圳证券交易所北京中心助理主任、上市部副总监、基金债券部副总监、基金管理部总监。现任易方达基金管理有限公司首席产品官。</w:t>
      </w:r>
    </w:p>
    <w:p w:rsidR="00BF2B4B" w:rsidRPr="009802E0" w:rsidRDefault="00BF2B4B" w:rsidP="009802E0">
      <w:pPr>
        <w:adjustRightInd w:val="0"/>
        <w:snapToGrid w:val="0"/>
        <w:spacing w:line="360" w:lineRule="auto"/>
        <w:ind w:firstLine="420"/>
        <w:rPr>
          <w:rFonts w:asciiTheme="minorEastAsia" w:eastAsiaTheme="minorEastAsia" w:hAnsiTheme="minorEastAsia"/>
          <w:kern w:val="0"/>
        </w:rPr>
      </w:pPr>
      <w:r w:rsidRPr="009802E0">
        <w:rPr>
          <w:rFonts w:asciiTheme="minorEastAsia" w:eastAsiaTheme="minorEastAsia" w:hAnsiTheme="minorEastAsia" w:hint="eastAsia"/>
          <w:kern w:val="0"/>
          <w:szCs w:val="21"/>
        </w:rPr>
        <w:t>关秀霞女士，财务硕士、工商管理硕士，首席国际业务官。曾任中国银行</w:t>
      </w:r>
      <w:r w:rsidRPr="009802E0">
        <w:rPr>
          <w:rFonts w:asciiTheme="minorEastAsia" w:eastAsiaTheme="minorEastAsia" w:hAnsiTheme="minorEastAsia"/>
          <w:kern w:val="0"/>
          <w:szCs w:val="21"/>
        </w:rPr>
        <w:t xml:space="preserve"> (香港) </w:t>
      </w:r>
      <w:r w:rsidRPr="009802E0">
        <w:rPr>
          <w:rFonts w:asciiTheme="minorEastAsia" w:eastAsiaTheme="minorEastAsia" w:hAnsiTheme="minorEastAsia" w:hint="eastAsia"/>
          <w:kern w:val="0"/>
          <w:szCs w:val="21"/>
        </w:rPr>
        <w:t>分析员；</w:t>
      </w:r>
      <w:r w:rsidRPr="009802E0">
        <w:rPr>
          <w:rFonts w:asciiTheme="minorEastAsia" w:eastAsiaTheme="minorEastAsia" w:hAnsiTheme="minorEastAsia"/>
          <w:kern w:val="0"/>
          <w:szCs w:val="21"/>
        </w:rPr>
        <w:t xml:space="preserve">Daniel Dennis </w:t>
      </w:r>
      <w:r w:rsidRPr="009802E0">
        <w:rPr>
          <w:rFonts w:asciiTheme="minorEastAsia" w:eastAsiaTheme="minorEastAsia" w:hAnsiTheme="minorEastAsia" w:hint="eastAsia"/>
          <w:kern w:val="0"/>
          <w:szCs w:val="21"/>
        </w:rPr>
        <w:t>高级审计师；美国道富银行波士顿及亚洲总部大中华地区高级副总裁、董事总经理、中国区行长、亚洲区（除日本外）副总裁、机构服务主管、美国共同基金业务风险经理、公司内部审计部高级审计师。现任易方达基金管理有限公司首席国际业务官。</w:t>
      </w:r>
    </w:p>
    <w:p w:rsidR="00BF2B4B" w:rsidRPr="009802E0" w:rsidRDefault="00BF2B4B" w:rsidP="009802E0">
      <w:pPr>
        <w:adjustRightInd w:val="0"/>
        <w:snapToGrid w:val="0"/>
        <w:spacing w:line="360" w:lineRule="auto"/>
        <w:ind w:firstLine="420"/>
        <w:rPr>
          <w:rFonts w:asciiTheme="minorEastAsia" w:eastAsiaTheme="minorEastAsia" w:hAnsiTheme="minorEastAsia"/>
          <w:kern w:val="0"/>
        </w:rPr>
      </w:pPr>
      <w:r w:rsidRPr="009802E0">
        <w:rPr>
          <w:rFonts w:asciiTheme="minorEastAsia" w:eastAsiaTheme="minorEastAsia" w:hAnsiTheme="minorEastAsia" w:hint="eastAsia"/>
          <w:kern w:val="0"/>
          <w:szCs w:val="21"/>
        </w:rPr>
        <w:t>高松凡先生，高级管理人员工商管理硕士（</w:t>
      </w:r>
      <w:r w:rsidRPr="009802E0">
        <w:rPr>
          <w:rFonts w:asciiTheme="minorEastAsia" w:eastAsiaTheme="minorEastAsia" w:hAnsiTheme="minorEastAsia"/>
          <w:kern w:val="0"/>
          <w:szCs w:val="21"/>
        </w:rPr>
        <w:t>EMBA），首席养老金业务官。曾任招商银行总行人事部高级经理、企业年金中心副主任；浦东发展银行总行企业年金部总经理；长江养老保险公司首席市场总监；易方达基金管理有限公司养老金业务总监。现任易方达基金管理</w:t>
      </w:r>
      <w:r w:rsidRPr="009802E0">
        <w:rPr>
          <w:rFonts w:asciiTheme="minorEastAsia" w:eastAsiaTheme="minorEastAsia" w:hAnsiTheme="minorEastAsia"/>
          <w:kern w:val="0"/>
          <w:szCs w:val="21"/>
        </w:rPr>
        <w:lastRenderedPageBreak/>
        <w:t>有限公司首席养老金业务官。</w:t>
      </w:r>
    </w:p>
    <w:p w:rsidR="00BF2B4B" w:rsidRPr="009802E0" w:rsidRDefault="00BF2B4B" w:rsidP="009802E0">
      <w:pPr>
        <w:adjustRightInd w:val="0"/>
        <w:snapToGrid w:val="0"/>
        <w:spacing w:line="360" w:lineRule="auto"/>
        <w:ind w:firstLine="420"/>
        <w:rPr>
          <w:rFonts w:asciiTheme="minorEastAsia" w:eastAsiaTheme="minorEastAsia" w:hAnsiTheme="minorEastAsia"/>
          <w:kern w:val="0"/>
        </w:rPr>
      </w:pPr>
      <w:r w:rsidRPr="009802E0">
        <w:rPr>
          <w:rFonts w:asciiTheme="minorEastAsia" w:eastAsiaTheme="minorEastAsia" w:hAnsiTheme="minorEastAsia" w:hint="eastAsia"/>
          <w:kern w:val="0"/>
          <w:szCs w:val="21"/>
        </w:rPr>
        <w:t>陈荣女士，经济学博士，首席运营官。曾任中国人民银行广州分行统计研究处科员；易方达基金管理有限公司运作支持部经理、核算部总经理助理、核算部副总经理、核算部总经理、投资风险管理部总经理、公司总裁助理、公司董事会秘书、公司财务中心主任。现任易方达基金管理有限公司首席运营官；易方达资产管理（香港）有限公司董事；易方达资产管理有限公司监事；易方达海外投资（深圳）有限公司监事。</w:t>
      </w:r>
    </w:p>
    <w:p w:rsidR="00BF2B4B" w:rsidRPr="009802E0" w:rsidRDefault="00BF2B4B" w:rsidP="009802E0">
      <w:pPr>
        <w:adjustRightInd w:val="0"/>
        <w:snapToGrid w:val="0"/>
        <w:spacing w:line="360" w:lineRule="auto"/>
        <w:ind w:firstLine="420"/>
        <w:rPr>
          <w:rFonts w:asciiTheme="minorEastAsia" w:eastAsiaTheme="minorEastAsia" w:hAnsiTheme="minorEastAsia"/>
          <w:kern w:val="0"/>
        </w:rPr>
      </w:pPr>
      <w:r w:rsidRPr="009802E0">
        <w:rPr>
          <w:rFonts w:asciiTheme="minorEastAsia" w:eastAsiaTheme="minorEastAsia" w:hAnsiTheme="minorEastAsia" w:hint="eastAsia"/>
          <w:kern w:val="0"/>
          <w:szCs w:val="21"/>
        </w:rPr>
        <w:t>汪兰英女士，工学学士、法学学士，首席大类资产配置官。曾任中信证券股份有限公司风险投资部投资经理助理；中国证监会基金监管部副主任科员、主任科员、副处长、处长；中国人寿资产管理有限公司风险管理部副总经理（主持工作）、项目评审部副总经理（主持工作）、基金投资部副总经理（主持工作）。现任易方达基金管理有限公司首席大类资产配置官；易方达资产管理有限公司董事。</w:t>
      </w:r>
    </w:p>
    <w:p w:rsidR="0096166C" w:rsidRPr="009802E0" w:rsidRDefault="0096166C" w:rsidP="00135A86">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kern w:val="0"/>
          <w:szCs w:val="21"/>
        </w:rPr>
        <w:t>2、基金经理</w:t>
      </w:r>
    </w:p>
    <w:p w:rsidR="0096166C" w:rsidRPr="009802E0" w:rsidRDefault="0096166C" w:rsidP="00135A86">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张清华先生，物理学硕士。曾任晨星资讯（深圳）有限公司数量分析师，中信证券股份有限公司研究员，易方达基金管理有限公司投资经理、固定收益基金投资部总经理、易方达裕如灵活配置混合型证券投资基金基金经理（自</w:t>
      </w:r>
      <w:r w:rsidRPr="009802E0">
        <w:rPr>
          <w:rFonts w:asciiTheme="minorEastAsia" w:eastAsiaTheme="minorEastAsia" w:hAnsiTheme="minorEastAsia"/>
          <w:kern w:val="0"/>
          <w:szCs w:val="21"/>
        </w:rPr>
        <w:t>2015年4月2日至2018年2月1日）、易方达新收益灵活配置混合型证券投资基金基金经理（自2015年4月17日至2018年2月1日）、易方达瑞选灵活配置混合型证券投资基金基金经理（自2015年12月9日至2018年2月1日）、易方达新利灵活配置混合型证券投资基金基金经理（自2016年3月15日至2018年2月1日）、易方达新鑫灵活配置混合型证券投资基金基金经理（自2016年3月15日至2018年2月1日）、易方达新享灵活配置混合型证券投资基金基金经理（自2016年3月29日至2018年2月1日）、易方达瑞景灵活配置混合型证券投资基金基金经理（自2016年8月6日至2018年2月1日）、易方达瑞通灵活配置混合型证券投资基金基金经理（自2016年12月7日至2018年2月1日）、易方达瑞程灵活配置混合型证券投资基金基金经理（自2016年12月15日至2018年2月1日）、易方达瑞弘灵活配置混合型证券</w:t>
      </w:r>
      <w:r w:rsidRPr="009802E0">
        <w:rPr>
          <w:rFonts w:asciiTheme="minorEastAsia" w:eastAsiaTheme="minorEastAsia" w:hAnsiTheme="minorEastAsia" w:hint="eastAsia"/>
          <w:kern w:val="0"/>
          <w:szCs w:val="21"/>
        </w:rPr>
        <w:t>投资基金基金经理（自</w:t>
      </w:r>
      <w:r w:rsidRPr="009802E0">
        <w:rPr>
          <w:rFonts w:asciiTheme="minorEastAsia" w:eastAsiaTheme="minorEastAsia" w:hAnsiTheme="minorEastAsia"/>
          <w:kern w:val="0"/>
          <w:szCs w:val="21"/>
        </w:rPr>
        <w:t>2017年1月11日至2018年2月1日）、易方达裕鑫债券型证券投资基金基金经理（自2016年9月5日至2019年9月27日）、易方达瑞信灵活配置混合型证券投资基金基金经理（自2018年1月30日至2020年3月6日）、易方达瑞和灵活配置混合型证券投资基金基金经理（自2018年2月7日至2020年3月6日）、易方达鑫转添利混合型证券投资基金基金经理（自2018年8月9日至2020年3月6日）、易方达鑫转增利混合型证券投资基金基金经理（自2018年11月7日至2020年3月6日）、易方达</w:t>
      </w:r>
      <w:r w:rsidRPr="009802E0">
        <w:rPr>
          <w:rFonts w:asciiTheme="minorEastAsia" w:eastAsiaTheme="minorEastAsia" w:hAnsiTheme="minorEastAsia" w:hint="eastAsia"/>
          <w:kern w:val="0"/>
          <w:szCs w:val="21"/>
        </w:rPr>
        <w:t>鑫转招利混合型证券投资基金基金经理（自</w:t>
      </w:r>
      <w:r w:rsidRPr="009802E0">
        <w:rPr>
          <w:rFonts w:asciiTheme="minorEastAsia" w:eastAsiaTheme="minorEastAsia" w:hAnsiTheme="minorEastAsia"/>
          <w:kern w:val="0"/>
          <w:szCs w:val="21"/>
        </w:rPr>
        <w:t>2019年1月29日至2020年3月6日）。现任易方达基金管理有限公司混合资产投资部总经理、易方达安心回报债券型证券投资基金基金经理（自2013年12月23日起任职）、易方达裕丰回报债券型证券投资基金基金经理（自2014年1月9日起任职）、易方达安心回馈混合型证券投资基金基金经理（自2015年5月29日起任职）、易方</w:t>
      </w:r>
      <w:r w:rsidRPr="009802E0">
        <w:rPr>
          <w:rFonts w:asciiTheme="minorEastAsia" w:eastAsiaTheme="minorEastAsia" w:hAnsiTheme="minorEastAsia"/>
          <w:kern w:val="0"/>
          <w:szCs w:val="21"/>
        </w:rPr>
        <w:lastRenderedPageBreak/>
        <w:t>达裕祥回报债券型证券投资基金基金经理（自2016年1月22日起任职）、易方达丰和债券型证券投资基金基金经理（自2016年11月23日起任职）、易方达安盈回</w:t>
      </w:r>
      <w:r w:rsidRPr="009802E0">
        <w:rPr>
          <w:rFonts w:asciiTheme="minorEastAsia" w:eastAsiaTheme="minorEastAsia" w:hAnsiTheme="minorEastAsia" w:hint="eastAsia"/>
          <w:kern w:val="0"/>
          <w:szCs w:val="21"/>
        </w:rPr>
        <w:t>报混合型证券投资基金基金经理（自</w:t>
      </w:r>
      <w:r w:rsidRPr="009802E0">
        <w:rPr>
          <w:rFonts w:asciiTheme="minorEastAsia" w:eastAsiaTheme="minorEastAsia" w:hAnsiTheme="minorEastAsia"/>
          <w:kern w:val="0"/>
          <w:szCs w:val="21"/>
        </w:rPr>
        <w:t>2017年2月16日起任职）、易方达新收益灵活配置混合型证券投资基金基金经理（自2018年12月25日起任职）、易方达丰华债券型证券投资基金基金经理（自2019年2月19日起任职）。</w:t>
      </w:r>
    </w:p>
    <w:p w:rsidR="00DF6BC2" w:rsidRPr="009802E0" w:rsidRDefault="00DF6BC2" w:rsidP="00DF6BC2">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张雅君女士，经济学硕士。曾任海通证券股份有限公司项目经理，工银瑞信基金管理有限公司债券交易员，易方达基金管理有限公司债券交易员、固定收益研究员、固定收益基金投资部总经理助理、易方达裕祥回报债券型证券投资基金基金经理（自2016年6月2日至2017年7月27日）、易方达恒益定期开放债券型发起式证券投资基金基金经理（自2017年10月25日至2019年7月11日）、易方达富惠纯债债券型证券投资基金基金经理（自2016年8月24日至2019年11月26日）、易方达中债3-5年期国债指数证券投资基金基金经理（自2015年7月8日至2020年3月9日）、易方达中债7-10年期国开行债券指数证券投资基金基金经理（自2016年9月27日至2020年3月9日）、易方达增强回报债券型证券投资基金基金经理（自2014年7月19日至2020年5月26日）、易方达裕祥回报债券型证券投资基金基金经理助理、易方达裕丰回报债券型证券投资基金基金经理助理、易方达投资级信用债债券型证券投资基金基金经理助理、易方达新收益灵活配置混合型证券投资基金基金经理助理、易方达保本一号混合型证券投资基金基金经理助理、易方达裕惠回报定期开放式混合型发起式证券投资基金基金经理助理、易方达安心回馈混合型证券投资基金基金经理助理、易方达裕如灵活配置混合型证券投资基金基金经理助理、易方达恒久添利1年定期开放债券型证券投资基金基金经理助理。现任易方达基金管理有限公司混合资产投资部总经理助理、易方达纯债债券型证券投资基金基金经理（自2015年1月10日起任职）、易方达裕丰回报债券型证券投资基金基金经理（自2017年7月28日起任职）、易方达富财纯债债券型证券投资基金基金经理（自2018年10月26日起任职）、易方达恒兴3个月定期开放债券型发起式证券投资基金基金经理（自2019年10月15日起任职）、易方达裕富债券型证券投资基金基金经理（自2020年3月26日起任职）、易方达安心回报债券型证券投资基金基金经理助理、易方达鑫转添利混合型证券投资基金基金经理助理、易方达鑫转增利混合型证券投资基金基金经理助理、易方达鑫转招利混合型证券投资基金基金经理助理、易方达丰华债券型证券投资基金基金经理助理、易方达安盈回报混合型证券投资基金基金经理助理、易方达丰和债券型证券投资基金基金经理助理。</w:t>
      </w:r>
    </w:p>
    <w:p w:rsidR="00DF6BC2" w:rsidRPr="009802E0" w:rsidRDefault="00DF6BC2" w:rsidP="00DF6BC2">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杨康先生，金融硕士。曾任华夏基金管理有限公司机构债券投资部研究员、投资经理助理，易方达基金管理有限公司易方达鑫转增利混合型证券投资基金基金经理助理、易方达鑫转招利混合型证券投资基金基金经理助理。现任易方达基金管理有限公司易方达鑫转增利混合型证券投资基金基金经理（自2019年11月7日起任职）、易方达鑫转招利混合型证券投资基金基金经理（自2020年3月7日起任职）、易方达瑞川灵活配置混合型发起式证券投</w:t>
      </w:r>
      <w:r w:rsidRPr="009802E0">
        <w:rPr>
          <w:rFonts w:asciiTheme="minorEastAsia" w:eastAsiaTheme="minorEastAsia" w:hAnsiTheme="minorEastAsia" w:hint="eastAsia"/>
          <w:kern w:val="0"/>
          <w:szCs w:val="21"/>
        </w:rPr>
        <w:lastRenderedPageBreak/>
        <w:t>资基金基金经理（自2020年4月22日起任职）、易方达安盈回报混合型证券投资基金基金经理助理、易方达安心回报债券型证券投资基金基金经理助理、易方达丰华债券型证券投资基金基金经理助理、易方达新鑫灵活配置混合型证券投资基金基金经理助理、易方达新享灵活配置混合型证券投资基金基金经理助理、易方达新利灵活配置混合型证券投资基金基金经理助理、易方达瑞景灵活配置混合型证券投资基金基金经理助理、易方达瑞兴灵活配置混合型证券投资基金基金经理助理、易方达瑞祥灵活配置混合型证券投资基金基金经理助理、易方达瑞智灵活配置混合型证券投资基金基金经理助理、易方达瑞选灵活配置混合型证券投资基金基金经理助理、易方达新益灵活配置混合型证券投资基金基金经理助理、易方达裕丰回报债券型证券投资基金基金经理助理、易方达丰和债券型证券投资基金基金经理助理、易方达瑞祺灵活配置混合型证券投资基金基金经理助理。</w:t>
      </w:r>
    </w:p>
    <w:p w:rsidR="00DF6BC2" w:rsidRPr="009802E0" w:rsidRDefault="00DF6BC2" w:rsidP="00DF6BC2">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周琼女士，金融硕士。曾任凯仁投资咨询（上海）有限公司客户经理，易方达基金管理有限公司投资支持专员、研究员、易方达恒久添利1年定期开放债券型证券投资基金基金经理助理。现任易方达基金管理有限公司易方达鑫转添利混合型证券投资基金基金经理助理、易方达鑫转招利混合型证券投资基金基金经理助理、易方达高等级信用债债券型证券投资基金基金经理助理、易方达裕景添利6个月定期开放债券型证券投资基金基金经理助理、易方达安心回报债券型证券投资基金基金经理助理、易方达纯债债券型证券投资基金基金经理助理、易方达裕丰回报债券型证券投资基金基金经理助理、易方达新收益灵活配置混合型证券投资基金基金经理助理、易方达中债3-5年期国债指数证券投资基金基金经理助理、易方达裕鑫债券型证券投资基金基金经理助理、易方达中债7-10年期国开行债券指数证券投资基金基金经理助理、易方达丰和债券型证券投资基金基金经理助理、易方达安盈回报混合型证券投资基金基金经理助理、易方达瑞信灵活配置混合型证券投资基金基金经理助理、易方达瑞和灵活配置混合型证券投资基金基金经理助理、易方达富财纯债债券型证券投资基金基金经理助理、易方达鑫转增利混合型证券投资基金基金经理助理、易方达丰华债券型证券投资基金基金经理助理、易方达新利灵活配置混合型证券投资基金基金经理助理、易方达新鑫灵活配置混合型证券投资基金基金经理助理、易方达新享灵活配置混合型证券投资基金基金经理助理、易方达新益灵活配置混合型证券投资基金基金经理助理、易方达瑞景灵活配置混合型证券投资基金基金经理助理、易方达瑞选灵活配置混合型证券投资基金基金经理助理、易方达瑞智灵活配置混合型证券投资基金基金经理助理、易方达瑞兴灵活配置混合型证券投资基金基金经理助理、易方达瑞祥灵活配置混合型证券投资基金基金经理助理、易方达瑞祺灵活配置混合型证券投资基金基金经理助理、易方达裕富债券型证券投资基金基金经理助理、易方达瑞川灵活配置混合型发起式证券投资基金基金经理助理、易方达丰惠混合型证券投资基金基金经理助理。</w:t>
      </w:r>
    </w:p>
    <w:p w:rsidR="00DF6BC2" w:rsidRPr="009802E0" w:rsidRDefault="00DF6BC2" w:rsidP="00DF6BC2">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本基金历任基金经理情况：钟鸣远先生，管理时间为2011年6月21日至2014年1月17日。</w:t>
      </w:r>
    </w:p>
    <w:p w:rsidR="00DF6BC2" w:rsidRPr="009802E0" w:rsidRDefault="00DF6BC2" w:rsidP="00DF6BC2">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lastRenderedPageBreak/>
        <w:t>3、固定收益投资决策委员会成员</w:t>
      </w:r>
    </w:p>
    <w:p w:rsidR="00DF6BC2" w:rsidRPr="009802E0" w:rsidRDefault="00DF6BC2" w:rsidP="00DF6BC2">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本公司固定收益投资决策委员会成员包括：马骏先生、胡剑先生、张清华先生、王晓晨女士、袁方女士、刘朝阳女士、祁广东先生。</w:t>
      </w:r>
    </w:p>
    <w:p w:rsidR="00DF6BC2" w:rsidRPr="009802E0" w:rsidRDefault="00DF6BC2" w:rsidP="00DF6BC2">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马骏先生，同上。</w:t>
      </w:r>
    </w:p>
    <w:p w:rsidR="00DF6BC2" w:rsidRPr="009802E0" w:rsidRDefault="00DF6BC2" w:rsidP="00DF6BC2">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胡剑先生，经济学硕士。曾任易方达基金管理有限公司固定收益部债券研究员、基金经理助理、固定收益研究部负责人、固定收益总部总经理助理、易方达中债新综合债券指数发起式证券投资基金（LOF）基金经理、易方达纯债1年定期开放债券型证券投资基金基金经理、易方达永旭添利定期开放债券型证券投资基金基金经理、易方达纯债债券型证券投资基金基金经理、易方达裕景添利6个月定期开放债券型证券投资基金基金经理、易方达瑞智灵活配置混合型证券投资基金基金经理、易方达瑞兴灵活配置混合型证券投资基金基金经理、易方达瑞祥灵活配置混合型证券投资基金基金经理、易方达高等级信用债债券型证券投资基金基金经理、易方达瑞祺灵活配置混合型证券投资基金基金经理、易方达瑞财灵活配置混合型证券投资基金基金经理、易方达丰惠混合型证券投资基金基金经理。现任易方达基金管理有限公司固定收益投资部总经理、固定收益研究部总经理、易方达稳健收益债券型证券投资基金基金经理、易方达信用债债券型证券投资基金基金经理、易方达裕惠回报定期开放式混合型发起式证券投资基金基金经理、易方达瑞富灵活配置混合型证券投资基金基金经理、易方达3年封闭运作战略配售灵活配置混合型证券投资基金（LOF）基金经理、易方达岁丰添利债券型证券投资基金基金经理、易方达恒利3个月定期开放债券型发起式证券投资基金基金经理、易方达恒益定期开放债券型发起式证券投资基金基金经理、易方达恒盛3个月定期开放混合型发起式证券投资基金基金经理、易方达富惠纯债债券型证券投资基金基金经理、易方达中债3-5年期国债指数证券投资基金基金经理、易方达中债7-10年期国开行债券指数证券投资基金基金经理。</w:t>
      </w:r>
    </w:p>
    <w:p w:rsidR="00DF6BC2" w:rsidRPr="009802E0" w:rsidRDefault="00DF6BC2" w:rsidP="00DF6BC2">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张清华先生，同上。</w:t>
      </w:r>
    </w:p>
    <w:p w:rsidR="00DF6BC2" w:rsidRPr="009802E0" w:rsidRDefault="00DF6BC2" w:rsidP="00DF6BC2">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王晓晨女士，经济学硕士。曾任易方达基金管理有限公司集中交易室债券交易员、债券交易主管、固定收益总部总经理助理、固定收益基金投资部副总经理、易方达货币市场基金基金经理、易方达保证金收益货币市场基金基金经理、易方达保本一号混合型证券投资基金基金经理、易方达新鑫灵活配置混合型证券投资基金基金经理、易方达纯债债券型证券投资基金基金经理、易方达恒益定期开放债券型发起式证券投资基金基金经理、易方达中债3-5年期国债指数证券投资基金基金经理、易方达中债7-10年期国开行债券指数证券投资基金基金经理。现任易方达基金管理有限公司固定收益投资部副总经理、易方达增强回报债券型证券投资基金基金经理、易方达投资级信用债债券型证券投资基金基金经理、易方达中债新综合债券指数发起式证券投资基金（LOF）基金经理、易方达双债增强债券型证券投资基金基金经理、易方达恒安定期开放债券型发起式证券投资基金基金经理、易方达富财纯债债券型证券投资基金基金经理、易方达安瑞短债债券型证券投资基金基金经理、易方达中债1-3</w:t>
      </w:r>
      <w:r w:rsidRPr="009802E0">
        <w:rPr>
          <w:rFonts w:asciiTheme="minorEastAsia" w:eastAsiaTheme="minorEastAsia" w:hAnsiTheme="minorEastAsia" w:hint="eastAsia"/>
          <w:kern w:val="0"/>
          <w:szCs w:val="21"/>
        </w:rPr>
        <w:lastRenderedPageBreak/>
        <w:t>年国开行债券指数证券投资基金基金经理、易方达中债3-5年国开行债券指数证券投资基金基金经理、易方达恒兴3个月定期开放债券型发起式证券投资基金基金经理、易方达中债1-3年政策性金融债指数证券投资基金基金经理、易方达中债3-5年政策性金融债指数证券投资基金基金经理，易方达资产管理（香港）有限公司基金经理、就证券提供意见负责人员（RO）、提供资产管理负责人员（RO）、易方达资产管理（香港）有限公司固定收益投资决策委员会委员。</w:t>
      </w:r>
    </w:p>
    <w:p w:rsidR="00DF6BC2" w:rsidRPr="009802E0" w:rsidRDefault="00DF6BC2" w:rsidP="00DF6BC2">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袁方女士，工学硕士。曾任中慧会计师事务所审计师、资产评估师，湘财证券有限责任公司投资经理，泰康人寿保险公司投资经理，天弘基金管理有限公司基金经理、固定收益总监，泰康资产管理有限责任公司年金投资部高级投资经理、执行总监，易方达基金管理有限公司固定收益投资部总经理助理、固定收益总部总经理助理、固定收益机构投资部总经理、固定收益专户投资部总经理。现任易方达基金管理有限公司年金投资部总经理、投资经理。</w:t>
      </w:r>
    </w:p>
    <w:p w:rsidR="00DF6BC2" w:rsidRPr="009802E0" w:rsidRDefault="00DF6BC2" w:rsidP="00DF6BC2">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刘朝阳女士，经济学硕士。曾任南方基金管理有限公司固定收益部研究员、债券交易员、宏观策略高级研究员、基金经理。现任易方达基金管理有限公司现金管理部总经理、易方达财富快线货币市场基金基金经理、易方达易理财货币市场基金基金经理、易方达天天理财货币市场基金基金经理、易方达安悦超短债债券型证券投资基金基金经理。</w:t>
      </w:r>
    </w:p>
    <w:p w:rsidR="0096166C" w:rsidRPr="009802E0" w:rsidRDefault="00DF6BC2" w:rsidP="00135A86">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祁广东先生，经济学硕士。曾任申银万国证券固定收益总部助理分析师、交易员、助理投资经理，申银万国投资管理（亚洲）有限公司基金经理，易方达资产管理（香港）有限公司投资经理。现任易方达基金管理有限公司投资经理、易方达中短期美元债债券型证券投资基金（QDII）基金经理，易方达资产管理（香港）有限公司就证券提供意见负责人员（RO）、提供资产管理负责人员（RO）、固定收益投资决策委员会委员、固定收益部主管、基金经理。</w:t>
      </w:r>
    </w:p>
    <w:p w:rsidR="00135A86" w:rsidRPr="009802E0" w:rsidRDefault="00135A86" w:rsidP="00135A86">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kern w:val="0"/>
          <w:szCs w:val="21"/>
        </w:rPr>
        <w:t>4</w:t>
      </w:r>
      <w:r w:rsidRPr="009802E0">
        <w:rPr>
          <w:rFonts w:asciiTheme="minorEastAsia" w:eastAsiaTheme="minorEastAsia" w:hAnsiTheme="minorEastAsia" w:hint="eastAsia"/>
          <w:kern w:val="0"/>
          <w:szCs w:val="21"/>
        </w:rPr>
        <w:t>、上述人员之间均不存在近亲属关系。</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bCs/>
          <w:szCs w:val="21"/>
        </w:rPr>
      </w:pPr>
      <w:bookmarkStart w:id="5" w:name="_Toc43301877"/>
      <w:r w:rsidRPr="009802E0">
        <w:rPr>
          <w:rFonts w:asciiTheme="minorEastAsia" w:eastAsiaTheme="minorEastAsia" w:hAnsiTheme="minorEastAsia" w:hint="eastAsia"/>
          <w:b w:val="0"/>
          <w:bCs/>
          <w:szCs w:val="21"/>
        </w:rPr>
        <w:t>（三）</w:t>
      </w:r>
      <w:r w:rsidRPr="009802E0">
        <w:rPr>
          <w:rFonts w:asciiTheme="minorEastAsia" w:eastAsiaTheme="minorEastAsia" w:hAnsiTheme="minorEastAsia"/>
          <w:b w:val="0"/>
          <w:bCs/>
          <w:szCs w:val="21"/>
        </w:rPr>
        <w:t>基金管理人的职责</w:t>
      </w:r>
      <w:bookmarkEnd w:id="5"/>
    </w:p>
    <w:p w:rsidR="00B43AC4" w:rsidRPr="009802E0" w:rsidRDefault="002B5B21"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1、</w:t>
      </w:r>
      <w:r w:rsidR="00154596" w:rsidRPr="009802E0">
        <w:rPr>
          <w:rFonts w:asciiTheme="minorEastAsia" w:eastAsiaTheme="minorEastAsia" w:hAnsiTheme="minorEastAsia" w:hint="eastAsia"/>
        </w:rPr>
        <w:t>依法募集资金，办理基金份额的发售和登记事宜；</w:t>
      </w:r>
    </w:p>
    <w:p w:rsidR="00B43AC4" w:rsidRPr="009802E0" w:rsidRDefault="002B5B21" w:rsidP="009C0E15">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w:t>
      </w:r>
      <w:r w:rsidR="00B43AC4" w:rsidRPr="009802E0">
        <w:rPr>
          <w:rFonts w:asciiTheme="minorEastAsia" w:eastAsiaTheme="minorEastAsia" w:hAnsiTheme="minorEastAsia"/>
          <w:kern w:val="0"/>
          <w:szCs w:val="21"/>
        </w:rPr>
        <w:t>办理基金备案手续；</w:t>
      </w:r>
    </w:p>
    <w:p w:rsidR="00B43AC4" w:rsidRPr="009802E0" w:rsidRDefault="002B5B21" w:rsidP="009C0E15">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3、</w:t>
      </w:r>
      <w:r w:rsidR="00B43AC4" w:rsidRPr="009802E0">
        <w:rPr>
          <w:rFonts w:asciiTheme="minorEastAsia" w:eastAsiaTheme="minorEastAsia" w:hAnsiTheme="minorEastAsia"/>
          <w:kern w:val="0"/>
          <w:szCs w:val="21"/>
        </w:rPr>
        <w:t>对所管理的不同基金财产分别管理、分别记账，进行证券投资；</w:t>
      </w:r>
    </w:p>
    <w:p w:rsidR="00B43AC4" w:rsidRPr="009802E0" w:rsidRDefault="002B5B21" w:rsidP="009C0E15">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4、</w:t>
      </w:r>
      <w:r w:rsidR="00B43AC4" w:rsidRPr="009802E0">
        <w:rPr>
          <w:rFonts w:asciiTheme="minorEastAsia" w:eastAsiaTheme="minorEastAsia" w:hAnsiTheme="minorEastAsia"/>
          <w:kern w:val="0"/>
          <w:szCs w:val="21"/>
        </w:rPr>
        <w:t>按照基金合同的约定确定基金收益分配方案，及时向基金份额持有人分配收益；</w:t>
      </w:r>
    </w:p>
    <w:p w:rsidR="00B43AC4" w:rsidRPr="009802E0" w:rsidRDefault="002B5B21" w:rsidP="009C0E15">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5、</w:t>
      </w:r>
      <w:r w:rsidR="00B43AC4" w:rsidRPr="009802E0">
        <w:rPr>
          <w:rFonts w:asciiTheme="minorEastAsia" w:eastAsiaTheme="minorEastAsia" w:hAnsiTheme="minorEastAsia"/>
          <w:kern w:val="0"/>
          <w:szCs w:val="21"/>
        </w:rPr>
        <w:t>进行基金会计核算并编制基金财务会计报告；</w:t>
      </w:r>
    </w:p>
    <w:p w:rsidR="00B43AC4" w:rsidRPr="009802E0" w:rsidRDefault="002B5B21" w:rsidP="009C0E15">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6、</w:t>
      </w:r>
      <w:r w:rsidR="00B43AC4" w:rsidRPr="009802E0">
        <w:rPr>
          <w:rFonts w:asciiTheme="minorEastAsia" w:eastAsiaTheme="minorEastAsia" w:hAnsiTheme="minorEastAsia"/>
          <w:kern w:val="0"/>
          <w:szCs w:val="21"/>
        </w:rPr>
        <w:t>编制</w:t>
      </w:r>
      <w:r w:rsidR="0041012C" w:rsidRPr="009802E0">
        <w:rPr>
          <w:rFonts w:asciiTheme="minorEastAsia" w:eastAsiaTheme="minorEastAsia" w:hAnsiTheme="minorEastAsia" w:hint="eastAsia"/>
          <w:kern w:val="0"/>
          <w:szCs w:val="21"/>
        </w:rPr>
        <w:t>季度</w:t>
      </w:r>
      <w:r w:rsidR="004E4473" w:rsidRPr="009802E0">
        <w:rPr>
          <w:rFonts w:asciiTheme="minorEastAsia" w:eastAsiaTheme="minorEastAsia" w:hAnsiTheme="minorEastAsia" w:hint="eastAsia"/>
          <w:kern w:val="0"/>
          <w:szCs w:val="21"/>
        </w:rPr>
        <w:t>报告、中期报告</w:t>
      </w:r>
      <w:r w:rsidR="00B43AC4" w:rsidRPr="009802E0">
        <w:rPr>
          <w:rFonts w:asciiTheme="minorEastAsia" w:eastAsiaTheme="minorEastAsia" w:hAnsiTheme="minorEastAsia"/>
          <w:kern w:val="0"/>
          <w:szCs w:val="21"/>
        </w:rPr>
        <w:t>和年度报告；</w:t>
      </w:r>
    </w:p>
    <w:p w:rsidR="00B43AC4" w:rsidRPr="009802E0" w:rsidRDefault="002B5B21" w:rsidP="009C0E15">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7、</w:t>
      </w:r>
      <w:r w:rsidR="00B43AC4" w:rsidRPr="009802E0">
        <w:rPr>
          <w:rFonts w:asciiTheme="minorEastAsia" w:eastAsiaTheme="minorEastAsia" w:hAnsiTheme="minorEastAsia"/>
          <w:kern w:val="0"/>
          <w:szCs w:val="21"/>
        </w:rPr>
        <w:t>计算并公告基金净值</w:t>
      </w:r>
      <w:r w:rsidR="004E4473" w:rsidRPr="009802E0">
        <w:rPr>
          <w:rFonts w:asciiTheme="minorEastAsia" w:eastAsiaTheme="minorEastAsia" w:hAnsiTheme="minorEastAsia"/>
          <w:kern w:val="0"/>
          <w:szCs w:val="21"/>
        </w:rPr>
        <w:t>信息</w:t>
      </w:r>
      <w:r w:rsidR="00B43AC4" w:rsidRPr="009802E0">
        <w:rPr>
          <w:rFonts w:asciiTheme="minorEastAsia" w:eastAsiaTheme="minorEastAsia" w:hAnsiTheme="minorEastAsia"/>
          <w:kern w:val="0"/>
          <w:szCs w:val="21"/>
        </w:rPr>
        <w:t>，确定基金份额申购、赎回价格；</w:t>
      </w:r>
    </w:p>
    <w:p w:rsidR="00B43AC4" w:rsidRPr="009802E0" w:rsidRDefault="002B5B21" w:rsidP="009C0E15">
      <w:pPr>
        <w:adjustRightInd w:val="0"/>
        <w:snapToGrid w:val="0"/>
        <w:spacing w:line="360" w:lineRule="auto"/>
        <w:ind w:firstLine="420"/>
        <w:rPr>
          <w:rFonts w:asciiTheme="minorEastAsia" w:eastAsiaTheme="minorEastAsia" w:hAnsiTheme="minorEastAsia"/>
        </w:rPr>
      </w:pPr>
      <w:r w:rsidRPr="009802E0">
        <w:rPr>
          <w:rFonts w:asciiTheme="minorEastAsia" w:eastAsiaTheme="minorEastAsia" w:hAnsiTheme="minorEastAsia" w:hint="eastAsia"/>
          <w:kern w:val="0"/>
          <w:szCs w:val="21"/>
        </w:rPr>
        <w:t>8、</w:t>
      </w:r>
      <w:r w:rsidR="00B43AC4" w:rsidRPr="009802E0">
        <w:rPr>
          <w:rFonts w:asciiTheme="minorEastAsia" w:eastAsiaTheme="minorEastAsia" w:hAnsiTheme="minorEastAsia"/>
          <w:kern w:val="0"/>
          <w:szCs w:val="21"/>
        </w:rPr>
        <w:t>办理与基金财产管理业务活</w:t>
      </w:r>
      <w:r w:rsidR="00B43AC4" w:rsidRPr="009802E0">
        <w:rPr>
          <w:rFonts w:asciiTheme="minorEastAsia" w:eastAsiaTheme="minorEastAsia" w:hAnsiTheme="minorEastAsia"/>
        </w:rPr>
        <w:t>动有关的信息披露事项；</w:t>
      </w:r>
    </w:p>
    <w:p w:rsidR="00B43AC4" w:rsidRPr="009802E0" w:rsidRDefault="002B5B21"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9、</w:t>
      </w:r>
      <w:r w:rsidR="00154596" w:rsidRPr="009802E0">
        <w:rPr>
          <w:rFonts w:asciiTheme="minorEastAsia" w:eastAsiaTheme="minorEastAsia" w:hAnsiTheme="minorEastAsia" w:hint="eastAsia"/>
        </w:rPr>
        <w:t>按照规定</w:t>
      </w:r>
      <w:r w:rsidR="00B43AC4" w:rsidRPr="009802E0">
        <w:rPr>
          <w:rFonts w:asciiTheme="minorEastAsia" w:eastAsiaTheme="minorEastAsia" w:hAnsiTheme="minorEastAsia"/>
        </w:rPr>
        <w:t>召集基金份额持有人大会；</w:t>
      </w:r>
    </w:p>
    <w:p w:rsidR="00B43AC4" w:rsidRPr="009802E0" w:rsidRDefault="002B5B21" w:rsidP="009C0E15">
      <w:pPr>
        <w:adjustRightInd w:val="0"/>
        <w:snapToGrid w:val="0"/>
        <w:spacing w:line="360" w:lineRule="auto"/>
        <w:ind w:firstLine="420"/>
        <w:rPr>
          <w:rFonts w:asciiTheme="minorEastAsia" w:eastAsiaTheme="minorEastAsia" w:hAnsiTheme="minorEastAsia"/>
        </w:rPr>
      </w:pPr>
      <w:r w:rsidRPr="009802E0">
        <w:rPr>
          <w:rFonts w:asciiTheme="minorEastAsia" w:eastAsiaTheme="minorEastAsia" w:hAnsiTheme="minorEastAsia" w:hint="eastAsia"/>
        </w:rPr>
        <w:t>10、</w:t>
      </w:r>
      <w:r w:rsidR="00B43AC4" w:rsidRPr="009802E0">
        <w:rPr>
          <w:rFonts w:asciiTheme="minorEastAsia" w:eastAsiaTheme="minorEastAsia" w:hAnsiTheme="minorEastAsia" w:hint="eastAsia"/>
          <w:kern w:val="0"/>
          <w:szCs w:val="21"/>
        </w:rPr>
        <w:t>保存基</w:t>
      </w:r>
      <w:r w:rsidR="00B43AC4" w:rsidRPr="009802E0">
        <w:rPr>
          <w:rFonts w:asciiTheme="minorEastAsia" w:eastAsiaTheme="minorEastAsia" w:hAnsiTheme="minorEastAsia"/>
          <w:kern w:val="0"/>
          <w:szCs w:val="21"/>
        </w:rPr>
        <w:t>金财产管理业务活动的记录</w:t>
      </w:r>
      <w:r w:rsidR="00B43AC4" w:rsidRPr="009802E0">
        <w:rPr>
          <w:rFonts w:asciiTheme="minorEastAsia" w:eastAsiaTheme="minorEastAsia" w:hAnsiTheme="minorEastAsia"/>
        </w:rPr>
        <w:t>、账册、报表和其他相关资料；</w:t>
      </w:r>
    </w:p>
    <w:p w:rsidR="00B43AC4" w:rsidRPr="009802E0" w:rsidRDefault="002B5B21"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11、</w:t>
      </w:r>
      <w:r w:rsidR="00B43AC4" w:rsidRPr="009802E0">
        <w:rPr>
          <w:rFonts w:asciiTheme="minorEastAsia" w:eastAsiaTheme="minorEastAsia" w:hAnsiTheme="minorEastAsia"/>
        </w:rPr>
        <w:t>以基金管理人名义，代表基金份额持有人利益行使诉讼权利或者实施其他法律行为；</w:t>
      </w:r>
    </w:p>
    <w:p w:rsidR="00B43AC4" w:rsidRPr="009802E0" w:rsidRDefault="002B5B21"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12、</w:t>
      </w:r>
      <w:r w:rsidR="00B43AC4" w:rsidRPr="009802E0">
        <w:rPr>
          <w:rFonts w:asciiTheme="minorEastAsia" w:eastAsiaTheme="minorEastAsia" w:hAnsiTheme="minorEastAsia"/>
        </w:rPr>
        <w:t>国务院证券监督管理机构规定的其他职责。</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bCs/>
          <w:szCs w:val="21"/>
        </w:rPr>
      </w:pPr>
      <w:bookmarkStart w:id="6" w:name="_Toc43301878"/>
      <w:r w:rsidRPr="009802E0">
        <w:rPr>
          <w:rFonts w:asciiTheme="minorEastAsia" w:eastAsiaTheme="minorEastAsia" w:hAnsiTheme="minorEastAsia" w:hint="eastAsia"/>
          <w:b w:val="0"/>
          <w:bCs/>
          <w:szCs w:val="21"/>
        </w:rPr>
        <w:lastRenderedPageBreak/>
        <w:t>（四）</w:t>
      </w:r>
      <w:r w:rsidRPr="009802E0">
        <w:rPr>
          <w:rFonts w:asciiTheme="minorEastAsia" w:eastAsiaTheme="minorEastAsia" w:hAnsiTheme="minorEastAsia"/>
          <w:b w:val="0"/>
          <w:bCs/>
          <w:szCs w:val="21"/>
        </w:rPr>
        <w:t>基金管理人的承诺</w:t>
      </w:r>
      <w:bookmarkEnd w:id="6"/>
    </w:p>
    <w:p w:rsidR="00B43AC4" w:rsidRPr="009802E0" w:rsidRDefault="002B5B21"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1、</w:t>
      </w:r>
      <w:r w:rsidR="00B43AC4" w:rsidRPr="009802E0">
        <w:rPr>
          <w:rFonts w:asciiTheme="minorEastAsia" w:eastAsiaTheme="minorEastAsia" w:hAnsiTheme="minorEastAsia" w:hint="eastAsia"/>
        </w:rPr>
        <w:t>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B43AC4" w:rsidRPr="009802E0" w:rsidRDefault="002B5B21"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2、</w:t>
      </w:r>
      <w:r w:rsidR="00B43AC4" w:rsidRPr="009802E0">
        <w:rPr>
          <w:rFonts w:asciiTheme="minorEastAsia" w:eastAsiaTheme="minorEastAsia" w:hAnsiTheme="minorEastAsia" w:hint="eastAsia"/>
        </w:rPr>
        <w:t>本基金管理人承诺严格遵守《证券法》、《基金法》及有关法律法规，建立健全内部控制制度，采取有效措施，防止下列行为发生：</w:t>
      </w:r>
    </w:p>
    <w:p w:rsidR="00B43AC4" w:rsidRPr="009802E0" w:rsidRDefault="002B5B21" w:rsidP="009C0E15">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w:t>
      </w:r>
      <w:r w:rsidR="00B43AC4" w:rsidRPr="009802E0">
        <w:rPr>
          <w:rFonts w:asciiTheme="minorEastAsia" w:eastAsiaTheme="minorEastAsia" w:hAnsiTheme="minorEastAsia" w:hint="eastAsia"/>
          <w:kern w:val="0"/>
          <w:szCs w:val="21"/>
        </w:rPr>
        <w:t>将其固有财产或者他人财产混同于基金财产从事证券投资；</w:t>
      </w:r>
    </w:p>
    <w:p w:rsidR="00B43AC4" w:rsidRPr="009802E0" w:rsidRDefault="002B5B21" w:rsidP="009C0E15">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w:t>
      </w:r>
      <w:r w:rsidR="00B43AC4" w:rsidRPr="009802E0">
        <w:rPr>
          <w:rFonts w:asciiTheme="minorEastAsia" w:eastAsiaTheme="minorEastAsia" w:hAnsiTheme="minorEastAsia" w:hint="eastAsia"/>
          <w:kern w:val="0"/>
          <w:szCs w:val="21"/>
        </w:rPr>
        <w:t>不公平地对待其管理的不同基金财产；</w:t>
      </w:r>
    </w:p>
    <w:p w:rsidR="00B43AC4" w:rsidRPr="009802E0" w:rsidRDefault="002B5B21" w:rsidP="009C0E15">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（3）</w:t>
      </w:r>
      <w:r w:rsidR="00B43AC4" w:rsidRPr="009802E0">
        <w:rPr>
          <w:rFonts w:asciiTheme="minorEastAsia" w:eastAsiaTheme="minorEastAsia" w:hAnsiTheme="minorEastAsia" w:hint="eastAsia"/>
          <w:kern w:val="0"/>
          <w:szCs w:val="21"/>
        </w:rPr>
        <w:t>利用基金财产</w:t>
      </w:r>
      <w:r w:rsidR="00154596" w:rsidRPr="009802E0">
        <w:rPr>
          <w:rFonts w:asciiTheme="minorEastAsia" w:eastAsiaTheme="minorEastAsia" w:hAnsiTheme="minorEastAsia" w:hint="eastAsia"/>
          <w:kern w:val="0"/>
          <w:szCs w:val="21"/>
        </w:rPr>
        <w:t>或者职务之便</w:t>
      </w:r>
      <w:r w:rsidR="00B43AC4" w:rsidRPr="009802E0">
        <w:rPr>
          <w:rFonts w:asciiTheme="minorEastAsia" w:eastAsiaTheme="minorEastAsia" w:hAnsiTheme="minorEastAsia" w:hint="eastAsia"/>
          <w:kern w:val="0"/>
          <w:szCs w:val="21"/>
        </w:rPr>
        <w:t>为基金份额持有人以外的第三人谋取利益；</w:t>
      </w:r>
    </w:p>
    <w:p w:rsidR="00B43AC4" w:rsidRPr="009802E0" w:rsidRDefault="002B5B21" w:rsidP="009C0E15">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（4）</w:t>
      </w:r>
      <w:r w:rsidR="00B43AC4" w:rsidRPr="009802E0">
        <w:rPr>
          <w:rFonts w:asciiTheme="minorEastAsia" w:eastAsiaTheme="minorEastAsia" w:hAnsiTheme="minorEastAsia" w:hint="eastAsia"/>
          <w:kern w:val="0"/>
          <w:szCs w:val="21"/>
        </w:rPr>
        <w:t>向基金份额持有人违规承诺收益或者承担损失；</w:t>
      </w:r>
    </w:p>
    <w:p w:rsidR="00154596" w:rsidRPr="009802E0" w:rsidRDefault="002B5B21" w:rsidP="009C0E15">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（5）</w:t>
      </w:r>
      <w:r w:rsidR="00154596" w:rsidRPr="009802E0">
        <w:rPr>
          <w:rFonts w:asciiTheme="minorEastAsia" w:eastAsiaTheme="minorEastAsia" w:hAnsiTheme="minorEastAsia" w:hint="eastAsia"/>
          <w:kern w:val="0"/>
          <w:szCs w:val="21"/>
        </w:rPr>
        <w:t>侵占、挪用基金财产；</w:t>
      </w:r>
    </w:p>
    <w:p w:rsidR="00154596" w:rsidRPr="009802E0" w:rsidRDefault="002B5B21" w:rsidP="009C0E15">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（6）</w:t>
      </w:r>
      <w:r w:rsidR="00154596" w:rsidRPr="009802E0">
        <w:rPr>
          <w:rFonts w:asciiTheme="minorEastAsia" w:eastAsiaTheme="minorEastAsia" w:hAnsiTheme="minorEastAsia" w:hint="eastAsia"/>
          <w:kern w:val="0"/>
          <w:szCs w:val="21"/>
        </w:rPr>
        <w:t>泄露因职务便利获取的未公开信息、利用该信息从事或者明示、暗示他人从事相关的交易活动；</w:t>
      </w:r>
    </w:p>
    <w:p w:rsidR="00154596" w:rsidRPr="009802E0" w:rsidRDefault="002B5B21" w:rsidP="009C0E15">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（7）</w:t>
      </w:r>
      <w:r w:rsidR="00154596" w:rsidRPr="009802E0">
        <w:rPr>
          <w:rFonts w:asciiTheme="minorEastAsia" w:eastAsiaTheme="minorEastAsia" w:hAnsiTheme="minorEastAsia" w:hint="eastAsia"/>
          <w:kern w:val="0"/>
          <w:szCs w:val="21"/>
        </w:rPr>
        <w:t>玩忽职守，不按照规定履行职责；</w:t>
      </w:r>
    </w:p>
    <w:p w:rsidR="00B43AC4" w:rsidRPr="009802E0" w:rsidRDefault="002B5B21" w:rsidP="009C0E15">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（8）</w:t>
      </w:r>
      <w:r w:rsidR="00154596" w:rsidRPr="009802E0">
        <w:rPr>
          <w:rFonts w:asciiTheme="minorEastAsia" w:eastAsiaTheme="minorEastAsia" w:hAnsiTheme="minorEastAsia" w:hint="eastAsia"/>
          <w:kern w:val="0"/>
          <w:szCs w:val="21"/>
        </w:rPr>
        <w:t>法律、行政法规和中国证监会规定禁止的其他行为。</w:t>
      </w:r>
    </w:p>
    <w:p w:rsidR="00B43AC4" w:rsidRPr="009802E0" w:rsidRDefault="002B5B21" w:rsidP="009C0E15">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3、</w:t>
      </w:r>
      <w:r w:rsidR="00B43AC4" w:rsidRPr="009802E0">
        <w:rPr>
          <w:rFonts w:asciiTheme="minorEastAsia" w:eastAsiaTheme="minorEastAsia" w:hAnsiTheme="minorEastAsia" w:hint="eastAsia"/>
          <w:kern w:val="0"/>
          <w:szCs w:val="21"/>
        </w:rPr>
        <w:t>本基金管理人承诺加强人员管理，强化职业操守，督促和约束员工遵守国家有关法律、法规及行业规范，诚实信用、勤勉尽责，不从事以下活动：</w:t>
      </w:r>
    </w:p>
    <w:p w:rsidR="00B43AC4" w:rsidRPr="009802E0" w:rsidRDefault="002B5B21" w:rsidP="009C0E15">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w:t>
      </w:r>
      <w:r w:rsidR="00B43AC4" w:rsidRPr="009802E0">
        <w:rPr>
          <w:rFonts w:asciiTheme="minorEastAsia" w:eastAsiaTheme="minorEastAsia" w:hAnsiTheme="minorEastAsia" w:hint="eastAsia"/>
          <w:kern w:val="0"/>
          <w:szCs w:val="21"/>
        </w:rPr>
        <w:t>越权或违规经营；</w:t>
      </w:r>
    </w:p>
    <w:p w:rsidR="00B43AC4" w:rsidRPr="009802E0" w:rsidRDefault="002B5B21" w:rsidP="009C0E15">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w:t>
      </w:r>
      <w:r w:rsidR="00B43AC4" w:rsidRPr="009802E0">
        <w:rPr>
          <w:rFonts w:asciiTheme="minorEastAsia" w:eastAsiaTheme="minorEastAsia" w:hAnsiTheme="minorEastAsia" w:hint="eastAsia"/>
          <w:kern w:val="0"/>
          <w:szCs w:val="21"/>
        </w:rPr>
        <w:t>违反基金合同或托管协议；</w:t>
      </w:r>
    </w:p>
    <w:p w:rsidR="00B43AC4" w:rsidRPr="009802E0" w:rsidRDefault="002B5B21" w:rsidP="009C0E15">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（3）</w:t>
      </w:r>
      <w:r w:rsidR="00B43AC4" w:rsidRPr="009802E0">
        <w:rPr>
          <w:rFonts w:asciiTheme="minorEastAsia" w:eastAsiaTheme="minorEastAsia" w:hAnsiTheme="minorEastAsia" w:hint="eastAsia"/>
          <w:kern w:val="0"/>
          <w:szCs w:val="21"/>
        </w:rPr>
        <w:t>故意损害基金份额持有人或其他基金相关机构的合法利益；</w:t>
      </w:r>
    </w:p>
    <w:p w:rsidR="00B43AC4" w:rsidRPr="009802E0" w:rsidRDefault="002B5B21" w:rsidP="009C0E15">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（4）</w:t>
      </w:r>
      <w:r w:rsidR="00B43AC4" w:rsidRPr="009802E0">
        <w:rPr>
          <w:rFonts w:asciiTheme="minorEastAsia" w:eastAsiaTheme="minorEastAsia" w:hAnsiTheme="minorEastAsia" w:hint="eastAsia"/>
          <w:kern w:val="0"/>
          <w:szCs w:val="21"/>
        </w:rPr>
        <w:t>在向中国证监会报送的资料中弄虚作假；</w:t>
      </w:r>
    </w:p>
    <w:p w:rsidR="00B43AC4" w:rsidRPr="009802E0" w:rsidRDefault="002B5B21" w:rsidP="009C0E15">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（5）</w:t>
      </w:r>
      <w:r w:rsidR="00B43AC4" w:rsidRPr="009802E0">
        <w:rPr>
          <w:rFonts w:asciiTheme="minorEastAsia" w:eastAsiaTheme="minorEastAsia" w:hAnsiTheme="minorEastAsia" w:hint="eastAsia"/>
          <w:kern w:val="0"/>
          <w:szCs w:val="21"/>
        </w:rPr>
        <w:t>拒绝、干扰、阻挠或严重影响中国证监会依法监管；</w:t>
      </w:r>
    </w:p>
    <w:p w:rsidR="00B43AC4" w:rsidRPr="009802E0" w:rsidRDefault="002B5B21" w:rsidP="009C0E15">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（6）</w:t>
      </w:r>
      <w:r w:rsidR="00B43AC4" w:rsidRPr="009802E0">
        <w:rPr>
          <w:rFonts w:asciiTheme="minorEastAsia" w:eastAsiaTheme="minorEastAsia" w:hAnsiTheme="minorEastAsia" w:hint="eastAsia"/>
          <w:kern w:val="0"/>
          <w:szCs w:val="21"/>
        </w:rPr>
        <w:t>玩忽职守、滥用职权；</w:t>
      </w:r>
    </w:p>
    <w:p w:rsidR="00B43AC4" w:rsidRPr="009802E0" w:rsidRDefault="002B5B21"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（7）</w:t>
      </w:r>
      <w:r w:rsidR="00B43AC4" w:rsidRPr="009802E0">
        <w:rPr>
          <w:rFonts w:asciiTheme="minorEastAsia" w:eastAsiaTheme="minorEastAsia" w:hAnsiTheme="minorEastAsia" w:hint="eastAsia"/>
        </w:rPr>
        <w:t>违反现行有效的有关法律、法规、规章、基金合同和中国证监会的有关规定，泄漏在任职期间知悉的有关证券、基金的商业秘密，尚未依法公开的基金投资内容、基金投资计划等信息；</w:t>
      </w:r>
    </w:p>
    <w:p w:rsidR="00B43AC4" w:rsidRPr="009802E0" w:rsidRDefault="002B5B21"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（8）</w:t>
      </w:r>
      <w:r w:rsidR="00B43AC4" w:rsidRPr="009802E0">
        <w:rPr>
          <w:rFonts w:asciiTheme="minorEastAsia" w:eastAsiaTheme="minorEastAsia" w:hAnsiTheme="minorEastAsia" w:hint="eastAsia"/>
        </w:rPr>
        <w:t>违反证券交易场所业务规则，利用对敲、倒仓等手段操纵市场价格，扰乱市场秩序；</w:t>
      </w:r>
    </w:p>
    <w:p w:rsidR="00B43AC4" w:rsidRPr="009802E0" w:rsidRDefault="002B5B21"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w:t>
      </w:r>
      <w:r w:rsidR="009D14E4" w:rsidRPr="009802E0">
        <w:rPr>
          <w:rFonts w:asciiTheme="minorEastAsia" w:eastAsiaTheme="minorEastAsia" w:hAnsiTheme="minorEastAsia" w:hint="eastAsia"/>
        </w:rPr>
        <w:t>9</w:t>
      </w:r>
      <w:r w:rsidRPr="009802E0">
        <w:rPr>
          <w:rFonts w:asciiTheme="minorEastAsia" w:eastAsiaTheme="minorEastAsia" w:hAnsiTheme="minorEastAsia" w:hint="eastAsia"/>
        </w:rPr>
        <w:t>）</w:t>
      </w:r>
      <w:r w:rsidR="00B43AC4" w:rsidRPr="009802E0">
        <w:rPr>
          <w:rFonts w:asciiTheme="minorEastAsia" w:eastAsiaTheme="minorEastAsia" w:hAnsiTheme="minorEastAsia" w:hint="eastAsia"/>
        </w:rPr>
        <w:t>贬损同行，以抬高自己；</w:t>
      </w:r>
    </w:p>
    <w:p w:rsidR="00B43AC4" w:rsidRPr="009802E0" w:rsidRDefault="002B5B21"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w:t>
      </w:r>
      <w:r w:rsidR="009D14E4" w:rsidRPr="009802E0">
        <w:rPr>
          <w:rFonts w:asciiTheme="minorEastAsia" w:eastAsiaTheme="minorEastAsia" w:hAnsiTheme="minorEastAsia" w:hint="eastAsia"/>
        </w:rPr>
        <w:t>10</w:t>
      </w:r>
      <w:r w:rsidRPr="009802E0">
        <w:rPr>
          <w:rFonts w:asciiTheme="minorEastAsia" w:eastAsiaTheme="minorEastAsia" w:hAnsiTheme="minorEastAsia" w:hint="eastAsia"/>
        </w:rPr>
        <w:t>）</w:t>
      </w:r>
      <w:r w:rsidR="00B43AC4" w:rsidRPr="009802E0">
        <w:rPr>
          <w:rFonts w:asciiTheme="minorEastAsia" w:eastAsiaTheme="minorEastAsia" w:hAnsiTheme="minorEastAsia" w:hint="eastAsia"/>
        </w:rPr>
        <w:t>以不正当手段谋求业务发展；</w:t>
      </w:r>
    </w:p>
    <w:p w:rsidR="00B43AC4" w:rsidRPr="009802E0" w:rsidRDefault="002B5B21"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（1</w:t>
      </w:r>
      <w:r w:rsidR="009D14E4" w:rsidRPr="009802E0">
        <w:rPr>
          <w:rFonts w:asciiTheme="minorEastAsia" w:eastAsiaTheme="minorEastAsia" w:hAnsiTheme="minorEastAsia" w:hint="eastAsia"/>
        </w:rPr>
        <w:t>1</w:t>
      </w:r>
      <w:r w:rsidRPr="009802E0">
        <w:rPr>
          <w:rFonts w:asciiTheme="minorEastAsia" w:eastAsiaTheme="minorEastAsia" w:hAnsiTheme="minorEastAsia" w:hint="eastAsia"/>
        </w:rPr>
        <w:t>）</w:t>
      </w:r>
      <w:r w:rsidR="00B43AC4" w:rsidRPr="009802E0">
        <w:rPr>
          <w:rFonts w:asciiTheme="minorEastAsia" w:eastAsiaTheme="minorEastAsia" w:hAnsiTheme="minorEastAsia" w:hint="eastAsia"/>
        </w:rPr>
        <w:t>有悖社会公德，损害证券投资基金人员形象；</w:t>
      </w:r>
    </w:p>
    <w:p w:rsidR="00B43AC4" w:rsidRPr="009802E0" w:rsidRDefault="002B5B21" w:rsidP="009C0E15">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w:t>
      </w:r>
      <w:r w:rsidR="009D14E4" w:rsidRPr="009802E0">
        <w:rPr>
          <w:rFonts w:asciiTheme="minorEastAsia" w:eastAsiaTheme="minorEastAsia" w:hAnsiTheme="minorEastAsia" w:hint="eastAsia"/>
          <w:kern w:val="0"/>
          <w:szCs w:val="21"/>
        </w:rPr>
        <w:t>2</w:t>
      </w:r>
      <w:r w:rsidRPr="009802E0">
        <w:rPr>
          <w:rFonts w:asciiTheme="minorEastAsia" w:eastAsiaTheme="minorEastAsia" w:hAnsiTheme="minorEastAsia" w:hint="eastAsia"/>
          <w:kern w:val="0"/>
          <w:szCs w:val="21"/>
        </w:rPr>
        <w:t>）</w:t>
      </w:r>
      <w:r w:rsidR="00B43AC4" w:rsidRPr="009802E0">
        <w:rPr>
          <w:rFonts w:asciiTheme="minorEastAsia" w:eastAsiaTheme="minorEastAsia" w:hAnsiTheme="minorEastAsia" w:hint="eastAsia"/>
          <w:kern w:val="0"/>
          <w:szCs w:val="21"/>
        </w:rPr>
        <w:t>在公开信息披露和广告中故意含有虚假、误导、欺诈成分；</w:t>
      </w:r>
    </w:p>
    <w:p w:rsidR="00B43AC4" w:rsidRPr="009802E0" w:rsidRDefault="002B5B21" w:rsidP="009C0E15">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w:t>
      </w:r>
      <w:r w:rsidR="009D14E4" w:rsidRPr="009802E0">
        <w:rPr>
          <w:rFonts w:asciiTheme="minorEastAsia" w:eastAsiaTheme="minorEastAsia" w:hAnsiTheme="minorEastAsia" w:hint="eastAsia"/>
          <w:kern w:val="0"/>
          <w:szCs w:val="21"/>
        </w:rPr>
        <w:t>3</w:t>
      </w:r>
      <w:r w:rsidRPr="009802E0">
        <w:rPr>
          <w:rFonts w:asciiTheme="minorEastAsia" w:eastAsiaTheme="minorEastAsia" w:hAnsiTheme="minorEastAsia" w:hint="eastAsia"/>
          <w:kern w:val="0"/>
          <w:szCs w:val="21"/>
        </w:rPr>
        <w:t>）</w:t>
      </w:r>
      <w:r w:rsidR="00B43AC4" w:rsidRPr="009802E0">
        <w:rPr>
          <w:rFonts w:asciiTheme="minorEastAsia" w:eastAsiaTheme="minorEastAsia" w:hAnsiTheme="minorEastAsia" w:hint="eastAsia"/>
          <w:kern w:val="0"/>
          <w:szCs w:val="21"/>
        </w:rPr>
        <w:t>其他法律、行政法规以及中国证监会禁止的行为。</w:t>
      </w:r>
    </w:p>
    <w:p w:rsidR="00B43AC4" w:rsidRPr="009802E0" w:rsidRDefault="002B5B21" w:rsidP="009C0E15">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4、</w:t>
      </w:r>
      <w:r w:rsidR="00B43AC4" w:rsidRPr="009802E0">
        <w:rPr>
          <w:rFonts w:asciiTheme="minorEastAsia" w:eastAsiaTheme="minorEastAsia" w:hAnsiTheme="minorEastAsia" w:hint="eastAsia"/>
          <w:kern w:val="0"/>
          <w:szCs w:val="21"/>
        </w:rPr>
        <w:t>基金经理承诺</w:t>
      </w:r>
    </w:p>
    <w:p w:rsidR="00B43AC4" w:rsidRPr="009802E0" w:rsidRDefault="00B43AC4" w:rsidP="009C0E15">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lastRenderedPageBreak/>
        <w:t>（</w:t>
      </w:r>
      <w:r w:rsidRPr="009802E0">
        <w:rPr>
          <w:rFonts w:asciiTheme="minorEastAsia" w:eastAsiaTheme="minorEastAsia" w:hAnsiTheme="minorEastAsia"/>
          <w:kern w:val="0"/>
          <w:szCs w:val="21"/>
        </w:rPr>
        <w:t>1</w:t>
      </w:r>
      <w:r w:rsidRPr="009802E0">
        <w:rPr>
          <w:rFonts w:asciiTheme="minorEastAsia" w:eastAsiaTheme="minorEastAsia" w:hAnsiTheme="minorEastAsia" w:hint="eastAsia"/>
          <w:kern w:val="0"/>
          <w:szCs w:val="21"/>
        </w:rPr>
        <w:t>）依照有关法律、法规和基金合同的规定，本着谨慎的原则为基金份额持有人谋取最大利益；</w:t>
      </w:r>
    </w:p>
    <w:p w:rsidR="00B43AC4" w:rsidRPr="009802E0" w:rsidRDefault="00B43AC4" w:rsidP="009C0E15">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w:t>
      </w:r>
      <w:r w:rsidRPr="009802E0">
        <w:rPr>
          <w:rFonts w:asciiTheme="minorEastAsia" w:eastAsiaTheme="minorEastAsia" w:hAnsiTheme="minorEastAsia"/>
          <w:kern w:val="0"/>
          <w:szCs w:val="21"/>
        </w:rPr>
        <w:t>2</w:t>
      </w:r>
      <w:r w:rsidRPr="009802E0">
        <w:rPr>
          <w:rFonts w:asciiTheme="minorEastAsia" w:eastAsiaTheme="minorEastAsia" w:hAnsiTheme="minorEastAsia" w:hint="eastAsia"/>
          <w:kern w:val="0"/>
          <w:szCs w:val="21"/>
        </w:rPr>
        <w:t>）不利用职务之便为自己及其代理人、受雇人或任何第三人谋取利益；</w:t>
      </w:r>
    </w:p>
    <w:p w:rsidR="00B43AC4" w:rsidRPr="009802E0" w:rsidRDefault="00B43AC4" w:rsidP="009C0E15">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w:t>
      </w:r>
      <w:r w:rsidRPr="009802E0">
        <w:rPr>
          <w:rFonts w:asciiTheme="minorEastAsia" w:eastAsiaTheme="minorEastAsia" w:hAnsiTheme="minorEastAsia"/>
          <w:kern w:val="0"/>
          <w:szCs w:val="21"/>
        </w:rPr>
        <w:t>3</w:t>
      </w:r>
      <w:r w:rsidRPr="009802E0">
        <w:rPr>
          <w:rFonts w:asciiTheme="minorEastAsia" w:eastAsiaTheme="minorEastAsia" w:hAnsiTheme="minorEastAsia" w:hint="eastAsia"/>
          <w:kern w:val="0"/>
          <w:szCs w:val="21"/>
        </w:rPr>
        <w:t>）不违反现行有效的有关法律、法规、规章、基金合同和中国证监会的有关规定，泄漏在任职期间知悉的有关证券、基金的商业秘密、尚未依法公开的基金投资内容、基金投资计划等信息；</w:t>
      </w:r>
    </w:p>
    <w:p w:rsidR="00B43AC4" w:rsidRPr="009802E0" w:rsidRDefault="00B43AC4" w:rsidP="009C0E15">
      <w:pPr>
        <w:adjustRightInd w:val="0"/>
        <w:snapToGrid w:val="0"/>
        <w:spacing w:line="360" w:lineRule="auto"/>
        <w:ind w:firstLine="420"/>
        <w:rPr>
          <w:rFonts w:asciiTheme="minorEastAsia" w:eastAsiaTheme="minorEastAsia" w:hAnsiTheme="minorEastAsia"/>
          <w:kern w:val="0"/>
        </w:rPr>
      </w:pPr>
      <w:r w:rsidRPr="009802E0">
        <w:rPr>
          <w:rFonts w:asciiTheme="minorEastAsia" w:eastAsiaTheme="minorEastAsia" w:hAnsiTheme="minorEastAsia" w:hint="eastAsia"/>
          <w:kern w:val="0"/>
          <w:szCs w:val="21"/>
        </w:rPr>
        <w:t>（4）不</w:t>
      </w:r>
      <w:r w:rsidRPr="009802E0">
        <w:rPr>
          <w:rFonts w:asciiTheme="minorEastAsia" w:eastAsiaTheme="minorEastAsia" w:hAnsiTheme="minorEastAsia"/>
          <w:kern w:val="0"/>
          <w:szCs w:val="21"/>
        </w:rPr>
        <w:t>从事损害基金财产和基金份额持</w:t>
      </w:r>
      <w:r w:rsidRPr="009802E0">
        <w:rPr>
          <w:rFonts w:asciiTheme="minorEastAsia" w:eastAsiaTheme="minorEastAsia" w:hAnsiTheme="minorEastAsia"/>
          <w:kern w:val="0"/>
        </w:rPr>
        <w:t>有人利益的证券交易及其他活动。</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bCs/>
          <w:szCs w:val="21"/>
        </w:rPr>
      </w:pPr>
      <w:bookmarkStart w:id="7" w:name="_Toc43301879"/>
      <w:r w:rsidRPr="009802E0">
        <w:rPr>
          <w:rFonts w:asciiTheme="minorEastAsia" w:eastAsiaTheme="minorEastAsia" w:hAnsiTheme="minorEastAsia" w:hint="eastAsia"/>
          <w:b w:val="0"/>
          <w:bCs/>
          <w:szCs w:val="21"/>
        </w:rPr>
        <w:t>（五）</w:t>
      </w:r>
      <w:r w:rsidRPr="009802E0">
        <w:rPr>
          <w:rFonts w:asciiTheme="minorEastAsia" w:eastAsiaTheme="minorEastAsia" w:hAnsiTheme="minorEastAsia"/>
          <w:b w:val="0"/>
          <w:bCs/>
          <w:szCs w:val="21"/>
        </w:rPr>
        <w:t>基金管理人的内部控制制度</w:t>
      </w:r>
      <w:bookmarkEnd w:id="7"/>
    </w:p>
    <w:p w:rsidR="00B43AC4" w:rsidRPr="009802E0" w:rsidRDefault="00B43AC4" w:rsidP="00FE018D">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为保证公司规范化运作，有效地防范和化解经营风险，促进公司诚信、合法、有效经营，保障基金份额持有人利益，维护公司及公司股东的合法权益，本基金管理人建立了科学、严密、高效的内部控制体系。</w:t>
      </w:r>
    </w:p>
    <w:p w:rsidR="00B43AC4" w:rsidRPr="009802E0" w:rsidRDefault="002B5B21" w:rsidP="009C0E15">
      <w:pPr>
        <w:tabs>
          <w:tab w:val="left" w:pos="735"/>
        </w:tabs>
        <w:adjustRightInd w:val="0"/>
        <w:snapToGrid w:val="0"/>
        <w:spacing w:line="360" w:lineRule="auto"/>
        <w:ind w:left="420"/>
        <w:rPr>
          <w:rFonts w:asciiTheme="minorEastAsia" w:eastAsiaTheme="minorEastAsia" w:hAnsiTheme="minorEastAsia"/>
          <w:b/>
          <w:bCs/>
          <w:szCs w:val="21"/>
        </w:rPr>
      </w:pPr>
      <w:r w:rsidRPr="009802E0">
        <w:rPr>
          <w:rFonts w:asciiTheme="minorEastAsia" w:eastAsiaTheme="minorEastAsia" w:hAnsiTheme="minorEastAsia" w:hint="eastAsia"/>
          <w:b/>
          <w:bCs/>
        </w:rPr>
        <w:t>1、</w:t>
      </w:r>
      <w:r w:rsidR="00B43AC4" w:rsidRPr="009802E0">
        <w:rPr>
          <w:rFonts w:asciiTheme="minorEastAsia" w:eastAsiaTheme="minorEastAsia" w:hAnsiTheme="minorEastAsia" w:hint="eastAsia"/>
          <w:b/>
          <w:bCs/>
        </w:rPr>
        <w:t>公司内部控制的总体目标</w:t>
      </w:r>
    </w:p>
    <w:p w:rsidR="00B43AC4" w:rsidRPr="009802E0" w:rsidRDefault="00B43AC4" w:rsidP="00FE018D">
      <w:pPr>
        <w:numPr>
          <w:ilvl w:val="1"/>
          <w:numId w:val="10"/>
        </w:numPr>
        <w:tabs>
          <w:tab w:val="left" w:pos="735"/>
        </w:tabs>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rPr>
        <w:t>保证公司经营管理活动的合法合规性；</w:t>
      </w:r>
    </w:p>
    <w:p w:rsidR="00B43AC4" w:rsidRPr="009802E0" w:rsidRDefault="00B43AC4" w:rsidP="00FE018D">
      <w:pPr>
        <w:numPr>
          <w:ilvl w:val="1"/>
          <w:numId w:val="10"/>
        </w:numPr>
        <w:tabs>
          <w:tab w:val="left" w:pos="735"/>
        </w:tabs>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rPr>
        <w:t>保证基金份额持有人的合法权益不受侵犯；</w:t>
      </w:r>
    </w:p>
    <w:p w:rsidR="00B43AC4" w:rsidRPr="009802E0" w:rsidRDefault="00B43AC4" w:rsidP="00FE018D">
      <w:pPr>
        <w:numPr>
          <w:ilvl w:val="1"/>
          <w:numId w:val="10"/>
        </w:numPr>
        <w:tabs>
          <w:tab w:val="left" w:pos="735"/>
        </w:tabs>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rPr>
        <w:t>实现公司稳健、持续发展，维护股东权益；</w:t>
      </w:r>
    </w:p>
    <w:p w:rsidR="00B43AC4" w:rsidRPr="009802E0" w:rsidRDefault="00B43AC4" w:rsidP="00FE018D">
      <w:pPr>
        <w:numPr>
          <w:ilvl w:val="1"/>
          <w:numId w:val="10"/>
        </w:numPr>
        <w:tabs>
          <w:tab w:val="left" w:pos="735"/>
        </w:tabs>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rPr>
        <w:t>促进公司全体员工恪守职业操守，正直诚信，廉洁自律，勤勉尽责；</w:t>
      </w:r>
    </w:p>
    <w:p w:rsidR="00B43AC4" w:rsidRPr="009802E0" w:rsidRDefault="00B43AC4" w:rsidP="00FE018D">
      <w:pPr>
        <w:numPr>
          <w:ilvl w:val="1"/>
          <w:numId w:val="10"/>
        </w:numPr>
        <w:tabs>
          <w:tab w:val="left" w:pos="735"/>
        </w:tabs>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rPr>
        <w:t>保护公司最重要的资本：公司声誉。</w:t>
      </w:r>
    </w:p>
    <w:p w:rsidR="00B43AC4" w:rsidRPr="009802E0" w:rsidRDefault="002B5B21" w:rsidP="00FE018D">
      <w:pPr>
        <w:tabs>
          <w:tab w:val="left" w:pos="735"/>
        </w:tabs>
        <w:adjustRightInd w:val="0"/>
        <w:snapToGrid w:val="0"/>
        <w:spacing w:line="360" w:lineRule="auto"/>
        <w:ind w:left="420"/>
        <w:rPr>
          <w:rFonts w:asciiTheme="minorEastAsia" w:eastAsiaTheme="minorEastAsia" w:hAnsiTheme="minorEastAsia"/>
          <w:b/>
          <w:bCs/>
          <w:szCs w:val="21"/>
        </w:rPr>
      </w:pPr>
      <w:r w:rsidRPr="009802E0">
        <w:rPr>
          <w:rFonts w:asciiTheme="minorEastAsia" w:eastAsiaTheme="minorEastAsia" w:hAnsiTheme="minorEastAsia" w:hint="eastAsia"/>
          <w:b/>
          <w:szCs w:val="21"/>
        </w:rPr>
        <w:t>2、</w:t>
      </w:r>
      <w:r w:rsidR="00B43AC4" w:rsidRPr="009802E0">
        <w:rPr>
          <w:rFonts w:asciiTheme="minorEastAsia" w:eastAsiaTheme="minorEastAsia" w:hAnsiTheme="minorEastAsia" w:hint="eastAsia"/>
          <w:b/>
          <w:bCs/>
        </w:rPr>
        <w:t>公司内部控制遵循的原则</w:t>
      </w:r>
    </w:p>
    <w:p w:rsidR="00B43AC4" w:rsidRPr="009802E0" w:rsidRDefault="002B5B21" w:rsidP="00FE018D">
      <w:pPr>
        <w:autoSpaceDE w:val="0"/>
        <w:autoSpaceDN w:val="0"/>
        <w:adjustRightInd w:val="0"/>
        <w:snapToGrid w:val="0"/>
        <w:spacing w:line="360" w:lineRule="auto"/>
        <w:ind w:firstLineChars="200" w:firstLine="420"/>
        <w:jc w:val="left"/>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w:t>
      </w:r>
      <w:r w:rsidR="00B43AC4" w:rsidRPr="009802E0">
        <w:rPr>
          <w:rFonts w:asciiTheme="minorEastAsia" w:eastAsiaTheme="minorEastAsia" w:hAnsiTheme="minorEastAsia" w:hint="eastAsia"/>
          <w:kern w:val="0"/>
          <w:szCs w:val="21"/>
        </w:rPr>
        <w:t>全面性原则：内部控制必须覆盖公司的所有部门和岗位，渗透各项业务过程和业务环节，并普遍适用于公司每一位职员；</w:t>
      </w:r>
    </w:p>
    <w:p w:rsidR="00B43AC4" w:rsidRPr="009802E0" w:rsidRDefault="002B5B21" w:rsidP="00FE018D">
      <w:pPr>
        <w:autoSpaceDE w:val="0"/>
        <w:autoSpaceDN w:val="0"/>
        <w:adjustRightInd w:val="0"/>
        <w:snapToGrid w:val="0"/>
        <w:spacing w:line="360" w:lineRule="auto"/>
        <w:ind w:firstLineChars="200" w:firstLine="420"/>
        <w:jc w:val="left"/>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w:t>
      </w:r>
      <w:r w:rsidR="00B43AC4" w:rsidRPr="009802E0">
        <w:rPr>
          <w:rFonts w:asciiTheme="minorEastAsia" w:eastAsiaTheme="minorEastAsia" w:hAnsiTheme="minorEastAsia" w:hint="eastAsia"/>
          <w:kern w:val="0"/>
          <w:szCs w:val="21"/>
        </w:rPr>
        <w:t>审慎性原则：内部控制的核心是有效防范各种风险，公司组织体系的构成、内部管理制度的建立都要以防范风险、审慎经营为出发点；</w:t>
      </w:r>
    </w:p>
    <w:p w:rsidR="00B43AC4" w:rsidRPr="009802E0" w:rsidRDefault="002B5B21" w:rsidP="00FE018D">
      <w:pPr>
        <w:autoSpaceDE w:val="0"/>
        <w:autoSpaceDN w:val="0"/>
        <w:adjustRightInd w:val="0"/>
        <w:snapToGrid w:val="0"/>
        <w:spacing w:line="360" w:lineRule="auto"/>
        <w:ind w:firstLineChars="200" w:firstLine="420"/>
        <w:jc w:val="left"/>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（3）</w:t>
      </w:r>
      <w:r w:rsidR="00B43AC4" w:rsidRPr="009802E0">
        <w:rPr>
          <w:rFonts w:asciiTheme="minorEastAsia" w:eastAsiaTheme="minorEastAsia" w:hAnsiTheme="minorEastAsia" w:hint="eastAsia"/>
          <w:kern w:val="0"/>
          <w:szCs w:val="21"/>
        </w:rPr>
        <w:t>相互制约原则：公司设置的各部门、各岗位权责分明、相互制衡。</w:t>
      </w:r>
    </w:p>
    <w:p w:rsidR="00B43AC4" w:rsidRPr="009802E0" w:rsidRDefault="002B5B21" w:rsidP="00FE018D">
      <w:pPr>
        <w:autoSpaceDE w:val="0"/>
        <w:autoSpaceDN w:val="0"/>
        <w:adjustRightInd w:val="0"/>
        <w:snapToGrid w:val="0"/>
        <w:spacing w:line="360" w:lineRule="auto"/>
        <w:ind w:firstLineChars="200" w:firstLine="420"/>
        <w:jc w:val="left"/>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（4）</w:t>
      </w:r>
      <w:r w:rsidR="00B43AC4" w:rsidRPr="009802E0">
        <w:rPr>
          <w:rFonts w:asciiTheme="minorEastAsia" w:eastAsiaTheme="minorEastAsia" w:hAnsiTheme="minorEastAsia" w:hint="eastAsia"/>
          <w:kern w:val="0"/>
          <w:szCs w:val="21"/>
        </w:rPr>
        <w:t>独立性原则：公司根据业务的需要设立相对独立的机构、部门和岗位；公司内部部门和岗位的设置必须权责分明；</w:t>
      </w:r>
    </w:p>
    <w:p w:rsidR="00B43AC4" w:rsidRPr="009802E0" w:rsidRDefault="002B5B21" w:rsidP="00FE018D">
      <w:pPr>
        <w:autoSpaceDE w:val="0"/>
        <w:autoSpaceDN w:val="0"/>
        <w:adjustRightInd w:val="0"/>
        <w:snapToGrid w:val="0"/>
        <w:spacing w:line="360" w:lineRule="auto"/>
        <w:ind w:firstLineChars="200" w:firstLine="420"/>
        <w:jc w:val="left"/>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（5）</w:t>
      </w:r>
      <w:r w:rsidR="00B43AC4" w:rsidRPr="009802E0">
        <w:rPr>
          <w:rFonts w:asciiTheme="minorEastAsia" w:eastAsiaTheme="minorEastAsia" w:hAnsiTheme="minorEastAsia" w:hint="eastAsia"/>
          <w:kern w:val="0"/>
          <w:szCs w:val="21"/>
        </w:rPr>
        <w:t>有效性原则：各种内部管理制度具有高度的权威性，应是所有员工严格遵守的行动指南；执行内部管理制度不能有任何例外，任何人不得拥有超越制度或违反规章的权力；</w:t>
      </w:r>
    </w:p>
    <w:p w:rsidR="00B43AC4" w:rsidRPr="009802E0" w:rsidRDefault="002B5B21" w:rsidP="00FE018D">
      <w:pPr>
        <w:autoSpaceDE w:val="0"/>
        <w:autoSpaceDN w:val="0"/>
        <w:adjustRightInd w:val="0"/>
        <w:snapToGrid w:val="0"/>
        <w:spacing w:line="360" w:lineRule="auto"/>
        <w:ind w:firstLineChars="200" w:firstLine="420"/>
        <w:jc w:val="left"/>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（6）</w:t>
      </w:r>
      <w:r w:rsidR="00B43AC4" w:rsidRPr="009802E0">
        <w:rPr>
          <w:rFonts w:asciiTheme="minorEastAsia" w:eastAsiaTheme="minorEastAsia" w:hAnsiTheme="minorEastAsia" w:hint="eastAsia"/>
          <w:kern w:val="0"/>
          <w:szCs w:val="21"/>
        </w:rPr>
        <w:t>适时性原则：内部控制应具有前瞻性，并且必须随着公司经营战略、经营方针、经营理念等内部环境的变化和国家法律、法规、政策制度等外部环境的改变及时进行相应的修改和完善；</w:t>
      </w:r>
    </w:p>
    <w:p w:rsidR="00B43AC4" w:rsidRPr="009802E0" w:rsidRDefault="002B5B21" w:rsidP="00FE018D">
      <w:pPr>
        <w:autoSpaceDE w:val="0"/>
        <w:autoSpaceDN w:val="0"/>
        <w:adjustRightInd w:val="0"/>
        <w:snapToGrid w:val="0"/>
        <w:spacing w:line="360" w:lineRule="auto"/>
        <w:ind w:firstLineChars="200" w:firstLine="420"/>
        <w:jc w:val="left"/>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（7）</w:t>
      </w:r>
      <w:r w:rsidR="00B43AC4" w:rsidRPr="009802E0">
        <w:rPr>
          <w:rFonts w:asciiTheme="minorEastAsia" w:eastAsiaTheme="minorEastAsia" w:hAnsiTheme="minorEastAsia" w:hint="eastAsia"/>
          <w:kern w:val="0"/>
          <w:szCs w:val="21"/>
        </w:rPr>
        <w:t>成本效益原则：公司运用科学化的经营管理方法降低运作成本，提高经济效益，力争以合理的控制成本达到最佳的内部控制效果。</w:t>
      </w:r>
    </w:p>
    <w:p w:rsidR="00B43AC4" w:rsidRPr="009802E0" w:rsidRDefault="002B5B21" w:rsidP="00FE018D">
      <w:pPr>
        <w:tabs>
          <w:tab w:val="left" w:pos="735"/>
        </w:tabs>
        <w:adjustRightInd w:val="0"/>
        <w:snapToGrid w:val="0"/>
        <w:spacing w:line="360" w:lineRule="auto"/>
        <w:ind w:left="420"/>
        <w:rPr>
          <w:rFonts w:asciiTheme="minorEastAsia" w:eastAsiaTheme="minorEastAsia" w:hAnsiTheme="minorEastAsia"/>
          <w:b/>
          <w:bCs/>
        </w:rPr>
      </w:pPr>
      <w:r w:rsidRPr="009802E0">
        <w:rPr>
          <w:rFonts w:asciiTheme="minorEastAsia" w:eastAsiaTheme="minorEastAsia" w:hAnsiTheme="minorEastAsia" w:hint="eastAsia"/>
          <w:b/>
          <w:szCs w:val="21"/>
        </w:rPr>
        <w:t>3、</w:t>
      </w:r>
      <w:r w:rsidR="00B43AC4" w:rsidRPr="009802E0">
        <w:rPr>
          <w:rFonts w:asciiTheme="minorEastAsia" w:eastAsiaTheme="minorEastAsia" w:hAnsiTheme="minorEastAsia" w:hint="eastAsia"/>
          <w:b/>
          <w:bCs/>
        </w:rPr>
        <w:t>内部控制的制度体系</w:t>
      </w:r>
    </w:p>
    <w:p w:rsidR="00B43AC4" w:rsidRPr="009802E0" w:rsidRDefault="00B43AC4" w:rsidP="00FE018D">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公司制定了合理、完备、有效并易于执行的制度体系。公司制度体系由不同层面的制度</w:t>
      </w:r>
      <w:r w:rsidRPr="009802E0">
        <w:rPr>
          <w:rFonts w:asciiTheme="minorEastAsia" w:eastAsiaTheme="minorEastAsia" w:hAnsiTheme="minorEastAsia" w:hint="eastAsia"/>
          <w:szCs w:val="21"/>
        </w:rPr>
        <w:lastRenderedPageBreak/>
        <w:t>构成。按照其效力大小分为四个层面：第一个层面是公司章程；第二个层面是公司内部控制大纲，它是公司制定各项规章制度的基础和依据；第三个层面是公司基本管理制度；第四个层面是公司各机构、部门根据业务需要制定的各种制度及实施细则等。它们的制订、修改、实施、废止应该遵循相应的程序，每一层面的内容不得与其以上层面的内容相违背。公司重视对制度的持续检验，结合业务的发展、法规及监管环境的变化以及公司风险控制的要求，不断检讨和增强公司制度的完备性、有效性。</w:t>
      </w:r>
    </w:p>
    <w:p w:rsidR="00B43AC4" w:rsidRPr="009802E0" w:rsidRDefault="002B5B21" w:rsidP="00FE018D">
      <w:pPr>
        <w:tabs>
          <w:tab w:val="left" w:pos="735"/>
        </w:tabs>
        <w:adjustRightInd w:val="0"/>
        <w:snapToGrid w:val="0"/>
        <w:spacing w:line="360" w:lineRule="auto"/>
        <w:ind w:left="420"/>
        <w:rPr>
          <w:rFonts w:asciiTheme="minorEastAsia" w:eastAsiaTheme="minorEastAsia" w:hAnsiTheme="minorEastAsia"/>
          <w:b/>
          <w:bCs/>
        </w:rPr>
      </w:pPr>
      <w:r w:rsidRPr="009802E0">
        <w:rPr>
          <w:rFonts w:asciiTheme="minorEastAsia" w:eastAsiaTheme="minorEastAsia" w:hAnsiTheme="minorEastAsia" w:hint="eastAsia"/>
          <w:b/>
          <w:szCs w:val="21"/>
        </w:rPr>
        <w:t>4、</w:t>
      </w:r>
      <w:r w:rsidR="00B43AC4" w:rsidRPr="009802E0">
        <w:rPr>
          <w:rFonts w:asciiTheme="minorEastAsia" w:eastAsiaTheme="minorEastAsia" w:hAnsiTheme="minorEastAsia" w:hint="eastAsia"/>
          <w:b/>
          <w:bCs/>
        </w:rPr>
        <w:t>关于授权、研究、投资、交易等方面的控制点</w:t>
      </w:r>
    </w:p>
    <w:p w:rsidR="00B43AC4" w:rsidRPr="009802E0" w:rsidRDefault="002B5B21" w:rsidP="00FE018D">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（1）</w:t>
      </w:r>
      <w:r w:rsidR="00B43AC4" w:rsidRPr="009802E0">
        <w:rPr>
          <w:rFonts w:asciiTheme="minorEastAsia" w:eastAsiaTheme="minorEastAsia" w:hAnsiTheme="minorEastAsia" w:hint="eastAsia"/>
          <w:szCs w:val="21"/>
        </w:rPr>
        <w:t>授权制度</w:t>
      </w:r>
    </w:p>
    <w:p w:rsidR="00B43AC4" w:rsidRPr="009802E0" w:rsidRDefault="00B43AC4" w:rsidP="00FE018D">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公司的授权制度贯穿于整个公司活动。股东会、董事会、监事会和管理层必须充分履行各自的职权，健全公司逐级授权制度，确保公司各项规章制度的贯彻执行；各项经济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rsidR="00B43AC4" w:rsidRPr="009802E0" w:rsidRDefault="002B5B21" w:rsidP="00FE018D">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（2）</w:t>
      </w:r>
      <w:r w:rsidR="00B43AC4" w:rsidRPr="009802E0">
        <w:rPr>
          <w:rFonts w:asciiTheme="minorEastAsia" w:eastAsiaTheme="minorEastAsia" w:hAnsiTheme="minorEastAsia" w:hint="eastAsia"/>
          <w:szCs w:val="21"/>
        </w:rPr>
        <w:t>公司研究业务</w:t>
      </w:r>
    </w:p>
    <w:p w:rsidR="00B43AC4" w:rsidRPr="009802E0" w:rsidRDefault="00B43AC4" w:rsidP="00FE018D">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研究工作应保持独立、客观，不受任何部门及个人的不正当影响；建立严密的研究工作业务流程，形成科学、有效的研究方法；建立投资产品备选库制度，研究部门根据投资产品的特征，在充分研究的基础上建立和维护备选库。建立研究与投资的业务交流制度，保持畅通的交流渠道；建立研究报告质量评价体系，不断提高研究水平。</w:t>
      </w:r>
    </w:p>
    <w:p w:rsidR="00B43AC4" w:rsidRPr="009802E0" w:rsidRDefault="002B5B21" w:rsidP="00FE018D">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（3）</w:t>
      </w:r>
      <w:r w:rsidR="00B43AC4" w:rsidRPr="009802E0">
        <w:rPr>
          <w:rFonts w:asciiTheme="minorEastAsia" w:eastAsiaTheme="minorEastAsia" w:hAnsiTheme="minorEastAsia" w:hint="eastAsia"/>
          <w:szCs w:val="21"/>
        </w:rPr>
        <w:t>基金投资业务</w:t>
      </w:r>
    </w:p>
    <w:p w:rsidR="00B43AC4" w:rsidRPr="009802E0" w:rsidRDefault="00B43AC4" w:rsidP="00FE018D">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基金投资应确立科学的投资理念，根据决策的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规定的风险权限额度内；对于投资结果建立科学的投资管理业绩评价体系。</w:t>
      </w:r>
    </w:p>
    <w:p w:rsidR="00B43AC4" w:rsidRPr="009802E0" w:rsidRDefault="002B5B21" w:rsidP="00FE018D">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（4）</w:t>
      </w:r>
      <w:r w:rsidR="00B43AC4" w:rsidRPr="009802E0">
        <w:rPr>
          <w:rFonts w:asciiTheme="minorEastAsia" w:eastAsiaTheme="minorEastAsia" w:hAnsiTheme="minorEastAsia" w:hint="eastAsia"/>
          <w:szCs w:val="21"/>
        </w:rPr>
        <w:t>交易业务</w:t>
      </w:r>
    </w:p>
    <w:p w:rsidR="00B43AC4" w:rsidRPr="009802E0" w:rsidRDefault="00B43AC4" w:rsidP="00FE018D">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建立集中交易室和集中交易制度，投资指令通过集中交易室完成；应建立交易监测系统、预警系统和交易反馈系统，完善相关的安全设施；集中交易室应对交易指令进行审核，建立公平的交易分配制度，确保各基金利益的公平；交易记录应完善，并及时进行反馈、核对和存档保管；同时应建立科学的投资交易绩效评价体系。</w:t>
      </w:r>
    </w:p>
    <w:p w:rsidR="00B43AC4" w:rsidRPr="009802E0" w:rsidRDefault="002B5B21" w:rsidP="00FE018D">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（5）</w:t>
      </w:r>
      <w:r w:rsidR="00B43AC4" w:rsidRPr="009802E0">
        <w:rPr>
          <w:rFonts w:asciiTheme="minorEastAsia" w:eastAsiaTheme="minorEastAsia" w:hAnsiTheme="minorEastAsia" w:hint="eastAsia"/>
          <w:szCs w:val="21"/>
        </w:rPr>
        <w:t>基金会计核算</w:t>
      </w:r>
    </w:p>
    <w:p w:rsidR="00B43AC4" w:rsidRPr="009802E0" w:rsidRDefault="00B43AC4" w:rsidP="00FE018D">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公司根据法律法规及业务的要求建立会计制度，并根据风险控制点建立严密的会计系统，对于不同基金、不同客户独立建账，独立核算；公司通过复核制度、凭证制度、合理的估值方法和估值程序等会计措施真实、完整、及时地记载每一笔业务并正确进行会计核算和业务</w:t>
      </w:r>
      <w:r w:rsidRPr="009802E0">
        <w:rPr>
          <w:rFonts w:asciiTheme="minorEastAsia" w:eastAsiaTheme="minorEastAsia" w:hAnsiTheme="minorEastAsia" w:hint="eastAsia"/>
          <w:szCs w:val="21"/>
        </w:rPr>
        <w:lastRenderedPageBreak/>
        <w:t>核算。同时还建立会计档案保管制度，确保档案真实完整。</w:t>
      </w:r>
    </w:p>
    <w:p w:rsidR="00B43AC4" w:rsidRPr="009802E0" w:rsidRDefault="002B5B21" w:rsidP="00FE018D">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（6）</w:t>
      </w:r>
      <w:r w:rsidR="00B43AC4" w:rsidRPr="009802E0">
        <w:rPr>
          <w:rFonts w:asciiTheme="minorEastAsia" w:eastAsiaTheme="minorEastAsia" w:hAnsiTheme="minorEastAsia" w:hint="eastAsia"/>
          <w:szCs w:val="21"/>
        </w:rPr>
        <w:t>信息披露</w:t>
      </w:r>
    </w:p>
    <w:p w:rsidR="00B43AC4" w:rsidRPr="009802E0" w:rsidRDefault="00B43AC4" w:rsidP="00FE018D">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公司建立了完善的信息披露制度，保证公开披露的信息真实、准确、完整。公司设立了信息披露负责人，并建立了相应的程序进行信息的收集、组织、审核和发布工作，以此加强对信息的审查核对，使所公布的信息符合法律法规的规定，同时加强对信息披露的检查和评价，对存在的问题及时提出改进办法。</w:t>
      </w:r>
    </w:p>
    <w:p w:rsidR="00B43AC4" w:rsidRPr="009802E0" w:rsidRDefault="002B5B21" w:rsidP="00FE018D">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（7）</w:t>
      </w:r>
      <w:r w:rsidR="002448B0" w:rsidRPr="009802E0">
        <w:rPr>
          <w:rFonts w:asciiTheme="minorEastAsia" w:eastAsiaTheme="minorEastAsia" w:hAnsiTheme="minorEastAsia" w:hint="eastAsia"/>
          <w:szCs w:val="21"/>
        </w:rPr>
        <w:t>监察与合规管理</w:t>
      </w:r>
    </w:p>
    <w:p w:rsidR="002448B0" w:rsidRPr="009802E0" w:rsidRDefault="002448B0" w:rsidP="002448B0">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公司设立督察长，经董事会聘任，报中国证监会核准。根据公司监察与合规管理工作的需要和董事会授权，督察长可以列席公司相关会议，调阅公司相关档案，就内部控制制度的执行情况独立地履行检查、评价、报告、建议职能。督察长定期和不定期向董事会报告公司内部控制执行情况，董事会对督察长的报告进行审议。</w:t>
      </w:r>
    </w:p>
    <w:p w:rsidR="002448B0" w:rsidRPr="009802E0" w:rsidRDefault="0096166C" w:rsidP="002448B0">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公司设立监察合规管理部门开展监察与合规管理工作，并保证监察合规管理部门的独立性和权威性。公司明确了监察合规管理部门及内部各岗位的具体职责，严格制订了专业任职条件、操作程序和组织纪律。</w:t>
      </w:r>
    </w:p>
    <w:p w:rsidR="002448B0" w:rsidRPr="009802E0" w:rsidRDefault="0096166C" w:rsidP="002448B0">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监察合规管理部门强化内部检查制度，通过定期或不定期检查内部控制制度的执行情况，促使公司各项经营管理活动的规范运行。</w:t>
      </w:r>
    </w:p>
    <w:p w:rsidR="00B43AC4" w:rsidRPr="009802E0" w:rsidRDefault="002448B0" w:rsidP="00FE018D">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公司董事会和管理层充分重视和支持监察与合规管理工作，对违反法律、法规和公司内部控制制度的，追究有关部门和人员的责任。</w:t>
      </w:r>
    </w:p>
    <w:p w:rsidR="00B43AC4" w:rsidRPr="009802E0" w:rsidRDefault="002B5B21" w:rsidP="00FE018D">
      <w:pPr>
        <w:tabs>
          <w:tab w:val="left" w:pos="735"/>
        </w:tabs>
        <w:adjustRightInd w:val="0"/>
        <w:snapToGrid w:val="0"/>
        <w:spacing w:line="360" w:lineRule="auto"/>
        <w:ind w:left="420"/>
        <w:rPr>
          <w:rFonts w:asciiTheme="minorEastAsia" w:eastAsiaTheme="minorEastAsia" w:hAnsiTheme="minorEastAsia"/>
          <w:b/>
          <w:bCs/>
        </w:rPr>
      </w:pPr>
      <w:r w:rsidRPr="009802E0">
        <w:rPr>
          <w:rFonts w:asciiTheme="minorEastAsia" w:eastAsiaTheme="minorEastAsia" w:hAnsiTheme="minorEastAsia" w:hint="eastAsia"/>
          <w:b/>
          <w:bCs/>
        </w:rPr>
        <w:t>5、</w:t>
      </w:r>
      <w:r w:rsidR="00B43AC4" w:rsidRPr="009802E0">
        <w:rPr>
          <w:rFonts w:asciiTheme="minorEastAsia" w:eastAsiaTheme="minorEastAsia" w:hAnsiTheme="minorEastAsia" w:hint="eastAsia"/>
          <w:b/>
          <w:bCs/>
        </w:rPr>
        <w:t>基金管理人关于内部控制制度声明书</w:t>
      </w:r>
    </w:p>
    <w:p w:rsidR="00B43AC4" w:rsidRPr="009802E0" w:rsidRDefault="002B5B21" w:rsidP="00FE018D">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（1）</w:t>
      </w:r>
      <w:r w:rsidR="00B43AC4" w:rsidRPr="009802E0">
        <w:rPr>
          <w:rFonts w:asciiTheme="minorEastAsia" w:eastAsiaTheme="minorEastAsia" w:hAnsiTheme="minorEastAsia" w:hint="eastAsia"/>
          <w:szCs w:val="21"/>
        </w:rPr>
        <w:t>本公司承诺以上关于内部控制制度的披露真实、准确；</w:t>
      </w:r>
    </w:p>
    <w:p w:rsidR="00B43AC4" w:rsidRPr="009802E0" w:rsidRDefault="002B5B21" w:rsidP="00FE018D">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（2）</w:t>
      </w:r>
      <w:r w:rsidR="00B43AC4" w:rsidRPr="009802E0">
        <w:rPr>
          <w:rFonts w:asciiTheme="minorEastAsia" w:eastAsiaTheme="minorEastAsia" w:hAnsiTheme="minorEastAsia" w:hint="eastAsia"/>
          <w:szCs w:val="21"/>
        </w:rPr>
        <w:t>本公司承诺根据市场变化和公司业务发展不断完善内部控制制度。</w:t>
      </w:r>
    </w:p>
    <w:p w:rsidR="002B5B21" w:rsidRPr="009802E0" w:rsidRDefault="00B43AC4" w:rsidP="00FE018D">
      <w:pPr>
        <w:pStyle w:val="1"/>
        <w:adjustRightInd w:val="0"/>
        <w:snapToGrid w:val="0"/>
        <w:spacing w:beforeLines="0" w:afterLines="0" w:line="360" w:lineRule="auto"/>
        <w:ind w:firstLine="643"/>
        <w:rPr>
          <w:rFonts w:asciiTheme="minorEastAsia" w:eastAsiaTheme="minorEastAsia" w:hAnsiTheme="minorEastAsia"/>
        </w:rPr>
      </w:pPr>
      <w:r w:rsidRPr="009802E0">
        <w:rPr>
          <w:rFonts w:asciiTheme="minorEastAsia" w:eastAsiaTheme="minorEastAsia" w:hAnsiTheme="minorEastAsia"/>
          <w:b/>
          <w:bCs/>
        </w:rPr>
        <w:br w:type="column"/>
      </w:r>
      <w:bookmarkStart w:id="8" w:name="_Toc43301880"/>
      <w:r w:rsidRPr="009802E0">
        <w:rPr>
          <w:rFonts w:asciiTheme="minorEastAsia" w:eastAsiaTheme="minorEastAsia" w:hAnsiTheme="minorEastAsia" w:hint="eastAsia"/>
          <w:b/>
          <w:bCs/>
        </w:rPr>
        <w:lastRenderedPageBreak/>
        <w:t>四、基金托管人</w:t>
      </w:r>
      <w:bookmarkEnd w:id="8"/>
    </w:p>
    <w:p w:rsidR="0096166C" w:rsidRPr="009802E0" w:rsidRDefault="0096166C" w:rsidP="00C27FD7">
      <w:pPr>
        <w:pStyle w:val="af"/>
        <w:autoSpaceDE w:val="0"/>
        <w:autoSpaceDN w:val="0"/>
        <w:adjustRightInd w:val="0"/>
        <w:snapToGrid w:val="0"/>
        <w:spacing w:line="360" w:lineRule="auto"/>
        <w:ind w:firstLineChars="200"/>
        <w:rPr>
          <w:rFonts w:asciiTheme="minorEastAsia" w:eastAsiaTheme="minorEastAsia" w:hAnsiTheme="minorEastAsia"/>
          <w:szCs w:val="21"/>
        </w:rPr>
      </w:pPr>
      <w:bookmarkStart w:id="9" w:name="_Toc308783877"/>
      <w:r w:rsidRPr="009802E0">
        <w:rPr>
          <w:rFonts w:asciiTheme="minorEastAsia" w:eastAsiaTheme="minorEastAsia" w:hAnsiTheme="minorEastAsia" w:hint="eastAsia"/>
          <w:szCs w:val="21"/>
        </w:rPr>
        <w:t xml:space="preserve">（一）基金托管人基本情况 </w:t>
      </w:r>
    </w:p>
    <w:p w:rsidR="0096166C" w:rsidRPr="009802E0" w:rsidRDefault="0096166C" w:rsidP="00C27FD7">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名称：中国工商银行股份有限公司</w:t>
      </w:r>
    </w:p>
    <w:p w:rsidR="0096166C" w:rsidRPr="009802E0" w:rsidRDefault="0096166C" w:rsidP="00C27FD7">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注册地址：北京市西城区复兴门内大街55号</w:t>
      </w:r>
    </w:p>
    <w:p w:rsidR="0096166C" w:rsidRPr="009802E0" w:rsidRDefault="0096166C" w:rsidP="00C27FD7">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成立时间：</w:t>
      </w:r>
      <w:r w:rsidRPr="009802E0">
        <w:rPr>
          <w:rFonts w:asciiTheme="minorEastAsia" w:eastAsiaTheme="minorEastAsia" w:hAnsiTheme="minorEastAsia"/>
          <w:szCs w:val="21"/>
        </w:rPr>
        <w:t>1984年1月1日</w:t>
      </w:r>
    </w:p>
    <w:p w:rsidR="0096166C" w:rsidRPr="009802E0" w:rsidRDefault="0096166C" w:rsidP="00C27FD7">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法定代表人：陈四清</w:t>
      </w:r>
    </w:p>
    <w:p w:rsidR="0096166C" w:rsidRPr="009802E0" w:rsidRDefault="0096166C" w:rsidP="00C27FD7">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注册资本：人民币35,640,625.7089万元</w:t>
      </w:r>
    </w:p>
    <w:p w:rsidR="0096166C" w:rsidRPr="009802E0" w:rsidRDefault="0096166C" w:rsidP="00C27FD7">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联系电话：010-66105799</w:t>
      </w:r>
    </w:p>
    <w:p w:rsidR="0096166C" w:rsidRPr="009802E0" w:rsidRDefault="0096166C" w:rsidP="00C27FD7">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联系人：郭明</w:t>
      </w:r>
    </w:p>
    <w:p w:rsidR="0096166C" w:rsidRPr="009802E0" w:rsidRDefault="0096166C" w:rsidP="00C27FD7">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（二）主要人员情况</w:t>
      </w:r>
    </w:p>
    <w:p w:rsidR="0096166C" w:rsidRPr="009802E0" w:rsidRDefault="0096166C" w:rsidP="00C27FD7">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截至</w:t>
      </w:r>
      <w:r w:rsidRPr="009802E0">
        <w:rPr>
          <w:rFonts w:asciiTheme="minorEastAsia" w:eastAsiaTheme="minorEastAsia" w:hAnsiTheme="minorEastAsia"/>
          <w:szCs w:val="21"/>
        </w:rPr>
        <w:t>2019年9月，中国工商银行资产托管部共有员工208人，平均年龄33岁，95%以上员工拥有大学本科以上学历，高管人员均拥有研究生以上学历或高级技术职称。</w:t>
      </w:r>
    </w:p>
    <w:p w:rsidR="0096166C" w:rsidRPr="009802E0" w:rsidRDefault="0096166C" w:rsidP="00C27FD7">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（三）基金托管业务经营情况</w:t>
      </w:r>
    </w:p>
    <w:p w:rsidR="0096166C" w:rsidRPr="009802E0" w:rsidRDefault="0096166C" w:rsidP="00C27FD7">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作为中国大陆托管服务的先行者，中国工商银行自</w:t>
      </w:r>
      <w:r w:rsidRPr="009802E0">
        <w:rPr>
          <w:rFonts w:asciiTheme="minorEastAsia" w:eastAsiaTheme="minorEastAsia" w:hAnsiTheme="minorEastAsia"/>
          <w:szCs w:val="21"/>
        </w:rPr>
        <w:t>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2019年9月，中国工商银行共托管证券投资基金1006只。自2003年以来，本行连续十六年获得香港《亚洲货币》、英国《全球托管人》、香港《财资》、美国《环球金融》、内地《证券时报》、《上海证券报》等境内外权威财经媒体评选的68项最佳托管银行大奖；是获得奖项最多的国内托管银行，优良的服务品质获得国内外金融领域的持续认可和广泛好评。</w:t>
      </w:r>
    </w:p>
    <w:p w:rsidR="0096166C" w:rsidRPr="009802E0" w:rsidRDefault="0096166C" w:rsidP="00C27FD7">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（四）基金托管人的内部控制制度</w:t>
      </w:r>
    </w:p>
    <w:p w:rsidR="0096166C" w:rsidRPr="009802E0" w:rsidRDefault="0096166C" w:rsidP="00C27FD7">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二次顺利通过评估组织内部控制和安全措施最权威的ISAE3402审阅，全部获得无保留意见的控制及有效性报告。充分表明独</w:t>
      </w:r>
      <w:r w:rsidRPr="009802E0">
        <w:rPr>
          <w:rFonts w:asciiTheme="minorEastAsia" w:eastAsiaTheme="minorEastAsia" w:hAnsiTheme="minorEastAsia" w:hint="eastAsia"/>
          <w:szCs w:val="21"/>
        </w:rPr>
        <w:lastRenderedPageBreak/>
        <w:t>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96166C" w:rsidRPr="009802E0" w:rsidRDefault="0096166C" w:rsidP="00C27FD7">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1、内部风险控制目标</w:t>
      </w:r>
    </w:p>
    <w:p w:rsidR="0096166C" w:rsidRPr="009802E0" w:rsidRDefault="0096166C" w:rsidP="00C27FD7">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96166C" w:rsidRPr="009802E0" w:rsidRDefault="0096166C" w:rsidP="00C27FD7">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2、内部风险控制组织结构</w:t>
      </w:r>
    </w:p>
    <w:p w:rsidR="0096166C" w:rsidRPr="009802E0" w:rsidRDefault="0096166C" w:rsidP="00C27FD7">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96166C" w:rsidRPr="009802E0" w:rsidRDefault="0096166C" w:rsidP="00C27FD7">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3、内部风险控制原则</w:t>
      </w:r>
    </w:p>
    <w:p w:rsidR="0096166C" w:rsidRPr="009802E0" w:rsidRDefault="0096166C" w:rsidP="00C27FD7">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（1）合法性原则。内控制度应当符合国家法律法规及监管机构的监管要求，并贯穿于托管业务经营管理活动的始终。</w:t>
      </w:r>
    </w:p>
    <w:p w:rsidR="0096166C" w:rsidRPr="009802E0" w:rsidRDefault="0096166C" w:rsidP="00C27FD7">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（2）完整性原则。托管业务的各项经营管理活动都必须有相应的规范程序和监督制约；监督制约应渗透到托管业务的全过程和各个操作环节，覆盖所有的部门、岗位和人员。</w:t>
      </w:r>
    </w:p>
    <w:p w:rsidR="0096166C" w:rsidRPr="009802E0" w:rsidRDefault="0096166C" w:rsidP="00C27FD7">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（3）及时性原则。托管业务经营活动必须在发生时能准确及时地记录；按照“内控优先”的原则，新设机构或新增业务品种时，必须做到已建立相关的规章制度。</w:t>
      </w:r>
    </w:p>
    <w:p w:rsidR="0096166C" w:rsidRPr="009802E0" w:rsidRDefault="0096166C" w:rsidP="00C27FD7">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（4）审慎性原则。各项业务经营活动必须防范风险，审慎经营，保证基金资产和其他委托资产的安全与完整。</w:t>
      </w:r>
    </w:p>
    <w:p w:rsidR="0096166C" w:rsidRPr="009802E0" w:rsidRDefault="0096166C" w:rsidP="00C27FD7">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（5）有效性原则。内控制度应根据国家政策、法律及经营管理的需要适时修改完善，并保证得到全面落实执行，不得有任何空间、时限及人员的例外。</w:t>
      </w:r>
    </w:p>
    <w:p w:rsidR="0096166C" w:rsidRPr="009802E0" w:rsidRDefault="0096166C" w:rsidP="00C27FD7">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（6）独立性原则。设立专门履行托管人职责的管理部门；直接操作人员和控制人员必须相对独立，适当分离；内控制度的检查、评价部门必须独立于内控制度的制定和执行部门。</w:t>
      </w:r>
    </w:p>
    <w:p w:rsidR="0096166C" w:rsidRPr="009802E0" w:rsidRDefault="0096166C" w:rsidP="00C27FD7">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4、内部风险控制措施实施</w:t>
      </w:r>
    </w:p>
    <w:p w:rsidR="0096166C" w:rsidRPr="009802E0" w:rsidRDefault="0096166C" w:rsidP="00C27FD7">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96166C" w:rsidRPr="009802E0" w:rsidRDefault="0096166C" w:rsidP="00C27FD7">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（2）高层检查。主管行领导与部门高级管理层作为工行托管业务政策和策略的制定者</w:t>
      </w:r>
      <w:r w:rsidRPr="009802E0">
        <w:rPr>
          <w:rFonts w:asciiTheme="minorEastAsia" w:eastAsiaTheme="minorEastAsia" w:hAnsiTheme="minorEastAsia" w:hint="eastAsia"/>
          <w:szCs w:val="21"/>
        </w:rPr>
        <w:lastRenderedPageBreak/>
        <w:t>和管理者，要求下级部门及时报告经营管理情况和特别情况，以检查资产托管部在实现内部控制目标方面的进展，并根据检查情况提出内部控制措施，督促职能管理部门改进。</w:t>
      </w:r>
    </w:p>
    <w:p w:rsidR="0096166C" w:rsidRPr="009802E0" w:rsidRDefault="0096166C" w:rsidP="00C27FD7">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96166C" w:rsidRPr="009802E0" w:rsidRDefault="0096166C" w:rsidP="00C27FD7">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（4）经营控制。资产托管部通过制定计划、编制预算等方法开展各种业务营销活动、处理各项事务，从而有效地控制和配置组织资源，达到资源利用和效益最大化目的。</w:t>
      </w:r>
    </w:p>
    <w:p w:rsidR="0096166C" w:rsidRPr="009802E0" w:rsidRDefault="0096166C" w:rsidP="00C27FD7">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5）内部风险管理。资产托管部通过稽核监察、风险评估等方式加强内部风险管理，定期或不定期地对业务运作状况进行检查、监控，指导业务部门进行风险识别、评估，制定并实施风险控制措施，排查风险隐患。</w:t>
      </w:r>
    </w:p>
    <w:p w:rsidR="0096166C" w:rsidRPr="009802E0" w:rsidRDefault="0096166C" w:rsidP="00C27FD7">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（6）数据安全控制。我们通过业务操作区相对独立、数据和传真加密、数据传输线路的冗余备份、监控设施的运用和保障等措施来保障数据安全。</w:t>
      </w:r>
    </w:p>
    <w:p w:rsidR="0096166C" w:rsidRPr="009802E0" w:rsidRDefault="0096166C" w:rsidP="00C27FD7">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96166C" w:rsidRPr="009802E0" w:rsidRDefault="0096166C" w:rsidP="00C27FD7">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5、资产托管部内部风险控制情况</w:t>
      </w:r>
    </w:p>
    <w:p w:rsidR="0096166C" w:rsidRPr="009802E0" w:rsidRDefault="0096166C" w:rsidP="00C27FD7">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（1）资产托管部内部设置专职稽核监察部门，配备专职稽核监察人员，在总经理的直接领导下，依照有关法律规章，全面贯彻落实全程监控思想，确保资产托管业务健康、稳定地发展。</w:t>
      </w:r>
    </w:p>
    <w:p w:rsidR="0096166C" w:rsidRPr="009802E0" w:rsidRDefault="0096166C" w:rsidP="00C27FD7">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96166C" w:rsidRPr="009802E0" w:rsidRDefault="0096166C" w:rsidP="00C27FD7">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96166C" w:rsidRPr="009802E0" w:rsidRDefault="0096166C" w:rsidP="00C27FD7">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w:t>
      </w:r>
      <w:r w:rsidRPr="009802E0">
        <w:rPr>
          <w:rFonts w:asciiTheme="minorEastAsia" w:eastAsiaTheme="minorEastAsia" w:hAnsiTheme="minorEastAsia" w:hint="eastAsia"/>
          <w:szCs w:val="21"/>
        </w:rPr>
        <w:lastRenderedPageBreak/>
        <w:t xml:space="preserve">快速发展，新问题、新情况不断出现，资产托管部始终将风险管理放在与业务发展同等重要的位置，视风险防范和控制为托管业务生存和发展的生命线。 </w:t>
      </w:r>
    </w:p>
    <w:p w:rsidR="0096166C" w:rsidRPr="009802E0" w:rsidRDefault="0096166C" w:rsidP="00C27FD7">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（五）基金托管人对基金管理人运作基金进行监督的方法和程序</w:t>
      </w:r>
    </w:p>
    <w:p w:rsidR="0096166C" w:rsidRPr="009802E0" w:rsidRDefault="0096166C" w:rsidP="00C27FD7">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96166C" w:rsidRPr="009802E0" w:rsidRDefault="0096166C" w:rsidP="00C27FD7">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96166C" w:rsidRPr="009802E0" w:rsidRDefault="0096166C" w:rsidP="00C27FD7">
      <w:pPr>
        <w:pStyle w:val="af"/>
        <w:autoSpaceDE w:val="0"/>
        <w:autoSpaceDN w:val="0"/>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基金托管人发现基金管理人有重大违规行为，应立即报告中国证监会，同时通知基金管理人限期纠正。</w:t>
      </w:r>
    </w:p>
    <w:p w:rsidR="0096166C" w:rsidRPr="009802E0" w:rsidRDefault="0096166C" w:rsidP="00C27FD7">
      <w:pPr>
        <w:pStyle w:val="af"/>
        <w:autoSpaceDE w:val="0"/>
        <w:autoSpaceDN w:val="0"/>
        <w:adjustRightInd w:val="0"/>
        <w:snapToGrid w:val="0"/>
        <w:spacing w:line="360" w:lineRule="auto"/>
        <w:ind w:firstLineChars="200"/>
        <w:rPr>
          <w:rFonts w:asciiTheme="minorEastAsia" w:eastAsiaTheme="minorEastAsia" w:hAnsiTheme="minorEastAsia"/>
          <w:szCs w:val="21"/>
        </w:rPr>
      </w:pPr>
    </w:p>
    <w:p w:rsidR="00CB427F" w:rsidRPr="009802E0" w:rsidRDefault="00B43AC4" w:rsidP="00FE018D">
      <w:pPr>
        <w:pStyle w:val="111"/>
        <w:adjustRightInd w:val="0"/>
        <w:snapToGrid w:val="0"/>
        <w:spacing w:beforeLines="0" w:afterLines="0" w:line="360" w:lineRule="auto"/>
        <w:ind w:firstLine="643"/>
        <w:rPr>
          <w:rFonts w:asciiTheme="minorEastAsia" w:eastAsiaTheme="minorEastAsia" w:hAnsiTheme="minorEastAsia"/>
          <w:b/>
          <w:szCs w:val="32"/>
        </w:rPr>
      </w:pPr>
      <w:bookmarkStart w:id="10" w:name="_Toc43301881"/>
      <w:bookmarkEnd w:id="9"/>
      <w:r w:rsidRPr="009802E0">
        <w:rPr>
          <w:rFonts w:asciiTheme="minorEastAsia" w:eastAsiaTheme="minorEastAsia" w:hAnsiTheme="minorEastAsia" w:hint="eastAsia"/>
          <w:b/>
          <w:szCs w:val="21"/>
        </w:rPr>
        <w:lastRenderedPageBreak/>
        <w:t>五、相关服务机构</w:t>
      </w:r>
      <w:bookmarkEnd w:id="10"/>
    </w:p>
    <w:p w:rsidR="00CB427F" w:rsidRPr="009802E0" w:rsidRDefault="00B43AC4" w:rsidP="00FE018D">
      <w:pPr>
        <w:pStyle w:val="22"/>
        <w:adjustRightInd w:val="0"/>
        <w:snapToGrid w:val="0"/>
        <w:spacing w:beforeLines="0" w:afterLines="0" w:line="360" w:lineRule="auto"/>
        <w:ind w:firstLine="562"/>
        <w:rPr>
          <w:rFonts w:asciiTheme="minorEastAsia" w:eastAsiaTheme="minorEastAsia" w:hAnsiTheme="minorEastAsia"/>
          <w:szCs w:val="21"/>
        </w:rPr>
      </w:pPr>
      <w:bookmarkStart w:id="11" w:name="_Toc43301882"/>
      <w:r w:rsidRPr="009802E0">
        <w:rPr>
          <w:rFonts w:asciiTheme="minorEastAsia" w:eastAsiaTheme="minorEastAsia" w:hAnsiTheme="minorEastAsia" w:hint="eastAsia"/>
          <w:szCs w:val="21"/>
        </w:rPr>
        <w:t>（一）基金份额</w:t>
      </w:r>
      <w:r w:rsidR="00141271" w:rsidRPr="009802E0">
        <w:rPr>
          <w:rFonts w:asciiTheme="minorEastAsia" w:eastAsiaTheme="minorEastAsia" w:hAnsiTheme="minorEastAsia" w:hint="eastAsia"/>
          <w:szCs w:val="21"/>
        </w:rPr>
        <w:t>销售</w:t>
      </w:r>
      <w:r w:rsidRPr="009802E0">
        <w:rPr>
          <w:rFonts w:asciiTheme="minorEastAsia" w:eastAsiaTheme="minorEastAsia" w:hAnsiTheme="minorEastAsia" w:hint="eastAsia"/>
          <w:szCs w:val="21"/>
        </w:rPr>
        <w:t>机构</w:t>
      </w:r>
      <w:bookmarkEnd w:id="11"/>
    </w:p>
    <w:p w:rsidR="00B43AC4" w:rsidRPr="009802E0" w:rsidRDefault="00B43AC4" w:rsidP="00FE018D">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w:t>
      </w:r>
      <w:r w:rsidR="002B5B21" w:rsidRPr="009802E0">
        <w:rPr>
          <w:rFonts w:asciiTheme="minorEastAsia" w:eastAsiaTheme="minorEastAsia" w:hAnsiTheme="minorEastAsia" w:hint="eastAsia"/>
          <w:szCs w:val="21"/>
        </w:rPr>
        <w:t>、</w:t>
      </w:r>
      <w:r w:rsidRPr="009802E0">
        <w:rPr>
          <w:rFonts w:asciiTheme="minorEastAsia" w:eastAsiaTheme="minorEastAsia" w:hAnsiTheme="minorEastAsia" w:hint="eastAsia"/>
          <w:szCs w:val="21"/>
        </w:rPr>
        <w:t>直销机构：易方达基金管理有限公司</w:t>
      </w:r>
    </w:p>
    <w:p w:rsidR="0065665D" w:rsidRPr="009802E0" w:rsidRDefault="0065665D" w:rsidP="00FE018D">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w:t>
      </w:r>
      <w:r w:rsidR="00954E08" w:rsidRPr="009802E0">
        <w:rPr>
          <w:rFonts w:asciiTheme="minorEastAsia" w:eastAsiaTheme="minorEastAsia" w:hAnsiTheme="minorEastAsia" w:hint="eastAsia"/>
          <w:kern w:val="0"/>
          <w:szCs w:val="21"/>
        </w:rPr>
        <w:t>广东省珠海市横琴新区宝华路6号105室－42891（集中办公区）</w:t>
      </w:r>
    </w:p>
    <w:p w:rsidR="00B43AC4" w:rsidRPr="009802E0" w:rsidRDefault="00B43AC4" w:rsidP="00FE018D">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w:t>
      </w:r>
      <w:r w:rsidR="00D70DE3" w:rsidRPr="009802E0">
        <w:rPr>
          <w:rFonts w:asciiTheme="minorEastAsia" w:eastAsiaTheme="minorEastAsia" w:hAnsiTheme="minorEastAsia" w:hint="eastAsia"/>
          <w:szCs w:val="21"/>
        </w:rPr>
        <w:t>广州市天河区珠江新城珠江东路30号广州银行大厦40-43</w:t>
      </w:r>
      <w:r w:rsidR="00623988" w:rsidRPr="009802E0">
        <w:rPr>
          <w:rFonts w:asciiTheme="minorEastAsia" w:eastAsiaTheme="minorEastAsia" w:hAnsiTheme="minorEastAsia" w:hint="eastAsia"/>
          <w:szCs w:val="21"/>
        </w:rPr>
        <w:t>楼</w:t>
      </w:r>
    </w:p>
    <w:p w:rsidR="00B43AC4" w:rsidRPr="009802E0" w:rsidRDefault="00B43AC4" w:rsidP="00FE018D">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w:t>
      </w:r>
      <w:r w:rsidR="00FA3AAF" w:rsidRPr="009802E0">
        <w:rPr>
          <w:rFonts w:asciiTheme="minorEastAsia" w:eastAsiaTheme="minorEastAsia" w:hAnsiTheme="minorEastAsia" w:hint="eastAsia"/>
          <w:szCs w:val="21"/>
        </w:rPr>
        <w:t>刘晓艳</w:t>
      </w:r>
    </w:p>
    <w:p w:rsidR="00B43AC4" w:rsidRPr="009802E0" w:rsidRDefault="00B43AC4" w:rsidP="00FE018D">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电话：</w:t>
      </w:r>
      <w:r w:rsidRPr="009802E0">
        <w:rPr>
          <w:rFonts w:asciiTheme="minorEastAsia" w:eastAsiaTheme="minorEastAsia" w:hAnsiTheme="minorEastAsia"/>
          <w:szCs w:val="21"/>
        </w:rPr>
        <w:t>020</w:t>
      </w:r>
      <w:r w:rsidRPr="009802E0">
        <w:rPr>
          <w:rFonts w:asciiTheme="minorEastAsia" w:eastAsiaTheme="minorEastAsia" w:hAnsiTheme="minorEastAsia" w:hint="eastAsia"/>
          <w:szCs w:val="21"/>
        </w:rPr>
        <w:t>-</w:t>
      </w:r>
      <w:r w:rsidR="0065665D" w:rsidRPr="009802E0">
        <w:rPr>
          <w:rFonts w:asciiTheme="minorEastAsia" w:eastAsiaTheme="minorEastAsia" w:hAnsiTheme="minorEastAsia" w:hint="eastAsia"/>
          <w:szCs w:val="21"/>
        </w:rPr>
        <w:t>85102506</w:t>
      </w:r>
    </w:p>
    <w:p w:rsidR="00B43AC4" w:rsidRPr="009802E0" w:rsidRDefault="00B43AC4" w:rsidP="00FE018D">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传真：4008818099</w:t>
      </w:r>
    </w:p>
    <w:p w:rsidR="00B43AC4" w:rsidRPr="009802E0" w:rsidRDefault="00B43AC4" w:rsidP="00FE018D">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w:t>
      </w:r>
      <w:r w:rsidR="00902E4B" w:rsidRPr="009802E0">
        <w:rPr>
          <w:rFonts w:asciiTheme="minorEastAsia" w:eastAsiaTheme="minorEastAsia" w:hAnsiTheme="minorEastAsia" w:hint="eastAsia"/>
          <w:szCs w:val="21"/>
        </w:rPr>
        <w:t>王峰</w:t>
      </w:r>
    </w:p>
    <w:p w:rsidR="00547343" w:rsidRPr="009802E0" w:rsidRDefault="00B43AC4" w:rsidP="00FE018D">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t>
      </w:r>
      <w:hyperlink r:id="rId17" w:history="1">
        <w:r w:rsidR="0065665D" w:rsidRPr="009802E0">
          <w:rPr>
            <w:rFonts w:asciiTheme="minorEastAsia" w:eastAsiaTheme="minorEastAsia" w:hAnsiTheme="minorEastAsia" w:hint="eastAsia"/>
            <w:szCs w:val="21"/>
          </w:rPr>
          <w:t>www.efunds.com.cn</w:t>
        </w:r>
      </w:hyperlink>
    </w:p>
    <w:p w:rsidR="0065665D" w:rsidRPr="009802E0" w:rsidRDefault="0065665D" w:rsidP="00FE018D">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直销机构网点信息：</w:t>
      </w:r>
    </w:p>
    <w:p w:rsidR="0065665D" w:rsidRPr="009802E0" w:rsidRDefault="0065665D" w:rsidP="00FE018D">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（1）易方达基金管理有限公司广州直销中心</w:t>
      </w:r>
    </w:p>
    <w:p w:rsidR="0065665D" w:rsidRPr="009802E0" w:rsidRDefault="0065665D" w:rsidP="00FE018D">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w:t>
      </w:r>
      <w:r w:rsidR="00D70DE3" w:rsidRPr="009802E0">
        <w:rPr>
          <w:rFonts w:asciiTheme="minorEastAsia" w:eastAsiaTheme="minorEastAsia" w:hAnsiTheme="minorEastAsia" w:hint="eastAsia"/>
          <w:szCs w:val="21"/>
        </w:rPr>
        <w:t>广州市天河区珠江新城珠江东路30号广州银行大厦40</w:t>
      </w:r>
      <w:r w:rsidR="00623988" w:rsidRPr="009802E0">
        <w:rPr>
          <w:rFonts w:asciiTheme="minorEastAsia" w:eastAsiaTheme="minorEastAsia" w:hAnsiTheme="minorEastAsia" w:hint="eastAsia"/>
          <w:szCs w:val="21"/>
        </w:rPr>
        <w:t>楼</w:t>
      </w:r>
    </w:p>
    <w:p w:rsidR="0065665D" w:rsidRPr="009802E0" w:rsidRDefault="0065665D" w:rsidP="00FE018D">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电话：020-85102506</w:t>
      </w:r>
    </w:p>
    <w:p w:rsidR="0065665D" w:rsidRPr="009802E0" w:rsidRDefault="0065665D" w:rsidP="00FE018D">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传真：4008818099</w:t>
      </w:r>
    </w:p>
    <w:p w:rsidR="0065665D" w:rsidRPr="009802E0" w:rsidRDefault="0065665D" w:rsidP="00FE018D">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w:t>
      </w:r>
      <w:r w:rsidR="00902E4B" w:rsidRPr="009802E0">
        <w:rPr>
          <w:rFonts w:asciiTheme="minorEastAsia" w:eastAsiaTheme="minorEastAsia" w:hAnsiTheme="minorEastAsia" w:hint="eastAsia"/>
          <w:szCs w:val="21"/>
        </w:rPr>
        <w:t>王峰</w:t>
      </w:r>
    </w:p>
    <w:p w:rsidR="0065665D" w:rsidRPr="009802E0" w:rsidRDefault="0065665D" w:rsidP="00FE018D">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（2）易方达基金管理有限公司北京直销中心</w:t>
      </w:r>
    </w:p>
    <w:p w:rsidR="00AF6527" w:rsidRPr="009802E0" w:rsidRDefault="0065665D" w:rsidP="00FE018D">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w:t>
      </w:r>
      <w:r w:rsidR="00530B9E" w:rsidRPr="009802E0">
        <w:rPr>
          <w:rFonts w:asciiTheme="minorEastAsia" w:eastAsiaTheme="minorEastAsia" w:hAnsiTheme="minorEastAsia"/>
          <w:szCs w:val="21"/>
        </w:rPr>
        <w:t>北京市西城区武定侯街2号泰康国际大厦18层</w:t>
      </w:r>
    </w:p>
    <w:p w:rsidR="0065665D" w:rsidRPr="009802E0" w:rsidRDefault="0065665D" w:rsidP="00FE018D">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电话：010-</w:t>
      </w:r>
      <w:r w:rsidRPr="009802E0">
        <w:rPr>
          <w:rFonts w:asciiTheme="minorEastAsia" w:eastAsiaTheme="minorEastAsia" w:hAnsiTheme="minorEastAsia"/>
          <w:szCs w:val="21"/>
        </w:rPr>
        <w:t>63213377</w:t>
      </w:r>
    </w:p>
    <w:p w:rsidR="0065665D" w:rsidRPr="009802E0" w:rsidRDefault="0065665D" w:rsidP="00FE018D">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传真：4008818099</w:t>
      </w:r>
    </w:p>
    <w:p w:rsidR="0065665D" w:rsidRPr="009802E0" w:rsidRDefault="0065665D" w:rsidP="00FE018D">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w:t>
      </w:r>
      <w:r w:rsidR="00FA3AAF" w:rsidRPr="009802E0">
        <w:rPr>
          <w:rFonts w:asciiTheme="minorEastAsia" w:eastAsiaTheme="minorEastAsia" w:hAnsiTheme="minorEastAsia" w:hint="eastAsia"/>
          <w:szCs w:val="21"/>
        </w:rPr>
        <w:t>刘蕾</w:t>
      </w:r>
    </w:p>
    <w:p w:rsidR="0065665D" w:rsidRPr="009802E0" w:rsidRDefault="0065665D" w:rsidP="00FE018D">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（3）易方达基金管理有限公司上海直销中心</w:t>
      </w:r>
    </w:p>
    <w:p w:rsidR="0065665D" w:rsidRPr="009802E0" w:rsidRDefault="0065665D" w:rsidP="00FE018D">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w:t>
      </w:r>
      <w:r w:rsidR="0093462E" w:rsidRPr="009802E0">
        <w:rPr>
          <w:rStyle w:val="da"/>
          <w:rFonts w:asciiTheme="minorEastAsia" w:eastAsiaTheme="minorEastAsia" w:hAnsiTheme="minorEastAsia" w:hint="eastAsia"/>
        </w:rPr>
        <w:t>上海市浦东新区世纪大道88号金茂大厦46楼</w:t>
      </w:r>
    </w:p>
    <w:p w:rsidR="0065665D" w:rsidRPr="009802E0" w:rsidRDefault="0065665D" w:rsidP="00FE018D">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电话：021-50476668</w:t>
      </w:r>
    </w:p>
    <w:p w:rsidR="0065665D" w:rsidRPr="009802E0" w:rsidRDefault="0065665D" w:rsidP="00FE018D">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传真：4008818099</w:t>
      </w:r>
    </w:p>
    <w:p w:rsidR="0065665D" w:rsidRPr="009802E0" w:rsidRDefault="0065665D" w:rsidP="00FE018D">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w:t>
      </w:r>
      <w:r w:rsidR="00D70DE3" w:rsidRPr="009802E0">
        <w:rPr>
          <w:rFonts w:asciiTheme="minorEastAsia" w:eastAsiaTheme="minorEastAsia" w:hAnsiTheme="minorEastAsia" w:hint="eastAsia"/>
          <w:szCs w:val="21"/>
        </w:rPr>
        <w:t>于楠</w:t>
      </w:r>
    </w:p>
    <w:p w:rsidR="0065665D" w:rsidRPr="009802E0" w:rsidRDefault="0065665D" w:rsidP="00FE018D">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(4）易方达基金管理有限公司网上交易系统</w:t>
      </w:r>
    </w:p>
    <w:p w:rsidR="00F1391B" w:rsidRPr="009802E0" w:rsidRDefault="0065665D" w:rsidP="00FE018D">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t>
      </w:r>
      <w:hyperlink r:id="rId18" w:history="1">
        <w:r w:rsidRPr="009802E0">
          <w:rPr>
            <w:rFonts w:asciiTheme="minorEastAsia" w:eastAsiaTheme="minorEastAsia" w:hAnsiTheme="minorEastAsia" w:hint="eastAsia"/>
            <w:szCs w:val="21"/>
          </w:rPr>
          <w:t>www.efunds.com.cn</w:t>
        </w:r>
      </w:hyperlink>
    </w:p>
    <w:p w:rsidR="00323E22" w:rsidRPr="009802E0" w:rsidRDefault="004161A1"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2</w:t>
      </w:r>
      <w:r w:rsidR="002B5B21" w:rsidRPr="009802E0">
        <w:rPr>
          <w:rFonts w:asciiTheme="minorEastAsia" w:eastAsiaTheme="minorEastAsia" w:hAnsiTheme="minorEastAsia" w:hint="eastAsia"/>
        </w:rPr>
        <w:t>、</w:t>
      </w:r>
      <w:r w:rsidR="00D50DBD" w:rsidRPr="009802E0">
        <w:rPr>
          <w:rFonts w:asciiTheme="minorEastAsia" w:eastAsiaTheme="minorEastAsia" w:hAnsiTheme="minorEastAsia" w:hint="eastAsia"/>
        </w:rPr>
        <w:t>非直销销售机构（以下排序不分先后）</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 中国工商银行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注册地址：北京西城区复兴门内大街55号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办公地址：北京西城区复兴门内大街55号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法定代表人：陈四清</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联系人：杨菲</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客户服务电话：95588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网址：www.icbc.com.cn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 渤海银行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注册地址：天津市河东区海河东路218号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办公地址：天津市河东区海河东路218号渤海银行大厦</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法定代表人：李伏安</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联系人：王宏</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联系电话：022-58316666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客户服务电话：95541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传真：022-58316569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网址：www.cbhb.com.cn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(3) 广发银行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注册地址：广东省广州市越秀区东风东路713号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办公地址：广东省广州市越秀区东风东路713号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法定代表人：王滨</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客户服务电话：400-830-8003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网址：www.cgbchina.com.cn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(4) 华夏银行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注册地址：北京市东城区建国门内大街22号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办公地址：北京市东城区建国门内大街22号华夏银行大厦</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法定代表人：李民吉</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联系人：刘湘波</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客户服务电话：95577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传真：010-85238680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网址：www.hxb.com.cn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(5) 交通银行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注册地址：中国（上海）自由贸易试验区银城中路188号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办公地址：中国（上海）自由贸易试验区银城中路188号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法定代表人：任德奇</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联系人：王菁</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联系电话：021-58781234</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客户服务电话：95559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网址：www.bankcomm.com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(6) 平安银行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注册地址：广东省深圳市罗湖区深南东路5047号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办公地址：广东省深圳市罗湖区深南东路5047号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法定代表人：谢永林</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联系人：赵杨</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联系电话：0755-22166574</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客户服务电话：95511-3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传真：021-50979507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网址：bank.pingan.com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(7) 浦发银行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注册地址：上海市中山东一路12号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办公地址：上海市中山东一路12号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法定代表人：郑杨</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联系人：赵守良</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联系电话：021-61618888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客户服务电话：95528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传真：021-63604196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网址：www.spdb.com.cn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(8) 兴业银行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注册地址：福州市湖东路154号中山大厦</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办公地址：上海市银城路167号兴业银行大厦</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法定代表人：陶以平（代为履行法定代表人职权）</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联系人：孙琪虹</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客户服务电话：95561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网址：www.cib.com.cn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(9) 招商银行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注册地址：深圳市福田区深南大道7088号招商银行大厦</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办公地址：深圳市福田区深南大道7088号招商银行大厦</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法定代表人：李建红</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 xml:space="preserve">联系人：季平伟 </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客户服务电话：95555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网址：www.cmbchina.com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(10) 浙商银行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注册地址：浙江省杭州市萧山区鸿宁路1788号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办公地址：浙江杭州市庆春路288号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法定代表人：沈仁康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联系人：沈崟杰</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联系电话：0571- 88261822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客户服务电话：95527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传真：0571-87659954</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网址：www.czbank.com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(11) 中国光大银行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注册地址：北京市西城区太平桥大街25号、甲25号中国光大中心</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办公地址：北京市西城区太平桥大街25号金融街F3大厦（中国光大中心）</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法定代表人：李晓鹏</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联系人：朱红</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联系电话：010-63636153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客户服务电话：95595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传真：010-63639709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网址：www.cebbank.com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(12) 中国建设银行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注册地址：北京市西城区金融大街25号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办公地址：北京市西城区闹市口大街1号院1号楼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法定代表人：田国立</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联系人：王未雨</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客户服务电话：95533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网址：www.ccb.com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(13) 中国民生银行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注册地址：北京市西城区复兴门内大街2号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办公地址：北京市西城区复兴门内大街2号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法定代表人：洪崎</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联系人：徐野</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客户服务电话：95568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网址：www.cmbc.com.cn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(14) 中国农业银行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注册地址：北京市东城区建国门内大街69号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办公地址：北京市东城区建国门内大街69号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法定代表人：周慕冰</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联系人：李紫钰</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客户服务电话：95599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传真：010-85109219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网址：www.abchina.com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(15) 中国银行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注册地址：北京市西城区复兴门内大街1号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办公地址：北京市西城区复兴门内大街1号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法定代表人：刘连舸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客户服务电话：95566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网址：www.boc.cn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(16) 中国邮政储蓄银行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注册地址：北京市西城区金融大街3号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办公地址：北京市西城区金融大街3号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法定代表人：张金良</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联系人：王硕</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客户服务电话：95580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传真：010-68858057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网址：www.psbc.com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(17) 中信银行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注册地址：北京市东城区朝阳门北大街9号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办公地址：北京市东城区朝阳门北大街9号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法定代表人：李庆萍</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联系人：王晓琳</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客户服务电话：95558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传真：010-85230049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网址：bank.ecitic.com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(18) 包商银行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注册地址：内蒙古自治区包头市青山区钢铁大街6号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办公地址：内蒙古自治区包头市青山区钢铁大街6号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法定代表人：周学东</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联系人：张晶</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联系电话：0472-5189165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客户服务电话：95352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传真：010-84596546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网址：www.bsb.com.cn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(19) 北京农商银行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注册地址：北京市西城区月坛南街1号院2号楼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办公地址：北京市西城区月坛南街1号院2号楼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法定代表人：王金山</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联系人：鲁娟</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联系电话：010-89198762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客户服务电话：96198（北京）、400-66-96198（全国）</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网址：www.bjrcb.com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(20) 北京银行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注册地址：北京市西城区金融大街甲17号首层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办公地址：北京市西城区金融大街丙17号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法定代表人：张东宁</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联系人：周黎</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客户服务电话：95526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网址：www.bankofbeijing.com.cn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(21) 长安银行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注册地址：西安市高新技术产业开发区高新四路13号1幢1单元10101室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办公地址：西安市高新技术产业开发区高新四路13号朗臣大厦</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法定代表人：赵永军</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联系人：闫石</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客户服务电话：400-05-96669；（029）96669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传真：029-88609566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网址：http://www.ccabchina.com/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(22) 长城华西银行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注册地址：德阳市旌阳区蒙山街14号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办公地址：四川省德阳市旌阳区蒙山街14号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法定代表人：谭运财</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联系人：王丽鹃</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电话：028-61963271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客户服务电话：028-96836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传真：0838-2371812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网址：www.gwbank.com.cn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(23) 长春农商银行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注册地址：吉林省长春市二道区自由大路5755号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办公地址：吉林省长春市绿园区正阳街4288号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法定代表人：马铁刚</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联系人：张俊峰</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客户服务电话：96888-1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网址：www.cccb.cn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(24) 成都农商银行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注册地址：成都市武侯区科华中路88号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办公地址：成都市武侯区科华中路88号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法定代表人：陈萍</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联系人：杨琪</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联系电话：028-85315412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客户服务电话：95392   4006-028-666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传真：028-85390961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网址：http://www.cdrcb.com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(25) 大连银行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注册地址：辽宁省大连市中山区中山路88号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办公地址：大连市中山区中山路88号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法定代表人：崔磊</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联系人：卜书慧</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联系电话：0411-82311936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客户服务电话：400-664-0099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网址：www.bankofdl.com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(26) 德州银行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注册地址：山东省德州市三八东路1266号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办公地址：山东省德州市三八东路1266号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法定代表人：董合平</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联系人：王方震</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电话：0534-2297326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客户服务电话：400-01-96588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网址：www.dzbchina.com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(27) 东莞农村商业银行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注册地址：广东省东莞市东城区鸿福东路2号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办公地址：广东省东莞市东城区鸿福东路2号东莞农商银行大厦</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法定代表人：王耀球</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联系人：钟燕珊</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客户服务电话：0769-961122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网址：www.drcbank.com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(28) 东莞银行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注册地址：东莞市莞城区体育路21号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办公地址：东莞市莞城区体育路21号东莞银行大厦</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法定代表人：卢国锋</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联系人：朱杰霞</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联系电话：0769-22865177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客户服务电话：956033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网址：www.dongguanbank.cn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(29) 东亚银行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注册地址：中国(上海)自由贸易试验区花园石桥路66号23楼、25楼、26楼、27楼、28楼、37楼、38楼(名义楼层:26楼、28楼、29楼、30楼、31楼、41楼、42楼)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办公地址：上海浦东新区花园石桥路66号东亚银行大厦29楼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法定代表人：李国宝(LI, Kwok Po David)</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联系人：杨俊</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联系电话：8621-38663866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客户服务电话：95382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网址：http://www.hkbea.com.cn/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(30) 佛山农商银行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注册地址：佛山市禅城区华远东路5号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办公地址：佛山市禅城区华远东路5号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法定代表人：李川</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联系人：陈棠熙</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客户服务电话：96138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网址：www.foshanbank.cn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(31) 福建海峡银行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注册地址：福建省福州市台江区江滨中大道358号海峡银行大厦</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办公地址：福建省福州市台江区江滨中大道358号福建海峡银行8楼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法定代表人：俞敏</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联系人：黄钰雯</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联系电话：0591-87332762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客户服务电话：400-893-9999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传真：0591-87330926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网址：www.fjhxbank.com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(32) 富滇银行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注册地址：云南省昆明市拓东路41号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办公地址：云南省昆明市拓东路41号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法定代表人：洪维智</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联系人：杨翊琳</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电话：0871-63140324</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客户服务电话：400-88-96533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传真：0871-63194471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网址：http://www.fudian-bank.com/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(33) 富阳农商银行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注册地址：杭州市富阳区鹿山街道依江路501号第1幢</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办公地址：杭州市富阳区鹿山街道依江路501号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法定代表人：丁松茂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联系人：陈硕</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联系电话：0571-63280253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客户服务电话：96596、4008896596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网址：www.fyrcbk.com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(34) 广东华兴银行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注册地址：广东省汕头市龙湖区黄山路28号四层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办公地址：广州市天河区天河路533号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法定代表人：周泽荣</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联系人：许悦</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联系电话：020-38173552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客户服务电话：400-830-8001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传真：020-38173857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网址：www.ghbank.com.cn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(35) 广东南粤银行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注册地址：广东省湛江市经济技术开发区乐山大道60号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办公地址：广东省湛江市经济技术开发区乐山大道60号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法定代表人：蒋丹</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联系人：陈静</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联系电话：020-28308757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客户服务电话：4000-961818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网址：www.gdnybank.com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(36) 广州农商银行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注册地址：广州市黄埔区映日路9号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办公地址：广州市天河区珠江新城华夏路1号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法定代表人：王继康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联系人：刘强</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联系电话：020-22389067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客户服务电话：95313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传真：020-22389031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网址：www.grcbank.com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(37) 广州银行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注册地址：广州市天河区珠江东路30号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办公地址：广州市天河区珠江东路30号广州银行大厦</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法定代表人：黄子励</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联系人：唐荟</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客户服务电话：96699（广东）400-83-96699（全国）</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网址：www.gzcb.com.cn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(38) 贵阳银行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注册地址：贵州省贵阳市观山湖区长岭北路中天•会展城B区金融商务区东区1-6栋</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办公地址：贵州省贵阳市中华北路77号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 xml:space="preserve">法定代表人： 张正海 </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联系人：何西</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电话：0851-86858673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客户服务电话：40011-96033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传真：0851-86858673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网址：http://www.96033.cn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(39) 哈尔滨银行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注册地址：哈尔滨市道里区尚志大街160号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办公地址：哈尔滨市道里区上江街888号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法定代表人：郭志文</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联系人：何岩岩</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电话：0451-87792450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客户服务电话：95537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传真：0451-87792682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网址：www.hrbb.com.cn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(40) 杭州联合银行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注册地址：浙江省杭州市上城区建国中路99号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办公地址：杭州市建国中路99号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法定代表人：张海林</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联系人：吴徐立</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联系电话：0571-87923324</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客户服务电话：96596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传真：0571-87923214</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网址：www.urcb.com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(41) 杭州银行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注册地址：浙江省杭州市下城区庆春路46号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办公地址：杭州市下城区庆春路46号杭州银行大厦</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法定代表人：陈震山</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联系人：蒋梦君</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联系电话：0571-85120718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客户服务电话：95398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传真：0571-85106576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网址：www.hzbank.com.cn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(42) 河北银行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注册地址：石家庄市平安北大街28号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办公地址：石家庄市平安北大街28号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法定代表人：乔志强</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联系人：李博</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联系电话：0311-88627587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客户服务电话：400-612-9999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传真：0311-67806407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网址：www.hebbank.com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(43) 华融湘江银行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注册地址：长沙市天心区芙蓉南路一段828号杰座大厦</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办公地址：湖南省长沙市湘府东路二段208号万境财智中心南栋</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法定代表人：黄卫忠</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联系人：闾娇蓉</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联系电话：0731-89828182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客户服务电话：0731-96599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传真：0731-89828806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网址：www.hrxjbank.com.cn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(44) 吉林银行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注册地址：吉林省长春市经济技术开发区东南湖大路1817号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办公地址：吉林省长春市经济技术开发区东南湖大路1817号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法定代表人：陈宇龙</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联系人：孟明</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联系电话：0431-84992680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客户服务电话：400-88-96666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传真：0431-84992649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网址：www.jlbank.com.cn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(45) 嘉兴银行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注册地址：浙江省嘉兴市昌盛南路1001号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办公地址：浙江省嘉兴市昌盛南路1001号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法定代表人：夏林生</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联系人：余舟</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联系电话：0573-82080201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客户服务电话：0573-96528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网址：http://www.bojx.com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(46) 江南农村商业银行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注册地址：常州市和平中路413号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办公地址：常州市和平中路413号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法定代表人：陆向阳</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联系人：李仙</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电话：0519-80585939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客户服务电话：0519-96005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传真：0519-89995170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网址：http://www.jnbank.com.cn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(47) 江苏银行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注册地址：南京市中华路26号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办公地址：南京市中华路26号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法定代表人：夏平</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联系人：展海军</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联系电话：025-58587039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客户服务电话：95319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传真：025-58587820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网址：www.jsbchina.cn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(48) 江西银行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注册地址：江西省南昌市红谷滩新区金融大街699号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办公地址：江西省南昌市红谷滩新区金融大街699号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法定代表人：陈晓明</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联系人：陈云波</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联系电话：0791-86796029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客户服务电话：956055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传真：0791-86790795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网址：www.jx-bank.com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(49) 金华银行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注册地址：浙江省金华市丹溪路1388号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办公地址：浙江省金华市金东区光南路668号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法定代表人：徐雅清</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联系人：何赛丽、陈霞</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联系电话：0579-82178270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客户服务电话：400-711-6668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传真：0579-82178321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网址：www.jhccb.com.cn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(50) 锦州银行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注册地址：辽宁省锦州市科技路68号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办公地址：辽宁省锦州市科技路68号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法定代表人：魏学坤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联系人：庞璐璐</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客户服务电话：400-66-96178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网址：www.jinzhoubank.com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(51) 晋商银行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注册地址：山西省太原市小店区长风街59号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办公地址：山西省太原市小店区长风街59号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法定代表人：阎俊生</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联系人：董嘉文</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联系电话：0351-6819579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客户服务电话：9510-5588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传真：0351-6819926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网址：www.jshbank.com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(52) 九江银行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注册地址：江西省九江市濂溪区长虹大道619号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办公地址：江西省九江市濂溪区长虹大道619号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法定代表人：刘羡庭</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联系人：胡浩</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联系电话：0792-2171968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客户服务电话：95316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网址：www.jjccb.com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(53) 昆仑银行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注册地址：新疆克拉玛依市世纪大道7号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办公地址：北京市西城区金融大街1号B座</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法定代表人：蒋尚军</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联系人：张碧华</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联系电话：010-89026813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客户服务电话：95379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传真：010-89025421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网址：www.klb.cn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(54) 昆山农村商业银行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注册地址：江苏省昆山市前进东路828号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办公地址：江苏省昆山市前进东路828号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法定代表人：张哲清</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联系人：黄怡</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客户服务电话：0512-96079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网址：www.ksrcb.com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(55) 乐清农商银行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注册地址：浙江省乐清市城南街道伯乐西路99号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办公地址：浙江省乐清市城南街道伯乐西路99号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法定代表人：高剑飞</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联系人：金晓娇</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联系电话：0577-61566028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客户服务电话：4008896596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传真：0577-61566063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网址：www.yqbank.com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(56) 临海农商银行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 xml:space="preserve">注册地址：浙江省临海市古城街道巾山中路2号 </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 xml:space="preserve">办公地址：浙江省临海市古城街道巾山中路2号 </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 xml:space="preserve">法定代表人：王晔玮  </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联系人：王艳</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电话：0576-85317606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客户服务电话：4008896596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传真：0576-85317599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 http://www.lhrcb.com/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(57) 龙江银行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注册地址：黑龙江省哈尔滨市道里区友谊路436号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办公地址：黑龙江省哈尔滨市道里区友谊路436号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法定代表人：张建辉</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联系人：闫勇</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联系电话：0451-85706107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客户服务电话：400-645-8888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传真：0451-85706036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网址：http://www.lj-bank.com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(58) 龙湾农商银行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注册地址：浙江省温州市龙湾区永中街道永宁西路555号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办公地址：浙江省温州市龙湾区永中街道永宁西路555号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法定代表人：朱朋远</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联系人：胡俊杰</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联系电话：0577-86923223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客户服务电话：4008296596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传真：0577-86921250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网址：www.lwrcb.com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(59) 鹿城农商银行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注册地址：浙江省温州市鹿城区会展路1500号富银大厦</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办公地址：温州市车站大道547号信合大厦A幢</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法定代表人：陈宏强</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联系人：董雷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联系电话：0577-88077675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客户服务电话：96526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网址：http://www.lcrcbank.com/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(60) 洛阳银行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注册地址：洛阳市洛阳新区开元大道与通济街交叉口</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办公地址：河南省洛阳市开元大道256号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法定代表人：王建甫</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联系人：郭文博</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联系电话：0379-65921977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客户服务电话：0379-96699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传真：0379-65938595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网址：www.bankofluoyang.com.cn/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(61) 南海农商银行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注册地址：广东省佛山市南海区桂城街道南海大道北26号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办公地址：广东省佛山市南海区桂城街道南海大道北26号农商银行大厦</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法定代表人：李宜心</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联系人：廖雪</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电话：0757-86266566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客户服务电话：96138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传真：0757-86250627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网址：www.nanhaibank.com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(62) 南京银行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注册地址：南京市玄武区中山路288号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办公地址：南京市玄武区中山路288号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法定代表人：胡升荣</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联系人：赵世光</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客户服务电话：95302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网址：www.njcb.com.cn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(63) 南洋商业银行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注册地址：中国（上海）自由贸易试验区世纪大道800号三层、六层至九层（不含六层A座）</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办公地址：中国（上海）自由贸易试验区世纪大道800号三层、六层至九层（不含六层A座）</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法定代表人：陈孝周</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联系人：马小明</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联系电话：021-38566452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客户服务电话：8008207898（内地固话用户）、4008207898（内地手机用户）、（86551）64360499（港澳台及境外）</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传真：021-38566400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网址：http://www.ncbchina.cn/cn/index.html</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(64) 宁波银行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注册地址：浙江省宁波市鄞州区宁东路345号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办公地址：浙江省宁波市鄞州区宁东路345号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法定代表人：陆华裕</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联系人：夏禾</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客户服务电话：95574</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网址：www.nbcb.com.cn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(65) 宁夏银行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注册地址：银川市金凤区北京中路157号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办公地址：银川市金凤区北京中路157号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法定代表人：居光华</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联系人：蒋阳</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联系电话：0951-5165256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客户服务电话：4008096558、0951-96558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网址：http://www.bankofnx.com.cn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(66) 攀枝花市商业银行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注册地址：攀枝花市炳三区机场路88号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办公地址：攀枝花市炳三区机场路88号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法定代表人：杨宗林</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联系人：刘斌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联系电话：0812-5791295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客户服务电话：4001096998（全国）、96998（四川）</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传真：0812-5791295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网址：http://www.pzhccb.com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(67) 齐商银行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注册地址：淄博市张店区中心路105号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办公地址：山东省淄博市张店区金晶大道105号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法定代表人：杲传勇</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联系人：焦浦</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联系电话：0533-2178888-9907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客户服务电话：400-86-96588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传真：0533-2180303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网址：www.qsbank.cc</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(68) 青岛农商银行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注册地址：山东省青岛市崂山区秦岭路6号1号楼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办公地址：山东省青岛市崂山区秦岭路6号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法定代表人：刘仲生</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联系人：严菲</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联系电话：0532-66957360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客户服务电话：0532-96668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传真：0532-66957229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网址：www.qrcb.com.cn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(69) 青岛银行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注册地址：山东省青岛市崂山区秦岭路6号3号楼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办公地址：山东省青岛市崂山区秦岭路6号3号楼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法定代表人：郭少泉</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联系人：陈界交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联系电话：0532-68629956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客户服务电话：96588（青岛）400-66-96588（全国）</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网址：http://www.qdccb.com/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(70) 青海银行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注册地址：青海省西宁市城西区西关大街130号1号楼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办公地址：青海省西宁市黄河路36号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法定代表人：李锦军</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联系人：李万芳</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联系电话：0971-6111792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客户服务电话：0971-96399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传真：0971-6111792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网址：www.bankqh.com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(71) 泉州银行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注册地址：泉州市丰泽区云鹿路3号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办公地址：泉州市丰泽区云鹿路3号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法定代表人：傅子能</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联系人：董培姗</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联系电话：0595-22551071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客户服务电话：400-88-96312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传真：0595-22578871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网址：http://www.qzccbank.com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(72) 日照银行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注册地址：山东省日照市烟台路197号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办公地址：山东省日照市烟台路197号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法定代表人：王森</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联系人：孔颖</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联系电话：0633-8081590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客户服务电话：400-68-96588（全国）、0633-96588（日照）</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传真：0633-8081276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网址：http://www.bankofrizhao.com.cn/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(73) 瑞安农商银行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注册地址：瑞安市安阳街道万松东路148号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办公地址：瑞安市安阳街道万松东路148号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法定代表人：王光领</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联系人：吴小娜</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联系电话：0577-66681245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客户服务电话：4008057702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(74) 瑞丰银行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注册地址：浙江省绍兴市柯桥区笛扬路1363号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办公地址：浙江省绍兴市柯桥区笛扬路1363号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法定代表人：章伟东</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联系人：孟建潮</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联系电话：0575-81105323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客户服务电话：400-88-96596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传真：0575-84788134</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网址：www.borf.cn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(75) 上海农村商业银行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注册地址：上海市黄浦区中山东二路70号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 xml:space="preserve">办公地址：上海市黄浦区中山东二路70号上海农商银行大厦 </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法定代表人：徐力</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联系人：施传荣</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联系电话：021-61899999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客户服务电话：021-962999、4006962999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开放式基金业务传真：021-50105124</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网址：www.srcb.com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(76) 上海银行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注册地址：中国（上海）自由贸易试验区银城中路168号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办公地址：上海市浦东新区银城中路168号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法定代表人：金煜</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联系人：王笑</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联系电话：021-68475732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客户服务电话：95594</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网址：http://www.bosc.cn/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(77) 深圳农村商业银行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注册地址：深圳市罗湖区深南东路3038号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办公地址：深圳市罗湖区深南东路3038号合作金融大厦</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法定代表人：李光安</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联系人：陈泽鑫</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联系电话：0755-25188271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客户服务电话：4001961200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网址：http://www.4001961200.com/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(78) 顺德农村商业银行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注册地址：广东佛山市顺德区大良德和居委会拥翠路2号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办公地址：广东佛山市顺德区大良德和居委会拥翠路2号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法定代表人：姚真勇</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联系人：杨素苗、区敏欣</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联系电话：0757-22382524</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客户服务电话：0757-22223388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传真：0757-22388235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网址：www.sdebank.com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(79) 四川天府银行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注册地址：四川省南充市涪江路1号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办公地址：四川省成都市锦江区东大街下东大街258号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法定代表人：邢敏</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联系人：周乃雍</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联系电话：028-67676038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客户服务电话：400-16-96869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网址：www.tf.cn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(80) 苏州农村商业银行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注册地址：江苏省苏州市吴江区中山南路1777号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办公地址：江苏省苏州市吴江区中山南路1777号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法定代表人：魏礼亚</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联系人：杨晨</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联系电话：0512-63969209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客户服务电话：96068（江苏省内）、400-86-96068（江苏省外）</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传真：0512-63969071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网址：www.wjrcb.com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(81) 苏州银行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注册地址：江苏省苏州市工业园区钟园路728号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办公地址：江苏省苏州市工业园区钟园路728号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法定代表人：王兰凤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联系人：吴骏</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联系电话：0512-69868373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客户服务电话：96067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传真：0512-69868373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网址：www.suzhoubank.com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(82) 天津农商银行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注册地址：天津市河西区马场道59号国际经济贸易中心A座1-6层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办公地址：天津市河西区马场道59号国际经济贸易中心A座1-6层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法定代表人：徐庆宏</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联系人：满与谦、梁冯雷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联系电话：022-83872155，022-83872800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客户服务电话：022-96155，400-80-96155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传真：022-83872156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网址：www.trcbank.com.cn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(83) 天津银行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注册地址：天津市河西区友谊路15号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办公地址：天津市河西区友谊路15号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法定代表人：李宗唐</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联系人：李岩</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联系电话：022-28405684</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客户服务电话：956056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传真：022-28405631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网址：www.bank-of-tianjin.com.cn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(84) 威海市商业银行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注册地址：威海市宝泉路9号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办公地址：威海市宝泉路9号财政大厦</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法定代表人：谭先国</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联系人：冯十卉</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联系电话：0531-68978175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客户服务电话：山东省内96636、中国境内40000-96636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传真：0531-68978176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网址：www.whccb.com，www.whccb.com.cn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(85) 微众银行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注册地址：深圳市前海深港合作区前湾一路1号A栋201室（入驻深圳市前海商务秘书有限公司）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办公地址：广东省深圳市南山区沙河西路1819号深圳湾科技生态园7栋A座</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法定代表人：顾敏</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客户服务电话：95384</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网址：http://www.webank.com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(86) 潍坊银行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注册地址：山东省潍坊市奎文区胜利东街5139号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办公地址：山东省潍坊市奎文区胜利东街5139号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法定代表人：郭虎英</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联系人：井靖</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联系电话：0536-8051904</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客户服务电话：400-61-96588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传真：0536-8056061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网址：www.wfccb.com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(87) 乌鲁木齐银行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注册地址：新疆乌鲁木齐市水磨沟区会展大道599号新疆财富中心A座4层至31层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办公地址：新疆乌鲁木齐市水磨沟区会展大道599号新疆财富中心A座4层至31层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法定代表人：任思宇</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联系人：王小培</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联系电话：0991-4500319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客户服务电话：0991-96518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传真：0991-8824667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网址：www.uccb.com.cn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(88) 武汉农村商业银行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注册地址：湖北省武汉市江岸区建设大道618号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办公地址：湖北省武汉市江岸区建设大道618号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法定代表人：徐小建</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联系人：邹君</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电话：027-85497270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客户服务电话：95367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传真：027-85497270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网址：http://www.whrcbank.com/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(89) 西安银行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注册地址：西安市高新路60号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办公地址：西安市高新路60号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法定代表人：郭军</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联系人：白智</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联系电话：029-88992881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客户服务电话：40086-96779（全国）、96779（陕西）</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网址：www.xacbank.com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(90) 萧山农商银行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注册地址：萧山区人民路258号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办公地址：浙江省杭州市萧山区人民路258号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法定代表人：王云龙</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联系人：朱光锋</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联系电话：0571-82739513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客户服务电话：96596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网址：http://www.zjxsbank.com/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(91) 新昌农商银行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注册地址：浙江省绍兴市新昌县七星街道七星路18号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办公地址：浙江省绍兴市新昌县七星街道七星路18号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法定代表人：陆斌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联系人：陈春华</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联系电话：0575-86266991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客户服务电话：96596、0575-86266928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传真：0575-86383121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网址：http://xcbank.com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(92) 烟台银行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注册地址：山东省烟台市芝罘区海港路25号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办公地址：山东省烟台市芝罘区海港路25号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法定代表人：吴明理</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联系人：张卓智</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联系电话：0535-6699671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客户服务电话：4008-311-777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传真：0535-6699884</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网址：www.yantaibank.net</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(93) 鄞州银行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注册地址：宁波市鄞州区民惠西路88号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办公地址：宁波市鄞州区民惠西路88号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法定代表人：周建斌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联系人：朱霓虹</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联系电话：0574-87412569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客户服务电话：956058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网址：www.beeb.com.cn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(94) 余杭农村商业银行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注册地址：杭州市余杭区南苑街道南大街72号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办公地址：杭州市余杭区南苑街道南大街72号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法定代表人：来煜标</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联系人：蔡亮</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联系电话：0571-86209980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客户服务电话：96596，4008896596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网址：www.yhrcb.com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(95) 云南红塔银行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注册地址：云南省玉溪市东风南路2号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办公地址：云南省昆明市盘龙区世博路低碳中心A座</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法定代表人：李光林</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联系人：马杰</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联系电话：0871-65236624</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客户服务电话：0877-96522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网址：www.ynhtbank.com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(96) 浙江稠州商业银行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注册地址：浙江省义乌市江滨路义乌乐园东侧</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办公地址：杭州市上城区望潮路158号稠银大厦</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法定代表人：金子军</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联系人：谢圆圆</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联系电话：0571-87117661/13777805250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客户服务电话：0571-96527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传真：0571-87117607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网址：http://www.czcb.com.cn/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(97) 浙江泰隆商业银行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注册地址：浙江省台州市路桥区南官大道188号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办公地址：浙江省台州市路桥区南官大道188号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法定代表人：王钧</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联系人：陈妍宇</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联系电话：0571-87219677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客户服务电话：95347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网址：www.zjtlcb.com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(98) 中原银行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注册地址：河南省郑州市郑东新区CBD商务外环路23号中科金座大厦</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办公地址：河南省郑州市郑东新区CBD商务外环路23号中科金座大厦</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法定代表人：窦荣兴</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联系人：张辉</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联系电话：0371-61910217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客户服务电话：95186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网址：www.zybank.com.cn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(99) 重庆农村商业银行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注册地址：重庆市江北区金沙门路36号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办公地址：重庆市江北区金沙门路36号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法定代表人：刘建忠</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联系人：范亮</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联系电话：023-61110146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客户服务电话：95389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传真：023-61110146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网址：www.cqrcb.com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(100) 重庆银行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注册地址：重庆市渝中区邹容路153号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办公地址：重庆市江北区永平门街6号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法定代表人：林军</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联系人：石千凡</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联系电话：023-63367180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客户服务电话：96899，4007096899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网址：www.cqcbank.com.cn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(101) 珠海华润银行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注册地址：广东省珠海市吉大九洲大道东1346号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办公地址：广东省珠海市吉大九洲大道东1346号珠海华润银行大厦</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法定代表人：刘晓勇</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联系人：李阳</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联系电话：4008800338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客户服务电话：96588（广东省外请加拨0756），400-8800-338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网址：www.crbank.com.cn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(102) 安信证券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注册地址：深圳市福田区金田路4018号安联大厦35层、28层A02单元</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办公地址：深圳市福田区金田路4018号安联大厦35层、28层A02单元</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 xml:space="preserve">          深圳市福田区深南大道2008号中国凤凰大厦1栋9层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法定代表人：王连志</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联系人：陈剑虹</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联系电话：0755-82825551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客户服务电话：95517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传真：0755-82558355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网址：www.essence.com.cn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(103) 渤海证券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注册地址：天津市经济技术开发区第二大街42号写字楼101室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办公地址：天津市南开区宾水西道8号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法定代表人：安志勇</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联系人：王星</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联系电话：022-28451922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客户服务电话：400-651-5988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传真：022-28451892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网址：www.ewww.com.cn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(104) 财达证券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注册地址：河北省石家庄市桥西区自强路35号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办公地址：河北省石家庄市桥西区自强路35号庄家金融大厦23-26层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法定代表人：翟建强</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联系人：李卓颖</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联系电话：0311-66008561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客户服务电话：95363（河北省内）；0311-95363（河北省外）</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传真：0311-66006414</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网址：www.s10000.com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(105) 财通证券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注册地址：杭州市西湖区天目山路198号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办公地址：杭州市西湖区天目山路198号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法定代表人：陆建强</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联系人：陶志华</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联系电话：0571－87789160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客户服务电话：95336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网址：www.ctsec.com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(106) 财信证券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注册地址：长沙市芙蓉中路二段80号顺天国际财富中心26层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办公地址：长沙市芙蓉中路二段80号顺天国际财富中心26-28层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法定代表人：刘宛晨</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联系人：郭静</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联系电话：0731-84403347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客户服务电话：95317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传真：0731-84403439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网址：www.cfzq.com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(107) 长城国瑞证券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注册地址：厦门市思明区莲前西路2号莲富大厦17楼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办公地址：厦门市思明区深田路46号深田国际大厦20楼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法定代表人：王勇</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联系人：邱震</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联系电话：0592-2079259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客户服务电话：400-0099-886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传真：0592-2079602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网址：www.gwgsc.com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(108) 长城证券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注册地址：深圳市福田区福田街道金田路2026号能源大厦南塔楼10-19层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办公地址：深圳市福田区福田街道金田路2026号能源大厦南塔楼10-19层长城证券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法定代表人：曹宏</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联系人：梁浩</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联系电话：0755-83530715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客户服务电话：400-6666-888或95514</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传真：0755--83515567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网址：www.cgws.com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(109) 长江证券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注册地址：湖北省武汉市新华路特8号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办公地址：湖北省武汉市新华路特8号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法定代表人：李新华</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联系人：奚博宇</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联系电话：027-65799999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客户服务电话：95579或4008-888-999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传真：027-85481900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网址：www.95579.com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(110) 川财证券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注册地址：中国（四川）自由贸易试验区成都高新区交子大道177号中海国际中心B座17楼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办公地址：四川省成都高新区交子大道177号中海国际中心B座17楼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法定代表人：孟建军</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联系人：匡婷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联系电话：028-86583053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 xml:space="preserve">客户服务电话：028-962708 </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网址：www.cczq.com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(111) 大通证券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注册地址：辽宁省大连市沙河口区会展路129号大连国际金融中心A座-大连期货大厦38、39层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办公地址：辽宁省大连市沙河口区会展路129号大连国际金融中心A座-大连期货大厦38、39层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法定代表人：赵玺</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联系人：谢立军</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联系电话：0411-39991807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客户服务电话：4008-169-169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传真：0411-39673214</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网址：www.daton.com.cn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(112) 大同证券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注册地址：山西省大同市城区迎宾街15号桐城中央21层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办公地址：山西省太原市小店区长治路111号山西世贸中心A座F12、F13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法定代表人：董祥</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联系人：薛津</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联系电话：0351-4130322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客户服务电话：4007121212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传真：0351-7219891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网址：www.dtsbc.com.cn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(113) 德邦证券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注册地址：上海市普陀区曹杨路510号南半幢9楼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办公地址：上海市福山路500号城建国际中心29楼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法定代表人：武晓春</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联系人：刘熠</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联系电话：021-68761616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客户服务电话：400-8888-128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传真：021-68767880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网址：http://www.tebon.com.cn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(114) 第一创业证券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注册地址：深圳市福田区福华一路115号投行大厦20楼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办公地址：深圳市福田区福华一路115号投行大厦20楼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法定代表人：刘学民</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联系人：单晶</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联系电话：0755-23838750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客户服务电话：95358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网址：www.firstcapital.com.cn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(115) 东北证券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注册地址：长春市生态大街6666号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办公地址：长春市生态大街6666号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法定代表人：李福春</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联系人：安岩岩</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联系电话：0431-85096517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客户服务电话：95360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传真：0431-85096795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网址：www.nesc.cn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(116) 东方证券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注册地址：上海市中山南路318号2号楼22层、23层、25层-29层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办公地址：上海市中山南路318号2号楼22层、23层、25层-29层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法定代表人：潘鑫军</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联系人：龚玉君</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联系电话：021-63325888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客户服务电话：95503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传真：021-63326729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网址：http://www.dfzq.com.cn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(117) 东莞证券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注册地址：东莞市莞城区可园南路一号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办公地址：东莞市莞城区可园南路1号金源中心30楼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法定代表人：陈照星</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联系人：李荣</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联系电话：0769-22115712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客户服务电话：95328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传真：0769-22115712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网址：www.dgzq.com.cn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(118) 东海证券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注册地址：江苏省常州市延陵西路23号投资广场18层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办公地址：上海市浦东新区东方路1928号东海证券大厦</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法定代表人：钱俊文</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联系人：王一彦</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联系电话：021-20333333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客户服务电话：95531、400-8888-588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传真：021-50498825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网址：www.longone.com.cn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(119) 东吴证券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注册地址：苏州工业园区星阳街5号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办公地址：苏州工业园区星阳街5号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法定代表人：范力</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联系人：陆晓</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联系电话：0512-62938521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客户服务电话：95330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传真：0512-65588021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网址：www.dwzq.com.cn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(120) 方正证券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注册地址：湖南省长沙市天心区湘江中路二段36号华远华中心4、5号楼3701-3717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办公地址：北京市朝阳区北四环中路27号盘古大观A座40F</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法定代表人：施华</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联系人：周静</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联系电话：010-59355412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客户服务电话：95571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传真：010-56437030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网址：www.foundersc.com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(121) 光大证券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注册地址：上海市静安区新闸路1508号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办公地址：上海市静安区新闸路1508号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法定代表人：刘秋明</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联系人：郁疆</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联系电话：021-22169999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客户服务电话：95525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网址：www.ebscn.com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(122) 广发证券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注册地址：广东省广州市黄埔区中新广州知识城腾飞一街2号618室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办公地址：广州市天河区马场路26号广发证券大厦</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法定代表人：孙树明</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联系人：黄岚</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客户服务电话：95575或02095575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网址：www.gf.com.cn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(123) 国都证券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注册地址：北京市东城区东直门南大街3号国华投资大厦9层10层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办公地址：北京市东城区东直门南大街3号国华投资大厦9层10层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法定代表人：王少华</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联系人：黄静</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联系电话：010-84183389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客户服务电话：400-818-8118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传真：010-84183311-3122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网址：www.guodu.com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(124) 国海证券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注册地址：广西桂林市辅星路13号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办公地址：深圳市福田区竹子林四路光大银行大厦3楼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法定代表人：何春梅</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联系人：田密</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联系电话：0755-83716916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客户服务电话：95563或0771-95563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网址：www.ghzq.com.cn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(125) 国金证券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注册地址：成都市青羊区东城根上街95号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办公地址：成都市青羊区东城根上街95号成证大厦</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法定代表人：冉云</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联系人：杜晶、黎建平</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联系电话：028-86690057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客户服务电话：95310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传真：028-86690126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网址：www.gjzq.com.cn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(126) 国联证券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注册地址：江苏省无锡市太湖新城金融一街8号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办公地址：江苏省无锡市太湖新城金融一街8号国联金融大厦</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法定代表人：姚志勇</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联系人：祁昊</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联系电话：0510-82831662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客户服务电话：95570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传真：0510-82830162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网址：www.glsc.com.cn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(127) 国融证券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注册地址：内蒙古自治区呼和浩特市武川县腾飞大道1号4楼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办公地址：北京市西城区宣武门西大街甲129号金隅大厦16层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法定代表人：张智河</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联系人：李思萱</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联系电话：010-83991848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客户服务电话：95385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传真：010-66412537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网址：www.grzq.com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(128) 国盛证券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注册地址：江西省南昌市新建区子实路1589号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办公地址：江西省南昌市红谷滩新区凤凰中大道1115号北京银行大厦</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法定代表人：徐丽峰</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联系人：占文驰</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联系电话：0791-88250812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客户服务电话：956080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传真：0791-86281305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网址：www.gszq.com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(129) 国泰君安证券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注册地址：中国（上海）自由贸易试验区商城路618号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 xml:space="preserve">办公地址：上海市静安区南京西路768号国泰君安大厦 </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法定代表人：贺青</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联系人：芮敏祺</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客户服务电话：95521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传真：021-38670666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网址：www.gtja.com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(130) 国信证券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注册地址：深圳市罗湖区红岭中路1012号国信证券大厦十六层至二十六层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办公地址：深圳市罗湖区红岭中路1012号国信证券大厦十六层至二十六层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法定代表人：何如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联系人：李颖</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联系电话：0755-82130833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客户服务电话：95536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传真：0755-82133952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网址：www.guosen.com.cn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(131) 国元证券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注册地址：安徽省合肥市梅山路18号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办公地址：安徽省合肥市梅山路18号安徽国际金融中心A座国元证券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法定代表人：俞仕新</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联系人：李蔡</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客户服务电话：95578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传真：0551-2272100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网址：www.gyzq.com.cn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(132) 海通证券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注册地址：上海市广东路689号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办公地址：上海市广东路689号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法定代表人：周杰</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联系人：金芸、李笑鸣</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联系电话：021-23219000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客户服务电话：95553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传真：021-23219100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网址：www.htsec.com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(133) 华安证券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注册地址：安徽省合肥市政务文化新区天鹅湖路198号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办公地址：安徽省合肥市政务文化新区天鹅湖路198号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法定代表人：章宏韬</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联系人：范超</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联系电话：0551-65161821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客户服务电话：95318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传真：0551-65161825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网址：www.hazq.com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(134) 华宝证券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注册地址：中国（上海）自由贸易试验区世纪大道100号57层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办公地址：中国（上海）自由贸易试验区世纪大道100号57层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法定代表人：刘加海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联系人：刘闻川</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联系电话：021-20657517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客户服务电话：400-820-9898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传真：021-20515593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网址：www.cnhbstock.com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(135) 华福证券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注册地址：福建省福州市鼓楼区鼓屏路27号1#楼3层、4层、5层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办公地址：上海市浦东新区陆家嘴环路1088号招商银行大厦18-19楼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法定代表人：黄金琳</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联系人：王虹</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联系电话：021-20655183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客户服务电话：95547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传真：021-20655196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网址：www.hfzq.com.cn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(136) 华林证券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注册地址：拉萨市柳梧新区国际总部城3幢1单元5-5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办公地址：深圳市福田区民田路178号华融大厦6楼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法定代表人：林立</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联系人：胡倩</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联系电话：0755-83255199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客户服务电话：400-188-3888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网址：www.chinalin.com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(137) 华龙证券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注册地址：兰州市城关区东岗西路638号兰州财富中心21楼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办公地址：兰州市城关区东岗西路638号兰州财富中心</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法定代表人：陈牧原</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联系人：范坤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联系电话：0931-4890208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客户服务电话：95368、400-689-8888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传真：0931-4890628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网址：www.hlzq.com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(138) 华融证券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注册地址：北京市西城区金融大街8号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办公地址：北京市朝阳区朝阳门北大街18号中国人保寿险大厦12至18层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法定代表人：张海文</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联系人：孙燕波</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联系电话：010-85556048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客户服务电话：95390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传真：010-85556088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网址：www.hrsec.com.cn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(139) 华泰证券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注册地址：南京市江东中路228号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办公地址：南京市建邺区江东中路228号华泰证券广场</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法定代表人：张伟</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联系人：庞晓芸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联系电话：0755-82492193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客户服务电话：95597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传真：025-83387523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网址：www.htsc.com.cn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(140) 华西证券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注册地址：四川省成都市高新区天府二街198号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办公地址：四川省成都市高新区天府二街198号华西证券大厦</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法定代表人：杨炯洋</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联系人：张彬</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联系电话：010-58124967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客户服务电话：95584</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传真：028-86150040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网址：www.hx168.com.cn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(141) 华鑫证券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注册地址：深圳市福田区莲花街道福中社区深南大道2008号中国凤凰大厦1栋20C-1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办公地址：上海市徐汇区宛平南路8号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法定代表人：俞洋</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联系人：杨莉娟</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联系电话：021-54967552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客户服务电话：95323（全国）、400-109-9918（全国）、029-68918888（西安）</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传真：021-54967293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网址：www.cfsc.com.cn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(142) 华信证券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 xml:space="preserve">注册地址：上海浦东新区世纪大道100号环球金融中心9楼 </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办公地址：上海市黄浦区南京西路399号明天广场23楼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法定代表人：陈灿辉</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联系人：徐璐</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联系电话：021-63898952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客户服务电话：400-820-5999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传真：021-68776977转8952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网址：www.shhxzq.com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(143) 江海证券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注册地址：黑龙江省哈尔滨市香坊区赣水路56号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办公地址：黑龙江省哈尔滨市松北区创新三路833号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法定代表人：赵洪波</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联系人：姜志伟</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联系电话：0451-87765732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客户服务电话：956007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传真：0451-82337279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网址：www.jhzq.com.cn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(144) 金元证券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注册地址：海口市南宝路36号证券大厦4楼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办公地址：深圳市深南大道4001号时代金融中心大厦17楼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法定代表人：王作义</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联系人：刘萍</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联系电话：0755-83025693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客户服务电话：95372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传真：0755-83025625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网址：www.jyzq.cn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(145) 九州证券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注册地址：青海省西宁市南川工业园区创业路108号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办公地址：北京市朝阳区安立路30号仰山公园东一门2号楼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法定代表人：魏先锋</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联系人：张思思</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联系电话：010-57672272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客户服务电话：95305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传真：010-57672296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网址：www.jzsec.com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(146) 开源证券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注册地址：陕西省西安市高新区锦业路1号都市之门B座5层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办公地址：陕西省西安市高新区锦业路1号都市之门B座5层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法定代表人：李刚</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联系人：张蕊</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联系电话：029-88365809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客户服务电话：95325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网址：www.kysec.cn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(147) 联储证券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注册地址：广东省深圳市福田区福田街道岗厦社区深南大道南侧金地中心大厦9楼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办公地址：上海市浦东新区陆家嘴环路333号金砖大厦8楼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法定代表人：吕春卫</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联系人：张婉婷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联系电话：010-86499765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客户服务电话：400-620-6868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网址：www.lczq.com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(148) 南京证券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注册地址：南京市江东中路389号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办公地址：南京市江东中路389号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法定代表人：李剑锋</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联系人：王万君</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联系电话：025-58519523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客户服务电话：95386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传真：025-83369725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网址：www.njzq.com.cn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(149) 平安证券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注册地址：深圳市福田区福田街道益田路5023号平安金融中心B座第22-25层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办公地址：深圳市福田区金田路4036号荣超大厦16-20层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法定代表人：何之江</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联系人：周驰</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联系电话：021-38643230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客户服务电话：95511-8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传真：021-58991896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网址：stock.pingan.com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(150) 瑞银证券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注册地址：北京市西城区金融大街7号英蓝国际金融中心12层、15层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办公地址：北京市西城区金融大街7号英蓝国际金融中心12层、15层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法定代表人：钱于军</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联系人：谢丹</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联系电话：0755-22158878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客户服务电话：400-887-8827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传真：010-58328170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网址：https://www.ubs.com/ubssecurities</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(151) 山西证券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注册地址：太原市府西街69号山西国际贸易中心东塔楼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办公地址：太原市府西街69号山西国际贸易中心东塔楼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法定代表人：侯巍</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联系人：谢武兵</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联系电话：0351-8686721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客户服务电话：95573或400-666-1618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传真：0351-8686619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网址：www.i618.com.cn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(152) 上海证券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注册地址：上海市黄浦区四川中路213号7楼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办公地址：上海市四川中路213号久事商务大厦7楼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法定代表人：李俊杰</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联系人：邵珍珍</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联系电话：021-53686888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客户服务电话：4008-918-918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传真：021-53686100、021-53686200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网址：https://www.shzq.com/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(153) 申万宏源西部证券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注册地址：新疆乌鲁木齐市高新区（新市区）北京南路358号大成国际大厦20楼2005室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办公地址：新疆乌鲁木齐市高新区（新市区）北京南路358号大成国际大厦20楼2005室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法定代表人：李琦</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联系人：王怀春</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联系电话：0991-2307105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客户服务电话：4008-000-562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传真：010-88085195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网址：www.hysec.com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(154) 申万宏源证券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注册地址：上海市徐汇区长乐路989号45层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办公地址：上海市徐汇区长乐路989号世纪商贸广场45层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法定代表人：杨玉成</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联系人：胡馨文</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联系电话：021-33388252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客户服务电话：95523、4008895523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传真：021-33388224</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网址：www.swhysc.com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(155) 首创证券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注册地址：北京市西城区德胜门外大街115号德胜尚城E座</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办公地址：北京市西城区德胜门外大街115号德胜尚城E座</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法定代表人：毕劲松</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联系人：刘宇</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 xml:space="preserve">联系电话：010-59366070  </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客户服务电话：400-620-0620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传真：010-59366055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网址：http://www.sczq.com.cn/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(156) 天风证券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注册地址：湖北省武汉市东湖新技术开发区关东园路2号高科大厦四楼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办公地址：湖北省武汉市武昌区中南路99号保利广场A座37楼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法定代表人：余磊</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联系人：王雅薇</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联系电话：027-87617017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客户服务电话：4008005000、95391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传真：027-87618863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网址：http://www.tfzq.com/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(157) 万联证券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注册地址：广州市天河区珠江东路11号18、19楼全层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办公地址：广州市天河区珠江东路13号高德置地广场E栋12层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法定代表人：罗钦城</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联系人：甘蕾</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联系电话：020-38286026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客户服务电话：95322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传真：020-38286588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网址：www.wlzq.cn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(158) 五矿证券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注册地址：深圳市福田区金田路4028号荣超经贸中心办公楼47层01单元</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办公地址：深圳市福田区金田路4028号荣超经贸中心办公楼47层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法定代表人：黄海洲</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联系人：戴佳璐</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联系电话：0755-88311518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客户服务电话：40018-40028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传真：0755-82545500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网址：www.wkzq.com.cn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(159) 西部证券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注册地址：陕西省西安市新城区东新街319号8幢10000室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办公地址：陕西省西安市新城区东新街319号8幢10000室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法定代表人：徐朝晖</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联系人：梁承华</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联系电话：029-87211526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客户服务电话：95582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传真：029-87211478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网址：www.westsecu.com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(160) 湘财证券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注册地址：湖南省长沙市天心区湘府中路198号新南城商务中心A栋11楼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办公地址：湖南省长沙市天心区湘府中路198号新南城商务中心A栋11楼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法定代表人：孙永祥</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联系人：江恩前</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联系电话：021-38784580-8920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客户服务电话：95351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传真：021-68865680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网址：www.xcsc.com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(161) 新时代证券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注册地址：北京市海淀区北三环西路99号院1号楼15层1501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办公地址：北京市海淀区北三环西路99号院1号楼15层1501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法定代表人：叶顺德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联系人：马文玺</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联系电话：010-83561072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客户服务电话：95399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网址：www.xsdzq.cn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(162) 信达证券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注册地址：北京市西城区闹市口大街9号院1号楼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办公地址：北京市西城区闹市口大街9号院1号楼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法定代表人：肖林</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联系人：尹旭航</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联系电话：010-63081000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客户服务电话：95321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传真：010-63080978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网址：www.cindasc.com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(163) 兴业证券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注册地址：福州市湖东路268号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办公地址：上海浦东新区长柳路36号兴业证券大厦20楼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法定代表人：杨华辉</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联系人：乔琳雪</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联系电话：021-38565547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客户服务电话：95562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网址：www.xyzq.com.cn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(164) 银河证券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注册地址：北京市西城区金融大街35号2-6层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办公地址：北京市西城区金融大街35号国际企业大厦C座</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法定代表人：陈共炎</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联系人：辛国政</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联系电话：010-83574507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客户服务电话：4008-888-888或95551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网址：www.chinastock.com.cn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(165) 粤开证券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注册地址：惠州市江北东江三路55号广播电视新闻中心西面一层大堂和三、四层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办公地址：广东省广州市黄埔区科学大道60号开发区金控中心21-23层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法定代表人：严亦斌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联系人：彭莲</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联系电话：0755-83331195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客户服务电话：95564</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公司网址：http://www.ykzq.com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(166) 招商证券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注册地址：深圳市福田区福田街道福华一路111号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办公地址：深圳市福田区福田街道福华一路111号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法定代表人：霍达</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联系人：黄婵君</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联系电话：0755-82943666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客户服务电话：95565、400-8888-111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传真：0755-82943636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网址：www.newone.com.cn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(167) 浙商证券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注册地址：浙江省杭州市江干区五星路201号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办公地址：浙江省杭州市江干区五星路201号浙商证券大楼8楼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法定代表人：吴承根</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联系人：高扬</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联系电话：0571-87902974</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客户服务电话：95345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传真：0571-87901913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网址：www.stocke.com.cn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(168) 中航证券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注册地址：江西省南昌市红谷滩新区红谷中大道1619号南昌国际金融大厦A栋41层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办公地址：江西省南昌市红谷滩新区红谷中大道1619号南昌国际金融大厦A栋41层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法定代表人：王晓峰</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联系人：王紫雯</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联系电话：15611538682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客户服务电话：95335或400-88-95335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 xml:space="preserve">传真：010-59562637 </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网址：www.avicsec.com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(169) 中金财富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注册地址：深圳市福田区益田路与福中路交界处荣超商务中心A栋第18-21层及第04层01.02.03.05.11.12.13.15.16.18.19.20.21.22.23单元</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办公地址：深圳福田区益田路6003号荣超商务中心A座4层、18-21层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法定代表人：高涛</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联系人：万玉琳</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联系电话：0755-82026907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客户服务电话：95532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网址：https://www.ciccwm.com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(170) 中金公司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注册地址：北京市朝阳区建国门外大街1号国贸大厦2座27层及28层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办公地址：北京市朝阳区建国门外大街甲6号SK大厦38层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法定代表人：沈如军</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联系人：杨涵宇</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联系电话：010-65051166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客户服务电话：4009101166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网址：www.cicc.com.cn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(171) 中山证券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注册地址：深圳市南山区粤海街道蔚蓝海岸社区创业路1777号海信南方大厦21、22层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办公地址：深圳市南山区创业路1777号海信南方大厦21、22层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法定代表人：林炳城</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联系人：罗艺琳</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电话：0755-82943755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传真：0755-82960582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客户服务电话：95329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网址：www.zszq.com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(172) 中泰证券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注册地址：济南市市中区经七路86号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办公地址：山东省济南市经七路86号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法定代表人：李玮</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联系人：许曼华</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联系电话：021-20315290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客户服务电话：95538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传真：0531-68889095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网址：www.zts.com.cn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(173) 中天证券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注册地址：辽宁省沈阳市和平区光荣街23甲</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办公地址：辽宁省沈阳市和平区光荣街23甲</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法定代表人：马功勋</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联系人：李泓灏</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联系电话：024-23255256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客户服务电话：024-95346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传真：024-23255606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网址：www.iztzq.com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(174) 中信建投证券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注册地址：北京市朝阳区安立路66号4号楼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办公地址：北京市朝阳门内大街188号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法定代表人：王常青</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联系人：刘芸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联系电话：010－85130554</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客户服务电话：95587或4008-888-108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 xml:space="preserve">网址：http://www.csc108.com/ </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(175) 中信证券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注册地址：广东省深圳市福田区中心三路8号卓越时代广场（二期）北座</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办公地址：北京市朝阳区亮马桥路48号中信证券大厦</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法定代表人：张佑君</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 xml:space="preserve">联系人：王一通 </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联系电话：010-60838888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客户服务电话：95548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传真：010-60836029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网址：www.cs.ecitic.com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(176) 中信证券华南</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注册地址：广州市天河区珠江西路5号广州国际金融中心主塔19层、20层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办公地址：广州市天河区珠江西路5号广州国际金融中心主塔19层、20层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法定代表人：胡伏云</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联系人：陈靖</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联系电话：020-88836999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客户服务电话：95548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传真：020-88836984</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网址：www.gzs.com.cn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(177) 中信证券（山东）</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注册地址：青岛市崂山区深圳路222号1号楼2001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办公地址：青岛市市南区东海西路28号龙翔广场东座5层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法定代表人：姜晓林</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联系人：焦刚</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联系电话：0531-89606166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客户服务电话：95548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传真：0532-85022605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网址：http://sd.citics.com/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(178) 中银证券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注册地址：上海市浦东新区银城中路200号中银大厦39层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办公地址：上海市浦东新区银城中路200号中银大厦39-40层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法定代表人：宁敏</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联系人：王炜哲</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客户服务电话：400-620-8888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传真：021-50372474</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网址：www.bocichina.com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(179) 中邮证券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注册地址：陕西省西安市唐延路5号（陕西邮政信息大厦9-11层）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办公地址：北京市东城区珠市口东大街17号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法定代表人：丁奇文</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联系人：岳帅</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 010-67017788-6068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客户服务电话：4008-888-005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传真：010-67017788-9696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网址：www.cnpsec.com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(180) 中原证券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注册地址：郑州市郑东新区商务外环路10号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办公地址：河南省郑州市郑东新区商务外环路10号中原广发金融大厦19楼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法定代表人：菅明军</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联系人：程月艳  李盼盼 党静</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联系电话：0371-69099882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客户服务电话：95377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传真：0371-65585899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网址：www.ccnew.com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(181) 百度百盈</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注册地址：北京市海淀区西北旺东路10号院西区4号楼1层103室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办公地址：北京市海淀区西北旺东路10号院西区4号楼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法定代表人：葛新</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联系人：孙博超</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联系电话：010-59403028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客户服务电话：95055-4</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网址：www.baiyingfund.com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(182) 长量基金</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注册地址：上海市浦东新区高翔路526号2幢220室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办公地址：上海市浦东新区东方路1267号陆家嘴金融服务广场二期11层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法定代表人：张跃伟</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联系人：党敏</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联系电话：021-20691935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客户服务电话：400-820-2899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传真：021-20691861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网址：www.erichfund.com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(183) 朝阳永续</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注册地址：浦东新区上丰路977号1幢B座812室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办公地址：上海市浦东新区碧波路690号4号楼2楼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法定代表人：孙晓慧</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联系人：陆纪青</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联系电话：021-80234888-6813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客户服务电话：400-699-1888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网址：www.998fund.com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(184) 创金启富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注册地址：北京市西城区白纸坊东街2号院6号楼712室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办公地址：北京市西城区白纸坊东街2号院6号楼712室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法定代表人：梁蓉</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联系人：杨凤椅</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联系电话：010-66154828-8047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客户服务电话：400-6262-818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传真：010-63583991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网址：www.5irich.com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(185) 大泰金石</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注册地址：南京市建邺区江东中路102号708室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办公地址：上海市浦东新区峨山路505号东方纯一大厦15楼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法定代表人：陈达伟</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联系人：孟召社</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联系电话：021-20324176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客户服务电话：400-995-9220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传真：021-20324199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网址：www.dtfunds.com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(186) 大智慧基金</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注册地址：中国（上海）自由贸易试验区杨高南路428号1号楼1102单元</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办公地址：中国（上海）自由贸易试验区杨高南路428号1号楼1102单元</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法定代表人：申健</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联系人：张蜓</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联系电话：021-20219988-35374</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客户服务电话：021-20292031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传真：021-20219923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网址：https://www.wg.com.cn/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(187) 蛋卷基金</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注册地址：北京市朝阳区创远路34号院6号楼15层1501室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办公地址：北京市朝阳区创远路 34 号院融新科技中心 C 座 17 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法定代表人：钟斐斐</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联系人：侯芳芳</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联系电话：010-61840688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客户服务电话：400-159-9288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网址：https://danjuanapp.com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(188) 鼎信汇金</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注册地址：北京市海淀区太月园3号楼5层521室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办公地址：北京市海淀区太月园3号楼5层521室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法定代表人：齐凌峰</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联系人：阮志凌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联系电话：010-82050520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客户服务电话：400-158-5050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传真：010-82086110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网址：www.9ifund.com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(189) 东海期货</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注册地址：江苏省常州市延陵西路23、25、27、29号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办公地址：上海市浦东新区东方路1928号东海证券大厦8楼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法定代表人：陈太康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联系人：陶云</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联系电话：021-68751603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客户服务电话：95531/400-8888588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传真：021-68756991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网址：www.qh168.com.cn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(190) 东证期货</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注册地址：中国（上海）自由贸易试验区浦电路500号上海期货大厦14层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办公地址：上海市黄浦区中山南路318号2号楼22楼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法定代表人：卢大印</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联系人：张敏圆</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联系电话：021-63325888-4259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客户服务电话：4008859999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传真：021-63326752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网址：www.dzqh.com.cn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(191) 泛华普益</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注册地址：四川省成都市成华区建设路9号高地中心1101室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办公地址：成都市金牛区花照壁西顺街399号1栋1单元龙湖西宸天街B座1201号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法定代表人：于海锋</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联系人：陈丹</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联系电话：15114053620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客户服务电话：400-080-3388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网址：www.puyifund.com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(192) 富济基金</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注册地址：深圳市福田区福田街道岗厦社区金田路3088号中洲大厦3203A单元</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办公地址：深圳市福田区福田街道岗厦社区金田路3088号中洲大厦3203A单元</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法定代表人：祝中村</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联系人：曾瑶敏</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联系电话：0755-83999907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客户服务电话：0755-83999907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传真：0755-83999926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网址：www.fujifund.cn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(193) 海银基金</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注册地址：中国（上海）自由贸易试验区银城中路8号402室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办公地址：上海市浦东新区银城中路8号海银金融中心4楼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法定代表人：巩巧丽</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联系人：毛林</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联系电话：021-80133597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客户服务电话：400-808-1016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传真：021-80133413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网址：www.fundhaiyin.com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(194) 好买基金</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注册地址：上海市虹口区欧阳路196号26号楼2楼41号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办公地址：上海市浦东南路1118号鄂尔多斯国际大厦903～906室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法定代表人：杨文斌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联系人：高源</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联系电话：021-36696312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客户服务电话：400-700-9665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传真：021-68596919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网址：www.ehowbuy.com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(195) 和谐销售</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注册地址：北京市朝阳区建国门外大街6号11层1102内103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办公地址：北京市朝阳区建国门外大街6号安邦金融中心</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法定代表人：左荣林</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联系人：张楠</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联系电话：010-85256214</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客户服务电话：4008195569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网址：www.hx-sales.com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(196) 和讯信息</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注册地址：北京市朝阳区朝外大街22号1002室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办公地址：北京市朝阳区朝外大街22号泛利大厦10层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法定代表人：王莉</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联系人：陈慧慧</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联系电话：010-85657353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客户服务电话：400-920-0022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传真：010-65884788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网址：http://licaike.hexun.com/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(197) 恒天明泽</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注册地址：北京市经济技术开发区宏达北路10号五层5122室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办公地址：北京市朝阳区东三环北路甲19号SOHO嘉盛中心30层3001室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法定代表人：周斌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联系人：陈霞</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联系电话：010-59313555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客户服务电话：400-8980-618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传真：010-59313586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网址：www.chtwm.com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(198) 弘业期货</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注册地址：江苏省南京市秦淮区中华路50号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办公地址：江苏省南京市秦淮区中华路50号弘业大厦9楼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法人代表：周剑秋</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联系人：张苏怡</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联系电话：025-52278981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客户服务电话：400-828-1288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网址：www.ftol.com.cn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(199) 虹点基金</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注册地址：北京市朝阳区东三环北路17号10层1015室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办公地址：北京市朝阳区东三环北路17号10层1015室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法定代表人：何静</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联系人：王重阳</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联系电话：010-65951887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客户服务电话：400-618-0707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网址：www.hongdianfund.com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(200) 华瑞保险销售</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注册地址：上海市嘉定区南翔镇众仁路399号运通星财富广场1号楼B座13、14层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办公地址：上海市浦东新区向城路288号国华人寿金融大厦8层806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法定代表人：路昊</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联系人：茆勇强</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联系电话：021-68595698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客户服务电话：952303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传真：021-68595766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网址：www.huaruisales.com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(201) 华夏财富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注册地址：上海市虹口区东大名路687号1幢2楼268室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办公地址：北京市西城区金融大街33号通泰大厦B座8层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法定代表人：毛淮平</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联系人：张静怡</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联系电话：010-88066326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客户服务电话：400-817-5666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传真：010-63136184</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网址：www.amcfortune.com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(202) 徽商期货</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注册地址：安徽省合肥市芜湖路258号3号楼6-7层，6号楼1-2层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办公地址：合肥市芜湖路258号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法人代表：吴国华</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联系人：申倩倩</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联系电话：0551-62865215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客户服务电话：400-887-8707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网址：www.hsqh.net</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(203) 汇成基金</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注册地址：北京市海淀区中关村大街11号11层1108号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办公地址：北京市西城区西直门外大街1号院2号楼 19层 19C13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法定代表人：王伟刚</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联系人：王骁骁</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联系电话：010-56251471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客户服务电话：400-619-9059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网址：www.hcjijin.com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(204) 汇付基金</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注册地址：上海市黄浦区黄河路333号201室A区056单元</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办公地址：上海市徐汇区宜山路700号普天信息产业园2期C5栋 汇付天下总部大楼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法定代表人：金佶</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联系人：甄宝林</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联系电话：021-34013996-3011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客户服务电话：021-34013999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传真：021-33323837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网址：www.hotjijin.com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(205) 济安财富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注册地址：北京市朝阳区太阳宫中路16号院1号楼3层307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办公地址：北京市朝阳区太阳宫中路16号院1号楼冠捷大厦3层307单元</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法定代表人：杨健</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联系人：李海燕</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联系电话：010-65309516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客户服务电话：400-673-7010（济安财富官网）  400-071-6766（腾讯财经）</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传真：010-65330699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网址：www.jianfortune.com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(206) 加和基金</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注册地址：北京市西城区德胜门外大街13号院1号楼5层505室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办公地址：北京市西城区德胜门外大街13号院1号楼5层505室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法定代表人：曲阳</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联系人：王梓骄</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联系电话：010-80456756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客户服务电话：400-803-1188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传真：010-80456278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网址：www.bzfunds.com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(207) 嘉实财富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注册地址：中国（上海）自由贸易试验区世纪大道8号上海国金中心办公楼二期53层5312-15单元</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办公地址：北京市朝阳区建国路91号金地中心A座6层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法定代表人：赵学军</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联系人：李雯</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联系电话：010-60842306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客户服务电话：400-021-8850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传真：010-85712195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网址：www.harvestwm.cn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(208) 金百临</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注册地址：无锡市滨湖区锦溪路99号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办公地址：江苏省无锡市太湖新城锦溪道楝泽路9号楼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法人代表：费晓燕</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联系人：邹云</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联系电话：0510-81188088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客户服务电话：0510-9688988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网址：www.jsjbl.com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(209) 金观诚</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注册地址：杭州拱墅区登云路45号金诚集团（锦昌大厦）1幢10楼1001室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办公地址：杭州拱墅区登云路55号金诚集团（锦昌大厦）</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法定代表人：蒋雪琦</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联系人：来舒岚</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联系电话：0571-88337888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客户服务电话：4000680058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传真：0571-88337666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网址：http://www.jincheng-fund.com/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(210) 金海九州</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注册地址：深圳市前海深港合作区前湾一路1号A栋201室（入驻深圳市前海商务秘书有限公司）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办公地址：深圳市福田区富德生命保险大厦1106室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法定代表人：彭维熙</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联系人：彭维熙</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联系电话：0755-81994266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客户服务电话：4000993333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传真：0755-84333886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网址：www.jhjzfund.com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(211) 久富财富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注册地址：上海市浦东新区莱阳路2819号1幢109室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办公地址：上海市浦东新区民生路1403号上海信息大厦1215室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法定代表人：赵惠蓉</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联系人：赵惠蓉</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联系电话：021-68682279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客户服务电话：400-102-1813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传真：021-68682297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网址：www.jfcta.com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(212) 凯石财富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注册地址：上海市黄浦区西藏南路765号602-115室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办公地址：上海市黄浦区延安东路1号凯石大厦4楼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法定代表人：陈继武</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联系人：冯强</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联系电话：021-63333389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客户服务电话：4006-433-389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传真：021-63333390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网址：www.vstonewealth.com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(213) 肯特瑞基金</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注册地址：北京市海淀区西三旗建材城中路12号17号平房157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办公地址：北京市大兴区亦庄经济开发区科创十一街十八号院京东集团总部A座</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法定代表人：王苏宁</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联系人：娄云</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联系电话：010-89189291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客户服务电话：95118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网址：http://fund.jd.com/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(214) 利得基金</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注册地址：上海市宝山区蕴川路5475号1033室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办公地址：上海市虹口区东大名路1098号浦江国际金融广场53层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法定代表人：李兴春</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联系人：陈孜明</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联系电话：86-021-50583533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客户服务电话：95733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传真：86-21-61101630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网址：www.leadfund.com.cn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(215) 联泰基金</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注册地址：中国（上海）自由贸易试验区富特北路277号3层310室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办公地址：上海市长宁区福泉北路518号8座3楼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法定代表人：尹彬彬</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联系人：陈东</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联系电话：021-52822063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客户服务电话：400-118-1188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传真：021-52975270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网址：www.66zichan.com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(216) 陆基金</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注册地址：中国（上海）自由贸易试验区陆家嘴环路1333号14楼09单元</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办公地址：中国（上海）自由贸易试验区陆家嘴环路1333号14楼09单元</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法定代表人：王之光</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联系人：宁博宇</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联系电话：021-20665952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客户服务电话：4008219031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传真：021-22066653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网址：www.lufunds.com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(217) 蚂蚁基金</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注册地址：浙江省杭州市余杭区五常街道文一西路969号3幢5层599室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办公地址：浙江省杭州市西湖区万塘路18号黄龙时代广场B座6F</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法定代表人：祖国明</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联系人：韩爱彬</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联系电话：0571-26888888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客户服务电话：4000-766-123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网址：http://www.fund123.cn/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(218) 民商基金</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注册地址：上海黄浦区北京东路666号H区（东座）6楼A31室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 xml:space="preserve">办公地址：上海市浦东新区张杨路707号生命人寿大厦32楼 </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法定代表人：贲惠琴</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联系人：林志枫</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联系电话：021-50206003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客户服务电话：021-50206003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传真：021-50206001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网址：http://www.msftec.com/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(219) 诺亚正行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注册地址：上海市虹口区飞虹路360弄9号3724室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办公地址：上海市杨浦区长阳路1687号长阳谷2号楼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法定代表人：汪静波</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联系人：李娟</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联系电话：021-80358523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客户服务电话：400-821-5399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传真：021-38509777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网址：www.noah-fund.com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(220) 浦领基金</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注册地址：北京市朝阳区望京东园四区13号楼A座9层908室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办公地址：北京市朝阳区望京浦项中心A座9层04-08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法定代表人：聂婉君</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联系人：李艳</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联系电话：010-59497361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客户服务电话：400-012-5899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传真：010-64788016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网址：www.zscffund.com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(221) 钱景基金</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注册地址：北京市海淀区中关村东路18号1号楼11层B-1108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办公地址：北京市海淀区中关村东路18号财智国际大厦B-1108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法定代表人：王利刚</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联系人：姚付景</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联系电话：010-59422766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客户服务电话：400-893-6885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传真：010-62565181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网址：www.qianjing.com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(222) 深圳新兰德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注册地址：深圳市福田区福田街道民田路178号华融大厦27层2704</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办公地址：北京市西城区宣武门外大街28号富卓大厦A座7层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法定代表人：洪弘</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联系人：张燕</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联系电话：010-83363099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客户服务电话：400-166-1188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传真：010-83363010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网址：http://8.jrj.com.cn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(223) 晟视天下</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注册地址：北京市怀柔区九渡河镇黄坎村735号03室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办公地址：北京市朝阳区朝外大街甲六号万通中心D座21层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法定代表人：蒋煜</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联系人：史俊杰</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联系电话：010-58170936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客户服务电话：010-58170761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传真：010-58170800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网址：www.shengshiview.com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(224) 苏宁基金</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注册地址：南京市玄武区苏宁大道1-5号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办公地址：南京市玄武区苏宁大道1-5号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法定代表人：王锋</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联系人：冯鹏鹏</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联系电话：025-66996699-882796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客户服务电话：95177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网址：www.snjijin.com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(225) 天天基金</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注册地址：上海市徐汇区龙田路190号2号楼2层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办公地址：上海市徐汇区宛平南路88号东方财富大厦</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法定代表人：其实</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联系人：屠彦洋</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联系电话：021-54509977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客户服务电话：95021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传真：021-64385308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网址：www.1234567.com.cn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(226) 通华财富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注册地址：上海市虹口区同丰路667弄107号201室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办公地址：上海市浦东新区金沪路55号通华科技大厦2楼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法定代表人：沈丹义</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联系人：杨涛、庄洁茹</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联系电话：021-60810586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客户服务电话：400-101-9301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传真：021-60810695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网址：www.tonghuafund.com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(227) 同花顺</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注册地址：浙江省杭州市文二西路1号903室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办公地址：杭州市余杭区五常街道同顺街18号同花顺大楼4层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法定代表人：吴强</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联系人：吴强</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联系电话：0571-88911818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客户服务电话：952555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传真：0571-86800423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网址：www.5ifund.com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(228) 途牛基金</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注册地址：江苏省南京市玄武区玄武大道699-1号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办公地址：江苏省南京市玄武区玄武大道699-32号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法人代表：宋时琳</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联系人：贺杰</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联系电话：025-86853960-66727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客户服务电话：4007-999-999转3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网址：http://jr.tuniu.com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(229) 挖财基金</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 xml:space="preserve">注册地址：中国（上海）自由贸易试验区杨高南路799号5楼04室 </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办公地址：上海市浦东新区杨高南路799号陆家嘴世纪金融广场3号楼5层04室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 xml:space="preserve">法定代表人：吕柳霞 </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联系人：曾芸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联系电话：021-50810687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客户服务电话：021-50810673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网址：www.wacaijijin.com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(230) 万得基金</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注册地址：中国（上海）自由贸易试验区福山路33号11楼B座</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办公地址：上海市浦东新区浦明路1500号万得大厦11楼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法定代表人：黄祎</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联系人：徐亚丹</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联系电话：021-50712782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客户服务电话：400-799-1888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网址：www.520fund.com.cn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(231) 万家财富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注册地址：天津自贸区（中心商务区）迎宾大道1988号滨海浙商大厦公寓2-2413室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办公地址：北京市西城区丰盛胡同28号太平洋保险大厦A座5层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法定代表人：张军</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联系人：王芳芳</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联系电话：010-59013828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客户服务电话：010-59013895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网址：http://www.wanjiawealth.com/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(232) 新浪仓石</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注册地址：北京市海淀区东北旺西路中关村软件园二期（西扩）N-1、N-2地块新浪总部科研楼5层518室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办公地址：北京市海淀区西北旺东路10号院东区3号楼为明大厦C座</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法定代表人：赵芯蕊</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联系人：赵芯蕊</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联系电话：010-62625768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客户服务电话：010-62675369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传真：010-62676582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网址：www.xincai.com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(233) 鑫鼎盛</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注册地址：厦门市思明区鹭江道2号厦门第一广场西座1501-1502室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办公地址：厦门市思明区鹭江道2号厦门第一广场西座1501-1502室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 xml:space="preserve">法定代表人：陈洪生 </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联系人：梁云波</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联系电话：0592-3122757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客户服务电话：400-6533-789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网址：www.xds.com.cn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(234) 阳光人寿保险</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注册地址：海南省三亚市迎宾路360-1号三亚阳光金融广场16层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办公地址：北京市朝阳区朝阳门外大街乙12号院1号昆泰国际大厦12层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法定代表人：李科</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联系人：王超</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联系电话：010-85632771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客户服务电话：95510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传真：010-85632773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网址：http://fund.sinosig.com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(235) 一路财富</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注册地址：北京市海淀区宝盛南路1号院20号楼9层101-14</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办公地址：北京市海淀区宝盛南路奥北科技园20号楼国泰大厦9层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法定代表人：吴雪秀</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联系人：董宣</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联系电话：010-88312877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客户服务电话：400-001-1566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传真：010-88312099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网址：www.yilucaifu.com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(236) 宜投基金销售</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注册地址：深圳市前海深港合作区前湾一路1号A栋201室（入驻深圳市前海商务秘书有限公司）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办公地址：深圳市福田区嘉里建设广场2座15楼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法定代表人：雷凤潮</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联系人：梁菲菲</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联系电话：0755-88603874</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客户服务电话：4008-955-811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网址：www.yitfund.com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(237) 宜信普泽</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注册地址：北京市朝阳区西大望路1号9层公寓1008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办公地址：北京市朝阳区西大望路1号9层公寓1008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法定代表人：戎兵</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联系人：魏晨</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联系电话：010-52413385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客户服务电话：400-6099-200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传真：010-85800047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网址：www.yixinfund.com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(238) 奕丰金融</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注册地址：深圳市前海深港合作区前湾一路1号A栋201室（入驻深圳市前海商务秘书</w:t>
      </w:r>
      <w:r w:rsidRPr="009802E0">
        <w:rPr>
          <w:rFonts w:asciiTheme="minorEastAsia" w:eastAsiaTheme="minorEastAsia" w:hAnsiTheme="minorEastAsia" w:hint="eastAsia"/>
          <w:szCs w:val="21"/>
        </w:rPr>
        <w:lastRenderedPageBreak/>
        <w:t>有限公司）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办公地址：深圳市南山区海德三道航天科技广场A座17楼1704室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法定代表人：TEO WEE HOWE</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联系人：叶健</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联系电话：0755-89460507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客户服务电话：400-684-0500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传真：0755-21674453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网址：www.ifastps.com.cn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(239) 盈米基金</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注册地址：珠海市横琴新区宝华路6号105室-3491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办公地址：广州市海珠区琶洲大道东路1号保利国际广场南塔1201-1203室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法定代表人：肖雯</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联系人：邱湘湘</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联系电话：020-89629099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客户服务电话：020-89629066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传真：020-89629011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网址：www.yingmi.cn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(240) 云湾基金</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注册地址：中国（上海）自由贸易试验区新金桥路27号、明月路1257号1幢1层103-1、103-2办公区</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办公地址：上海市浦东新区新金桥路27号1号楼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法定代表人：冯轶明</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联系人：范泽杰</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联系电话：021-20530186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客户服务电话：400-820-1515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传真：021-20539999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网址：http://www.zhengtongfunds.com/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(241) 增财基金</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注册地址：北京市西城区南礼士路66号建威大厦1208室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办公地址：北京市西城区南礼士路66号建威大厦1208-1209室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法定代表人：罗细安</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联系人：闫丽敏</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联系电话：010-67000988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客户服务电话：400-001-8811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传真：010-67000988-6000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网址：www.zcvc.com.cn</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(242) 展恒基金</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注册地址：北京市朝阳区安苑路11号西楼6层604、607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办公地址：北京市朝阳区北四环中路27号盘古大观3205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法定代表人：闫振杰</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联系人：武文佳</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联系电话：010-59601399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客户服务电话：400-818-8000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传真：0351-4110714</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网址：www.myfund.com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(243) 植信基金</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注册地址：北京市密云县兴盛南路8号院2号楼106室-67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办公地址：北京市朝阳区盛世龙源国食苑10号楼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法人代表：王军辉</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联系人：吴鹏</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联系电话：010-56075718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客户服务电话：4006-802-123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网址：www.zhixin-inv.com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(244) 中国国际期货</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注册地址：北京市朝阳区建国门外光华路14号1幢6层609号、610号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办公地址：北京市朝阳区建国门外光华路14号1幢1层、2层、9层、11层、12层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法定代表人：王兵</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联系人：霍丽文</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联系电话：010-65807827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客户服务电话：95162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传真：010-59539806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网址：http://www.cifco.net/</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(245) 中期时代基金</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注册地址：北京市朝阳区建国门外光华路14号1幢11层1103号</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办公地址：北京市朝阳区建国门外光华路14号1幢4层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法定代表人：田宏莉</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联系人：尹庆</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联系电话：010-65807865</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客户服务电话：95162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传真：010-65807864</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网址：www.jrtoo.com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(246) 中信建投期货</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注册地址：重庆市渝中区中山三路107号上站大楼平街11-B，名义层11-A，8-B4，9-B、C</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办公地址：重庆市渝中区中山三路107号皇冠大厦11楼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法定代表人：王广学</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联系人：刘芸</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联系电话：023-86769637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客户服务电话：400-8877-780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传真：023-86769629</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网址：www.cfc108.com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(247) 中信期货</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注册地址：广东省深圳市福田区中心三路8号卓越时代广场（二期）北座13层1301-1305室、14层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办公地址：深圳市福田区中心三路8号卓越时代广场（二期）北座13层1301-1305室、14层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法定代表人：张皓</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联系人：刘宏莹</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联系电话：010-6083 3754</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客户服务电话：400-990-8826</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传真：021-60819988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网址：www.citicsf.com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(248) 中正达广</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注册地址：上海市徐汇区龙腾大道2815号302室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办公地址：上海市徐汇区龙腾大道2815号302室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法定代表人：黄欣</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联系人：戴珉微</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联系电话：021-33768132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客户服务电话：400-6767-523</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传真：021-33768132-802</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网址：www.zhongzhengfund.com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(249) 中证金牛</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注册地址：北京市丰台区东管头1号2号楼2-45室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办公地址：北京市西城区宣武门外大街甲1号环球财讯中心A座5层</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法定代表人：钱昊旻</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联系人：沈晨</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联系电话：010-59336544</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客户服务电话：4008-909-998</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网址：www.jnlc.com</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(250) 众禄基金</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注册地址：深圳市罗湖区笋岗街道笋西社区梨园路8号HALO广场一期四层12-13室</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办公地址：深圳市罗湖区梨园路HALO广场4楼</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法定代表人：薛峰</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联系人：龚江江</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联系电话：0755-33227950</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客户服务电话：4006-788-887</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传真：0755-33227951</w:t>
      </w:r>
    </w:p>
    <w:p w:rsidR="003606E9" w:rsidRPr="009802E0" w:rsidRDefault="003606E9" w:rsidP="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网址：www.zlfund.cn    www.jjmmw.com</w:t>
      </w:r>
    </w:p>
    <w:p w:rsidR="0096166C" w:rsidRPr="009802E0" w:rsidRDefault="003606E9">
      <w:pPr>
        <w:tabs>
          <w:tab w:val="num" w:pos="360"/>
        </w:tabs>
        <w:adjustRightInd w:val="0"/>
        <w:snapToGrid w:val="0"/>
        <w:spacing w:line="360" w:lineRule="auto"/>
        <w:ind w:leftChars="200" w:left="420"/>
        <w:rPr>
          <w:rFonts w:asciiTheme="minorEastAsia" w:eastAsiaTheme="minorEastAsia" w:hAnsiTheme="minorEastAsia"/>
          <w:szCs w:val="21"/>
        </w:rPr>
      </w:pPr>
      <w:r w:rsidRPr="009802E0">
        <w:rPr>
          <w:rFonts w:asciiTheme="minorEastAsia" w:eastAsiaTheme="minorEastAsia" w:hAnsiTheme="minorEastAsia" w:hint="eastAsia"/>
          <w:szCs w:val="21"/>
        </w:rPr>
        <w:t>注：微众银行仅销售本基金B类基金份额，详见相关公告。</w:t>
      </w:r>
    </w:p>
    <w:p w:rsidR="00CB427F" w:rsidRPr="009802E0" w:rsidRDefault="00B43AC4" w:rsidP="00FE018D">
      <w:pPr>
        <w:pStyle w:val="22"/>
        <w:adjustRightInd w:val="0"/>
        <w:snapToGrid w:val="0"/>
        <w:spacing w:beforeLines="0" w:afterLines="0" w:line="360" w:lineRule="auto"/>
        <w:ind w:firstLineChars="71"/>
        <w:rPr>
          <w:rFonts w:asciiTheme="minorEastAsia" w:eastAsiaTheme="minorEastAsia" w:hAnsiTheme="minorEastAsia"/>
          <w:szCs w:val="21"/>
        </w:rPr>
      </w:pPr>
      <w:bookmarkStart w:id="12" w:name="_Toc43301883"/>
      <w:r w:rsidRPr="009802E0">
        <w:rPr>
          <w:rFonts w:asciiTheme="minorEastAsia" w:eastAsiaTheme="minorEastAsia" w:hAnsiTheme="minorEastAsia" w:hint="eastAsia"/>
        </w:rPr>
        <w:t>（二）基金</w:t>
      </w:r>
      <w:r w:rsidR="004C58D8" w:rsidRPr="009802E0">
        <w:rPr>
          <w:rFonts w:asciiTheme="minorEastAsia" w:eastAsiaTheme="minorEastAsia" w:hAnsiTheme="minorEastAsia" w:hint="eastAsia"/>
        </w:rPr>
        <w:t>注册登记</w:t>
      </w:r>
      <w:r w:rsidRPr="009802E0">
        <w:rPr>
          <w:rFonts w:asciiTheme="minorEastAsia" w:eastAsiaTheme="minorEastAsia" w:hAnsiTheme="minorEastAsia" w:hint="eastAsia"/>
        </w:rPr>
        <w:t>机构</w:t>
      </w:r>
      <w:bookmarkEnd w:id="12"/>
    </w:p>
    <w:p w:rsidR="002B418C" w:rsidRPr="009802E0" w:rsidRDefault="002B418C"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名称：易方达基金管理有限公司</w:t>
      </w:r>
    </w:p>
    <w:p w:rsidR="00623988" w:rsidRPr="009802E0" w:rsidRDefault="00623988"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注册地址：</w:t>
      </w:r>
      <w:r w:rsidR="002C74C2" w:rsidRPr="009802E0">
        <w:rPr>
          <w:rFonts w:asciiTheme="minorEastAsia" w:eastAsiaTheme="minorEastAsia" w:hAnsiTheme="minorEastAsia"/>
          <w:szCs w:val="21"/>
        </w:rPr>
        <w:t>广东省珠海市横琴新区宝华路6号105室－42891（集中办公区）</w:t>
      </w:r>
    </w:p>
    <w:p w:rsidR="002B418C" w:rsidRPr="009802E0" w:rsidRDefault="00623988"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办公地址：广州市天河区珠江新城珠江东路30号广州银行大厦40-43楼</w:t>
      </w:r>
    </w:p>
    <w:p w:rsidR="002B418C" w:rsidRPr="009802E0" w:rsidRDefault="002B418C"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法定代表人：</w:t>
      </w:r>
      <w:r w:rsidR="00921702" w:rsidRPr="009802E0">
        <w:rPr>
          <w:rFonts w:asciiTheme="minorEastAsia" w:eastAsiaTheme="minorEastAsia" w:hAnsiTheme="minorEastAsia" w:hint="eastAsia"/>
        </w:rPr>
        <w:t>刘晓艳</w:t>
      </w:r>
    </w:p>
    <w:p w:rsidR="002B418C" w:rsidRPr="009802E0" w:rsidRDefault="002B418C"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电话：4008818088</w:t>
      </w:r>
    </w:p>
    <w:p w:rsidR="002B418C" w:rsidRPr="009802E0" w:rsidRDefault="002B418C"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传真：</w:t>
      </w:r>
      <w:r w:rsidRPr="009802E0">
        <w:rPr>
          <w:rFonts w:asciiTheme="minorEastAsia" w:eastAsiaTheme="minorEastAsia" w:hAnsiTheme="minorEastAsia"/>
        </w:rPr>
        <w:t>020</w:t>
      </w:r>
      <w:r w:rsidRPr="009802E0">
        <w:rPr>
          <w:rFonts w:asciiTheme="minorEastAsia" w:eastAsiaTheme="minorEastAsia" w:hAnsiTheme="minorEastAsia" w:hint="eastAsia"/>
        </w:rPr>
        <w:t>-38799249</w:t>
      </w:r>
    </w:p>
    <w:p w:rsidR="002B418C" w:rsidRPr="009802E0" w:rsidRDefault="002B418C"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联系人：余贤高</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szCs w:val="21"/>
        </w:rPr>
      </w:pPr>
      <w:bookmarkStart w:id="13" w:name="_Toc43301884"/>
      <w:r w:rsidRPr="009802E0">
        <w:rPr>
          <w:rFonts w:asciiTheme="minorEastAsia" w:eastAsiaTheme="minorEastAsia" w:hAnsiTheme="minorEastAsia" w:hint="eastAsia"/>
          <w:szCs w:val="21"/>
        </w:rPr>
        <w:t>（三）律师事务所和经办律师</w:t>
      </w:r>
      <w:bookmarkEnd w:id="13"/>
    </w:p>
    <w:p w:rsidR="004F0AC3" w:rsidRPr="009802E0" w:rsidRDefault="004F0AC3"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名称：上海源泰律师事务所</w:t>
      </w:r>
    </w:p>
    <w:p w:rsidR="004F0AC3" w:rsidRPr="009802E0" w:rsidRDefault="004F0AC3" w:rsidP="000104F1">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住所：上海市浦东新区浦东南路256号华夏银行大厦14层</w:t>
      </w:r>
    </w:p>
    <w:p w:rsidR="004F0AC3" w:rsidRPr="009802E0" w:rsidRDefault="004F0AC3" w:rsidP="000104F1">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负责人：廖海</w:t>
      </w:r>
    </w:p>
    <w:p w:rsidR="004F0AC3" w:rsidRPr="009802E0" w:rsidRDefault="004F0AC3" w:rsidP="000104F1">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联系电话：（021）51150298</w:t>
      </w:r>
    </w:p>
    <w:p w:rsidR="004F0AC3" w:rsidRPr="009802E0" w:rsidRDefault="004F0AC3" w:rsidP="000104F1">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传真：（021）51150398</w:t>
      </w:r>
    </w:p>
    <w:p w:rsidR="004F0AC3" w:rsidRPr="009802E0" w:rsidRDefault="004F0AC3" w:rsidP="000104F1">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联系人：梁丽金</w:t>
      </w:r>
    </w:p>
    <w:p w:rsidR="004F0AC3" w:rsidRPr="009802E0" w:rsidRDefault="004F0AC3" w:rsidP="000104F1">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经办律师：梁丽金、刘佳</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szCs w:val="21"/>
        </w:rPr>
      </w:pPr>
      <w:bookmarkStart w:id="14" w:name="_Toc43301885"/>
      <w:r w:rsidRPr="009802E0">
        <w:rPr>
          <w:rFonts w:asciiTheme="minorEastAsia" w:eastAsiaTheme="minorEastAsia" w:hAnsiTheme="minorEastAsia" w:hint="eastAsia"/>
          <w:szCs w:val="21"/>
        </w:rPr>
        <w:lastRenderedPageBreak/>
        <w:t>（四）会计师事务所和经办注册会计师</w:t>
      </w:r>
      <w:bookmarkEnd w:id="14"/>
    </w:p>
    <w:p w:rsidR="00635A87" w:rsidRPr="009802E0" w:rsidRDefault="00C313F0"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会计师事务所：安永华明会计师事务所（特殊普通合伙）</w:t>
      </w:r>
    </w:p>
    <w:p w:rsidR="00635A87" w:rsidRPr="009802E0" w:rsidRDefault="00C313F0"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主要经营场所：北京市东城区东长安街</w:t>
      </w:r>
      <w:r w:rsidRPr="009802E0">
        <w:rPr>
          <w:rFonts w:asciiTheme="minorEastAsia" w:eastAsiaTheme="minorEastAsia" w:hAnsiTheme="minorEastAsia"/>
          <w:szCs w:val="21"/>
        </w:rPr>
        <w:t>1</w:t>
      </w:r>
      <w:r w:rsidRPr="009802E0">
        <w:rPr>
          <w:rFonts w:asciiTheme="minorEastAsia" w:eastAsiaTheme="minorEastAsia" w:hAnsiTheme="minorEastAsia" w:hint="eastAsia"/>
          <w:szCs w:val="21"/>
        </w:rPr>
        <w:t>号东方广场安永大楼</w:t>
      </w:r>
      <w:r w:rsidRPr="009802E0">
        <w:rPr>
          <w:rFonts w:asciiTheme="minorEastAsia" w:eastAsiaTheme="minorEastAsia" w:hAnsiTheme="minorEastAsia"/>
          <w:szCs w:val="21"/>
        </w:rPr>
        <w:t>17</w:t>
      </w:r>
      <w:r w:rsidRPr="009802E0">
        <w:rPr>
          <w:rFonts w:asciiTheme="minorEastAsia" w:eastAsiaTheme="minorEastAsia" w:hAnsiTheme="minorEastAsia" w:hint="eastAsia"/>
          <w:szCs w:val="21"/>
        </w:rPr>
        <w:t>层</w:t>
      </w:r>
      <w:r w:rsidRPr="009802E0">
        <w:rPr>
          <w:rFonts w:asciiTheme="minorEastAsia" w:eastAsiaTheme="minorEastAsia" w:hAnsiTheme="minorEastAsia"/>
          <w:szCs w:val="21"/>
        </w:rPr>
        <w:t>01-12</w:t>
      </w:r>
      <w:r w:rsidRPr="009802E0">
        <w:rPr>
          <w:rFonts w:asciiTheme="minorEastAsia" w:eastAsiaTheme="minorEastAsia" w:hAnsiTheme="minorEastAsia" w:hint="eastAsia"/>
          <w:szCs w:val="21"/>
        </w:rPr>
        <w:t>室</w:t>
      </w:r>
    </w:p>
    <w:p w:rsidR="00635A87" w:rsidRPr="009802E0" w:rsidRDefault="00C313F0"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执行事务合伙人：</w:t>
      </w:r>
      <w:r w:rsidR="00403B13" w:rsidRPr="009802E0">
        <w:rPr>
          <w:rFonts w:asciiTheme="minorEastAsia" w:eastAsiaTheme="minorEastAsia" w:hAnsiTheme="minorEastAsia"/>
          <w:szCs w:val="21"/>
        </w:rPr>
        <w:t>TonyMao</w:t>
      </w:r>
      <w:r w:rsidR="00403B13" w:rsidRPr="009802E0">
        <w:rPr>
          <w:rFonts w:asciiTheme="minorEastAsia" w:eastAsiaTheme="minorEastAsia" w:hAnsiTheme="minorEastAsia" w:hint="eastAsia"/>
          <w:szCs w:val="21"/>
        </w:rPr>
        <w:t>毛鞍宁</w:t>
      </w:r>
    </w:p>
    <w:p w:rsidR="00635A87" w:rsidRPr="009802E0" w:rsidRDefault="00C313F0"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电话：</w:t>
      </w:r>
      <w:r w:rsidRPr="009802E0">
        <w:rPr>
          <w:rFonts w:asciiTheme="minorEastAsia" w:eastAsiaTheme="minorEastAsia" w:hAnsiTheme="minorEastAsia"/>
          <w:szCs w:val="21"/>
        </w:rPr>
        <w:t>010-58153000</w:t>
      </w:r>
    </w:p>
    <w:p w:rsidR="00635A87" w:rsidRPr="009802E0" w:rsidRDefault="00C313F0"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传真：</w:t>
      </w:r>
      <w:r w:rsidRPr="009802E0">
        <w:rPr>
          <w:rFonts w:asciiTheme="minorEastAsia" w:eastAsiaTheme="minorEastAsia" w:hAnsiTheme="minorEastAsia"/>
          <w:szCs w:val="21"/>
        </w:rPr>
        <w:t>010-85188298</w:t>
      </w:r>
    </w:p>
    <w:p w:rsidR="00635A87" w:rsidRPr="009802E0" w:rsidRDefault="00C313F0"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经办注册会计师：</w:t>
      </w:r>
      <w:r w:rsidR="009E0B5C" w:rsidRPr="009802E0">
        <w:rPr>
          <w:rFonts w:asciiTheme="minorEastAsia" w:eastAsiaTheme="minorEastAsia" w:hAnsiTheme="minorEastAsia" w:hint="eastAsia"/>
          <w:szCs w:val="21"/>
        </w:rPr>
        <w:t>赵雅、马婧</w:t>
      </w:r>
    </w:p>
    <w:p w:rsidR="00C313F0" w:rsidRPr="009802E0" w:rsidRDefault="00C313F0"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联系人：</w:t>
      </w:r>
      <w:r w:rsidR="00A50310" w:rsidRPr="009802E0">
        <w:rPr>
          <w:rFonts w:asciiTheme="minorEastAsia" w:eastAsiaTheme="minorEastAsia" w:hAnsiTheme="minorEastAsia" w:hint="eastAsia"/>
          <w:szCs w:val="21"/>
        </w:rPr>
        <w:t>赵雅</w:t>
      </w:r>
    </w:p>
    <w:p w:rsidR="00CB427F" w:rsidRPr="009802E0" w:rsidRDefault="00B43AC4" w:rsidP="00FE018D">
      <w:pPr>
        <w:pStyle w:val="1"/>
        <w:pageBreakBefore/>
        <w:adjustRightInd w:val="0"/>
        <w:snapToGrid w:val="0"/>
        <w:spacing w:beforeLines="0" w:afterLines="0" w:line="360" w:lineRule="auto"/>
        <w:ind w:firstLine="643"/>
        <w:rPr>
          <w:rFonts w:asciiTheme="minorEastAsia" w:eastAsiaTheme="minorEastAsia" w:hAnsiTheme="minorEastAsia"/>
          <w:b/>
          <w:bCs/>
        </w:rPr>
      </w:pPr>
      <w:bookmarkStart w:id="15" w:name="_Toc43301886"/>
      <w:r w:rsidRPr="009802E0">
        <w:rPr>
          <w:rFonts w:asciiTheme="minorEastAsia" w:eastAsiaTheme="minorEastAsia" w:hAnsiTheme="minorEastAsia" w:hint="eastAsia"/>
          <w:b/>
          <w:bCs/>
        </w:rPr>
        <w:lastRenderedPageBreak/>
        <w:t>六、基金的募集</w:t>
      </w:r>
      <w:bookmarkEnd w:id="15"/>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本基金由基金管理人依照《基金法》、《运作办法》、《销售办法》、基金合同的相关规定、并经中国证券监督管理委员会</w:t>
      </w:r>
      <w:r w:rsidR="00A71571" w:rsidRPr="009802E0">
        <w:rPr>
          <w:rFonts w:asciiTheme="minorEastAsia" w:eastAsiaTheme="minorEastAsia" w:hAnsiTheme="minorEastAsia" w:hint="eastAsia"/>
          <w:szCs w:val="21"/>
        </w:rPr>
        <w:t>2011年5月9日</w:t>
      </w:r>
      <w:r w:rsidRPr="009802E0">
        <w:rPr>
          <w:rFonts w:asciiTheme="minorEastAsia" w:eastAsiaTheme="minorEastAsia" w:hAnsiTheme="minorEastAsia" w:hint="eastAsia"/>
          <w:szCs w:val="21"/>
        </w:rPr>
        <w:t>《关于核准易方达</w:t>
      </w:r>
      <w:r w:rsidR="002844EC" w:rsidRPr="009802E0">
        <w:rPr>
          <w:rFonts w:asciiTheme="minorEastAsia" w:eastAsiaTheme="minorEastAsia" w:hAnsiTheme="minorEastAsia" w:hint="eastAsia"/>
          <w:szCs w:val="21"/>
        </w:rPr>
        <w:t>安心回报</w:t>
      </w:r>
      <w:r w:rsidRPr="009802E0">
        <w:rPr>
          <w:rFonts w:asciiTheme="minorEastAsia" w:eastAsiaTheme="minorEastAsia" w:hAnsiTheme="minorEastAsia" w:hint="eastAsia"/>
          <w:szCs w:val="21"/>
        </w:rPr>
        <w:t>债券型证券投资基金募集的批复》（证监许可</w:t>
      </w:r>
      <w:r w:rsidRPr="009802E0">
        <w:rPr>
          <w:rFonts w:asciiTheme="minorEastAsia" w:eastAsiaTheme="minorEastAsia" w:hAnsiTheme="minorEastAsia"/>
          <w:szCs w:val="21"/>
        </w:rPr>
        <w:t>[20</w:t>
      </w:r>
      <w:r w:rsidRPr="009802E0">
        <w:rPr>
          <w:rFonts w:asciiTheme="minorEastAsia" w:eastAsiaTheme="minorEastAsia" w:hAnsiTheme="minorEastAsia" w:hint="eastAsia"/>
          <w:szCs w:val="21"/>
        </w:rPr>
        <w:t>1</w:t>
      </w:r>
      <w:r w:rsidR="00C27039" w:rsidRPr="009802E0">
        <w:rPr>
          <w:rFonts w:asciiTheme="minorEastAsia" w:eastAsiaTheme="minorEastAsia" w:hAnsiTheme="minorEastAsia" w:hint="eastAsia"/>
          <w:szCs w:val="21"/>
        </w:rPr>
        <w:t>1</w:t>
      </w:r>
      <w:r w:rsidRPr="009802E0">
        <w:rPr>
          <w:rFonts w:asciiTheme="minorEastAsia" w:eastAsiaTheme="minorEastAsia" w:hAnsiTheme="minorEastAsia" w:hint="eastAsia"/>
          <w:szCs w:val="21"/>
        </w:rPr>
        <w:t>]</w:t>
      </w:r>
      <w:r w:rsidR="00C27039" w:rsidRPr="009802E0">
        <w:rPr>
          <w:rFonts w:asciiTheme="minorEastAsia" w:eastAsiaTheme="minorEastAsia" w:hAnsiTheme="minorEastAsia" w:hint="eastAsia"/>
          <w:szCs w:val="21"/>
        </w:rPr>
        <w:t>665</w:t>
      </w:r>
      <w:r w:rsidRPr="009802E0">
        <w:rPr>
          <w:rFonts w:asciiTheme="minorEastAsia" w:eastAsiaTheme="minorEastAsia" w:hAnsiTheme="minorEastAsia" w:hint="eastAsia"/>
          <w:szCs w:val="21"/>
        </w:rPr>
        <w:t>号）核准募集。</w:t>
      </w:r>
    </w:p>
    <w:p w:rsidR="00E96783" w:rsidRPr="009802E0" w:rsidRDefault="00E96783"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本基金为</w:t>
      </w:r>
      <w:r w:rsidRPr="009802E0">
        <w:rPr>
          <w:rFonts w:asciiTheme="minorEastAsia" w:eastAsiaTheme="minorEastAsia" w:hAnsiTheme="minorEastAsia"/>
          <w:szCs w:val="21"/>
        </w:rPr>
        <w:t>契约型开放式</w:t>
      </w:r>
      <w:r w:rsidR="00E0450A" w:rsidRPr="009802E0">
        <w:rPr>
          <w:rFonts w:asciiTheme="minorEastAsia" w:eastAsiaTheme="minorEastAsia" w:hAnsiTheme="minorEastAsia" w:hint="eastAsia"/>
          <w:szCs w:val="21"/>
        </w:rPr>
        <w:t>债券</w:t>
      </w:r>
      <w:r w:rsidRPr="009802E0">
        <w:rPr>
          <w:rFonts w:asciiTheme="minorEastAsia" w:eastAsiaTheme="minorEastAsia" w:hAnsiTheme="minorEastAsia" w:hint="eastAsia"/>
          <w:szCs w:val="21"/>
        </w:rPr>
        <w:t>基金</w:t>
      </w:r>
      <w:r w:rsidRPr="009802E0">
        <w:rPr>
          <w:rFonts w:asciiTheme="minorEastAsia" w:eastAsiaTheme="minorEastAsia" w:hAnsiTheme="minorEastAsia"/>
          <w:szCs w:val="21"/>
        </w:rPr>
        <w:t>。基金</w:t>
      </w:r>
      <w:r w:rsidRPr="009802E0">
        <w:rPr>
          <w:rFonts w:asciiTheme="minorEastAsia" w:eastAsiaTheme="minorEastAsia" w:hAnsiTheme="minorEastAsia" w:hint="eastAsia"/>
          <w:szCs w:val="21"/>
        </w:rPr>
        <w:t>的</w:t>
      </w:r>
      <w:r w:rsidRPr="009802E0">
        <w:rPr>
          <w:rFonts w:asciiTheme="minorEastAsia" w:eastAsiaTheme="minorEastAsia" w:hAnsiTheme="minorEastAsia"/>
          <w:szCs w:val="21"/>
        </w:rPr>
        <w:t>存续期间</w:t>
      </w:r>
      <w:r w:rsidRPr="009802E0">
        <w:rPr>
          <w:rFonts w:asciiTheme="minorEastAsia" w:eastAsiaTheme="minorEastAsia" w:hAnsiTheme="minorEastAsia" w:hint="eastAsia"/>
          <w:szCs w:val="21"/>
        </w:rPr>
        <w:t>为</w:t>
      </w:r>
      <w:r w:rsidRPr="009802E0">
        <w:rPr>
          <w:rFonts w:asciiTheme="minorEastAsia" w:eastAsiaTheme="minorEastAsia" w:hAnsiTheme="minorEastAsia"/>
          <w:szCs w:val="21"/>
        </w:rPr>
        <w:t>不定期</w:t>
      </w:r>
      <w:r w:rsidRPr="009802E0">
        <w:rPr>
          <w:rFonts w:asciiTheme="minorEastAsia" w:eastAsiaTheme="minorEastAsia" w:hAnsiTheme="minorEastAsia" w:hint="eastAsia"/>
          <w:szCs w:val="21"/>
        </w:rPr>
        <w:t>。</w:t>
      </w:r>
    </w:p>
    <w:p w:rsidR="00E96783" w:rsidRPr="009802E0" w:rsidRDefault="00E96783"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szCs w:val="21"/>
        </w:rPr>
        <w:t>本基金</w:t>
      </w:r>
      <w:r w:rsidRPr="009802E0">
        <w:rPr>
          <w:rFonts w:asciiTheme="minorEastAsia" w:eastAsiaTheme="minorEastAsia" w:hAnsiTheme="minorEastAsia" w:hint="eastAsia"/>
          <w:szCs w:val="21"/>
        </w:rPr>
        <w:t>募集期间</w:t>
      </w:r>
      <w:r w:rsidRPr="009802E0">
        <w:rPr>
          <w:rFonts w:asciiTheme="minorEastAsia" w:eastAsiaTheme="minorEastAsia" w:hAnsiTheme="minorEastAsia"/>
          <w:szCs w:val="21"/>
        </w:rPr>
        <w:t>每份基金份额的</w:t>
      </w:r>
      <w:r w:rsidRPr="009802E0">
        <w:rPr>
          <w:rFonts w:asciiTheme="minorEastAsia" w:eastAsiaTheme="minorEastAsia" w:hAnsiTheme="minorEastAsia" w:hint="eastAsia"/>
          <w:szCs w:val="21"/>
        </w:rPr>
        <w:t>初始</w:t>
      </w:r>
      <w:r w:rsidRPr="009802E0">
        <w:rPr>
          <w:rFonts w:asciiTheme="minorEastAsia" w:eastAsiaTheme="minorEastAsia" w:hAnsiTheme="minorEastAsia"/>
          <w:szCs w:val="21"/>
        </w:rPr>
        <w:t>面值为人民币1.00元</w:t>
      </w:r>
      <w:r w:rsidRPr="009802E0">
        <w:rPr>
          <w:rFonts w:asciiTheme="minorEastAsia" w:eastAsiaTheme="minorEastAsia" w:hAnsiTheme="minorEastAsia" w:hint="eastAsia"/>
          <w:szCs w:val="21"/>
        </w:rPr>
        <w:t>。</w:t>
      </w:r>
    </w:p>
    <w:p w:rsidR="00B43AC4" w:rsidRPr="009802E0" w:rsidRDefault="00E96783"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本基金募集期自2011年5月</w:t>
      </w:r>
      <w:r w:rsidR="00E8797A" w:rsidRPr="009802E0">
        <w:rPr>
          <w:rFonts w:asciiTheme="minorEastAsia" w:eastAsiaTheme="minorEastAsia" w:hAnsiTheme="minorEastAsia" w:hint="eastAsia"/>
          <w:szCs w:val="21"/>
        </w:rPr>
        <w:t>1</w:t>
      </w:r>
      <w:r w:rsidRPr="009802E0">
        <w:rPr>
          <w:rFonts w:asciiTheme="minorEastAsia" w:eastAsiaTheme="minorEastAsia" w:hAnsiTheme="minorEastAsia" w:hint="eastAsia"/>
          <w:szCs w:val="21"/>
        </w:rPr>
        <w:t>9</w:t>
      </w:r>
      <w:r w:rsidRPr="009802E0">
        <w:rPr>
          <w:rFonts w:asciiTheme="minorEastAsia" w:eastAsiaTheme="minorEastAsia" w:hAnsiTheme="minorEastAsia"/>
          <w:szCs w:val="21"/>
        </w:rPr>
        <w:t>日</w:t>
      </w:r>
      <w:r w:rsidRPr="009802E0">
        <w:rPr>
          <w:rFonts w:asciiTheme="minorEastAsia" w:eastAsiaTheme="minorEastAsia" w:hAnsiTheme="minorEastAsia" w:hint="eastAsia"/>
          <w:szCs w:val="21"/>
        </w:rPr>
        <w:t>至</w:t>
      </w:r>
      <w:r w:rsidRPr="009802E0">
        <w:rPr>
          <w:rFonts w:asciiTheme="minorEastAsia" w:eastAsiaTheme="minorEastAsia" w:hAnsiTheme="minorEastAsia"/>
          <w:szCs w:val="21"/>
        </w:rPr>
        <w:t>20</w:t>
      </w:r>
      <w:r w:rsidRPr="009802E0">
        <w:rPr>
          <w:rFonts w:asciiTheme="minorEastAsia" w:eastAsiaTheme="minorEastAsia" w:hAnsiTheme="minorEastAsia" w:hint="eastAsia"/>
          <w:szCs w:val="21"/>
        </w:rPr>
        <w:t>11年6月17日。募集对象为</w:t>
      </w:r>
      <w:r w:rsidR="0099484D" w:rsidRPr="009802E0">
        <w:rPr>
          <w:rFonts w:asciiTheme="minorEastAsia" w:eastAsiaTheme="minorEastAsia" w:hAnsiTheme="minorEastAsia" w:hint="eastAsia"/>
          <w:szCs w:val="21"/>
        </w:rPr>
        <w:t>符合法律法规规定的个人投资者、机构投资者及合格境外机构投资者，以及法律法规或中国证监会允许购买证券投资基金的其他投资者</w:t>
      </w:r>
      <w:r w:rsidRPr="009802E0">
        <w:rPr>
          <w:rFonts w:asciiTheme="minorEastAsia" w:eastAsiaTheme="minorEastAsia" w:hAnsiTheme="minorEastAsia" w:hint="eastAsia"/>
          <w:szCs w:val="21"/>
        </w:rPr>
        <w:t>。</w:t>
      </w:r>
    </w:p>
    <w:p w:rsidR="00CB427F" w:rsidRPr="009802E0" w:rsidRDefault="00B43AC4" w:rsidP="00FE018D">
      <w:pPr>
        <w:pStyle w:val="1"/>
        <w:pageBreakBefore/>
        <w:adjustRightInd w:val="0"/>
        <w:snapToGrid w:val="0"/>
        <w:spacing w:beforeLines="0" w:afterLines="0" w:line="360" w:lineRule="auto"/>
        <w:ind w:firstLine="643"/>
        <w:rPr>
          <w:rFonts w:asciiTheme="minorEastAsia" w:eastAsiaTheme="minorEastAsia" w:hAnsiTheme="minorEastAsia"/>
          <w:b/>
        </w:rPr>
      </w:pPr>
      <w:bookmarkStart w:id="16" w:name="_Toc43301887"/>
      <w:r w:rsidRPr="009802E0">
        <w:rPr>
          <w:rFonts w:asciiTheme="minorEastAsia" w:eastAsiaTheme="minorEastAsia" w:hAnsiTheme="minorEastAsia" w:hint="eastAsia"/>
          <w:b/>
          <w:bCs/>
        </w:rPr>
        <w:lastRenderedPageBreak/>
        <w:t>七、基金合同的生效</w:t>
      </w:r>
      <w:bookmarkEnd w:id="16"/>
    </w:p>
    <w:p w:rsidR="00A0652C" w:rsidRPr="009802E0" w:rsidRDefault="00A0652C" w:rsidP="00FE018D">
      <w:pPr>
        <w:pStyle w:val="22"/>
        <w:adjustRightInd w:val="0"/>
        <w:snapToGrid w:val="0"/>
        <w:spacing w:beforeLines="0" w:afterLines="0" w:line="360" w:lineRule="auto"/>
        <w:ind w:firstLineChars="0" w:firstLine="0"/>
        <w:rPr>
          <w:rFonts w:asciiTheme="minorEastAsia" w:eastAsiaTheme="minorEastAsia" w:hAnsiTheme="minorEastAsia"/>
          <w:b w:val="0"/>
          <w:bCs/>
        </w:rPr>
      </w:pPr>
      <w:bookmarkStart w:id="17" w:name="_Toc133292585"/>
      <w:bookmarkStart w:id="18" w:name="_Toc43301888"/>
      <w:r w:rsidRPr="009802E0">
        <w:rPr>
          <w:rFonts w:asciiTheme="minorEastAsia" w:eastAsiaTheme="minorEastAsia" w:hAnsiTheme="minorEastAsia" w:hint="eastAsia"/>
          <w:b w:val="0"/>
          <w:bCs/>
        </w:rPr>
        <w:t>（一）基金合同的生效</w:t>
      </w:r>
      <w:bookmarkEnd w:id="18"/>
    </w:p>
    <w:p w:rsidR="00903526" w:rsidRPr="009802E0" w:rsidRDefault="00E96783"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szCs w:val="21"/>
        </w:rPr>
        <w:t>本基金</w:t>
      </w:r>
      <w:r w:rsidRPr="009802E0">
        <w:rPr>
          <w:rFonts w:asciiTheme="minorEastAsia" w:eastAsiaTheme="minorEastAsia" w:hAnsiTheme="minorEastAsia" w:hint="eastAsia"/>
          <w:szCs w:val="21"/>
        </w:rPr>
        <w:t>基金合同于2011年6月21日正式生效。自基金合同生效日起，本基金管理人正式开始管理本基金。</w:t>
      </w:r>
      <w:bookmarkEnd w:id="17"/>
    </w:p>
    <w:p w:rsidR="00A0652C" w:rsidRPr="009802E0" w:rsidRDefault="00A0652C" w:rsidP="00FE018D">
      <w:pPr>
        <w:pStyle w:val="22"/>
        <w:adjustRightInd w:val="0"/>
        <w:snapToGrid w:val="0"/>
        <w:spacing w:beforeLines="0" w:afterLines="0" w:line="360" w:lineRule="auto"/>
        <w:ind w:firstLineChars="0" w:firstLine="0"/>
        <w:rPr>
          <w:rFonts w:asciiTheme="minorEastAsia" w:eastAsiaTheme="minorEastAsia" w:hAnsiTheme="minorEastAsia"/>
          <w:b w:val="0"/>
          <w:bCs/>
        </w:rPr>
      </w:pPr>
      <w:bookmarkStart w:id="19" w:name="_Toc43301889"/>
      <w:r w:rsidRPr="009802E0">
        <w:rPr>
          <w:rFonts w:asciiTheme="minorEastAsia" w:eastAsiaTheme="minorEastAsia" w:hAnsiTheme="minorEastAsia" w:hint="eastAsia"/>
          <w:b w:val="0"/>
          <w:bCs/>
        </w:rPr>
        <w:t>（二）基金存续期内的基金份额持有人数量和资金额</w:t>
      </w:r>
      <w:bookmarkEnd w:id="19"/>
    </w:p>
    <w:p w:rsidR="00A0652C" w:rsidRPr="009802E0" w:rsidRDefault="00A0652C"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基金合同》生效后，基金份额持有人数量不满200人或者基金资产净值低于5,000万元的，基金管理人应当及时报告中国证监会；连续20个工作日出现前述情形的，基金管理人应当向中国证监会说明原因并报送解决方案。</w:t>
      </w:r>
    </w:p>
    <w:p w:rsidR="00A0652C" w:rsidRPr="009802E0" w:rsidRDefault="00A0652C"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法律法规或监管部门另有规定时，从其规定。</w:t>
      </w:r>
    </w:p>
    <w:p w:rsidR="00903526" w:rsidRPr="009802E0" w:rsidRDefault="00903526" w:rsidP="00FE018D">
      <w:pPr>
        <w:adjustRightInd w:val="0"/>
        <w:snapToGrid w:val="0"/>
        <w:spacing w:line="360" w:lineRule="auto"/>
        <w:ind w:firstLineChars="200" w:firstLine="420"/>
        <w:rPr>
          <w:rFonts w:asciiTheme="minorEastAsia" w:eastAsiaTheme="minorEastAsia" w:hAnsiTheme="minorEastAsia"/>
          <w:szCs w:val="21"/>
        </w:rPr>
        <w:sectPr w:rsidR="00903526" w:rsidRPr="009802E0">
          <w:headerReference w:type="default" r:id="rId19"/>
          <w:footerReference w:type="default" r:id="rId20"/>
          <w:pgSz w:w="11906" w:h="16838" w:code="9"/>
          <w:pgMar w:top="1440" w:right="1800" w:bottom="1440" w:left="1800" w:header="720" w:footer="720" w:gutter="0"/>
          <w:pgNumType w:start="1"/>
          <w:cols w:space="720"/>
          <w:docGrid w:type="lines" w:linePitch="312"/>
        </w:sectPr>
      </w:pPr>
    </w:p>
    <w:p w:rsidR="00CB427F" w:rsidRPr="009802E0" w:rsidRDefault="00F95F7A" w:rsidP="00FE018D">
      <w:pPr>
        <w:pStyle w:val="1"/>
        <w:adjustRightInd w:val="0"/>
        <w:snapToGrid w:val="0"/>
        <w:spacing w:beforeLines="0" w:afterLines="0" w:line="360" w:lineRule="auto"/>
        <w:ind w:firstLine="643"/>
        <w:rPr>
          <w:rFonts w:asciiTheme="minorEastAsia" w:eastAsiaTheme="minorEastAsia" w:hAnsiTheme="minorEastAsia"/>
          <w:bCs/>
        </w:rPr>
      </w:pPr>
      <w:bookmarkStart w:id="20" w:name="_Toc43301890"/>
      <w:r w:rsidRPr="009802E0">
        <w:rPr>
          <w:rFonts w:asciiTheme="minorEastAsia" w:eastAsiaTheme="minorEastAsia" w:hAnsiTheme="minorEastAsia" w:hint="eastAsia"/>
          <w:b/>
          <w:bCs/>
        </w:rPr>
        <w:lastRenderedPageBreak/>
        <w:t>八</w:t>
      </w:r>
      <w:r w:rsidR="00B43AC4" w:rsidRPr="009802E0">
        <w:rPr>
          <w:rFonts w:asciiTheme="minorEastAsia" w:eastAsiaTheme="minorEastAsia" w:hAnsiTheme="minorEastAsia" w:hint="eastAsia"/>
          <w:b/>
          <w:bCs/>
        </w:rPr>
        <w:t>、基金份额的申购、赎回</w:t>
      </w:r>
      <w:bookmarkEnd w:id="20"/>
    </w:p>
    <w:p w:rsidR="00E813A4" w:rsidRPr="009802E0" w:rsidRDefault="00E813A4" w:rsidP="00FE018D">
      <w:pPr>
        <w:pStyle w:val="22"/>
        <w:adjustRightInd w:val="0"/>
        <w:snapToGrid w:val="0"/>
        <w:spacing w:beforeLines="0" w:afterLines="0" w:line="360" w:lineRule="auto"/>
        <w:ind w:firstLineChars="0" w:firstLine="0"/>
        <w:rPr>
          <w:rFonts w:asciiTheme="minorEastAsia" w:eastAsiaTheme="minorEastAsia" w:hAnsiTheme="minorEastAsia"/>
          <w:b w:val="0"/>
          <w:bCs/>
        </w:rPr>
      </w:pPr>
      <w:bookmarkStart w:id="21" w:name="_Toc43301891"/>
      <w:r w:rsidRPr="009802E0">
        <w:rPr>
          <w:rFonts w:asciiTheme="minorEastAsia" w:eastAsiaTheme="minorEastAsia" w:hAnsiTheme="minorEastAsia" w:hint="eastAsia"/>
          <w:b w:val="0"/>
          <w:bCs/>
        </w:rPr>
        <w:t>（一）基金投资者范围</w:t>
      </w:r>
      <w:bookmarkEnd w:id="21"/>
    </w:p>
    <w:p w:rsidR="00E813A4" w:rsidRPr="009802E0" w:rsidRDefault="00E813A4" w:rsidP="00FE018D">
      <w:pPr>
        <w:adjustRightInd w:val="0"/>
        <w:snapToGrid w:val="0"/>
        <w:spacing w:line="360" w:lineRule="auto"/>
        <w:ind w:firstLineChars="202" w:firstLine="424"/>
        <w:rPr>
          <w:rFonts w:asciiTheme="minorEastAsia" w:eastAsiaTheme="minorEastAsia" w:hAnsiTheme="minorEastAsia"/>
        </w:rPr>
      </w:pPr>
      <w:r w:rsidRPr="009802E0">
        <w:rPr>
          <w:rFonts w:asciiTheme="minorEastAsia" w:eastAsiaTheme="minorEastAsia" w:hAnsiTheme="minorEastAsia" w:hint="eastAsia"/>
          <w:szCs w:val="21"/>
        </w:rPr>
        <w:t>符合法律法规规定的个人投资者、机构投资者及合格境外机构投资者，以及法律法规或中国证监会允许购买证券投资基金的其他投资者。</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bCs/>
        </w:rPr>
      </w:pPr>
      <w:bookmarkStart w:id="22" w:name="_Toc43301892"/>
      <w:r w:rsidRPr="009802E0">
        <w:rPr>
          <w:rFonts w:asciiTheme="minorEastAsia" w:eastAsiaTheme="minorEastAsia" w:hAnsiTheme="minorEastAsia" w:hint="eastAsia"/>
          <w:b w:val="0"/>
          <w:bCs/>
        </w:rPr>
        <w:t>（</w:t>
      </w:r>
      <w:r w:rsidR="00E813A4" w:rsidRPr="009802E0">
        <w:rPr>
          <w:rFonts w:asciiTheme="minorEastAsia" w:eastAsiaTheme="minorEastAsia" w:hAnsiTheme="minorEastAsia" w:hint="eastAsia"/>
          <w:b w:val="0"/>
          <w:bCs/>
        </w:rPr>
        <w:t>二</w:t>
      </w:r>
      <w:r w:rsidRPr="009802E0">
        <w:rPr>
          <w:rFonts w:asciiTheme="minorEastAsia" w:eastAsiaTheme="minorEastAsia" w:hAnsiTheme="minorEastAsia" w:hint="eastAsia"/>
          <w:b w:val="0"/>
          <w:bCs/>
        </w:rPr>
        <w:t>）申购与赎回的场所</w:t>
      </w:r>
      <w:bookmarkEnd w:id="22"/>
    </w:p>
    <w:p w:rsidR="00770846" w:rsidRPr="009802E0" w:rsidRDefault="00475199" w:rsidP="00FE018D">
      <w:pPr>
        <w:adjustRightInd w:val="0"/>
        <w:snapToGrid w:val="0"/>
        <w:spacing w:line="360" w:lineRule="auto"/>
        <w:ind w:firstLineChars="202" w:firstLine="424"/>
        <w:rPr>
          <w:rFonts w:asciiTheme="minorEastAsia" w:eastAsiaTheme="minorEastAsia" w:hAnsiTheme="minorEastAsia"/>
          <w:szCs w:val="21"/>
        </w:rPr>
      </w:pPr>
      <w:r w:rsidRPr="009802E0">
        <w:rPr>
          <w:rFonts w:asciiTheme="minorEastAsia" w:eastAsiaTheme="minorEastAsia" w:hAnsiTheme="minorEastAsia"/>
          <w:szCs w:val="21"/>
        </w:rPr>
        <w:t>1</w:t>
      </w:r>
      <w:r w:rsidRPr="009802E0">
        <w:rPr>
          <w:rFonts w:asciiTheme="minorEastAsia" w:eastAsiaTheme="minorEastAsia" w:hAnsiTheme="minorEastAsia" w:hint="eastAsia"/>
          <w:szCs w:val="21"/>
        </w:rPr>
        <w:t>.</w:t>
      </w:r>
      <w:r w:rsidRPr="009802E0">
        <w:rPr>
          <w:rFonts w:asciiTheme="minorEastAsia" w:eastAsiaTheme="minorEastAsia" w:hAnsiTheme="minorEastAsia"/>
          <w:szCs w:val="21"/>
        </w:rPr>
        <w:t>基金管理</w:t>
      </w:r>
      <w:r w:rsidRPr="009802E0">
        <w:rPr>
          <w:rFonts w:asciiTheme="minorEastAsia" w:eastAsiaTheme="minorEastAsia" w:hAnsiTheme="minorEastAsia" w:hint="eastAsia"/>
          <w:szCs w:val="21"/>
        </w:rPr>
        <w:t>人的直销</w:t>
      </w:r>
      <w:r w:rsidR="00AC4F2B" w:rsidRPr="009802E0">
        <w:rPr>
          <w:rFonts w:asciiTheme="minorEastAsia" w:eastAsiaTheme="minorEastAsia" w:hAnsiTheme="minorEastAsia" w:hint="eastAsia"/>
          <w:szCs w:val="21"/>
        </w:rPr>
        <w:t>中心</w:t>
      </w:r>
      <w:r w:rsidRPr="009802E0">
        <w:rPr>
          <w:rFonts w:asciiTheme="minorEastAsia" w:eastAsiaTheme="minorEastAsia" w:hAnsiTheme="minorEastAsia"/>
          <w:szCs w:val="21"/>
        </w:rPr>
        <w:t>及</w:t>
      </w:r>
      <w:r w:rsidRPr="009802E0">
        <w:rPr>
          <w:rFonts w:asciiTheme="minorEastAsia" w:eastAsiaTheme="minorEastAsia" w:hAnsiTheme="minorEastAsia" w:hint="eastAsia"/>
          <w:szCs w:val="21"/>
        </w:rPr>
        <w:t>网上交易系统</w:t>
      </w:r>
      <w:r w:rsidR="00AE4671" w:rsidRPr="009802E0">
        <w:rPr>
          <w:rFonts w:asciiTheme="minorEastAsia" w:eastAsiaTheme="minorEastAsia" w:hAnsiTheme="minorEastAsia" w:hint="eastAsia"/>
          <w:szCs w:val="21"/>
        </w:rPr>
        <w:t>(www.efunds.com.cn)。</w:t>
      </w:r>
    </w:p>
    <w:p w:rsidR="00770846" w:rsidRPr="009802E0" w:rsidRDefault="00475199" w:rsidP="00FE018D">
      <w:pPr>
        <w:adjustRightInd w:val="0"/>
        <w:snapToGrid w:val="0"/>
        <w:spacing w:line="360" w:lineRule="auto"/>
        <w:ind w:firstLineChars="202" w:firstLine="424"/>
        <w:rPr>
          <w:rFonts w:asciiTheme="minorEastAsia" w:eastAsiaTheme="minorEastAsia" w:hAnsiTheme="minorEastAsia"/>
          <w:szCs w:val="21"/>
        </w:rPr>
      </w:pPr>
      <w:r w:rsidRPr="009802E0">
        <w:rPr>
          <w:rFonts w:asciiTheme="minorEastAsia" w:eastAsiaTheme="minorEastAsia" w:hAnsiTheme="minorEastAsia"/>
          <w:szCs w:val="21"/>
        </w:rPr>
        <w:t>2</w:t>
      </w:r>
      <w:r w:rsidRPr="009802E0">
        <w:rPr>
          <w:rFonts w:asciiTheme="minorEastAsia" w:eastAsiaTheme="minorEastAsia" w:hAnsiTheme="minorEastAsia" w:hint="eastAsia"/>
          <w:szCs w:val="21"/>
        </w:rPr>
        <w:t>.</w:t>
      </w:r>
      <w:r w:rsidR="007909DB" w:rsidRPr="009802E0">
        <w:rPr>
          <w:rFonts w:asciiTheme="minorEastAsia" w:eastAsiaTheme="minorEastAsia" w:hAnsiTheme="minorEastAsia" w:hint="eastAsia"/>
          <w:szCs w:val="21"/>
        </w:rPr>
        <w:t>非直销销售机构</w:t>
      </w:r>
      <w:r w:rsidRPr="009802E0">
        <w:rPr>
          <w:rFonts w:asciiTheme="minorEastAsia" w:eastAsiaTheme="minorEastAsia" w:hAnsiTheme="minorEastAsia"/>
          <w:szCs w:val="21"/>
        </w:rPr>
        <w:t>开办开放式基金业务的营业网点。</w:t>
      </w:r>
    </w:p>
    <w:p w:rsidR="00475199" w:rsidRPr="009802E0" w:rsidRDefault="00475199" w:rsidP="00FE018D">
      <w:pPr>
        <w:adjustRightInd w:val="0"/>
        <w:snapToGrid w:val="0"/>
        <w:spacing w:line="360" w:lineRule="auto"/>
        <w:ind w:firstLineChars="202" w:firstLine="424"/>
        <w:rPr>
          <w:rFonts w:asciiTheme="minorEastAsia" w:eastAsiaTheme="minorEastAsia" w:hAnsiTheme="minorEastAsia"/>
          <w:szCs w:val="21"/>
        </w:rPr>
      </w:pPr>
      <w:r w:rsidRPr="009802E0">
        <w:rPr>
          <w:rFonts w:asciiTheme="minorEastAsia" w:eastAsiaTheme="minorEastAsia" w:hAnsiTheme="minorEastAsia" w:hint="eastAsia"/>
          <w:szCs w:val="21"/>
        </w:rPr>
        <w:t>基金管理人可根据情况变更基金的销售机构，</w:t>
      </w:r>
      <w:r w:rsidR="004E4473" w:rsidRPr="009802E0">
        <w:rPr>
          <w:rFonts w:asciiTheme="minorEastAsia" w:eastAsiaTheme="minorEastAsia" w:hAnsiTheme="minorEastAsia" w:hint="eastAsia"/>
          <w:szCs w:val="21"/>
        </w:rPr>
        <w:t>并在基金管理人网站公示</w:t>
      </w:r>
      <w:r w:rsidRPr="009802E0">
        <w:rPr>
          <w:rFonts w:asciiTheme="minorEastAsia" w:eastAsiaTheme="minorEastAsia" w:hAnsiTheme="minorEastAsia" w:hint="eastAsia"/>
          <w:szCs w:val="21"/>
        </w:rPr>
        <w:t>。</w:t>
      </w:r>
    </w:p>
    <w:p w:rsidR="00475199" w:rsidRPr="009802E0" w:rsidRDefault="00475199" w:rsidP="00FE018D">
      <w:pPr>
        <w:adjustRightInd w:val="0"/>
        <w:snapToGrid w:val="0"/>
        <w:spacing w:line="360" w:lineRule="auto"/>
        <w:ind w:firstLineChars="202" w:firstLine="424"/>
        <w:rPr>
          <w:rFonts w:asciiTheme="minorEastAsia" w:eastAsiaTheme="minorEastAsia" w:hAnsiTheme="minorEastAsia"/>
          <w:szCs w:val="21"/>
        </w:rPr>
      </w:pPr>
      <w:r w:rsidRPr="009802E0">
        <w:rPr>
          <w:rFonts w:asciiTheme="minorEastAsia" w:eastAsiaTheme="minorEastAsia" w:hAnsiTheme="minorEastAsia" w:hint="eastAsia"/>
          <w:szCs w:val="21"/>
        </w:rPr>
        <w:t>投资者还可通过基金管理人或者指定的基金</w:t>
      </w:r>
      <w:r w:rsidR="007909DB" w:rsidRPr="009802E0">
        <w:rPr>
          <w:rFonts w:asciiTheme="minorEastAsia" w:eastAsiaTheme="minorEastAsia" w:hAnsiTheme="minorEastAsia" w:hint="eastAsia"/>
          <w:szCs w:val="21"/>
        </w:rPr>
        <w:t>销售</w:t>
      </w:r>
      <w:r w:rsidRPr="009802E0">
        <w:rPr>
          <w:rFonts w:asciiTheme="minorEastAsia" w:eastAsiaTheme="minorEastAsia" w:hAnsiTheme="minorEastAsia" w:hint="eastAsia"/>
          <w:szCs w:val="21"/>
        </w:rPr>
        <w:t>机构以电话或互联网等其他电子交易方式进行申购、赎回，具体以各销售机构的规定为准。</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bCs/>
        </w:rPr>
      </w:pPr>
      <w:bookmarkStart w:id="23" w:name="_Toc43301893"/>
      <w:r w:rsidRPr="009802E0">
        <w:rPr>
          <w:rFonts w:asciiTheme="minorEastAsia" w:eastAsiaTheme="minorEastAsia" w:hAnsiTheme="minorEastAsia" w:hint="eastAsia"/>
          <w:b w:val="0"/>
          <w:bCs/>
        </w:rPr>
        <w:t>（</w:t>
      </w:r>
      <w:r w:rsidR="00E813A4" w:rsidRPr="009802E0">
        <w:rPr>
          <w:rFonts w:asciiTheme="minorEastAsia" w:eastAsiaTheme="minorEastAsia" w:hAnsiTheme="minorEastAsia" w:hint="eastAsia"/>
          <w:b w:val="0"/>
          <w:bCs/>
        </w:rPr>
        <w:t>三</w:t>
      </w:r>
      <w:r w:rsidRPr="009802E0">
        <w:rPr>
          <w:rFonts w:asciiTheme="minorEastAsia" w:eastAsiaTheme="minorEastAsia" w:hAnsiTheme="minorEastAsia" w:hint="eastAsia"/>
          <w:b w:val="0"/>
          <w:bCs/>
        </w:rPr>
        <w:t>）申购与赎回办理的开放日及时间</w:t>
      </w:r>
      <w:bookmarkEnd w:id="23"/>
    </w:p>
    <w:p w:rsidR="00364617" w:rsidRPr="009802E0" w:rsidRDefault="00364617"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本基金已于20</w:t>
      </w:r>
      <w:r w:rsidR="00182F64" w:rsidRPr="009802E0">
        <w:rPr>
          <w:rFonts w:asciiTheme="minorEastAsia" w:eastAsiaTheme="minorEastAsia" w:hAnsiTheme="minorEastAsia" w:hint="eastAsia"/>
          <w:szCs w:val="21"/>
        </w:rPr>
        <w:t>11</w:t>
      </w:r>
      <w:r w:rsidRPr="009802E0">
        <w:rPr>
          <w:rFonts w:asciiTheme="minorEastAsia" w:eastAsiaTheme="minorEastAsia" w:hAnsiTheme="minorEastAsia" w:hint="eastAsia"/>
          <w:szCs w:val="21"/>
        </w:rPr>
        <w:t>年</w:t>
      </w:r>
      <w:r w:rsidR="00182F64" w:rsidRPr="009802E0">
        <w:rPr>
          <w:rFonts w:asciiTheme="minorEastAsia" w:eastAsiaTheme="minorEastAsia" w:hAnsiTheme="minorEastAsia" w:hint="eastAsia"/>
          <w:szCs w:val="21"/>
        </w:rPr>
        <w:t>8</w:t>
      </w:r>
      <w:r w:rsidRPr="009802E0">
        <w:rPr>
          <w:rFonts w:asciiTheme="minorEastAsia" w:eastAsiaTheme="minorEastAsia" w:hAnsiTheme="minorEastAsia" w:hint="eastAsia"/>
          <w:szCs w:val="21"/>
        </w:rPr>
        <w:t>月</w:t>
      </w:r>
      <w:r w:rsidR="00182F64" w:rsidRPr="009802E0">
        <w:rPr>
          <w:rFonts w:asciiTheme="minorEastAsia" w:eastAsiaTheme="minorEastAsia" w:hAnsiTheme="minorEastAsia" w:hint="eastAsia"/>
          <w:szCs w:val="21"/>
        </w:rPr>
        <w:t>2</w:t>
      </w:r>
      <w:r w:rsidRPr="009802E0">
        <w:rPr>
          <w:rFonts w:asciiTheme="minorEastAsia" w:eastAsiaTheme="minorEastAsia" w:hAnsiTheme="minorEastAsia" w:hint="eastAsia"/>
          <w:szCs w:val="21"/>
        </w:rPr>
        <w:t>日开始办理日常申购、赎回业务。</w:t>
      </w:r>
    </w:p>
    <w:p w:rsidR="007352D4" w:rsidRPr="009802E0" w:rsidRDefault="00E64CCE"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szCs w:val="21"/>
        </w:rPr>
        <w:t>投资人在开放日办理基金份额的</w:t>
      </w:r>
      <w:r w:rsidR="000D616D" w:rsidRPr="009802E0">
        <w:rPr>
          <w:rFonts w:asciiTheme="minorEastAsia" w:eastAsiaTheme="minorEastAsia" w:hAnsiTheme="minorEastAsia" w:hint="eastAsia"/>
          <w:szCs w:val="21"/>
        </w:rPr>
        <w:t>申购、赎回</w:t>
      </w:r>
      <w:r w:rsidRPr="009802E0">
        <w:rPr>
          <w:rFonts w:asciiTheme="minorEastAsia" w:eastAsiaTheme="minorEastAsia" w:hAnsiTheme="minorEastAsia" w:hint="eastAsia"/>
          <w:szCs w:val="21"/>
        </w:rPr>
        <w:t>，</w:t>
      </w:r>
      <w:r w:rsidR="000D616D" w:rsidRPr="009802E0">
        <w:rPr>
          <w:rFonts w:asciiTheme="minorEastAsia" w:eastAsiaTheme="minorEastAsia" w:hAnsiTheme="minorEastAsia" w:hint="eastAsia"/>
          <w:szCs w:val="21"/>
        </w:rPr>
        <w:t>开放日为上海证券交易所、深圳证券交易所的交易日</w:t>
      </w:r>
      <w:r w:rsidR="000640A9" w:rsidRPr="009802E0">
        <w:rPr>
          <w:rFonts w:asciiTheme="minorEastAsia" w:eastAsiaTheme="minorEastAsia" w:hAnsiTheme="minorEastAsia" w:hint="eastAsia"/>
          <w:szCs w:val="21"/>
        </w:rPr>
        <w:t>，</w:t>
      </w:r>
      <w:r w:rsidR="00717668" w:rsidRPr="009802E0">
        <w:rPr>
          <w:rFonts w:asciiTheme="minorEastAsia" w:eastAsiaTheme="minorEastAsia" w:hAnsiTheme="minorEastAsia" w:hint="eastAsia"/>
          <w:szCs w:val="21"/>
        </w:rPr>
        <w:t>具体业务办理时间为上海证券交易所、深圳证券交易所正常交易日的交易时间</w:t>
      </w:r>
      <w:r w:rsidR="0004294D" w:rsidRPr="009802E0">
        <w:rPr>
          <w:rFonts w:asciiTheme="minorEastAsia" w:eastAsiaTheme="minorEastAsia" w:hAnsiTheme="minorEastAsia" w:hint="eastAsia"/>
          <w:szCs w:val="21"/>
        </w:rPr>
        <w:t>，</w:t>
      </w:r>
      <w:r w:rsidR="0004294D" w:rsidRPr="009802E0">
        <w:rPr>
          <w:rFonts w:asciiTheme="minorEastAsia" w:eastAsiaTheme="minorEastAsia" w:hAnsiTheme="minorEastAsia" w:hint="eastAsia"/>
        </w:rPr>
        <w:t>但基金管理人根据法律法规、中国证监会的要求或本基金合同的规定公告暂停申购或赎回时除外</w:t>
      </w:r>
      <w:r w:rsidR="007352D4" w:rsidRPr="009802E0">
        <w:rPr>
          <w:rFonts w:asciiTheme="minorEastAsia" w:eastAsiaTheme="minorEastAsia" w:hAnsiTheme="minorEastAsia" w:hint="eastAsia"/>
          <w:szCs w:val="21"/>
        </w:rPr>
        <w:t>。</w:t>
      </w:r>
    </w:p>
    <w:p w:rsidR="00E30C44" w:rsidRPr="009802E0" w:rsidRDefault="00717668"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若出现新的证券交易市场或交易所交易时间更改或实际情况需要，基金管理人可对申购、赎回时间进行调整，但此项调整应在实施日2日前在</w:t>
      </w:r>
      <w:r w:rsidR="004E4473" w:rsidRPr="009802E0">
        <w:rPr>
          <w:rFonts w:asciiTheme="minorEastAsia" w:eastAsiaTheme="minorEastAsia" w:hAnsiTheme="minorEastAsia" w:hint="eastAsia"/>
          <w:szCs w:val="21"/>
        </w:rPr>
        <w:t>指定媒介</w:t>
      </w:r>
      <w:r w:rsidRPr="009802E0">
        <w:rPr>
          <w:rFonts w:asciiTheme="minorEastAsia" w:eastAsiaTheme="minorEastAsia" w:hAnsiTheme="minorEastAsia" w:hint="eastAsia"/>
          <w:szCs w:val="21"/>
        </w:rPr>
        <w:t>公告。</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bCs/>
        </w:rPr>
      </w:pPr>
      <w:bookmarkStart w:id="24" w:name="_Toc43301894"/>
      <w:r w:rsidRPr="009802E0">
        <w:rPr>
          <w:rFonts w:asciiTheme="minorEastAsia" w:eastAsiaTheme="minorEastAsia" w:hAnsiTheme="minorEastAsia" w:hint="eastAsia"/>
          <w:b w:val="0"/>
          <w:bCs/>
        </w:rPr>
        <w:t>（</w:t>
      </w:r>
      <w:r w:rsidR="00512F84" w:rsidRPr="009802E0">
        <w:rPr>
          <w:rFonts w:asciiTheme="minorEastAsia" w:eastAsiaTheme="minorEastAsia" w:hAnsiTheme="minorEastAsia" w:hint="eastAsia"/>
          <w:b w:val="0"/>
          <w:bCs/>
        </w:rPr>
        <w:t>四</w:t>
      </w:r>
      <w:r w:rsidRPr="009802E0">
        <w:rPr>
          <w:rFonts w:asciiTheme="minorEastAsia" w:eastAsiaTheme="minorEastAsia" w:hAnsiTheme="minorEastAsia" w:hint="eastAsia"/>
          <w:b w:val="0"/>
          <w:bCs/>
        </w:rPr>
        <w:t>）申购与赎回的原则</w:t>
      </w:r>
      <w:bookmarkEnd w:id="24"/>
    </w:p>
    <w:p w:rsidR="00C07E42" w:rsidRPr="009802E0" w:rsidRDefault="00C07E42"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szCs w:val="21"/>
        </w:rPr>
        <w:t>1</w:t>
      </w:r>
      <w:r w:rsidR="002B5B21" w:rsidRPr="009802E0">
        <w:rPr>
          <w:rFonts w:asciiTheme="minorEastAsia" w:eastAsiaTheme="minorEastAsia" w:hAnsiTheme="minorEastAsia" w:hint="eastAsia"/>
          <w:szCs w:val="21"/>
        </w:rPr>
        <w:t>、</w:t>
      </w:r>
      <w:r w:rsidRPr="009802E0">
        <w:rPr>
          <w:rFonts w:asciiTheme="minorEastAsia" w:eastAsiaTheme="minorEastAsia" w:hAnsiTheme="minorEastAsia" w:hint="eastAsia"/>
          <w:szCs w:val="21"/>
        </w:rPr>
        <w:t>“未知价”原则，即申购、赎回价格以申请当日收市后计算的基金份额净值为基准进行计算；</w:t>
      </w:r>
    </w:p>
    <w:p w:rsidR="00C07E42" w:rsidRPr="009802E0" w:rsidRDefault="00C07E42"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szCs w:val="21"/>
        </w:rPr>
        <w:t>2</w:t>
      </w:r>
      <w:r w:rsidR="002B5B21" w:rsidRPr="009802E0">
        <w:rPr>
          <w:rFonts w:asciiTheme="minorEastAsia" w:eastAsiaTheme="minorEastAsia" w:hAnsiTheme="minorEastAsia" w:hint="eastAsia"/>
          <w:szCs w:val="21"/>
        </w:rPr>
        <w:t>、</w:t>
      </w:r>
      <w:r w:rsidRPr="009802E0">
        <w:rPr>
          <w:rFonts w:asciiTheme="minorEastAsia" w:eastAsiaTheme="minorEastAsia" w:hAnsiTheme="minorEastAsia" w:hint="eastAsia"/>
          <w:szCs w:val="21"/>
        </w:rPr>
        <w:t>“金额申购、份额赎回”原则，即申购以金额申请，赎回以份额申请；</w:t>
      </w:r>
    </w:p>
    <w:p w:rsidR="007112AF" w:rsidRPr="009802E0" w:rsidRDefault="007112AF"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3</w:t>
      </w:r>
      <w:r w:rsidR="002B5B21" w:rsidRPr="009802E0">
        <w:rPr>
          <w:rFonts w:asciiTheme="minorEastAsia" w:eastAsiaTheme="minorEastAsia" w:hAnsiTheme="minorEastAsia" w:hint="eastAsia"/>
          <w:szCs w:val="21"/>
        </w:rPr>
        <w:t>、</w:t>
      </w:r>
      <w:r w:rsidRPr="009802E0">
        <w:rPr>
          <w:rFonts w:asciiTheme="minorEastAsia" w:eastAsiaTheme="minorEastAsia" w:hAnsiTheme="minorEastAsia"/>
          <w:szCs w:val="21"/>
        </w:rPr>
        <w:t>基金份额持有人赎回时，除指定赎回外，基金管理人按</w:t>
      </w:r>
      <w:r w:rsidRPr="009802E0">
        <w:rPr>
          <w:rFonts w:asciiTheme="minorEastAsia" w:eastAsiaTheme="minorEastAsia" w:hAnsiTheme="minorEastAsia" w:hint="eastAsia"/>
          <w:szCs w:val="21"/>
        </w:rPr>
        <w:t>“</w:t>
      </w:r>
      <w:r w:rsidRPr="009802E0">
        <w:rPr>
          <w:rFonts w:asciiTheme="minorEastAsia" w:eastAsiaTheme="minorEastAsia" w:hAnsiTheme="minorEastAsia"/>
          <w:szCs w:val="21"/>
        </w:rPr>
        <w:t>先进先出</w:t>
      </w:r>
      <w:r w:rsidRPr="009802E0">
        <w:rPr>
          <w:rFonts w:asciiTheme="minorEastAsia" w:eastAsiaTheme="minorEastAsia" w:hAnsiTheme="minorEastAsia" w:hint="eastAsia"/>
          <w:szCs w:val="21"/>
        </w:rPr>
        <w:t>”</w:t>
      </w:r>
      <w:r w:rsidRPr="009802E0">
        <w:rPr>
          <w:rFonts w:asciiTheme="minorEastAsia" w:eastAsiaTheme="minorEastAsia" w:hAnsiTheme="minorEastAsia"/>
          <w:szCs w:val="21"/>
        </w:rPr>
        <w:t>的原则，对该持有人账户在该销售机构托管的基金份额进行处理，即先确认的份额先赎回，后确认的份额后赎回，以确定所适用的赎回费率</w:t>
      </w:r>
      <w:r w:rsidRPr="009802E0">
        <w:rPr>
          <w:rFonts w:asciiTheme="minorEastAsia" w:eastAsiaTheme="minorEastAsia" w:hAnsiTheme="minorEastAsia" w:hint="eastAsia"/>
          <w:szCs w:val="21"/>
        </w:rPr>
        <w:t>；</w:t>
      </w:r>
    </w:p>
    <w:p w:rsidR="00C07E42" w:rsidRPr="009802E0" w:rsidRDefault="007112AF"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4</w:t>
      </w:r>
      <w:r w:rsidR="002B5B21" w:rsidRPr="009802E0">
        <w:rPr>
          <w:rFonts w:asciiTheme="minorEastAsia" w:eastAsiaTheme="minorEastAsia" w:hAnsiTheme="minorEastAsia" w:hint="eastAsia"/>
          <w:szCs w:val="21"/>
        </w:rPr>
        <w:t>、</w:t>
      </w:r>
      <w:r w:rsidR="00C07E42" w:rsidRPr="009802E0">
        <w:rPr>
          <w:rFonts w:asciiTheme="minorEastAsia" w:eastAsiaTheme="minorEastAsia" w:hAnsiTheme="minorEastAsia" w:hint="eastAsia"/>
          <w:szCs w:val="21"/>
        </w:rPr>
        <w:t>当日的申购与赎回申请可以在基金管理人规定的时间以内撤销；</w:t>
      </w:r>
    </w:p>
    <w:p w:rsidR="00C07E42" w:rsidRPr="009802E0" w:rsidRDefault="007112AF"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5</w:t>
      </w:r>
      <w:r w:rsidR="002B5B21" w:rsidRPr="009802E0">
        <w:rPr>
          <w:rFonts w:asciiTheme="minorEastAsia" w:eastAsiaTheme="minorEastAsia" w:hAnsiTheme="minorEastAsia" w:hint="eastAsia"/>
          <w:szCs w:val="21"/>
        </w:rPr>
        <w:t>、</w:t>
      </w:r>
      <w:r w:rsidR="00C07E42" w:rsidRPr="009802E0">
        <w:rPr>
          <w:rFonts w:asciiTheme="minorEastAsia" w:eastAsiaTheme="minorEastAsia" w:hAnsiTheme="minorEastAsia" w:hint="eastAsia"/>
          <w:szCs w:val="21"/>
        </w:rPr>
        <w:t>基金管理人可根据基金运作的实际情况并在不影响基金份额持有人实质利益的前提下调整上述原则。基金管理人必须在新规则开始实施前按照《信息披露办法》的有关规定在</w:t>
      </w:r>
      <w:r w:rsidR="004E4473" w:rsidRPr="009802E0">
        <w:rPr>
          <w:rFonts w:asciiTheme="minorEastAsia" w:eastAsiaTheme="minorEastAsia" w:hAnsiTheme="minorEastAsia" w:hint="eastAsia"/>
          <w:szCs w:val="21"/>
        </w:rPr>
        <w:t>指定媒介</w:t>
      </w:r>
      <w:r w:rsidR="00C07E42" w:rsidRPr="009802E0">
        <w:rPr>
          <w:rFonts w:asciiTheme="minorEastAsia" w:eastAsiaTheme="minorEastAsia" w:hAnsiTheme="minorEastAsia" w:hint="eastAsia"/>
          <w:szCs w:val="21"/>
        </w:rPr>
        <w:t>公告并报中国证监会备案。</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bCs/>
        </w:rPr>
      </w:pPr>
      <w:bookmarkStart w:id="25" w:name="_Toc43301895"/>
      <w:r w:rsidRPr="009802E0">
        <w:rPr>
          <w:rFonts w:asciiTheme="minorEastAsia" w:eastAsiaTheme="minorEastAsia" w:hAnsiTheme="minorEastAsia" w:hint="eastAsia"/>
          <w:b w:val="0"/>
          <w:bCs/>
        </w:rPr>
        <w:t>（</w:t>
      </w:r>
      <w:r w:rsidR="00512F84" w:rsidRPr="009802E0">
        <w:rPr>
          <w:rFonts w:asciiTheme="minorEastAsia" w:eastAsiaTheme="minorEastAsia" w:hAnsiTheme="minorEastAsia" w:hint="eastAsia"/>
          <w:b w:val="0"/>
          <w:bCs/>
        </w:rPr>
        <w:t>五</w:t>
      </w:r>
      <w:r w:rsidRPr="009802E0">
        <w:rPr>
          <w:rFonts w:asciiTheme="minorEastAsia" w:eastAsiaTheme="minorEastAsia" w:hAnsiTheme="minorEastAsia" w:hint="eastAsia"/>
          <w:b w:val="0"/>
          <w:bCs/>
        </w:rPr>
        <w:t>）申购与赎回的程序</w:t>
      </w:r>
      <w:bookmarkEnd w:id="25"/>
    </w:p>
    <w:p w:rsidR="00C07E42" w:rsidRPr="009802E0" w:rsidRDefault="00C07E42"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1</w:t>
      </w:r>
      <w:r w:rsidR="002B5B21" w:rsidRPr="009802E0">
        <w:rPr>
          <w:rFonts w:asciiTheme="minorEastAsia" w:eastAsiaTheme="minorEastAsia" w:hAnsiTheme="minorEastAsia" w:hint="eastAsia"/>
          <w:szCs w:val="21"/>
        </w:rPr>
        <w:t>、</w:t>
      </w:r>
      <w:r w:rsidRPr="009802E0">
        <w:rPr>
          <w:rFonts w:asciiTheme="minorEastAsia" w:eastAsiaTheme="minorEastAsia" w:hAnsiTheme="minorEastAsia" w:hint="eastAsia"/>
          <w:szCs w:val="21"/>
        </w:rPr>
        <w:t>申购和赎回的申请方式</w:t>
      </w:r>
    </w:p>
    <w:p w:rsidR="00C07E42" w:rsidRPr="009802E0" w:rsidRDefault="00C07E42"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基金投资者必须根据基金销售机构规定的程序，在开放日的业务办理时间向基金销售机</w:t>
      </w:r>
      <w:r w:rsidRPr="009802E0">
        <w:rPr>
          <w:rFonts w:asciiTheme="minorEastAsia" w:eastAsiaTheme="minorEastAsia" w:hAnsiTheme="minorEastAsia" w:hint="eastAsia"/>
          <w:szCs w:val="21"/>
        </w:rPr>
        <w:lastRenderedPageBreak/>
        <w:t>构提出申购或赎回的申请。</w:t>
      </w:r>
    </w:p>
    <w:p w:rsidR="00C07E42" w:rsidRPr="009802E0" w:rsidRDefault="00C07E42"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投资者在申购本基金时须按销售机构规定的方式备足申购资金,投资者在提交赎回申请时，必须有足够的基金份额余额，否则所提交的申购、赎回的申请无效而不予成交。</w:t>
      </w:r>
    </w:p>
    <w:p w:rsidR="00C07E42" w:rsidRPr="009802E0" w:rsidRDefault="00C07E42"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2</w:t>
      </w:r>
      <w:r w:rsidR="002B5B21" w:rsidRPr="009802E0">
        <w:rPr>
          <w:rFonts w:asciiTheme="minorEastAsia" w:eastAsiaTheme="minorEastAsia" w:hAnsiTheme="minorEastAsia" w:hint="eastAsia"/>
          <w:szCs w:val="21"/>
        </w:rPr>
        <w:t>、</w:t>
      </w:r>
      <w:r w:rsidRPr="009802E0">
        <w:rPr>
          <w:rFonts w:asciiTheme="minorEastAsia" w:eastAsiaTheme="minorEastAsia" w:hAnsiTheme="minorEastAsia" w:hint="eastAsia"/>
          <w:szCs w:val="21"/>
        </w:rPr>
        <w:t>申购和赎回申请的确认</w:t>
      </w:r>
    </w:p>
    <w:p w:rsidR="00C07E42" w:rsidRPr="009802E0" w:rsidRDefault="00C07E42"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szCs w:val="21"/>
        </w:rPr>
        <w:t>T</w:t>
      </w:r>
      <w:r w:rsidRPr="009802E0">
        <w:rPr>
          <w:rFonts w:asciiTheme="minorEastAsia" w:eastAsiaTheme="minorEastAsia" w:hAnsiTheme="minorEastAsia" w:hint="eastAsia"/>
          <w:szCs w:val="21"/>
        </w:rPr>
        <w:t>日规定时间受理的申请，正常情况下，基金注册登记机构在</w:t>
      </w:r>
      <w:r w:rsidRPr="009802E0">
        <w:rPr>
          <w:rFonts w:asciiTheme="minorEastAsia" w:eastAsiaTheme="minorEastAsia" w:hAnsiTheme="minorEastAsia"/>
          <w:szCs w:val="21"/>
        </w:rPr>
        <w:t>T+1</w:t>
      </w:r>
      <w:r w:rsidRPr="009802E0">
        <w:rPr>
          <w:rFonts w:asciiTheme="minorEastAsia" w:eastAsiaTheme="minorEastAsia" w:hAnsiTheme="minorEastAsia" w:hint="eastAsia"/>
          <w:szCs w:val="21"/>
        </w:rPr>
        <w:t>日内为投资者对该交易的有效性进行确认，在</w:t>
      </w:r>
      <w:r w:rsidRPr="009802E0">
        <w:rPr>
          <w:rFonts w:asciiTheme="minorEastAsia" w:eastAsiaTheme="minorEastAsia" w:hAnsiTheme="minorEastAsia"/>
          <w:szCs w:val="21"/>
        </w:rPr>
        <w:t>T</w:t>
      </w:r>
      <w:r w:rsidRPr="009802E0">
        <w:rPr>
          <w:rFonts w:asciiTheme="minorEastAsia" w:eastAsiaTheme="minorEastAsia" w:hAnsiTheme="minorEastAsia" w:hint="eastAsia"/>
          <w:szCs w:val="21"/>
        </w:rPr>
        <w:t>＋</w:t>
      </w:r>
      <w:r w:rsidRPr="009802E0">
        <w:rPr>
          <w:rFonts w:asciiTheme="minorEastAsia" w:eastAsiaTheme="minorEastAsia" w:hAnsiTheme="minorEastAsia"/>
          <w:szCs w:val="21"/>
        </w:rPr>
        <w:t>2</w:t>
      </w:r>
      <w:r w:rsidRPr="009802E0">
        <w:rPr>
          <w:rFonts w:asciiTheme="minorEastAsia" w:eastAsiaTheme="minorEastAsia" w:hAnsiTheme="minorEastAsia" w:hint="eastAsia"/>
          <w:szCs w:val="21"/>
        </w:rPr>
        <w:t>日后（包括该日）投资者应当向销售机构或以销售机构规定的其他方式查询申购与赎回的成交情况。</w:t>
      </w:r>
    </w:p>
    <w:p w:rsidR="00C07E42" w:rsidRPr="009802E0" w:rsidRDefault="00C07E42"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szCs w:val="21"/>
        </w:rPr>
        <w:t>基金销售机构</w:t>
      </w:r>
      <w:r w:rsidRPr="009802E0">
        <w:rPr>
          <w:rFonts w:asciiTheme="minorEastAsia" w:eastAsiaTheme="minorEastAsia" w:hAnsiTheme="minorEastAsia" w:hint="eastAsia"/>
          <w:szCs w:val="21"/>
        </w:rPr>
        <w:t>对</w:t>
      </w:r>
      <w:r w:rsidRPr="009802E0">
        <w:rPr>
          <w:rFonts w:asciiTheme="minorEastAsia" w:eastAsiaTheme="minorEastAsia" w:hAnsiTheme="minorEastAsia"/>
          <w:szCs w:val="21"/>
        </w:rPr>
        <w:t>申购、赎回</w:t>
      </w:r>
      <w:r w:rsidRPr="009802E0">
        <w:rPr>
          <w:rFonts w:asciiTheme="minorEastAsia" w:eastAsiaTheme="minorEastAsia" w:hAnsiTheme="minorEastAsia" w:hint="eastAsia"/>
          <w:szCs w:val="21"/>
        </w:rPr>
        <w:t>申请的受理并不代表该申请一定成功，而仅代表</w:t>
      </w:r>
      <w:r w:rsidRPr="009802E0">
        <w:rPr>
          <w:rFonts w:asciiTheme="minorEastAsia" w:eastAsiaTheme="minorEastAsia" w:hAnsiTheme="minorEastAsia"/>
          <w:szCs w:val="21"/>
        </w:rPr>
        <w:t>销售</w:t>
      </w:r>
      <w:r w:rsidRPr="009802E0">
        <w:rPr>
          <w:rFonts w:asciiTheme="minorEastAsia" w:eastAsiaTheme="minorEastAsia" w:hAnsiTheme="minorEastAsia" w:hint="eastAsia"/>
          <w:szCs w:val="21"/>
        </w:rPr>
        <w:t>机构确实接收到该申请。申购</w:t>
      </w:r>
      <w:r w:rsidRPr="009802E0">
        <w:rPr>
          <w:rFonts w:asciiTheme="minorEastAsia" w:eastAsiaTheme="minorEastAsia" w:hAnsiTheme="minorEastAsia"/>
          <w:szCs w:val="21"/>
        </w:rPr>
        <w:t>、赎回</w:t>
      </w:r>
      <w:r w:rsidRPr="009802E0">
        <w:rPr>
          <w:rFonts w:asciiTheme="minorEastAsia" w:eastAsiaTheme="minorEastAsia" w:hAnsiTheme="minorEastAsia" w:hint="eastAsia"/>
          <w:szCs w:val="21"/>
        </w:rPr>
        <w:t>的确认以基金注册登记机构的确认结果为准。</w:t>
      </w:r>
    </w:p>
    <w:p w:rsidR="00C07E42" w:rsidRPr="009802E0" w:rsidRDefault="00C07E42"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3</w:t>
      </w:r>
      <w:r w:rsidR="002B5B21" w:rsidRPr="009802E0">
        <w:rPr>
          <w:rFonts w:asciiTheme="minorEastAsia" w:eastAsiaTheme="minorEastAsia" w:hAnsiTheme="minorEastAsia" w:hint="eastAsia"/>
          <w:szCs w:val="21"/>
        </w:rPr>
        <w:t>、</w:t>
      </w:r>
      <w:r w:rsidRPr="009802E0">
        <w:rPr>
          <w:rFonts w:asciiTheme="minorEastAsia" w:eastAsiaTheme="minorEastAsia" w:hAnsiTheme="minorEastAsia" w:hint="eastAsia"/>
          <w:szCs w:val="21"/>
        </w:rPr>
        <w:t>申购和赎回的款项支付</w:t>
      </w:r>
    </w:p>
    <w:p w:rsidR="00C07E42" w:rsidRPr="009802E0" w:rsidRDefault="00C07E42"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申购采用全额缴款方式，若申购资金在规定时间内未全额到账则申购不成功，投资者已交付的申购款项本金将退回投资者账户。</w:t>
      </w:r>
    </w:p>
    <w:p w:rsidR="00C07E42" w:rsidRPr="009802E0" w:rsidRDefault="00C07E42"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投资者T日赎回申请成功后，基金管理人将通过基金注册登记机构及其相关基金销售机构在</w:t>
      </w:r>
      <w:r w:rsidRPr="009802E0">
        <w:rPr>
          <w:rFonts w:asciiTheme="minorEastAsia" w:eastAsiaTheme="minorEastAsia" w:hAnsiTheme="minorEastAsia"/>
          <w:szCs w:val="21"/>
        </w:rPr>
        <w:t>T</w:t>
      </w:r>
      <w:r w:rsidRPr="009802E0">
        <w:rPr>
          <w:rFonts w:asciiTheme="minorEastAsia" w:eastAsiaTheme="minorEastAsia" w:hAnsiTheme="minorEastAsia" w:hint="eastAsia"/>
          <w:szCs w:val="21"/>
        </w:rPr>
        <w:t>＋</w:t>
      </w:r>
      <w:r w:rsidRPr="009802E0">
        <w:rPr>
          <w:rFonts w:asciiTheme="minorEastAsia" w:eastAsiaTheme="minorEastAsia" w:hAnsiTheme="minorEastAsia"/>
          <w:szCs w:val="21"/>
        </w:rPr>
        <w:t>7</w:t>
      </w:r>
      <w:r w:rsidRPr="009802E0">
        <w:rPr>
          <w:rFonts w:asciiTheme="minorEastAsia" w:eastAsiaTheme="minorEastAsia" w:hAnsiTheme="minorEastAsia" w:hint="eastAsia"/>
          <w:szCs w:val="21"/>
        </w:rPr>
        <w:t>日（包括该日）内将赎回款项划往基金份额持有人账户。在发生巨额赎回的情形时，款项的支付办法</w:t>
      </w:r>
      <w:r w:rsidR="00C366A7" w:rsidRPr="009802E0">
        <w:rPr>
          <w:rFonts w:asciiTheme="minorEastAsia" w:eastAsiaTheme="minorEastAsia" w:hAnsiTheme="minorEastAsia" w:hint="eastAsia"/>
          <w:szCs w:val="21"/>
        </w:rPr>
        <w:t>按照</w:t>
      </w:r>
      <w:r w:rsidRPr="009802E0">
        <w:rPr>
          <w:rFonts w:asciiTheme="minorEastAsia" w:eastAsiaTheme="minorEastAsia" w:hAnsiTheme="minorEastAsia" w:hint="eastAsia"/>
          <w:szCs w:val="21"/>
        </w:rPr>
        <w:t>《基金合同》的有关条款处理。</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bCs/>
        </w:rPr>
      </w:pPr>
      <w:bookmarkStart w:id="26" w:name="_Toc43301896"/>
      <w:r w:rsidRPr="009802E0">
        <w:rPr>
          <w:rFonts w:asciiTheme="minorEastAsia" w:eastAsiaTheme="minorEastAsia" w:hAnsiTheme="minorEastAsia" w:hint="eastAsia"/>
          <w:b w:val="0"/>
          <w:bCs/>
        </w:rPr>
        <w:t>（</w:t>
      </w:r>
      <w:r w:rsidR="00512F84" w:rsidRPr="009802E0">
        <w:rPr>
          <w:rFonts w:asciiTheme="minorEastAsia" w:eastAsiaTheme="minorEastAsia" w:hAnsiTheme="minorEastAsia" w:hint="eastAsia"/>
          <w:b w:val="0"/>
          <w:bCs/>
        </w:rPr>
        <w:t>六</w:t>
      </w:r>
      <w:r w:rsidRPr="009802E0">
        <w:rPr>
          <w:rFonts w:asciiTheme="minorEastAsia" w:eastAsiaTheme="minorEastAsia" w:hAnsiTheme="minorEastAsia" w:hint="eastAsia"/>
          <w:b w:val="0"/>
          <w:bCs/>
        </w:rPr>
        <w:t>）申购与赎回的数额限制</w:t>
      </w:r>
      <w:bookmarkEnd w:id="26"/>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szCs w:val="21"/>
        </w:rPr>
        <w:t>1</w:t>
      </w:r>
      <w:r w:rsidR="002B5B21" w:rsidRPr="009802E0">
        <w:rPr>
          <w:rFonts w:asciiTheme="minorEastAsia" w:eastAsiaTheme="minorEastAsia" w:hAnsiTheme="minorEastAsia" w:hint="eastAsia"/>
          <w:szCs w:val="21"/>
        </w:rPr>
        <w:t>、</w:t>
      </w:r>
      <w:r w:rsidRPr="009802E0">
        <w:rPr>
          <w:rFonts w:asciiTheme="minorEastAsia" w:eastAsiaTheme="minorEastAsia" w:hAnsiTheme="minorEastAsia" w:hint="eastAsia"/>
          <w:szCs w:val="21"/>
        </w:rPr>
        <w:t>申购金额的限制</w:t>
      </w:r>
    </w:p>
    <w:p w:rsidR="00CD6831" w:rsidRPr="009802E0" w:rsidRDefault="00B43AC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投资者通过</w:t>
      </w:r>
      <w:r w:rsidR="00AC4F2B" w:rsidRPr="009802E0">
        <w:rPr>
          <w:rFonts w:asciiTheme="minorEastAsia" w:eastAsiaTheme="minorEastAsia" w:hAnsiTheme="minorEastAsia" w:hint="eastAsia"/>
          <w:szCs w:val="21"/>
        </w:rPr>
        <w:t>本公司</w:t>
      </w:r>
      <w:r w:rsidRPr="009802E0">
        <w:rPr>
          <w:rFonts w:asciiTheme="minorEastAsia" w:eastAsiaTheme="minorEastAsia" w:hAnsiTheme="minorEastAsia" w:hint="eastAsia"/>
          <w:szCs w:val="21"/>
        </w:rPr>
        <w:t>直销中心首次申购的单笔最低金额为</w:t>
      </w:r>
      <w:r w:rsidRPr="009802E0">
        <w:rPr>
          <w:rFonts w:asciiTheme="minorEastAsia" w:eastAsiaTheme="minorEastAsia" w:hAnsiTheme="minorEastAsia"/>
          <w:szCs w:val="21"/>
        </w:rPr>
        <w:t>50</w:t>
      </w:r>
      <w:r w:rsidRPr="009802E0">
        <w:rPr>
          <w:rFonts w:asciiTheme="minorEastAsia" w:eastAsiaTheme="minorEastAsia" w:hAnsiTheme="minorEastAsia" w:hint="eastAsia"/>
          <w:szCs w:val="21"/>
        </w:rPr>
        <w:t>,</w:t>
      </w:r>
      <w:r w:rsidRPr="009802E0">
        <w:rPr>
          <w:rFonts w:asciiTheme="minorEastAsia" w:eastAsiaTheme="minorEastAsia" w:hAnsiTheme="minorEastAsia"/>
          <w:szCs w:val="21"/>
        </w:rPr>
        <w:t>000</w:t>
      </w:r>
      <w:r w:rsidRPr="009802E0">
        <w:rPr>
          <w:rFonts w:asciiTheme="minorEastAsia" w:eastAsiaTheme="minorEastAsia" w:hAnsiTheme="minorEastAsia" w:hint="eastAsia"/>
          <w:szCs w:val="21"/>
        </w:rPr>
        <w:t>元人民币</w:t>
      </w:r>
      <w:r w:rsidR="007909DB" w:rsidRPr="009802E0">
        <w:rPr>
          <w:rFonts w:asciiTheme="minorEastAsia" w:eastAsiaTheme="minorEastAsia" w:hAnsiTheme="minorEastAsia" w:hint="eastAsia"/>
          <w:szCs w:val="21"/>
        </w:rPr>
        <w:t>，追加申购单笔最低金额为</w:t>
      </w:r>
      <w:r w:rsidR="007909DB" w:rsidRPr="009802E0">
        <w:rPr>
          <w:rFonts w:asciiTheme="minorEastAsia" w:eastAsiaTheme="minorEastAsia" w:hAnsiTheme="minorEastAsia"/>
          <w:szCs w:val="21"/>
        </w:rPr>
        <w:t>1</w:t>
      </w:r>
      <w:r w:rsidR="007909DB" w:rsidRPr="009802E0">
        <w:rPr>
          <w:rFonts w:asciiTheme="minorEastAsia" w:eastAsiaTheme="minorEastAsia" w:hAnsiTheme="minorEastAsia" w:hint="eastAsia"/>
          <w:szCs w:val="21"/>
        </w:rPr>
        <w:t>,</w:t>
      </w:r>
      <w:r w:rsidR="007909DB" w:rsidRPr="009802E0">
        <w:rPr>
          <w:rFonts w:asciiTheme="minorEastAsia" w:eastAsiaTheme="minorEastAsia" w:hAnsiTheme="minorEastAsia"/>
          <w:szCs w:val="21"/>
        </w:rPr>
        <w:t>000</w:t>
      </w:r>
      <w:r w:rsidR="007909DB" w:rsidRPr="009802E0">
        <w:rPr>
          <w:rFonts w:asciiTheme="minorEastAsia" w:eastAsiaTheme="minorEastAsia" w:hAnsiTheme="minorEastAsia" w:hint="eastAsia"/>
          <w:szCs w:val="21"/>
        </w:rPr>
        <w:t>元人民币；</w:t>
      </w:r>
      <w:r w:rsidRPr="009802E0">
        <w:rPr>
          <w:rFonts w:asciiTheme="minorEastAsia" w:eastAsiaTheme="minorEastAsia" w:hAnsiTheme="minorEastAsia" w:hint="eastAsia"/>
          <w:szCs w:val="21"/>
        </w:rPr>
        <w:t>通过</w:t>
      </w:r>
      <w:r w:rsidR="007909DB" w:rsidRPr="009802E0">
        <w:rPr>
          <w:rFonts w:asciiTheme="minorEastAsia" w:eastAsiaTheme="minorEastAsia" w:hAnsiTheme="minorEastAsia" w:hint="eastAsia"/>
          <w:szCs w:val="21"/>
        </w:rPr>
        <w:t>非直销销售机构</w:t>
      </w:r>
      <w:r w:rsidRPr="009802E0">
        <w:rPr>
          <w:rFonts w:asciiTheme="minorEastAsia" w:eastAsiaTheme="minorEastAsia" w:hAnsiTheme="minorEastAsia" w:hint="eastAsia"/>
          <w:szCs w:val="21"/>
        </w:rPr>
        <w:t>或本公司网上交易系统首次申购的单笔最低金额为</w:t>
      </w:r>
      <w:r w:rsidRPr="009802E0">
        <w:rPr>
          <w:rFonts w:asciiTheme="minorEastAsia" w:eastAsiaTheme="minorEastAsia" w:hAnsiTheme="minorEastAsia"/>
          <w:szCs w:val="21"/>
        </w:rPr>
        <w:t>1</w:t>
      </w:r>
      <w:r w:rsidRPr="009802E0">
        <w:rPr>
          <w:rFonts w:asciiTheme="minorEastAsia" w:eastAsiaTheme="minorEastAsia" w:hAnsiTheme="minorEastAsia" w:hint="eastAsia"/>
          <w:szCs w:val="21"/>
        </w:rPr>
        <w:t>元人民币</w:t>
      </w:r>
      <w:r w:rsidR="007909DB" w:rsidRPr="009802E0">
        <w:rPr>
          <w:rFonts w:asciiTheme="minorEastAsia" w:eastAsiaTheme="minorEastAsia" w:hAnsiTheme="minorEastAsia" w:hint="eastAsia"/>
          <w:szCs w:val="21"/>
        </w:rPr>
        <w:t>，</w:t>
      </w:r>
      <w:r w:rsidRPr="009802E0">
        <w:rPr>
          <w:rFonts w:asciiTheme="minorEastAsia" w:eastAsiaTheme="minorEastAsia" w:hAnsiTheme="minorEastAsia" w:hint="eastAsia"/>
          <w:szCs w:val="21"/>
        </w:rPr>
        <w:t>追加申购单笔最低金额为</w:t>
      </w:r>
      <w:r w:rsidRPr="009802E0">
        <w:rPr>
          <w:rFonts w:asciiTheme="minorEastAsia" w:eastAsiaTheme="minorEastAsia" w:hAnsiTheme="minorEastAsia"/>
          <w:szCs w:val="21"/>
        </w:rPr>
        <w:t>1</w:t>
      </w:r>
      <w:r w:rsidRPr="009802E0">
        <w:rPr>
          <w:rFonts w:asciiTheme="minorEastAsia" w:eastAsiaTheme="minorEastAsia" w:hAnsiTheme="minorEastAsia" w:hint="eastAsia"/>
          <w:szCs w:val="21"/>
        </w:rPr>
        <w:t>元人民币</w:t>
      </w:r>
      <w:r w:rsidR="007909DB" w:rsidRPr="009802E0">
        <w:rPr>
          <w:rFonts w:asciiTheme="minorEastAsia" w:eastAsiaTheme="minorEastAsia" w:hAnsiTheme="minorEastAsia" w:hint="eastAsia"/>
          <w:szCs w:val="21"/>
        </w:rPr>
        <w:t>。</w:t>
      </w:r>
      <w:r w:rsidR="00BC5A75" w:rsidRPr="009802E0">
        <w:rPr>
          <w:rFonts w:asciiTheme="minorEastAsia" w:eastAsiaTheme="minorEastAsia" w:hAnsiTheme="minorEastAsia" w:hint="eastAsia"/>
          <w:szCs w:val="21"/>
        </w:rPr>
        <w:t>在符合法律法规规定的前提下，</w:t>
      </w:r>
      <w:r w:rsidRPr="009802E0">
        <w:rPr>
          <w:rFonts w:asciiTheme="minorEastAsia" w:eastAsiaTheme="minorEastAsia" w:hAnsiTheme="minorEastAsia" w:hint="eastAsia"/>
          <w:szCs w:val="21"/>
        </w:rPr>
        <w:t>各销售机构对</w:t>
      </w:r>
      <w:r w:rsidR="007909DB" w:rsidRPr="009802E0">
        <w:rPr>
          <w:rFonts w:asciiTheme="minorEastAsia" w:eastAsiaTheme="minorEastAsia" w:hAnsiTheme="minorEastAsia" w:hint="eastAsia"/>
          <w:szCs w:val="21"/>
        </w:rPr>
        <w:t>最低</w:t>
      </w:r>
      <w:r w:rsidRPr="009802E0">
        <w:rPr>
          <w:rFonts w:asciiTheme="minorEastAsia" w:eastAsiaTheme="minorEastAsia" w:hAnsiTheme="minorEastAsia" w:hint="eastAsia"/>
          <w:szCs w:val="21"/>
        </w:rPr>
        <w:t>申购</w:t>
      </w:r>
      <w:r w:rsidR="007909DB" w:rsidRPr="009802E0">
        <w:rPr>
          <w:rFonts w:asciiTheme="minorEastAsia" w:eastAsiaTheme="minorEastAsia" w:hAnsiTheme="minorEastAsia" w:hint="eastAsia"/>
          <w:szCs w:val="21"/>
        </w:rPr>
        <w:t>限额</w:t>
      </w:r>
      <w:r w:rsidRPr="009802E0">
        <w:rPr>
          <w:rFonts w:asciiTheme="minorEastAsia" w:eastAsiaTheme="minorEastAsia" w:hAnsiTheme="minorEastAsia" w:hint="eastAsia"/>
          <w:szCs w:val="21"/>
        </w:rPr>
        <w:t>及交易级差有其他规定的，</w:t>
      </w:r>
      <w:r w:rsidR="00DE13F2" w:rsidRPr="009802E0">
        <w:rPr>
          <w:rFonts w:asciiTheme="minorEastAsia" w:eastAsiaTheme="minorEastAsia" w:hAnsiTheme="minorEastAsia" w:hint="eastAsia"/>
          <w:szCs w:val="21"/>
        </w:rPr>
        <w:t>需同时遵循该销售机构的相关规定</w:t>
      </w:r>
      <w:r w:rsidR="00CD6831" w:rsidRPr="009802E0">
        <w:rPr>
          <w:rFonts w:asciiTheme="minorEastAsia" w:eastAsiaTheme="minorEastAsia" w:hAnsiTheme="minorEastAsia" w:hint="eastAsia"/>
          <w:szCs w:val="21"/>
        </w:rPr>
        <w:t>。</w:t>
      </w:r>
      <w:r w:rsidR="00C17DE6" w:rsidRPr="009802E0">
        <w:rPr>
          <w:rFonts w:asciiTheme="minorEastAsia" w:eastAsiaTheme="minorEastAsia" w:hAnsiTheme="minorEastAsia"/>
          <w:szCs w:val="21"/>
        </w:rPr>
        <w:t>(</w:t>
      </w:r>
      <w:r w:rsidR="00C17DE6" w:rsidRPr="009802E0">
        <w:rPr>
          <w:rFonts w:asciiTheme="minorEastAsia" w:eastAsiaTheme="minorEastAsia" w:hAnsiTheme="minorEastAsia" w:hint="eastAsia"/>
          <w:szCs w:val="21"/>
        </w:rPr>
        <w:t>以上金额均含申购费</w:t>
      </w:r>
      <w:r w:rsidR="00C17DE6" w:rsidRPr="009802E0">
        <w:rPr>
          <w:rFonts w:asciiTheme="minorEastAsia" w:eastAsiaTheme="minorEastAsia" w:hAnsiTheme="minorEastAsia"/>
          <w:szCs w:val="21"/>
        </w:rPr>
        <w:t>)</w:t>
      </w:r>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投资者将当期分配的基金收益转购基金份额或采用定期定额投资计划时，不受最低申购金额的限制。</w:t>
      </w:r>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投资者可多次申购，对单个投资者累计持有份额不设上限限制。</w:t>
      </w:r>
      <w:r w:rsidR="00954E08" w:rsidRPr="009802E0">
        <w:rPr>
          <w:rFonts w:asciiTheme="minorEastAsia" w:eastAsiaTheme="minorEastAsia" w:hAnsiTheme="minorEastAsia" w:hint="eastAsia"/>
          <w:szCs w:val="21"/>
        </w:rPr>
        <w:t>但对于可能导致单一投资者持有基金份额的比例达到或者超过50%，或者变相规避50%集中度的情形，基金管理人有权按照相关法律法规采取控制措施。</w:t>
      </w:r>
      <w:r w:rsidRPr="009802E0">
        <w:rPr>
          <w:rFonts w:asciiTheme="minorEastAsia" w:eastAsiaTheme="minorEastAsia" w:hAnsiTheme="minorEastAsia" w:hint="eastAsia"/>
          <w:szCs w:val="21"/>
        </w:rPr>
        <w:t>法律法规、中国证监会另有规定的除外。</w:t>
      </w:r>
    </w:p>
    <w:p w:rsidR="00B43AC4" w:rsidRPr="009802E0" w:rsidRDefault="00B43AC4"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kern w:val="0"/>
          <w:szCs w:val="21"/>
        </w:rPr>
        <w:t>2</w:t>
      </w:r>
      <w:r w:rsidR="002B5B21"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赎回份额的限制</w:t>
      </w:r>
    </w:p>
    <w:p w:rsidR="003679A9" w:rsidRPr="009802E0" w:rsidRDefault="003679A9"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rPr>
        <w:t>投资者可将其全部或部分基金份额赎回。</w:t>
      </w:r>
      <w:r w:rsidRPr="009802E0">
        <w:rPr>
          <w:rFonts w:asciiTheme="minorEastAsia" w:eastAsiaTheme="minorEastAsia" w:hAnsiTheme="minorEastAsia" w:cs="TT64E9BFA0tCID-WinCharSetFFFF-H" w:hint="eastAsia"/>
          <w:kern w:val="0"/>
          <w:szCs w:val="21"/>
        </w:rPr>
        <w:t>每类基金份额</w:t>
      </w:r>
      <w:r w:rsidRPr="009802E0">
        <w:rPr>
          <w:rFonts w:asciiTheme="minorEastAsia" w:eastAsiaTheme="minorEastAsia" w:hAnsiTheme="minorEastAsia"/>
        </w:rPr>
        <w:t>单笔赎回或转换不得少于1份(</w:t>
      </w:r>
      <w:r w:rsidR="008A7E0E" w:rsidRPr="009802E0">
        <w:rPr>
          <w:rFonts w:asciiTheme="minorEastAsia" w:eastAsiaTheme="minorEastAsia" w:hAnsiTheme="minorEastAsia"/>
        </w:rPr>
        <w:t>如该</w:t>
      </w:r>
      <w:r w:rsidR="008A7E0E" w:rsidRPr="009802E0">
        <w:rPr>
          <w:rFonts w:asciiTheme="minorEastAsia" w:eastAsiaTheme="minorEastAsia" w:hAnsiTheme="minorEastAsia" w:hint="eastAsia"/>
        </w:rPr>
        <w:t>账户</w:t>
      </w:r>
      <w:r w:rsidR="008A7E0E" w:rsidRPr="009802E0">
        <w:rPr>
          <w:rFonts w:asciiTheme="minorEastAsia" w:eastAsiaTheme="minorEastAsia" w:hAnsiTheme="minorEastAsia"/>
        </w:rPr>
        <w:t>在该销售机构托管的</w:t>
      </w:r>
      <w:r w:rsidR="008A7E0E" w:rsidRPr="009802E0">
        <w:rPr>
          <w:rFonts w:asciiTheme="minorEastAsia" w:eastAsiaTheme="minorEastAsia" w:hAnsiTheme="minorEastAsia" w:hint="eastAsia"/>
        </w:rPr>
        <w:t>该类</w:t>
      </w:r>
      <w:r w:rsidR="008A7E0E" w:rsidRPr="009802E0">
        <w:rPr>
          <w:rFonts w:asciiTheme="minorEastAsia" w:eastAsiaTheme="minorEastAsia" w:hAnsiTheme="minorEastAsia"/>
        </w:rPr>
        <w:t>基金余额不足</w:t>
      </w:r>
      <w:r w:rsidRPr="009802E0">
        <w:rPr>
          <w:rFonts w:asciiTheme="minorEastAsia" w:eastAsiaTheme="minorEastAsia" w:hAnsiTheme="minorEastAsia"/>
        </w:rPr>
        <w:t>1份，则必须一次性赎回或转出该</w:t>
      </w:r>
      <w:r w:rsidRPr="009802E0">
        <w:rPr>
          <w:rFonts w:asciiTheme="minorEastAsia" w:eastAsiaTheme="minorEastAsia" w:hAnsiTheme="minorEastAsia" w:hint="eastAsia"/>
        </w:rPr>
        <w:t>类</w:t>
      </w:r>
      <w:r w:rsidRPr="009802E0">
        <w:rPr>
          <w:rFonts w:asciiTheme="minorEastAsia" w:eastAsiaTheme="minorEastAsia" w:hAnsiTheme="minorEastAsia"/>
        </w:rPr>
        <w:t>基金全部份额)；若某笔赎回将导致投资者在</w:t>
      </w:r>
      <w:r w:rsidR="008A7E0E" w:rsidRPr="009802E0">
        <w:rPr>
          <w:rFonts w:asciiTheme="minorEastAsia" w:eastAsiaTheme="minorEastAsia" w:hAnsiTheme="minorEastAsia" w:hint="eastAsia"/>
        </w:rPr>
        <w:t>该</w:t>
      </w:r>
      <w:r w:rsidRPr="009802E0">
        <w:rPr>
          <w:rFonts w:asciiTheme="minorEastAsia" w:eastAsiaTheme="minorEastAsia" w:hAnsiTheme="minorEastAsia"/>
        </w:rPr>
        <w:t>销售机构托管的</w:t>
      </w:r>
      <w:r w:rsidRPr="009802E0">
        <w:rPr>
          <w:rFonts w:asciiTheme="minorEastAsia" w:eastAsiaTheme="minorEastAsia" w:hAnsiTheme="minorEastAsia" w:hint="eastAsia"/>
        </w:rPr>
        <w:t>该类</w:t>
      </w:r>
      <w:r w:rsidRPr="009802E0">
        <w:rPr>
          <w:rFonts w:asciiTheme="minorEastAsia" w:eastAsiaTheme="minorEastAsia" w:hAnsiTheme="minorEastAsia"/>
        </w:rPr>
        <w:t>基金余额不足1份时，基金管理人有权将投资者在该销售机构托管的该</w:t>
      </w:r>
      <w:r w:rsidRPr="009802E0">
        <w:rPr>
          <w:rFonts w:asciiTheme="minorEastAsia" w:eastAsiaTheme="minorEastAsia" w:hAnsiTheme="minorEastAsia" w:hint="eastAsia"/>
        </w:rPr>
        <w:t>类</w:t>
      </w:r>
      <w:r w:rsidRPr="009802E0">
        <w:rPr>
          <w:rFonts w:asciiTheme="minorEastAsia" w:eastAsiaTheme="minorEastAsia" w:hAnsiTheme="minorEastAsia"/>
        </w:rPr>
        <w:t>基金剩余份额一次性全部赎回。</w:t>
      </w:r>
      <w:r w:rsidR="00BC5A75" w:rsidRPr="009802E0">
        <w:rPr>
          <w:rFonts w:asciiTheme="minorEastAsia" w:eastAsiaTheme="minorEastAsia" w:hAnsiTheme="minorEastAsia" w:hint="eastAsia"/>
        </w:rPr>
        <w:t>在符合法律法规规定的前提下，</w:t>
      </w:r>
      <w:r w:rsidRPr="009802E0">
        <w:rPr>
          <w:rFonts w:asciiTheme="minorEastAsia" w:eastAsiaTheme="minorEastAsia" w:hAnsiTheme="minorEastAsia"/>
        </w:rPr>
        <w:t>各销售机构对赎回份额限制有其他规定的</w:t>
      </w:r>
      <w:r w:rsidRPr="009802E0">
        <w:rPr>
          <w:rFonts w:asciiTheme="minorEastAsia" w:eastAsiaTheme="minorEastAsia" w:hAnsiTheme="minorEastAsia" w:hint="eastAsia"/>
        </w:rPr>
        <w:t>，</w:t>
      </w:r>
      <w:r w:rsidR="00DE13F2" w:rsidRPr="009802E0">
        <w:rPr>
          <w:rFonts w:asciiTheme="minorEastAsia" w:eastAsiaTheme="minorEastAsia" w:hAnsiTheme="minorEastAsia" w:hint="eastAsia"/>
          <w:szCs w:val="21"/>
        </w:rPr>
        <w:t>需同时遵循该销售机构的相关规定</w:t>
      </w:r>
      <w:r w:rsidRPr="009802E0">
        <w:rPr>
          <w:rFonts w:asciiTheme="minorEastAsia" w:eastAsiaTheme="minorEastAsia" w:hAnsiTheme="minorEastAsia"/>
        </w:rPr>
        <w:t>。</w:t>
      </w:r>
    </w:p>
    <w:p w:rsidR="00954E08" w:rsidRPr="009802E0" w:rsidRDefault="00CD597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3</w:t>
      </w:r>
      <w:r w:rsidR="002B5B21" w:rsidRPr="009802E0">
        <w:rPr>
          <w:rFonts w:asciiTheme="minorEastAsia" w:eastAsiaTheme="minorEastAsia" w:hAnsiTheme="minorEastAsia" w:hint="eastAsia"/>
          <w:szCs w:val="21"/>
        </w:rPr>
        <w:t>、</w:t>
      </w:r>
      <w:r w:rsidR="00954E08" w:rsidRPr="009802E0">
        <w:rPr>
          <w:rFonts w:asciiTheme="minorEastAsia" w:eastAsiaTheme="minorEastAsia" w:hAnsiTheme="minorEastAsia" w:hint="eastAsia"/>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B43AC4" w:rsidRPr="009802E0" w:rsidRDefault="00954E08"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4</w:t>
      </w:r>
      <w:r w:rsidRPr="009802E0">
        <w:rPr>
          <w:rFonts w:asciiTheme="minorEastAsia" w:eastAsiaTheme="minorEastAsia" w:hAnsiTheme="minorEastAsia"/>
          <w:szCs w:val="21"/>
        </w:rPr>
        <w:t>、</w:t>
      </w:r>
      <w:r w:rsidR="00B012F3" w:rsidRPr="009802E0">
        <w:rPr>
          <w:rFonts w:asciiTheme="minorEastAsia" w:eastAsiaTheme="minorEastAsia" w:hAnsiTheme="minorEastAsia" w:hint="eastAsia"/>
          <w:szCs w:val="21"/>
        </w:rPr>
        <w:t>基金管理人可根据市场情况制定或调整上述申购、赎回的程序及有关限制</w:t>
      </w:r>
      <w:r w:rsidRPr="009802E0">
        <w:rPr>
          <w:rFonts w:asciiTheme="minorEastAsia" w:eastAsiaTheme="minorEastAsia" w:hAnsiTheme="minorEastAsia" w:hint="eastAsia"/>
          <w:szCs w:val="21"/>
        </w:rPr>
        <w:t>，或者新增基金规模控制措施</w:t>
      </w:r>
      <w:r w:rsidR="00B012F3" w:rsidRPr="009802E0">
        <w:rPr>
          <w:rFonts w:asciiTheme="minorEastAsia" w:eastAsiaTheme="minorEastAsia" w:hAnsiTheme="minorEastAsia" w:hint="eastAsia"/>
          <w:szCs w:val="21"/>
        </w:rPr>
        <w:t>，但应按照《信息披露办法》或其他相关规定在调整生效前至少在一家</w:t>
      </w:r>
      <w:r w:rsidR="004E4473" w:rsidRPr="009802E0">
        <w:rPr>
          <w:rFonts w:asciiTheme="minorEastAsia" w:eastAsiaTheme="minorEastAsia" w:hAnsiTheme="minorEastAsia" w:hint="eastAsia"/>
          <w:szCs w:val="21"/>
        </w:rPr>
        <w:t>指定媒介</w:t>
      </w:r>
      <w:r w:rsidR="00B012F3" w:rsidRPr="009802E0">
        <w:rPr>
          <w:rFonts w:asciiTheme="minorEastAsia" w:eastAsiaTheme="minorEastAsia" w:hAnsiTheme="minorEastAsia" w:hint="eastAsia"/>
          <w:szCs w:val="21"/>
        </w:rPr>
        <w:t>及基金管理人网站公告</w:t>
      </w:r>
      <w:r w:rsidR="00B43AC4" w:rsidRPr="009802E0">
        <w:rPr>
          <w:rFonts w:asciiTheme="minorEastAsia" w:eastAsiaTheme="minorEastAsia" w:hAnsiTheme="minorEastAsia" w:hint="eastAsia"/>
          <w:szCs w:val="21"/>
        </w:rPr>
        <w:t>。</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bCs/>
        </w:rPr>
      </w:pPr>
      <w:bookmarkStart w:id="27" w:name="_Toc43301897"/>
      <w:r w:rsidRPr="009802E0">
        <w:rPr>
          <w:rFonts w:asciiTheme="minorEastAsia" w:eastAsiaTheme="minorEastAsia" w:hAnsiTheme="minorEastAsia" w:hint="eastAsia"/>
          <w:b w:val="0"/>
          <w:bCs/>
        </w:rPr>
        <w:t>（</w:t>
      </w:r>
      <w:r w:rsidR="000640A9" w:rsidRPr="009802E0">
        <w:rPr>
          <w:rFonts w:asciiTheme="minorEastAsia" w:eastAsiaTheme="minorEastAsia" w:hAnsiTheme="minorEastAsia" w:hint="eastAsia"/>
          <w:b w:val="0"/>
          <w:bCs/>
        </w:rPr>
        <w:t>七</w:t>
      </w:r>
      <w:r w:rsidRPr="009802E0">
        <w:rPr>
          <w:rFonts w:asciiTheme="minorEastAsia" w:eastAsiaTheme="minorEastAsia" w:hAnsiTheme="minorEastAsia" w:hint="eastAsia"/>
          <w:b w:val="0"/>
          <w:bCs/>
        </w:rPr>
        <w:t>）基金的申购费和赎回费</w:t>
      </w:r>
      <w:bookmarkEnd w:id="27"/>
    </w:p>
    <w:p w:rsidR="00EA0A92" w:rsidRPr="009802E0" w:rsidRDefault="00EA0A92"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1</w:t>
      </w:r>
      <w:r w:rsidR="002B5B21" w:rsidRPr="009802E0">
        <w:rPr>
          <w:rFonts w:asciiTheme="minorEastAsia" w:eastAsiaTheme="minorEastAsia" w:hAnsiTheme="minorEastAsia" w:hint="eastAsia"/>
          <w:szCs w:val="21"/>
        </w:rPr>
        <w:t>、</w:t>
      </w:r>
      <w:r w:rsidRPr="009802E0">
        <w:rPr>
          <w:rFonts w:asciiTheme="minorEastAsia" w:eastAsiaTheme="minorEastAsia" w:hAnsiTheme="minorEastAsia" w:hint="eastAsia"/>
          <w:szCs w:val="21"/>
        </w:rPr>
        <w:t>本基金将基金份额分为</w:t>
      </w:r>
      <w:r w:rsidRPr="009802E0">
        <w:rPr>
          <w:rFonts w:asciiTheme="minorEastAsia" w:eastAsiaTheme="minorEastAsia" w:hAnsiTheme="minorEastAsia"/>
          <w:szCs w:val="21"/>
        </w:rPr>
        <w:t>A</w:t>
      </w:r>
      <w:r w:rsidRPr="009802E0">
        <w:rPr>
          <w:rFonts w:asciiTheme="minorEastAsia" w:eastAsiaTheme="minorEastAsia" w:hAnsiTheme="minorEastAsia" w:hint="eastAsia"/>
          <w:szCs w:val="21"/>
        </w:rPr>
        <w:t>类基金份额和B类基金份额两类。其中：</w:t>
      </w:r>
    </w:p>
    <w:p w:rsidR="00EA0A92" w:rsidRPr="009802E0" w:rsidRDefault="00EA0A92"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szCs w:val="21"/>
        </w:rPr>
        <w:t>A</w:t>
      </w:r>
      <w:r w:rsidRPr="009802E0">
        <w:rPr>
          <w:rFonts w:asciiTheme="minorEastAsia" w:eastAsiaTheme="minorEastAsia" w:hAnsiTheme="minorEastAsia" w:hint="eastAsia"/>
          <w:szCs w:val="21"/>
        </w:rPr>
        <w:t>类基金份额收取认购</w:t>
      </w:r>
      <w:r w:rsidRPr="009802E0">
        <w:rPr>
          <w:rFonts w:asciiTheme="minorEastAsia" w:eastAsiaTheme="minorEastAsia" w:hAnsiTheme="minorEastAsia"/>
          <w:szCs w:val="21"/>
        </w:rPr>
        <w:t>/</w:t>
      </w:r>
      <w:r w:rsidRPr="009802E0">
        <w:rPr>
          <w:rFonts w:asciiTheme="minorEastAsia" w:eastAsiaTheme="minorEastAsia" w:hAnsiTheme="minorEastAsia" w:hint="eastAsia"/>
          <w:szCs w:val="21"/>
        </w:rPr>
        <w:t>申购、赎回费；B类基金份额从本类别基金资产中计提销售服务费、不收取认购</w:t>
      </w:r>
      <w:r w:rsidRPr="009802E0">
        <w:rPr>
          <w:rFonts w:asciiTheme="minorEastAsia" w:eastAsiaTheme="minorEastAsia" w:hAnsiTheme="minorEastAsia"/>
          <w:szCs w:val="21"/>
        </w:rPr>
        <w:t>/</w:t>
      </w:r>
      <w:r w:rsidRPr="009802E0">
        <w:rPr>
          <w:rFonts w:asciiTheme="minorEastAsia" w:eastAsiaTheme="minorEastAsia" w:hAnsiTheme="minorEastAsia" w:hint="eastAsia"/>
          <w:szCs w:val="21"/>
        </w:rPr>
        <w:t>申购费用，B类基金份额对持有期限少于</w:t>
      </w:r>
      <w:r w:rsidRPr="009802E0">
        <w:rPr>
          <w:rFonts w:asciiTheme="minorEastAsia" w:eastAsiaTheme="minorEastAsia" w:hAnsiTheme="minorEastAsia"/>
          <w:szCs w:val="21"/>
        </w:rPr>
        <w:t>30</w:t>
      </w:r>
      <w:r w:rsidRPr="009802E0">
        <w:rPr>
          <w:rFonts w:asciiTheme="minorEastAsia" w:eastAsiaTheme="minorEastAsia" w:hAnsiTheme="minorEastAsia" w:hint="eastAsia"/>
          <w:szCs w:val="21"/>
        </w:rPr>
        <w:t>日的本类别基金份额的赎回收取赎回费，对于持有期限不少于</w:t>
      </w:r>
      <w:r w:rsidRPr="009802E0">
        <w:rPr>
          <w:rFonts w:asciiTheme="minorEastAsia" w:eastAsiaTheme="minorEastAsia" w:hAnsiTheme="minorEastAsia"/>
          <w:szCs w:val="21"/>
        </w:rPr>
        <w:t>30</w:t>
      </w:r>
      <w:r w:rsidRPr="009802E0">
        <w:rPr>
          <w:rFonts w:asciiTheme="minorEastAsia" w:eastAsiaTheme="minorEastAsia" w:hAnsiTheme="minorEastAsia" w:hint="eastAsia"/>
          <w:szCs w:val="21"/>
        </w:rPr>
        <w:t>日的本类别基金份额不收取赎回费；</w:t>
      </w:r>
    </w:p>
    <w:p w:rsidR="00FE504B" w:rsidRPr="009802E0" w:rsidRDefault="00FE504B"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2</w:t>
      </w:r>
      <w:r w:rsidR="002B5B21" w:rsidRPr="009802E0">
        <w:rPr>
          <w:rFonts w:asciiTheme="minorEastAsia" w:eastAsiaTheme="minorEastAsia" w:hAnsiTheme="minorEastAsia" w:hint="eastAsia"/>
          <w:szCs w:val="21"/>
        </w:rPr>
        <w:t>、</w:t>
      </w:r>
      <w:r w:rsidRPr="009802E0">
        <w:rPr>
          <w:rFonts w:asciiTheme="minorEastAsia" w:eastAsiaTheme="minorEastAsia" w:hAnsiTheme="minorEastAsia" w:hint="eastAsia"/>
          <w:szCs w:val="21"/>
        </w:rPr>
        <w:t>本基金的申购费用由基金申购人承担，不列入基金财产，主要用于本基金的市场推广、销售、注册登记等各项费用。赎回费用由基金赎回人承担。</w:t>
      </w:r>
    </w:p>
    <w:p w:rsidR="00C3696F" w:rsidRPr="009802E0" w:rsidRDefault="00FE504B"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3</w:t>
      </w:r>
      <w:r w:rsidR="002B5B21" w:rsidRPr="009802E0">
        <w:rPr>
          <w:rFonts w:asciiTheme="minorEastAsia" w:eastAsiaTheme="minorEastAsia" w:hAnsiTheme="minorEastAsia" w:hint="eastAsia"/>
          <w:szCs w:val="21"/>
        </w:rPr>
        <w:t>、</w:t>
      </w:r>
      <w:r w:rsidR="00C3696F" w:rsidRPr="009802E0">
        <w:rPr>
          <w:rFonts w:asciiTheme="minorEastAsia" w:eastAsiaTheme="minorEastAsia" w:hAnsiTheme="minorEastAsia" w:hint="eastAsia"/>
          <w:szCs w:val="21"/>
        </w:rPr>
        <w:t>申购费率：</w:t>
      </w:r>
    </w:p>
    <w:p w:rsidR="00072ECB" w:rsidRPr="009802E0" w:rsidRDefault="00072ECB"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本基金</w:t>
      </w:r>
      <w:r w:rsidR="00D57897" w:rsidRPr="009802E0">
        <w:rPr>
          <w:rFonts w:asciiTheme="minorEastAsia" w:eastAsiaTheme="minorEastAsia" w:hAnsiTheme="minorEastAsia" w:hint="eastAsia"/>
          <w:szCs w:val="21"/>
        </w:rPr>
        <w:t>A类基金份额</w:t>
      </w:r>
      <w:r w:rsidRPr="009802E0">
        <w:rPr>
          <w:rFonts w:asciiTheme="minorEastAsia" w:eastAsiaTheme="minorEastAsia" w:hAnsiTheme="minorEastAsia" w:hint="eastAsia"/>
          <w:szCs w:val="21"/>
        </w:rPr>
        <w:t>对通过</w:t>
      </w:r>
      <w:r w:rsidR="00AC4F2B" w:rsidRPr="009802E0">
        <w:rPr>
          <w:rFonts w:asciiTheme="minorEastAsia" w:eastAsiaTheme="minorEastAsia" w:hAnsiTheme="minorEastAsia" w:hint="eastAsia"/>
          <w:szCs w:val="21"/>
        </w:rPr>
        <w:t>本公司</w:t>
      </w:r>
      <w:r w:rsidRPr="009802E0">
        <w:rPr>
          <w:rFonts w:asciiTheme="minorEastAsia" w:eastAsiaTheme="minorEastAsia" w:hAnsiTheme="minorEastAsia" w:hint="eastAsia"/>
          <w:szCs w:val="21"/>
        </w:rPr>
        <w:t>直销中心</w:t>
      </w:r>
      <w:r w:rsidR="0007634E" w:rsidRPr="009802E0">
        <w:rPr>
          <w:rFonts w:asciiTheme="minorEastAsia" w:eastAsiaTheme="minorEastAsia" w:hAnsiTheme="minorEastAsia" w:hint="eastAsia"/>
          <w:szCs w:val="21"/>
        </w:rPr>
        <w:t>申购</w:t>
      </w:r>
      <w:r w:rsidRPr="009802E0">
        <w:rPr>
          <w:rFonts w:asciiTheme="minorEastAsia" w:eastAsiaTheme="minorEastAsia" w:hAnsiTheme="minorEastAsia" w:hint="eastAsia"/>
          <w:szCs w:val="21"/>
        </w:rPr>
        <w:t>的</w:t>
      </w:r>
      <w:r w:rsidR="00F63055" w:rsidRPr="009802E0">
        <w:rPr>
          <w:rFonts w:asciiTheme="minorEastAsia" w:eastAsiaTheme="minorEastAsia" w:hAnsiTheme="minorEastAsia" w:hint="eastAsia"/>
          <w:szCs w:val="21"/>
        </w:rPr>
        <w:t>特定投资群体</w:t>
      </w:r>
      <w:r w:rsidRPr="009802E0">
        <w:rPr>
          <w:rFonts w:asciiTheme="minorEastAsia" w:eastAsiaTheme="minorEastAsia" w:hAnsiTheme="minorEastAsia" w:hint="eastAsia"/>
          <w:szCs w:val="21"/>
        </w:rPr>
        <w:t>与除此之外的其他投资者实施差别的</w:t>
      </w:r>
      <w:r w:rsidR="00452177" w:rsidRPr="009802E0">
        <w:rPr>
          <w:rFonts w:asciiTheme="minorEastAsia" w:eastAsiaTheme="minorEastAsia" w:hAnsiTheme="minorEastAsia" w:hint="eastAsia"/>
          <w:szCs w:val="21"/>
        </w:rPr>
        <w:t>申购</w:t>
      </w:r>
      <w:r w:rsidRPr="009802E0">
        <w:rPr>
          <w:rFonts w:asciiTheme="minorEastAsia" w:eastAsiaTheme="minorEastAsia" w:hAnsiTheme="minorEastAsia" w:hint="eastAsia"/>
          <w:szCs w:val="21"/>
        </w:rPr>
        <w:t>费率。</w:t>
      </w:r>
    </w:p>
    <w:p w:rsidR="00F63055" w:rsidRPr="009802E0" w:rsidRDefault="00F63055"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830CDF" w:rsidRPr="009802E0" w:rsidRDefault="00830CDF"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通过基金管理人的直销中心申购本基金A类份额的</w:t>
      </w:r>
      <w:r w:rsidR="00F63055" w:rsidRPr="009802E0">
        <w:rPr>
          <w:rFonts w:asciiTheme="minorEastAsia" w:eastAsiaTheme="minorEastAsia" w:hAnsiTheme="minorEastAsia" w:hint="eastAsia"/>
          <w:szCs w:val="21"/>
        </w:rPr>
        <w:t>特定投资群体</w:t>
      </w:r>
      <w:r w:rsidRPr="009802E0">
        <w:rPr>
          <w:rFonts w:asciiTheme="minorEastAsia" w:eastAsiaTheme="minorEastAsia" w:hAnsiTheme="minorEastAsia" w:hint="eastAsia"/>
          <w:szCs w:val="21"/>
        </w:rPr>
        <w:t>申购费率见下表：</w:t>
      </w:r>
    </w:p>
    <w:tbl>
      <w:tblPr>
        <w:tblW w:w="7574" w:type="dxa"/>
        <w:jc w:val="center"/>
        <w:tblLook w:val="0000" w:firstRow="0" w:lastRow="0" w:firstColumn="0" w:lastColumn="0" w:noHBand="0" w:noVBand="0"/>
      </w:tblPr>
      <w:tblGrid>
        <w:gridCol w:w="3794"/>
        <w:gridCol w:w="3780"/>
      </w:tblGrid>
      <w:tr w:rsidR="009802E0" w:rsidRPr="009802E0" w:rsidTr="00FB7177">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830CDF" w:rsidRPr="009802E0" w:rsidRDefault="00830CDF" w:rsidP="00FE018D">
            <w:pPr>
              <w:widowControl/>
              <w:adjustRightInd w:val="0"/>
              <w:snapToGrid w:val="0"/>
              <w:spacing w:line="360" w:lineRule="auto"/>
              <w:jc w:val="center"/>
              <w:rPr>
                <w:rFonts w:asciiTheme="minorEastAsia" w:eastAsiaTheme="minorEastAsia" w:hAnsiTheme="minorEastAsia" w:cs="宋体"/>
                <w:b/>
                <w:bCs/>
                <w:kern w:val="0"/>
                <w:szCs w:val="21"/>
              </w:rPr>
            </w:pPr>
            <w:r w:rsidRPr="009802E0">
              <w:rPr>
                <w:rFonts w:asciiTheme="minorEastAsia" w:eastAsiaTheme="minorEastAsia" w:hAnsiTheme="minorEastAsia" w:cs="宋体" w:hint="eastAsia"/>
                <w:b/>
                <w:bCs/>
                <w:kern w:val="0"/>
                <w:szCs w:val="21"/>
              </w:rPr>
              <w:t>申购金额M（元）（含申购费）</w:t>
            </w:r>
          </w:p>
        </w:tc>
        <w:tc>
          <w:tcPr>
            <w:tcW w:w="3780" w:type="dxa"/>
            <w:tcBorders>
              <w:top w:val="single" w:sz="8" w:space="0" w:color="auto"/>
              <w:left w:val="nil"/>
              <w:bottom w:val="single" w:sz="8" w:space="0" w:color="auto"/>
              <w:right w:val="single" w:sz="8" w:space="0" w:color="auto"/>
            </w:tcBorders>
            <w:shd w:val="clear" w:color="auto" w:fill="auto"/>
          </w:tcPr>
          <w:p w:rsidR="00830CDF" w:rsidRPr="009802E0" w:rsidRDefault="00830CDF" w:rsidP="00FE018D">
            <w:pPr>
              <w:widowControl/>
              <w:adjustRightInd w:val="0"/>
              <w:snapToGrid w:val="0"/>
              <w:spacing w:line="360" w:lineRule="auto"/>
              <w:jc w:val="center"/>
              <w:rPr>
                <w:rFonts w:asciiTheme="minorEastAsia" w:eastAsiaTheme="minorEastAsia" w:hAnsiTheme="minorEastAsia" w:cs="宋体"/>
                <w:b/>
                <w:bCs/>
                <w:kern w:val="0"/>
                <w:szCs w:val="21"/>
              </w:rPr>
            </w:pPr>
            <w:r w:rsidRPr="009802E0">
              <w:rPr>
                <w:rFonts w:asciiTheme="minorEastAsia" w:eastAsiaTheme="minorEastAsia" w:hAnsiTheme="minorEastAsia" w:hint="eastAsia"/>
                <w:b/>
                <w:szCs w:val="21"/>
              </w:rPr>
              <w:t>A类基金份额</w:t>
            </w:r>
            <w:r w:rsidRPr="009802E0">
              <w:rPr>
                <w:rFonts w:asciiTheme="minorEastAsia" w:eastAsiaTheme="minorEastAsia" w:hAnsiTheme="minorEastAsia" w:cs="宋体" w:hint="eastAsia"/>
                <w:b/>
                <w:bCs/>
                <w:kern w:val="0"/>
                <w:szCs w:val="21"/>
              </w:rPr>
              <w:t>申购费率</w:t>
            </w:r>
          </w:p>
        </w:tc>
      </w:tr>
      <w:tr w:rsidR="009802E0" w:rsidRPr="009802E0" w:rsidTr="00FB717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830CDF" w:rsidRPr="009802E0" w:rsidRDefault="00830CDF" w:rsidP="00FE018D">
            <w:pPr>
              <w:widowControl/>
              <w:adjustRightInd w:val="0"/>
              <w:snapToGrid w:val="0"/>
              <w:spacing w:line="360" w:lineRule="auto"/>
              <w:jc w:val="center"/>
              <w:rPr>
                <w:rFonts w:asciiTheme="minorEastAsia" w:eastAsiaTheme="minorEastAsia" w:hAnsiTheme="minorEastAsia" w:cs="宋体"/>
                <w:kern w:val="0"/>
                <w:szCs w:val="21"/>
              </w:rPr>
            </w:pPr>
            <w:r w:rsidRPr="009802E0">
              <w:rPr>
                <w:rFonts w:asciiTheme="minorEastAsia" w:eastAsiaTheme="minorEastAsia" w:hAnsiTheme="minorEastAsia" w:cs="宋体" w:hint="eastAsia"/>
                <w:kern w:val="0"/>
                <w:szCs w:val="21"/>
              </w:rPr>
              <w:t>M＜100万</w:t>
            </w:r>
          </w:p>
        </w:tc>
        <w:tc>
          <w:tcPr>
            <w:tcW w:w="3780" w:type="dxa"/>
            <w:tcBorders>
              <w:top w:val="nil"/>
              <w:left w:val="nil"/>
              <w:bottom w:val="single" w:sz="8" w:space="0" w:color="auto"/>
              <w:right w:val="single" w:sz="8" w:space="0" w:color="auto"/>
            </w:tcBorders>
            <w:shd w:val="clear" w:color="auto" w:fill="auto"/>
          </w:tcPr>
          <w:p w:rsidR="00830CDF" w:rsidRPr="009802E0" w:rsidRDefault="00830CDF" w:rsidP="00FE018D">
            <w:pPr>
              <w:widowControl/>
              <w:adjustRightInd w:val="0"/>
              <w:snapToGrid w:val="0"/>
              <w:spacing w:line="360" w:lineRule="auto"/>
              <w:jc w:val="center"/>
              <w:rPr>
                <w:rFonts w:asciiTheme="minorEastAsia" w:eastAsiaTheme="minorEastAsia" w:hAnsiTheme="minorEastAsia" w:cs="宋体"/>
                <w:kern w:val="0"/>
                <w:szCs w:val="21"/>
              </w:rPr>
            </w:pPr>
            <w:r w:rsidRPr="009802E0">
              <w:rPr>
                <w:rFonts w:asciiTheme="minorEastAsia" w:eastAsiaTheme="minorEastAsia" w:hAnsiTheme="minorEastAsia" w:cs="宋体" w:hint="eastAsia"/>
                <w:kern w:val="0"/>
                <w:szCs w:val="21"/>
              </w:rPr>
              <w:t>0.</w:t>
            </w:r>
            <w:r w:rsidR="00F63055" w:rsidRPr="009802E0">
              <w:rPr>
                <w:rFonts w:asciiTheme="minorEastAsia" w:eastAsiaTheme="minorEastAsia" w:hAnsiTheme="minorEastAsia" w:cs="宋体" w:hint="eastAsia"/>
                <w:kern w:val="0"/>
                <w:szCs w:val="21"/>
              </w:rPr>
              <w:t>08</w:t>
            </w:r>
            <w:r w:rsidRPr="009802E0">
              <w:rPr>
                <w:rFonts w:asciiTheme="minorEastAsia" w:eastAsiaTheme="minorEastAsia" w:hAnsiTheme="minorEastAsia" w:cs="宋体"/>
                <w:kern w:val="0"/>
                <w:szCs w:val="21"/>
              </w:rPr>
              <w:t>%</w:t>
            </w:r>
          </w:p>
        </w:tc>
      </w:tr>
      <w:tr w:rsidR="009802E0" w:rsidRPr="009802E0" w:rsidTr="00FB717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830CDF" w:rsidRPr="009802E0" w:rsidRDefault="00830CDF" w:rsidP="00FE018D">
            <w:pPr>
              <w:widowControl/>
              <w:adjustRightInd w:val="0"/>
              <w:snapToGrid w:val="0"/>
              <w:spacing w:line="360" w:lineRule="auto"/>
              <w:jc w:val="center"/>
              <w:rPr>
                <w:rFonts w:asciiTheme="minorEastAsia" w:eastAsiaTheme="minorEastAsia" w:hAnsiTheme="minorEastAsia" w:cs="宋体"/>
                <w:kern w:val="0"/>
                <w:szCs w:val="21"/>
              </w:rPr>
            </w:pPr>
            <w:r w:rsidRPr="009802E0">
              <w:rPr>
                <w:rFonts w:asciiTheme="minorEastAsia" w:eastAsiaTheme="minorEastAsia" w:hAnsiTheme="minorEastAsia" w:cs="宋体" w:hint="eastAsia"/>
                <w:kern w:val="0"/>
                <w:szCs w:val="21"/>
              </w:rPr>
              <w:t>100万≤M＜500万</w:t>
            </w:r>
          </w:p>
        </w:tc>
        <w:tc>
          <w:tcPr>
            <w:tcW w:w="3780" w:type="dxa"/>
            <w:tcBorders>
              <w:top w:val="nil"/>
              <w:left w:val="nil"/>
              <w:bottom w:val="single" w:sz="8" w:space="0" w:color="auto"/>
              <w:right w:val="single" w:sz="8" w:space="0" w:color="auto"/>
            </w:tcBorders>
            <w:shd w:val="clear" w:color="auto" w:fill="auto"/>
          </w:tcPr>
          <w:p w:rsidR="00830CDF" w:rsidRPr="009802E0" w:rsidRDefault="00830CDF" w:rsidP="00FE018D">
            <w:pPr>
              <w:widowControl/>
              <w:adjustRightInd w:val="0"/>
              <w:snapToGrid w:val="0"/>
              <w:spacing w:line="360" w:lineRule="auto"/>
              <w:jc w:val="center"/>
              <w:rPr>
                <w:rFonts w:asciiTheme="minorEastAsia" w:eastAsiaTheme="minorEastAsia" w:hAnsiTheme="minorEastAsia" w:cs="宋体"/>
                <w:kern w:val="0"/>
                <w:szCs w:val="21"/>
              </w:rPr>
            </w:pPr>
            <w:r w:rsidRPr="009802E0">
              <w:rPr>
                <w:rFonts w:asciiTheme="minorEastAsia" w:eastAsiaTheme="minorEastAsia" w:hAnsiTheme="minorEastAsia" w:cs="宋体" w:hint="eastAsia"/>
                <w:kern w:val="0"/>
                <w:szCs w:val="21"/>
              </w:rPr>
              <w:t>0.</w:t>
            </w:r>
            <w:r w:rsidR="00F63055" w:rsidRPr="009802E0">
              <w:rPr>
                <w:rFonts w:asciiTheme="minorEastAsia" w:eastAsiaTheme="minorEastAsia" w:hAnsiTheme="minorEastAsia" w:cs="宋体" w:hint="eastAsia"/>
                <w:kern w:val="0"/>
                <w:szCs w:val="21"/>
              </w:rPr>
              <w:t>04</w:t>
            </w:r>
            <w:r w:rsidRPr="009802E0">
              <w:rPr>
                <w:rFonts w:asciiTheme="minorEastAsia" w:eastAsiaTheme="minorEastAsia" w:hAnsiTheme="minorEastAsia" w:cs="宋体"/>
                <w:kern w:val="0"/>
                <w:szCs w:val="21"/>
              </w:rPr>
              <w:t>%</w:t>
            </w:r>
          </w:p>
        </w:tc>
      </w:tr>
      <w:tr w:rsidR="009802E0" w:rsidRPr="009802E0" w:rsidTr="00FB717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830CDF" w:rsidRPr="009802E0" w:rsidRDefault="00830CDF" w:rsidP="00FE018D">
            <w:pPr>
              <w:widowControl/>
              <w:adjustRightInd w:val="0"/>
              <w:snapToGrid w:val="0"/>
              <w:spacing w:line="360" w:lineRule="auto"/>
              <w:jc w:val="center"/>
              <w:rPr>
                <w:rFonts w:asciiTheme="minorEastAsia" w:eastAsiaTheme="minorEastAsia" w:hAnsiTheme="minorEastAsia" w:cs="宋体"/>
                <w:kern w:val="0"/>
                <w:szCs w:val="21"/>
              </w:rPr>
            </w:pPr>
            <w:r w:rsidRPr="009802E0">
              <w:rPr>
                <w:rFonts w:asciiTheme="minorEastAsia" w:eastAsiaTheme="minorEastAsia" w:hAnsiTheme="minorEastAsia" w:cs="宋体" w:hint="eastAsia"/>
                <w:kern w:val="0"/>
                <w:szCs w:val="21"/>
              </w:rPr>
              <w:t>500万≤M＜1000万</w:t>
            </w:r>
          </w:p>
        </w:tc>
        <w:tc>
          <w:tcPr>
            <w:tcW w:w="3780" w:type="dxa"/>
            <w:tcBorders>
              <w:top w:val="nil"/>
              <w:left w:val="nil"/>
              <w:bottom w:val="single" w:sz="8" w:space="0" w:color="auto"/>
              <w:right w:val="single" w:sz="8" w:space="0" w:color="auto"/>
            </w:tcBorders>
            <w:shd w:val="clear" w:color="auto" w:fill="auto"/>
          </w:tcPr>
          <w:p w:rsidR="00830CDF" w:rsidRPr="009802E0" w:rsidRDefault="00830CDF" w:rsidP="00FE018D">
            <w:pPr>
              <w:widowControl/>
              <w:adjustRightInd w:val="0"/>
              <w:snapToGrid w:val="0"/>
              <w:spacing w:line="360" w:lineRule="auto"/>
              <w:jc w:val="center"/>
              <w:rPr>
                <w:rFonts w:asciiTheme="minorEastAsia" w:eastAsiaTheme="minorEastAsia" w:hAnsiTheme="minorEastAsia" w:cs="宋体"/>
                <w:kern w:val="0"/>
                <w:szCs w:val="21"/>
              </w:rPr>
            </w:pPr>
            <w:r w:rsidRPr="009802E0">
              <w:rPr>
                <w:rFonts w:asciiTheme="minorEastAsia" w:eastAsiaTheme="minorEastAsia" w:hAnsiTheme="minorEastAsia" w:cs="宋体" w:hint="eastAsia"/>
                <w:kern w:val="0"/>
                <w:szCs w:val="21"/>
              </w:rPr>
              <w:t>0.0</w:t>
            </w:r>
            <w:r w:rsidR="00F63055" w:rsidRPr="009802E0">
              <w:rPr>
                <w:rFonts w:asciiTheme="minorEastAsia" w:eastAsiaTheme="minorEastAsia" w:hAnsiTheme="minorEastAsia" w:cs="宋体" w:hint="eastAsia"/>
                <w:kern w:val="0"/>
                <w:szCs w:val="21"/>
              </w:rPr>
              <w:t>1</w:t>
            </w:r>
            <w:r w:rsidRPr="009802E0">
              <w:rPr>
                <w:rFonts w:asciiTheme="minorEastAsia" w:eastAsiaTheme="minorEastAsia" w:hAnsiTheme="minorEastAsia" w:cs="宋体" w:hint="eastAsia"/>
                <w:kern w:val="0"/>
                <w:szCs w:val="21"/>
              </w:rPr>
              <w:t>%</w:t>
            </w:r>
          </w:p>
        </w:tc>
      </w:tr>
      <w:tr w:rsidR="009802E0" w:rsidRPr="009802E0" w:rsidTr="00FB717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830CDF" w:rsidRPr="009802E0" w:rsidRDefault="00830CDF" w:rsidP="00FE018D">
            <w:pPr>
              <w:widowControl/>
              <w:adjustRightInd w:val="0"/>
              <w:snapToGrid w:val="0"/>
              <w:spacing w:line="360" w:lineRule="auto"/>
              <w:jc w:val="center"/>
              <w:rPr>
                <w:rFonts w:asciiTheme="minorEastAsia" w:eastAsiaTheme="minorEastAsia" w:hAnsiTheme="minorEastAsia" w:cs="宋体"/>
                <w:kern w:val="0"/>
                <w:szCs w:val="21"/>
              </w:rPr>
            </w:pPr>
            <w:r w:rsidRPr="009802E0">
              <w:rPr>
                <w:rFonts w:asciiTheme="minorEastAsia" w:eastAsiaTheme="minorEastAsia" w:hAnsiTheme="minorEastAsia" w:cs="宋体" w:hint="eastAsia"/>
                <w:kern w:val="0"/>
                <w:szCs w:val="21"/>
              </w:rPr>
              <w:t>M≥1000万</w:t>
            </w:r>
          </w:p>
        </w:tc>
        <w:tc>
          <w:tcPr>
            <w:tcW w:w="3780" w:type="dxa"/>
            <w:tcBorders>
              <w:top w:val="nil"/>
              <w:left w:val="nil"/>
              <w:bottom w:val="single" w:sz="8" w:space="0" w:color="auto"/>
              <w:right w:val="single" w:sz="8" w:space="0" w:color="auto"/>
            </w:tcBorders>
            <w:shd w:val="clear" w:color="auto" w:fill="auto"/>
          </w:tcPr>
          <w:p w:rsidR="00830CDF" w:rsidRPr="009802E0" w:rsidRDefault="00830CDF" w:rsidP="00FE018D">
            <w:pPr>
              <w:widowControl/>
              <w:adjustRightInd w:val="0"/>
              <w:snapToGrid w:val="0"/>
              <w:spacing w:line="360" w:lineRule="auto"/>
              <w:jc w:val="center"/>
              <w:rPr>
                <w:rFonts w:asciiTheme="minorEastAsia" w:eastAsiaTheme="minorEastAsia" w:hAnsiTheme="minorEastAsia" w:cs="宋体"/>
                <w:kern w:val="0"/>
                <w:szCs w:val="21"/>
              </w:rPr>
            </w:pPr>
            <w:r w:rsidRPr="009802E0">
              <w:rPr>
                <w:rFonts w:asciiTheme="minorEastAsia" w:eastAsiaTheme="minorEastAsia" w:hAnsiTheme="minorEastAsia" w:cs="宋体"/>
                <w:kern w:val="0"/>
                <w:szCs w:val="21"/>
              </w:rPr>
              <w:t>1000</w:t>
            </w:r>
            <w:r w:rsidRPr="009802E0">
              <w:rPr>
                <w:rFonts w:asciiTheme="minorEastAsia" w:eastAsiaTheme="minorEastAsia" w:hAnsiTheme="minorEastAsia" w:cs="宋体" w:hint="eastAsia"/>
                <w:kern w:val="0"/>
                <w:szCs w:val="21"/>
              </w:rPr>
              <w:t>元</w:t>
            </w:r>
            <w:r w:rsidRPr="009802E0">
              <w:rPr>
                <w:rFonts w:asciiTheme="minorEastAsia" w:eastAsiaTheme="minorEastAsia" w:hAnsiTheme="minorEastAsia" w:cs="宋体"/>
                <w:kern w:val="0"/>
                <w:szCs w:val="21"/>
              </w:rPr>
              <w:t>/</w:t>
            </w:r>
            <w:r w:rsidRPr="009802E0">
              <w:rPr>
                <w:rFonts w:asciiTheme="minorEastAsia" w:eastAsiaTheme="minorEastAsia" w:hAnsiTheme="minorEastAsia" w:cs="宋体" w:hint="eastAsia"/>
                <w:kern w:val="0"/>
                <w:szCs w:val="21"/>
              </w:rPr>
              <w:t>笔</w:t>
            </w:r>
          </w:p>
        </w:tc>
      </w:tr>
    </w:tbl>
    <w:p w:rsidR="00830CDF" w:rsidRPr="009802E0" w:rsidRDefault="00830CDF"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其他</w:t>
      </w:r>
      <w:r w:rsidR="008C0C97" w:rsidRPr="009802E0">
        <w:rPr>
          <w:rFonts w:asciiTheme="minorEastAsia" w:eastAsiaTheme="minorEastAsia" w:hAnsiTheme="minorEastAsia" w:hint="eastAsia"/>
          <w:szCs w:val="21"/>
        </w:rPr>
        <w:t>投资者</w:t>
      </w:r>
      <w:r w:rsidRPr="009802E0">
        <w:rPr>
          <w:rFonts w:asciiTheme="minorEastAsia" w:eastAsiaTheme="minorEastAsia" w:hAnsiTheme="minorEastAsia" w:hint="eastAsia"/>
          <w:szCs w:val="21"/>
        </w:rPr>
        <w:t>申购本基金A类基金份额的申购费率见下表：</w:t>
      </w:r>
    </w:p>
    <w:tbl>
      <w:tblPr>
        <w:tblW w:w="7574" w:type="dxa"/>
        <w:jc w:val="center"/>
        <w:tblLook w:val="0000" w:firstRow="0" w:lastRow="0" w:firstColumn="0" w:lastColumn="0" w:noHBand="0" w:noVBand="0"/>
      </w:tblPr>
      <w:tblGrid>
        <w:gridCol w:w="3794"/>
        <w:gridCol w:w="3780"/>
      </w:tblGrid>
      <w:tr w:rsidR="009802E0" w:rsidRPr="009802E0" w:rsidTr="00FB7177">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830CDF" w:rsidRPr="009802E0" w:rsidRDefault="00830CDF" w:rsidP="00FE018D">
            <w:pPr>
              <w:widowControl/>
              <w:adjustRightInd w:val="0"/>
              <w:snapToGrid w:val="0"/>
              <w:spacing w:line="360" w:lineRule="auto"/>
              <w:jc w:val="center"/>
              <w:rPr>
                <w:rFonts w:asciiTheme="minorEastAsia" w:eastAsiaTheme="minorEastAsia" w:hAnsiTheme="minorEastAsia" w:cs="宋体"/>
                <w:b/>
                <w:bCs/>
                <w:kern w:val="0"/>
                <w:szCs w:val="21"/>
              </w:rPr>
            </w:pPr>
            <w:r w:rsidRPr="009802E0">
              <w:rPr>
                <w:rFonts w:asciiTheme="minorEastAsia" w:eastAsiaTheme="minorEastAsia" w:hAnsiTheme="minorEastAsia" w:cs="宋体" w:hint="eastAsia"/>
                <w:b/>
                <w:bCs/>
                <w:kern w:val="0"/>
                <w:szCs w:val="21"/>
              </w:rPr>
              <w:t>申购金额M（元）（含申购费）</w:t>
            </w:r>
          </w:p>
        </w:tc>
        <w:tc>
          <w:tcPr>
            <w:tcW w:w="3780" w:type="dxa"/>
            <w:tcBorders>
              <w:top w:val="single" w:sz="8" w:space="0" w:color="auto"/>
              <w:left w:val="nil"/>
              <w:bottom w:val="single" w:sz="8" w:space="0" w:color="auto"/>
              <w:right w:val="single" w:sz="8" w:space="0" w:color="auto"/>
            </w:tcBorders>
            <w:shd w:val="clear" w:color="auto" w:fill="auto"/>
          </w:tcPr>
          <w:p w:rsidR="00830CDF" w:rsidRPr="009802E0" w:rsidRDefault="00830CDF" w:rsidP="00FE018D">
            <w:pPr>
              <w:widowControl/>
              <w:adjustRightInd w:val="0"/>
              <w:snapToGrid w:val="0"/>
              <w:spacing w:line="360" w:lineRule="auto"/>
              <w:jc w:val="center"/>
              <w:rPr>
                <w:rFonts w:asciiTheme="minorEastAsia" w:eastAsiaTheme="minorEastAsia" w:hAnsiTheme="minorEastAsia" w:cs="宋体"/>
                <w:b/>
                <w:bCs/>
                <w:kern w:val="0"/>
                <w:szCs w:val="21"/>
              </w:rPr>
            </w:pPr>
            <w:r w:rsidRPr="009802E0">
              <w:rPr>
                <w:rFonts w:asciiTheme="minorEastAsia" w:eastAsiaTheme="minorEastAsia" w:hAnsiTheme="minorEastAsia" w:hint="eastAsia"/>
                <w:b/>
                <w:szCs w:val="21"/>
              </w:rPr>
              <w:t>A类基金份额</w:t>
            </w:r>
            <w:r w:rsidRPr="009802E0">
              <w:rPr>
                <w:rFonts w:asciiTheme="minorEastAsia" w:eastAsiaTheme="minorEastAsia" w:hAnsiTheme="minorEastAsia" w:cs="宋体" w:hint="eastAsia"/>
                <w:b/>
                <w:bCs/>
                <w:kern w:val="0"/>
                <w:szCs w:val="21"/>
              </w:rPr>
              <w:t>申购费率</w:t>
            </w:r>
          </w:p>
        </w:tc>
      </w:tr>
      <w:tr w:rsidR="009802E0" w:rsidRPr="009802E0" w:rsidTr="00FB717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830CDF" w:rsidRPr="009802E0" w:rsidRDefault="00830CDF" w:rsidP="00FE018D">
            <w:pPr>
              <w:widowControl/>
              <w:adjustRightInd w:val="0"/>
              <w:snapToGrid w:val="0"/>
              <w:spacing w:line="360" w:lineRule="auto"/>
              <w:jc w:val="center"/>
              <w:rPr>
                <w:rFonts w:asciiTheme="minorEastAsia" w:eastAsiaTheme="minorEastAsia" w:hAnsiTheme="minorEastAsia" w:cs="宋体"/>
                <w:kern w:val="0"/>
                <w:szCs w:val="21"/>
              </w:rPr>
            </w:pPr>
            <w:r w:rsidRPr="009802E0">
              <w:rPr>
                <w:rFonts w:asciiTheme="minorEastAsia" w:eastAsiaTheme="minorEastAsia" w:hAnsiTheme="minorEastAsia" w:cs="宋体" w:hint="eastAsia"/>
                <w:kern w:val="0"/>
                <w:szCs w:val="21"/>
              </w:rPr>
              <w:t>M＜100万</w:t>
            </w:r>
          </w:p>
        </w:tc>
        <w:tc>
          <w:tcPr>
            <w:tcW w:w="3780" w:type="dxa"/>
            <w:tcBorders>
              <w:top w:val="nil"/>
              <w:left w:val="nil"/>
              <w:bottom w:val="single" w:sz="8" w:space="0" w:color="auto"/>
              <w:right w:val="single" w:sz="8" w:space="0" w:color="auto"/>
            </w:tcBorders>
            <w:shd w:val="clear" w:color="auto" w:fill="auto"/>
          </w:tcPr>
          <w:p w:rsidR="00830CDF" w:rsidRPr="009802E0" w:rsidRDefault="00830CDF" w:rsidP="00FE018D">
            <w:pPr>
              <w:widowControl/>
              <w:adjustRightInd w:val="0"/>
              <w:snapToGrid w:val="0"/>
              <w:spacing w:line="360" w:lineRule="auto"/>
              <w:jc w:val="center"/>
              <w:rPr>
                <w:rFonts w:asciiTheme="minorEastAsia" w:eastAsiaTheme="minorEastAsia" w:hAnsiTheme="minorEastAsia" w:cs="宋体"/>
                <w:kern w:val="0"/>
                <w:szCs w:val="21"/>
              </w:rPr>
            </w:pPr>
            <w:r w:rsidRPr="009802E0">
              <w:rPr>
                <w:rFonts w:asciiTheme="minorEastAsia" w:eastAsiaTheme="minorEastAsia" w:hAnsiTheme="minorEastAsia" w:cs="宋体" w:hint="eastAsia"/>
                <w:kern w:val="0"/>
                <w:szCs w:val="21"/>
              </w:rPr>
              <w:t>0.8</w:t>
            </w:r>
            <w:r w:rsidRPr="009802E0">
              <w:rPr>
                <w:rFonts w:asciiTheme="minorEastAsia" w:eastAsiaTheme="minorEastAsia" w:hAnsiTheme="minorEastAsia" w:cs="宋体"/>
                <w:kern w:val="0"/>
                <w:szCs w:val="21"/>
              </w:rPr>
              <w:t>%</w:t>
            </w:r>
          </w:p>
        </w:tc>
      </w:tr>
      <w:tr w:rsidR="009802E0" w:rsidRPr="009802E0" w:rsidTr="00FB717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830CDF" w:rsidRPr="009802E0" w:rsidRDefault="00830CDF" w:rsidP="00FE018D">
            <w:pPr>
              <w:widowControl/>
              <w:adjustRightInd w:val="0"/>
              <w:snapToGrid w:val="0"/>
              <w:spacing w:line="360" w:lineRule="auto"/>
              <w:jc w:val="center"/>
              <w:rPr>
                <w:rFonts w:asciiTheme="minorEastAsia" w:eastAsiaTheme="minorEastAsia" w:hAnsiTheme="minorEastAsia" w:cs="宋体"/>
                <w:kern w:val="0"/>
                <w:szCs w:val="21"/>
              </w:rPr>
            </w:pPr>
            <w:r w:rsidRPr="009802E0">
              <w:rPr>
                <w:rFonts w:asciiTheme="minorEastAsia" w:eastAsiaTheme="minorEastAsia" w:hAnsiTheme="minorEastAsia" w:cs="宋体" w:hint="eastAsia"/>
                <w:kern w:val="0"/>
                <w:szCs w:val="21"/>
              </w:rPr>
              <w:t>100万≤M＜500万</w:t>
            </w:r>
          </w:p>
        </w:tc>
        <w:tc>
          <w:tcPr>
            <w:tcW w:w="3780" w:type="dxa"/>
            <w:tcBorders>
              <w:top w:val="nil"/>
              <w:left w:val="nil"/>
              <w:bottom w:val="single" w:sz="8" w:space="0" w:color="auto"/>
              <w:right w:val="single" w:sz="8" w:space="0" w:color="auto"/>
            </w:tcBorders>
            <w:shd w:val="clear" w:color="auto" w:fill="auto"/>
          </w:tcPr>
          <w:p w:rsidR="00830CDF" w:rsidRPr="009802E0" w:rsidRDefault="00830CDF" w:rsidP="00FE018D">
            <w:pPr>
              <w:widowControl/>
              <w:adjustRightInd w:val="0"/>
              <w:snapToGrid w:val="0"/>
              <w:spacing w:line="360" w:lineRule="auto"/>
              <w:jc w:val="center"/>
              <w:rPr>
                <w:rFonts w:asciiTheme="minorEastAsia" w:eastAsiaTheme="minorEastAsia" w:hAnsiTheme="minorEastAsia" w:cs="宋体"/>
                <w:kern w:val="0"/>
                <w:szCs w:val="21"/>
              </w:rPr>
            </w:pPr>
            <w:r w:rsidRPr="009802E0">
              <w:rPr>
                <w:rFonts w:asciiTheme="minorEastAsia" w:eastAsiaTheme="minorEastAsia" w:hAnsiTheme="minorEastAsia" w:cs="宋体" w:hint="eastAsia"/>
                <w:kern w:val="0"/>
                <w:szCs w:val="21"/>
              </w:rPr>
              <w:t>0.4</w:t>
            </w:r>
            <w:r w:rsidRPr="009802E0">
              <w:rPr>
                <w:rFonts w:asciiTheme="minorEastAsia" w:eastAsiaTheme="minorEastAsia" w:hAnsiTheme="minorEastAsia" w:cs="宋体"/>
                <w:kern w:val="0"/>
                <w:szCs w:val="21"/>
              </w:rPr>
              <w:t>%</w:t>
            </w:r>
          </w:p>
        </w:tc>
      </w:tr>
      <w:tr w:rsidR="009802E0" w:rsidRPr="009802E0" w:rsidTr="00FB717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830CDF" w:rsidRPr="009802E0" w:rsidRDefault="00830CDF" w:rsidP="00FE018D">
            <w:pPr>
              <w:widowControl/>
              <w:adjustRightInd w:val="0"/>
              <w:snapToGrid w:val="0"/>
              <w:spacing w:line="360" w:lineRule="auto"/>
              <w:jc w:val="center"/>
              <w:rPr>
                <w:rFonts w:asciiTheme="minorEastAsia" w:eastAsiaTheme="minorEastAsia" w:hAnsiTheme="minorEastAsia" w:cs="宋体"/>
                <w:kern w:val="0"/>
                <w:szCs w:val="21"/>
              </w:rPr>
            </w:pPr>
            <w:r w:rsidRPr="009802E0">
              <w:rPr>
                <w:rFonts w:asciiTheme="minorEastAsia" w:eastAsiaTheme="minorEastAsia" w:hAnsiTheme="minorEastAsia" w:cs="宋体" w:hint="eastAsia"/>
                <w:kern w:val="0"/>
                <w:szCs w:val="21"/>
              </w:rPr>
              <w:t>500万≤M＜1000万</w:t>
            </w:r>
          </w:p>
        </w:tc>
        <w:tc>
          <w:tcPr>
            <w:tcW w:w="3780" w:type="dxa"/>
            <w:tcBorders>
              <w:top w:val="nil"/>
              <w:left w:val="nil"/>
              <w:bottom w:val="single" w:sz="8" w:space="0" w:color="auto"/>
              <w:right w:val="single" w:sz="8" w:space="0" w:color="auto"/>
            </w:tcBorders>
            <w:shd w:val="clear" w:color="auto" w:fill="auto"/>
          </w:tcPr>
          <w:p w:rsidR="00830CDF" w:rsidRPr="009802E0" w:rsidRDefault="00830CDF" w:rsidP="00FE018D">
            <w:pPr>
              <w:widowControl/>
              <w:adjustRightInd w:val="0"/>
              <w:snapToGrid w:val="0"/>
              <w:spacing w:line="360" w:lineRule="auto"/>
              <w:jc w:val="center"/>
              <w:rPr>
                <w:rFonts w:asciiTheme="minorEastAsia" w:eastAsiaTheme="minorEastAsia" w:hAnsiTheme="minorEastAsia" w:cs="宋体"/>
                <w:kern w:val="0"/>
                <w:szCs w:val="21"/>
              </w:rPr>
            </w:pPr>
            <w:r w:rsidRPr="009802E0">
              <w:rPr>
                <w:rFonts w:asciiTheme="minorEastAsia" w:eastAsiaTheme="minorEastAsia" w:hAnsiTheme="minorEastAsia" w:cs="宋体" w:hint="eastAsia"/>
                <w:kern w:val="0"/>
                <w:szCs w:val="21"/>
              </w:rPr>
              <w:t>0.1%</w:t>
            </w:r>
          </w:p>
        </w:tc>
      </w:tr>
      <w:tr w:rsidR="009802E0" w:rsidRPr="009802E0" w:rsidTr="00FB717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830CDF" w:rsidRPr="009802E0" w:rsidRDefault="00830CDF" w:rsidP="00FE018D">
            <w:pPr>
              <w:widowControl/>
              <w:adjustRightInd w:val="0"/>
              <w:snapToGrid w:val="0"/>
              <w:spacing w:line="360" w:lineRule="auto"/>
              <w:jc w:val="center"/>
              <w:rPr>
                <w:rFonts w:asciiTheme="minorEastAsia" w:eastAsiaTheme="minorEastAsia" w:hAnsiTheme="minorEastAsia" w:cs="宋体"/>
                <w:kern w:val="0"/>
                <w:szCs w:val="21"/>
              </w:rPr>
            </w:pPr>
            <w:r w:rsidRPr="009802E0">
              <w:rPr>
                <w:rFonts w:asciiTheme="minorEastAsia" w:eastAsiaTheme="minorEastAsia" w:hAnsiTheme="minorEastAsia" w:cs="宋体" w:hint="eastAsia"/>
                <w:kern w:val="0"/>
                <w:szCs w:val="21"/>
              </w:rPr>
              <w:lastRenderedPageBreak/>
              <w:t>M≥1000万</w:t>
            </w:r>
          </w:p>
        </w:tc>
        <w:tc>
          <w:tcPr>
            <w:tcW w:w="3780" w:type="dxa"/>
            <w:tcBorders>
              <w:top w:val="nil"/>
              <w:left w:val="nil"/>
              <w:bottom w:val="single" w:sz="8" w:space="0" w:color="auto"/>
              <w:right w:val="single" w:sz="8" w:space="0" w:color="auto"/>
            </w:tcBorders>
            <w:shd w:val="clear" w:color="auto" w:fill="auto"/>
          </w:tcPr>
          <w:p w:rsidR="00830CDF" w:rsidRPr="009802E0" w:rsidRDefault="00830CDF" w:rsidP="00FE018D">
            <w:pPr>
              <w:widowControl/>
              <w:adjustRightInd w:val="0"/>
              <w:snapToGrid w:val="0"/>
              <w:spacing w:line="360" w:lineRule="auto"/>
              <w:jc w:val="center"/>
              <w:rPr>
                <w:rFonts w:asciiTheme="minorEastAsia" w:eastAsiaTheme="minorEastAsia" w:hAnsiTheme="minorEastAsia" w:cs="宋体"/>
                <w:kern w:val="0"/>
                <w:szCs w:val="21"/>
              </w:rPr>
            </w:pPr>
            <w:r w:rsidRPr="009802E0">
              <w:rPr>
                <w:rFonts w:asciiTheme="minorEastAsia" w:eastAsiaTheme="minorEastAsia" w:hAnsiTheme="minorEastAsia" w:cs="宋体"/>
                <w:kern w:val="0"/>
                <w:szCs w:val="21"/>
              </w:rPr>
              <w:t>1000</w:t>
            </w:r>
            <w:r w:rsidRPr="009802E0">
              <w:rPr>
                <w:rFonts w:asciiTheme="minorEastAsia" w:eastAsiaTheme="minorEastAsia" w:hAnsiTheme="minorEastAsia" w:cs="宋体" w:hint="eastAsia"/>
                <w:kern w:val="0"/>
                <w:szCs w:val="21"/>
              </w:rPr>
              <w:t>元</w:t>
            </w:r>
            <w:r w:rsidRPr="009802E0">
              <w:rPr>
                <w:rFonts w:asciiTheme="minorEastAsia" w:eastAsiaTheme="minorEastAsia" w:hAnsiTheme="minorEastAsia" w:cs="宋体"/>
                <w:kern w:val="0"/>
                <w:szCs w:val="21"/>
              </w:rPr>
              <w:t>/</w:t>
            </w:r>
            <w:r w:rsidRPr="009802E0">
              <w:rPr>
                <w:rFonts w:asciiTheme="minorEastAsia" w:eastAsiaTheme="minorEastAsia" w:hAnsiTheme="minorEastAsia" w:cs="宋体" w:hint="eastAsia"/>
                <w:kern w:val="0"/>
                <w:szCs w:val="21"/>
              </w:rPr>
              <w:t>笔</w:t>
            </w:r>
          </w:p>
        </w:tc>
      </w:tr>
    </w:tbl>
    <w:p w:rsidR="00FE504B" w:rsidRPr="009802E0" w:rsidRDefault="00FE504B"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在申购费按金额分档的情况下，如果投资者多次申购，申购费适用单笔申购金额所对应的费率。</w:t>
      </w:r>
    </w:p>
    <w:p w:rsidR="00F343F6" w:rsidRPr="009802E0" w:rsidRDefault="00F343F6"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本基金B</w:t>
      </w:r>
      <w:r w:rsidR="00AD1D25" w:rsidRPr="009802E0">
        <w:rPr>
          <w:rFonts w:asciiTheme="minorEastAsia" w:eastAsiaTheme="minorEastAsia" w:hAnsiTheme="minorEastAsia" w:hint="eastAsia"/>
          <w:szCs w:val="21"/>
        </w:rPr>
        <w:t>类基金份额</w:t>
      </w:r>
      <w:r w:rsidRPr="009802E0">
        <w:rPr>
          <w:rFonts w:asciiTheme="minorEastAsia" w:eastAsiaTheme="minorEastAsia" w:hAnsiTheme="minorEastAsia" w:hint="eastAsia"/>
          <w:szCs w:val="21"/>
        </w:rPr>
        <w:t>不收取申购费用</w:t>
      </w:r>
      <w:r w:rsidR="00CC7356" w:rsidRPr="009802E0">
        <w:rPr>
          <w:rFonts w:asciiTheme="minorEastAsia" w:eastAsiaTheme="minorEastAsia" w:hAnsiTheme="minorEastAsia" w:hint="eastAsia"/>
          <w:szCs w:val="21"/>
        </w:rPr>
        <w:t>。</w:t>
      </w:r>
    </w:p>
    <w:p w:rsidR="00C3696F" w:rsidRPr="009802E0" w:rsidRDefault="00FE504B"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4</w:t>
      </w:r>
      <w:r w:rsidR="002B5B21" w:rsidRPr="009802E0">
        <w:rPr>
          <w:rFonts w:asciiTheme="minorEastAsia" w:eastAsiaTheme="minorEastAsia" w:hAnsiTheme="minorEastAsia" w:hint="eastAsia"/>
          <w:szCs w:val="21"/>
        </w:rPr>
        <w:t>、</w:t>
      </w:r>
      <w:r w:rsidR="00C3696F" w:rsidRPr="009802E0">
        <w:rPr>
          <w:rFonts w:asciiTheme="minorEastAsia" w:eastAsiaTheme="minorEastAsia" w:hAnsiTheme="minorEastAsia" w:hint="eastAsia"/>
          <w:szCs w:val="21"/>
        </w:rPr>
        <w:t>赎回费率</w:t>
      </w:r>
    </w:p>
    <w:p w:rsidR="00664E50" w:rsidRPr="009802E0" w:rsidRDefault="00CC7356"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本基金</w:t>
      </w:r>
      <w:r w:rsidR="00EA0A92" w:rsidRPr="009802E0">
        <w:rPr>
          <w:rFonts w:asciiTheme="minorEastAsia" w:eastAsiaTheme="minorEastAsia" w:hAnsiTheme="minorEastAsia" w:hint="eastAsia"/>
          <w:szCs w:val="21"/>
        </w:rPr>
        <w:t>A类基金份额赎回费率</w:t>
      </w:r>
      <w:r w:rsidR="00116149" w:rsidRPr="009802E0">
        <w:rPr>
          <w:rFonts w:asciiTheme="minorEastAsia" w:eastAsiaTheme="minorEastAsia" w:hAnsiTheme="minorEastAsia" w:hint="eastAsia"/>
          <w:szCs w:val="21"/>
        </w:rPr>
        <w:t>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3798"/>
      </w:tblGrid>
      <w:tr w:rsidR="00F1417A" w:rsidRPr="009802E0" w:rsidTr="00DA1F61">
        <w:trPr>
          <w:jc w:val="center"/>
        </w:trPr>
        <w:tc>
          <w:tcPr>
            <w:tcW w:w="3870" w:type="dxa"/>
          </w:tcPr>
          <w:p w:rsidR="002C073B" w:rsidRPr="009802E0" w:rsidRDefault="002C073B" w:rsidP="00FE018D">
            <w:pPr>
              <w:widowControl/>
              <w:adjustRightInd w:val="0"/>
              <w:snapToGrid w:val="0"/>
              <w:spacing w:line="360" w:lineRule="auto"/>
              <w:jc w:val="center"/>
              <w:rPr>
                <w:rFonts w:asciiTheme="minorEastAsia" w:eastAsiaTheme="minorEastAsia" w:hAnsiTheme="minorEastAsia" w:cs="宋体"/>
                <w:b/>
                <w:kern w:val="0"/>
                <w:szCs w:val="21"/>
              </w:rPr>
            </w:pPr>
            <w:r w:rsidRPr="009802E0">
              <w:rPr>
                <w:rFonts w:asciiTheme="minorEastAsia" w:eastAsiaTheme="minorEastAsia" w:hAnsiTheme="minorEastAsia" w:cs="宋体"/>
                <w:b/>
                <w:kern w:val="0"/>
                <w:szCs w:val="21"/>
              </w:rPr>
              <w:t>持有时间</w:t>
            </w:r>
            <w:r w:rsidRPr="009802E0">
              <w:rPr>
                <w:rFonts w:asciiTheme="minorEastAsia" w:eastAsiaTheme="minorEastAsia" w:hAnsiTheme="minorEastAsia" w:cs="宋体" w:hint="eastAsia"/>
                <w:b/>
                <w:kern w:val="0"/>
                <w:szCs w:val="21"/>
              </w:rPr>
              <w:t>（天）</w:t>
            </w:r>
          </w:p>
        </w:tc>
        <w:tc>
          <w:tcPr>
            <w:tcW w:w="3798" w:type="dxa"/>
          </w:tcPr>
          <w:p w:rsidR="002C073B" w:rsidRPr="009802E0" w:rsidRDefault="004960E8" w:rsidP="00FE018D">
            <w:pPr>
              <w:widowControl/>
              <w:adjustRightInd w:val="0"/>
              <w:snapToGrid w:val="0"/>
              <w:spacing w:line="360" w:lineRule="auto"/>
              <w:jc w:val="center"/>
              <w:rPr>
                <w:rFonts w:asciiTheme="minorEastAsia" w:eastAsiaTheme="minorEastAsia" w:hAnsiTheme="minorEastAsia" w:cs="宋体"/>
                <w:b/>
                <w:kern w:val="0"/>
                <w:szCs w:val="21"/>
              </w:rPr>
            </w:pPr>
            <w:r w:rsidRPr="009802E0">
              <w:rPr>
                <w:rFonts w:asciiTheme="minorEastAsia" w:eastAsiaTheme="minorEastAsia" w:hAnsiTheme="minorEastAsia" w:cs="宋体" w:hint="eastAsia"/>
                <w:b/>
                <w:kern w:val="0"/>
                <w:szCs w:val="21"/>
              </w:rPr>
              <w:t>A类基金份额</w:t>
            </w:r>
            <w:r w:rsidR="002C073B" w:rsidRPr="009802E0">
              <w:rPr>
                <w:rFonts w:asciiTheme="minorEastAsia" w:eastAsiaTheme="minorEastAsia" w:hAnsiTheme="minorEastAsia" w:cs="宋体"/>
                <w:b/>
                <w:kern w:val="0"/>
                <w:szCs w:val="21"/>
              </w:rPr>
              <w:t>赎回费率</w:t>
            </w:r>
          </w:p>
        </w:tc>
      </w:tr>
      <w:tr w:rsidR="00F1417A" w:rsidRPr="009802E0" w:rsidTr="00DA1F61">
        <w:trPr>
          <w:jc w:val="center"/>
        </w:trPr>
        <w:tc>
          <w:tcPr>
            <w:tcW w:w="3870" w:type="dxa"/>
          </w:tcPr>
          <w:p w:rsidR="00954E08" w:rsidRPr="009802E0" w:rsidRDefault="00954E08" w:rsidP="00FE018D">
            <w:pPr>
              <w:widowControl/>
              <w:adjustRightInd w:val="0"/>
              <w:snapToGrid w:val="0"/>
              <w:spacing w:line="360" w:lineRule="auto"/>
              <w:jc w:val="center"/>
              <w:rPr>
                <w:rFonts w:asciiTheme="minorEastAsia" w:eastAsiaTheme="minorEastAsia" w:hAnsiTheme="minorEastAsia" w:cs="宋体"/>
                <w:kern w:val="0"/>
                <w:szCs w:val="21"/>
              </w:rPr>
            </w:pPr>
            <w:r w:rsidRPr="009802E0">
              <w:rPr>
                <w:rFonts w:asciiTheme="minorEastAsia" w:eastAsiaTheme="minorEastAsia" w:hAnsiTheme="minorEastAsia" w:cs="宋体" w:hint="eastAsia"/>
                <w:kern w:val="0"/>
                <w:szCs w:val="21"/>
              </w:rPr>
              <w:t>0</w:t>
            </w:r>
            <w:r w:rsidRPr="009802E0">
              <w:rPr>
                <w:rFonts w:asciiTheme="minorEastAsia" w:eastAsiaTheme="minorEastAsia" w:hAnsiTheme="minorEastAsia" w:cs="宋体"/>
                <w:kern w:val="0"/>
                <w:szCs w:val="21"/>
              </w:rPr>
              <w:t>-6</w:t>
            </w:r>
          </w:p>
        </w:tc>
        <w:tc>
          <w:tcPr>
            <w:tcW w:w="3798" w:type="dxa"/>
          </w:tcPr>
          <w:p w:rsidR="00954E08" w:rsidRPr="009802E0" w:rsidRDefault="00954E08" w:rsidP="00FE018D">
            <w:pPr>
              <w:widowControl/>
              <w:adjustRightInd w:val="0"/>
              <w:snapToGrid w:val="0"/>
              <w:spacing w:line="360" w:lineRule="auto"/>
              <w:jc w:val="center"/>
              <w:rPr>
                <w:rFonts w:asciiTheme="minorEastAsia" w:eastAsiaTheme="minorEastAsia" w:hAnsiTheme="minorEastAsia" w:cs="宋体"/>
                <w:kern w:val="0"/>
                <w:szCs w:val="21"/>
              </w:rPr>
            </w:pPr>
            <w:r w:rsidRPr="009802E0">
              <w:rPr>
                <w:rFonts w:asciiTheme="minorEastAsia" w:eastAsiaTheme="minorEastAsia" w:hAnsiTheme="minorEastAsia" w:cs="宋体" w:hint="eastAsia"/>
                <w:kern w:val="0"/>
                <w:szCs w:val="21"/>
              </w:rPr>
              <w:t>1</w:t>
            </w:r>
            <w:r w:rsidRPr="009802E0">
              <w:rPr>
                <w:rFonts w:asciiTheme="minorEastAsia" w:eastAsiaTheme="minorEastAsia" w:hAnsiTheme="minorEastAsia" w:cs="宋体"/>
                <w:kern w:val="0"/>
                <w:szCs w:val="21"/>
              </w:rPr>
              <w:t>.5%</w:t>
            </w:r>
          </w:p>
        </w:tc>
      </w:tr>
      <w:tr w:rsidR="00F1417A" w:rsidRPr="009802E0" w:rsidTr="00DA1F61">
        <w:trPr>
          <w:jc w:val="center"/>
        </w:trPr>
        <w:tc>
          <w:tcPr>
            <w:tcW w:w="3870" w:type="dxa"/>
          </w:tcPr>
          <w:p w:rsidR="00052662" w:rsidRPr="009802E0" w:rsidRDefault="00954E08" w:rsidP="00FE018D">
            <w:pPr>
              <w:widowControl/>
              <w:adjustRightInd w:val="0"/>
              <w:snapToGrid w:val="0"/>
              <w:spacing w:line="360" w:lineRule="auto"/>
              <w:jc w:val="center"/>
              <w:rPr>
                <w:rFonts w:asciiTheme="minorEastAsia" w:eastAsiaTheme="minorEastAsia" w:hAnsiTheme="minorEastAsia" w:cs="宋体"/>
                <w:kern w:val="0"/>
                <w:szCs w:val="21"/>
              </w:rPr>
            </w:pPr>
            <w:r w:rsidRPr="009802E0">
              <w:rPr>
                <w:rFonts w:asciiTheme="minorEastAsia" w:eastAsiaTheme="minorEastAsia" w:hAnsiTheme="minorEastAsia" w:cs="宋体"/>
                <w:kern w:val="0"/>
                <w:szCs w:val="21"/>
              </w:rPr>
              <w:t>7</w:t>
            </w:r>
            <w:r w:rsidR="00052662" w:rsidRPr="009802E0">
              <w:rPr>
                <w:rFonts w:asciiTheme="minorEastAsia" w:eastAsiaTheme="minorEastAsia" w:hAnsiTheme="minorEastAsia" w:cs="宋体" w:hint="eastAsia"/>
                <w:kern w:val="0"/>
                <w:szCs w:val="21"/>
              </w:rPr>
              <w:t>-29</w:t>
            </w:r>
          </w:p>
        </w:tc>
        <w:tc>
          <w:tcPr>
            <w:tcW w:w="3798" w:type="dxa"/>
          </w:tcPr>
          <w:p w:rsidR="00052662" w:rsidRPr="009802E0" w:rsidRDefault="00052662" w:rsidP="00FE018D">
            <w:pPr>
              <w:widowControl/>
              <w:adjustRightInd w:val="0"/>
              <w:snapToGrid w:val="0"/>
              <w:spacing w:line="360" w:lineRule="auto"/>
              <w:jc w:val="center"/>
              <w:rPr>
                <w:rFonts w:asciiTheme="minorEastAsia" w:eastAsiaTheme="minorEastAsia" w:hAnsiTheme="minorEastAsia" w:cs="宋体"/>
                <w:kern w:val="0"/>
                <w:szCs w:val="21"/>
              </w:rPr>
            </w:pPr>
            <w:r w:rsidRPr="009802E0">
              <w:rPr>
                <w:rFonts w:asciiTheme="minorEastAsia" w:eastAsiaTheme="minorEastAsia" w:hAnsiTheme="minorEastAsia" w:cs="宋体" w:hint="eastAsia"/>
                <w:kern w:val="0"/>
                <w:szCs w:val="21"/>
              </w:rPr>
              <w:t>0.</w:t>
            </w:r>
            <w:r w:rsidR="00F53CD8" w:rsidRPr="009802E0">
              <w:rPr>
                <w:rFonts w:asciiTheme="minorEastAsia" w:eastAsiaTheme="minorEastAsia" w:hAnsiTheme="minorEastAsia" w:cs="宋体" w:hint="eastAsia"/>
                <w:kern w:val="0"/>
                <w:szCs w:val="21"/>
              </w:rPr>
              <w:t>75</w:t>
            </w:r>
            <w:r w:rsidRPr="009802E0">
              <w:rPr>
                <w:rFonts w:asciiTheme="minorEastAsia" w:eastAsiaTheme="minorEastAsia" w:hAnsiTheme="minorEastAsia" w:cs="宋体" w:hint="eastAsia"/>
                <w:kern w:val="0"/>
                <w:szCs w:val="21"/>
              </w:rPr>
              <w:t>%</w:t>
            </w:r>
          </w:p>
        </w:tc>
      </w:tr>
      <w:tr w:rsidR="00F1417A" w:rsidRPr="009802E0" w:rsidTr="00DA1F61">
        <w:trPr>
          <w:jc w:val="center"/>
        </w:trPr>
        <w:tc>
          <w:tcPr>
            <w:tcW w:w="3870" w:type="dxa"/>
          </w:tcPr>
          <w:p w:rsidR="002C073B" w:rsidRPr="009802E0" w:rsidRDefault="00052662" w:rsidP="00FE018D">
            <w:pPr>
              <w:widowControl/>
              <w:adjustRightInd w:val="0"/>
              <w:snapToGrid w:val="0"/>
              <w:spacing w:line="360" w:lineRule="auto"/>
              <w:jc w:val="center"/>
              <w:rPr>
                <w:rFonts w:asciiTheme="minorEastAsia" w:eastAsiaTheme="minorEastAsia" w:hAnsiTheme="minorEastAsia" w:cs="宋体"/>
                <w:kern w:val="0"/>
                <w:szCs w:val="21"/>
              </w:rPr>
            </w:pPr>
            <w:r w:rsidRPr="009802E0">
              <w:rPr>
                <w:rFonts w:asciiTheme="minorEastAsia" w:eastAsiaTheme="minorEastAsia" w:hAnsiTheme="minorEastAsia" w:cs="宋体" w:hint="eastAsia"/>
                <w:kern w:val="0"/>
                <w:szCs w:val="21"/>
              </w:rPr>
              <w:t>3</w:t>
            </w:r>
            <w:r w:rsidR="009431DE" w:rsidRPr="009802E0">
              <w:rPr>
                <w:rFonts w:asciiTheme="minorEastAsia" w:eastAsiaTheme="minorEastAsia" w:hAnsiTheme="minorEastAsia" w:cs="宋体" w:hint="eastAsia"/>
                <w:kern w:val="0"/>
                <w:szCs w:val="21"/>
              </w:rPr>
              <w:t>0</w:t>
            </w:r>
            <w:r w:rsidR="002C073B" w:rsidRPr="009802E0">
              <w:rPr>
                <w:rFonts w:asciiTheme="minorEastAsia" w:eastAsiaTheme="minorEastAsia" w:hAnsiTheme="minorEastAsia" w:cs="宋体" w:hint="eastAsia"/>
                <w:kern w:val="0"/>
                <w:szCs w:val="21"/>
              </w:rPr>
              <w:t>-364</w:t>
            </w:r>
          </w:p>
        </w:tc>
        <w:tc>
          <w:tcPr>
            <w:tcW w:w="3798" w:type="dxa"/>
          </w:tcPr>
          <w:p w:rsidR="002C073B" w:rsidRPr="009802E0" w:rsidRDefault="002C073B" w:rsidP="00FE018D">
            <w:pPr>
              <w:widowControl/>
              <w:adjustRightInd w:val="0"/>
              <w:snapToGrid w:val="0"/>
              <w:spacing w:line="360" w:lineRule="auto"/>
              <w:jc w:val="center"/>
              <w:rPr>
                <w:rFonts w:asciiTheme="minorEastAsia" w:eastAsiaTheme="minorEastAsia" w:hAnsiTheme="minorEastAsia" w:cs="宋体"/>
                <w:kern w:val="0"/>
                <w:szCs w:val="21"/>
              </w:rPr>
            </w:pPr>
            <w:r w:rsidRPr="009802E0">
              <w:rPr>
                <w:rFonts w:asciiTheme="minorEastAsia" w:eastAsiaTheme="minorEastAsia" w:hAnsiTheme="minorEastAsia" w:cs="宋体" w:hint="eastAsia"/>
                <w:kern w:val="0"/>
                <w:szCs w:val="21"/>
              </w:rPr>
              <w:t>0.1%</w:t>
            </w:r>
          </w:p>
        </w:tc>
      </w:tr>
      <w:tr w:rsidR="00F1417A" w:rsidRPr="009802E0" w:rsidTr="00DA1F61">
        <w:trPr>
          <w:jc w:val="center"/>
        </w:trPr>
        <w:tc>
          <w:tcPr>
            <w:tcW w:w="3870" w:type="dxa"/>
          </w:tcPr>
          <w:p w:rsidR="002C073B" w:rsidRPr="009802E0" w:rsidRDefault="002C073B" w:rsidP="00FE018D">
            <w:pPr>
              <w:widowControl/>
              <w:adjustRightInd w:val="0"/>
              <w:snapToGrid w:val="0"/>
              <w:spacing w:line="360" w:lineRule="auto"/>
              <w:jc w:val="center"/>
              <w:rPr>
                <w:rFonts w:asciiTheme="minorEastAsia" w:eastAsiaTheme="minorEastAsia" w:hAnsiTheme="minorEastAsia" w:cs="宋体"/>
                <w:kern w:val="0"/>
                <w:szCs w:val="21"/>
              </w:rPr>
            </w:pPr>
            <w:r w:rsidRPr="009802E0">
              <w:rPr>
                <w:rFonts w:asciiTheme="minorEastAsia" w:eastAsiaTheme="minorEastAsia" w:hAnsiTheme="minorEastAsia" w:cs="宋体" w:hint="eastAsia"/>
                <w:kern w:val="0"/>
                <w:szCs w:val="21"/>
              </w:rPr>
              <w:t>365</w:t>
            </w:r>
            <w:r w:rsidRPr="009802E0">
              <w:rPr>
                <w:rFonts w:asciiTheme="minorEastAsia" w:eastAsiaTheme="minorEastAsia" w:hAnsiTheme="minorEastAsia" w:cs="宋体"/>
                <w:kern w:val="0"/>
                <w:szCs w:val="21"/>
              </w:rPr>
              <w:t>-</w:t>
            </w:r>
            <w:r w:rsidRPr="009802E0">
              <w:rPr>
                <w:rFonts w:asciiTheme="minorEastAsia" w:eastAsiaTheme="minorEastAsia" w:hAnsiTheme="minorEastAsia" w:cs="宋体" w:hint="eastAsia"/>
                <w:kern w:val="0"/>
                <w:szCs w:val="21"/>
              </w:rPr>
              <w:t>729</w:t>
            </w:r>
          </w:p>
        </w:tc>
        <w:tc>
          <w:tcPr>
            <w:tcW w:w="3798" w:type="dxa"/>
          </w:tcPr>
          <w:p w:rsidR="002C073B" w:rsidRPr="009802E0" w:rsidRDefault="002C073B" w:rsidP="00FE018D">
            <w:pPr>
              <w:widowControl/>
              <w:adjustRightInd w:val="0"/>
              <w:snapToGrid w:val="0"/>
              <w:spacing w:line="360" w:lineRule="auto"/>
              <w:jc w:val="center"/>
              <w:rPr>
                <w:rFonts w:asciiTheme="minorEastAsia" w:eastAsiaTheme="minorEastAsia" w:hAnsiTheme="minorEastAsia" w:cs="宋体"/>
                <w:kern w:val="0"/>
                <w:szCs w:val="21"/>
              </w:rPr>
            </w:pPr>
            <w:r w:rsidRPr="009802E0">
              <w:rPr>
                <w:rFonts w:asciiTheme="minorEastAsia" w:eastAsiaTheme="minorEastAsia" w:hAnsiTheme="minorEastAsia" w:cs="宋体"/>
                <w:kern w:val="0"/>
                <w:szCs w:val="21"/>
              </w:rPr>
              <w:t>0.</w:t>
            </w:r>
            <w:r w:rsidRPr="009802E0">
              <w:rPr>
                <w:rFonts w:asciiTheme="minorEastAsia" w:eastAsiaTheme="minorEastAsia" w:hAnsiTheme="minorEastAsia" w:cs="宋体" w:hint="eastAsia"/>
                <w:kern w:val="0"/>
                <w:szCs w:val="21"/>
              </w:rPr>
              <w:t>05</w:t>
            </w:r>
            <w:r w:rsidRPr="009802E0">
              <w:rPr>
                <w:rFonts w:asciiTheme="minorEastAsia" w:eastAsiaTheme="minorEastAsia" w:hAnsiTheme="minorEastAsia" w:cs="宋体"/>
                <w:kern w:val="0"/>
                <w:szCs w:val="21"/>
              </w:rPr>
              <w:t>%</w:t>
            </w:r>
          </w:p>
        </w:tc>
      </w:tr>
      <w:tr w:rsidR="00F1417A" w:rsidRPr="009802E0" w:rsidTr="00DA1F61">
        <w:trPr>
          <w:jc w:val="center"/>
        </w:trPr>
        <w:tc>
          <w:tcPr>
            <w:tcW w:w="3870" w:type="dxa"/>
          </w:tcPr>
          <w:p w:rsidR="002C073B" w:rsidRPr="009802E0" w:rsidRDefault="002C073B" w:rsidP="00FE018D">
            <w:pPr>
              <w:widowControl/>
              <w:adjustRightInd w:val="0"/>
              <w:snapToGrid w:val="0"/>
              <w:spacing w:line="360" w:lineRule="auto"/>
              <w:jc w:val="center"/>
              <w:rPr>
                <w:rFonts w:asciiTheme="minorEastAsia" w:eastAsiaTheme="minorEastAsia" w:hAnsiTheme="minorEastAsia" w:cs="宋体"/>
                <w:kern w:val="0"/>
                <w:szCs w:val="21"/>
              </w:rPr>
            </w:pPr>
            <w:r w:rsidRPr="009802E0">
              <w:rPr>
                <w:rFonts w:asciiTheme="minorEastAsia" w:eastAsiaTheme="minorEastAsia" w:hAnsiTheme="minorEastAsia" w:cs="宋体" w:hint="eastAsia"/>
                <w:kern w:val="0"/>
                <w:szCs w:val="21"/>
              </w:rPr>
              <w:t>730及以上</w:t>
            </w:r>
          </w:p>
        </w:tc>
        <w:tc>
          <w:tcPr>
            <w:tcW w:w="3798" w:type="dxa"/>
          </w:tcPr>
          <w:p w:rsidR="002C073B" w:rsidRPr="009802E0" w:rsidRDefault="002C073B" w:rsidP="00FE018D">
            <w:pPr>
              <w:widowControl/>
              <w:adjustRightInd w:val="0"/>
              <w:snapToGrid w:val="0"/>
              <w:spacing w:line="360" w:lineRule="auto"/>
              <w:jc w:val="center"/>
              <w:rPr>
                <w:rFonts w:asciiTheme="minorEastAsia" w:eastAsiaTheme="minorEastAsia" w:hAnsiTheme="minorEastAsia" w:cs="宋体"/>
                <w:kern w:val="0"/>
                <w:szCs w:val="21"/>
              </w:rPr>
            </w:pPr>
            <w:r w:rsidRPr="009802E0">
              <w:rPr>
                <w:rFonts w:asciiTheme="minorEastAsia" w:eastAsiaTheme="minorEastAsia" w:hAnsiTheme="minorEastAsia" w:cs="宋体"/>
                <w:kern w:val="0"/>
                <w:szCs w:val="21"/>
              </w:rPr>
              <w:t>0%</w:t>
            </w:r>
          </w:p>
        </w:tc>
      </w:tr>
    </w:tbl>
    <w:p w:rsidR="002C073B" w:rsidRPr="009802E0" w:rsidRDefault="00CC7356"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本基金</w:t>
      </w:r>
      <w:r w:rsidR="002C073B" w:rsidRPr="009802E0">
        <w:rPr>
          <w:rFonts w:asciiTheme="minorEastAsia" w:eastAsiaTheme="minorEastAsia" w:hAnsiTheme="minorEastAsia" w:hint="eastAsia"/>
          <w:szCs w:val="21"/>
        </w:rPr>
        <w:t>B类基金份额赎回费率见下表：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3798"/>
      </w:tblGrid>
      <w:tr w:rsidR="00F1417A" w:rsidRPr="009802E0" w:rsidTr="00DA1F61">
        <w:trPr>
          <w:jc w:val="center"/>
        </w:trPr>
        <w:tc>
          <w:tcPr>
            <w:tcW w:w="3870" w:type="dxa"/>
          </w:tcPr>
          <w:p w:rsidR="0007464A" w:rsidRPr="009802E0" w:rsidRDefault="0007464A" w:rsidP="00FE018D">
            <w:pPr>
              <w:widowControl/>
              <w:adjustRightInd w:val="0"/>
              <w:snapToGrid w:val="0"/>
              <w:spacing w:line="360" w:lineRule="auto"/>
              <w:jc w:val="center"/>
              <w:rPr>
                <w:rFonts w:asciiTheme="minorEastAsia" w:eastAsiaTheme="minorEastAsia" w:hAnsiTheme="minorEastAsia" w:cs="宋体"/>
                <w:b/>
                <w:kern w:val="0"/>
                <w:szCs w:val="21"/>
              </w:rPr>
            </w:pPr>
            <w:r w:rsidRPr="009802E0">
              <w:rPr>
                <w:rFonts w:asciiTheme="minorEastAsia" w:eastAsiaTheme="minorEastAsia" w:hAnsiTheme="minorEastAsia" w:cs="宋体"/>
                <w:b/>
                <w:kern w:val="0"/>
                <w:szCs w:val="21"/>
              </w:rPr>
              <w:t>持有时间</w:t>
            </w:r>
            <w:r w:rsidRPr="009802E0">
              <w:rPr>
                <w:rFonts w:asciiTheme="minorEastAsia" w:eastAsiaTheme="minorEastAsia" w:hAnsiTheme="minorEastAsia" w:cs="宋体" w:hint="eastAsia"/>
                <w:b/>
                <w:kern w:val="0"/>
                <w:szCs w:val="21"/>
              </w:rPr>
              <w:t>（天）</w:t>
            </w:r>
          </w:p>
        </w:tc>
        <w:tc>
          <w:tcPr>
            <w:tcW w:w="3798" w:type="dxa"/>
          </w:tcPr>
          <w:p w:rsidR="0007464A" w:rsidRPr="009802E0" w:rsidRDefault="004906E9" w:rsidP="00FE018D">
            <w:pPr>
              <w:widowControl/>
              <w:adjustRightInd w:val="0"/>
              <w:snapToGrid w:val="0"/>
              <w:spacing w:line="360" w:lineRule="auto"/>
              <w:jc w:val="center"/>
              <w:rPr>
                <w:rFonts w:asciiTheme="minorEastAsia" w:eastAsiaTheme="minorEastAsia" w:hAnsiTheme="minorEastAsia" w:cs="宋体"/>
                <w:b/>
                <w:kern w:val="0"/>
                <w:szCs w:val="21"/>
              </w:rPr>
            </w:pPr>
            <w:r w:rsidRPr="009802E0">
              <w:rPr>
                <w:rFonts w:asciiTheme="minorEastAsia" w:eastAsiaTheme="minorEastAsia" w:hAnsiTheme="minorEastAsia" w:cs="宋体" w:hint="eastAsia"/>
                <w:b/>
                <w:kern w:val="0"/>
                <w:szCs w:val="21"/>
              </w:rPr>
              <w:t>B类基金份额</w:t>
            </w:r>
            <w:r w:rsidR="0007464A" w:rsidRPr="009802E0">
              <w:rPr>
                <w:rFonts w:asciiTheme="minorEastAsia" w:eastAsiaTheme="minorEastAsia" w:hAnsiTheme="minorEastAsia" w:cs="宋体"/>
                <w:b/>
                <w:kern w:val="0"/>
                <w:szCs w:val="21"/>
              </w:rPr>
              <w:t>赎回费率</w:t>
            </w:r>
          </w:p>
        </w:tc>
      </w:tr>
      <w:tr w:rsidR="00F1417A" w:rsidRPr="009802E0" w:rsidTr="00DA1F61">
        <w:trPr>
          <w:jc w:val="center"/>
        </w:trPr>
        <w:tc>
          <w:tcPr>
            <w:tcW w:w="3870" w:type="dxa"/>
          </w:tcPr>
          <w:p w:rsidR="00954E08" w:rsidRPr="009802E0" w:rsidRDefault="00954E08" w:rsidP="00FE018D">
            <w:pPr>
              <w:widowControl/>
              <w:adjustRightInd w:val="0"/>
              <w:snapToGrid w:val="0"/>
              <w:spacing w:line="360" w:lineRule="auto"/>
              <w:jc w:val="center"/>
              <w:rPr>
                <w:rFonts w:asciiTheme="minorEastAsia" w:eastAsiaTheme="minorEastAsia" w:hAnsiTheme="minorEastAsia" w:cs="宋体"/>
                <w:kern w:val="0"/>
                <w:szCs w:val="21"/>
              </w:rPr>
            </w:pPr>
            <w:r w:rsidRPr="009802E0">
              <w:rPr>
                <w:rFonts w:asciiTheme="minorEastAsia" w:eastAsiaTheme="minorEastAsia" w:hAnsiTheme="minorEastAsia" w:cs="宋体" w:hint="eastAsia"/>
                <w:kern w:val="0"/>
                <w:szCs w:val="21"/>
              </w:rPr>
              <w:t>0</w:t>
            </w:r>
            <w:r w:rsidRPr="009802E0">
              <w:rPr>
                <w:rFonts w:asciiTheme="minorEastAsia" w:eastAsiaTheme="minorEastAsia" w:hAnsiTheme="minorEastAsia" w:cs="宋体"/>
                <w:kern w:val="0"/>
                <w:szCs w:val="21"/>
              </w:rPr>
              <w:t>-6</w:t>
            </w:r>
          </w:p>
        </w:tc>
        <w:tc>
          <w:tcPr>
            <w:tcW w:w="3798" w:type="dxa"/>
          </w:tcPr>
          <w:p w:rsidR="00954E08" w:rsidRPr="009802E0" w:rsidRDefault="00954E08" w:rsidP="00FE018D">
            <w:pPr>
              <w:widowControl/>
              <w:adjustRightInd w:val="0"/>
              <w:snapToGrid w:val="0"/>
              <w:spacing w:line="360" w:lineRule="auto"/>
              <w:jc w:val="center"/>
              <w:rPr>
                <w:rFonts w:asciiTheme="minorEastAsia" w:eastAsiaTheme="minorEastAsia" w:hAnsiTheme="minorEastAsia" w:cs="宋体"/>
                <w:kern w:val="0"/>
                <w:szCs w:val="21"/>
              </w:rPr>
            </w:pPr>
            <w:r w:rsidRPr="009802E0">
              <w:rPr>
                <w:rFonts w:asciiTheme="minorEastAsia" w:eastAsiaTheme="minorEastAsia" w:hAnsiTheme="minorEastAsia" w:cs="宋体" w:hint="eastAsia"/>
                <w:kern w:val="0"/>
                <w:szCs w:val="21"/>
              </w:rPr>
              <w:t>1</w:t>
            </w:r>
            <w:r w:rsidRPr="009802E0">
              <w:rPr>
                <w:rFonts w:asciiTheme="minorEastAsia" w:eastAsiaTheme="minorEastAsia" w:hAnsiTheme="minorEastAsia" w:cs="宋体"/>
                <w:kern w:val="0"/>
                <w:szCs w:val="21"/>
              </w:rPr>
              <w:t>.5%</w:t>
            </w:r>
          </w:p>
        </w:tc>
      </w:tr>
      <w:tr w:rsidR="00F1417A" w:rsidRPr="009802E0" w:rsidTr="00DA1F61">
        <w:trPr>
          <w:jc w:val="center"/>
        </w:trPr>
        <w:tc>
          <w:tcPr>
            <w:tcW w:w="3870" w:type="dxa"/>
          </w:tcPr>
          <w:p w:rsidR="0007464A" w:rsidRPr="009802E0" w:rsidRDefault="00954E08" w:rsidP="00FE018D">
            <w:pPr>
              <w:widowControl/>
              <w:adjustRightInd w:val="0"/>
              <w:snapToGrid w:val="0"/>
              <w:spacing w:line="360" w:lineRule="auto"/>
              <w:jc w:val="center"/>
              <w:rPr>
                <w:rFonts w:asciiTheme="minorEastAsia" w:eastAsiaTheme="minorEastAsia" w:hAnsiTheme="minorEastAsia" w:cs="宋体"/>
                <w:kern w:val="0"/>
                <w:szCs w:val="21"/>
              </w:rPr>
            </w:pPr>
            <w:r w:rsidRPr="009802E0">
              <w:rPr>
                <w:rFonts w:asciiTheme="minorEastAsia" w:eastAsiaTheme="minorEastAsia" w:hAnsiTheme="minorEastAsia" w:cs="宋体"/>
                <w:kern w:val="0"/>
                <w:szCs w:val="21"/>
              </w:rPr>
              <w:t>7</w:t>
            </w:r>
            <w:r w:rsidR="0007464A" w:rsidRPr="009802E0">
              <w:rPr>
                <w:rFonts w:asciiTheme="minorEastAsia" w:eastAsiaTheme="minorEastAsia" w:hAnsiTheme="minorEastAsia" w:cs="宋体" w:hint="eastAsia"/>
                <w:kern w:val="0"/>
                <w:szCs w:val="21"/>
              </w:rPr>
              <w:t>-</w:t>
            </w:r>
            <w:r w:rsidR="004906E9" w:rsidRPr="009802E0">
              <w:rPr>
                <w:rFonts w:asciiTheme="minorEastAsia" w:eastAsiaTheme="minorEastAsia" w:hAnsiTheme="minorEastAsia" w:cs="宋体" w:hint="eastAsia"/>
                <w:kern w:val="0"/>
                <w:szCs w:val="21"/>
              </w:rPr>
              <w:t>29</w:t>
            </w:r>
          </w:p>
        </w:tc>
        <w:tc>
          <w:tcPr>
            <w:tcW w:w="3798" w:type="dxa"/>
          </w:tcPr>
          <w:p w:rsidR="0007464A" w:rsidRPr="009802E0" w:rsidRDefault="0007464A" w:rsidP="00FE018D">
            <w:pPr>
              <w:widowControl/>
              <w:adjustRightInd w:val="0"/>
              <w:snapToGrid w:val="0"/>
              <w:spacing w:line="360" w:lineRule="auto"/>
              <w:jc w:val="center"/>
              <w:rPr>
                <w:rFonts w:asciiTheme="minorEastAsia" w:eastAsiaTheme="minorEastAsia" w:hAnsiTheme="minorEastAsia" w:cs="宋体"/>
                <w:kern w:val="0"/>
                <w:szCs w:val="21"/>
              </w:rPr>
            </w:pPr>
            <w:r w:rsidRPr="009802E0">
              <w:rPr>
                <w:rFonts w:asciiTheme="minorEastAsia" w:eastAsiaTheme="minorEastAsia" w:hAnsiTheme="minorEastAsia" w:cs="宋体" w:hint="eastAsia"/>
                <w:kern w:val="0"/>
                <w:szCs w:val="21"/>
              </w:rPr>
              <w:t>0.75%</w:t>
            </w:r>
          </w:p>
        </w:tc>
      </w:tr>
      <w:tr w:rsidR="00F1417A" w:rsidRPr="009802E0" w:rsidTr="00DA1F61">
        <w:trPr>
          <w:jc w:val="center"/>
        </w:trPr>
        <w:tc>
          <w:tcPr>
            <w:tcW w:w="3870" w:type="dxa"/>
          </w:tcPr>
          <w:p w:rsidR="0007464A" w:rsidRPr="009802E0" w:rsidRDefault="0007464A" w:rsidP="00FE018D">
            <w:pPr>
              <w:widowControl/>
              <w:adjustRightInd w:val="0"/>
              <w:snapToGrid w:val="0"/>
              <w:spacing w:line="360" w:lineRule="auto"/>
              <w:jc w:val="center"/>
              <w:rPr>
                <w:rFonts w:asciiTheme="minorEastAsia" w:eastAsiaTheme="minorEastAsia" w:hAnsiTheme="minorEastAsia" w:cs="宋体"/>
                <w:kern w:val="0"/>
                <w:szCs w:val="21"/>
              </w:rPr>
            </w:pPr>
            <w:r w:rsidRPr="009802E0">
              <w:rPr>
                <w:rFonts w:asciiTheme="minorEastAsia" w:eastAsiaTheme="minorEastAsia" w:hAnsiTheme="minorEastAsia" w:cs="宋体" w:hint="eastAsia"/>
                <w:kern w:val="0"/>
                <w:szCs w:val="21"/>
              </w:rPr>
              <w:t>30及以上</w:t>
            </w:r>
          </w:p>
        </w:tc>
        <w:tc>
          <w:tcPr>
            <w:tcW w:w="3798" w:type="dxa"/>
          </w:tcPr>
          <w:p w:rsidR="0007464A" w:rsidRPr="009802E0" w:rsidRDefault="0007464A" w:rsidP="00FE018D">
            <w:pPr>
              <w:widowControl/>
              <w:adjustRightInd w:val="0"/>
              <w:snapToGrid w:val="0"/>
              <w:spacing w:line="360" w:lineRule="auto"/>
              <w:jc w:val="center"/>
              <w:rPr>
                <w:rFonts w:asciiTheme="minorEastAsia" w:eastAsiaTheme="minorEastAsia" w:hAnsiTheme="minorEastAsia" w:cs="宋体"/>
                <w:kern w:val="0"/>
                <w:szCs w:val="21"/>
              </w:rPr>
            </w:pPr>
            <w:r w:rsidRPr="009802E0">
              <w:rPr>
                <w:rFonts w:asciiTheme="minorEastAsia" w:eastAsiaTheme="minorEastAsia" w:hAnsiTheme="minorEastAsia" w:cs="宋体"/>
                <w:kern w:val="0"/>
                <w:szCs w:val="21"/>
              </w:rPr>
              <w:t>0%</w:t>
            </w:r>
          </w:p>
        </w:tc>
      </w:tr>
    </w:tbl>
    <w:p w:rsidR="00C3696F" w:rsidRPr="009802E0" w:rsidRDefault="00EA0A92"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投资者可将其持有的全部或部分基金份额赎回。本基金的赎回费用在投资者赎回本基金份额时收取。</w:t>
      </w:r>
      <w:r w:rsidR="00F53CD8" w:rsidRPr="009802E0">
        <w:rPr>
          <w:rFonts w:asciiTheme="minorEastAsia" w:eastAsiaTheme="minorEastAsia" w:hAnsiTheme="minorEastAsia" w:hint="eastAsia"/>
          <w:szCs w:val="21"/>
        </w:rPr>
        <w:t>对于持有期不少于30日的A类份额所收取的赎回费</w:t>
      </w:r>
      <w:r w:rsidRPr="009802E0">
        <w:rPr>
          <w:rFonts w:asciiTheme="minorEastAsia" w:eastAsiaTheme="minorEastAsia" w:hAnsiTheme="minorEastAsia" w:hint="eastAsia"/>
          <w:szCs w:val="21"/>
        </w:rPr>
        <w:t>，在扣除用于市场推广、注册登记费和其他手续费后的余额归基金财产，赎回费归入基金财产的比例</w:t>
      </w:r>
      <w:r w:rsidR="003971D6" w:rsidRPr="009802E0">
        <w:rPr>
          <w:rFonts w:asciiTheme="minorEastAsia" w:eastAsiaTheme="minorEastAsia" w:hAnsiTheme="minorEastAsia" w:hint="eastAsia"/>
          <w:szCs w:val="21"/>
        </w:rPr>
        <w:t>为</w:t>
      </w:r>
      <w:r w:rsidR="00374947" w:rsidRPr="009802E0">
        <w:rPr>
          <w:rFonts w:asciiTheme="minorEastAsia" w:eastAsiaTheme="minorEastAsia" w:hAnsiTheme="minorEastAsia" w:hint="eastAsia"/>
          <w:szCs w:val="21"/>
        </w:rPr>
        <w:t>赎回费</w:t>
      </w:r>
      <w:r w:rsidRPr="009802E0">
        <w:rPr>
          <w:rFonts w:asciiTheme="minorEastAsia" w:eastAsiaTheme="minorEastAsia" w:hAnsiTheme="minorEastAsia" w:hint="eastAsia"/>
          <w:szCs w:val="21"/>
        </w:rPr>
        <w:t>总额的25%。对于持有期限少于30日的</w:t>
      </w:r>
      <w:r w:rsidR="00F53CD8" w:rsidRPr="009802E0">
        <w:rPr>
          <w:rFonts w:asciiTheme="minorEastAsia" w:eastAsiaTheme="minorEastAsia" w:hAnsiTheme="minorEastAsia" w:hint="eastAsia"/>
          <w:szCs w:val="21"/>
        </w:rPr>
        <w:t>A类/</w:t>
      </w:r>
      <w:r w:rsidRPr="009802E0">
        <w:rPr>
          <w:rFonts w:asciiTheme="minorEastAsia" w:eastAsiaTheme="minorEastAsia" w:hAnsiTheme="minorEastAsia" w:hint="eastAsia"/>
          <w:szCs w:val="21"/>
        </w:rPr>
        <w:t>B类基金份额所收取的赎回费，全额计入基金财产。</w:t>
      </w:r>
    </w:p>
    <w:p w:rsidR="006E1DC3" w:rsidRPr="009802E0" w:rsidRDefault="00EA0A92"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5</w:t>
      </w:r>
      <w:r w:rsidR="002B5B21" w:rsidRPr="009802E0">
        <w:rPr>
          <w:rFonts w:asciiTheme="minorEastAsia" w:eastAsiaTheme="minorEastAsia" w:hAnsiTheme="minorEastAsia" w:hint="eastAsia"/>
          <w:szCs w:val="21"/>
        </w:rPr>
        <w:t>、</w:t>
      </w:r>
      <w:r w:rsidR="006E1DC3" w:rsidRPr="009802E0">
        <w:rPr>
          <w:rFonts w:asciiTheme="minorEastAsia" w:eastAsiaTheme="minorEastAsia" w:hAnsiTheme="minorEastAsia"/>
          <w:szCs w:val="21"/>
        </w:rPr>
        <w:t>基金管理人可以在基金合同规定的范围内调整申购费率和赎回费率，调整后的申购费率和赎回费率在《更新的招募说明书》中列示。上述费率如发生变更，基金管理人还应按照《信息披露办法》或其他相关规定于新的费率实施前在至少一家</w:t>
      </w:r>
      <w:r w:rsidR="004E4473" w:rsidRPr="009802E0">
        <w:rPr>
          <w:rFonts w:asciiTheme="minorEastAsia" w:eastAsiaTheme="minorEastAsia" w:hAnsiTheme="minorEastAsia"/>
          <w:szCs w:val="21"/>
        </w:rPr>
        <w:t>指定媒介</w:t>
      </w:r>
      <w:r w:rsidR="006E1DC3" w:rsidRPr="009802E0">
        <w:rPr>
          <w:rFonts w:asciiTheme="minorEastAsia" w:eastAsiaTheme="minorEastAsia" w:hAnsiTheme="minorEastAsia"/>
          <w:szCs w:val="21"/>
        </w:rPr>
        <w:t>及基金管理人网站公告。</w:t>
      </w:r>
    </w:p>
    <w:p w:rsidR="006E1DC3" w:rsidRPr="009802E0" w:rsidRDefault="00526F5E"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067AFE"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bCs/>
        </w:rPr>
      </w:pPr>
      <w:bookmarkStart w:id="28" w:name="_Toc43301898"/>
      <w:r w:rsidRPr="009802E0">
        <w:rPr>
          <w:rFonts w:asciiTheme="minorEastAsia" w:eastAsiaTheme="minorEastAsia" w:hAnsiTheme="minorEastAsia" w:hint="eastAsia"/>
          <w:b w:val="0"/>
          <w:bCs/>
        </w:rPr>
        <w:t>（</w:t>
      </w:r>
      <w:r w:rsidR="00512F84" w:rsidRPr="009802E0">
        <w:rPr>
          <w:rFonts w:asciiTheme="minorEastAsia" w:eastAsiaTheme="minorEastAsia" w:hAnsiTheme="minorEastAsia" w:hint="eastAsia"/>
          <w:b w:val="0"/>
          <w:bCs/>
        </w:rPr>
        <w:t>八</w:t>
      </w:r>
      <w:r w:rsidRPr="009802E0">
        <w:rPr>
          <w:rFonts w:asciiTheme="minorEastAsia" w:eastAsiaTheme="minorEastAsia" w:hAnsiTheme="minorEastAsia" w:hint="eastAsia"/>
          <w:b w:val="0"/>
          <w:bCs/>
        </w:rPr>
        <w:t>）申购和赎回的数额和价格</w:t>
      </w:r>
      <w:bookmarkEnd w:id="28"/>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szCs w:val="21"/>
        </w:rPr>
        <w:t>1</w:t>
      </w:r>
      <w:r w:rsidR="00C335A3" w:rsidRPr="009802E0">
        <w:rPr>
          <w:rFonts w:asciiTheme="minorEastAsia" w:eastAsiaTheme="minorEastAsia" w:hAnsiTheme="minorEastAsia" w:hint="eastAsia"/>
          <w:szCs w:val="21"/>
        </w:rPr>
        <w:t>、</w:t>
      </w:r>
      <w:r w:rsidRPr="009802E0">
        <w:rPr>
          <w:rFonts w:asciiTheme="minorEastAsia" w:eastAsiaTheme="minorEastAsia" w:hAnsiTheme="minorEastAsia" w:hint="eastAsia"/>
          <w:szCs w:val="21"/>
        </w:rPr>
        <w:t>申购和赎回数额、余额的处理方式</w:t>
      </w:r>
    </w:p>
    <w:p w:rsidR="008D0420" w:rsidRPr="009802E0" w:rsidRDefault="00B43AC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w:t>
      </w:r>
      <w:r w:rsidRPr="009802E0">
        <w:rPr>
          <w:rFonts w:asciiTheme="minorEastAsia" w:eastAsiaTheme="minorEastAsia" w:hAnsiTheme="minorEastAsia"/>
          <w:szCs w:val="21"/>
        </w:rPr>
        <w:t>1</w:t>
      </w:r>
      <w:r w:rsidRPr="009802E0">
        <w:rPr>
          <w:rFonts w:asciiTheme="minorEastAsia" w:eastAsiaTheme="minorEastAsia" w:hAnsiTheme="minorEastAsia" w:hint="eastAsia"/>
          <w:szCs w:val="21"/>
        </w:rPr>
        <w:t>）申购的有效份额为按实际确认的申购金额在扣除相应的费用后，以申购当日基金份额净值为基准计算。</w:t>
      </w:r>
      <w:r w:rsidRPr="009802E0">
        <w:rPr>
          <w:rFonts w:asciiTheme="minorEastAsia" w:eastAsiaTheme="minorEastAsia" w:hAnsiTheme="minorEastAsia"/>
          <w:szCs w:val="21"/>
        </w:rPr>
        <w:t>申购涉及金额、份额的计算结果保留到小数点后两位，小数点后两位</w:t>
      </w:r>
      <w:r w:rsidRPr="009802E0">
        <w:rPr>
          <w:rFonts w:asciiTheme="minorEastAsia" w:eastAsiaTheme="minorEastAsia" w:hAnsiTheme="minorEastAsia"/>
          <w:szCs w:val="21"/>
        </w:rPr>
        <w:lastRenderedPageBreak/>
        <w:t>以后的部分四舍五入，由此产生的误差计入基金财产。</w:t>
      </w:r>
    </w:p>
    <w:p w:rsidR="006B7764" w:rsidRPr="009802E0" w:rsidRDefault="006B776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w:t>
      </w:r>
      <w:r w:rsidRPr="009802E0">
        <w:rPr>
          <w:rFonts w:asciiTheme="minorEastAsia" w:eastAsiaTheme="minorEastAsia" w:hAnsiTheme="minorEastAsia"/>
          <w:szCs w:val="21"/>
        </w:rPr>
        <w:t>2</w:t>
      </w:r>
      <w:r w:rsidRPr="009802E0">
        <w:rPr>
          <w:rFonts w:asciiTheme="minorEastAsia" w:eastAsiaTheme="minorEastAsia" w:hAnsiTheme="minorEastAsia" w:hint="eastAsia"/>
          <w:szCs w:val="21"/>
        </w:rPr>
        <w:t>）赎回金额的处理方式：赎回</w:t>
      </w:r>
      <w:r w:rsidRPr="009802E0">
        <w:rPr>
          <w:rFonts w:asciiTheme="minorEastAsia" w:eastAsiaTheme="minorEastAsia" w:hAnsiTheme="minorEastAsia"/>
          <w:szCs w:val="21"/>
        </w:rPr>
        <w:t>金额为按实际确认的有效赎回份额</w:t>
      </w:r>
      <w:r w:rsidRPr="009802E0">
        <w:rPr>
          <w:rFonts w:asciiTheme="minorEastAsia" w:eastAsiaTheme="minorEastAsia" w:hAnsiTheme="minorEastAsia" w:hint="eastAsia"/>
          <w:szCs w:val="21"/>
        </w:rPr>
        <w:t>乘</w:t>
      </w:r>
      <w:r w:rsidRPr="009802E0">
        <w:rPr>
          <w:rFonts w:asciiTheme="minorEastAsia" w:eastAsiaTheme="minorEastAsia" w:hAnsiTheme="minorEastAsia"/>
          <w:szCs w:val="21"/>
        </w:rPr>
        <w:t>以</w:t>
      </w:r>
      <w:r w:rsidRPr="009802E0">
        <w:rPr>
          <w:rFonts w:asciiTheme="minorEastAsia" w:eastAsiaTheme="minorEastAsia" w:hAnsiTheme="minorEastAsia" w:hint="eastAsia"/>
          <w:szCs w:val="21"/>
        </w:rPr>
        <w:t>申请</w:t>
      </w:r>
      <w:r w:rsidRPr="009802E0">
        <w:rPr>
          <w:rFonts w:asciiTheme="minorEastAsia" w:eastAsiaTheme="minorEastAsia" w:hAnsiTheme="minorEastAsia"/>
          <w:szCs w:val="21"/>
        </w:rPr>
        <w:t>当日基金份额净值为基准并扣除相应的费用</w:t>
      </w:r>
      <w:r w:rsidRPr="009802E0">
        <w:rPr>
          <w:rFonts w:asciiTheme="minorEastAsia" w:eastAsiaTheme="minorEastAsia" w:hAnsiTheme="minorEastAsia" w:hint="eastAsia"/>
          <w:szCs w:val="21"/>
        </w:rPr>
        <w:t>后的余额</w:t>
      </w:r>
      <w:r w:rsidRPr="009802E0">
        <w:rPr>
          <w:rFonts w:asciiTheme="minorEastAsia" w:eastAsiaTheme="minorEastAsia" w:hAnsiTheme="minorEastAsia"/>
          <w:szCs w:val="21"/>
        </w:rPr>
        <w:t>，</w:t>
      </w:r>
      <w:r w:rsidRPr="009802E0">
        <w:rPr>
          <w:rFonts w:asciiTheme="minorEastAsia" w:eastAsiaTheme="minorEastAsia" w:hAnsiTheme="minorEastAsia" w:hint="eastAsia"/>
          <w:szCs w:val="21"/>
        </w:rPr>
        <w:t>赎回费用、</w:t>
      </w:r>
      <w:r w:rsidRPr="009802E0">
        <w:rPr>
          <w:rFonts w:asciiTheme="minorEastAsia" w:eastAsiaTheme="minorEastAsia" w:hAnsiTheme="minorEastAsia"/>
          <w:szCs w:val="21"/>
        </w:rPr>
        <w:t>赎回金额</w:t>
      </w:r>
      <w:r w:rsidRPr="009802E0">
        <w:rPr>
          <w:rFonts w:asciiTheme="minorEastAsia" w:eastAsiaTheme="minorEastAsia" w:hAnsiTheme="minorEastAsia" w:hint="eastAsia"/>
          <w:szCs w:val="21"/>
        </w:rPr>
        <w:t>的单位为人民币元，</w:t>
      </w:r>
      <w:r w:rsidRPr="009802E0">
        <w:rPr>
          <w:rFonts w:asciiTheme="minorEastAsia" w:eastAsiaTheme="minorEastAsia" w:hAnsiTheme="minorEastAsia"/>
          <w:szCs w:val="21"/>
        </w:rPr>
        <w:t>计算结果保留到小数点后两位，小数点后两位以后的部分四舍五入，由此产生的误差计入基金财产</w:t>
      </w:r>
      <w:r w:rsidRPr="009802E0">
        <w:rPr>
          <w:rFonts w:asciiTheme="minorEastAsia" w:eastAsiaTheme="minorEastAsia" w:hAnsiTheme="minorEastAsia" w:hint="eastAsia"/>
          <w:szCs w:val="21"/>
        </w:rPr>
        <w:t>。</w:t>
      </w:r>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szCs w:val="21"/>
        </w:rPr>
        <w:t>2</w:t>
      </w:r>
      <w:r w:rsidR="00C335A3" w:rsidRPr="009802E0">
        <w:rPr>
          <w:rFonts w:asciiTheme="minorEastAsia" w:eastAsiaTheme="minorEastAsia" w:hAnsiTheme="minorEastAsia" w:hint="eastAsia"/>
          <w:szCs w:val="21"/>
        </w:rPr>
        <w:t>、</w:t>
      </w:r>
      <w:r w:rsidRPr="009802E0">
        <w:rPr>
          <w:rFonts w:asciiTheme="minorEastAsia" w:eastAsiaTheme="minorEastAsia" w:hAnsiTheme="minorEastAsia" w:hint="eastAsia"/>
          <w:szCs w:val="21"/>
        </w:rPr>
        <w:t>申购份额的计算</w:t>
      </w:r>
    </w:p>
    <w:p w:rsidR="00846F44" w:rsidRPr="009802E0" w:rsidRDefault="003829BD"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（1）</w:t>
      </w:r>
      <w:r w:rsidR="00846F44" w:rsidRPr="009802E0">
        <w:rPr>
          <w:rFonts w:asciiTheme="minorEastAsia" w:eastAsiaTheme="minorEastAsia" w:hAnsiTheme="minorEastAsia" w:hint="eastAsia"/>
          <w:szCs w:val="21"/>
        </w:rPr>
        <w:t>若投资者选择A类基金份额，则申购份额的计算公式如下：</w:t>
      </w:r>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净申购金额</w:t>
      </w:r>
      <w:r w:rsidRPr="009802E0">
        <w:rPr>
          <w:rFonts w:asciiTheme="minorEastAsia" w:eastAsiaTheme="minorEastAsia" w:hAnsiTheme="minorEastAsia"/>
          <w:szCs w:val="21"/>
        </w:rPr>
        <w:t>=</w:t>
      </w:r>
      <w:r w:rsidRPr="009802E0">
        <w:rPr>
          <w:rFonts w:asciiTheme="minorEastAsia" w:eastAsiaTheme="minorEastAsia" w:hAnsiTheme="minorEastAsia" w:hint="eastAsia"/>
          <w:szCs w:val="21"/>
        </w:rPr>
        <w:t>申购金额</w:t>
      </w:r>
      <w:r w:rsidRPr="009802E0">
        <w:rPr>
          <w:rFonts w:asciiTheme="minorEastAsia" w:eastAsiaTheme="minorEastAsia" w:hAnsiTheme="minorEastAsia"/>
          <w:szCs w:val="21"/>
        </w:rPr>
        <w:t>/</w:t>
      </w:r>
      <w:r w:rsidRPr="009802E0">
        <w:rPr>
          <w:rFonts w:asciiTheme="minorEastAsia" w:eastAsiaTheme="minorEastAsia" w:hAnsiTheme="minorEastAsia" w:hint="eastAsia"/>
          <w:szCs w:val="21"/>
        </w:rPr>
        <w:t>（</w:t>
      </w:r>
      <w:r w:rsidRPr="009802E0">
        <w:rPr>
          <w:rFonts w:asciiTheme="minorEastAsia" w:eastAsiaTheme="minorEastAsia" w:hAnsiTheme="minorEastAsia"/>
          <w:szCs w:val="21"/>
        </w:rPr>
        <w:t>1+</w:t>
      </w:r>
      <w:r w:rsidRPr="009802E0">
        <w:rPr>
          <w:rFonts w:asciiTheme="minorEastAsia" w:eastAsiaTheme="minorEastAsia" w:hAnsiTheme="minorEastAsia" w:hint="eastAsia"/>
          <w:szCs w:val="21"/>
        </w:rPr>
        <w:t>申购费率）</w:t>
      </w:r>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w:t>
      </w:r>
      <w:r w:rsidRPr="009802E0">
        <w:rPr>
          <w:rFonts w:asciiTheme="minorEastAsia" w:eastAsiaTheme="minorEastAsia" w:hAnsiTheme="minorEastAsia"/>
          <w:szCs w:val="21"/>
        </w:rPr>
        <w:t>注：对于1000万（含）以上</w:t>
      </w:r>
      <w:r w:rsidRPr="009802E0">
        <w:rPr>
          <w:rFonts w:asciiTheme="minorEastAsia" w:eastAsiaTheme="minorEastAsia" w:hAnsiTheme="minorEastAsia" w:hint="eastAsia"/>
          <w:szCs w:val="21"/>
        </w:rPr>
        <w:t>适用固定金额申购费</w:t>
      </w:r>
      <w:r w:rsidRPr="009802E0">
        <w:rPr>
          <w:rFonts w:asciiTheme="minorEastAsia" w:eastAsiaTheme="minorEastAsia" w:hAnsiTheme="minorEastAsia"/>
          <w:szCs w:val="21"/>
        </w:rPr>
        <w:t>的申购，净申购金额＝申购金额－</w:t>
      </w:r>
      <w:r w:rsidRPr="009802E0">
        <w:rPr>
          <w:rFonts w:asciiTheme="minorEastAsia" w:eastAsiaTheme="minorEastAsia" w:hAnsiTheme="minorEastAsia" w:hint="eastAsia"/>
          <w:szCs w:val="21"/>
        </w:rPr>
        <w:t>固定申购费金额）</w:t>
      </w:r>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申购费用</w:t>
      </w:r>
      <w:r w:rsidRPr="009802E0">
        <w:rPr>
          <w:rFonts w:asciiTheme="minorEastAsia" w:eastAsiaTheme="minorEastAsia" w:hAnsiTheme="minorEastAsia"/>
          <w:szCs w:val="21"/>
        </w:rPr>
        <w:t>=</w:t>
      </w:r>
      <w:r w:rsidRPr="009802E0">
        <w:rPr>
          <w:rFonts w:asciiTheme="minorEastAsia" w:eastAsiaTheme="minorEastAsia" w:hAnsiTheme="minorEastAsia" w:hint="eastAsia"/>
          <w:szCs w:val="21"/>
        </w:rPr>
        <w:t>申购金额</w:t>
      </w:r>
      <w:r w:rsidRPr="009802E0">
        <w:rPr>
          <w:rFonts w:asciiTheme="minorEastAsia" w:eastAsiaTheme="minorEastAsia" w:hAnsiTheme="minorEastAsia"/>
          <w:szCs w:val="21"/>
        </w:rPr>
        <w:t>-</w:t>
      </w:r>
      <w:r w:rsidRPr="009802E0">
        <w:rPr>
          <w:rFonts w:asciiTheme="minorEastAsia" w:eastAsiaTheme="minorEastAsia" w:hAnsiTheme="minorEastAsia" w:hint="eastAsia"/>
          <w:szCs w:val="21"/>
        </w:rPr>
        <w:t>净申购金额</w:t>
      </w:r>
    </w:p>
    <w:p w:rsidR="004B2680" w:rsidRPr="009802E0" w:rsidRDefault="00B43AC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申购份额</w:t>
      </w:r>
      <w:r w:rsidRPr="009802E0">
        <w:rPr>
          <w:rFonts w:asciiTheme="minorEastAsia" w:eastAsiaTheme="minorEastAsia" w:hAnsiTheme="minorEastAsia"/>
          <w:szCs w:val="21"/>
        </w:rPr>
        <w:t>=</w:t>
      </w:r>
      <w:r w:rsidRPr="009802E0">
        <w:rPr>
          <w:rFonts w:asciiTheme="minorEastAsia" w:eastAsiaTheme="minorEastAsia" w:hAnsiTheme="minorEastAsia" w:hint="eastAsia"/>
          <w:szCs w:val="21"/>
        </w:rPr>
        <w:t>净申购金额</w:t>
      </w:r>
      <w:r w:rsidRPr="009802E0">
        <w:rPr>
          <w:rFonts w:asciiTheme="minorEastAsia" w:eastAsiaTheme="minorEastAsia" w:hAnsiTheme="minorEastAsia"/>
          <w:szCs w:val="21"/>
        </w:rPr>
        <w:t>/T</w:t>
      </w:r>
      <w:r w:rsidRPr="009802E0">
        <w:rPr>
          <w:rFonts w:asciiTheme="minorEastAsia" w:eastAsiaTheme="minorEastAsia" w:hAnsiTheme="minorEastAsia" w:hint="eastAsia"/>
          <w:szCs w:val="21"/>
        </w:rPr>
        <w:t>日基金份额净值</w:t>
      </w:r>
    </w:p>
    <w:p w:rsidR="00936F0E" w:rsidRPr="009802E0" w:rsidRDefault="00936F0E"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例</w:t>
      </w:r>
      <w:r w:rsidR="00954E08" w:rsidRPr="009802E0">
        <w:rPr>
          <w:rFonts w:asciiTheme="minorEastAsia" w:eastAsiaTheme="minorEastAsia" w:hAnsiTheme="minorEastAsia" w:hint="eastAsia"/>
          <w:szCs w:val="21"/>
        </w:rPr>
        <w:t>一</w:t>
      </w:r>
      <w:r w:rsidRPr="009802E0">
        <w:rPr>
          <w:rFonts w:asciiTheme="minorEastAsia" w:eastAsiaTheme="minorEastAsia" w:hAnsiTheme="minorEastAsia" w:hint="eastAsia"/>
          <w:szCs w:val="21"/>
        </w:rPr>
        <w:t>：某投资人（非</w:t>
      </w:r>
      <w:r w:rsidR="00F63055" w:rsidRPr="009802E0">
        <w:rPr>
          <w:rFonts w:asciiTheme="minorEastAsia" w:eastAsiaTheme="minorEastAsia" w:hAnsiTheme="minorEastAsia" w:hint="eastAsia"/>
          <w:szCs w:val="21"/>
        </w:rPr>
        <w:t>特定投资群体</w:t>
      </w:r>
      <w:r w:rsidRPr="009802E0">
        <w:rPr>
          <w:rFonts w:asciiTheme="minorEastAsia" w:eastAsiaTheme="minorEastAsia" w:hAnsiTheme="minorEastAsia" w:hint="eastAsia"/>
          <w:szCs w:val="21"/>
        </w:rPr>
        <w:t>）投资</w:t>
      </w:r>
      <w:r w:rsidRPr="009802E0">
        <w:rPr>
          <w:rFonts w:asciiTheme="minorEastAsia" w:eastAsiaTheme="minorEastAsia" w:hAnsiTheme="minorEastAsia"/>
          <w:szCs w:val="21"/>
        </w:rPr>
        <w:t>4</w:t>
      </w:r>
      <w:r w:rsidRPr="009802E0">
        <w:rPr>
          <w:rFonts w:asciiTheme="minorEastAsia" w:eastAsiaTheme="minorEastAsia" w:hAnsiTheme="minorEastAsia" w:hint="eastAsia"/>
          <w:szCs w:val="21"/>
        </w:rPr>
        <w:t>万元申购本基金A类份额，申购费率为</w:t>
      </w:r>
      <w:r w:rsidRPr="009802E0">
        <w:rPr>
          <w:rFonts w:asciiTheme="minorEastAsia" w:eastAsiaTheme="minorEastAsia" w:hAnsiTheme="minorEastAsia"/>
          <w:szCs w:val="21"/>
        </w:rPr>
        <w:t>0.8%</w:t>
      </w:r>
      <w:r w:rsidRPr="009802E0">
        <w:rPr>
          <w:rFonts w:asciiTheme="minorEastAsia" w:eastAsiaTheme="minorEastAsia" w:hAnsiTheme="minorEastAsia" w:hint="eastAsia"/>
          <w:szCs w:val="21"/>
        </w:rPr>
        <w:t>，假设申购当日基金份额净值为</w:t>
      </w:r>
      <w:r w:rsidRPr="009802E0">
        <w:rPr>
          <w:rFonts w:asciiTheme="minorEastAsia" w:eastAsiaTheme="minorEastAsia" w:hAnsiTheme="minorEastAsia"/>
          <w:szCs w:val="21"/>
        </w:rPr>
        <w:t>1.040</w:t>
      </w:r>
      <w:r w:rsidRPr="009802E0">
        <w:rPr>
          <w:rFonts w:asciiTheme="minorEastAsia" w:eastAsiaTheme="minorEastAsia" w:hAnsiTheme="minorEastAsia" w:hint="eastAsia"/>
          <w:szCs w:val="21"/>
        </w:rPr>
        <w:t>元，则其可得到的申购份额为：</w:t>
      </w:r>
    </w:p>
    <w:p w:rsidR="00936F0E" w:rsidRPr="009802E0" w:rsidRDefault="00936F0E"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净申购金额</w:t>
      </w:r>
      <w:r w:rsidRPr="009802E0">
        <w:rPr>
          <w:rFonts w:asciiTheme="minorEastAsia" w:eastAsiaTheme="minorEastAsia" w:hAnsiTheme="minorEastAsia"/>
          <w:szCs w:val="21"/>
        </w:rPr>
        <w:t>=40,000/</w:t>
      </w:r>
      <w:r w:rsidRPr="009802E0">
        <w:rPr>
          <w:rFonts w:asciiTheme="minorEastAsia" w:eastAsiaTheme="minorEastAsia" w:hAnsiTheme="minorEastAsia" w:hint="eastAsia"/>
          <w:szCs w:val="21"/>
        </w:rPr>
        <w:t>（</w:t>
      </w:r>
      <w:r w:rsidRPr="009802E0">
        <w:rPr>
          <w:rFonts w:asciiTheme="minorEastAsia" w:eastAsiaTheme="minorEastAsia" w:hAnsiTheme="minorEastAsia"/>
          <w:szCs w:val="21"/>
        </w:rPr>
        <w:t>1+0.8%</w:t>
      </w:r>
      <w:r w:rsidRPr="009802E0">
        <w:rPr>
          <w:rFonts w:asciiTheme="minorEastAsia" w:eastAsiaTheme="minorEastAsia" w:hAnsiTheme="minorEastAsia" w:hint="eastAsia"/>
          <w:szCs w:val="21"/>
        </w:rPr>
        <w:t>）</w:t>
      </w:r>
      <w:r w:rsidRPr="009802E0">
        <w:rPr>
          <w:rFonts w:asciiTheme="minorEastAsia" w:eastAsiaTheme="minorEastAsia" w:hAnsiTheme="minorEastAsia"/>
          <w:szCs w:val="21"/>
        </w:rPr>
        <w:t>=39,682.54</w:t>
      </w:r>
      <w:r w:rsidRPr="009802E0">
        <w:rPr>
          <w:rFonts w:asciiTheme="minorEastAsia" w:eastAsiaTheme="minorEastAsia" w:hAnsiTheme="minorEastAsia" w:hint="eastAsia"/>
          <w:szCs w:val="21"/>
        </w:rPr>
        <w:t>元</w:t>
      </w:r>
    </w:p>
    <w:p w:rsidR="00936F0E" w:rsidRPr="009802E0" w:rsidRDefault="00936F0E"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申购费用</w:t>
      </w:r>
      <w:r w:rsidRPr="009802E0">
        <w:rPr>
          <w:rFonts w:asciiTheme="minorEastAsia" w:eastAsiaTheme="minorEastAsia" w:hAnsiTheme="minorEastAsia"/>
          <w:szCs w:val="21"/>
        </w:rPr>
        <w:t>=40,000-39,682.54=317.46</w:t>
      </w:r>
      <w:r w:rsidRPr="009802E0">
        <w:rPr>
          <w:rFonts w:asciiTheme="minorEastAsia" w:eastAsiaTheme="minorEastAsia" w:hAnsiTheme="minorEastAsia" w:hint="eastAsia"/>
          <w:szCs w:val="21"/>
        </w:rPr>
        <w:t>元</w:t>
      </w:r>
    </w:p>
    <w:p w:rsidR="00936F0E" w:rsidRPr="009802E0" w:rsidRDefault="00936F0E"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申购份额</w:t>
      </w:r>
      <w:r w:rsidRPr="009802E0">
        <w:rPr>
          <w:rFonts w:asciiTheme="minorEastAsia" w:eastAsiaTheme="minorEastAsia" w:hAnsiTheme="minorEastAsia"/>
          <w:szCs w:val="21"/>
        </w:rPr>
        <w:t>=39,682.54/1.040=38,156.29</w:t>
      </w:r>
      <w:r w:rsidRPr="009802E0">
        <w:rPr>
          <w:rFonts w:asciiTheme="minorEastAsia" w:eastAsiaTheme="minorEastAsia" w:hAnsiTheme="minorEastAsia" w:hint="eastAsia"/>
          <w:szCs w:val="21"/>
        </w:rPr>
        <w:t>份</w:t>
      </w:r>
    </w:p>
    <w:p w:rsidR="00936F0E" w:rsidRPr="009802E0" w:rsidRDefault="00936F0E"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例</w:t>
      </w:r>
      <w:r w:rsidR="00954E08" w:rsidRPr="009802E0">
        <w:rPr>
          <w:rFonts w:asciiTheme="minorEastAsia" w:eastAsiaTheme="minorEastAsia" w:hAnsiTheme="minorEastAsia" w:hint="eastAsia"/>
          <w:szCs w:val="21"/>
        </w:rPr>
        <w:t>二</w:t>
      </w:r>
      <w:r w:rsidRPr="009802E0">
        <w:rPr>
          <w:rFonts w:asciiTheme="minorEastAsia" w:eastAsiaTheme="minorEastAsia" w:hAnsiTheme="minorEastAsia" w:hint="eastAsia"/>
          <w:szCs w:val="21"/>
        </w:rPr>
        <w:t>：某投资人（</w:t>
      </w:r>
      <w:r w:rsidR="00F63055" w:rsidRPr="009802E0">
        <w:rPr>
          <w:rFonts w:asciiTheme="minorEastAsia" w:eastAsiaTheme="minorEastAsia" w:hAnsiTheme="minorEastAsia" w:hint="eastAsia"/>
          <w:szCs w:val="21"/>
        </w:rPr>
        <w:t>特定投资群体</w:t>
      </w:r>
      <w:r w:rsidRPr="009802E0">
        <w:rPr>
          <w:rFonts w:asciiTheme="minorEastAsia" w:eastAsiaTheme="minorEastAsia" w:hAnsiTheme="minorEastAsia" w:hint="eastAsia"/>
          <w:szCs w:val="21"/>
        </w:rPr>
        <w:t>）通过本管理人的直销中心投资</w:t>
      </w:r>
      <w:r w:rsidR="00F63055" w:rsidRPr="009802E0">
        <w:rPr>
          <w:rFonts w:asciiTheme="minorEastAsia" w:eastAsiaTheme="minorEastAsia" w:hAnsiTheme="minorEastAsia" w:hint="eastAsia"/>
          <w:szCs w:val="21"/>
        </w:rPr>
        <w:t>5</w:t>
      </w:r>
      <w:r w:rsidRPr="009802E0">
        <w:rPr>
          <w:rFonts w:asciiTheme="minorEastAsia" w:eastAsiaTheme="minorEastAsia" w:hAnsiTheme="minorEastAsia" w:hint="eastAsia"/>
          <w:szCs w:val="21"/>
        </w:rPr>
        <w:t>万元申购本基金A类份额，申购费率为</w:t>
      </w:r>
      <w:r w:rsidRPr="009802E0">
        <w:rPr>
          <w:rFonts w:asciiTheme="minorEastAsia" w:eastAsiaTheme="minorEastAsia" w:hAnsiTheme="minorEastAsia"/>
          <w:szCs w:val="21"/>
        </w:rPr>
        <w:t>0.</w:t>
      </w:r>
      <w:r w:rsidR="00F63055" w:rsidRPr="009802E0">
        <w:rPr>
          <w:rFonts w:asciiTheme="minorEastAsia" w:eastAsiaTheme="minorEastAsia" w:hAnsiTheme="minorEastAsia" w:hint="eastAsia"/>
          <w:szCs w:val="21"/>
        </w:rPr>
        <w:t>08</w:t>
      </w:r>
      <w:r w:rsidRPr="009802E0">
        <w:rPr>
          <w:rFonts w:asciiTheme="minorEastAsia" w:eastAsiaTheme="minorEastAsia" w:hAnsiTheme="minorEastAsia"/>
          <w:szCs w:val="21"/>
        </w:rPr>
        <w:t>%</w:t>
      </w:r>
      <w:r w:rsidRPr="009802E0">
        <w:rPr>
          <w:rFonts w:asciiTheme="minorEastAsia" w:eastAsiaTheme="minorEastAsia" w:hAnsiTheme="minorEastAsia" w:hint="eastAsia"/>
          <w:szCs w:val="21"/>
        </w:rPr>
        <w:t>，假设申购当日基金份额净值为</w:t>
      </w:r>
      <w:r w:rsidRPr="009802E0">
        <w:rPr>
          <w:rFonts w:asciiTheme="minorEastAsia" w:eastAsiaTheme="minorEastAsia" w:hAnsiTheme="minorEastAsia"/>
          <w:szCs w:val="21"/>
        </w:rPr>
        <w:t>1.040</w:t>
      </w:r>
      <w:r w:rsidRPr="009802E0">
        <w:rPr>
          <w:rFonts w:asciiTheme="minorEastAsia" w:eastAsiaTheme="minorEastAsia" w:hAnsiTheme="minorEastAsia" w:hint="eastAsia"/>
          <w:szCs w:val="21"/>
        </w:rPr>
        <w:t>元，则其可得到的申购份额为：</w:t>
      </w:r>
    </w:p>
    <w:p w:rsidR="006B632D" w:rsidRPr="009802E0" w:rsidRDefault="006B632D"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净申购金额</w:t>
      </w:r>
      <w:r w:rsidRPr="009802E0">
        <w:rPr>
          <w:rFonts w:asciiTheme="minorEastAsia" w:eastAsiaTheme="minorEastAsia" w:hAnsiTheme="minorEastAsia"/>
          <w:szCs w:val="21"/>
        </w:rPr>
        <w:t>=</w:t>
      </w:r>
      <w:r w:rsidR="00F63055" w:rsidRPr="009802E0">
        <w:rPr>
          <w:rFonts w:asciiTheme="minorEastAsia" w:eastAsiaTheme="minorEastAsia" w:hAnsiTheme="minorEastAsia" w:hint="eastAsia"/>
          <w:szCs w:val="21"/>
        </w:rPr>
        <w:t>5</w:t>
      </w:r>
      <w:r w:rsidRPr="009802E0">
        <w:rPr>
          <w:rFonts w:asciiTheme="minorEastAsia" w:eastAsiaTheme="minorEastAsia" w:hAnsiTheme="minorEastAsia"/>
          <w:szCs w:val="21"/>
        </w:rPr>
        <w:t>0,000/</w:t>
      </w:r>
      <w:r w:rsidRPr="009802E0">
        <w:rPr>
          <w:rFonts w:asciiTheme="minorEastAsia" w:eastAsiaTheme="minorEastAsia" w:hAnsiTheme="minorEastAsia" w:hint="eastAsia"/>
          <w:szCs w:val="21"/>
        </w:rPr>
        <w:t>（</w:t>
      </w:r>
      <w:r w:rsidRPr="009802E0">
        <w:rPr>
          <w:rFonts w:asciiTheme="minorEastAsia" w:eastAsiaTheme="minorEastAsia" w:hAnsiTheme="minorEastAsia"/>
          <w:szCs w:val="21"/>
        </w:rPr>
        <w:t>1+0.</w:t>
      </w:r>
      <w:r w:rsidR="00F63055" w:rsidRPr="009802E0">
        <w:rPr>
          <w:rFonts w:asciiTheme="minorEastAsia" w:eastAsiaTheme="minorEastAsia" w:hAnsiTheme="minorEastAsia" w:hint="eastAsia"/>
          <w:szCs w:val="21"/>
        </w:rPr>
        <w:t>08</w:t>
      </w:r>
      <w:r w:rsidRPr="009802E0">
        <w:rPr>
          <w:rFonts w:asciiTheme="minorEastAsia" w:eastAsiaTheme="minorEastAsia" w:hAnsiTheme="minorEastAsia"/>
          <w:szCs w:val="21"/>
        </w:rPr>
        <w:t>%</w:t>
      </w:r>
      <w:r w:rsidRPr="009802E0">
        <w:rPr>
          <w:rFonts w:asciiTheme="minorEastAsia" w:eastAsiaTheme="minorEastAsia" w:hAnsiTheme="minorEastAsia" w:hint="eastAsia"/>
          <w:szCs w:val="21"/>
        </w:rPr>
        <w:t>）</w:t>
      </w:r>
      <w:r w:rsidRPr="009802E0">
        <w:rPr>
          <w:rFonts w:asciiTheme="minorEastAsia" w:eastAsiaTheme="minorEastAsia" w:hAnsiTheme="minorEastAsia"/>
          <w:szCs w:val="21"/>
        </w:rPr>
        <w:t>=</w:t>
      </w:r>
      <w:r w:rsidR="00F63055" w:rsidRPr="009802E0">
        <w:rPr>
          <w:rFonts w:asciiTheme="minorEastAsia" w:eastAsiaTheme="minorEastAsia" w:hAnsiTheme="minorEastAsia" w:hint="eastAsia"/>
          <w:szCs w:val="21"/>
        </w:rPr>
        <w:t>4</w:t>
      </w:r>
      <w:r w:rsidRPr="009802E0">
        <w:rPr>
          <w:rFonts w:asciiTheme="minorEastAsia" w:eastAsiaTheme="minorEastAsia" w:hAnsiTheme="minorEastAsia"/>
          <w:szCs w:val="21"/>
        </w:rPr>
        <w:t>9</w:t>
      </w:r>
      <w:r w:rsidR="00F63055" w:rsidRPr="009802E0">
        <w:rPr>
          <w:rFonts w:asciiTheme="minorEastAsia" w:eastAsiaTheme="minorEastAsia" w:hAnsiTheme="minorEastAsia"/>
          <w:szCs w:val="21"/>
        </w:rPr>
        <w:t>,</w:t>
      </w:r>
      <w:r w:rsidR="00F63055" w:rsidRPr="009802E0">
        <w:rPr>
          <w:rFonts w:asciiTheme="minorEastAsia" w:eastAsiaTheme="minorEastAsia" w:hAnsiTheme="minorEastAsia" w:hint="eastAsia"/>
          <w:szCs w:val="21"/>
        </w:rPr>
        <w:t>960</w:t>
      </w:r>
      <w:r w:rsidRPr="009802E0">
        <w:rPr>
          <w:rFonts w:asciiTheme="minorEastAsia" w:eastAsiaTheme="minorEastAsia" w:hAnsiTheme="minorEastAsia" w:hint="eastAsia"/>
          <w:szCs w:val="21"/>
        </w:rPr>
        <w:t>.</w:t>
      </w:r>
      <w:r w:rsidR="00F63055" w:rsidRPr="009802E0">
        <w:rPr>
          <w:rFonts w:asciiTheme="minorEastAsia" w:eastAsiaTheme="minorEastAsia" w:hAnsiTheme="minorEastAsia" w:hint="eastAsia"/>
          <w:szCs w:val="21"/>
        </w:rPr>
        <w:t>03</w:t>
      </w:r>
      <w:r w:rsidRPr="009802E0">
        <w:rPr>
          <w:rFonts w:asciiTheme="minorEastAsia" w:eastAsiaTheme="minorEastAsia" w:hAnsiTheme="minorEastAsia" w:hint="eastAsia"/>
          <w:szCs w:val="21"/>
        </w:rPr>
        <w:t>元</w:t>
      </w:r>
    </w:p>
    <w:p w:rsidR="006B632D" w:rsidRPr="009802E0" w:rsidRDefault="006B632D"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申购费用</w:t>
      </w:r>
      <w:r w:rsidRPr="009802E0">
        <w:rPr>
          <w:rFonts w:asciiTheme="minorEastAsia" w:eastAsiaTheme="minorEastAsia" w:hAnsiTheme="minorEastAsia"/>
          <w:szCs w:val="21"/>
        </w:rPr>
        <w:t>=</w:t>
      </w:r>
      <w:r w:rsidR="00F63055" w:rsidRPr="009802E0">
        <w:rPr>
          <w:rFonts w:asciiTheme="minorEastAsia" w:eastAsiaTheme="minorEastAsia" w:hAnsiTheme="minorEastAsia" w:hint="eastAsia"/>
          <w:szCs w:val="21"/>
        </w:rPr>
        <w:t>5</w:t>
      </w:r>
      <w:r w:rsidRPr="009802E0">
        <w:rPr>
          <w:rFonts w:asciiTheme="minorEastAsia" w:eastAsiaTheme="minorEastAsia" w:hAnsiTheme="minorEastAsia"/>
          <w:szCs w:val="21"/>
        </w:rPr>
        <w:t>0,000-</w:t>
      </w:r>
      <w:r w:rsidR="00F63055" w:rsidRPr="009802E0">
        <w:rPr>
          <w:rFonts w:asciiTheme="minorEastAsia" w:eastAsiaTheme="minorEastAsia" w:hAnsiTheme="minorEastAsia" w:hint="eastAsia"/>
          <w:szCs w:val="21"/>
        </w:rPr>
        <w:t>4</w:t>
      </w:r>
      <w:r w:rsidR="00F63055" w:rsidRPr="009802E0">
        <w:rPr>
          <w:rFonts w:asciiTheme="minorEastAsia" w:eastAsiaTheme="minorEastAsia" w:hAnsiTheme="minorEastAsia"/>
          <w:szCs w:val="21"/>
        </w:rPr>
        <w:t>9,</w:t>
      </w:r>
      <w:r w:rsidR="00F63055" w:rsidRPr="009802E0">
        <w:rPr>
          <w:rFonts w:asciiTheme="minorEastAsia" w:eastAsiaTheme="minorEastAsia" w:hAnsiTheme="minorEastAsia" w:hint="eastAsia"/>
          <w:szCs w:val="21"/>
        </w:rPr>
        <w:t>960.03</w:t>
      </w:r>
      <w:r w:rsidRPr="009802E0">
        <w:rPr>
          <w:rFonts w:asciiTheme="minorEastAsia" w:eastAsiaTheme="minorEastAsia" w:hAnsiTheme="minorEastAsia"/>
          <w:szCs w:val="21"/>
        </w:rPr>
        <w:t>=</w:t>
      </w:r>
      <w:r w:rsidR="00F63055" w:rsidRPr="009802E0">
        <w:rPr>
          <w:rFonts w:asciiTheme="minorEastAsia" w:eastAsiaTheme="minorEastAsia" w:hAnsiTheme="minorEastAsia" w:hint="eastAsia"/>
          <w:szCs w:val="21"/>
        </w:rPr>
        <w:t>39</w:t>
      </w:r>
      <w:r w:rsidRPr="009802E0">
        <w:rPr>
          <w:rFonts w:asciiTheme="minorEastAsia" w:eastAsiaTheme="minorEastAsia" w:hAnsiTheme="minorEastAsia" w:hint="eastAsia"/>
          <w:szCs w:val="21"/>
        </w:rPr>
        <w:t>.</w:t>
      </w:r>
      <w:r w:rsidR="00F63055" w:rsidRPr="009802E0">
        <w:rPr>
          <w:rFonts w:asciiTheme="minorEastAsia" w:eastAsiaTheme="minorEastAsia" w:hAnsiTheme="minorEastAsia" w:hint="eastAsia"/>
          <w:szCs w:val="21"/>
        </w:rPr>
        <w:t>97</w:t>
      </w:r>
      <w:r w:rsidRPr="009802E0">
        <w:rPr>
          <w:rFonts w:asciiTheme="minorEastAsia" w:eastAsiaTheme="minorEastAsia" w:hAnsiTheme="minorEastAsia" w:hint="eastAsia"/>
          <w:szCs w:val="21"/>
        </w:rPr>
        <w:t>元</w:t>
      </w:r>
    </w:p>
    <w:p w:rsidR="006B632D" w:rsidRPr="009802E0" w:rsidRDefault="006B632D"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申购份额</w:t>
      </w:r>
      <w:r w:rsidRPr="009802E0">
        <w:rPr>
          <w:rFonts w:asciiTheme="minorEastAsia" w:eastAsiaTheme="minorEastAsia" w:hAnsiTheme="minorEastAsia"/>
          <w:szCs w:val="21"/>
        </w:rPr>
        <w:t>=</w:t>
      </w:r>
      <w:r w:rsidR="00F63055" w:rsidRPr="009802E0">
        <w:rPr>
          <w:rFonts w:asciiTheme="minorEastAsia" w:eastAsiaTheme="minorEastAsia" w:hAnsiTheme="minorEastAsia" w:hint="eastAsia"/>
          <w:szCs w:val="21"/>
        </w:rPr>
        <w:t>4</w:t>
      </w:r>
      <w:r w:rsidR="00F63055" w:rsidRPr="009802E0">
        <w:rPr>
          <w:rFonts w:asciiTheme="minorEastAsia" w:eastAsiaTheme="minorEastAsia" w:hAnsiTheme="minorEastAsia"/>
          <w:szCs w:val="21"/>
        </w:rPr>
        <w:t>9,</w:t>
      </w:r>
      <w:r w:rsidR="00F63055" w:rsidRPr="009802E0">
        <w:rPr>
          <w:rFonts w:asciiTheme="minorEastAsia" w:eastAsiaTheme="minorEastAsia" w:hAnsiTheme="minorEastAsia" w:hint="eastAsia"/>
          <w:szCs w:val="21"/>
        </w:rPr>
        <w:t>960.03</w:t>
      </w:r>
      <w:r w:rsidRPr="009802E0">
        <w:rPr>
          <w:rFonts w:asciiTheme="minorEastAsia" w:eastAsiaTheme="minorEastAsia" w:hAnsiTheme="minorEastAsia"/>
          <w:szCs w:val="21"/>
        </w:rPr>
        <w:t>/1.040=</w:t>
      </w:r>
      <w:r w:rsidR="00F63055" w:rsidRPr="009802E0">
        <w:rPr>
          <w:rFonts w:asciiTheme="minorEastAsia" w:eastAsiaTheme="minorEastAsia" w:hAnsiTheme="minorEastAsia" w:hint="eastAsia"/>
          <w:szCs w:val="21"/>
        </w:rPr>
        <w:t>4</w:t>
      </w:r>
      <w:r w:rsidRPr="009802E0">
        <w:rPr>
          <w:rFonts w:asciiTheme="minorEastAsia" w:eastAsiaTheme="minorEastAsia" w:hAnsiTheme="minorEastAsia"/>
          <w:szCs w:val="21"/>
        </w:rPr>
        <w:t>8,</w:t>
      </w:r>
      <w:r w:rsidR="00F63055" w:rsidRPr="009802E0">
        <w:rPr>
          <w:rFonts w:asciiTheme="minorEastAsia" w:eastAsiaTheme="minorEastAsia" w:hAnsiTheme="minorEastAsia" w:hint="eastAsia"/>
          <w:szCs w:val="21"/>
        </w:rPr>
        <w:t>0</w:t>
      </w:r>
      <w:r w:rsidRPr="009802E0">
        <w:rPr>
          <w:rFonts w:asciiTheme="minorEastAsia" w:eastAsiaTheme="minorEastAsia" w:hAnsiTheme="minorEastAsia" w:hint="eastAsia"/>
          <w:szCs w:val="21"/>
        </w:rPr>
        <w:t>38.</w:t>
      </w:r>
      <w:r w:rsidR="00F63055" w:rsidRPr="009802E0">
        <w:rPr>
          <w:rFonts w:asciiTheme="minorEastAsia" w:eastAsiaTheme="minorEastAsia" w:hAnsiTheme="minorEastAsia" w:hint="eastAsia"/>
          <w:szCs w:val="21"/>
        </w:rPr>
        <w:t>49</w:t>
      </w:r>
      <w:r w:rsidRPr="009802E0">
        <w:rPr>
          <w:rFonts w:asciiTheme="minorEastAsia" w:eastAsiaTheme="minorEastAsia" w:hAnsiTheme="minorEastAsia" w:hint="eastAsia"/>
          <w:szCs w:val="21"/>
        </w:rPr>
        <w:t>份</w:t>
      </w:r>
    </w:p>
    <w:p w:rsidR="002862FF" w:rsidRPr="009802E0" w:rsidRDefault="003829BD"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（2）</w:t>
      </w:r>
      <w:r w:rsidR="002862FF" w:rsidRPr="009802E0">
        <w:rPr>
          <w:rFonts w:asciiTheme="minorEastAsia" w:eastAsiaTheme="minorEastAsia" w:hAnsiTheme="minorEastAsia" w:hint="eastAsia"/>
          <w:szCs w:val="21"/>
        </w:rPr>
        <w:t>若投资者选择</w:t>
      </w:r>
      <w:r w:rsidR="00EF2252" w:rsidRPr="009802E0">
        <w:rPr>
          <w:rFonts w:asciiTheme="minorEastAsia" w:eastAsiaTheme="minorEastAsia" w:hAnsiTheme="minorEastAsia" w:hint="eastAsia"/>
          <w:szCs w:val="21"/>
        </w:rPr>
        <w:t>B</w:t>
      </w:r>
      <w:r w:rsidR="002862FF" w:rsidRPr="009802E0">
        <w:rPr>
          <w:rFonts w:asciiTheme="minorEastAsia" w:eastAsiaTheme="minorEastAsia" w:hAnsiTheme="minorEastAsia" w:hint="eastAsia"/>
          <w:szCs w:val="21"/>
        </w:rPr>
        <w:t>类基金份额，则申购份额的计算公式如下：</w:t>
      </w:r>
    </w:p>
    <w:p w:rsidR="009F4F6B" w:rsidRPr="009802E0" w:rsidRDefault="009F4F6B"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申购份额</w:t>
      </w:r>
      <w:r w:rsidRPr="009802E0">
        <w:rPr>
          <w:rFonts w:asciiTheme="minorEastAsia" w:eastAsiaTheme="minorEastAsia" w:hAnsiTheme="minorEastAsia"/>
          <w:szCs w:val="21"/>
        </w:rPr>
        <w:t>=</w:t>
      </w:r>
      <w:r w:rsidRPr="009802E0">
        <w:rPr>
          <w:rFonts w:asciiTheme="minorEastAsia" w:eastAsiaTheme="minorEastAsia" w:hAnsiTheme="minorEastAsia" w:hint="eastAsia"/>
          <w:szCs w:val="21"/>
        </w:rPr>
        <w:t>申购金额</w:t>
      </w:r>
      <w:r w:rsidRPr="009802E0">
        <w:rPr>
          <w:rFonts w:asciiTheme="minorEastAsia" w:eastAsiaTheme="minorEastAsia" w:hAnsiTheme="minorEastAsia"/>
          <w:szCs w:val="21"/>
        </w:rPr>
        <w:t>/T</w:t>
      </w:r>
      <w:r w:rsidRPr="009802E0">
        <w:rPr>
          <w:rFonts w:asciiTheme="minorEastAsia" w:eastAsiaTheme="minorEastAsia" w:hAnsiTheme="minorEastAsia" w:hint="eastAsia"/>
          <w:szCs w:val="21"/>
        </w:rPr>
        <w:t>日基金份额净值</w:t>
      </w:r>
    </w:p>
    <w:p w:rsidR="009F4F6B" w:rsidRPr="009802E0" w:rsidRDefault="009F4F6B"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例</w:t>
      </w:r>
      <w:r w:rsidR="00954E08" w:rsidRPr="009802E0">
        <w:rPr>
          <w:rFonts w:asciiTheme="minorEastAsia" w:eastAsiaTheme="minorEastAsia" w:hAnsiTheme="minorEastAsia" w:hint="eastAsia"/>
          <w:szCs w:val="21"/>
        </w:rPr>
        <w:t>三</w:t>
      </w:r>
      <w:r w:rsidRPr="009802E0">
        <w:rPr>
          <w:rFonts w:asciiTheme="minorEastAsia" w:eastAsiaTheme="minorEastAsia" w:hAnsiTheme="minorEastAsia" w:hint="eastAsia"/>
          <w:szCs w:val="21"/>
        </w:rPr>
        <w:t>：某投资人投资</w:t>
      </w:r>
      <w:r w:rsidRPr="009802E0">
        <w:rPr>
          <w:rFonts w:asciiTheme="minorEastAsia" w:eastAsiaTheme="minorEastAsia" w:hAnsiTheme="minorEastAsia"/>
          <w:szCs w:val="21"/>
        </w:rPr>
        <w:t>4</w:t>
      </w:r>
      <w:r w:rsidRPr="009802E0">
        <w:rPr>
          <w:rFonts w:asciiTheme="minorEastAsia" w:eastAsiaTheme="minorEastAsia" w:hAnsiTheme="minorEastAsia" w:hint="eastAsia"/>
          <w:szCs w:val="21"/>
        </w:rPr>
        <w:t>万元申购本基金B类基金份额，假设申购当日基金份额净值为</w:t>
      </w:r>
      <w:r w:rsidRPr="009802E0">
        <w:rPr>
          <w:rFonts w:asciiTheme="minorEastAsia" w:eastAsiaTheme="minorEastAsia" w:hAnsiTheme="minorEastAsia"/>
          <w:szCs w:val="21"/>
        </w:rPr>
        <w:t>1.040</w:t>
      </w:r>
      <w:r w:rsidRPr="009802E0">
        <w:rPr>
          <w:rFonts w:asciiTheme="minorEastAsia" w:eastAsiaTheme="minorEastAsia" w:hAnsiTheme="minorEastAsia" w:hint="eastAsia"/>
          <w:szCs w:val="21"/>
        </w:rPr>
        <w:t>元，则其可得到的申购份额为：</w:t>
      </w:r>
    </w:p>
    <w:p w:rsidR="000B7749" w:rsidRPr="009802E0" w:rsidRDefault="000B7749"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申购份额</w:t>
      </w:r>
      <w:r w:rsidRPr="009802E0">
        <w:rPr>
          <w:rFonts w:asciiTheme="minorEastAsia" w:eastAsiaTheme="minorEastAsia" w:hAnsiTheme="minorEastAsia"/>
          <w:szCs w:val="21"/>
        </w:rPr>
        <w:t>=</w:t>
      </w:r>
      <w:r w:rsidRPr="009802E0">
        <w:rPr>
          <w:rFonts w:asciiTheme="minorEastAsia" w:eastAsiaTheme="minorEastAsia" w:hAnsiTheme="minorEastAsia" w:hint="eastAsia"/>
          <w:szCs w:val="21"/>
        </w:rPr>
        <w:t>40</w:t>
      </w:r>
      <w:r w:rsidRPr="009802E0">
        <w:rPr>
          <w:rFonts w:asciiTheme="minorEastAsia" w:eastAsiaTheme="minorEastAsia" w:hAnsiTheme="minorEastAsia"/>
          <w:szCs w:val="21"/>
        </w:rPr>
        <w:t>,</w:t>
      </w:r>
      <w:r w:rsidRPr="009802E0">
        <w:rPr>
          <w:rFonts w:asciiTheme="minorEastAsia" w:eastAsiaTheme="minorEastAsia" w:hAnsiTheme="minorEastAsia" w:hint="eastAsia"/>
          <w:szCs w:val="21"/>
        </w:rPr>
        <w:t>000</w:t>
      </w:r>
      <w:r w:rsidRPr="009802E0">
        <w:rPr>
          <w:rFonts w:asciiTheme="minorEastAsia" w:eastAsiaTheme="minorEastAsia" w:hAnsiTheme="minorEastAsia"/>
          <w:szCs w:val="21"/>
        </w:rPr>
        <w:t>.</w:t>
      </w:r>
      <w:r w:rsidRPr="009802E0">
        <w:rPr>
          <w:rFonts w:asciiTheme="minorEastAsia" w:eastAsiaTheme="minorEastAsia" w:hAnsiTheme="minorEastAsia" w:hint="eastAsia"/>
          <w:szCs w:val="21"/>
        </w:rPr>
        <w:t>00</w:t>
      </w:r>
      <w:r w:rsidRPr="009802E0">
        <w:rPr>
          <w:rFonts w:asciiTheme="minorEastAsia" w:eastAsiaTheme="minorEastAsia" w:hAnsiTheme="minorEastAsia"/>
          <w:szCs w:val="21"/>
        </w:rPr>
        <w:t>/1.040=38,</w:t>
      </w:r>
      <w:r w:rsidR="00A67B2C" w:rsidRPr="009802E0">
        <w:rPr>
          <w:rFonts w:asciiTheme="minorEastAsia" w:eastAsiaTheme="minorEastAsia" w:hAnsiTheme="minorEastAsia" w:hint="eastAsia"/>
          <w:szCs w:val="21"/>
        </w:rPr>
        <w:t>461</w:t>
      </w:r>
      <w:r w:rsidRPr="009802E0">
        <w:rPr>
          <w:rFonts w:asciiTheme="minorEastAsia" w:eastAsiaTheme="minorEastAsia" w:hAnsiTheme="minorEastAsia"/>
          <w:szCs w:val="21"/>
        </w:rPr>
        <w:t>.</w:t>
      </w:r>
      <w:r w:rsidR="00A67B2C" w:rsidRPr="009802E0">
        <w:rPr>
          <w:rFonts w:asciiTheme="minorEastAsia" w:eastAsiaTheme="minorEastAsia" w:hAnsiTheme="minorEastAsia" w:hint="eastAsia"/>
          <w:szCs w:val="21"/>
        </w:rPr>
        <w:t>54</w:t>
      </w:r>
      <w:r w:rsidRPr="009802E0">
        <w:rPr>
          <w:rFonts w:asciiTheme="minorEastAsia" w:eastAsiaTheme="minorEastAsia" w:hAnsiTheme="minorEastAsia" w:hint="eastAsia"/>
          <w:szCs w:val="21"/>
        </w:rPr>
        <w:t>份</w:t>
      </w:r>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szCs w:val="21"/>
        </w:rPr>
        <w:t>3</w:t>
      </w:r>
      <w:r w:rsidR="00C335A3" w:rsidRPr="009802E0">
        <w:rPr>
          <w:rFonts w:asciiTheme="minorEastAsia" w:eastAsiaTheme="minorEastAsia" w:hAnsiTheme="minorEastAsia" w:hint="eastAsia"/>
          <w:szCs w:val="21"/>
        </w:rPr>
        <w:t>、</w:t>
      </w:r>
      <w:r w:rsidRPr="009802E0">
        <w:rPr>
          <w:rFonts w:asciiTheme="minorEastAsia" w:eastAsiaTheme="minorEastAsia" w:hAnsiTheme="minorEastAsia" w:hint="eastAsia"/>
          <w:szCs w:val="21"/>
        </w:rPr>
        <w:t>赎回金额的计算</w:t>
      </w:r>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赎回金额的计算方法如下：</w:t>
      </w:r>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赎回费用</w:t>
      </w:r>
      <w:r w:rsidRPr="009802E0">
        <w:rPr>
          <w:rFonts w:asciiTheme="minorEastAsia" w:eastAsiaTheme="minorEastAsia" w:hAnsiTheme="minorEastAsia"/>
          <w:szCs w:val="21"/>
        </w:rPr>
        <w:t>=</w:t>
      </w:r>
      <w:r w:rsidRPr="009802E0">
        <w:rPr>
          <w:rFonts w:asciiTheme="minorEastAsia" w:eastAsiaTheme="minorEastAsia" w:hAnsiTheme="minorEastAsia" w:hint="eastAsia"/>
          <w:szCs w:val="21"/>
        </w:rPr>
        <w:t>赎回份额×</w:t>
      </w:r>
      <w:r w:rsidRPr="009802E0">
        <w:rPr>
          <w:rFonts w:asciiTheme="minorEastAsia" w:eastAsiaTheme="minorEastAsia" w:hAnsiTheme="minorEastAsia"/>
          <w:szCs w:val="21"/>
        </w:rPr>
        <w:t>T</w:t>
      </w:r>
      <w:r w:rsidRPr="009802E0">
        <w:rPr>
          <w:rFonts w:asciiTheme="minorEastAsia" w:eastAsiaTheme="minorEastAsia" w:hAnsiTheme="minorEastAsia" w:hint="eastAsia"/>
          <w:szCs w:val="21"/>
        </w:rPr>
        <w:t>日基金份额净值×赎回费率</w:t>
      </w:r>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赎回金额</w:t>
      </w:r>
      <w:r w:rsidRPr="009802E0">
        <w:rPr>
          <w:rFonts w:asciiTheme="minorEastAsia" w:eastAsiaTheme="minorEastAsia" w:hAnsiTheme="minorEastAsia"/>
          <w:szCs w:val="21"/>
        </w:rPr>
        <w:t>=</w:t>
      </w:r>
      <w:r w:rsidRPr="009802E0">
        <w:rPr>
          <w:rFonts w:asciiTheme="minorEastAsia" w:eastAsiaTheme="minorEastAsia" w:hAnsiTheme="minorEastAsia" w:hint="eastAsia"/>
          <w:szCs w:val="21"/>
        </w:rPr>
        <w:t>赎回份额×</w:t>
      </w:r>
      <w:r w:rsidRPr="009802E0">
        <w:rPr>
          <w:rFonts w:asciiTheme="minorEastAsia" w:eastAsiaTheme="minorEastAsia" w:hAnsiTheme="minorEastAsia"/>
          <w:szCs w:val="21"/>
        </w:rPr>
        <w:t>T</w:t>
      </w:r>
      <w:r w:rsidRPr="009802E0">
        <w:rPr>
          <w:rFonts w:asciiTheme="minorEastAsia" w:eastAsiaTheme="minorEastAsia" w:hAnsiTheme="minorEastAsia" w:hint="eastAsia"/>
          <w:szCs w:val="21"/>
        </w:rPr>
        <w:t>日基金份额净值</w:t>
      </w:r>
      <w:r w:rsidRPr="009802E0">
        <w:rPr>
          <w:rFonts w:asciiTheme="minorEastAsia" w:eastAsiaTheme="minorEastAsia" w:hAnsiTheme="minorEastAsia"/>
          <w:szCs w:val="21"/>
        </w:rPr>
        <w:t>-</w:t>
      </w:r>
      <w:r w:rsidRPr="009802E0">
        <w:rPr>
          <w:rFonts w:asciiTheme="minorEastAsia" w:eastAsiaTheme="minorEastAsia" w:hAnsiTheme="minorEastAsia" w:hint="eastAsia"/>
          <w:szCs w:val="21"/>
        </w:rPr>
        <w:t>赎回费用</w:t>
      </w:r>
    </w:p>
    <w:p w:rsidR="00EF2252" w:rsidRPr="009802E0" w:rsidRDefault="00B43AC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例</w:t>
      </w:r>
      <w:r w:rsidR="00954E08" w:rsidRPr="009802E0">
        <w:rPr>
          <w:rFonts w:asciiTheme="minorEastAsia" w:eastAsiaTheme="minorEastAsia" w:hAnsiTheme="minorEastAsia" w:hint="eastAsia"/>
          <w:szCs w:val="21"/>
        </w:rPr>
        <w:t>四</w:t>
      </w:r>
      <w:r w:rsidRPr="009802E0">
        <w:rPr>
          <w:rFonts w:asciiTheme="minorEastAsia" w:eastAsiaTheme="minorEastAsia" w:hAnsiTheme="minorEastAsia" w:hint="eastAsia"/>
          <w:szCs w:val="21"/>
        </w:rPr>
        <w:t>：</w:t>
      </w:r>
      <w:r w:rsidR="00EF2252" w:rsidRPr="009802E0">
        <w:rPr>
          <w:rFonts w:asciiTheme="minorEastAsia" w:eastAsiaTheme="minorEastAsia" w:hAnsiTheme="minorEastAsia" w:hint="eastAsia"/>
          <w:szCs w:val="21"/>
        </w:rPr>
        <w:t>某投资人赎回</w:t>
      </w:r>
      <w:r w:rsidR="00EF2252" w:rsidRPr="009802E0">
        <w:rPr>
          <w:rFonts w:asciiTheme="minorEastAsia" w:eastAsiaTheme="minorEastAsia" w:hAnsiTheme="minorEastAsia"/>
          <w:szCs w:val="21"/>
        </w:rPr>
        <w:t>1</w:t>
      </w:r>
      <w:r w:rsidR="00EF2252" w:rsidRPr="009802E0">
        <w:rPr>
          <w:rFonts w:asciiTheme="minorEastAsia" w:eastAsiaTheme="minorEastAsia" w:hAnsiTheme="minorEastAsia" w:hint="eastAsia"/>
          <w:szCs w:val="21"/>
        </w:rPr>
        <w:t>万份A类基金份额，假设该笔份额持有期限为100天，则对应的赎回费率为</w:t>
      </w:r>
      <w:r w:rsidR="00EF2252" w:rsidRPr="009802E0">
        <w:rPr>
          <w:rFonts w:asciiTheme="minorEastAsia" w:eastAsiaTheme="minorEastAsia" w:hAnsiTheme="minorEastAsia"/>
          <w:szCs w:val="21"/>
        </w:rPr>
        <w:t>0.1%</w:t>
      </w:r>
      <w:r w:rsidR="00EF2252" w:rsidRPr="009802E0">
        <w:rPr>
          <w:rFonts w:asciiTheme="minorEastAsia" w:eastAsiaTheme="minorEastAsia" w:hAnsiTheme="minorEastAsia" w:hint="eastAsia"/>
          <w:szCs w:val="21"/>
        </w:rPr>
        <w:t>，假设赎回当日基金份额净值是</w:t>
      </w:r>
      <w:r w:rsidR="00EF2252" w:rsidRPr="009802E0">
        <w:rPr>
          <w:rFonts w:asciiTheme="minorEastAsia" w:eastAsiaTheme="minorEastAsia" w:hAnsiTheme="minorEastAsia"/>
          <w:szCs w:val="21"/>
        </w:rPr>
        <w:t>1.016</w:t>
      </w:r>
      <w:r w:rsidR="00EF2252" w:rsidRPr="009802E0">
        <w:rPr>
          <w:rFonts w:asciiTheme="minorEastAsia" w:eastAsiaTheme="minorEastAsia" w:hAnsiTheme="minorEastAsia" w:hint="eastAsia"/>
          <w:szCs w:val="21"/>
        </w:rPr>
        <w:t>元，则其可得到的赎回金额为：</w:t>
      </w:r>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赎回费用</w:t>
      </w:r>
      <w:r w:rsidRPr="009802E0">
        <w:rPr>
          <w:rFonts w:asciiTheme="minorEastAsia" w:eastAsiaTheme="minorEastAsia" w:hAnsiTheme="minorEastAsia"/>
          <w:szCs w:val="21"/>
        </w:rPr>
        <w:t>=10,000</w:t>
      </w:r>
      <w:r w:rsidRPr="009802E0">
        <w:rPr>
          <w:rFonts w:asciiTheme="minorEastAsia" w:eastAsiaTheme="minorEastAsia" w:hAnsiTheme="minorEastAsia" w:hint="eastAsia"/>
          <w:szCs w:val="21"/>
        </w:rPr>
        <w:t>×</w:t>
      </w:r>
      <w:r w:rsidRPr="009802E0">
        <w:rPr>
          <w:rFonts w:asciiTheme="minorEastAsia" w:eastAsiaTheme="minorEastAsia" w:hAnsiTheme="minorEastAsia"/>
          <w:szCs w:val="21"/>
        </w:rPr>
        <w:t>1.016</w:t>
      </w:r>
      <w:r w:rsidRPr="009802E0">
        <w:rPr>
          <w:rFonts w:asciiTheme="minorEastAsia" w:eastAsiaTheme="minorEastAsia" w:hAnsiTheme="minorEastAsia" w:hint="eastAsia"/>
          <w:szCs w:val="21"/>
        </w:rPr>
        <w:t>×</w:t>
      </w:r>
      <w:r w:rsidRPr="009802E0">
        <w:rPr>
          <w:rFonts w:asciiTheme="minorEastAsia" w:eastAsiaTheme="minorEastAsia" w:hAnsiTheme="minorEastAsia"/>
          <w:szCs w:val="21"/>
        </w:rPr>
        <w:t>0.1%</w:t>
      </w:r>
      <w:r w:rsidRPr="009802E0">
        <w:rPr>
          <w:rFonts w:asciiTheme="minorEastAsia" w:eastAsiaTheme="minorEastAsia" w:hAnsiTheme="minorEastAsia" w:hint="eastAsia"/>
          <w:szCs w:val="21"/>
        </w:rPr>
        <w:t>＝</w:t>
      </w:r>
      <w:r w:rsidRPr="009802E0">
        <w:rPr>
          <w:rFonts w:asciiTheme="minorEastAsia" w:eastAsiaTheme="minorEastAsia" w:hAnsiTheme="minorEastAsia"/>
          <w:szCs w:val="21"/>
        </w:rPr>
        <w:t>10.16</w:t>
      </w:r>
      <w:r w:rsidRPr="009802E0">
        <w:rPr>
          <w:rFonts w:asciiTheme="minorEastAsia" w:eastAsiaTheme="minorEastAsia" w:hAnsiTheme="minorEastAsia" w:hint="eastAsia"/>
          <w:szCs w:val="21"/>
        </w:rPr>
        <w:t>元</w:t>
      </w:r>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赎回金额</w:t>
      </w:r>
      <w:r w:rsidRPr="009802E0">
        <w:rPr>
          <w:rFonts w:asciiTheme="minorEastAsia" w:eastAsiaTheme="minorEastAsia" w:hAnsiTheme="minorEastAsia"/>
          <w:szCs w:val="21"/>
        </w:rPr>
        <w:t>=10,000</w:t>
      </w:r>
      <w:r w:rsidRPr="009802E0">
        <w:rPr>
          <w:rFonts w:asciiTheme="minorEastAsia" w:eastAsiaTheme="minorEastAsia" w:hAnsiTheme="minorEastAsia" w:hint="eastAsia"/>
          <w:szCs w:val="21"/>
        </w:rPr>
        <w:t>×</w:t>
      </w:r>
      <w:r w:rsidRPr="009802E0">
        <w:rPr>
          <w:rFonts w:asciiTheme="minorEastAsia" w:eastAsiaTheme="minorEastAsia" w:hAnsiTheme="minorEastAsia"/>
          <w:szCs w:val="21"/>
        </w:rPr>
        <w:t>1.016-10.16</w:t>
      </w:r>
      <w:r w:rsidRPr="009802E0">
        <w:rPr>
          <w:rFonts w:asciiTheme="minorEastAsia" w:eastAsiaTheme="minorEastAsia" w:hAnsiTheme="minorEastAsia" w:hint="eastAsia"/>
          <w:szCs w:val="21"/>
        </w:rPr>
        <w:t>＝</w:t>
      </w:r>
      <w:r w:rsidRPr="009802E0">
        <w:rPr>
          <w:rFonts w:asciiTheme="minorEastAsia" w:eastAsiaTheme="minorEastAsia" w:hAnsiTheme="minorEastAsia"/>
          <w:szCs w:val="21"/>
        </w:rPr>
        <w:t>10,149.84</w:t>
      </w:r>
      <w:r w:rsidRPr="009802E0">
        <w:rPr>
          <w:rFonts w:asciiTheme="minorEastAsia" w:eastAsiaTheme="minorEastAsia" w:hAnsiTheme="minorEastAsia" w:hint="eastAsia"/>
          <w:szCs w:val="21"/>
        </w:rPr>
        <w:t>元</w:t>
      </w:r>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即：投资人赎回本基金</w:t>
      </w:r>
      <w:r w:rsidRPr="009802E0">
        <w:rPr>
          <w:rFonts w:asciiTheme="minorEastAsia" w:eastAsiaTheme="minorEastAsia" w:hAnsiTheme="minorEastAsia"/>
          <w:szCs w:val="21"/>
        </w:rPr>
        <w:t>1</w:t>
      </w:r>
      <w:r w:rsidRPr="009802E0">
        <w:rPr>
          <w:rFonts w:asciiTheme="minorEastAsia" w:eastAsiaTheme="minorEastAsia" w:hAnsiTheme="minorEastAsia" w:hint="eastAsia"/>
          <w:szCs w:val="21"/>
        </w:rPr>
        <w:t>万份</w:t>
      </w:r>
      <w:r w:rsidR="00DE6A8D" w:rsidRPr="009802E0">
        <w:rPr>
          <w:rFonts w:asciiTheme="minorEastAsia" w:eastAsiaTheme="minorEastAsia" w:hAnsiTheme="minorEastAsia" w:hint="eastAsia"/>
          <w:szCs w:val="21"/>
        </w:rPr>
        <w:t>A类</w:t>
      </w:r>
      <w:r w:rsidRPr="009802E0">
        <w:rPr>
          <w:rFonts w:asciiTheme="minorEastAsia" w:eastAsiaTheme="minorEastAsia" w:hAnsiTheme="minorEastAsia" w:hint="eastAsia"/>
          <w:szCs w:val="21"/>
        </w:rPr>
        <w:t>基金份额，假设赎回当日基金份额净值是</w:t>
      </w:r>
      <w:r w:rsidRPr="009802E0">
        <w:rPr>
          <w:rFonts w:asciiTheme="minorEastAsia" w:eastAsiaTheme="minorEastAsia" w:hAnsiTheme="minorEastAsia"/>
          <w:szCs w:val="21"/>
        </w:rPr>
        <w:t>1.016</w:t>
      </w:r>
      <w:r w:rsidRPr="009802E0">
        <w:rPr>
          <w:rFonts w:asciiTheme="minorEastAsia" w:eastAsiaTheme="minorEastAsia" w:hAnsiTheme="minorEastAsia" w:hint="eastAsia"/>
          <w:szCs w:val="21"/>
        </w:rPr>
        <w:t>元，则其可得到的赎回金额为</w:t>
      </w:r>
      <w:r w:rsidRPr="009802E0">
        <w:rPr>
          <w:rFonts w:asciiTheme="minorEastAsia" w:eastAsiaTheme="minorEastAsia" w:hAnsiTheme="minorEastAsia"/>
          <w:szCs w:val="21"/>
        </w:rPr>
        <w:t>10,149.84</w:t>
      </w:r>
      <w:r w:rsidRPr="009802E0">
        <w:rPr>
          <w:rFonts w:asciiTheme="minorEastAsia" w:eastAsiaTheme="minorEastAsia" w:hAnsiTheme="minorEastAsia" w:hint="eastAsia"/>
          <w:szCs w:val="21"/>
        </w:rPr>
        <w:t>元。</w:t>
      </w:r>
    </w:p>
    <w:p w:rsidR="00954E08" w:rsidRPr="009802E0" w:rsidRDefault="00954E08" w:rsidP="00954E08">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例五：某投资人赎回</w:t>
      </w:r>
      <w:r w:rsidRPr="009802E0">
        <w:rPr>
          <w:rFonts w:asciiTheme="minorEastAsia" w:eastAsiaTheme="minorEastAsia" w:hAnsiTheme="minorEastAsia"/>
          <w:szCs w:val="21"/>
        </w:rPr>
        <w:t>1</w:t>
      </w:r>
      <w:r w:rsidRPr="009802E0">
        <w:rPr>
          <w:rFonts w:asciiTheme="minorEastAsia" w:eastAsiaTheme="minorEastAsia" w:hAnsiTheme="minorEastAsia" w:hint="eastAsia"/>
          <w:szCs w:val="21"/>
        </w:rPr>
        <w:t>万份A类基金份额，假设该笔份额持有期限为</w:t>
      </w:r>
      <w:r w:rsidRPr="009802E0">
        <w:rPr>
          <w:rFonts w:asciiTheme="minorEastAsia" w:eastAsiaTheme="minorEastAsia" w:hAnsiTheme="minorEastAsia"/>
          <w:szCs w:val="21"/>
        </w:rPr>
        <w:t>6</w:t>
      </w:r>
      <w:r w:rsidRPr="009802E0">
        <w:rPr>
          <w:rFonts w:asciiTheme="minorEastAsia" w:eastAsiaTheme="minorEastAsia" w:hAnsiTheme="minorEastAsia" w:hint="eastAsia"/>
          <w:szCs w:val="21"/>
        </w:rPr>
        <w:t>天，则对应的赎回费率为</w:t>
      </w:r>
      <w:r w:rsidRPr="009802E0">
        <w:rPr>
          <w:rFonts w:asciiTheme="minorEastAsia" w:eastAsiaTheme="minorEastAsia" w:hAnsiTheme="minorEastAsia"/>
          <w:szCs w:val="21"/>
        </w:rPr>
        <w:t>1.5%</w:t>
      </w:r>
      <w:r w:rsidRPr="009802E0">
        <w:rPr>
          <w:rFonts w:asciiTheme="minorEastAsia" w:eastAsiaTheme="minorEastAsia" w:hAnsiTheme="minorEastAsia" w:hint="eastAsia"/>
          <w:szCs w:val="21"/>
        </w:rPr>
        <w:t>，假设赎回当日基金份额净值是</w:t>
      </w:r>
      <w:r w:rsidRPr="009802E0">
        <w:rPr>
          <w:rFonts w:asciiTheme="minorEastAsia" w:eastAsiaTheme="minorEastAsia" w:hAnsiTheme="minorEastAsia"/>
          <w:szCs w:val="21"/>
        </w:rPr>
        <w:t>1.016</w:t>
      </w:r>
      <w:r w:rsidRPr="009802E0">
        <w:rPr>
          <w:rFonts w:asciiTheme="minorEastAsia" w:eastAsiaTheme="minorEastAsia" w:hAnsiTheme="minorEastAsia" w:hint="eastAsia"/>
          <w:szCs w:val="21"/>
        </w:rPr>
        <w:t>元，则其可得到的赎回金额为：</w:t>
      </w:r>
    </w:p>
    <w:p w:rsidR="00954E08" w:rsidRPr="009802E0" w:rsidRDefault="00954E08" w:rsidP="00954E08">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赎回费用</w:t>
      </w:r>
      <w:r w:rsidRPr="009802E0">
        <w:rPr>
          <w:rFonts w:asciiTheme="minorEastAsia" w:eastAsiaTheme="minorEastAsia" w:hAnsiTheme="minorEastAsia"/>
          <w:szCs w:val="21"/>
        </w:rPr>
        <w:t>=10,000</w:t>
      </w:r>
      <w:r w:rsidRPr="009802E0">
        <w:rPr>
          <w:rFonts w:asciiTheme="minorEastAsia" w:eastAsiaTheme="minorEastAsia" w:hAnsiTheme="minorEastAsia" w:hint="eastAsia"/>
          <w:szCs w:val="21"/>
        </w:rPr>
        <w:t>×</w:t>
      </w:r>
      <w:r w:rsidRPr="009802E0">
        <w:rPr>
          <w:rFonts w:asciiTheme="minorEastAsia" w:eastAsiaTheme="minorEastAsia" w:hAnsiTheme="minorEastAsia"/>
          <w:szCs w:val="21"/>
        </w:rPr>
        <w:t>1.016</w:t>
      </w:r>
      <w:r w:rsidRPr="009802E0">
        <w:rPr>
          <w:rFonts w:asciiTheme="minorEastAsia" w:eastAsiaTheme="minorEastAsia" w:hAnsiTheme="minorEastAsia" w:hint="eastAsia"/>
          <w:szCs w:val="21"/>
        </w:rPr>
        <w:t>×</w:t>
      </w:r>
      <w:r w:rsidRPr="009802E0">
        <w:rPr>
          <w:rFonts w:asciiTheme="minorEastAsia" w:eastAsiaTheme="minorEastAsia" w:hAnsiTheme="minorEastAsia"/>
          <w:szCs w:val="21"/>
        </w:rPr>
        <w:t>1.5%</w:t>
      </w:r>
      <w:r w:rsidRPr="009802E0">
        <w:rPr>
          <w:rFonts w:asciiTheme="minorEastAsia" w:eastAsiaTheme="minorEastAsia" w:hAnsiTheme="minorEastAsia" w:hint="eastAsia"/>
          <w:szCs w:val="21"/>
        </w:rPr>
        <w:t>＝</w:t>
      </w:r>
      <w:r w:rsidR="00745443" w:rsidRPr="009802E0">
        <w:rPr>
          <w:rFonts w:asciiTheme="minorEastAsia" w:eastAsiaTheme="minorEastAsia" w:hAnsiTheme="minorEastAsia"/>
          <w:szCs w:val="21"/>
        </w:rPr>
        <w:t>152.40</w:t>
      </w:r>
      <w:r w:rsidRPr="009802E0">
        <w:rPr>
          <w:rFonts w:asciiTheme="minorEastAsia" w:eastAsiaTheme="minorEastAsia" w:hAnsiTheme="minorEastAsia" w:hint="eastAsia"/>
          <w:szCs w:val="21"/>
        </w:rPr>
        <w:t>元</w:t>
      </w:r>
    </w:p>
    <w:p w:rsidR="00954E08" w:rsidRPr="009802E0" w:rsidRDefault="00954E08" w:rsidP="00954E08">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赎回金额</w:t>
      </w:r>
      <w:r w:rsidRPr="009802E0">
        <w:rPr>
          <w:rFonts w:asciiTheme="minorEastAsia" w:eastAsiaTheme="minorEastAsia" w:hAnsiTheme="minorEastAsia"/>
          <w:szCs w:val="21"/>
        </w:rPr>
        <w:t>=10,000</w:t>
      </w:r>
      <w:r w:rsidRPr="009802E0">
        <w:rPr>
          <w:rFonts w:asciiTheme="minorEastAsia" w:eastAsiaTheme="minorEastAsia" w:hAnsiTheme="minorEastAsia" w:hint="eastAsia"/>
          <w:szCs w:val="21"/>
        </w:rPr>
        <w:t>×</w:t>
      </w:r>
      <w:r w:rsidRPr="009802E0">
        <w:rPr>
          <w:rFonts w:asciiTheme="minorEastAsia" w:eastAsiaTheme="minorEastAsia" w:hAnsiTheme="minorEastAsia"/>
          <w:szCs w:val="21"/>
        </w:rPr>
        <w:t>1.016-</w:t>
      </w:r>
      <w:r w:rsidR="00745443" w:rsidRPr="009802E0">
        <w:rPr>
          <w:rFonts w:asciiTheme="minorEastAsia" w:eastAsiaTheme="minorEastAsia" w:hAnsiTheme="minorEastAsia"/>
          <w:szCs w:val="21"/>
        </w:rPr>
        <w:t>152.40</w:t>
      </w:r>
      <w:r w:rsidRPr="009802E0">
        <w:rPr>
          <w:rFonts w:asciiTheme="minorEastAsia" w:eastAsiaTheme="minorEastAsia" w:hAnsiTheme="minorEastAsia" w:hint="eastAsia"/>
          <w:szCs w:val="21"/>
        </w:rPr>
        <w:t>＝</w:t>
      </w:r>
      <w:r w:rsidRPr="009802E0">
        <w:rPr>
          <w:rFonts w:asciiTheme="minorEastAsia" w:eastAsiaTheme="minorEastAsia" w:hAnsiTheme="minorEastAsia"/>
          <w:szCs w:val="21"/>
        </w:rPr>
        <w:t>10,</w:t>
      </w:r>
      <w:r w:rsidR="00745443" w:rsidRPr="009802E0">
        <w:rPr>
          <w:rFonts w:asciiTheme="minorEastAsia" w:eastAsiaTheme="minorEastAsia" w:hAnsiTheme="minorEastAsia"/>
          <w:szCs w:val="21"/>
        </w:rPr>
        <w:t>007.60</w:t>
      </w:r>
      <w:r w:rsidRPr="009802E0">
        <w:rPr>
          <w:rFonts w:asciiTheme="minorEastAsia" w:eastAsiaTheme="minorEastAsia" w:hAnsiTheme="minorEastAsia" w:hint="eastAsia"/>
          <w:szCs w:val="21"/>
        </w:rPr>
        <w:t>元</w:t>
      </w:r>
    </w:p>
    <w:p w:rsidR="00954E08" w:rsidRPr="009802E0" w:rsidRDefault="00954E08" w:rsidP="00954E08">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即：投资人赎回本基金</w:t>
      </w:r>
      <w:r w:rsidRPr="009802E0">
        <w:rPr>
          <w:rFonts w:asciiTheme="minorEastAsia" w:eastAsiaTheme="minorEastAsia" w:hAnsiTheme="minorEastAsia"/>
          <w:szCs w:val="21"/>
        </w:rPr>
        <w:t>1</w:t>
      </w:r>
      <w:r w:rsidRPr="009802E0">
        <w:rPr>
          <w:rFonts w:asciiTheme="minorEastAsia" w:eastAsiaTheme="minorEastAsia" w:hAnsiTheme="minorEastAsia" w:hint="eastAsia"/>
          <w:szCs w:val="21"/>
        </w:rPr>
        <w:t>万份A类基金份额，假设赎回当日基金份额净值是</w:t>
      </w:r>
      <w:r w:rsidRPr="009802E0">
        <w:rPr>
          <w:rFonts w:asciiTheme="minorEastAsia" w:eastAsiaTheme="minorEastAsia" w:hAnsiTheme="minorEastAsia"/>
          <w:szCs w:val="21"/>
        </w:rPr>
        <w:t>1.016</w:t>
      </w:r>
      <w:r w:rsidRPr="009802E0">
        <w:rPr>
          <w:rFonts w:asciiTheme="minorEastAsia" w:eastAsiaTheme="minorEastAsia" w:hAnsiTheme="minorEastAsia" w:hint="eastAsia"/>
          <w:szCs w:val="21"/>
        </w:rPr>
        <w:t>元，则其可得到的赎回金额为</w:t>
      </w:r>
      <w:r w:rsidR="00745443" w:rsidRPr="009802E0">
        <w:rPr>
          <w:rFonts w:asciiTheme="minorEastAsia" w:eastAsiaTheme="minorEastAsia" w:hAnsiTheme="minorEastAsia"/>
          <w:szCs w:val="21"/>
        </w:rPr>
        <w:t>10,007.60</w:t>
      </w:r>
      <w:r w:rsidRPr="009802E0">
        <w:rPr>
          <w:rFonts w:asciiTheme="minorEastAsia" w:eastAsiaTheme="minorEastAsia" w:hAnsiTheme="minorEastAsia" w:hint="eastAsia"/>
          <w:szCs w:val="21"/>
        </w:rPr>
        <w:t>元。</w:t>
      </w:r>
    </w:p>
    <w:p w:rsidR="000A5AEF" w:rsidRPr="009802E0" w:rsidRDefault="000A5AEF"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例</w:t>
      </w:r>
      <w:r w:rsidR="00745443" w:rsidRPr="009802E0">
        <w:rPr>
          <w:rFonts w:asciiTheme="minorEastAsia" w:eastAsiaTheme="minorEastAsia" w:hAnsiTheme="minorEastAsia" w:hint="eastAsia"/>
          <w:szCs w:val="21"/>
        </w:rPr>
        <w:t>六</w:t>
      </w:r>
      <w:r w:rsidRPr="009802E0">
        <w:rPr>
          <w:rFonts w:asciiTheme="minorEastAsia" w:eastAsiaTheme="minorEastAsia" w:hAnsiTheme="minorEastAsia" w:hint="eastAsia"/>
          <w:szCs w:val="21"/>
        </w:rPr>
        <w:t>：某投资人赎回</w:t>
      </w:r>
      <w:r w:rsidRPr="009802E0">
        <w:rPr>
          <w:rFonts w:asciiTheme="minorEastAsia" w:eastAsiaTheme="minorEastAsia" w:hAnsiTheme="minorEastAsia"/>
          <w:szCs w:val="21"/>
        </w:rPr>
        <w:t>1</w:t>
      </w:r>
      <w:r w:rsidRPr="009802E0">
        <w:rPr>
          <w:rFonts w:asciiTheme="minorEastAsia" w:eastAsiaTheme="minorEastAsia" w:hAnsiTheme="minorEastAsia" w:hint="eastAsia"/>
          <w:szCs w:val="21"/>
        </w:rPr>
        <w:t>万份B类基金份额，假设该笔份额持有期限为10天，则对应的赎回费率为</w:t>
      </w:r>
      <w:r w:rsidRPr="009802E0">
        <w:rPr>
          <w:rFonts w:asciiTheme="minorEastAsia" w:eastAsiaTheme="minorEastAsia" w:hAnsiTheme="minorEastAsia"/>
          <w:szCs w:val="21"/>
        </w:rPr>
        <w:t>0.</w:t>
      </w:r>
      <w:r w:rsidRPr="009802E0">
        <w:rPr>
          <w:rFonts w:asciiTheme="minorEastAsia" w:eastAsiaTheme="minorEastAsia" w:hAnsiTheme="minorEastAsia" w:hint="eastAsia"/>
          <w:szCs w:val="21"/>
        </w:rPr>
        <w:t>75</w:t>
      </w:r>
      <w:r w:rsidRPr="009802E0">
        <w:rPr>
          <w:rFonts w:asciiTheme="minorEastAsia" w:eastAsiaTheme="minorEastAsia" w:hAnsiTheme="minorEastAsia"/>
          <w:szCs w:val="21"/>
        </w:rPr>
        <w:t>%</w:t>
      </w:r>
      <w:r w:rsidRPr="009802E0">
        <w:rPr>
          <w:rFonts w:asciiTheme="minorEastAsia" w:eastAsiaTheme="minorEastAsia" w:hAnsiTheme="minorEastAsia" w:hint="eastAsia"/>
          <w:szCs w:val="21"/>
        </w:rPr>
        <w:t>，假设赎回当日基金份额净值是</w:t>
      </w:r>
      <w:r w:rsidRPr="009802E0">
        <w:rPr>
          <w:rFonts w:asciiTheme="minorEastAsia" w:eastAsiaTheme="minorEastAsia" w:hAnsiTheme="minorEastAsia"/>
          <w:szCs w:val="21"/>
        </w:rPr>
        <w:t>1.016</w:t>
      </w:r>
      <w:r w:rsidRPr="009802E0">
        <w:rPr>
          <w:rFonts w:asciiTheme="minorEastAsia" w:eastAsiaTheme="minorEastAsia" w:hAnsiTheme="minorEastAsia" w:hint="eastAsia"/>
          <w:szCs w:val="21"/>
        </w:rPr>
        <w:t>元，则其可得到的赎回金额为：</w:t>
      </w:r>
    </w:p>
    <w:p w:rsidR="00B9576D" w:rsidRPr="009802E0" w:rsidRDefault="00B9576D"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赎回费用</w:t>
      </w:r>
      <w:r w:rsidRPr="009802E0">
        <w:rPr>
          <w:rFonts w:asciiTheme="minorEastAsia" w:eastAsiaTheme="minorEastAsia" w:hAnsiTheme="minorEastAsia"/>
          <w:szCs w:val="21"/>
        </w:rPr>
        <w:t>=10,000</w:t>
      </w:r>
      <w:r w:rsidRPr="009802E0">
        <w:rPr>
          <w:rFonts w:asciiTheme="minorEastAsia" w:eastAsiaTheme="minorEastAsia" w:hAnsiTheme="minorEastAsia" w:hint="eastAsia"/>
          <w:szCs w:val="21"/>
        </w:rPr>
        <w:t>×</w:t>
      </w:r>
      <w:r w:rsidRPr="009802E0">
        <w:rPr>
          <w:rFonts w:asciiTheme="minorEastAsia" w:eastAsiaTheme="minorEastAsia" w:hAnsiTheme="minorEastAsia"/>
          <w:szCs w:val="21"/>
        </w:rPr>
        <w:t>1.016</w:t>
      </w:r>
      <w:r w:rsidRPr="009802E0">
        <w:rPr>
          <w:rFonts w:asciiTheme="minorEastAsia" w:eastAsiaTheme="minorEastAsia" w:hAnsiTheme="minorEastAsia" w:hint="eastAsia"/>
          <w:szCs w:val="21"/>
        </w:rPr>
        <w:t>×</w:t>
      </w:r>
      <w:r w:rsidRPr="009802E0">
        <w:rPr>
          <w:rFonts w:asciiTheme="minorEastAsia" w:eastAsiaTheme="minorEastAsia" w:hAnsiTheme="minorEastAsia"/>
          <w:szCs w:val="21"/>
        </w:rPr>
        <w:t>0.</w:t>
      </w:r>
      <w:r w:rsidR="00D628C8" w:rsidRPr="009802E0">
        <w:rPr>
          <w:rFonts w:asciiTheme="minorEastAsia" w:eastAsiaTheme="minorEastAsia" w:hAnsiTheme="minorEastAsia" w:hint="eastAsia"/>
          <w:szCs w:val="21"/>
        </w:rPr>
        <w:t>75</w:t>
      </w:r>
      <w:r w:rsidRPr="009802E0">
        <w:rPr>
          <w:rFonts w:asciiTheme="minorEastAsia" w:eastAsiaTheme="minorEastAsia" w:hAnsiTheme="minorEastAsia"/>
          <w:szCs w:val="21"/>
        </w:rPr>
        <w:t>%</w:t>
      </w:r>
      <w:r w:rsidRPr="009802E0">
        <w:rPr>
          <w:rFonts w:asciiTheme="minorEastAsia" w:eastAsiaTheme="minorEastAsia" w:hAnsiTheme="minorEastAsia" w:hint="eastAsia"/>
          <w:szCs w:val="21"/>
        </w:rPr>
        <w:t>＝</w:t>
      </w:r>
      <w:r w:rsidR="00201B0D" w:rsidRPr="009802E0">
        <w:rPr>
          <w:rFonts w:asciiTheme="minorEastAsia" w:eastAsiaTheme="minorEastAsia" w:hAnsiTheme="minorEastAsia" w:hint="eastAsia"/>
          <w:szCs w:val="21"/>
        </w:rPr>
        <w:t>76.20</w:t>
      </w:r>
      <w:r w:rsidRPr="009802E0">
        <w:rPr>
          <w:rFonts w:asciiTheme="minorEastAsia" w:eastAsiaTheme="minorEastAsia" w:hAnsiTheme="minorEastAsia" w:hint="eastAsia"/>
          <w:szCs w:val="21"/>
        </w:rPr>
        <w:t>元</w:t>
      </w:r>
    </w:p>
    <w:p w:rsidR="00B9576D" w:rsidRPr="009802E0" w:rsidRDefault="00B9576D"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赎回金额</w:t>
      </w:r>
      <w:r w:rsidRPr="009802E0">
        <w:rPr>
          <w:rFonts w:asciiTheme="minorEastAsia" w:eastAsiaTheme="minorEastAsia" w:hAnsiTheme="minorEastAsia"/>
          <w:szCs w:val="21"/>
        </w:rPr>
        <w:t>=10,000</w:t>
      </w:r>
      <w:r w:rsidRPr="009802E0">
        <w:rPr>
          <w:rFonts w:asciiTheme="minorEastAsia" w:eastAsiaTheme="minorEastAsia" w:hAnsiTheme="minorEastAsia" w:hint="eastAsia"/>
          <w:szCs w:val="21"/>
        </w:rPr>
        <w:t>×</w:t>
      </w:r>
      <w:r w:rsidRPr="009802E0">
        <w:rPr>
          <w:rFonts w:asciiTheme="minorEastAsia" w:eastAsiaTheme="minorEastAsia" w:hAnsiTheme="minorEastAsia"/>
          <w:szCs w:val="21"/>
        </w:rPr>
        <w:t>1.016-</w:t>
      </w:r>
      <w:r w:rsidR="007F0021" w:rsidRPr="009802E0">
        <w:rPr>
          <w:rFonts w:asciiTheme="minorEastAsia" w:eastAsiaTheme="minorEastAsia" w:hAnsiTheme="minorEastAsia" w:hint="eastAsia"/>
          <w:szCs w:val="21"/>
        </w:rPr>
        <w:t>76.20</w:t>
      </w:r>
      <w:r w:rsidRPr="009802E0">
        <w:rPr>
          <w:rFonts w:asciiTheme="minorEastAsia" w:eastAsiaTheme="minorEastAsia" w:hAnsiTheme="minorEastAsia" w:hint="eastAsia"/>
          <w:szCs w:val="21"/>
        </w:rPr>
        <w:t>＝</w:t>
      </w:r>
      <w:r w:rsidR="00201B0D" w:rsidRPr="009802E0">
        <w:rPr>
          <w:rFonts w:asciiTheme="minorEastAsia" w:eastAsiaTheme="minorEastAsia" w:hAnsiTheme="minorEastAsia" w:hint="eastAsia"/>
          <w:szCs w:val="21"/>
        </w:rPr>
        <w:t>10,083.80</w:t>
      </w:r>
      <w:r w:rsidRPr="009802E0">
        <w:rPr>
          <w:rFonts w:asciiTheme="minorEastAsia" w:eastAsiaTheme="minorEastAsia" w:hAnsiTheme="minorEastAsia" w:hint="eastAsia"/>
          <w:szCs w:val="21"/>
        </w:rPr>
        <w:t>元</w:t>
      </w:r>
    </w:p>
    <w:p w:rsidR="00B9576D" w:rsidRPr="009802E0" w:rsidRDefault="00B9576D"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即：投资人赎回本基金</w:t>
      </w:r>
      <w:r w:rsidRPr="009802E0">
        <w:rPr>
          <w:rFonts w:asciiTheme="minorEastAsia" w:eastAsiaTheme="minorEastAsia" w:hAnsiTheme="minorEastAsia"/>
          <w:szCs w:val="21"/>
        </w:rPr>
        <w:t>1</w:t>
      </w:r>
      <w:r w:rsidRPr="009802E0">
        <w:rPr>
          <w:rFonts w:asciiTheme="minorEastAsia" w:eastAsiaTheme="minorEastAsia" w:hAnsiTheme="minorEastAsia" w:hint="eastAsia"/>
          <w:szCs w:val="21"/>
        </w:rPr>
        <w:t>万份</w:t>
      </w:r>
      <w:r w:rsidR="00544CDE" w:rsidRPr="009802E0">
        <w:rPr>
          <w:rFonts w:asciiTheme="minorEastAsia" w:eastAsiaTheme="minorEastAsia" w:hAnsiTheme="minorEastAsia" w:hint="eastAsia"/>
          <w:szCs w:val="21"/>
        </w:rPr>
        <w:t>B类</w:t>
      </w:r>
      <w:r w:rsidRPr="009802E0">
        <w:rPr>
          <w:rFonts w:asciiTheme="minorEastAsia" w:eastAsiaTheme="minorEastAsia" w:hAnsiTheme="minorEastAsia" w:hint="eastAsia"/>
          <w:szCs w:val="21"/>
        </w:rPr>
        <w:t>基金份额，假设赎回当日基金份额净值是</w:t>
      </w:r>
      <w:r w:rsidRPr="009802E0">
        <w:rPr>
          <w:rFonts w:asciiTheme="minorEastAsia" w:eastAsiaTheme="minorEastAsia" w:hAnsiTheme="minorEastAsia"/>
          <w:szCs w:val="21"/>
        </w:rPr>
        <w:t>1.016</w:t>
      </w:r>
      <w:r w:rsidRPr="009802E0">
        <w:rPr>
          <w:rFonts w:asciiTheme="minorEastAsia" w:eastAsiaTheme="minorEastAsia" w:hAnsiTheme="minorEastAsia" w:hint="eastAsia"/>
          <w:szCs w:val="21"/>
        </w:rPr>
        <w:t>元，则其可得到的赎回金额为</w:t>
      </w:r>
      <w:r w:rsidR="00F302AB" w:rsidRPr="009802E0">
        <w:rPr>
          <w:rFonts w:asciiTheme="minorEastAsia" w:eastAsiaTheme="minorEastAsia" w:hAnsiTheme="minorEastAsia" w:hint="eastAsia"/>
          <w:szCs w:val="21"/>
        </w:rPr>
        <w:t>10,083.80元</w:t>
      </w:r>
      <w:r w:rsidRPr="009802E0">
        <w:rPr>
          <w:rFonts w:asciiTheme="minorEastAsia" w:eastAsiaTheme="minorEastAsia" w:hAnsiTheme="minorEastAsia" w:hint="eastAsia"/>
          <w:szCs w:val="21"/>
        </w:rPr>
        <w:t>。</w:t>
      </w:r>
    </w:p>
    <w:p w:rsidR="00745443" w:rsidRPr="009802E0" w:rsidRDefault="00745443" w:rsidP="00745443">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例七：某投资人赎回</w:t>
      </w:r>
      <w:r w:rsidRPr="009802E0">
        <w:rPr>
          <w:rFonts w:asciiTheme="minorEastAsia" w:eastAsiaTheme="minorEastAsia" w:hAnsiTheme="minorEastAsia"/>
          <w:szCs w:val="21"/>
        </w:rPr>
        <w:t>1</w:t>
      </w:r>
      <w:r w:rsidRPr="009802E0">
        <w:rPr>
          <w:rFonts w:asciiTheme="minorEastAsia" w:eastAsiaTheme="minorEastAsia" w:hAnsiTheme="minorEastAsia" w:hint="eastAsia"/>
          <w:szCs w:val="21"/>
        </w:rPr>
        <w:t>万份</w:t>
      </w:r>
      <w:r w:rsidRPr="009802E0">
        <w:rPr>
          <w:rFonts w:asciiTheme="minorEastAsia" w:eastAsiaTheme="minorEastAsia" w:hAnsiTheme="minorEastAsia"/>
          <w:szCs w:val="21"/>
        </w:rPr>
        <w:t>B</w:t>
      </w:r>
      <w:r w:rsidRPr="009802E0">
        <w:rPr>
          <w:rFonts w:asciiTheme="minorEastAsia" w:eastAsiaTheme="minorEastAsia" w:hAnsiTheme="minorEastAsia" w:hint="eastAsia"/>
          <w:szCs w:val="21"/>
        </w:rPr>
        <w:t>类基金份额，假设该笔份额持有期限为</w:t>
      </w:r>
      <w:r w:rsidRPr="009802E0">
        <w:rPr>
          <w:rFonts w:asciiTheme="minorEastAsia" w:eastAsiaTheme="minorEastAsia" w:hAnsiTheme="minorEastAsia"/>
          <w:szCs w:val="21"/>
        </w:rPr>
        <w:t>6</w:t>
      </w:r>
      <w:r w:rsidRPr="009802E0">
        <w:rPr>
          <w:rFonts w:asciiTheme="minorEastAsia" w:eastAsiaTheme="minorEastAsia" w:hAnsiTheme="minorEastAsia" w:hint="eastAsia"/>
          <w:szCs w:val="21"/>
        </w:rPr>
        <w:t>天，则对应的赎回费率为</w:t>
      </w:r>
      <w:r w:rsidRPr="009802E0">
        <w:rPr>
          <w:rFonts w:asciiTheme="minorEastAsia" w:eastAsiaTheme="minorEastAsia" w:hAnsiTheme="minorEastAsia"/>
          <w:szCs w:val="21"/>
        </w:rPr>
        <w:t>1.5%</w:t>
      </w:r>
      <w:r w:rsidRPr="009802E0">
        <w:rPr>
          <w:rFonts w:asciiTheme="minorEastAsia" w:eastAsiaTheme="minorEastAsia" w:hAnsiTheme="minorEastAsia" w:hint="eastAsia"/>
          <w:szCs w:val="21"/>
        </w:rPr>
        <w:t>，假设赎回当日基金份额净值是</w:t>
      </w:r>
      <w:r w:rsidRPr="009802E0">
        <w:rPr>
          <w:rFonts w:asciiTheme="minorEastAsia" w:eastAsiaTheme="minorEastAsia" w:hAnsiTheme="minorEastAsia"/>
          <w:szCs w:val="21"/>
        </w:rPr>
        <w:t>1.016</w:t>
      </w:r>
      <w:r w:rsidRPr="009802E0">
        <w:rPr>
          <w:rFonts w:asciiTheme="minorEastAsia" w:eastAsiaTheme="minorEastAsia" w:hAnsiTheme="minorEastAsia" w:hint="eastAsia"/>
          <w:szCs w:val="21"/>
        </w:rPr>
        <w:t>元，则其可得到的赎回金额为：</w:t>
      </w:r>
    </w:p>
    <w:p w:rsidR="00745443" w:rsidRPr="009802E0" w:rsidRDefault="00745443" w:rsidP="00745443">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赎回费用</w:t>
      </w:r>
      <w:r w:rsidRPr="009802E0">
        <w:rPr>
          <w:rFonts w:asciiTheme="minorEastAsia" w:eastAsiaTheme="minorEastAsia" w:hAnsiTheme="minorEastAsia"/>
          <w:szCs w:val="21"/>
        </w:rPr>
        <w:t>=10,000</w:t>
      </w:r>
      <w:r w:rsidRPr="009802E0">
        <w:rPr>
          <w:rFonts w:asciiTheme="minorEastAsia" w:eastAsiaTheme="minorEastAsia" w:hAnsiTheme="minorEastAsia" w:hint="eastAsia"/>
          <w:szCs w:val="21"/>
        </w:rPr>
        <w:t>×</w:t>
      </w:r>
      <w:r w:rsidRPr="009802E0">
        <w:rPr>
          <w:rFonts w:asciiTheme="minorEastAsia" w:eastAsiaTheme="minorEastAsia" w:hAnsiTheme="minorEastAsia"/>
          <w:szCs w:val="21"/>
        </w:rPr>
        <w:t>1.016</w:t>
      </w:r>
      <w:r w:rsidRPr="009802E0">
        <w:rPr>
          <w:rFonts w:asciiTheme="minorEastAsia" w:eastAsiaTheme="minorEastAsia" w:hAnsiTheme="minorEastAsia" w:hint="eastAsia"/>
          <w:szCs w:val="21"/>
        </w:rPr>
        <w:t>×</w:t>
      </w:r>
      <w:r w:rsidRPr="009802E0">
        <w:rPr>
          <w:rFonts w:asciiTheme="minorEastAsia" w:eastAsiaTheme="minorEastAsia" w:hAnsiTheme="minorEastAsia"/>
          <w:szCs w:val="21"/>
        </w:rPr>
        <w:t>1.5%</w:t>
      </w:r>
      <w:r w:rsidRPr="009802E0">
        <w:rPr>
          <w:rFonts w:asciiTheme="minorEastAsia" w:eastAsiaTheme="minorEastAsia" w:hAnsiTheme="minorEastAsia" w:hint="eastAsia"/>
          <w:szCs w:val="21"/>
        </w:rPr>
        <w:t>＝</w:t>
      </w:r>
      <w:r w:rsidRPr="009802E0">
        <w:rPr>
          <w:rFonts w:asciiTheme="minorEastAsia" w:eastAsiaTheme="minorEastAsia" w:hAnsiTheme="minorEastAsia"/>
          <w:szCs w:val="21"/>
        </w:rPr>
        <w:t>152.40</w:t>
      </w:r>
      <w:r w:rsidRPr="009802E0">
        <w:rPr>
          <w:rFonts w:asciiTheme="minorEastAsia" w:eastAsiaTheme="minorEastAsia" w:hAnsiTheme="minorEastAsia" w:hint="eastAsia"/>
          <w:szCs w:val="21"/>
        </w:rPr>
        <w:t>元</w:t>
      </w:r>
    </w:p>
    <w:p w:rsidR="00745443" w:rsidRPr="009802E0" w:rsidRDefault="00745443" w:rsidP="00745443">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赎回金额</w:t>
      </w:r>
      <w:r w:rsidRPr="009802E0">
        <w:rPr>
          <w:rFonts w:asciiTheme="minorEastAsia" w:eastAsiaTheme="minorEastAsia" w:hAnsiTheme="minorEastAsia"/>
          <w:szCs w:val="21"/>
        </w:rPr>
        <w:t>=10,000</w:t>
      </w:r>
      <w:r w:rsidRPr="009802E0">
        <w:rPr>
          <w:rFonts w:asciiTheme="minorEastAsia" w:eastAsiaTheme="minorEastAsia" w:hAnsiTheme="minorEastAsia" w:hint="eastAsia"/>
          <w:szCs w:val="21"/>
        </w:rPr>
        <w:t>×</w:t>
      </w:r>
      <w:r w:rsidRPr="009802E0">
        <w:rPr>
          <w:rFonts w:asciiTheme="minorEastAsia" w:eastAsiaTheme="minorEastAsia" w:hAnsiTheme="minorEastAsia"/>
          <w:szCs w:val="21"/>
        </w:rPr>
        <w:t>1.016-152.40</w:t>
      </w:r>
      <w:r w:rsidRPr="009802E0">
        <w:rPr>
          <w:rFonts w:asciiTheme="minorEastAsia" w:eastAsiaTheme="minorEastAsia" w:hAnsiTheme="minorEastAsia" w:hint="eastAsia"/>
          <w:szCs w:val="21"/>
        </w:rPr>
        <w:t>＝</w:t>
      </w:r>
      <w:r w:rsidRPr="009802E0">
        <w:rPr>
          <w:rFonts w:asciiTheme="minorEastAsia" w:eastAsiaTheme="minorEastAsia" w:hAnsiTheme="minorEastAsia"/>
          <w:szCs w:val="21"/>
        </w:rPr>
        <w:t>10,007.60</w:t>
      </w:r>
      <w:r w:rsidRPr="009802E0">
        <w:rPr>
          <w:rFonts w:asciiTheme="minorEastAsia" w:eastAsiaTheme="minorEastAsia" w:hAnsiTheme="minorEastAsia" w:hint="eastAsia"/>
          <w:szCs w:val="21"/>
        </w:rPr>
        <w:t>元</w:t>
      </w:r>
    </w:p>
    <w:p w:rsidR="00745443" w:rsidRPr="009802E0" w:rsidRDefault="00745443" w:rsidP="00745443">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即：投资人赎回本基金</w:t>
      </w:r>
      <w:r w:rsidRPr="009802E0">
        <w:rPr>
          <w:rFonts w:asciiTheme="minorEastAsia" w:eastAsiaTheme="minorEastAsia" w:hAnsiTheme="minorEastAsia"/>
          <w:szCs w:val="21"/>
        </w:rPr>
        <w:t>1</w:t>
      </w:r>
      <w:r w:rsidRPr="009802E0">
        <w:rPr>
          <w:rFonts w:asciiTheme="minorEastAsia" w:eastAsiaTheme="minorEastAsia" w:hAnsiTheme="minorEastAsia" w:hint="eastAsia"/>
          <w:szCs w:val="21"/>
        </w:rPr>
        <w:t>万份</w:t>
      </w:r>
      <w:r w:rsidRPr="009802E0">
        <w:rPr>
          <w:rFonts w:asciiTheme="minorEastAsia" w:eastAsiaTheme="minorEastAsia" w:hAnsiTheme="minorEastAsia"/>
          <w:szCs w:val="21"/>
        </w:rPr>
        <w:t>B</w:t>
      </w:r>
      <w:r w:rsidRPr="009802E0">
        <w:rPr>
          <w:rFonts w:asciiTheme="minorEastAsia" w:eastAsiaTheme="minorEastAsia" w:hAnsiTheme="minorEastAsia" w:hint="eastAsia"/>
          <w:szCs w:val="21"/>
        </w:rPr>
        <w:t>类基金份额，假设赎回当日基金份额净值是</w:t>
      </w:r>
      <w:r w:rsidRPr="009802E0">
        <w:rPr>
          <w:rFonts w:asciiTheme="minorEastAsia" w:eastAsiaTheme="minorEastAsia" w:hAnsiTheme="minorEastAsia"/>
          <w:szCs w:val="21"/>
        </w:rPr>
        <w:t>1.016</w:t>
      </w:r>
      <w:r w:rsidRPr="009802E0">
        <w:rPr>
          <w:rFonts w:asciiTheme="minorEastAsia" w:eastAsiaTheme="minorEastAsia" w:hAnsiTheme="minorEastAsia" w:hint="eastAsia"/>
          <w:szCs w:val="21"/>
        </w:rPr>
        <w:t>元，则其可得到的赎回金额为</w:t>
      </w:r>
      <w:r w:rsidRPr="009802E0">
        <w:rPr>
          <w:rFonts w:asciiTheme="minorEastAsia" w:eastAsiaTheme="minorEastAsia" w:hAnsiTheme="minorEastAsia"/>
          <w:szCs w:val="21"/>
        </w:rPr>
        <w:t>10,007.60</w:t>
      </w:r>
      <w:r w:rsidRPr="009802E0">
        <w:rPr>
          <w:rFonts w:asciiTheme="minorEastAsia" w:eastAsiaTheme="minorEastAsia" w:hAnsiTheme="minorEastAsia" w:hint="eastAsia"/>
          <w:szCs w:val="21"/>
        </w:rPr>
        <w:t>元。</w:t>
      </w:r>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szCs w:val="21"/>
        </w:rPr>
        <w:t>4</w:t>
      </w:r>
      <w:r w:rsidR="00C335A3" w:rsidRPr="009802E0">
        <w:rPr>
          <w:rFonts w:asciiTheme="minorEastAsia" w:eastAsiaTheme="minorEastAsia" w:hAnsiTheme="minorEastAsia" w:hint="eastAsia"/>
          <w:szCs w:val="21"/>
        </w:rPr>
        <w:t>、</w:t>
      </w:r>
      <w:r w:rsidRPr="009802E0">
        <w:rPr>
          <w:rFonts w:asciiTheme="minorEastAsia" w:eastAsiaTheme="minorEastAsia" w:hAnsiTheme="minorEastAsia" w:hint="eastAsia"/>
          <w:szCs w:val="21"/>
        </w:rPr>
        <w:t>基金份额净值的计算公式</w:t>
      </w:r>
    </w:p>
    <w:p w:rsidR="006D0AD0" w:rsidRPr="009802E0" w:rsidRDefault="006D0AD0"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szCs w:val="21"/>
        </w:rPr>
        <w:t>计算日该</w:t>
      </w:r>
      <w:r w:rsidRPr="009802E0">
        <w:rPr>
          <w:rFonts w:asciiTheme="minorEastAsia" w:eastAsiaTheme="minorEastAsia" w:hAnsiTheme="minorEastAsia" w:hint="eastAsia"/>
          <w:szCs w:val="21"/>
        </w:rPr>
        <w:t>类</w:t>
      </w:r>
      <w:r w:rsidRPr="009802E0">
        <w:rPr>
          <w:rFonts w:asciiTheme="minorEastAsia" w:eastAsiaTheme="minorEastAsia" w:hAnsiTheme="minorEastAsia"/>
          <w:szCs w:val="21"/>
        </w:rPr>
        <w:t>基金份额净值=计算日该</w:t>
      </w:r>
      <w:r w:rsidRPr="009802E0">
        <w:rPr>
          <w:rFonts w:asciiTheme="minorEastAsia" w:eastAsiaTheme="minorEastAsia" w:hAnsiTheme="minorEastAsia" w:hint="eastAsia"/>
          <w:szCs w:val="21"/>
        </w:rPr>
        <w:t>类</w:t>
      </w:r>
      <w:r w:rsidRPr="009802E0">
        <w:rPr>
          <w:rFonts w:asciiTheme="minorEastAsia" w:eastAsiaTheme="minorEastAsia" w:hAnsiTheme="minorEastAsia"/>
          <w:szCs w:val="21"/>
        </w:rPr>
        <w:t>基金资产净值/计算日该</w:t>
      </w:r>
      <w:r w:rsidRPr="009802E0">
        <w:rPr>
          <w:rFonts w:asciiTheme="minorEastAsia" w:eastAsiaTheme="minorEastAsia" w:hAnsiTheme="minorEastAsia" w:hint="eastAsia"/>
          <w:szCs w:val="21"/>
        </w:rPr>
        <w:t>类</w:t>
      </w:r>
      <w:r w:rsidRPr="009802E0">
        <w:rPr>
          <w:rFonts w:asciiTheme="minorEastAsia" w:eastAsiaTheme="minorEastAsia" w:hAnsiTheme="minorEastAsia"/>
          <w:szCs w:val="21"/>
        </w:rPr>
        <w:t>基金总份额。</w:t>
      </w:r>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本基金</w:t>
      </w:r>
      <w:r w:rsidRPr="009802E0">
        <w:rPr>
          <w:rFonts w:asciiTheme="minorEastAsia" w:eastAsiaTheme="minorEastAsia" w:hAnsiTheme="minorEastAsia"/>
          <w:szCs w:val="21"/>
        </w:rPr>
        <w:t>T</w:t>
      </w:r>
      <w:r w:rsidRPr="009802E0">
        <w:rPr>
          <w:rFonts w:asciiTheme="minorEastAsia" w:eastAsiaTheme="minorEastAsia" w:hAnsiTheme="minorEastAsia" w:hint="eastAsia"/>
          <w:szCs w:val="21"/>
        </w:rPr>
        <w:t>日的基金份额净值在当天收市后计算，并在</w:t>
      </w:r>
      <w:r w:rsidRPr="009802E0">
        <w:rPr>
          <w:rFonts w:asciiTheme="minorEastAsia" w:eastAsiaTheme="minorEastAsia" w:hAnsiTheme="minorEastAsia"/>
          <w:szCs w:val="21"/>
        </w:rPr>
        <w:t>T</w:t>
      </w:r>
      <w:r w:rsidRPr="009802E0">
        <w:rPr>
          <w:rFonts w:asciiTheme="minorEastAsia" w:eastAsiaTheme="minorEastAsia" w:hAnsiTheme="minorEastAsia" w:hint="eastAsia"/>
          <w:szCs w:val="21"/>
        </w:rPr>
        <w:t>＋</w:t>
      </w:r>
      <w:r w:rsidRPr="009802E0">
        <w:rPr>
          <w:rFonts w:asciiTheme="minorEastAsia" w:eastAsiaTheme="minorEastAsia" w:hAnsiTheme="minorEastAsia"/>
          <w:szCs w:val="21"/>
        </w:rPr>
        <w:t>1</w:t>
      </w:r>
      <w:r w:rsidRPr="009802E0">
        <w:rPr>
          <w:rFonts w:asciiTheme="minorEastAsia" w:eastAsiaTheme="minorEastAsia" w:hAnsiTheme="minorEastAsia" w:hint="eastAsia"/>
          <w:szCs w:val="21"/>
        </w:rPr>
        <w:t>日公告。遇特殊情况，经中国证监会同意，可以适当延迟计算或公告。</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bCs/>
        </w:rPr>
      </w:pPr>
      <w:bookmarkStart w:id="29" w:name="_Toc43301899"/>
      <w:r w:rsidRPr="009802E0">
        <w:rPr>
          <w:rFonts w:asciiTheme="minorEastAsia" w:eastAsiaTheme="minorEastAsia" w:hAnsiTheme="minorEastAsia" w:hint="eastAsia"/>
          <w:b w:val="0"/>
          <w:bCs/>
        </w:rPr>
        <w:t>（</w:t>
      </w:r>
      <w:r w:rsidR="000640A9" w:rsidRPr="009802E0">
        <w:rPr>
          <w:rFonts w:asciiTheme="minorEastAsia" w:eastAsiaTheme="minorEastAsia" w:hAnsiTheme="minorEastAsia" w:hint="eastAsia"/>
          <w:b w:val="0"/>
          <w:bCs/>
        </w:rPr>
        <w:t>九</w:t>
      </w:r>
      <w:r w:rsidRPr="009802E0">
        <w:rPr>
          <w:rFonts w:asciiTheme="minorEastAsia" w:eastAsiaTheme="minorEastAsia" w:hAnsiTheme="minorEastAsia" w:hint="eastAsia"/>
          <w:b w:val="0"/>
          <w:bCs/>
        </w:rPr>
        <w:t>）申购与赎回的</w:t>
      </w:r>
      <w:r w:rsidR="008D0420" w:rsidRPr="009802E0">
        <w:rPr>
          <w:rFonts w:asciiTheme="minorEastAsia" w:eastAsiaTheme="minorEastAsia" w:hAnsiTheme="minorEastAsia" w:hint="eastAsia"/>
          <w:b w:val="0"/>
          <w:bCs/>
        </w:rPr>
        <w:t>注册登记</w:t>
      </w:r>
      <w:bookmarkEnd w:id="29"/>
    </w:p>
    <w:p w:rsidR="008D0420" w:rsidRPr="009802E0" w:rsidRDefault="008D0420"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投资者申购基金成功后，正常情况下，基金注册登记机构在</w:t>
      </w:r>
      <w:r w:rsidRPr="009802E0">
        <w:rPr>
          <w:rFonts w:asciiTheme="minorEastAsia" w:eastAsiaTheme="minorEastAsia" w:hAnsiTheme="minorEastAsia"/>
          <w:szCs w:val="21"/>
        </w:rPr>
        <w:t>T+1</w:t>
      </w:r>
      <w:r w:rsidRPr="009802E0">
        <w:rPr>
          <w:rFonts w:asciiTheme="minorEastAsia" w:eastAsiaTheme="minorEastAsia" w:hAnsiTheme="minorEastAsia" w:hint="eastAsia"/>
          <w:szCs w:val="21"/>
        </w:rPr>
        <w:t>日为投资者登记权益并办理注册登记手续，投资者自</w:t>
      </w:r>
      <w:r w:rsidRPr="009802E0">
        <w:rPr>
          <w:rFonts w:asciiTheme="minorEastAsia" w:eastAsiaTheme="minorEastAsia" w:hAnsiTheme="minorEastAsia"/>
          <w:szCs w:val="21"/>
        </w:rPr>
        <w:t>T+2</w:t>
      </w:r>
      <w:r w:rsidRPr="009802E0">
        <w:rPr>
          <w:rFonts w:asciiTheme="minorEastAsia" w:eastAsiaTheme="minorEastAsia" w:hAnsiTheme="minorEastAsia" w:hint="eastAsia"/>
          <w:szCs w:val="21"/>
        </w:rPr>
        <w:t>日（含该日）后有权赎回该部分基金份额。</w:t>
      </w:r>
    </w:p>
    <w:p w:rsidR="008D0420" w:rsidRPr="009802E0" w:rsidRDefault="008D0420"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投资者赎回基金成功后，正常情况下，基金注册登记机构在</w:t>
      </w:r>
      <w:r w:rsidRPr="009802E0">
        <w:rPr>
          <w:rFonts w:asciiTheme="minorEastAsia" w:eastAsiaTheme="minorEastAsia" w:hAnsiTheme="minorEastAsia"/>
          <w:szCs w:val="21"/>
        </w:rPr>
        <w:t>T+1</w:t>
      </w:r>
      <w:r w:rsidRPr="009802E0">
        <w:rPr>
          <w:rFonts w:asciiTheme="minorEastAsia" w:eastAsiaTheme="minorEastAsia" w:hAnsiTheme="minorEastAsia" w:hint="eastAsia"/>
          <w:szCs w:val="21"/>
        </w:rPr>
        <w:t>日为投资者办理扣除权益的注册登记手续。</w:t>
      </w:r>
    </w:p>
    <w:p w:rsidR="008D0420" w:rsidRPr="009802E0" w:rsidRDefault="008D0420"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基金管理人可以在法律法规允许的范围内，对上述注册登记办理时间进行调整，基金管理人最迟于开始实施前在至少一家</w:t>
      </w:r>
      <w:r w:rsidR="004E4473" w:rsidRPr="009802E0">
        <w:rPr>
          <w:rFonts w:asciiTheme="minorEastAsia" w:eastAsiaTheme="minorEastAsia" w:hAnsiTheme="minorEastAsia" w:hint="eastAsia"/>
          <w:szCs w:val="21"/>
        </w:rPr>
        <w:t>指定媒介</w:t>
      </w:r>
      <w:r w:rsidRPr="009802E0">
        <w:rPr>
          <w:rFonts w:asciiTheme="minorEastAsia" w:eastAsiaTheme="minorEastAsia" w:hAnsiTheme="minorEastAsia" w:hint="eastAsia"/>
          <w:szCs w:val="21"/>
        </w:rPr>
        <w:t>公告。</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bCs/>
        </w:rPr>
      </w:pPr>
      <w:bookmarkStart w:id="30" w:name="_Toc43301900"/>
      <w:r w:rsidRPr="009802E0">
        <w:rPr>
          <w:rFonts w:asciiTheme="minorEastAsia" w:eastAsiaTheme="minorEastAsia" w:hAnsiTheme="minorEastAsia" w:hint="eastAsia"/>
          <w:b w:val="0"/>
          <w:bCs/>
        </w:rPr>
        <w:lastRenderedPageBreak/>
        <w:t>（</w:t>
      </w:r>
      <w:r w:rsidR="000640A9" w:rsidRPr="009802E0">
        <w:rPr>
          <w:rFonts w:asciiTheme="minorEastAsia" w:eastAsiaTheme="minorEastAsia" w:hAnsiTheme="minorEastAsia" w:hint="eastAsia"/>
          <w:b w:val="0"/>
          <w:bCs/>
        </w:rPr>
        <w:t>十</w:t>
      </w:r>
      <w:r w:rsidRPr="009802E0">
        <w:rPr>
          <w:rFonts w:asciiTheme="minorEastAsia" w:eastAsiaTheme="minorEastAsia" w:hAnsiTheme="minorEastAsia" w:hint="eastAsia"/>
          <w:b w:val="0"/>
          <w:bCs/>
        </w:rPr>
        <w:t>）巨额赎回的认定及处理方式</w:t>
      </w:r>
      <w:bookmarkEnd w:id="30"/>
    </w:p>
    <w:p w:rsidR="008D0420" w:rsidRPr="009802E0" w:rsidRDefault="008D0420"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1</w:t>
      </w:r>
      <w:r w:rsidR="00C335A3" w:rsidRPr="009802E0">
        <w:rPr>
          <w:rFonts w:asciiTheme="minorEastAsia" w:eastAsiaTheme="minorEastAsia" w:hAnsiTheme="minorEastAsia" w:hint="eastAsia"/>
          <w:szCs w:val="21"/>
        </w:rPr>
        <w:t>、</w:t>
      </w:r>
      <w:r w:rsidRPr="009802E0">
        <w:rPr>
          <w:rFonts w:asciiTheme="minorEastAsia" w:eastAsiaTheme="minorEastAsia" w:hAnsiTheme="minorEastAsia" w:hint="eastAsia"/>
          <w:szCs w:val="21"/>
        </w:rPr>
        <w:t>巨额赎回的认定</w:t>
      </w:r>
    </w:p>
    <w:p w:rsidR="008D0420" w:rsidRPr="009802E0" w:rsidRDefault="008D0420"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本基金单个开放日，基金净赎回申请（赎回申请总数加上基金转换中转出申请份额总数后扣除申购申请总数及基金转换中转入申请份额总数后的余额）超过上一</w:t>
      </w:r>
      <w:r w:rsidR="00B203F1" w:rsidRPr="009802E0">
        <w:rPr>
          <w:rFonts w:asciiTheme="minorEastAsia" w:eastAsiaTheme="minorEastAsia" w:hAnsiTheme="minorEastAsia" w:hint="eastAsia"/>
          <w:szCs w:val="21"/>
        </w:rPr>
        <w:t>开放</w:t>
      </w:r>
      <w:r w:rsidRPr="009802E0">
        <w:rPr>
          <w:rFonts w:asciiTheme="minorEastAsia" w:eastAsiaTheme="minorEastAsia" w:hAnsiTheme="minorEastAsia" w:hint="eastAsia"/>
          <w:szCs w:val="21"/>
        </w:rPr>
        <w:t>日基金总份额的</w:t>
      </w:r>
      <w:r w:rsidRPr="009802E0">
        <w:rPr>
          <w:rFonts w:asciiTheme="minorEastAsia" w:eastAsiaTheme="minorEastAsia" w:hAnsiTheme="minorEastAsia"/>
          <w:szCs w:val="21"/>
        </w:rPr>
        <w:t>10%</w:t>
      </w:r>
      <w:r w:rsidRPr="009802E0">
        <w:rPr>
          <w:rFonts w:asciiTheme="minorEastAsia" w:eastAsiaTheme="minorEastAsia" w:hAnsiTheme="minorEastAsia" w:hint="eastAsia"/>
          <w:szCs w:val="21"/>
        </w:rPr>
        <w:t>时，即认为发生了巨额赎回。</w:t>
      </w:r>
    </w:p>
    <w:p w:rsidR="008D0420" w:rsidRPr="009802E0" w:rsidRDefault="008D0420"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2</w:t>
      </w:r>
      <w:r w:rsidR="00C335A3" w:rsidRPr="009802E0">
        <w:rPr>
          <w:rFonts w:asciiTheme="minorEastAsia" w:eastAsiaTheme="minorEastAsia" w:hAnsiTheme="minorEastAsia" w:hint="eastAsia"/>
          <w:szCs w:val="21"/>
        </w:rPr>
        <w:t>、</w:t>
      </w:r>
      <w:r w:rsidRPr="009802E0">
        <w:rPr>
          <w:rFonts w:asciiTheme="minorEastAsia" w:eastAsiaTheme="minorEastAsia" w:hAnsiTheme="minorEastAsia" w:hint="eastAsia"/>
          <w:szCs w:val="21"/>
        </w:rPr>
        <w:t>巨额赎回的处理方式</w:t>
      </w:r>
    </w:p>
    <w:p w:rsidR="008D0420" w:rsidRPr="009802E0" w:rsidRDefault="008D0420"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当出现巨额赎回时，基金管理人可以根据本基金当时的资产组合状况决定全额赎回或部分顺延赎回。</w:t>
      </w:r>
    </w:p>
    <w:p w:rsidR="008D0420" w:rsidRPr="009802E0" w:rsidRDefault="008D0420"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（1</w:t>
      </w:r>
      <w:r w:rsidRPr="009802E0">
        <w:rPr>
          <w:rFonts w:asciiTheme="minorEastAsia" w:eastAsiaTheme="minorEastAsia" w:hAnsiTheme="minorEastAsia"/>
          <w:szCs w:val="21"/>
        </w:rPr>
        <w:t>）</w:t>
      </w:r>
      <w:r w:rsidRPr="009802E0">
        <w:rPr>
          <w:rFonts w:asciiTheme="minorEastAsia" w:eastAsiaTheme="minorEastAsia" w:hAnsiTheme="minorEastAsia" w:hint="eastAsia"/>
          <w:szCs w:val="21"/>
        </w:rPr>
        <w:t>全额赎回：当基金管理人认为有能力支付投资者的全部赎回申请时，按正常赎回程序执行。</w:t>
      </w:r>
    </w:p>
    <w:p w:rsidR="008D0420" w:rsidRPr="009802E0" w:rsidRDefault="008D0420"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（2）部分顺延赎回：当基金管理人认为支付投资者的赎回申请有困难或认为支付投资者的赎回申请可能会对基金的资产净值造成较大波动时，基金管理人在当日接受赎回比例不低于上一日基金总份额的</w:t>
      </w:r>
      <w:r w:rsidRPr="009802E0">
        <w:rPr>
          <w:rFonts w:asciiTheme="minorEastAsia" w:eastAsiaTheme="minorEastAsia" w:hAnsiTheme="minorEastAsia"/>
          <w:szCs w:val="21"/>
        </w:rPr>
        <w:t>10</w:t>
      </w:r>
      <w:r w:rsidRPr="009802E0">
        <w:rPr>
          <w:rFonts w:asciiTheme="minorEastAsia" w:eastAsiaTheme="minorEastAsia" w:hAnsiTheme="minorEastAsia" w:hint="eastAsia"/>
          <w:szCs w:val="21"/>
        </w:rPr>
        <w:t>%</w:t>
      </w:r>
      <w:r w:rsidRPr="009802E0">
        <w:rPr>
          <w:rFonts w:asciiTheme="minorEastAsia" w:eastAsiaTheme="minorEastAsia" w:hAnsiTheme="minorEastAsia"/>
          <w:szCs w:val="21"/>
        </w:rPr>
        <w:t>的前提下，对其余赎回申请延期予以办理。对于</w:t>
      </w:r>
      <w:r w:rsidRPr="009802E0">
        <w:rPr>
          <w:rFonts w:asciiTheme="minorEastAsia" w:eastAsiaTheme="minorEastAsia" w:hAnsiTheme="minorEastAsia" w:hint="eastAsia"/>
          <w:szCs w:val="21"/>
        </w:rPr>
        <w:t>单个基金份额持有人</w:t>
      </w:r>
      <w:r w:rsidRPr="009802E0">
        <w:rPr>
          <w:rFonts w:asciiTheme="minorEastAsia" w:eastAsiaTheme="minorEastAsia" w:hAnsiTheme="minorEastAsia"/>
          <w:szCs w:val="21"/>
        </w:rPr>
        <w:t>的赎回申请，应当按</w:t>
      </w:r>
      <w:r w:rsidRPr="009802E0">
        <w:rPr>
          <w:rFonts w:asciiTheme="minorEastAsia" w:eastAsiaTheme="minorEastAsia" w:hAnsiTheme="minorEastAsia" w:hint="eastAsia"/>
          <w:szCs w:val="21"/>
        </w:rPr>
        <w:t>照其申请赎回份额</w:t>
      </w:r>
      <w:r w:rsidRPr="009802E0">
        <w:rPr>
          <w:rFonts w:asciiTheme="minorEastAsia" w:eastAsiaTheme="minorEastAsia" w:hAnsiTheme="minorEastAsia"/>
          <w:szCs w:val="21"/>
        </w:rPr>
        <w:t>占</w:t>
      </w:r>
      <w:r w:rsidRPr="009802E0">
        <w:rPr>
          <w:rFonts w:asciiTheme="minorEastAsia" w:eastAsiaTheme="minorEastAsia" w:hAnsiTheme="minorEastAsia" w:hint="eastAsia"/>
          <w:szCs w:val="21"/>
        </w:rPr>
        <w:t>当日申请</w:t>
      </w:r>
      <w:r w:rsidRPr="009802E0">
        <w:rPr>
          <w:rFonts w:asciiTheme="minorEastAsia" w:eastAsiaTheme="minorEastAsia" w:hAnsiTheme="minorEastAsia"/>
          <w:szCs w:val="21"/>
        </w:rPr>
        <w:t>赎回总</w:t>
      </w:r>
      <w:r w:rsidRPr="009802E0">
        <w:rPr>
          <w:rFonts w:asciiTheme="minorEastAsia" w:eastAsiaTheme="minorEastAsia" w:hAnsiTheme="minorEastAsia" w:hint="eastAsia"/>
          <w:szCs w:val="21"/>
        </w:rPr>
        <w:t>份额</w:t>
      </w:r>
      <w:r w:rsidRPr="009802E0">
        <w:rPr>
          <w:rFonts w:asciiTheme="minorEastAsia" w:eastAsiaTheme="minorEastAsia" w:hAnsiTheme="minorEastAsia"/>
          <w:szCs w:val="21"/>
        </w:rPr>
        <w:t>的比例，确定</w:t>
      </w:r>
      <w:r w:rsidRPr="009802E0">
        <w:rPr>
          <w:rFonts w:asciiTheme="minorEastAsia" w:eastAsiaTheme="minorEastAsia" w:hAnsiTheme="minorEastAsia" w:hint="eastAsia"/>
          <w:szCs w:val="21"/>
        </w:rPr>
        <w:t>该单个基金份额持有人</w:t>
      </w:r>
      <w:r w:rsidRPr="009802E0">
        <w:rPr>
          <w:rFonts w:asciiTheme="minorEastAsia" w:eastAsiaTheme="minorEastAsia" w:hAnsiTheme="minorEastAsia"/>
          <w:szCs w:val="21"/>
        </w:rPr>
        <w:t>当日</w:t>
      </w:r>
      <w:r w:rsidRPr="009802E0">
        <w:rPr>
          <w:rFonts w:asciiTheme="minorEastAsia" w:eastAsiaTheme="minorEastAsia" w:hAnsiTheme="minorEastAsia" w:hint="eastAsia"/>
          <w:szCs w:val="21"/>
        </w:rPr>
        <w:t>办理</w:t>
      </w:r>
      <w:r w:rsidRPr="009802E0">
        <w:rPr>
          <w:rFonts w:asciiTheme="minorEastAsia" w:eastAsiaTheme="minorEastAsia" w:hAnsiTheme="minorEastAsia"/>
          <w:szCs w:val="21"/>
        </w:rPr>
        <w:t>的赎回份额；</w:t>
      </w:r>
      <w:r w:rsidRPr="009802E0">
        <w:rPr>
          <w:rFonts w:asciiTheme="minorEastAsia" w:eastAsiaTheme="minorEastAsia" w:hAnsiTheme="minorEastAsia" w:hint="eastAsia"/>
          <w:szCs w:val="21"/>
        </w:rPr>
        <w:t>投资者未能赎回部分，除投资者在提交赎回申请时选择将当日未获办理部分予以撤销外，延迟至下一个开放日办理，赎回价格为下一个开放日的价格。依照上述规定转入下一个开放日的赎回不享有赎回优先权，并以此类推，直到全部赎回为止。部分顺延赎回不受单笔赎回最低份额的限制。</w:t>
      </w:r>
    </w:p>
    <w:p w:rsidR="00745443" w:rsidRPr="009802E0" w:rsidRDefault="00745443"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若本基金发生巨额赎回且单个基金份额持有人的赎回申请超过上一开放日基金总份额10%的，基金管理人有权对该单个基金份额持有人超出该比例的赎回申请实施延期办理，对该单个基金份额持有人剩余赎回申请与其他账户赎回申请按前述条款处理。</w:t>
      </w:r>
    </w:p>
    <w:p w:rsidR="008D0420" w:rsidRPr="009802E0" w:rsidRDefault="008D0420"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（3）巨额赎回的公告：当发生巨额赎回并顺延赎回时，基金管理人应在2日内通过</w:t>
      </w:r>
      <w:r w:rsidR="004E4473" w:rsidRPr="009802E0">
        <w:rPr>
          <w:rFonts w:asciiTheme="minorEastAsia" w:eastAsiaTheme="minorEastAsia" w:hAnsiTheme="minorEastAsia" w:hint="eastAsia"/>
          <w:szCs w:val="21"/>
        </w:rPr>
        <w:t>指定媒介</w:t>
      </w:r>
      <w:r w:rsidRPr="009802E0">
        <w:rPr>
          <w:rFonts w:asciiTheme="minorEastAsia" w:eastAsiaTheme="minorEastAsia" w:hAnsiTheme="minorEastAsia" w:hint="eastAsia"/>
          <w:szCs w:val="21"/>
        </w:rPr>
        <w:t>及基金管理人的公司网站或</w:t>
      </w:r>
      <w:r w:rsidR="007909DB" w:rsidRPr="009802E0">
        <w:rPr>
          <w:rFonts w:asciiTheme="minorEastAsia" w:eastAsiaTheme="minorEastAsia" w:hAnsiTheme="minorEastAsia" w:hint="eastAsia"/>
          <w:szCs w:val="21"/>
        </w:rPr>
        <w:t>销售</w:t>
      </w:r>
      <w:r w:rsidRPr="009802E0">
        <w:rPr>
          <w:rFonts w:asciiTheme="minorEastAsia" w:eastAsiaTheme="minorEastAsia" w:hAnsiTheme="minorEastAsia" w:hint="eastAsia"/>
          <w:szCs w:val="21"/>
        </w:rPr>
        <w:t>机构的网点刊登公告，并在公开披露日向中国证监会和</w:t>
      </w:r>
      <w:r w:rsidRPr="009802E0">
        <w:rPr>
          <w:rFonts w:asciiTheme="minorEastAsia" w:eastAsiaTheme="minorEastAsia" w:hAnsiTheme="minorEastAsia"/>
          <w:szCs w:val="21"/>
        </w:rPr>
        <w:t>基金管理人主要办公场所所在地中国证监会派出机构备案</w:t>
      </w:r>
      <w:r w:rsidRPr="009802E0">
        <w:rPr>
          <w:rFonts w:asciiTheme="minorEastAsia" w:eastAsiaTheme="minorEastAsia" w:hAnsiTheme="minorEastAsia" w:hint="eastAsia"/>
          <w:szCs w:val="21"/>
        </w:rPr>
        <w:t>。同时以</w:t>
      </w:r>
      <w:r w:rsidRPr="009802E0">
        <w:rPr>
          <w:rFonts w:asciiTheme="minorEastAsia" w:eastAsiaTheme="minorEastAsia" w:hAnsiTheme="minorEastAsia"/>
          <w:szCs w:val="21"/>
        </w:rPr>
        <w:t>邮寄、传真</w:t>
      </w:r>
      <w:r w:rsidRPr="009802E0">
        <w:rPr>
          <w:rFonts w:asciiTheme="minorEastAsia" w:eastAsiaTheme="minorEastAsia" w:hAnsiTheme="minorEastAsia" w:hint="eastAsia"/>
          <w:szCs w:val="21"/>
        </w:rPr>
        <w:t>或招募说明书规定的其他方式</w:t>
      </w:r>
      <w:r w:rsidRPr="009802E0">
        <w:rPr>
          <w:rFonts w:asciiTheme="minorEastAsia" w:eastAsiaTheme="minorEastAsia" w:hAnsiTheme="minorEastAsia"/>
          <w:szCs w:val="21"/>
        </w:rPr>
        <w:t>通知基金份额持有人</w:t>
      </w:r>
      <w:r w:rsidRPr="009802E0">
        <w:rPr>
          <w:rFonts w:asciiTheme="minorEastAsia" w:eastAsiaTheme="minorEastAsia" w:hAnsiTheme="minorEastAsia" w:hint="eastAsia"/>
          <w:szCs w:val="21"/>
        </w:rPr>
        <w:t>，并说明有关处理方法。</w:t>
      </w:r>
    </w:p>
    <w:p w:rsidR="008D0420" w:rsidRPr="009802E0" w:rsidRDefault="008D0420"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本基金连续2个开放日以上发生巨额赎回，如基金管理人认为有必要，可暂停接受赎回申请；已经接受的赎回申请可以延缓支付赎回款项，但不得超过</w:t>
      </w:r>
      <w:r w:rsidRPr="009802E0">
        <w:rPr>
          <w:rFonts w:asciiTheme="minorEastAsia" w:eastAsiaTheme="minorEastAsia" w:hAnsiTheme="minorEastAsia"/>
          <w:szCs w:val="21"/>
        </w:rPr>
        <w:t>20</w:t>
      </w:r>
      <w:r w:rsidRPr="009802E0">
        <w:rPr>
          <w:rFonts w:asciiTheme="minorEastAsia" w:eastAsiaTheme="minorEastAsia" w:hAnsiTheme="minorEastAsia" w:hint="eastAsia"/>
          <w:szCs w:val="21"/>
        </w:rPr>
        <w:t>个工作日，并应当在至少一家</w:t>
      </w:r>
      <w:r w:rsidR="004E4473" w:rsidRPr="009802E0">
        <w:rPr>
          <w:rFonts w:asciiTheme="minorEastAsia" w:eastAsiaTheme="minorEastAsia" w:hAnsiTheme="minorEastAsia" w:hint="eastAsia"/>
          <w:szCs w:val="21"/>
        </w:rPr>
        <w:t>指定媒介</w:t>
      </w:r>
      <w:r w:rsidRPr="009802E0">
        <w:rPr>
          <w:rFonts w:asciiTheme="minorEastAsia" w:eastAsiaTheme="minorEastAsia" w:hAnsiTheme="minorEastAsia" w:hint="eastAsia"/>
          <w:szCs w:val="21"/>
        </w:rPr>
        <w:t>公告。</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bCs/>
        </w:rPr>
      </w:pPr>
      <w:bookmarkStart w:id="31" w:name="_Toc43301901"/>
      <w:r w:rsidRPr="009802E0">
        <w:rPr>
          <w:rFonts w:asciiTheme="minorEastAsia" w:eastAsiaTheme="minorEastAsia" w:hAnsiTheme="minorEastAsia" w:hint="eastAsia"/>
          <w:b w:val="0"/>
          <w:bCs/>
        </w:rPr>
        <w:t>（十</w:t>
      </w:r>
      <w:r w:rsidR="000640A9" w:rsidRPr="009802E0">
        <w:rPr>
          <w:rFonts w:asciiTheme="minorEastAsia" w:eastAsiaTheme="minorEastAsia" w:hAnsiTheme="minorEastAsia" w:hint="eastAsia"/>
          <w:b w:val="0"/>
          <w:bCs/>
        </w:rPr>
        <w:t>一</w:t>
      </w:r>
      <w:r w:rsidRPr="009802E0">
        <w:rPr>
          <w:rFonts w:asciiTheme="minorEastAsia" w:eastAsiaTheme="minorEastAsia" w:hAnsiTheme="minorEastAsia" w:hint="eastAsia"/>
          <w:b w:val="0"/>
          <w:bCs/>
        </w:rPr>
        <w:t>）拒绝或暂停申购、暂停赎回的情形及处理</w:t>
      </w:r>
      <w:bookmarkEnd w:id="31"/>
    </w:p>
    <w:p w:rsidR="008D0420" w:rsidRPr="009802E0" w:rsidRDefault="00B43AC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1</w:t>
      </w:r>
      <w:r w:rsidR="00C335A3" w:rsidRPr="009802E0">
        <w:rPr>
          <w:rFonts w:asciiTheme="minorEastAsia" w:eastAsiaTheme="minorEastAsia" w:hAnsiTheme="minorEastAsia" w:hint="eastAsia"/>
          <w:szCs w:val="21"/>
        </w:rPr>
        <w:t>、</w:t>
      </w:r>
      <w:r w:rsidR="008D0420" w:rsidRPr="009802E0">
        <w:rPr>
          <w:rFonts w:asciiTheme="minorEastAsia" w:eastAsiaTheme="minorEastAsia" w:hAnsiTheme="minorEastAsia" w:hint="eastAsia"/>
          <w:szCs w:val="21"/>
        </w:rPr>
        <w:t>出现如下情形，基金管理人有权暂停或拒绝基金投资者的申购申请：</w:t>
      </w:r>
    </w:p>
    <w:p w:rsidR="008D0420" w:rsidRPr="009802E0" w:rsidRDefault="008D0420"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（1）不可抗力的原因导致基金无法正常运作；</w:t>
      </w:r>
    </w:p>
    <w:p w:rsidR="008D0420" w:rsidRPr="009802E0" w:rsidRDefault="008D0420"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（2）证券交易场所在交易时间非正常停市，导致当日基金资产净值无法计算；</w:t>
      </w:r>
    </w:p>
    <w:p w:rsidR="008D0420" w:rsidRPr="009802E0" w:rsidRDefault="008D0420"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（3）基金资产规模过大，使基金管理人无法找到合适的投资品种，或可能对基金业绩</w:t>
      </w:r>
      <w:r w:rsidRPr="009802E0">
        <w:rPr>
          <w:rFonts w:asciiTheme="minorEastAsia" w:eastAsiaTheme="minorEastAsia" w:hAnsiTheme="minorEastAsia" w:hint="eastAsia"/>
          <w:szCs w:val="21"/>
        </w:rPr>
        <w:lastRenderedPageBreak/>
        <w:t>产生负面影响，从而损害现有基金份额持有人的利益；</w:t>
      </w:r>
    </w:p>
    <w:p w:rsidR="008D0420" w:rsidRPr="009802E0" w:rsidRDefault="008D0420"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（4）法律法规规定或中国证监会认定的其他可暂停申购的情形；</w:t>
      </w:r>
    </w:p>
    <w:p w:rsidR="008D0420" w:rsidRPr="009802E0" w:rsidRDefault="008D0420"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（5）基金管理人认为会有损于现有基金份额持有人利益的某笔申购</w:t>
      </w:r>
      <w:r w:rsidR="00745443" w:rsidRPr="009802E0">
        <w:rPr>
          <w:rFonts w:asciiTheme="minorEastAsia" w:eastAsiaTheme="minorEastAsia" w:hAnsiTheme="minorEastAsia" w:hint="eastAsia"/>
          <w:szCs w:val="21"/>
        </w:rPr>
        <w:t>；</w:t>
      </w:r>
    </w:p>
    <w:p w:rsidR="00745443" w:rsidRPr="009802E0" w:rsidRDefault="00745443" w:rsidP="00745443">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（6）基金管理人接受某笔或者某些申购申请有可能导致单一投资者持有基金份额的比例达到或者超过50%，或者变相规避50%集中度的情形时；</w:t>
      </w:r>
    </w:p>
    <w:p w:rsidR="00745443" w:rsidRPr="009802E0" w:rsidRDefault="00745443" w:rsidP="00745443">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7）当一笔新的申购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745443" w:rsidRPr="009802E0" w:rsidRDefault="00745443" w:rsidP="00745443">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8）当前一估值日基金资产净值50%以上的资产出现无可参考的活跃市场价格且采用估值技术仍导致公允价值存在重大不确定性时，经与基金托管人协商确认后，基金管理人应当采取暂停接受基金申购申请的措施。</w:t>
      </w:r>
    </w:p>
    <w:p w:rsidR="008A5DC6" w:rsidRPr="009802E0" w:rsidRDefault="008A5DC6"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发生上述情形之一，基金管理人决定暂停或拒绝投资者的申购申请的，申购本金退还投资者。发生上述（</w:t>
      </w:r>
      <w:r w:rsidRPr="009802E0">
        <w:rPr>
          <w:rFonts w:asciiTheme="minorEastAsia" w:eastAsiaTheme="minorEastAsia" w:hAnsiTheme="minorEastAsia"/>
          <w:szCs w:val="21"/>
        </w:rPr>
        <w:t>1</w:t>
      </w:r>
      <w:r w:rsidRPr="009802E0">
        <w:rPr>
          <w:rFonts w:asciiTheme="minorEastAsia" w:eastAsiaTheme="minorEastAsia" w:hAnsiTheme="minorEastAsia" w:hint="eastAsia"/>
          <w:szCs w:val="21"/>
        </w:rPr>
        <w:t>）到（</w:t>
      </w:r>
      <w:r w:rsidRPr="009802E0">
        <w:rPr>
          <w:rFonts w:asciiTheme="minorEastAsia" w:eastAsiaTheme="minorEastAsia" w:hAnsiTheme="minorEastAsia"/>
          <w:szCs w:val="21"/>
        </w:rPr>
        <w:t>4</w:t>
      </w:r>
      <w:r w:rsidRPr="009802E0">
        <w:rPr>
          <w:rFonts w:asciiTheme="minorEastAsia" w:eastAsiaTheme="minorEastAsia" w:hAnsiTheme="minorEastAsia" w:hint="eastAsia"/>
          <w:szCs w:val="21"/>
        </w:rPr>
        <w:t>）</w:t>
      </w:r>
      <w:r w:rsidR="00745443" w:rsidRPr="009802E0">
        <w:rPr>
          <w:rFonts w:asciiTheme="minorEastAsia" w:eastAsiaTheme="minorEastAsia" w:hAnsiTheme="minorEastAsia" w:hint="eastAsia"/>
          <w:szCs w:val="21"/>
        </w:rPr>
        <w:t>、</w:t>
      </w:r>
      <w:r w:rsidR="00745443" w:rsidRPr="009802E0">
        <w:rPr>
          <w:rFonts w:asciiTheme="minorEastAsia" w:eastAsiaTheme="minorEastAsia" w:hAnsiTheme="minorEastAsia"/>
          <w:szCs w:val="21"/>
        </w:rPr>
        <w:t>（</w:t>
      </w:r>
      <w:r w:rsidR="00745443" w:rsidRPr="009802E0">
        <w:rPr>
          <w:rFonts w:asciiTheme="minorEastAsia" w:eastAsiaTheme="minorEastAsia" w:hAnsiTheme="minorEastAsia" w:hint="eastAsia"/>
          <w:szCs w:val="21"/>
        </w:rPr>
        <w:t>7</w:t>
      </w:r>
      <w:r w:rsidR="00745443" w:rsidRPr="009802E0">
        <w:rPr>
          <w:rFonts w:asciiTheme="minorEastAsia" w:eastAsiaTheme="minorEastAsia" w:hAnsiTheme="minorEastAsia"/>
          <w:szCs w:val="21"/>
        </w:rPr>
        <w:t>）</w:t>
      </w:r>
      <w:r w:rsidR="00745443" w:rsidRPr="009802E0">
        <w:rPr>
          <w:rFonts w:asciiTheme="minorEastAsia" w:eastAsiaTheme="minorEastAsia" w:hAnsiTheme="minorEastAsia" w:hint="eastAsia"/>
          <w:szCs w:val="21"/>
        </w:rPr>
        <w:t>、</w:t>
      </w:r>
      <w:r w:rsidR="00745443" w:rsidRPr="009802E0">
        <w:rPr>
          <w:rFonts w:asciiTheme="minorEastAsia" w:eastAsiaTheme="minorEastAsia" w:hAnsiTheme="minorEastAsia"/>
          <w:szCs w:val="21"/>
        </w:rPr>
        <w:t>（</w:t>
      </w:r>
      <w:r w:rsidR="00745443" w:rsidRPr="009802E0">
        <w:rPr>
          <w:rFonts w:asciiTheme="minorEastAsia" w:eastAsiaTheme="minorEastAsia" w:hAnsiTheme="minorEastAsia" w:hint="eastAsia"/>
          <w:szCs w:val="21"/>
        </w:rPr>
        <w:t>8</w:t>
      </w:r>
      <w:r w:rsidR="00745443" w:rsidRPr="009802E0">
        <w:rPr>
          <w:rFonts w:asciiTheme="minorEastAsia" w:eastAsiaTheme="minorEastAsia" w:hAnsiTheme="minorEastAsia"/>
          <w:szCs w:val="21"/>
        </w:rPr>
        <w:t>）</w:t>
      </w:r>
      <w:r w:rsidRPr="009802E0">
        <w:rPr>
          <w:rFonts w:asciiTheme="minorEastAsia" w:eastAsiaTheme="minorEastAsia" w:hAnsiTheme="minorEastAsia" w:hint="eastAsia"/>
          <w:szCs w:val="21"/>
        </w:rPr>
        <w:t>项暂停申购情形时，基金管理人应当在至少一家</w:t>
      </w:r>
      <w:r w:rsidR="004E4473" w:rsidRPr="009802E0">
        <w:rPr>
          <w:rFonts w:asciiTheme="minorEastAsia" w:eastAsiaTheme="minorEastAsia" w:hAnsiTheme="minorEastAsia" w:hint="eastAsia"/>
          <w:szCs w:val="21"/>
        </w:rPr>
        <w:t>指定媒介</w:t>
      </w:r>
      <w:r w:rsidRPr="009802E0">
        <w:rPr>
          <w:rFonts w:asciiTheme="minorEastAsia" w:eastAsiaTheme="minorEastAsia" w:hAnsiTheme="minorEastAsia" w:hint="eastAsia"/>
          <w:szCs w:val="21"/>
        </w:rPr>
        <w:t>刊登暂停申购公告。</w:t>
      </w:r>
      <w:r w:rsidRPr="009802E0">
        <w:rPr>
          <w:rFonts w:asciiTheme="minorEastAsia" w:eastAsiaTheme="minorEastAsia" w:hAnsiTheme="minorEastAsia"/>
          <w:szCs w:val="21"/>
        </w:rPr>
        <w:t>在暂停申购的情况消除时，基金管理人应及时恢复申购业务的办理</w:t>
      </w:r>
      <w:r w:rsidRPr="009802E0">
        <w:rPr>
          <w:rFonts w:asciiTheme="minorEastAsia" w:eastAsiaTheme="minorEastAsia" w:hAnsiTheme="minorEastAsia" w:hint="eastAsia"/>
          <w:szCs w:val="21"/>
        </w:rPr>
        <w:t>，按规定在</w:t>
      </w:r>
      <w:r w:rsidR="004E4473" w:rsidRPr="009802E0">
        <w:rPr>
          <w:rFonts w:asciiTheme="minorEastAsia" w:eastAsiaTheme="minorEastAsia" w:hAnsiTheme="minorEastAsia" w:hint="eastAsia"/>
          <w:szCs w:val="21"/>
        </w:rPr>
        <w:t>指定媒介</w:t>
      </w:r>
      <w:r w:rsidRPr="009802E0">
        <w:rPr>
          <w:rFonts w:asciiTheme="minorEastAsia" w:eastAsiaTheme="minorEastAsia" w:hAnsiTheme="minorEastAsia" w:hint="eastAsia"/>
          <w:szCs w:val="21"/>
        </w:rPr>
        <w:t>公告</w:t>
      </w:r>
      <w:r w:rsidRPr="009802E0">
        <w:rPr>
          <w:rFonts w:asciiTheme="minorEastAsia" w:eastAsiaTheme="minorEastAsia" w:hAnsiTheme="minorEastAsia"/>
          <w:szCs w:val="21"/>
        </w:rPr>
        <w:t>。</w:t>
      </w:r>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基金管理人拒绝或暂停接受申购的方式包括：</w:t>
      </w:r>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（1）拒绝接受、暂停接受某笔或某数笔申购申请；</w:t>
      </w:r>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（2）拒绝接受、暂停接受某个或某数个工作日的全部申购申请；</w:t>
      </w:r>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（3）按比例拒绝接受、暂停接受某个或某数个工作日的申购申请。</w:t>
      </w:r>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2</w:t>
      </w:r>
      <w:r w:rsidR="00C335A3" w:rsidRPr="009802E0">
        <w:rPr>
          <w:rFonts w:asciiTheme="minorEastAsia" w:eastAsiaTheme="minorEastAsia" w:hAnsiTheme="minorEastAsia" w:hint="eastAsia"/>
          <w:szCs w:val="21"/>
        </w:rPr>
        <w:t>、</w:t>
      </w:r>
      <w:r w:rsidRPr="009802E0">
        <w:rPr>
          <w:rFonts w:asciiTheme="minorEastAsia" w:eastAsiaTheme="minorEastAsia" w:hAnsiTheme="minorEastAsia" w:hint="eastAsia"/>
          <w:szCs w:val="21"/>
        </w:rPr>
        <w:t>出现如下情形，基金管理人有权拒绝接受或暂停基金份额持有人的赎回申请或者延缓支付赎回款项：</w:t>
      </w:r>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（1）不可抗力的原因导致基金管理人不能支付赎回款项；</w:t>
      </w:r>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（2）证券交易场所依法决定临时停市，导致基金管理人无法计算当日基金资产净值；</w:t>
      </w:r>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（3）因市场剧烈波动或其他原因而出现连续2个或2个以上开放日巨额赎回，导致本基金的现金支付出现困难；</w:t>
      </w:r>
    </w:p>
    <w:p w:rsidR="00745443" w:rsidRPr="009802E0" w:rsidRDefault="00B43AC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（4）</w:t>
      </w:r>
      <w:r w:rsidR="00745443" w:rsidRPr="009802E0">
        <w:rPr>
          <w:rFonts w:asciiTheme="minorEastAsia" w:eastAsiaTheme="minorEastAsia" w:hAnsiTheme="minorEastAsia" w:hint="eastAsia"/>
          <w:szCs w:val="21"/>
        </w:rPr>
        <w:t>当前一估值日基金资产净值50%以上的资产出现无可参考的活跃市场价格且采用估值技术仍导致公允价值存在重大不确定性时，经与基金托管人协商确认后，基金管理人应当采取延缓支付赎回款项或暂停接受基金赎回申请的措施；</w:t>
      </w:r>
    </w:p>
    <w:p w:rsidR="00B43AC4" w:rsidRPr="009802E0" w:rsidRDefault="00745443"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（5</w:t>
      </w:r>
      <w:r w:rsidRPr="009802E0">
        <w:rPr>
          <w:rFonts w:asciiTheme="minorEastAsia" w:eastAsiaTheme="minorEastAsia" w:hAnsiTheme="minorEastAsia"/>
          <w:szCs w:val="21"/>
        </w:rPr>
        <w:t>）</w:t>
      </w:r>
      <w:r w:rsidR="00B43AC4" w:rsidRPr="009802E0">
        <w:rPr>
          <w:rFonts w:asciiTheme="minorEastAsia" w:eastAsiaTheme="minorEastAsia" w:hAnsiTheme="minorEastAsia" w:hint="eastAsia"/>
          <w:szCs w:val="21"/>
        </w:rPr>
        <w:t>法律法规规定或中国证监会认定的其他情形。</w:t>
      </w:r>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发生上述情形之一，基金管理人拒绝接受或暂停基金份额持有人的赎回申请或者延缓支付赎回款项的，基金管理人应在当日立即向中国证监会备案。已接受的赎回申请，基金管理人将足额支付；如暂时不能足额支付的，可延期支付部分赎回款项，按每个赎回申请人已被接受的赎回申请量占已接受赎回申请总量的比例分配给赎回申请人，未支付部分由基金管理</w:t>
      </w:r>
      <w:r w:rsidRPr="009802E0">
        <w:rPr>
          <w:rFonts w:asciiTheme="minorEastAsia" w:eastAsiaTheme="minorEastAsia" w:hAnsiTheme="minorEastAsia" w:hint="eastAsia"/>
          <w:szCs w:val="21"/>
        </w:rPr>
        <w:lastRenderedPageBreak/>
        <w:t>人按照发生的情况制定相应的处理办法在后续开放日予以支付。</w:t>
      </w:r>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同时，在出现上述第（</w:t>
      </w:r>
      <w:r w:rsidRPr="009802E0">
        <w:rPr>
          <w:rFonts w:asciiTheme="minorEastAsia" w:eastAsiaTheme="minorEastAsia" w:hAnsiTheme="minorEastAsia"/>
          <w:szCs w:val="21"/>
        </w:rPr>
        <w:t>3</w:t>
      </w:r>
      <w:r w:rsidRPr="009802E0">
        <w:rPr>
          <w:rFonts w:asciiTheme="minorEastAsia" w:eastAsiaTheme="minorEastAsia" w:hAnsiTheme="minorEastAsia" w:hint="eastAsia"/>
          <w:szCs w:val="21"/>
        </w:rPr>
        <w:t>）款的情形时，对已接受的赎回申请可延期支付赎回款项，最长不超过</w:t>
      </w:r>
      <w:r w:rsidRPr="009802E0">
        <w:rPr>
          <w:rFonts w:asciiTheme="minorEastAsia" w:eastAsiaTheme="minorEastAsia" w:hAnsiTheme="minorEastAsia"/>
          <w:szCs w:val="21"/>
        </w:rPr>
        <w:t>20</w:t>
      </w:r>
      <w:r w:rsidRPr="009802E0">
        <w:rPr>
          <w:rFonts w:asciiTheme="minorEastAsia" w:eastAsiaTheme="minorEastAsia" w:hAnsiTheme="minorEastAsia" w:hint="eastAsia"/>
          <w:szCs w:val="21"/>
        </w:rPr>
        <w:t>个工作日，并在至少一家</w:t>
      </w:r>
      <w:r w:rsidR="004E4473" w:rsidRPr="009802E0">
        <w:rPr>
          <w:rFonts w:asciiTheme="minorEastAsia" w:eastAsiaTheme="minorEastAsia" w:hAnsiTheme="minorEastAsia" w:hint="eastAsia"/>
          <w:szCs w:val="21"/>
        </w:rPr>
        <w:t>指定媒介</w:t>
      </w:r>
      <w:r w:rsidRPr="009802E0">
        <w:rPr>
          <w:rFonts w:asciiTheme="minorEastAsia" w:eastAsiaTheme="minorEastAsia" w:hAnsiTheme="minorEastAsia" w:hint="eastAsia"/>
          <w:szCs w:val="21"/>
        </w:rPr>
        <w:t>公告。投资者在申请赎回时可事先选择将当日可能未获受理部分予以撤销。</w:t>
      </w:r>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暂停基金的赎回，基金管理人应及时在至少一家</w:t>
      </w:r>
      <w:r w:rsidR="004E4473" w:rsidRPr="009802E0">
        <w:rPr>
          <w:rFonts w:asciiTheme="minorEastAsia" w:eastAsiaTheme="minorEastAsia" w:hAnsiTheme="minorEastAsia" w:hint="eastAsia"/>
          <w:szCs w:val="21"/>
        </w:rPr>
        <w:t>指定媒介</w:t>
      </w:r>
      <w:r w:rsidRPr="009802E0">
        <w:rPr>
          <w:rFonts w:asciiTheme="minorEastAsia" w:eastAsiaTheme="minorEastAsia" w:hAnsiTheme="minorEastAsia" w:hint="eastAsia"/>
          <w:szCs w:val="21"/>
        </w:rPr>
        <w:t>刊登暂停赎回公告。</w:t>
      </w:r>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在暂停赎回的情况消除时，基金管理人应及时恢复赎回业务的办理，并依照有关规定在至少一家</w:t>
      </w:r>
      <w:r w:rsidR="004E4473" w:rsidRPr="009802E0">
        <w:rPr>
          <w:rFonts w:asciiTheme="minorEastAsia" w:eastAsiaTheme="minorEastAsia" w:hAnsiTheme="minorEastAsia" w:hint="eastAsia"/>
          <w:szCs w:val="21"/>
        </w:rPr>
        <w:t>指定媒介</w:t>
      </w:r>
      <w:r w:rsidRPr="009802E0">
        <w:rPr>
          <w:rFonts w:asciiTheme="minorEastAsia" w:eastAsiaTheme="minorEastAsia" w:hAnsiTheme="minorEastAsia" w:hint="eastAsia"/>
          <w:szCs w:val="21"/>
        </w:rPr>
        <w:t>上公告。</w:t>
      </w:r>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3</w:t>
      </w:r>
      <w:r w:rsidR="00C335A3" w:rsidRPr="009802E0">
        <w:rPr>
          <w:rFonts w:asciiTheme="minorEastAsia" w:eastAsiaTheme="minorEastAsia" w:hAnsiTheme="minorEastAsia" w:hint="eastAsia"/>
          <w:szCs w:val="21"/>
        </w:rPr>
        <w:t>、</w:t>
      </w:r>
      <w:r w:rsidRPr="009802E0">
        <w:rPr>
          <w:rFonts w:asciiTheme="minorEastAsia" w:eastAsiaTheme="minorEastAsia" w:hAnsiTheme="minorEastAsia" w:hint="eastAsia"/>
          <w:szCs w:val="21"/>
        </w:rPr>
        <w:t>暂停基金的申购、赎回，基金管理人应按规定公告并报中国证监会备案。</w:t>
      </w:r>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4</w:t>
      </w:r>
      <w:r w:rsidR="00C335A3" w:rsidRPr="009802E0">
        <w:rPr>
          <w:rFonts w:asciiTheme="minorEastAsia" w:eastAsiaTheme="minorEastAsia" w:hAnsiTheme="minorEastAsia" w:hint="eastAsia"/>
          <w:szCs w:val="21"/>
        </w:rPr>
        <w:t>、</w:t>
      </w:r>
      <w:r w:rsidRPr="009802E0">
        <w:rPr>
          <w:rFonts w:asciiTheme="minorEastAsia" w:eastAsiaTheme="minorEastAsia" w:hAnsiTheme="minorEastAsia" w:hint="eastAsia"/>
          <w:szCs w:val="21"/>
        </w:rPr>
        <w:t>暂停申购或赎回期间结束，基金重新开放时，基金管理人应依法公告并报中国证监会备案。</w:t>
      </w:r>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如果发生暂停的时间为一天，基金管理人应于重新开放日在至少一家</w:t>
      </w:r>
      <w:r w:rsidR="004E4473" w:rsidRPr="009802E0">
        <w:rPr>
          <w:rFonts w:asciiTheme="minorEastAsia" w:eastAsiaTheme="minorEastAsia" w:hAnsiTheme="minorEastAsia" w:hint="eastAsia"/>
          <w:szCs w:val="21"/>
        </w:rPr>
        <w:t>指定媒介</w:t>
      </w:r>
      <w:r w:rsidRPr="009802E0">
        <w:rPr>
          <w:rFonts w:asciiTheme="minorEastAsia" w:eastAsiaTheme="minorEastAsia" w:hAnsiTheme="minorEastAsia" w:hint="eastAsia"/>
          <w:szCs w:val="21"/>
        </w:rPr>
        <w:t>刊登基金重新开放申购或赎回的公告并公布最近一个工作日的基金份额净值。</w:t>
      </w:r>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如果发生暂停的时间超过一天但少于两周，暂停结束基金重新开放申购或赎回时，基金管理人应提前2个工作日在至少一家</w:t>
      </w:r>
      <w:r w:rsidR="004E4473" w:rsidRPr="009802E0">
        <w:rPr>
          <w:rFonts w:asciiTheme="minorEastAsia" w:eastAsiaTheme="minorEastAsia" w:hAnsiTheme="minorEastAsia" w:hint="eastAsia"/>
          <w:szCs w:val="21"/>
        </w:rPr>
        <w:t>指定媒介</w:t>
      </w:r>
      <w:r w:rsidRPr="009802E0">
        <w:rPr>
          <w:rFonts w:asciiTheme="minorEastAsia" w:eastAsiaTheme="minorEastAsia" w:hAnsiTheme="minorEastAsia" w:hint="eastAsia"/>
          <w:szCs w:val="21"/>
        </w:rPr>
        <w:t>刊登基金重新开放申购或赎回的公告，并在重新开始办理申购或赎回的开放日公告最近一个工作日的基金份额净值。</w:t>
      </w:r>
    </w:p>
    <w:p w:rsidR="00903526" w:rsidRPr="009802E0" w:rsidRDefault="00B43AC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如果发生暂停的时间超过两周，暂停期间，基金管理人应每两周至少重复刊登暂停公告一次。暂停结束基金重新开放申购或赎回时，基金管理人应提前2个工作日在至少一家</w:t>
      </w:r>
      <w:r w:rsidR="004E4473" w:rsidRPr="009802E0">
        <w:rPr>
          <w:rFonts w:asciiTheme="minorEastAsia" w:eastAsiaTheme="minorEastAsia" w:hAnsiTheme="minorEastAsia" w:hint="eastAsia"/>
          <w:szCs w:val="21"/>
        </w:rPr>
        <w:t>指定媒介</w:t>
      </w:r>
      <w:r w:rsidRPr="009802E0">
        <w:rPr>
          <w:rFonts w:asciiTheme="minorEastAsia" w:eastAsiaTheme="minorEastAsia" w:hAnsiTheme="minorEastAsia" w:hint="eastAsia"/>
          <w:szCs w:val="21"/>
        </w:rPr>
        <w:t>连续刊登基金重新开放申购或赎回的公告，并在重新开放申购或赎回日公告最近一个工作日的基金份额净值。</w:t>
      </w:r>
    </w:p>
    <w:p w:rsidR="00903526" w:rsidRPr="009802E0" w:rsidRDefault="00903526" w:rsidP="00FE018D">
      <w:pPr>
        <w:adjustRightInd w:val="0"/>
        <w:snapToGrid w:val="0"/>
        <w:spacing w:line="360" w:lineRule="auto"/>
        <w:ind w:firstLineChars="200" w:firstLine="600"/>
        <w:rPr>
          <w:rFonts w:asciiTheme="minorEastAsia" w:eastAsiaTheme="minorEastAsia" w:hAnsiTheme="minorEastAsia"/>
          <w:sz w:val="30"/>
        </w:rPr>
        <w:sectPr w:rsidR="00903526" w:rsidRPr="009802E0" w:rsidSect="00B51078">
          <w:pgSz w:w="11906" w:h="16838" w:code="9"/>
          <w:pgMar w:top="1440" w:right="1800" w:bottom="1440" w:left="1800" w:header="720" w:footer="720" w:gutter="0"/>
          <w:cols w:space="720"/>
          <w:docGrid w:type="lines" w:linePitch="312"/>
        </w:sectPr>
      </w:pPr>
    </w:p>
    <w:p w:rsidR="00CB427F" w:rsidRPr="009802E0" w:rsidRDefault="00A324A2" w:rsidP="00FE018D">
      <w:pPr>
        <w:pStyle w:val="1"/>
        <w:adjustRightInd w:val="0"/>
        <w:snapToGrid w:val="0"/>
        <w:spacing w:beforeLines="0" w:afterLines="0" w:line="360" w:lineRule="auto"/>
        <w:ind w:firstLine="643"/>
        <w:rPr>
          <w:rFonts w:asciiTheme="minorEastAsia" w:eastAsiaTheme="minorEastAsia" w:hAnsiTheme="minorEastAsia"/>
          <w:b/>
          <w:bCs/>
        </w:rPr>
      </w:pPr>
      <w:bookmarkStart w:id="32" w:name="_Toc43301902"/>
      <w:r w:rsidRPr="009802E0">
        <w:rPr>
          <w:rFonts w:asciiTheme="minorEastAsia" w:eastAsiaTheme="minorEastAsia" w:hAnsiTheme="minorEastAsia" w:hint="eastAsia"/>
          <w:b/>
          <w:bCs/>
        </w:rPr>
        <w:lastRenderedPageBreak/>
        <w:t>九、</w:t>
      </w:r>
      <w:r w:rsidR="00C33857" w:rsidRPr="009802E0">
        <w:rPr>
          <w:rFonts w:asciiTheme="minorEastAsia" w:eastAsiaTheme="minorEastAsia" w:hAnsiTheme="minorEastAsia" w:hint="eastAsia"/>
          <w:b/>
          <w:bCs/>
        </w:rPr>
        <w:t>基金转换</w:t>
      </w:r>
      <w:bookmarkEnd w:id="32"/>
    </w:p>
    <w:p w:rsidR="00CB427F" w:rsidRPr="009802E0" w:rsidRDefault="00AB3EAE" w:rsidP="00FE018D">
      <w:pPr>
        <w:pStyle w:val="22"/>
        <w:adjustRightInd w:val="0"/>
        <w:snapToGrid w:val="0"/>
        <w:spacing w:beforeLines="0" w:afterLines="0" w:line="360" w:lineRule="auto"/>
        <w:ind w:firstLine="562"/>
        <w:rPr>
          <w:rFonts w:asciiTheme="minorEastAsia" w:eastAsiaTheme="minorEastAsia" w:hAnsiTheme="minorEastAsia"/>
        </w:rPr>
      </w:pPr>
      <w:bookmarkStart w:id="33" w:name="_Toc198959616"/>
      <w:bookmarkStart w:id="34" w:name="_Toc229996707"/>
      <w:bookmarkStart w:id="35" w:name="_Toc245693553"/>
      <w:bookmarkStart w:id="36" w:name="_Toc258398101"/>
      <w:bookmarkStart w:id="37" w:name="_Toc264906008"/>
      <w:bookmarkStart w:id="38" w:name="_Toc294024325"/>
      <w:bookmarkStart w:id="39" w:name="_Toc43301903"/>
      <w:r w:rsidRPr="009802E0">
        <w:rPr>
          <w:rFonts w:asciiTheme="minorEastAsia" w:eastAsiaTheme="minorEastAsia" w:hAnsiTheme="minorEastAsia" w:hint="eastAsia"/>
        </w:rPr>
        <w:t>（一）</w:t>
      </w:r>
      <w:r w:rsidRPr="009802E0">
        <w:rPr>
          <w:rFonts w:asciiTheme="minorEastAsia" w:eastAsiaTheme="minorEastAsia" w:hAnsiTheme="minorEastAsia"/>
        </w:rPr>
        <w:t>基金转换开始日及</w:t>
      </w:r>
      <w:r w:rsidRPr="009802E0">
        <w:rPr>
          <w:rFonts w:asciiTheme="minorEastAsia" w:eastAsiaTheme="minorEastAsia" w:hAnsiTheme="minorEastAsia" w:hint="eastAsia"/>
        </w:rPr>
        <w:t>时间</w:t>
      </w:r>
      <w:bookmarkEnd w:id="33"/>
      <w:bookmarkEnd w:id="34"/>
      <w:bookmarkEnd w:id="35"/>
      <w:bookmarkEnd w:id="36"/>
      <w:bookmarkEnd w:id="37"/>
      <w:bookmarkEnd w:id="38"/>
      <w:bookmarkEnd w:id="39"/>
    </w:p>
    <w:p w:rsidR="006120E2" w:rsidRPr="009802E0" w:rsidRDefault="006120E2" w:rsidP="00FE018D">
      <w:pPr>
        <w:pStyle w:val="a7"/>
        <w:adjustRightInd w:val="0"/>
        <w:snapToGrid w:val="0"/>
        <w:spacing w:line="360" w:lineRule="auto"/>
        <w:rPr>
          <w:rFonts w:asciiTheme="minorEastAsia" w:eastAsiaTheme="minorEastAsia" w:hAnsiTheme="minorEastAsia" w:cs="宋体"/>
          <w:kern w:val="0"/>
          <w:szCs w:val="21"/>
        </w:rPr>
      </w:pPr>
      <w:r w:rsidRPr="009802E0">
        <w:rPr>
          <w:rFonts w:asciiTheme="minorEastAsia" w:eastAsiaTheme="minorEastAsia" w:hAnsiTheme="minorEastAsia" w:cs="宋体" w:hint="eastAsia"/>
          <w:kern w:val="0"/>
          <w:szCs w:val="21"/>
        </w:rPr>
        <w:t>本基金已于</w:t>
      </w:r>
      <w:r w:rsidRPr="009802E0">
        <w:rPr>
          <w:rFonts w:asciiTheme="minorEastAsia" w:eastAsiaTheme="minorEastAsia" w:hAnsiTheme="minorEastAsia" w:cs="宋体"/>
          <w:kern w:val="0"/>
          <w:szCs w:val="21"/>
        </w:rPr>
        <w:t>20</w:t>
      </w:r>
      <w:r w:rsidRPr="009802E0">
        <w:rPr>
          <w:rFonts w:asciiTheme="minorEastAsia" w:eastAsiaTheme="minorEastAsia" w:hAnsiTheme="minorEastAsia" w:cs="宋体" w:hint="eastAsia"/>
          <w:kern w:val="0"/>
          <w:szCs w:val="21"/>
        </w:rPr>
        <w:t>11年8月4日开始办理转换业务</w:t>
      </w:r>
      <w:r w:rsidR="002D1EF6" w:rsidRPr="009802E0">
        <w:rPr>
          <w:rFonts w:asciiTheme="minorEastAsia" w:eastAsiaTheme="minorEastAsia" w:hAnsiTheme="minorEastAsia" w:hint="eastAsia"/>
          <w:bCs/>
          <w:szCs w:val="21"/>
        </w:rPr>
        <w:t>，具体实施办法参见相关公告</w:t>
      </w:r>
      <w:r w:rsidRPr="009802E0">
        <w:rPr>
          <w:rFonts w:asciiTheme="minorEastAsia" w:eastAsiaTheme="minorEastAsia" w:hAnsiTheme="minorEastAsia" w:cs="宋体" w:hint="eastAsia"/>
          <w:kern w:val="0"/>
          <w:szCs w:val="21"/>
        </w:rPr>
        <w:t>。</w:t>
      </w:r>
    </w:p>
    <w:p w:rsidR="009E31ED" w:rsidRPr="009802E0" w:rsidRDefault="00AB3EAE" w:rsidP="00FE018D">
      <w:pPr>
        <w:widowControl/>
        <w:adjustRightInd w:val="0"/>
        <w:snapToGrid w:val="0"/>
        <w:spacing w:line="360" w:lineRule="auto"/>
        <w:ind w:firstLineChars="200" w:firstLine="420"/>
        <w:jc w:val="left"/>
        <w:rPr>
          <w:rFonts w:asciiTheme="minorEastAsia" w:eastAsiaTheme="minorEastAsia" w:hAnsiTheme="minorEastAsia"/>
          <w:szCs w:val="21"/>
        </w:rPr>
      </w:pPr>
      <w:r w:rsidRPr="009802E0">
        <w:rPr>
          <w:rFonts w:asciiTheme="minorEastAsia" w:eastAsiaTheme="minorEastAsia" w:hAnsiTheme="minorEastAsia" w:hint="eastAsia"/>
          <w:szCs w:val="21"/>
        </w:rPr>
        <w:t>本基金转换业务的开放日为上海证券交易所</w:t>
      </w:r>
      <w:r w:rsidR="009E31ED" w:rsidRPr="009802E0">
        <w:rPr>
          <w:rFonts w:asciiTheme="minorEastAsia" w:eastAsiaTheme="minorEastAsia" w:hAnsiTheme="minorEastAsia" w:hint="eastAsia"/>
          <w:szCs w:val="21"/>
        </w:rPr>
        <w:t>、</w:t>
      </w:r>
      <w:r w:rsidRPr="009802E0">
        <w:rPr>
          <w:rFonts w:asciiTheme="minorEastAsia" w:eastAsiaTheme="minorEastAsia" w:hAnsiTheme="minorEastAsia" w:hint="eastAsia"/>
          <w:szCs w:val="21"/>
        </w:rPr>
        <w:t>深圳证券交易所</w:t>
      </w:r>
      <w:r w:rsidR="009E31ED" w:rsidRPr="009802E0">
        <w:rPr>
          <w:rFonts w:asciiTheme="minorEastAsia" w:eastAsiaTheme="minorEastAsia" w:hAnsiTheme="minorEastAsia" w:hint="eastAsia"/>
          <w:szCs w:val="21"/>
        </w:rPr>
        <w:t>的交易</w:t>
      </w:r>
      <w:r w:rsidRPr="009802E0">
        <w:rPr>
          <w:rFonts w:asciiTheme="minorEastAsia" w:eastAsiaTheme="minorEastAsia" w:hAnsiTheme="minorEastAsia" w:hint="eastAsia"/>
          <w:szCs w:val="21"/>
        </w:rPr>
        <w:t>日（</w:t>
      </w:r>
      <w:r w:rsidR="009E31ED" w:rsidRPr="009802E0">
        <w:rPr>
          <w:rFonts w:asciiTheme="minorEastAsia" w:eastAsiaTheme="minorEastAsia" w:hAnsiTheme="minorEastAsia" w:hint="eastAsia"/>
          <w:szCs w:val="21"/>
        </w:rPr>
        <w:t>基金管理人根据法律法规、中国证监会的要求或</w:t>
      </w:r>
      <w:r w:rsidR="0056122E" w:rsidRPr="009802E0">
        <w:rPr>
          <w:rFonts w:asciiTheme="minorEastAsia" w:eastAsiaTheme="minorEastAsia" w:hAnsiTheme="minorEastAsia" w:hint="eastAsia"/>
          <w:kern w:val="0"/>
          <w:szCs w:val="21"/>
        </w:rPr>
        <w:t>本</w:t>
      </w:r>
      <w:r w:rsidR="009E31ED" w:rsidRPr="009802E0">
        <w:rPr>
          <w:rFonts w:asciiTheme="minorEastAsia" w:eastAsiaTheme="minorEastAsia" w:hAnsiTheme="minorEastAsia" w:hint="eastAsia"/>
          <w:szCs w:val="21"/>
        </w:rPr>
        <w:t>基金合同的规定公告暂停转换时除外</w:t>
      </w:r>
      <w:r w:rsidRPr="009802E0">
        <w:rPr>
          <w:rFonts w:asciiTheme="minorEastAsia" w:eastAsiaTheme="minorEastAsia" w:hAnsiTheme="minorEastAsia" w:hint="eastAsia"/>
          <w:szCs w:val="21"/>
        </w:rPr>
        <w:t>）。开放日的具体业务办理时间为上海证券交易所、深圳证券交易所交易日的交易时间</w:t>
      </w:r>
      <w:r w:rsidR="009E31ED" w:rsidRPr="009802E0">
        <w:rPr>
          <w:rFonts w:asciiTheme="minorEastAsia" w:eastAsiaTheme="minorEastAsia" w:hAnsiTheme="minorEastAsia" w:hint="eastAsia"/>
          <w:szCs w:val="21"/>
        </w:rPr>
        <w:t>。若出现新的证券交易市场或交易所交易时间更改或实际情况需要，基金管理人可对转换时间进行调整，但此项调整应在实施日</w:t>
      </w:r>
      <w:r w:rsidR="009E31ED" w:rsidRPr="009802E0">
        <w:rPr>
          <w:rFonts w:asciiTheme="minorEastAsia" w:eastAsiaTheme="minorEastAsia" w:hAnsiTheme="minorEastAsia"/>
          <w:szCs w:val="21"/>
        </w:rPr>
        <w:t>2</w:t>
      </w:r>
      <w:r w:rsidR="009E31ED" w:rsidRPr="009802E0">
        <w:rPr>
          <w:rFonts w:asciiTheme="minorEastAsia" w:eastAsiaTheme="minorEastAsia" w:hAnsiTheme="minorEastAsia" w:hint="eastAsia"/>
          <w:szCs w:val="21"/>
        </w:rPr>
        <w:t>日前在</w:t>
      </w:r>
      <w:r w:rsidR="004E4473" w:rsidRPr="009802E0">
        <w:rPr>
          <w:rFonts w:asciiTheme="minorEastAsia" w:eastAsiaTheme="minorEastAsia" w:hAnsiTheme="minorEastAsia" w:hint="eastAsia"/>
          <w:szCs w:val="21"/>
        </w:rPr>
        <w:t>指定媒介</w:t>
      </w:r>
      <w:r w:rsidR="009E31ED" w:rsidRPr="009802E0">
        <w:rPr>
          <w:rFonts w:asciiTheme="minorEastAsia" w:eastAsiaTheme="minorEastAsia" w:hAnsiTheme="minorEastAsia" w:hint="eastAsia"/>
          <w:szCs w:val="21"/>
        </w:rPr>
        <w:t>公告。</w:t>
      </w:r>
    </w:p>
    <w:p w:rsidR="00AB3EAE" w:rsidRPr="009802E0" w:rsidRDefault="009E31ED" w:rsidP="00FE018D">
      <w:pPr>
        <w:widowControl/>
        <w:adjustRightInd w:val="0"/>
        <w:snapToGrid w:val="0"/>
        <w:spacing w:line="360" w:lineRule="auto"/>
        <w:ind w:firstLineChars="200" w:firstLine="420"/>
        <w:jc w:val="left"/>
        <w:rPr>
          <w:rFonts w:asciiTheme="minorEastAsia" w:eastAsiaTheme="minorEastAsia" w:hAnsiTheme="minorEastAsia"/>
        </w:rPr>
      </w:pPr>
      <w:r w:rsidRPr="009802E0">
        <w:rPr>
          <w:rFonts w:asciiTheme="minorEastAsia" w:eastAsiaTheme="minorEastAsia" w:hAnsiTheme="minorEastAsia" w:hint="eastAsia"/>
        </w:rPr>
        <w:t>投资人在基金合同约定之外的日期和时间提出转换申请的，其基金份额转换价格为下一开放日基金份额转换的价格。</w:t>
      </w:r>
    </w:p>
    <w:p w:rsidR="00CB427F" w:rsidRPr="009802E0" w:rsidRDefault="00AB3EAE" w:rsidP="00FE018D">
      <w:pPr>
        <w:pStyle w:val="22"/>
        <w:adjustRightInd w:val="0"/>
        <w:snapToGrid w:val="0"/>
        <w:spacing w:beforeLines="0" w:afterLines="0" w:line="360" w:lineRule="auto"/>
        <w:ind w:firstLine="562"/>
        <w:rPr>
          <w:rFonts w:asciiTheme="minorEastAsia" w:eastAsiaTheme="minorEastAsia" w:hAnsiTheme="minorEastAsia"/>
        </w:rPr>
      </w:pPr>
      <w:bookmarkStart w:id="40" w:name="_Toc198959617"/>
      <w:bookmarkStart w:id="41" w:name="_Toc229996708"/>
      <w:bookmarkStart w:id="42" w:name="_Toc245693554"/>
      <w:bookmarkStart w:id="43" w:name="_Toc258398102"/>
      <w:bookmarkStart w:id="44" w:name="_Toc264906009"/>
      <w:bookmarkStart w:id="45" w:name="_Toc294024326"/>
      <w:bookmarkStart w:id="46" w:name="_Toc43301904"/>
      <w:r w:rsidRPr="009802E0">
        <w:rPr>
          <w:rFonts w:asciiTheme="minorEastAsia" w:eastAsiaTheme="minorEastAsia" w:hAnsiTheme="minorEastAsia" w:hint="eastAsia"/>
        </w:rPr>
        <w:t>（二）</w:t>
      </w:r>
      <w:r w:rsidRPr="009802E0">
        <w:rPr>
          <w:rFonts w:asciiTheme="minorEastAsia" w:eastAsiaTheme="minorEastAsia" w:hAnsiTheme="minorEastAsia"/>
        </w:rPr>
        <w:t>基金转换的</w:t>
      </w:r>
      <w:r w:rsidR="00E10B4A" w:rsidRPr="009802E0">
        <w:rPr>
          <w:rFonts w:asciiTheme="minorEastAsia" w:eastAsiaTheme="minorEastAsia" w:hAnsiTheme="minorEastAsia" w:hint="eastAsia"/>
        </w:rPr>
        <w:t>原</w:t>
      </w:r>
      <w:r w:rsidRPr="009802E0">
        <w:rPr>
          <w:rFonts w:asciiTheme="minorEastAsia" w:eastAsiaTheme="minorEastAsia" w:hAnsiTheme="minorEastAsia"/>
        </w:rPr>
        <w:t>则</w:t>
      </w:r>
      <w:bookmarkEnd w:id="40"/>
      <w:bookmarkEnd w:id="41"/>
      <w:bookmarkEnd w:id="42"/>
      <w:bookmarkEnd w:id="43"/>
      <w:bookmarkEnd w:id="44"/>
      <w:bookmarkEnd w:id="45"/>
      <w:bookmarkEnd w:id="46"/>
    </w:p>
    <w:p w:rsidR="00AB3EAE" w:rsidRPr="009802E0" w:rsidRDefault="0065410C" w:rsidP="00FE018D">
      <w:pPr>
        <w:adjustRightInd w:val="0"/>
        <w:snapToGrid w:val="0"/>
        <w:spacing w:line="360" w:lineRule="auto"/>
        <w:ind w:right="28"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1</w:t>
      </w:r>
      <w:r w:rsidR="00C335A3" w:rsidRPr="009802E0">
        <w:rPr>
          <w:rFonts w:asciiTheme="minorEastAsia" w:eastAsiaTheme="minorEastAsia" w:hAnsiTheme="minorEastAsia" w:hint="eastAsia"/>
          <w:szCs w:val="21"/>
        </w:rPr>
        <w:t>、</w:t>
      </w:r>
      <w:r w:rsidRPr="009802E0">
        <w:rPr>
          <w:rFonts w:asciiTheme="minorEastAsia" w:eastAsiaTheme="minorEastAsia" w:hAnsiTheme="minorEastAsia" w:hint="eastAsia"/>
          <w:szCs w:val="21"/>
        </w:rPr>
        <w:t>基金转换以份额为单位进行申请。投资者可以发起多次基金转换业务，基金转换费用按每笔申请单独计算。转换费用以人民币元为单位，计算结果按照四舍五入方法，保留小数点后两位。</w:t>
      </w:r>
    </w:p>
    <w:p w:rsidR="0065410C" w:rsidRPr="009802E0" w:rsidRDefault="0065410C" w:rsidP="00FE018D">
      <w:pPr>
        <w:adjustRightInd w:val="0"/>
        <w:snapToGrid w:val="0"/>
        <w:spacing w:line="360" w:lineRule="auto"/>
        <w:ind w:right="28"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2</w:t>
      </w:r>
      <w:r w:rsidR="00C335A3" w:rsidRPr="009802E0">
        <w:rPr>
          <w:rFonts w:asciiTheme="minorEastAsia" w:eastAsiaTheme="minorEastAsia" w:hAnsiTheme="minorEastAsia" w:hint="eastAsia"/>
          <w:szCs w:val="21"/>
        </w:rPr>
        <w:t>、</w:t>
      </w:r>
      <w:r w:rsidRPr="009802E0">
        <w:rPr>
          <w:rFonts w:asciiTheme="minorEastAsia" w:eastAsiaTheme="minorEastAsia" w:hAnsiTheme="minorEastAsia" w:hint="eastAsia"/>
          <w:szCs w:val="21"/>
        </w:rPr>
        <w:t>当日的转换申请可以在当日交易结束时间前撤销，在当日的交易时间结束后不得撤销。</w:t>
      </w:r>
    </w:p>
    <w:p w:rsidR="0065410C" w:rsidRPr="009802E0" w:rsidRDefault="00C335A3" w:rsidP="00FE018D">
      <w:pPr>
        <w:adjustRightInd w:val="0"/>
        <w:snapToGrid w:val="0"/>
        <w:spacing w:line="360" w:lineRule="auto"/>
        <w:ind w:right="28"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3、</w:t>
      </w:r>
      <w:r w:rsidR="00E86E64" w:rsidRPr="009802E0">
        <w:rPr>
          <w:rFonts w:asciiTheme="minorEastAsia" w:eastAsiaTheme="minorEastAsia" w:hAnsiTheme="minorEastAsia" w:hint="eastAsia"/>
          <w:szCs w:val="21"/>
        </w:rPr>
        <w:t>基金转换采取未知价法，即基金的转换价格以转换申请受理当日各转出、转入基金的份额净值为基准进行计算。</w:t>
      </w:r>
    </w:p>
    <w:p w:rsidR="00AB3EAE" w:rsidRPr="009802E0" w:rsidRDefault="00C335A3" w:rsidP="00FE018D">
      <w:pPr>
        <w:adjustRightInd w:val="0"/>
        <w:snapToGrid w:val="0"/>
        <w:spacing w:line="360" w:lineRule="auto"/>
        <w:ind w:right="28"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4、</w:t>
      </w:r>
      <w:r w:rsidR="0065410C" w:rsidRPr="009802E0">
        <w:rPr>
          <w:rFonts w:asciiTheme="minorEastAsia" w:eastAsiaTheme="minorEastAsia" w:hAnsiTheme="minorEastAsia" w:hint="eastAsia"/>
          <w:szCs w:val="21"/>
        </w:rPr>
        <w:t>基金转换只能在同一销售机构进行。转换的两只基金必须都是该销售机构</w:t>
      </w:r>
      <w:r w:rsidR="00587059" w:rsidRPr="009802E0">
        <w:rPr>
          <w:rFonts w:asciiTheme="minorEastAsia" w:eastAsiaTheme="minorEastAsia" w:hAnsiTheme="minorEastAsia" w:hint="eastAsia"/>
          <w:szCs w:val="21"/>
        </w:rPr>
        <w:t>销售</w:t>
      </w:r>
      <w:r w:rsidR="0065410C" w:rsidRPr="009802E0">
        <w:rPr>
          <w:rFonts w:asciiTheme="minorEastAsia" w:eastAsiaTheme="minorEastAsia" w:hAnsiTheme="minorEastAsia" w:hint="eastAsia"/>
          <w:szCs w:val="21"/>
        </w:rPr>
        <w:t>的同一基金管理人管理的、在同一注册登记机构注册登记的基金。</w:t>
      </w:r>
    </w:p>
    <w:p w:rsidR="0065410C" w:rsidRPr="009802E0" w:rsidRDefault="00C335A3" w:rsidP="00FE018D">
      <w:pPr>
        <w:adjustRightInd w:val="0"/>
        <w:snapToGrid w:val="0"/>
        <w:spacing w:line="360" w:lineRule="auto"/>
        <w:ind w:right="28"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5、</w:t>
      </w:r>
      <w:r w:rsidR="00E86E64" w:rsidRPr="009802E0">
        <w:rPr>
          <w:rFonts w:asciiTheme="minorEastAsia" w:eastAsiaTheme="minorEastAsia" w:hAnsiTheme="minorEastAsia" w:hint="eastAsia"/>
          <w:szCs w:val="21"/>
        </w:rPr>
        <w:t>投资者办理基金转换业务时，转出方的基金必须处于可赎回状态，转入方的基金必须处于可申购状态。</w:t>
      </w:r>
    </w:p>
    <w:p w:rsidR="00E86E64" w:rsidRPr="009802E0" w:rsidRDefault="00C335A3" w:rsidP="00FE018D">
      <w:pPr>
        <w:adjustRightInd w:val="0"/>
        <w:snapToGrid w:val="0"/>
        <w:spacing w:line="360" w:lineRule="auto"/>
        <w:ind w:right="28"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6、</w:t>
      </w:r>
      <w:r w:rsidR="00E86E64" w:rsidRPr="009802E0">
        <w:rPr>
          <w:rFonts w:asciiTheme="minorEastAsia" w:eastAsiaTheme="minorEastAsia" w:hAnsiTheme="minorEastAsia" w:hint="eastAsia"/>
          <w:szCs w:val="21"/>
        </w:rPr>
        <w:t>转换业务遵循“先进先出”的业务规则，即份额注册日期在前的先转换出，份额注册日期在后的后转换出，如果转换申请当日，同时有赎回申请的情况下，则遵循先赎回后转换的处理原则。</w:t>
      </w:r>
    </w:p>
    <w:p w:rsidR="0065410C" w:rsidRPr="009802E0" w:rsidRDefault="00C335A3" w:rsidP="00FE018D">
      <w:pPr>
        <w:adjustRightInd w:val="0"/>
        <w:snapToGrid w:val="0"/>
        <w:spacing w:line="360" w:lineRule="auto"/>
        <w:ind w:right="28"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7、</w:t>
      </w:r>
      <w:r w:rsidR="0065410C" w:rsidRPr="009802E0">
        <w:rPr>
          <w:rFonts w:asciiTheme="minorEastAsia" w:eastAsiaTheme="minorEastAsia" w:hAnsiTheme="minorEastAsia" w:hint="eastAsia"/>
          <w:szCs w:val="21"/>
        </w:rPr>
        <w:t>基金转换后，转入的基金份额的持有期将自转入的基金份额被确认之日起重新开始计算。</w:t>
      </w:r>
    </w:p>
    <w:p w:rsidR="00AB3EAE" w:rsidRPr="009802E0" w:rsidRDefault="0065410C" w:rsidP="00FE018D">
      <w:pPr>
        <w:adjustRightInd w:val="0"/>
        <w:snapToGrid w:val="0"/>
        <w:spacing w:line="360" w:lineRule="auto"/>
        <w:ind w:right="28"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基金管理人可在不损害基金份额持有人权益的情况下调整上述原则，但应在调整生效前在至少一种中国证监会指定的媒体上予以公告。</w:t>
      </w:r>
    </w:p>
    <w:p w:rsidR="00CB427F" w:rsidRPr="009802E0" w:rsidRDefault="00AB3EAE" w:rsidP="00FE018D">
      <w:pPr>
        <w:pStyle w:val="22"/>
        <w:adjustRightInd w:val="0"/>
        <w:snapToGrid w:val="0"/>
        <w:spacing w:beforeLines="0" w:afterLines="0" w:line="360" w:lineRule="auto"/>
        <w:ind w:firstLine="562"/>
        <w:rPr>
          <w:rFonts w:asciiTheme="minorEastAsia" w:eastAsiaTheme="minorEastAsia" w:hAnsiTheme="minorEastAsia"/>
        </w:rPr>
      </w:pPr>
      <w:bookmarkStart w:id="47" w:name="_Toc87367293"/>
      <w:bookmarkStart w:id="48" w:name="_Toc198959620"/>
      <w:bookmarkStart w:id="49" w:name="_Toc229996711"/>
      <w:bookmarkStart w:id="50" w:name="_Toc245693557"/>
      <w:bookmarkStart w:id="51" w:name="_Toc258398105"/>
      <w:bookmarkStart w:id="52" w:name="_Toc264906012"/>
      <w:bookmarkStart w:id="53" w:name="_Toc294024329"/>
      <w:bookmarkStart w:id="54" w:name="_Toc43301905"/>
      <w:r w:rsidRPr="009802E0">
        <w:rPr>
          <w:rFonts w:asciiTheme="minorEastAsia" w:eastAsiaTheme="minorEastAsia" w:hAnsiTheme="minorEastAsia" w:hint="eastAsia"/>
        </w:rPr>
        <w:t>（</w:t>
      </w:r>
      <w:r w:rsidR="00C04F29" w:rsidRPr="009802E0">
        <w:rPr>
          <w:rFonts w:asciiTheme="minorEastAsia" w:eastAsiaTheme="minorEastAsia" w:hAnsiTheme="minorEastAsia" w:hint="eastAsia"/>
        </w:rPr>
        <w:t>三</w:t>
      </w:r>
      <w:r w:rsidRPr="009802E0">
        <w:rPr>
          <w:rFonts w:asciiTheme="minorEastAsia" w:eastAsiaTheme="minorEastAsia" w:hAnsiTheme="minorEastAsia" w:hint="eastAsia"/>
        </w:rPr>
        <w:t>）</w:t>
      </w:r>
      <w:r w:rsidR="00E10B4A" w:rsidRPr="009802E0">
        <w:rPr>
          <w:rFonts w:asciiTheme="minorEastAsia" w:eastAsiaTheme="minorEastAsia" w:hAnsiTheme="minorEastAsia" w:hint="eastAsia"/>
        </w:rPr>
        <w:t>基金转换的程序</w:t>
      </w:r>
      <w:bookmarkEnd w:id="54"/>
    </w:p>
    <w:p w:rsidR="00E10B4A" w:rsidRPr="009802E0" w:rsidRDefault="00C335A3" w:rsidP="00FE018D">
      <w:pPr>
        <w:pStyle w:val="a7"/>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rPr>
        <w:t>1、</w:t>
      </w:r>
      <w:r w:rsidR="00E10B4A" w:rsidRPr="009802E0">
        <w:rPr>
          <w:rFonts w:asciiTheme="minorEastAsia" w:eastAsiaTheme="minorEastAsia" w:hAnsiTheme="minorEastAsia" w:hint="eastAsia"/>
        </w:rPr>
        <w:t>基金转换的申请方式</w:t>
      </w:r>
    </w:p>
    <w:p w:rsidR="00E10B4A" w:rsidRPr="009802E0" w:rsidRDefault="00E10B4A" w:rsidP="00FE018D">
      <w:pPr>
        <w:pStyle w:val="a7"/>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rPr>
        <w:t>基金投资者必须根据基金管理人和基金</w:t>
      </w:r>
      <w:r w:rsidR="007909DB" w:rsidRPr="009802E0">
        <w:rPr>
          <w:rFonts w:asciiTheme="minorEastAsia" w:eastAsiaTheme="minorEastAsia" w:hAnsiTheme="minorEastAsia" w:hint="eastAsia"/>
        </w:rPr>
        <w:t>销售</w:t>
      </w:r>
      <w:r w:rsidRPr="009802E0">
        <w:rPr>
          <w:rFonts w:asciiTheme="minorEastAsia" w:eastAsiaTheme="minorEastAsia" w:hAnsiTheme="minorEastAsia" w:hint="eastAsia"/>
        </w:rPr>
        <w:t>机构规定的手续，在开放日的业务办理时间</w:t>
      </w:r>
      <w:r w:rsidRPr="009802E0">
        <w:rPr>
          <w:rFonts w:asciiTheme="minorEastAsia" w:eastAsiaTheme="minorEastAsia" w:hAnsiTheme="minorEastAsia" w:hint="eastAsia"/>
        </w:rPr>
        <w:lastRenderedPageBreak/>
        <w:t>提出转换的申请。</w:t>
      </w:r>
    </w:p>
    <w:p w:rsidR="00E10B4A" w:rsidRPr="009802E0" w:rsidRDefault="00E10B4A" w:rsidP="00FE018D">
      <w:pPr>
        <w:pStyle w:val="a7"/>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rPr>
        <w:t>提交基金转换申请时，账户中必须有足够可用的转出基金份额余额。</w:t>
      </w:r>
    </w:p>
    <w:p w:rsidR="00E10B4A" w:rsidRPr="009802E0" w:rsidRDefault="00C335A3" w:rsidP="00FE018D">
      <w:pPr>
        <w:pStyle w:val="a7"/>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rPr>
        <w:t>2、</w:t>
      </w:r>
      <w:r w:rsidR="00E10B4A" w:rsidRPr="009802E0">
        <w:rPr>
          <w:rFonts w:asciiTheme="minorEastAsia" w:eastAsiaTheme="minorEastAsia" w:hAnsiTheme="minorEastAsia" w:hint="eastAsia"/>
        </w:rPr>
        <w:t>基金转换申请的确认</w:t>
      </w:r>
    </w:p>
    <w:p w:rsidR="00E10B4A" w:rsidRPr="009802E0" w:rsidRDefault="0007640C" w:rsidP="00FE018D">
      <w:pPr>
        <w:pStyle w:val="a7"/>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rPr>
        <w:t>正常情况下，基金管理人以在规定的基金业务办理时间段内收到基金转换申请的当天作为基金转换的申请日（T日），并在T+1工作日对该交易的有效性进行确认。投资者可在T+2工作日及之后查询成交情况。</w:t>
      </w:r>
    </w:p>
    <w:p w:rsidR="00CB427F" w:rsidRPr="009802E0" w:rsidRDefault="007337BA" w:rsidP="00FE018D">
      <w:pPr>
        <w:pStyle w:val="22"/>
        <w:adjustRightInd w:val="0"/>
        <w:snapToGrid w:val="0"/>
        <w:spacing w:beforeLines="0" w:afterLines="0" w:line="360" w:lineRule="auto"/>
        <w:ind w:firstLine="562"/>
        <w:rPr>
          <w:rFonts w:asciiTheme="minorEastAsia" w:eastAsiaTheme="minorEastAsia" w:hAnsiTheme="minorEastAsia"/>
        </w:rPr>
      </w:pPr>
      <w:bookmarkStart w:id="55" w:name="_Toc43301906"/>
      <w:r w:rsidRPr="009802E0">
        <w:rPr>
          <w:rFonts w:asciiTheme="minorEastAsia" w:eastAsiaTheme="minorEastAsia" w:hAnsiTheme="minorEastAsia" w:hint="eastAsia"/>
        </w:rPr>
        <w:t>（四）</w:t>
      </w:r>
      <w:bookmarkStart w:id="56" w:name="_Toc294686122"/>
      <w:bookmarkStart w:id="57" w:name="_Toc264906011"/>
      <w:bookmarkStart w:id="58" w:name="_Toc258398104"/>
      <w:bookmarkStart w:id="59" w:name="_Toc245693556"/>
      <w:bookmarkStart w:id="60" w:name="_Toc229996710"/>
      <w:bookmarkStart w:id="61" w:name="_Toc198959619"/>
      <w:r w:rsidR="00032AA8" w:rsidRPr="009802E0">
        <w:rPr>
          <w:rFonts w:asciiTheme="minorEastAsia" w:eastAsiaTheme="minorEastAsia" w:hAnsiTheme="minorEastAsia" w:hint="eastAsia"/>
        </w:rPr>
        <w:t>基金转换的数额限制</w:t>
      </w:r>
      <w:bookmarkEnd w:id="55"/>
      <w:bookmarkEnd w:id="56"/>
      <w:bookmarkEnd w:id="57"/>
      <w:bookmarkEnd w:id="58"/>
      <w:bookmarkEnd w:id="59"/>
      <w:bookmarkEnd w:id="60"/>
      <w:bookmarkEnd w:id="61"/>
    </w:p>
    <w:p w:rsidR="00032AA8" w:rsidRPr="009802E0" w:rsidRDefault="00032AA8" w:rsidP="00FE018D">
      <w:pPr>
        <w:pStyle w:val="a7"/>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cs="宋体" w:hint="eastAsia"/>
          <w:kern w:val="0"/>
          <w:szCs w:val="21"/>
        </w:rPr>
        <w:t>基金份额持有人可将其全部或部分基金份额转换成另一只基金，</w:t>
      </w:r>
      <w:r w:rsidRPr="009802E0">
        <w:rPr>
          <w:rFonts w:asciiTheme="minorEastAsia" w:eastAsiaTheme="minorEastAsia" w:hAnsiTheme="minorEastAsia" w:hint="eastAsia"/>
          <w:kern w:val="0"/>
          <w:szCs w:val="21"/>
        </w:rPr>
        <w:t>本基金每类基金份额单笔转出申请不得少于</w:t>
      </w:r>
      <w:r w:rsidRPr="009802E0">
        <w:rPr>
          <w:rFonts w:asciiTheme="minorEastAsia" w:eastAsiaTheme="minorEastAsia" w:hAnsiTheme="minorEastAsia"/>
          <w:kern w:val="0"/>
          <w:szCs w:val="21"/>
        </w:rPr>
        <w:t>1</w:t>
      </w:r>
      <w:r w:rsidRPr="009802E0">
        <w:rPr>
          <w:rFonts w:asciiTheme="minorEastAsia" w:eastAsiaTheme="minorEastAsia" w:hAnsiTheme="minorEastAsia" w:hint="eastAsia"/>
          <w:kern w:val="0"/>
          <w:szCs w:val="21"/>
        </w:rPr>
        <w:t>份（</w:t>
      </w:r>
      <w:r w:rsidR="008A7E0E" w:rsidRPr="009802E0">
        <w:rPr>
          <w:rFonts w:asciiTheme="minorEastAsia" w:eastAsiaTheme="minorEastAsia" w:hAnsiTheme="minorEastAsia" w:hint="eastAsia"/>
          <w:kern w:val="0"/>
          <w:szCs w:val="21"/>
        </w:rPr>
        <w:t>如该账户在该销售机构托管的该类基金余额不足</w:t>
      </w:r>
      <w:r w:rsidRPr="009802E0">
        <w:rPr>
          <w:rFonts w:asciiTheme="minorEastAsia" w:eastAsiaTheme="minorEastAsia" w:hAnsiTheme="minorEastAsia"/>
          <w:kern w:val="0"/>
          <w:szCs w:val="21"/>
        </w:rPr>
        <w:t>1</w:t>
      </w:r>
      <w:r w:rsidRPr="009802E0">
        <w:rPr>
          <w:rFonts w:asciiTheme="minorEastAsia" w:eastAsiaTheme="minorEastAsia" w:hAnsiTheme="minorEastAsia" w:hint="eastAsia"/>
          <w:kern w:val="0"/>
          <w:szCs w:val="21"/>
        </w:rPr>
        <w:t>份，则必须一次性赎回或转出该类基金全部份额</w:t>
      </w:r>
      <w:r w:rsidRPr="009802E0">
        <w:rPr>
          <w:rFonts w:asciiTheme="minorEastAsia" w:eastAsiaTheme="minorEastAsia" w:hAnsiTheme="minorEastAsia"/>
          <w:kern w:val="0"/>
          <w:szCs w:val="21"/>
        </w:rPr>
        <w:t>)</w:t>
      </w:r>
      <w:r w:rsidRPr="009802E0">
        <w:rPr>
          <w:rFonts w:asciiTheme="minorEastAsia" w:eastAsiaTheme="minorEastAsia" w:hAnsiTheme="minorEastAsia" w:hint="eastAsia"/>
          <w:kern w:val="0"/>
          <w:szCs w:val="21"/>
        </w:rPr>
        <w:t>；若某笔转换导致投资者在</w:t>
      </w:r>
      <w:r w:rsidR="008A7E0E" w:rsidRPr="009802E0">
        <w:rPr>
          <w:rFonts w:asciiTheme="minorEastAsia" w:eastAsiaTheme="minorEastAsia" w:hAnsiTheme="minorEastAsia" w:hint="eastAsia"/>
          <w:kern w:val="0"/>
          <w:szCs w:val="21"/>
        </w:rPr>
        <w:t>该</w:t>
      </w:r>
      <w:r w:rsidRPr="009802E0">
        <w:rPr>
          <w:rFonts w:asciiTheme="minorEastAsia" w:eastAsiaTheme="minorEastAsia" w:hAnsiTheme="minorEastAsia" w:hint="eastAsia"/>
          <w:kern w:val="0"/>
          <w:szCs w:val="21"/>
        </w:rPr>
        <w:t>销售机构托管的该类基金余额不足</w:t>
      </w:r>
      <w:r w:rsidRPr="009802E0">
        <w:rPr>
          <w:rFonts w:asciiTheme="minorEastAsia" w:eastAsiaTheme="minorEastAsia" w:hAnsiTheme="minorEastAsia"/>
          <w:kern w:val="0"/>
          <w:szCs w:val="21"/>
        </w:rPr>
        <w:t>1</w:t>
      </w:r>
      <w:r w:rsidRPr="009802E0">
        <w:rPr>
          <w:rFonts w:asciiTheme="minorEastAsia" w:eastAsiaTheme="minorEastAsia" w:hAnsiTheme="minorEastAsia" w:hint="eastAsia"/>
          <w:kern w:val="0"/>
          <w:szCs w:val="21"/>
        </w:rPr>
        <w:t>份时，基金管理人有权将投资者在该销售机构托管的该类基金剩余份额一次性全部赎回。</w:t>
      </w:r>
    </w:p>
    <w:p w:rsidR="00032AA8" w:rsidRPr="009802E0" w:rsidRDefault="00032AA8" w:rsidP="00FE018D">
      <w:pPr>
        <w:pStyle w:val="a7"/>
        <w:adjustRightInd w:val="0"/>
        <w:snapToGrid w:val="0"/>
        <w:spacing w:line="360" w:lineRule="auto"/>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基金管理人可根据市场情况制定或调整上述基金转换的程序及有关限制，但应在调整生效前在至少一种中国证监会指定的媒体上予以公告。</w:t>
      </w:r>
    </w:p>
    <w:p w:rsidR="00CB427F" w:rsidRPr="009802E0" w:rsidRDefault="00032AA8" w:rsidP="00FE018D">
      <w:pPr>
        <w:pStyle w:val="22"/>
        <w:adjustRightInd w:val="0"/>
        <w:snapToGrid w:val="0"/>
        <w:spacing w:beforeLines="0" w:afterLines="0" w:line="360" w:lineRule="auto"/>
        <w:ind w:firstLine="562"/>
        <w:rPr>
          <w:rFonts w:asciiTheme="minorEastAsia" w:eastAsiaTheme="minorEastAsia" w:hAnsiTheme="minorEastAsia"/>
        </w:rPr>
      </w:pPr>
      <w:bookmarkStart w:id="62" w:name="_Toc43301907"/>
      <w:r w:rsidRPr="009802E0">
        <w:rPr>
          <w:rFonts w:asciiTheme="minorEastAsia" w:eastAsiaTheme="minorEastAsia" w:hAnsiTheme="minorEastAsia" w:hint="eastAsia"/>
        </w:rPr>
        <w:t>（五）</w:t>
      </w:r>
      <w:r w:rsidR="00AB3EAE" w:rsidRPr="009802E0">
        <w:rPr>
          <w:rFonts w:asciiTheme="minorEastAsia" w:eastAsiaTheme="minorEastAsia" w:hAnsiTheme="minorEastAsia" w:hint="eastAsia"/>
        </w:rPr>
        <w:t>基金转换费率</w:t>
      </w:r>
      <w:bookmarkEnd w:id="47"/>
      <w:bookmarkEnd w:id="48"/>
      <w:bookmarkEnd w:id="49"/>
      <w:bookmarkEnd w:id="50"/>
      <w:bookmarkEnd w:id="51"/>
      <w:bookmarkEnd w:id="52"/>
      <w:bookmarkEnd w:id="53"/>
      <w:bookmarkEnd w:id="62"/>
    </w:p>
    <w:p w:rsidR="00AB3EAE" w:rsidRPr="009802E0" w:rsidRDefault="00AB3EAE" w:rsidP="00FE018D">
      <w:pPr>
        <w:autoSpaceDE w:val="0"/>
        <w:autoSpaceDN w:val="0"/>
        <w:adjustRightInd w:val="0"/>
        <w:snapToGrid w:val="0"/>
        <w:spacing w:line="360" w:lineRule="auto"/>
        <w:ind w:firstLine="420"/>
        <w:textAlignment w:val="bottom"/>
        <w:rPr>
          <w:rFonts w:asciiTheme="minorEastAsia" w:eastAsiaTheme="minorEastAsia" w:hAnsiTheme="minorEastAsia"/>
          <w:szCs w:val="21"/>
        </w:rPr>
      </w:pPr>
      <w:r w:rsidRPr="009802E0">
        <w:rPr>
          <w:rFonts w:asciiTheme="minorEastAsia" w:eastAsiaTheme="minorEastAsia" w:hAnsiTheme="minorEastAsia" w:hint="eastAsia"/>
        </w:rPr>
        <w:t>基金转换费</w:t>
      </w:r>
      <w:r w:rsidR="00032AA8" w:rsidRPr="009802E0">
        <w:rPr>
          <w:rFonts w:asciiTheme="minorEastAsia" w:eastAsiaTheme="minorEastAsia" w:hAnsiTheme="minorEastAsia" w:hint="eastAsia"/>
        </w:rPr>
        <w:t>由基金份额持有人承担，</w:t>
      </w:r>
      <w:r w:rsidRPr="009802E0">
        <w:rPr>
          <w:rFonts w:asciiTheme="minorEastAsia" w:eastAsiaTheme="minorEastAsia" w:hAnsiTheme="minorEastAsia" w:hint="eastAsia"/>
          <w:szCs w:val="21"/>
        </w:rPr>
        <w:t>由转出基金赎回费用及基金申购补差费用构成，其中转出基金赎回费</w:t>
      </w:r>
      <w:r w:rsidR="0083287B" w:rsidRPr="009802E0">
        <w:rPr>
          <w:rFonts w:asciiTheme="minorEastAsia" w:eastAsiaTheme="minorEastAsia" w:hAnsiTheme="minorEastAsia" w:hint="eastAsia"/>
          <w:szCs w:val="21"/>
        </w:rPr>
        <w:t>按照</w:t>
      </w:r>
      <w:r w:rsidR="005A58B9" w:rsidRPr="009802E0">
        <w:rPr>
          <w:rFonts w:asciiTheme="minorEastAsia" w:eastAsiaTheme="minorEastAsia" w:hAnsiTheme="minorEastAsia" w:hint="eastAsia"/>
          <w:szCs w:val="21"/>
        </w:rPr>
        <w:t>各</w:t>
      </w:r>
      <w:r w:rsidR="005A58B9" w:rsidRPr="009802E0">
        <w:rPr>
          <w:rFonts w:asciiTheme="minorEastAsia" w:eastAsiaTheme="minorEastAsia" w:hAnsiTheme="minorEastAsia"/>
          <w:szCs w:val="21"/>
        </w:rPr>
        <w:t>基金的</w:t>
      </w:r>
      <w:r w:rsidR="0083287B" w:rsidRPr="009802E0">
        <w:rPr>
          <w:rFonts w:asciiTheme="minorEastAsia" w:eastAsiaTheme="minorEastAsia" w:hAnsiTheme="minorEastAsia" w:hint="eastAsia"/>
          <w:szCs w:val="21"/>
        </w:rPr>
        <w:t>基金合同、更新的招募说明书及最新的相关公告约定的比例归入基金财产</w:t>
      </w:r>
      <w:r w:rsidR="009B786B" w:rsidRPr="009802E0">
        <w:rPr>
          <w:rFonts w:asciiTheme="minorEastAsia" w:eastAsiaTheme="minorEastAsia" w:hAnsiTheme="minorEastAsia" w:hint="eastAsia"/>
          <w:szCs w:val="21"/>
        </w:rPr>
        <w:t>，其余部分用于支付注册登记费等相关手续费</w:t>
      </w:r>
      <w:r w:rsidR="00032AA8" w:rsidRPr="009802E0">
        <w:rPr>
          <w:rFonts w:asciiTheme="minorEastAsia" w:eastAsiaTheme="minorEastAsia" w:hAnsiTheme="minorEastAsia" w:hint="eastAsia"/>
          <w:szCs w:val="21"/>
        </w:rPr>
        <w:t>，</w:t>
      </w:r>
      <w:r w:rsidRPr="009802E0">
        <w:rPr>
          <w:rFonts w:asciiTheme="minorEastAsia" w:eastAsiaTheme="minorEastAsia" w:hAnsiTheme="minorEastAsia" w:hint="eastAsia"/>
        </w:rPr>
        <w:t>具体实施办法和转换费率详见相关公告。</w:t>
      </w:r>
      <w:r w:rsidRPr="009802E0">
        <w:rPr>
          <w:rFonts w:asciiTheme="minorEastAsia" w:eastAsiaTheme="minorEastAsia" w:hAnsiTheme="minorEastAsia"/>
          <w:szCs w:val="21"/>
        </w:rPr>
        <w:t>转换费用以人民币元为单位，计算结果按照四舍五入方法，保留小数点后两位。</w:t>
      </w:r>
    </w:p>
    <w:p w:rsidR="00032AA8" w:rsidRPr="009802E0" w:rsidRDefault="00032AA8" w:rsidP="00FE018D">
      <w:pPr>
        <w:autoSpaceDE w:val="0"/>
        <w:autoSpaceDN w:val="0"/>
        <w:adjustRightInd w:val="0"/>
        <w:snapToGrid w:val="0"/>
        <w:spacing w:line="360" w:lineRule="auto"/>
        <w:ind w:firstLine="420"/>
        <w:textAlignment w:val="bottom"/>
        <w:rPr>
          <w:rFonts w:asciiTheme="minorEastAsia" w:eastAsiaTheme="minorEastAsia" w:hAnsiTheme="minorEastAsia"/>
          <w:kern w:val="0"/>
          <w:szCs w:val="21"/>
        </w:rPr>
      </w:pPr>
      <w:bookmarkStart w:id="63" w:name="_Toc182826360"/>
      <w:bookmarkStart w:id="64" w:name="_Toc198959621"/>
      <w:r w:rsidRPr="009802E0">
        <w:rPr>
          <w:rFonts w:asciiTheme="minorEastAsia" w:eastAsiaTheme="minorEastAsia" w:hAnsiTheme="minorEastAsia" w:hint="eastAsia"/>
        </w:rPr>
        <w:t>基金管理人可以在基金合同规定的范围内调整上述费率。上述费率如发生变更，</w:t>
      </w:r>
      <w:r w:rsidRPr="009802E0">
        <w:rPr>
          <w:rFonts w:asciiTheme="minorEastAsia" w:eastAsiaTheme="minorEastAsia" w:hAnsiTheme="minorEastAsia" w:hint="eastAsia"/>
          <w:kern w:val="0"/>
          <w:szCs w:val="21"/>
        </w:rPr>
        <w:t>应在调整生效前在至少一种中国证监会指定的媒体上予以公告。</w:t>
      </w:r>
    </w:p>
    <w:p w:rsidR="00AB3EAE" w:rsidRPr="009802E0" w:rsidRDefault="00526F5E" w:rsidP="00FE018D">
      <w:pPr>
        <w:autoSpaceDE w:val="0"/>
        <w:autoSpaceDN w:val="0"/>
        <w:adjustRightInd w:val="0"/>
        <w:snapToGrid w:val="0"/>
        <w:spacing w:line="360" w:lineRule="auto"/>
        <w:ind w:firstLine="420"/>
        <w:textAlignment w:val="bottom"/>
        <w:rPr>
          <w:rFonts w:asciiTheme="minorEastAsia" w:eastAsiaTheme="minorEastAsia" w:hAnsiTheme="minorEastAsia"/>
        </w:rPr>
      </w:pPr>
      <w:r w:rsidRPr="009802E0">
        <w:rPr>
          <w:rFonts w:asciiTheme="minorEastAsia" w:eastAsiaTheme="minorEastAsia" w:hAnsiTheme="minorEastAsia" w:hint="eastAsia"/>
          <w:szCs w:val="2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CB427F" w:rsidRPr="009802E0" w:rsidRDefault="00AB3EAE" w:rsidP="00FE018D">
      <w:pPr>
        <w:pStyle w:val="22"/>
        <w:adjustRightInd w:val="0"/>
        <w:snapToGrid w:val="0"/>
        <w:spacing w:beforeLines="0" w:afterLines="0" w:line="360" w:lineRule="auto"/>
        <w:ind w:firstLine="562"/>
        <w:rPr>
          <w:rFonts w:asciiTheme="minorEastAsia" w:eastAsiaTheme="minorEastAsia" w:hAnsiTheme="minorEastAsia"/>
        </w:rPr>
      </w:pPr>
      <w:bookmarkStart w:id="65" w:name="_Toc229996712"/>
      <w:bookmarkStart w:id="66" w:name="_Toc245693558"/>
      <w:bookmarkStart w:id="67" w:name="_Toc258398106"/>
      <w:bookmarkStart w:id="68" w:name="_Toc264906013"/>
      <w:bookmarkStart w:id="69" w:name="_Toc294024330"/>
      <w:bookmarkStart w:id="70" w:name="_Toc43301908"/>
      <w:r w:rsidRPr="009802E0">
        <w:rPr>
          <w:rFonts w:asciiTheme="minorEastAsia" w:eastAsiaTheme="minorEastAsia" w:hAnsiTheme="minorEastAsia" w:hint="eastAsia"/>
        </w:rPr>
        <w:t>（</w:t>
      </w:r>
      <w:r w:rsidR="0033517C" w:rsidRPr="009802E0">
        <w:rPr>
          <w:rFonts w:asciiTheme="minorEastAsia" w:eastAsiaTheme="minorEastAsia" w:hAnsiTheme="minorEastAsia" w:hint="eastAsia"/>
        </w:rPr>
        <w:t>六</w:t>
      </w:r>
      <w:r w:rsidRPr="009802E0">
        <w:rPr>
          <w:rFonts w:asciiTheme="minorEastAsia" w:eastAsiaTheme="minorEastAsia" w:hAnsiTheme="minorEastAsia" w:hint="eastAsia"/>
        </w:rPr>
        <w:t>）基金转换份额的计算方式</w:t>
      </w:r>
      <w:bookmarkEnd w:id="63"/>
      <w:bookmarkEnd w:id="64"/>
      <w:bookmarkEnd w:id="65"/>
      <w:bookmarkEnd w:id="66"/>
      <w:bookmarkEnd w:id="67"/>
      <w:bookmarkEnd w:id="68"/>
      <w:bookmarkEnd w:id="69"/>
      <w:bookmarkEnd w:id="70"/>
    </w:p>
    <w:p w:rsidR="00AB3EAE" w:rsidRPr="009802E0" w:rsidRDefault="00AB3EAE" w:rsidP="00FE018D">
      <w:pPr>
        <w:adjustRightInd w:val="0"/>
        <w:snapToGrid w:val="0"/>
        <w:spacing w:line="360" w:lineRule="auto"/>
        <w:ind w:firstLine="482"/>
        <w:rPr>
          <w:rFonts w:asciiTheme="minorEastAsia" w:eastAsiaTheme="minorEastAsia" w:hAnsiTheme="minorEastAsia"/>
        </w:rPr>
      </w:pPr>
      <w:r w:rsidRPr="009802E0">
        <w:rPr>
          <w:rFonts w:asciiTheme="minorEastAsia" w:eastAsiaTheme="minorEastAsia" w:hAnsiTheme="minorEastAsia" w:hint="eastAsia"/>
        </w:rPr>
        <w:t>计算公式：</w:t>
      </w:r>
    </w:p>
    <w:p w:rsidR="00AB3EAE" w:rsidRPr="009802E0" w:rsidRDefault="00AB3EAE"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A＝［B×C×(1-D)/（1+G）+F］/E</w:t>
      </w:r>
    </w:p>
    <w:p w:rsidR="00AB3EAE" w:rsidRPr="009802E0" w:rsidRDefault="00AB3EAE"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H＝</w:t>
      </w:r>
      <w:r w:rsidRPr="009802E0">
        <w:rPr>
          <w:rFonts w:asciiTheme="minorEastAsia" w:eastAsiaTheme="minorEastAsia" w:hAnsiTheme="minorEastAsia"/>
        </w:rPr>
        <w:t>B×C×D</w:t>
      </w:r>
    </w:p>
    <w:p w:rsidR="00AB3EAE" w:rsidRPr="009802E0" w:rsidRDefault="00AB3EAE"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J＝[B×C×(1-D)/(1+G)]×G</w:t>
      </w:r>
    </w:p>
    <w:p w:rsidR="00AB3EAE" w:rsidRPr="009802E0" w:rsidRDefault="00AB3EAE"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szCs w:val="21"/>
        </w:rPr>
        <w:t>其中，</w:t>
      </w:r>
      <w:r w:rsidRPr="009802E0">
        <w:rPr>
          <w:rFonts w:asciiTheme="minorEastAsia" w:eastAsiaTheme="minorEastAsia" w:hAnsiTheme="minorEastAsia"/>
          <w:szCs w:val="21"/>
        </w:rPr>
        <w:t>A</w:t>
      </w:r>
      <w:r w:rsidRPr="009802E0">
        <w:rPr>
          <w:rFonts w:asciiTheme="minorEastAsia" w:eastAsiaTheme="minorEastAsia" w:hAnsiTheme="minorEastAsia" w:hint="eastAsia"/>
          <w:szCs w:val="21"/>
        </w:rPr>
        <w:t>为转入的基金份额；</w:t>
      </w:r>
      <w:r w:rsidRPr="009802E0">
        <w:rPr>
          <w:rFonts w:asciiTheme="minorEastAsia" w:eastAsiaTheme="minorEastAsia" w:hAnsiTheme="minorEastAsia"/>
          <w:szCs w:val="21"/>
        </w:rPr>
        <w:t>B</w:t>
      </w:r>
      <w:r w:rsidRPr="009802E0">
        <w:rPr>
          <w:rFonts w:asciiTheme="minorEastAsia" w:eastAsiaTheme="minorEastAsia" w:hAnsiTheme="minorEastAsia" w:hint="eastAsia"/>
          <w:szCs w:val="21"/>
        </w:rPr>
        <w:t>为转出的基金份额；</w:t>
      </w:r>
      <w:r w:rsidRPr="009802E0">
        <w:rPr>
          <w:rFonts w:asciiTheme="minorEastAsia" w:eastAsiaTheme="minorEastAsia" w:hAnsiTheme="minorEastAsia"/>
          <w:szCs w:val="21"/>
        </w:rPr>
        <w:t>C</w:t>
      </w:r>
      <w:r w:rsidRPr="009802E0">
        <w:rPr>
          <w:rFonts w:asciiTheme="minorEastAsia" w:eastAsiaTheme="minorEastAsia" w:hAnsiTheme="minorEastAsia" w:hint="eastAsia"/>
          <w:szCs w:val="21"/>
        </w:rPr>
        <w:t>为转换申请当日转出基金的基金</w:t>
      </w:r>
      <w:r w:rsidRPr="009802E0">
        <w:rPr>
          <w:rFonts w:asciiTheme="minorEastAsia" w:eastAsiaTheme="minorEastAsia" w:hAnsiTheme="minorEastAsia" w:hint="eastAsia"/>
        </w:rPr>
        <w:t>份额净值；</w:t>
      </w:r>
      <w:r w:rsidRPr="009802E0">
        <w:rPr>
          <w:rFonts w:asciiTheme="minorEastAsia" w:eastAsiaTheme="minorEastAsia" w:hAnsiTheme="minorEastAsia"/>
        </w:rPr>
        <w:t>D</w:t>
      </w:r>
      <w:r w:rsidRPr="009802E0">
        <w:rPr>
          <w:rFonts w:asciiTheme="minorEastAsia" w:eastAsiaTheme="minorEastAsia" w:hAnsiTheme="minorEastAsia" w:hint="eastAsia"/>
        </w:rPr>
        <w:t>为转出基金的对应赎回费率</w:t>
      </w:r>
      <w:r w:rsidR="00DE13F2" w:rsidRPr="009802E0">
        <w:rPr>
          <w:rFonts w:asciiTheme="minorEastAsia" w:eastAsiaTheme="minorEastAsia" w:hAnsiTheme="minorEastAsia" w:hint="eastAsia"/>
        </w:rPr>
        <w:t>；</w:t>
      </w:r>
      <w:r w:rsidRPr="009802E0">
        <w:rPr>
          <w:rFonts w:asciiTheme="minorEastAsia" w:eastAsiaTheme="minorEastAsia" w:hAnsiTheme="minorEastAsia"/>
        </w:rPr>
        <w:t>G</w:t>
      </w:r>
      <w:r w:rsidRPr="009802E0">
        <w:rPr>
          <w:rFonts w:asciiTheme="minorEastAsia" w:eastAsiaTheme="minorEastAsia" w:hAnsiTheme="minorEastAsia" w:hint="eastAsia"/>
        </w:rPr>
        <w:t>为对应的申购补差费率；</w:t>
      </w:r>
      <w:r w:rsidRPr="009802E0">
        <w:rPr>
          <w:rFonts w:asciiTheme="minorEastAsia" w:eastAsiaTheme="minorEastAsia" w:hAnsiTheme="minorEastAsia"/>
        </w:rPr>
        <w:t>E</w:t>
      </w:r>
      <w:r w:rsidRPr="009802E0">
        <w:rPr>
          <w:rFonts w:asciiTheme="minorEastAsia" w:eastAsiaTheme="minorEastAsia" w:hAnsiTheme="minorEastAsia" w:hint="eastAsia"/>
        </w:rPr>
        <w:t>为转换申请当日转入基金的基金份额净值；</w:t>
      </w:r>
      <w:r w:rsidR="0027497F" w:rsidRPr="009802E0">
        <w:rPr>
          <w:rFonts w:asciiTheme="minorEastAsia" w:eastAsiaTheme="minorEastAsia" w:hAnsiTheme="minorEastAsia" w:hint="eastAsia"/>
        </w:rPr>
        <w:t>F为货币市场基金全部转出时注册登记机构已支付的未付收益</w:t>
      </w:r>
      <w:r w:rsidR="00DE13F2" w:rsidRPr="009802E0">
        <w:rPr>
          <w:rFonts w:asciiTheme="minorEastAsia" w:eastAsiaTheme="minorEastAsia" w:hAnsiTheme="minorEastAsia" w:hint="eastAsia"/>
        </w:rPr>
        <w:t>（仅</w:t>
      </w:r>
      <w:r w:rsidR="00DE13F2" w:rsidRPr="009802E0">
        <w:rPr>
          <w:rFonts w:asciiTheme="minorEastAsia" w:eastAsiaTheme="minorEastAsia" w:hAnsiTheme="minorEastAsia" w:hint="eastAsia"/>
        </w:rPr>
        <w:lastRenderedPageBreak/>
        <w:t>限转出基金为易方达货币市场基金</w:t>
      </w:r>
      <w:r w:rsidR="00847038" w:rsidRPr="009802E0">
        <w:rPr>
          <w:rFonts w:asciiTheme="minorEastAsia" w:eastAsiaTheme="minorEastAsia" w:hAnsiTheme="minorEastAsia" w:hint="eastAsia"/>
        </w:rPr>
        <w:t>、</w:t>
      </w:r>
      <w:r w:rsidR="00DE13F2" w:rsidRPr="009802E0">
        <w:rPr>
          <w:rFonts w:asciiTheme="minorEastAsia" w:eastAsiaTheme="minorEastAsia" w:hAnsiTheme="minorEastAsia" w:hint="eastAsia"/>
        </w:rPr>
        <w:t>易方达天天理财货币市场基金</w:t>
      </w:r>
      <w:r w:rsidR="00847038" w:rsidRPr="009802E0">
        <w:rPr>
          <w:rFonts w:asciiTheme="minorEastAsia" w:eastAsiaTheme="minorEastAsia" w:hAnsiTheme="minorEastAsia" w:hint="eastAsia"/>
        </w:rPr>
        <w:t>、易方达财富快线货币市场基金、易方达天天增利货币市场基金</w:t>
      </w:r>
      <w:r w:rsidR="0006189F" w:rsidRPr="009802E0">
        <w:rPr>
          <w:rFonts w:asciiTheme="minorEastAsia" w:eastAsiaTheme="minorEastAsia" w:hAnsiTheme="minorEastAsia" w:hint="eastAsia"/>
        </w:rPr>
        <w:t>、易</w:t>
      </w:r>
      <w:r w:rsidR="00F966A9" w:rsidRPr="009802E0">
        <w:rPr>
          <w:rFonts w:asciiTheme="minorEastAsia" w:eastAsiaTheme="minorEastAsia" w:hAnsiTheme="minorEastAsia" w:hint="eastAsia"/>
        </w:rPr>
        <w:t>方达龙宝货币市场基金</w:t>
      </w:r>
      <w:r w:rsidR="0006189F" w:rsidRPr="009802E0">
        <w:rPr>
          <w:rFonts w:asciiTheme="minorEastAsia" w:eastAsiaTheme="minorEastAsia" w:hAnsiTheme="minorEastAsia" w:hint="eastAsia"/>
        </w:rPr>
        <w:t>、</w:t>
      </w:r>
      <w:r w:rsidR="008A7E0E" w:rsidRPr="009802E0">
        <w:rPr>
          <w:rFonts w:asciiTheme="minorEastAsia" w:eastAsiaTheme="minorEastAsia" w:hAnsiTheme="minorEastAsia" w:hint="eastAsia"/>
        </w:rPr>
        <w:t>易方达增金宝货币市场基金、易方达现金增利货币市场基金、</w:t>
      </w:r>
      <w:r w:rsidR="008A7E0E" w:rsidRPr="009802E0">
        <w:rPr>
          <w:rFonts w:asciiTheme="minorEastAsia" w:eastAsiaTheme="minorEastAsia" w:hAnsiTheme="minorEastAsia"/>
        </w:rPr>
        <w:t>易方达天天发货币市场基金</w:t>
      </w:r>
      <w:r w:rsidR="002663F8" w:rsidRPr="009802E0">
        <w:rPr>
          <w:rFonts w:asciiTheme="minorEastAsia" w:eastAsiaTheme="minorEastAsia" w:hAnsiTheme="minorEastAsia" w:hint="eastAsia"/>
        </w:rPr>
        <w:t>和易方达易理财货币市场基金</w:t>
      </w:r>
      <w:r w:rsidR="00DE13F2" w:rsidRPr="009802E0">
        <w:rPr>
          <w:rFonts w:asciiTheme="minorEastAsia" w:eastAsiaTheme="minorEastAsia" w:hAnsiTheme="minorEastAsia" w:hint="eastAsia"/>
        </w:rPr>
        <w:t>）或者短期理财基金转出时对应的累计未付收益（转出基金为易方达月月利理财债券型基金</w:t>
      </w:r>
      <w:r w:rsidR="005A58B9" w:rsidRPr="009802E0">
        <w:rPr>
          <w:rFonts w:asciiTheme="minorEastAsia" w:eastAsiaTheme="minorEastAsia" w:hAnsiTheme="minorEastAsia" w:hint="eastAsia"/>
        </w:rPr>
        <w:t>和</w:t>
      </w:r>
      <w:r w:rsidR="008A7E0E" w:rsidRPr="009802E0">
        <w:rPr>
          <w:rFonts w:asciiTheme="minorEastAsia" w:eastAsiaTheme="minorEastAsia" w:hAnsiTheme="minorEastAsia"/>
        </w:rPr>
        <w:t>易方达掌柜季季盈理财债券型基金</w:t>
      </w:r>
      <w:r w:rsidR="00DE13F2" w:rsidRPr="009802E0">
        <w:rPr>
          <w:rFonts w:asciiTheme="minorEastAsia" w:eastAsiaTheme="minorEastAsia" w:hAnsiTheme="minorEastAsia" w:hint="eastAsia"/>
        </w:rPr>
        <w:t>）</w:t>
      </w:r>
      <w:r w:rsidRPr="009802E0">
        <w:rPr>
          <w:rFonts w:asciiTheme="minorEastAsia" w:eastAsiaTheme="minorEastAsia" w:hAnsiTheme="minorEastAsia" w:hint="eastAsia"/>
        </w:rPr>
        <w:t>；H为转出基金赎回费；J为申购补差费。</w:t>
      </w:r>
    </w:p>
    <w:p w:rsidR="0027497F" w:rsidRPr="009802E0" w:rsidRDefault="0027497F"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AB3EAE" w:rsidRPr="009802E0" w:rsidRDefault="00AB3EAE" w:rsidP="00FE018D">
      <w:pPr>
        <w:adjustRightInd w:val="0"/>
        <w:snapToGrid w:val="0"/>
        <w:spacing w:line="360" w:lineRule="auto"/>
        <w:ind w:firstLine="482"/>
        <w:rPr>
          <w:rFonts w:asciiTheme="minorEastAsia" w:eastAsiaTheme="minorEastAsia" w:hAnsiTheme="minorEastAsia"/>
        </w:rPr>
      </w:pPr>
      <w:r w:rsidRPr="009802E0">
        <w:rPr>
          <w:rFonts w:asciiTheme="minorEastAsia" w:eastAsiaTheme="minorEastAsia" w:hAnsiTheme="minorEastAsia" w:hint="eastAsia"/>
        </w:rPr>
        <w:t>说明：</w:t>
      </w:r>
    </w:p>
    <w:p w:rsidR="00AB3EAE" w:rsidRPr="009802E0" w:rsidRDefault="00AB3EAE" w:rsidP="00FE018D">
      <w:pPr>
        <w:adjustRightInd w:val="0"/>
        <w:snapToGrid w:val="0"/>
        <w:spacing w:line="360" w:lineRule="auto"/>
        <w:ind w:firstLine="482"/>
        <w:rPr>
          <w:rFonts w:asciiTheme="minorEastAsia" w:eastAsiaTheme="minorEastAsia" w:hAnsiTheme="minorEastAsia"/>
        </w:rPr>
      </w:pPr>
      <w:r w:rsidRPr="009802E0">
        <w:rPr>
          <w:rFonts w:asciiTheme="minorEastAsia" w:eastAsiaTheme="minorEastAsia" w:hAnsiTheme="minorEastAsia"/>
        </w:rPr>
        <w:t>1</w:t>
      </w:r>
      <w:r w:rsidR="00C335A3" w:rsidRPr="009802E0">
        <w:rPr>
          <w:rFonts w:asciiTheme="minorEastAsia" w:eastAsiaTheme="minorEastAsia" w:hAnsiTheme="minorEastAsia" w:hint="eastAsia"/>
        </w:rPr>
        <w:t>、</w:t>
      </w:r>
      <w:r w:rsidRPr="009802E0">
        <w:rPr>
          <w:rFonts w:asciiTheme="minorEastAsia" w:eastAsiaTheme="minorEastAsia" w:hAnsiTheme="minorEastAsia" w:hint="eastAsia"/>
        </w:rPr>
        <w:t>基金转换费用由转出基金赎回费用及基金申购补差费用构成。</w:t>
      </w:r>
    </w:p>
    <w:p w:rsidR="00AB3EAE" w:rsidRPr="009802E0" w:rsidRDefault="00AB3EAE" w:rsidP="00FE018D">
      <w:pPr>
        <w:adjustRightInd w:val="0"/>
        <w:snapToGrid w:val="0"/>
        <w:spacing w:line="360" w:lineRule="auto"/>
        <w:ind w:firstLine="482"/>
        <w:rPr>
          <w:rFonts w:asciiTheme="minorEastAsia" w:eastAsiaTheme="minorEastAsia" w:hAnsiTheme="minorEastAsia"/>
        </w:rPr>
      </w:pPr>
      <w:r w:rsidRPr="009802E0">
        <w:rPr>
          <w:rFonts w:asciiTheme="minorEastAsia" w:eastAsiaTheme="minorEastAsia" w:hAnsiTheme="minorEastAsia"/>
        </w:rPr>
        <w:t>2</w:t>
      </w:r>
      <w:r w:rsidR="00C335A3" w:rsidRPr="009802E0">
        <w:rPr>
          <w:rFonts w:asciiTheme="minorEastAsia" w:eastAsiaTheme="minorEastAsia" w:hAnsiTheme="minorEastAsia" w:hint="eastAsia"/>
        </w:rPr>
        <w:t>、</w:t>
      </w:r>
      <w:r w:rsidRPr="009802E0">
        <w:rPr>
          <w:rFonts w:asciiTheme="minorEastAsia" w:eastAsiaTheme="minorEastAsia" w:hAnsiTheme="minorEastAsia" w:hint="eastAsia"/>
        </w:rPr>
        <w:t>转入基金时，从申购费用低的基金向申购费用高的基金转换时，每次收取申购补差费用；从申购费用高的基金向申购费用低的基金转换时</w:t>
      </w:r>
      <w:r w:rsidRPr="009802E0">
        <w:rPr>
          <w:rFonts w:asciiTheme="minorEastAsia" w:eastAsiaTheme="minorEastAsia" w:hAnsiTheme="minorEastAsia"/>
        </w:rPr>
        <w:t>,</w:t>
      </w:r>
      <w:r w:rsidRPr="009802E0">
        <w:rPr>
          <w:rFonts w:asciiTheme="minorEastAsia" w:eastAsiaTheme="minorEastAsia" w:hAnsiTheme="minorEastAsia" w:hint="eastAsia"/>
        </w:rPr>
        <w:t>不收取申购补差费用</w:t>
      </w:r>
      <w:r w:rsidR="00E96854" w:rsidRPr="009802E0">
        <w:rPr>
          <w:rFonts w:asciiTheme="minorEastAsia" w:eastAsiaTheme="minorEastAsia" w:hAnsiTheme="minorEastAsia" w:hint="eastAsia"/>
        </w:rPr>
        <w:t>（注：对通过直销中心申购实施差别申购费率的特定投资群体基金份额的申购费，以除通过直销中心申购的特定投资群体之外的其他投资者申购费为比较标准）</w:t>
      </w:r>
      <w:r w:rsidRPr="009802E0">
        <w:rPr>
          <w:rFonts w:asciiTheme="minorEastAsia" w:eastAsiaTheme="minorEastAsia" w:hAnsiTheme="minorEastAsia" w:hint="eastAsia"/>
        </w:rPr>
        <w:t>。申购补差费用按照转换金额对应的转出基金与转入基金的申购费率差额进行补差，具体收取情况视每次转换时两只基金的申购费率的差异情况而定</w:t>
      </w:r>
      <w:r w:rsidR="00D81913" w:rsidRPr="009802E0">
        <w:rPr>
          <w:rFonts w:asciiTheme="minorEastAsia" w:eastAsiaTheme="minorEastAsia" w:hAnsiTheme="minorEastAsia" w:hint="eastAsia"/>
        </w:rPr>
        <w:t>并见相关公告</w:t>
      </w:r>
      <w:r w:rsidRPr="009802E0">
        <w:rPr>
          <w:rFonts w:asciiTheme="minorEastAsia" w:eastAsiaTheme="minorEastAsia" w:hAnsiTheme="minorEastAsia" w:hint="eastAsia"/>
        </w:rPr>
        <w:t>。</w:t>
      </w:r>
    </w:p>
    <w:p w:rsidR="00AB3EAE" w:rsidRPr="009802E0" w:rsidRDefault="00C335A3" w:rsidP="00FE018D">
      <w:pPr>
        <w:adjustRightInd w:val="0"/>
        <w:snapToGrid w:val="0"/>
        <w:spacing w:line="360" w:lineRule="auto"/>
        <w:ind w:firstLine="482"/>
        <w:rPr>
          <w:rFonts w:asciiTheme="minorEastAsia" w:eastAsiaTheme="minorEastAsia" w:hAnsiTheme="minorEastAsia"/>
        </w:rPr>
      </w:pPr>
      <w:r w:rsidRPr="009802E0">
        <w:rPr>
          <w:rFonts w:asciiTheme="minorEastAsia" w:eastAsiaTheme="minorEastAsia" w:hAnsiTheme="minorEastAsia" w:hint="eastAsia"/>
        </w:rPr>
        <w:t>3、</w:t>
      </w:r>
      <w:r w:rsidR="00AB3EAE" w:rsidRPr="009802E0">
        <w:rPr>
          <w:rFonts w:asciiTheme="minorEastAsia" w:eastAsiaTheme="minorEastAsia" w:hAnsiTheme="minorEastAsia" w:hint="eastAsia"/>
        </w:rPr>
        <w:t>转出基金时，如涉及的转出基金有赎回费用，收取该基金的赎回费用。收取的赎回费</w:t>
      </w:r>
      <w:r w:rsidR="00903200" w:rsidRPr="009802E0">
        <w:rPr>
          <w:rFonts w:asciiTheme="minorEastAsia" w:eastAsiaTheme="minorEastAsia" w:hAnsiTheme="minorEastAsia" w:hint="eastAsia"/>
        </w:rPr>
        <w:t>按照</w:t>
      </w:r>
      <w:r w:rsidR="008A7E0E" w:rsidRPr="009802E0">
        <w:rPr>
          <w:rFonts w:asciiTheme="minorEastAsia" w:eastAsiaTheme="minorEastAsia" w:hAnsiTheme="minorEastAsia" w:hint="eastAsia"/>
        </w:rPr>
        <w:t>各基金</w:t>
      </w:r>
      <w:r w:rsidR="008A7E0E" w:rsidRPr="009802E0">
        <w:rPr>
          <w:rFonts w:asciiTheme="minorEastAsia" w:eastAsiaTheme="minorEastAsia" w:hAnsiTheme="minorEastAsia"/>
        </w:rPr>
        <w:t>的</w:t>
      </w:r>
      <w:r w:rsidR="00903200" w:rsidRPr="009802E0">
        <w:rPr>
          <w:rFonts w:asciiTheme="minorEastAsia" w:eastAsiaTheme="minorEastAsia" w:hAnsiTheme="minorEastAsia" w:hint="eastAsia"/>
        </w:rPr>
        <w:t>基金合同、更新的招募说明书及最新的相关公告约定的比例归入基金财产</w:t>
      </w:r>
      <w:r w:rsidR="00AB3EAE" w:rsidRPr="009802E0">
        <w:rPr>
          <w:rFonts w:asciiTheme="minorEastAsia" w:eastAsiaTheme="minorEastAsia" w:hAnsiTheme="minorEastAsia" w:hint="eastAsia"/>
        </w:rPr>
        <w:t>，其余部分用于支付注册登记费等相关手续费。</w:t>
      </w:r>
    </w:p>
    <w:p w:rsidR="00075F54" w:rsidRPr="009802E0" w:rsidRDefault="00C335A3" w:rsidP="00FE018D">
      <w:pPr>
        <w:adjustRightInd w:val="0"/>
        <w:snapToGrid w:val="0"/>
        <w:spacing w:line="360" w:lineRule="auto"/>
        <w:ind w:firstLine="482"/>
        <w:rPr>
          <w:rFonts w:asciiTheme="minorEastAsia" w:eastAsiaTheme="minorEastAsia" w:hAnsiTheme="minorEastAsia"/>
        </w:rPr>
      </w:pPr>
      <w:bookmarkStart w:id="71" w:name="_Toc198959622"/>
      <w:bookmarkStart w:id="72" w:name="_Toc229996713"/>
      <w:bookmarkStart w:id="73" w:name="_Toc245693559"/>
      <w:bookmarkStart w:id="74" w:name="_Toc258398107"/>
      <w:bookmarkStart w:id="75" w:name="_Toc264906014"/>
      <w:bookmarkStart w:id="76" w:name="_Toc294024331"/>
      <w:r w:rsidRPr="009802E0">
        <w:rPr>
          <w:rFonts w:asciiTheme="minorEastAsia" w:eastAsiaTheme="minorEastAsia" w:hAnsiTheme="minorEastAsia" w:hint="eastAsia"/>
        </w:rPr>
        <w:t>4、</w:t>
      </w:r>
      <w:r w:rsidR="00075F54" w:rsidRPr="009802E0">
        <w:rPr>
          <w:rFonts w:asciiTheme="minorEastAsia" w:eastAsiaTheme="minorEastAsia" w:hAnsiTheme="minorEastAsia" w:hint="eastAsia"/>
        </w:rPr>
        <w:t>投资者可以发起多次基金转换业务，基金转换费用按每笔申请单独计算。</w:t>
      </w:r>
      <w:r w:rsidR="00032AA8" w:rsidRPr="009802E0">
        <w:rPr>
          <w:rFonts w:asciiTheme="minorEastAsia" w:eastAsiaTheme="minorEastAsia" w:hAnsiTheme="minorEastAsia" w:hint="eastAsia"/>
          <w:kern w:val="0"/>
          <w:szCs w:val="21"/>
        </w:rPr>
        <w:t>转换费用以人民币元为单位，计算结果按照四舍五入方法，保留小数点后两位。</w:t>
      </w:r>
    </w:p>
    <w:p w:rsidR="00075F54" w:rsidRPr="009802E0" w:rsidRDefault="00075F54" w:rsidP="00FE018D">
      <w:pPr>
        <w:adjustRightInd w:val="0"/>
        <w:snapToGrid w:val="0"/>
        <w:spacing w:line="360" w:lineRule="auto"/>
        <w:ind w:firstLine="420"/>
        <w:rPr>
          <w:rFonts w:asciiTheme="minorEastAsia" w:eastAsiaTheme="minorEastAsia" w:hAnsiTheme="minorEastAsia"/>
        </w:rPr>
      </w:pPr>
      <w:r w:rsidRPr="009802E0">
        <w:rPr>
          <w:rFonts w:asciiTheme="minorEastAsia" w:eastAsiaTheme="minorEastAsia" w:hAnsiTheme="minorEastAsia" w:hint="eastAsia"/>
        </w:rPr>
        <w:t>举例说明</w:t>
      </w:r>
      <w:r w:rsidRPr="009802E0">
        <w:rPr>
          <w:rFonts w:asciiTheme="minorEastAsia" w:eastAsiaTheme="minorEastAsia" w:hAnsiTheme="minorEastAsia"/>
        </w:rPr>
        <w:t>：</w:t>
      </w:r>
      <w:r w:rsidR="009B786B" w:rsidRPr="009802E0">
        <w:rPr>
          <w:rFonts w:asciiTheme="minorEastAsia" w:eastAsiaTheme="minorEastAsia" w:hAnsiTheme="minorEastAsia" w:hint="eastAsia"/>
        </w:rPr>
        <w:t>假设某持有人持有本基金</w:t>
      </w:r>
      <w:r w:rsidR="009B786B" w:rsidRPr="009802E0">
        <w:rPr>
          <w:rFonts w:asciiTheme="minorEastAsia" w:eastAsiaTheme="minorEastAsia" w:hAnsiTheme="minorEastAsia"/>
        </w:rPr>
        <w:t>B</w:t>
      </w:r>
      <w:r w:rsidR="009B786B" w:rsidRPr="009802E0">
        <w:rPr>
          <w:rFonts w:asciiTheme="minorEastAsia" w:eastAsiaTheme="minorEastAsia" w:hAnsiTheme="minorEastAsia" w:hint="eastAsia"/>
        </w:rPr>
        <w:t>类基金份额</w:t>
      </w:r>
      <w:r w:rsidR="009B786B" w:rsidRPr="009802E0">
        <w:rPr>
          <w:rFonts w:asciiTheme="minorEastAsia" w:eastAsiaTheme="minorEastAsia" w:hAnsiTheme="minorEastAsia"/>
        </w:rPr>
        <w:t>10,000</w:t>
      </w:r>
      <w:r w:rsidR="009B786B" w:rsidRPr="009802E0">
        <w:rPr>
          <w:rFonts w:asciiTheme="minorEastAsia" w:eastAsiaTheme="minorEastAsia" w:hAnsiTheme="minorEastAsia" w:hint="eastAsia"/>
        </w:rPr>
        <w:t>份，持有</w:t>
      </w:r>
      <w:r w:rsidR="009B786B" w:rsidRPr="009802E0">
        <w:rPr>
          <w:rFonts w:asciiTheme="minorEastAsia" w:eastAsiaTheme="minorEastAsia" w:hAnsiTheme="minorEastAsia"/>
        </w:rPr>
        <w:t>100</w:t>
      </w:r>
      <w:r w:rsidR="009B786B" w:rsidRPr="009802E0">
        <w:rPr>
          <w:rFonts w:asciiTheme="minorEastAsia" w:eastAsiaTheme="minorEastAsia" w:hAnsiTheme="minorEastAsia" w:hint="eastAsia"/>
        </w:rPr>
        <w:t>天，现欲转换为易方达策略成长二号混合型证券投资基金；假设转出基金</w:t>
      </w:r>
      <w:r w:rsidR="009B786B" w:rsidRPr="009802E0">
        <w:rPr>
          <w:rFonts w:asciiTheme="minorEastAsia" w:eastAsiaTheme="minorEastAsia" w:hAnsiTheme="minorEastAsia"/>
        </w:rPr>
        <w:t>T</w:t>
      </w:r>
      <w:r w:rsidR="009B786B" w:rsidRPr="009802E0">
        <w:rPr>
          <w:rFonts w:asciiTheme="minorEastAsia" w:eastAsiaTheme="minorEastAsia" w:hAnsiTheme="minorEastAsia" w:hint="eastAsia"/>
        </w:rPr>
        <w:t>日的基金份额净值为</w:t>
      </w:r>
      <w:r w:rsidR="009B786B" w:rsidRPr="009802E0">
        <w:rPr>
          <w:rFonts w:asciiTheme="minorEastAsia" w:eastAsiaTheme="minorEastAsia" w:hAnsiTheme="minorEastAsia"/>
        </w:rPr>
        <w:t>1.100</w:t>
      </w:r>
      <w:r w:rsidR="009B786B" w:rsidRPr="009802E0">
        <w:rPr>
          <w:rFonts w:asciiTheme="minorEastAsia" w:eastAsiaTheme="minorEastAsia" w:hAnsiTheme="minorEastAsia" w:hint="eastAsia"/>
        </w:rPr>
        <w:t>元，转入基金易方达策略成长二号混合型证券投资基金</w:t>
      </w:r>
      <w:r w:rsidR="009B786B" w:rsidRPr="009802E0">
        <w:rPr>
          <w:rFonts w:asciiTheme="minorEastAsia" w:eastAsiaTheme="minorEastAsia" w:hAnsiTheme="minorEastAsia"/>
        </w:rPr>
        <w:t>T</w:t>
      </w:r>
      <w:r w:rsidR="009B786B" w:rsidRPr="009802E0">
        <w:rPr>
          <w:rFonts w:asciiTheme="minorEastAsia" w:eastAsiaTheme="minorEastAsia" w:hAnsiTheme="minorEastAsia" w:hint="eastAsia"/>
        </w:rPr>
        <w:t>日的基金份额净值为</w:t>
      </w:r>
      <w:r w:rsidR="009B786B" w:rsidRPr="009802E0">
        <w:rPr>
          <w:rFonts w:asciiTheme="minorEastAsia" w:eastAsiaTheme="minorEastAsia" w:hAnsiTheme="minorEastAsia"/>
        </w:rPr>
        <w:t>1.020</w:t>
      </w:r>
      <w:r w:rsidR="009B786B" w:rsidRPr="009802E0">
        <w:rPr>
          <w:rFonts w:asciiTheme="minorEastAsia" w:eastAsiaTheme="minorEastAsia" w:hAnsiTheme="minorEastAsia" w:hint="eastAsia"/>
        </w:rPr>
        <w:t>元，则转出基金的赎回费率为</w:t>
      </w:r>
      <w:r w:rsidR="009B786B" w:rsidRPr="009802E0">
        <w:rPr>
          <w:rFonts w:asciiTheme="minorEastAsia" w:eastAsiaTheme="minorEastAsia" w:hAnsiTheme="minorEastAsia"/>
        </w:rPr>
        <w:t>0</w:t>
      </w:r>
      <w:r w:rsidR="009B786B" w:rsidRPr="009802E0">
        <w:rPr>
          <w:rFonts w:asciiTheme="minorEastAsia" w:eastAsiaTheme="minorEastAsia" w:hAnsiTheme="minorEastAsia" w:hint="eastAsia"/>
        </w:rPr>
        <w:t>，申购补差费率为</w:t>
      </w:r>
      <w:r w:rsidR="009B786B" w:rsidRPr="009802E0">
        <w:rPr>
          <w:rFonts w:asciiTheme="minorEastAsia" w:eastAsiaTheme="minorEastAsia" w:hAnsiTheme="minorEastAsia"/>
        </w:rPr>
        <w:t>2.0%</w:t>
      </w:r>
      <w:r w:rsidR="009B786B" w:rsidRPr="009802E0">
        <w:rPr>
          <w:rFonts w:asciiTheme="minorEastAsia" w:eastAsiaTheme="minorEastAsia" w:hAnsiTheme="minorEastAsia" w:hint="eastAsia"/>
        </w:rPr>
        <w:t>。转换份额计算如下：</w:t>
      </w:r>
    </w:p>
    <w:p w:rsidR="00075F54" w:rsidRPr="009802E0" w:rsidRDefault="009B786B" w:rsidP="00FE018D">
      <w:pPr>
        <w:adjustRightInd w:val="0"/>
        <w:snapToGrid w:val="0"/>
        <w:spacing w:line="360" w:lineRule="auto"/>
        <w:ind w:firstLine="420"/>
        <w:rPr>
          <w:rFonts w:asciiTheme="minorEastAsia" w:eastAsiaTheme="minorEastAsia" w:hAnsiTheme="minorEastAsia"/>
          <w:szCs w:val="20"/>
        </w:rPr>
      </w:pPr>
      <w:r w:rsidRPr="009802E0">
        <w:rPr>
          <w:rFonts w:asciiTheme="minorEastAsia" w:eastAsiaTheme="minorEastAsia" w:hAnsiTheme="minorEastAsia" w:hint="eastAsia"/>
        </w:rPr>
        <w:t>转换金额</w:t>
      </w:r>
      <w:r w:rsidRPr="009802E0">
        <w:rPr>
          <w:rFonts w:asciiTheme="minorEastAsia" w:eastAsiaTheme="minorEastAsia" w:hAnsiTheme="minorEastAsia"/>
          <w:szCs w:val="20"/>
        </w:rPr>
        <w:t>=</w:t>
      </w:r>
      <w:r w:rsidRPr="009802E0">
        <w:rPr>
          <w:rFonts w:asciiTheme="minorEastAsia" w:eastAsiaTheme="minorEastAsia" w:hAnsiTheme="minorEastAsia" w:hint="eastAsia"/>
          <w:szCs w:val="20"/>
        </w:rPr>
        <w:t>转出基金申请份额×转出基金份额净值</w:t>
      </w:r>
      <w:r w:rsidRPr="009802E0">
        <w:rPr>
          <w:rFonts w:asciiTheme="minorEastAsia" w:eastAsiaTheme="minorEastAsia" w:hAnsiTheme="minorEastAsia"/>
          <w:szCs w:val="20"/>
        </w:rPr>
        <w:t>=10,000</w:t>
      </w:r>
      <w:r w:rsidRPr="009802E0">
        <w:rPr>
          <w:rFonts w:asciiTheme="minorEastAsia" w:eastAsiaTheme="minorEastAsia" w:hAnsiTheme="minorEastAsia" w:hint="eastAsia"/>
          <w:szCs w:val="20"/>
        </w:rPr>
        <w:t>×</w:t>
      </w:r>
      <w:r w:rsidRPr="009802E0">
        <w:rPr>
          <w:rFonts w:asciiTheme="minorEastAsia" w:eastAsiaTheme="minorEastAsia" w:hAnsiTheme="minorEastAsia"/>
          <w:szCs w:val="20"/>
        </w:rPr>
        <w:t>1.100=11,000.00</w:t>
      </w:r>
      <w:r w:rsidRPr="009802E0">
        <w:rPr>
          <w:rFonts w:asciiTheme="minorEastAsia" w:eastAsiaTheme="minorEastAsia" w:hAnsiTheme="minorEastAsia" w:hint="eastAsia"/>
          <w:szCs w:val="20"/>
        </w:rPr>
        <w:t>元</w:t>
      </w:r>
    </w:p>
    <w:p w:rsidR="00075F54" w:rsidRPr="009802E0" w:rsidRDefault="009B786B" w:rsidP="00FE018D">
      <w:pPr>
        <w:adjustRightInd w:val="0"/>
        <w:snapToGrid w:val="0"/>
        <w:spacing w:line="360" w:lineRule="auto"/>
        <w:ind w:firstLine="420"/>
        <w:rPr>
          <w:rFonts w:asciiTheme="minorEastAsia" w:eastAsiaTheme="minorEastAsia" w:hAnsiTheme="minorEastAsia"/>
          <w:szCs w:val="20"/>
        </w:rPr>
      </w:pPr>
      <w:r w:rsidRPr="009802E0">
        <w:rPr>
          <w:rFonts w:asciiTheme="minorEastAsia" w:eastAsiaTheme="minorEastAsia" w:hAnsiTheme="minorEastAsia" w:hint="eastAsia"/>
          <w:szCs w:val="20"/>
        </w:rPr>
        <w:t>转出基金赎回费</w:t>
      </w:r>
      <w:r w:rsidRPr="009802E0">
        <w:rPr>
          <w:rFonts w:asciiTheme="minorEastAsia" w:eastAsiaTheme="minorEastAsia" w:hAnsiTheme="minorEastAsia"/>
          <w:szCs w:val="20"/>
        </w:rPr>
        <w:t>=</w:t>
      </w:r>
      <w:r w:rsidRPr="009802E0">
        <w:rPr>
          <w:rFonts w:asciiTheme="minorEastAsia" w:eastAsiaTheme="minorEastAsia" w:hAnsiTheme="minorEastAsia" w:hint="eastAsia"/>
          <w:szCs w:val="20"/>
        </w:rPr>
        <w:t>转换金额×转出基金赎回费率</w:t>
      </w:r>
      <w:r w:rsidRPr="009802E0">
        <w:rPr>
          <w:rFonts w:asciiTheme="minorEastAsia" w:eastAsiaTheme="minorEastAsia" w:hAnsiTheme="minorEastAsia"/>
          <w:szCs w:val="20"/>
        </w:rPr>
        <w:t>=11,000.00</w:t>
      </w:r>
      <w:r w:rsidRPr="009802E0">
        <w:rPr>
          <w:rFonts w:asciiTheme="minorEastAsia" w:eastAsiaTheme="minorEastAsia" w:hAnsiTheme="minorEastAsia" w:hint="eastAsia"/>
          <w:szCs w:val="20"/>
        </w:rPr>
        <w:t>×</w:t>
      </w:r>
      <w:r w:rsidRPr="009802E0">
        <w:rPr>
          <w:rFonts w:asciiTheme="minorEastAsia" w:eastAsiaTheme="minorEastAsia" w:hAnsiTheme="minorEastAsia"/>
          <w:szCs w:val="20"/>
        </w:rPr>
        <w:t>0.00=0.00</w:t>
      </w:r>
      <w:r w:rsidRPr="009802E0">
        <w:rPr>
          <w:rFonts w:asciiTheme="minorEastAsia" w:eastAsiaTheme="minorEastAsia" w:hAnsiTheme="minorEastAsia" w:hint="eastAsia"/>
          <w:szCs w:val="20"/>
        </w:rPr>
        <w:t>元</w:t>
      </w:r>
    </w:p>
    <w:p w:rsidR="00075F54" w:rsidRPr="009802E0" w:rsidRDefault="009B786B" w:rsidP="00FE018D">
      <w:pPr>
        <w:adjustRightInd w:val="0"/>
        <w:snapToGrid w:val="0"/>
        <w:spacing w:line="360" w:lineRule="auto"/>
        <w:ind w:firstLine="420"/>
        <w:rPr>
          <w:rFonts w:asciiTheme="minorEastAsia" w:eastAsiaTheme="minorEastAsia" w:hAnsiTheme="minorEastAsia"/>
          <w:szCs w:val="20"/>
        </w:rPr>
      </w:pPr>
      <w:r w:rsidRPr="009802E0">
        <w:rPr>
          <w:rFonts w:asciiTheme="minorEastAsia" w:eastAsiaTheme="minorEastAsia" w:hAnsiTheme="minorEastAsia" w:hint="eastAsia"/>
          <w:szCs w:val="20"/>
        </w:rPr>
        <w:t>申购补差费</w:t>
      </w:r>
      <w:r w:rsidRPr="009802E0">
        <w:rPr>
          <w:rFonts w:asciiTheme="minorEastAsia" w:eastAsiaTheme="minorEastAsia" w:hAnsiTheme="minorEastAsia"/>
          <w:szCs w:val="20"/>
        </w:rPr>
        <w:t>=(</w:t>
      </w:r>
      <w:r w:rsidRPr="009802E0">
        <w:rPr>
          <w:rFonts w:asciiTheme="minorEastAsia" w:eastAsiaTheme="minorEastAsia" w:hAnsiTheme="minorEastAsia" w:hint="eastAsia"/>
          <w:szCs w:val="20"/>
        </w:rPr>
        <w:t>转换金额</w:t>
      </w:r>
      <w:r w:rsidRPr="009802E0">
        <w:rPr>
          <w:rFonts w:asciiTheme="minorEastAsia" w:eastAsiaTheme="minorEastAsia" w:hAnsiTheme="minorEastAsia"/>
          <w:szCs w:val="20"/>
        </w:rPr>
        <w:t>-</w:t>
      </w:r>
      <w:r w:rsidRPr="009802E0">
        <w:rPr>
          <w:rFonts w:asciiTheme="minorEastAsia" w:eastAsiaTheme="minorEastAsia" w:hAnsiTheme="minorEastAsia" w:hint="eastAsia"/>
          <w:szCs w:val="20"/>
        </w:rPr>
        <w:t>转出基金赎回费</w:t>
      </w:r>
      <w:r w:rsidRPr="009802E0">
        <w:rPr>
          <w:rFonts w:asciiTheme="minorEastAsia" w:eastAsiaTheme="minorEastAsia" w:hAnsiTheme="minorEastAsia"/>
          <w:szCs w:val="20"/>
        </w:rPr>
        <w:t>)</w:t>
      </w:r>
      <w:r w:rsidRPr="009802E0">
        <w:rPr>
          <w:rFonts w:asciiTheme="minorEastAsia" w:eastAsiaTheme="minorEastAsia" w:hAnsiTheme="minorEastAsia" w:hint="eastAsia"/>
          <w:szCs w:val="20"/>
        </w:rPr>
        <w:t>×申购补差费率÷</w:t>
      </w:r>
      <w:r w:rsidRPr="009802E0">
        <w:rPr>
          <w:rFonts w:asciiTheme="minorEastAsia" w:eastAsiaTheme="minorEastAsia" w:hAnsiTheme="minorEastAsia"/>
          <w:szCs w:val="20"/>
        </w:rPr>
        <w:t>(</w:t>
      </w:r>
      <w:r w:rsidRPr="009802E0">
        <w:rPr>
          <w:rFonts w:asciiTheme="minorEastAsia" w:eastAsiaTheme="minorEastAsia" w:hAnsiTheme="minorEastAsia" w:hint="eastAsia"/>
          <w:szCs w:val="20"/>
        </w:rPr>
        <w:t>１＋申购补差费率</w:t>
      </w:r>
      <w:r w:rsidRPr="009802E0">
        <w:rPr>
          <w:rFonts w:asciiTheme="minorEastAsia" w:eastAsiaTheme="minorEastAsia" w:hAnsiTheme="minorEastAsia"/>
          <w:szCs w:val="20"/>
        </w:rPr>
        <w:t>)=</w:t>
      </w:r>
      <w:r w:rsidRPr="009802E0">
        <w:rPr>
          <w:rFonts w:asciiTheme="minorEastAsia" w:eastAsiaTheme="minorEastAsia" w:hAnsiTheme="minorEastAsia" w:hint="eastAsia"/>
          <w:szCs w:val="20"/>
        </w:rPr>
        <w:t>（</w:t>
      </w:r>
      <w:r w:rsidRPr="009802E0">
        <w:rPr>
          <w:rFonts w:asciiTheme="minorEastAsia" w:eastAsiaTheme="minorEastAsia" w:hAnsiTheme="minorEastAsia"/>
          <w:szCs w:val="20"/>
        </w:rPr>
        <w:t>11,000.00-0.00)</w:t>
      </w:r>
      <w:r w:rsidRPr="009802E0">
        <w:rPr>
          <w:rFonts w:asciiTheme="minorEastAsia" w:eastAsiaTheme="minorEastAsia" w:hAnsiTheme="minorEastAsia" w:hint="eastAsia"/>
          <w:szCs w:val="20"/>
        </w:rPr>
        <w:t>×</w:t>
      </w:r>
      <w:r w:rsidRPr="009802E0">
        <w:rPr>
          <w:rFonts w:asciiTheme="minorEastAsia" w:eastAsiaTheme="minorEastAsia" w:hAnsiTheme="minorEastAsia"/>
          <w:szCs w:val="20"/>
        </w:rPr>
        <w:t>2.0%</w:t>
      </w:r>
      <w:r w:rsidRPr="009802E0">
        <w:rPr>
          <w:rFonts w:asciiTheme="minorEastAsia" w:eastAsiaTheme="minorEastAsia" w:hAnsiTheme="minorEastAsia" w:hint="eastAsia"/>
          <w:szCs w:val="20"/>
        </w:rPr>
        <w:t>÷</w:t>
      </w:r>
      <w:r w:rsidRPr="009802E0">
        <w:rPr>
          <w:rFonts w:asciiTheme="minorEastAsia" w:eastAsiaTheme="minorEastAsia" w:hAnsiTheme="minorEastAsia"/>
          <w:szCs w:val="20"/>
        </w:rPr>
        <w:t>(1+2.0%)=215.69</w:t>
      </w:r>
      <w:r w:rsidRPr="009802E0">
        <w:rPr>
          <w:rFonts w:asciiTheme="minorEastAsia" w:eastAsiaTheme="minorEastAsia" w:hAnsiTheme="minorEastAsia" w:hint="eastAsia"/>
          <w:szCs w:val="20"/>
        </w:rPr>
        <w:t>元</w:t>
      </w:r>
    </w:p>
    <w:p w:rsidR="00075F54" w:rsidRPr="009802E0" w:rsidRDefault="009B786B" w:rsidP="00FE018D">
      <w:pPr>
        <w:adjustRightInd w:val="0"/>
        <w:snapToGrid w:val="0"/>
        <w:spacing w:line="360" w:lineRule="auto"/>
        <w:ind w:firstLine="420"/>
        <w:rPr>
          <w:rFonts w:asciiTheme="minorEastAsia" w:eastAsiaTheme="minorEastAsia" w:hAnsiTheme="minorEastAsia"/>
          <w:szCs w:val="20"/>
        </w:rPr>
      </w:pPr>
      <w:r w:rsidRPr="009802E0">
        <w:rPr>
          <w:rFonts w:asciiTheme="minorEastAsia" w:eastAsiaTheme="minorEastAsia" w:hAnsiTheme="minorEastAsia" w:hint="eastAsia"/>
          <w:szCs w:val="20"/>
        </w:rPr>
        <w:t>转换费</w:t>
      </w:r>
      <w:r w:rsidRPr="009802E0">
        <w:rPr>
          <w:rFonts w:asciiTheme="minorEastAsia" w:eastAsiaTheme="minorEastAsia" w:hAnsiTheme="minorEastAsia"/>
          <w:szCs w:val="20"/>
        </w:rPr>
        <w:t>=</w:t>
      </w:r>
      <w:r w:rsidRPr="009802E0">
        <w:rPr>
          <w:rFonts w:asciiTheme="minorEastAsia" w:eastAsiaTheme="minorEastAsia" w:hAnsiTheme="minorEastAsia" w:hint="eastAsia"/>
          <w:szCs w:val="20"/>
        </w:rPr>
        <w:t>转出基金赎回费</w:t>
      </w:r>
      <w:r w:rsidRPr="009802E0">
        <w:rPr>
          <w:rFonts w:asciiTheme="minorEastAsia" w:eastAsiaTheme="minorEastAsia" w:hAnsiTheme="minorEastAsia"/>
          <w:szCs w:val="20"/>
        </w:rPr>
        <w:t>+</w:t>
      </w:r>
      <w:r w:rsidRPr="009802E0">
        <w:rPr>
          <w:rFonts w:asciiTheme="minorEastAsia" w:eastAsiaTheme="minorEastAsia" w:hAnsiTheme="minorEastAsia" w:hint="eastAsia"/>
          <w:szCs w:val="20"/>
        </w:rPr>
        <w:t>申购补差费</w:t>
      </w:r>
      <w:r w:rsidRPr="009802E0">
        <w:rPr>
          <w:rFonts w:asciiTheme="minorEastAsia" w:eastAsiaTheme="minorEastAsia" w:hAnsiTheme="minorEastAsia"/>
          <w:szCs w:val="20"/>
        </w:rPr>
        <w:t>=0.00+215.69=215.69</w:t>
      </w:r>
      <w:r w:rsidRPr="009802E0">
        <w:rPr>
          <w:rFonts w:asciiTheme="minorEastAsia" w:eastAsiaTheme="minorEastAsia" w:hAnsiTheme="minorEastAsia" w:hint="eastAsia"/>
          <w:szCs w:val="20"/>
        </w:rPr>
        <w:t>元</w:t>
      </w:r>
    </w:p>
    <w:p w:rsidR="00075F54" w:rsidRPr="009802E0" w:rsidRDefault="009B786B" w:rsidP="00FE018D">
      <w:pPr>
        <w:adjustRightInd w:val="0"/>
        <w:snapToGrid w:val="0"/>
        <w:spacing w:line="360" w:lineRule="auto"/>
        <w:ind w:firstLine="420"/>
        <w:rPr>
          <w:rFonts w:asciiTheme="minorEastAsia" w:eastAsiaTheme="minorEastAsia" w:hAnsiTheme="minorEastAsia"/>
          <w:szCs w:val="20"/>
        </w:rPr>
      </w:pPr>
      <w:r w:rsidRPr="009802E0">
        <w:rPr>
          <w:rFonts w:asciiTheme="minorEastAsia" w:eastAsiaTheme="minorEastAsia" w:hAnsiTheme="minorEastAsia" w:hint="eastAsia"/>
          <w:szCs w:val="20"/>
        </w:rPr>
        <w:t>转入金额</w:t>
      </w:r>
      <w:r w:rsidRPr="009802E0">
        <w:rPr>
          <w:rFonts w:asciiTheme="minorEastAsia" w:eastAsiaTheme="minorEastAsia" w:hAnsiTheme="minorEastAsia"/>
          <w:szCs w:val="20"/>
        </w:rPr>
        <w:t>=</w:t>
      </w:r>
      <w:r w:rsidRPr="009802E0">
        <w:rPr>
          <w:rFonts w:asciiTheme="minorEastAsia" w:eastAsiaTheme="minorEastAsia" w:hAnsiTheme="minorEastAsia" w:hint="eastAsia"/>
          <w:szCs w:val="20"/>
        </w:rPr>
        <w:t>转换金额</w:t>
      </w:r>
      <w:r w:rsidRPr="009802E0">
        <w:rPr>
          <w:rFonts w:asciiTheme="minorEastAsia" w:eastAsiaTheme="minorEastAsia" w:hAnsiTheme="minorEastAsia"/>
          <w:szCs w:val="20"/>
        </w:rPr>
        <w:t>-</w:t>
      </w:r>
      <w:r w:rsidRPr="009802E0">
        <w:rPr>
          <w:rFonts w:asciiTheme="minorEastAsia" w:eastAsiaTheme="minorEastAsia" w:hAnsiTheme="minorEastAsia" w:hint="eastAsia"/>
          <w:szCs w:val="20"/>
        </w:rPr>
        <w:t>转换费</w:t>
      </w:r>
      <w:r w:rsidRPr="009802E0">
        <w:rPr>
          <w:rFonts w:asciiTheme="minorEastAsia" w:eastAsiaTheme="minorEastAsia" w:hAnsiTheme="minorEastAsia"/>
          <w:szCs w:val="20"/>
        </w:rPr>
        <w:t>=11,000.00-215.69=10</w:t>
      </w:r>
      <w:r w:rsidR="00032AA8" w:rsidRPr="009802E0">
        <w:rPr>
          <w:rFonts w:asciiTheme="minorEastAsia" w:eastAsiaTheme="minorEastAsia" w:hAnsiTheme="minorEastAsia" w:hint="eastAsia"/>
          <w:szCs w:val="20"/>
        </w:rPr>
        <w:t>,</w:t>
      </w:r>
      <w:r w:rsidRPr="009802E0">
        <w:rPr>
          <w:rFonts w:asciiTheme="minorEastAsia" w:eastAsiaTheme="minorEastAsia" w:hAnsiTheme="minorEastAsia"/>
          <w:szCs w:val="20"/>
        </w:rPr>
        <w:t>784.31</w:t>
      </w:r>
      <w:r w:rsidRPr="009802E0">
        <w:rPr>
          <w:rFonts w:asciiTheme="minorEastAsia" w:eastAsiaTheme="minorEastAsia" w:hAnsiTheme="minorEastAsia" w:hint="eastAsia"/>
          <w:szCs w:val="20"/>
        </w:rPr>
        <w:t>元</w:t>
      </w:r>
    </w:p>
    <w:p w:rsidR="00075F54" w:rsidRPr="009802E0" w:rsidRDefault="009B786B" w:rsidP="00FE018D">
      <w:pPr>
        <w:adjustRightInd w:val="0"/>
        <w:snapToGrid w:val="0"/>
        <w:spacing w:line="360" w:lineRule="auto"/>
        <w:ind w:firstLine="420"/>
        <w:rPr>
          <w:rFonts w:asciiTheme="minorEastAsia" w:eastAsiaTheme="minorEastAsia" w:hAnsiTheme="minorEastAsia"/>
          <w:szCs w:val="20"/>
        </w:rPr>
      </w:pPr>
      <w:r w:rsidRPr="009802E0">
        <w:rPr>
          <w:rFonts w:asciiTheme="minorEastAsia" w:eastAsiaTheme="minorEastAsia" w:hAnsiTheme="minorEastAsia" w:hint="eastAsia"/>
          <w:szCs w:val="20"/>
        </w:rPr>
        <w:t>转入份额</w:t>
      </w:r>
      <w:r w:rsidRPr="009802E0">
        <w:rPr>
          <w:rFonts w:asciiTheme="minorEastAsia" w:eastAsiaTheme="minorEastAsia" w:hAnsiTheme="minorEastAsia"/>
          <w:szCs w:val="20"/>
        </w:rPr>
        <w:t>=</w:t>
      </w:r>
      <w:r w:rsidRPr="009802E0">
        <w:rPr>
          <w:rFonts w:asciiTheme="minorEastAsia" w:eastAsiaTheme="minorEastAsia" w:hAnsiTheme="minorEastAsia" w:hint="eastAsia"/>
          <w:szCs w:val="20"/>
        </w:rPr>
        <w:t>转入金额÷转入基金份额净值</w:t>
      </w:r>
      <w:r w:rsidRPr="009802E0">
        <w:rPr>
          <w:rFonts w:asciiTheme="minorEastAsia" w:eastAsiaTheme="minorEastAsia" w:hAnsiTheme="minorEastAsia"/>
          <w:szCs w:val="20"/>
        </w:rPr>
        <w:t>=10</w:t>
      </w:r>
      <w:r w:rsidR="004803B4" w:rsidRPr="009802E0">
        <w:rPr>
          <w:rFonts w:asciiTheme="minorEastAsia" w:eastAsiaTheme="minorEastAsia" w:hAnsiTheme="minorEastAsia" w:hint="eastAsia"/>
          <w:szCs w:val="20"/>
        </w:rPr>
        <w:t>,</w:t>
      </w:r>
      <w:r w:rsidRPr="009802E0">
        <w:rPr>
          <w:rFonts w:asciiTheme="minorEastAsia" w:eastAsiaTheme="minorEastAsia" w:hAnsiTheme="minorEastAsia"/>
          <w:szCs w:val="20"/>
        </w:rPr>
        <w:t>784.31</w:t>
      </w:r>
      <w:r w:rsidRPr="009802E0">
        <w:rPr>
          <w:rFonts w:asciiTheme="minorEastAsia" w:eastAsiaTheme="minorEastAsia" w:hAnsiTheme="minorEastAsia" w:hint="eastAsia"/>
          <w:szCs w:val="20"/>
        </w:rPr>
        <w:t>÷</w:t>
      </w:r>
      <w:r w:rsidRPr="009802E0">
        <w:rPr>
          <w:rFonts w:asciiTheme="minorEastAsia" w:eastAsiaTheme="minorEastAsia" w:hAnsiTheme="minorEastAsia"/>
          <w:szCs w:val="20"/>
        </w:rPr>
        <w:t>1.020=10</w:t>
      </w:r>
      <w:r w:rsidR="004803B4" w:rsidRPr="009802E0">
        <w:rPr>
          <w:rFonts w:asciiTheme="minorEastAsia" w:eastAsiaTheme="minorEastAsia" w:hAnsiTheme="minorEastAsia" w:hint="eastAsia"/>
          <w:szCs w:val="20"/>
        </w:rPr>
        <w:t>,</w:t>
      </w:r>
      <w:r w:rsidRPr="009802E0">
        <w:rPr>
          <w:rFonts w:asciiTheme="minorEastAsia" w:eastAsiaTheme="minorEastAsia" w:hAnsiTheme="minorEastAsia"/>
          <w:szCs w:val="20"/>
        </w:rPr>
        <w:t>572.85</w:t>
      </w:r>
      <w:r w:rsidRPr="009802E0">
        <w:rPr>
          <w:rFonts w:asciiTheme="minorEastAsia" w:eastAsiaTheme="minorEastAsia" w:hAnsiTheme="minorEastAsia" w:hint="eastAsia"/>
          <w:szCs w:val="20"/>
        </w:rPr>
        <w:t>份</w:t>
      </w: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00"/>
        <w:gridCol w:w="1440"/>
        <w:gridCol w:w="1260"/>
        <w:gridCol w:w="1080"/>
        <w:gridCol w:w="1440"/>
        <w:gridCol w:w="1185"/>
        <w:gridCol w:w="1335"/>
      </w:tblGrid>
      <w:tr w:rsidR="00F1417A" w:rsidRPr="009802E0" w:rsidTr="004702D1">
        <w:trPr>
          <w:trHeight w:val="413"/>
        </w:trPr>
        <w:tc>
          <w:tcPr>
            <w:tcW w:w="1080" w:type="dxa"/>
            <w:vMerge w:val="restart"/>
          </w:tcPr>
          <w:p w:rsidR="00075F54" w:rsidRPr="009802E0" w:rsidRDefault="00075F54" w:rsidP="00FE018D">
            <w:pPr>
              <w:adjustRightInd w:val="0"/>
              <w:snapToGrid w:val="0"/>
              <w:spacing w:line="360" w:lineRule="auto"/>
              <w:ind w:leftChars="-45" w:left="-94" w:rightChars="-57" w:right="-120"/>
              <w:jc w:val="center"/>
              <w:rPr>
                <w:rFonts w:asciiTheme="minorEastAsia" w:eastAsiaTheme="minorEastAsia" w:hAnsiTheme="minorEastAsia"/>
                <w:szCs w:val="20"/>
              </w:rPr>
            </w:pPr>
            <w:r w:rsidRPr="009802E0">
              <w:rPr>
                <w:rFonts w:asciiTheme="minorEastAsia" w:eastAsiaTheme="minorEastAsia" w:hAnsiTheme="minorEastAsia" w:hint="eastAsia"/>
                <w:szCs w:val="20"/>
              </w:rPr>
              <w:lastRenderedPageBreak/>
              <w:t>转出</w:t>
            </w:r>
            <w:r w:rsidRPr="009802E0">
              <w:rPr>
                <w:rFonts w:asciiTheme="minorEastAsia" w:eastAsiaTheme="minorEastAsia" w:hAnsiTheme="minorEastAsia"/>
                <w:szCs w:val="20"/>
              </w:rPr>
              <w:t>份额</w:t>
            </w:r>
          </w:p>
        </w:tc>
        <w:tc>
          <w:tcPr>
            <w:tcW w:w="900" w:type="dxa"/>
            <w:vMerge w:val="restart"/>
          </w:tcPr>
          <w:p w:rsidR="00075F54" w:rsidRPr="009802E0" w:rsidRDefault="00075F54" w:rsidP="00FE018D">
            <w:pPr>
              <w:adjustRightInd w:val="0"/>
              <w:snapToGrid w:val="0"/>
              <w:spacing w:line="360" w:lineRule="auto"/>
              <w:ind w:leftChars="-45" w:left="-94" w:rightChars="-57" w:right="-120"/>
              <w:jc w:val="center"/>
              <w:rPr>
                <w:rFonts w:asciiTheme="minorEastAsia" w:eastAsiaTheme="minorEastAsia" w:hAnsiTheme="minorEastAsia"/>
                <w:szCs w:val="20"/>
              </w:rPr>
            </w:pPr>
            <w:r w:rsidRPr="009802E0">
              <w:rPr>
                <w:rFonts w:asciiTheme="minorEastAsia" w:eastAsiaTheme="minorEastAsia" w:hAnsiTheme="minorEastAsia" w:hint="eastAsia"/>
                <w:szCs w:val="20"/>
              </w:rPr>
              <w:t>转出</w:t>
            </w:r>
            <w:r w:rsidRPr="009802E0">
              <w:rPr>
                <w:rFonts w:asciiTheme="minorEastAsia" w:eastAsiaTheme="minorEastAsia" w:hAnsiTheme="minorEastAsia"/>
                <w:szCs w:val="20"/>
              </w:rPr>
              <w:t>基金</w:t>
            </w:r>
            <w:r w:rsidRPr="009802E0">
              <w:rPr>
                <w:rFonts w:asciiTheme="minorEastAsia" w:eastAsiaTheme="minorEastAsia" w:hAnsiTheme="minorEastAsia" w:hint="eastAsia"/>
                <w:szCs w:val="20"/>
              </w:rPr>
              <w:t>份额</w:t>
            </w:r>
            <w:r w:rsidRPr="009802E0">
              <w:rPr>
                <w:rFonts w:asciiTheme="minorEastAsia" w:eastAsiaTheme="minorEastAsia" w:hAnsiTheme="minorEastAsia"/>
                <w:szCs w:val="20"/>
              </w:rPr>
              <w:t>净值</w:t>
            </w:r>
          </w:p>
        </w:tc>
        <w:tc>
          <w:tcPr>
            <w:tcW w:w="1440" w:type="dxa"/>
            <w:vMerge w:val="restart"/>
          </w:tcPr>
          <w:p w:rsidR="00075F54" w:rsidRPr="009802E0" w:rsidRDefault="00075F54" w:rsidP="00FE018D">
            <w:pPr>
              <w:adjustRightInd w:val="0"/>
              <w:snapToGrid w:val="0"/>
              <w:spacing w:line="360" w:lineRule="auto"/>
              <w:ind w:leftChars="-45" w:left="-94" w:rightChars="-57" w:right="-120"/>
              <w:jc w:val="center"/>
              <w:rPr>
                <w:rFonts w:asciiTheme="minorEastAsia" w:eastAsiaTheme="minorEastAsia" w:hAnsiTheme="minorEastAsia"/>
                <w:szCs w:val="20"/>
              </w:rPr>
            </w:pPr>
            <w:r w:rsidRPr="009802E0">
              <w:rPr>
                <w:rFonts w:asciiTheme="minorEastAsia" w:eastAsiaTheme="minorEastAsia" w:hAnsiTheme="minorEastAsia" w:hint="eastAsia"/>
                <w:szCs w:val="20"/>
              </w:rPr>
              <w:t>转换金额</w:t>
            </w:r>
          </w:p>
        </w:tc>
        <w:tc>
          <w:tcPr>
            <w:tcW w:w="2340" w:type="dxa"/>
            <w:gridSpan w:val="2"/>
          </w:tcPr>
          <w:p w:rsidR="00075F54" w:rsidRPr="009802E0" w:rsidRDefault="00075F54" w:rsidP="00FE018D">
            <w:pPr>
              <w:adjustRightInd w:val="0"/>
              <w:snapToGrid w:val="0"/>
              <w:spacing w:line="360" w:lineRule="auto"/>
              <w:ind w:leftChars="-45" w:left="-94" w:rightChars="-57" w:right="-120"/>
              <w:jc w:val="center"/>
              <w:rPr>
                <w:rFonts w:asciiTheme="minorEastAsia" w:eastAsiaTheme="minorEastAsia" w:hAnsiTheme="minorEastAsia"/>
                <w:szCs w:val="20"/>
              </w:rPr>
            </w:pPr>
            <w:r w:rsidRPr="009802E0">
              <w:rPr>
                <w:rFonts w:asciiTheme="minorEastAsia" w:eastAsiaTheme="minorEastAsia" w:hAnsiTheme="minorEastAsia" w:hint="eastAsia"/>
                <w:szCs w:val="20"/>
              </w:rPr>
              <w:t>转换费</w:t>
            </w:r>
          </w:p>
        </w:tc>
        <w:tc>
          <w:tcPr>
            <w:tcW w:w="1440" w:type="dxa"/>
            <w:vMerge w:val="restart"/>
          </w:tcPr>
          <w:p w:rsidR="00075F54" w:rsidRPr="009802E0" w:rsidRDefault="00075F54" w:rsidP="00FE018D">
            <w:pPr>
              <w:adjustRightInd w:val="0"/>
              <w:snapToGrid w:val="0"/>
              <w:spacing w:line="360" w:lineRule="auto"/>
              <w:ind w:leftChars="-45" w:left="-94" w:rightChars="-57" w:right="-120"/>
              <w:jc w:val="center"/>
              <w:rPr>
                <w:rFonts w:asciiTheme="minorEastAsia" w:eastAsiaTheme="minorEastAsia" w:hAnsiTheme="minorEastAsia"/>
                <w:szCs w:val="20"/>
              </w:rPr>
            </w:pPr>
            <w:r w:rsidRPr="009802E0">
              <w:rPr>
                <w:rFonts w:asciiTheme="minorEastAsia" w:eastAsiaTheme="minorEastAsia" w:hAnsiTheme="minorEastAsia" w:hint="eastAsia"/>
                <w:szCs w:val="20"/>
              </w:rPr>
              <w:t>转入金额</w:t>
            </w:r>
          </w:p>
        </w:tc>
        <w:tc>
          <w:tcPr>
            <w:tcW w:w="1185" w:type="dxa"/>
            <w:vMerge w:val="restart"/>
          </w:tcPr>
          <w:p w:rsidR="00075F54" w:rsidRPr="009802E0" w:rsidRDefault="00075F54" w:rsidP="00FE018D">
            <w:pPr>
              <w:adjustRightInd w:val="0"/>
              <w:snapToGrid w:val="0"/>
              <w:spacing w:line="360" w:lineRule="auto"/>
              <w:ind w:leftChars="-45" w:left="-94" w:rightChars="-57" w:right="-120"/>
              <w:jc w:val="center"/>
              <w:rPr>
                <w:rFonts w:asciiTheme="minorEastAsia" w:eastAsiaTheme="minorEastAsia" w:hAnsiTheme="minorEastAsia"/>
                <w:szCs w:val="20"/>
              </w:rPr>
            </w:pPr>
            <w:r w:rsidRPr="009802E0">
              <w:rPr>
                <w:rFonts w:asciiTheme="minorEastAsia" w:eastAsiaTheme="minorEastAsia" w:hAnsiTheme="minorEastAsia" w:hint="eastAsia"/>
                <w:szCs w:val="20"/>
              </w:rPr>
              <w:t>转入</w:t>
            </w:r>
            <w:r w:rsidRPr="009802E0">
              <w:rPr>
                <w:rFonts w:asciiTheme="minorEastAsia" w:eastAsiaTheme="minorEastAsia" w:hAnsiTheme="minorEastAsia"/>
                <w:szCs w:val="20"/>
              </w:rPr>
              <w:t>基金</w:t>
            </w:r>
            <w:r w:rsidRPr="009802E0">
              <w:rPr>
                <w:rFonts w:asciiTheme="minorEastAsia" w:eastAsiaTheme="minorEastAsia" w:hAnsiTheme="minorEastAsia" w:hint="eastAsia"/>
                <w:szCs w:val="20"/>
              </w:rPr>
              <w:t>份额</w:t>
            </w:r>
            <w:r w:rsidRPr="009802E0">
              <w:rPr>
                <w:rFonts w:asciiTheme="minorEastAsia" w:eastAsiaTheme="minorEastAsia" w:hAnsiTheme="minorEastAsia"/>
                <w:szCs w:val="20"/>
              </w:rPr>
              <w:t>净值</w:t>
            </w:r>
          </w:p>
        </w:tc>
        <w:tc>
          <w:tcPr>
            <w:tcW w:w="1335" w:type="dxa"/>
            <w:vMerge w:val="restart"/>
          </w:tcPr>
          <w:p w:rsidR="00075F54" w:rsidRPr="009802E0" w:rsidRDefault="00075F54" w:rsidP="00FE018D">
            <w:pPr>
              <w:adjustRightInd w:val="0"/>
              <w:snapToGrid w:val="0"/>
              <w:spacing w:line="360" w:lineRule="auto"/>
              <w:ind w:leftChars="-45" w:left="-94" w:rightChars="-57" w:right="-120"/>
              <w:jc w:val="center"/>
              <w:rPr>
                <w:rFonts w:asciiTheme="minorEastAsia" w:eastAsiaTheme="minorEastAsia" w:hAnsiTheme="minorEastAsia"/>
                <w:szCs w:val="20"/>
              </w:rPr>
            </w:pPr>
            <w:r w:rsidRPr="009802E0">
              <w:rPr>
                <w:rFonts w:asciiTheme="minorEastAsia" w:eastAsiaTheme="minorEastAsia" w:hAnsiTheme="minorEastAsia" w:hint="eastAsia"/>
                <w:szCs w:val="20"/>
              </w:rPr>
              <w:t>转入份额</w:t>
            </w:r>
          </w:p>
        </w:tc>
      </w:tr>
      <w:tr w:rsidR="00F1417A" w:rsidRPr="009802E0" w:rsidTr="004702D1">
        <w:trPr>
          <w:trHeight w:val="412"/>
        </w:trPr>
        <w:tc>
          <w:tcPr>
            <w:tcW w:w="1080" w:type="dxa"/>
            <w:vMerge/>
          </w:tcPr>
          <w:p w:rsidR="00075F54" w:rsidRPr="009802E0" w:rsidRDefault="00075F54" w:rsidP="00FE018D">
            <w:pPr>
              <w:adjustRightInd w:val="0"/>
              <w:snapToGrid w:val="0"/>
              <w:spacing w:line="360" w:lineRule="auto"/>
              <w:ind w:firstLine="420"/>
              <w:rPr>
                <w:rFonts w:asciiTheme="minorEastAsia" w:eastAsiaTheme="minorEastAsia" w:hAnsiTheme="minorEastAsia"/>
                <w:szCs w:val="20"/>
              </w:rPr>
            </w:pPr>
          </w:p>
        </w:tc>
        <w:tc>
          <w:tcPr>
            <w:tcW w:w="900" w:type="dxa"/>
            <w:vMerge/>
          </w:tcPr>
          <w:p w:rsidR="00075F54" w:rsidRPr="009802E0" w:rsidRDefault="00075F54" w:rsidP="00FE018D">
            <w:pPr>
              <w:adjustRightInd w:val="0"/>
              <w:snapToGrid w:val="0"/>
              <w:spacing w:line="360" w:lineRule="auto"/>
              <w:ind w:firstLine="420"/>
              <w:rPr>
                <w:rFonts w:asciiTheme="minorEastAsia" w:eastAsiaTheme="minorEastAsia" w:hAnsiTheme="minorEastAsia"/>
                <w:szCs w:val="20"/>
              </w:rPr>
            </w:pPr>
          </w:p>
        </w:tc>
        <w:tc>
          <w:tcPr>
            <w:tcW w:w="1440" w:type="dxa"/>
            <w:vMerge/>
          </w:tcPr>
          <w:p w:rsidR="00075F54" w:rsidRPr="009802E0" w:rsidRDefault="00075F54" w:rsidP="00FE018D">
            <w:pPr>
              <w:adjustRightInd w:val="0"/>
              <w:snapToGrid w:val="0"/>
              <w:spacing w:line="360" w:lineRule="auto"/>
              <w:ind w:firstLine="420"/>
              <w:rPr>
                <w:rFonts w:asciiTheme="minorEastAsia" w:eastAsiaTheme="minorEastAsia" w:hAnsiTheme="minorEastAsia"/>
                <w:szCs w:val="20"/>
              </w:rPr>
            </w:pPr>
          </w:p>
        </w:tc>
        <w:tc>
          <w:tcPr>
            <w:tcW w:w="1260" w:type="dxa"/>
          </w:tcPr>
          <w:p w:rsidR="00075F54" w:rsidRPr="009802E0" w:rsidRDefault="00075F54" w:rsidP="00FE018D">
            <w:pPr>
              <w:adjustRightInd w:val="0"/>
              <w:snapToGrid w:val="0"/>
              <w:spacing w:line="360" w:lineRule="auto"/>
              <w:ind w:leftChars="-45" w:left="-94" w:rightChars="-57" w:right="-120"/>
              <w:jc w:val="center"/>
              <w:rPr>
                <w:rFonts w:asciiTheme="minorEastAsia" w:eastAsiaTheme="minorEastAsia" w:hAnsiTheme="minorEastAsia"/>
                <w:szCs w:val="20"/>
              </w:rPr>
            </w:pPr>
            <w:r w:rsidRPr="009802E0">
              <w:rPr>
                <w:rFonts w:asciiTheme="minorEastAsia" w:eastAsiaTheme="minorEastAsia" w:hAnsiTheme="minorEastAsia" w:hint="eastAsia"/>
                <w:szCs w:val="20"/>
              </w:rPr>
              <w:t>转出基金</w:t>
            </w:r>
            <w:r w:rsidRPr="009802E0">
              <w:rPr>
                <w:rFonts w:asciiTheme="minorEastAsia" w:eastAsiaTheme="minorEastAsia" w:hAnsiTheme="minorEastAsia"/>
                <w:szCs w:val="20"/>
              </w:rPr>
              <w:t>赎回费</w:t>
            </w:r>
          </w:p>
        </w:tc>
        <w:tc>
          <w:tcPr>
            <w:tcW w:w="1080" w:type="dxa"/>
          </w:tcPr>
          <w:p w:rsidR="00075F54" w:rsidRPr="009802E0" w:rsidRDefault="00075F54" w:rsidP="00FE018D">
            <w:pPr>
              <w:adjustRightInd w:val="0"/>
              <w:snapToGrid w:val="0"/>
              <w:spacing w:line="360" w:lineRule="auto"/>
              <w:ind w:leftChars="-45" w:left="-94" w:rightChars="-57" w:right="-120"/>
              <w:jc w:val="center"/>
              <w:rPr>
                <w:rFonts w:asciiTheme="minorEastAsia" w:eastAsiaTheme="minorEastAsia" w:hAnsiTheme="minorEastAsia"/>
                <w:szCs w:val="20"/>
              </w:rPr>
            </w:pPr>
            <w:r w:rsidRPr="009802E0">
              <w:rPr>
                <w:rFonts w:asciiTheme="minorEastAsia" w:eastAsiaTheme="minorEastAsia" w:hAnsiTheme="minorEastAsia" w:hint="eastAsia"/>
                <w:szCs w:val="20"/>
              </w:rPr>
              <w:t>申购</w:t>
            </w:r>
            <w:r w:rsidRPr="009802E0">
              <w:rPr>
                <w:rFonts w:asciiTheme="minorEastAsia" w:eastAsiaTheme="minorEastAsia" w:hAnsiTheme="minorEastAsia"/>
                <w:szCs w:val="20"/>
              </w:rPr>
              <w:t>补差费</w:t>
            </w:r>
          </w:p>
        </w:tc>
        <w:tc>
          <w:tcPr>
            <w:tcW w:w="1440" w:type="dxa"/>
            <w:vMerge/>
          </w:tcPr>
          <w:p w:rsidR="00075F54" w:rsidRPr="009802E0" w:rsidRDefault="00075F54" w:rsidP="00FE018D">
            <w:pPr>
              <w:adjustRightInd w:val="0"/>
              <w:snapToGrid w:val="0"/>
              <w:spacing w:line="360" w:lineRule="auto"/>
              <w:ind w:firstLine="420"/>
              <w:rPr>
                <w:rFonts w:asciiTheme="minorEastAsia" w:eastAsiaTheme="minorEastAsia" w:hAnsiTheme="minorEastAsia"/>
                <w:szCs w:val="20"/>
              </w:rPr>
            </w:pPr>
          </w:p>
        </w:tc>
        <w:tc>
          <w:tcPr>
            <w:tcW w:w="1185" w:type="dxa"/>
            <w:vMerge/>
          </w:tcPr>
          <w:p w:rsidR="00075F54" w:rsidRPr="009802E0" w:rsidRDefault="00075F54" w:rsidP="00FE018D">
            <w:pPr>
              <w:adjustRightInd w:val="0"/>
              <w:snapToGrid w:val="0"/>
              <w:spacing w:line="360" w:lineRule="auto"/>
              <w:ind w:firstLine="420"/>
              <w:rPr>
                <w:rFonts w:asciiTheme="minorEastAsia" w:eastAsiaTheme="minorEastAsia" w:hAnsiTheme="minorEastAsia"/>
                <w:szCs w:val="20"/>
              </w:rPr>
            </w:pPr>
          </w:p>
        </w:tc>
        <w:tc>
          <w:tcPr>
            <w:tcW w:w="1335" w:type="dxa"/>
            <w:vMerge/>
          </w:tcPr>
          <w:p w:rsidR="00075F54" w:rsidRPr="009802E0" w:rsidRDefault="00075F54" w:rsidP="00FE018D">
            <w:pPr>
              <w:adjustRightInd w:val="0"/>
              <w:snapToGrid w:val="0"/>
              <w:spacing w:line="360" w:lineRule="auto"/>
              <w:ind w:firstLine="420"/>
              <w:rPr>
                <w:rFonts w:asciiTheme="minorEastAsia" w:eastAsiaTheme="minorEastAsia" w:hAnsiTheme="minorEastAsia"/>
                <w:szCs w:val="20"/>
              </w:rPr>
            </w:pPr>
          </w:p>
        </w:tc>
      </w:tr>
      <w:tr w:rsidR="00F1417A" w:rsidRPr="009802E0" w:rsidTr="004702D1">
        <w:tc>
          <w:tcPr>
            <w:tcW w:w="1080" w:type="dxa"/>
          </w:tcPr>
          <w:p w:rsidR="00075F54" w:rsidRPr="009802E0" w:rsidRDefault="00075F54" w:rsidP="00FE018D">
            <w:pPr>
              <w:adjustRightInd w:val="0"/>
              <w:snapToGrid w:val="0"/>
              <w:spacing w:line="360" w:lineRule="auto"/>
              <w:ind w:leftChars="-45" w:left="-94" w:rightChars="-57" w:right="-120"/>
              <w:jc w:val="center"/>
              <w:rPr>
                <w:rFonts w:asciiTheme="minorEastAsia" w:eastAsiaTheme="minorEastAsia" w:hAnsiTheme="minorEastAsia"/>
                <w:szCs w:val="20"/>
              </w:rPr>
            </w:pPr>
            <w:r w:rsidRPr="009802E0">
              <w:rPr>
                <w:rFonts w:asciiTheme="minorEastAsia" w:eastAsiaTheme="minorEastAsia" w:hAnsiTheme="minorEastAsia"/>
                <w:szCs w:val="20"/>
              </w:rPr>
              <w:t>10,000</w:t>
            </w:r>
            <w:r w:rsidRPr="009802E0">
              <w:rPr>
                <w:rFonts w:asciiTheme="minorEastAsia" w:eastAsiaTheme="minorEastAsia" w:hAnsiTheme="minorEastAsia" w:hint="eastAsia"/>
                <w:szCs w:val="20"/>
              </w:rPr>
              <w:t>份</w:t>
            </w:r>
          </w:p>
        </w:tc>
        <w:tc>
          <w:tcPr>
            <w:tcW w:w="900" w:type="dxa"/>
          </w:tcPr>
          <w:p w:rsidR="00075F54" w:rsidRPr="009802E0" w:rsidRDefault="00075F54" w:rsidP="00FE018D">
            <w:pPr>
              <w:adjustRightInd w:val="0"/>
              <w:snapToGrid w:val="0"/>
              <w:spacing w:line="360" w:lineRule="auto"/>
              <w:ind w:leftChars="-45" w:left="-94" w:rightChars="-57" w:right="-120"/>
              <w:jc w:val="center"/>
              <w:rPr>
                <w:rFonts w:asciiTheme="minorEastAsia" w:eastAsiaTheme="minorEastAsia" w:hAnsiTheme="minorEastAsia"/>
                <w:szCs w:val="20"/>
              </w:rPr>
            </w:pPr>
            <w:r w:rsidRPr="009802E0">
              <w:rPr>
                <w:rFonts w:asciiTheme="minorEastAsia" w:eastAsiaTheme="minorEastAsia" w:hAnsiTheme="minorEastAsia"/>
                <w:szCs w:val="20"/>
              </w:rPr>
              <w:t>1.</w:t>
            </w:r>
            <w:r w:rsidRPr="009802E0">
              <w:rPr>
                <w:rFonts w:asciiTheme="minorEastAsia" w:eastAsiaTheme="minorEastAsia" w:hAnsiTheme="minorEastAsia" w:hint="eastAsia"/>
                <w:szCs w:val="20"/>
              </w:rPr>
              <w:t>1</w:t>
            </w:r>
            <w:r w:rsidRPr="009802E0">
              <w:rPr>
                <w:rFonts w:asciiTheme="minorEastAsia" w:eastAsiaTheme="minorEastAsia" w:hAnsiTheme="minorEastAsia"/>
                <w:szCs w:val="20"/>
              </w:rPr>
              <w:t>0</w:t>
            </w:r>
            <w:r w:rsidRPr="009802E0">
              <w:rPr>
                <w:rFonts w:asciiTheme="minorEastAsia" w:eastAsiaTheme="minorEastAsia" w:hAnsiTheme="minorEastAsia" w:hint="eastAsia"/>
                <w:szCs w:val="20"/>
              </w:rPr>
              <w:t>0</w:t>
            </w:r>
            <w:r w:rsidRPr="009802E0">
              <w:rPr>
                <w:rFonts w:asciiTheme="minorEastAsia" w:eastAsiaTheme="minorEastAsia" w:hAnsiTheme="minorEastAsia"/>
                <w:szCs w:val="20"/>
              </w:rPr>
              <w:t>元</w:t>
            </w:r>
          </w:p>
        </w:tc>
        <w:tc>
          <w:tcPr>
            <w:tcW w:w="1440" w:type="dxa"/>
          </w:tcPr>
          <w:p w:rsidR="00075F54" w:rsidRPr="009802E0" w:rsidRDefault="00075F54" w:rsidP="00FE018D">
            <w:pPr>
              <w:adjustRightInd w:val="0"/>
              <w:snapToGrid w:val="0"/>
              <w:spacing w:line="360" w:lineRule="auto"/>
              <w:ind w:leftChars="-45" w:left="-94" w:rightChars="-57" w:right="-120"/>
              <w:jc w:val="center"/>
              <w:rPr>
                <w:rFonts w:asciiTheme="minorEastAsia" w:eastAsiaTheme="minorEastAsia" w:hAnsiTheme="minorEastAsia"/>
                <w:szCs w:val="20"/>
              </w:rPr>
            </w:pPr>
            <w:r w:rsidRPr="009802E0">
              <w:rPr>
                <w:rFonts w:asciiTheme="minorEastAsia" w:eastAsiaTheme="minorEastAsia" w:hAnsiTheme="minorEastAsia" w:hint="eastAsia"/>
                <w:szCs w:val="20"/>
              </w:rPr>
              <w:t>11,000.00元</w:t>
            </w:r>
          </w:p>
        </w:tc>
        <w:tc>
          <w:tcPr>
            <w:tcW w:w="1260" w:type="dxa"/>
          </w:tcPr>
          <w:p w:rsidR="00075F54" w:rsidRPr="009802E0" w:rsidRDefault="009B786B" w:rsidP="00FE018D">
            <w:pPr>
              <w:adjustRightInd w:val="0"/>
              <w:snapToGrid w:val="0"/>
              <w:spacing w:line="360" w:lineRule="auto"/>
              <w:ind w:leftChars="-45" w:left="-94" w:rightChars="-57" w:right="-120"/>
              <w:jc w:val="center"/>
              <w:rPr>
                <w:rFonts w:asciiTheme="minorEastAsia" w:eastAsiaTheme="minorEastAsia" w:hAnsiTheme="minorEastAsia"/>
                <w:szCs w:val="20"/>
              </w:rPr>
            </w:pPr>
            <w:r w:rsidRPr="009802E0">
              <w:rPr>
                <w:rFonts w:asciiTheme="minorEastAsia" w:eastAsiaTheme="minorEastAsia" w:hAnsiTheme="minorEastAsia" w:hint="eastAsia"/>
                <w:szCs w:val="20"/>
              </w:rPr>
              <w:t>0.00</w:t>
            </w:r>
            <w:r w:rsidR="00075F54" w:rsidRPr="009802E0">
              <w:rPr>
                <w:rFonts w:asciiTheme="minorEastAsia" w:eastAsiaTheme="minorEastAsia" w:hAnsiTheme="minorEastAsia" w:hint="eastAsia"/>
                <w:szCs w:val="20"/>
              </w:rPr>
              <w:t>元</w:t>
            </w:r>
          </w:p>
        </w:tc>
        <w:tc>
          <w:tcPr>
            <w:tcW w:w="1080" w:type="dxa"/>
          </w:tcPr>
          <w:p w:rsidR="00075F54" w:rsidRPr="009802E0" w:rsidRDefault="009B786B" w:rsidP="00FE018D">
            <w:pPr>
              <w:adjustRightInd w:val="0"/>
              <w:snapToGrid w:val="0"/>
              <w:spacing w:line="360" w:lineRule="auto"/>
              <w:ind w:leftChars="-45" w:left="-94" w:rightChars="-57" w:right="-120"/>
              <w:jc w:val="center"/>
              <w:rPr>
                <w:rFonts w:asciiTheme="minorEastAsia" w:eastAsiaTheme="minorEastAsia" w:hAnsiTheme="minorEastAsia"/>
                <w:szCs w:val="20"/>
              </w:rPr>
            </w:pPr>
            <w:r w:rsidRPr="009802E0">
              <w:rPr>
                <w:rFonts w:asciiTheme="minorEastAsia" w:eastAsiaTheme="minorEastAsia" w:hAnsiTheme="minorEastAsia" w:hint="eastAsia"/>
              </w:rPr>
              <w:t>215.69</w:t>
            </w:r>
            <w:r w:rsidR="00075F54" w:rsidRPr="009802E0">
              <w:rPr>
                <w:rFonts w:asciiTheme="minorEastAsia" w:eastAsiaTheme="minorEastAsia" w:hAnsiTheme="minorEastAsia" w:hint="eastAsia"/>
                <w:szCs w:val="20"/>
              </w:rPr>
              <w:t>元</w:t>
            </w:r>
          </w:p>
        </w:tc>
        <w:tc>
          <w:tcPr>
            <w:tcW w:w="1440" w:type="dxa"/>
          </w:tcPr>
          <w:p w:rsidR="00075F54" w:rsidRPr="009802E0" w:rsidRDefault="00645B4F" w:rsidP="00FE018D">
            <w:pPr>
              <w:adjustRightInd w:val="0"/>
              <w:snapToGrid w:val="0"/>
              <w:spacing w:line="360" w:lineRule="auto"/>
              <w:ind w:leftChars="-45" w:left="-94" w:rightChars="-57" w:right="-120"/>
              <w:jc w:val="center"/>
              <w:rPr>
                <w:rFonts w:asciiTheme="minorEastAsia" w:eastAsiaTheme="minorEastAsia" w:hAnsiTheme="minorEastAsia"/>
                <w:szCs w:val="20"/>
              </w:rPr>
            </w:pPr>
            <w:r w:rsidRPr="009802E0">
              <w:rPr>
                <w:rFonts w:asciiTheme="minorEastAsia" w:eastAsiaTheme="minorEastAsia" w:hAnsiTheme="minorEastAsia"/>
                <w:szCs w:val="20"/>
              </w:rPr>
              <w:t>10</w:t>
            </w:r>
            <w:r w:rsidR="004803B4" w:rsidRPr="009802E0">
              <w:rPr>
                <w:rFonts w:asciiTheme="minorEastAsia" w:eastAsiaTheme="minorEastAsia" w:hAnsiTheme="minorEastAsia" w:hint="eastAsia"/>
                <w:szCs w:val="20"/>
              </w:rPr>
              <w:t>,</w:t>
            </w:r>
            <w:r w:rsidRPr="009802E0">
              <w:rPr>
                <w:rFonts w:asciiTheme="minorEastAsia" w:eastAsiaTheme="minorEastAsia" w:hAnsiTheme="minorEastAsia"/>
                <w:szCs w:val="20"/>
              </w:rPr>
              <w:t>784.31</w:t>
            </w:r>
            <w:r w:rsidR="00075F54" w:rsidRPr="009802E0">
              <w:rPr>
                <w:rFonts w:asciiTheme="minorEastAsia" w:eastAsiaTheme="minorEastAsia" w:hAnsiTheme="minorEastAsia" w:hint="eastAsia"/>
                <w:szCs w:val="20"/>
              </w:rPr>
              <w:t>元</w:t>
            </w:r>
          </w:p>
        </w:tc>
        <w:tc>
          <w:tcPr>
            <w:tcW w:w="1185" w:type="dxa"/>
          </w:tcPr>
          <w:p w:rsidR="00075F54" w:rsidRPr="009802E0" w:rsidRDefault="00075F54" w:rsidP="00FE018D">
            <w:pPr>
              <w:adjustRightInd w:val="0"/>
              <w:snapToGrid w:val="0"/>
              <w:spacing w:line="360" w:lineRule="auto"/>
              <w:ind w:leftChars="-45" w:left="-94" w:rightChars="-57" w:right="-120"/>
              <w:jc w:val="center"/>
              <w:rPr>
                <w:rFonts w:asciiTheme="minorEastAsia" w:eastAsiaTheme="minorEastAsia" w:hAnsiTheme="minorEastAsia"/>
                <w:szCs w:val="20"/>
              </w:rPr>
            </w:pPr>
            <w:r w:rsidRPr="009802E0">
              <w:rPr>
                <w:rFonts w:asciiTheme="minorEastAsia" w:eastAsiaTheme="minorEastAsia" w:hAnsiTheme="minorEastAsia" w:hint="eastAsia"/>
                <w:szCs w:val="20"/>
              </w:rPr>
              <w:t>1.020元</w:t>
            </w:r>
          </w:p>
        </w:tc>
        <w:tc>
          <w:tcPr>
            <w:tcW w:w="1335" w:type="dxa"/>
          </w:tcPr>
          <w:p w:rsidR="00075F54" w:rsidRPr="009802E0" w:rsidRDefault="00645B4F" w:rsidP="00FE018D">
            <w:pPr>
              <w:adjustRightInd w:val="0"/>
              <w:snapToGrid w:val="0"/>
              <w:spacing w:line="360" w:lineRule="auto"/>
              <w:ind w:leftChars="-45" w:left="-94" w:rightChars="-57" w:right="-120"/>
              <w:jc w:val="center"/>
              <w:rPr>
                <w:rFonts w:asciiTheme="minorEastAsia" w:eastAsiaTheme="minorEastAsia" w:hAnsiTheme="minorEastAsia"/>
                <w:szCs w:val="20"/>
              </w:rPr>
            </w:pPr>
            <w:r w:rsidRPr="009802E0">
              <w:rPr>
                <w:rFonts w:asciiTheme="minorEastAsia" w:eastAsiaTheme="minorEastAsia" w:hAnsiTheme="minorEastAsia"/>
                <w:szCs w:val="20"/>
              </w:rPr>
              <w:t>10</w:t>
            </w:r>
            <w:r w:rsidR="004803B4" w:rsidRPr="009802E0">
              <w:rPr>
                <w:rFonts w:asciiTheme="minorEastAsia" w:eastAsiaTheme="minorEastAsia" w:hAnsiTheme="minorEastAsia" w:hint="eastAsia"/>
                <w:szCs w:val="20"/>
              </w:rPr>
              <w:t>,</w:t>
            </w:r>
            <w:r w:rsidRPr="009802E0">
              <w:rPr>
                <w:rFonts w:asciiTheme="minorEastAsia" w:eastAsiaTheme="minorEastAsia" w:hAnsiTheme="minorEastAsia"/>
                <w:szCs w:val="20"/>
              </w:rPr>
              <w:t>572.85</w:t>
            </w:r>
            <w:r w:rsidR="00075F54" w:rsidRPr="009802E0">
              <w:rPr>
                <w:rFonts w:asciiTheme="minorEastAsia" w:eastAsiaTheme="minorEastAsia" w:hAnsiTheme="minorEastAsia" w:hint="eastAsia"/>
                <w:szCs w:val="20"/>
              </w:rPr>
              <w:t>份</w:t>
            </w:r>
          </w:p>
        </w:tc>
      </w:tr>
    </w:tbl>
    <w:p w:rsidR="0096166C" w:rsidRPr="009802E0" w:rsidRDefault="0096166C" w:rsidP="0096166C">
      <w:pPr>
        <w:autoSpaceDE w:val="0"/>
        <w:autoSpaceDN w:val="0"/>
        <w:snapToGrid w:val="0"/>
        <w:spacing w:line="360" w:lineRule="auto"/>
        <w:ind w:firstLine="420"/>
        <w:textAlignment w:val="bottom"/>
        <w:rPr>
          <w:rFonts w:asciiTheme="minorEastAsia" w:eastAsiaTheme="minorEastAsia" w:hAnsiTheme="minorEastAsia"/>
        </w:rPr>
      </w:pPr>
      <w:r w:rsidRPr="009802E0">
        <w:rPr>
          <w:rFonts w:asciiTheme="minorEastAsia" w:eastAsiaTheme="minorEastAsia" w:hAnsiTheme="minorEastAsia" w:hint="eastAsia"/>
        </w:rPr>
        <w:t>注：本基金转出至本基金转出至易方达平稳增长混合、易方达策略成长混合、易方达上证</w:t>
      </w:r>
      <w:r w:rsidRPr="009802E0">
        <w:rPr>
          <w:rFonts w:asciiTheme="minorEastAsia" w:eastAsiaTheme="minorEastAsia" w:hAnsiTheme="minorEastAsia"/>
        </w:rPr>
        <w:t>50</w:t>
      </w:r>
      <w:r w:rsidRPr="009802E0">
        <w:rPr>
          <w:rFonts w:asciiTheme="minorEastAsia" w:eastAsiaTheme="minorEastAsia" w:hAnsiTheme="minorEastAsia" w:hint="eastAsia"/>
        </w:rPr>
        <w:t>指数、易方达积极成长混合、易方达货币、易方达稳健收益债券时，转入份额的计算结果保留到小数点后两位，小数点两位以后舍去，舍去部分所代表的资产归基金财产所有；本基金转出至易方达天天理财货币、易方达信用债债券、易方达纯债</w:t>
      </w:r>
      <w:r w:rsidRPr="009802E0">
        <w:rPr>
          <w:rFonts w:asciiTheme="minorEastAsia" w:eastAsiaTheme="minorEastAsia" w:hAnsiTheme="minorEastAsia"/>
        </w:rPr>
        <w:t>1</w:t>
      </w:r>
      <w:r w:rsidRPr="009802E0">
        <w:rPr>
          <w:rFonts w:asciiTheme="minorEastAsia" w:eastAsiaTheme="minorEastAsia" w:hAnsiTheme="minorEastAsia" w:hint="eastAsia"/>
        </w:rPr>
        <w:t>年定期开放债券、易方达高等级信用债债券、易方达裕丰回报债券、易方达丰华债券、易方达投资级信用债债券、易方达恒久</w:t>
      </w:r>
      <w:r w:rsidRPr="009802E0">
        <w:rPr>
          <w:rFonts w:asciiTheme="minorEastAsia" w:eastAsiaTheme="minorEastAsia" w:hAnsiTheme="minorEastAsia"/>
        </w:rPr>
        <w:t>1</w:t>
      </w:r>
      <w:r w:rsidRPr="009802E0">
        <w:rPr>
          <w:rFonts w:asciiTheme="minorEastAsia" w:eastAsiaTheme="minorEastAsia" w:hAnsiTheme="minorEastAsia" w:hint="eastAsia"/>
        </w:rPr>
        <w:t>年定期债券、易方达黄金</w:t>
      </w:r>
      <w:r w:rsidRPr="009802E0">
        <w:rPr>
          <w:rFonts w:asciiTheme="minorEastAsia" w:eastAsiaTheme="minorEastAsia" w:hAnsiTheme="minorEastAsia"/>
        </w:rPr>
        <w:t>ETF</w:t>
      </w:r>
      <w:r w:rsidRPr="009802E0">
        <w:rPr>
          <w:rFonts w:asciiTheme="minorEastAsia" w:eastAsiaTheme="minorEastAsia" w:hAnsiTheme="minorEastAsia" w:hint="eastAsia"/>
        </w:rPr>
        <w:t>联接、易方达易理财货币、易方达新兴成长混合、易方达裕惠定开混合发起式、易方达创新驱动混合、易方达现金增利货币、易方达财富快线货币、易方达天天增利货币、易方达龙宝货币、易方达天天发货币、易方达掌柜季季盈理财债券、易方达沪深</w:t>
      </w:r>
      <w:r w:rsidRPr="009802E0">
        <w:rPr>
          <w:rFonts w:asciiTheme="minorEastAsia" w:eastAsiaTheme="minorEastAsia" w:hAnsiTheme="minorEastAsia"/>
        </w:rPr>
        <w:t>300</w:t>
      </w:r>
      <w:r w:rsidRPr="009802E0">
        <w:rPr>
          <w:rFonts w:asciiTheme="minorEastAsia" w:eastAsiaTheme="minorEastAsia" w:hAnsiTheme="minorEastAsia" w:hint="eastAsia"/>
        </w:rPr>
        <w:t>非银联接、易方达增金宝货币、易方达新经济混合、易方达改革红利混合、易方达裕如混合、易方达安心回馈混合、易方达新常态混合、易方达新收益混合、易方达新利混合、易方达新鑫混合、易方达新益混合、易方达新享混合、易方达沪深</w:t>
      </w:r>
      <w:r w:rsidRPr="009802E0">
        <w:rPr>
          <w:rFonts w:asciiTheme="minorEastAsia" w:eastAsiaTheme="minorEastAsia" w:hAnsiTheme="minorEastAsia"/>
        </w:rPr>
        <w:t>300</w:t>
      </w:r>
      <w:r w:rsidRPr="009802E0">
        <w:rPr>
          <w:rFonts w:asciiTheme="minorEastAsia" w:eastAsiaTheme="minorEastAsia" w:hAnsiTheme="minorEastAsia" w:hint="eastAsia"/>
        </w:rPr>
        <w:t>医药</w:t>
      </w:r>
      <w:r w:rsidRPr="009802E0">
        <w:rPr>
          <w:rFonts w:asciiTheme="minorEastAsia" w:eastAsiaTheme="minorEastAsia" w:hAnsiTheme="minorEastAsia"/>
        </w:rPr>
        <w:t>ETF</w:t>
      </w:r>
      <w:r w:rsidRPr="009802E0">
        <w:rPr>
          <w:rFonts w:asciiTheme="minorEastAsia" w:eastAsiaTheme="minorEastAsia" w:hAnsiTheme="minorEastAsia" w:hint="eastAsia"/>
        </w:rPr>
        <w:t>联接、易方达新丝路混合、易方达国企改革混合、易方达瑞景混合、易方达瑞享混合、易方达瑞信混合、易方达瑞选混合、易方达国防军工混合、易方达中债</w:t>
      </w:r>
      <w:r w:rsidRPr="009802E0">
        <w:rPr>
          <w:rFonts w:asciiTheme="minorEastAsia" w:eastAsiaTheme="minorEastAsia" w:hAnsiTheme="minorEastAsia"/>
        </w:rPr>
        <w:t>3-5</w:t>
      </w:r>
      <w:r w:rsidRPr="009802E0">
        <w:rPr>
          <w:rFonts w:asciiTheme="minorEastAsia" w:eastAsiaTheme="minorEastAsia" w:hAnsiTheme="minorEastAsia" w:hint="eastAsia"/>
        </w:rPr>
        <w:t>年期国债指数、易方达信息产业混合、易方达瑞和混合、易方达安盈回报混合、易方达瑞财混合、易方达瑞智混合、易方达瑞兴混合、易方达瑞恒混合、易方达瑞祥混合、易方达环保主题混合、易方达现代服务业混合、易方达大健康主题混合、易方达量化策略精选混合、易方达裕祥回报债券、易方达裕景添利</w:t>
      </w:r>
      <w:r w:rsidRPr="009802E0">
        <w:rPr>
          <w:rFonts w:asciiTheme="minorEastAsia" w:eastAsiaTheme="minorEastAsia" w:hAnsiTheme="minorEastAsia"/>
        </w:rPr>
        <w:t>6</w:t>
      </w:r>
      <w:r w:rsidRPr="009802E0">
        <w:rPr>
          <w:rFonts w:asciiTheme="minorEastAsia" w:eastAsiaTheme="minorEastAsia" w:hAnsiTheme="minorEastAsia" w:hint="eastAsia"/>
        </w:rPr>
        <w:t>个月定期开放债券、易方达丰惠混合、易方达供给改革混合、易方达丰和债券、易方达裕鑫债券、易方达富惠纯债债券、易方达科瑞混合、易方达中债</w:t>
      </w:r>
      <w:r w:rsidRPr="009802E0">
        <w:rPr>
          <w:rFonts w:asciiTheme="minorEastAsia" w:eastAsiaTheme="minorEastAsia" w:hAnsiTheme="minorEastAsia"/>
        </w:rPr>
        <w:t>7-10</w:t>
      </w:r>
      <w:r w:rsidRPr="009802E0">
        <w:rPr>
          <w:rFonts w:asciiTheme="minorEastAsia" w:eastAsiaTheme="minorEastAsia" w:hAnsiTheme="minorEastAsia" w:hint="eastAsia"/>
        </w:rPr>
        <w:t>年期国开行债券指数、易方达瑞通混合、易方达瑞弘混合、易方达瑞程混合、易方达恒益定开债券发起式、易方达易百智能量化策略混合、易方达恒安定开债券发起式、易方达港股通红利混合、易方达富财纯债债券、易方达恒信定开债券发起式、易方达蓝筹精选混合、易方达中盘成长混合、易方达鑫转增利混合、易方达鑫转添利混合、易方达鑫转招利混合、易方达恒惠定开债券发起式、易方达安瑞短债债券、易方达科融混合、易方达安悦超短债债券、易方达</w:t>
      </w:r>
      <w:r w:rsidRPr="009802E0">
        <w:rPr>
          <w:rFonts w:asciiTheme="minorEastAsia" w:eastAsiaTheme="minorEastAsia" w:hAnsiTheme="minorEastAsia"/>
        </w:rPr>
        <w:t>MSCI</w:t>
      </w:r>
      <w:r w:rsidRPr="009802E0">
        <w:rPr>
          <w:rFonts w:asciiTheme="minorEastAsia" w:eastAsiaTheme="minorEastAsia" w:hAnsiTheme="minorEastAsia" w:hint="eastAsia"/>
        </w:rPr>
        <w:t>中国</w:t>
      </w:r>
      <w:r w:rsidRPr="009802E0">
        <w:rPr>
          <w:rFonts w:asciiTheme="minorEastAsia" w:eastAsiaTheme="minorEastAsia" w:hAnsiTheme="minorEastAsia"/>
        </w:rPr>
        <w:t>A</w:t>
      </w:r>
      <w:r w:rsidRPr="009802E0">
        <w:rPr>
          <w:rFonts w:asciiTheme="minorEastAsia" w:eastAsiaTheme="minorEastAsia" w:hAnsiTheme="minorEastAsia" w:hint="eastAsia"/>
        </w:rPr>
        <w:t>股国际通</w:t>
      </w:r>
      <w:r w:rsidRPr="009802E0">
        <w:rPr>
          <w:rFonts w:asciiTheme="minorEastAsia" w:eastAsiaTheme="minorEastAsia" w:hAnsiTheme="minorEastAsia"/>
        </w:rPr>
        <w:t>ETF</w:t>
      </w:r>
      <w:r w:rsidRPr="009802E0">
        <w:rPr>
          <w:rFonts w:asciiTheme="minorEastAsia" w:eastAsiaTheme="minorEastAsia" w:hAnsiTheme="minorEastAsia" w:hint="eastAsia"/>
        </w:rPr>
        <w:t>联接发起式、易方达中证</w:t>
      </w:r>
      <w:r w:rsidRPr="009802E0">
        <w:rPr>
          <w:rFonts w:asciiTheme="minorEastAsia" w:eastAsiaTheme="minorEastAsia" w:hAnsiTheme="minorEastAsia"/>
        </w:rPr>
        <w:t>500ETF</w:t>
      </w:r>
      <w:r w:rsidRPr="009802E0">
        <w:rPr>
          <w:rFonts w:asciiTheme="minorEastAsia" w:eastAsiaTheme="minorEastAsia" w:hAnsiTheme="minorEastAsia" w:hint="eastAsia"/>
        </w:rPr>
        <w:t>联接发起式、易方达恒利</w:t>
      </w:r>
      <w:r w:rsidRPr="009802E0">
        <w:rPr>
          <w:rFonts w:asciiTheme="minorEastAsia" w:eastAsiaTheme="minorEastAsia" w:hAnsiTheme="minorEastAsia"/>
        </w:rPr>
        <w:t>3</w:t>
      </w:r>
      <w:r w:rsidRPr="009802E0">
        <w:rPr>
          <w:rFonts w:asciiTheme="minorEastAsia" w:eastAsiaTheme="minorEastAsia" w:hAnsiTheme="minorEastAsia" w:hint="eastAsia"/>
        </w:rPr>
        <w:t>个月定开债券发起式、易方达中债</w:t>
      </w:r>
      <w:r w:rsidRPr="009802E0">
        <w:rPr>
          <w:rFonts w:asciiTheme="minorEastAsia" w:eastAsiaTheme="minorEastAsia" w:hAnsiTheme="minorEastAsia"/>
        </w:rPr>
        <w:t>1-3</w:t>
      </w:r>
      <w:r w:rsidRPr="009802E0">
        <w:rPr>
          <w:rFonts w:asciiTheme="minorEastAsia" w:eastAsiaTheme="minorEastAsia" w:hAnsiTheme="minorEastAsia" w:hint="eastAsia"/>
        </w:rPr>
        <w:t>年国开行债券指数、易方达中债</w:t>
      </w:r>
      <w:r w:rsidRPr="009802E0">
        <w:rPr>
          <w:rFonts w:asciiTheme="minorEastAsia" w:eastAsiaTheme="minorEastAsia" w:hAnsiTheme="minorEastAsia"/>
        </w:rPr>
        <w:t>3-5</w:t>
      </w:r>
      <w:r w:rsidRPr="009802E0">
        <w:rPr>
          <w:rFonts w:asciiTheme="minorEastAsia" w:eastAsiaTheme="minorEastAsia" w:hAnsiTheme="minorEastAsia" w:hint="eastAsia"/>
        </w:rPr>
        <w:t>年国开行债券指数、易方达中债</w:t>
      </w:r>
      <w:r w:rsidRPr="009802E0">
        <w:rPr>
          <w:rFonts w:asciiTheme="minorEastAsia" w:eastAsiaTheme="minorEastAsia" w:hAnsiTheme="minorEastAsia"/>
        </w:rPr>
        <w:t>1-3</w:t>
      </w:r>
      <w:r w:rsidRPr="009802E0">
        <w:rPr>
          <w:rFonts w:asciiTheme="minorEastAsia" w:eastAsiaTheme="minorEastAsia" w:hAnsiTheme="minorEastAsia" w:hint="eastAsia"/>
        </w:rPr>
        <w:t>年政金债指数、易方达中债</w:t>
      </w:r>
      <w:r w:rsidRPr="009802E0">
        <w:rPr>
          <w:rFonts w:asciiTheme="minorEastAsia" w:eastAsiaTheme="minorEastAsia" w:hAnsiTheme="minorEastAsia"/>
        </w:rPr>
        <w:t>3-5</w:t>
      </w:r>
      <w:r w:rsidRPr="009802E0">
        <w:rPr>
          <w:rFonts w:asciiTheme="minorEastAsia" w:eastAsiaTheme="minorEastAsia" w:hAnsiTheme="minorEastAsia" w:hint="eastAsia"/>
        </w:rPr>
        <w:t>年政金债指数、易方达上证</w:t>
      </w:r>
      <w:r w:rsidRPr="009802E0">
        <w:rPr>
          <w:rFonts w:asciiTheme="minorEastAsia" w:eastAsiaTheme="minorEastAsia" w:hAnsiTheme="minorEastAsia"/>
        </w:rPr>
        <w:t>50ETF</w:t>
      </w:r>
      <w:r w:rsidRPr="009802E0">
        <w:rPr>
          <w:rFonts w:asciiTheme="minorEastAsia" w:eastAsiaTheme="minorEastAsia" w:hAnsiTheme="minorEastAsia" w:hint="eastAsia"/>
        </w:rPr>
        <w:t>联接发起式、易方达恒兴</w:t>
      </w:r>
      <w:r w:rsidRPr="009802E0">
        <w:rPr>
          <w:rFonts w:asciiTheme="minorEastAsia" w:eastAsiaTheme="minorEastAsia" w:hAnsiTheme="minorEastAsia"/>
        </w:rPr>
        <w:t>3</w:t>
      </w:r>
      <w:r w:rsidRPr="009802E0">
        <w:rPr>
          <w:rFonts w:asciiTheme="minorEastAsia" w:eastAsiaTheme="minorEastAsia" w:hAnsiTheme="minorEastAsia" w:hint="eastAsia"/>
        </w:rPr>
        <w:t>个月定开债券发起式、易方达</w:t>
      </w:r>
      <w:r w:rsidRPr="009802E0">
        <w:rPr>
          <w:rFonts w:asciiTheme="minorEastAsia" w:eastAsiaTheme="minorEastAsia" w:hAnsiTheme="minorEastAsia"/>
        </w:rPr>
        <w:t>ESG</w:t>
      </w:r>
      <w:r w:rsidRPr="009802E0">
        <w:rPr>
          <w:rFonts w:asciiTheme="minorEastAsia" w:eastAsiaTheme="minorEastAsia" w:hAnsiTheme="minorEastAsia" w:hint="eastAsia"/>
        </w:rPr>
        <w:t>责任投资股票发起式、易方达中证国企一带一路</w:t>
      </w:r>
      <w:r w:rsidRPr="009802E0">
        <w:rPr>
          <w:rFonts w:asciiTheme="minorEastAsia" w:eastAsiaTheme="minorEastAsia" w:hAnsiTheme="minorEastAsia"/>
        </w:rPr>
        <w:t>ETF</w:t>
      </w:r>
      <w:r w:rsidRPr="009802E0">
        <w:rPr>
          <w:rFonts w:asciiTheme="minorEastAsia" w:eastAsiaTheme="minorEastAsia" w:hAnsiTheme="minorEastAsia" w:hint="eastAsia"/>
        </w:rPr>
        <w:t>联接、易方达中证</w:t>
      </w:r>
      <w:r w:rsidRPr="009802E0">
        <w:rPr>
          <w:rFonts w:asciiTheme="minorEastAsia" w:eastAsiaTheme="minorEastAsia" w:hAnsiTheme="minorEastAsia"/>
        </w:rPr>
        <w:t>800ETF</w:t>
      </w:r>
      <w:r w:rsidRPr="009802E0">
        <w:rPr>
          <w:rFonts w:asciiTheme="minorEastAsia" w:eastAsiaTheme="minorEastAsia" w:hAnsiTheme="minorEastAsia" w:hint="eastAsia"/>
        </w:rPr>
        <w:t>联接发起式、易方达恒盛</w:t>
      </w:r>
      <w:r w:rsidRPr="009802E0">
        <w:rPr>
          <w:rFonts w:asciiTheme="minorEastAsia" w:eastAsiaTheme="minorEastAsia" w:hAnsiTheme="minorEastAsia"/>
        </w:rPr>
        <w:t>3</w:t>
      </w:r>
      <w:r w:rsidRPr="009802E0">
        <w:rPr>
          <w:rFonts w:asciiTheme="minorEastAsia" w:eastAsiaTheme="minorEastAsia" w:hAnsiTheme="minorEastAsia" w:hint="eastAsia"/>
        </w:rPr>
        <w:t>个月定开混合发起式、易方达研究精选股票、易方达裕富债券、易方达高端制造混合发起式、易方达消费精选股票、</w:t>
      </w:r>
      <w:r w:rsidR="002663F8" w:rsidRPr="009802E0">
        <w:rPr>
          <w:rFonts w:asciiTheme="minorEastAsia" w:eastAsiaTheme="minorEastAsia" w:hAnsiTheme="minorEastAsia" w:hint="eastAsia"/>
        </w:rPr>
        <w:t>易方达金融行业股票发起式、</w:t>
      </w:r>
      <w:r w:rsidRPr="009802E0">
        <w:rPr>
          <w:rFonts w:asciiTheme="minorEastAsia" w:eastAsiaTheme="minorEastAsia" w:hAnsiTheme="minorEastAsia" w:hint="eastAsia"/>
        </w:rPr>
        <w:t>易方达价值精选混合、易方达价值成长混合、易方达中小盘混合、易方达</w:t>
      </w:r>
      <w:r w:rsidRPr="009802E0">
        <w:rPr>
          <w:rFonts w:asciiTheme="minorEastAsia" w:eastAsiaTheme="minorEastAsia" w:hAnsiTheme="minorEastAsia" w:hint="eastAsia"/>
        </w:rPr>
        <w:lastRenderedPageBreak/>
        <w:t>科汇灵活配置混合、易方达科翔混合、易方达行业领先混合、易方达增强回报债券、易方达深证</w:t>
      </w:r>
      <w:r w:rsidRPr="009802E0">
        <w:rPr>
          <w:rFonts w:asciiTheme="minorEastAsia" w:eastAsiaTheme="minorEastAsia" w:hAnsiTheme="minorEastAsia"/>
        </w:rPr>
        <w:t>100ETF</w:t>
      </w:r>
      <w:r w:rsidRPr="009802E0">
        <w:rPr>
          <w:rFonts w:asciiTheme="minorEastAsia" w:eastAsiaTheme="minorEastAsia" w:hAnsiTheme="minorEastAsia" w:hint="eastAsia"/>
        </w:rPr>
        <w:t>联接、易方达沪深</w:t>
      </w:r>
      <w:r w:rsidRPr="009802E0">
        <w:rPr>
          <w:rFonts w:asciiTheme="minorEastAsia" w:eastAsiaTheme="minorEastAsia" w:hAnsiTheme="minorEastAsia"/>
        </w:rPr>
        <w:t>300ETF</w:t>
      </w:r>
      <w:r w:rsidRPr="009802E0">
        <w:rPr>
          <w:rFonts w:asciiTheme="minorEastAsia" w:eastAsiaTheme="minorEastAsia" w:hAnsiTheme="minorEastAsia" w:hint="eastAsia"/>
        </w:rPr>
        <w:t>发起式联接、易方达上证中盘</w:t>
      </w:r>
      <w:r w:rsidRPr="009802E0">
        <w:rPr>
          <w:rFonts w:asciiTheme="minorEastAsia" w:eastAsiaTheme="minorEastAsia" w:hAnsiTheme="minorEastAsia"/>
        </w:rPr>
        <w:t>ETF</w:t>
      </w:r>
      <w:r w:rsidRPr="009802E0">
        <w:rPr>
          <w:rFonts w:asciiTheme="minorEastAsia" w:eastAsiaTheme="minorEastAsia" w:hAnsiTheme="minorEastAsia" w:hint="eastAsia"/>
        </w:rPr>
        <w:t>联接、易方达消费行业股票、易方达医疗保健行业混合、易方达资源行业混合、易方达创业板</w:t>
      </w:r>
      <w:r w:rsidRPr="009802E0">
        <w:rPr>
          <w:rFonts w:asciiTheme="minorEastAsia" w:eastAsiaTheme="minorEastAsia" w:hAnsiTheme="minorEastAsia"/>
        </w:rPr>
        <w:t>ETF</w:t>
      </w:r>
      <w:r w:rsidRPr="009802E0">
        <w:rPr>
          <w:rFonts w:asciiTheme="minorEastAsia" w:eastAsiaTheme="minorEastAsia" w:hAnsiTheme="minorEastAsia" w:hint="eastAsia"/>
        </w:rPr>
        <w:t>联接、易方达科讯混合、易方达沪深</w:t>
      </w:r>
      <w:r w:rsidRPr="009802E0">
        <w:rPr>
          <w:rFonts w:asciiTheme="minorEastAsia" w:eastAsiaTheme="minorEastAsia" w:hAnsiTheme="minorEastAsia"/>
        </w:rPr>
        <w:t>300</w:t>
      </w:r>
      <w:r w:rsidRPr="009802E0">
        <w:rPr>
          <w:rFonts w:asciiTheme="minorEastAsia" w:eastAsiaTheme="minorEastAsia" w:hAnsiTheme="minorEastAsia" w:hint="eastAsia"/>
        </w:rPr>
        <w:t>量化增强、易方达双债增强债券、易方达纯债债券、易方达月月利理财债券、易方达安源中短债债券、易方达策略成长二号混合时，转入份额的计算结果保留到小数点后两位，小数点后两位以后的部分四舍五入，由此误差产生的损失由基金财产承担，产生的收益归基金财产所有。时，转入份额的计算结果保留到小数点后两位，小数点后两位以后的部分四舍五入，由此误差产生的损失由基金财产承担，产生的收益归基金财产所有。</w:t>
      </w:r>
    </w:p>
    <w:p w:rsidR="00CB427F" w:rsidRPr="009802E0" w:rsidRDefault="00C04F29" w:rsidP="00FE018D">
      <w:pPr>
        <w:pStyle w:val="22"/>
        <w:adjustRightInd w:val="0"/>
        <w:snapToGrid w:val="0"/>
        <w:spacing w:beforeLines="0" w:afterLines="0" w:line="360" w:lineRule="auto"/>
        <w:ind w:firstLine="562"/>
        <w:rPr>
          <w:rFonts w:asciiTheme="minorEastAsia" w:eastAsiaTheme="minorEastAsia" w:hAnsiTheme="minorEastAsia"/>
        </w:rPr>
      </w:pPr>
      <w:bookmarkStart w:id="77" w:name="_Toc43301909"/>
      <w:bookmarkEnd w:id="71"/>
      <w:bookmarkEnd w:id="72"/>
      <w:bookmarkEnd w:id="73"/>
      <w:bookmarkEnd w:id="74"/>
      <w:bookmarkEnd w:id="75"/>
      <w:bookmarkEnd w:id="76"/>
      <w:r w:rsidRPr="009802E0">
        <w:rPr>
          <w:rFonts w:asciiTheme="minorEastAsia" w:eastAsiaTheme="minorEastAsia" w:hAnsiTheme="minorEastAsia" w:hint="eastAsia"/>
        </w:rPr>
        <w:t>（</w:t>
      </w:r>
      <w:r w:rsidR="0033517C" w:rsidRPr="009802E0">
        <w:rPr>
          <w:rFonts w:asciiTheme="minorEastAsia" w:eastAsiaTheme="minorEastAsia" w:hAnsiTheme="minorEastAsia" w:hint="eastAsia"/>
        </w:rPr>
        <w:t>七</w:t>
      </w:r>
      <w:r w:rsidRPr="009802E0">
        <w:rPr>
          <w:rFonts w:asciiTheme="minorEastAsia" w:eastAsiaTheme="minorEastAsia" w:hAnsiTheme="minorEastAsia" w:hint="eastAsia"/>
        </w:rPr>
        <w:t>）</w:t>
      </w:r>
      <w:r w:rsidR="0007640C" w:rsidRPr="009802E0">
        <w:rPr>
          <w:rFonts w:asciiTheme="minorEastAsia" w:eastAsiaTheme="minorEastAsia" w:hAnsiTheme="minorEastAsia" w:hint="eastAsia"/>
        </w:rPr>
        <w:t>基金转换的注册登记</w:t>
      </w:r>
      <w:bookmarkEnd w:id="77"/>
    </w:p>
    <w:p w:rsidR="0007640C" w:rsidRPr="009802E0" w:rsidRDefault="0007640C"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投资者</w:t>
      </w:r>
      <w:r w:rsidRPr="009802E0">
        <w:rPr>
          <w:rFonts w:asciiTheme="minorEastAsia" w:eastAsiaTheme="minorEastAsia" w:hAnsiTheme="minorEastAsia"/>
          <w:szCs w:val="21"/>
        </w:rPr>
        <w:t>T</w:t>
      </w:r>
      <w:r w:rsidRPr="009802E0">
        <w:rPr>
          <w:rFonts w:asciiTheme="minorEastAsia" w:eastAsiaTheme="minorEastAsia" w:hAnsiTheme="minorEastAsia" w:hint="eastAsia"/>
          <w:szCs w:val="21"/>
        </w:rPr>
        <w:t>日申请基金转换成功后，注册登记机构将在</w:t>
      </w:r>
      <w:r w:rsidRPr="009802E0">
        <w:rPr>
          <w:rFonts w:asciiTheme="minorEastAsia" w:eastAsiaTheme="minorEastAsia" w:hAnsiTheme="minorEastAsia"/>
          <w:szCs w:val="21"/>
        </w:rPr>
        <w:t>T</w:t>
      </w:r>
      <w:r w:rsidRPr="009802E0">
        <w:rPr>
          <w:rFonts w:asciiTheme="minorEastAsia" w:eastAsiaTheme="minorEastAsia" w:hAnsiTheme="minorEastAsia" w:hint="eastAsia"/>
          <w:szCs w:val="21"/>
        </w:rPr>
        <w:t>＋</w:t>
      </w:r>
      <w:r w:rsidRPr="009802E0">
        <w:rPr>
          <w:rFonts w:asciiTheme="minorEastAsia" w:eastAsiaTheme="minorEastAsia" w:hAnsiTheme="minorEastAsia"/>
          <w:szCs w:val="21"/>
        </w:rPr>
        <w:t>1</w:t>
      </w:r>
      <w:r w:rsidRPr="009802E0">
        <w:rPr>
          <w:rFonts w:asciiTheme="minorEastAsia" w:eastAsiaTheme="minorEastAsia" w:hAnsiTheme="minorEastAsia" w:hint="eastAsia"/>
          <w:szCs w:val="21"/>
        </w:rPr>
        <w:t>工作日为投资者办理减少转出基金份额、增加转入基金份额的权益登记手续，一般情况下，投资者自</w:t>
      </w:r>
      <w:r w:rsidRPr="009802E0">
        <w:rPr>
          <w:rFonts w:asciiTheme="minorEastAsia" w:eastAsiaTheme="minorEastAsia" w:hAnsiTheme="minorEastAsia"/>
          <w:szCs w:val="21"/>
        </w:rPr>
        <w:t>T</w:t>
      </w:r>
      <w:r w:rsidRPr="009802E0">
        <w:rPr>
          <w:rFonts w:asciiTheme="minorEastAsia" w:eastAsiaTheme="minorEastAsia" w:hAnsiTheme="minorEastAsia" w:hint="eastAsia"/>
          <w:szCs w:val="21"/>
        </w:rPr>
        <w:t>＋</w:t>
      </w:r>
      <w:r w:rsidRPr="009802E0">
        <w:rPr>
          <w:rFonts w:asciiTheme="minorEastAsia" w:eastAsiaTheme="minorEastAsia" w:hAnsiTheme="minorEastAsia"/>
          <w:szCs w:val="21"/>
        </w:rPr>
        <w:t>2</w:t>
      </w:r>
      <w:r w:rsidRPr="009802E0">
        <w:rPr>
          <w:rFonts w:asciiTheme="minorEastAsia" w:eastAsiaTheme="minorEastAsia" w:hAnsiTheme="minorEastAsia" w:hint="eastAsia"/>
          <w:szCs w:val="21"/>
        </w:rPr>
        <w:t>工作日起有权赎回转入部分的基金份额。</w:t>
      </w:r>
    </w:p>
    <w:p w:rsidR="0007640C" w:rsidRPr="009802E0" w:rsidRDefault="0007640C"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基金管理人可在法律法规允许的范围内，对上述注册登记办理时间进行调整，并应在调整生效前在至少一种中国证监会指定的媒体上予以公告。</w:t>
      </w:r>
    </w:p>
    <w:p w:rsidR="00CB427F" w:rsidRPr="009802E0" w:rsidRDefault="0033517C" w:rsidP="00FE018D">
      <w:pPr>
        <w:pStyle w:val="22"/>
        <w:adjustRightInd w:val="0"/>
        <w:snapToGrid w:val="0"/>
        <w:spacing w:beforeLines="0" w:afterLines="0" w:line="360" w:lineRule="auto"/>
        <w:ind w:firstLine="562"/>
        <w:rPr>
          <w:rFonts w:asciiTheme="minorEastAsia" w:eastAsiaTheme="minorEastAsia" w:hAnsiTheme="minorEastAsia"/>
        </w:rPr>
      </w:pPr>
      <w:bookmarkStart w:id="78" w:name="_Toc294686126"/>
      <w:bookmarkStart w:id="79" w:name="_Toc264906015"/>
      <w:bookmarkStart w:id="80" w:name="_Toc258398108"/>
      <w:bookmarkStart w:id="81" w:name="_Toc245693560"/>
      <w:bookmarkStart w:id="82" w:name="_Toc229996714"/>
      <w:bookmarkStart w:id="83" w:name="_Toc198959623"/>
      <w:bookmarkStart w:id="84" w:name="_Toc43301910"/>
      <w:r w:rsidRPr="009802E0">
        <w:rPr>
          <w:rFonts w:asciiTheme="minorEastAsia" w:eastAsiaTheme="minorEastAsia" w:hAnsiTheme="minorEastAsia" w:hint="eastAsia"/>
        </w:rPr>
        <w:t>（八）基金转换与巨额赎回</w:t>
      </w:r>
      <w:bookmarkEnd w:id="78"/>
      <w:bookmarkEnd w:id="79"/>
      <w:bookmarkEnd w:id="80"/>
      <w:bookmarkEnd w:id="81"/>
      <w:bookmarkEnd w:id="82"/>
      <w:bookmarkEnd w:id="83"/>
      <w:bookmarkEnd w:id="84"/>
    </w:p>
    <w:p w:rsidR="0033517C" w:rsidRPr="009802E0" w:rsidRDefault="0033517C"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当发生巨额赎回时，基金转出与基金赎回具有相同的优先级，基金管理人可根据基金资产组合情况，决定全额转出或部分转出，并且对于基金转出和基金赎回，将采取相同的比例确认（另有公告的除外）；在转出申请得到部分确认的情况下，未确认的转出申请将不予以顺延。</w:t>
      </w:r>
    </w:p>
    <w:p w:rsidR="00CB427F" w:rsidRPr="009802E0" w:rsidRDefault="0033517C" w:rsidP="00FE018D">
      <w:pPr>
        <w:pStyle w:val="22"/>
        <w:adjustRightInd w:val="0"/>
        <w:snapToGrid w:val="0"/>
        <w:spacing w:beforeLines="0" w:afterLines="0" w:line="360" w:lineRule="auto"/>
        <w:ind w:firstLine="562"/>
        <w:rPr>
          <w:rFonts w:asciiTheme="minorEastAsia" w:eastAsiaTheme="minorEastAsia" w:hAnsiTheme="minorEastAsia"/>
        </w:rPr>
      </w:pPr>
      <w:bookmarkStart w:id="85" w:name="_Toc43301911"/>
      <w:r w:rsidRPr="009802E0">
        <w:rPr>
          <w:rFonts w:asciiTheme="minorEastAsia" w:eastAsiaTheme="minorEastAsia" w:hAnsiTheme="minorEastAsia" w:hint="eastAsia"/>
        </w:rPr>
        <w:t>（九）</w:t>
      </w:r>
      <w:r w:rsidR="00C04F29" w:rsidRPr="009802E0">
        <w:rPr>
          <w:rFonts w:asciiTheme="minorEastAsia" w:eastAsiaTheme="minorEastAsia" w:hAnsiTheme="minorEastAsia" w:hint="eastAsia"/>
        </w:rPr>
        <w:t>暂停基金转换的情形</w:t>
      </w:r>
      <w:bookmarkEnd w:id="85"/>
    </w:p>
    <w:p w:rsidR="00C04F29" w:rsidRPr="009802E0" w:rsidRDefault="00C04F29" w:rsidP="00FE018D">
      <w:pPr>
        <w:pStyle w:val="a7"/>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rPr>
        <w:t>发生下列情况时，基金管理人可拒绝或暂停接受基金投资者的转换申请：</w:t>
      </w:r>
    </w:p>
    <w:p w:rsidR="00C04F29" w:rsidRPr="009802E0" w:rsidRDefault="00C04F29" w:rsidP="00FE018D">
      <w:pPr>
        <w:pStyle w:val="a7"/>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rPr>
        <w:t>1</w:t>
      </w:r>
      <w:r w:rsidR="00C335A3" w:rsidRPr="009802E0">
        <w:rPr>
          <w:rFonts w:asciiTheme="minorEastAsia" w:eastAsiaTheme="minorEastAsia" w:hAnsiTheme="minorEastAsia" w:hint="eastAsia"/>
        </w:rPr>
        <w:t>、</w:t>
      </w:r>
      <w:r w:rsidRPr="009802E0">
        <w:rPr>
          <w:rFonts w:asciiTheme="minorEastAsia" w:eastAsiaTheme="minorEastAsia" w:hAnsiTheme="minorEastAsia" w:hint="eastAsia"/>
        </w:rPr>
        <w:t>因不可抗力导致基金管理人无法受理投资者的转换申请。</w:t>
      </w:r>
    </w:p>
    <w:p w:rsidR="00C04F29" w:rsidRPr="009802E0" w:rsidRDefault="00C04F29" w:rsidP="00FE018D">
      <w:pPr>
        <w:pStyle w:val="a7"/>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rPr>
        <w:t>2</w:t>
      </w:r>
      <w:r w:rsidR="00C335A3" w:rsidRPr="009802E0">
        <w:rPr>
          <w:rFonts w:asciiTheme="minorEastAsia" w:eastAsiaTheme="minorEastAsia" w:hAnsiTheme="minorEastAsia" w:hint="eastAsia"/>
        </w:rPr>
        <w:t>、</w:t>
      </w:r>
      <w:r w:rsidRPr="009802E0">
        <w:rPr>
          <w:rFonts w:asciiTheme="minorEastAsia" w:eastAsiaTheme="minorEastAsia" w:hAnsiTheme="minorEastAsia" w:hint="eastAsia"/>
        </w:rPr>
        <w:t>证券交易场所交易时间临时停市，导致基金管理人无法计算当日基金资产净值。</w:t>
      </w:r>
    </w:p>
    <w:p w:rsidR="00C04F29" w:rsidRPr="009802E0" w:rsidRDefault="00C04F29" w:rsidP="00FE018D">
      <w:pPr>
        <w:pStyle w:val="a7"/>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rPr>
        <w:t>3</w:t>
      </w:r>
      <w:r w:rsidR="00C335A3" w:rsidRPr="009802E0">
        <w:rPr>
          <w:rFonts w:asciiTheme="minorEastAsia" w:eastAsiaTheme="minorEastAsia" w:hAnsiTheme="minorEastAsia" w:hint="eastAsia"/>
        </w:rPr>
        <w:t>、</w:t>
      </w:r>
      <w:r w:rsidRPr="009802E0">
        <w:rPr>
          <w:rFonts w:asciiTheme="minorEastAsia" w:eastAsiaTheme="minorEastAsia" w:hAnsiTheme="minorEastAsia" w:hint="eastAsia"/>
        </w:rPr>
        <w:t>发生基金合同规定的暂停基金资产估值情况。</w:t>
      </w:r>
    </w:p>
    <w:p w:rsidR="00C04F29" w:rsidRPr="009802E0" w:rsidRDefault="00C04F29" w:rsidP="00FE018D">
      <w:pPr>
        <w:pStyle w:val="a7"/>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rPr>
        <w:t>4</w:t>
      </w:r>
      <w:r w:rsidR="00C335A3" w:rsidRPr="009802E0">
        <w:rPr>
          <w:rFonts w:asciiTheme="minorEastAsia" w:eastAsiaTheme="minorEastAsia" w:hAnsiTheme="minorEastAsia" w:hint="eastAsia"/>
        </w:rPr>
        <w:t>、</w:t>
      </w:r>
      <w:r w:rsidRPr="009802E0">
        <w:rPr>
          <w:rFonts w:asciiTheme="minorEastAsia" w:eastAsiaTheme="minorEastAsia" w:hAnsiTheme="minorEastAsia" w:hint="eastAsia"/>
        </w:rPr>
        <w:t>基金财产规模过大，使基金管理人无法找到合适的投资品种，或其他可能对基金业绩产生负面影响，从而损害现有基金份额持有人的利益的情形。</w:t>
      </w:r>
    </w:p>
    <w:p w:rsidR="00C04F29" w:rsidRPr="009802E0" w:rsidRDefault="00C04F29" w:rsidP="00FE018D">
      <w:pPr>
        <w:pStyle w:val="a7"/>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rPr>
        <w:t>5</w:t>
      </w:r>
      <w:r w:rsidR="00C335A3" w:rsidRPr="009802E0">
        <w:rPr>
          <w:rFonts w:asciiTheme="minorEastAsia" w:eastAsiaTheme="minorEastAsia" w:hAnsiTheme="minorEastAsia" w:hint="eastAsia"/>
        </w:rPr>
        <w:t>、</w:t>
      </w:r>
      <w:r w:rsidRPr="009802E0">
        <w:rPr>
          <w:rFonts w:asciiTheme="minorEastAsia" w:eastAsiaTheme="minorEastAsia" w:hAnsiTheme="minorEastAsia" w:hint="eastAsia"/>
        </w:rPr>
        <w:t>基金连续发生巨额赎回，根据本基金合同规定，可以暂停接受转换申请的情况。</w:t>
      </w:r>
    </w:p>
    <w:p w:rsidR="00745443" w:rsidRPr="009802E0" w:rsidRDefault="00C04F29" w:rsidP="00FE018D">
      <w:pPr>
        <w:pStyle w:val="a7"/>
        <w:adjustRightInd w:val="0"/>
        <w:snapToGrid w:val="0"/>
        <w:spacing w:line="360" w:lineRule="auto"/>
        <w:rPr>
          <w:rStyle w:val="da"/>
          <w:rFonts w:asciiTheme="minorEastAsia" w:eastAsiaTheme="minorEastAsia" w:hAnsiTheme="minorEastAsia"/>
          <w:szCs w:val="21"/>
        </w:rPr>
      </w:pPr>
      <w:r w:rsidRPr="009802E0">
        <w:rPr>
          <w:rFonts w:asciiTheme="minorEastAsia" w:eastAsiaTheme="minorEastAsia" w:hAnsiTheme="minorEastAsia"/>
        </w:rPr>
        <w:t>6</w:t>
      </w:r>
      <w:r w:rsidR="00C335A3" w:rsidRPr="009802E0">
        <w:rPr>
          <w:rFonts w:asciiTheme="minorEastAsia" w:eastAsiaTheme="minorEastAsia" w:hAnsiTheme="minorEastAsia" w:hint="eastAsia"/>
        </w:rPr>
        <w:t>、</w:t>
      </w:r>
      <w:r w:rsidR="00745443" w:rsidRPr="009802E0">
        <w:rPr>
          <w:rStyle w:val="da"/>
          <w:rFonts w:asciiTheme="minorEastAsia" w:eastAsiaTheme="minorEastAsia" w:hAnsiTheme="minorEastAsia" w:hint="eastAsia"/>
          <w:szCs w:val="21"/>
        </w:rPr>
        <w:t>基金管理人接受某笔或者某些转换转入申请有可能导致单一投资者持有基金份额的比例达到或者超过50%，或者变相规避50%集中度的情形时。</w:t>
      </w:r>
    </w:p>
    <w:p w:rsidR="00745443" w:rsidRPr="009802E0" w:rsidRDefault="00745443" w:rsidP="00FE018D">
      <w:pPr>
        <w:pStyle w:val="a7"/>
        <w:adjustRightInd w:val="0"/>
        <w:snapToGrid w:val="0"/>
        <w:spacing w:line="360" w:lineRule="auto"/>
        <w:rPr>
          <w:rStyle w:val="da"/>
          <w:rFonts w:asciiTheme="minorEastAsia" w:eastAsiaTheme="minorEastAsia" w:hAnsiTheme="minorEastAsia"/>
          <w:szCs w:val="21"/>
        </w:rPr>
      </w:pPr>
      <w:r w:rsidRPr="009802E0">
        <w:rPr>
          <w:rStyle w:val="da"/>
          <w:rFonts w:asciiTheme="minorEastAsia" w:eastAsiaTheme="minorEastAsia" w:hAnsiTheme="minorEastAsia" w:hint="eastAsia"/>
          <w:szCs w:val="21"/>
        </w:rPr>
        <w:t>7</w:t>
      </w:r>
      <w:r w:rsidRPr="009802E0">
        <w:rPr>
          <w:rStyle w:val="da"/>
          <w:rFonts w:asciiTheme="minorEastAsia" w:eastAsiaTheme="minorEastAsia" w:hAnsiTheme="minorEastAsia"/>
          <w:szCs w:val="21"/>
        </w:rPr>
        <w:t>、</w:t>
      </w:r>
      <w:r w:rsidRPr="009802E0">
        <w:rPr>
          <w:rStyle w:val="da"/>
          <w:rFonts w:asciiTheme="minorEastAsia" w:eastAsiaTheme="minorEastAsia" w:hAnsiTheme="minorEastAsia" w:hint="eastAsia"/>
          <w:szCs w:val="21"/>
        </w:rPr>
        <w:t>当一笔新的转换转入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w:t>
      </w:r>
      <w:r w:rsidRPr="009802E0">
        <w:rPr>
          <w:rStyle w:val="da"/>
          <w:rFonts w:asciiTheme="minorEastAsia" w:eastAsiaTheme="minorEastAsia" w:hAnsiTheme="minorEastAsia" w:hint="eastAsia"/>
          <w:szCs w:val="21"/>
        </w:rPr>
        <w:lastRenderedPageBreak/>
        <w:t>或该投资人当日申购金额超过单个投资人单日或单笔申购金额上限时。</w:t>
      </w:r>
    </w:p>
    <w:p w:rsidR="00745443" w:rsidRPr="009802E0" w:rsidRDefault="00745443" w:rsidP="00FE018D">
      <w:pPr>
        <w:pStyle w:val="a7"/>
        <w:adjustRightInd w:val="0"/>
        <w:snapToGrid w:val="0"/>
        <w:spacing w:line="360" w:lineRule="auto"/>
        <w:rPr>
          <w:rFonts w:asciiTheme="minorEastAsia" w:eastAsiaTheme="minorEastAsia" w:hAnsiTheme="minorEastAsia"/>
        </w:rPr>
      </w:pPr>
      <w:r w:rsidRPr="009802E0">
        <w:rPr>
          <w:rStyle w:val="da"/>
          <w:rFonts w:asciiTheme="minorEastAsia" w:eastAsiaTheme="minorEastAsia" w:hAnsiTheme="minorEastAsia" w:hint="eastAsia"/>
          <w:szCs w:val="21"/>
        </w:rPr>
        <w:t>8</w:t>
      </w:r>
      <w:r w:rsidRPr="009802E0">
        <w:rPr>
          <w:rStyle w:val="da"/>
          <w:rFonts w:asciiTheme="minorEastAsia" w:eastAsiaTheme="minorEastAsia" w:hAnsiTheme="minorEastAsia"/>
          <w:szCs w:val="21"/>
        </w:rPr>
        <w:t>、</w:t>
      </w:r>
      <w:r w:rsidRPr="009802E0">
        <w:rPr>
          <w:rStyle w:val="da"/>
          <w:rFonts w:asciiTheme="minorEastAsia" w:eastAsiaTheme="minorEastAsia" w:hAnsiTheme="minorEastAsia" w:hint="eastAsia"/>
          <w:szCs w:val="21"/>
        </w:rPr>
        <w:t>当前一估值日基金资产净值50%以上的资产出现无可参考的活跃市场价格且采用估值技术仍导致公允价值存在重大不确定性时，经与基金托管人协商确认后，基金管理人应当采取暂停接受基金转换申请的措施。</w:t>
      </w:r>
    </w:p>
    <w:p w:rsidR="00C04F29" w:rsidRPr="009802E0" w:rsidRDefault="00745443" w:rsidP="00FE018D">
      <w:pPr>
        <w:pStyle w:val="a7"/>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rPr>
        <w:t>9</w:t>
      </w:r>
      <w:r w:rsidRPr="009802E0">
        <w:rPr>
          <w:rFonts w:asciiTheme="minorEastAsia" w:eastAsiaTheme="minorEastAsia" w:hAnsiTheme="minorEastAsia"/>
        </w:rPr>
        <w:t>、</w:t>
      </w:r>
      <w:r w:rsidR="00C04F29" w:rsidRPr="009802E0">
        <w:rPr>
          <w:rFonts w:asciiTheme="minorEastAsia" w:eastAsiaTheme="minorEastAsia" w:hAnsiTheme="minorEastAsia" w:hint="eastAsia"/>
        </w:rPr>
        <w:t>法律法规规定或经中国证监会认定的其他情形。</w:t>
      </w:r>
    </w:p>
    <w:p w:rsidR="00C04F29" w:rsidRPr="009802E0" w:rsidRDefault="007337BA" w:rsidP="00FE018D">
      <w:pPr>
        <w:pStyle w:val="a7"/>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发生上述1到</w:t>
      </w:r>
      <w:r w:rsidR="00745443" w:rsidRPr="009802E0">
        <w:rPr>
          <w:rFonts w:asciiTheme="minorEastAsia" w:eastAsiaTheme="minorEastAsia" w:hAnsiTheme="minorEastAsia"/>
          <w:szCs w:val="21"/>
        </w:rPr>
        <w:t>9</w:t>
      </w:r>
      <w:r w:rsidRPr="009802E0">
        <w:rPr>
          <w:rFonts w:asciiTheme="minorEastAsia" w:eastAsiaTheme="minorEastAsia" w:hAnsiTheme="minorEastAsia" w:hint="eastAsia"/>
          <w:szCs w:val="21"/>
        </w:rPr>
        <w:t>项暂停基金转换时，基金管理人应当在至少一家</w:t>
      </w:r>
      <w:r w:rsidR="004E4473" w:rsidRPr="009802E0">
        <w:rPr>
          <w:rFonts w:asciiTheme="minorEastAsia" w:eastAsiaTheme="minorEastAsia" w:hAnsiTheme="minorEastAsia" w:hint="eastAsia"/>
          <w:szCs w:val="21"/>
        </w:rPr>
        <w:t>指定媒介</w:t>
      </w:r>
      <w:r w:rsidRPr="009802E0">
        <w:rPr>
          <w:rFonts w:asciiTheme="minorEastAsia" w:eastAsiaTheme="minorEastAsia" w:hAnsiTheme="minorEastAsia" w:hint="eastAsia"/>
          <w:szCs w:val="21"/>
        </w:rPr>
        <w:t>及基金管理人网站刊登相关公告。</w:t>
      </w:r>
    </w:p>
    <w:p w:rsidR="008F7EB0" w:rsidRPr="009802E0" w:rsidRDefault="008F7EB0" w:rsidP="00FE018D">
      <w:pPr>
        <w:adjustRightInd w:val="0"/>
        <w:snapToGrid w:val="0"/>
        <w:spacing w:line="360" w:lineRule="auto"/>
        <w:ind w:firstLineChars="200" w:firstLine="420"/>
        <w:rPr>
          <w:rFonts w:asciiTheme="minorEastAsia" w:eastAsiaTheme="minorEastAsia" w:hAnsiTheme="minorEastAsia"/>
          <w:szCs w:val="21"/>
        </w:rPr>
        <w:sectPr w:rsidR="008F7EB0" w:rsidRPr="009802E0" w:rsidSect="008F7EB0">
          <w:pgSz w:w="11906" w:h="16838" w:code="9"/>
          <w:pgMar w:top="1440" w:right="1800" w:bottom="1440" w:left="1800" w:header="720" w:footer="720" w:gutter="0"/>
          <w:cols w:space="720"/>
          <w:docGrid w:type="lines" w:linePitch="312"/>
        </w:sectPr>
      </w:pPr>
    </w:p>
    <w:p w:rsidR="00CB427F" w:rsidRPr="009802E0" w:rsidRDefault="000C3839" w:rsidP="00FE018D">
      <w:pPr>
        <w:pStyle w:val="1"/>
        <w:adjustRightInd w:val="0"/>
        <w:snapToGrid w:val="0"/>
        <w:spacing w:beforeLines="0" w:afterLines="0" w:line="360" w:lineRule="auto"/>
        <w:ind w:firstLine="602"/>
        <w:rPr>
          <w:rFonts w:asciiTheme="minorEastAsia" w:eastAsiaTheme="minorEastAsia" w:hAnsiTheme="minorEastAsia"/>
          <w:b/>
          <w:bCs/>
          <w:kern w:val="44"/>
          <w:sz w:val="28"/>
          <w:szCs w:val="44"/>
        </w:rPr>
      </w:pPr>
      <w:bookmarkStart w:id="86" w:name="_Toc43301912"/>
      <w:r w:rsidRPr="009802E0">
        <w:rPr>
          <w:rFonts w:asciiTheme="minorEastAsia" w:eastAsiaTheme="minorEastAsia" w:hAnsiTheme="minorEastAsia" w:hint="eastAsia"/>
          <w:b/>
          <w:sz w:val="30"/>
        </w:rPr>
        <w:lastRenderedPageBreak/>
        <w:t>十、基金的转托管、非交易过户、冻结与解冻</w:t>
      </w:r>
      <w:bookmarkEnd w:id="86"/>
    </w:p>
    <w:p w:rsidR="00350877" w:rsidRPr="009802E0" w:rsidRDefault="00EF33EB" w:rsidP="00FE018D">
      <w:pPr>
        <w:pStyle w:val="22"/>
        <w:adjustRightInd w:val="0"/>
        <w:snapToGrid w:val="0"/>
        <w:spacing w:beforeLines="0" w:afterLines="0" w:line="360" w:lineRule="auto"/>
        <w:ind w:firstLineChars="0" w:firstLine="420"/>
        <w:rPr>
          <w:rFonts w:asciiTheme="minorEastAsia" w:eastAsiaTheme="minorEastAsia" w:hAnsiTheme="minorEastAsia"/>
          <w:b w:val="0"/>
          <w:bCs/>
        </w:rPr>
      </w:pPr>
      <w:bookmarkStart w:id="87" w:name="_Toc79392621"/>
      <w:bookmarkStart w:id="88" w:name="_Toc43301913"/>
      <w:r w:rsidRPr="009802E0">
        <w:rPr>
          <w:rFonts w:asciiTheme="minorEastAsia" w:eastAsiaTheme="minorEastAsia" w:hAnsiTheme="minorEastAsia" w:hint="eastAsia"/>
          <w:b w:val="0"/>
          <w:bCs/>
        </w:rPr>
        <w:t>（一）</w:t>
      </w:r>
      <w:r w:rsidR="00350877" w:rsidRPr="009802E0">
        <w:rPr>
          <w:rFonts w:asciiTheme="minorEastAsia" w:eastAsiaTheme="minorEastAsia" w:hAnsiTheme="minorEastAsia" w:hint="eastAsia"/>
          <w:b w:val="0"/>
          <w:bCs/>
        </w:rPr>
        <w:t>转托管</w:t>
      </w:r>
      <w:bookmarkEnd w:id="88"/>
    </w:p>
    <w:p w:rsidR="00350877" w:rsidRPr="009802E0" w:rsidRDefault="00350877"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本基金目前实行份额托管的交易制度。投资者可将所持有的基金份额从一个交易账户转入另一个交易账户进行交易，</w:t>
      </w:r>
      <w:r w:rsidRPr="009802E0">
        <w:rPr>
          <w:rFonts w:asciiTheme="minorEastAsia" w:eastAsiaTheme="minorEastAsia" w:hAnsiTheme="minorEastAsia"/>
          <w:szCs w:val="21"/>
        </w:rPr>
        <w:t>销售机构可以按照规定的标准收取转托管费</w:t>
      </w:r>
      <w:r w:rsidRPr="009802E0">
        <w:rPr>
          <w:rFonts w:asciiTheme="minorEastAsia" w:eastAsiaTheme="minorEastAsia" w:hAnsiTheme="minorEastAsia" w:hint="eastAsia"/>
          <w:szCs w:val="21"/>
        </w:rPr>
        <w:t>。具体办理方法参照《业务规则》的有关规定以及基金</w:t>
      </w:r>
      <w:r w:rsidR="007909DB" w:rsidRPr="009802E0">
        <w:rPr>
          <w:rFonts w:asciiTheme="minorEastAsia" w:eastAsiaTheme="minorEastAsia" w:hAnsiTheme="minorEastAsia" w:hint="eastAsia"/>
          <w:szCs w:val="21"/>
        </w:rPr>
        <w:t>销售</w:t>
      </w:r>
      <w:r w:rsidRPr="009802E0">
        <w:rPr>
          <w:rFonts w:asciiTheme="minorEastAsia" w:eastAsiaTheme="minorEastAsia" w:hAnsiTheme="minorEastAsia" w:hint="eastAsia"/>
          <w:szCs w:val="21"/>
        </w:rPr>
        <w:t>机构的业务规则。</w:t>
      </w:r>
    </w:p>
    <w:p w:rsidR="00350877" w:rsidRPr="009802E0" w:rsidRDefault="00EF33EB" w:rsidP="00FE018D">
      <w:pPr>
        <w:pStyle w:val="22"/>
        <w:adjustRightInd w:val="0"/>
        <w:snapToGrid w:val="0"/>
        <w:spacing w:beforeLines="0" w:afterLines="0" w:line="360" w:lineRule="auto"/>
        <w:ind w:firstLineChars="0" w:firstLine="420"/>
        <w:rPr>
          <w:rFonts w:asciiTheme="minorEastAsia" w:eastAsiaTheme="minorEastAsia" w:hAnsiTheme="minorEastAsia"/>
          <w:b w:val="0"/>
          <w:bCs/>
        </w:rPr>
      </w:pPr>
      <w:bookmarkStart w:id="89" w:name="_Toc43301914"/>
      <w:r w:rsidRPr="009802E0">
        <w:rPr>
          <w:rFonts w:asciiTheme="minorEastAsia" w:eastAsiaTheme="minorEastAsia" w:hAnsiTheme="minorEastAsia" w:hint="eastAsia"/>
          <w:b w:val="0"/>
          <w:bCs/>
        </w:rPr>
        <w:t>（</w:t>
      </w:r>
      <w:r w:rsidR="001E68F2" w:rsidRPr="009802E0">
        <w:rPr>
          <w:rFonts w:asciiTheme="minorEastAsia" w:eastAsiaTheme="minorEastAsia" w:hAnsiTheme="minorEastAsia" w:hint="eastAsia"/>
          <w:b w:val="0"/>
          <w:bCs/>
        </w:rPr>
        <w:t>二</w:t>
      </w:r>
      <w:r w:rsidRPr="009802E0">
        <w:rPr>
          <w:rFonts w:asciiTheme="minorEastAsia" w:eastAsiaTheme="minorEastAsia" w:hAnsiTheme="minorEastAsia" w:hint="eastAsia"/>
          <w:b w:val="0"/>
          <w:bCs/>
        </w:rPr>
        <w:t>）</w:t>
      </w:r>
      <w:r w:rsidR="00350877" w:rsidRPr="009802E0">
        <w:rPr>
          <w:rFonts w:asciiTheme="minorEastAsia" w:eastAsiaTheme="minorEastAsia" w:hAnsiTheme="minorEastAsia" w:hint="eastAsia"/>
          <w:b w:val="0"/>
          <w:bCs/>
        </w:rPr>
        <w:t>基金的非交易过户</w:t>
      </w:r>
      <w:bookmarkEnd w:id="89"/>
    </w:p>
    <w:p w:rsidR="00B80FD0" w:rsidRPr="009802E0" w:rsidRDefault="00B80FD0"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非交易过户是指不采用申购、赎回等基金交易方式，将一定数量的基金份额按照一定规则从某一投资者基金账户转移到另一投资者基金账户的行为。</w:t>
      </w:r>
    </w:p>
    <w:p w:rsidR="00B80FD0" w:rsidRPr="009802E0" w:rsidRDefault="00B80FD0"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基金注册登记机构只受理继承、捐赠、司法强制执行和经注册登记机构认可的、符合法律法规的其他情况下的非交易过户。其中，“继承”指基金份额持有人死亡，其持有的基金份额由其合法的继承人继承；“捐赠”指基金份额持有人将其合法持有的基金份额捐赠给福利性质的基金会或社会团体的情形；“司法</w:t>
      </w:r>
      <w:r w:rsidR="005A4DC3" w:rsidRPr="009802E0">
        <w:rPr>
          <w:rFonts w:asciiTheme="minorEastAsia" w:eastAsiaTheme="minorEastAsia" w:hAnsiTheme="minorEastAsia" w:hint="eastAsia"/>
          <w:szCs w:val="21"/>
        </w:rPr>
        <w:t>强制</w:t>
      </w:r>
      <w:r w:rsidRPr="009802E0">
        <w:rPr>
          <w:rFonts w:asciiTheme="minorEastAsia" w:eastAsiaTheme="minorEastAsia" w:hAnsiTheme="minorEastAsia" w:hint="eastAsia"/>
          <w:szCs w:val="21"/>
        </w:rPr>
        <w:t>执行”是指司法机构依据生效司法文书将基金份额持有人持有的基金份额强制划转给其他自然人、法人、社会团体或其他组织。办理非交易过户必须提供基金注册登记机构要求提供的相关资料。</w:t>
      </w:r>
    </w:p>
    <w:p w:rsidR="00B80FD0" w:rsidRPr="009802E0" w:rsidRDefault="00B80FD0"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szCs w:val="21"/>
        </w:rPr>
        <w:t>注册登记机构办理上述情况下的非交易过户，其他销售机构可代为</w:t>
      </w:r>
      <w:r w:rsidR="00A72C92" w:rsidRPr="009802E0">
        <w:rPr>
          <w:rFonts w:asciiTheme="minorEastAsia" w:eastAsiaTheme="minorEastAsia" w:hAnsiTheme="minorEastAsia" w:hint="eastAsia"/>
          <w:szCs w:val="21"/>
        </w:rPr>
        <w:t>接收</w:t>
      </w:r>
      <w:r w:rsidRPr="009802E0">
        <w:rPr>
          <w:rFonts w:asciiTheme="minorEastAsia" w:eastAsiaTheme="minorEastAsia" w:hAnsiTheme="minorEastAsia"/>
          <w:szCs w:val="21"/>
        </w:rPr>
        <w:t>投资者的申请材料，但不得办理该项业务。</w:t>
      </w:r>
    </w:p>
    <w:p w:rsidR="00350877" w:rsidRPr="009802E0" w:rsidRDefault="00B80FD0"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对于符合条件的非交易过户申请</w:t>
      </w:r>
      <w:r w:rsidR="005A4DC3" w:rsidRPr="009802E0">
        <w:rPr>
          <w:rFonts w:asciiTheme="minorEastAsia" w:eastAsiaTheme="minorEastAsia" w:hAnsiTheme="minorEastAsia" w:hint="eastAsia"/>
          <w:szCs w:val="21"/>
        </w:rPr>
        <w:t>，基金注册登记机构</w:t>
      </w:r>
      <w:r w:rsidRPr="009802E0">
        <w:rPr>
          <w:rFonts w:asciiTheme="minorEastAsia" w:eastAsiaTheme="minorEastAsia" w:hAnsiTheme="minorEastAsia" w:hint="eastAsia"/>
          <w:szCs w:val="21"/>
        </w:rPr>
        <w:t>按《业务规则》的有关规定办理并有权收取一定费用。</w:t>
      </w:r>
    </w:p>
    <w:p w:rsidR="00350877" w:rsidRPr="009802E0" w:rsidRDefault="00EF33EB" w:rsidP="00FE018D">
      <w:pPr>
        <w:pStyle w:val="22"/>
        <w:adjustRightInd w:val="0"/>
        <w:snapToGrid w:val="0"/>
        <w:spacing w:beforeLines="0" w:afterLines="0" w:line="360" w:lineRule="auto"/>
        <w:ind w:firstLineChars="0" w:firstLine="420"/>
        <w:rPr>
          <w:rFonts w:asciiTheme="minorEastAsia" w:eastAsiaTheme="minorEastAsia" w:hAnsiTheme="minorEastAsia"/>
          <w:b w:val="0"/>
          <w:bCs/>
        </w:rPr>
      </w:pPr>
      <w:bookmarkStart w:id="90" w:name="_Toc43301915"/>
      <w:r w:rsidRPr="009802E0">
        <w:rPr>
          <w:rFonts w:asciiTheme="minorEastAsia" w:eastAsiaTheme="minorEastAsia" w:hAnsiTheme="minorEastAsia" w:hint="eastAsia"/>
          <w:b w:val="0"/>
          <w:bCs/>
        </w:rPr>
        <w:t>（</w:t>
      </w:r>
      <w:r w:rsidR="001E68F2" w:rsidRPr="009802E0">
        <w:rPr>
          <w:rFonts w:asciiTheme="minorEastAsia" w:eastAsiaTheme="minorEastAsia" w:hAnsiTheme="minorEastAsia" w:hint="eastAsia"/>
          <w:b w:val="0"/>
          <w:bCs/>
        </w:rPr>
        <w:t>三</w:t>
      </w:r>
      <w:r w:rsidRPr="009802E0">
        <w:rPr>
          <w:rFonts w:asciiTheme="minorEastAsia" w:eastAsiaTheme="minorEastAsia" w:hAnsiTheme="minorEastAsia" w:hint="eastAsia"/>
          <w:b w:val="0"/>
          <w:bCs/>
        </w:rPr>
        <w:t>）</w:t>
      </w:r>
      <w:r w:rsidR="00350877" w:rsidRPr="009802E0">
        <w:rPr>
          <w:rFonts w:asciiTheme="minorEastAsia" w:eastAsiaTheme="minorEastAsia" w:hAnsiTheme="minorEastAsia" w:hint="eastAsia"/>
          <w:b w:val="0"/>
          <w:bCs/>
        </w:rPr>
        <w:t>基金的冻结与解冻</w:t>
      </w:r>
      <w:bookmarkEnd w:id="90"/>
    </w:p>
    <w:p w:rsidR="00350877" w:rsidRPr="009802E0" w:rsidRDefault="00350877"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szCs w:val="21"/>
        </w:rPr>
        <w:t>基金注册登记机构只受理国家有权机关依法要求的基金份额的冻结与解冻以及注册登记机构认可的其他情况下的冻结与解冻。基金份额被冻结的，被冻结部分产生的权益一并冻结，被冻结部分份额仍然参与收益分配与支付。</w:t>
      </w:r>
    </w:p>
    <w:bookmarkEnd w:id="87"/>
    <w:p w:rsidR="00B43AC4" w:rsidRPr="009802E0" w:rsidRDefault="00B43AC4" w:rsidP="00FE018D">
      <w:pPr>
        <w:pStyle w:val="1"/>
        <w:adjustRightInd w:val="0"/>
        <w:snapToGrid w:val="0"/>
        <w:spacing w:beforeLines="0" w:afterLines="0" w:line="360" w:lineRule="auto"/>
        <w:ind w:firstLine="640"/>
        <w:rPr>
          <w:rFonts w:asciiTheme="minorEastAsia" w:eastAsiaTheme="minorEastAsia" w:hAnsiTheme="minorEastAsia"/>
          <w:b/>
          <w:szCs w:val="21"/>
        </w:rPr>
      </w:pPr>
      <w:r w:rsidRPr="009802E0">
        <w:rPr>
          <w:rFonts w:asciiTheme="minorEastAsia" w:eastAsiaTheme="minorEastAsia" w:hAnsiTheme="minorEastAsia"/>
        </w:rPr>
        <w:br w:type="column"/>
      </w:r>
      <w:bookmarkStart w:id="91" w:name="_Toc43301916"/>
      <w:r w:rsidR="009946CC" w:rsidRPr="009802E0">
        <w:rPr>
          <w:rFonts w:asciiTheme="minorEastAsia" w:eastAsiaTheme="minorEastAsia" w:hAnsiTheme="minorEastAsia" w:hint="eastAsia"/>
          <w:b/>
          <w:sz w:val="30"/>
        </w:rPr>
        <w:lastRenderedPageBreak/>
        <w:t>十</w:t>
      </w:r>
      <w:r w:rsidR="00CE310F" w:rsidRPr="009802E0">
        <w:rPr>
          <w:rFonts w:asciiTheme="minorEastAsia" w:eastAsiaTheme="minorEastAsia" w:hAnsiTheme="minorEastAsia" w:hint="eastAsia"/>
          <w:b/>
          <w:sz w:val="30"/>
        </w:rPr>
        <w:t>一</w:t>
      </w:r>
      <w:r w:rsidRPr="009802E0">
        <w:rPr>
          <w:rFonts w:asciiTheme="minorEastAsia" w:eastAsiaTheme="minorEastAsia" w:hAnsiTheme="minorEastAsia" w:hint="eastAsia"/>
          <w:b/>
          <w:sz w:val="30"/>
        </w:rPr>
        <w:t>、基金的投资</w:t>
      </w:r>
      <w:bookmarkEnd w:id="91"/>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bCs/>
        </w:rPr>
      </w:pPr>
      <w:bookmarkStart w:id="92" w:name="_Toc43301917"/>
      <w:r w:rsidRPr="009802E0">
        <w:rPr>
          <w:rFonts w:asciiTheme="minorEastAsia" w:eastAsiaTheme="minorEastAsia" w:hAnsiTheme="minorEastAsia" w:hint="eastAsia"/>
          <w:b w:val="0"/>
        </w:rPr>
        <w:t>（一）投资目标</w:t>
      </w:r>
      <w:bookmarkEnd w:id="92"/>
    </w:p>
    <w:p w:rsidR="00067AFE" w:rsidRPr="009802E0" w:rsidRDefault="0096095A" w:rsidP="00FE018D">
      <w:pPr>
        <w:adjustRightInd w:val="0"/>
        <w:snapToGrid w:val="0"/>
        <w:spacing w:line="360" w:lineRule="auto"/>
        <w:ind w:right="28"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本基金力争战胜通货膨胀和银行定期存款利率</w:t>
      </w:r>
      <w:r w:rsidR="00067AFE" w:rsidRPr="009802E0">
        <w:rPr>
          <w:rFonts w:asciiTheme="minorEastAsia" w:eastAsiaTheme="minorEastAsia" w:hAnsiTheme="minorEastAsia" w:hint="eastAsia"/>
          <w:szCs w:val="21"/>
        </w:rPr>
        <w:t>，主要面向以储蓄存款为主要投资工具的中小投资者，追求基金资产的长期、持续、稳定增值，努力为投资者实现有吸引力的回报，为投资者提供养老投资的工具。</w:t>
      </w:r>
    </w:p>
    <w:p w:rsidR="00EA0B74" w:rsidRPr="009802E0" w:rsidRDefault="00EA0B74" w:rsidP="00FE018D">
      <w:pPr>
        <w:pStyle w:val="22"/>
        <w:adjustRightInd w:val="0"/>
        <w:snapToGrid w:val="0"/>
        <w:spacing w:beforeLines="0" w:afterLines="0" w:line="360" w:lineRule="auto"/>
        <w:ind w:firstLineChars="0" w:firstLine="0"/>
        <w:rPr>
          <w:rFonts w:asciiTheme="minorEastAsia" w:eastAsiaTheme="minorEastAsia" w:hAnsiTheme="minorEastAsia"/>
          <w:b w:val="0"/>
          <w:bCs/>
        </w:rPr>
      </w:pPr>
      <w:bookmarkStart w:id="93" w:name="_Toc43301918"/>
      <w:r w:rsidRPr="009802E0">
        <w:rPr>
          <w:rFonts w:asciiTheme="minorEastAsia" w:eastAsiaTheme="minorEastAsia" w:hAnsiTheme="minorEastAsia" w:hint="eastAsia"/>
          <w:b w:val="0"/>
        </w:rPr>
        <w:t>（二）投资理念</w:t>
      </w:r>
      <w:bookmarkEnd w:id="93"/>
    </w:p>
    <w:p w:rsidR="00067AFE" w:rsidRPr="009802E0" w:rsidRDefault="00067AFE" w:rsidP="00FE018D">
      <w:pPr>
        <w:adjustRightInd w:val="0"/>
        <w:snapToGrid w:val="0"/>
        <w:spacing w:line="360" w:lineRule="auto"/>
        <w:ind w:right="28"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本基金采取稳健的资产配置策略，主要投资于固定收益类品种，严格</w:t>
      </w:r>
      <w:r w:rsidR="00F0556B" w:rsidRPr="009802E0">
        <w:rPr>
          <w:rFonts w:asciiTheme="minorEastAsia" w:eastAsiaTheme="minorEastAsia" w:hAnsiTheme="minorEastAsia" w:hint="eastAsia"/>
          <w:szCs w:val="21"/>
        </w:rPr>
        <w:t>管理</w:t>
      </w:r>
      <w:r w:rsidRPr="009802E0">
        <w:rPr>
          <w:rFonts w:asciiTheme="minorEastAsia" w:eastAsiaTheme="minorEastAsia" w:hAnsiTheme="minorEastAsia" w:hint="eastAsia"/>
          <w:szCs w:val="21"/>
        </w:rPr>
        <w:t>权益类品种的投资比例，把握相对确定的股票一、二级市场投资机会，在控制基金资产净值波动的基础上，力争实现投资目标。</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bCs/>
        </w:rPr>
      </w:pPr>
      <w:bookmarkStart w:id="94" w:name="_Toc43301919"/>
      <w:r w:rsidRPr="009802E0">
        <w:rPr>
          <w:rFonts w:asciiTheme="minorEastAsia" w:eastAsiaTheme="minorEastAsia" w:hAnsiTheme="minorEastAsia" w:hint="eastAsia"/>
          <w:b w:val="0"/>
        </w:rPr>
        <w:t>（</w:t>
      </w:r>
      <w:r w:rsidR="00EA0B74" w:rsidRPr="009802E0">
        <w:rPr>
          <w:rFonts w:asciiTheme="minorEastAsia" w:eastAsiaTheme="minorEastAsia" w:hAnsiTheme="minorEastAsia" w:hint="eastAsia"/>
          <w:b w:val="0"/>
        </w:rPr>
        <w:t>三</w:t>
      </w:r>
      <w:r w:rsidRPr="009802E0">
        <w:rPr>
          <w:rFonts w:asciiTheme="minorEastAsia" w:eastAsiaTheme="minorEastAsia" w:hAnsiTheme="minorEastAsia" w:hint="eastAsia"/>
          <w:b w:val="0"/>
        </w:rPr>
        <w:t>）投资范围</w:t>
      </w:r>
      <w:bookmarkEnd w:id="94"/>
    </w:p>
    <w:p w:rsidR="0096095A" w:rsidRPr="009802E0" w:rsidRDefault="0096095A" w:rsidP="00FE018D">
      <w:pPr>
        <w:adjustRightInd w:val="0"/>
        <w:snapToGrid w:val="0"/>
        <w:spacing w:line="360" w:lineRule="auto"/>
        <w:ind w:right="28"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本基金的投资范围为具有良好流动性的金融工具，包括国债、央行票据、地方政府债、金融债、企业债、短期融资券、公司债、可转换债券（含分离型可转换债券）、资产支持证券、债券回购、银行存款等固定收益类品种、股票（包含中小板、创业板及其他经中国证监会</w:t>
      </w:r>
      <w:r w:rsidR="002B53EA" w:rsidRPr="009802E0">
        <w:rPr>
          <w:rFonts w:asciiTheme="minorEastAsia" w:eastAsiaTheme="minorEastAsia" w:hAnsiTheme="minorEastAsia" w:hint="eastAsia"/>
          <w:szCs w:val="21"/>
        </w:rPr>
        <w:t>核准</w:t>
      </w:r>
      <w:r w:rsidRPr="009802E0">
        <w:rPr>
          <w:rFonts w:asciiTheme="minorEastAsia" w:eastAsiaTheme="minorEastAsia" w:hAnsiTheme="minorEastAsia" w:hint="eastAsia"/>
          <w:szCs w:val="21"/>
        </w:rPr>
        <w:t>上市的股票）</w:t>
      </w:r>
      <w:r w:rsidR="002B53EA" w:rsidRPr="009802E0">
        <w:rPr>
          <w:rFonts w:asciiTheme="minorEastAsia" w:eastAsiaTheme="minorEastAsia" w:hAnsiTheme="minorEastAsia" w:hint="eastAsia"/>
          <w:szCs w:val="21"/>
        </w:rPr>
        <w:t>、权证</w:t>
      </w:r>
      <w:r w:rsidRPr="009802E0">
        <w:rPr>
          <w:rFonts w:asciiTheme="minorEastAsia" w:eastAsiaTheme="minorEastAsia" w:hAnsiTheme="minorEastAsia" w:hint="eastAsia"/>
          <w:szCs w:val="21"/>
        </w:rPr>
        <w:t>等权益类品种以及法律法规或中国证监会允许基金投资的其他金融工具，但须符合中国证监会相关规定。</w:t>
      </w:r>
    </w:p>
    <w:p w:rsidR="0096095A" w:rsidRPr="009802E0" w:rsidRDefault="0096095A" w:rsidP="00FE018D">
      <w:pPr>
        <w:adjustRightInd w:val="0"/>
        <w:snapToGrid w:val="0"/>
        <w:spacing w:line="360" w:lineRule="auto"/>
        <w:ind w:right="28"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如法律法规或监管机构以后允许基金投资其他品种，基金管理人</w:t>
      </w:r>
      <w:r w:rsidR="00DF5BED" w:rsidRPr="009802E0">
        <w:rPr>
          <w:rFonts w:asciiTheme="minorEastAsia" w:eastAsiaTheme="minorEastAsia" w:hAnsiTheme="minorEastAsia" w:hint="eastAsia"/>
          <w:szCs w:val="21"/>
        </w:rPr>
        <w:t>在履行适当程序后</w:t>
      </w:r>
      <w:r w:rsidRPr="009802E0">
        <w:rPr>
          <w:rFonts w:asciiTheme="minorEastAsia" w:eastAsiaTheme="minorEastAsia" w:hAnsiTheme="minorEastAsia" w:hint="eastAsia"/>
          <w:szCs w:val="21"/>
        </w:rPr>
        <w:t>，可以将其纳入投资范围，其投资比例遵循届时有效法律法规或相关规定。</w:t>
      </w:r>
    </w:p>
    <w:p w:rsidR="0096095A" w:rsidRPr="009802E0" w:rsidRDefault="0096095A" w:rsidP="00FE018D">
      <w:pPr>
        <w:adjustRightInd w:val="0"/>
        <w:snapToGrid w:val="0"/>
        <w:spacing w:line="360" w:lineRule="auto"/>
        <w:ind w:right="28"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本基金各类资产的投资比例范围为：固定收益类品种的比例不低于基金资产的80%；权益类品种的比例不高于基金资产的20%；现金以及到期日在一年以内的政府债券的比例合计不低于基金资产净值的5%</w:t>
      </w:r>
      <w:r w:rsidR="00745443" w:rsidRPr="009802E0">
        <w:rPr>
          <w:rFonts w:asciiTheme="minorEastAsia" w:eastAsiaTheme="minorEastAsia" w:hAnsiTheme="minorEastAsia" w:hint="eastAsia"/>
          <w:szCs w:val="21"/>
        </w:rPr>
        <w:t>，现金不包括结算备付金、存出保证金、应收申购款等</w:t>
      </w:r>
      <w:r w:rsidRPr="009802E0">
        <w:rPr>
          <w:rFonts w:asciiTheme="minorEastAsia" w:eastAsiaTheme="minorEastAsia" w:hAnsiTheme="minorEastAsia" w:hint="eastAsia"/>
          <w:szCs w:val="21"/>
        </w:rPr>
        <w:t>。</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rPr>
      </w:pPr>
      <w:bookmarkStart w:id="95" w:name="_Toc43301920"/>
      <w:r w:rsidRPr="009802E0">
        <w:rPr>
          <w:rFonts w:asciiTheme="minorEastAsia" w:eastAsiaTheme="minorEastAsia" w:hAnsiTheme="minorEastAsia" w:hint="eastAsia"/>
          <w:b w:val="0"/>
        </w:rPr>
        <w:t>（四）投资策略</w:t>
      </w:r>
      <w:bookmarkEnd w:id="95"/>
    </w:p>
    <w:p w:rsidR="00F46BF1" w:rsidRPr="009802E0" w:rsidRDefault="00F46BF1"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1</w:t>
      </w:r>
      <w:r w:rsidR="00C335A3" w:rsidRPr="009802E0">
        <w:rPr>
          <w:rFonts w:asciiTheme="minorEastAsia" w:eastAsiaTheme="minorEastAsia" w:hAnsiTheme="minorEastAsia" w:hint="eastAsia"/>
          <w:szCs w:val="21"/>
        </w:rPr>
        <w:t>、</w:t>
      </w:r>
      <w:r w:rsidRPr="009802E0">
        <w:rPr>
          <w:rFonts w:asciiTheme="minorEastAsia" w:eastAsiaTheme="minorEastAsia" w:hAnsiTheme="minorEastAsia" w:hint="eastAsia"/>
          <w:szCs w:val="21"/>
        </w:rPr>
        <w:t>资产配置策略</w:t>
      </w:r>
    </w:p>
    <w:p w:rsidR="00406BB3" w:rsidRPr="009802E0" w:rsidRDefault="00406BB3"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本基金采取稳健的资产配置策略，通过自上而下的方法进行固定收益类品种与权益类品种的战略及战术资产配置，在控制基金资产净值波动、追求收益稳定的基础上，提高基金的收益水平。</w:t>
      </w:r>
    </w:p>
    <w:p w:rsidR="00EA0B74" w:rsidRPr="009802E0" w:rsidRDefault="00EA0B74" w:rsidP="009C0E15">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（1）战略资产配置策略</w:t>
      </w:r>
    </w:p>
    <w:p w:rsidR="00EA0B74" w:rsidRPr="009802E0" w:rsidRDefault="00A35E0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本基金根据大类资产在不同市场环境下表现出的相关关系，对各类资产进行相对稳定的战略配置，以此降低基金的组合风险，控制基金资产净值的波动，追求收益稳定。具体来看，本基金主要通过研究各类资产在较长时期的收益与风险水平特征，及各类资产收益与风险间的相关关系，对国内外宏观经济形势、宏观经济政策、市场利率走势、信用利差水平、利率期限结构以及证券市场走势等因素进行分析，在本基金合同约定范围内设定战略资产配置比例，使本基金具有明确、稳定的风险收益特征。</w:t>
      </w:r>
    </w:p>
    <w:p w:rsidR="00EA0B74" w:rsidRPr="009802E0" w:rsidRDefault="00EA0B74" w:rsidP="009C0E15">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w:t>
      </w:r>
      <w:r w:rsidR="00A35E04" w:rsidRPr="009802E0">
        <w:rPr>
          <w:rFonts w:asciiTheme="minorEastAsia" w:eastAsiaTheme="minorEastAsia" w:hAnsiTheme="minorEastAsia" w:hint="eastAsia"/>
          <w:szCs w:val="21"/>
        </w:rPr>
        <w:t>2</w:t>
      </w:r>
      <w:r w:rsidRPr="009802E0">
        <w:rPr>
          <w:rFonts w:asciiTheme="minorEastAsia" w:eastAsiaTheme="minorEastAsia" w:hAnsiTheme="minorEastAsia" w:hint="eastAsia"/>
          <w:szCs w:val="21"/>
        </w:rPr>
        <w:t>）</w:t>
      </w:r>
      <w:r w:rsidRPr="009802E0">
        <w:rPr>
          <w:rFonts w:asciiTheme="minorEastAsia" w:eastAsiaTheme="minorEastAsia" w:hAnsiTheme="minorEastAsia" w:hint="eastAsia"/>
        </w:rPr>
        <w:t>战术资产配置策略</w:t>
      </w:r>
    </w:p>
    <w:p w:rsidR="00EA0B74" w:rsidRPr="009802E0" w:rsidRDefault="00A35E0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在战略资产配置策略的框架下，本基金在对各类资产在未来3至6个月的预期收益率与风险进行分析的基础上，定期对各类资产的配置比例进行优化，在严格控制基金下行风险的前提下，提高基金的收益水平</w:t>
      </w:r>
      <w:r w:rsidR="002E14F5" w:rsidRPr="009802E0">
        <w:rPr>
          <w:rFonts w:asciiTheme="minorEastAsia" w:eastAsiaTheme="minorEastAsia" w:hAnsiTheme="minorEastAsia" w:hint="eastAsia"/>
          <w:szCs w:val="21"/>
        </w:rPr>
        <w:t>。</w:t>
      </w:r>
    </w:p>
    <w:p w:rsidR="00F46BF1" w:rsidRPr="009802E0" w:rsidRDefault="00F46BF1"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2</w:t>
      </w:r>
      <w:r w:rsidR="00C335A3" w:rsidRPr="009802E0">
        <w:rPr>
          <w:rFonts w:asciiTheme="minorEastAsia" w:eastAsiaTheme="minorEastAsia" w:hAnsiTheme="minorEastAsia" w:hint="eastAsia"/>
          <w:szCs w:val="21"/>
        </w:rPr>
        <w:t>、</w:t>
      </w:r>
      <w:r w:rsidRPr="009802E0">
        <w:rPr>
          <w:rFonts w:asciiTheme="minorEastAsia" w:eastAsiaTheme="minorEastAsia" w:hAnsiTheme="minorEastAsia" w:hint="eastAsia"/>
        </w:rPr>
        <w:t>固定收益类品种投资策略</w:t>
      </w:r>
    </w:p>
    <w:p w:rsidR="00E96607" w:rsidRPr="009802E0" w:rsidRDefault="00F46BF1"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（1）</w:t>
      </w:r>
      <w:r w:rsidR="00E96607" w:rsidRPr="009802E0">
        <w:rPr>
          <w:rFonts w:asciiTheme="minorEastAsia" w:eastAsiaTheme="minorEastAsia" w:hAnsiTheme="minorEastAsia" w:hint="eastAsia"/>
          <w:szCs w:val="21"/>
        </w:rPr>
        <w:t>固定收益品种的</w:t>
      </w:r>
      <w:r w:rsidR="00E96607" w:rsidRPr="009802E0">
        <w:rPr>
          <w:rFonts w:asciiTheme="minorEastAsia" w:eastAsiaTheme="minorEastAsia" w:hAnsiTheme="minorEastAsia"/>
          <w:szCs w:val="21"/>
        </w:rPr>
        <w:t>配置</w:t>
      </w:r>
      <w:r w:rsidR="00E96607" w:rsidRPr="009802E0">
        <w:rPr>
          <w:rFonts w:asciiTheme="minorEastAsia" w:eastAsiaTheme="minorEastAsia" w:hAnsiTheme="minorEastAsia" w:hint="eastAsia"/>
          <w:szCs w:val="21"/>
        </w:rPr>
        <w:t>策略</w:t>
      </w:r>
    </w:p>
    <w:p w:rsidR="00E96607" w:rsidRPr="009802E0" w:rsidRDefault="00E96607"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1）</w:t>
      </w:r>
      <w:r w:rsidRPr="009802E0">
        <w:rPr>
          <w:rFonts w:asciiTheme="minorEastAsia" w:eastAsiaTheme="minorEastAsia" w:hAnsiTheme="minorEastAsia" w:hint="eastAsia"/>
        </w:rPr>
        <w:t>类属配置策略</w:t>
      </w:r>
    </w:p>
    <w:p w:rsidR="00F5642C" w:rsidRPr="009802E0" w:rsidRDefault="00F5642C"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根据类属资产的风险来源不同以及是否含有转股权等特征，本基金将固定收益类品种细分为利率品种、信用品种以及可转换债券三类类属资产。</w:t>
      </w:r>
    </w:p>
    <w:p w:rsidR="00F5642C" w:rsidRPr="009802E0" w:rsidRDefault="00F5642C"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理论与实践证明，经济增长与通货膨胀均具有周期波动的固有规律，且两者之间具有相关关系。由于价格的“粘性”，通胀周期通常滞后于经济周期。按照经济周期理论，本基金将经济分为衰退、萧条、复苏、繁荣四个阶段，并在各个阶段通过主要投资不同的固定收益类属资产，以获得超越长期平均通胀水平的回报。具体如下：</w:t>
      </w:r>
    </w:p>
    <w:p w:rsidR="00F5642C" w:rsidRPr="009802E0" w:rsidRDefault="00F5642C"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在经济衰退与萧条阶段，经济下滑，企业盈利能力降低，导致信用利差趋于扩大。本基金将主要投资于中长期的利率品种，在有效规避信用风险的基础上获取较好的回报。</w:t>
      </w:r>
    </w:p>
    <w:p w:rsidR="00F5642C" w:rsidRPr="009802E0" w:rsidRDefault="00F5642C"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在经济复苏阶段，由于通胀周期滞后的原因，基准利率仍处于较低水平。但此阶段经济增速已开始回升，信用利差较大。本基金将逐步增大组合中信用品种的比重，以获取良好回报。</w:t>
      </w:r>
    </w:p>
    <w:p w:rsidR="00F5642C" w:rsidRPr="009802E0" w:rsidRDefault="00F5642C"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在经济繁荣阶段，经济已回升了一段时期，通胀压力抬升，经济进入加息周期。本基金通过投资与基准利率挂钩的浮息债来获取较好的回报。此外，本基金还将适当投资受益于经济增长的可转债品种。</w:t>
      </w:r>
    </w:p>
    <w:p w:rsidR="00F5642C" w:rsidRPr="009802E0" w:rsidRDefault="00F5642C"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同时，本基金通过对信贷水平、证券市场走势以及不同类属资产之间的相关关系等其他因素进行分析，调整各类属资产的投资比例，在收益与风险间寻求配置的最佳平衡点。</w:t>
      </w:r>
    </w:p>
    <w:p w:rsidR="00E96607" w:rsidRPr="009802E0" w:rsidRDefault="00E96607"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szCs w:val="21"/>
        </w:rPr>
        <w:t>2）平</w:t>
      </w:r>
      <w:r w:rsidRPr="009802E0">
        <w:rPr>
          <w:rFonts w:asciiTheme="minorEastAsia" w:eastAsiaTheme="minorEastAsia" w:hAnsiTheme="minorEastAsia" w:hint="eastAsia"/>
        </w:rPr>
        <w:t>均久期配置</w:t>
      </w:r>
    </w:p>
    <w:p w:rsidR="00B76299" w:rsidRPr="009802E0" w:rsidRDefault="00B76299"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本基金通过对宏观经济变量（包括国内生产总值、工业增长、货币信贷、固定资产投资、消费、外贸差额、财政收支、通胀率和汇率等）和宏观经济政策（包括货币政策、财政政策、产业政策、外贸和汇率政策等）进行分析，预测未来的利率与通胀水平变化趋势，判断债券市场对上述变量和政策的反应，并据此积极调整债券组合的平均久期，在消除或减轻由通胀因素的负面影响、减少其对债券组合带来的负面冲击的前提上，</w:t>
      </w:r>
      <w:r w:rsidRPr="009802E0">
        <w:rPr>
          <w:rFonts w:asciiTheme="minorEastAsia" w:eastAsiaTheme="minorEastAsia" w:hAnsiTheme="minorEastAsia"/>
        </w:rPr>
        <w:t>提高债券组合的</w:t>
      </w:r>
      <w:r w:rsidRPr="009802E0">
        <w:rPr>
          <w:rFonts w:asciiTheme="minorEastAsia" w:eastAsiaTheme="minorEastAsia" w:hAnsiTheme="minorEastAsia" w:hint="eastAsia"/>
        </w:rPr>
        <w:t>总投资</w:t>
      </w:r>
      <w:r w:rsidRPr="009802E0">
        <w:rPr>
          <w:rFonts w:asciiTheme="minorEastAsia" w:eastAsiaTheme="minorEastAsia" w:hAnsiTheme="minorEastAsia"/>
        </w:rPr>
        <w:t>收益。</w:t>
      </w:r>
    </w:p>
    <w:p w:rsidR="00E96607" w:rsidRPr="009802E0" w:rsidRDefault="00E96607"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3）期限结构配置</w:t>
      </w:r>
    </w:p>
    <w:p w:rsidR="00E96607" w:rsidRPr="009802E0" w:rsidRDefault="00E96607"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rPr>
        <w:t>本基金</w:t>
      </w:r>
      <w:r w:rsidRPr="009802E0">
        <w:rPr>
          <w:rFonts w:asciiTheme="minorEastAsia" w:eastAsiaTheme="minorEastAsia" w:hAnsiTheme="minorEastAsia"/>
        </w:rPr>
        <w:t>对债券市场</w:t>
      </w:r>
      <w:r w:rsidRPr="009802E0">
        <w:rPr>
          <w:rFonts w:asciiTheme="minorEastAsia" w:eastAsiaTheme="minorEastAsia" w:hAnsiTheme="minorEastAsia" w:hint="eastAsia"/>
          <w:szCs w:val="21"/>
        </w:rPr>
        <w:t>收益率期限结构进行</w:t>
      </w:r>
      <w:r w:rsidRPr="009802E0">
        <w:rPr>
          <w:rFonts w:asciiTheme="minorEastAsia" w:eastAsiaTheme="minorEastAsia" w:hAnsiTheme="minorEastAsia"/>
          <w:szCs w:val="21"/>
        </w:rPr>
        <w:t>分析，</w:t>
      </w:r>
      <w:r w:rsidRPr="009802E0">
        <w:rPr>
          <w:rFonts w:asciiTheme="minorEastAsia" w:eastAsiaTheme="minorEastAsia" w:hAnsiTheme="minorEastAsia" w:hint="eastAsia"/>
          <w:szCs w:val="21"/>
        </w:rPr>
        <w:t>运用统计和数量分析技术，预测收益率期限结构的变化方式，选择确定期限结构配置策略，配置各期限固定收益品种的比例，以达到预期投资收益最大化的目的。</w:t>
      </w:r>
    </w:p>
    <w:p w:rsidR="00F46BF1" w:rsidRPr="009802E0" w:rsidRDefault="00C36732"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szCs w:val="21"/>
        </w:rPr>
        <w:t>（2）</w:t>
      </w:r>
      <w:r w:rsidR="00406BB3" w:rsidRPr="009802E0">
        <w:rPr>
          <w:rFonts w:asciiTheme="minorEastAsia" w:eastAsiaTheme="minorEastAsia" w:hAnsiTheme="minorEastAsia" w:hint="eastAsia"/>
          <w:szCs w:val="21"/>
        </w:rPr>
        <w:t>利率</w:t>
      </w:r>
      <w:r w:rsidR="00406BB3" w:rsidRPr="009802E0">
        <w:rPr>
          <w:rFonts w:asciiTheme="minorEastAsia" w:eastAsiaTheme="minorEastAsia" w:hAnsiTheme="minorEastAsia" w:hint="eastAsia"/>
        </w:rPr>
        <w:t>品种</w:t>
      </w:r>
      <w:r w:rsidRPr="009802E0">
        <w:rPr>
          <w:rFonts w:asciiTheme="minorEastAsia" w:eastAsiaTheme="minorEastAsia" w:hAnsiTheme="minorEastAsia" w:hint="eastAsia"/>
        </w:rPr>
        <w:t>的投资策略</w:t>
      </w:r>
    </w:p>
    <w:p w:rsidR="00F42F29" w:rsidRPr="009802E0" w:rsidRDefault="00F42F29"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lastRenderedPageBreak/>
        <w:t>本基金对国债、央行票据等利率品种的投资，是在对国内、国外经济趋势进行分析和预测基础上，运用数量方法对利率期限结构变化趋势和债券市场供求关系变化进行分析和预测，深入分析利率品种的收益和风险，并据此调整债券组合的平均久期</w:t>
      </w:r>
      <w:r w:rsidRPr="009802E0">
        <w:rPr>
          <w:rFonts w:asciiTheme="minorEastAsia" w:eastAsiaTheme="minorEastAsia" w:hAnsiTheme="minorEastAsia"/>
        </w:rPr>
        <w:t>。</w:t>
      </w:r>
      <w:r w:rsidRPr="009802E0">
        <w:rPr>
          <w:rFonts w:asciiTheme="minorEastAsia" w:eastAsiaTheme="minorEastAsia" w:hAnsiTheme="minorEastAsia" w:hint="eastAsia"/>
        </w:rPr>
        <w:t>在确定组合平均久期后，本基金</w:t>
      </w:r>
      <w:r w:rsidRPr="009802E0">
        <w:rPr>
          <w:rFonts w:asciiTheme="minorEastAsia" w:eastAsiaTheme="minorEastAsia" w:hAnsiTheme="minorEastAsia"/>
        </w:rPr>
        <w:t>对债券</w:t>
      </w:r>
      <w:r w:rsidRPr="009802E0">
        <w:rPr>
          <w:rFonts w:asciiTheme="minorEastAsia" w:eastAsiaTheme="minorEastAsia" w:hAnsiTheme="minorEastAsia" w:hint="eastAsia"/>
        </w:rPr>
        <w:t>的期限结构进行</w:t>
      </w:r>
      <w:r w:rsidRPr="009802E0">
        <w:rPr>
          <w:rFonts w:asciiTheme="minorEastAsia" w:eastAsiaTheme="minorEastAsia" w:hAnsiTheme="minorEastAsia"/>
        </w:rPr>
        <w:t>分析，</w:t>
      </w:r>
      <w:r w:rsidRPr="009802E0">
        <w:rPr>
          <w:rFonts w:asciiTheme="minorEastAsia" w:eastAsiaTheme="minorEastAsia" w:hAnsiTheme="minorEastAsia" w:hint="eastAsia"/>
        </w:rPr>
        <w:t>运用统计和数量分析技术，选择合适的期限结构配置策略，在合理控制风险的前提下，综合考虑组合的流动性，决定投资品种。</w:t>
      </w:r>
    </w:p>
    <w:p w:rsidR="00C36732" w:rsidRPr="009802E0" w:rsidRDefault="00C36732"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（3）</w:t>
      </w:r>
      <w:r w:rsidR="00406BB3" w:rsidRPr="009802E0">
        <w:rPr>
          <w:rFonts w:asciiTheme="minorEastAsia" w:eastAsiaTheme="minorEastAsia" w:hAnsiTheme="minorEastAsia" w:hint="eastAsia"/>
        </w:rPr>
        <w:t>信用品种</w:t>
      </w:r>
      <w:r w:rsidRPr="009802E0">
        <w:rPr>
          <w:rFonts w:asciiTheme="minorEastAsia" w:eastAsiaTheme="minorEastAsia" w:hAnsiTheme="minorEastAsia" w:hint="eastAsia"/>
        </w:rPr>
        <w:t>的投资策略</w:t>
      </w:r>
      <w:r w:rsidR="00E96607" w:rsidRPr="009802E0">
        <w:rPr>
          <w:rFonts w:asciiTheme="minorEastAsia" w:eastAsiaTheme="minorEastAsia" w:hAnsiTheme="minorEastAsia" w:hint="eastAsia"/>
        </w:rPr>
        <w:t>与信用风险管理</w:t>
      </w:r>
    </w:p>
    <w:p w:rsidR="00E96607" w:rsidRPr="009802E0" w:rsidRDefault="00433C1E"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本基金对金融债、企业债、公司债和短期融资券等信用品种采取自上而下和自下而上相结合的投资策略。自上而下投资策略指本基金在平均久期配置策略与期限结构配置策略基础上，运用数量化分析方法对信用产品的信用风险溢价、流动性风险溢价、税收溢价等因素进行分析，对利差走势及其收益和风险进行判断。自下而上投资策略指本基金运用行业研究方法和公司财务分析方法对债券发行人信用风险进行分析和度量，选择风险与收益相匹配的更优品种进行配置。</w:t>
      </w:r>
      <w:r w:rsidR="00E96607" w:rsidRPr="009802E0">
        <w:rPr>
          <w:rFonts w:asciiTheme="minorEastAsia" w:eastAsiaTheme="minorEastAsia" w:hAnsiTheme="minorEastAsia" w:hint="eastAsia"/>
        </w:rPr>
        <w:t>具体而言：</w:t>
      </w:r>
    </w:p>
    <w:p w:rsidR="00E96607" w:rsidRPr="009802E0" w:rsidRDefault="00E96607"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rPr>
        <w:t>1）根据宏观经济环境及各行业的发展</w:t>
      </w:r>
      <w:r w:rsidRPr="009802E0">
        <w:rPr>
          <w:rFonts w:asciiTheme="minorEastAsia" w:eastAsiaTheme="minorEastAsia" w:hAnsiTheme="minorEastAsia" w:hint="eastAsia"/>
          <w:szCs w:val="21"/>
        </w:rPr>
        <w:t>状况，</w:t>
      </w:r>
      <w:r w:rsidR="00F5239F" w:rsidRPr="009802E0">
        <w:rPr>
          <w:rFonts w:asciiTheme="minorEastAsia" w:eastAsiaTheme="minorEastAsia" w:hAnsiTheme="minorEastAsia" w:hint="eastAsia"/>
          <w:szCs w:val="21"/>
        </w:rPr>
        <w:t>确定</w:t>
      </w:r>
      <w:r w:rsidRPr="009802E0">
        <w:rPr>
          <w:rFonts w:asciiTheme="minorEastAsia" w:eastAsiaTheme="minorEastAsia" w:hAnsiTheme="minorEastAsia" w:hint="eastAsia"/>
          <w:szCs w:val="21"/>
        </w:rPr>
        <w:t>各行业的</w:t>
      </w:r>
      <w:r w:rsidR="00F5239F" w:rsidRPr="009802E0">
        <w:rPr>
          <w:rFonts w:asciiTheme="minorEastAsia" w:eastAsiaTheme="minorEastAsia" w:hAnsiTheme="minorEastAsia" w:hint="eastAsia"/>
          <w:szCs w:val="21"/>
        </w:rPr>
        <w:t>优先</w:t>
      </w:r>
      <w:r w:rsidRPr="009802E0">
        <w:rPr>
          <w:rFonts w:asciiTheme="minorEastAsia" w:eastAsiaTheme="minorEastAsia" w:hAnsiTheme="minorEastAsia" w:hint="eastAsia"/>
          <w:szCs w:val="21"/>
        </w:rPr>
        <w:t>配置</w:t>
      </w:r>
      <w:r w:rsidR="00F5239F" w:rsidRPr="009802E0">
        <w:rPr>
          <w:rFonts w:asciiTheme="minorEastAsia" w:eastAsiaTheme="minorEastAsia" w:hAnsiTheme="minorEastAsia" w:hint="eastAsia"/>
          <w:szCs w:val="21"/>
        </w:rPr>
        <w:t>顺序</w:t>
      </w:r>
      <w:r w:rsidRPr="009802E0">
        <w:rPr>
          <w:rFonts w:asciiTheme="minorEastAsia" w:eastAsiaTheme="minorEastAsia" w:hAnsiTheme="minorEastAsia" w:hint="eastAsia"/>
          <w:szCs w:val="21"/>
        </w:rPr>
        <w:t>；</w:t>
      </w:r>
    </w:p>
    <w:p w:rsidR="00E96607" w:rsidRPr="009802E0" w:rsidRDefault="00E96607"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2）研究债券发行人的产业发展趋势、行业政策、公司背景、盈利状况、竞争地位、治理结构、特殊事件风险等基本面信息，分析企业的长期运作风险；</w:t>
      </w:r>
    </w:p>
    <w:p w:rsidR="00E96607" w:rsidRPr="009802E0" w:rsidRDefault="00E96607"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3</w:t>
      </w:r>
      <w:r w:rsidR="00F5239F" w:rsidRPr="009802E0">
        <w:rPr>
          <w:rFonts w:asciiTheme="minorEastAsia" w:eastAsiaTheme="minorEastAsia" w:hAnsiTheme="minorEastAsia" w:hint="eastAsia"/>
          <w:szCs w:val="21"/>
        </w:rPr>
        <w:t>）运用财务评价体系</w:t>
      </w:r>
      <w:r w:rsidRPr="009802E0">
        <w:rPr>
          <w:rFonts w:asciiTheme="minorEastAsia" w:eastAsiaTheme="minorEastAsia" w:hAnsiTheme="minorEastAsia" w:hint="eastAsia"/>
          <w:szCs w:val="21"/>
        </w:rPr>
        <w:t>对债券发行</w:t>
      </w:r>
      <w:r w:rsidR="00F5239F" w:rsidRPr="009802E0">
        <w:rPr>
          <w:rFonts w:asciiTheme="minorEastAsia" w:eastAsiaTheme="minorEastAsia" w:hAnsiTheme="minorEastAsia" w:hint="eastAsia"/>
          <w:szCs w:val="21"/>
        </w:rPr>
        <w:t>人的资产流动性、盈利能力、偿债能力、现金流水平等方面进行综合评价</w:t>
      </w:r>
      <w:r w:rsidRPr="009802E0">
        <w:rPr>
          <w:rFonts w:asciiTheme="minorEastAsia" w:eastAsiaTheme="minorEastAsia" w:hAnsiTheme="minorEastAsia" w:hint="eastAsia"/>
          <w:szCs w:val="21"/>
        </w:rPr>
        <w:t>，度量发行人财务风险；</w:t>
      </w:r>
    </w:p>
    <w:p w:rsidR="00E96607" w:rsidRPr="009802E0" w:rsidRDefault="00E96607"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4）利用历史数据、市场价格以及资产质量等信息，估算债券发行人的违约率及违约损失率；</w:t>
      </w:r>
    </w:p>
    <w:p w:rsidR="00E96607" w:rsidRPr="009802E0" w:rsidRDefault="00E96607"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5）综合发行人各方面分析结果，确定信用利差的合理水平，利用市场的相对失衡，选择溢价偏高的品种进行投资。</w:t>
      </w:r>
    </w:p>
    <w:p w:rsidR="00D11C0D" w:rsidRPr="009802E0" w:rsidRDefault="00E96607"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本基金从以下三个方面来进行信用风险管理：</w:t>
      </w:r>
    </w:p>
    <w:p w:rsidR="00D11C0D" w:rsidRPr="009802E0" w:rsidRDefault="00E96607"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1）进行独立的发行主体信用分析，不断在实践中完善分析方法和积累分析经验数据；</w:t>
      </w:r>
    </w:p>
    <w:p w:rsidR="00D11C0D" w:rsidRPr="009802E0" w:rsidRDefault="00E96607"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2）严格遵守信用类债券的备选库制度，根据不同的信用风险等级，按照不同的投资管理流程和权限管理制度，对入库债券进行定期信用跟踪分析；</w:t>
      </w:r>
    </w:p>
    <w:p w:rsidR="00E96607" w:rsidRPr="009802E0" w:rsidRDefault="00E96607"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3）采取分散化投资策略和集中度限制，严格控制组合整体的违约风险水平。</w:t>
      </w:r>
    </w:p>
    <w:p w:rsidR="00C36732" w:rsidRPr="009802E0" w:rsidRDefault="00C36732" w:rsidP="009C0E15">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（4）</w:t>
      </w:r>
      <w:r w:rsidRPr="009802E0">
        <w:rPr>
          <w:rFonts w:asciiTheme="minorEastAsia" w:eastAsiaTheme="minorEastAsia" w:hAnsiTheme="minorEastAsia" w:hint="eastAsia"/>
        </w:rPr>
        <w:t>可转换债券的投资策略</w:t>
      </w:r>
    </w:p>
    <w:p w:rsidR="00E96607" w:rsidRPr="009802E0" w:rsidRDefault="00E96607"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可转换债券的价值主要取决于其股权价值、债券价值和</w:t>
      </w:r>
      <w:r w:rsidR="007B6530" w:rsidRPr="009802E0">
        <w:rPr>
          <w:rFonts w:asciiTheme="minorEastAsia" w:eastAsiaTheme="minorEastAsia" w:hAnsiTheme="minorEastAsia" w:hint="eastAsia"/>
          <w:szCs w:val="21"/>
        </w:rPr>
        <w:t>内嵌</w:t>
      </w:r>
      <w:r w:rsidR="000955CF" w:rsidRPr="009802E0">
        <w:rPr>
          <w:rFonts w:asciiTheme="minorEastAsia" w:eastAsiaTheme="minorEastAsia" w:hAnsiTheme="minorEastAsia" w:hint="eastAsia"/>
          <w:szCs w:val="21"/>
        </w:rPr>
        <w:t>期权</w:t>
      </w:r>
      <w:r w:rsidRPr="009802E0">
        <w:rPr>
          <w:rFonts w:asciiTheme="minorEastAsia" w:eastAsiaTheme="minorEastAsia" w:hAnsiTheme="minorEastAsia" w:hint="eastAsia"/>
          <w:szCs w:val="21"/>
        </w:rPr>
        <w:t>价值，本基金管理人将对可转换债券的价值进行评估，选择具有较高投资价值的可转换债券进行投资。</w:t>
      </w:r>
    </w:p>
    <w:p w:rsidR="00E96607" w:rsidRPr="009802E0" w:rsidRDefault="00E96607"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本管理人将对发行公司的基本面进行分析，包括所处行业的景气度、公司成长性、市场竞争力等，并参考同类公司的估值水平，判断可转换债券的股权投资价值；基于对利率水平、票息率及派息频率、信用风险等因素的分析，判断其债券投资价值；采用期权定价模型，估算可转换债券的</w:t>
      </w:r>
      <w:r w:rsidR="007B6530" w:rsidRPr="009802E0">
        <w:rPr>
          <w:rFonts w:asciiTheme="minorEastAsia" w:eastAsiaTheme="minorEastAsia" w:hAnsiTheme="minorEastAsia" w:hint="eastAsia"/>
          <w:szCs w:val="21"/>
        </w:rPr>
        <w:t>内嵌</w:t>
      </w:r>
      <w:r w:rsidR="000955CF" w:rsidRPr="009802E0">
        <w:rPr>
          <w:rFonts w:asciiTheme="minorEastAsia" w:eastAsiaTheme="minorEastAsia" w:hAnsiTheme="minorEastAsia" w:hint="eastAsia"/>
          <w:szCs w:val="21"/>
        </w:rPr>
        <w:t>期权</w:t>
      </w:r>
      <w:r w:rsidRPr="009802E0">
        <w:rPr>
          <w:rFonts w:asciiTheme="minorEastAsia" w:eastAsiaTheme="minorEastAsia" w:hAnsiTheme="minorEastAsia" w:hint="eastAsia"/>
          <w:szCs w:val="21"/>
        </w:rPr>
        <w:t>价值。综合以上因素，对可转换债券进行定价分析，制定可转换债券的投资策略。</w:t>
      </w:r>
    </w:p>
    <w:p w:rsidR="00E96607" w:rsidRPr="009802E0" w:rsidRDefault="00E96607"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此外，本基金还将根据新发可转债的预计中签率、模型定价结果，积极参与可转债新券的申购。</w:t>
      </w:r>
    </w:p>
    <w:p w:rsidR="00524DFD" w:rsidRPr="009802E0" w:rsidRDefault="00524DFD" w:rsidP="009C0E15">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3</w:t>
      </w:r>
      <w:r w:rsidR="00C335A3" w:rsidRPr="009802E0">
        <w:rPr>
          <w:rFonts w:asciiTheme="minorEastAsia" w:eastAsiaTheme="minorEastAsia" w:hAnsiTheme="minorEastAsia" w:hint="eastAsia"/>
          <w:szCs w:val="21"/>
        </w:rPr>
        <w:t>、</w:t>
      </w:r>
      <w:r w:rsidR="00D24FD4" w:rsidRPr="009802E0">
        <w:rPr>
          <w:rFonts w:asciiTheme="minorEastAsia" w:eastAsiaTheme="minorEastAsia" w:hAnsiTheme="minorEastAsia" w:hint="eastAsia"/>
        </w:rPr>
        <w:t>权益类品种的投资策略</w:t>
      </w:r>
    </w:p>
    <w:p w:rsidR="00D24FD4" w:rsidRPr="009802E0" w:rsidRDefault="00D24FD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在权益类品种投资过程中，本基金将控制基金资产净值的波动幅度</w:t>
      </w:r>
      <w:r w:rsidR="007B6530" w:rsidRPr="009802E0">
        <w:rPr>
          <w:rFonts w:asciiTheme="minorEastAsia" w:eastAsiaTheme="minorEastAsia" w:hAnsiTheme="minorEastAsia" w:hint="eastAsia"/>
          <w:szCs w:val="21"/>
        </w:rPr>
        <w:t>，</w:t>
      </w:r>
      <w:r w:rsidR="00AE164C" w:rsidRPr="009802E0">
        <w:rPr>
          <w:rFonts w:asciiTheme="minorEastAsia" w:eastAsiaTheme="minorEastAsia" w:hAnsiTheme="minorEastAsia" w:hint="eastAsia"/>
          <w:szCs w:val="21"/>
        </w:rPr>
        <w:t>特别</w:t>
      </w:r>
      <w:r w:rsidR="007B6530" w:rsidRPr="009802E0">
        <w:rPr>
          <w:rFonts w:asciiTheme="minorEastAsia" w:eastAsiaTheme="minorEastAsia" w:hAnsiTheme="minorEastAsia" w:hint="eastAsia"/>
          <w:szCs w:val="21"/>
        </w:rPr>
        <w:t>是</w:t>
      </w:r>
      <w:r w:rsidRPr="009802E0">
        <w:rPr>
          <w:rFonts w:asciiTheme="minorEastAsia" w:eastAsiaTheme="minorEastAsia" w:hAnsiTheme="minorEastAsia" w:hint="eastAsia"/>
          <w:szCs w:val="21"/>
        </w:rPr>
        <w:t>下跌风险作为首要因素进行考虑，并严格</w:t>
      </w:r>
      <w:r w:rsidR="007B6530" w:rsidRPr="009802E0">
        <w:rPr>
          <w:rFonts w:asciiTheme="minorEastAsia" w:eastAsiaTheme="minorEastAsia" w:hAnsiTheme="minorEastAsia" w:hint="eastAsia"/>
          <w:szCs w:val="21"/>
        </w:rPr>
        <w:t>管理</w:t>
      </w:r>
      <w:r w:rsidRPr="009802E0">
        <w:rPr>
          <w:rFonts w:asciiTheme="minorEastAsia" w:eastAsiaTheme="minorEastAsia" w:hAnsiTheme="minorEastAsia" w:hint="eastAsia"/>
          <w:szCs w:val="21"/>
        </w:rPr>
        <w:t>权益类品种的投资比例。</w:t>
      </w:r>
    </w:p>
    <w:p w:rsidR="00D24FD4" w:rsidRPr="009802E0" w:rsidRDefault="00D24FD4"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(1)新股申购策略</w:t>
      </w:r>
    </w:p>
    <w:p w:rsidR="00D24FD4" w:rsidRPr="009802E0" w:rsidRDefault="00D24FD4"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本基金通过对新股的分析，参考同类公司的估值水平，判断一、二级市场价差的大小，并根据过往新股的中签率及上市后股价涨幅的统计、综合考虑锁定期间的投资风险以及资金成本，制定新股申购策略。</w:t>
      </w:r>
    </w:p>
    <w:p w:rsidR="00D24FD4" w:rsidRPr="009802E0" w:rsidRDefault="00D24FD4"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(2)股票二级市场的投资策略</w:t>
      </w:r>
    </w:p>
    <w:p w:rsidR="00A421DA" w:rsidRPr="009802E0" w:rsidRDefault="00A421DA"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在股票二级市场投资方面，</w:t>
      </w:r>
      <w:r w:rsidRPr="009802E0">
        <w:rPr>
          <w:rFonts w:asciiTheme="minorEastAsia" w:eastAsiaTheme="minorEastAsia" w:hAnsiTheme="minorEastAsia"/>
        </w:rPr>
        <w:t>本基金采取自上而下</w:t>
      </w:r>
      <w:r w:rsidRPr="009802E0">
        <w:rPr>
          <w:rFonts w:asciiTheme="minorEastAsia" w:eastAsiaTheme="minorEastAsia" w:hAnsiTheme="minorEastAsia" w:hint="eastAsia"/>
        </w:rPr>
        <w:t>的行业配置</w:t>
      </w:r>
      <w:r w:rsidRPr="009802E0">
        <w:rPr>
          <w:rFonts w:asciiTheme="minorEastAsia" w:eastAsiaTheme="minorEastAsia" w:hAnsiTheme="minorEastAsia"/>
        </w:rPr>
        <w:t>与自下而上</w:t>
      </w:r>
      <w:r w:rsidRPr="009802E0">
        <w:rPr>
          <w:rFonts w:asciiTheme="minorEastAsia" w:eastAsiaTheme="minorEastAsia" w:hAnsiTheme="minorEastAsia" w:hint="eastAsia"/>
        </w:rPr>
        <w:t>的个股选择</w:t>
      </w:r>
      <w:r w:rsidRPr="009802E0">
        <w:rPr>
          <w:rFonts w:asciiTheme="minorEastAsia" w:eastAsiaTheme="minorEastAsia" w:hAnsiTheme="minorEastAsia"/>
        </w:rPr>
        <w:t>相结合的投资策略</w:t>
      </w:r>
      <w:r w:rsidRPr="009802E0">
        <w:rPr>
          <w:rFonts w:asciiTheme="minorEastAsia" w:eastAsiaTheme="minorEastAsia" w:hAnsiTheme="minorEastAsia" w:hint="eastAsia"/>
        </w:rPr>
        <w:t>。在行业配置方面，除通过对包括产业政策、行业成长性、市场竞争、行业估值等方面进行深入研究以外，本管理人将着重分析未来一段时间的通胀水平的变化特征及其成因，选择受益于该运行特征或者受其负面影响最小的行业进行重点投资。在个股选择方面，本管理人将</w:t>
      </w:r>
      <w:r w:rsidRPr="009802E0">
        <w:rPr>
          <w:rFonts w:asciiTheme="minorEastAsia" w:eastAsiaTheme="minorEastAsia" w:hAnsiTheme="minorEastAsia"/>
        </w:rPr>
        <w:t>精选</w:t>
      </w:r>
      <w:r w:rsidRPr="009802E0">
        <w:rPr>
          <w:rFonts w:asciiTheme="minorEastAsia" w:eastAsiaTheme="minorEastAsia" w:hAnsiTheme="minorEastAsia" w:hint="eastAsia"/>
        </w:rPr>
        <w:t>满足以下特征的公司进行谨慎的投资：</w:t>
      </w:r>
    </w:p>
    <w:p w:rsidR="00E96607" w:rsidRPr="009802E0" w:rsidRDefault="00E96607"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1）企业治理结构良好，管理层诚信尽职，重视股东利益，能根据市场环境的变化正确地制定和调整发展战略，经营管理能力能适应企业规模的需要；</w:t>
      </w:r>
    </w:p>
    <w:p w:rsidR="00E96607" w:rsidRPr="009802E0" w:rsidRDefault="00E96607"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2）公司财务透明、清晰，资产质量及财务状况较好，拥有良好的历史盈利记录；</w:t>
      </w:r>
    </w:p>
    <w:p w:rsidR="00E96607" w:rsidRPr="009802E0" w:rsidRDefault="00E96607"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3）企业的主营产品或服务具有良好的市场前景，企业在经营许可、规模、资源、技术、品牌、创新能力等方面具有竞争对手在中长期时间内难以模仿的竞争优势；</w:t>
      </w:r>
    </w:p>
    <w:p w:rsidR="00E96607" w:rsidRPr="009802E0" w:rsidRDefault="00E96607"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4）根据企业业绩的长期增长趋势以及同类企业的平均估值水平，应用本基金管理人设计的估值模型，价值被市场低估的企业。</w:t>
      </w:r>
    </w:p>
    <w:p w:rsidR="000B09D4" w:rsidRPr="009802E0" w:rsidRDefault="000B09D4"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(3)权证的投资策略</w:t>
      </w:r>
    </w:p>
    <w:p w:rsidR="000B09D4" w:rsidRPr="009802E0" w:rsidRDefault="000B09D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权证为本基金辅助性投资工具，投资原则为有利于本基金资产增值、控制下跌风险、实现保值和锁定收益。</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bCs/>
        </w:rPr>
      </w:pPr>
      <w:bookmarkStart w:id="96" w:name="question3"/>
      <w:bookmarkStart w:id="97" w:name="_Toc43301921"/>
      <w:r w:rsidRPr="009802E0">
        <w:rPr>
          <w:rFonts w:asciiTheme="minorEastAsia" w:eastAsiaTheme="minorEastAsia" w:hAnsiTheme="minorEastAsia" w:hint="eastAsia"/>
          <w:b w:val="0"/>
        </w:rPr>
        <w:t>（五）业绩</w:t>
      </w:r>
      <w:r w:rsidRPr="009802E0">
        <w:rPr>
          <w:rFonts w:asciiTheme="minorEastAsia" w:eastAsiaTheme="minorEastAsia" w:hAnsiTheme="minorEastAsia"/>
          <w:b w:val="0"/>
        </w:rPr>
        <w:t>比较基准</w:t>
      </w:r>
      <w:bookmarkEnd w:id="97"/>
    </w:p>
    <w:p w:rsidR="00433C1E" w:rsidRPr="009802E0" w:rsidRDefault="00433C1E" w:rsidP="00FE018D">
      <w:pPr>
        <w:adjustRightInd w:val="0"/>
        <w:snapToGrid w:val="0"/>
        <w:spacing w:line="360" w:lineRule="auto"/>
        <w:ind w:right="28"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三年期银行定期存款收益率</w:t>
      </w:r>
      <w:r w:rsidR="00E03DC8" w:rsidRPr="009802E0">
        <w:rPr>
          <w:rFonts w:asciiTheme="minorEastAsia" w:eastAsiaTheme="minorEastAsia" w:hAnsiTheme="minorEastAsia" w:hint="eastAsia"/>
          <w:szCs w:val="21"/>
        </w:rPr>
        <w:t>（税后）</w:t>
      </w:r>
      <w:r w:rsidRPr="009802E0">
        <w:rPr>
          <w:rFonts w:asciiTheme="minorEastAsia" w:eastAsiaTheme="minorEastAsia" w:hAnsiTheme="minorEastAsia" w:hint="eastAsia"/>
          <w:szCs w:val="21"/>
        </w:rPr>
        <w:t>+1.0%</w:t>
      </w:r>
    </w:p>
    <w:p w:rsidR="00433C1E" w:rsidRPr="009802E0" w:rsidRDefault="00433C1E" w:rsidP="00FE018D">
      <w:pPr>
        <w:adjustRightInd w:val="0"/>
        <w:snapToGrid w:val="0"/>
        <w:spacing w:line="360" w:lineRule="auto"/>
        <w:ind w:right="28"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上述“三年期银行定期存款收益率”是指当年1月1日中国人民银行公布并执行的三年期“金融机构人民币存款基准利率”。《基金合同》生效日所在年度以《基金合同》生效日中国人民银行公布并执行的三年期“金融机构人民币存款基准利率”为准。</w:t>
      </w:r>
    </w:p>
    <w:p w:rsidR="00E96607" w:rsidRPr="009802E0" w:rsidRDefault="00E96607" w:rsidP="00FE018D">
      <w:pPr>
        <w:adjustRightInd w:val="0"/>
        <w:snapToGrid w:val="0"/>
        <w:spacing w:line="360" w:lineRule="auto"/>
        <w:ind w:right="28"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上述业绩比较基准能反映本基金“力争战胜通货膨胀和银行定期存款利率”的投资目标和产品定位，符合本基金“在控制基金资产净值波动、追求收益稳定的基础上，提高基金的收益水平”的追求绝对回报的投资策略，也符合本基金的风险收益特征，并且该基准中“三年银行定期存款收益率”容易被广大投资人理解和接受，因而较为适当。</w:t>
      </w:r>
    </w:p>
    <w:p w:rsidR="00D52DED" w:rsidRPr="009802E0" w:rsidRDefault="007D4543" w:rsidP="00FE018D">
      <w:pPr>
        <w:adjustRightInd w:val="0"/>
        <w:snapToGrid w:val="0"/>
        <w:spacing w:line="360" w:lineRule="auto"/>
        <w:ind w:right="28"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如果今后法律法规发生变化，或者有更权威的、更能为市场普遍接受的业绩比较基准推出，或者是市场上出现更加适合用于本基金的业绩基准的指数时，基金管理人可以根据本基金的投资范围和投资策略，确定变更基金的业绩比较基准。业绩比较基准的变更需经基金管理人与基金托管人协商一致。基金管理人最迟应于新的业绩比较基准实施前</w:t>
      </w:r>
      <w:r w:rsidRPr="009802E0">
        <w:rPr>
          <w:rFonts w:asciiTheme="minorEastAsia" w:eastAsiaTheme="minorEastAsia" w:hAnsiTheme="minorEastAsia"/>
          <w:szCs w:val="21"/>
        </w:rPr>
        <w:t>2</w:t>
      </w:r>
      <w:r w:rsidRPr="009802E0">
        <w:rPr>
          <w:rFonts w:asciiTheme="minorEastAsia" w:eastAsiaTheme="minorEastAsia" w:hAnsiTheme="minorEastAsia" w:hint="eastAsia"/>
          <w:szCs w:val="21"/>
        </w:rPr>
        <w:t>日在至少一种</w:t>
      </w:r>
      <w:r w:rsidR="004E4473" w:rsidRPr="009802E0">
        <w:rPr>
          <w:rFonts w:asciiTheme="minorEastAsia" w:eastAsiaTheme="minorEastAsia" w:hAnsiTheme="minorEastAsia" w:hint="eastAsia"/>
          <w:szCs w:val="21"/>
        </w:rPr>
        <w:t>指定媒介</w:t>
      </w:r>
      <w:r w:rsidRPr="009802E0">
        <w:rPr>
          <w:rFonts w:asciiTheme="minorEastAsia" w:eastAsiaTheme="minorEastAsia" w:hAnsiTheme="minorEastAsia" w:hint="eastAsia"/>
          <w:szCs w:val="21"/>
        </w:rPr>
        <w:t>上进行公告并报中国证监会备案。</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bCs/>
        </w:rPr>
      </w:pPr>
      <w:bookmarkStart w:id="98" w:name="_Toc43301922"/>
      <w:bookmarkEnd w:id="96"/>
      <w:r w:rsidRPr="009802E0">
        <w:rPr>
          <w:rFonts w:asciiTheme="minorEastAsia" w:eastAsiaTheme="minorEastAsia" w:hAnsiTheme="minorEastAsia" w:hint="eastAsia"/>
          <w:b w:val="0"/>
        </w:rPr>
        <w:t>（六）</w:t>
      </w:r>
      <w:r w:rsidRPr="009802E0">
        <w:rPr>
          <w:rFonts w:asciiTheme="minorEastAsia" w:eastAsiaTheme="minorEastAsia" w:hAnsiTheme="minorEastAsia"/>
          <w:b w:val="0"/>
        </w:rPr>
        <w:t>风险收益特征</w:t>
      </w:r>
      <w:bookmarkEnd w:id="98"/>
    </w:p>
    <w:p w:rsidR="00C0296E" w:rsidRPr="009802E0" w:rsidRDefault="00C0296E" w:rsidP="00FE018D">
      <w:pPr>
        <w:adjustRightInd w:val="0"/>
        <w:snapToGrid w:val="0"/>
        <w:spacing w:line="360" w:lineRule="auto"/>
        <w:ind w:right="28"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本基金为债券型基金，其长期平均风险和预期收益率低于混合型基金、股票型基金，高于货币市场基金。</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bCs/>
        </w:rPr>
      </w:pPr>
      <w:bookmarkStart w:id="99" w:name="_Toc43301923"/>
      <w:r w:rsidRPr="009802E0">
        <w:rPr>
          <w:rFonts w:asciiTheme="minorEastAsia" w:eastAsiaTheme="minorEastAsia" w:hAnsiTheme="minorEastAsia" w:hint="eastAsia"/>
          <w:b w:val="0"/>
        </w:rPr>
        <w:t>（七）投资决策</w:t>
      </w:r>
      <w:bookmarkEnd w:id="99"/>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kern w:val="0"/>
          <w:szCs w:val="21"/>
        </w:rPr>
        <w:t>1</w:t>
      </w:r>
      <w:r w:rsidR="00C335A3"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决策依据</w:t>
      </w:r>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w:t>
      </w:r>
      <w:r w:rsidRPr="009802E0">
        <w:rPr>
          <w:rFonts w:asciiTheme="minorEastAsia" w:eastAsiaTheme="minorEastAsia" w:hAnsiTheme="minorEastAsia"/>
          <w:kern w:val="0"/>
          <w:szCs w:val="21"/>
        </w:rPr>
        <w:t>1</w:t>
      </w:r>
      <w:r w:rsidRPr="009802E0">
        <w:rPr>
          <w:rFonts w:asciiTheme="minorEastAsia" w:eastAsiaTheme="minorEastAsia" w:hAnsiTheme="minorEastAsia" w:hint="eastAsia"/>
          <w:kern w:val="0"/>
          <w:szCs w:val="21"/>
        </w:rPr>
        <w:t>）国家有关法律、法规和本基金合同的有关规定。</w:t>
      </w:r>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w:t>
      </w:r>
      <w:r w:rsidRPr="009802E0">
        <w:rPr>
          <w:rFonts w:asciiTheme="minorEastAsia" w:eastAsiaTheme="minorEastAsia" w:hAnsiTheme="minorEastAsia"/>
          <w:kern w:val="0"/>
          <w:szCs w:val="21"/>
        </w:rPr>
        <w:t>2</w:t>
      </w:r>
      <w:r w:rsidRPr="009802E0">
        <w:rPr>
          <w:rFonts w:asciiTheme="minorEastAsia" w:eastAsiaTheme="minorEastAsia" w:hAnsiTheme="minorEastAsia" w:hint="eastAsia"/>
          <w:kern w:val="0"/>
          <w:szCs w:val="21"/>
        </w:rPr>
        <w:t>）宏观经济发展态势、微观经济运行环境和证券市场走势。</w:t>
      </w:r>
    </w:p>
    <w:p w:rsidR="00B43AC4" w:rsidRPr="009802E0" w:rsidRDefault="00B43AC4" w:rsidP="009C0E15">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kern w:val="0"/>
          <w:szCs w:val="21"/>
        </w:rPr>
        <w:t>2</w:t>
      </w:r>
      <w:r w:rsidR="00C335A3"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rPr>
        <w:t>决策程序</w:t>
      </w:r>
    </w:p>
    <w:p w:rsidR="00E23474" w:rsidRPr="009802E0" w:rsidRDefault="00E23474" w:rsidP="00FE018D">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w:t>
      </w:r>
      <w:r w:rsidR="00EB40CB" w:rsidRPr="009802E0">
        <w:rPr>
          <w:rFonts w:asciiTheme="minorEastAsia" w:eastAsiaTheme="minorEastAsia" w:hAnsiTheme="minorEastAsia" w:hint="eastAsia"/>
          <w:kern w:val="0"/>
          <w:szCs w:val="21"/>
        </w:rPr>
        <w:t>研究员提交宏观经济、证券市场、信用分析、新股申购、行业分析及个股研究报告；</w:t>
      </w:r>
    </w:p>
    <w:p w:rsidR="00E23474" w:rsidRPr="009802E0" w:rsidRDefault="00E23474" w:rsidP="00FE018D">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（2)基金经理根据研究报告以及对宏观经济、债券市场投资机会、新股申购收益率、股票市场预期收益水平的判断，制定资产配置计划，按照公司制度提交审议并实施；</w:t>
      </w:r>
    </w:p>
    <w:p w:rsidR="00555EFA" w:rsidRPr="009802E0" w:rsidRDefault="00E23474" w:rsidP="00FE018D">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（3)基金经理制定具体的固定收益品种、</w:t>
      </w:r>
      <w:r w:rsidR="00EB40CB" w:rsidRPr="009802E0">
        <w:rPr>
          <w:rFonts w:asciiTheme="minorEastAsia" w:eastAsiaTheme="minorEastAsia" w:hAnsiTheme="minorEastAsia" w:hint="eastAsia"/>
          <w:kern w:val="0"/>
          <w:szCs w:val="21"/>
        </w:rPr>
        <w:t>新股及二级市场股票的投资方案，</w:t>
      </w:r>
      <w:r w:rsidRPr="009802E0">
        <w:rPr>
          <w:rFonts w:asciiTheme="minorEastAsia" w:eastAsiaTheme="minorEastAsia" w:hAnsiTheme="minorEastAsia" w:hint="eastAsia"/>
          <w:kern w:val="0"/>
          <w:szCs w:val="21"/>
        </w:rPr>
        <w:t>构造投资组合；</w:t>
      </w:r>
    </w:p>
    <w:p w:rsidR="00E23474" w:rsidRPr="009802E0" w:rsidRDefault="00E23474" w:rsidP="009C0E15">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（4)</w:t>
      </w:r>
      <w:r w:rsidRPr="009802E0">
        <w:rPr>
          <w:rFonts w:asciiTheme="minorEastAsia" w:eastAsiaTheme="minorEastAsia" w:hAnsiTheme="minorEastAsia" w:hint="eastAsia"/>
        </w:rPr>
        <w:t>集中交易室依据基金经理的指令</w:t>
      </w:r>
      <w:r w:rsidRPr="009802E0">
        <w:rPr>
          <w:rFonts w:asciiTheme="minorEastAsia" w:eastAsiaTheme="minorEastAsia" w:hAnsiTheme="minorEastAsia" w:hint="eastAsia"/>
          <w:kern w:val="0"/>
          <w:szCs w:val="21"/>
        </w:rPr>
        <w:t>，执行交易；</w:t>
      </w:r>
    </w:p>
    <w:p w:rsidR="00EA5096" w:rsidRPr="009802E0" w:rsidRDefault="00E2347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kern w:val="0"/>
          <w:szCs w:val="21"/>
        </w:rPr>
        <w:t>（5)</w:t>
      </w:r>
      <w:r w:rsidR="001C5425" w:rsidRPr="009802E0">
        <w:rPr>
          <w:rFonts w:asciiTheme="minorEastAsia" w:eastAsiaTheme="minorEastAsia" w:hAnsiTheme="minorEastAsia" w:hint="eastAsia"/>
          <w:szCs w:val="21"/>
        </w:rPr>
        <w:t>监察合规管理部门</w:t>
      </w:r>
      <w:r w:rsidR="00EA5096" w:rsidRPr="009802E0">
        <w:rPr>
          <w:rFonts w:asciiTheme="minorEastAsia" w:eastAsiaTheme="minorEastAsia" w:hAnsiTheme="minorEastAsia" w:hint="eastAsia"/>
          <w:bCs/>
          <w:szCs w:val="21"/>
        </w:rPr>
        <w:t>对基金的日常投资和交易是否遵守法律法规、基金合同进行独立监督检查；</w:t>
      </w:r>
    </w:p>
    <w:p w:rsidR="00E23474" w:rsidRPr="009802E0" w:rsidRDefault="00EA5096" w:rsidP="00FE018D">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szCs w:val="21"/>
        </w:rPr>
        <w:t>（6</w:t>
      </w:r>
      <w:r w:rsidRPr="009802E0">
        <w:rPr>
          <w:rFonts w:asciiTheme="minorEastAsia" w:eastAsiaTheme="minorEastAsia" w:hAnsiTheme="minorEastAsia"/>
          <w:szCs w:val="21"/>
        </w:rPr>
        <w:t>）</w:t>
      </w:r>
      <w:r w:rsidR="00E23474" w:rsidRPr="009802E0">
        <w:rPr>
          <w:rFonts w:asciiTheme="minorEastAsia" w:eastAsiaTheme="minorEastAsia" w:hAnsiTheme="minorEastAsia" w:hint="eastAsia"/>
          <w:kern w:val="0"/>
          <w:szCs w:val="21"/>
        </w:rPr>
        <w:t>投资风险管理部定期出具基金绩效评估和风险管理报告，供基金经理调整投资组合时参考；</w:t>
      </w:r>
    </w:p>
    <w:p w:rsidR="00E23474" w:rsidRPr="009802E0" w:rsidRDefault="00E23474" w:rsidP="00FE018D">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w:t>
      </w:r>
      <w:r w:rsidR="00EA5096" w:rsidRPr="009802E0">
        <w:rPr>
          <w:rFonts w:asciiTheme="minorEastAsia" w:eastAsiaTheme="minorEastAsia" w:hAnsiTheme="minorEastAsia" w:hint="eastAsia"/>
          <w:kern w:val="0"/>
          <w:szCs w:val="21"/>
        </w:rPr>
        <w:t>7</w:t>
      </w:r>
      <w:r w:rsidRPr="009802E0">
        <w:rPr>
          <w:rFonts w:asciiTheme="minorEastAsia" w:eastAsiaTheme="minorEastAsia" w:hAnsiTheme="minorEastAsia" w:hint="eastAsia"/>
          <w:kern w:val="0"/>
          <w:szCs w:val="21"/>
        </w:rPr>
        <w:t>)基金经理定期检讨投资组合的运作成效，并进行相应的组合调整。</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szCs w:val="21"/>
        </w:rPr>
      </w:pPr>
      <w:bookmarkStart w:id="100" w:name="_Toc43301924"/>
      <w:r w:rsidRPr="009802E0">
        <w:rPr>
          <w:rFonts w:asciiTheme="minorEastAsia" w:eastAsiaTheme="minorEastAsia" w:hAnsiTheme="minorEastAsia" w:hint="eastAsia"/>
          <w:b w:val="0"/>
          <w:szCs w:val="21"/>
        </w:rPr>
        <w:t>（八）投资禁止行为与限制</w:t>
      </w:r>
      <w:bookmarkEnd w:id="100"/>
    </w:p>
    <w:p w:rsidR="00B43AC4" w:rsidRPr="009802E0" w:rsidRDefault="00B43AC4" w:rsidP="00FE018D">
      <w:pPr>
        <w:adjustRightInd w:val="0"/>
        <w:snapToGrid w:val="0"/>
        <w:spacing w:line="360" w:lineRule="auto"/>
        <w:ind w:right="28"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w:t>
      </w:r>
      <w:r w:rsidR="00C335A3"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禁止行为</w:t>
      </w:r>
    </w:p>
    <w:p w:rsidR="00B43AC4" w:rsidRPr="009802E0" w:rsidRDefault="00B43AC4" w:rsidP="00FE018D">
      <w:pPr>
        <w:adjustRightInd w:val="0"/>
        <w:snapToGrid w:val="0"/>
        <w:spacing w:line="360" w:lineRule="auto"/>
        <w:ind w:right="28"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为维护基金份额持有人的合法权益，本基金禁止从事下列行为：</w:t>
      </w:r>
    </w:p>
    <w:p w:rsidR="00B43AC4" w:rsidRPr="009802E0" w:rsidRDefault="00B43AC4" w:rsidP="00FE018D">
      <w:pPr>
        <w:adjustRightInd w:val="0"/>
        <w:snapToGrid w:val="0"/>
        <w:spacing w:line="360" w:lineRule="auto"/>
        <w:ind w:right="28"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（1）承销证券；</w:t>
      </w:r>
    </w:p>
    <w:p w:rsidR="00B43AC4" w:rsidRPr="009802E0" w:rsidRDefault="00B43AC4" w:rsidP="00FE018D">
      <w:pPr>
        <w:adjustRightInd w:val="0"/>
        <w:snapToGrid w:val="0"/>
        <w:spacing w:line="360" w:lineRule="auto"/>
        <w:ind w:right="28"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（2）向他人贷款或提供担保；</w:t>
      </w:r>
    </w:p>
    <w:p w:rsidR="00B43AC4" w:rsidRPr="009802E0" w:rsidRDefault="00B43AC4" w:rsidP="00FE018D">
      <w:pPr>
        <w:adjustRightInd w:val="0"/>
        <w:snapToGrid w:val="0"/>
        <w:spacing w:line="360" w:lineRule="auto"/>
        <w:ind w:right="28"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（3）</w:t>
      </w:r>
      <w:r w:rsidRPr="009802E0">
        <w:rPr>
          <w:rFonts w:asciiTheme="minorEastAsia" w:eastAsiaTheme="minorEastAsia" w:hAnsiTheme="minorEastAsia"/>
          <w:kern w:val="0"/>
          <w:szCs w:val="21"/>
        </w:rPr>
        <w:t>从事承担无限责任的投资；</w:t>
      </w:r>
    </w:p>
    <w:p w:rsidR="00B43AC4" w:rsidRPr="009802E0" w:rsidRDefault="00B43AC4" w:rsidP="00FE018D">
      <w:pPr>
        <w:adjustRightInd w:val="0"/>
        <w:snapToGrid w:val="0"/>
        <w:spacing w:line="360" w:lineRule="auto"/>
        <w:ind w:right="28"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（4）买卖其他基金份额，但法律法规或中国证监会另有规定的除外；</w:t>
      </w:r>
    </w:p>
    <w:p w:rsidR="00B43AC4" w:rsidRPr="009802E0" w:rsidRDefault="00B43AC4" w:rsidP="00FE018D">
      <w:pPr>
        <w:adjustRightInd w:val="0"/>
        <w:snapToGrid w:val="0"/>
        <w:spacing w:line="360" w:lineRule="auto"/>
        <w:ind w:right="28"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（5）向基金管理人、基金托管人出资或者买卖其基金管理人、基金托管人发行的股票或债券；</w:t>
      </w:r>
    </w:p>
    <w:p w:rsidR="00B43AC4" w:rsidRPr="009802E0" w:rsidRDefault="00B43AC4" w:rsidP="00FE018D">
      <w:pPr>
        <w:adjustRightInd w:val="0"/>
        <w:snapToGrid w:val="0"/>
        <w:spacing w:line="360" w:lineRule="auto"/>
        <w:ind w:right="28"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lastRenderedPageBreak/>
        <w:t>（6）买卖与基金管理人、基金托管人有控股关系的股东或者与基金管理人、基金托管人有其他重大利害关系的公司发行的证券或者承销期内承销的证券；</w:t>
      </w:r>
    </w:p>
    <w:p w:rsidR="00B43AC4" w:rsidRPr="009802E0" w:rsidRDefault="00B43AC4"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kern w:val="0"/>
          <w:szCs w:val="21"/>
        </w:rPr>
        <w:t>（7）</w:t>
      </w:r>
      <w:r w:rsidRPr="009802E0">
        <w:rPr>
          <w:rFonts w:asciiTheme="minorEastAsia" w:eastAsiaTheme="minorEastAsia" w:hAnsiTheme="minorEastAsia" w:hint="eastAsia"/>
        </w:rPr>
        <w:t>从事内幕交易、操纵证券价格及其他不正当的证券交易活动；</w:t>
      </w:r>
    </w:p>
    <w:p w:rsidR="00B43AC4" w:rsidRPr="009802E0" w:rsidRDefault="00B43AC4"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（8）当时有效的法律法规、中国证监会及基金合同规定禁止从事的其他行为。</w:t>
      </w:r>
    </w:p>
    <w:p w:rsidR="00B43AC4" w:rsidRPr="009802E0" w:rsidRDefault="00B43AC4"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如</w:t>
      </w:r>
      <w:r w:rsidRPr="009802E0">
        <w:rPr>
          <w:rFonts w:asciiTheme="minorEastAsia" w:eastAsiaTheme="minorEastAsia" w:hAnsiTheme="minorEastAsia"/>
        </w:rPr>
        <w:t>法律法规或监管部门</w:t>
      </w:r>
      <w:r w:rsidRPr="009802E0">
        <w:rPr>
          <w:rFonts w:asciiTheme="minorEastAsia" w:eastAsiaTheme="minorEastAsia" w:hAnsiTheme="minorEastAsia" w:hint="eastAsia"/>
        </w:rPr>
        <w:t>取消上述禁止性规定，本基金管理人在履行适当程序后可不受上述规定的限制</w:t>
      </w:r>
      <w:r w:rsidRPr="009802E0">
        <w:rPr>
          <w:rFonts w:asciiTheme="minorEastAsia" w:eastAsiaTheme="minorEastAsia" w:hAnsiTheme="minorEastAsia"/>
        </w:rPr>
        <w:t>。</w:t>
      </w:r>
    </w:p>
    <w:p w:rsidR="00B43AC4" w:rsidRPr="009802E0" w:rsidRDefault="00B43AC4"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2</w:t>
      </w:r>
      <w:r w:rsidR="00C335A3" w:rsidRPr="009802E0">
        <w:rPr>
          <w:rFonts w:asciiTheme="minorEastAsia" w:eastAsiaTheme="minorEastAsia" w:hAnsiTheme="minorEastAsia" w:hint="eastAsia"/>
        </w:rPr>
        <w:t>、</w:t>
      </w:r>
      <w:r w:rsidRPr="009802E0">
        <w:rPr>
          <w:rFonts w:asciiTheme="minorEastAsia" w:eastAsiaTheme="minorEastAsia" w:hAnsiTheme="minorEastAsia" w:hint="eastAsia"/>
        </w:rPr>
        <w:t>投资组合限制</w:t>
      </w:r>
    </w:p>
    <w:p w:rsidR="00B43AC4" w:rsidRPr="009802E0" w:rsidRDefault="00B43AC4"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本基金的投资组合将遵循以下限制：</w:t>
      </w:r>
    </w:p>
    <w:p w:rsidR="00E96607" w:rsidRPr="009802E0" w:rsidRDefault="00C335A3"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（1）</w:t>
      </w:r>
      <w:r w:rsidR="00E96607" w:rsidRPr="009802E0">
        <w:rPr>
          <w:rFonts w:asciiTheme="minorEastAsia" w:eastAsiaTheme="minorEastAsia" w:hAnsiTheme="minorEastAsia"/>
        </w:rPr>
        <w:t>持有一家</w:t>
      </w:r>
      <w:r w:rsidR="00E96607" w:rsidRPr="009802E0">
        <w:rPr>
          <w:rFonts w:asciiTheme="minorEastAsia" w:eastAsiaTheme="minorEastAsia" w:hAnsiTheme="minorEastAsia" w:hint="eastAsia"/>
        </w:rPr>
        <w:t>上市</w:t>
      </w:r>
      <w:r w:rsidR="00E96607" w:rsidRPr="009802E0">
        <w:rPr>
          <w:rFonts w:asciiTheme="minorEastAsia" w:eastAsiaTheme="minorEastAsia" w:hAnsiTheme="minorEastAsia"/>
        </w:rPr>
        <w:t>公司的股票，</w:t>
      </w:r>
      <w:r w:rsidR="00E96607" w:rsidRPr="009802E0">
        <w:rPr>
          <w:rFonts w:asciiTheme="minorEastAsia" w:eastAsiaTheme="minorEastAsia" w:hAnsiTheme="minorEastAsia" w:hint="eastAsia"/>
        </w:rPr>
        <w:t>其市值</w:t>
      </w:r>
      <w:r w:rsidR="00E96607" w:rsidRPr="009802E0">
        <w:rPr>
          <w:rFonts w:asciiTheme="minorEastAsia" w:eastAsiaTheme="minorEastAsia" w:hAnsiTheme="minorEastAsia"/>
        </w:rPr>
        <w:t>不得超过基金资产净值的10%；</w:t>
      </w:r>
    </w:p>
    <w:p w:rsidR="00E96607" w:rsidRPr="009802E0" w:rsidRDefault="00C335A3"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（2）</w:t>
      </w:r>
      <w:r w:rsidR="00E96607" w:rsidRPr="009802E0">
        <w:rPr>
          <w:rFonts w:asciiTheme="minorEastAsia" w:eastAsiaTheme="minorEastAsia" w:hAnsiTheme="minorEastAsia"/>
        </w:rPr>
        <w:t>本基金与由本基金管理人管理的其他基金</w:t>
      </w:r>
      <w:r w:rsidR="00E96607" w:rsidRPr="009802E0">
        <w:rPr>
          <w:rFonts w:asciiTheme="minorEastAsia" w:eastAsiaTheme="minorEastAsia" w:hAnsiTheme="minorEastAsia" w:hint="eastAsia"/>
        </w:rPr>
        <w:t>共同</w:t>
      </w:r>
      <w:r w:rsidR="00E96607" w:rsidRPr="009802E0">
        <w:rPr>
          <w:rFonts w:asciiTheme="minorEastAsia" w:eastAsiaTheme="minorEastAsia" w:hAnsiTheme="minorEastAsia"/>
        </w:rPr>
        <w:t>持有一家公司发行的证券，不得超过该证券的10%；</w:t>
      </w:r>
    </w:p>
    <w:p w:rsidR="00E96607" w:rsidRPr="009802E0" w:rsidRDefault="00C335A3"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（3）</w:t>
      </w:r>
      <w:r w:rsidR="00E96607" w:rsidRPr="009802E0">
        <w:rPr>
          <w:rFonts w:asciiTheme="minorEastAsia" w:eastAsiaTheme="minorEastAsia" w:hAnsiTheme="minorEastAsia" w:hint="eastAsia"/>
        </w:rPr>
        <w:t>本基金进入全国银行间同业市场进行债券回购的资金余额不得超过基金资产净值的40%，本基金进入全国银行间同业市场进行债券回购的最长期限为1年，债券回购到期后不得展期</w:t>
      </w:r>
      <w:r w:rsidR="00E96607" w:rsidRPr="009802E0">
        <w:rPr>
          <w:rFonts w:asciiTheme="minorEastAsia" w:eastAsiaTheme="minorEastAsia" w:hAnsiTheme="minorEastAsia"/>
        </w:rPr>
        <w:t>；</w:t>
      </w:r>
    </w:p>
    <w:p w:rsidR="00E96607" w:rsidRPr="009802E0" w:rsidRDefault="00C335A3" w:rsidP="00FE018D">
      <w:pPr>
        <w:adjustRightInd w:val="0"/>
        <w:snapToGrid w:val="0"/>
        <w:spacing w:line="360" w:lineRule="auto"/>
        <w:ind w:right="28"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（4）</w:t>
      </w:r>
      <w:r w:rsidR="00E96607" w:rsidRPr="009802E0">
        <w:rPr>
          <w:rFonts w:asciiTheme="minorEastAsia" w:eastAsiaTheme="minorEastAsia" w:hAnsiTheme="minorEastAsia" w:hint="eastAsia"/>
          <w:kern w:val="0"/>
          <w:szCs w:val="21"/>
        </w:rPr>
        <w:t>本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w:t>
      </w:r>
    </w:p>
    <w:p w:rsidR="00E96607" w:rsidRPr="009802E0" w:rsidRDefault="00C335A3" w:rsidP="00FE018D">
      <w:pPr>
        <w:adjustRightInd w:val="0"/>
        <w:snapToGrid w:val="0"/>
        <w:spacing w:line="360" w:lineRule="auto"/>
        <w:ind w:right="28"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（5）</w:t>
      </w:r>
      <w:r w:rsidR="00E96607" w:rsidRPr="009802E0">
        <w:rPr>
          <w:rFonts w:asciiTheme="minorEastAsia" w:eastAsiaTheme="minorEastAsia" w:hAnsiTheme="minorEastAsia" w:hint="eastAsia"/>
          <w:kern w:val="0"/>
          <w:szCs w:val="21"/>
        </w:rPr>
        <w:t>本基金持有现金以及到期日不超过1年的政府债券不低于基金资产净值的5%</w:t>
      </w:r>
      <w:r w:rsidR="00745443" w:rsidRPr="009802E0">
        <w:rPr>
          <w:rFonts w:asciiTheme="minorEastAsia" w:eastAsiaTheme="minorEastAsia" w:hAnsiTheme="minorEastAsia" w:hint="eastAsia"/>
          <w:kern w:val="0"/>
          <w:szCs w:val="21"/>
        </w:rPr>
        <w:t>，现金不包括结算备付金、存出保证金、应收申购款等</w:t>
      </w:r>
      <w:r w:rsidR="00E96607" w:rsidRPr="009802E0">
        <w:rPr>
          <w:rFonts w:asciiTheme="minorEastAsia" w:eastAsiaTheme="minorEastAsia" w:hAnsiTheme="minorEastAsia" w:hint="eastAsia"/>
          <w:kern w:val="0"/>
          <w:szCs w:val="21"/>
        </w:rPr>
        <w:t>；</w:t>
      </w:r>
    </w:p>
    <w:p w:rsidR="00E96607" w:rsidRPr="009802E0" w:rsidRDefault="00C335A3" w:rsidP="00FE018D">
      <w:pPr>
        <w:adjustRightInd w:val="0"/>
        <w:snapToGrid w:val="0"/>
        <w:spacing w:line="360" w:lineRule="auto"/>
        <w:ind w:right="28"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（6）</w:t>
      </w:r>
      <w:r w:rsidR="00E96607" w:rsidRPr="009802E0">
        <w:rPr>
          <w:rFonts w:asciiTheme="minorEastAsia" w:eastAsiaTheme="minorEastAsia" w:hAnsiTheme="minorEastAsia" w:hint="eastAsia"/>
          <w:kern w:val="0"/>
          <w:szCs w:val="21"/>
        </w:rPr>
        <w:t>本基金投资于同一原始权益人的各类资产支持证券的比例，不得超过基金资产净值的10％；</w:t>
      </w:r>
    </w:p>
    <w:p w:rsidR="00E96607" w:rsidRPr="009802E0" w:rsidRDefault="00C335A3" w:rsidP="00FE018D">
      <w:pPr>
        <w:adjustRightInd w:val="0"/>
        <w:snapToGrid w:val="0"/>
        <w:spacing w:line="360" w:lineRule="auto"/>
        <w:ind w:right="28"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（7）</w:t>
      </w:r>
      <w:r w:rsidR="00E96607" w:rsidRPr="009802E0">
        <w:rPr>
          <w:rFonts w:asciiTheme="minorEastAsia" w:eastAsiaTheme="minorEastAsia" w:hAnsiTheme="minorEastAsia" w:hint="eastAsia"/>
          <w:kern w:val="0"/>
          <w:szCs w:val="21"/>
        </w:rPr>
        <w:t>本基金持有的全部资产支持证券，其市值不得超过基金资产净值的20%；</w:t>
      </w:r>
    </w:p>
    <w:p w:rsidR="00E96607" w:rsidRPr="009802E0" w:rsidRDefault="00C335A3" w:rsidP="00FE018D">
      <w:pPr>
        <w:adjustRightInd w:val="0"/>
        <w:snapToGrid w:val="0"/>
        <w:spacing w:line="360" w:lineRule="auto"/>
        <w:ind w:right="28"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（8）</w:t>
      </w:r>
      <w:r w:rsidR="00E96607" w:rsidRPr="009802E0">
        <w:rPr>
          <w:rFonts w:asciiTheme="minorEastAsia" w:eastAsiaTheme="minorEastAsia" w:hAnsiTheme="minorEastAsia" w:hint="eastAsia"/>
          <w:kern w:val="0"/>
          <w:szCs w:val="21"/>
        </w:rPr>
        <w:t>本基金持有的同一（指同一信用级别）资产支持证券的比例，不得超过该资产支持证券规模的10%；</w:t>
      </w:r>
    </w:p>
    <w:p w:rsidR="00E96607" w:rsidRPr="009802E0" w:rsidRDefault="00C335A3" w:rsidP="00FE018D">
      <w:pPr>
        <w:adjustRightInd w:val="0"/>
        <w:snapToGrid w:val="0"/>
        <w:spacing w:line="360" w:lineRule="auto"/>
        <w:ind w:right="28"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（9）</w:t>
      </w:r>
      <w:r w:rsidR="00E96607" w:rsidRPr="009802E0">
        <w:rPr>
          <w:rFonts w:asciiTheme="minorEastAsia" w:eastAsiaTheme="minorEastAsia" w:hAnsiTheme="minorEastAsia" w:hint="eastAsia"/>
          <w:kern w:val="0"/>
          <w:szCs w:val="21"/>
        </w:rPr>
        <w:t>本基金管理人管理的全部基金投资于同一原始权益人的各类资产支持证券，不得超过其各类资产支持证券合计规模的10%；</w:t>
      </w:r>
    </w:p>
    <w:p w:rsidR="00E96607" w:rsidRPr="009802E0" w:rsidRDefault="00C335A3" w:rsidP="00FE018D">
      <w:pPr>
        <w:adjustRightInd w:val="0"/>
        <w:snapToGrid w:val="0"/>
        <w:spacing w:line="360" w:lineRule="auto"/>
        <w:ind w:right="28"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（10）</w:t>
      </w:r>
      <w:r w:rsidR="00E96607" w:rsidRPr="009802E0">
        <w:rPr>
          <w:rFonts w:asciiTheme="minorEastAsia" w:eastAsiaTheme="minorEastAsia" w:hAnsiTheme="minorEastAsia" w:hint="eastAsia"/>
          <w:kern w:val="0"/>
          <w:szCs w:val="21"/>
        </w:rPr>
        <w:t>本基金应投资于信用级别评级为BBB以上(含BBB)的资产支持证券。基金持有资产支持证券期间，如果其信用等级下降、不再符合投资标准，应在评级报告发布之日起3个月内予以全部卖出；</w:t>
      </w:r>
    </w:p>
    <w:p w:rsidR="00E96607" w:rsidRPr="009802E0" w:rsidRDefault="00C335A3" w:rsidP="00FE018D">
      <w:pPr>
        <w:adjustRightInd w:val="0"/>
        <w:snapToGrid w:val="0"/>
        <w:spacing w:line="360" w:lineRule="auto"/>
        <w:ind w:right="28"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（11）</w:t>
      </w:r>
      <w:r w:rsidR="00E96607" w:rsidRPr="009802E0">
        <w:rPr>
          <w:rFonts w:asciiTheme="minorEastAsia" w:eastAsiaTheme="minorEastAsia" w:hAnsiTheme="minorEastAsia" w:hint="eastAsia"/>
          <w:kern w:val="0"/>
          <w:szCs w:val="21"/>
        </w:rPr>
        <w:t>本基金财产参与股票发行申购，所申报的金额不得超过本基金的总资产，所申报的股票数量不得超过拟发行股票公司本次发行股票的总量；</w:t>
      </w:r>
    </w:p>
    <w:p w:rsidR="00E96607" w:rsidRPr="009802E0" w:rsidRDefault="00C335A3" w:rsidP="009C0E15">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（12）</w:t>
      </w:r>
      <w:r w:rsidR="00E96607" w:rsidRPr="009802E0">
        <w:rPr>
          <w:rFonts w:asciiTheme="minorEastAsia" w:eastAsiaTheme="minorEastAsia" w:hAnsiTheme="minorEastAsia" w:hint="eastAsia"/>
        </w:rPr>
        <w:t>本基金不得违反</w:t>
      </w:r>
      <w:r w:rsidR="00E96607" w:rsidRPr="009802E0">
        <w:rPr>
          <w:rFonts w:asciiTheme="minorEastAsia" w:eastAsiaTheme="minorEastAsia" w:hAnsiTheme="minorEastAsia" w:hint="eastAsia"/>
          <w:kern w:val="0"/>
          <w:szCs w:val="21"/>
        </w:rPr>
        <w:t>《基金合同》关于投资范围和投资比例的约定；</w:t>
      </w:r>
    </w:p>
    <w:p w:rsidR="00745443" w:rsidRPr="009802E0" w:rsidRDefault="00C335A3" w:rsidP="00FE018D">
      <w:pPr>
        <w:adjustRightInd w:val="0"/>
        <w:snapToGrid w:val="0"/>
        <w:spacing w:line="360" w:lineRule="auto"/>
        <w:ind w:right="28"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（13）</w:t>
      </w:r>
      <w:r w:rsidR="00745443" w:rsidRPr="009802E0">
        <w:rPr>
          <w:rFonts w:asciiTheme="minorEastAsia" w:eastAsiaTheme="minorEastAsia" w:hAnsiTheme="minorEastAsia" w:hint="eastAsia"/>
          <w:kern w:val="0"/>
          <w:szCs w:val="21"/>
        </w:rPr>
        <w:t>本基金管理人管理的全部开放式基金持有一家上市公司发行的可流通股票，不得超过该上市公司可流通股票的15%；本基金管理人管理的全部投资组合持有一家上市公司</w:t>
      </w:r>
      <w:r w:rsidR="00745443" w:rsidRPr="009802E0">
        <w:rPr>
          <w:rFonts w:asciiTheme="minorEastAsia" w:eastAsiaTheme="minorEastAsia" w:hAnsiTheme="minorEastAsia" w:hint="eastAsia"/>
          <w:kern w:val="0"/>
          <w:szCs w:val="21"/>
        </w:rPr>
        <w:lastRenderedPageBreak/>
        <w:t>发行的可流通股票，不得超过该上市公司可流通股票的30%；</w:t>
      </w:r>
    </w:p>
    <w:p w:rsidR="00745443" w:rsidRPr="009802E0" w:rsidRDefault="00745443" w:rsidP="00745443">
      <w:pPr>
        <w:adjustRightInd w:val="0"/>
        <w:snapToGrid w:val="0"/>
        <w:spacing w:line="360" w:lineRule="auto"/>
        <w:ind w:right="28"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w:t>
      </w:r>
      <w:r w:rsidRPr="009802E0">
        <w:rPr>
          <w:rFonts w:asciiTheme="minorEastAsia" w:eastAsiaTheme="minorEastAsia" w:hAnsiTheme="minorEastAsia"/>
          <w:kern w:val="0"/>
          <w:szCs w:val="21"/>
        </w:rPr>
        <w:t>4）</w:t>
      </w:r>
      <w:r w:rsidRPr="009802E0">
        <w:rPr>
          <w:rFonts w:asciiTheme="minorEastAsia" w:eastAsiaTheme="minorEastAsia" w:hAnsiTheme="minorEastAsia" w:hint="eastAsia"/>
          <w:kern w:val="0"/>
          <w:szCs w:val="21"/>
        </w:rPr>
        <w:t>本基金主动投资于流动性受限资产的市值合计不得超过该基金资产净值的15%。</w:t>
      </w:r>
    </w:p>
    <w:p w:rsidR="00745443" w:rsidRPr="009802E0" w:rsidRDefault="00745443" w:rsidP="00745443">
      <w:pPr>
        <w:adjustRightInd w:val="0"/>
        <w:snapToGrid w:val="0"/>
        <w:spacing w:line="360" w:lineRule="auto"/>
        <w:ind w:right="28"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因证券市场波动、上市公司股票停牌、基金规模变动等基金管理人之外的因素致使基金不符合前款所规定比例限制的，基金管理人不得主动新增流动性受限资产的投资；</w:t>
      </w:r>
    </w:p>
    <w:p w:rsidR="00745443" w:rsidRPr="009802E0" w:rsidRDefault="00745443" w:rsidP="00745443">
      <w:pPr>
        <w:adjustRightInd w:val="0"/>
        <w:snapToGrid w:val="0"/>
        <w:spacing w:line="360" w:lineRule="auto"/>
        <w:ind w:right="28"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w:t>
      </w:r>
      <w:r w:rsidRPr="009802E0">
        <w:rPr>
          <w:rFonts w:asciiTheme="minorEastAsia" w:eastAsiaTheme="minorEastAsia" w:hAnsiTheme="minorEastAsia"/>
          <w:kern w:val="0"/>
          <w:szCs w:val="21"/>
        </w:rPr>
        <w:t>5）</w:t>
      </w:r>
      <w:r w:rsidRPr="009802E0">
        <w:rPr>
          <w:rFonts w:asciiTheme="minorEastAsia" w:eastAsiaTheme="minorEastAsia" w:hAnsiTheme="minorEastAsia" w:hint="eastAsia"/>
          <w:kern w:val="0"/>
          <w:szCs w:val="21"/>
        </w:rPr>
        <w:t>本基金与私募类证券资管产品及中国证监会认定的其他主体为交易对手开展逆回购交易的，可接受质押品的资质要求应当与基金合同约定的投资范围保持一致；</w:t>
      </w:r>
    </w:p>
    <w:p w:rsidR="00E96607" w:rsidRPr="009802E0" w:rsidRDefault="00745443" w:rsidP="00FE018D">
      <w:pPr>
        <w:adjustRightInd w:val="0"/>
        <w:snapToGrid w:val="0"/>
        <w:spacing w:line="360" w:lineRule="auto"/>
        <w:ind w:right="28"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w:t>
      </w:r>
      <w:r w:rsidRPr="009802E0">
        <w:rPr>
          <w:rFonts w:asciiTheme="minorEastAsia" w:eastAsiaTheme="minorEastAsia" w:hAnsiTheme="minorEastAsia"/>
          <w:kern w:val="0"/>
          <w:szCs w:val="21"/>
        </w:rPr>
        <w:t>6）</w:t>
      </w:r>
      <w:r w:rsidR="00E96607" w:rsidRPr="009802E0">
        <w:rPr>
          <w:rFonts w:asciiTheme="minorEastAsia" w:eastAsiaTheme="minorEastAsia" w:hAnsiTheme="minorEastAsia" w:hint="eastAsia"/>
          <w:kern w:val="0"/>
          <w:szCs w:val="21"/>
        </w:rPr>
        <w:t>相关法律法规以及监管部门规定的其它投资限制。</w:t>
      </w:r>
    </w:p>
    <w:p w:rsidR="00B43AC4" w:rsidRPr="009802E0" w:rsidRDefault="00B43AC4" w:rsidP="00FE018D">
      <w:pPr>
        <w:adjustRightInd w:val="0"/>
        <w:snapToGrid w:val="0"/>
        <w:spacing w:line="360" w:lineRule="auto"/>
        <w:ind w:right="28"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如</w:t>
      </w:r>
      <w:r w:rsidRPr="009802E0">
        <w:rPr>
          <w:rFonts w:asciiTheme="minorEastAsia" w:eastAsiaTheme="minorEastAsia" w:hAnsiTheme="minorEastAsia"/>
          <w:kern w:val="0"/>
          <w:szCs w:val="21"/>
        </w:rPr>
        <w:t>法律法规或监管部门</w:t>
      </w:r>
      <w:r w:rsidRPr="009802E0">
        <w:rPr>
          <w:rFonts w:asciiTheme="minorEastAsia" w:eastAsiaTheme="minorEastAsia" w:hAnsiTheme="minorEastAsia" w:hint="eastAsia"/>
          <w:kern w:val="0"/>
          <w:szCs w:val="21"/>
        </w:rPr>
        <w:t>取消上述限制性规定，履行适当程序后，本基金不受上述规定的限制</w:t>
      </w:r>
      <w:r w:rsidRPr="009802E0">
        <w:rPr>
          <w:rFonts w:asciiTheme="minorEastAsia" w:eastAsiaTheme="minorEastAsia" w:hAnsiTheme="minorEastAsia"/>
          <w:kern w:val="0"/>
          <w:szCs w:val="21"/>
        </w:rPr>
        <w:t>。</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rPr>
      </w:pPr>
      <w:bookmarkStart w:id="101" w:name="_Toc43301925"/>
      <w:r w:rsidRPr="009802E0">
        <w:rPr>
          <w:rFonts w:asciiTheme="minorEastAsia" w:eastAsiaTheme="minorEastAsia" w:hAnsiTheme="minorEastAsia" w:hint="eastAsia"/>
          <w:b w:val="0"/>
        </w:rPr>
        <w:t>（九）投资组合比例调整</w:t>
      </w:r>
      <w:bookmarkEnd w:id="101"/>
    </w:p>
    <w:p w:rsidR="00B43AC4" w:rsidRPr="009802E0" w:rsidRDefault="00B43AC4" w:rsidP="00FE018D">
      <w:pPr>
        <w:adjustRightInd w:val="0"/>
        <w:snapToGrid w:val="0"/>
        <w:spacing w:line="360" w:lineRule="auto"/>
        <w:ind w:right="28" w:firstLineChars="200" w:firstLine="420"/>
        <w:rPr>
          <w:rFonts w:asciiTheme="minorEastAsia" w:eastAsiaTheme="minorEastAsia" w:hAnsiTheme="minorEastAsia"/>
          <w:b/>
          <w:bCs/>
          <w:szCs w:val="21"/>
        </w:rPr>
      </w:pPr>
      <w:r w:rsidRPr="009802E0">
        <w:rPr>
          <w:rFonts w:asciiTheme="minorEastAsia" w:eastAsiaTheme="minorEastAsia" w:hAnsiTheme="minorEastAsia" w:hint="eastAsia"/>
          <w:kern w:val="0"/>
          <w:szCs w:val="21"/>
        </w:rPr>
        <w:t>基金管理人应当自基金合同生效之日起六个月内使基金的投资组合比例符合基金合同的约定。</w:t>
      </w:r>
      <w:r w:rsidR="00745443" w:rsidRPr="009802E0">
        <w:rPr>
          <w:rFonts w:asciiTheme="minorEastAsia" w:eastAsiaTheme="minorEastAsia" w:hAnsiTheme="minorEastAsia" w:hint="eastAsia"/>
          <w:kern w:val="0"/>
          <w:szCs w:val="21"/>
        </w:rPr>
        <w:t>除上述（5）、（10）、（11）、（14）、（15）以外，</w:t>
      </w:r>
      <w:r w:rsidR="003A3651" w:rsidRPr="009802E0">
        <w:rPr>
          <w:rFonts w:asciiTheme="minorEastAsia" w:eastAsiaTheme="minorEastAsia" w:hAnsiTheme="minorEastAsia"/>
          <w:kern w:val="0"/>
          <w:szCs w:val="21"/>
        </w:rPr>
        <w:t>由于</w:t>
      </w:r>
      <w:r w:rsidR="003A3651" w:rsidRPr="009802E0">
        <w:rPr>
          <w:rFonts w:asciiTheme="minorEastAsia" w:eastAsiaTheme="minorEastAsia" w:hAnsiTheme="minorEastAsia" w:hint="eastAsia"/>
          <w:kern w:val="0"/>
          <w:szCs w:val="21"/>
        </w:rPr>
        <w:t>证券市场波动、上市公司合并</w:t>
      </w:r>
      <w:r w:rsidR="003A3651" w:rsidRPr="009802E0">
        <w:rPr>
          <w:rFonts w:asciiTheme="minorEastAsia" w:eastAsiaTheme="minorEastAsia" w:hAnsiTheme="minorEastAsia"/>
          <w:kern w:val="0"/>
          <w:szCs w:val="21"/>
        </w:rPr>
        <w:t>或</w:t>
      </w:r>
      <w:r w:rsidR="003A3651" w:rsidRPr="009802E0">
        <w:rPr>
          <w:rFonts w:asciiTheme="minorEastAsia" w:eastAsiaTheme="minorEastAsia" w:hAnsiTheme="minorEastAsia" w:hint="eastAsia"/>
          <w:kern w:val="0"/>
          <w:szCs w:val="21"/>
        </w:rPr>
        <w:t>基金规模变动等基金管理人之外的原因</w:t>
      </w:r>
      <w:r w:rsidR="003A3651" w:rsidRPr="009802E0">
        <w:rPr>
          <w:rFonts w:asciiTheme="minorEastAsia" w:eastAsiaTheme="minorEastAsia" w:hAnsiTheme="minorEastAsia"/>
          <w:kern w:val="0"/>
          <w:szCs w:val="21"/>
        </w:rPr>
        <w:t>导致的投资组合</w:t>
      </w:r>
      <w:r w:rsidR="003A3651" w:rsidRPr="009802E0">
        <w:rPr>
          <w:rFonts w:asciiTheme="minorEastAsia" w:eastAsiaTheme="minorEastAsia" w:hAnsiTheme="minorEastAsia" w:hint="eastAsia"/>
          <w:kern w:val="0"/>
          <w:szCs w:val="21"/>
        </w:rPr>
        <w:t>不符合</w:t>
      </w:r>
      <w:r w:rsidR="003A3651" w:rsidRPr="009802E0">
        <w:rPr>
          <w:rFonts w:asciiTheme="minorEastAsia" w:eastAsiaTheme="minorEastAsia" w:hAnsiTheme="minorEastAsia"/>
          <w:kern w:val="0"/>
          <w:szCs w:val="21"/>
        </w:rPr>
        <w:t>上述约定的比例</w:t>
      </w:r>
      <w:r w:rsidR="003A3651" w:rsidRPr="009802E0">
        <w:rPr>
          <w:rFonts w:asciiTheme="minorEastAsia" w:eastAsiaTheme="minorEastAsia" w:hAnsiTheme="minorEastAsia" w:hint="eastAsia"/>
          <w:kern w:val="0"/>
          <w:szCs w:val="21"/>
        </w:rPr>
        <w:t>，</w:t>
      </w:r>
      <w:r w:rsidR="003A3651" w:rsidRPr="009802E0">
        <w:rPr>
          <w:rFonts w:asciiTheme="minorEastAsia" w:eastAsiaTheme="minorEastAsia" w:hAnsiTheme="minorEastAsia"/>
          <w:kern w:val="0"/>
          <w:szCs w:val="21"/>
        </w:rPr>
        <w:t>不在限制之内，但基金管理人应在</w:t>
      </w:r>
      <w:r w:rsidR="003A3651" w:rsidRPr="009802E0">
        <w:rPr>
          <w:rFonts w:asciiTheme="minorEastAsia" w:eastAsiaTheme="minorEastAsia" w:hAnsiTheme="minorEastAsia" w:hint="eastAsia"/>
          <w:kern w:val="0"/>
          <w:szCs w:val="21"/>
        </w:rPr>
        <w:t>10个交易日</w:t>
      </w:r>
      <w:r w:rsidR="003A3651" w:rsidRPr="009802E0">
        <w:rPr>
          <w:rFonts w:asciiTheme="minorEastAsia" w:eastAsiaTheme="minorEastAsia" w:hAnsiTheme="minorEastAsia"/>
          <w:kern w:val="0"/>
          <w:szCs w:val="21"/>
        </w:rPr>
        <w:t>内进行调整，以达到</w:t>
      </w:r>
      <w:r w:rsidR="003A3651" w:rsidRPr="009802E0">
        <w:rPr>
          <w:rFonts w:asciiTheme="minorEastAsia" w:eastAsiaTheme="minorEastAsia" w:hAnsiTheme="minorEastAsia" w:hint="eastAsia"/>
          <w:kern w:val="0"/>
          <w:szCs w:val="21"/>
        </w:rPr>
        <w:t>规定的投资比例限制要求。法律法规另有规定的从其规定。</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kern w:val="0"/>
          <w:szCs w:val="21"/>
        </w:rPr>
      </w:pPr>
      <w:bookmarkStart w:id="102" w:name="_Toc43301926"/>
      <w:r w:rsidRPr="009802E0">
        <w:rPr>
          <w:rFonts w:asciiTheme="minorEastAsia" w:eastAsiaTheme="minorEastAsia" w:hAnsiTheme="minorEastAsia" w:hint="eastAsia"/>
          <w:b w:val="0"/>
          <w:kern w:val="0"/>
          <w:szCs w:val="21"/>
        </w:rPr>
        <w:t>（十）基金的融资、融券</w:t>
      </w:r>
      <w:bookmarkEnd w:id="102"/>
    </w:p>
    <w:p w:rsidR="00B43AC4" w:rsidRPr="009802E0" w:rsidRDefault="00B43AC4" w:rsidP="00FE018D">
      <w:pPr>
        <w:adjustRightInd w:val="0"/>
        <w:snapToGrid w:val="0"/>
        <w:spacing w:line="360" w:lineRule="auto"/>
        <w:ind w:right="28"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本基金可以根据届时有效的有关法律法规和政策的规定进行融资融券。</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bCs/>
        </w:rPr>
      </w:pPr>
      <w:bookmarkStart w:id="103" w:name="_Toc43301927"/>
      <w:r w:rsidRPr="009802E0">
        <w:rPr>
          <w:rFonts w:asciiTheme="minorEastAsia" w:eastAsiaTheme="minorEastAsia" w:hAnsiTheme="minorEastAsia" w:hint="eastAsia"/>
          <w:b w:val="0"/>
        </w:rPr>
        <w:t>（十一）基金管理人代表基金行使所投资证券产生权利的处理原则及方法</w:t>
      </w:r>
      <w:bookmarkEnd w:id="103"/>
    </w:p>
    <w:p w:rsidR="00B43AC4" w:rsidRPr="009802E0" w:rsidRDefault="00B43AC4" w:rsidP="00FE018D">
      <w:pPr>
        <w:adjustRightInd w:val="0"/>
        <w:snapToGrid w:val="0"/>
        <w:spacing w:line="360" w:lineRule="auto"/>
        <w:ind w:right="28"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w:t>
      </w:r>
      <w:r w:rsidR="00C335A3"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不谋求对上市公司的控股，不参与所投资上市公司的经营管理；</w:t>
      </w:r>
    </w:p>
    <w:p w:rsidR="00B43AC4" w:rsidRPr="009802E0" w:rsidRDefault="00B43AC4" w:rsidP="009C0E15">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w:t>
      </w:r>
      <w:r w:rsidR="00C335A3"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rPr>
        <w:t>有利于基金资产的安全与增值</w:t>
      </w:r>
      <w:r w:rsidRPr="009802E0">
        <w:rPr>
          <w:rFonts w:asciiTheme="minorEastAsia" w:eastAsiaTheme="minorEastAsia" w:hAnsiTheme="minorEastAsia" w:hint="eastAsia"/>
          <w:kern w:val="0"/>
          <w:szCs w:val="21"/>
        </w:rPr>
        <w:t>；</w:t>
      </w:r>
    </w:p>
    <w:p w:rsidR="00B43AC4" w:rsidRPr="009802E0" w:rsidRDefault="00B43AC4" w:rsidP="00FE018D">
      <w:pPr>
        <w:adjustRightInd w:val="0"/>
        <w:snapToGrid w:val="0"/>
        <w:spacing w:line="360" w:lineRule="auto"/>
        <w:ind w:right="28"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3</w:t>
      </w:r>
      <w:r w:rsidR="00C335A3"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基金管理人按照国家有关规定代表基金独立行使股东权利，保护基金份额持有人的利益</w:t>
      </w:r>
      <w:r w:rsidR="00433940" w:rsidRPr="009802E0">
        <w:rPr>
          <w:rFonts w:asciiTheme="minorEastAsia" w:eastAsiaTheme="minorEastAsia" w:hAnsiTheme="minorEastAsia" w:hint="eastAsia"/>
          <w:kern w:val="0"/>
          <w:szCs w:val="21"/>
        </w:rPr>
        <w:t>；</w:t>
      </w:r>
    </w:p>
    <w:p w:rsidR="00B43AC4" w:rsidRPr="009802E0" w:rsidRDefault="00B43AC4" w:rsidP="00FE018D">
      <w:pPr>
        <w:adjustRightInd w:val="0"/>
        <w:snapToGrid w:val="0"/>
        <w:spacing w:line="360" w:lineRule="auto"/>
        <w:ind w:right="28"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4</w:t>
      </w:r>
      <w:r w:rsidR="00C335A3"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基金管理人按照国家有关规定代表基金独立行使债权人权利，保护基金份额持有人的利益。</w:t>
      </w:r>
    </w:p>
    <w:p w:rsidR="00C63890" w:rsidRPr="009802E0" w:rsidRDefault="00C63890" w:rsidP="00FE018D">
      <w:pPr>
        <w:pStyle w:val="22"/>
        <w:adjustRightInd w:val="0"/>
        <w:snapToGrid w:val="0"/>
        <w:spacing w:beforeLines="0" w:afterLines="0" w:line="360" w:lineRule="auto"/>
        <w:ind w:firstLineChars="0" w:firstLine="0"/>
        <w:rPr>
          <w:rFonts w:asciiTheme="minorEastAsia" w:eastAsiaTheme="minorEastAsia" w:hAnsiTheme="minorEastAsia"/>
          <w:b w:val="0"/>
        </w:rPr>
      </w:pPr>
      <w:bookmarkStart w:id="104" w:name="_Toc294024351"/>
      <w:bookmarkStart w:id="105" w:name="_Toc43301928"/>
      <w:r w:rsidRPr="009802E0">
        <w:rPr>
          <w:rFonts w:asciiTheme="minorEastAsia" w:eastAsiaTheme="minorEastAsia" w:hAnsiTheme="minorEastAsia" w:hint="eastAsia"/>
          <w:b w:val="0"/>
        </w:rPr>
        <w:t>（十二）基金投资组合报告（未经审计）</w:t>
      </w:r>
      <w:bookmarkEnd w:id="104"/>
      <w:bookmarkEnd w:id="105"/>
    </w:p>
    <w:p w:rsidR="00C63890" w:rsidRPr="009802E0" w:rsidRDefault="00C63890" w:rsidP="00FE018D">
      <w:pPr>
        <w:pStyle w:val="af6"/>
        <w:adjustRightInd w:val="0"/>
        <w:snapToGrid w:val="0"/>
        <w:spacing w:line="360" w:lineRule="auto"/>
        <w:ind w:firstLineChars="200" w:firstLine="420"/>
        <w:rPr>
          <w:rFonts w:asciiTheme="minorEastAsia" w:eastAsiaTheme="minorEastAsia" w:hAnsiTheme="minorEastAsia"/>
          <w:sz w:val="21"/>
          <w:szCs w:val="21"/>
        </w:rPr>
      </w:pPr>
      <w:r w:rsidRPr="009802E0">
        <w:rPr>
          <w:rFonts w:asciiTheme="minorEastAsia" w:eastAsiaTheme="minorEastAsia" w:hAnsiTheme="minorEastAsia" w:hint="eastAsia"/>
          <w:sz w:val="21"/>
          <w:szCs w:val="21"/>
        </w:rPr>
        <w:t>本基金管理人的董事会及董事保证本报告所载资料不存在虚假记载、误导性陈述或重大遗漏，并对其内容的真实性、准确性和完整性承担个别及连带责任。</w:t>
      </w:r>
    </w:p>
    <w:p w:rsidR="00C63890" w:rsidRPr="009802E0" w:rsidRDefault="00C63890" w:rsidP="00FE018D">
      <w:pPr>
        <w:pStyle w:val="af6"/>
        <w:adjustRightInd w:val="0"/>
        <w:snapToGrid w:val="0"/>
        <w:spacing w:line="360" w:lineRule="auto"/>
        <w:ind w:firstLineChars="200" w:firstLine="420"/>
        <w:rPr>
          <w:rFonts w:asciiTheme="minorEastAsia" w:eastAsiaTheme="minorEastAsia" w:hAnsiTheme="minorEastAsia"/>
          <w:sz w:val="21"/>
          <w:szCs w:val="21"/>
        </w:rPr>
      </w:pPr>
      <w:r w:rsidRPr="009802E0">
        <w:rPr>
          <w:rFonts w:asciiTheme="minorEastAsia" w:eastAsiaTheme="minorEastAsia" w:hAnsiTheme="minorEastAsia" w:hint="eastAsia"/>
          <w:sz w:val="21"/>
          <w:szCs w:val="21"/>
        </w:rPr>
        <w:t>本基金的托管人中国</w:t>
      </w:r>
      <w:r w:rsidR="00B83B3A" w:rsidRPr="009802E0">
        <w:rPr>
          <w:rFonts w:asciiTheme="minorEastAsia" w:eastAsiaTheme="minorEastAsia" w:hAnsiTheme="minorEastAsia" w:hint="eastAsia"/>
          <w:sz w:val="21"/>
          <w:szCs w:val="21"/>
        </w:rPr>
        <w:t>工商</w:t>
      </w:r>
      <w:r w:rsidRPr="009802E0">
        <w:rPr>
          <w:rFonts w:asciiTheme="minorEastAsia" w:eastAsiaTheme="minorEastAsia" w:hAnsiTheme="minorEastAsia" w:hint="eastAsia"/>
          <w:sz w:val="21"/>
          <w:szCs w:val="21"/>
        </w:rPr>
        <w:t>银行股份有限公司根据本基金合同的规定，复核了本报告的内容，保证复核内容不存在虚假记载、误导性陈述或者重大遗漏。</w:t>
      </w:r>
    </w:p>
    <w:p w:rsidR="00026CFC" w:rsidRPr="009802E0" w:rsidRDefault="0096166C" w:rsidP="00F1417A">
      <w:pPr>
        <w:pStyle w:val="af6"/>
        <w:adjustRightInd w:val="0"/>
        <w:snapToGrid w:val="0"/>
        <w:spacing w:line="360" w:lineRule="auto"/>
        <w:ind w:firstLineChars="200" w:firstLine="420"/>
        <w:rPr>
          <w:rFonts w:asciiTheme="minorEastAsia" w:eastAsiaTheme="minorEastAsia" w:hAnsiTheme="minorEastAsia"/>
          <w:sz w:val="21"/>
          <w:szCs w:val="21"/>
        </w:rPr>
      </w:pPr>
      <w:r w:rsidRPr="009802E0">
        <w:rPr>
          <w:rFonts w:asciiTheme="minorEastAsia" w:eastAsiaTheme="minorEastAsia" w:hAnsiTheme="minorEastAsia"/>
          <w:sz w:val="21"/>
          <w:szCs w:val="21"/>
        </w:rPr>
        <w:t>本投资组合报告有关数据的期间为2020年1月1日至2020年3月31日</w:t>
      </w:r>
      <w:r w:rsidR="002C74C2" w:rsidRPr="009802E0">
        <w:rPr>
          <w:rFonts w:asciiTheme="minorEastAsia" w:eastAsiaTheme="minorEastAsia" w:hAnsiTheme="minorEastAsia" w:hint="eastAsia"/>
          <w:sz w:val="21"/>
          <w:szCs w:val="21"/>
        </w:rPr>
        <w:t>。</w:t>
      </w:r>
    </w:p>
    <w:p w:rsidR="0096166C" w:rsidRPr="009802E0" w:rsidRDefault="0096166C" w:rsidP="009802E0">
      <w:pPr>
        <w:pStyle w:val="af6"/>
        <w:adjustRightInd w:val="0"/>
        <w:snapToGrid w:val="0"/>
        <w:spacing w:line="360" w:lineRule="auto"/>
        <w:ind w:firstLineChars="200" w:firstLine="420"/>
        <w:rPr>
          <w:rFonts w:asciiTheme="minorEastAsia" w:eastAsiaTheme="minorEastAsia" w:hAnsiTheme="minorEastAsia"/>
          <w:sz w:val="21"/>
          <w:szCs w:val="21"/>
        </w:rPr>
      </w:pPr>
      <w:r w:rsidRPr="009802E0">
        <w:rPr>
          <w:rFonts w:asciiTheme="minorEastAsia" w:eastAsiaTheme="minorEastAsia" w:hAnsiTheme="minorEastAsia" w:hint="eastAsia"/>
          <w:sz w:val="21"/>
          <w:szCs w:val="21"/>
        </w:rPr>
        <w:t>1、报告期末基金资产组合情况</w:t>
      </w:r>
    </w:p>
    <w:tbl>
      <w:tblPr>
        <w:tblW w:w="7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3003"/>
        <w:gridCol w:w="2666"/>
        <w:gridCol w:w="1661"/>
      </w:tblGrid>
      <w:tr w:rsidR="0096166C" w:rsidRPr="009802E0" w:rsidTr="0096166C">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center"/>
              <w:rPr>
                <w:rFonts w:asciiTheme="minorEastAsia" w:eastAsiaTheme="minorEastAsia" w:hAnsiTheme="minorEastAsia"/>
                <w:szCs w:val="22"/>
              </w:rPr>
            </w:pPr>
            <w:r w:rsidRPr="009802E0">
              <w:rPr>
                <w:rFonts w:asciiTheme="minorEastAsia" w:eastAsiaTheme="minorEastAsia" w:hAnsiTheme="minorEastAsia" w:hint="eastAsia"/>
              </w:rPr>
              <w:lastRenderedPageBreak/>
              <w:t>序号</w:t>
            </w:r>
          </w:p>
        </w:tc>
        <w:tc>
          <w:tcPr>
            <w:tcW w:w="335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center"/>
              <w:rPr>
                <w:rFonts w:asciiTheme="minorEastAsia" w:eastAsiaTheme="minorEastAsia" w:hAnsiTheme="minorEastAsia" w:cstheme="minorBidi"/>
              </w:rPr>
            </w:pPr>
            <w:r w:rsidRPr="009802E0">
              <w:rPr>
                <w:rFonts w:asciiTheme="minorEastAsia" w:eastAsiaTheme="minorEastAsia" w:hAnsiTheme="minorEastAsia" w:hint="eastAsia"/>
              </w:rPr>
              <w:t>项目</w:t>
            </w:r>
          </w:p>
        </w:tc>
        <w:tc>
          <w:tcPr>
            <w:tcW w:w="297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center"/>
              <w:rPr>
                <w:rFonts w:asciiTheme="minorEastAsia" w:eastAsiaTheme="minorEastAsia" w:hAnsiTheme="minorEastAsia"/>
              </w:rPr>
            </w:pPr>
            <w:r w:rsidRPr="009802E0">
              <w:rPr>
                <w:rFonts w:asciiTheme="minorEastAsia" w:eastAsiaTheme="minorEastAsia" w:hAnsiTheme="minorEastAsia" w:hint="eastAsia"/>
              </w:rPr>
              <w:t>金额(元)</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center"/>
              <w:rPr>
                <w:rFonts w:asciiTheme="minorEastAsia" w:eastAsiaTheme="minorEastAsia" w:hAnsiTheme="minorEastAsia"/>
              </w:rPr>
            </w:pPr>
            <w:r w:rsidRPr="009802E0">
              <w:rPr>
                <w:rFonts w:asciiTheme="minorEastAsia" w:eastAsiaTheme="minorEastAsia" w:hAnsiTheme="minorEastAsia" w:hint="eastAsia"/>
              </w:rPr>
              <w:t>占基金总资产的比例(%)</w:t>
            </w:r>
          </w:p>
        </w:tc>
      </w:tr>
      <w:tr w:rsidR="0096166C" w:rsidRPr="009802E0" w:rsidTr="0096166C">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center"/>
              <w:rPr>
                <w:rFonts w:asciiTheme="minorEastAsia" w:eastAsiaTheme="minorEastAsia" w:hAnsiTheme="minorEastAsia"/>
              </w:rPr>
            </w:pPr>
            <w:r w:rsidRPr="009802E0">
              <w:rPr>
                <w:rFonts w:asciiTheme="minorEastAsia" w:eastAsiaTheme="minorEastAsia" w:hAnsiTheme="minorEastAsia" w:hint="eastAsia"/>
              </w:rPr>
              <w:t>1</w:t>
            </w:r>
          </w:p>
        </w:tc>
        <w:tc>
          <w:tcPr>
            <w:tcW w:w="335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left"/>
              <w:rPr>
                <w:rFonts w:asciiTheme="minorEastAsia" w:eastAsiaTheme="minorEastAsia" w:hAnsiTheme="minorEastAsia"/>
              </w:rPr>
            </w:pPr>
            <w:r w:rsidRPr="009802E0">
              <w:rPr>
                <w:rFonts w:asciiTheme="minorEastAsia" w:eastAsiaTheme="minorEastAsia" w:hAnsiTheme="minorEastAsia" w:hint="eastAsia"/>
              </w:rPr>
              <w:t>权益投资</w:t>
            </w:r>
          </w:p>
        </w:tc>
        <w:tc>
          <w:tcPr>
            <w:tcW w:w="297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right"/>
              <w:rPr>
                <w:rFonts w:asciiTheme="minorEastAsia" w:eastAsiaTheme="minorEastAsia" w:hAnsiTheme="minorEastAsia"/>
              </w:rPr>
            </w:pPr>
            <w:r w:rsidRPr="009802E0">
              <w:rPr>
                <w:rFonts w:asciiTheme="minorEastAsia" w:eastAsiaTheme="minorEastAsia" w:hAnsiTheme="minorEastAsia" w:hint="eastAsia"/>
              </w:rPr>
              <w:t>2,994,031,476.64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right"/>
              <w:rPr>
                <w:rFonts w:asciiTheme="minorEastAsia" w:eastAsiaTheme="minorEastAsia" w:hAnsiTheme="minorEastAsia"/>
              </w:rPr>
            </w:pPr>
            <w:r w:rsidRPr="009802E0">
              <w:rPr>
                <w:rFonts w:asciiTheme="minorEastAsia" w:eastAsiaTheme="minorEastAsia" w:hAnsiTheme="minorEastAsia" w:hint="eastAsia"/>
              </w:rPr>
              <w:t>12.85</w:t>
            </w:r>
          </w:p>
        </w:tc>
      </w:tr>
      <w:tr w:rsidR="0096166C" w:rsidRPr="009802E0" w:rsidTr="0096166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pPr>
              <w:spacing w:before="29" w:line="300" w:lineRule="auto"/>
              <w:ind w:left="17"/>
              <w:jc w:val="center"/>
              <w:rPr>
                <w:rFonts w:asciiTheme="minorEastAsia" w:eastAsiaTheme="minorEastAsia" w:hAnsiTheme="minorEastAsia"/>
              </w:rPr>
            </w:pPr>
          </w:p>
        </w:tc>
        <w:tc>
          <w:tcPr>
            <w:tcW w:w="335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left"/>
              <w:rPr>
                <w:rFonts w:asciiTheme="minorEastAsia" w:eastAsiaTheme="minorEastAsia" w:hAnsiTheme="minorEastAsia"/>
              </w:rPr>
            </w:pPr>
            <w:r w:rsidRPr="009802E0">
              <w:rPr>
                <w:rFonts w:asciiTheme="minorEastAsia" w:eastAsiaTheme="minorEastAsia" w:hAnsiTheme="minorEastAsia" w:hint="eastAsia"/>
              </w:rPr>
              <w:t>其中：股票</w:t>
            </w:r>
          </w:p>
        </w:tc>
        <w:tc>
          <w:tcPr>
            <w:tcW w:w="297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right"/>
              <w:rPr>
                <w:rFonts w:asciiTheme="minorEastAsia" w:eastAsiaTheme="minorEastAsia" w:hAnsiTheme="minorEastAsia"/>
              </w:rPr>
            </w:pPr>
            <w:r w:rsidRPr="009802E0">
              <w:rPr>
                <w:rFonts w:asciiTheme="minorEastAsia" w:eastAsiaTheme="minorEastAsia" w:hAnsiTheme="minorEastAsia" w:hint="eastAsia"/>
              </w:rPr>
              <w:t>2,994,031,476.64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right"/>
              <w:rPr>
                <w:rFonts w:asciiTheme="minorEastAsia" w:eastAsiaTheme="minorEastAsia" w:hAnsiTheme="minorEastAsia"/>
              </w:rPr>
            </w:pPr>
            <w:r w:rsidRPr="009802E0">
              <w:rPr>
                <w:rFonts w:asciiTheme="minorEastAsia" w:eastAsiaTheme="minorEastAsia" w:hAnsiTheme="minorEastAsia" w:hint="eastAsia"/>
              </w:rPr>
              <w:t>12.85</w:t>
            </w:r>
          </w:p>
        </w:tc>
      </w:tr>
      <w:tr w:rsidR="0096166C" w:rsidRPr="009802E0" w:rsidTr="0096166C">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center"/>
              <w:rPr>
                <w:rFonts w:asciiTheme="minorEastAsia" w:eastAsiaTheme="minorEastAsia" w:hAnsiTheme="minorEastAsia"/>
              </w:rPr>
            </w:pPr>
            <w:r w:rsidRPr="009802E0">
              <w:rPr>
                <w:rFonts w:asciiTheme="minorEastAsia" w:eastAsiaTheme="minorEastAsia" w:hAnsiTheme="minorEastAsia" w:hint="eastAsia"/>
              </w:rPr>
              <w:t>2</w:t>
            </w:r>
          </w:p>
        </w:tc>
        <w:tc>
          <w:tcPr>
            <w:tcW w:w="335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left"/>
              <w:rPr>
                <w:rFonts w:asciiTheme="minorEastAsia" w:eastAsiaTheme="minorEastAsia" w:hAnsiTheme="minorEastAsia"/>
              </w:rPr>
            </w:pPr>
            <w:r w:rsidRPr="009802E0">
              <w:rPr>
                <w:rFonts w:asciiTheme="minorEastAsia" w:eastAsiaTheme="minorEastAsia" w:hAnsiTheme="minorEastAsia" w:hint="eastAsia"/>
              </w:rPr>
              <w:t>固定收益投资</w:t>
            </w:r>
          </w:p>
        </w:tc>
        <w:tc>
          <w:tcPr>
            <w:tcW w:w="297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right"/>
              <w:rPr>
                <w:rFonts w:asciiTheme="minorEastAsia" w:eastAsiaTheme="minorEastAsia" w:hAnsiTheme="minorEastAsia"/>
              </w:rPr>
            </w:pPr>
            <w:r w:rsidRPr="009802E0">
              <w:rPr>
                <w:rFonts w:asciiTheme="minorEastAsia" w:eastAsiaTheme="minorEastAsia" w:hAnsiTheme="minorEastAsia" w:hint="eastAsia"/>
              </w:rPr>
              <w:t>19,029,774,649.36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right"/>
              <w:rPr>
                <w:rFonts w:asciiTheme="minorEastAsia" w:eastAsiaTheme="minorEastAsia" w:hAnsiTheme="minorEastAsia"/>
              </w:rPr>
            </w:pPr>
            <w:r w:rsidRPr="009802E0">
              <w:rPr>
                <w:rFonts w:asciiTheme="minorEastAsia" w:eastAsiaTheme="minorEastAsia" w:hAnsiTheme="minorEastAsia" w:hint="eastAsia"/>
              </w:rPr>
              <w:t>81.67</w:t>
            </w:r>
          </w:p>
        </w:tc>
      </w:tr>
      <w:tr w:rsidR="0096166C" w:rsidRPr="009802E0" w:rsidTr="0096166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pPr>
              <w:spacing w:before="29" w:line="300" w:lineRule="auto"/>
              <w:ind w:left="17"/>
              <w:jc w:val="center"/>
              <w:rPr>
                <w:rFonts w:asciiTheme="minorEastAsia" w:eastAsiaTheme="minorEastAsia" w:hAnsiTheme="minorEastAsia"/>
              </w:rPr>
            </w:pPr>
          </w:p>
        </w:tc>
        <w:tc>
          <w:tcPr>
            <w:tcW w:w="335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left"/>
              <w:rPr>
                <w:rFonts w:asciiTheme="minorEastAsia" w:eastAsiaTheme="minorEastAsia" w:hAnsiTheme="minorEastAsia"/>
              </w:rPr>
            </w:pPr>
            <w:r w:rsidRPr="009802E0">
              <w:rPr>
                <w:rFonts w:asciiTheme="minorEastAsia" w:eastAsiaTheme="minorEastAsia" w:hAnsiTheme="minorEastAsia" w:hint="eastAsia"/>
              </w:rPr>
              <w:t>其中：债券</w:t>
            </w:r>
          </w:p>
        </w:tc>
        <w:tc>
          <w:tcPr>
            <w:tcW w:w="297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right"/>
              <w:rPr>
                <w:rFonts w:asciiTheme="minorEastAsia" w:eastAsiaTheme="minorEastAsia" w:hAnsiTheme="minorEastAsia"/>
              </w:rPr>
            </w:pPr>
            <w:r w:rsidRPr="009802E0">
              <w:rPr>
                <w:rFonts w:asciiTheme="minorEastAsia" w:eastAsiaTheme="minorEastAsia" w:hAnsiTheme="minorEastAsia" w:hint="eastAsia"/>
              </w:rPr>
              <w:t>18,697,999,329.36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right"/>
              <w:rPr>
                <w:rFonts w:asciiTheme="minorEastAsia" w:eastAsiaTheme="minorEastAsia" w:hAnsiTheme="minorEastAsia"/>
              </w:rPr>
            </w:pPr>
            <w:r w:rsidRPr="009802E0">
              <w:rPr>
                <w:rFonts w:asciiTheme="minorEastAsia" w:eastAsiaTheme="minorEastAsia" w:hAnsiTheme="minorEastAsia" w:hint="eastAsia"/>
              </w:rPr>
              <w:t>80.25</w:t>
            </w:r>
          </w:p>
        </w:tc>
      </w:tr>
      <w:tr w:rsidR="0096166C" w:rsidRPr="009802E0" w:rsidTr="0096166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pPr>
              <w:spacing w:before="29" w:line="300" w:lineRule="auto"/>
              <w:ind w:left="17"/>
              <w:jc w:val="center"/>
              <w:rPr>
                <w:rFonts w:asciiTheme="minorEastAsia" w:eastAsiaTheme="minorEastAsia" w:hAnsiTheme="minorEastAsia"/>
              </w:rPr>
            </w:pPr>
          </w:p>
        </w:tc>
        <w:tc>
          <w:tcPr>
            <w:tcW w:w="335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autoSpaceDE w:val="0"/>
              <w:autoSpaceDN w:val="0"/>
              <w:adjustRightInd w:val="0"/>
              <w:spacing w:before="29" w:line="300" w:lineRule="auto"/>
              <w:ind w:left="17"/>
              <w:jc w:val="left"/>
              <w:rPr>
                <w:rFonts w:asciiTheme="minorEastAsia" w:eastAsiaTheme="minorEastAsia" w:hAnsiTheme="minorEastAsia"/>
              </w:rPr>
            </w:pPr>
            <w:r w:rsidRPr="009802E0">
              <w:rPr>
                <w:rFonts w:asciiTheme="minorEastAsia" w:eastAsiaTheme="minorEastAsia" w:hAnsiTheme="minorEastAsia" w:hint="eastAsia"/>
              </w:rPr>
              <w:t>资产支持证券</w:t>
            </w:r>
          </w:p>
        </w:tc>
        <w:tc>
          <w:tcPr>
            <w:tcW w:w="297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right"/>
              <w:rPr>
                <w:rFonts w:asciiTheme="minorEastAsia" w:eastAsiaTheme="minorEastAsia" w:hAnsiTheme="minorEastAsia"/>
              </w:rPr>
            </w:pPr>
            <w:r w:rsidRPr="009802E0">
              <w:rPr>
                <w:rFonts w:asciiTheme="minorEastAsia" w:eastAsiaTheme="minorEastAsia" w:hAnsiTheme="minorEastAsia" w:hint="eastAsia"/>
              </w:rPr>
              <w:t>331,775,320.00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right"/>
              <w:rPr>
                <w:rFonts w:asciiTheme="minorEastAsia" w:eastAsiaTheme="minorEastAsia" w:hAnsiTheme="minorEastAsia"/>
              </w:rPr>
            </w:pPr>
            <w:r w:rsidRPr="009802E0">
              <w:rPr>
                <w:rFonts w:asciiTheme="minorEastAsia" w:eastAsiaTheme="minorEastAsia" w:hAnsiTheme="minorEastAsia" w:hint="eastAsia"/>
              </w:rPr>
              <w:t>1.42</w:t>
            </w:r>
          </w:p>
        </w:tc>
      </w:tr>
      <w:tr w:rsidR="0096166C" w:rsidRPr="009802E0" w:rsidTr="0096166C">
        <w:trPr>
          <w:jc w:val="center"/>
        </w:trPr>
        <w:tc>
          <w:tcPr>
            <w:tcW w:w="720" w:type="dxa"/>
            <w:tcBorders>
              <w:top w:val="single" w:sz="4" w:space="0" w:color="auto"/>
              <w:left w:val="single" w:sz="4" w:space="0" w:color="auto"/>
              <w:bottom w:val="single" w:sz="4" w:space="0" w:color="auto"/>
              <w:right w:val="single" w:sz="4" w:space="0" w:color="auto"/>
            </w:tcBorders>
            <w:hideMark/>
          </w:tcPr>
          <w:p w:rsidR="0096166C" w:rsidRPr="009802E0" w:rsidRDefault="0096166C">
            <w:pPr>
              <w:spacing w:before="29" w:line="300" w:lineRule="auto"/>
              <w:ind w:left="17"/>
              <w:jc w:val="center"/>
              <w:rPr>
                <w:rFonts w:asciiTheme="minorEastAsia" w:eastAsiaTheme="minorEastAsia" w:hAnsiTheme="minorEastAsia"/>
              </w:rPr>
            </w:pPr>
            <w:r w:rsidRPr="009802E0">
              <w:rPr>
                <w:rFonts w:asciiTheme="minorEastAsia" w:eastAsiaTheme="minorEastAsia" w:hAnsiTheme="minorEastAsia" w:hint="eastAsia"/>
              </w:rPr>
              <w:t>3</w:t>
            </w:r>
          </w:p>
        </w:tc>
        <w:tc>
          <w:tcPr>
            <w:tcW w:w="3357" w:type="dxa"/>
            <w:tcBorders>
              <w:top w:val="single" w:sz="4" w:space="0" w:color="auto"/>
              <w:left w:val="single" w:sz="4" w:space="0" w:color="auto"/>
              <w:bottom w:val="single" w:sz="4" w:space="0" w:color="auto"/>
              <w:right w:val="single" w:sz="4" w:space="0" w:color="auto"/>
            </w:tcBorders>
            <w:hideMark/>
          </w:tcPr>
          <w:p w:rsidR="0096166C" w:rsidRPr="009802E0" w:rsidRDefault="0096166C">
            <w:pPr>
              <w:spacing w:before="29" w:line="300" w:lineRule="auto"/>
              <w:ind w:leftChars="50" w:left="105"/>
              <w:rPr>
                <w:rFonts w:asciiTheme="minorEastAsia" w:eastAsiaTheme="minorEastAsia" w:hAnsiTheme="minorEastAsia"/>
              </w:rPr>
            </w:pPr>
            <w:r w:rsidRPr="009802E0">
              <w:rPr>
                <w:rFonts w:asciiTheme="minorEastAsia" w:eastAsiaTheme="minorEastAsia" w:hAnsiTheme="minorEastAsia" w:hint="eastAsia"/>
              </w:rPr>
              <w:t>贵金属投资</w:t>
            </w:r>
          </w:p>
        </w:tc>
        <w:tc>
          <w:tcPr>
            <w:tcW w:w="297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right"/>
              <w:rPr>
                <w:rFonts w:asciiTheme="minorEastAsia" w:eastAsiaTheme="minorEastAsia" w:hAnsiTheme="minorEastAsia"/>
              </w:rPr>
            </w:pPr>
            <w:r w:rsidRPr="009802E0">
              <w:rPr>
                <w:rFonts w:asciiTheme="minorEastAsia" w:eastAsiaTheme="minorEastAsia" w:hAnsiTheme="minorEastAsia" w:hint="eastAsia"/>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right"/>
              <w:rPr>
                <w:rFonts w:asciiTheme="minorEastAsia" w:eastAsiaTheme="minorEastAsia" w:hAnsiTheme="minorEastAsia"/>
              </w:rPr>
            </w:pPr>
            <w:r w:rsidRPr="009802E0">
              <w:rPr>
                <w:rFonts w:asciiTheme="minorEastAsia" w:eastAsiaTheme="minorEastAsia" w:hAnsiTheme="minorEastAsia" w:hint="eastAsia"/>
              </w:rPr>
              <w:t>-</w:t>
            </w:r>
          </w:p>
        </w:tc>
      </w:tr>
      <w:tr w:rsidR="0096166C" w:rsidRPr="009802E0" w:rsidTr="0096166C">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center"/>
              <w:rPr>
                <w:rFonts w:asciiTheme="minorEastAsia" w:eastAsiaTheme="minorEastAsia" w:hAnsiTheme="minorEastAsia"/>
              </w:rPr>
            </w:pPr>
            <w:r w:rsidRPr="009802E0">
              <w:rPr>
                <w:rFonts w:asciiTheme="minorEastAsia" w:eastAsiaTheme="minorEastAsia" w:hAnsiTheme="minorEastAsia" w:hint="eastAsia"/>
              </w:rPr>
              <w:t>4</w:t>
            </w:r>
          </w:p>
        </w:tc>
        <w:tc>
          <w:tcPr>
            <w:tcW w:w="335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left"/>
              <w:rPr>
                <w:rFonts w:asciiTheme="minorEastAsia" w:eastAsiaTheme="minorEastAsia" w:hAnsiTheme="minorEastAsia"/>
              </w:rPr>
            </w:pPr>
            <w:r w:rsidRPr="009802E0">
              <w:rPr>
                <w:rFonts w:asciiTheme="minorEastAsia" w:eastAsiaTheme="minorEastAsia" w:hAnsiTheme="minorEastAsia" w:hint="eastAsia"/>
              </w:rPr>
              <w:t>金融衍生品投资</w:t>
            </w:r>
          </w:p>
        </w:tc>
        <w:tc>
          <w:tcPr>
            <w:tcW w:w="297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right"/>
              <w:rPr>
                <w:rFonts w:asciiTheme="minorEastAsia" w:eastAsiaTheme="minorEastAsia" w:hAnsiTheme="minorEastAsia"/>
              </w:rPr>
            </w:pPr>
            <w:r w:rsidRPr="009802E0">
              <w:rPr>
                <w:rFonts w:asciiTheme="minorEastAsia" w:eastAsiaTheme="minorEastAsia" w:hAnsiTheme="minorEastAsia" w:hint="eastAsia"/>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right"/>
              <w:rPr>
                <w:rFonts w:asciiTheme="minorEastAsia" w:eastAsiaTheme="minorEastAsia" w:hAnsiTheme="minorEastAsia"/>
              </w:rPr>
            </w:pPr>
            <w:r w:rsidRPr="009802E0">
              <w:rPr>
                <w:rFonts w:asciiTheme="minorEastAsia" w:eastAsiaTheme="minorEastAsia" w:hAnsiTheme="minorEastAsia" w:hint="eastAsia"/>
              </w:rPr>
              <w:t>-</w:t>
            </w:r>
          </w:p>
        </w:tc>
      </w:tr>
      <w:tr w:rsidR="0096166C" w:rsidRPr="009802E0" w:rsidTr="0096166C">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center"/>
              <w:rPr>
                <w:rFonts w:asciiTheme="minorEastAsia" w:eastAsiaTheme="minorEastAsia" w:hAnsiTheme="minorEastAsia"/>
              </w:rPr>
            </w:pPr>
            <w:r w:rsidRPr="009802E0">
              <w:rPr>
                <w:rFonts w:asciiTheme="minorEastAsia" w:eastAsiaTheme="minorEastAsia" w:hAnsiTheme="minorEastAsia" w:hint="eastAsia"/>
              </w:rPr>
              <w:t>5</w:t>
            </w:r>
          </w:p>
        </w:tc>
        <w:tc>
          <w:tcPr>
            <w:tcW w:w="335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left"/>
              <w:rPr>
                <w:rFonts w:asciiTheme="minorEastAsia" w:eastAsiaTheme="minorEastAsia" w:hAnsiTheme="minorEastAsia"/>
              </w:rPr>
            </w:pPr>
            <w:r w:rsidRPr="009802E0">
              <w:rPr>
                <w:rFonts w:asciiTheme="minorEastAsia" w:eastAsiaTheme="minorEastAsia" w:hAnsiTheme="minorEastAsia" w:hint="eastAsia"/>
              </w:rPr>
              <w:t>买入返售金融资产</w:t>
            </w:r>
          </w:p>
        </w:tc>
        <w:tc>
          <w:tcPr>
            <w:tcW w:w="297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right"/>
              <w:rPr>
                <w:rFonts w:asciiTheme="minorEastAsia" w:eastAsiaTheme="minorEastAsia" w:hAnsiTheme="minorEastAsia"/>
              </w:rPr>
            </w:pPr>
            <w:r w:rsidRPr="009802E0">
              <w:rPr>
                <w:rFonts w:asciiTheme="minorEastAsia" w:eastAsiaTheme="minorEastAsia" w:hAnsiTheme="minorEastAsia" w:hint="eastAsia"/>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right"/>
              <w:rPr>
                <w:rFonts w:asciiTheme="minorEastAsia" w:eastAsiaTheme="minorEastAsia" w:hAnsiTheme="minorEastAsia"/>
              </w:rPr>
            </w:pPr>
            <w:r w:rsidRPr="009802E0">
              <w:rPr>
                <w:rFonts w:asciiTheme="minorEastAsia" w:eastAsiaTheme="minorEastAsia" w:hAnsiTheme="minorEastAsia" w:hint="eastAsia"/>
              </w:rPr>
              <w:t>-</w:t>
            </w:r>
          </w:p>
        </w:tc>
      </w:tr>
      <w:tr w:rsidR="0096166C" w:rsidRPr="009802E0" w:rsidTr="0096166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pPr>
              <w:spacing w:before="29" w:line="300" w:lineRule="auto"/>
              <w:ind w:left="17"/>
              <w:jc w:val="center"/>
              <w:rPr>
                <w:rFonts w:asciiTheme="minorEastAsia" w:eastAsiaTheme="minorEastAsia" w:hAnsiTheme="minorEastAsia"/>
              </w:rPr>
            </w:pPr>
          </w:p>
        </w:tc>
        <w:tc>
          <w:tcPr>
            <w:tcW w:w="335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left"/>
              <w:rPr>
                <w:rFonts w:asciiTheme="minorEastAsia" w:eastAsiaTheme="minorEastAsia" w:hAnsiTheme="minorEastAsia"/>
              </w:rPr>
            </w:pPr>
            <w:r w:rsidRPr="009802E0">
              <w:rPr>
                <w:rFonts w:asciiTheme="minorEastAsia" w:eastAsiaTheme="minorEastAsia" w:hAnsiTheme="minorEastAsia" w:hint="eastAsia"/>
              </w:rPr>
              <w:t>其中：买断式回购的买入返售金融资产</w:t>
            </w:r>
          </w:p>
        </w:tc>
        <w:tc>
          <w:tcPr>
            <w:tcW w:w="297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right"/>
              <w:rPr>
                <w:rFonts w:asciiTheme="minorEastAsia" w:eastAsiaTheme="minorEastAsia" w:hAnsiTheme="minorEastAsia"/>
              </w:rPr>
            </w:pPr>
            <w:r w:rsidRPr="009802E0">
              <w:rPr>
                <w:rFonts w:asciiTheme="minorEastAsia" w:eastAsiaTheme="minorEastAsia" w:hAnsiTheme="minorEastAsia" w:hint="eastAsia"/>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right"/>
              <w:rPr>
                <w:rFonts w:asciiTheme="minorEastAsia" w:eastAsiaTheme="minorEastAsia" w:hAnsiTheme="minorEastAsia"/>
              </w:rPr>
            </w:pPr>
            <w:r w:rsidRPr="009802E0">
              <w:rPr>
                <w:rFonts w:asciiTheme="minorEastAsia" w:eastAsiaTheme="minorEastAsia" w:hAnsiTheme="minorEastAsia" w:hint="eastAsia"/>
              </w:rPr>
              <w:t>-</w:t>
            </w:r>
          </w:p>
        </w:tc>
      </w:tr>
      <w:tr w:rsidR="0096166C" w:rsidRPr="009802E0" w:rsidTr="0096166C">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center"/>
              <w:rPr>
                <w:rFonts w:asciiTheme="minorEastAsia" w:eastAsiaTheme="minorEastAsia" w:hAnsiTheme="minorEastAsia"/>
              </w:rPr>
            </w:pPr>
            <w:r w:rsidRPr="009802E0">
              <w:rPr>
                <w:rFonts w:asciiTheme="minorEastAsia" w:eastAsiaTheme="minorEastAsia" w:hAnsiTheme="minorEastAsia" w:hint="eastAsia"/>
              </w:rPr>
              <w:t>6</w:t>
            </w:r>
          </w:p>
        </w:tc>
        <w:tc>
          <w:tcPr>
            <w:tcW w:w="335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left"/>
              <w:rPr>
                <w:rFonts w:asciiTheme="minorEastAsia" w:eastAsiaTheme="minorEastAsia" w:hAnsiTheme="minorEastAsia"/>
              </w:rPr>
            </w:pPr>
            <w:r w:rsidRPr="009802E0">
              <w:rPr>
                <w:rFonts w:asciiTheme="minorEastAsia" w:eastAsiaTheme="minorEastAsia" w:hAnsiTheme="minorEastAsia" w:hint="eastAsia"/>
              </w:rPr>
              <w:t>银行存款和结算备付金合计</w:t>
            </w:r>
          </w:p>
        </w:tc>
        <w:tc>
          <w:tcPr>
            <w:tcW w:w="297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right"/>
              <w:rPr>
                <w:rFonts w:asciiTheme="minorEastAsia" w:eastAsiaTheme="minorEastAsia" w:hAnsiTheme="minorEastAsia"/>
              </w:rPr>
            </w:pPr>
            <w:r w:rsidRPr="009802E0">
              <w:rPr>
                <w:rFonts w:asciiTheme="minorEastAsia" w:eastAsiaTheme="minorEastAsia" w:hAnsiTheme="minorEastAsia" w:hint="eastAsia"/>
              </w:rPr>
              <w:t>163,125,352.67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right"/>
              <w:rPr>
                <w:rFonts w:asciiTheme="minorEastAsia" w:eastAsiaTheme="minorEastAsia" w:hAnsiTheme="minorEastAsia"/>
              </w:rPr>
            </w:pPr>
            <w:r w:rsidRPr="009802E0">
              <w:rPr>
                <w:rFonts w:asciiTheme="minorEastAsia" w:eastAsiaTheme="minorEastAsia" w:hAnsiTheme="minorEastAsia" w:hint="eastAsia"/>
              </w:rPr>
              <w:t>0.70</w:t>
            </w:r>
          </w:p>
        </w:tc>
      </w:tr>
      <w:tr w:rsidR="0096166C" w:rsidRPr="009802E0" w:rsidTr="0096166C">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center"/>
              <w:rPr>
                <w:rFonts w:asciiTheme="minorEastAsia" w:eastAsiaTheme="minorEastAsia" w:hAnsiTheme="minorEastAsia"/>
              </w:rPr>
            </w:pPr>
            <w:r w:rsidRPr="009802E0">
              <w:rPr>
                <w:rFonts w:asciiTheme="minorEastAsia" w:eastAsiaTheme="minorEastAsia" w:hAnsiTheme="minorEastAsia" w:hint="eastAsia"/>
              </w:rPr>
              <w:t>7</w:t>
            </w:r>
          </w:p>
        </w:tc>
        <w:tc>
          <w:tcPr>
            <w:tcW w:w="335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left"/>
              <w:rPr>
                <w:rFonts w:asciiTheme="minorEastAsia" w:eastAsiaTheme="minorEastAsia" w:hAnsiTheme="minorEastAsia"/>
              </w:rPr>
            </w:pPr>
            <w:r w:rsidRPr="009802E0">
              <w:rPr>
                <w:rFonts w:asciiTheme="minorEastAsia" w:eastAsiaTheme="minorEastAsia" w:hAnsiTheme="minorEastAsia" w:hint="eastAsia"/>
              </w:rPr>
              <w:t>其他资产</w:t>
            </w:r>
          </w:p>
        </w:tc>
        <w:tc>
          <w:tcPr>
            <w:tcW w:w="297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1,113,962,113.77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4.78</w:t>
            </w:r>
          </w:p>
        </w:tc>
      </w:tr>
      <w:tr w:rsidR="0096166C" w:rsidRPr="009802E0" w:rsidTr="0096166C">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center"/>
              <w:rPr>
                <w:rFonts w:asciiTheme="minorEastAsia" w:eastAsiaTheme="minorEastAsia" w:hAnsiTheme="minorEastAsia"/>
              </w:rPr>
            </w:pPr>
            <w:r w:rsidRPr="009802E0">
              <w:rPr>
                <w:rFonts w:asciiTheme="minorEastAsia" w:eastAsiaTheme="minorEastAsia" w:hAnsiTheme="minorEastAsia" w:hint="eastAsia"/>
              </w:rPr>
              <w:t>8</w:t>
            </w:r>
          </w:p>
        </w:tc>
        <w:tc>
          <w:tcPr>
            <w:tcW w:w="335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left"/>
              <w:rPr>
                <w:rFonts w:asciiTheme="minorEastAsia" w:eastAsiaTheme="minorEastAsia" w:hAnsiTheme="minorEastAsia"/>
              </w:rPr>
            </w:pPr>
            <w:r w:rsidRPr="009802E0">
              <w:rPr>
                <w:rFonts w:asciiTheme="minorEastAsia" w:eastAsiaTheme="minorEastAsia" w:hAnsiTheme="minorEastAsia" w:hint="eastAsia"/>
              </w:rPr>
              <w:t>合计</w:t>
            </w:r>
          </w:p>
        </w:tc>
        <w:tc>
          <w:tcPr>
            <w:tcW w:w="297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23,300,893,592.44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100.00</w:t>
            </w:r>
          </w:p>
        </w:tc>
      </w:tr>
    </w:tbl>
    <w:p w:rsidR="0096166C" w:rsidRPr="009802E0" w:rsidRDefault="0096166C" w:rsidP="009802E0">
      <w:pPr>
        <w:pStyle w:val="af6"/>
        <w:adjustRightInd w:val="0"/>
        <w:snapToGrid w:val="0"/>
        <w:spacing w:line="360" w:lineRule="auto"/>
        <w:ind w:firstLineChars="200" w:firstLine="420"/>
        <w:rPr>
          <w:rFonts w:asciiTheme="minorEastAsia" w:eastAsiaTheme="minorEastAsia" w:hAnsiTheme="minorEastAsia"/>
          <w:sz w:val="21"/>
          <w:szCs w:val="21"/>
        </w:rPr>
      </w:pPr>
      <w:r w:rsidRPr="009802E0">
        <w:rPr>
          <w:rFonts w:asciiTheme="minorEastAsia" w:eastAsiaTheme="minorEastAsia" w:hAnsiTheme="minorEastAsia" w:hint="eastAsia"/>
          <w:sz w:val="21"/>
          <w:szCs w:val="21"/>
        </w:rPr>
        <w:t>2、报告期末按行业分类的股票投资组合</w:t>
      </w:r>
    </w:p>
    <w:p w:rsidR="0096166C" w:rsidRPr="009802E0" w:rsidRDefault="0096166C" w:rsidP="009802E0">
      <w:pPr>
        <w:pStyle w:val="af6"/>
        <w:adjustRightInd w:val="0"/>
        <w:snapToGrid w:val="0"/>
        <w:spacing w:line="360" w:lineRule="auto"/>
        <w:ind w:firstLineChars="200" w:firstLine="420"/>
        <w:rPr>
          <w:rFonts w:asciiTheme="minorEastAsia" w:eastAsiaTheme="minorEastAsia" w:hAnsiTheme="minorEastAsia"/>
          <w:sz w:val="21"/>
          <w:szCs w:val="21"/>
        </w:rPr>
      </w:pPr>
      <w:r w:rsidRPr="009802E0">
        <w:rPr>
          <w:rFonts w:asciiTheme="minorEastAsia" w:eastAsiaTheme="minorEastAsia" w:hAnsiTheme="minorEastAsia" w:hint="eastAsia"/>
          <w:sz w:val="21"/>
          <w:szCs w:val="21"/>
        </w:rPr>
        <w:t>（1）报告期末按行业分类的境内股票投资组合</w:t>
      </w:r>
    </w:p>
    <w:tbl>
      <w:tblPr>
        <w:tblW w:w="79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98"/>
        <w:gridCol w:w="3378"/>
        <w:gridCol w:w="2609"/>
        <w:gridCol w:w="1510"/>
      </w:tblGrid>
      <w:tr w:rsidR="0096166C" w:rsidRPr="009802E0" w:rsidTr="0096166C">
        <w:trPr>
          <w:trHeight w:val="390"/>
        </w:trPr>
        <w:tc>
          <w:tcPr>
            <w:tcW w:w="540" w:type="dxa"/>
            <w:tcBorders>
              <w:top w:val="single" w:sz="4" w:space="0" w:color="000000"/>
              <w:left w:val="single" w:sz="4" w:space="0" w:color="000000"/>
              <w:bottom w:val="single" w:sz="4" w:space="0" w:color="000000"/>
              <w:right w:val="single" w:sz="4" w:space="0" w:color="000000"/>
            </w:tcBorders>
            <w:vAlign w:val="center"/>
            <w:hideMark/>
          </w:tcPr>
          <w:p w:rsidR="0096166C" w:rsidRPr="009802E0" w:rsidRDefault="0096166C">
            <w:pPr>
              <w:adjustRightInd w:val="0"/>
              <w:snapToGrid w:val="0"/>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96166C" w:rsidRPr="009802E0" w:rsidRDefault="0096166C">
            <w:pPr>
              <w:adjustRightInd w:val="0"/>
              <w:snapToGrid w:val="0"/>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行业类别</w:t>
            </w:r>
          </w:p>
        </w:tc>
        <w:tc>
          <w:tcPr>
            <w:tcW w:w="2852" w:type="dxa"/>
            <w:tcBorders>
              <w:top w:val="single" w:sz="4" w:space="0" w:color="000000"/>
              <w:left w:val="single" w:sz="4" w:space="0" w:color="auto"/>
              <w:bottom w:val="single" w:sz="4" w:space="0" w:color="000000"/>
              <w:right w:val="single" w:sz="4" w:space="0" w:color="000000"/>
            </w:tcBorders>
            <w:vAlign w:val="center"/>
            <w:hideMark/>
          </w:tcPr>
          <w:p w:rsidR="0096166C" w:rsidRPr="009802E0" w:rsidRDefault="0096166C">
            <w:pPr>
              <w:adjustRightInd w:val="0"/>
              <w:snapToGrid w:val="0"/>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166C" w:rsidRPr="009802E0" w:rsidRDefault="0096166C">
            <w:pPr>
              <w:adjustRightInd w:val="0"/>
              <w:snapToGrid w:val="0"/>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占基金资产净值比例（％）</w:t>
            </w:r>
          </w:p>
        </w:tc>
      </w:tr>
      <w:tr w:rsidR="0096166C" w:rsidRPr="009802E0" w:rsidTr="0096166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166C" w:rsidRPr="009802E0" w:rsidRDefault="0096166C">
            <w:pPr>
              <w:adjustRightInd w:val="0"/>
              <w:snapToGrid w:val="0"/>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96166C" w:rsidRPr="009802E0" w:rsidRDefault="0096166C">
            <w:pPr>
              <w:adjustRightInd w:val="0"/>
              <w:snapToGrid w:val="0"/>
              <w:spacing w:line="300" w:lineRule="auto"/>
              <w:rPr>
                <w:rFonts w:asciiTheme="minorEastAsia" w:eastAsiaTheme="minorEastAsia" w:hAnsiTheme="minorEastAsia"/>
              </w:rPr>
            </w:pPr>
            <w:r w:rsidRPr="009802E0">
              <w:rPr>
                <w:rFonts w:asciiTheme="minorEastAsia" w:eastAsiaTheme="minorEastAsia" w:hAnsiTheme="minorEastAsia" w:hint="eastAsia"/>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hideMark/>
          </w:tcPr>
          <w:p w:rsidR="0096166C" w:rsidRPr="009802E0" w:rsidRDefault="0096166C">
            <w:pPr>
              <w:autoSpaceDE w:val="0"/>
              <w:autoSpaceDN w:val="0"/>
              <w:adjustRightInd w:val="0"/>
              <w:spacing w:before="29" w:line="300" w:lineRule="auto"/>
              <w:ind w:left="15"/>
              <w:jc w:val="right"/>
              <w:rPr>
                <w:rFonts w:asciiTheme="minorEastAsia" w:eastAsiaTheme="minorEastAsia" w:hAnsiTheme="minorEastAsia"/>
              </w:rPr>
            </w:pPr>
            <w:r w:rsidRPr="009802E0">
              <w:rPr>
                <w:rFonts w:asciiTheme="minorEastAsia" w:eastAsiaTheme="minorEastAsia" w:hAnsiTheme="minorEastAsia" w:hint="eastAsia"/>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166C" w:rsidRPr="009802E0" w:rsidRDefault="0096166C">
            <w:pPr>
              <w:autoSpaceDE w:val="0"/>
              <w:autoSpaceDN w:val="0"/>
              <w:adjustRightInd w:val="0"/>
              <w:spacing w:before="29" w:line="300" w:lineRule="auto"/>
              <w:ind w:left="15"/>
              <w:jc w:val="right"/>
              <w:rPr>
                <w:rFonts w:asciiTheme="minorEastAsia" w:eastAsiaTheme="minorEastAsia" w:hAnsiTheme="minorEastAsia"/>
              </w:rPr>
            </w:pPr>
            <w:r w:rsidRPr="009802E0">
              <w:rPr>
                <w:rFonts w:asciiTheme="minorEastAsia" w:eastAsiaTheme="minorEastAsia" w:hAnsiTheme="minorEastAsia" w:hint="eastAsia"/>
              </w:rPr>
              <w:t>-</w:t>
            </w:r>
          </w:p>
        </w:tc>
      </w:tr>
      <w:tr w:rsidR="0096166C" w:rsidRPr="009802E0" w:rsidTr="0096166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166C" w:rsidRPr="009802E0" w:rsidRDefault="0096166C">
            <w:pPr>
              <w:adjustRightInd w:val="0"/>
              <w:snapToGrid w:val="0"/>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96166C" w:rsidRPr="009802E0" w:rsidRDefault="0096166C">
            <w:pPr>
              <w:adjustRightInd w:val="0"/>
              <w:snapToGrid w:val="0"/>
              <w:spacing w:line="300" w:lineRule="auto"/>
              <w:rPr>
                <w:rFonts w:asciiTheme="minorEastAsia" w:eastAsiaTheme="minorEastAsia" w:hAnsiTheme="minorEastAsia"/>
              </w:rPr>
            </w:pPr>
            <w:r w:rsidRPr="009802E0">
              <w:rPr>
                <w:rFonts w:asciiTheme="minorEastAsia" w:eastAsiaTheme="minorEastAsia" w:hAnsiTheme="minorEastAsia" w:hint="eastAsia"/>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w:t>
            </w:r>
          </w:p>
          <w:p w:rsidR="0096166C" w:rsidRPr="009802E0" w:rsidRDefault="0096166C">
            <w:pPr>
              <w:spacing w:line="300" w:lineRule="auto"/>
              <w:jc w:val="right"/>
              <w:rPr>
                <w:rFonts w:asciiTheme="minorEastAsia" w:eastAsiaTheme="minorEastAsia" w:hAnsiTheme="minorEastAsia"/>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w:t>
            </w:r>
          </w:p>
          <w:p w:rsidR="0096166C" w:rsidRPr="009802E0" w:rsidRDefault="0096166C">
            <w:pPr>
              <w:spacing w:line="300" w:lineRule="auto"/>
              <w:jc w:val="right"/>
              <w:rPr>
                <w:rFonts w:asciiTheme="minorEastAsia" w:eastAsiaTheme="minorEastAsia" w:hAnsiTheme="minorEastAsia"/>
              </w:rPr>
            </w:pPr>
          </w:p>
        </w:tc>
      </w:tr>
      <w:tr w:rsidR="0096166C" w:rsidRPr="009802E0" w:rsidTr="0096166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166C" w:rsidRPr="009802E0" w:rsidRDefault="0096166C">
            <w:pPr>
              <w:adjustRightInd w:val="0"/>
              <w:snapToGrid w:val="0"/>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96166C" w:rsidRPr="009802E0" w:rsidRDefault="0096166C">
            <w:pPr>
              <w:adjustRightInd w:val="0"/>
              <w:snapToGrid w:val="0"/>
              <w:spacing w:line="300" w:lineRule="auto"/>
              <w:rPr>
                <w:rFonts w:asciiTheme="minorEastAsia" w:eastAsiaTheme="minorEastAsia" w:hAnsiTheme="minorEastAsia"/>
              </w:rPr>
            </w:pPr>
            <w:r w:rsidRPr="009802E0">
              <w:rPr>
                <w:rFonts w:asciiTheme="minorEastAsia" w:eastAsiaTheme="minorEastAsia" w:hAnsiTheme="minorEastAsia" w:hint="eastAsia"/>
              </w:rPr>
              <w:t>制造业</w:t>
            </w:r>
          </w:p>
        </w:tc>
        <w:tc>
          <w:tcPr>
            <w:tcW w:w="2852" w:type="dxa"/>
            <w:tcBorders>
              <w:top w:val="single" w:sz="4" w:space="0" w:color="000000"/>
              <w:left w:val="single" w:sz="4" w:space="0" w:color="auto"/>
              <w:bottom w:val="single" w:sz="4" w:space="0" w:color="000000"/>
              <w:right w:val="single" w:sz="4" w:space="0" w:color="000000"/>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2,114,653,065.39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12.95</w:t>
            </w:r>
          </w:p>
        </w:tc>
      </w:tr>
      <w:tr w:rsidR="0096166C" w:rsidRPr="009802E0" w:rsidTr="0096166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166C" w:rsidRPr="009802E0" w:rsidRDefault="0096166C">
            <w:pPr>
              <w:adjustRightInd w:val="0"/>
              <w:snapToGrid w:val="0"/>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96166C" w:rsidRPr="009802E0" w:rsidRDefault="0096166C">
            <w:pPr>
              <w:adjustRightInd w:val="0"/>
              <w:snapToGrid w:val="0"/>
              <w:spacing w:line="300" w:lineRule="auto"/>
              <w:rPr>
                <w:rFonts w:asciiTheme="minorEastAsia" w:eastAsiaTheme="minorEastAsia" w:hAnsiTheme="minorEastAsia"/>
              </w:rPr>
            </w:pPr>
            <w:r w:rsidRPr="009802E0">
              <w:rPr>
                <w:rFonts w:asciiTheme="minorEastAsia" w:eastAsiaTheme="minorEastAsia" w:hAnsiTheme="minorEastAsia" w:hint="eastAsia"/>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36,323,912.00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0.22</w:t>
            </w:r>
          </w:p>
        </w:tc>
      </w:tr>
      <w:tr w:rsidR="0096166C" w:rsidRPr="009802E0" w:rsidTr="0096166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166C" w:rsidRPr="009802E0" w:rsidRDefault="0096166C">
            <w:pPr>
              <w:adjustRightInd w:val="0"/>
              <w:snapToGrid w:val="0"/>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96166C" w:rsidRPr="009802E0" w:rsidRDefault="0096166C">
            <w:pPr>
              <w:adjustRightInd w:val="0"/>
              <w:snapToGrid w:val="0"/>
              <w:spacing w:line="300" w:lineRule="auto"/>
              <w:rPr>
                <w:rFonts w:asciiTheme="minorEastAsia" w:eastAsiaTheme="minorEastAsia" w:hAnsiTheme="minorEastAsia"/>
              </w:rPr>
            </w:pPr>
            <w:r w:rsidRPr="009802E0">
              <w:rPr>
                <w:rFonts w:asciiTheme="minorEastAsia" w:eastAsiaTheme="minorEastAsia" w:hAnsiTheme="minorEastAsia" w:hint="eastAsia"/>
              </w:rPr>
              <w:t>建筑业</w:t>
            </w:r>
          </w:p>
        </w:tc>
        <w:tc>
          <w:tcPr>
            <w:tcW w:w="2852" w:type="dxa"/>
            <w:tcBorders>
              <w:top w:val="single" w:sz="4" w:space="0" w:color="000000"/>
              <w:left w:val="single" w:sz="4" w:space="0" w:color="auto"/>
              <w:bottom w:val="single" w:sz="4" w:space="0" w:color="000000"/>
              <w:right w:val="single" w:sz="4" w:space="0" w:color="000000"/>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w:t>
            </w:r>
          </w:p>
        </w:tc>
      </w:tr>
      <w:tr w:rsidR="0096166C" w:rsidRPr="009802E0" w:rsidTr="0096166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166C" w:rsidRPr="009802E0" w:rsidRDefault="0096166C">
            <w:pPr>
              <w:adjustRightInd w:val="0"/>
              <w:snapToGrid w:val="0"/>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96166C" w:rsidRPr="009802E0" w:rsidRDefault="0096166C">
            <w:pPr>
              <w:adjustRightInd w:val="0"/>
              <w:snapToGrid w:val="0"/>
              <w:spacing w:line="300" w:lineRule="auto"/>
              <w:rPr>
                <w:rFonts w:asciiTheme="minorEastAsia" w:eastAsiaTheme="minorEastAsia" w:hAnsiTheme="minorEastAsia"/>
              </w:rPr>
            </w:pPr>
            <w:r w:rsidRPr="009802E0">
              <w:rPr>
                <w:rFonts w:asciiTheme="minorEastAsia" w:eastAsiaTheme="minorEastAsia" w:hAnsiTheme="minorEastAsia" w:hint="eastAsia"/>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w:t>
            </w:r>
          </w:p>
        </w:tc>
      </w:tr>
      <w:tr w:rsidR="0096166C" w:rsidRPr="009802E0" w:rsidTr="0096166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166C" w:rsidRPr="009802E0" w:rsidRDefault="0096166C">
            <w:pPr>
              <w:adjustRightInd w:val="0"/>
              <w:snapToGrid w:val="0"/>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96166C" w:rsidRPr="009802E0" w:rsidRDefault="0096166C">
            <w:pPr>
              <w:adjustRightInd w:val="0"/>
              <w:snapToGrid w:val="0"/>
              <w:spacing w:line="300" w:lineRule="auto"/>
              <w:rPr>
                <w:rFonts w:asciiTheme="minorEastAsia" w:eastAsiaTheme="minorEastAsia" w:hAnsiTheme="minorEastAsia"/>
              </w:rPr>
            </w:pPr>
            <w:r w:rsidRPr="009802E0">
              <w:rPr>
                <w:rFonts w:asciiTheme="minorEastAsia" w:eastAsiaTheme="minorEastAsia" w:hAnsiTheme="minorEastAsia" w:hint="eastAsia"/>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153,504,099.92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0.94</w:t>
            </w:r>
          </w:p>
        </w:tc>
      </w:tr>
      <w:tr w:rsidR="0096166C" w:rsidRPr="009802E0" w:rsidTr="0096166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166C" w:rsidRPr="009802E0" w:rsidRDefault="0096166C">
            <w:pPr>
              <w:adjustRightInd w:val="0"/>
              <w:snapToGrid w:val="0"/>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96166C" w:rsidRPr="009802E0" w:rsidRDefault="0096166C">
            <w:pPr>
              <w:adjustRightInd w:val="0"/>
              <w:snapToGrid w:val="0"/>
              <w:spacing w:line="300" w:lineRule="auto"/>
              <w:rPr>
                <w:rFonts w:asciiTheme="minorEastAsia" w:eastAsiaTheme="minorEastAsia" w:hAnsiTheme="minorEastAsia"/>
              </w:rPr>
            </w:pPr>
            <w:r w:rsidRPr="009802E0">
              <w:rPr>
                <w:rFonts w:asciiTheme="minorEastAsia" w:eastAsiaTheme="minorEastAsia" w:hAnsiTheme="minorEastAsia" w:hint="eastAsia"/>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w:t>
            </w:r>
          </w:p>
        </w:tc>
      </w:tr>
      <w:tr w:rsidR="0096166C" w:rsidRPr="009802E0" w:rsidTr="0096166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166C" w:rsidRPr="009802E0" w:rsidRDefault="0096166C">
            <w:pPr>
              <w:adjustRightInd w:val="0"/>
              <w:snapToGrid w:val="0"/>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96166C" w:rsidRPr="009802E0" w:rsidRDefault="0096166C">
            <w:pPr>
              <w:adjustRightInd w:val="0"/>
              <w:snapToGrid w:val="0"/>
              <w:spacing w:line="300" w:lineRule="auto"/>
              <w:rPr>
                <w:rFonts w:asciiTheme="minorEastAsia" w:eastAsiaTheme="minorEastAsia" w:hAnsiTheme="minorEastAsia"/>
              </w:rPr>
            </w:pPr>
            <w:r w:rsidRPr="009802E0">
              <w:rPr>
                <w:rFonts w:asciiTheme="minorEastAsia" w:eastAsiaTheme="minorEastAsia" w:hAnsiTheme="minorEastAsia" w:hint="eastAsia"/>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w:t>
            </w:r>
          </w:p>
        </w:tc>
      </w:tr>
      <w:tr w:rsidR="0096166C" w:rsidRPr="009802E0" w:rsidTr="0096166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166C" w:rsidRPr="009802E0" w:rsidRDefault="0096166C">
            <w:pPr>
              <w:adjustRightInd w:val="0"/>
              <w:snapToGrid w:val="0"/>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96166C" w:rsidRPr="009802E0" w:rsidRDefault="0096166C">
            <w:pPr>
              <w:adjustRightInd w:val="0"/>
              <w:snapToGrid w:val="0"/>
              <w:spacing w:line="300" w:lineRule="auto"/>
              <w:rPr>
                <w:rFonts w:asciiTheme="minorEastAsia" w:eastAsiaTheme="minorEastAsia" w:hAnsiTheme="minorEastAsia"/>
              </w:rPr>
            </w:pPr>
            <w:r w:rsidRPr="009802E0">
              <w:rPr>
                <w:rFonts w:asciiTheme="minorEastAsia" w:eastAsiaTheme="minorEastAsia" w:hAnsiTheme="minorEastAsia" w:hint="eastAsia"/>
              </w:rPr>
              <w:t>金融业</w:t>
            </w:r>
          </w:p>
        </w:tc>
        <w:tc>
          <w:tcPr>
            <w:tcW w:w="2852" w:type="dxa"/>
            <w:tcBorders>
              <w:top w:val="single" w:sz="4" w:space="0" w:color="000000"/>
              <w:left w:val="single" w:sz="4" w:space="0" w:color="auto"/>
              <w:bottom w:val="single" w:sz="4" w:space="0" w:color="000000"/>
              <w:right w:val="single" w:sz="4" w:space="0" w:color="000000"/>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173,259,367.78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1.06</w:t>
            </w:r>
          </w:p>
        </w:tc>
      </w:tr>
      <w:tr w:rsidR="0096166C" w:rsidRPr="009802E0" w:rsidTr="0096166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166C" w:rsidRPr="009802E0" w:rsidRDefault="0096166C">
            <w:pPr>
              <w:adjustRightInd w:val="0"/>
              <w:snapToGrid w:val="0"/>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96166C" w:rsidRPr="009802E0" w:rsidRDefault="0096166C">
            <w:pPr>
              <w:adjustRightInd w:val="0"/>
              <w:snapToGrid w:val="0"/>
              <w:spacing w:line="300" w:lineRule="auto"/>
              <w:rPr>
                <w:rFonts w:asciiTheme="minorEastAsia" w:eastAsiaTheme="minorEastAsia" w:hAnsiTheme="minorEastAsia"/>
              </w:rPr>
            </w:pPr>
            <w:r w:rsidRPr="009802E0">
              <w:rPr>
                <w:rFonts w:asciiTheme="minorEastAsia" w:eastAsiaTheme="minorEastAsia" w:hAnsiTheme="minorEastAsia" w:hint="eastAsia"/>
              </w:rPr>
              <w:t>房地产业</w:t>
            </w:r>
          </w:p>
        </w:tc>
        <w:tc>
          <w:tcPr>
            <w:tcW w:w="2852" w:type="dxa"/>
            <w:tcBorders>
              <w:top w:val="single" w:sz="4" w:space="0" w:color="000000"/>
              <w:left w:val="single" w:sz="4" w:space="0" w:color="auto"/>
              <w:bottom w:val="single" w:sz="4" w:space="0" w:color="000000"/>
              <w:right w:val="single" w:sz="4" w:space="0" w:color="000000"/>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238,424,291.10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1.46</w:t>
            </w:r>
          </w:p>
        </w:tc>
      </w:tr>
      <w:tr w:rsidR="0096166C" w:rsidRPr="009802E0" w:rsidTr="0096166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166C" w:rsidRPr="009802E0" w:rsidRDefault="0096166C">
            <w:pPr>
              <w:adjustRightInd w:val="0"/>
              <w:snapToGrid w:val="0"/>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96166C" w:rsidRPr="009802E0" w:rsidRDefault="0096166C">
            <w:pPr>
              <w:adjustRightInd w:val="0"/>
              <w:snapToGrid w:val="0"/>
              <w:spacing w:line="300" w:lineRule="auto"/>
              <w:rPr>
                <w:rFonts w:asciiTheme="minorEastAsia" w:eastAsiaTheme="minorEastAsia" w:hAnsiTheme="minorEastAsia"/>
              </w:rPr>
            </w:pPr>
            <w:r w:rsidRPr="009802E0">
              <w:rPr>
                <w:rFonts w:asciiTheme="minorEastAsia" w:eastAsiaTheme="minorEastAsia" w:hAnsiTheme="minorEastAsia" w:hint="eastAsia"/>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w:t>
            </w:r>
          </w:p>
        </w:tc>
      </w:tr>
      <w:tr w:rsidR="0096166C" w:rsidRPr="009802E0" w:rsidTr="0096166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166C" w:rsidRPr="009802E0" w:rsidRDefault="0096166C">
            <w:pPr>
              <w:adjustRightInd w:val="0"/>
              <w:snapToGrid w:val="0"/>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96166C" w:rsidRPr="009802E0" w:rsidRDefault="0096166C">
            <w:pPr>
              <w:adjustRightInd w:val="0"/>
              <w:snapToGrid w:val="0"/>
              <w:spacing w:line="300" w:lineRule="auto"/>
              <w:rPr>
                <w:rFonts w:asciiTheme="minorEastAsia" w:eastAsiaTheme="minorEastAsia" w:hAnsiTheme="minorEastAsia"/>
              </w:rPr>
            </w:pPr>
            <w:r w:rsidRPr="009802E0">
              <w:rPr>
                <w:rFonts w:asciiTheme="minorEastAsia" w:eastAsiaTheme="minorEastAsia" w:hAnsiTheme="minorEastAsia" w:hint="eastAsia"/>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156,656,740.45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0.96</w:t>
            </w:r>
          </w:p>
        </w:tc>
      </w:tr>
      <w:tr w:rsidR="0096166C" w:rsidRPr="009802E0" w:rsidTr="0096166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166C" w:rsidRPr="009802E0" w:rsidRDefault="0096166C">
            <w:pPr>
              <w:adjustRightInd w:val="0"/>
              <w:snapToGrid w:val="0"/>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96166C" w:rsidRPr="009802E0" w:rsidRDefault="0096166C">
            <w:pPr>
              <w:adjustRightInd w:val="0"/>
              <w:snapToGrid w:val="0"/>
              <w:spacing w:line="300" w:lineRule="auto"/>
              <w:rPr>
                <w:rFonts w:asciiTheme="minorEastAsia" w:eastAsiaTheme="minorEastAsia" w:hAnsiTheme="minorEastAsia"/>
              </w:rPr>
            </w:pPr>
            <w:r w:rsidRPr="009802E0">
              <w:rPr>
                <w:rFonts w:asciiTheme="minorEastAsia" w:eastAsiaTheme="minorEastAsia" w:hAnsiTheme="minorEastAsia" w:hint="eastAsia"/>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w:t>
            </w:r>
          </w:p>
        </w:tc>
      </w:tr>
      <w:tr w:rsidR="0096166C" w:rsidRPr="009802E0" w:rsidTr="0096166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166C" w:rsidRPr="009802E0" w:rsidRDefault="0096166C">
            <w:pPr>
              <w:adjustRightInd w:val="0"/>
              <w:snapToGrid w:val="0"/>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96166C" w:rsidRPr="009802E0" w:rsidRDefault="0096166C">
            <w:pPr>
              <w:adjustRightInd w:val="0"/>
              <w:snapToGrid w:val="0"/>
              <w:spacing w:line="300" w:lineRule="auto"/>
              <w:rPr>
                <w:rFonts w:asciiTheme="minorEastAsia" w:eastAsiaTheme="minorEastAsia" w:hAnsiTheme="minorEastAsia"/>
              </w:rPr>
            </w:pPr>
            <w:r w:rsidRPr="009802E0">
              <w:rPr>
                <w:rFonts w:asciiTheme="minorEastAsia" w:eastAsiaTheme="minorEastAsia" w:hAnsiTheme="minorEastAsia" w:hint="eastAsia"/>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w:t>
            </w:r>
          </w:p>
        </w:tc>
      </w:tr>
      <w:tr w:rsidR="0096166C" w:rsidRPr="009802E0" w:rsidTr="0096166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166C" w:rsidRPr="009802E0" w:rsidRDefault="0096166C">
            <w:pPr>
              <w:adjustRightInd w:val="0"/>
              <w:snapToGrid w:val="0"/>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96166C" w:rsidRPr="009802E0" w:rsidRDefault="0096166C">
            <w:pPr>
              <w:adjustRightInd w:val="0"/>
              <w:snapToGrid w:val="0"/>
              <w:spacing w:line="300" w:lineRule="auto"/>
              <w:rPr>
                <w:rFonts w:asciiTheme="minorEastAsia" w:eastAsiaTheme="minorEastAsia" w:hAnsiTheme="minorEastAsia"/>
              </w:rPr>
            </w:pPr>
            <w:r w:rsidRPr="009802E0">
              <w:rPr>
                <w:rFonts w:asciiTheme="minorEastAsia" w:eastAsiaTheme="minorEastAsia" w:hAnsiTheme="minorEastAsia" w:hint="eastAsia"/>
              </w:rPr>
              <w:t>教育</w:t>
            </w:r>
          </w:p>
        </w:tc>
        <w:tc>
          <w:tcPr>
            <w:tcW w:w="2852" w:type="dxa"/>
            <w:tcBorders>
              <w:top w:val="single" w:sz="4" w:space="0" w:color="000000"/>
              <w:left w:val="single" w:sz="4" w:space="0" w:color="auto"/>
              <w:bottom w:val="single" w:sz="4" w:space="0" w:color="000000"/>
              <w:right w:val="single" w:sz="4" w:space="0" w:color="000000"/>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w:t>
            </w:r>
          </w:p>
        </w:tc>
      </w:tr>
      <w:tr w:rsidR="0096166C" w:rsidRPr="009802E0" w:rsidTr="0096166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166C" w:rsidRPr="009802E0" w:rsidRDefault="0096166C">
            <w:pPr>
              <w:adjustRightInd w:val="0"/>
              <w:snapToGrid w:val="0"/>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96166C" w:rsidRPr="009802E0" w:rsidRDefault="0096166C">
            <w:pPr>
              <w:adjustRightInd w:val="0"/>
              <w:snapToGrid w:val="0"/>
              <w:spacing w:line="300" w:lineRule="auto"/>
              <w:rPr>
                <w:rFonts w:asciiTheme="minorEastAsia" w:eastAsiaTheme="minorEastAsia" w:hAnsiTheme="minorEastAsia"/>
              </w:rPr>
            </w:pPr>
            <w:r w:rsidRPr="009802E0">
              <w:rPr>
                <w:rFonts w:asciiTheme="minorEastAsia" w:eastAsiaTheme="minorEastAsia" w:hAnsiTheme="minorEastAsia" w:hint="eastAsia"/>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w:t>
            </w:r>
          </w:p>
        </w:tc>
      </w:tr>
      <w:tr w:rsidR="0096166C" w:rsidRPr="009802E0" w:rsidTr="0096166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166C" w:rsidRPr="009802E0" w:rsidRDefault="0096166C">
            <w:pPr>
              <w:adjustRightInd w:val="0"/>
              <w:snapToGrid w:val="0"/>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lastRenderedPageBreak/>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96166C" w:rsidRPr="009802E0" w:rsidRDefault="0096166C">
            <w:pPr>
              <w:adjustRightInd w:val="0"/>
              <w:snapToGrid w:val="0"/>
              <w:spacing w:line="300" w:lineRule="auto"/>
              <w:rPr>
                <w:rFonts w:asciiTheme="minorEastAsia" w:eastAsiaTheme="minorEastAsia" w:hAnsiTheme="minorEastAsia"/>
              </w:rPr>
            </w:pPr>
            <w:r w:rsidRPr="009802E0">
              <w:rPr>
                <w:rFonts w:asciiTheme="minorEastAsia" w:eastAsiaTheme="minorEastAsia" w:hAnsiTheme="minorEastAsia" w:hint="eastAsia"/>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121,210,000.00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0.74</w:t>
            </w:r>
          </w:p>
        </w:tc>
      </w:tr>
      <w:tr w:rsidR="0096166C" w:rsidRPr="009802E0" w:rsidTr="0096166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166C" w:rsidRPr="009802E0" w:rsidRDefault="0096166C">
            <w:pPr>
              <w:adjustRightInd w:val="0"/>
              <w:snapToGrid w:val="0"/>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96166C" w:rsidRPr="009802E0" w:rsidRDefault="0096166C">
            <w:pPr>
              <w:adjustRightInd w:val="0"/>
              <w:snapToGrid w:val="0"/>
              <w:spacing w:line="300" w:lineRule="auto"/>
              <w:rPr>
                <w:rFonts w:asciiTheme="minorEastAsia" w:eastAsiaTheme="minorEastAsia" w:hAnsiTheme="minorEastAsia"/>
              </w:rPr>
            </w:pPr>
            <w:r w:rsidRPr="009802E0">
              <w:rPr>
                <w:rFonts w:asciiTheme="minorEastAsia" w:eastAsiaTheme="minorEastAsia" w:hAnsiTheme="minorEastAsia" w:hint="eastAsia"/>
              </w:rPr>
              <w:t>综合</w:t>
            </w:r>
          </w:p>
        </w:tc>
        <w:tc>
          <w:tcPr>
            <w:tcW w:w="2852" w:type="dxa"/>
            <w:tcBorders>
              <w:top w:val="single" w:sz="4" w:space="0" w:color="000000"/>
              <w:left w:val="single" w:sz="4" w:space="0" w:color="auto"/>
              <w:bottom w:val="single" w:sz="4" w:space="0" w:color="000000"/>
              <w:right w:val="single" w:sz="4" w:space="0" w:color="000000"/>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w:t>
            </w:r>
          </w:p>
        </w:tc>
      </w:tr>
      <w:tr w:rsidR="0096166C" w:rsidRPr="009802E0" w:rsidTr="0096166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6166C" w:rsidRPr="009802E0" w:rsidRDefault="0096166C">
            <w:pPr>
              <w:adjustRightInd w:val="0"/>
              <w:snapToGrid w:val="0"/>
              <w:spacing w:line="300" w:lineRule="auto"/>
              <w:jc w:val="center"/>
              <w:rPr>
                <w:rFonts w:asciiTheme="minorEastAsia" w:eastAsiaTheme="minorEastAsia" w:hAnsiTheme="minorEastAsia"/>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96166C" w:rsidRPr="009802E0" w:rsidRDefault="0096166C">
            <w:pPr>
              <w:adjustRightInd w:val="0"/>
              <w:snapToGrid w:val="0"/>
              <w:spacing w:line="300" w:lineRule="auto"/>
              <w:rPr>
                <w:rFonts w:asciiTheme="minorEastAsia" w:eastAsiaTheme="minorEastAsia" w:hAnsiTheme="minorEastAsia"/>
              </w:rPr>
            </w:pPr>
            <w:r w:rsidRPr="009802E0">
              <w:rPr>
                <w:rFonts w:asciiTheme="minorEastAsia" w:eastAsiaTheme="minorEastAsia" w:hAnsiTheme="minorEastAsia" w:hint="eastAsia"/>
              </w:rPr>
              <w:t>合计</w:t>
            </w:r>
          </w:p>
        </w:tc>
        <w:tc>
          <w:tcPr>
            <w:tcW w:w="2852" w:type="dxa"/>
            <w:tcBorders>
              <w:top w:val="single" w:sz="4" w:space="0" w:color="000000"/>
              <w:left w:val="single" w:sz="4" w:space="0" w:color="auto"/>
              <w:bottom w:val="single" w:sz="4" w:space="0" w:color="000000"/>
              <w:right w:val="single" w:sz="4" w:space="0" w:color="000000"/>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2,994,031,476.64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18.33</w:t>
            </w:r>
          </w:p>
        </w:tc>
      </w:tr>
    </w:tbl>
    <w:p w:rsidR="0096166C" w:rsidRPr="009802E0" w:rsidRDefault="0096166C" w:rsidP="009802E0">
      <w:pPr>
        <w:pStyle w:val="af6"/>
        <w:adjustRightInd w:val="0"/>
        <w:snapToGrid w:val="0"/>
        <w:spacing w:line="360" w:lineRule="auto"/>
        <w:ind w:firstLineChars="200" w:firstLine="420"/>
        <w:rPr>
          <w:rFonts w:asciiTheme="minorEastAsia" w:eastAsiaTheme="minorEastAsia" w:hAnsiTheme="minorEastAsia"/>
          <w:sz w:val="21"/>
          <w:szCs w:val="21"/>
        </w:rPr>
      </w:pPr>
      <w:r w:rsidRPr="009802E0">
        <w:rPr>
          <w:rFonts w:asciiTheme="minorEastAsia" w:eastAsiaTheme="minorEastAsia" w:hAnsiTheme="minorEastAsia" w:hint="eastAsia"/>
          <w:sz w:val="21"/>
          <w:szCs w:val="21"/>
        </w:rPr>
        <w:t>3、报告期末按公允价值占基金资产净值比例大小排序的前十名股票投资明细</w:t>
      </w:r>
    </w:p>
    <w:tbl>
      <w:tblPr>
        <w:tblW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7"/>
        <w:gridCol w:w="1151"/>
        <w:gridCol w:w="1275"/>
        <w:gridCol w:w="1400"/>
        <w:gridCol w:w="2023"/>
        <w:gridCol w:w="1399"/>
      </w:tblGrid>
      <w:tr w:rsidR="0096166C" w:rsidRPr="009802E0" w:rsidTr="0096166C">
        <w:tc>
          <w:tcPr>
            <w:tcW w:w="81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center"/>
              <w:rPr>
                <w:rFonts w:asciiTheme="minorEastAsia" w:eastAsiaTheme="minorEastAsia" w:hAnsiTheme="minorEastAsia"/>
              </w:rPr>
            </w:pPr>
            <w:r w:rsidRPr="009802E0">
              <w:rPr>
                <w:rFonts w:asciiTheme="minorEastAsia" w:eastAsiaTheme="minorEastAsia" w:hAnsiTheme="minorEastAsia" w:hint="eastAsia"/>
              </w:rPr>
              <w:t>序号</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center"/>
              <w:rPr>
                <w:rFonts w:asciiTheme="minorEastAsia" w:eastAsiaTheme="minorEastAsia" w:hAnsiTheme="minorEastAsia" w:cstheme="minorBidi"/>
              </w:rPr>
            </w:pPr>
            <w:r w:rsidRPr="009802E0">
              <w:rPr>
                <w:rFonts w:asciiTheme="minorEastAsia" w:eastAsiaTheme="minorEastAsia" w:hAnsiTheme="minorEastAsia" w:hint="eastAsia"/>
              </w:rPr>
              <w:t>股票代码</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center"/>
              <w:rPr>
                <w:rFonts w:asciiTheme="minorEastAsia" w:eastAsiaTheme="minorEastAsia" w:hAnsiTheme="minorEastAsia"/>
              </w:rPr>
            </w:pPr>
            <w:r w:rsidRPr="009802E0">
              <w:rPr>
                <w:rFonts w:asciiTheme="minorEastAsia" w:eastAsiaTheme="minorEastAsia" w:hAnsiTheme="minorEastAsia" w:hint="eastAsia"/>
              </w:rPr>
              <w:t>股票名称</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center"/>
              <w:rPr>
                <w:rFonts w:asciiTheme="minorEastAsia" w:eastAsiaTheme="minorEastAsia" w:hAnsiTheme="minorEastAsia"/>
              </w:rPr>
            </w:pPr>
            <w:r w:rsidRPr="009802E0">
              <w:rPr>
                <w:rFonts w:asciiTheme="minorEastAsia" w:eastAsiaTheme="minorEastAsia" w:hAnsiTheme="minorEastAsia" w:hint="eastAsia"/>
              </w:rPr>
              <w:t>数量(股)</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autoSpaceDE w:val="0"/>
              <w:autoSpaceDN w:val="0"/>
              <w:adjustRightInd w:val="0"/>
              <w:spacing w:before="29" w:line="300" w:lineRule="auto"/>
              <w:ind w:left="17"/>
              <w:jc w:val="center"/>
              <w:rPr>
                <w:rFonts w:asciiTheme="minorEastAsia" w:eastAsiaTheme="minorEastAsia" w:hAnsiTheme="minorEastAsia"/>
              </w:rPr>
            </w:pPr>
            <w:r w:rsidRPr="009802E0">
              <w:rPr>
                <w:rFonts w:asciiTheme="minorEastAsia" w:eastAsiaTheme="minorEastAsia" w:hAnsiTheme="minorEastAsia" w:hint="eastAsia"/>
              </w:rPr>
              <w:t>公允价值(元)</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center"/>
              <w:rPr>
                <w:rFonts w:asciiTheme="minorEastAsia" w:eastAsiaTheme="minorEastAsia" w:hAnsiTheme="minorEastAsia"/>
              </w:rPr>
            </w:pPr>
            <w:r w:rsidRPr="009802E0">
              <w:rPr>
                <w:rFonts w:asciiTheme="minorEastAsia" w:eastAsiaTheme="minorEastAsia" w:hAnsiTheme="minorEastAsia" w:hint="eastAsia"/>
              </w:rPr>
              <w:t>占基金资产净值比例(％)</w:t>
            </w:r>
          </w:p>
        </w:tc>
      </w:tr>
      <w:tr w:rsidR="0096166C" w:rsidRPr="009802E0" w:rsidTr="0096166C">
        <w:tc>
          <w:tcPr>
            <w:tcW w:w="81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000002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万科A</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9,295,294</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238,424,291.10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1.46</w:t>
            </w:r>
          </w:p>
        </w:tc>
      </w:tr>
      <w:tr w:rsidR="0096166C" w:rsidRPr="009802E0" w:rsidTr="0096166C">
        <w:tc>
          <w:tcPr>
            <w:tcW w:w="81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000651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格力电器</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4,541,692</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237,076,322.40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1.45</w:t>
            </w:r>
          </w:p>
        </w:tc>
      </w:tr>
      <w:tr w:rsidR="0096166C" w:rsidRPr="009802E0" w:rsidTr="0096166C">
        <w:tc>
          <w:tcPr>
            <w:tcW w:w="81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600486</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扬农化工</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2,643,642</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178,207,907.22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1.09</w:t>
            </w:r>
          </w:p>
        </w:tc>
      </w:tr>
      <w:tr w:rsidR="0096166C" w:rsidRPr="009802E0" w:rsidTr="0096166C">
        <w:tc>
          <w:tcPr>
            <w:tcW w:w="81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601318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中国平安</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2,504,834</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173,259,367.78</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1.06</w:t>
            </w:r>
          </w:p>
        </w:tc>
      </w:tr>
      <w:tr w:rsidR="0096166C" w:rsidRPr="009802E0" w:rsidTr="0096166C">
        <w:tc>
          <w:tcPr>
            <w:tcW w:w="81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300628</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亿联网络</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1,933,305</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157,699,688.85</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0.97</w:t>
            </w:r>
          </w:p>
        </w:tc>
      </w:tr>
      <w:tr w:rsidR="0096166C" w:rsidRPr="009802E0" w:rsidTr="0096166C">
        <w:tc>
          <w:tcPr>
            <w:tcW w:w="81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603259</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药明康德</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1,731,205</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156,656,740.45</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0.96</w:t>
            </w:r>
          </w:p>
        </w:tc>
      </w:tr>
      <w:tr w:rsidR="0096166C" w:rsidRPr="009802E0" w:rsidTr="0096166C">
        <w:tc>
          <w:tcPr>
            <w:tcW w:w="81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601012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隆基股份</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6,038,129</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149,987,124.36</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0.92</w:t>
            </w:r>
          </w:p>
        </w:tc>
      </w:tr>
      <w:tr w:rsidR="0096166C" w:rsidRPr="009802E0" w:rsidTr="0096166C">
        <w:tc>
          <w:tcPr>
            <w:tcW w:w="81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000661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长春高新</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266,954</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146,290,792.00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0.90</w:t>
            </w:r>
          </w:p>
        </w:tc>
      </w:tr>
      <w:tr w:rsidR="0096166C" w:rsidRPr="009802E0" w:rsidTr="0096166C">
        <w:tc>
          <w:tcPr>
            <w:tcW w:w="81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002202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金风科技</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13,778,724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130,897,878.00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0.80</w:t>
            </w:r>
          </w:p>
        </w:tc>
      </w:tr>
      <w:tr w:rsidR="0096166C" w:rsidRPr="009802E0" w:rsidTr="0096166C">
        <w:tc>
          <w:tcPr>
            <w:tcW w:w="81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600703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三安光电</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6,559,400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125,612,510.00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0.77</w:t>
            </w:r>
          </w:p>
        </w:tc>
      </w:tr>
    </w:tbl>
    <w:p w:rsidR="0096166C" w:rsidRPr="009802E0" w:rsidRDefault="0096166C" w:rsidP="009802E0">
      <w:pPr>
        <w:pStyle w:val="af6"/>
        <w:adjustRightInd w:val="0"/>
        <w:snapToGrid w:val="0"/>
        <w:spacing w:line="360" w:lineRule="auto"/>
        <w:ind w:firstLineChars="200" w:firstLine="420"/>
        <w:rPr>
          <w:rFonts w:asciiTheme="minorEastAsia" w:eastAsiaTheme="minorEastAsia" w:hAnsiTheme="minorEastAsia"/>
          <w:sz w:val="21"/>
          <w:szCs w:val="21"/>
        </w:rPr>
      </w:pPr>
      <w:r w:rsidRPr="009802E0">
        <w:rPr>
          <w:rFonts w:asciiTheme="minorEastAsia" w:eastAsiaTheme="minorEastAsia" w:hAnsiTheme="minorEastAsia" w:hint="eastAsia"/>
          <w:sz w:val="21"/>
          <w:szCs w:val="21"/>
        </w:rPr>
        <w:t>4、报告期末按债券品种分类的债券投资组合</w:t>
      </w:r>
    </w:p>
    <w:tbl>
      <w:tblPr>
        <w:tblW w:w="7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3047"/>
        <w:gridCol w:w="2652"/>
        <w:gridCol w:w="1519"/>
      </w:tblGrid>
      <w:tr w:rsidR="0096166C" w:rsidRPr="009802E0" w:rsidTr="0096166C">
        <w:tc>
          <w:tcPr>
            <w:tcW w:w="81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center"/>
              <w:rPr>
                <w:rFonts w:asciiTheme="minorEastAsia" w:eastAsiaTheme="minorEastAsia" w:hAnsiTheme="minorEastAsia" w:cstheme="minorBidi"/>
              </w:rPr>
            </w:pPr>
            <w:r w:rsidRPr="009802E0">
              <w:rPr>
                <w:rFonts w:asciiTheme="minorEastAsia" w:eastAsiaTheme="minorEastAsia" w:hAnsiTheme="minorEastAsia" w:hint="eastAsia"/>
              </w:rPr>
              <w:t>序号</w:t>
            </w:r>
          </w:p>
        </w:tc>
        <w:tc>
          <w:tcPr>
            <w:tcW w:w="3260"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center"/>
              <w:rPr>
                <w:rFonts w:asciiTheme="minorEastAsia" w:eastAsiaTheme="minorEastAsia" w:hAnsiTheme="minorEastAsia"/>
              </w:rPr>
            </w:pPr>
            <w:r w:rsidRPr="009802E0">
              <w:rPr>
                <w:rFonts w:asciiTheme="minorEastAsia" w:eastAsiaTheme="minorEastAsia" w:hAnsiTheme="minorEastAsia" w:hint="eastAsia"/>
              </w:rPr>
              <w:t>债券品种</w:t>
            </w:r>
          </w:p>
        </w:tc>
        <w:tc>
          <w:tcPr>
            <w:tcW w:w="2835"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center"/>
              <w:rPr>
                <w:rFonts w:asciiTheme="minorEastAsia" w:eastAsiaTheme="minorEastAsia" w:hAnsiTheme="minorEastAsia"/>
              </w:rPr>
            </w:pPr>
            <w:r w:rsidRPr="009802E0">
              <w:rPr>
                <w:rFonts w:asciiTheme="minorEastAsia" w:eastAsiaTheme="minorEastAsia" w:hAnsiTheme="minorEastAsia" w:hint="eastAsia"/>
              </w:rPr>
              <w:t>公允价值(元)</w:t>
            </w:r>
          </w:p>
        </w:tc>
        <w:tc>
          <w:tcPr>
            <w:tcW w:w="1616"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center"/>
              <w:rPr>
                <w:rFonts w:asciiTheme="minorEastAsia" w:eastAsiaTheme="minorEastAsia" w:hAnsiTheme="minorEastAsia"/>
              </w:rPr>
            </w:pPr>
            <w:r w:rsidRPr="009802E0">
              <w:rPr>
                <w:rFonts w:asciiTheme="minorEastAsia" w:eastAsiaTheme="minorEastAsia" w:hAnsiTheme="minorEastAsia" w:hint="eastAsia"/>
              </w:rPr>
              <w:t>占基金资产净值比例(％)</w:t>
            </w:r>
          </w:p>
        </w:tc>
      </w:tr>
      <w:tr w:rsidR="0096166C" w:rsidRPr="009802E0" w:rsidTr="0096166C">
        <w:tc>
          <w:tcPr>
            <w:tcW w:w="81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center"/>
              <w:rPr>
                <w:rFonts w:asciiTheme="minorEastAsia" w:eastAsiaTheme="minorEastAsia" w:hAnsiTheme="minorEastAsia"/>
              </w:rPr>
            </w:pPr>
            <w:r w:rsidRPr="009802E0">
              <w:rPr>
                <w:rFonts w:asciiTheme="minorEastAsia" w:eastAsiaTheme="minorEastAsia" w:hAnsiTheme="minorEastAsia" w:hint="eastAsia"/>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left"/>
              <w:rPr>
                <w:rFonts w:asciiTheme="minorEastAsia" w:eastAsiaTheme="minorEastAsia" w:hAnsiTheme="minorEastAsia"/>
              </w:rPr>
            </w:pPr>
            <w:r w:rsidRPr="009802E0">
              <w:rPr>
                <w:rFonts w:asciiTheme="minorEastAsia" w:eastAsiaTheme="minorEastAsia" w:hAnsiTheme="minorEastAsia" w:hint="eastAsia"/>
              </w:rPr>
              <w:t>国家债券</w:t>
            </w:r>
          </w:p>
        </w:tc>
        <w:tc>
          <w:tcPr>
            <w:tcW w:w="2835"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right"/>
              <w:rPr>
                <w:rFonts w:asciiTheme="minorEastAsia" w:eastAsiaTheme="minorEastAsia" w:hAnsiTheme="minorEastAsia"/>
              </w:rPr>
            </w:pPr>
            <w:r w:rsidRPr="009802E0">
              <w:rPr>
                <w:rFonts w:asciiTheme="minorEastAsia" w:eastAsiaTheme="minorEastAsia" w:hAnsiTheme="minorEastAsia" w:hint="eastAsia"/>
              </w:rPr>
              <w:t>258,625,000.00</w:t>
            </w:r>
          </w:p>
        </w:tc>
        <w:tc>
          <w:tcPr>
            <w:tcW w:w="1616"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right"/>
              <w:rPr>
                <w:rFonts w:asciiTheme="minorEastAsia" w:eastAsiaTheme="minorEastAsia" w:hAnsiTheme="minorEastAsia"/>
              </w:rPr>
            </w:pPr>
            <w:r w:rsidRPr="009802E0">
              <w:rPr>
                <w:rFonts w:asciiTheme="minorEastAsia" w:eastAsiaTheme="minorEastAsia" w:hAnsiTheme="minorEastAsia" w:hint="eastAsia"/>
              </w:rPr>
              <w:t>1.58</w:t>
            </w:r>
          </w:p>
        </w:tc>
      </w:tr>
      <w:tr w:rsidR="0096166C" w:rsidRPr="009802E0" w:rsidTr="0096166C">
        <w:tc>
          <w:tcPr>
            <w:tcW w:w="81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center"/>
              <w:rPr>
                <w:rFonts w:asciiTheme="minorEastAsia" w:eastAsiaTheme="minorEastAsia" w:hAnsiTheme="minorEastAsia"/>
              </w:rPr>
            </w:pPr>
            <w:r w:rsidRPr="009802E0">
              <w:rPr>
                <w:rFonts w:asciiTheme="minorEastAsia" w:eastAsiaTheme="minorEastAsia" w:hAnsiTheme="minorEastAsia" w:hint="eastAsia"/>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left"/>
              <w:rPr>
                <w:rFonts w:asciiTheme="minorEastAsia" w:eastAsiaTheme="minorEastAsia" w:hAnsiTheme="minorEastAsia"/>
              </w:rPr>
            </w:pPr>
            <w:r w:rsidRPr="009802E0">
              <w:rPr>
                <w:rFonts w:asciiTheme="minorEastAsia" w:eastAsiaTheme="minorEastAsia" w:hAnsiTheme="minorEastAsia" w:hint="eastAsia"/>
              </w:rPr>
              <w:t>央行票据</w:t>
            </w:r>
          </w:p>
        </w:tc>
        <w:tc>
          <w:tcPr>
            <w:tcW w:w="2835"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right"/>
              <w:rPr>
                <w:rFonts w:asciiTheme="minorEastAsia" w:eastAsiaTheme="minorEastAsia" w:hAnsiTheme="minorEastAsia"/>
              </w:rPr>
            </w:pPr>
            <w:r w:rsidRPr="009802E0">
              <w:rPr>
                <w:rFonts w:asciiTheme="minorEastAsia" w:eastAsiaTheme="minorEastAsia" w:hAnsiTheme="minorEastAsia" w:hint="eastAsia"/>
              </w:rPr>
              <w:t>-</w:t>
            </w:r>
          </w:p>
        </w:tc>
        <w:tc>
          <w:tcPr>
            <w:tcW w:w="1616"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right"/>
              <w:rPr>
                <w:rFonts w:asciiTheme="minorEastAsia" w:eastAsiaTheme="minorEastAsia" w:hAnsiTheme="minorEastAsia"/>
              </w:rPr>
            </w:pPr>
            <w:r w:rsidRPr="009802E0">
              <w:rPr>
                <w:rFonts w:asciiTheme="minorEastAsia" w:eastAsiaTheme="minorEastAsia" w:hAnsiTheme="minorEastAsia" w:hint="eastAsia"/>
              </w:rPr>
              <w:t>-</w:t>
            </w:r>
          </w:p>
        </w:tc>
      </w:tr>
      <w:tr w:rsidR="0096166C" w:rsidRPr="009802E0" w:rsidTr="0096166C">
        <w:tc>
          <w:tcPr>
            <w:tcW w:w="81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center"/>
              <w:rPr>
                <w:rFonts w:asciiTheme="minorEastAsia" w:eastAsiaTheme="minorEastAsia" w:hAnsiTheme="minorEastAsia"/>
              </w:rPr>
            </w:pPr>
            <w:r w:rsidRPr="009802E0">
              <w:rPr>
                <w:rFonts w:asciiTheme="minorEastAsia" w:eastAsiaTheme="minorEastAsia" w:hAnsiTheme="minorEastAsia" w:hint="eastAsia"/>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left"/>
              <w:rPr>
                <w:rFonts w:asciiTheme="minorEastAsia" w:eastAsiaTheme="minorEastAsia" w:hAnsiTheme="minorEastAsia"/>
              </w:rPr>
            </w:pPr>
            <w:r w:rsidRPr="009802E0">
              <w:rPr>
                <w:rFonts w:asciiTheme="minorEastAsia" w:eastAsiaTheme="minorEastAsia" w:hAnsiTheme="minorEastAsia" w:hint="eastAsia"/>
              </w:rPr>
              <w:t>金融债券</w:t>
            </w:r>
          </w:p>
        </w:tc>
        <w:tc>
          <w:tcPr>
            <w:tcW w:w="2835"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right"/>
              <w:rPr>
                <w:rFonts w:asciiTheme="minorEastAsia" w:eastAsiaTheme="minorEastAsia" w:hAnsiTheme="minorEastAsia"/>
              </w:rPr>
            </w:pPr>
            <w:r w:rsidRPr="009802E0">
              <w:rPr>
                <w:rFonts w:asciiTheme="minorEastAsia" w:eastAsiaTheme="minorEastAsia" w:hAnsiTheme="minorEastAsia" w:hint="eastAsia"/>
              </w:rPr>
              <w:t>3,161,582,000.00</w:t>
            </w:r>
          </w:p>
        </w:tc>
        <w:tc>
          <w:tcPr>
            <w:tcW w:w="1616"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right"/>
              <w:rPr>
                <w:rFonts w:asciiTheme="minorEastAsia" w:eastAsiaTheme="minorEastAsia" w:hAnsiTheme="minorEastAsia"/>
              </w:rPr>
            </w:pPr>
            <w:r w:rsidRPr="009802E0">
              <w:rPr>
                <w:rFonts w:asciiTheme="minorEastAsia" w:eastAsiaTheme="minorEastAsia" w:hAnsiTheme="minorEastAsia" w:hint="eastAsia"/>
              </w:rPr>
              <w:t>19.36</w:t>
            </w:r>
          </w:p>
        </w:tc>
      </w:tr>
      <w:tr w:rsidR="0096166C" w:rsidRPr="009802E0" w:rsidTr="0096166C">
        <w:tc>
          <w:tcPr>
            <w:tcW w:w="817"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pPr>
              <w:spacing w:before="29" w:line="300" w:lineRule="auto"/>
              <w:ind w:left="17"/>
              <w:jc w:val="center"/>
              <w:rPr>
                <w:rFonts w:asciiTheme="minorEastAsia" w:eastAsiaTheme="minorEastAsia" w:hAnsiTheme="minorEastAsi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left"/>
              <w:rPr>
                <w:rFonts w:asciiTheme="minorEastAsia" w:eastAsiaTheme="minorEastAsia" w:hAnsiTheme="minorEastAsia"/>
              </w:rPr>
            </w:pPr>
            <w:r w:rsidRPr="009802E0">
              <w:rPr>
                <w:rFonts w:asciiTheme="minorEastAsia" w:eastAsiaTheme="minorEastAsia" w:hAnsiTheme="minorEastAsia" w:hint="eastAsia"/>
              </w:rPr>
              <w:t>其中：政策性金融债</w:t>
            </w:r>
          </w:p>
        </w:tc>
        <w:tc>
          <w:tcPr>
            <w:tcW w:w="2835"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right"/>
              <w:rPr>
                <w:rFonts w:asciiTheme="minorEastAsia" w:eastAsiaTheme="minorEastAsia" w:hAnsiTheme="minorEastAsia"/>
              </w:rPr>
            </w:pPr>
            <w:r w:rsidRPr="009802E0">
              <w:rPr>
                <w:rFonts w:asciiTheme="minorEastAsia" w:eastAsiaTheme="minorEastAsia" w:hAnsiTheme="minorEastAsia" w:hint="eastAsia"/>
              </w:rPr>
              <w:t>3,161,582,000.00</w:t>
            </w:r>
          </w:p>
        </w:tc>
        <w:tc>
          <w:tcPr>
            <w:tcW w:w="1616"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right"/>
              <w:rPr>
                <w:rFonts w:asciiTheme="minorEastAsia" w:eastAsiaTheme="minorEastAsia" w:hAnsiTheme="minorEastAsia"/>
              </w:rPr>
            </w:pPr>
            <w:r w:rsidRPr="009802E0">
              <w:rPr>
                <w:rFonts w:asciiTheme="minorEastAsia" w:eastAsiaTheme="minorEastAsia" w:hAnsiTheme="minorEastAsia" w:hint="eastAsia"/>
              </w:rPr>
              <w:t>19.36</w:t>
            </w:r>
          </w:p>
        </w:tc>
      </w:tr>
      <w:tr w:rsidR="0096166C" w:rsidRPr="009802E0" w:rsidTr="0096166C">
        <w:tc>
          <w:tcPr>
            <w:tcW w:w="81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center"/>
              <w:rPr>
                <w:rFonts w:asciiTheme="minorEastAsia" w:eastAsiaTheme="minorEastAsia" w:hAnsiTheme="minorEastAsia"/>
              </w:rPr>
            </w:pPr>
            <w:r w:rsidRPr="009802E0">
              <w:rPr>
                <w:rFonts w:asciiTheme="minorEastAsia" w:eastAsiaTheme="minorEastAsia" w:hAnsiTheme="minorEastAsia" w:hint="eastAsia"/>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left"/>
              <w:rPr>
                <w:rFonts w:asciiTheme="minorEastAsia" w:eastAsiaTheme="minorEastAsia" w:hAnsiTheme="minorEastAsia"/>
              </w:rPr>
            </w:pPr>
            <w:r w:rsidRPr="009802E0">
              <w:rPr>
                <w:rFonts w:asciiTheme="minorEastAsia" w:eastAsiaTheme="minorEastAsia" w:hAnsiTheme="minorEastAsia" w:hint="eastAsia"/>
              </w:rPr>
              <w:t>企业债券</w:t>
            </w:r>
          </w:p>
        </w:tc>
        <w:tc>
          <w:tcPr>
            <w:tcW w:w="2835"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right"/>
              <w:rPr>
                <w:rFonts w:asciiTheme="minorEastAsia" w:eastAsiaTheme="minorEastAsia" w:hAnsiTheme="minorEastAsia"/>
              </w:rPr>
            </w:pPr>
            <w:r w:rsidRPr="009802E0">
              <w:rPr>
                <w:rFonts w:asciiTheme="minorEastAsia" w:eastAsiaTheme="minorEastAsia" w:hAnsiTheme="minorEastAsia" w:hint="eastAsia"/>
              </w:rPr>
              <w:t>3,330,876,471.90</w:t>
            </w:r>
          </w:p>
        </w:tc>
        <w:tc>
          <w:tcPr>
            <w:tcW w:w="1616"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right"/>
              <w:rPr>
                <w:rFonts w:asciiTheme="minorEastAsia" w:eastAsiaTheme="minorEastAsia" w:hAnsiTheme="minorEastAsia"/>
              </w:rPr>
            </w:pPr>
            <w:r w:rsidRPr="009802E0">
              <w:rPr>
                <w:rFonts w:asciiTheme="minorEastAsia" w:eastAsiaTheme="minorEastAsia" w:hAnsiTheme="minorEastAsia" w:hint="eastAsia"/>
              </w:rPr>
              <w:t>20.39</w:t>
            </w:r>
          </w:p>
        </w:tc>
      </w:tr>
      <w:tr w:rsidR="0096166C" w:rsidRPr="009802E0" w:rsidTr="0096166C">
        <w:tc>
          <w:tcPr>
            <w:tcW w:w="81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center"/>
              <w:rPr>
                <w:rFonts w:asciiTheme="minorEastAsia" w:eastAsiaTheme="minorEastAsia" w:hAnsiTheme="minorEastAsia"/>
              </w:rPr>
            </w:pPr>
            <w:r w:rsidRPr="009802E0">
              <w:rPr>
                <w:rFonts w:asciiTheme="minorEastAsia" w:eastAsiaTheme="minorEastAsia" w:hAnsiTheme="minorEastAsia" w:hint="eastAsia"/>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left"/>
              <w:rPr>
                <w:rFonts w:asciiTheme="minorEastAsia" w:eastAsiaTheme="minorEastAsia" w:hAnsiTheme="minorEastAsia"/>
              </w:rPr>
            </w:pPr>
            <w:r w:rsidRPr="009802E0">
              <w:rPr>
                <w:rFonts w:asciiTheme="minorEastAsia" w:eastAsiaTheme="minorEastAsia" w:hAnsiTheme="minorEastAsia" w:hint="eastAsia"/>
              </w:rPr>
              <w:t>企业短期融资券</w:t>
            </w:r>
          </w:p>
        </w:tc>
        <w:tc>
          <w:tcPr>
            <w:tcW w:w="2835"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right"/>
              <w:rPr>
                <w:rFonts w:asciiTheme="minorEastAsia" w:eastAsiaTheme="minorEastAsia" w:hAnsiTheme="minorEastAsia"/>
              </w:rPr>
            </w:pPr>
            <w:r w:rsidRPr="009802E0">
              <w:rPr>
                <w:rFonts w:asciiTheme="minorEastAsia" w:eastAsiaTheme="minorEastAsia" w:hAnsiTheme="minorEastAsia" w:hint="eastAsia"/>
              </w:rPr>
              <w:t>90,219,000.00</w:t>
            </w:r>
          </w:p>
        </w:tc>
        <w:tc>
          <w:tcPr>
            <w:tcW w:w="1616"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right"/>
              <w:rPr>
                <w:rFonts w:asciiTheme="minorEastAsia" w:eastAsiaTheme="minorEastAsia" w:hAnsiTheme="minorEastAsia"/>
              </w:rPr>
            </w:pPr>
            <w:r w:rsidRPr="009802E0">
              <w:rPr>
                <w:rFonts w:asciiTheme="minorEastAsia" w:eastAsiaTheme="minorEastAsia" w:hAnsiTheme="minorEastAsia" w:hint="eastAsia"/>
              </w:rPr>
              <w:t>0.55</w:t>
            </w:r>
          </w:p>
        </w:tc>
      </w:tr>
      <w:tr w:rsidR="0096166C" w:rsidRPr="009802E0" w:rsidTr="0096166C">
        <w:tc>
          <w:tcPr>
            <w:tcW w:w="81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center"/>
              <w:rPr>
                <w:rFonts w:asciiTheme="minorEastAsia" w:eastAsiaTheme="minorEastAsia" w:hAnsiTheme="minorEastAsia"/>
              </w:rPr>
            </w:pPr>
            <w:r w:rsidRPr="009802E0">
              <w:rPr>
                <w:rFonts w:asciiTheme="minorEastAsia" w:eastAsiaTheme="minorEastAsia" w:hAnsiTheme="minorEastAsia" w:hint="eastAsia"/>
              </w:rPr>
              <w:t>6</w:t>
            </w:r>
          </w:p>
        </w:tc>
        <w:tc>
          <w:tcPr>
            <w:tcW w:w="3260"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left"/>
              <w:rPr>
                <w:rFonts w:asciiTheme="minorEastAsia" w:eastAsiaTheme="minorEastAsia" w:hAnsiTheme="minorEastAsia"/>
              </w:rPr>
            </w:pPr>
            <w:r w:rsidRPr="009802E0">
              <w:rPr>
                <w:rFonts w:asciiTheme="minorEastAsia" w:eastAsiaTheme="minorEastAsia" w:hAnsiTheme="minorEastAsia" w:hint="eastAsia"/>
              </w:rPr>
              <w:t>中期票据</w:t>
            </w:r>
          </w:p>
        </w:tc>
        <w:tc>
          <w:tcPr>
            <w:tcW w:w="2835"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right"/>
              <w:rPr>
                <w:rFonts w:asciiTheme="minorEastAsia" w:eastAsiaTheme="minorEastAsia" w:hAnsiTheme="minorEastAsia"/>
              </w:rPr>
            </w:pPr>
            <w:r w:rsidRPr="009802E0">
              <w:rPr>
                <w:rFonts w:asciiTheme="minorEastAsia" w:eastAsiaTheme="minorEastAsia" w:hAnsiTheme="minorEastAsia" w:hint="eastAsia"/>
              </w:rPr>
              <w:t>3,614,661,900.00</w:t>
            </w:r>
          </w:p>
        </w:tc>
        <w:tc>
          <w:tcPr>
            <w:tcW w:w="1616"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right"/>
              <w:rPr>
                <w:rFonts w:asciiTheme="minorEastAsia" w:eastAsiaTheme="minorEastAsia" w:hAnsiTheme="minorEastAsia"/>
              </w:rPr>
            </w:pPr>
            <w:r w:rsidRPr="009802E0">
              <w:rPr>
                <w:rFonts w:asciiTheme="minorEastAsia" w:eastAsiaTheme="minorEastAsia" w:hAnsiTheme="minorEastAsia" w:hint="eastAsia"/>
              </w:rPr>
              <w:t>22.13</w:t>
            </w:r>
          </w:p>
        </w:tc>
      </w:tr>
      <w:tr w:rsidR="0096166C" w:rsidRPr="009802E0" w:rsidTr="0096166C">
        <w:tc>
          <w:tcPr>
            <w:tcW w:w="81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center"/>
              <w:rPr>
                <w:rFonts w:asciiTheme="minorEastAsia" w:eastAsiaTheme="minorEastAsia" w:hAnsiTheme="minorEastAsia"/>
              </w:rPr>
            </w:pPr>
            <w:r w:rsidRPr="009802E0">
              <w:rPr>
                <w:rFonts w:asciiTheme="minorEastAsia" w:eastAsiaTheme="minorEastAsia" w:hAnsiTheme="minorEastAsia" w:hint="eastAsia"/>
              </w:rPr>
              <w:t>7</w:t>
            </w:r>
          </w:p>
        </w:tc>
        <w:tc>
          <w:tcPr>
            <w:tcW w:w="3260"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left"/>
              <w:rPr>
                <w:rFonts w:asciiTheme="minorEastAsia" w:eastAsiaTheme="minorEastAsia" w:hAnsiTheme="minorEastAsia"/>
              </w:rPr>
            </w:pPr>
            <w:r w:rsidRPr="009802E0">
              <w:rPr>
                <w:rFonts w:asciiTheme="minorEastAsia" w:eastAsiaTheme="minorEastAsia" w:hAnsiTheme="minorEastAsia" w:hint="eastAsia"/>
              </w:rPr>
              <w:t>可转债（可交换债）</w:t>
            </w:r>
          </w:p>
        </w:tc>
        <w:tc>
          <w:tcPr>
            <w:tcW w:w="2835"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right"/>
              <w:rPr>
                <w:rFonts w:asciiTheme="minorEastAsia" w:eastAsiaTheme="minorEastAsia" w:hAnsiTheme="minorEastAsia"/>
              </w:rPr>
            </w:pPr>
            <w:r w:rsidRPr="009802E0">
              <w:rPr>
                <w:rFonts w:asciiTheme="minorEastAsia" w:eastAsiaTheme="minorEastAsia" w:hAnsiTheme="minorEastAsia" w:hint="eastAsia"/>
              </w:rPr>
              <w:t>8,242,034,957.46</w:t>
            </w:r>
          </w:p>
        </w:tc>
        <w:tc>
          <w:tcPr>
            <w:tcW w:w="1616"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right"/>
              <w:rPr>
                <w:rFonts w:asciiTheme="minorEastAsia" w:eastAsiaTheme="minorEastAsia" w:hAnsiTheme="minorEastAsia"/>
              </w:rPr>
            </w:pPr>
            <w:r w:rsidRPr="009802E0">
              <w:rPr>
                <w:rFonts w:asciiTheme="minorEastAsia" w:eastAsiaTheme="minorEastAsia" w:hAnsiTheme="minorEastAsia" w:hint="eastAsia"/>
              </w:rPr>
              <w:t>50.46</w:t>
            </w:r>
          </w:p>
        </w:tc>
      </w:tr>
      <w:tr w:rsidR="0096166C" w:rsidRPr="009802E0" w:rsidTr="0096166C">
        <w:tc>
          <w:tcPr>
            <w:tcW w:w="81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center"/>
              <w:rPr>
                <w:rFonts w:asciiTheme="minorEastAsia" w:eastAsiaTheme="minorEastAsia" w:hAnsiTheme="minorEastAsia"/>
              </w:rPr>
            </w:pPr>
            <w:r w:rsidRPr="009802E0">
              <w:rPr>
                <w:rFonts w:asciiTheme="minorEastAsia" w:eastAsiaTheme="minorEastAsia" w:hAnsiTheme="minorEastAsia" w:hint="eastAsia"/>
              </w:rPr>
              <w:t>8</w:t>
            </w:r>
          </w:p>
        </w:tc>
        <w:tc>
          <w:tcPr>
            <w:tcW w:w="3260"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left"/>
              <w:rPr>
                <w:rFonts w:asciiTheme="minorEastAsia" w:eastAsiaTheme="minorEastAsia" w:hAnsiTheme="minorEastAsia"/>
              </w:rPr>
            </w:pPr>
            <w:r w:rsidRPr="009802E0">
              <w:rPr>
                <w:rFonts w:asciiTheme="minorEastAsia" w:eastAsiaTheme="minorEastAsia" w:hAnsiTheme="minorEastAsia" w:hint="eastAsia"/>
              </w:rPr>
              <w:t>同业存单</w:t>
            </w:r>
          </w:p>
        </w:tc>
        <w:tc>
          <w:tcPr>
            <w:tcW w:w="2835"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right"/>
              <w:rPr>
                <w:rFonts w:asciiTheme="minorEastAsia" w:eastAsiaTheme="minorEastAsia" w:hAnsiTheme="minorEastAsia"/>
              </w:rPr>
            </w:pPr>
            <w:r w:rsidRPr="009802E0">
              <w:rPr>
                <w:rFonts w:asciiTheme="minorEastAsia" w:eastAsiaTheme="minorEastAsia" w:hAnsiTheme="minorEastAsia" w:hint="eastAsia"/>
              </w:rPr>
              <w:t>-</w:t>
            </w:r>
          </w:p>
        </w:tc>
        <w:tc>
          <w:tcPr>
            <w:tcW w:w="1616"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right"/>
              <w:rPr>
                <w:rFonts w:asciiTheme="minorEastAsia" w:eastAsiaTheme="minorEastAsia" w:hAnsiTheme="minorEastAsia"/>
              </w:rPr>
            </w:pPr>
            <w:r w:rsidRPr="009802E0">
              <w:rPr>
                <w:rFonts w:asciiTheme="minorEastAsia" w:eastAsiaTheme="minorEastAsia" w:hAnsiTheme="minorEastAsia" w:hint="eastAsia"/>
              </w:rPr>
              <w:t>-</w:t>
            </w:r>
          </w:p>
        </w:tc>
      </w:tr>
      <w:tr w:rsidR="0096166C" w:rsidRPr="009802E0" w:rsidTr="0096166C">
        <w:tc>
          <w:tcPr>
            <w:tcW w:w="81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center"/>
              <w:rPr>
                <w:rFonts w:asciiTheme="minorEastAsia" w:eastAsiaTheme="minorEastAsia" w:hAnsiTheme="minorEastAsia"/>
              </w:rPr>
            </w:pPr>
            <w:r w:rsidRPr="009802E0">
              <w:rPr>
                <w:rFonts w:asciiTheme="minorEastAsia" w:eastAsiaTheme="minorEastAsia" w:hAnsiTheme="minorEastAsia" w:hint="eastAsia"/>
              </w:rPr>
              <w:t>9</w:t>
            </w:r>
          </w:p>
        </w:tc>
        <w:tc>
          <w:tcPr>
            <w:tcW w:w="3260"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left"/>
              <w:rPr>
                <w:rFonts w:asciiTheme="minorEastAsia" w:eastAsiaTheme="minorEastAsia" w:hAnsiTheme="minorEastAsia"/>
              </w:rPr>
            </w:pPr>
            <w:r w:rsidRPr="009802E0">
              <w:rPr>
                <w:rFonts w:asciiTheme="minorEastAsia" w:eastAsiaTheme="minorEastAsia" w:hAnsiTheme="minorEastAsia" w:hint="eastAsia"/>
              </w:rPr>
              <w:t>其他</w:t>
            </w:r>
          </w:p>
        </w:tc>
        <w:tc>
          <w:tcPr>
            <w:tcW w:w="2835"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right"/>
              <w:rPr>
                <w:rFonts w:asciiTheme="minorEastAsia" w:eastAsiaTheme="minorEastAsia" w:hAnsiTheme="minorEastAsia"/>
              </w:rPr>
            </w:pPr>
            <w:r w:rsidRPr="009802E0">
              <w:rPr>
                <w:rFonts w:asciiTheme="minorEastAsia" w:eastAsiaTheme="minorEastAsia" w:hAnsiTheme="minorEastAsia" w:hint="eastAsia"/>
              </w:rPr>
              <w:t>-</w:t>
            </w:r>
          </w:p>
        </w:tc>
        <w:tc>
          <w:tcPr>
            <w:tcW w:w="1616"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right"/>
              <w:rPr>
                <w:rFonts w:asciiTheme="minorEastAsia" w:eastAsiaTheme="minorEastAsia" w:hAnsiTheme="minorEastAsia"/>
              </w:rPr>
            </w:pPr>
            <w:r w:rsidRPr="009802E0">
              <w:rPr>
                <w:rFonts w:asciiTheme="minorEastAsia" w:eastAsiaTheme="minorEastAsia" w:hAnsiTheme="minorEastAsia" w:hint="eastAsia"/>
              </w:rPr>
              <w:t>-</w:t>
            </w:r>
          </w:p>
        </w:tc>
      </w:tr>
      <w:tr w:rsidR="0096166C" w:rsidRPr="009802E0" w:rsidTr="0096166C">
        <w:tc>
          <w:tcPr>
            <w:tcW w:w="81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center"/>
              <w:rPr>
                <w:rFonts w:asciiTheme="minorEastAsia" w:eastAsiaTheme="minorEastAsia" w:hAnsiTheme="minorEastAsia"/>
              </w:rPr>
            </w:pPr>
            <w:r w:rsidRPr="009802E0">
              <w:rPr>
                <w:rFonts w:asciiTheme="minorEastAsia" w:eastAsiaTheme="minorEastAsia" w:hAnsiTheme="minorEastAsia" w:hint="eastAsia"/>
              </w:rPr>
              <w:t>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left"/>
              <w:rPr>
                <w:rFonts w:asciiTheme="minorEastAsia" w:eastAsiaTheme="minorEastAsia" w:hAnsiTheme="minorEastAsia"/>
              </w:rPr>
            </w:pPr>
            <w:r w:rsidRPr="009802E0">
              <w:rPr>
                <w:rFonts w:asciiTheme="minorEastAsia" w:eastAsiaTheme="minorEastAsia" w:hAnsiTheme="minorEastAsia" w:hint="eastAsia"/>
              </w:rPr>
              <w:t>合计</w:t>
            </w:r>
          </w:p>
        </w:tc>
        <w:tc>
          <w:tcPr>
            <w:tcW w:w="2835"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right"/>
              <w:rPr>
                <w:rFonts w:asciiTheme="minorEastAsia" w:eastAsiaTheme="minorEastAsia" w:hAnsiTheme="minorEastAsia"/>
              </w:rPr>
            </w:pPr>
            <w:r w:rsidRPr="009802E0">
              <w:rPr>
                <w:rFonts w:asciiTheme="minorEastAsia" w:eastAsiaTheme="minorEastAsia" w:hAnsiTheme="minorEastAsia" w:hint="eastAsia"/>
              </w:rPr>
              <w:t>18,697,999,329.36</w:t>
            </w:r>
          </w:p>
        </w:tc>
        <w:tc>
          <w:tcPr>
            <w:tcW w:w="1616"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right"/>
              <w:rPr>
                <w:rFonts w:asciiTheme="minorEastAsia" w:eastAsiaTheme="minorEastAsia" w:hAnsiTheme="minorEastAsia"/>
              </w:rPr>
            </w:pPr>
            <w:r w:rsidRPr="009802E0">
              <w:rPr>
                <w:rFonts w:asciiTheme="minorEastAsia" w:eastAsiaTheme="minorEastAsia" w:hAnsiTheme="minorEastAsia" w:hint="eastAsia"/>
              </w:rPr>
              <w:t>114.47</w:t>
            </w:r>
          </w:p>
        </w:tc>
      </w:tr>
    </w:tbl>
    <w:p w:rsidR="0096166C" w:rsidRPr="009802E0" w:rsidRDefault="0096166C" w:rsidP="009802E0">
      <w:pPr>
        <w:pStyle w:val="af6"/>
        <w:adjustRightInd w:val="0"/>
        <w:snapToGrid w:val="0"/>
        <w:spacing w:line="360" w:lineRule="auto"/>
        <w:ind w:firstLineChars="200" w:firstLine="420"/>
        <w:rPr>
          <w:rFonts w:asciiTheme="minorEastAsia" w:eastAsiaTheme="minorEastAsia" w:hAnsiTheme="minorEastAsia"/>
          <w:sz w:val="21"/>
          <w:szCs w:val="21"/>
        </w:rPr>
      </w:pPr>
      <w:r w:rsidRPr="009802E0">
        <w:rPr>
          <w:rFonts w:asciiTheme="minorEastAsia" w:eastAsiaTheme="minorEastAsia" w:hAnsiTheme="minorEastAsia" w:hint="eastAsia"/>
          <w:sz w:val="21"/>
          <w:szCs w:val="21"/>
        </w:rPr>
        <w:t>5、报告期末按公允价值占基金资产净值比例大小排序的前五名债券投资明细</w:t>
      </w:r>
    </w:p>
    <w:tbl>
      <w:tblPr>
        <w:tblW w:w="799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5"/>
        <w:gridCol w:w="1381"/>
        <w:gridCol w:w="1749"/>
        <w:gridCol w:w="1381"/>
        <w:gridCol w:w="1871"/>
        <w:gridCol w:w="888"/>
      </w:tblGrid>
      <w:tr w:rsidR="0096166C" w:rsidRPr="009802E0" w:rsidTr="0096166C">
        <w:tc>
          <w:tcPr>
            <w:tcW w:w="802"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autoSpaceDE w:val="0"/>
              <w:autoSpaceDN w:val="0"/>
              <w:adjustRightInd w:val="0"/>
              <w:spacing w:before="29" w:line="300" w:lineRule="auto"/>
              <w:ind w:left="15"/>
              <w:jc w:val="center"/>
              <w:rPr>
                <w:rFonts w:asciiTheme="minorEastAsia" w:eastAsiaTheme="minorEastAsia" w:hAnsiTheme="minorEastAsia"/>
                <w:kern w:val="0"/>
              </w:rPr>
            </w:pPr>
            <w:r w:rsidRPr="009802E0">
              <w:rPr>
                <w:rFonts w:asciiTheme="minorEastAsia" w:eastAsiaTheme="minorEastAsia" w:hAnsiTheme="minorEastAsia" w:hint="eastAsia"/>
                <w:kern w:val="0"/>
              </w:rPr>
              <w:t>序号</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autoSpaceDE w:val="0"/>
              <w:autoSpaceDN w:val="0"/>
              <w:adjustRightInd w:val="0"/>
              <w:spacing w:before="29" w:line="300" w:lineRule="auto"/>
              <w:ind w:left="15"/>
              <w:jc w:val="center"/>
              <w:rPr>
                <w:rFonts w:asciiTheme="minorEastAsia" w:eastAsiaTheme="minorEastAsia" w:hAnsiTheme="minorEastAsia" w:cstheme="minorBidi"/>
                <w:kern w:val="0"/>
              </w:rPr>
            </w:pPr>
            <w:r w:rsidRPr="009802E0">
              <w:rPr>
                <w:rFonts w:asciiTheme="minorEastAsia" w:eastAsiaTheme="minorEastAsia" w:hAnsiTheme="minorEastAsia" w:hint="eastAsia"/>
                <w:kern w:val="0"/>
              </w:rPr>
              <w:t>债券代码</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autoSpaceDE w:val="0"/>
              <w:autoSpaceDN w:val="0"/>
              <w:adjustRightInd w:val="0"/>
              <w:spacing w:before="29" w:line="300" w:lineRule="auto"/>
              <w:ind w:left="15"/>
              <w:jc w:val="center"/>
              <w:rPr>
                <w:rFonts w:asciiTheme="minorEastAsia" w:eastAsiaTheme="minorEastAsia" w:hAnsiTheme="minorEastAsia"/>
                <w:kern w:val="0"/>
              </w:rPr>
            </w:pPr>
            <w:r w:rsidRPr="009802E0">
              <w:rPr>
                <w:rFonts w:asciiTheme="minorEastAsia" w:eastAsiaTheme="minorEastAsia" w:hAnsiTheme="minorEastAsia" w:hint="eastAsia"/>
                <w:kern w:val="0"/>
              </w:rPr>
              <w:t>债券名称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autoSpaceDE w:val="0"/>
              <w:autoSpaceDN w:val="0"/>
              <w:adjustRightInd w:val="0"/>
              <w:spacing w:before="29" w:line="300" w:lineRule="auto"/>
              <w:ind w:left="15"/>
              <w:jc w:val="center"/>
              <w:rPr>
                <w:rFonts w:asciiTheme="minorEastAsia" w:eastAsiaTheme="minorEastAsia" w:hAnsiTheme="minorEastAsia"/>
                <w:kern w:val="0"/>
              </w:rPr>
            </w:pPr>
            <w:r w:rsidRPr="009802E0">
              <w:rPr>
                <w:rFonts w:asciiTheme="minorEastAsia" w:eastAsiaTheme="minorEastAsia" w:hAnsiTheme="minorEastAsia" w:hint="eastAsia"/>
                <w:kern w:val="0"/>
              </w:rPr>
              <w:t>数量（张）</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autoSpaceDE w:val="0"/>
              <w:autoSpaceDN w:val="0"/>
              <w:adjustRightInd w:val="0"/>
              <w:spacing w:before="29" w:line="300" w:lineRule="auto"/>
              <w:ind w:left="15"/>
              <w:jc w:val="center"/>
              <w:rPr>
                <w:rFonts w:asciiTheme="minorEastAsia" w:eastAsiaTheme="minorEastAsia" w:hAnsiTheme="minorEastAsia"/>
                <w:kern w:val="0"/>
              </w:rPr>
            </w:pPr>
            <w:r w:rsidRPr="009802E0">
              <w:rPr>
                <w:rFonts w:asciiTheme="minorEastAsia" w:eastAsiaTheme="minorEastAsia" w:hAnsiTheme="minorEastAsia" w:hint="eastAsia"/>
                <w:kern w:val="0"/>
              </w:rPr>
              <w:t>公允价值(元)</w:t>
            </w:r>
          </w:p>
        </w:tc>
        <w:tc>
          <w:tcPr>
            <w:tcW w:w="990"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autoSpaceDE w:val="0"/>
              <w:autoSpaceDN w:val="0"/>
              <w:adjustRightInd w:val="0"/>
              <w:spacing w:before="29" w:line="300" w:lineRule="auto"/>
              <w:ind w:left="15"/>
              <w:jc w:val="center"/>
              <w:rPr>
                <w:rFonts w:asciiTheme="minorEastAsia" w:eastAsiaTheme="minorEastAsia" w:hAnsiTheme="minorEastAsia"/>
                <w:kern w:val="0"/>
              </w:rPr>
            </w:pPr>
            <w:r w:rsidRPr="009802E0">
              <w:rPr>
                <w:rFonts w:asciiTheme="minorEastAsia" w:eastAsiaTheme="minorEastAsia" w:hAnsiTheme="minorEastAsia" w:hint="eastAsia"/>
                <w:kern w:val="0"/>
              </w:rPr>
              <w:t>占基金资产净值比例（％）</w:t>
            </w:r>
          </w:p>
        </w:tc>
      </w:tr>
      <w:tr w:rsidR="0096166C" w:rsidRPr="009802E0" w:rsidTr="0096166C">
        <w:tc>
          <w:tcPr>
            <w:tcW w:w="802"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180210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18国开10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11,200,000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1,191,008,000.00</w:t>
            </w:r>
          </w:p>
        </w:tc>
        <w:tc>
          <w:tcPr>
            <w:tcW w:w="990"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7.29</w:t>
            </w:r>
          </w:p>
        </w:tc>
      </w:tr>
      <w:tr w:rsidR="0096166C" w:rsidRPr="009802E0" w:rsidTr="0096166C">
        <w:tc>
          <w:tcPr>
            <w:tcW w:w="802"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lastRenderedPageBreak/>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113011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光大转债</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9,952,150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1,165,396,765.00</w:t>
            </w:r>
          </w:p>
        </w:tc>
        <w:tc>
          <w:tcPr>
            <w:tcW w:w="990"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7.13</w:t>
            </w:r>
          </w:p>
        </w:tc>
      </w:tr>
      <w:tr w:rsidR="0096166C" w:rsidRPr="009802E0" w:rsidTr="0096166C">
        <w:tc>
          <w:tcPr>
            <w:tcW w:w="802"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110053</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苏银转债</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8,285,760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929,413,699.20</w:t>
            </w:r>
          </w:p>
        </w:tc>
        <w:tc>
          <w:tcPr>
            <w:tcW w:w="990"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5.69</w:t>
            </w:r>
          </w:p>
        </w:tc>
      </w:tr>
      <w:tr w:rsidR="0096166C" w:rsidRPr="009802E0" w:rsidTr="0096166C">
        <w:tc>
          <w:tcPr>
            <w:tcW w:w="802"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110059</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浦发转债</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7,733,390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821,440,685.80</w:t>
            </w:r>
          </w:p>
        </w:tc>
        <w:tc>
          <w:tcPr>
            <w:tcW w:w="990"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5.03</w:t>
            </w:r>
          </w:p>
        </w:tc>
      </w:tr>
      <w:tr w:rsidR="0096166C" w:rsidRPr="009802E0" w:rsidTr="0096166C">
        <w:tc>
          <w:tcPr>
            <w:tcW w:w="802"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190205</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19国开05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7,500,000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769,200,000.00</w:t>
            </w:r>
          </w:p>
        </w:tc>
        <w:tc>
          <w:tcPr>
            <w:tcW w:w="990"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4.71</w:t>
            </w:r>
          </w:p>
        </w:tc>
      </w:tr>
    </w:tbl>
    <w:p w:rsidR="0096166C" w:rsidRPr="009802E0" w:rsidRDefault="0096166C" w:rsidP="009802E0">
      <w:pPr>
        <w:pStyle w:val="af6"/>
        <w:adjustRightInd w:val="0"/>
        <w:snapToGrid w:val="0"/>
        <w:spacing w:line="360" w:lineRule="auto"/>
        <w:ind w:firstLineChars="200" w:firstLine="420"/>
        <w:rPr>
          <w:rFonts w:asciiTheme="minorEastAsia" w:eastAsiaTheme="minorEastAsia" w:hAnsiTheme="minorEastAsia"/>
          <w:sz w:val="21"/>
          <w:szCs w:val="21"/>
        </w:rPr>
      </w:pPr>
      <w:r w:rsidRPr="009802E0">
        <w:rPr>
          <w:rFonts w:asciiTheme="minorEastAsia" w:eastAsiaTheme="minorEastAsia" w:hAnsiTheme="minorEastAsia" w:hint="eastAsia"/>
          <w:sz w:val="21"/>
          <w:szCs w:val="21"/>
        </w:rPr>
        <w:t>6、报告期末按公允价值占基金资产净值比例大小排序的前十名资产支持证券投资明细</w:t>
      </w:r>
    </w:p>
    <w:tbl>
      <w:tblPr>
        <w:tblW w:w="80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
        <w:gridCol w:w="1225"/>
        <w:gridCol w:w="1090"/>
        <w:gridCol w:w="1577"/>
        <w:gridCol w:w="1666"/>
        <w:gridCol w:w="1461"/>
      </w:tblGrid>
      <w:tr w:rsidR="009802E0" w:rsidRPr="009802E0" w:rsidTr="0096166C">
        <w:tc>
          <w:tcPr>
            <w:tcW w:w="118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autoSpaceDE w:val="0"/>
              <w:autoSpaceDN w:val="0"/>
              <w:adjustRightInd w:val="0"/>
              <w:spacing w:before="29" w:line="300" w:lineRule="auto"/>
              <w:ind w:left="15"/>
              <w:jc w:val="center"/>
              <w:rPr>
                <w:rFonts w:asciiTheme="minorEastAsia" w:eastAsiaTheme="minorEastAsia" w:hAnsiTheme="minorEastAsia"/>
                <w:kern w:val="0"/>
              </w:rPr>
            </w:pPr>
            <w:r w:rsidRPr="009802E0">
              <w:rPr>
                <w:rFonts w:asciiTheme="minorEastAsia" w:eastAsiaTheme="minorEastAsia" w:hAnsiTheme="minorEastAsia" w:hint="eastAsia"/>
                <w:kern w:val="0"/>
              </w:rPr>
              <w:t>序号</w:t>
            </w:r>
          </w:p>
        </w:tc>
        <w:tc>
          <w:tcPr>
            <w:tcW w:w="1329"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autoSpaceDE w:val="0"/>
              <w:autoSpaceDN w:val="0"/>
              <w:adjustRightInd w:val="0"/>
              <w:spacing w:before="29" w:line="300" w:lineRule="auto"/>
              <w:ind w:left="15"/>
              <w:jc w:val="center"/>
              <w:rPr>
                <w:rFonts w:asciiTheme="minorEastAsia" w:eastAsiaTheme="minorEastAsia" w:hAnsiTheme="minorEastAsia" w:cstheme="minorBidi"/>
                <w:kern w:val="0"/>
              </w:rPr>
            </w:pPr>
            <w:r w:rsidRPr="009802E0">
              <w:rPr>
                <w:rFonts w:asciiTheme="minorEastAsia" w:eastAsiaTheme="minorEastAsia" w:hAnsiTheme="minorEastAsia" w:hint="eastAsia"/>
                <w:kern w:val="0"/>
              </w:rPr>
              <w:t>证券代码</w:t>
            </w:r>
          </w:p>
        </w:tc>
        <w:tc>
          <w:tcPr>
            <w:tcW w:w="1263"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autoSpaceDE w:val="0"/>
              <w:autoSpaceDN w:val="0"/>
              <w:adjustRightInd w:val="0"/>
              <w:spacing w:before="29" w:line="300" w:lineRule="auto"/>
              <w:ind w:left="15"/>
              <w:jc w:val="center"/>
              <w:rPr>
                <w:rFonts w:asciiTheme="minorEastAsia" w:eastAsiaTheme="minorEastAsia" w:hAnsiTheme="minorEastAsia"/>
                <w:kern w:val="0"/>
              </w:rPr>
            </w:pPr>
            <w:r w:rsidRPr="009802E0">
              <w:rPr>
                <w:rFonts w:asciiTheme="minorEastAsia" w:eastAsiaTheme="minorEastAsia" w:hAnsiTheme="minorEastAsia" w:hint="eastAsia"/>
                <w:kern w:val="0"/>
              </w:rPr>
              <w:t>证券名称</w:t>
            </w:r>
          </w:p>
        </w:tc>
        <w:tc>
          <w:tcPr>
            <w:tcW w:w="1815"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autoSpaceDE w:val="0"/>
              <w:autoSpaceDN w:val="0"/>
              <w:adjustRightInd w:val="0"/>
              <w:spacing w:before="29" w:line="300" w:lineRule="auto"/>
              <w:ind w:left="15"/>
              <w:jc w:val="center"/>
              <w:rPr>
                <w:rFonts w:asciiTheme="minorEastAsia" w:eastAsiaTheme="minorEastAsia" w:hAnsiTheme="minorEastAsia"/>
                <w:kern w:val="0"/>
              </w:rPr>
            </w:pPr>
            <w:r w:rsidRPr="009802E0">
              <w:rPr>
                <w:rFonts w:asciiTheme="minorEastAsia" w:eastAsiaTheme="minorEastAsia" w:hAnsiTheme="minorEastAsia" w:hint="eastAsia"/>
                <w:kern w:val="0"/>
              </w:rPr>
              <w:t>数量(份)</w:t>
            </w:r>
          </w:p>
        </w:tc>
        <w:tc>
          <w:tcPr>
            <w:tcW w:w="1698"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autoSpaceDE w:val="0"/>
              <w:autoSpaceDN w:val="0"/>
              <w:adjustRightInd w:val="0"/>
              <w:spacing w:before="29" w:line="300" w:lineRule="auto"/>
              <w:ind w:left="15"/>
              <w:jc w:val="center"/>
              <w:rPr>
                <w:rFonts w:asciiTheme="minorEastAsia" w:eastAsiaTheme="minorEastAsia" w:hAnsiTheme="minorEastAsia"/>
                <w:kern w:val="0"/>
              </w:rPr>
            </w:pPr>
            <w:r w:rsidRPr="009802E0">
              <w:rPr>
                <w:rFonts w:asciiTheme="minorEastAsia" w:eastAsiaTheme="minorEastAsia" w:hAnsiTheme="minorEastAsia" w:hint="eastAsia"/>
                <w:kern w:val="0"/>
              </w:rPr>
              <w:t>公允价值(元)</w:t>
            </w:r>
          </w:p>
        </w:tc>
        <w:tc>
          <w:tcPr>
            <w:tcW w:w="1729"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autoSpaceDE w:val="0"/>
              <w:autoSpaceDN w:val="0"/>
              <w:adjustRightInd w:val="0"/>
              <w:spacing w:before="29" w:line="300" w:lineRule="auto"/>
              <w:ind w:left="15"/>
              <w:jc w:val="center"/>
              <w:rPr>
                <w:rFonts w:asciiTheme="minorEastAsia" w:eastAsiaTheme="minorEastAsia" w:hAnsiTheme="minorEastAsia"/>
                <w:kern w:val="0"/>
              </w:rPr>
            </w:pPr>
            <w:r w:rsidRPr="009802E0">
              <w:rPr>
                <w:rFonts w:asciiTheme="minorEastAsia" w:eastAsiaTheme="minorEastAsia" w:hAnsiTheme="minorEastAsia" w:hint="eastAsia"/>
                <w:kern w:val="0"/>
              </w:rPr>
              <w:t>占基金资产净值比例（%）</w:t>
            </w:r>
          </w:p>
        </w:tc>
      </w:tr>
      <w:tr w:rsidR="009802E0" w:rsidRPr="009802E0" w:rsidTr="0096166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165209</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PR安吉3A</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800,000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60,144,000.00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0.37</w:t>
            </w:r>
          </w:p>
        </w:tc>
      </w:tr>
      <w:tr w:rsidR="009802E0" w:rsidRPr="009802E0" w:rsidTr="0096166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165515</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天信3A</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300,000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30,174,000.00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0.18</w:t>
            </w:r>
          </w:p>
        </w:tc>
      </w:tr>
      <w:tr w:rsidR="009802E0" w:rsidRPr="009802E0" w:rsidTr="0096166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2089001</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20捷赢1A</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300,000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30,156,000.00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0.18</w:t>
            </w:r>
          </w:p>
        </w:tc>
      </w:tr>
      <w:tr w:rsidR="009802E0" w:rsidRPr="009802E0" w:rsidTr="0096166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165814</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PR安吉5A</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300,000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23,802,000.00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0.15</w:t>
            </w:r>
          </w:p>
        </w:tc>
      </w:tr>
      <w:tr w:rsidR="009802E0" w:rsidRPr="009802E0" w:rsidTr="0096166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138321</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19首开5A</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200,000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20,148,000.00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0.12</w:t>
            </w:r>
          </w:p>
        </w:tc>
      </w:tr>
      <w:tr w:rsidR="009802E0" w:rsidRPr="009802E0" w:rsidTr="0096166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138416</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20桃源1A</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200,000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20,124,000.00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0.12</w:t>
            </w:r>
          </w:p>
        </w:tc>
      </w:tr>
      <w:tr w:rsidR="009802E0" w:rsidRPr="009802E0" w:rsidTr="0096166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138325</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国链17A1</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160,000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16,115,200.00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0.10</w:t>
            </w:r>
          </w:p>
        </w:tc>
      </w:tr>
      <w:tr w:rsidR="009802E0" w:rsidRPr="009802E0" w:rsidTr="0096166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138427</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桂语1A1</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104,000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10,460,320.00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0.06</w:t>
            </w:r>
          </w:p>
        </w:tc>
      </w:tr>
      <w:tr w:rsidR="009802E0" w:rsidRPr="009802E0" w:rsidTr="0096166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138251</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诚意2A1</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10,075,000.00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0.06</w:t>
            </w:r>
          </w:p>
        </w:tc>
      </w:tr>
      <w:tr w:rsidR="009802E0" w:rsidRPr="009802E0" w:rsidTr="0096166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138262</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诚意3A1</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10,073,000.00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0.06</w:t>
            </w:r>
          </w:p>
        </w:tc>
      </w:tr>
    </w:tbl>
    <w:p w:rsidR="0096166C" w:rsidRPr="009802E0" w:rsidRDefault="0096166C" w:rsidP="009802E0">
      <w:pPr>
        <w:pStyle w:val="af6"/>
        <w:adjustRightInd w:val="0"/>
        <w:snapToGrid w:val="0"/>
        <w:spacing w:line="360" w:lineRule="auto"/>
        <w:ind w:firstLineChars="200" w:firstLine="420"/>
        <w:rPr>
          <w:rFonts w:asciiTheme="minorEastAsia" w:eastAsiaTheme="minorEastAsia" w:hAnsiTheme="minorEastAsia"/>
          <w:sz w:val="21"/>
          <w:szCs w:val="21"/>
        </w:rPr>
      </w:pPr>
      <w:r w:rsidRPr="009802E0">
        <w:rPr>
          <w:rFonts w:asciiTheme="minorEastAsia" w:eastAsiaTheme="minorEastAsia" w:hAnsiTheme="minorEastAsia" w:hint="eastAsia"/>
          <w:sz w:val="21"/>
          <w:szCs w:val="21"/>
        </w:rPr>
        <w:t>7、报告期末按公允价值占基金资产净值比例大小排序的前五名贵金属投资明细</w:t>
      </w:r>
    </w:p>
    <w:p w:rsidR="0096166C" w:rsidRPr="009802E0" w:rsidRDefault="0096166C" w:rsidP="009802E0">
      <w:pPr>
        <w:pStyle w:val="af6"/>
        <w:adjustRightInd w:val="0"/>
        <w:snapToGrid w:val="0"/>
        <w:spacing w:line="360" w:lineRule="auto"/>
        <w:ind w:firstLineChars="200" w:firstLine="420"/>
        <w:rPr>
          <w:rFonts w:asciiTheme="minorEastAsia" w:eastAsiaTheme="minorEastAsia" w:hAnsiTheme="minorEastAsia"/>
          <w:sz w:val="21"/>
          <w:szCs w:val="21"/>
        </w:rPr>
      </w:pPr>
      <w:r w:rsidRPr="009802E0">
        <w:rPr>
          <w:rFonts w:asciiTheme="minorEastAsia" w:eastAsiaTheme="minorEastAsia" w:hAnsiTheme="minorEastAsia" w:hint="eastAsia"/>
          <w:sz w:val="21"/>
          <w:szCs w:val="21"/>
        </w:rPr>
        <w:t>本基金本报告期末未持有贵金属。</w:t>
      </w:r>
    </w:p>
    <w:p w:rsidR="0096166C" w:rsidRPr="009802E0" w:rsidRDefault="0096166C" w:rsidP="009802E0">
      <w:pPr>
        <w:pStyle w:val="af6"/>
        <w:adjustRightInd w:val="0"/>
        <w:snapToGrid w:val="0"/>
        <w:spacing w:line="360" w:lineRule="auto"/>
        <w:ind w:firstLineChars="200" w:firstLine="420"/>
        <w:rPr>
          <w:rFonts w:asciiTheme="minorEastAsia" w:eastAsiaTheme="minorEastAsia" w:hAnsiTheme="minorEastAsia"/>
          <w:sz w:val="21"/>
          <w:szCs w:val="21"/>
        </w:rPr>
      </w:pPr>
      <w:r w:rsidRPr="009802E0">
        <w:rPr>
          <w:rFonts w:asciiTheme="minorEastAsia" w:eastAsiaTheme="minorEastAsia" w:hAnsiTheme="minorEastAsia" w:hint="eastAsia"/>
          <w:sz w:val="21"/>
          <w:szCs w:val="21"/>
        </w:rPr>
        <w:t>8、报告期末按公允价值占基金资产净值比例大小排序的前五名权证投资明细</w:t>
      </w:r>
    </w:p>
    <w:p w:rsidR="0096166C" w:rsidRPr="009802E0" w:rsidRDefault="0096166C" w:rsidP="009802E0">
      <w:pPr>
        <w:pStyle w:val="af6"/>
        <w:adjustRightInd w:val="0"/>
        <w:snapToGrid w:val="0"/>
        <w:spacing w:line="360" w:lineRule="auto"/>
        <w:ind w:firstLineChars="200" w:firstLine="420"/>
        <w:rPr>
          <w:rFonts w:asciiTheme="minorEastAsia" w:eastAsiaTheme="minorEastAsia" w:hAnsiTheme="minorEastAsia"/>
          <w:sz w:val="21"/>
          <w:szCs w:val="21"/>
        </w:rPr>
      </w:pPr>
      <w:r w:rsidRPr="009802E0">
        <w:rPr>
          <w:rFonts w:asciiTheme="minorEastAsia" w:eastAsiaTheme="minorEastAsia" w:hAnsiTheme="minorEastAsia" w:hint="eastAsia"/>
          <w:sz w:val="21"/>
          <w:szCs w:val="21"/>
        </w:rPr>
        <w:t>本基金本报告期末未持有权证。</w:t>
      </w:r>
    </w:p>
    <w:p w:rsidR="0096166C" w:rsidRPr="009802E0" w:rsidRDefault="0096166C" w:rsidP="009802E0">
      <w:pPr>
        <w:pStyle w:val="af6"/>
        <w:adjustRightInd w:val="0"/>
        <w:snapToGrid w:val="0"/>
        <w:spacing w:line="360" w:lineRule="auto"/>
        <w:ind w:firstLineChars="200" w:firstLine="420"/>
        <w:rPr>
          <w:rFonts w:asciiTheme="minorEastAsia" w:eastAsiaTheme="minorEastAsia" w:hAnsiTheme="minorEastAsia"/>
          <w:sz w:val="21"/>
          <w:szCs w:val="21"/>
        </w:rPr>
      </w:pPr>
      <w:r w:rsidRPr="009802E0">
        <w:rPr>
          <w:rFonts w:asciiTheme="minorEastAsia" w:eastAsiaTheme="minorEastAsia" w:hAnsiTheme="minorEastAsia" w:hint="eastAsia"/>
          <w:sz w:val="21"/>
          <w:szCs w:val="21"/>
        </w:rPr>
        <w:t>9、报告期末本基金投资的股指期货交易情况说明</w:t>
      </w:r>
    </w:p>
    <w:p w:rsidR="0096166C" w:rsidRPr="009802E0" w:rsidRDefault="0096166C" w:rsidP="009802E0">
      <w:pPr>
        <w:pStyle w:val="af6"/>
        <w:adjustRightInd w:val="0"/>
        <w:snapToGrid w:val="0"/>
        <w:spacing w:line="360" w:lineRule="auto"/>
        <w:ind w:firstLineChars="200" w:firstLine="420"/>
        <w:rPr>
          <w:rFonts w:asciiTheme="minorEastAsia" w:eastAsiaTheme="minorEastAsia" w:hAnsiTheme="minorEastAsia"/>
          <w:sz w:val="21"/>
          <w:szCs w:val="21"/>
        </w:rPr>
      </w:pPr>
      <w:r w:rsidRPr="009802E0">
        <w:rPr>
          <w:rFonts w:asciiTheme="minorEastAsia" w:eastAsiaTheme="minorEastAsia" w:hAnsiTheme="minorEastAsia" w:hint="eastAsia"/>
          <w:sz w:val="21"/>
          <w:szCs w:val="21"/>
        </w:rPr>
        <w:t>本基金本报告期末未投资股指期货。</w:t>
      </w:r>
    </w:p>
    <w:p w:rsidR="0096166C" w:rsidRPr="009802E0" w:rsidRDefault="0096166C" w:rsidP="009802E0">
      <w:pPr>
        <w:pStyle w:val="af6"/>
        <w:adjustRightInd w:val="0"/>
        <w:snapToGrid w:val="0"/>
        <w:spacing w:line="360" w:lineRule="auto"/>
        <w:ind w:firstLineChars="200" w:firstLine="420"/>
        <w:rPr>
          <w:rFonts w:asciiTheme="minorEastAsia" w:eastAsiaTheme="minorEastAsia" w:hAnsiTheme="minorEastAsia"/>
          <w:sz w:val="21"/>
          <w:szCs w:val="21"/>
        </w:rPr>
      </w:pPr>
      <w:r w:rsidRPr="009802E0">
        <w:rPr>
          <w:rFonts w:asciiTheme="minorEastAsia" w:eastAsiaTheme="minorEastAsia" w:hAnsiTheme="minorEastAsia" w:hint="eastAsia"/>
          <w:sz w:val="21"/>
          <w:szCs w:val="21"/>
        </w:rPr>
        <w:t>10、报告期末本基金投资的国债期货交易情况说明</w:t>
      </w:r>
    </w:p>
    <w:p w:rsidR="0096166C" w:rsidRPr="009802E0" w:rsidRDefault="0096166C" w:rsidP="009802E0">
      <w:pPr>
        <w:pStyle w:val="af6"/>
        <w:adjustRightInd w:val="0"/>
        <w:snapToGrid w:val="0"/>
        <w:spacing w:line="360" w:lineRule="auto"/>
        <w:ind w:firstLineChars="200" w:firstLine="420"/>
        <w:rPr>
          <w:rFonts w:asciiTheme="minorEastAsia" w:eastAsiaTheme="minorEastAsia" w:hAnsiTheme="minorEastAsia"/>
          <w:sz w:val="21"/>
          <w:szCs w:val="21"/>
        </w:rPr>
      </w:pPr>
      <w:r w:rsidRPr="009802E0">
        <w:rPr>
          <w:rFonts w:asciiTheme="minorEastAsia" w:eastAsiaTheme="minorEastAsia" w:hAnsiTheme="minorEastAsia" w:hint="eastAsia"/>
          <w:sz w:val="21"/>
          <w:szCs w:val="21"/>
        </w:rPr>
        <w:t>本基金本报告期末未投资国债期货。</w:t>
      </w:r>
    </w:p>
    <w:p w:rsidR="0096166C" w:rsidRPr="009802E0" w:rsidRDefault="0096166C" w:rsidP="009802E0">
      <w:pPr>
        <w:pStyle w:val="af6"/>
        <w:adjustRightInd w:val="0"/>
        <w:snapToGrid w:val="0"/>
        <w:spacing w:line="360" w:lineRule="auto"/>
        <w:ind w:firstLineChars="200" w:firstLine="420"/>
        <w:rPr>
          <w:rFonts w:asciiTheme="minorEastAsia" w:eastAsiaTheme="minorEastAsia" w:hAnsiTheme="minorEastAsia"/>
          <w:sz w:val="21"/>
          <w:szCs w:val="21"/>
        </w:rPr>
      </w:pPr>
      <w:r w:rsidRPr="009802E0">
        <w:rPr>
          <w:rFonts w:asciiTheme="minorEastAsia" w:eastAsiaTheme="minorEastAsia" w:hAnsiTheme="minorEastAsia" w:hint="eastAsia"/>
          <w:sz w:val="21"/>
          <w:szCs w:val="21"/>
        </w:rPr>
        <w:t>11、投资组合报告附注</w:t>
      </w:r>
    </w:p>
    <w:p w:rsidR="0096166C" w:rsidRPr="009802E0" w:rsidRDefault="0096166C" w:rsidP="009802E0">
      <w:pPr>
        <w:pStyle w:val="af6"/>
        <w:adjustRightInd w:val="0"/>
        <w:snapToGrid w:val="0"/>
        <w:spacing w:line="360" w:lineRule="auto"/>
        <w:ind w:firstLineChars="200" w:firstLine="420"/>
        <w:rPr>
          <w:rFonts w:asciiTheme="minorEastAsia" w:eastAsiaTheme="minorEastAsia" w:hAnsiTheme="minorEastAsia"/>
          <w:sz w:val="21"/>
          <w:szCs w:val="21"/>
        </w:rPr>
      </w:pPr>
      <w:r w:rsidRPr="009802E0">
        <w:rPr>
          <w:rFonts w:asciiTheme="minorEastAsia" w:eastAsiaTheme="minorEastAsia" w:hAnsiTheme="minorEastAsia" w:hint="eastAsia"/>
          <w:sz w:val="21"/>
          <w:szCs w:val="21"/>
        </w:rPr>
        <w:t>（1）浦发转债（代码：110059）是易方达安心回报债券型证券投资基金的前十大持仓证券。2019年6月24日，中国银行保险监督管理委员会对上海浦东发展银行股份有限公司的如下违法违规行为作出“罚款130万元”的行政处罚决定：（一）对成都分行授信业务及整改情况严重失察；（二）重大审计发现未向监管部门报告；（三）轮岗制度执行不力。2019年7月8日，中国银行保险监督管理委员会上海监管局对上海浦东发展银行股份有限公司信</w:t>
      </w:r>
      <w:r w:rsidRPr="009802E0">
        <w:rPr>
          <w:rFonts w:asciiTheme="minorEastAsia" w:eastAsiaTheme="minorEastAsia" w:hAnsiTheme="minorEastAsia" w:hint="eastAsia"/>
          <w:sz w:val="21"/>
          <w:szCs w:val="21"/>
        </w:rPr>
        <w:lastRenderedPageBreak/>
        <w:t>用卡中心的如下违法违规行为作出“责令改正，并处罚款30万元”的行政处罚决定：2015年至2018年6月，该中心在为部分客户办理信用卡业务时，对申请人收入核定严重不审慎。2019年12月3日中国银行保险监督管理委员会上海监管局对上海浦东发展银行股份有限公司信用卡中心2019年1月信用卡催收外包管理严重违反审慎经营规则的违法违规事实，作出“责令改正，并处罚款50万元”的行政处罚决定。</w:t>
      </w:r>
    </w:p>
    <w:p w:rsidR="0096166C" w:rsidRPr="009802E0" w:rsidRDefault="0096166C" w:rsidP="009802E0">
      <w:pPr>
        <w:pStyle w:val="af6"/>
        <w:adjustRightInd w:val="0"/>
        <w:snapToGrid w:val="0"/>
        <w:spacing w:line="360" w:lineRule="auto"/>
        <w:ind w:firstLineChars="200" w:firstLine="420"/>
        <w:rPr>
          <w:rFonts w:asciiTheme="minorEastAsia" w:eastAsiaTheme="minorEastAsia" w:hAnsiTheme="minorEastAsia"/>
          <w:sz w:val="21"/>
          <w:szCs w:val="21"/>
        </w:rPr>
      </w:pPr>
      <w:r w:rsidRPr="009802E0">
        <w:rPr>
          <w:rFonts w:asciiTheme="minorEastAsia" w:eastAsiaTheme="minorEastAsia" w:hAnsiTheme="minorEastAsia" w:hint="eastAsia"/>
          <w:sz w:val="21"/>
          <w:szCs w:val="21"/>
        </w:rPr>
        <w:t>光大转债（代码：113011）是易方达安心回报债券型证券投资基金的前十大持仓证券。2019年12月27日，中国银行保险监督管理委员会对中国光大银行股份有限公司的如下违法违规行为作出“罚款180万元”的行政处罚决定：1、授信审批不审慎；2、为还款来源不清晰的项目办理业务；3、总行对分支机构管控不力承担管理责任。2020年2月10日，中国人民银行对中国光大银行股份有限公司的如下违法违规行为作出“罚款1820万元”的行政处罚决定：1.未按规定履行客户身份识别义务；2.未按规定保存客户身份资料和交易记录；3.未按规定报送大额交易报告和可疑交易报告；4.与身份不明的客户进行交易。</w:t>
      </w:r>
    </w:p>
    <w:p w:rsidR="0096166C" w:rsidRPr="009802E0" w:rsidRDefault="0096166C" w:rsidP="009802E0">
      <w:pPr>
        <w:pStyle w:val="af6"/>
        <w:adjustRightInd w:val="0"/>
        <w:snapToGrid w:val="0"/>
        <w:spacing w:line="360" w:lineRule="auto"/>
        <w:ind w:firstLineChars="200" w:firstLine="420"/>
        <w:rPr>
          <w:rFonts w:asciiTheme="minorEastAsia" w:eastAsiaTheme="minorEastAsia" w:hAnsiTheme="minorEastAsia"/>
          <w:sz w:val="21"/>
          <w:szCs w:val="21"/>
        </w:rPr>
      </w:pPr>
      <w:r w:rsidRPr="009802E0">
        <w:rPr>
          <w:rFonts w:asciiTheme="minorEastAsia" w:eastAsiaTheme="minorEastAsia" w:hAnsiTheme="minorEastAsia" w:hint="eastAsia"/>
          <w:sz w:val="21"/>
          <w:szCs w:val="21"/>
        </w:rPr>
        <w:t>本基金投资浦发转债、光大转债的投资决策程序符合公司投资制度的规定。</w:t>
      </w:r>
    </w:p>
    <w:p w:rsidR="0096166C" w:rsidRPr="009802E0" w:rsidRDefault="0096166C" w:rsidP="009802E0">
      <w:pPr>
        <w:pStyle w:val="af6"/>
        <w:adjustRightInd w:val="0"/>
        <w:snapToGrid w:val="0"/>
        <w:spacing w:line="360" w:lineRule="auto"/>
        <w:ind w:firstLineChars="200" w:firstLine="420"/>
        <w:rPr>
          <w:rFonts w:asciiTheme="minorEastAsia" w:eastAsiaTheme="minorEastAsia" w:hAnsiTheme="minorEastAsia"/>
          <w:sz w:val="21"/>
          <w:szCs w:val="21"/>
        </w:rPr>
      </w:pPr>
      <w:r w:rsidRPr="009802E0">
        <w:rPr>
          <w:rFonts w:asciiTheme="minorEastAsia" w:eastAsiaTheme="minorEastAsia" w:hAnsiTheme="minorEastAsia" w:hint="eastAsia"/>
          <w:sz w:val="21"/>
          <w:szCs w:val="21"/>
        </w:rPr>
        <w:t>除浦发转债、光大转债外，本基金投资的前十名证券的发行主体本期没有出现被监管部门立案调查，或在报告编制日前一年内受到公开谴责、处罚的情形。</w:t>
      </w:r>
    </w:p>
    <w:p w:rsidR="0096166C" w:rsidRPr="009802E0" w:rsidRDefault="0096166C" w:rsidP="009802E0">
      <w:pPr>
        <w:pStyle w:val="af6"/>
        <w:adjustRightInd w:val="0"/>
        <w:snapToGrid w:val="0"/>
        <w:spacing w:line="360" w:lineRule="auto"/>
        <w:ind w:firstLineChars="200" w:firstLine="420"/>
        <w:rPr>
          <w:rFonts w:asciiTheme="minorEastAsia" w:eastAsiaTheme="minorEastAsia" w:hAnsiTheme="minorEastAsia"/>
          <w:sz w:val="21"/>
          <w:szCs w:val="21"/>
        </w:rPr>
      </w:pPr>
      <w:r w:rsidRPr="009802E0">
        <w:rPr>
          <w:rFonts w:asciiTheme="minorEastAsia" w:eastAsiaTheme="minorEastAsia" w:hAnsiTheme="minorEastAsia" w:hint="eastAsia"/>
          <w:sz w:val="21"/>
          <w:szCs w:val="21"/>
        </w:rPr>
        <w:t>（2）本基金投资的前十名股票没有超出基金合同规定的备选股票库。</w:t>
      </w:r>
    </w:p>
    <w:p w:rsidR="0096166C" w:rsidRPr="009802E0" w:rsidRDefault="0096166C" w:rsidP="009802E0">
      <w:pPr>
        <w:pStyle w:val="af6"/>
        <w:adjustRightInd w:val="0"/>
        <w:snapToGrid w:val="0"/>
        <w:spacing w:line="360" w:lineRule="auto"/>
        <w:ind w:firstLineChars="200" w:firstLine="420"/>
        <w:rPr>
          <w:rFonts w:asciiTheme="minorEastAsia" w:eastAsiaTheme="minorEastAsia" w:hAnsiTheme="minorEastAsia"/>
          <w:sz w:val="21"/>
          <w:szCs w:val="21"/>
        </w:rPr>
      </w:pPr>
      <w:r w:rsidRPr="009802E0">
        <w:rPr>
          <w:rFonts w:asciiTheme="minorEastAsia" w:eastAsiaTheme="minorEastAsia" w:hAnsiTheme="minorEastAsia" w:hint="eastAsia"/>
          <w:sz w:val="21"/>
          <w:szCs w:val="21"/>
        </w:rPr>
        <w:t>（3）其他资产构成</w:t>
      </w:r>
    </w:p>
    <w:tbl>
      <w:tblPr>
        <w:tblW w:w="80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2553"/>
        <w:gridCol w:w="4548"/>
      </w:tblGrid>
      <w:tr w:rsidR="009802E0" w:rsidRPr="009802E0" w:rsidTr="0096166C">
        <w:tc>
          <w:tcPr>
            <w:tcW w:w="944"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autoSpaceDE w:val="0"/>
              <w:autoSpaceDN w:val="0"/>
              <w:adjustRightInd w:val="0"/>
              <w:spacing w:before="29" w:line="300" w:lineRule="auto"/>
              <w:ind w:left="17"/>
              <w:jc w:val="center"/>
              <w:rPr>
                <w:rFonts w:asciiTheme="minorEastAsia" w:eastAsiaTheme="minorEastAsia" w:hAnsiTheme="minorEastAsia"/>
                <w:kern w:val="0"/>
              </w:rPr>
            </w:pPr>
            <w:r w:rsidRPr="009802E0">
              <w:rPr>
                <w:rFonts w:asciiTheme="minorEastAsia" w:eastAsiaTheme="minorEastAsia" w:hAnsiTheme="minorEastAsia" w:hint="eastAsia"/>
                <w:kern w:val="0"/>
              </w:rPr>
              <w:t>序号</w:t>
            </w:r>
          </w:p>
        </w:tc>
        <w:tc>
          <w:tcPr>
            <w:tcW w:w="2761"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autoSpaceDE w:val="0"/>
              <w:autoSpaceDN w:val="0"/>
              <w:adjustRightInd w:val="0"/>
              <w:spacing w:before="29" w:line="300" w:lineRule="auto"/>
              <w:ind w:left="17"/>
              <w:jc w:val="center"/>
              <w:rPr>
                <w:rFonts w:asciiTheme="minorEastAsia" w:eastAsiaTheme="minorEastAsia" w:hAnsiTheme="minorEastAsia"/>
                <w:kern w:val="0"/>
              </w:rPr>
            </w:pPr>
            <w:r w:rsidRPr="009802E0">
              <w:rPr>
                <w:rFonts w:asciiTheme="minorEastAsia" w:eastAsiaTheme="minorEastAsia" w:hAnsiTheme="minorEastAsia" w:hint="eastAsia"/>
                <w:kern w:val="0"/>
              </w:rPr>
              <w:t>名称</w:t>
            </w:r>
          </w:p>
        </w:tc>
        <w:tc>
          <w:tcPr>
            <w:tcW w:w="4808"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autoSpaceDE w:val="0"/>
              <w:autoSpaceDN w:val="0"/>
              <w:adjustRightInd w:val="0"/>
              <w:spacing w:before="29" w:line="300" w:lineRule="auto"/>
              <w:ind w:left="17"/>
              <w:jc w:val="center"/>
              <w:rPr>
                <w:rFonts w:asciiTheme="minorEastAsia" w:eastAsiaTheme="minorEastAsia" w:hAnsiTheme="minorEastAsia"/>
                <w:kern w:val="0"/>
              </w:rPr>
            </w:pPr>
            <w:r w:rsidRPr="009802E0">
              <w:rPr>
                <w:rFonts w:asciiTheme="minorEastAsia" w:eastAsiaTheme="minorEastAsia" w:hAnsiTheme="minorEastAsia" w:hint="eastAsia"/>
                <w:kern w:val="0"/>
              </w:rPr>
              <w:t>金额(元)</w:t>
            </w:r>
          </w:p>
        </w:tc>
      </w:tr>
      <w:tr w:rsidR="009802E0" w:rsidRPr="009802E0" w:rsidTr="0096166C">
        <w:tc>
          <w:tcPr>
            <w:tcW w:w="944"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autoSpaceDE w:val="0"/>
              <w:autoSpaceDN w:val="0"/>
              <w:adjustRightInd w:val="0"/>
              <w:spacing w:before="29" w:line="300" w:lineRule="auto"/>
              <w:ind w:left="15"/>
              <w:jc w:val="center"/>
              <w:rPr>
                <w:rFonts w:asciiTheme="minorEastAsia" w:eastAsiaTheme="minorEastAsia" w:hAnsiTheme="minorEastAsia"/>
                <w:kern w:val="0"/>
              </w:rPr>
            </w:pPr>
            <w:r w:rsidRPr="009802E0">
              <w:rPr>
                <w:rFonts w:asciiTheme="minorEastAsia" w:eastAsiaTheme="minorEastAsia" w:hAnsiTheme="minorEastAsia" w:hint="eastAsia"/>
              </w:rPr>
              <w:t>1</w:t>
            </w:r>
          </w:p>
        </w:tc>
        <w:tc>
          <w:tcPr>
            <w:tcW w:w="2761"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autoSpaceDE w:val="0"/>
              <w:autoSpaceDN w:val="0"/>
              <w:adjustRightInd w:val="0"/>
              <w:spacing w:before="29" w:line="300" w:lineRule="auto"/>
              <w:ind w:left="15"/>
              <w:jc w:val="left"/>
              <w:rPr>
                <w:rFonts w:asciiTheme="minorEastAsia" w:eastAsiaTheme="minorEastAsia" w:hAnsiTheme="minorEastAsia"/>
                <w:kern w:val="0"/>
              </w:rPr>
            </w:pPr>
            <w:r w:rsidRPr="009802E0">
              <w:rPr>
                <w:rFonts w:asciiTheme="minorEastAsia" w:eastAsiaTheme="minorEastAsia" w:hAnsiTheme="minorEastAsia" w:hint="eastAsia"/>
                <w:kern w:val="0"/>
              </w:rPr>
              <w:t>存出保证金</w:t>
            </w:r>
          </w:p>
        </w:tc>
        <w:tc>
          <w:tcPr>
            <w:tcW w:w="4808"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autoSpaceDE w:val="0"/>
              <w:autoSpaceDN w:val="0"/>
              <w:adjustRightInd w:val="0"/>
              <w:spacing w:before="29" w:line="300" w:lineRule="auto"/>
              <w:ind w:left="15"/>
              <w:jc w:val="right"/>
              <w:rPr>
                <w:rFonts w:asciiTheme="minorEastAsia" w:eastAsiaTheme="minorEastAsia" w:hAnsiTheme="minorEastAsia"/>
                <w:kern w:val="0"/>
              </w:rPr>
            </w:pPr>
            <w:r w:rsidRPr="009802E0">
              <w:rPr>
                <w:rFonts w:asciiTheme="minorEastAsia" w:eastAsiaTheme="minorEastAsia" w:hAnsiTheme="minorEastAsia" w:hint="eastAsia"/>
                <w:kern w:val="0"/>
              </w:rPr>
              <w:t>710,608.59</w:t>
            </w:r>
          </w:p>
        </w:tc>
      </w:tr>
      <w:tr w:rsidR="009802E0" w:rsidRPr="009802E0" w:rsidTr="0096166C">
        <w:tc>
          <w:tcPr>
            <w:tcW w:w="944"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autoSpaceDE w:val="0"/>
              <w:autoSpaceDN w:val="0"/>
              <w:adjustRightInd w:val="0"/>
              <w:spacing w:before="29" w:line="300" w:lineRule="auto"/>
              <w:ind w:left="15"/>
              <w:jc w:val="center"/>
              <w:rPr>
                <w:rFonts w:asciiTheme="minorEastAsia" w:eastAsiaTheme="minorEastAsia" w:hAnsiTheme="minorEastAsia"/>
              </w:rPr>
            </w:pPr>
            <w:r w:rsidRPr="009802E0">
              <w:rPr>
                <w:rFonts w:asciiTheme="minorEastAsia" w:eastAsiaTheme="minorEastAsia" w:hAnsiTheme="minorEastAsia" w:hint="eastAsia"/>
              </w:rPr>
              <w:t>2</w:t>
            </w:r>
          </w:p>
        </w:tc>
        <w:tc>
          <w:tcPr>
            <w:tcW w:w="2761"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autoSpaceDE w:val="0"/>
              <w:autoSpaceDN w:val="0"/>
              <w:adjustRightInd w:val="0"/>
              <w:spacing w:before="29" w:line="300" w:lineRule="auto"/>
              <w:ind w:left="15"/>
              <w:jc w:val="left"/>
              <w:rPr>
                <w:rFonts w:asciiTheme="minorEastAsia" w:eastAsiaTheme="minorEastAsia" w:hAnsiTheme="minorEastAsia"/>
                <w:kern w:val="0"/>
              </w:rPr>
            </w:pPr>
            <w:r w:rsidRPr="009802E0">
              <w:rPr>
                <w:rFonts w:asciiTheme="minorEastAsia" w:eastAsiaTheme="minorEastAsia" w:hAnsiTheme="minorEastAsia" w:hint="eastAsia"/>
                <w:kern w:val="0"/>
              </w:rPr>
              <w:t>应收证券清算款</w:t>
            </w:r>
          </w:p>
        </w:tc>
        <w:tc>
          <w:tcPr>
            <w:tcW w:w="4808"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autoSpaceDE w:val="0"/>
              <w:autoSpaceDN w:val="0"/>
              <w:adjustRightInd w:val="0"/>
              <w:spacing w:before="29" w:line="300" w:lineRule="auto"/>
              <w:ind w:left="15"/>
              <w:jc w:val="right"/>
              <w:rPr>
                <w:rFonts w:asciiTheme="minorEastAsia" w:eastAsiaTheme="minorEastAsia" w:hAnsiTheme="minorEastAsia"/>
                <w:kern w:val="0"/>
              </w:rPr>
            </w:pPr>
            <w:r w:rsidRPr="009802E0">
              <w:rPr>
                <w:rFonts w:asciiTheme="minorEastAsia" w:eastAsiaTheme="minorEastAsia" w:hAnsiTheme="minorEastAsia" w:hint="eastAsia"/>
                <w:kern w:val="0"/>
              </w:rPr>
              <w:t>942,574,500.44</w:t>
            </w:r>
          </w:p>
        </w:tc>
      </w:tr>
      <w:tr w:rsidR="009802E0" w:rsidRPr="009802E0" w:rsidTr="0096166C">
        <w:tc>
          <w:tcPr>
            <w:tcW w:w="944"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autoSpaceDE w:val="0"/>
              <w:autoSpaceDN w:val="0"/>
              <w:adjustRightInd w:val="0"/>
              <w:spacing w:before="29" w:line="300" w:lineRule="auto"/>
              <w:ind w:left="15"/>
              <w:jc w:val="center"/>
              <w:rPr>
                <w:rFonts w:asciiTheme="minorEastAsia" w:eastAsiaTheme="minorEastAsia" w:hAnsiTheme="minorEastAsia"/>
              </w:rPr>
            </w:pPr>
            <w:r w:rsidRPr="009802E0">
              <w:rPr>
                <w:rFonts w:asciiTheme="minorEastAsia" w:eastAsiaTheme="minorEastAsia" w:hAnsiTheme="minorEastAsia" w:hint="eastAsia"/>
              </w:rPr>
              <w:t>3</w:t>
            </w:r>
          </w:p>
        </w:tc>
        <w:tc>
          <w:tcPr>
            <w:tcW w:w="2761"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autoSpaceDE w:val="0"/>
              <w:autoSpaceDN w:val="0"/>
              <w:adjustRightInd w:val="0"/>
              <w:spacing w:before="29" w:line="300" w:lineRule="auto"/>
              <w:ind w:left="15"/>
              <w:jc w:val="left"/>
              <w:rPr>
                <w:rFonts w:asciiTheme="minorEastAsia" w:eastAsiaTheme="minorEastAsia" w:hAnsiTheme="minorEastAsia"/>
                <w:kern w:val="0"/>
              </w:rPr>
            </w:pPr>
            <w:r w:rsidRPr="009802E0">
              <w:rPr>
                <w:rFonts w:asciiTheme="minorEastAsia" w:eastAsiaTheme="minorEastAsia" w:hAnsiTheme="minorEastAsia" w:hint="eastAsia"/>
                <w:kern w:val="0"/>
              </w:rPr>
              <w:t>应收股利</w:t>
            </w:r>
          </w:p>
        </w:tc>
        <w:tc>
          <w:tcPr>
            <w:tcW w:w="4808"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autoSpaceDE w:val="0"/>
              <w:autoSpaceDN w:val="0"/>
              <w:adjustRightInd w:val="0"/>
              <w:spacing w:before="29" w:line="300" w:lineRule="auto"/>
              <w:ind w:left="15"/>
              <w:jc w:val="right"/>
              <w:rPr>
                <w:rFonts w:asciiTheme="minorEastAsia" w:eastAsiaTheme="minorEastAsia" w:hAnsiTheme="minorEastAsia"/>
                <w:kern w:val="0"/>
              </w:rPr>
            </w:pPr>
            <w:r w:rsidRPr="009802E0">
              <w:rPr>
                <w:rFonts w:asciiTheme="minorEastAsia" w:eastAsiaTheme="minorEastAsia" w:hAnsiTheme="minorEastAsia" w:hint="eastAsia"/>
                <w:kern w:val="0"/>
              </w:rPr>
              <w:t>-</w:t>
            </w:r>
          </w:p>
        </w:tc>
      </w:tr>
      <w:tr w:rsidR="009802E0" w:rsidRPr="009802E0" w:rsidTr="0096166C">
        <w:tc>
          <w:tcPr>
            <w:tcW w:w="944"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autoSpaceDE w:val="0"/>
              <w:autoSpaceDN w:val="0"/>
              <w:adjustRightInd w:val="0"/>
              <w:spacing w:before="29" w:line="300" w:lineRule="auto"/>
              <w:ind w:left="15"/>
              <w:jc w:val="center"/>
              <w:rPr>
                <w:rFonts w:asciiTheme="minorEastAsia" w:eastAsiaTheme="minorEastAsia" w:hAnsiTheme="minorEastAsia"/>
              </w:rPr>
            </w:pPr>
            <w:r w:rsidRPr="009802E0">
              <w:rPr>
                <w:rFonts w:asciiTheme="minorEastAsia" w:eastAsiaTheme="minorEastAsia" w:hAnsiTheme="minorEastAsia" w:hint="eastAsia"/>
              </w:rPr>
              <w:t>4</w:t>
            </w:r>
          </w:p>
        </w:tc>
        <w:tc>
          <w:tcPr>
            <w:tcW w:w="2761"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autoSpaceDE w:val="0"/>
              <w:autoSpaceDN w:val="0"/>
              <w:adjustRightInd w:val="0"/>
              <w:spacing w:before="29" w:line="300" w:lineRule="auto"/>
              <w:ind w:left="15"/>
              <w:jc w:val="left"/>
              <w:rPr>
                <w:rFonts w:asciiTheme="minorEastAsia" w:eastAsiaTheme="minorEastAsia" w:hAnsiTheme="minorEastAsia"/>
                <w:kern w:val="0"/>
              </w:rPr>
            </w:pPr>
            <w:r w:rsidRPr="009802E0">
              <w:rPr>
                <w:rFonts w:asciiTheme="minorEastAsia" w:eastAsiaTheme="minorEastAsia" w:hAnsiTheme="minorEastAsia" w:hint="eastAsia"/>
                <w:kern w:val="0"/>
              </w:rPr>
              <w:t>应收利息</w:t>
            </w:r>
          </w:p>
        </w:tc>
        <w:tc>
          <w:tcPr>
            <w:tcW w:w="4808"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autoSpaceDE w:val="0"/>
              <w:autoSpaceDN w:val="0"/>
              <w:adjustRightInd w:val="0"/>
              <w:spacing w:before="29" w:line="300" w:lineRule="auto"/>
              <w:ind w:left="15"/>
              <w:jc w:val="right"/>
              <w:rPr>
                <w:rFonts w:asciiTheme="minorEastAsia" w:eastAsiaTheme="minorEastAsia" w:hAnsiTheme="minorEastAsia"/>
                <w:kern w:val="0"/>
              </w:rPr>
            </w:pPr>
            <w:r w:rsidRPr="009802E0">
              <w:rPr>
                <w:rFonts w:asciiTheme="minorEastAsia" w:eastAsiaTheme="minorEastAsia" w:hAnsiTheme="minorEastAsia" w:hint="eastAsia"/>
                <w:kern w:val="0"/>
              </w:rPr>
              <w:t>163,726,021.97</w:t>
            </w:r>
          </w:p>
        </w:tc>
      </w:tr>
      <w:tr w:rsidR="009802E0" w:rsidRPr="009802E0" w:rsidTr="0096166C">
        <w:tc>
          <w:tcPr>
            <w:tcW w:w="944"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autoSpaceDE w:val="0"/>
              <w:autoSpaceDN w:val="0"/>
              <w:adjustRightInd w:val="0"/>
              <w:spacing w:before="29" w:line="300" w:lineRule="auto"/>
              <w:ind w:left="15"/>
              <w:jc w:val="center"/>
              <w:rPr>
                <w:rFonts w:asciiTheme="minorEastAsia" w:eastAsiaTheme="minorEastAsia" w:hAnsiTheme="minorEastAsia"/>
              </w:rPr>
            </w:pPr>
            <w:r w:rsidRPr="009802E0">
              <w:rPr>
                <w:rFonts w:asciiTheme="minorEastAsia" w:eastAsiaTheme="minorEastAsia" w:hAnsiTheme="minorEastAsia" w:hint="eastAsia"/>
              </w:rPr>
              <w:t>5</w:t>
            </w:r>
          </w:p>
        </w:tc>
        <w:tc>
          <w:tcPr>
            <w:tcW w:w="2761"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autoSpaceDE w:val="0"/>
              <w:autoSpaceDN w:val="0"/>
              <w:adjustRightInd w:val="0"/>
              <w:spacing w:before="29" w:line="300" w:lineRule="auto"/>
              <w:ind w:left="15"/>
              <w:jc w:val="left"/>
              <w:rPr>
                <w:rFonts w:asciiTheme="minorEastAsia" w:eastAsiaTheme="minorEastAsia" w:hAnsiTheme="minorEastAsia"/>
                <w:kern w:val="0"/>
              </w:rPr>
            </w:pPr>
            <w:r w:rsidRPr="009802E0">
              <w:rPr>
                <w:rFonts w:asciiTheme="minorEastAsia" w:eastAsiaTheme="minorEastAsia" w:hAnsiTheme="minorEastAsia" w:hint="eastAsia"/>
                <w:kern w:val="0"/>
              </w:rPr>
              <w:t>应收申购款</w:t>
            </w:r>
          </w:p>
        </w:tc>
        <w:tc>
          <w:tcPr>
            <w:tcW w:w="4808"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autoSpaceDE w:val="0"/>
              <w:autoSpaceDN w:val="0"/>
              <w:adjustRightInd w:val="0"/>
              <w:spacing w:before="29" w:line="300" w:lineRule="auto"/>
              <w:ind w:left="15"/>
              <w:jc w:val="right"/>
              <w:rPr>
                <w:rFonts w:asciiTheme="minorEastAsia" w:eastAsiaTheme="minorEastAsia" w:hAnsiTheme="minorEastAsia"/>
                <w:kern w:val="0"/>
              </w:rPr>
            </w:pPr>
            <w:r w:rsidRPr="009802E0">
              <w:rPr>
                <w:rFonts w:asciiTheme="minorEastAsia" w:eastAsiaTheme="minorEastAsia" w:hAnsiTheme="minorEastAsia" w:hint="eastAsia"/>
                <w:kern w:val="0"/>
              </w:rPr>
              <w:t>6,950,982.77</w:t>
            </w:r>
          </w:p>
        </w:tc>
      </w:tr>
      <w:tr w:rsidR="009802E0" w:rsidRPr="009802E0" w:rsidTr="0096166C">
        <w:tc>
          <w:tcPr>
            <w:tcW w:w="944"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autoSpaceDE w:val="0"/>
              <w:autoSpaceDN w:val="0"/>
              <w:adjustRightInd w:val="0"/>
              <w:spacing w:before="29" w:line="300" w:lineRule="auto"/>
              <w:ind w:left="15"/>
              <w:jc w:val="center"/>
              <w:rPr>
                <w:rFonts w:asciiTheme="minorEastAsia" w:eastAsiaTheme="minorEastAsia" w:hAnsiTheme="minorEastAsia"/>
              </w:rPr>
            </w:pPr>
            <w:r w:rsidRPr="009802E0">
              <w:rPr>
                <w:rFonts w:asciiTheme="minorEastAsia" w:eastAsiaTheme="minorEastAsia" w:hAnsiTheme="minorEastAsia" w:hint="eastAsia"/>
              </w:rPr>
              <w:t>6</w:t>
            </w:r>
          </w:p>
        </w:tc>
        <w:tc>
          <w:tcPr>
            <w:tcW w:w="2761"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autoSpaceDE w:val="0"/>
              <w:autoSpaceDN w:val="0"/>
              <w:adjustRightInd w:val="0"/>
              <w:spacing w:before="29" w:line="300" w:lineRule="auto"/>
              <w:ind w:left="15"/>
              <w:jc w:val="left"/>
              <w:rPr>
                <w:rFonts w:asciiTheme="minorEastAsia" w:eastAsiaTheme="minorEastAsia" w:hAnsiTheme="minorEastAsia"/>
                <w:kern w:val="0"/>
              </w:rPr>
            </w:pPr>
            <w:r w:rsidRPr="009802E0">
              <w:rPr>
                <w:rFonts w:asciiTheme="minorEastAsia" w:eastAsiaTheme="minorEastAsia" w:hAnsiTheme="minorEastAsia" w:hint="eastAsia"/>
                <w:kern w:val="0"/>
              </w:rPr>
              <w:t>其他应收款</w:t>
            </w:r>
          </w:p>
        </w:tc>
        <w:tc>
          <w:tcPr>
            <w:tcW w:w="4808"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autoSpaceDE w:val="0"/>
              <w:autoSpaceDN w:val="0"/>
              <w:adjustRightInd w:val="0"/>
              <w:spacing w:before="29" w:line="300" w:lineRule="auto"/>
              <w:ind w:left="15"/>
              <w:jc w:val="right"/>
              <w:rPr>
                <w:rFonts w:asciiTheme="minorEastAsia" w:eastAsiaTheme="minorEastAsia" w:hAnsiTheme="minorEastAsia"/>
                <w:kern w:val="0"/>
              </w:rPr>
            </w:pPr>
            <w:r w:rsidRPr="009802E0">
              <w:rPr>
                <w:rFonts w:asciiTheme="minorEastAsia" w:eastAsiaTheme="minorEastAsia" w:hAnsiTheme="minorEastAsia" w:hint="eastAsia"/>
                <w:kern w:val="0"/>
              </w:rPr>
              <w:t>-</w:t>
            </w:r>
          </w:p>
        </w:tc>
      </w:tr>
      <w:tr w:rsidR="009802E0" w:rsidRPr="009802E0" w:rsidTr="0096166C">
        <w:tc>
          <w:tcPr>
            <w:tcW w:w="944"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autoSpaceDE w:val="0"/>
              <w:autoSpaceDN w:val="0"/>
              <w:adjustRightInd w:val="0"/>
              <w:spacing w:before="29" w:line="300" w:lineRule="auto"/>
              <w:ind w:left="15"/>
              <w:jc w:val="center"/>
              <w:rPr>
                <w:rFonts w:asciiTheme="minorEastAsia" w:eastAsiaTheme="minorEastAsia" w:hAnsiTheme="minorEastAsia"/>
              </w:rPr>
            </w:pPr>
            <w:r w:rsidRPr="009802E0">
              <w:rPr>
                <w:rFonts w:asciiTheme="minorEastAsia" w:eastAsiaTheme="minorEastAsia" w:hAnsiTheme="minorEastAsia" w:hint="eastAsia"/>
              </w:rPr>
              <w:t>7</w:t>
            </w:r>
          </w:p>
        </w:tc>
        <w:tc>
          <w:tcPr>
            <w:tcW w:w="2761"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autoSpaceDE w:val="0"/>
              <w:autoSpaceDN w:val="0"/>
              <w:adjustRightInd w:val="0"/>
              <w:spacing w:before="29" w:line="300" w:lineRule="auto"/>
              <w:ind w:left="15"/>
              <w:jc w:val="left"/>
              <w:rPr>
                <w:rFonts w:asciiTheme="minorEastAsia" w:eastAsiaTheme="minorEastAsia" w:hAnsiTheme="minorEastAsia"/>
              </w:rPr>
            </w:pPr>
            <w:r w:rsidRPr="009802E0">
              <w:rPr>
                <w:rFonts w:asciiTheme="minorEastAsia" w:eastAsiaTheme="minorEastAsia" w:hAnsiTheme="minorEastAsia" w:hint="eastAsia"/>
              </w:rPr>
              <w:t>待摊费用</w:t>
            </w:r>
          </w:p>
        </w:tc>
        <w:tc>
          <w:tcPr>
            <w:tcW w:w="4808"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autoSpaceDE w:val="0"/>
              <w:autoSpaceDN w:val="0"/>
              <w:adjustRightInd w:val="0"/>
              <w:spacing w:before="29" w:line="300" w:lineRule="auto"/>
              <w:ind w:left="15"/>
              <w:jc w:val="right"/>
              <w:rPr>
                <w:rFonts w:asciiTheme="minorEastAsia" w:eastAsiaTheme="minorEastAsia" w:hAnsiTheme="minorEastAsia"/>
              </w:rPr>
            </w:pPr>
            <w:r w:rsidRPr="009802E0">
              <w:rPr>
                <w:rFonts w:asciiTheme="minorEastAsia" w:eastAsiaTheme="minorEastAsia" w:hAnsiTheme="minorEastAsia" w:hint="eastAsia"/>
              </w:rPr>
              <w:t>-</w:t>
            </w:r>
          </w:p>
        </w:tc>
      </w:tr>
      <w:tr w:rsidR="009802E0" w:rsidRPr="009802E0" w:rsidTr="0096166C">
        <w:tc>
          <w:tcPr>
            <w:tcW w:w="944"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autoSpaceDE w:val="0"/>
              <w:autoSpaceDN w:val="0"/>
              <w:adjustRightInd w:val="0"/>
              <w:spacing w:before="29" w:line="300" w:lineRule="auto"/>
              <w:ind w:left="15"/>
              <w:jc w:val="center"/>
              <w:rPr>
                <w:rFonts w:asciiTheme="minorEastAsia" w:eastAsiaTheme="minorEastAsia" w:hAnsiTheme="minorEastAsia"/>
              </w:rPr>
            </w:pPr>
            <w:r w:rsidRPr="009802E0">
              <w:rPr>
                <w:rFonts w:asciiTheme="minorEastAsia" w:eastAsiaTheme="minorEastAsia" w:hAnsiTheme="minorEastAsia" w:hint="eastAsia"/>
              </w:rPr>
              <w:t>8</w:t>
            </w:r>
          </w:p>
        </w:tc>
        <w:tc>
          <w:tcPr>
            <w:tcW w:w="2761"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autoSpaceDE w:val="0"/>
              <w:autoSpaceDN w:val="0"/>
              <w:adjustRightInd w:val="0"/>
              <w:spacing w:before="29" w:line="300" w:lineRule="auto"/>
              <w:ind w:left="15"/>
              <w:jc w:val="left"/>
              <w:rPr>
                <w:rFonts w:asciiTheme="minorEastAsia" w:eastAsiaTheme="minorEastAsia" w:hAnsiTheme="minorEastAsia"/>
                <w:kern w:val="0"/>
              </w:rPr>
            </w:pPr>
            <w:r w:rsidRPr="009802E0">
              <w:rPr>
                <w:rFonts w:asciiTheme="minorEastAsia" w:eastAsiaTheme="minorEastAsia" w:hAnsiTheme="minorEastAsia" w:hint="eastAsia"/>
                <w:kern w:val="0"/>
              </w:rPr>
              <w:t>其他</w:t>
            </w:r>
          </w:p>
        </w:tc>
        <w:tc>
          <w:tcPr>
            <w:tcW w:w="4808"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autoSpaceDE w:val="0"/>
              <w:autoSpaceDN w:val="0"/>
              <w:adjustRightInd w:val="0"/>
              <w:spacing w:before="29" w:line="300" w:lineRule="auto"/>
              <w:ind w:left="15"/>
              <w:jc w:val="right"/>
              <w:rPr>
                <w:rFonts w:asciiTheme="minorEastAsia" w:eastAsiaTheme="minorEastAsia" w:hAnsiTheme="minorEastAsia"/>
                <w:kern w:val="0"/>
              </w:rPr>
            </w:pPr>
            <w:r w:rsidRPr="009802E0">
              <w:rPr>
                <w:rFonts w:asciiTheme="minorEastAsia" w:eastAsiaTheme="minorEastAsia" w:hAnsiTheme="minorEastAsia" w:hint="eastAsia"/>
                <w:kern w:val="0"/>
              </w:rPr>
              <w:t>-</w:t>
            </w:r>
          </w:p>
        </w:tc>
      </w:tr>
      <w:tr w:rsidR="009802E0" w:rsidRPr="009802E0" w:rsidTr="0096166C">
        <w:tc>
          <w:tcPr>
            <w:tcW w:w="944"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autoSpaceDE w:val="0"/>
              <w:autoSpaceDN w:val="0"/>
              <w:adjustRightInd w:val="0"/>
              <w:spacing w:before="29" w:line="300" w:lineRule="auto"/>
              <w:ind w:left="15"/>
              <w:jc w:val="center"/>
              <w:rPr>
                <w:rFonts w:asciiTheme="minorEastAsia" w:eastAsiaTheme="minorEastAsia" w:hAnsiTheme="minorEastAsia"/>
              </w:rPr>
            </w:pPr>
            <w:r w:rsidRPr="009802E0">
              <w:rPr>
                <w:rFonts w:asciiTheme="minorEastAsia" w:eastAsiaTheme="minorEastAsia" w:hAnsiTheme="minorEastAsia" w:hint="eastAsia"/>
              </w:rPr>
              <w:t>9</w:t>
            </w:r>
          </w:p>
        </w:tc>
        <w:tc>
          <w:tcPr>
            <w:tcW w:w="2761"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autoSpaceDE w:val="0"/>
              <w:autoSpaceDN w:val="0"/>
              <w:adjustRightInd w:val="0"/>
              <w:spacing w:before="29" w:line="300" w:lineRule="auto"/>
              <w:ind w:left="15"/>
              <w:jc w:val="left"/>
              <w:rPr>
                <w:rFonts w:asciiTheme="minorEastAsia" w:eastAsiaTheme="minorEastAsia" w:hAnsiTheme="minorEastAsia"/>
                <w:kern w:val="0"/>
              </w:rPr>
            </w:pPr>
            <w:r w:rsidRPr="009802E0">
              <w:rPr>
                <w:rFonts w:asciiTheme="minorEastAsia" w:eastAsiaTheme="minorEastAsia" w:hAnsiTheme="minorEastAsia" w:hint="eastAsia"/>
                <w:kern w:val="0"/>
              </w:rPr>
              <w:t>合计</w:t>
            </w:r>
          </w:p>
        </w:tc>
        <w:tc>
          <w:tcPr>
            <w:tcW w:w="4808"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autoSpaceDE w:val="0"/>
              <w:autoSpaceDN w:val="0"/>
              <w:adjustRightInd w:val="0"/>
              <w:spacing w:before="29" w:line="300" w:lineRule="auto"/>
              <w:ind w:left="15"/>
              <w:jc w:val="right"/>
              <w:rPr>
                <w:rFonts w:asciiTheme="minorEastAsia" w:eastAsiaTheme="minorEastAsia" w:hAnsiTheme="minorEastAsia"/>
                <w:kern w:val="0"/>
              </w:rPr>
            </w:pPr>
            <w:r w:rsidRPr="009802E0">
              <w:rPr>
                <w:rFonts w:asciiTheme="minorEastAsia" w:eastAsiaTheme="minorEastAsia" w:hAnsiTheme="minorEastAsia" w:hint="eastAsia"/>
                <w:kern w:val="0"/>
              </w:rPr>
              <w:t>1,113,962,113.77</w:t>
            </w:r>
          </w:p>
        </w:tc>
      </w:tr>
    </w:tbl>
    <w:p w:rsidR="0096166C" w:rsidRPr="009802E0" w:rsidRDefault="0096166C" w:rsidP="009802E0">
      <w:pPr>
        <w:pStyle w:val="af6"/>
        <w:adjustRightInd w:val="0"/>
        <w:snapToGrid w:val="0"/>
        <w:spacing w:line="360" w:lineRule="auto"/>
        <w:ind w:firstLineChars="200" w:firstLine="420"/>
        <w:rPr>
          <w:rFonts w:asciiTheme="minorEastAsia" w:eastAsiaTheme="minorEastAsia" w:hAnsiTheme="minorEastAsia"/>
          <w:sz w:val="21"/>
          <w:szCs w:val="21"/>
        </w:rPr>
      </w:pPr>
      <w:r w:rsidRPr="009802E0">
        <w:rPr>
          <w:rFonts w:asciiTheme="minorEastAsia" w:eastAsiaTheme="minorEastAsia" w:hAnsiTheme="minorEastAsia" w:hint="eastAsia"/>
          <w:sz w:val="21"/>
          <w:szCs w:val="21"/>
        </w:rPr>
        <w:t>（4）报告期末持有的处于转股期的可转换债券明细</w:t>
      </w:r>
    </w:p>
    <w:tbl>
      <w:tblPr>
        <w:tblW w:w="80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7"/>
        <w:gridCol w:w="2302"/>
        <w:gridCol w:w="1476"/>
        <w:gridCol w:w="1896"/>
        <w:gridCol w:w="1459"/>
      </w:tblGrid>
      <w:tr w:rsidR="009802E0" w:rsidRPr="009802E0" w:rsidTr="0096166C">
        <w:tc>
          <w:tcPr>
            <w:tcW w:w="944"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center"/>
              <w:rPr>
                <w:rFonts w:asciiTheme="minorEastAsia" w:eastAsiaTheme="minorEastAsia" w:hAnsiTheme="minorEastAsia"/>
              </w:rPr>
            </w:pPr>
            <w:r w:rsidRPr="009802E0">
              <w:rPr>
                <w:rFonts w:asciiTheme="minorEastAsia" w:eastAsiaTheme="minorEastAsia" w:hAnsiTheme="minorEastAsia" w:hint="eastAsia"/>
              </w:rPr>
              <w:t>序号</w:t>
            </w:r>
          </w:p>
        </w:tc>
        <w:tc>
          <w:tcPr>
            <w:tcW w:w="2568"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center"/>
              <w:rPr>
                <w:rFonts w:asciiTheme="minorEastAsia" w:eastAsiaTheme="minorEastAsia" w:hAnsiTheme="minorEastAsia" w:cstheme="minorBidi"/>
              </w:rPr>
            </w:pPr>
            <w:r w:rsidRPr="009802E0">
              <w:rPr>
                <w:rFonts w:asciiTheme="minorEastAsia" w:eastAsiaTheme="minorEastAsia" w:hAnsiTheme="minorEastAsia" w:hint="eastAsia"/>
              </w:rPr>
              <w:t>债券代码</w:t>
            </w:r>
          </w:p>
        </w:tc>
        <w:tc>
          <w:tcPr>
            <w:tcW w:w="1665"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center"/>
              <w:rPr>
                <w:rFonts w:asciiTheme="minorEastAsia" w:eastAsiaTheme="minorEastAsia" w:hAnsiTheme="minorEastAsia"/>
              </w:rPr>
            </w:pPr>
            <w:r w:rsidRPr="009802E0">
              <w:rPr>
                <w:rFonts w:asciiTheme="minorEastAsia" w:eastAsiaTheme="minorEastAsia" w:hAnsiTheme="minorEastAsia" w:hint="eastAsia"/>
              </w:rPr>
              <w:t>债券名称</w:t>
            </w:r>
          </w:p>
        </w:tc>
        <w:tc>
          <w:tcPr>
            <w:tcW w:w="1727"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center"/>
              <w:rPr>
                <w:rFonts w:asciiTheme="minorEastAsia" w:eastAsiaTheme="minorEastAsia" w:hAnsiTheme="minorEastAsia"/>
              </w:rPr>
            </w:pPr>
            <w:r w:rsidRPr="009802E0">
              <w:rPr>
                <w:rFonts w:asciiTheme="minorEastAsia" w:eastAsiaTheme="minorEastAsia" w:hAnsiTheme="minorEastAsia" w:hint="eastAsia"/>
              </w:rPr>
              <w:t>公允价值(元)</w:t>
            </w:r>
          </w:p>
        </w:tc>
        <w:tc>
          <w:tcPr>
            <w:tcW w:w="1609" w:type="dxa"/>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before="29" w:line="300" w:lineRule="auto"/>
              <w:ind w:left="17"/>
              <w:jc w:val="center"/>
              <w:rPr>
                <w:rFonts w:asciiTheme="minorEastAsia" w:eastAsiaTheme="minorEastAsia" w:hAnsiTheme="minorEastAsia"/>
              </w:rPr>
            </w:pPr>
            <w:r w:rsidRPr="009802E0">
              <w:rPr>
                <w:rFonts w:asciiTheme="minorEastAsia" w:eastAsiaTheme="minorEastAsia" w:hAnsiTheme="minorEastAsia" w:hint="eastAsia"/>
              </w:rPr>
              <w:t>占基金资产净值比例(%)</w:t>
            </w:r>
          </w:p>
        </w:tc>
      </w:tr>
      <w:tr w:rsidR="009802E0" w:rsidRPr="009802E0" w:rsidTr="0096166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113011</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光大转债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1,165,396,765.00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7.13</w:t>
            </w:r>
          </w:p>
        </w:tc>
      </w:tr>
      <w:tr w:rsidR="009802E0" w:rsidRPr="009802E0" w:rsidTr="0096166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110053</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苏银转债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929,413,699.20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5.69</w:t>
            </w:r>
          </w:p>
        </w:tc>
      </w:tr>
      <w:tr w:rsidR="009802E0" w:rsidRPr="009802E0" w:rsidTr="0096166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132009</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17中油EB</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361,387,624.20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2.21</w:t>
            </w:r>
          </w:p>
        </w:tc>
      </w:tr>
      <w:tr w:rsidR="009802E0" w:rsidRPr="009802E0" w:rsidTr="0096166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127005</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长证转债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360,305,959.28</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2.21</w:t>
            </w:r>
          </w:p>
        </w:tc>
      </w:tr>
      <w:tr w:rsidR="009802E0" w:rsidRPr="009802E0" w:rsidTr="0096166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113008</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电气转债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315,368,726.20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1.93</w:t>
            </w:r>
          </w:p>
        </w:tc>
      </w:tr>
      <w:tr w:rsidR="009802E0" w:rsidRPr="009802E0" w:rsidTr="0096166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lastRenderedPageBreak/>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113021</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中信转债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303,518,985.00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1.86</w:t>
            </w:r>
          </w:p>
        </w:tc>
      </w:tr>
      <w:tr w:rsidR="009802E0" w:rsidRPr="009802E0" w:rsidTr="0096166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132013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17宝武EB</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236,206,800.20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1.45</w:t>
            </w:r>
          </w:p>
        </w:tc>
      </w:tr>
      <w:tr w:rsidR="009802E0" w:rsidRPr="009802E0" w:rsidTr="0096166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132008</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17山高EB</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137,680,875.00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0.84</w:t>
            </w:r>
          </w:p>
        </w:tc>
      </w:tr>
      <w:tr w:rsidR="009802E0" w:rsidRPr="009802E0" w:rsidTr="0096166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110034</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九州转债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136,508,014.60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0.84</w:t>
            </w:r>
          </w:p>
        </w:tc>
      </w:tr>
      <w:tr w:rsidR="009802E0" w:rsidRPr="009802E0" w:rsidTr="0096166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110033</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国贸转债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133,481,161.90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0.82</w:t>
            </w:r>
          </w:p>
        </w:tc>
      </w:tr>
      <w:tr w:rsidR="009802E0" w:rsidRPr="009802E0" w:rsidTr="0096166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113019</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玲珑转债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126,405,909.70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0.77</w:t>
            </w:r>
          </w:p>
        </w:tc>
      </w:tr>
      <w:tr w:rsidR="009802E0" w:rsidRPr="009802E0" w:rsidTr="0096166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113025</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明泰转债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124,868,304.00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0.76</w:t>
            </w:r>
          </w:p>
        </w:tc>
      </w:tr>
      <w:tr w:rsidR="009802E0" w:rsidRPr="009802E0" w:rsidTr="0096166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113013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国君转债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105,867,000.00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0.65</w:t>
            </w:r>
          </w:p>
        </w:tc>
      </w:tr>
      <w:tr w:rsidR="009802E0" w:rsidRPr="009802E0" w:rsidTr="0096166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113543</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欧派转债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105,521,430.00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0.65</w:t>
            </w:r>
          </w:p>
        </w:tc>
      </w:tr>
      <w:tr w:rsidR="009802E0" w:rsidRPr="009802E0" w:rsidTr="0096166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113014</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林洋转债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92,881,027.00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0.57</w:t>
            </w:r>
          </w:p>
        </w:tc>
      </w:tr>
      <w:tr w:rsidR="009802E0" w:rsidRPr="009802E0" w:rsidTr="0096166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123004</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铁汉转债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79,956,900.00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0.49</w:t>
            </w:r>
          </w:p>
        </w:tc>
      </w:tr>
      <w:tr w:rsidR="009802E0" w:rsidRPr="009802E0" w:rsidTr="0096166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110038</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济川转债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61,448,200.00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0.38</w:t>
            </w:r>
          </w:p>
        </w:tc>
      </w:tr>
      <w:tr w:rsidR="009802E0" w:rsidRPr="009802E0" w:rsidTr="0096166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113028</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环境转债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60,745,279.50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0.37</w:t>
            </w:r>
          </w:p>
        </w:tc>
      </w:tr>
      <w:tr w:rsidR="009802E0" w:rsidRPr="009802E0" w:rsidTr="0096166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128022</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众信转债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56,429,582.30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0.35</w:t>
            </w:r>
          </w:p>
        </w:tc>
      </w:tr>
      <w:tr w:rsidR="009802E0" w:rsidRPr="009802E0" w:rsidTr="0096166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132007</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16凤凰EB</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54,223,200.00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0.33</w:t>
            </w:r>
          </w:p>
        </w:tc>
      </w:tr>
      <w:tr w:rsidR="009802E0" w:rsidRPr="009802E0" w:rsidTr="0096166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113024</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核建转债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50,154,165.60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0.31</w:t>
            </w:r>
          </w:p>
        </w:tc>
      </w:tr>
      <w:tr w:rsidR="009802E0" w:rsidRPr="009802E0" w:rsidTr="0096166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128010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顺昌转债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37,521,485.12</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0.23</w:t>
            </w:r>
          </w:p>
        </w:tc>
      </w:tr>
      <w:tr w:rsidR="009802E0" w:rsidRPr="009802E0" w:rsidTr="0096166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110045</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海澜转债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35,400,983.60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0.22</w:t>
            </w:r>
          </w:p>
        </w:tc>
      </w:tr>
      <w:tr w:rsidR="009802E0" w:rsidRPr="009802E0" w:rsidTr="0096166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128071</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合兴转债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26,756,309.65</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0.16</w:t>
            </w:r>
          </w:p>
        </w:tc>
      </w:tr>
      <w:tr w:rsidR="009802E0" w:rsidRPr="009802E0" w:rsidTr="0096166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110048</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福能转债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25,795,000.00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0.16</w:t>
            </w:r>
          </w:p>
        </w:tc>
      </w:tr>
      <w:tr w:rsidR="009802E0" w:rsidRPr="009802E0" w:rsidTr="0096166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113020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桐昆转债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23,604,533.80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0.14</w:t>
            </w:r>
          </w:p>
        </w:tc>
      </w:tr>
      <w:tr w:rsidR="009802E0" w:rsidRPr="009802E0" w:rsidTr="0096166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132015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18中油EB</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20,124,000.00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0.12</w:t>
            </w:r>
          </w:p>
        </w:tc>
      </w:tr>
      <w:tr w:rsidR="009802E0" w:rsidRPr="009802E0" w:rsidTr="0096166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128014</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永东转债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20,065,900.00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0.12</w:t>
            </w:r>
          </w:p>
        </w:tc>
      </w:tr>
      <w:tr w:rsidR="009802E0" w:rsidRPr="009802E0" w:rsidTr="0096166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113009</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广汽转债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18,284,800.00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0.11</w:t>
            </w:r>
          </w:p>
        </w:tc>
      </w:tr>
      <w:tr w:rsidR="009802E0" w:rsidRPr="009802E0" w:rsidTr="0096166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113516</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苏农转债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17,505,687.60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0.11</w:t>
            </w:r>
          </w:p>
        </w:tc>
      </w:tr>
      <w:tr w:rsidR="009802E0" w:rsidRPr="009802E0" w:rsidTr="0096166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128015</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久其转债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15,081,511.75</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0.09</w:t>
            </w:r>
          </w:p>
        </w:tc>
      </w:tr>
      <w:tr w:rsidR="009802E0" w:rsidRPr="009802E0" w:rsidTr="0096166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132005</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15国资EB</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13,783,380.80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0.08</w:t>
            </w:r>
          </w:p>
        </w:tc>
      </w:tr>
      <w:tr w:rsidR="009802E0" w:rsidRPr="009802E0" w:rsidTr="0096166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113504</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艾华转债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9,972,482.80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0.06</w:t>
            </w:r>
          </w:p>
        </w:tc>
      </w:tr>
      <w:tr w:rsidR="009802E0" w:rsidRPr="009802E0" w:rsidTr="0096166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128044</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岭南转债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6,189,388.80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0.04</w:t>
            </w:r>
          </w:p>
        </w:tc>
      </w:tr>
      <w:tr w:rsidR="009802E0" w:rsidRPr="009802E0" w:rsidTr="0096166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35</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128075</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center"/>
              <w:rPr>
                <w:rFonts w:asciiTheme="minorEastAsia" w:eastAsiaTheme="minorEastAsia" w:hAnsiTheme="minorEastAsia"/>
              </w:rPr>
            </w:pPr>
            <w:r w:rsidRPr="009802E0">
              <w:rPr>
                <w:rFonts w:asciiTheme="minorEastAsia" w:eastAsiaTheme="minorEastAsia" w:hAnsiTheme="minorEastAsia" w:hint="eastAsia"/>
              </w:rPr>
              <w:t>远东转债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148,135.00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166C" w:rsidRPr="009802E0" w:rsidRDefault="0096166C">
            <w:pPr>
              <w:spacing w:line="300" w:lineRule="auto"/>
              <w:jc w:val="right"/>
              <w:rPr>
                <w:rFonts w:asciiTheme="minorEastAsia" w:eastAsiaTheme="minorEastAsia" w:hAnsiTheme="minorEastAsia"/>
              </w:rPr>
            </w:pPr>
            <w:r w:rsidRPr="009802E0">
              <w:rPr>
                <w:rFonts w:asciiTheme="minorEastAsia" w:eastAsiaTheme="minorEastAsia" w:hAnsiTheme="minorEastAsia" w:hint="eastAsia"/>
              </w:rPr>
              <w:t>0.00</w:t>
            </w:r>
          </w:p>
        </w:tc>
      </w:tr>
    </w:tbl>
    <w:p w:rsidR="0096166C" w:rsidRPr="009802E0" w:rsidRDefault="0096166C" w:rsidP="009802E0">
      <w:pPr>
        <w:pStyle w:val="af6"/>
        <w:adjustRightInd w:val="0"/>
        <w:snapToGrid w:val="0"/>
        <w:spacing w:line="360" w:lineRule="auto"/>
        <w:ind w:firstLineChars="200" w:firstLine="420"/>
        <w:rPr>
          <w:rFonts w:asciiTheme="minorEastAsia" w:eastAsiaTheme="minorEastAsia" w:hAnsiTheme="minorEastAsia"/>
          <w:sz w:val="21"/>
          <w:szCs w:val="21"/>
        </w:rPr>
      </w:pPr>
      <w:r w:rsidRPr="009802E0">
        <w:rPr>
          <w:rFonts w:asciiTheme="minorEastAsia" w:eastAsiaTheme="minorEastAsia" w:hAnsiTheme="minorEastAsia" w:hint="eastAsia"/>
          <w:sz w:val="21"/>
          <w:szCs w:val="21"/>
        </w:rPr>
        <w:t>（5）报告期末前十名股票中存在流通受限情况的说明</w:t>
      </w:r>
    </w:p>
    <w:p w:rsidR="0096166C" w:rsidRPr="009802E0" w:rsidRDefault="0096166C" w:rsidP="009802E0">
      <w:pPr>
        <w:pStyle w:val="af6"/>
        <w:adjustRightInd w:val="0"/>
        <w:snapToGrid w:val="0"/>
        <w:spacing w:line="360" w:lineRule="auto"/>
        <w:ind w:firstLineChars="200" w:firstLine="420"/>
        <w:rPr>
          <w:rFonts w:asciiTheme="minorEastAsia" w:eastAsiaTheme="minorEastAsia" w:hAnsiTheme="minorEastAsia"/>
          <w:sz w:val="21"/>
          <w:szCs w:val="21"/>
        </w:rPr>
      </w:pPr>
      <w:r w:rsidRPr="009802E0">
        <w:rPr>
          <w:rFonts w:asciiTheme="minorEastAsia" w:eastAsiaTheme="minorEastAsia" w:hAnsiTheme="minorEastAsia" w:hint="eastAsia"/>
          <w:sz w:val="21"/>
          <w:szCs w:val="21"/>
        </w:rPr>
        <w:t>本基金本报告期末前十名股票中不存在流通受限情况。</w:t>
      </w:r>
    </w:p>
    <w:p w:rsidR="00886548" w:rsidRPr="009802E0" w:rsidRDefault="00886548">
      <w:pPr>
        <w:widowControl/>
        <w:jc w:val="left"/>
        <w:rPr>
          <w:rFonts w:asciiTheme="minorEastAsia" w:eastAsiaTheme="minorEastAsia" w:hAnsiTheme="minorEastAsia"/>
        </w:rPr>
      </w:pPr>
      <w:r w:rsidRPr="009802E0">
        <w:rPr>
          <w:rFonts w:asciiTheme="minorEastAsia" w:eastAsiaTheme="minorEastAsia" w:hAnsiTheme="minorEastAsia"/>
        </w:rPr>
        <w:br w:type="page"/>
      </w:r>
    </w:p>
    <w:p w:rsidR="0096166C" w:rsidRPr="009802E0" w:rsidRDefault="0096166C" w:rsidP="0096166C">
      <w:pPr>
        <w:spacing w:line="300" w:lineRule="auto"/>
        <w:rPr>
          <w:rFonts w:asciiTheme="minorEastAsia" w:eastAsiaTheme="minorEastAsia" w:hAnsiTheme="minorEastAsia"/>
        </w:rPr>
      </w:pPr>
    </w:p>
    <w:p w:rsidR="000B55EF" w:rsidRPr="009802E0" w:rsidRDefault="000B55EF" w:rsidP="00FE018D">
      <w:pPr>
        <w:pStyle w:val="1"/>
        <w:adjustRightInd w:val="0"/>
        <w:snapToGrid w:val="0"/>
        <w:spacing w:beforeLines="0" w:afterLines="0" w:line="360" w:lineRule="auto"/>
        <w:ind w:firstLineChars="0" w:firstLine="601"/>
        <w:rPr>
          <w:rFonts w:asciiTheme="minorEastAsia" w:eastAsiaTheme="minorEastAsia" w:hAnsiTheme="minorEastAsia"/>
          <w:b/>
          <w:szCs w:val="21"/>
        </w:rPr>
      </w:pPr>
      <w:bookmarkStart w:id="106" w:name="_Toc43301929"/>
      <w:r w:rsidRPr="009802E0">
        <w:rPr>
          <w:rFonts w:asciiTheme="minorEastAsia" w:eastAsiaTheme="minorEastAsia" w:hAnsiTheme="minorEastAsia" w:hint="eastAsia"/>
          <w:b/>
          <w:sz w:val="30"/>
        </w:rPr>
        <w:t>十二、基金的业绩</w:t>
      </w:r>
      <w:bookmarkEnd w:id="106"/>
    </w:p>
    <w:p w:rsidR="000B55EF" w:rsidRPr="009802E0" w:rsidRDefault="000B55EF"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szCs w:val="21"/>
        </w:rPr>
        <w:t>基金管理人依照恪尽职守、诚实信用、谨慎勤勉的原则管理和运用基金财产，但不保证基金一定盈利，也不保证最低收益。基金的过往业绩并不代表其未来表现。投资有风险，投资者在</w:t>
      </w:r>
      <w:r w:rsidRPr="009802E0">
        <w:rPr>
          <w:rFonts w:asciiTheme="minorEastAsia" w:eastAsiaTheme="minorEastAsia" w:hAnsiTheme="minorEastAsia" w:hint="eastAsia"/>
          <w:szCs w:val="21"/>
        </w:rPr>
        <w:t>作出</w:t>
      </w:r>
      <w:r w:rsidRPr="009802E0">
        <w:rPr>
          <w:rFonts w:asciiTheme="minorEastAsia" w:eastAsiaTheme="minorEastAsia" w:hAnsiTheme="minorEastAsia"/>
          <w:szCs w:val="21"/>
        </w:rPr>
        <w:t>投资决策前应仔细阅读本基金的招募说明书。</w:t>
      </w:r>
    </w:p>
    <w:p w:rsidR="007E1BE1" w:rsidRPr="009802E0" w:rsidRDefault="000B55EF" w:rsidP="00FE018D">
      <w:pPr>
        <w:adjustRightInd w:val="0"/>
        <w:snapToGrid w:val="0"/>
        <w:spacing w:line="360" w:lineRule="auto"/>
        <w:ind w:right="28"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本基金合同生效日为2011年6月21日，</w:t>
      </w:r>
      <w:r w:rsidR="0096166C" w:rsidRPr="009802E0">
        <w:rPr>
          <w:rFonts w:asciiTheme="minorEastAsia" w:eastAsiaTheme="minorEastAsia" w:hAnsiTheme="minorEastAsia" w:hint="eastAsia"/>
          <w:kern w:val="0"/>
          <w:szCs w:val="21"/>
        </w:rPr>
        <w:t>基金合同生效以来（截至2019年12月31日）的投资业绩及与同期基准的比较如下表所示</w:t>
      </w:r>
      <w:r w:rsidRPr="009802E0">
        <w:rPr>
          <w:rFonts w:asciiTheme="minorEastAsia" w:eastAsiaTheme="minorEastAsia" w:hAnsiTheme="minorEastAsia" w:hint="eastAsia"/>
          <w:kern w:val="0"/>
          <w:szCs w:val="21"/>
        </w:rPr>
        <w:t>：</w:t>
      </w:r>
    </w:p>
    <w:p w:rsidR="00F10AF9" w:rsidRPr="009802E0" w:rsidRDefault="00C335A3" w:rsidP="00FE018D">
      <w:pPr>
        <w:adjustRightInd w:val="0"/>
        <w:snapToGrid w:val="0"/>
        <w:spacing w:line="360" w:lineRule="auto"/>
        <w:ind w:right="28" w:firstLineChars="200" w:firstLine="420"/>
        <w:rPr>
          <w:rFonts w:asciiTheme="minorEastAsia" w:eastAsiaTheme="minorEastAsia" w:hAnsiTheme="minorEastAsia"/>
          <w:kern w:val="0"/>
          <w:szCs w:val="21"/>
        </w:rPr>
      </w:pPr>
      <w:r w:rsidRPr="009802E0">
        <w:rPr>
          <w:rFonts w:asciiTheme="minorEastAsia" w:eastAsiaTheme="minorEastAsia" w:hAnsiTheme="minorEastAsia"/>
          <w:kern w:val="0"/>
          <w:szCs w:val="21"/>
        </w:rPr>
        <w:t>1</w:t>
      </w:r>
      <w:r w:rsidRPr="009802E0">
        <w:rPr>
          <w:rFonts w:asciiTheme="minorEastAsia" w:eastAsiaTheme="minorEastAsia" w:hAnsiTheme="minorEastAsia" w:hint="eastAsia"/>
          <w:kern w:val="0"/>
          <w:szCs w:val="21"/>
        </w:rPr>
        <w:t>、</w:t>
      </w:r>
      <w:r w:rsidR="00F10AF9" w:rsidRPr="009802E0">
        <w:rPr>
          <w:rFonts w:asciiTheme="minorEastAsia" w:eastAsiaTheme="minorEastAsia" w:hAnsiTheme="minorEastAsia" w:hint="eastAsia"/>
          <w:kern w:val="0"/>
          <w:szCs w:val="21"/>
        </w:rPr>
        <w:t>易方达安心回报债券</w:t>
      </w:r>
      <w:r w:rsidR="00F10AF9" w:rsidRPr="009802E0">
        <w:rPr>
          <w:rFonts w:asciiTheme="minorEastAsia" w:eastAsiaTheme="minorEastAsia" w:hAnsiTheme="minorEastAsia"/>
          <w:kern w:val="0"/>
          <w:szCs w:val="21"/>
        </w:rPr>
        <w:t>A</w:t>
      </w:r>
      <w:r w:rsidR="00B94AD0" w:rsidRPr="009802E0">
        <w:rPr>
          <w:rFonts w:asciiTheme="minorEastAsia" w:eastAsiaTheme="minorEastAsia" w:hAnsiTheme="minorEastAsia" w:hint="eastAsia"/>
          <w:kern w:val="0"/>
          <w:szCs w:val="21"/>
        </w:rPr>
        <w:t>类</w:t>
      </w:r>
      <w:r w:rsidR="00F10AF9" w:rsidRPr="009802E0">
        <w:rPr>
          <w:rFonts w:asciiTheme="minorEastAsia" w:eastAsiaTheme="minorEastAsia" w:hAnsiTheme="minorEastAsia" w:hint="eastAsia"/>
          <w:kern w:val="0"/>
          <w:szCs w:val="21"/>
        </w:rPr>
        <w:t>基金份额净值增长率与同期业绩比较基准收益率比较</w:t>
      </w: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960"/>
        <w:gridCol w:w="1080"/>
        <w:gridCol w:w="1440"/>
        <w:gridCol w:w="1440"/>
        <w:gridCol w:w="900"/>
        <w:gridCol w:w="900"/>
      </w:tblGrid>
      <w:tr w:rsidR="00F1417A" w:rsidRPr="009802E0" w:rsidTr="00297A76">
        <w:trPr>
          <w:trHeight w:val="315"/>
        </w:trPr>
        <w:tc>
          <w:tcPr>
            <w:tcW w:w="1702" w:type="dxa"/>
            <w:vAlign w:val="center"/>
          </w:tcPr>
          <w:p w:rsidR="00A208E6" w:rsidRPr="009802E0" w:rsidRDefault="00A208E6" w:rsidP="00FE018D">
            <w:pPr>
              <w:adjustRightInd w:val="0"/>
              <w:snapToGrid w:val="0"/>
              <w:spacing w:line="360" w:lineRule="auto"/>
              <w:jc w:val="center"/>
              <w:rPr>
                <w:rFonts w:asciiTheme="minorEastAsia" w:eastAsiaTheme="minorEastAsia" w:hAnsiTheme="minorEastAsia" w:cs="Arial Unicode MS"/>
                <w:szCs w:val="21"/>
              </w:rPr>
            </w:pPr>
            <w:r w:rsidRPr="009802E0">
              <w:rPr>
                <w:rFonts w:asciiTheme="minorEastAsia" w:eastAsiaTheme="minorEastAsia" w:hAnsiTheme="minorEastAsia" w:hint="eastAsia"/>
                <w:szCs w:val="21"/>
              </w:rPr>
              <w:t>阶段</w:t>
            </w:r>
          </w:p>
        </w:tc>
        <w:tc>
          <w:tcPr>
            <w:tcW w:w="960" w:type="dxa"/>
            <w:vAlign w:val="center"/>
          </w:tcPr>
          <w:p w:rsidR="00A208E6" w:rsidRPr="009802E0" w:rsidRDefault="00A208E6" w:rsidP="00FE018D">
            <w:pPr>
              <w:adjustRightInd w:val="0"/>
              <w:snapToGrid w:val="0"/>
              <w:spacing w:line="360" w:lineRule="auto"/>
              <w:jc w:val="center"/>
              <w:rPr>
                <w:rFonts w:asciiTheme="minorEastAsia" w:eastAsiaTheme="minorEastAsia" w:hAnsiTheme="minorEastAsia" w:cs="Arial Unicode MS"/>
                <w:szCs w:val="21"/>
              </w:rPr>
            </w:pPr>
            <w:r w:rsidRPr="009802E0">
              <w:rPr>
                <w:rFonts w:asciiTheme="minorEastAsia" w:eastAsiaTheme="minorEastAsia" w:hAnsiTheme="minorEastAsia" w:hint="eastAsia"/>
                <w:szCs w:val="21"/>
              </w:rPr>
              <w:t>净值增长率（</w:t>
            </w:r>
            <w:r w:rsidRPr="009802E0">
              <w:rPr>
                <w:rFonts w:asciiTheme="minorEastAsia" w:eastAsiaTheme="minorEastAsia" w:hAnsiTheme="minorEastAsia"/>
                <w:szCs w:val="21"/>
              </w:rPr>
              <w:t>1）</w:t>
            </w:r>
          </w:p>
        </w:tc>
        <w:tc>
          <w:tcPr>
            <w:tcW w:w="1080" w:type="dxa"/>
            <w:vAlign w:val="center"/>
          </w:tcPr>
          <w:p w:rsidR="00A208E6" w:rsidRPr="009802E0" w:rsidRDefault="00A208E6" w:rsidP="00FE018D">
            <w:pPr>
              <w:adjustRightInd w:val="0"/>
              <w:snapToGrid w:val="0"/>
              <w:spacing w:line="360" w:lineRule="auto"/>
              <w:jc w:val="center"/>
              <w:rPr>
                <w:rFonts w:asciiTheme="minorEastAsia" w:eastAsiaTheme="minorEastAsia" w:hAnsiTheme="minorEastAsia" w:cs="Arial Unicode MS"/>
                <w:szCs w:val="21"/>
              </w:rPr>
            </w:pPr>
            <w:r w:rsidRPr="009802E0">
              <w:rPr>
                <w:rFonts w:asciiTheme="minorEastAsia" w:eastAsiaTheme="minorEastAsia" w:hAnsiTheme="minorEastAsia" w:hint="eastAsia"/>
                <w:szCs w:val="21"/>
              </w:rPr>
              <w:t>净值增长率标准差（</w:t>
            </w:r>
            <w:r w:rsidRPr="009802E0">
              <w:rPr>
                <w:rFonts w:asciiTheme="minorEastAsia" w:eastAsiaTheme="minorEastAsia" w:hAnsiTheme="minorEastAsia"/>
                <w:szCs w:val="21"/>
              </w:rPr>
              <w:t>2）</w:t>
            </w:r>
          </w:p>
        </w:tc>
        <w:tc>
          <w:tcPr>
            <w:tcW w:w="1440" w:type="dxa"/>
            <w:vAlign w:val="center"/>
          </w:tcPr>
          <w:p w:rsidR="00A208E6" w:rsidRPr="009802E0" w:rsidRDefault="00A208E6" w:rsidP="00FE018D">
            <w:pPr>
              <w:adjustRightInd w:val="0"/>
              <w:snapToGrid w:val="0"/>
              <w:spacing w:line="360" w:lineRule="auto"/>
              <w:jc w:val="center"/>
              <w:rPr>
                <w:rFonts w:asciiTheme="minorEastAsia" w:eastAsiaTheme="minorEastAsia" w:hAnsiTheme="minorEastAsia" w:cs="Arial Unicode MS"/>
                <w:szCs w:val="21"/>
              </w:rPr>
            </w:pPr>
            <w:r w:rsidRPr="009802E0">
              <w:rPr>
                <w:rFonts w:asciiTheme="minorEastAsia" w:eastAsiaTheme="minorEastAsia" w:hAnsiTheme="minorEastAsia" w:hint="eastAsia"/>
                <w:szCs w:val="21"/>
              </w:rPr>
              <w:t>业绩比较基准收益率（</w:t>
            </w:r>
            <w:r w:rsidRPr="009802E0">
              <w:rPr>
                <w:rFonts w:asciiTheme="minorEastAsia" w:eastAsiaTheme="minorEastAsia" w:hAnsiTheme="minorEastAsia"/>
                <w:szCs w:val="21"/>
              </w:rPr>
              <w:t>3）</w:t>
            </w:r>
          </w:p>
        </w:tc>
        <w:tc>
          <w:tcPr>
            <w:tcW w:w="1440" w:type="dxa"/>
            <w:vAlign w:val="center"/>
          </w:tcPr>
          <w:p w:rsidR="00A208E6" w:rsidRPr="009802E0" w:rsidRDefault="00A208E6" w:rsidP="00FE018D">
            <w:pPr>
              <w:adjustRightInd w:val="0"/>
              <w:snapToGrid w:val="0"/>
              <w:spacing w:line="360" w:lineRule="auto"/>
              <w:jc w:val="center"/>
              <w:rPr>
                <w:rFonts w:asciiTheme="minorEastAsia" w:eastAsiaTheme="minorEastAsia" w:hAnsiTheme="minorEastAsia" w:cs="Arial Unicode MS"/>
                <w:szCs w:val="21"/>
              </w:rPr>
            </w:pPr>
            <w:r w:rsidRPr="009802E0">
              <w:rPr>
                <w:rFonts w:asciiTheme="minorEastAsia" w:eastAsiaTheme="minorEastAsia" w:hAnsiTheme="minorEastAsia" w:hint="eastAsia"/>
                <w:szCs w:val="21"/>
              </w:rPr>
              <w:t>业绩比较基准收益率标准差（</w:t>
            </w:r>
            <w:r w:rsidRPr="009802E0">
              <w:rPr>
                <w:rFonts w:asciiTheme="minorEastAsia" w:eastAsiaTheme="minorEastAsia" w:hAnsiTheme="minorEastAsia"/>
                <w:szCs w:val="21"/>
              </w:rPr>
              <w:t>4）</w:t>
            </w:r>
          </w:p>
        </w:tc>
        <w:tc>
          <w:tcPr>
            <w:tcW w:w="900" w:type="dxa"/>
            <w:vAlign w:val="center"/>
          </w:tcPr>
          <w:p w:rsidR="00A208E6" w:rsidRPr="009802E0" w:rsidRDefault="00A208E6" w:rsidP="00FE018D">
            <w:pPr>
              <w:adjustRightInd w:val="0"/>
              <w:snapToGrid w:val="0"/>
              <w:spacing w:line="360" w:lineRule="auto"/>
              <w:ind w:leftChars="-51" w:left="-107" w:rightChars="-51" w:right="-107"/>
              <w:jc w:val="center"/>
              <w:rPr>
                <w:rFonts w:asciiTheme="minorEastAsia" w:eastAsiaTheme="minorEastAsia" w:hAnsiTheme="minorEastAsia"/>
                <w:szCs w:val="21"/>
              </w:rPr>
            </w:pPr>
            <w:r w:rsidRPr="009802E0">
              <w:rPr>
                <w:rFonts w:asciiTheme="minorEastAsia" w:eastAsiaTheme="minorEastAsia" w:hAnsiTheme="minorEastAsia"/>
                <w:szCs w:val="21"/>
              </w:rPr>
              <w:t>(1)</w:t>
            </w:r>
            <w:r w:rsidRPr="009802E0">
              <w:rPr>
                <w:rFonts w:asciiTheme="minorEastAsia" w:eastAsiaTheme="minorEastAsia" w:hAnsiTheme="minorEastAsia" w:hint="eastAsia"/>
                <w:szCs w:val="21"/>
              </w:rPr>
              <w:t>-</w:t>
            </w:r>
            <w:r w:rsidRPr="009802E0">
              <w:rPr>
                <w:rFonts w:asciiTheme="minorEastAsia" w:eastAsiaTheme="minorEastAsia" w:hAnsiTheme="minorEastAsia"/>
                <w:szCs w:val="21"/>
              </w:rPr>
              <w:t>(3)</w:t>
            </w:r>
          </w:p>
        </w:tc>
        <w:tc>
          <w:tcPr>
            <w:tcW w:w="900" w:type="dxa"/>
            <w:vAlign w:val="center"/>
          </w:tcPr>
          <w:p w:rsidR="00A208E6" w:rsidRPr="009802E0" w:rsidRDefault="00A208E6" w:rsidP="00FE018D">
            <w:pPr>
              <w:adjustRightInd w:val="0"/>
              <w:snapToGrid w:val="0"/>
              <w:spacing w:line="360" w:lineRule="auto"/>
              <w:ind w:leftChars="-51" w:left="-107"/>
              <w:jc w:val="center"/>
              <w:rPr>
                <w:rFonts w:asciiTheme="minorEastAsia" w:eastAsiaTheme="minorEastAsia" w:hAnsiTheme="minorEastAsia"/>
                <w:szCs w:val="21"/>
              </w:rPr>
            </w:pPr>
            <w:r w:rsidRPr="009802E0">
              <w:rPr>
                <w:rFonts w:asciiTheme="minorEastAsia" w:eastAsiaTheme="minorEastAsia" w:hAnsiTheme="minorEastAsia"/>
                <w:szCs w:val="21"/>
              </w:rPr>
              <w:t>(2)</w:t>
            </w:r>
            <w:r w:rsidRPr="009802E0">
              <w:rPr>
                <w:rFonts w:asciiTheme="minorEastAsia" w:eastAsiaTheme="minorEastAsia" w:hAnsiTheme="minorEastAsia" w:hint="eastAsia"/>
                <w:szCs w:val="21"/>
              </w:rPr>
              <w:t>-</w:t>
            </w:r>
            <w:r w:rsidRPr="009802E0">
              <w:rPr>
                <w:rFonts w:asciiTheme="minorEastAsia" w:eastAsiaTheme="minorEastAsia" w:hAnsiTheme="minorEastAsia"/>
                <w:szCs w:val="21"/>
              </w:rPr>
              <w:t>(4)</w:t>
            </w:r>
          </w:p>
        </w:tc>
      </w:tr>
      <w:tr w:rsidR="00F1417A" w:rsidRPr="009802E0" w:rsidTr="00297A76">
        <w:trPr>
          <w:trHeight w:val="300"/>
        </w:trPr>
        <w:tc>
          <w:tcPr>
            <w:tcW w:w="1702" w:type="dxa"/>
            <w:vAlign w:val="center"/>
          </w:tcPr>
          <w:p w:rsidR="00A83ABC" w:rsidRPr="009802E0" w:rsidRDefault="00304E7B" w:rsidP="00FE018D">
            <w:pPr>
              <w:adjustRightInd w:val="0"/>
              <w:snapToGrid w:val="0"/>
              <w:spacing w:line="360" w:lineRule="auto"/>
              <w:ind w:leftChars="-51" w:left="-107" w:rightChars="-51" w:right="-107"/>
              <w:rPr>
                <w:rFonts w:asciiTheme="minorEastAsia" w:eastAsiaTheme="minorEastAsia" w:hAnsiTheme="minorEastAsia" w:cs="Arial Unicode MS"/>
                <w:szCs w:val="21"/>
              </w:rPr>
            </w:pPr>
            <w:r w:rsidRPr="009802E0">
              <w:rPr>
                <w:rFonts w:asciiTheme="minorEastAsia" w:eastAsiaTheme="minorEastAsia" w:hAnsiTheme="minorEastAsia" w:hint="eastAsia"/>
                <w:kern w:val="0"/>
                <w:szCs w:val="21"/>
              </w:rPr>
              <w:t>自基金合同生效日</w:t>
            </w:r>
            <w:r w:rsidR="00A83ABC" w:rsidRPr="009802E0">
              <w:rPr>
                <w:rFonts w:asciiTheme="minorEastAsia" w:eastAsiaTheme="minorEastAsia" w:hAnsiTheme="minorEastAsia" w:hint="eastAsia"/>
                <w:kern w:val="0"/>
                <w:szCs w:val="21"/>
              </w:rPr>
              <w:t>至2011年12月31日</w:t>
            </w:r>
          </w:p>
        </w:tc>
        <w:tc>
          <w:tcPr>
            <w:tcW w:w="960" w:type="dxa"/>
            <w:vAlign w:val="bottom"/>
          </w:tcPr>
          <w:p w:rsidR="00A83ABC" w:rsidRPr="009802E0" w:rsidRDefault="00A83ABC" w:rsidP="00FE018D">
            <w:pPr>
              <w:adjustRightInd w:val="0"/>
              <w:snapToGrid w:val="0"/>
              <w:spacing w:line="360" w:lineRule="auto"/>
              <w:ind w:leftChars="-51" w:left="-107"/>
              <w:jc w:val="right"/>
              <w:rPr>
                <w:rFonts w:asciiTheme="minorEastAsia" w:eastAsiaTheme="minorEastAsia" w:hAnsiTheme="minorEastAsia"/>
                <w:szCs w:val="21"/>
              </w:rPr>
            </w:pPr>
            <w:r w:rsidRPr="009802E0">
              <w:rPr>
                <w:rFonts w:asciiTheme="minorEastAsia" w:eastAsiaTheme="minorEastAsia" w:hAnsiTheme="minorEastAsia"/>
                <w:szCs w:val="21"/>
              </w:rPr>
              <w:t>0.70%</w:t>
            </w:r>
          </w:p>
        </w:tc>
        <w:tc>
          <w:tcPr>
            <w:tcW w:w="1080" w:type="dxa"/>
            <w:vAlign w:val="bottom"/>
          </w:tcPr>
          <w:p w:rsidR="00A83ABC" w:rsidRPr="009802E0" w:rsidRDefault="00A83ABC"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0.29%</w:t>
            </w:r>
          </w:p>
        </w:tc>
        <w:tc>
          <w:tcPr>
            <w:tcW w:w="1440" w:type="dxa"/>
            <w:vAlign w:val="bottom"/>
          </w:tcPr>
          <w:p w:rsidR="00A83ABC" w:rsidRPr="009802E0" w:rsidRDefault="00A83ABC"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3.06%</w:t>
            </w:r>
          </w:p>
        </w:tc>
        <w:tc>
          <w:tcPr>
            <w:tcW w:w="1440" w:type="dxa"/>
            <w:vAlign w:val="bottom"/>
          </w:tcPr>
          <w:p w:rsidR="00A83ABC" w:rsidRPr="009802E0" w:rsidRDefault="00A83ABC"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0.02%</w:t>
            </w:r>
          </w:p>
        </w:tc>
        <w:tc>
          <w:tcPr>
            <w:tcW w:w="900" w:type="dxa"/>
            <w:vAlign w:val="bottom"/>
          </w:tcPr>
          <w:p w:rsidR="00A83ABC" w:rsidRPr="009802E0" w:rsidRDefault="00A83ABC"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-2.36%</w:t>
            </w:r>
          </w:p>
        </w:tc>
        <w:tc>
          <w:tcPr>
            <w:tcW w:w="900" w:type="dxa"/>
            <w:vAlign w:val="bottom"/>
          </w:tcPr>
          <w:p w:rsidR="00A83ABC" w:rsidRPr="009802E0" w:rsidRDefault="00A83ABC"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0.27%</w:t>
            </w:r>
          </w:p>
        </w:tc>
      </w:tr>
      <w:tr w:rsidR="00F1417A" w:rsidRPr="009802E0" w:rsidTr="00297A76">
        <w:trPr>
          <w:trHeight w:val="300"/>
        </w:trPr>
        <w:tc>
          <w:tcPr>
            <w:tcW w:w="1702" w:type="dxa"/>
            <w:vAlign w:val="center"/>
          </w:tcPr>
          <w:p w:rsidR="002E5440" w:rsidRPr="009802E0" w:rsidRDefault="002E5440" w:rsidP="00FE018D">
            <w:pPr>
              <w:adjustRightInd w:val="0"/>
              <w:snapToGrid w:val="0"/>
              <w:spacing w:line="360" w:lineRule="auto"/>
              <w:ind w:leftChars="-51" w:left="-107" w:rightChars="-51" w:right="-107"/>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2012年1月1日至2012年12月31日</w:t>
            </w:r>
          </w:p>
        </w:tc>
        <w:tc>
          <w:tcPr>
            <w:tcW w:w="960" w:type="dxa"/>
            <w:vAlign w:val="bottom"/>
          </w:tcPr>
          <w:p w:rsidR="002E5440" w:rsidRPr="009802E0" w:rsidRDefault="002E5440" w:rsidP="00FE018D">
            <w:pPr>
              <w:adjustRightInd w:val="0"/>
              <w:snapToGrid w:val="0"/>
              <w:spacing w:line="360" w:lineRule="auto"/>
              <w:ind w:leftChars="-51" w:left="-107"/>
              <w:jc w:val="right"/>
              <w:rPr>
                <w:rFonts w:asciiTheme="minorEastAsia" w:eastAsiaTheme="minorEastAsia" w:hAnsiTheme="minorEastAsia"/>
                <w:szCs w:val="21"/>
              </w:rPr>
            </w:pPr>
            <w:r w:rsidRPr="009802E0">
              <w:rPr>
                <w:rFonts w:asciiTheme="minorEastAsia" w:eastAsiaTheme="minorEastAsia" w:hAnsiTheme="minorEastAsia"/>
                <w:szCs w:val="21"/>
              </w:rPr>
              <w:t>9.43%</w:t>
            </w:r>
          </w:p>
        </w:tc>
        <w:tc>
          <w:tcPr>
            <w:tcW w:w="1080" w:type="dxa"/>
            <w:vAlign w:val="bottom"/>
          </w:tcPr>
          <w:p w:rsidR="002E5440" w:rsidRPr="009802E0" w:rsidRDefault="002E5440"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0.36%</w:t>
            </w:r>
          </w:p>
        </w:tc>
        <w:tc>
          <w:tcPr>
            <w:tcW w:w="1440" w:type="dxa"/>
            <w:vAlign w:val="bottom"/>
          </w:tcPr>
          <w:p w:rsidR="002E5440" w:rsidRPr="009802E0" w:rsidRDefault="002E5440"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6.00%</w:t>
            </w:r>
          </w:p>
        </w:tc>
        <w:tc>
          <w:tcPr>
            <w:tcW w:w="1440" w:type="dxa"/>
            <w:vAlign w:val="bottom"/>
          </w:tcPr>
          <w:p w:rsidR="002E5440" w:rsidRPr="009802E0" w:rsidRDefault="002E5440"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0.02%</w:t>
            </w:r>
          </w:p>
        </w:tc>
        <w:tc>
          <w:tcPr>
            <w:tcW w:w="900" w:type="dxa"/>
            <w:vAlign w:val="bottom"/>
          </w:tcPr>
          <w:p w:rsidR="002E5440" w:rsidRPr="009802E0" w:rsidRDefault="002E5440"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3.43%</w:t>
            </w:r>
          </w:p>
        </w:tc>
        <w:tc>
          <w:tcPr>
            <w:tcW w:w="900" w:type="dxa"/>
            <w:vAlign w:val="bottom"/>
          </w:tcPr>
          <w:p w:rsidR="002E5440" w:rsidRPr="009802E0" w:rsidRDefault="002E5440"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0.34%</w:t>
            </w:r>
          </w:p>
        </w:tc>
      </w:tr>
      <w:tr w:rsidR="00F1417A" w:rsidRPr="009802E0" w:rsidTr="00297A76">
        <w:trPr>
          <w:trHeight w:val="300"/>
        </w:trPr>
        <w:tc>
          <w:tcPr>
            <w:tcW w:w="1702" w:type="dxa"/>
            <w:vAlign w:val="center"/>
          </w:tcPr>
          <w:p w:rsidR="009B1134" w:rsidRPr="009802E0" w:rsidRDefault="009B1134" w:rsidP="00FE018D">
            <w:pPr>
              <w:adjustRightInd w:val="0"/>
              <w:snapToGrid w:val="0"/>
              <w:spacing w:line="360" w:lineRule="auto"/>
              <w:ind w:leftChars="-51" w:left="-107" w:rightChars="-51" w:right="-107"/>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2013年1月1日至2013年12月31日</w:t>
            </w:r>
          </w:p>
        </w:tc>
        <w:tc>
          <w:tcPr>
            <w:tcW w:w="960" w:type="dxa"/>
            <w:vAlign w:val="bottom"/>
          </w:tcPr>
          <w:p w:rsidR="00D160E9" w:rsidRPr="009802E0" w:rsidRDefault="009B1134" w:rsidP="00FE018D">
            <w:pPr>
              <w:adjustRightInd w:val="0"/>
              <w:snapToGrid w:val="0"/>
              <w:spacing w:line="360" w:lineRule="auto"/>
              <w:ind w:leftChars="-51" w:left="-107"/>
              <w:jc w:val="right"/>
              <w:rPr>
                <w:rFonts w:asciiTheme="minorEastAsia" w:eastAsiaTheme="minorEastAsia" w:hAnsiTheme="minorEastAsia"/>
                <w:szCs w:val="21"/>
              </w:rPr>
            </w:pPr>
            <w:r w:rsidRPr="009802E0">
              <w:rPr>
                <w:rFonts w:asciiTheme="minorEastAsia" w:eastAsiaTheme="minorEastAsia" w:hAnsiTheme="minorEastAsia"/>
                <w:szCs w:val="21"/>
              </w:rPr>
              <w:t>1.49%</w:t>
            </w:r>
          </w:p>
        </w:tc>
        <w:tc>
          <w:tcPr>
            <w:tcW w:w="1080" w:type="dxa"/>
            <w:vAlign w:val="bottom"/>
          </w:tcPr>
          <w:p w:rsidR="009F5C11" w:rsidRPr="009802E0" w:rsidRDefault="009B1134"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0.36%</w:t>
            </w:r>
          </w:p>
        </w:tc>
        <w:tc>
          <w:tcPr>
            <w:tcW w:w="1440" w:type="dxa"/>
            <w:vAlign w:val="bottom"/>
          </w:tcPr>
          <w:p w:rsidR="009F5C11" w:rsidRPr="009802E0" w:rsidRDefault="009B1134"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5.25%</w:t>
            </w:r>
          </w:p>
        </w:tc>
        <w:tc>
          <w:tcPr>
            <w:tcW w:w="1440" w:type="dxa"/>
            <w:vAlign w:val="bottom"/>
          </w:tcPr>
          <w:p w:rsidR="009F5C11" w:rsidRPr="009802E0" w:rsidRDefault="009B1134"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0.02%</w:t>
            </w:r>
          </w:p>
        </w:tc>
        <w:tc>
          <w:tcPr>
            <w:tcW w:w="900" w:type="dxa"/>
            <w:vAlign w:val="bottom"/>
          </w:tcPr>
          <w:p w:rsidR="009F5C11" w:rsidRPr="009802E0" w:rsidRDefault="009B1134"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-3.76%</w:t>
            </w:r>
          </w:p>
        </w:tc>
        <w:tc>
          <w:tcPr>
            <w:tcW w:w="900" w:type="dxa"/>
            <w:vAlign w:val="bottom"/>
          </w:tcPr>
          <w:p w:rsidR="009F5C11" w:rsidRPr="009802E0" w:rsidRDefault="009B1134"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0.34%</w:t>
            </w:r>
          </w:p>
        </w:tc>
      </w:tr>
      <w:tr w:rsidR="00F1417A" w:rsidRPr="009802E0" w:rsidTr="00297A76">
        <w:trPr>
          <w:trHeight w:val="300"/>
        </w:trPr>
        <w:tc>
          <w:tcPr>
            <w:tcW w:w="1702" w:type="dxa"/>
            <w:vAlign w:val="center"/>
          </w:tcPr>
          <w:p w:rsidR="00D160E9" w:rsidRPr="009802E0" w:rsidRDefault="00C40FD4" w:rsidP="00FE018D">
            <w:pPr>
              <w:adjustRightInd w:val="0"/>
              <w:snapToGrid w:val="0"/>
              <w:spacing w:line="360" w:lineRule="auto"/>
              <w:ind w:leftChars="-51" w:left="-107" w:rightChars="-51" w:right="-107"/>
              <w:jc w:val="left"/>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2014年1月1日至2014年12月31日</w:t>
            </w:r>
          </w:p>
        </w:tc>
        <w:tc>
          <w:tcPr>
            <w:tcW w:w="960" w:type="dxa"/>
            <w:vAlign w:val="bottom"/>
          </w:tcPr>
          <w:p w:rsidR="00D160E9" w:rsidRPr="009802E0" w:rsidRDefault="00323E22" w:rsidP="00FE018D">
            <w:pPr>
              <w:adjustRightInd w:val="0"/>
              <w:snapToGrid w:val="0"/>
              <w:spacing w:line="360" w:lineRule="auto"/>
              <w:ind w:leftChars="-51" w:left="-107"/>
              <w:jc w:val="right"/>
              <w:rPr>
                <w:rFonts w:asciiTheme="minorEastAsia" w:eastAsiaTheme="minorEastAsia" w:hAnsiTheme="minorEastAsia"/>
                <w:szCs w:val="21"/>
              </w:rPr>
            </w:pPr>
            <w:r w:rsidRPr="009802E0">
              <w:rPr>
                <w:rFonts w:asciiTheme="minorEastAsia" w:eastAsiaTheme="minorEastAsia" w:hAnsiTheme="minorEastAsia"/>
                <w:szCs w:val="21"/>
              </w:rPr>
              <w:t>77.68%</w:t>
            </w:r>
          </w:p>
        </w:tc>
        <w:tc>
          <w:tcPr>
            <w:tcW w:w="1080" w:type="dxa"/>
            <w:vAlign w:val="bottom"/>
          </w:tcPr>
          <w:p w:rsidR="00C45FC8" w:rsidRPr="009802E0" w:rsidRDefault="00323E22"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1.25%</w:t>
            </w:r>
          </w:p>
        </w:tc>
        <w:tc>
          <w:tcPr>
            <w:tcW w:w="1440" w:type="dxa"/>
            <w:vAlign w:val="bottom"/>
          </w:tcPr>
          <w:p w:rsidR="00C45FC8" w:rsidRPr="009802E0" w:rsidRDefault="00323E22"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5.25%</w:t>
            </w:r>
          </w:p>
        </w:tc>
        <w:tc>
          <w:tcPr>
            <w:tcW w:w="1440" w:type="dxa"/>
            <w:vAlign w:val="bottom"/>
          </w:tcPr>
          <w:p w:rsidR="00C45FC8" w:rsidRPr="009802E0" w:rsidRDefault="00323E22"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0.02%</w:t>
            </w:r>
          </w:p>
        </w:tc>
        <w:tc>
          <w:tcPr>
            <w:tcW w:w="900" w:type="dxa"/>
            <w:vAlign w:val="bottom"/>
          </w:tcPr>
          <w:p w:rsidR="00C45FC8" w:rsidRPr="009802E0" w:rsidRDefault="00323E22"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72.43%</w:t>
            </w:r>
          </w:p>
        </w:tc>
        <w:tc>
          <w:tcPr>
            <w:tcW w:w="900" w:type="dxa"/>
            <w:vAlign w:val="bottom"/>
          </w:tcPr>
          <w:p w:rsidR="00C45FC8" w:rsidRPr="009802E0" w:rsidRDefault="00323E22"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1.23%</w:t>
            </w:r>
          </w:p>
        </w:tc>
      </w:tr>
      <w:tr w:rsidR="00F1417A" w:rsidRPr="009802E0" w:rsidTr="00297A76">
        <w:trPr>
          <w:trHeight w:val="300"/>
        </w:trPr>
        <w:tc>
          <w:tcPr>
            <w:tcW w:w="1702" w:type="dxa"/>
            <w:vAlign w:val="center"/>
          </w:tcPr>
          <w:p w:rsidR="0063010F" w:rsidRPr="009802E0" w:rsidRDefault="0063010F" w:rsidP="00FE018D">
            <w:pPr>
              <w:adjustRightInd w:val="0"/>
              <w:snapToGrid w:val="0"/>
              <w:spacing w:line="360" w:lineRule="auto"/>
              <w:ind w:leftChars="-51" w:left="-107" w:rightChars="-51" w:right="-107"/>
              <w:jc w:val="left"/>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2015年1月1日至2015年12月31日</w:t>
            </w:r>
          </w:p>
        </w:tc>
        <w:tc>
          <w:tcPr>
            <w:tcW w:w="960" w:type="dxa"/>
            <w:vAlign w:val="bottom"/>
          </w:tcPr>
          <w:p w:rsidR="0063010F" w:rsidRPr="009802E0" w:rsidRDefault="0063010F" w:rsidP="00FE018D">
            <w:pPr>
              <w:adjustRightInd w:val="0"/>
              <w:snapToGrid w:val="0"/>
              <w:spacing w:line="360" w:lineRule="auto"/>
              <w:ind w:leftChars="-51" w:left="-107"/>
              <w:jc w:val="right"/>
              <w:rPr>
                <w:rFonts w:asciiTheme="minorEastAsia" w:eastAsiaTheme="minorEastAsia" w:hAnsiTheme="minorEastAsia"/>
                <w:szCs w:val="21"/>
              </w:rPr>
            </w:pPr>
            <w:r w:rsidRPr="009802E0">
              <w:rPr>
                <w:rFonts w:asciiTheme="minorEastAsia" w:eastAsiaTheme="minorEastAsia" w:hAnsiTheme="minorEastAsia" w:hint="eastAsia"/>
                <w:szCs w:val="21"/>
              </w:rPr>
              <w:t>30.79%</w:t>
            </w:r>
          </w:p>
        </w:tc>
        <w:tc>
          <w:tcPr>
            <w:tcW w:w="1080" w:type="dxa"/>
            <w:vAlign w:val="bottom"/>
          </w:tcPr>
          <w:p w:rsidR="0063010F" w:rsidRPr="009802E0" w:rsidRDefault="0063010F"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hint="eastAsia"/>
                <w:szCs w:val="21"/>
              </w:rPr>
              <w:t>1.39%</w:t>
            </w:r>
          </w:p>
        </w:tc>
        <w:tc>
          <w:tcPr>
            <w:tcW w:w="1440" w:type="dxa"/>
            <w:vAlign w:val="bottom"/>
          </w:tcPr>
          <w:p w:rsidR="0063010F" w:rsidRPr="009802E0" w:rsidRDefault="0063010F"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hint="eastAsia"/>
                <w:szCs w:val="21"/>
              </w:rPr>
              <w:t>5.00%</w:t>
            </w:r>
          </w:p>
        </w:tc>
        <w:tc>
          <w:tcPr>
            <w:tcW w:w="1440" w:type="dxa"/>
            <w:vAlign w:val="bottom"/>
          </w:tcPr>
          <w:p w:rsidR="0063010F" w:rsidRPr="009802E0" w:rsidRDefault="0063010F"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hint="eastAsia"/>
                <w:szCs w:val="21"/>
              </w:rPr>
              <w:t>0.01%</w:t>
            </w:r>
          </w:p>
        </w:tc>
        <w:tc>
          <w:tcPr>
            <w:tcW w:w="900" w:type="dxa"/>
            <w:vAlign w:val="bottom"/>
          </w:tcPr>
          <w:p w:rsidR="0063010F" w:rsidRPr="009802E0" w:rsidRDefault="0063010F"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hint="eastAsia"/>
                <w:szCs w:val="21"/>
              </w:rPr>
              <w:t>25.79%</w:t>
            </w:r>
          </w:p>
        </w:tc>
        <w:tc>
          <w:tcPr>
            <w:tcW w:w="900" w:type="dxa"/>
            <w:vAlign w:val="bottom"/>
          </w:tcPr>
          <w:p w:rsidR="0063010F" w:rsidRPr="009802E0" w:rsidRDefault="0063010F"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hint="eastAsia"/>
                <w:szCs w:val="21"/>
              </w:rPr>
              <w:t>1.38%</w:t>
            </w:r>
          </w:p>
        </w:tc>
      </w:tr>
      <w:tr w:rsidR="00F1417A" w:rsidRPr="009802E0" w:rsidTr="00297A76">
        <w:trPr>
          <w:trHeight w:val="300"/>
        </w:trPr>
        <w:tc>
          <w:tcPr>
            <w:tcW w:w="1702" w:type="dxa"/>
            <w:vAlign w:val="center"/>
          </w:tcPr>
          <w:p w:rsidR="00FE4BB5" w:rsidRPr="009802E0" w:rsidRDefault="00FE4BB5" w:rsidP="00FE4BB5">
            <w:pPr>
              <w:adjustRightInd w:val="0"/>
              <w:snapToGrid w:val="0"/>
              <w:spacing w:line="360" w:lineRule="auto"/>
              <w:ind w:leftChars="-51" w:left="-107" w:rightChars="-51" w:right="-107"/>
              <w:jc w:val="left"/>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2016年</w:t>
            </w:r>
            <w:r w:rsidRPr="009802E0">
              <w:rPr>
                <w:rFonts w:asciiTheme="minorEastAsia" w:eastAsiaTheme="minorEastAsia" w:hAnsiTheme="minorEastAsia"/>
                <w:kern w:val="0"/>
                <w:szCs w:val="21"/>
              </w:rPr>
              <w:t>1月1日</w:t>
            </w:r>
            <w:r w:rsidRPr="009802E0">
              <w:rPr>
                <w:rFonts w:asciiTheme="minorEastAsia" w:eastAsiaTheme="minorEastAsia" w:hAnsiTheme="minorEastAsia" w:hint="eastAsia"/>
                <w:kern w:val="0"/>
                <w:szCs w:val="21"/>
              </w:rPr>
              <w:t>至</w:t>
            </w:r>
          </w:p>
          <w:p w:rsidR="00FE4BB5" w:rsidRPr="009802E0" w:rsidRDefault="00FE4BB5" w:rsidP="00FE4BB5">
            <w:pPr>
              <w:adjustRightInd w:val="0"/>
              <w:snapToGrid w:val="0"/>
              <w:spacing w:line="360" w:lineRule="auto"/>
              <w:ind w:leftChars="-51" w:left="-107" w:rightChars="-51" w:right="-107"/>
              <w:jc w:val="left"/>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w:t>
            </w:r>
            <w:r w:rsidRPr="009802E0">
              <w:rPr>
                <w:rFonts w:asciiTheme="minorEastAsia" w:eastAsiaTheme="minorEastAsia" w:hAnsiTheme="minorEastAsia"/>
                <w:kern w:val="0"/>
                <w:szCs w:val="21"/>
              </w:rPr>
              <w:t>016年12月31日</w:t>
            </w:r>
          </w:p>
        </w:tc>
        <w:tc>
          <w:tcPr>
            <w:tcW w:w="960" w:type="dxa"/>
            <w:vAlign w:val="center"/>
          </w:tcPr>
          <w:p w:rsidR="00FE4BB5" w:rsidRPr="009802E0" w:rsidRDefault="00FE4BB5" w:rsidP="00FE4BB5">
            <w:pPr>
              <w:adjustRightInd w:val="0"/>
              <w:snapToGrid w:val="0"/>
              <w:spacing w:line="360" w:lineRule="auto"/>
              <w:ind w:leftChars="-51" w:left="-107"/>
              <w:jc w:val="right"/>
              <w:rPr>
                <w:rFonts w:asciiTheme="minorEastAsia" w:eastAsiaTheme="minorEastAsia" w:hAnsiTheme="minorEastAsia"/>
                <w:szCs w:val="21"/>
              </w:rPr>
            </w:pPr>
            <w:r w:rsidRPr="009802E0">
              <w:rPr>
                <w:rFonts w:asciiTheme="minorEastAsia" w:eastAsiaTheme="minorEastAsia" w:hAnsiTheme="minorEastAsia"/>
                <w:szCs w:val="21"/>
              </w:rPr>
              <w:t>-5.88%</w:t>
            </w:r>
          </w:p>
        </w:tc>
        <w:tc>
          <w:tcPr>
            <w:tcW w:w="1080" w:type="dxa"/>
            <w:vAlign w:val="center"/>
          </w:tcPr>
          <w:p w:rsidR="00FE4BB5" w:rsidRPr="009802E0" w:rsidRDefault="00FE4BB5" w:rsidP="00FE4BB5">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0.62%</w:t>
            </w:r>
          </w:p>
        </w:tc>
        <w:tc>
          <w:tcPr>
            <w:tcW w:w="1440" w:type="dxa"/>
            <w:vAlign w:val="center"/>
          </w:tcPr>
          <w:p w:rsidR="00FE4BB5" w:rsidRPr="009802E0" w:rsidRDefault="00FE4BB5" w:rsidP="00FE4BB5">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3.75%</w:t>
            </w:r>
          </w:p>
        </w:tc>
        <w:tc>
          <w:tcPr>
            <w:tcW w:w="1440" w:type="dxa"/>
            <w:vAlign w:val="center"/>
          </w:tcPr>
          <w:p w:rsidR="00FE4BB5" w:rsidRPr="009802E0" w:rsidRDefault="00FE4BB5" w:rsidP="00FE4BB5">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0.01%</w:t>
            </w:r>
          </w:p>
        </w:tc>
        <w:tc>
          <w:tcPr>
            <w:tcW w:w="900" w:type="dxa"/>
            <w:vAlign w:val="center"/>
          </w:tcPr>
          <w:p w:rsidR="00FE4BB5" w:rsidRPr="009802E0" w:rsidRDefault="00FE4BB5" w:rsidP="00FE4BB5">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-9.63%</w:t>
            </w:r>
          </w:p>
        </w:tc>
        <w:tc>
          <w:tcPr>
            <w:tcW w:w="900" w:type="dxa"/>
            <w:vAlign w:val="center"/>
          </w:tcPr>
          <w:p w:rsidR="00FE4BB5" w:rsidRPr="009802E0" w:rsidRDefault="00FE4BB5" w:rsidP="00FE4BB5">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0.61%</w:t>
            </w:r>
          </w:p>
        </w:tc>
      </w:tr>
      <w:tr w:rsidR="00F1417A" w:rsidRPr="009802E0" w:rsidTr="00297A76">
        <w:trPr>
          <w:trHeight w:val="300"/>
        </w:trPr>
        <w:tc>
          <w:tcPr>
            <w:tcW w:w="1702" w:type="dxa"/>
            <w:vAlign w:val="center"/>
          </w:tcPr>
          <w:p w:rsidR="00B836D2" w:rsidRPr="009802E0" w:rsidRDefault="00B836D2" w:rsidP="00034552">
            <w:pPr>
              <w:adjustRightInd w:val="0"/>
              <w:snapToGrid w:val="0"/>
              <w:spacing w:line="360" w:lineRule="auto"/>
              <w:ind w:leftChars="-51" w:left="-107" w:rightChars="-51" w:right="-107"/>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201</w:t>
            </w:r>
            <w:r w:rsidRPr="009802E0">
              <w:rPr>
                <w:rFonts w:asciiTheme="minorEastAsia" w:eastAsiaTheme="minorEastAsia" w:hAnsiTheme="minorEastAsia"/>
                <w:kern w:val="0"/>
                <w:szCs w:val="21"/>
              </w:rPr>
              <w:t>7</w:t>
            </w:r>
            <w:r w:rsidRPr="009802E0">
              <w:rPr>
                <w:rFonts w:asciiTheme="minorEastAsia" w:eastAsiaTheme="minorEastAsia" w:hAnsiTheme="minorEastAsia" w:hint="eastAsia"/>
                <w:kern w:val="0"/>
                <w:szCs w:val="21"/>
              </w:rPr>
              <w:t>年</w:t>
            </w:r>
            <w:r w:rsidRPr="009802E0">
              <w:rPr>
                <w:rFonts w:asciiTheme="minorEastAsia" w:eastAsiaTheme="minorEastAsia" w:hAnsiTheme="minorEastAsia"/>
                <w:kern w:val="0"/>
                <w:szCs w:val="21"/>
              </w:rPr>
              <w:t>1月1日</w:t>
            </w:r>
            <w:r w:rsidRPr="009802E0">
              <w:rPr>
                <w:rFonts w:asciiTheme="minorEastAsia" w:eastAsiaTheme="minorEastAsia" w:hAnsiTheme="minorEastAsia" w:hint="eastAsia"/>
                <w:kern w:val="0"/>
                <w:szCs w:val="21"/>
              </w:rPr>
              <w:t>至</w:t>
            </w:r>
          </w:p>
          <w:p w:rsidR="00B836D2" w:rsidRPr="009802E0" w:rsidRDefault="00B836D2" w:rsidP="00B836D2">
            <w:pPr>
              <w:adjustRightInd w:val="0"/>
              <w:snapToGrid w:val="0"/>
              <w:spacing w:line="360" w:lineRule="auto"/>
              <w:ind w:leftChars="-51" w:left="-107" w:rightChars="-51" w:right="-107"/>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2017年12月31日</w:t>
            </w:r>
          </w:p>
        </w:tc>
        <w:tc>
          <w:tcPr>
            <w:tcW w:w="960" w:type="dxa"/>
            <w:vAlign w:val="center"/>
          </w:tcPr>
          <w:p w:rsidR="00B836D2" w:rsidRPr="009802E0" w:rsidRDefault="00B836D2" w:rsidP="00F1417A">
            <w:pPr>
              <w:adjustRightInd w:val="0"/>
              <w:snapToGrid w:val="0"/>
              <w:spacing w:line="360" w:lineRule="auto"/>
              <w:ind w:leftChars="-51" w:left="-107"/>
              <w:jc w:val="right"/>
              <w:rPr>
                <w:rFonts w:asciiTheme="minorEastAsia" w:eastAsiaTheme="minorEastAsia" w:hAnsiTheme="minorEastAsia"/>
                <w:szCs w:val="21"/>
              </w:rPr>
            </w:pPr>
            <w:r w:rsidRPr="009802E0">
              <w:rPr>
                <w:rFonts w:asciiTheme="minorEastAsia" w:eastAsiaTheme="minorEastAsia" w:hAnsiTheme="minorEastAsia"/>
                <w:szCs w:val="21"/>
              </w:rPr>
              <w:t>11.75%</w:t>
            </w:r>
          </w:p>
        </w:tc>
        <w:tc>
          <w:tcPr>
            <w:tcW w:w="1080" w:type="dxa"/>
            <w:vAlign w:val="center"/>
          </w:tcPr>
          <w:p w:rsidR="00B836D2" w:rsidRPr="009802E0" w:rsidRDefault="00B836D2" w:rsidP="00F1417A">
            <w:pPr>
              <w:adjustRightInd w:val="0"/>
              <w:snapToGrid w:val="0"/>
              <w:spacing w:line="360" w:lineRule="auto"/>
              <w:ind w:leftChars="-51" w:left="-107"/>
              <w:jc w:val="right"/>
              <w:rPr>
                <w:rFonts w:asciiTheme="minorEastAsia" w:eastAsiaTheme="minorEastAsia" w:hAnsiTheme="minorEastAsia"/>
                <w:szCs w:val="21"/>
              </w:rPr>
            </w:pPr>
            <w:r w:rsidRPr="009802E0">
              <w:rPr>
                <w:rFonts w:asciiTheme="minorEastAsia" w:eastAsiaTheme="minorEastAsia" w:hAnsiTheme="minorEastAsia"/>
                <w:szCs w:val="21"/>
              </w:rPr>
              <w:t>0.42%</w:t>
            </w:r>
          </w:p>
        </w:tc>
        <w:tc>
          <w:tcPr>
            <w:tcW w:w="1440" w:type="dxa"/>
            <w:vAlign w:val="center"/>
          </w:tcPr>
          <w:p w:rsidR="00B836D2" w:rsidRPr="009802E0" w:rsidRDefault="00B836D2" w:rsidP="00F1417A">
            <w:pPr>
              <w:adjustRightInd w:val="0"/>
              <w:snapToGrid w:val="0"/>
              <w:spacing w:line="360" w:lineRule="auto"/>
              <w:ind w:leftChars="-51" w:left="-107"/>
              <w:jc w:val="right"/>
              <w:rPr>
                <w:rFonts w:asciiTheme="minorEastAsia" w:eastAsiaTheme="minorEastAsia" w:hAnsiTheme="minorEastAsia"/>
                <w:szCs w:val="21"/>
              </w:rPr>
            </w:pPr>
            <w:r w:rsidRPr="009802E0">
              <w:rPr>
                <w:rFonts w:asciiTheme="minorEastAsia" w:eastAsiaTheme="minorEastAsia" w:hAnsiTheme="minorEastAsia"/>
                <w:szCs w:val="21"/>
              </w:rPr>
              <w:t>3.75%</w:t>
            </w:r>
          </w:p>
        </w:tc>
        <w:tc>
          <w:tcPr>
            <w:tcW w:w="1440" w:type="dxa"/>
            <w:vAlign w:val="center"/>
          </w:tcPr>
          <w:p w:rsidR="00B836D2" w:rsidRPr="009802E0" w:rsidRDefault="00B836D2" w:rsidP="00F1417A">
            <w:pPr>
              <w:adjustRightInd w:val="0"/>
              <w:snapToGrid w:val="0"/>
              <w:spacing w:line="360" w:lineRule="auto"/>
              <w:ind w:leftChars="-51" w:left="-107"/>
              <w:jc w:val="right"/>
              <w:rPr>
                <w:rFonts w:asciiTheme="minorEastAsia" w:eastAsiaTheme="minorEastAsia" w:hAnsiTheme="minorEastAsia"/>
                <w:szCs w:val="21"/>
              </w:rPr>
            </w:pPr>
            <w:r w:rsidRPr="009802E0">
              <w:rPr>
                <w:rFonts w:asciiTheme="minorEastAsia" w:eastAsiaTheme="minorEastAsia" w:hAnsiTheme="minorEastAsia"/>
                <w:szCs w:val="21"/>
              </w:rPr>
              <w:t>0.01%</w:t>
            </w:r>
          </w:p>
        </w:tc>
        <w:tc>
          <w:tcPr>
            <w:tcW w:w="900" w:type="dxa"/>
            <w:vAlign w:val="center"/>
          </w:tcPr>
          <w:p w:rsidR="00B836D2" w:rsidRPr="009802E0" w:rsidRDefault="00B836D2" w:rsidP="00F1417A">
            <w:pPr>
              <w:adjustRightInd w:val="0"/>
              <w:snapToGrid w:val="0"/>
              <w:spacing w:line="360" w:lineRule="auto"/>
              <w:ind w:leftChars="-51" w:left="-107"/>
              <w:jc w:val="right"/>
              <w:rPr>
                <w:rFonts w:asciiTheme="minorEastAsia" w:eastAsiaTheme="minorEastAsia" w:hAnsiTheme="minorEastAsia"/>
                <w:szCs w:val="21"/>
              </w:rPr>
            </w:pPr>
            <w:r w:rsidRPr="009802E0">
              <w:rPr>
                <w:rFonts w:asciiTheme="minorEastAsia" w:eastAsiaTheme="minorEastAsia" w:hAnsiTheme="minorEastAsia"/>
                <w:szCs w:val="21"/>
              </w:rPr>
              <w:t>8.00%</w:t>
            </w:r>
          </w:p>
        </w:tc>
        <w:tc>
          <w:tcPr>
            <w:tcW w:w="900" w:type="dxa"/>
            <w:vAlign w:val="center"/>
          </w:tcPr>
          <w:p w:rsidR="00B836D2" w:rsidRPr="009802E0" w:rsidRDefault="00B836D2" w:rsidP="00F1417A">
            <w:pPr>
              <w:adjustRightInd w:val="0"/>
              <w:snapToGrid w:val="0"/>
              <w:spacing w:line="360" w:lineRule="auto"/>
              <w:ind w:leftChars="-51" w:left="-107"/>
              <w:jc w:val="right"/>
              <w:rPr>
                <w:rFonts w:asciiTheme="minorEastAsia" w:eastAsiaTheme="minorEastAsia" w:hAnsiTheme="minorEastAsia"/>
                <w:szCs w:val="21"/>
              </w:rPr>
            </w:pPr>
            <w:r w:rsidRPr="009802E0">
              <w:rPr>
                <w:rFonts w:asciiTheme="minorEastAsia" w:eastAsiaTheme="minorEastAsia" w:hAnsiTheme="minorEastAsia"/>
                <w:szCs w:val="21"/>
              </w:rPr>
              <w:t>0.41%</w:t>
            </w:r>
          </w:p>
        </w:tc>
      </w:tr>
      <w:tr w:rsidR="00F1417A" w:rsidRPr="009802E0" w:rsidTr="00F1417A">
        <w:trPr>
          <w:trHeight w:val="300"/>
        </w:trPr>
        <w:tc>
          <w:tcPr>
            <w:tcW w:w="1702" w:type="dxa"/>
            <w:vAlign w:val="center"/>
          </w:tcPr>
          <w:p w:rsidR="00666600" w:rsidRPr="009802E0" w:rsidRDefault="00666600" w:rsidP="00666600">
            <w:pPr>
              <w:adjustRightInd w:val="0"/>
              <w:snapToGrid w:val="0"/>
              <w:spacing w:line="360" w:lineRule="auto"/>
              <w:ind w:leftChars="-51" w:left="-107" w:rightChars="-51" w:right="-107"/>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201</w:t>
            </w:r>
            <w:r w:rsidRPr="009802E0">
              <w:rPr>
                <w:rFonts w:asciiTheme="minorEastAsia" w:eastAsiaTheme="minorEastAsia" w:hAnsiTheme="minorEastAsia"/>
                <w:kern w:val="0"/>
                <w:szCs w:val="21"/>
              </w:rPr>
              <w:t>8</w:t>
            </w:r>
            <w:r w:rsidRPr="009802E0">
              <w:rPr>
                <w:rFonts w:asciiTheme="minorEastAsia" w:eastAsiaTheme="minorEastAsia" w:hAnsiTheme="minorEastAsia" w:hint="eastAsia"/>
                <w:kern w:val="0"/>
                <w:szCs w:val="21"/>
              </w:rPr>
              <w:t>年1月1日至2018年</w:t>
            </w:r>
            <w:r w:rsidRPr="009802E0">
              <w:rPr>
                <w:rFonts w:asciiTheme="minorEastAsia" w:eastAsiaTheme="minorEastAsia" w:hAnsiTheme="minorEastAsia"/>
                <w:kern w:val="0"/>
                <w:szCs w:val="21"/>
              </w:rPr>
              <w:t>12</w:t>
            </w:r>
            <w:r w:rsidRPr="009802E0">
              <w:rPr>
                <w:rFonts w:asciiTheme="minorEastAsia" w:eastAsiaTheme="minorEastAsia" w:hAnsiTheme="minorEastAsia" w:hint="eastAsia"/>
                <w:kern w:val="0"/>
                <w:szCs w:val="21"/>
              </w:rPr>
              <w:t>月3</w:t>
            </w:r>
            <w:r w:rsidRPr="009802E0">
              <w:rPr>
                <w:rFonts w:asciiTheme="minorEastAsia" w:eastAsiaTheme="minorEastAsia" w:hAnsiTheme="minorEastAsia"/>
                <w:kern w:val="0"/>
                <w:szCs w:val="21"/>
              </w:rPr>
              <w:t>1</w:t>
            </w:r>
            <w:r w:rsidRPr="009802E0">
              <w:rPr>
                <w:rFonts w:asciiTheme="minorEastAsia" w:eastAsiaTheme="minorEastAsia" w:hAnsiTheme="minorEastAsia" w:hint="eastAsia"/>
                <w:kern w:val="0"/>
                <w:szCs w:val="21"/>
              </w:rPr>
              <w:t>日</w:t>
            </w:r>
          </w:p>
        </w:tc>
        <w:tc>
          <w:tcPr>
            <w:tcW w:w="960" w:type="dxa"/>
            <w:vAlign w:val="center"/>
          </w:tcPr>
          <w:p w:rsidR="00666600" w:rsidRPr="009802E0" w:rsidRDefault="00666600" w:rsidP="00F1417A">
            <w:pPr>
              <w:adjustRightInd w:val="0"/>
              <w:snapToGrid w:val="0"/>
              <w:spacing w:line="360" w:lineRule="auto"/>
              <w:ind w:leftChars="-51" w:left="-107"/>
              <w:jc w:val="right"/>
              <w:rPr>
                <w:rFonts w:asciiTheme="minorEastAsia" w:eastAsiaTheme="minorEastAsia" w:hAnsiTheme="minorEastAsia"/>
                <w:szCs w:val="21"/>
              </w:rPr>
            </w:pPr>
            <w:r w:rsidRPr="009802E0">
              <w:rPr>
                <w:rFonts w:asciiTheme="minorEastAsia" w:eastAsiaTheme="minorEastAsia" w:hAnsiTheme="minorEastAsia"/>
                <w:szCs w:val="21"/>
              </w:rPr>
              <w:t>-6.64%</w:t>
            </w:r>
          </w:p>
        </w:tc>
        <w:tc>
          <w:tcPr>
            <w:tcW w:w="1080" w:type="dxa"/>
            <w:vAlign w:val="center"/>
          </w:tcPr>
          <w:p w:rsidR="00666600" w:rsidRPr="009802E0" w:rsidRDefault="00666600" w:rsidP="00F1417A">
            <w:pPr>
              <w:adjustRightInd w:val="0"/>
              <w:snapToGrid w:val="0"/>
              <w:spacing w:line="360" w:lineRule="auto"/>
              <w:ind w:leftChars="-51" w:left="-107"/>
              <w:jc w:val="right"/>
              <w:rPr>
                <w:rFonts w:asciiTheme="minorEastAsia" w:eastAsiaTheme="minorEastAsia" w:hAnsiTheme="minorEastAsia"/>
                <w:szCs w:val="21"/>
              </w:rPr>
            </w:pPr>
            <w:r w:rsidRPr="009802E0">
              <w:rPr>
                <w:rFonts w:asciiTheme="minorEastAsia" w:eastAsiaTheme="minorEastAsia" w:hAnsiTheme="minorEastAsia"/>
                <w:szCs w:val="21"/>
              </w:rPr>
              <w:t>0.65%</w:t>
            </w:r>
          </w:p>
        </w:tc>
        <w:tc>
          <w:tcPr>
            <w:tcW w:w="1440" w:type="dxa"/>
            <w:vAlign w:val="center"/>
          </w:tcPr>
          <w:p w:rsidR="00666600" w:rsidRPr="009802E0" w:rsidRDefault="00666600" w:rsidP="00F1417A">
            <w:pPr>
              <w:adjustRightInd w:val="0"/>
              <w:snapToGrid w:val="0"/>
              <w:spacing w:line="360" w:lineRule="auto"/>
              <w:ind w:leftChars="-51" w:left="-107"/>
              <w:jc w:val="right"/>
              <w:rPr>
                <w:rFonts w:asciiTheme="minorEastAsia" w:eastAsiaTheme="minorEastAsia" w:hAnsiTheme="minorEastAsia"/>
                <w:szCs w:val="21"/>
              </w:rPr>
            </w:pPr>
            <w:r w:rsidRPr="009802E0">
              <w:rPr>
                <w:rFonts w:asciiTheme="minorEastAsia" w:eastAsiaTheme="minorEastAsia" w:hAnsiTheme="minorEastAsia"/>
                <w:szCs w:val="21"/>
              </w:rPr>
              <w:t>3.75%</w:t>
            </w:r>
          </w:p>
        </w:tc>
        <w:tc>
          <w:tcPr>
            <w:tcW w:w="1440" w:type="dxa"/>
            <w:vAlign w:val="center"/>
          </w:tcPr>
          <w:p w:rsidR="00666600" w:rsidRPr="009802E0" w:rsidRDefault="00666600" w:rsidP="00F1417A">
            <w:pPr>
              <w:adjustRightInd w:val="0"/>
              <w:snapToGrid w:val="0"/>
              <w:spacing w:line="360" w:lineRule="auto"/>
              <w:ind w:leftChars="-51" w:left="-107"/>
              <w:jc w:val="right"/>
              <w:rPr>
                <w:rFonts w:asciiTheme="minorEastAsia" w:eastAsiaTheme="minorEastAsia" w:hAnsiTheme="minorEastAsia"/>
                <w:szCs w:val="21"/>
              </w:rPr>
            </w:pPr>
            <w:r w:rsidRPr="009802E0">
              <w:rPr>
                <w:rFonts w:asciiTheme="minorEastAsia" w:eastAsiaTheme="minorEastAsia" w:hAnsiTheme="minorEastAsia"/>
                <w:szCs w:val="21"/>
              </w:rPr>
              <w:t>0.01%</w:t>
            </w:r>
          </w:p>
        </w:tc>
        <w:tc>
          <w:tcPr>
            <w:tcW w:w="900" w:type="dxa"/>
            <w:vAlign w:val="center"/>
          </w:tcPr>
          <w:p w:rsidR="00666600" w:rsidRPr="009802E0" w:rsidRDefault="00666600" w:rsidP="00F1417A">
            <w:pPr>
              <w:adjustRightInd w:val="0"/>
              <w:snapToGrid w:val="0"/>
              <w:spacing w:line="360" w:lineRule="auto"/>
              <w:ind w:leftChars="-51" w:left="-107"/>
              <w:jc w:val="right"/>
              <w:rPr>
                <w:rFonts w:asciiTheme="minorEastAsia" w:eastAsiaTheme="minorEastAsia" w:hAnsiTheme="minorEastAsia"/>
                <w:szCs w:val="21"/>
              </w:rPr>
            </w:pPr>
            <w:r w:rsidRPr="009802E0">
              <w:rPr>
                <w:rFonts w:asciiTheme="minorEastAsia" w:eastAsiaTheme="minorEastAsia" w:hAnsiTheme="minorEastAsia"/>
                <w:szCs w:val="21"/>
              </w:rPr>
              <w:t>-10.39%</w:t>
            </w:r>
          </w:p>
        </w:tc>
        <w:tc>
          <w:tcPr>
            <w:tcW w:w="900" w:type="dxa"/>
            <w:vAlign w:val="center"/>
          </w:tcPr>
          <w:p w:rsidR="00666600" w:rsidRPr="009802E0" w:rsidRDefault="00666600" w:rsidP="00F1417A">
            <w:pPr>
              <w:adjustRightInd w:val="0"/>
              <w:snapToGrid w:val="0"/>
              <w:spacing w:line="360" w:lineRule="auto"/>
              <w:ind w:leftChars="-51" w:left="-107"/>
              <w:jc w:val="right"/>
              <w:rPr>
                <w:rFonts w:asciiTheme="minorEastAsia" w:eastAsiaTheme="minorEastAsia" w:hAnsiTheme="minorEastAsia"/>
                <w:szCs w:val="21"/>
              </w:rPr>
            </w:pPr>
            <w:r w:rsidRPr="009802E0">
              <w:rPr>
                <w:rFonts w:asciiTheme="minorEastAsia" w:eastAsiaTheme="minorEastAsia" w:hAnsiTheme="minorEastAsia"/>
                <w:szCs w:val="21"/>
              </w:rPr>
              <w:t>0.64%</w:t>
            </w:r>
          </w:p>
        </w:tc>
      </w:tr>
      <w:tr w:rsidR="009113B7" w:rsidRPr="009802E0" w:rsidTr="00F1417A">
        <w:trPr>
          <w:trHeight w:val="300"/>
        </w:trPr>
        <w:tc>
          <w:tcPr>
            <w:tcW w:w="1702" w:type="dxa"/>
            <w:vAlign w:val="center"/>
          </w:tcPr>
          <w:p w:rsidR="009113B7" w:rsidRPr="009802E0" w:rsidRDefault="0096166C" w:rsidP="009113B7">
            <w:pPr>
              <w:adjustRightInd w:val="0"/>
              <w:snapToGrid w:val="0"/>
              <w:spacing w:line="360" w:lineRule="auto"/>
              <w:ind w:leftChars="-51" w:left="-107" w:rightChars="-51" w:right="-107"/>
              <w:rPr>
                <w:rFonts w:asciiTheme="minorEastAsia" w:eastAsiaTheme="minorEastAsia" w:hAnsiTheme="minorEastAsia"/>
                <w:kern w:val="0"/>
                <w:szCs w:val="21"/>
              </w:rPr>
            </w:pPr>
            <w:r w:rsidRPr="009802E0">
              <w:rPr>
                <w:rFonts w:asciiTheme="minorEastAsia" w:eastAsiaTheme="minorEastAsia" w:hAnsiTheme="minorEastAsia"/>
                <w:kern w:val="0"/>
                <w:szCs w:val="21"/>
              </w:rPr>
              <w:t>2019年1月1日至2019年12月31日</w:t>
            </w:r>
          </w:p>
        </w:tc>
        <w:tc>
          <w:tcPr>
            <w:tcW w:w="960" w:type="dxa"/>
            <w:vAlign w:val="center"/>
          </w:tcPr>
          <w:p w:rsidR="009113B7" w:rsidRPr="009802E0" w:rsidRDefault="0096166C" w:rsidP="0096166C">
            <w:pPr>
              <w:adjustRightInd w:val="0"/>
              <w:snapToGrid w:val="0"/>
              <w:spacing w:line="360" w:lineRule="auto"/>
              <w:ind w:leftChars="-51" w:left="-107"/>
              <w:jc w:val="right"/>
              <w:rPr>
                <w:rFonts w:asciiTheme="minorEastAsia" w:eastAsiaTheme="minorEastAsia" w:hAnsiTheme="minorEastAsia"/>
                <w:szCs w:val="21"/>
              </w:rPr>
            </w:pPr>
            <w:r w:rsidRPr="009802E0">
              <w:rPr>
                <w:rFonts w:asciiTheme="minorEastAsia" w:eastAsiaTheme="minorEastAsia" w:hAnsiTheme="minorEastAsia"/>
              </w:rPr>
              <w:t>20.87%</w:t>
            </w:r>
          </w:p>
        </w:tc>
        <w:tc>
          <w:tcPr>
            <w:tcW w:w="1080" w:type="dxa"/>
            <w:vAlign w:val="center"/>
          </w:tcPr>
          <w:p w:rsidR="009113B7" w:rsidRPr="009802E0" w:rsidRDefault="0096166C" w:rsidP="0096166C">
            <w:pPr>
              <w:adjustRightInd w:val="0"/>
              <w:snapToGrid w:val="0"/>
              <w:spacing w:line="360" w:lineRule="auto"/>
              <w:ind w:leftChars="-51" w:left="-107"/>
              <w:jc w:val="right"/>
              <w:rPr>
                <w:rFonts w:asciiTheme="minorEastAsia" w:eastAsiaTheme="minorEastAsia" w:hAnsiTheme="minorEastAsia"/>
                <w:szCs w:val="21"/>
              </w:rPr>
            </w:pPr>
            <w:r w:rsidRPr="009802E0">
              <w:rPr>
                <w:rFonts w:asciiTheme="minorEastAsia" w:eastAsiaTheme="minorEastAsia" w:hAnsiTheme="minorEastAsia"/>
              </w:rPr>
              <w:t>0.53%</w:t>
            </w:r>
          </w:p>
        </w:tc>
        <w:tc>
          <w:tcPr>
            <w:tcW w:w="1440" w:type="dxa"/>
            <w:vAlign w:val="center"/>
          </w:tcPr>
          <w:p w:rsidR="009113B7" w:rsidRPr="009802E0" w:rsidRDefault="0096166C" w:rsidP="0096166C">
            <w:pPr>
              <w:adjustRightInd w:val="0"/>
              <w:snapToGrid w:val="0"/>
              <w:spacing w:line="360" w:lineRule="auto"/>
              <w:ind w:leftChars="-51" w:left="-107"/>
              <w:jc w:val="right"/>
              <w:rPr>
                <w:rFonts w:asciiTheme="minorEastAsia" w:eastAsiaTheme="minorEastAsia" w:hAnsiTheme="minorEastAsia"/>
                <w:szCs w:val="21"/>
              </w:rPr>
            </w:pPr>
            <w:r w:rsidRPr="009802E0">
              <w:rPr>
                <w:rFonts w:asciiTheme="minorEastAsia" w:eastAsiaTheme="minorEastAsia" w:hAnsiTheme="minorEastAsia"/>
              </w:rPr>
              <w:t>3.75%</w:t>
            </w:r>
          </w:p>
        </w:tc>
        <w:tc>
          <w:tcPr>
            <w:tcW w:w="1440" w:type="dxa"/>
            <w:vAlign w:val="center"/>
          </w:tcPr>
          <w:p w:rsidR="009113B7" w:rsidRPr="009802E0" w:rsidRDefault="0096166C">
            <w:pPr>
              <w:adjustRightInd w:val="0"/>
              <w:snapToGrid w:val="0"/>
              <w:spacing w:line="360" w:lineRule="auto"/>
              <w:ind w:leftChars="-51" w:left="-107"/>
              <w:jc w:val="right"/>
              <w:rPr>
                <w:rFonts w:asciiTheme="minorEastAsia" w:eastAsiaTheme="minorEastAsia" w:hAnsiTheme="minorEastAsia"/>
                <w:szCs w:val="21"/>
              </w:rPr>
            </w:pPr>
            <w:r w:rsidRPr="009802E0">
              <w:rPr>
                <w:rFonts w:asciiTheme="minorEastAsia" w:eastAsiaTheme="minorEastAsia" w:hAnsiTheme="minorEastAsia"/>
              </w:rPr>
              <w:t>0.01%</w:t>
            </w:r>
          </w:p>
        </w:tc>
        <w:tc>
          <w:tcPr>
            <w:tcW w:w="900" w:type="dxa"/>
            <w:vAlign w:val="center"/>
          </w:tcPr>
          <w:p w:rsidR="009113B7" w:rsidRPr="009802E0" w:rsidRDefault="0096166C">
            <w:pPr>
              <w:adjustRightInd w:val="0"/>
              <w:snapToGrid w:val="0"/>
              <w:spacing w:line="360" w:lineRule="auto"/>
              <w:ind w:leftChars="-51" w:left="-107"/>
              <w:jc w:val="right"/>
              <w:rPr>
                <w:rFonts w:asciiTheme="minorEastAsia" w:eastAsiaTheme="minorEastAsia" w:hAnsiTheme="minorEastAsia"/>
                <w:szCs w:val="21"/>
              </w:rPr>
            </w:pPr>
            <w:r w:rsidRPr="009802E0">
              <w:rPr>
                <w:rFonts w:asciiTheme="minorEastAsia" w:eastAsiaTheme="minorEastAsia" w:hAnsiTheme="minorEastAsia"/>
              </w:rPr>
              <w:t>17.12%</w:t>
            </w:r>
          </w:p>
        </w:tc>
        <w:tc>
          <w:tcPr>
            <w:tcW w:w="900" w:type="dxa"/>
            <w:vAlign w:val="center"/>
          </w:tcPr>
          <w:p w:rsidR="009113B7" w:rsidRPr="009802E0" w:rsidRDefault="0096166C">
            <w:pPr>
              <w:adjustRightInd w:val="0"/>
              <w:snapToGrid w:val="0"/>
              <w:spacing w:line="360" w:lineRule="auto"/>
              <w:ind w:leftChars="-51" w:left="-107"/>
              <w:jc w:val="right"/>
              <w:rPr>
                <w:rFonts w:asciiTheme="minorEastAsia" w:eastAsiaTheme="minorEastAsia" w:hAnsiTheme="minorEastAsia"/>
                <w:szCs w:val="21"/>
              </w:rPr>
            </w:pPr>
            <w:r w:rsidRPr="009802E0">
              <w:rPr>
                <w:rFonts w:asciiTheme="minorEastAsia" w:eastAsiaTheme="minorEastAsia" w:hAnsiTheme="minorEastAsia"/>
              </w:rPr>
              <w:t>0.52%</w:t>
            </w:r>
          </w:p>
        </w:tc>
      </w:tr>
      <w:tr w:rsidR="0096166C" w:rsidRPr="009802E0" w:rsidTr="00F1417A">
        <w:trPr>
          <w:trHeight w:val="300"/>
        </w:trPr>
        <w:tc>
          <w:tcPr>
            <w:tcW w:w="1702" w:type="dxa"/>
            <w:vAlign w:val="center"/>
          </w:tcPr>
          <w:p w:rsidR="0096166C" w:rsidRPr="009802E0" w:rsidRDefault="0096166C" w:rsidP="009113B7">
            <w:pPr>
              <w:adjustRightInd w:val="0"/>
              <w:snapToGrid w:val="0"/>
              <w:spacing w:line="360" w:lineRule="auto"/>
              <w:ind w:leftChars="-51" w:left="-107" w:rightChars="-51" w:right="-107"/>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自基金合同生效日至</w:t>
            </w:r>
            <w:r w:rsidRPr="009802E0">
              <w:rPr>
                <w:rFonts w:asciiTheme="minorEastAsia" w:eastAsiaTheme="minorEastAsia" w:hAnsiTheme="minorEastAsia"/>
                <w:kern w:val="0"/>
                <w:szCs w:val="21"/>
              </w:rPr>
              <w:t>2019年12月31日</w:t>
            </w:r>
          </w:p>
        </w:tc>
        <w:tc>
          <w:tcPr>
            <w:tcW w:w="960" w:type="dxa"/>
            <w:vAlign w:val="center"/>
          </w:tcPr>
          <w:p w:rsidR="0096166C" w:rsidRPr="009802E0" w:rsidRDefault="0096166C" w:rsidP="0096166C">
            <w:pPr>
              <w:adjustRightInd w:val="0"/>
              <w:snapToGrid w:val="0"/>
              <w:spacing w:line="360" w:lineRule="auto"/>
              <w:ind w:leftChars="-51" w:left="-107"/>
              <w:jc w:val="right"/>
              <w:rPr>
                <w:rFonts w:asciiTheme="minorEastAsia" w:eastAsiaTheme="minorEastAsia" w:hAnsiTheme="minorEastAsia"/>
              </w:rPr>
            </w:pPr>
            <w:r w:rsidRPr="009802E0">
              <w:rPr>
                <w:rFonts w:asciiTheme="minorEastAsia" w:eastAsiaTheme="minorEastAsia" w:hAnsiTheme="minorEastAsia"/>
              </w:rPr>
              <w:t>208.46%</w:t>
            </w:r>
          </w:p>
        </w:tc>
        <w:tc>
          <w:tcPr>
            <w:tcW w:w="1080" w:type="dxa"/>
            <w:vAlign w:val="center"/>
          </w:tcPr>
          <w:p w:rsidR="0096166C" w:rsidRPr="009802E0" w:rsidRDefault="0096166C">
            <w:pPr>
              <w:adjustRightInd w:val="0"/>
              <w:snapToGrid w:val="0"/>
              <w:spacing w:line="360" w:lineRule="auto"/>
              <w:ind w:leftChars="-51" w:left="-107"/>
              <w:jc w:val="right"/>
              <w:rPr>
                <w:rFonts w:asciiTheme="minorEastAsia" w:eastAsiaTheme="minorEastAsia" w:hAnsiTheme="minorEastAsia"/>
              </w:rPr>
            </w:pPr>
            <w:r w:rsidRPr="009802E0">
              <w:rPr>
                <w:rFonts w:asciiTheme="minorEastAsia" w:eastAsiaTheme="minorEastAsia" w:hAnsiTheme="minorEastAsia"/>
              </w:rPr>
              <w:t>0.77%</w:t>
            </w:r>
          </w:p>
        </w:tc>
        <w:tc>
          <w:tcPr>
            <w:tcW w:w="1440" w:type="dxa"/>
            <w:vAlign w:val="center"/>
          </w:tcPr>
          <w:p w:rsidR="0096166C" w:rsidRPr="009802E0" w:rsidRDefault="0096166C">
            <w:pPr>
              <w:adjustRightInd w:val="0"/>
              <w:snapToGrid w:val="0"/>
              <w:spacing w:line="360" w:lineRule="auto"/>
              <w:ind w:leftChars="-51" w:left="-107"/>
              <w:jc w:val="right"/>
              <w:rPr>
                <w:rFonts w:asciiTheme="minorEastAsia" w:eastAsiaTheme="minorEastAsia" w:hAnsiTheme="minorEastAsia"/>
              </w:rPr>
            </w:pPr>
            <w:r w:rsidRPr="009802E0">
              <w:rPr>
                <w:rFonts w:asciiTheme="minorEastAsia" w:eastAsiaTheme="minorEastAsia" w:hAnsiTheme="minorEastAsia"/>
              </w:rPr>
              <w:t>39.56%</w:t>
            </w:r>
          </w:p>
        </w:tc>
        <w:tc>
          <w:tcPr>
            <w:tcW w:w="1440" w:type="dxa"/>
            <w:vAlign w:val="center"/>
          </w:tcPr>
          <w:p w:rsidR="0096166C" w:rsidRPr="009802E0" w:rsidRDefault="0096166C">
            <w:pPr>
              <w:adjustRightInd w:val="0"/>
              <w:snapToGrid w:val="0"/>
              <w:spacing w:line="360" w:lineRule="auto"/>
              <w:ind w:leftChars="-51" w:left="-107"/>
              <w:jc w:val="right"/>
              <w:rPr>
                <w:rFonts w:asciiTheme="minorEastAsia" w:eastAsiaTheme="minorEastAsia" w:hAnsiTheme="minorEastAsia"/>
              </w:rPr>
            </w:pPr>
            <w:r w:rsidRPr="009802E0">
              <w:rPr>
                <w:rFonts w:asciiTheme="minorEastAsia" w:eastAsiaTheme="minorEastAsia" w:hAnsiTheme="minorEastAsia"/>
              </w:rPr>
              <w:t>0.01%</w:t>
            </w:r>
          </w:p>
        </w:tc>
        <w:tc>
          <w:tcPr>
            <w:tcW w:w="900" w:type="dxa"/>
            <w:vAlign w:val="center"/>
          </w:tcPr>
          <w:p w:rsidR="0096166C" w:rsidRPr="009802E0" w:rsidRDefault="0096166C">
            <w:pPr>
              <w:adjustRightInd w:val="0"/>
              <w:snapToGrid w:val="0"/>
              <w:spacing w:line="360" w:lineRule="auto"/>
              <w:ind w:leftChars="-51" w:left="-107"/>
              <w:jc w:val="right"/>
              <w:rPr>
                <w:rFonts w:asciiTheme="minorEastAsia" w:eastAsiaTheme="minorEastAsia" w:hAnsiTheme="minorEastAsia"/>
              </w:rPr>
            </w:pPr>
            <w:r w:rsidRPr="009802E0">
              <w:rPr>
                <w:rFonts w:asciiTheme="minorEastAsia" w:eastAsiaTheme="minorEastAsia" w:hAnsiTheme="minorEastAsia"/>
              </w:rPr>
              <w:t>168.90%</w:t>
            </w:r>
          </w:p>
        </w:tc>
        <w:tc>
          <w:tcPr>
            <w:tcW w:w="900" w:type="dxa"/>
            <w:vAlign w:val="center"/>
          </w:tcPr>
          <w:p w:rsidR="0096166C" w:rsidRPr="009802E0" w:rsidRDefault="0096166C">
            <w:pPr>
              <w:adjustRightInd w:val="0"/>
              <w:snapToGrid w:val="0"/>
              <w:spacing w:line="360" w:lineRule="auto"/>
              <w:ind w:leftChars="-51" w:left="-107"/>
              <w:jc w:val="right"/>
              <w:rPr>
                <w:rFonts w:asciiTheme="minorEastAsia" w:eastAsiaTheme="minorEastAsia" w:hAnsiTheme="minorEastAsia"/>
              </w:rPr>
            </w:pPr>
            <w:r w:rsidRPr="009802E0">
              <w:rPr>
                <w:rFonts w:asciiTheme="minorEastAsia" w:eastAsiaTheme="minorEastAsia" w:hAnsiTheme="minorEastAsia"/>
              </w:rPr>
              <w:t>0.76%</w:t>
            </w:r>
          </w:p>
        </w:tc>
      </w:tr>
    </w:tbl>
    <w:p w:rsidR="007E1BE1" w:rsidRPr="009802E0" w:rsidRDefault="00C335A3" w:rsidP="00FE018D">
      <w:pPr>
        <w:adjustRightInd w:val="0"/>
        <w:snapToGrid w:val="0"/>
        <w:spacing w:line="360" w:lineRule="auto"/>
        <w:ind w:right="28"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lastRenderedPageBreak/>
        <w:t>2、</w:t>
      </w:r>
      <w:r w:rsidR="00F10AF9" w:rsidRPr="009802E0">
        <w:rPr>
          <w:rFonts w:asciiTheme="minorEastAsia" w:eastAsiaTheme="minorEastAsia" w:hAnsiTheme="minorEastAsia" w:hint="eastAsia"/>
          <w:kern w:val="0"/>
          <w:szCs w:val="21"/>
        </w:rPr>
        <w:t>易方达安心回报债券</w:t>
      </w:r>
      <w:r w:rsidR="00F10AF9" w:rsidRPr="009802E0">
        <w:rPr>
          <w:rFonts w:asciiTheme="minorEastAsia" w:eastAsiaTheme="minorEastAsia" w:hAnsiTheme="minorEastAsia"/>
          <w:kern w:val="0"/>
          <w:szCs w:val="21"/>
        </w:rPr>
        <w:t>B</w:t>
      </w:r>
      <w:r w:rsidR="00B94AD0" w:rsidRPr="009802E0">
        <w:rPr>
          <w:rFonts w:asciiTheme="minorEastAsia" w:eastAsiaTheme="minorEastAsia" w:hAnsiTheme="minorEastAsia" w:hint="eastAsia"/>
          <w:kern w:val="0"/>
          <w:szCs w:val="21"/>
        </w:rPr>
        <w:t>类</w:t>
      </w:r>
      <w:r w:rsidR="00F10AF9" w:rsidRPr="009802E0">
        <w:rPr>
          <w:rFonts w:asciiTheme="minorEastAsia" w:eastAsiaTheme="minorEastAsia" w:hAnsiTheme="minorEastAsia" w:hint="eastAsia"/>
          <w:kern w:val="0"/>
          <w:szCs w:val="21"/>
        </w:rPr>
        <w:t>基金份额净值增长率与同期业绩比较基准收益率比较</w:t>
      </w: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960"/>
        <w:gridCol w:w="1080"/>
        <w:gridCol w:w="1440"/>
        <w:gridCol w:w="1440"/>
        <w:gridCol w:w="900"/>
        <w:gridCol w:w="900"/>
      </w:tblGrid>
      <w:tr w:rsidR="00F1417A" w:rsidRPr="009802E0" w:rsidTr="00297A76">
        <w:trPr>
          <w:trHeight w:val="315"/>
        </w:trPr>
        <w:tc>
          <w:tcPr>
            <w:tcW w:w="1702" w:type="dxa"/>
            <w:vAlign w:val="center"/>
          </w:tcPr>
          <w:p w:rsidR="00F10AF9" w:rsidRPr="009802E0" w:rsidRDefault="00F10AF9" w:rsidP="00FE018D">
            <w:pPr>
              <w:adjustRightInd w:val="0"/>
              <w:snapToGrid w:val="0"/>
              <w:spacing w:line="360" w:lineRule="auto"/>
              <w:jc w:val="center"/>
              <w:rPr>
                <w:rFonts w:asciiTheme="minorEastAsia" w:eastAsiaTheme="minorEastAsia" w:hAnsiTheme="minorEastAsia" w:cs="Arial Unicode MS"/>
                <w:szCs w:val="21"/>
              </w:rPr>
            </w:pPr>
            <w:r w:rsidRPr="009802E0">
              <w:rPr>
                <w:rFonts w:asciiTheme="minorEastAsia" w:eastAsiaTheme="minorEastAsia" w:hAnsiTheme="minorEastAsia" w:hint="eastAsia"/>
                <w:szCs w:val="21"/>
              </w:rPr>
              <w:t>阶段</w:t>
            </w:r>
          </w:p>
        </w:tc>
        <w:tc>
          <w:tcPr>
            <w:tcW w:w="960" w:type="dxa"/>
            <w:vAlign w:val="center"/>
          </w:tcPr>
          <w:p w:rsidR="00F10AF9" w:rsidRPr="009802E0" w:rsidRDefault="00F10AF9" w:rsidP="00FE018D">
            <w:pPr>
              <w:adjustRightInd w:val="0"/>
              <w:snapToGrid w:val="0"/>
              <w:spacing w:line="360" w:lineRule="auto"/>
              <w:jc w:val="center"/>
              <w:rPr>
                <w:rFonts w:asciiTheme="minorEastAsia" w:eastAsiaTheme="minorEastAsia" w:hAnsiTheme="minorEastAsia" w:cs="Arial Unicode MS"/>
                <w:szCs w:val="21"/>
              </w:rPr>
            </w:pPr>
            <w:r w:rsidRPr="009802E0">
              <w:rPr>
                <w:rFonts w:asciiTheme="minorEastAsia" w:eastAsiaTheme="minorEastAsia" w:hAnsiTheme="minorEastAsia" w:hint="eastAsia"/>
                <w:szCs w:val="21"/>
              </w:rPr>
              <w:t>净值增长率（</w:t>
            </w:r>
            <w:r w:rsidRPr="009802E0">
              <w:rPr>
                <w:rFonts w:asciiTheme="minorEastAsia" w:eastAsiaTheme="minorEastAsia" w:hAnsiTheme="minorEastAsia"/>
                <w:szCs w:val="21"/>
              </w:rPr>
              <w:t>1）</w:t>
            </w:r>
          </w:p>
        </w:tc>
        <w:tc>
          <w:tcPr>
            <w:tcW w:w="1080" w:type="dxa"/>
            <w:vAlign w:val="center"/>
          </w:tcPr>
          <w:p w:rsidR="00F10AF9" w:rsidRPr="009802E0" w:rsidRDefault="00F10AF9" w:rsidP="00FE018D">
            <w:pPr>
              <w:adjustRightInd w:val="0"/>
              <w:snapToGrid w:val="0"/>
              <w:spacing w:line="360" w:lineRule="auto"/>
              <w:jc w:val="center"/>
              <w:rPr>
                <w:rFonts w:asciiTheme="minorEastAsia" w:eastAsiaTheme="minorEastAsia" w:hAnsiTheme="minorEastAsia" w:cs="Arial Unicode MS"/>
                <w:szCs w:val="21"/>
              </w:rPr>
            </w:pPr>
            <w:r w:rsidRPr="009802E0">
              <w:rPr>
                <w:rFonts w:asciiTheme="minorEastAsia" w:eastAsiaTheme="minorEastAsia" w:hAnsiTheme="minorEastAsia" w:hint="eastAsia"/>
                <w:szCs w:val="21"/>
              </w:rPr>
              <w:t>净值增长率标准差（</w:t>
            </w:r>
            <w:r w:rsidRPr="009802E0">
              <w:rPr>
                <w:rFonts w:asciiTheme="minorEastAsia" w:eastAsiaTheme="minorEastAsia" w:hAnsiTheme="minorEastAsia"/>
                <w:szCs w:val="21"/>
              </w:rPr>
              <w:t>2）</w:t>
            </w:r>
          </w:p>
        </w:tc>
        <w:tc>
          <w:tcPr>
            <w:tcW w:w="1440" w:type="dxa"/>
            <w:vAlign w:val="center"/>
          </w:tcPr>
          <w:p w:rsidR="00F10AF9" w:rsidRPr="009802E0" w:rsidRDefault="00F10AF9" w:rsidP="00FE018D">
            <w:pPr>
              <w:adjustRightInd w:val="0"/>
              <w:snapToGrid w:val="0"/>
              <w:spacing w:line="360" w:lineRule="auto"/>
              <w:jc w:val="center"/>
              <w:rPr>
                <w:rFonts w:asciiTheme="minorEastAsia" w:eastAsiaTheme="minorEastAsia" w:hAnsiTheme="minorEastAsia" w:cs="Arial Unicode MS"/>
                <w:szCs w:val="21"/>
              </w:rPr>
            </w:pPr>
            <w:r w:rsidRPr="009802E0">
              <w:rPr>
                <w:rFonts w:asciiTheme="minorEastAsia" w:eastAsiaTheme="minorEastAsia" w:hAnsiTheme="minorEastAsia" w:hint="eastAsia"/>
                <w:szCs w:val="21"/>
              </w:rPr>
              <w:t>业绩比较基准收益率（</w:t>
            </w:r>
            <w:r w:rsidRPr="009802E0">
              <w:rPr>
                <w:rFonts w:asciiTheme="minorEastAsia" w:eastAsiaTheme="minorEastAsia" w:hAnsiTheme="minorEastAsia"/>
                <w:szCs w:val="21"/>
              </w:rPr>
              <w:t>3）</w:t>
            </w:r>
          </w:p>
        </w:tc>
        <w:tc>
          <w:tcPr>
            <w:tcW w:w="1440" w:type="dxa"/>
            <w:vAlign w:val="center"/>
          </w:tcPr>
          <w:p w:rsidR="00F10AF9" w:rsidRPr="009802E0" w:rsidRDefault="00F10AF9" w:rsidP="00FE018D">
            <w:pPr>
              <w:adjustRightInd w:val="0"/>
              <w:snapToGrid w:val="0"/>
              <w:spacing w:line="360" w:lineRule="auto"/>
              <w:jc w:val="center"/>
              <w:rPr>
                <w:rFonts w:asciiTheme="minorEastAsia" w:eastAsiaTheme="minorEastAsia" w:hAnsiTheme="minorEastAsia" w:cs="Arial Unicode MS"/>
                <w:szCs w:val="21"/>
              </w:rPr>
            </w:pPr>
            <w:r w:rsidRPr="009802E0">
              <w:rPr>
                <w:rFonts w:asciiTheme="minorEastAsia" w:eastAsiaTheme="minorEastAsia" w:hAnsiTheme="minorEastAsia" w:hint="eastAsia"/>
                <w:szCs w:val="21"/>
              </w:rPr>
              <w:t>业绩比较基准收益率标准差（</w:t>
            </w:r>
            <w:r w:rsidRPr="009802E0">
              <w:rPr>
                <w:rFonts w:asciiTheme="minorEastAsia" w:eastAsiaTheme="minorEastAsia" w:hAnsiTheme="minorEastAsia"/>
                <w:szCs w:val="21"/>
              </w:rPr>
              <w:t>4）</w:t>
            </w:r>
          </w:p>
        </w:tc>
        <w:tc>
          <w:tcPr>
            <w:tcW w:w="900" w:type="dxa"/>
            <w:vAlign w:val="center"/>
          </w:tcPr>
          <w:p w:rsidR="00F10AF9" w:rsidRPr="009802E0" w:rsidRDefault="00F10AF9" w:rsidP="00FE018D">
            <w:pPr>
              <w:adjustRightInd w:val="0"/>
              <w:snapToGrid w:val="0"/>
              <w:spacing w:line="360" w:lineRule="auto"/>
              <w:ind w:leftChars="-51" w:left="-107" w:rightChars="-51" w:right="-107"/>
              <w:jc w:val="center"/>
              <w:rPr>
                <w:rFonts w:asciiTheme="minorEastAsia" w:eastAsiaTheme="minorEastAsia" w:hAnsiTheme="minorEastAsia"/>
                <w:szCs w:val="21"/>
              </w:rPr>
            </w:pPr>
            <w:r w:rsidRPr="009802E0">
              <w:rPr>
                <w:rFonts w:asciiTheme="minorEastAsia" w:eastAsiaTheme="minorEastAsia" w:hAnsiTheme="minorEastAsia"/>
                <w:szCs w:val="21"/>
              </w:rPr>
              <w:t>(1)</w:t>
            </w:r>
            <w:r w:rsidRPr="009802E0">
              <w:rPr>
                <w:rFonts w:asciiTheme="minorEastAsia" w:eastAsiaTheme="minorEastAsia" w:hAnsiTheme="minorEastAsia" w:hint="eastAsia"/>
                <w:szCs w:val="21"/>
              </w:rPr>
              <w:t>-</w:t>
            </w:r>
            <w:r w:rsidRPr="009802E0">
              <w:rPr>
                <w:rFonts w:asciiTheme="minorEastAsia" w:eastAsiaTheme="minorEastAsia" w:hAnsiTheme="minorEastAsia"/>
                <w:szCs w:val="21"/>
              </w:rPr>
              <w:t>(3)</w:t>
            </w:r>
          </w:p>
        </w:tc>
        <w:tc>
          <w:tcPr>
            <w:tcW w:w="900" w:type="dxa"/>
            <w:vAlign w:val="center"/>
          </w:tcPr>
          <w:p w:rsidR="00F10AF9" w:rsidRPr="009802E0" w:rsidRDefault="00F10AF9" w:rsidP="00FE018D">
            <w:pPr>
              <w:adjustRightInd w:val="0"/>
              <w:snapToGrid w:val="0"/>
              <w:spacing w:line="360" w:lineRule="auto"/>
              <w:ind w:leftChars="-51" w:left="-107"/>
              <w:jc w:val="center"/>
              <w:rPr>
                <w:rFonts w:asciiTheme="minorEastAsia" w:eastAsiaTheme="minorEastAsia" w:hAnsiTheme="minorEastAsia"/>
                <w:szCs w:val="21"/>
              </w:rPr>
            </w:pPr>
            <w:r w:rsidRPr="009802E0">
              <w:rPr>
                <w:rFonts w:asciiTheme="minorEastAsia" w:eastAsiaTheme="minorEastAsia" w:hAnsiTheme="minorEastAsia"/>
                <w:szCs w:val="21"/>
              </w:rPr>
              <w:t>(2)</w:t>
            </w:r>
            <w:r w:rsidRPr="009802E0">
              <w:rPr>
                <w:rFonts w:asciiTheme="minorEastAsia" w:eastAsiaTheme="minorEastAsia" w:hAnsiTheme="minorEastAsia" w:hint="eastAsia"/>
                <w:szCs w:val="21"/>
              </w:rPr>
              <w:t>-</w:t>
            </w:r>
            <w:r w:rsidRPr="009802E0">
              <w:rPr>
                <w:rFonts w:asciiTheme="minorEastAsia" w:eastAsiaTheme="minorEastAsia" w:hAnsiTheme="minorEastAsia"/>
                <w:szCs w:val="21"/>
              </w:rPr>
              <w:t>(4)</w:t>
            </w:r>
          </w:p>
        </w:tc>
      </w:tr>
      <w:tr w:rsidR="00F1417A" w:rsidRPr="009802E0" w:rsidTr="00297A76">
        <w:trPr>
          <w:trHeight w:val="300"/>
        </w:trPr>
        <w:tc>
          <w:tcPr>
            <w:tcW w:w="1702" w:type="dxa"/>
            <w:vAlign w:val="center"/>
          </w:tcPr>
          <w:p w:rsidR="00A83ABC" w:rsidRPr="009802E0" w:rsidRDefault="00304E7B" w:rsidP="00FE018D">
            <w:pPr>
              <w:adjustRightInd w:val="0"/>
              <w:snapToGrid w:val="0"/>
              <w:spacing w:line="360" w:lineRule="auto"/>
              <w:ind w:leftChars="-51" w:left="-107" w:rightChars="-51" w:right="-107"/>
              <w:rPr>
                <w:rFonts w:asciiTheme="minorEastAsia" w:eastAsiaTheme="minorEastAsia" w:hAnsiTheme="minorEastAsia" w:cs="Arial Unicode MS"/>
                <w:szCs w:val="21"/>
              </w:rPr>
            </w:pPr>
            <w:r w:rsidRPr="009802E0">
              <w:rPr>
                <w:rFonts w:asciiTheme="minorEastAsia" w:eastAsiaTheme="minorEastAsia" w:hAnsiTheme="minorEastAsia" w:hint="eastAsia"/>
                <w:kern w:val="0"/>
                <w:szCs w:val="21"/>
              </w:rPr>
              <w:t>自基金合同生效日</w:t>
            </w:r>
            <w:r w:rsidR="00A83ABC" w:rsidRPr="009802E0">
              <w:rPr>
                <w:rFonts w:asciiTheme="minorEastAsia" w:eastAsiaTheme="minorEastAsia" w:hAnsiTheme="minorEastAsia" w:hint="eastAsia"/>
                <w:kern w:val="0"/>
                <w:szCs w:val="21"/>
              </w:rPr>
              <w:t>至2011年12月31日</w:t>
            </w:r>
          </w:p>
        </w:tc>
        <w:tc>
          <w:tcPr>
            <w:tcW w:w="960" w:type="dxa"/>
            <w:vAlign w:val="bottom"/>
          </w:tcPr>
          <w:p w:rsidR="00A83ABC" w:rsidRPr="009802E0" w:rsidRDefault="00A83ABC" w:rsidP="00FE018D">
            <w:pPr>
              <w:adjustRightInd w:val="0"/>
              <w:snapToGrid w:val="0"/>
              <w:spacing w:line="360" w:lineRule="auto"/>
              <w:ind w:leftChars="-51" w:left="-107"/>
              <w:jc w:val="right"/>
              <w:rPr>
                <w:rFonts w:asciiTheme="minorEastAsia" w:eastAsiaTheme="minorEastAsia" w:hAnsiTheme="minorEastAsia"/>
                <w:szCs w:val="21"/>
              </w:rPr>
            </w:pPr>
            <w:r w:rsidRPr="009802E0">
              <w:rPr>
                <w:rFonts w:asciiTheme="minorEastAsia" w:eastAsiaTheme="minorEastAsia" w:hAnsiTheme="minorEastAsia"/>
                <w:szCs w:val="21"/>
              </w:rPr>
              <w:t>0.60%</w:t>
            </w:r>
          </w:p>
        </w:tc>
        <w:tc>
          <w:tcPr>
            <w:tcW w:w="1080" w:type="dxa"/>
            <w:vAlign w:val="bottom"/>
          </w:tcPr>
          <w:p w:rsidR="00A83ABC" w:rsidRPr="009802E0" w:rsidRDefault="00A83ABC"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0.28%</w:t>
            </w:r>
          </w:p>
        </w:tc>
        <w:tc>
          <w:tcPr>
            <w:tcW w:w="1440" w:type="dxa"/>
            <w:vAlign w:val="bottom"/>
          </w:tcPr>
          <w:p w:rsidR="00A83ABC" w:rsidRPr="009802E0" w:rsidRDefault="00A83ABC"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3.06%</w:t>
            </w:r>
          </w:p>
        </w:tc>
        <w:tc>
          <w:tcPr>
            <w:tcW w:w="1440" w:type="dxa"/>
            <w:vAlign w:val="bottom"/>
          </w:tcPr>
          <w:p w:rsidR="00A83ABC" w:rsidRPr="009802E0" w:rsidRDefault="00A83ABC"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0.02%</w:t>
            </w:r>
          </w:p>
        </w:tc>
        <w:tc>
          <w:tcPr>
            <w:tcW w:w="900" w:type="dxa"/>
            <w:vAlign w:val="bottom"/>
          </w:tcPr>
          <w:p w:rsidR="00A83ABC" w:rsidRPr="009802E0" w:rsidRDefault="00A83ABC"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-2.46%</w:t>
            </w:r>
          </w:p>
        </w:tc>
        <w:tc>
          <w:tcPr>
            <w:tcW w:w="900" w:type="dxa"/>
            <w:vAlign w:val="bottom"/>
          </w:tcPr>
          <w:p w:rsidR="00A83ABC" w:rsidRPr="009802E0" w:rsidRDefault="00A83ABC"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0.26%</w:t>
            </w:r>
          </w:p>
        </w:tc>
      </w:tr>
      <w:tr w:rsidR="00F1417A" w:rsidRPr="009802E0" w:rsidTr="00297A76">
        <w:trPr>
          <w:trHeight w:val="300"/>
        </w:trPr>
        <w:tc>
          <w:tcPr>
            <w:tcW w:w="1702" w:type="dxa"/>
            <w:vAlign w:val="center"/>
          </w:tcPr>
          <w:p w:rsidR="002E5440" w:rsidRPr="009802E0" w:rsidRDefault="002E5440" w:rsidP="00FE018D">
            <w:pPr>
              <w:adjustRightInd w:val="0"/>
              <w:snapToGrid w:val="0"/>
              <w:spacing w:line="360" w:lineRule="auto"/>
              <w:ind w:leftChars="-51" w:left="-107" w:rightChars="-51" w:right="-107"/>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2012年1月1日至2012年12月31日</w:t>
            </w:r>
          </w:p>
        </w:tc>
        <w:tc>
          <w:tcPr>
            <w:tcW w:w="960" w:type="dxa"/>
            <w:vAlign w:val="bottom"/>
          </w:tcPr>
          <w:p w:rsidR="002E5440" w:rsidRPr="009802E0" w:rsidDel="002B3B19" w:rsidRDefault="002E5440" w:rsidP="00FE018D">
            <w:pPr>
              <w:adjustRightInd w:val="0"/>
              <w:snapToGrid w:val="0"/>
              <w:spacing w:line="360" w:lineRule="auto"/>
              <w:ind w:leftChars="-51" w:left="-107"/>
              <w:jc w:val="right"/>
              <w:rPr>
                <w:rFonts w:asciiTheme="minorEastAsia" w:eastAsiaTheme="minorEastAsia" w:hAnsiTheme="minorEastAsia"/>
                <w:szCs w:val="21"/>
              </w:rPr>
            </w:pPr>
            <w:r w:rsidRPr="009802E0">
              <w:rPr>
                <w:rFonts w:asciiTheme="minorEastAsia" w:eastAsiaTheme="minorEastAsia" w:hAnsiTheme="minorEastAsia"/>
                <w:szCs w:val="21"/>
              </w:rPr>
              <w:t>8.95%</w:t>
            </w:r>
          </w:p>
        </w:tc>
        <w:tc>
          <w:tcPr>
            <w:tcW w:w="1080" w:type="dxa"/>
            <w:vAlign w:val="bottom"/>
          </w:tcPr>
          <w:p w:rsidR="002E5440" w:rsidRPr="009802E0" w:rsidDel="002B3B19" w:rsidRDefault="002E5440"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0.36%</w:t>
            </w:r>
          </w:p>
        </w:tc>
        <w:tc>
          <w:tcPr>
            <w:tcW w:w="1440" w:type="dxa"/>
            <w:vAlign w:val="bottom"/>
          </w:tcPr>
          <w:p w:rsidR="002E5440" w:rsidRPr="009802E0" w:rsidDel="002B3B19" w:rsidRDefault="002E5440"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6.00%</w:t>
            </w:r>
          </w:p>
        </w:tc>
        <w:tc>
          <w:tcPr>
            <w:tcW w:w="1440" w:type="dxa"/>
            <w:vAlign w:val="bottom"/>
          </w:tcPr>
          <w:p w:rsidR="002E5440" w:rsidRPr="009802E0" w:rsidDel="002B3B19" w:rsidRDefault="002E5440"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0.02%</w:t>
            </w:r>
          </w:p>
        </w:tc>
        <w:tc>
          <w:tcPr>
            <w:tcW w:w="900" w:type="dxa"/>
            <w:vAlign w:val="bottom"/>
          </w:tcPr>
          <w:p w:rsidR="002E5440" w:rsidRPr="009802E0" w:rsidDel="002B3B19" w:rsidRDefault="002E5440"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2.95%</w:t>
            </w:r>
          </w:p>
        </w:tc>
        <w:tc>
          <w:tcPr>
            <w:tcW w:w="900" w:type="dxa"/>
            <w:vAlign w:val="bottom"/>
          </w:tcPr>
          <w:p w:rsidR="002E5440" w:rsidRPr="009802E0" w:rsidDel="002B3B19" w:rsidRDefault="002E5440"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0.34%</w:t>
            </w:r>
          </w:p>
        </w:tc>
      </w:tr>
      <w:tr w:rsidR="00F1417A" w:rsidRPr="009802E0" w:rsidTr="00297A76">
        <w:trPr>
          <w:trHeight w:val="300"/>
        </w:trPr>
        <w:tc>
          <w:tcPr>
            <w:tcW w:w="1702" w:type="dxa"/>
            <w:vAlign w:val="center"/>
          </w:tcPr>
          <w:p w:rsidR="002E6C62" w:rsidRPr="009802E0" w:rsidRDefault="002E6C62" w:rsidP="00FE018D">
            <w:pPr>
              <w:adjustRightInd w:val="0"/>
              <w:snapToGrid w:val="0"/>
              <w:spacing w:line="360" w:lineRule="auto"/>
              <w:ind w:leftChars="-51" w:left="-107" w:rightChars="-51" w:right="-107"/>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2013年1月1日至2013年12月31日</w:t>
            </w:r>
          </w:p>
        </w:tc>
        <w:tc>
          <w:tcPr>
            <w:tcW w:w="960" w:type="dxa"/>
            <w:vAlign w:val="bottom"/>
          </w:tcPr>
          <w:p w:rsidR="002E6C62" w:rsidRPr="009802E0" w:rsidRDefault="002E6C62" w:rsidP="00FE018D">
            <w:pPr>
              <w:adjustRightInd w:val="0"/>
              <w:snapToGrid w:val="0"/>
              <w:spacing w:line="360" w:lineRule="auto"/>
              <w:ind w:leftChars="-51" w:left="-107"/>
              <w:jc w:val="right"/>
              <w:rPr>
                <w:rFonts w:asciiTheme="minorEastAsia" w:eastAsiaTheme="minorEastAsia" w:hAnsiTheme="minorEastAsia"/>
                <w:szCs w:val="21"/>
              </w:rPr>
            </w:pPr>
            <w:r w:rsidRPr="009802E0">
              <w:rPr>
                <w:rFonts w:asciiTheme="minorEastAsia" w:eastAsiaTheme="minorEastAsia" w:hAnsiTheme="minorEastAsia"/>
                <w:szCs w:val="21"/>
              </w:rPr>
              <w:t>1.31%</w:t>
            </w:r>
          </w:p>
        </w:tc>
        <w:tc>
          <w:tcPr>
            <w:tcW w:w="1080" w:type="dxa"/>
            <w:vAlign w:val="bottom"/>
          </w:tcPr>
          <w:p w:rsidR="002E6C62" w:rsidRPr="009802E0" w:rsidRDefault="002E6C62"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0.36%</w:t>
            </w:r>
          </w:p>
        </w:tc>
        <w:tc>
          <w:tcPr>
            <w:tcW w:w="1440" w:type="dxa"/>
            <w:vAlign w:val="bottom"/>
          </w:tcPr>
          <w:p w:rsidR="002E6C62" w:rsidRPr="009802E0" w:rsidRDefault="002E6C62"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5.25%</w:t>
            </w:r>
          </w:p>
        </w:tc>
        <w:tc>
          <w:tcPr>
            <w:tcW w:w="1440" w:type="dxa"/>
            <w:vAlign w:val="bottom"/>
          </w:tcPr>
          <w:p w:rsidR="002E6C62" w:rsidRPr="009802E0" w:rsidRDefault="002E6C62"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0.02%</w:t>
            </w:r>
          </w:p>
        </w:tc>
        <w:tc>
          <w:tcPr>
            <w:tcW w:w="900" w:type="dxa"/>
            <w:vAlign w:val="bottom"/>
          </w:tcPr>
          <w:p w:rsidR="002E6C62" w:rsidRPr="009802E0" w:rsidRDefault="002E6C62"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-3.94%</w:t>
            </w:r>
          </w:p>
        </w:tc>
        <w:tc>
          <w:tcPr>
            <w:tcW w:w="900" w:type="dxa"/>
            <w:vAlign w:val="bottom"/>
          </w:tcPr>
          <w:p w:rsidR="002E6C62" w:rsidRPr="009802E0" w:rsidRDefault="002E6C62"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0.34%</w:t>
            </w:r>
          </w:p>
        </w:tc>
      </w:tr>
      <w:tr w:rsidR="00F1417A" w:rsidRPr="009802E0" w:rsidTr="00297A76">
        <w:trPr>
          <w:trHeight w:val="300"/>
        </w:trPr>
        <w:tc>
          <w:tcPr>
            <w:tcW w:w="1702" w:type="dxa"/>
            <w:vAlign w:val="center"/>
          </w:tcPr>
          <w:p w:rsidR="00C40FD4" w:rsidRPr="009802E0" w:rsidRDefault="00C40FD4" w:rsidP="00FE018D">
            <w:pPr>
              <w:adjustRightInd w:val="0"/>
              <w:snapToGrid w:val="0"/>
              <w:spacing w:line="360" w:lineRule="auto"/>
              <w:ind w:leftChars="-51" w:left="-107" w:rightChars="-51" w:right="-107"/>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2014年1月1日至2014年12月31日</w:t>
            </w:r>
          </w:p>
        </w:tc>
        <w:tc>
          <w:tcPr>
            <w:tcW w:w="960" w:type="dxa"/>
            <w:vAlign w:val="bottom"/>
          </w:tcPr>
          <w:p w:rsidR="00C45FC8" w:rsidRPr="009802E0" w:rsidRDefault="00323E22" w:rsidP="00FE018D">
            <w:pPr>
              <w:adjustRightInd w:val="0"/>
              <w:snapToGrid w:val="0"/>
              <w:spacing w:line="360" w:lineRule="auto"/>
              <w:ind w:leftChars="-51" w:left="-107"/>
              <w:jc w:val="right"/>
              <w:rPr>
                <w:rFonts w:asciiTheme="minorEastAsia" w:eastAsiaTheme="minorEastAsia" w:hAnsiTheme="minorEastAsia"/>
                <w:szCs w:val="21"/>
              </w:rPr>
            </w:pPr>
            <w:r w:rsidRPr="009802E0">
              <w:rPr>
                <w:rFonts w:asciiTheme="minorEastAsia" w:eastAsiaTheme="minorEastAsia" w:hAnsiTheme="minorEastAsia"/>
                <w:szCs w:val="21"/>
              </w:rPr>
              <w:t>76.95%</w:t>
            </w:r>
          </w:p>
        </w:tc>
        <w:tc>
          <w:tcPr>
            <w:tcW w:w="1080" w:type="dxa"/>
            <w:vAlign w:val="bottom"/>
          </w:tcPr>
          <w:p w:rsidR="00C45FC8" w:rsidRPr="009802E0" w:rsidRDefault="00323E22"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1.25%</w:t>
            </w:r>
          </w:p>
        </w:tc>
        <w:tc>
          <w:tcPr>
            <w:tcW w:w="1440" w:type="dxa"/>
            <w:vAlign w:val="bottom"/>
          </w:tcPr>
          <w:p w:rsidR="00C45FC8" w:rsidRPr="009802E0" w:rsidRDefault="00323E22"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5.25%</w:t>
            </w:r>
          </w:p>
        </w:tc>
        <w:tc>
          <w:tcPr>
            <w:tcW w:w="1440" w:type="dxa"/>
            <w:vAlign w:val="bottom"/>
          </w:tcPr>
          <w:p w:rsidR="00C45FC8" w:rsidRPr="009802E0" w:rsidRDefault="00323E22"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0.02%</w:t>
            </w:r>
          </w:p>
        </w:tc>
        <w:tc>
          <w:tcPr>
            <w:tcW w:w="900" w:type="dxa"/>
            <w:vAlign w:val="bottom"/>
          </w:tcPr>
          <w:p w:rsidR="00C45FC8" w:rsidRPr="009802E0" w:rsidRDefault="00323E22"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71.70%</w:t>
            </w:r>
          </w:p>
        </w:tc>
        <w:tc>
          <w:tcPr>
            <w:tcW w:w="900" w:type="dxa"/>
            <w:vAlign w:val="bottom"/>
          </w:tcPr>
          <w:p w:rsidR="00C45FC8" w:rsidRPr="009802E0" w:rsidRDefault="00323E22"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1.23%</w:t>
            </w:r>
          </w:p>
        </w:tc>
      </w:tr>
      <w:tr w:rsidR="00F1417A" w:rsidRPr="009802E0" w:rsidTr="00297A76">
        <w:trPr>
          <w:trHeight w:val="300"/>
        </w:trPr>
        <w:tc>
          <w:tcPr>
            <w:tcW w:w="1702" w:type="dxa"/>
            <w:vAlign w:val="center"/>
          </w:tcPr>
          <w:p w:rsidR="00437156" w:rsidRPr="009802E0" w:rsidRDefault="00437156" w:rsidP="00FE018D">
            <w:pPr>
              <w:adjustRightInd w:val="0"/>
              <w:snapToGrid w:val="0"/>
              <w:spacing w:line="360" w:lineRule="auto"/>
              <w:ind w:leftChars="-51" w:left="-107" w:rightChars="-51" w:right="-107"/>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2015年1月1日至2015年12月31日</w:t>
            </w:r>
          </w:p>
        </w:tc>
        <w:tc>
          <w:tcPr>
            <w:tcW w:w="960" w:type="dxa"/>
            <w:vAlign w:val="bottom"/>
          </w:tcPr>
          <w:p w:rsidR="00437156" w:rsidRPr="009802E0" w:rsidRDefault="00437156" w:rsidP="00FE018D">
            <w:pPr>
              <w:adjustRightInd w:val="0"/>
              <w:snapToGrid w:val="0"/>
              <w:spacing w:line="360" w:lineRule="auto"/>
              <w:ind w:leftChars="-51" w:left="-107"/>
              <w:jc w:val="right"/>
              <w:rPr>
                <w:rFonts w:asciiTheme="minorEastAsia" w:eastAsiaTheme="minorEastAsia" w:hAnsiTheme="minorEastAsia"/>
                <w:szCs w:val="21"/>
              </w:rPr>
            </w:pPr>
            <w:r w:rsidRPr="009802E0">
              <w:rPr>
                <w:rFonts w:asciiTheme="minorEastAsia" w:eastAsiaTheme="minorEastAsia" w:hAnsiTheme="minorEastAsia" w:hint="eastAsia"/>
                <w:szCs w:val="21"/>
              </w:rPr>
              <w:t>30.50%</w:t>
            </w:r>
          </w:p>
        </w:tc>
        <w:tc>
          <w:tcPr>
            <w:tcW w:w="1080" w:type="dxa"/>
            <w:vAlign w:val="bottom"/>
          </w:tcPr>
          <w:p w:rsidR="00437156" w:rsidRPr="009802E0" w:rsidRDefault="00437156"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hint="eastAsia"/>
                <w:szCs w:val="21"/>
              </w:rPr>
              <w:t>1.39%</w:t>
            </w:r>
          </w:p>
        </w:tc>
        <w:tc>
          <w:tcPr>
            <w:tcW w:w="1440" w:type="dxa"/>
            <w:vAlign w:val="bottom"/>
          </w:tcPr>
          <w:p w:rsidR="00437156" w:rsidRPr="009802E0" w:rsidRDefault="00437156"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hint="eastAsia"/>
                <w:szCs w:val="21"/>
              </w:rPr>
              <w:t>5.00%</w:t>
            </w:r>
          </w:p>
        </w:tc>
        <w:tc>
          <w:tcPr>
            <w:tcW w:w="1440" w:type="dxa"/>
            <w:vAlign w:val="bottom"/>
          </w:tcPr>
          <w:p w:rsidR="00437156" w:rsidRPr="009802E0" w:rsidRDefault="00437156"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hint="eastAsia"/>
                <w:szCs w:val="21"/>
              </w:rPr>
              <w:t>0.01%</w:t>
            </w:r>
          </w:p>
        </w:tc>
        <w:tc>
          <w:tcPr>
            <w:tcW w:w="900" w:type="dxa"/>
            <w:vAlign w:val="bottom"/>
          </w:tcPr>
          <w:p w:rsidR="00437156" w:rsidRPr="009802E0" w:rsidRDefault="00437156"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hint="eastAsia"/>
                <w:szCs w:val="21"/>
              </w:rPr>
              <w:t>25.50%</w:t>
            </w:r>
          </w:p>
        </w:tc>
        <w:tc>
          <w:tcPr>
            <w:tcW w:w="900" w:type="dxa"/>
            <w:vAlign w:val="bottom"/>
          </w:tcPr>
          <w:p w:rsidR="00437156" w:rsidRPr="009802E0" w:rsidRDefault="00437156" w:rsidP="00FE018D">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hint="eastAsia"/>
                <w:szCs w:val="21"/>
              </w:rPr>
              <w:t>1.38%</w:t>
            </w:r>
          </w:p>
        </w:tc>
      </w:tr>
      <w:tr w:rsidR="00F1417A" w:rsidRPr="009802E0" w:rsidTr="00297A76">
        <w:trPr>
          <w:trHeight w:val="300"/>
        </w:trPr>
        <w:tc>
          <w:tcPr>
            <w:tcW w:w="1702" w:type="dxa"/>
            <w:vAlign w:val="center"/>
          </w:tcPr>
          <w:p w:rsidR="00FE4BB5" w:rsidRPr="009802E0" w:rsidRDefault="00FE4BB5" w:rsidP="00FE4BB5">
            <w:pPr>
              <w:adjustRightInd w:val="0"/>
              <w:snapToGrid w:val="0"/>
              <w:spacing w:line="360" w:lineRule="auto"/>
              <w:ind w:leftChars="-51" w:left="-107" w:rightChars="-51" w:right="-107"/>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w:t>
            </w:r>
            <w:r w:rsidRPr="009802E0">
              <w:rPr>
                <w:rFonts w:asciiTheme="minorEastAsia" w:eastAsiaTheme="minorEastAsia" w:hAnsiTheme="minorEastAsia"/>
                <w:kern w:val="0"/>
                <w:szCs w:val="21"/>
              </w:rPr>
              <w:t>016年1月1日</w:t>
            </w:r>
            <w:r w:rsidRPr="009802E0">
              <w:rPr>
                <w:rFonts w:asciiTheme="minorEastAsia" w:eastAsiaTheme="minorEastAsia" w:hAnsiTheme="minorEastAsia" w:hint="eastAsia"/>
                <w:kern w:val="0"/>
                <w:szCs w:val="21"/>
              </w:rPr>
              <w:t>至</w:t>
            </w:r>
            <w:r w:rsidRPr="009802E0">
              <w:rPr>
                <w:rFonts w:asciiTheme="minorEastAsia" w:eastAsiaTheme="minorEastAsia" w:hAnsiTheme="minorEastAsia"/>
                <w:kern w:val="0"/>
                <w:szCs w:val="21"/>
              </w:rPr>
              <w:t>2016年12月31日</w:t>
            </w:r>
          </w:p>
        </w:tc>
        <w:tc>
          <w:tcPr>
            <w:tcW w:w="960" w:type="dxa"/>
            <w:vAlign w:val="center"/>
          </w:tcPr>
          <w:p w:rsidR="00FE4BB5" w:rsidRPr="009802E0" w:rsidRDefault="00FE4BB5" w:rsidP="00FE4BB5">
            <w:pPr>
              <w:adjustRightInd w:val="0"/>
              <w:snapToGrid w:val="0"/>
              <w:spacing w:line="360" w:lineRule="auto"/>
              <w:ind w:leftChars="-51" w:left="-107"/>
              <w:jc w:val="right"/>
              <w:rPr>
                <w:rFonts w:asciiTheme="minorEastAsia" w:eastAsiaTheme="minorEastAsia" w:hAnsiTheme="minorEastAsia"/>
                <w:szCs w:val="21"/>
              </w:rPr>
            </w:pPr>
            <w:r w:rsidRPr="009802E0">
              <w:rPr>
                <w:rFonts w:asciiTheme="minorEastAsia" w:eastAsiaTheme="minorEastAsia" w:hAnsiTheme="minorEastAsia"/>
                <w:szCs w:val="21"/>
              </w:rPr>
              <w:t>-6.29%</w:t>
            </w:r>
          </w:p>
        </w:tc>
        <w:tc>
          <w:tcPr>
            <w:tcW w:w="1080" w:type="dxa"/>
            <w:vAlign w:val="center"/>
          </w:tcPr>
          <w:p w:rsidR="00FE4BB5" w:rsidRPr="009802E0" w:rsidRDefault="00FE4BB5" w:rsidP="00FE4BB5">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0.62%</w:t>
            </w:r>
          </w:p>
        </w:tc>
        <w:tc>
          <w:tcPr>
            <w:tcW w:w="1440" w:type="dxa"/>
            <w:vAlign w:val="center"/>
          </w:tcPr>
          <w:p w:rsidR="00FE4BB5" w:rsidRPr="009802E0" w:rsidRDefault="00FE4BB5" w:rsidP="00FE4BB5">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3.75%</w:t>
            </w:r>
          </w:p>
        </w:tc>
        <w:tc>
          <w:tcPr>
            <w:tcW w:w="1440" w:type="dxa"/>
            <w:vAlign w:val="center"/>
          </w:tcPr>
          <w:p w:rsidR="00FE4BB5" w:rsidRPr="009802E0" w:rsidRDefault="00FE4BB5" w:rsidP="00FE4BB5">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0.01%</w:t>
            </w:r>
          </w:p>
        </w:tc>
        <w:tc>
          <w:tcPr>
            <w:tcW w:w="900" w:type="dxa"/>
            <w:vAlign w:val="center"/>
          </w:tcPr>
          <w:p w:rsidR="00FE4BB5" w:rsidRPr="009802E0" w:rsidRDefault="00FE4BB5" w:rsidP="00FE4BB5">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-10.04%</w:t>
            </w:r>
          </w:p>
        </w:tc>
        <w:tc>
          <w:tcPr>
            <w:tcW w:w="900" w:type="dxa"/>
            <w:vAlign w:val="center"/>
          </w:tcPr>
          <w:p w:rsidR="00FE4BB5" w:rsidRPr="009802E0" w:rsidRDefault="00FE4BB5" w:rsidP="00FE4BB5">
            <w:pPr>
              <w:adjustRightInd w:val="0"/>
              <w:snapToGrid w:val="0"/>
              <w:spacing w:line="360" w:lineRule="auto"/>
              <w:ind w:leftChars="-51" w:left="-107" w:rightChars="-51" w:right="-107"/>
              <w:jc w:val="right"/>
              <w:rPr>
                <w:rFonts w:asciiTheme="minorEastAsia" w:eastAsiaTheme="minorEastAsia" w:hAnsiTheme="minorEastAsia"/>
                <w:szCs w:val="21"/>
              </w:rPr>
            </w:pPr>
            <w:r w:rsidRPr="009802E0">
              <w:rPr>
                <w:rFonts w:asciiTheme="minorEastAsia" w:eastAsiaTheme="minorEastAsia" w:hAnsiTheme="minorEastAsia"/>
                <w:szCs w:val="21"/>
              </w:rPr>
              <w:t>0.61%</w:t>
            </w:r>
          </w:p>
        </w:tc>
      </w:tr>
      <w:tr w:rsidR="00F1417A" w:rsidRPr="009802E0" w:rsidTr="00297A76">
        <w:trPr>
          <w:trHeight w:val="300"/>
        </w:trPr>
        <w:tc>
          <w:tcPr>
            <w:tcW w:w="1702" w:type="dxa"/>
            <w:vAlign w:val="center"/>
          </w:tcPr>
          <w:p w:rsidR="00B836D2" w:rsidRPr="009802E0" w:rsidRDefault="00B836D2" w:rsidP="00B836D2">
            <w:pPr>
              <w:adjustRightInd w:val="0"/>
              <w:snapToGrid w:val="0"/>
              <w:spacing w:line="360" w:lineRule="auto"/>
              <w:ind w:leftChars="-51" w:left="-107" w:rightChars="-51" w:right="-107"/>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w:t>
            </w:r>
            <w:r w:rsidRPr="009802E0">
              <w:rPr>
                <w:rFonts w:asciiTheme="minorEastAsia" w:eastAsiaTheme="minorEastAsia" w:hAnsiTheme="minorEastAsia"/>
                <w:kern w:val="0"/>
                <w:szCs w:val="21"/>
              </w:rPr>
              <w:t>017年1月1日</w:t>
            </w:r>
            <w:r w:rsidRPr="009802E0">
              <w:rPr>
                <w:rFonts w:asciiTheme="minorEastAsia" w:eastAsiaTheme="minorEastAsia" w:hAnsiTheme="minorEastAsia" w:hint="eastAsia"/>
                <w:kern w:val="0"/>
                <w:szCs w:val="21"/>
              </w:rPr>
              <w:t>至2017年12月31日</w:t>
            </w:r>
          </w:p>
        </w:tc>
        <w:tc>
          <w:tcPr>
            <w:tcW w:w="960" w:type="dxa"/>
            <w:vAlign w:val="center"/>
          </w:tcPr>
          <w:p w:rsidR="00B836D2" w:rsidRPr="009802E0" w:rsidRDefault="00B836D2" w:rsidP="0094045A">
            <w:pPr>
              <w:adjustRightInd w:val="0"/>
              <w:snapToGrid w:val="0"/>
              <w:spacing w:line="360" w:lineRule="auto"/>
              <w:ind w:leftChars="-51" w:left="-107" w:rightChars="-51" w:right="-107"/>
              <w:jc w:val="right"/>
              <w:rPr>
                <w:rFonts w:asciiTheme="minorEastAsia" w:eastAsiaTheme="minorEastAsia" w:hAnsiTheme="minorEastAsia"/>
                <w:kern w:val="0"/>
                <w:szCs w:val="21"/>
              </w:rPr>
            </w:pPr>
            <w:r w:rsidRPr="009802E0">
              <w:rPr>
                <w:rFonts w:asciiTheme="minorEastAsia" w:eastAsiaTheme="minorEastAsia" w:hAnsiTheme="minorEastAsia"/>
                <w:kern w:val="0"/>
                <w:szCs w:val="21"/>
              </w:rPr>
              <w:t>11.31%</w:t>
            </w:r>
          </w:p>
        </w:tc>
        <w:tc>
          <w:tcPr>
            <w:tcW w:w="1080" w:type="dxa"/>
            <w:vAlign w:val="center"/>
          </w:tcPr>
          <w:p w:rsidR="00B836D2" w:rsidRPr="009802E0" w:rsidRDefault="00B836D2" w:rsidP="0094045A">
            <w:pPr>
              <w:adjustRightInd w:val="0"/>
              <w:snapToGrid w:val="0"/>
              <w:spacing w:line="360" w:lineRule="auto"/>
              <w:ind w:leftChars="-51" w:left="-107" w:rightChars="-51" w:right="-107"/>
              <w:jc w:val="right"/>
              <w:rPr>
                <w:rFonts w:asciiTheme="minorEastAsia" w:eastAsiaTheme="minorEastAsia" w:hAnsiTheme="minorEastAsia"/>
                <w:kern w:val="0"/>
                <w:szCs w:val="21"/>
              </w:rPr>
            </w:pPr>
            <w:r w:rsidRPr="009802E0">
              <w:rPr>
                <w:rFonts w:asciiTheme="minorEastAsia" w:eastAsiaTheme="minorEastAsia" w:hAnsiTheme="minorEastAsia"/>
                <w:kern w:val="0"/>
                <w:szCs w:val="21"/>
              </w:rPr>
              <w:t>0.42%</w:t>
            </w:r>
          </w:p>
        </w:tc>
        <w:tc>
          <w:tcPr>
            <w:tcW w:w="1440" w:type="dxa"/>
            <w:vAlign w:val="center"/>
          </w:tcPr>
          <w:p w:rsidR="00B836D2" w:rsidRPr="009802E0" w:rsidRDefault="00B836D2" w:rsidP="0094045A">
            <w:pPr>
              <w:adjustRightInd w:val="0"/>
              <w:snapToGrid w:val="0"/>
              <w:spacing w:line="360" w:lineRule="auto"/>
              <w:ind w:leftChars="-51" w:left="-107" w:rightChars="-51" w:right="-107"/>
              <w:jc w:val="right"/>
              <w:rPr>
                <w:rFonts w:asciiTheme="minorEastAsia" w:eastAsiaTheme="minorEastAsia" w:hAnsiTheme="minorEastAsia"/>
                <w:kern w:val="0"/>
                <w:szCs w:val="21"/>
              </w:rPr>
            </w:pPr>
            <w:r w:rsidRPr="009802E0">
              <w:rPr>
                <w:rFonts w:asciiTheme="minorEastAsia" w:eastAsiaTheme="minorEastAsia" w:hAnsiTheme="minorEastAsia"/>
                <w:kern w:val="0"/>
                <w:szCs w:val="21"/>
              </w:rPr>
              <w:t>3.75%</w:t>
            </w:r>
          </w:p>
        </w:tc>
        <w:tc>
          <w:tcPr>
            <w:tcW w:w="1440" w:type="dxa"/>
            <w:vAlign w:val="center"/>
          </w:tcPr>
          <w:p w:rsidR="00B836D2" w:rsidRPr="009802E0" w:rsidRDefault="00B836D2" w:rsidP="0094045A">
            <w:pPr>
              <w:adjustRightInd w:val="0"/>
              <w:snapToGrid w:val="0"/>
              <w:spacing w:line="360" w:lineRule="auto"/>
              <w:ind w:leftChars="-51" w:left="-107" w:rightChars="-51" w:right="-107"/>
              <w:jc w:val="right"/>
              <w:rPr>
                <w:rFonts w:asciiTheme="minorEastAsia" w:eastAsiaTheme="minorEastAsia" w:hAnsiTheme="minorEastAsia"/>
                <w:kern w:val="0"/>
                <w:szCs w:val="21"/>
              </w:rPr>
            </w:pPr>
            <w:r w:rsidRPr="009802E0">
              <w:rPr>
                <w:rFonts w:asciiTheme="minorEastAsia" w:eastAsiaTheme="minorEastAsia" w:hAnsiTheme="minorEastAsia"/>
                <w:kern w:val="0"/>
                <w:szCs w:val="21"/>
              </w:rPr>
              <w:t>0.01%</w:t>
            </w:r>
          </w:p>
        </w:tc>
        <w:tc>
          <w:tcPr>
            <w:tcW w:w="900" w:type="dxa"/>
            <w:vAlign w:val="center"/>
          </w:tcPr>
          <w:p w:rsidR="00B836D2" w:rsidRPr="009802E0" w:rsidRDefault="00B836D2" w:rsidP="0094045A">
            <w:pPr>
              <w:adjustRightInd w:val="0"/>
              <w:snapToGrid w:val="0"/>
              <w:spacing w:line="360" w:lineRule="auto"/>
              <w:ind w:leftChars="-51" w:left="-107" w:rightChars="-51" w:right="-107"/>
              <w:jc w:val="right"/>
              <w:rPr>
                <w:rFonts w:asciiTheme="minorEastAsia" w:eastAsiaTheme="minorEastAsia" w:hAnsiTheme="minorEastAsia"/>
                <w:kern w:val="0"/>
                <w:szCs w:val="21"/>
              </w:rPr>
            </w:pPr>
            <w:r w:rsidRPr="009802E0">
              <w:rPr>
                <w:rFonts w:asciiTheme="minorEastAsia" w:eastAsiaTheme="minorEastAsia" w:hAnsiTheme="minorEastAsia"/>
                <w:kern w:val="0"/>
                <w:szCs w:val="21"/>
              </w:rPr>
              <w:t>7.56%</w:t>
            </w:r>
          </w:p>
        </w:tc>
        <w:tc>
          <w:tcPr>
            <w:tcW w:w="900" w:type="dxa"/>
            <w:vAlign w:val="center"/>
          </w:tcPr>
          <w:p w:rsidR="00B836D2" w:rsidRPr="009802E0" w:rsidRDefault="00B836D2" w:rsidP="0094045A">
            <w:pPr>
              <w:adjustRightInd w:val="0"/>
              <w:snapToGrid w:val="0"/>
              <w:spacing w:line="360" w:lineRule="auto"/>
              <w:ind w:leftChars="-51" w:left="-107" w:rightChars="-51" w:right="-107"/>
              <w:jc w:val="right"/>
              <w:rPr>
                <w:rFonts w:asciiTheme="minorEastAsia" w:eastAsiaTheme="minorEastAsia" w:hAnsiTheme="minorEastAsia"/>
                <w:kern w:val="0"/>
                <w:szCs w:val="21"/>
              </w:rPr>
            </w:pPr>
            <w:r w:rsidRPr="009802E0">
              <w:rPr>
                <w:rFonts w:asciiTheme="minorEastAsia" w:eastAsiaTheme="minorEastAsia" w:hAnsiTheme="minorEastAsia"/>
                <w:kern w:val="0"/>
                <w:szCs w:val="21"/>
              </w:rPr>
              <w:t>0.41%</w:t>
            </w:r>
          </w:p>
        </w:tc>
      </w:tr>
      <w:tr w:rsidR="00F1417A" w:rsidRPr="009802E0" w:rsidTr="00F1417A">
        <w:trPr>
          <w:trHeight w:val="300"/>
        </w:trPr>
        <w:tc>
          <w:tcPr>
            <w:tcW w:w="1702" w:type="dxa"/>
            <w:vAlign w:val="center"/>
          </w:tcPr>
          <w:p w:rsidR="00666600" w:rsidRPr="009802E0" w:rsidRDefault="00666600" w:rsidP="00666600">
            <w:pPr>
              <w:adjustRightInd w:val="0"/>
              <w:snapToGrid w:val="0"/>
              <w:spacing w:line="360" w:lineRule="auto"/>
              <w:ind w:leftChars="-51" w:left="-107" w:rightChars="-51" w:right="-107"/>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201</w:t>
            </w:r>
            <w:r w:rsidRPr="009802E0">
              <w:rPr>
                <w:rFonts w:asciiTheme="minorEastAsia" w:eastAsiaTheme="minorEastAsia" w:hAnsiTheme="minorEastAsia"/>
                <w:kern w:val="0"/>
                <w:szCs w:val="21"/>
              </w:rPr>
              <w:t>8</w:t>
            </w:r>
            <w:r w:rsidRPr="009802E0">
              <w:rPr>
                <w:rFonts w:asciiTheme="minorEastAsia" w:eastAsiaTheme="minorEastAsia" w:hAnsiTheme="minorEastAsia" w:hint="eastAsia"/>
                <w:kern w:val="0"/>
                <w:szCs w:val="21"/>
              </w:rPr>
              <w:t>年1月1日至2018年</w:t>
            </w:r>
            <w:r w:rsidRPr="009802E0">
              <w:rPr>
                <w:rFonts w:asciiTheme="minorEastAsia" w:eastAsiaTheme="minorEastAsia" w:hAnsiTheme="minorEastAsia"/>
                <w:kern w:val="0"/>
                <w:szCs w:val="21"/>
              </w:rPr>
              <w:t>12</w:t>
            </w:r>
            <w:r w:rsidRPr="009802E0">
              <w:rPr>
                <w:rFonts w:asciiTheme="minorEastAsia" w:eastAsiaTheme="minorEastAsia" w:hAnsiTheme="minorEastAsia" w:hint="eastAsia"/>
                <w:kern w:val="0"/>
                <w:szCs w:val="21"/>
              </w:rPr>
              <w:t>月</w:t>
            </w:r>
            <w:r w:rsidRPr="009802E0">
              <w:rPr>
                <w:rFonts w:asciiTheme="minorEastAsia" w:eastAsiaTheme="minorEastAsia" w:hAnsiTheme="minorEastAsia"/>
                <w:kern w:val="0"/>
                <w:szCs w:val="21"/>
              </w:rPr>
              <w:t>31</w:t>
            </w:r>
            <w:r w:rsidRPr="009802E0">
              <w:rPr>
                <w:rFonts w:asciiTheme="minorEastAsia" w:eastAsiaTheme="minorEastAsia" w:hAnsiTheme="minorEastAsia" w:hint="eastAsia"/>
                <w:kern w:val="0"/>
                <w:szCs w:val="21"/>
              </w:rPr>
              <w:t>日</w:t>
            </w:r>
          </w:p>
        </w:tc>
        <w:tc>
          <w:tcPr>
            <w:tcW w:w="960" w:type="dxa"/>
            <w:vAlign w:val="center"/>
          </w:tcPr>
          <w:p w:rsidR="00666600" w:rsidRPr="009802E0" w:rsidRDefault="00666600" w:rsidP="00666600">
            <w:pPr>
              <w:adjustRightInd w:val="0"/>
              <w:snapToGrid w:val="0"/>
              <w:spacing w:line="360" w:lineRule="auto"/>
              <w:ind w:leftChars="-51" w:left="-107" w:rightChars="-51" w:right="-107"/>
              <w:jc w:val="right"/>
              <w:rPr>
                <w:rFonts w:asciiTheme="minorEastAsia" w:eastAsiaTheme="minorEastAsia" w:hAnsiTheme="minorEastAsia"/>
                <w:kern w:val="0"/>
                <w:szCs w:val="21"/>
              </w:rPr>
            </w:pPr>
            <w:r w:rsidRPr="009802E0">
              <w:rPr>
                <w:rFonts w:asciiTheme="minorEastAsia" w:eastAsiaTheme="minorEastAsia" w:hAnsiTheme="minorEastAsia"/>
              </w:rPr>
              <w:t>-6.81%</w:t>
            </w:r>
          </w:p>
        </w:tc>
        <w:tc>
          <w:tcPr>
            <w:tcW w:w="1080" w:type="dxa"/>
            <w:vAlign w:val="center"/>
          </w:tcPr>
          <w:p w:rsidR="00666600" w:rsidRPr="009802E0" w:rsidRDefault="00666600" w:rsidP="00666600">
            <w:pPr>
              <w:adjustRightInd w:val="0"/>
              <w:snapToGrid w:val="0"/>
              <w:spacing w:line="360" w:lineRule="auto"/>
              <w:ind w:leftChars="-51" w:left="-107" w:rightChars="-51" w:right="-107"/>
              <w:jc w:val="right"/>
              <w:rPr>
                <w:rFonts w:asciiTheme="minorEastAsia" w:eastAsiaTheme="minorEastAsia" w:hAnsiTheme="minorEastAsia"/>
                <w:kern w:val="0"/>
                <w:szCs w:val="21"/>
              </w:rPr>
            </w:pPr>
            <w:r w:rsidRPr="009802E0">
              <w:rPr>
                <w:rFonts w:asciiTheme="minorEastAsia" w:eastAsiaTheme="minorEastAsia" w:hAnsiTheme="minorEastAsia"/>
              </w:rPr>
              <w:t>0.65%</w:t>
            </w:r>
          </w:p>
        </w:tc>
        <w:tc>
          <w:tcPr>
            <w:tcW w:w="1440" w:type="dxa"/>
            <w:vAlign w:val="center"/>
          </w:tcPr>
          <w:p w:rsidR="00666600" w:rsidRPr="009802E0" w:rsidRDefault="00666600" w:rsidP="00666600">
            <w:pPr>
              <w:adjustRightInd w:val="0"/>
              <w:snapToGrid w:val="0"/>
              <w:spacing w:line="360" w:lineRule="auto"/>
              <w:ind w:leftChars="-51" w:left="-107" w:rightChars="-51" w:right="-107"/>
              <w:jc w:val="right"/>
              <w:rPr>
                <w:rFonts w:asciiTheme="minorEastAsia" w:eastAsiaTheme="minorEastAsia" w:hAnsiTheme="minorEastAsia"/>
                <w:kern w:val="0"/>
                <w:szCs w:val="21"/>
              </w:rPr>
            </w:pPr>
            <w:r w:rsidRPr="009802E0">
              <w:rPr>
                <w:rFonts w:asciiTheme="minorEastAsia" w:eastAsiaTheme="minorEastAsia" w:hAnsiTheme="minorEastAsia"/>
              </w:rPr>
              <w:t>3.75%</w:t>
            </w:r>
          </w:p>
        </w:tc>
        <w:tc>
          <w:tcPr>
            <w:tcW w:w="1440" w:type="dxa"/>
            <w:vAlign w:val="center"/>
          </w:tcPr>
          <w:p w:rsidR="00666600" w:rsidRPr="009802E0" w:rsidRDefault="00666600" w:rsidP="00666600">
            <w:pPr>
              <w:adjustRightInd w:val="0"/>
              <w:snapToGrid w:val="0"/>
              <w:spacing w:line="360" w:lineRule="auto"/>
              <w:ind w:leftChars="-51" w:left="-107" w:rightChars="-51" w:right="-107"/>
              <w:jc w:val="right"/>
              <w:rPr>
                <w:rFonts w:asciiTheme="minorEastAsia" w:eastAsiaTheme="minorEastAsia" w:hAnsiTheme="minorEastAsia"/>
                <w:kern w:val="0"/>
                <w:szCs w:val="21"/>
              </w:rPr>
            </w:pPr>
            <w:r w:rsidRPr="009802E0">
              <w:rPr>
                <w:rFonts w:asciiTheme="minorEastAsia" w:eastAsiaTheme="minorEastAsia" w:hAnsiTheme="minorEastAsia"/>
              </w:rPr>
              <w:t>0.01%</w:t>
            </w:r>
          </w:p>
        </w:tc>
        <w:tc>
          <w:tcPr>
            <w:tcW w:w="900" w:type="dxa"/>
            <w:vAlign w:val="center"/>
          </w:tcPr>
          <w:p w:rsidR="00666600" w:rsidRPr="009802E0" w:rsidRDefault="00666600" w:rsidP="00666600">
            <w:pPr>
              <w:adjustRightInd w:val="0"/>
              <w:snapToGrid w:val="0"/>
              <w:spacing w:line="360" w:lineRule="auto"/>
              <w:ind w:leftChars="-51" w:left="-107" w:rightChars="-51" w:right="-107"/>
              <w:jc w:val="right"/>
              <w:rPr>
                <w:rFonts w:asciiTheme="minorEastAsia" w:eastAsiaTheme="minorEastAsia" w:hAnsiTheme="minorEastAsia"/>
                <w:kern w:val="0"/>
                <w:szCs w:val="21"/>
              </w:rPr>
            </w:pPr>
            <w:r w:rsidRPr="009802E0">
              <w:rPr>
                <w:rFonts w:asciiTheme="minorEastAsia" w:eastAsiaTheme="minorEastAsia" w:hAnsiTheme="minorEastAsia"/>
              </w:rPr>
              <w:t>-10.56%</w:t>
            </w:r>
          </w:p>
        </w:tc>
        <w:tc>
          <w:tcPr>
            <w:tcW w:w="900" w:type="dxa"/>
            <w:vAlign w:val="center"/>
          </w:tcPr>
          <w:p w:rsidR="00666600" w:rsidRPr="009802E0" w:rsidRDefault="00666600" w:rsidP="00666600">
            <w:pPr>
              <w:adjustRightInd w:val="0"/>
              <w:snapToGrid w:val="0"/>
              <w:spacing w:line="360" w:lineRule="auto"/>
              <w:ind w:leftChars="-51" w:left="-107" w:rightChars="-51" w:right="-107"/>
              <w:jc w:val="right"/>
              <w:rPr>
                <w:rFonts w:asciiTheme="minorEastAsia" w:eastAsiaTheme="minorEastAsia" w:hAnsiTheme="minorEastAsia"/>
                <w:kern w:val="0"/>
                <w:szCs w:val="21"/>
              </w:rPr>
            </w:pPr>
            <w:r w:rsidRPr="009802E0">
              <w:rPr>
                <w:rFonts w:asciiTheme="minorEastAsia" w:eastAsiaTheme="minorEastAsia" w:hAnsiTheme="minorEastAsia"/>
              </w:rPr>
              <w:t>0.64%</w:t>
            </w:r>
          </w:p>
        </w:tc>
      </w:tr>
      <w:tr w:rsidR="009113B7" w:rsidRPr="009802E0" w:rsidTr="00F1417A">
        <w:trPr>
          <w:trHeight w:val="300"/>
        </w:trPr>
        <w:tc>
          <w:tcPr>
            <w:tcW w:w="1702" w:type="dxa"/>
            <w:vAlign w:val="center"/>
          </w:tcPr>
          <w:p w:rsidR="009113B7" w:rsidRPr="009802E0" w:rsidRDefault="0096166C" w:rsidP="009113B7">
            <w:pPr>
              <w:adjustRightInd w:val="0"/>
              <w:snapToGrid w:val="0"/>
              <w:spacing w:line="360" w:lineRule="auto"/>
              <w:ind w:leftChars="-51" w:left="-107" w:rightChars="-51" w:right="-107"/>
              <w:rPr>
                <w:rFonts w:asciiTheme="minorEastAsia" w:eastAsiaTheme="minorEastAsia" w:hAnsiTheme="minorEastAsia"/>
                <w:kern w:val="0"/>
                <w:szCs w:val="21"/>
              </w:rPr>
            </w:pPr>
            <w:r w:rsidRPr="009802E0">
              <w:rPr>
                <w:rFonts w:asciiTheme="minorEastAsia" w:eastAsiaTheme="minorEastAsia" w:hAnsiTheme="minorEastAsia"/>
                <w:kern w:val="0"/>
                <w:szCs w:val="21"/>
              </w:rPr>
              <w:t>2019年1月1日至2019年12月31日</w:t>
            </w:r>
          </w:p>
        </w:tc>
        <w:tc>
          <w:tcPr>
            <w:tcW w:w="960" w:type="dxa"/>
            <w:vAlign w:val="center"/>
          </w:tcPr>
          <w:p w:rsidR="009113B7" w:rsidRPr="009802E0" w:rsidRDefault="0096166C" w:rsidP="0096166C">
            <w:pPr>
              <w:adjustRightInd w:val="0"/>
              <w:snapToGrid w:val="0"/>
              <w:spacing w:line="360" w:lineRule="auto"/>
              <w:ind w:leftChars="-51" w:left="-107" w:rightChars="-51" w:right="-107"/>
              <w:jc w:val="right"/>
              <w:rPr>
                <w:rFonts w:asciiTheme="minorEastAsia" w:eastAsiaTheme="minorEastAsia" w:hAnsiTheme="minorEastAsia"/>
              </w:rPr>
            </w:pPr>
            <w:r w:rsidRPr="009802E0">
              <w:rPr>
                <w:rFonts w:asciiTheme="minorEastAsia" w:eastAsiaTheme="minorEastAsia" w:hAnsiTheme="minorEastAsia"/>
              </w:rPr>
              <w:t>20.34%</w:t>
            </w:r>
          </w:p>
        </w:tc>
        <w:tc>
          <w:tcPr>
            <w:tcW w:w="1080" w:type="dxa"/>
            <w:vAlign w:val="center"/>
          </w:tcPr>
          <w:p w:rsidR="009113B7" w:rsidRPr="009802E0" w:rsidRDefault="0096166C" w:rsidP="0096166C">
            <w:pPr>
              <w:adjustRightInd w:val="0"/>
              <w:snapToGrid w:val="0"/>
              <w:spacing w:line="360" w:lineRule="auto"/>
              <w:ind w:leftChars="-51" w:left="-107" w:rightChars="-51" w:right="-107"/>
              <w:jc w:val="right"/>
              <w:rPr>
                <w:rFonts w:asciiTheme="minorEastAsia" w:eastAsiaTheme="minorEastAsia" w:hAnsiTheme="minorEastAsia"/>
              </w:rPr>
            </w:pPr>
            <w:r w:rsidRPr="009802E0">
              <w:rPr>
                <w:rFonts w:asciiTheme="minorEastAsia" w:eastAsiaTheme="minorEastAsia" w:hAnsiTheme="minorEastAsia"/>
              </w:rPr>
              <w:t>0.54%</w:t>
            </w:r>
          </w:p>
        </w:tc>
        <w:tc>
          <w:tcPr>
            <w:tcW w:w="1440" w:type="dxa"/>
            <w:vAlign w:val="center"/>
          </w:tcPr>
          <w:p w:rsidR="009113B7" w:rsidRPr="009802E0" w:rsidRDefault="0096166C">
            <w:pPr>
              <w:adjustRightInd w:val="0"/>
              <w:snapToGrid w:val="0"/>
              <w:spacing w:line="360" w:lineRule="auto"/>
              <w:ind w:leftChars="-51" w:left="-107" w:rightChars="-51" w:right="-107"/>
              <w:jc w:val="right"/>
              <w:rPr>
                <w:rFonts w:asciiTheme="minorEastAsia" w:eastAsiaTheme="minorEastAsia" w:hAnsiTheme="minorEastAsia"/>
              </w:rPr>
            </w:pPr>
            <w:r w:rsidRPr="009802E0">
              <w:rPr>
                <w:rFonts w:asciiTheme="minorEastAsia" w:eastAsiaTheme="minorEastAsia" w:hAnsiTheme="minorEastAsia"/>
              </w:rPr>
              <w:t>3.75%</w:t>
            </w:r>
          </w:p>
        </w:tc>
        <w:tc>
          <w:tcPr>
            <w:tcW w:w="1440" w:type="dxa"/>
            <w:vAlign w:val="center"/>
          </w:tcPr>
          <w:p w:rsidR="009113B7" w:rsidRPr="009802E0" w:rsidRDefault="0096166C">
            <w:pPr>
              <w:adjustRightInd w:val="0"/>
              <w:snapToGrid w:val="0"/>
              <w:spacing w:line="360" w:lineRule="auto"/>
              <w:ind w:leftChars="-51" w:left="-107" w:rightChars="-51" w:right="-107"/>
              <w:jc w:val="right"/>
              <w:rPr>
                <w:rFonts w:asciiTheme="minorEastAsia" w:eastAsiaTheme="minorEastAsia" w:hAnsiTheme="minorEastAsia"/>
              </w:rPr>
            </w:pPr>
            <w:r w:rsidRPr="009802E0">
              <w:rPr>
                <w:rFonts w:asciiTheme="minorEastAsia" w:eastAsiaTheme="minorEastAsia" w:hAnsiTheme="minorEastAsia"/>
              </w:rPr>
              <w:t>0.01%</w:t>
            </w:r>
          </w:p>
        </w:tc>
        <w:tc>
          <w:tcPr>
            <w:tcW w:w="900" w:type="dxa"/>
            <w:vAlign w:val="center"/>
          </w:tcPr>
          <w:p w:rsidR="009113B7" w:rsidRPr="009802E0" w:rsidRDefault="0096166C">
            <w:pPr>
              <w:adjustRightInd w:val="0"/>
              <w:snapToGrid w:val="0"/>
              <w:spacing w:line="360" w:lineRule="auto"/>
              <w:ind w:leftChars="-51" w:left="-107" w:rightChars="-51" w:right="-107"/>
              <w:jc w:val="right"/>
              <w:rPr>
                <w:rFonts w:asciiTheme="minorEastAsia" w:eastAsiaTheme="minorEastAsia" w:hAnsiTheme="minorEastAsia"/>
              </w:rPr>
            </w:pPr>
            <w:r w:rsidRPr="009802E0">
              <w:rPr>
                <w:rFonts w:asciiTheme="minorEastAsia" w:eastAsiaTheme="minorEastAsia" w:hAnsiTheme="minorEastAsia"/>
              </w:rPr>
              <w:t>16.59%</w:t>
            </w:r>
          </w:p>
        </w:tc>
        <w:tc>
          <w:tcPr>
            <w:tcW w:w="900" w:type="dxa"/>
            <w:vAlign w:val="center"/>
          </w:tcPr>
          <w:p w:rsidR="009113B7" w:rsidRPr="009802E0" w:rsidRDefault="0096166C">
            <w:pPr>
              <w:adjustRightInd w:val="0"/>
              <w:snapToGrid w:val="0"/>
              <w:spacing w:line="360" w:lineRule="auto"/>
              <w:ind w:leftChars="-51" w:left="-107" w:rightChars="-51" w:right="-107"/>
              <w:jc w:val="right"/>
              <w:rPr>
                <w:rFonts w:asciiTheme="minorEastAsia" w:eastAsiaTheme="minorEastAsia" w:hAnsiTheme="minorEastAsia"/>
              </w:rPr>
            </w:pPr>
            <w:r w:rsidRPr="009802E0">
              <w:rPr>
                <w:rFonts w:asciiTheme="minorEastAsia" w:eastAsiaTheme="minorEastAsia" w:hAnsiTheme="minorEastAsia"/>
              </w:rPr>
              <w:t>0.53%</w:t>
            </w:r>
          </w:p>
        </w:tc>
      </w:tr>
      <w:tr w:rsidR="0096166C" w:rsidRPr="009802E0" w:rsidTr="00F1417A">
        <w:trPr>
          <w:trHeight w:val="300"/>
        </w:trPr>
        <w:tc>
          <w:tcPr>
            <w:tcW w:w="1702" w:type="dxa"/>
            <w:vAlign w:val="center"/>
          </w:tcPr>
          <w:p w:rsidR="0096166C" w:rsidRPr="009802E0" w:rsidRDefault="0096166C" w:rsidP="009113B7">
            <w:pPr>
              <w:adjustRightInd w:val="0"/>
              <w:snapToGrid w:val="0"/>
              <w:spacing w:line="360" w:lineRule="auto"/>
              <w:ind w:leftChars="-51" w:left="-107" w:rightChars="-51" w:right="-107"/>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自基金合同生效日至</w:t>
            </w:r>
            <w:r w:rsidRPr="009802E0">
              <w:rPr>
                <w:rFonts w:asciiTheme="minorEastAsia" w:eastAsiaTheme="minorEastAsia" w:hAnsiTheme="minorEastAsia"/>
                <w:kern w:val="0"/>
                <w:szCs w:val="21"/>
              </w:rPr>
              <w:t>2019年12月31日</w:t>
            </w:r>
          </w:p>
        </w:tc>
        <w:tc>
          <w:tcPr>
            <w:tcW w:w="960" w:type="dxa"/>
            <w:vAlign w:val="center"/>
          </w:tcPr>
          <w:p w:rsidR="0096166C" w:rsidRPr="009802E0" w:rsidRDefault="0096166C" w:rsidP="0096166C">
            <w:pPr>
              <w:adjustRightInd w:val="0"/>
              <w:snapToGrid w:val="0"/>
              <w:spacing w:line="360" w:lineRule="auto"/>
              <w:ind w:leftChars="-51" w:left="-107" w:rightChars="-51" w:right="-107"/>
              <w:jc w:val="right"/>
              <w:rPr>
                <w:rFonts w:asciiTheme="minorEastAsia" w:eastAsiaTheme="minorEastAsia" w:hAnsiTheme="minorEastAsia"/>
              </w:rPr>
            </w:pPr>
            <w:r w:rsidRPr="009802E0">
              <w:rPr>
                <w:rFonts w:asciiTheme="minorEastAsia" w:eastAsiaTheme="minorEastAsia" w:hAnsiTheme="minorEastAsia"/>
              </w:rPr>
              <w:t>199.97%</w:t>
            </w:r>
          </w:p>
        </w:tc>
        <w:tc>
          <w:tcPr>
            <w:tcW w:w="1080" w:type="dxa"/>
            <w:vAlign w:val="center"/>
          </w:tcPr>
          <w:p w:rsidR="0096166C" w:rsidRPr="009802E0" w:rsidRDefault="0096166C">
            <w:pPr>
              <w:adjustRightInd w:val="0"/>
              <w:snapToGrid w:val="0"/>
              <w:spacing w:line="360" w:lineRule="auto"/>
              <w:ind w:leftChars="-51" w:left="-107" w:rightChars="-51" w:right="-107"/>
              <w:jc w:val="right"/>
              <w:rPr>
                <w:rFonts w:asciiTheme="minorEastAsia" w:eastAsiaTheme="minorEastAsia" w:hAnsiTheme="minorEastAsia"/>
              </w:rPr>
            </w:pPr>
            <w:r w:rsidRPr="009802E0">
              <w:rPr>
                <w:rFonts w:asciiTheme="minorEastAsia" w:eastAsiaTheme="minorEastAsia" w:hAnsiTheme="minorEastAsia"/>
              </w:rPr>
              <w:t>0.77%</w:t>
            </w:r>
          </w:p>
        </w:tc>
        <w:tc>
          <w:tcPr>
            <w:tcW w:w="1440" w:type="dxa"/>
            <w:vAlign w:val="center"/>
          </w:tcPr>
          <w:p w:rsidR="0096166C" w:rsidRPr="009802E0" w:rsidRDefault="0096166C">
            <w:pPr>
              <w:adjustRightInd w:val="0"/>
              <w:snapToGrid w:val="0"/>
              <w:spacing w:line="360" w:lineRule="auto"/>
              <w:ind w:leftChars="-51" w:left="-107" w:rightChars="-51" w:right="-107"/>
              <w:jc w:val="right"/>
              <w:rPr>
                <w:rFonts w:asciiTheme="minorEastAsia" w:eastAsiaTheme="minorEastAsia" w:hAnsiTheme="minorEastAsia"/>
              </w:rPr>
            </w:pPr>
            <w:r w:rsidRPr="009802E0">
              <w:rPr>
                <w:rFonts w:asciiTheme="minorEastAsia" w:eastAsiaTheme="minorEastAsia" w:hAnsiTheme="minorEastAsia"/>
              </w:rPr>
              <w:t>39.56%</w:t>
            </w:r>
          </w:p>
        </w:tc>
        <w:tc>
          <w:tcPr>
            <w:tcW w:w="1440" w:type="dxa"/>
            <w:vAlign w:val="center"/>
          </w:tcPr>
          <w:p w:rsidR="0096166C" w:rsidRPr="009802E0" w:rsidRDefault="0096166C">
            <w:pPr>
              <w:adjustRightInd w:val="0"/>
              <w:snapToGrid w:val="0"/>
              <w:spacing w:line="360" w:lineRule="auto"/>
              <w:ind w:leftChars="-51" w:left="-107" w:rightChars="-51" w:right="-107"/>
              <w:jc w:val="right"/>
              <w:rPr>
                <w:rFonts w:asciiTheme="minorEastAsia" w:eastAsiaTheme="minorEastAsia" w:hAnsiTheme="minorEastAsia"/>
              </w:rPr>
            </w:pPr>
            <w:r w:rsidRPr="009802E0">
              <w:rPr>
                <w:rFonts w:asciiTheme="minorEastAsia" w:eastAsiaTheme="minorEastAsia" w:hAnsiTheme="minorEastAsia"/>
              </w:rPr>
              <w:t>0.01%</w:t>
            </w:r>
          </w:p>
        </w:tc>
        <w:tc>
          <w:tcPr>
            <w:tcW w:w="900" w:type="dxa"/>
            <w:vAlign w:val="center"/>
          </w:tcPr>
          <w:p w:rsidR="0096166C" w:rsidRPr="009802E0" w:rsidRDefault="0096166C">
            <w:pPr>
              <w:adjustRightInd w:val="0"/>
              <w:snapToGrid w:val="0"/>
              <w:spacing w:line="360" w:lineRule="auto"/>
              <w:ind w:leftChars="-51" w:left="-107" w:rightChars="-51" w:right="-107"/>
              <w:jc w:val="right"/>
              <w:rPr>
                <w:rFonts w:asciiTheme="minorEastAsia" w:eastAsiaTheme="minorEastAsia" w:hAnsiTheme="minorEastAsia"/>
              </w:rPr>
            </w:pPr>
            <w:r w:rsidRPr="009802E0">
              <w:rPr>
                <w:rFonts w:asciiTheme="minorEastAsia" w:eastAsiaTheme="minorEastAsia" w:hAnsiTheme="minorEastAsia"/>
              </w:rPr>
              <w:t>160.41%</w:t>
            </w:r>
          </w:p>
        </w:tc>
        <w:tc>
          <w:tcPr>
            <w:tcW w:w="900" w:type="dxa"/>
            <w:vAlign w:val="center"/>
          </w:tcPr>
          <w:p w:rsidR="0096166C" w:rsidRPr="009802E0" w:rsidRDefault="0096166C">
            <w:pPr>
              <w:adjustRightInd w:val="0"/>
              <w:snapToGrid w:val="0"/>
              <w:spacing w:line="360" w:lineRule="auto"/>
              <w:ind w:leftChars="-51" w:left="-107" w:rightChars="-51" w:right="-107"/>
              <w:jc w:val="right"/>
              <w:rPr>
                <w:rFonts w:asciiTheme="minorEastAsia" w:eastAsiaTheme="minorEastAsia" w:hAnsiTheme="minorEastAsia"/>
              </w:rPr>
            </w:pPr>
            <w:r w:rsidRPr="009802E0">
              <w:rPr>
                <w:rFonts w:asciiTheme="minorEastAsia" w:eastAsiaTheme="minorEastAsia" w:hAnsiTheme="minorEastAsia"/>
              </w:rPr>
              <w:t>0.76%</w:t>
            </w:r>
          </w:p>
        </w:tc>
      </w:tr>
    </w:tbl>
    <w:p w:rsidR="00B43AC4" w:rsidRPr="009802E0" w:rsidRDefault="00B43AC4" w:rsidP="00FE018D">
      <w:pPr>
        <w:pStyle w:val="1"/>
        <w:adjustRightInd w:val="0"/>
        <w:snapToGrid w:val="0"/>
        <w:spacing w:beforeLines="0" w:afterLines="0" w:line="360" w:lineRule="auto"/>
        <w:ind w:firstLineChars="0" w:firstLine="0"/>
        <w:rPr>
          <w:rFonts w:asciiTheme="minorEastAsia" w:eastAsiaTheme="minorEastAsia" w:hAnsiTheme="minorEastAsia"/>
          <w:b/>
          <w:szCs w:val="21"/>
        </w:rPr>
      </w:pPr>
      <w:r w:rsidRPr="009802E0">
        <w:rPr>
          <w:rFonts w:asciiTheme="minorEastAsia" w:eastAsiaTheme="minorEastAsia" w:hAnsiTheme="minorEastAsia"/>
        </w:rPr>
        <w:br w:type="page"/>
      </w:r>
      <w:bookmarkStart w:id="107" w:name="_Toc43301930"/>
      <w:r w:rsidR="00C63890" w:rsidRPr="009802E0">
        <w:rPr>
          <w:rFonts w:asciiTheme="minorEastAsia" w:eastAsiaTheme="minorEastAsia" w:hAnsiTheme="minorEastAsia" w:hint="eastAsia"/>
          <w:b/>
          <w:sz w:val="30"/>
        </w:rPr>
        <w:lastRenderedPageBreak/>
        <w:t>十</w:t>
      </w:r>
      <w:r w:rsidR="00CE310F" w:rsidRPr="009802E0">
        <w:rPr>
          <w:rFonts w:asciiTheme="minorEastAsia" w:eastAsiaTheme="minorEastAsia" w:hAnsiTheme="minorEastAsia" w:hint="eastAsia"/>
          <w:b/>
          <w:sz w:val="30"/>
        </w:rPr>
        <w:t>三</w:t>
      </w:r>
      <w:r w:rsidRPr="009802E0">
        <w:rPr>
          <w:rFonts w:asciiTheme="minorEastAsia" w:eastAsiaTheme="minorEastAsia" w:hAnsiTheme="minorEastAsia" w:hint="eastAsia"/>
          <w:b/>
          <w:sz w:val="30"/>
        </w:rPr>
        <w:t>、基金的财产</w:t>
      </w:r>
      <w:bookmarkEnd w:id="107"/>
    </w:p>
    <w:p w:rsidR="00B43AC4" w:rsidRPr="009802E0" w:rsidRDefault="00B43AC4" w:rsidP="00FE018D">
      <w:pPr>
        <w:pStyle w:val="22"/>
        <w:adjustRightInd w:val="0"/>
        <w:snapToGrid w:val="0"/>
        <w:spacing w:beforeLines="0" w:afterLines="0" w:line="360" w:lineRule="auto"/>
        <w:ind w:firstLineChars="0" w:firstLine="420"/>
        <w:rPr>
          <w:rFonts w:asciiTheme="minorEastAsia" w:eastAsiaTheme="minorEastAsia" w:hAnsiTheme="minorEastAsia"/>
          <w:b w:val="0"/>
        </w:rPr>
      </w:pPr>
      <w:bookmarkStart w:id="108" w:name="_Toc43301931"/>
      <w:r w:rsidRPr="009802E0">
        <w:rPr>
          <w:rFonts w:asciiTheme="minorEastAsia" w:eastAsiaTheme="minorEastAsia" w:hAnsiTheme="minorEastAsia" w:hint="eastAsia"/>
          <w:b w:val="0"/>
        </w:rPr>
        <w:t>（一）基金资产总值</w:t>
      </w:r>
      <w:bookmarkEnd w:id="108"/>
    </w:p>
    <w:p w:rsidR="005D1CAD" w:rsidRPr="009802E0" w:rsidRDefault="005D1CAD" w:rsidP="00FE018D">
      <w:pPr>
        <w:adjustRightInd w:val="0"/>
        <w:snapToGrid w:val="0"/>
        <w:spacing w:line="360" w:lineRule="auto"/>
        <w:ind w:firstLineChars="200" w:firstLine="420"/>
        <w:rPr>
          <w:rFonts w:asciiTheme="minorEastAsia" w:eastAsiaTheme="minorEastAsia" w:hAnsiTheme="minorEastAsia"/>
          <w:szCs w:val="21"/>
        </w:rPr>
      </w:pPr>
      <w:bookmarkStart w:id="109" w:name="_Toc79392635"/>
      <w:bookmarkStart w:id="110" w:name="_Toc79556449"/>
      <w:r w:rsidRPr="009802E0">
        <w:rPr>
          <w:rFonts w:asciiTheme="minorEastAsia" w:eastAsiaTheme="minorEastAsia" w:hAnsiTheme="minorEastAsia" w:hint="eastAsia"/>
          <w:szCs w:val="21"/>
        </w:rPr>
        <w:t>基金资产总值是指购买的各类证券及票据价值、银行存款本息和基金应收的申购基金款以及其他投资所形成的价值总和。</w:t>
      </w:r>
    </w:p>
    <w:p w:rsidR="005D1CAD" w:rsidRPr="009802E0" w:rsidRDefault="005D1CAD"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其构成主要有：</w:t>
      </w:r>
    </w:p>
    <w:p w:rsidR="005D1CAD" w:rsidRPr="009802E0" w:rsidRDefault="005D1CAD"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1</w:t>
      </w:r>
      <w:r w:rsidR="00C335A3" w:rsidRPr="009802E0">
        <w:rPr>
          <w:rFonts w:asciiTheme="minorEastAsia" w:eastAsiaTheme="minorEastAsia" w:hAnsiTheme="minorEastAsia" w:hint="eastAsia"/>
          <w:szCs w:val="21"/>
        </w:rPr>
        <w:t>、</w:t>
      </w:r>
      <w:r w:rsidRPr="009802E0">
        <w:rPr>
          <w:rFonts w:asciiTheme="minorEastAsia" w:eastAsiaTheme="minorEastAsia" w:hAnsiTheme="minorEastAsia" w:hint="eastAsia"/>
          <w:szCs w:val="21"/>
        </w:rPr>
        <w:t>银行存款及其应计利息；</w:t>
      </w:r>
    </w:p>
    <w:p w:rsidR="005D1CAD" w:rsidRPr="009802E0" w:rsidRDefault="005D1CAD"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2</w:t>
      </w:r>
      <w:r w:rsidR="00C335A3" w:rsidRPr="009802E0">
        <w:rPr>
          <w:rFonts w:asciiTheme="minorEastAsia" w:eastAsiaTheme="minorEastAsia" w:hAnsiTheme="minorEastAsia" w:hint="eastAsia"/>
          <w:szCs w:val="21"/>
        </w:rPr>
        <w:t>、</w:t>
      </w:r>
      <w:r w:rsidRPr="009802E0">
        <w:rPr>
          <w:rFonts w:asciiTheme="minorEastAsia" w:eastAsiaTheme="minorEastAsia" w:hAnsiTheme="minorEastAsia" w:hint="eastAsia"/>
          <w:szCs w:val="21"/>
        </w:rPr>
        <w:t>结算备付金及其应计利息；</w:t>
      </w:r>
    </w:p>
    <w:p w:rsidR="005D1CAD" w:rsidRPr="009802E0" w:rsidRDefault="005D1CAD"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3</w:t>
      </w:r>
      <w:r w:rsidR="00C335A3" w:rsidRPr="009802E0">
        <w:rPr>
          <w:rFonts w:asciiTheme="minorEastAsia" w:eastAsiaTheme="minorEastAsia" w:hAnsiTheme="minorEastAsia" w:hint="eastAsia"/>
          <w:szCs w:val="21"/>
        </w:rPr>
        <w:t>、</w:t>
      </w:r>
      <w:r w:rsidRPr="009802E0">
        <w:rPr>
          <w:rFonts w:asciiTheme="minorEastAsia" w:eastAsiaTheme="minorEastAsia" w:hAnsiTheme="minorEastAsia" w:hint="eastAsia"/>
          <w:szCs w:val="21"/>
        </w:rPr>
        <w:t>根据有关规定缴纳的保证金及其应收利息；</w:t>
      </w:r>
    </w:p>
    <w:p w:rsidR="005D1CAD" w:rsidRPr="009802E0" w:rsidRDefault="005D1CAD"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4</w:t>
      </w:r>
      <w:r w:rsidR="00C335A3" w:rsidRPr="009802E0">
        <w:rPr>
          <w:rFonts w:asciiTheme="minorEastAsia" w:eastAsiaTheme="minorEastAsia" w:hAnsiTheme="minorEastAsia" w:hint="eastAsia"/>
          <w:szCs w:val="21"/>
        </w:rPr>
        <w:t>、</w:t>
      </w:r>
      <w:r w:rsidRPr="009802E0">
        <w:rPr>
          <w:rFonts w:asciiTheme="minorEastAsia" w:eastAsiaTheme="minorEastAsia" w:hAnsiTheme="minorEastAsia" w:hint="eastAsia"/>
          <w:szCs w:val="21"/>
        </w:rPr>
        <w:t>应收证券交易清算款；</w:t>
      </w:r>
    </w:p>
    <w:p w:rsidR="005D1CAD" w:rsidRPr="009802E0" w:rsidRDefault="005D1CAD"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5</w:t>
      </w:r>
      <w:r w:rsidR="00C335A3" w:rsidRPr="009802E0">
        <w:rPr>
          <w:rFonts w:asciiTheme="minorEastAsia" w:eastAsiaTheme="minorEastAsia" w:hAnsiTheme="minorEastAsia" w:hint="eastAsia"/>
          <w:szCs w:val="21"/>
        </w:rPr>
        <w:t>、</w:t>
      </w:r>
      <w:r w:rsidRPr="009802E0">
        <w:rPr>
          <w:rFonts w:asciiTheme="minorEastAsia" w:eastAsiaTheme="minorEastAsia" w:hAnsiTheme="minorEastAsia" w:hint="eastAsia"/>
          <w:szCs w:val="21"/>
        </w:rPr>
        <w:t>应收申购款；</w:t>
      </w:r>
    </w:p>
    <w:p w:rsidR="005D1CAD" w:rsidRPr="009802E0" w:rsidRDefault="005D1CAD"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6</w:t>
      </w:r>
      <w:r w:rsidR="004E552C" w:rsidRPr="009802E0">
        <w:rPr>
          <w:rFonts w:asciiTheme="minorEastAsia" w:eastAsiaTheme="minorEastAsia" w:hAnsiTheme="minorEastAsia" w:hint="eastAsia"/>
          <w:szCs w:val="21"/>
        </w:rPr>
        <w:t>、</w:t>
      </w:r>
      <w:r w:rsidRPr="009802E0">
        <w:rPr>
          <w:rFonts w:asciiTheme="minorEastAsia" w:eastAsiaTheme="minorEastAsia" w:hAnsiTheme="minorEastAsia" w:hint="eastAsia"/>
          <w:szCs w:val="21"/>
        </w:rPr>
        <w:t>股票投资及其估值调整；</w:t>
      </w:r>
    </w:p>
    <w:p w:rsidR="005D1CAD" w:rsidRPr="009802E0" w:rsidRDefault="005D1CAD"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7</w:t>
      </w:r>
      <w:r w:rsidR="004E552C" w:rsidRPr="009802E0">
        <w:rPr>
          <w:rFonts w:asciiTheme="minorEastAsia" w:eastAsiaTheme="minorEastAsia" w:hAnsiTheme="minorEastAsia" w:hint="eastAsia"/>
          <w:szCs w:val="21"/>
        </w:rPr>
        <w:t>、</w:t>
      </w:r>
      <w:r w:rsidRPr="009802E0">
        <w:rPr>
          <w:rFonts w:asciiTheme="minorEastAsia" w:eastAsiaTheme="minorEastAsia" w:hAnsiTheme="minorEastAsia" w:hint="eastAsia"/>
          <w:szCs w:val="21"/>
        </w:rPr>
        <w:t>债券投资及其估值调整和应计利息；</w:t>
      </w:r>
    </w:p>
    <w:p w:rsidR="005D1CAD" w:rsidRPr="009802E0" w:rsidRDefault="005D1CAD"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8</w:t>
      </w:r>
      <w:r w:rsidR="004E552C" w:rsidRPr="009802E0">
        <w:rPr>
          <w:rFonts w:asciiTheme="minorEastAsia" w:eastAsiaTheme="minorEastAsia" w:hAnsiTheme="minorEastAsia" w:hint="eastAsia"/>
          <w:szCs w:val="21"/>
        </w:rPr>
        <w:t>、</w:t>
      </w:r>
      <w:r w:rsidRPr="009802E0">
        <w:rPr>
          <w:rFonts w:asciiTheme="minorEastAsia" w:eastAsiaTheme="minorEastAsia" w:hAnsiTheme="minorEastAsia" w:hint="eastAsia"/>
          <w:szCs w:val="21"/>
        </w:rPr>
        <w:t>权证投资及其估值调整；</w:t>
      </w:r>
    </w:p>
    <w:p w:rsidR="005D1CAD" w:rsidRPr="009802E0" w:rsidRDefault="005D1CAD"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9</w:t>
      </w:r>
      <w:r w:rsidR="004E552C" w:rsidRPr="009802E0">
        <w:rPr>
          <w:rFonts w:asciiTheme="minorEastAsia" w:eastAsiaTheme="minorEastAsia" w:hAnsiTheme="minorEastAsia" w:hint="eastAsia"/>
          <w:szCs w:val="21"/>
        </w:rPr>
        <w:t>、</w:t>
      </w:r>
      <w:r w:rsidRPr="009802E0">
        <w:rPr>
          <w:rFonts w:asciiTheme="minorEastAsia" w:eastAsiaTheme="minorEastAsia" w:hAnsiTheme="minorEastAsia" w:hint="eastAsia"/>
          <w:szCs w:val="21"/>
        </w:rPr>
        <w:t>其他投资及其估值调整；</w:t>
      </w:r>
    </w:p>
    <w:p w:rsidR="005D1CAD" w:rsidRPr="009802E0" w:rsidRDefault="005D1CAD"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10</w:t>
      </w:r>
      <w:r w:rsidR="004E552C" w:rsidRPr="009802E0">
        <w:rPr>
          <w:rFonts w:asciiTheme="minorEastAsia" w:eastAsiaTheme="minorEastAsia" w:hAnsiTheme="minorEastAsia" w:hint="eastAsia"/>
          <w:szCs w:val="21"/>
        </w:rPr>
        <w:t>、</w:t>
      </w:r>
      <w:r w:rsidRPr="009802E0">
        <w:rPr>
          <w:rFonts w:asciiTheme="minorEastAsia" w:eastAsiaTheme="minorEastAsia" w:hAnsiTheme="minorEastAsia" w:hint="eastAsia"/>
          <w:szCs w:val="21"/>
        </w:rPr>
        <w:t>其他资产等。</w:t>
      </w:r>
    </w:p>
    <w:p w:rsidR="00B43AC4" w:rsidRPr="009802E0" w:rsidRDefault="00B43AC4" w:rsidP="00FE018D">
      <w:pPr>
        <w:pStyle w:val="22"/>
        <w:adjustRightInd w:val="0"/>
        <w:snapToGrid w:val="0"/>
        <w:spacing w:beforeLines="0" w:afterLines="0" w:line="360" w:lineRule="auto"/>
        <w:ind w:firstLineChars="0" w:firstLine="420"/>
        <w:rPr>
          <w:rFonts w:asciiTheme="minorEastAsia" w:eastAsiaTheme="minorEastAsia" w:hAnsiTheme="minorEastAsia"/>
          <w:b w:val="0"/>
        </w:rPr>
      </w:pPr>
      <w:bookmarkStart w:id="111" w:name="_Toc43301932"/>
      <w:bookmarkEnd w:id="109"/>
      <w:bookmarkEnd w:id="110"/>
      <w:r w:rsidRPr="009802E0">
        <w:rPr>
          <w:rFonts w:asciiTheme="minorEastAsia" w:eastAsiaTheme="minorEastAsia" w:hAnsiTheme="minorEastAsia" w:hint="eastAsia"/>
          <w:b w:val="0"/>
        </w:rPr>
        <w:t>（二）基金资产净值</w:t>
      </w:r>
      <w:bookmarkEnd w:id="111"/>
    </w:p>
    <w:p w:rsidR="005D1CAD" w:rsidRPr="009802E0" w:rsidRDefault="005D1CAD"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基金资产净值是指基金资产总值减去基金负债后的价值。</w:t>
      </w:r>
    </w:p>
    <w:p w:rsidR="00B43AC4" w:rsidRPr="009802E0" w:rsidRDefault="00B43AC4" w:rsidP="00FE018D">
      <w:pPr>
        <w:pStyle w:val="22"/>
        <w:adjustRightInd w:val="0"/>
        <w:snapToGrid w:val="0"/>
        <w:spacing w:beforeLines="0" w:afterLines="0" w:line="360" w:lineRule="auto"/>
        <w:ind w:firstLineChars="0" w:firstLine="420"/>
        <w:rPr>
          <w:rFonts w:asciiTheme="minorEastAsia" w:eastAsiaTheme="minorEastAsia" w:hAnsiTheme="minorEastAsia"/>
          <w:b w:val="0"/>
        </w:rPr>
      </w:pPr>
      <w:bookmarkStart w:id="112" w:name="_Toc43301933"/>
      <w:r w:rsidRPr="009802E0">
        <w:rPr>
          <w:rFonts w:asciiTheme="minorEastAsia" w:eastAsiaTheme="minorEastAsia" w:hAnsiTheme="minorEastAsia" w:hint="eastAsia"/>
          <w:b w:val="0"/>
        </w:rPr>
        <w:t>（三）基金财产的账户</w:t>
      </w:r>
      <w:bookmarkEnd w:id="112"/>
    </w:p>
    <w:p w:rsidR="005D1CAD" w:rsidRPr="009802E0" w:rsidRDefault="005D1CAD"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本基金以基金托管人的名义开立资金结算账户和托管专户用于基金的资金结算业务，并以基金托管人和本基金联名的方式开立基金证券账户、以本基金的名义开立银行间债券托管账户并报中国人民银行备案。开立的基金专用账户与基金管理人、基金托管人、基金</w:t>
      </w:r>
      <w:r w:rsidR="007909DB" w:rsidRPr="009802E0">
        <w:rPr>
          <w:rFonts w:asciiTheme="minorEastAsia" w:eastAsiaTheme="minorEastAsia" w:hAnsiTheme="minorEastAsia" w:hint="eastAsia"/>
          <w:szCs w:val="21"/>
        </w:rPr>
        <w:t>销售</w:t>
      </w:r>
      <w:r w:rsidRPr="009802E0">
        <w:rPr>
          <w:rFonts w:asciiTheme="minorEastAsia" w:eastAsiaTheme="minorEastAsia" w:hAnsiTheme="minorEastAsia" w:hint="eastAsia"/>
          <w:szCs w:val="21"/>
        </w:rPr>
        <w:t>机构和基金注册登记机构自有的财产账户以及其他基金财产账户相独立。</w:t>
      </w:r>
    </w:p>
    <w:p w:rsidR="00B43AC4" w:rsidRPr="009802E0" w:rsidRDefault="00B43AC4" w:rsidP="00FE018D">
      <w:pPr>
        <w:pStyle w:val="22"/>
        <w:adjustRightInd w:val="0"/>
        <w:snapToGrid w:val="0"/>
        <w:spacing w:beforeLines="0" w:afterLines="0" w:line="360" w:lineRule="auto"/>
        <w:ind w:firstLineChars="0" w:firstLine="420"/>
        <w:rPr>
          <w:rFonts w:asciiTheme="minorEastAsia" w:eastAsiaTheme="minorEastAsia" w:hAnsiTheme="minorEastAsia"/>
          <w:b w:val="0"/>
        </w:rPr>
      </w:pPr>
      <w:bookmarkStart w:id="113" w:name="_Toc43301934"/>
      <w:r w:rsidRPr="009802E0">
        <w:rPr>
          <w:rFonts w:asciiTheme="minorEastAsia" w:eastAsiaTheme="minorEastAsia" w:hAnsiTheme="minorEastAsia" w:hint="eastAsia"/>
          <w:b w:val="0"/>
        </w:rPr>
        <w:t>（四）基金财产的保管和处分</w:t>
      </w:r>
      <w:bookmarkEnd w:id="113"/>
    </w:p>
    <w:p w:rsidR="005D1CAD" w:rsidRPr="009802E0" w:rsidRDefault="005D1CAD"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本基金财产独立于基金管理人、基金托管人和基金</w:t>
      </w:r>
      <w:r w:rsidR="007909DB" w:rsidRPr="009802E0">
        <w:rPr>
          <w:rFonts w:asciiTheme="minorEastAsia" w:eastAsiaTheme="minorEastAsia" w:hAnsiTheme="minorEastAsia" w:hint="eastAsia"/>
          <w:szCs w:val="21"/>
        </w:rPr>
        <w:t>销售</w:t>
      </w:r>
      <w:r w:rsidRPr="009802E0">
        <w:rPr>
          <w:rFonts w:asciiTheme="minorEastAsia" w:eastAsiaTheme="minorEastAsia" w:hAnsiTheme="minorEastAsia" w:hint="eastAsia"/>
          <w:szCs w:val="21"/>
        </w:rPr>
        <w:t>机构的财产，并由基金托管人保管。基金管理人、基金托管人不得将基金财产归入其固有财产；基金管理人、基金托管人因基金财产的管理、运用或其他情形而取得的财产和收益，归入基金财产。基金管理人、基金托管人、基金注册登记机构和基金</w:t>
      </w:r>
      <w:r w:rsidR="007909DB" w:rsidRPr="009802E0">
        <w:rPr>
          <w:rFonts w:asciiTheme="minorEastAsia" w:eastAsiaTheme="minorEastAsia" w:hAnsiTheme="minorEastAsia" w:hint="eastAsia"/>
          <w:szCs w:val="21"/>
        </w:rPr>
        <w:t>销售</w:t>
      </w:r>
      <w:r w:rsidRPr="009802E0">
        <w:rPr>
          <w:rFonts w:asciiTheme="minorEastAsia" w:eastAsiaTheme="minorEastAsia" w:hAnsiTheme="minorEastAsia" w:hint="eastAsia"/>
          <w:szCs w:val="21"/>
        </w:rPr>
        <w:t>机构以其自有的财产承担其自身的法律责任，其债权人不得对本基金财产行使请求冻结、扣押或其他权利。除依法律法规和《基金合同》的规定处分外，基金财产不得被处分。</w:t>
      </w:r>
    </w:p>
    <w:p w:rsidR="005D1CAD" w:rsidRPr="009802E0" w:rsidRDefault="005D1CAD"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基金管理人管理运作基金财产所产生的债权，不得与其固有资产产生的债务相互抵销；基金管理人管理运作不同基金的基金财产所产生的债权债务不得相互抵销。</w:t>
      </w:r>
    </w:p>
    <w:p w:rsidR="00B43AC4" w:rsidRPr="009802E0" w:rsidRDefault="00B43AC4" w:rsidP="00FE018D">
      <w:pPr>
        <w:pStyle w:val="a7"/>
        <w:tabs>
          <w:tab w:val="left" w:pos="735"/>
        </w:tabs>
        <w:adjustRightInd w:val="0"/>
        <w:snapToGrid w:val="0"/>
        <w:spacing w:line="360" w:lineRule="auto"/>
        <w:ind w:firstLine="0"/>
        <w:rPr>
          <w:rFonts w:asciiTheme="minorEastAsia" w:eastAsiaTheme="minorEastAsia" w:hAnsiTheme="minorEastAsia"/>
        </w:rPr>
      </w:pPr>
    </w:p>
    <w:p w:rsidR="00B43AC4" w:rsidRPr="009802E0" w:rsidRDefault="00B43AC4" w:rsidP="00FE018D">
      <w:pPr>
        <w:pStyle w:val="1"/>
        <w:adjustRightInd w:val="0"/>
        <w:snapToGrid w:val="0"/>
        <w:spacing w:beforeLines="0" w:afterLines="0" w:line="360" w:lineRule="auto"/>
        <w:ind w:firstLine="600"/>
        <w:rPr>
          <w:rFonts w:asciiTheme="minorEastAsia" w:eastAsiaTheme="minorEastAsia" w:hAnsiTheme="minorEastAsia"/>
          <w:b/>
          <w:bCs/>
        </w:rPr>
      </w:pPr>
      <w:r w:rsidRPr="009802E0">
        <w:rPr>
          <w:rFonts w:asciiTheme="minorEastAsia" w:eastAsiaTheme="minorEastAsia" w:hAnsiTheme="minorEastAsia"/>
          <w:sz w:val="30"/>
        </w:rPr>
        <w:br w:type="column"/>
      </w:r>
      <w:bookmarkStart w:id="114" w:name="_Toc43301935"/>
      <w:r w:rsidR="00C63890" w:rsidRPr="009802E0">
        <w:rPr>
          <w:rFonts w:asciiTheme="minorEastAsia" w:eastAsiaTheme="minorEastAsia" w:hAnsiTheme="minorEastAsia" w:hint="eastAsia"/>
          <w:b/>
          <w:sz w:val="30"/>
        </w:rPr>
        <w:lastRenderedPageBreak/>
        <w:t>十</w:t>
      </w:r>
      <w:r w:rsidR="000B55EF" w:rsidRPr="009802E0">
        <w:rPr>
          <w:rFonts w:asciiTheme="minorEastAsia" w:eastAsiaTheme="minorEastAsia" w:hAnsiTheme="minorEastAsia" w:hint="eastAsia"/>
          <w:b/>
          <w:sz w:val="30"/>
        </w:rPr>
        <w:t>四</w:t>
      </w:r>
      <w:r w:rsidRPr="009802E0">
        <w:rPr>
          <w:rFonts w:asciiTheme="minorEastAsia" w:eastAsiaTheme="minorEastAsia" w:hAnsiTheme="minorEastAsia" w:hint="eastAsia"/>
          <w:b/>
          <w:sz w:val="30"/>
        </w:rPr>
        <w:t>、基金资产的估值</w:t>
      </w:r>
      <w:bookmarkEnd w:id="114"/>
    </w:p>
    <w:p w:rsidR="00B43AC4" w:rsidRPr="009802E0" w:rsidRDefault="00B43AC4" w:rsidP="00FE018D">
      <w:pPr>
        <w:pStyle w:val="22"/>
        <w:adjustRightInd w:val="0"/>
        <w:snapToGrid w:val="0"/>
        <w:spacing w:beforeLines="0" w:afterLines="0" w:line="360" w:lineRule="auto"/>
        <w:ind w:firstLineChars="0" w:firstLine="420"/>
        <w:rPr>
          <w:rFonts w:asciiTheme="minorEastAsia" w:eastAsiaTheme="minorEastAsia" w:hAnsiTheme="minorEastAsia"/>
          <w:b w:val="0"/>
        </w:rPr>
      </w:pPr>
      <w:bookmarkStart w:id="115" w:name="_Toc43301936"/>
      <w:r w:rsidRPr="009802E0">
        <w:rPr>
          <w:rFonts w:asciiTheme="minorEastAsia" w:eastAsiaTheme="minorEastAsia" w:hAnsiTheme="minorEastAsia" w:hint="eastAsia"/>
          <w:b w:val="0"/>
        </w:rPr>
        <w:t>（一）估值目的</w:t>
      </w:r>
      <w:bookmarkEnd w:id="115"/>
    </w:p>
    <w:p w:rsidR="005D1CAD" w:rsidRPr="009802E0" w:rsidRDefault="005D1CAD"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基金资产估值的目的是客观、准确地反映基金资产是否保值、增值，依据经基金资产估值后确定的基金资产净值而计算出的基金份额净值，是计算基金申购与赎回价格的基础。</w:t>
      </w:r>
    </w:p>
    <w:p w:rsidR="00B43AC4" w:rsidRPr="009802E0" w:rsidRDefault="00B43AC4" w:rsidP="00FE018D">
      <w:pPr>
        <w:pStyle w:val="22"/>
        <w:adjustRightInd w:val="0"/>
        <w:snapToGrid w:val="0"/>
        <w:spacing w:beforeLines="0" w:afterLines="0" w:line="360" w:lineRule="auto"/>
        <w:ind w:firstLineChars="0" w:firstLine="420"/>
        <w:rPr>
          <w:rFonts w:asciiTheme="minorEastAsia" w:eastAsiaTheme="minorEastAsia" w:hAnsiTheme="minorEastAsia"/>
          <w:b w:val="0"/>
        </w:rPr>
      </w:pPr>
      <w:bookmarkStart w:id="116" w:name="_Toc43301937"/>
      <w:r w:rsidRPr="009802E0">
        <w:rPr>
          <w:rFonts w:asciiTheme="minorEastAsia" w:eastAsiaTheme="minorEastAsia" w:hAnsiTheme="minorEastAsia" w:hint="eastAsia"/>
          <w:b w:val="0"/>
        </w:rPr>
        <w:t>（二）估值日</w:t>
      </w:r>
      <w:bookmarkEnd w:id="116"/>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本基金的估值日为相关的证券交易场所的正常营业日以及国家法律法规规定需要对外披露基金净值的非营业日。</w:t>
      </w:r>
    </w:p>
    <w:p w:rsidR="00B43AC4" w:rsidRPr="009802E0" w:rsidRDefault="00B43AC4" w:rsidP="00FE018D">
      <w:pPr>
        <w:pStyle w:val="22"/>
        <w:adjustRightInd w:val="0"/>
        <w:snapToGrid w:val="0"/>
        <w:spacing w:beforeLines="0" w:afterLines="0" w:line="360" w:lineRule="auto"/>
        <w:ind w:firstLineChars="0" w:firstLine="420"/>
        <w:rPr>
          <w:rFonts w:asciiTheme="minorEastAsia" w:eastAsiaTheme="minorEastAsia" w:hAnsiTheme="minorEastAsia"/>
          <w:b w:val="0"/>
        </w:rPr>
      </w:pPr>
      <w:bookmarkStart w:id="117" w:name="_Toc43301938"/>
      <w:r w:rsidRPr="009802E0">
        <w:rPr>
          <w:rFonts w:asciiTheme="minorEastAsia" w:eastAsiaTheme="minorEastAsia" w:hAnsiTheme="minorEastAsia" w:hint="eastAsia"/>
          <w:b w:val="0"/>
        </w:rPr>
        <w:t>（三）估值对象</w:t>
      </w:r>
      <w:bookmarkEnd w:id="117"/>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b/>
          <w:bCs/>
          <w:szCs w:val="21"/>
        </w:rPr>
      </w:pPr>
      <w:r w:rsidRPr="009802E0">
        <w:rPr>
          <w:rFonts w:asciiTheme="minorEastAsia" w:eastAsiaTheme="minorEastAsia" w:hAnsiTheme="minorEastAsia" w:hint="eastAsia"/>
          <w:szCs w:val="21"/>
        </w:rPr>
        <w:t>基金所拥有的股票、债券、权证和银行存款本息等资产和负债。</w:t>
      </w:r>
    </w:p>
    <w:p w:rsidR="00B43AC4" w:rsidRPr="009802E0" w:rsidRDefault="00B43AC4" w:rsidP="00FE018D">
      <w:pPr>
        <w:pStyle w:val="22"/>
        <w:adjustRightInd w:val="0"/>
        <w:snapToGrid w:val="0"/>
        <w:spacing w:beforeLines="0" w:afterLines="0" w:line="360" w:lineRule="auto"/>
        <w:ind w:firstLineChars="0" w:firstLine="420"/>
        <w:rPr>
          <w:rFonts w:asciiTheme="minorEastAsia" w:eastAsiaTheme="minorEastAsia" w:hAnsiTheme="minorEastAsia"/>
          <w:b w:val="0"/>
        </w:rPr>
      </w:pPr>
      <w:bookmarkStart w:id="118" w:name="_Toc43301939"/>
      <w:r w:rsidRPr="009802E0">
        <w:rPr>
          <w:rFonts w:asciiTheme="minorEastAsia" w:eastAsiaTheme="minorEastAsia" w:hAnsiTheme="minorEastAsia" w:hint="eastAsia"/>
          <w:b w:val="0"/>
        </w:rPr>
        <w:t>（四）估值程序</w:t>
      </w:r>
      <w:bookmarkEnd w:id="118"/>
    </w:p>
    <w:p w:rsidR="00B43AC4" w:rsidRPr="009802E0" w:rsidRDefault="00B43AC4"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基金日常估值由基金管理人进行。基金管理人完成估值后，将估值结果以双方认可的方式发送给基金托管人，基金托管人按法律法规、基金合同规定的估值方法、时间、程序进行复核，复核无误后，以双方认可的方式发送给基金管理人；月末、年中和年末估值复核与基金会计账目的核对同时进行。</w:t>
      </w:r>
    </w:p>
    <w:p w:rsidR="00B43AC4" w:rsidRPr="009802E0" w:rsidRDefault="00B43AC4" w:rsidP="00FE018D">
      <w:pPr>
        <w:pStyle w:val="22"/>
        <w:adjustRightInd w:val="0"/>
        <w:snapToGrid w:val="0"/>
        <w:spacing w:beforeLines="0" w:afterLines="0" w:line="360" w:lineRule="auto"/>
        <w:ind w:firstLineChars="0" w:firstLine="420"/>
        <w:rPr>
          <w:rFonts w:asciiTheme="minorEastAsia" w:eastAsiaTheme="minorEastAsia" w:hAnsiTheme="minorEastAsia"/>
          <w:b w:val="0"/>
        </w:rPr>
      </w:pPr>
      <w:bookmarkStart w:id="119" w:name="_Toc43301940"/>
      <w:r w:rsidRPr="009802E0">
        <w:rPr>
          <w:rFonts w:asciiTheme="minorEastAsia" w:eastAsiaTheme="minorEastAsia" w:hAnsiTheme="minorEastAsia" w:hint="eastAsia"/>
          <w:b w:val="0"/>
        </w:rPr>
        <w:t>（五）估值方法</w:t>
      </w:r>
      <w:bookmarkEnd w:id="119"/>
    </w:p>
    <w:p w:rsidR="005D1CAD" w:rsidRPr="009802E0" w:rsidRDefault="005D1CAD"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本基金按以下方式进行估值：</w:t>
      </w:r>
    </w:p>
    <w:p w:rsidR="005D1CAD" w:rsidRPr="009802E0" w:rsidRDefault="005D1CAD" w:rsidP="009C0E15">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w:t>
      </w:r>
      <w:r w:rsidR="004E552C"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rPr>
        <w:t>证券交易所上市的有价证券的估值</w:t>
      </w:r>
    </w:p>
    <w:p w:rsidR="005D1CAD" w:rsidRPr="009802E0" w:rsidRDefault="005D1CAD"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交易所上市的股票、权证，以其估值日在证券交易所挂牌的收盘价估值；估值日无交易的，且最近交易日后经济环境未发生重大变化，以最近交易日的收盘价估值；如最近交易日后经济环境发生了重大变化的，可参考类似投资品种的现行市价及重大变化因素，调整最近交易日的收盘价，确定公允价格。</w:t>
      </w:r>
    </w:p>
    <w:p w:rsidR="005D1CAD" w:rsidRPr="009802E0" w:rsidRDefault="005D1CAD"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日的收盘价，确定公允价格；</w:t>
      </w:r>
    </w:p>
    <w:p w:rsidR="005D1CAD" w:rsidRPr="009802E0" w:rsidRDefault="005D1CAD"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日所采用的净价，确定公允价格；</w:t>
      </w:r>
    </w:p>
    <w:p w:rsidR="005D1CAD" w:rsidRPr="009802E0" w:rsidRDefault="005D1CAD"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（4）交易所上市不存在活跃市场的有价证券，采用估值技术确定公允价值。交易所上市的资产支持证券，采用估值技术确定公允价值，在估值技术难以可靠计量公允价值的情况</w:t>
      </w:r>
      <w:r w:rsidRPr="009802E0">
        <w:rPr>
          <w:rFonts w:asciiTheme="minorEastAsia" w:eastAsiaTheme="minorEastAsia" w:hAnsiTheme="minorEastAsia" w:hint="eastAsia"/>
          <w:kern w:val="0"/>
          <w:szCs w:val="21"/>
        </w:rPr>
        <w:lastRenderedPageBreak/>
        <w:t>下，按成本估值。</w:t>
      </w:r>
    </w:p>
    <w:p w:rsidR="005D1CAD" w:rsidRPr="009802E0" w:rsidRDefault="005D1CAD"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w:t>
      </w:r>
      <w:r w:rsidR="004E552C"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处于未上市期间的有价证券应区分如下情况处理：</w:t>
      </w:r>
    </w:p>
    <w:p w:rsidR="005D1CAD" w:rsidRPr="009802E0" w:rsidRDefault="005D1CAD"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（1）送股、转增股、配股和公开增发的新股，按估值日在证券交易所挂牌的同一股票的估值价格估值；</w:t>
      </w:r>
    </w:p>
    <w:p w:rsidR="005D1CAD" w:rsidRPr="009802E0" w:rsidRDefault="005D1CAD"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（2）首次公开发行未上市的股票、债券和权证，采用估值技术确定公允价值，在估值技术难以可靠计量公允价值的情况下，按成本估值。</w:t>
      </w:r>
    </w:p>
    <w:p w:rsidR="005D1CAD" w:rsidRPr="009802E0" w:rsidRDefault="005D1CAD"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（3）首次公开发行有明确锁定期的股票，同一股票在交易所上市后，按交易所上市的同一股票的估值价格估值；非公开发行有明确锁定期的股票，按监管机构或行业协会有关规定确定公允价值。</w:t>
      </w:r>
    </w:p>
    <w:p w:rsidR="005D1CAD" w:rsidRPr="009802E0" w:rsidRDefault="005D1CAD"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3</w:t>
      </w:r>
      <w:r w:rsidR="004E552C"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因持有股票而享有的配股权，以及停止交易、但未行权的权证，采用估值技术确定公允价值。</w:t>
      </w:r>
    </w:p>
    <w:p w:rsidR="005D1CAD" w:rsidRPr="009802E0" w:rsidRDefault="005D1CAD"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4</w:t>
      </w:r>
      <w:r w:rsidR="004E552C"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全国银行间债券市场交易的债券、资产支持证券等固定收益品种，采用估值技术确定公允价值。</w:t>
      </w:r>
    </w:p>
    <w:p w:rsidR="005D1CAD" w:rsidRPr="009802E0" w:rsidRDefault="005D1CAD"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5</w:t>
      </w:r>
      <w:r w:rsidR="004E552C"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同一债券同时在两个或两个以上市场交易的，按债券所处的市场分别估值。</w:t>
      </w:r>
    </w:p>
    <w:p w:rsidR="005D1CAD" w:rsidRPr="009802E0" w:rsidRDefault="005D1CAD"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6</w:t>
      </w:r>
      <w:r w:rsidR="004E552C"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如有确凿证据表明按上述方法进行估值不能客观反映其公允价值的，基金管理人可根据具体情况与基金托管人商定后，按最能反映公允价值的价格估值。</w:t>
      </w:r>
    </w:p>
    <w:p w:rsidR="005D1CAD" w:rsidRPr="009802E0" w:rsidRDefault="005D1CAD"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7</w:t>
      </w:r>
      <w:r w:rsidR="004E552C"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相关法律法规以及监管部门有强制规定的，从其规定。如有新增事项，按国家最新规定估值。</w:t>
      </w:r>
    </w:p>
    <w:p w:rsidR="005D1CAD" w:rsidRPr="009802E0" w:rsidRDefault="005D1CAD"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根据《基金法》，基金管理人计算并公告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rsidR="00B43AC4" w:rsidRPr="009802E0" w:rsidRDefault="00B43AC4" w:rsidP="00FE018D">
      <w:pPr>
        <w:pStyle w:val="22"/>
        <w:adjustRightInd w:val="0"/>
        <w:snapToGrid w:val="0"/>
        <w:spacing w:beforeLines="0" w:afterLines="0" w:line="360" w:lineRule="auto"/>
        <w:ind w:firstLineChars="0" w:firstLine="420"/>
        <w:rPr>
          <w:rFonts w:asciiTheme="minorEastAsia" w:eastAsiaTheme="minorEastAsia" w:hAnsiTheme="minorEastAsia"/>
          <w:b w:val="0"/>
        </w:rPr>
      </w:pPr>
      <w:bookmarkStart w:id="120" w:name="_Toc43301941"/>
      <w:r w:rsidRPr="009802E0">
        <w:rPr>
          <w:rFonts w:asciiTheme="minorEastAsia" w:eastAsiaTheme="minorEastAsia" w:hAnsiTheme="minorEastAsia" w:hint="eastAsia"/>
          <w:b w:val="0"/>
        </w:rPr>
        <w:t>（六）基金份额净值的确认和估值错误的处理</w:t>
      </w:r>
      <w:bookmarkEnd w:id="120"/>
    </w:p>
    <w:p w:rsidR="00B43AC4" w:rsidRPr="009802E0" w:rsidRDefault="00B43AC4"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基金份额净值的计算保留到小数点后3位，小数点后第4位四舍五入。当估值或份额净值计价错误实际发生时，基金管理人应当立即纠正，并采取合理的措施防止损失进一步扩大。当错误达到或超过基金资产净值的0.25%时，基金管理人应</w:t>
      </w:r>
      <w:r w:rsidRPr="009802E0">
        <w:rPr>
          <w:rFonts w:asciiTheme="minorEastAsia" w:eastAsiaTheme="minorEastAsia" w:hAnsiTheme="minorEastAsia"/>
          <w:kern w:val="0"/>
          <w:szCs w:val="21"/>
        </w:rPr>
        <w:t>报</w:t>
      </w:r>
      <w:r w:rsidRPr="009802E0">
        <w:rPr>
          <w:rFonts w:asciiTheme="minorEastAsia" w:eastAsiaTheme="minorEastAsia" w:hAnsiTheme="minorEastAsia" w:hint="eastAsia"/>
          <w:kern w:val="0"/>
          <w:szCs w:val="21"/>
        </w:rPr>
        <w:t>中国证监会</w:t>
      </w:r>
      <w:r w:rsidRPr="009802E0">
        <w:rPr>
          <w:rFonts w:asciiTheme="minorEastAsia" w:eastAsiaTheme="minorEastAsia" w:hAnsiTheme="minorEastAsia"/>
          <w:kern w:val="0"/>
          <w:szCs w:val="21"/>
        </w:rPr>
        <w:t>备案</w:t>
      </w:r>
      <w:r w:rsidRPr="009802E0">
        <w:rPr>
          <w:rFonts w:asciiTheme="minorEastAsia" w:eastAsiaTheme="minorEastAsia" w:hAnsiTheme="minorEastAsia" w:hint="eastAsia"/>
          <w:kern w:val="0"/>
          <w:szCs w:val="21"/>
        </w:rPr>
        <w:t>；当估值错误偏差达到</w:t>
      </w:r>
      <w:r w:rsidRPr="009802E0">
        <w:rPr>
          <w:rFonts w:asciiTheme="minorEastAsia" w:eastAsiaTheme="minorEastAsia" w:hAnsiTheme="minorEastAsia"/>
          <w:kern w:val="0"/>
          <w:szCs w:val="21"/>
        </w:rPr>
        <w:t>基金份额净值</w:t>
      </w:r>
      <w:r w:rsidRPr="009802E0">
        <w:rPr>
          <w:rFonts w:asciiTheme="minorEastAsia" w:eastAsiaTheme="minorEastAsia" w:hAnsiTheme="minorEastAsia" w:hint="eastAsia"/>
          <w:kern w:val="0"/>
          <w:szCs w:val="21"/>
        </w:rPr>
        <w:t>的</w:t>
      </w:r>
      <w:r w:rsidRPr="009802E0">
        <w:rPr>
          <w:rFonts w:asciiTheme="minorEastAsia" w:eastAsiaTheme="minorEastAsia" w:hAnsiTheme="minorEastAsia"/>
          <w:kern w:val="0"/>
          <w:szCs w:val="21"/>
        </w:rPr>
        <w:t>0.5%</w:t>
      </w:r>
      <w:r w:rsidRPr="009802E0">
        <w:rPr>
          <w:rFonts w:asciiTheme="minorEastAsia" w:eastAsiaTheme="minorEastAsia" w:hAnsiTheme="minorEastAsia" w:hint="eastAsia"/>
          <w:kern w:val="0"/>
          <w:szCs w:val="21"/>
        </w:rPr>
        <w:t>时，基金管理人</w:t>
      </w:r>
      <w:r w:rsidRPr="009802E0">
        <w:rPr>
          <w:rFonts w:asciiTheme="minorEastAsia" w:eastAsiaTheme="minorEastAsia" w:hAnsiTheme="minorEastAsia"/>
          <w:kern w:val="0"/>
          <w:szCs w:val="21"/>
        </w:rPr>
        <w:t>应当公告，并报</w:t>
      </w:r>
      <w:r w:rsidRPr="009802E0">
        <w:rPr>
          <w:rFonts w:asciiTheme="minorEastAsia" w:eastAsiaTheme="minorEastAsia" w:hAnsiTheme="minorEastAsia" w:hint="eastAsia"/>
          <w:kern w:val="0"/>
          <w:szCs w:val="21"/>
        </w:rPr>
        <w:t>中国证监会</w:t>
      </w:r>
      <w:r w:rsidRPr="009802E0">
        <w:rPr>
          <w:rFonts w:asciiTheme="minorEastAsia" w:eastAsiaTheme="minorEastAsia" w:hAnsiTheme="minorEastAsia"/>
          <w:kern w:val="0"/>
          <w:szCs w:val="21"/>
        </w:rPr>
        <w:t>备案。</w:t>
      </w:r>
      <w:r w:rsidRPr="009802E0">
        <w:rPr>
          <w:rFonts w:asciiTheme="minorEastAsia" w:eastAsiaTheme="minorEastAsia" w:hAnsiTheme="minorEastAsia" w:hint="eastAsia"/>
          <w:kern w:val="0"/>
          <w:szCs w:val="21"/>
        </w:rPr>
        <w:t>因基金估值错误给投资者造成损失的，应先由基金管理人承担，基金管理人对不应由其承担的责任，有权向过错人追偿。</w:t>
      </w:r>
    </w:p>
    <w:p w:rsidR="00B43AC4" w:rsidRPr="009802E0" w:rsidRDefault="00B43AC4"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关于差错处理，本</w:t>
      </w:r>
      <w:r w:rsidR="003A3ED9" w:rsidRPr="009802E0">
        <w:rPr>
          <w:rFonts w:asciiTheme="minorEastAsia" w:eastAsiaTheme="minorEastAsia" w:hAnsiTheme="minorEastAsia" w:hint="eastAsia"/>
          <w:kern w:val="0"/>
          <w:szCs w:val="21"/>
        </w:rPr>
        <w:t>基金</w:t>
      </w:r>
      <w:r w:rsidRPr="009802E0">
        <w:rPr>
          <w:rFonts w:asciiTheme="minorEastAsia" w:eastAsiaTheme="minorEastAsia" w:hAnsiTheme="minorEastAsia" w:hint="eastAsia"/>
          <w:kern w:val="0"/>
          <w:szCs w:val="21"/>
        </w:rPr>
        <w:t>合同的当事人按照以下约定处理：</w:t>
      </w:r>
    </w:p>
    <w:p w:rsidR="00B43AC4" w:rsidRPr="009802E0" w:rsidRDefault="00B43AC4"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kern w:val="0"/>
          <w:szCs w:val="21"/>
        </w:rPr>
        <w:t>1</w:t>
      </w:r>
      <w:r w:rsidR="004E552C"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差</w:t>
      </w:r>
      <w:r w:rsidRPr="009802E0">
        <w:rPr>
          <w:rFonts w:asciiTheme="minorEastAsia" w:eastAsiaTheme="minorEastAsia" w:hAnsiTheme="minorEastAsia" w:hint="eastAsia"/>
        </w:rPr>
        <w:t>错类型</w:t>
      </w:r>
    </w:p>
    <w:p w:rsidR="00B43AC4" w:rsidRPr="009802E0" w:rsidRDefault="00B43AC4"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本基金运作过程中，如果由于基金管理人或基金托管人、或</w:t>
      </w:r>
      <w:r w:rsidR="00BD0464" w:rsidRPr="009802E0">
        <w:rPr>
          <w:rFonts w:asciiTheme="minorEastAsia" w:eastAsiaTheme="minorEastAsia" w:hAnsiTheme="minorEastAsia" w:hint="eastAsia"/>
        </w:rPr>
        <w:t>注册登记机构</w:t>
      </w:r>
      <w:r w:rsidRPr="009802E0">
        <w:rPr>
          <w:rFonts w:asciiTheme="minorEastAsia" w:eastAsiaTheme="minorEastAsia" w:hAnsiTheme="minorEastAsia" w:hint="eastAsia"/>
        </w:rPr>
        <w:t>、或代理销售机构、或投资者自身的过错造成差错，导致其他当事人遭受损失的，过错的责任人应当对由于该差错遭受损失的当事人（“受损方”）按下述“差错处理原则”给予赔偿承担赔偿责任。</w:t>
      </w:r>
    </w:p>
    <w:p w:rsidR="00B43AC4" w:rsidRPr="009802E0" w:rsidRDefault="00B43AC4"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lastRenderedPageBreak/>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B43AC4" w:rsidRPr="009802E0" w:rsidRDefault="00B43AC4"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B43AC4" w:rsidRPr="009802E0" w:rsidRDefault="00B43AC4"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rPr>
        <w:t>2</w:t>
      </w:r>
      <w:r w:rsidR="004E552C" w:rsidRPr="009802E0">
        <w:rPr>
          <w:rFonts w:asciiTheme="minorEastAsia" w:eastAsiaTheme="minorEastAsia" w:hAnsiTheme="minorEastAsia" w:hint="eastAsia"/>
        </w:rPr>
        <w:t>、</w:t>
      </w:r>
      <w:r w:rsidRPr="009802E0">
        <w:rPr>
          <w:rFonts w:asciiTheme="minorEastAsia" w:eastAsiaTheme="minorEastAsia" w:hAnsiTheme="minorEastAsia" w:hint="eastAsia"/>
        </w:rPr>
        <w:t>差错处理原则</w:t>
      </w:r>
    </w:p>
    <w:p w:rsidR="00B43AC4" w:rsidRPr="009802E0" w:rsidRDefault="00B43AC4" w:rsidP="009C0E15">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rPr>
        <w:t>（</w:t>
      </w:r>
      <w:r w:rsidRPr="009802E0">
        <w:rPr>
          <w:rFonts w:asciiTheme="minorEastAsia" w:eastAsiaTheme="minorEastAsia" w:hAnsiTheme="minorEastAsia"/>
        </w:rPr>
        <w:t>1</w:t>
      </w:r>
      <w:r w:rsidRPr="009802E0">
        <w:rPr>
          <w:rFonts w:asciiTheme="minorEastAsia" w:eastAsiaTheme="minorEastAsia" w:hAnsiTheme="minorEastAsia" w:hint="eastAsia"/>
        </w:rPr>
        <w:t>）差错已发生，但尚未给当事人造成损失时，</w:t>
      </w:r>
      <w:r w:rsidRPr="009802E0">
        <w:rPr>
          <w:rFonts w:asciiTheme="minorEastAsia" w:eastAsiaTheme="minorEastAsia" w:hAnsiTheme="minorEastAsia" w:hint="eastAsia"/>
          <w:kern w:val="0"/>
          <w:szCs w:val="21"/>
        </w:rPr>
        <w:t>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B43AC4" w:rsidRPr="009802E0" w:rsidRDefault="00B43AC4"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w:t>
      </w:r>
      <w:r w:rsidRPr="009802E0">
        <w:rPr>
          <w:rFonts w:asciiTheme="minorEastAsia" w:eastAsiaTheme="minorEastAsia" w:hAnsiTheme="minorEastAsia"/>
          <w:kern w:val="0"/>
          <w:szCs w:val="21"/>
        </w:rPr>
        <w:t>2</w:t>
      </w:r>
      <w:r w:rsidRPr="009802E0">
        <w:rPr>
          <w:rFonts w:asciiTheme="minorEastAsia" w:eastAsiaTheme="minorEastAsia" w:hAnsiTheme="minorEastAsia" w:hint="eastAsia"/>
          <w:kern w:val="0"/>
          <w:szCs w:val="21"/>
        </w:rPr>
        <w:t>）差错的责任方对可能导致有关当事人的直接损失负责，不对间接损失负责，并且仅对差错的有关直接当事人负责，不对第三方负责。</w:t>
      </w:r>
    </w:p>
    <w:p w:rsidR="00B43AC4" w:rsidRPr="009802E0" w:rsidRDefault="00B43AC4"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w:t>
      </w:r>
      <w:r w:rsidRPr="009802E0">
        <w:rPr>
          <w:rFonts w:asciiTheme="minorEastAsia" w:eastAsiaTheme="minorEastAsia" w:hAnsiTheme="minorEastAsia"/>
          <w:kern w:val="0"/>
          <w:szCs w:val="21"/>
        </w:rPr>
        <w:t>3</w:t>
      </w:r>
      <w:r w:rsidRPr="009802E0">
        <w:rPr>
          <w:rFonts w:asciiTheme="minorEastAsia" w:eastAsiaTheme="minorEastAsia" w:hAnsiTheme="minorEastAsia" w:hint="eastAsia"/>
          <w:kern w:val="0"/>
          <w:szCs w:val="21"/>
        </w:rPr>
        <w:t>）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B43AC4" w:rsidRPr="009802E0" w:rsidRDefault="00B43AC4"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w:t>
      </w:r>
      <w:r w:rsidRPr="009802E0">
        <w:rPr>
          <w:rFonts w:asciiTheme="minorEastAsia" w:eastAsiaTheme="minorEastAsia" w:hAnsiTheme="minorEastAsia"/>
          <w:kern w:val="0"/>
          <w:szCs w:val="21"/>
        </w:rPr>
        <w:t>4</w:t>
      </w:r>
      <w:r w:rsidRPr="009802E0">
        <w:rPr>
          <w:rFonts w:asciiTheme="minorEastAsia" w:eastAsiaTheme="minorEastAsia" w:hAnsiTheme="minorEastAsia" w:hint="eastAsia"/>
          <w:kern w:val="0"/>
          <w:szCs w:val="21"/>
        </w:rPr>
        <w:t>）差错调整采用尽量恢复至假设未发生差错的正确情形的方式。</w:t>
      </w:r>
    </w:p>
    <w:p w:rsidR="00B43AC4" w:rsidRPr="009802E0" w:rsidRDefault="00B43AC4"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w:t>
      </w:r>
      <w:r w:rsidRPr="009802E0">
        <w:rPr>
          <w:rFonts w:asciiTheme="minorEastAsia" w:eastAsiaTheme="minorEastAsia" w:hAnsiTheme="minorEastAsia"/>
          <w:kern w:val="0"/>
          <w:szCs w:val="21"/>
        </w:rPr>
        <w:t>5</w:t>
      </w:r>
      <w:r w:rsidRPr="009802E0">
        <w:rPr>
          <w:rFonts w:asciiTheme="minorEastAsia" w:eastAsiaTheme="minorEastAsia" w:hAnsiTheme="minorEastAsia" w:hint="eastAsia"/>
          <w:kern w:val="0"/>
          <w:szCs w:val="21"/>
        </w:rPr>
        <w:t>）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B43AC4" w:rsidRPr="009802E0" w:rsidRDefault="00B43AC4"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w:t>
      </w:r>
      <w:r w:rsidRPr="009802E0">
        <w:rPr>
          <w:rFonts w:asciiTheme="minorEastAsia" w:eastAsiaTheme="minorEastAsia" w:hAnsiTheme="minorEastAsia"/>
          <w:kern w:val="0"/>
          <w:szCs w:val="21"/>
        </w:rPr>
        <w:t>6</w:t>
      </w:r>
      <w:r w:rsidRPr="009802E0">
        <w:rPr>
          <w:rFonts w:asciiTheme="minorEastAsia" w:eastAsiaTheme="minorEastAsia" w:hAnsiTheme="minorEastAsia" w:hint="eastAsia"/>
          <w:kern w:val="0"/>
          <w:szCs w:val="21"/>
        </w:rPr>
        <w:t>）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rsidR="00B43AC4" w:rsidRPr="009802E0" w:rsidRDefault="00B43AC4"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w:t>
      </w:r>
      <w:r w:rsidRPr="009802E0">
        <w:rPr>
          <w:rFonts w:asciiTheme="minorEastAsia" w:eastAsiaTheme="minorEastAsia" w:hAnsiTheme="minorEastAsia"/>
          <w:kern w:val="0"/>
          <w:szCs w:val="21"/>
        </w:rPr>
        <w:t>7</w:t>
      </w:r>
      <w:r w:rsidRPr="009802E0">
        <w:rPr>
          <w:rFonts w:asciiTheme="minorEastAsia" w:eastAsiaTheme="minorEastAsia" w:hAnsiTheme="minorEastAsia" w:hint="eastAsia"/>
          <w:kern w:val="0"/>
          <w:szCs w:val="21"/>
        </w:rPr>
        <w:t>）按法律法规规定的其他原则处理差错。</w:t>
      </w:r>
    </w:p>
    <w:p w:rsidR="00B43AC4" w:rsidRPr="009802E0" w:rsidRDefault="00B43AC4"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kern w:val="0"/>
          <w:szCs w:val="21"/>
        </w:rPr>
        <w:t>3</w:t>
      </w:r>
      <w:r w:rsidR="004E552C"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差错处理程序</w:t>
      </w:r>
    </w:p>
    <w:p w:rsidR="00B43AC4" w:rsidRPr="009802E0" w:rsidRDefault="00B43AC4"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差错被发现后，有关的当事人应当及时进行处理，处理的程序如下：</w:t>
      </w:r>
    </w:p>
    <w:p w:rsidR="00B43AC4" w:rsidRPr="009802E0" w:rsidRDefault="00B43AC4"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w:t>
      </w:r>
      <w:r w:rsidRPr="009802E0">
        <w:rPr>
          <w:rFonts w:asciiTheme="minorEastAsia" w:eastAsiaTheme="minorEastAsia" w:hAnsiTheme="minorEastAsia"/>
          <w:kern w:val="0"/>
          <w:szCs w:val="21"/>
        </w:rPr>
        <w:t>1</w:t>
      </w:r>
      <w:r w:rsidRPr="009802E0">
        <w:rPr>
          <w:rFonts w:asciiTheme="minorEastAsia" w:eastAsiaTheme="minorEastAsia" w:hAnsiTheme="minorEastAsia" w:hint="eastAsia"/>
          <w:kern w:val="0"/>
          <w:szCs w:val="21"/>
        </w:rPr>
        <w:t>）查明差错发生的原因，列明所有的当事人，并根据差错发生的原因确定差错的责任方；</w:t>
      </w:r>
    </w:p>
    <w:p w:rsidR="00B43AC4" w:rsidRPr="009802E0" w:rsidRDefault="00B43AC4"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lastRenderedPageBreak/>
        <w:t>（</w:t>
      </w:r>
      <w:r w:rsidRPr="009802E0">
        <w:rPr>
          <w:rFonts w:asciiTheme="minorEastAsia" w:eastAsiaTheme="minorEastAsia" w:hAnsiTheme="minorEastAsia"/>
          <w:kern w:val="0"/>
          <w:szCs w:val="21"/>
        </w:rPr>
        <w:t>2</w:t>
      </w:r>
      <w:r w:rsidRPr="009802E0">
        <w:rPr>
          <w:rFonts w:asciiTheme="minorEastAsia" w:eastAsiaTheme="minorEastAsia" w:hAnsiTheme="minorEastAsia" w:hint="eastAsia"/>
          <w:kern w:val="0"/>
          <w:szCs w:val="21"/>
        </w:rPr>
        <w:t>）根据差错处理原则或当事人协商的方法对因差错造成的损失进行评估；</w:t>
      </w:r>
    </w:p>
    <w:p w:rsidR="00B43AC4" w:rsidRPr="009802E0" w:rsidRDefault="00B43AC4"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w:t>
      </w:r>
      <w:r w:rsidRPr="009802E0">
        <w:rPr>
          <w:rFonts w:asciiTheme="minorEastAsia" w:eastAsiaTheme="minorEastAsia" w:hAnsiTheme="minorEastAsia"/>
          <w:kern w:val="0"/>
          <w:szCs w:val="21"/>
        </w:rPr>
        <w:t>3</w:t>
      </w:r>
      <w:r w:rsidRPr="009802E0">
        <w:rPr>
          <w:rFonts w:asciiTheme="minorEastAsia" w:eastAsiaTheme="minorEastAsia" w:hAnsiTheme="minorEastAsia" w:hint="eastAsia"/>
          <w:kern w:val="0"/>
          <w:szCs w:val="21"/>
        </w:rPr>
        <w:t>）根据差错处理原则或当事人协商的方法由差错的责任方进行更正和赔偿损失；</w:t>
      </w:r>
    </w:p>
    <w:p w:rsidR="00B43AC4" w:rsidRPr="009802E0" w:rsidRDefault="00B43AC4"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w:t>
      </w:r>
      <w:r w:rsidRPr="009802E0">
        <w:rPr>
          <w:rFonts w:asciiTheme="minorEastAsia" w:eastAsiaTheme="minorEastAsia" w:hAnsiTheme="minorEastAsia"/>
          <w:kern w:val="0"/>
          <w:szCs w:val="21"/>
        </w:rPr>
        <w:t>4</w:t>
      </w:r>
      <w:r w:rsidRPr="009802E0">
        <w:rPr>
          <w:rFonts w:asciiTheme="minorEastAsia" w:eastAsiaTheme="minorEastAsia" w:hAnsiTheme="minorEastAsia" w:hint="eastAsia"/>
          <w:kern w:val="0"/>
          <w:szCs w:val="21"/>
        </w:rPr>
        <w:t>）根据差错处理的方法，需要修改基金</w:t>
      </w:r>
      <w:r w:rsidR="00BD0464" w:rsidRPr="009802E0">
        <w:rPr>
          <w:rFonts w:asciiTheme="minorEastAsia" w:eastAsiaTheme="minorEastAsia" w:hAnsiTheme="minorEastAsia" w:hint="eastAsia"/>
          <w:kern w:val="0"/>
          <w:szCs w:val="21"/>
        </w:rPr>
        <w:t>注册登记机构</w:t>
      </w:r>
      <w:r w:rsidRPr="009802E0">
        <w:rPr>
          <w:rFonts w:asciiTheme="minorEastAsia" w:eastAsiaTheme="minorEastAsia" w:hAnsiTheme="minorEastAsia" w:hint="eastAsia"/>
          <w:kern w:val="0"/>
          <w:szCs w:val="21"/>
        </w:rPr>
        <w:t>的交易数据的，由基金</w:t>
      </w:r>
      <w:r w:rsidR="00BD0464" w:rsidRPr="009802E0">
        <w:rPr>
          <w:rFonts w:asciiTheme="minorEastAsia" w:eastAsiaTheme="minorEastAsia" w:hAnsiTheme="minorEastAsia" w:hint="eastAsia"/>
          <w:kern w:val="0"/>
          <w:szCs w:val="21"/>
        </w:rPr>
        <w:t>注册登记机构</w:t>
      </w:r>
      <w:r w:rsidRPr="009802E0">
        <w:rPr>
          <w:rFonts w:asciiTheme="minorEastAsia" w:eastAsiaTheme="minorEastAsia" w:hAnsiTheme="minorEastAsia" w:hint="eastAsia"/>
          <w:kern w:val="0"/>
          <w:szCs w:val="21"/>
        </w:rPr>
        <w:t>进行更正，并就差错的更正向有关当事人进行确认；</w:t>
      </w:r>
    </w:p>
    <w:p w:rsidR="00B43AC4" w:rsidRPr="009802E0" w:rsidRDefault="00B43AC4"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w:t>
      </w:r>
      <w:r w:rsidRPr="009802E0">
        <w:rPr>
          <w:rFonts w:asciiTheme="minorEastAsia" w:eastAsiaTheme="minorEastAsia" w:hAnsiTheme="minorEastAsia"/>
          <w:kern w:val="0"/>
          <w:szCs w:val="21"/>
        </w:rPr>
        <w:t>5</w:t>
      </w:r>
      <w:r w:rsidRPr="009802E0">
        <w:rPr>
          <w:rFonts w:asciiTheme="minorEastAsia" w:eastAsiaTheme="minorEastAsia" w:hAnsiTheme="minorEastAsia" w:hint="eastAsia"/>
          <w:kern w:val="0"/>
          <w:szCs w:val="21"/>
        </w:rPr>
        <w:t>）基金管理人及基金托管人基金份额净值计算错误偏差达到基金份额净值的</w:t>
      </w:r>
      <w:r w:rsidRPr="009802E0">
        <w:rPr>
          <w:rFonts w:asciiTheme="minorEastAsia" w:eastAsiaTheme="minorEastAsia" w:hAnsiTheme="minorEastAsia"/>
          <w:kern w:val="0"/>
          <w:szCs w:val="21"/>
        </w:rPr>
        <w:t>0.</w:t>
      </w:r>
      <w:r w:rsidRPr="009802E0">
        <w:rPr>
          <w:rFonts w:asciiTheme="minorEastAsia" w:eastAsiaTheme="minorEastAsia" w:hAnsiTheme="minorEastAsia" w:hint="eastAsia"/>
          <w:kern w:val="0"/>
          <w:szCs w:val="21"/>
        </w:rPr>
        <w:t>2</w:t>
      </w:r>
      <w:r w:rsidRPr="009802E0">
        <w:rPr>
          <w:rFonts w:asciiTheme="minorEastAsia" w:eastAsiaTheme="minorEastAsia" w:hAnsiTheme="minorEastAsia"/>
          <w:kern w:val="0"/>
          <w:szCs w:val="21"/>
        </w:rPr>
        <w:t>5%</w:t>
      </w:r>
      <w:r w:rsidRPr="009802E0">
        <w:rPr>
          <w:rFonts w:asciiTheme="minorEastAsia" w:eastAsiaTheme="minorEastAsia" w:hAnsiTheme="minorEastAsia" w:hint="eastAsia"/>
          <w:kern w:val="0"/>
          <w:szCs w:val="21"/>
        </w:rPr>
        <w:t>时，基金管理人应当报告中国证监会；基金管理人及基金托管人基金份额净值计算错误偏差达到基金份额净值的</w:t>
      </w:r>
      <w:r w:rsidRPr="009802E0">
        <w:rPr>
          <w:rFonts w:asciiTheme="minorEastAsia" w:eastAsiaTheme="minorEastAsia" w:hAnsiTheme="minorEastAsia"/>
          <w:kern w:val="0"/>
          <w:szCs w:val="21"/>
        </w:rPr>
        <w:t>0.5%</w:t>
      </w:r>
      <w:r w:rsidRPr="009802E0">
        <w:rPr>
          <w:rFonts w:asciiTheme="minorEastAsia" w:eastAsiaTheme="minorEastAsia" w:hAnsiTheme="minorEastAsia" w:hint="eastAsia"/>
          <w:kern w:val="0"/>
          <w:szCs w:val="21"/>
        </w:rPr>
        <w:t>时，基金管理人应当公告并报中国证监会备案。</w:t>
      </w:r>
    </w:p>
    <w:p w:rsidR="00B43AC4" w:rsidRPr="009802E0" w:rsidRDefault="00B43AC4" w:rsidP="00FE018D">
      <w:pPr>
        <w:pStyle w:val="22"/>
        <w:adjustRightInd w:val="0"/>
        <w:snapToGrid w:val="0"/>
        <w:spacing w:beforeLines="0" w:afterLines="0" w:line="360" w:lineRule="auto"/>
        <w:ind w:firstLineChars="0" w:firstLine="420"/>
        <w:rPr>
          <w:rFonts w:asciiTheme="minorEastAsia" w:eastAsiaTheme="minorEastAsia" w:hAnsiTheme="minorEastAsia"/>
          <w:b w:val="0"/>
        </w:rPr>
      </w:pPr>
      <w:bookmarkStart w:id="121" w:name="_Toc43301942"/>
      <w:r w:rsidRPr="009802E0">
        <w:rPr>
          <w:rFonts w:asciiTheme="minorEastAsia" w:eastAsiaTheme="minorEastAsia" w:hAnsiTheme="minorEastAsia" w:hint="eastAsia"/>
          <w:b w:val="0"/>
        </w:rPr>
        <w:t>（七）暂停估值的情形</w:t>
      </w:r>
      <w:bookmarkEnd w:id="121"/>
    </w:p>
    <w:p w:rsidR="00B43AC4" w:rsidRPr="009802E0" w:rsidRDefault="00B43AC4"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w:t>
      </w:r>
      <w:r w:rsidR="004E552C"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与本基金投资有关的证券交易场所遇法定节假日或因其他原因</w:t>
      </w:r>
      <w:r w:rsidR="005D1CAD" w:rsidRPr="009802E0">
        <w:rPr>
          <w:rFonts w:asciiTheme="minorEastAsia" w:eastAsiaTheme="minorEastAsia" w:hAnsiTheme="minorEastAsia" w:hint="eastAsia"/>
          <w:kern w:val="0"/>
          <w:szCs w:val="21"/>
        </w:rPr>
        <w:t>停市</w:t>
      </w:r>
      <w:r w:rsidRPr="009802E0">
        <w:rPr>
          <w:rFonts w:asciiTheme="minorEastAsia" w:eastAsiaTheme="minorEastAsia" w:hAnsiTheme="minorEastAsia" w:hint="eastAsia"/>
          <w:kern w:val="0"/>
          <w:szCs w:val="21"/>
        </w:rPr>
        <w:t>时；</w:t>
      </w:r>
    </w:p>
    <w:p w:rsidR="00B43AC4" w:rsidRPr="009802E0" w:rsidRDefault="00B43AC4"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w:t>
      </w:r>
      <w:r w:rsidR="004E552C"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因不可抗力或其他情形致使基金管理人无法准确评估基金资产价值时；</w:t>
      </w:r>
    </w:p>
    <w:p w:rsidR="00A10BE0" w:rsidRPr="009802E0" w:rsidRDefault="00B43AC4"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3</w:t>
      </w:r>
      <w:r w:rsidR="004E552C" w:rsidRPr="009802E0">
        <w:rPr>
          <w:rFonts w:asciiTheme="minorEastAsia" w:eastAsiaTheme="minorEastAsia" w:hAnsiTheme="minorEastAsia" w:hint="eastAsia"/>
          <w:kern w:val="0"/>
          <w:szCs w:val="21"/>
        </w:rPr>
        <w:t>、</w:t>
      </w:r>
      <w:r w:rsidR="00A10BE0" w:rsidRPr="009802E0">
        <w:rPr>
          <w:rFonts w:asciiTheme="minorEastAsia" w:eastAsiaTheme="minorEastAsia" w:hAnsiTheme="minorEastAsia" w:hint="eastAsia"/>
          <w:kern w:val="0"/>
          <w:szCs w:val="21"/>
        </w:rPr>
        <w:t>当前一估值日基金资产净值50%以上的资产出现无可参考的活跃市场价格且采用估值技术仍导致公允价值存在重大不确定性时，经与基金托管人协商一致的；</w:t>
      </w:r>
    </w:p>
    <w:p w:rsidR="00B43AC4" w:rsidRPr="009802E0" w:rsidRDefault="00A10BE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4</w:t>
      </w:r>
      <w:r w:rsidRPr="009802E0">
        <w:rPr>
          <w:rFonts w:asciiTheme="minorEastAsia" w:eastAsiaTheme="minorEastAsia" w:hAnsiTheme="minorEastAsia"/>
          <w:kern w:val="0"/>
          <w:szCs w:val="21"/>
        </w:rPr>
        <w:t>、</w:t>
      </w:r>
      <w:r w:rsidR="00B43AC4" w:rsidRPr="009802E0">
        <w:rPr>
          <w:rFonts w:asciiTheme="minorEastAsia" w:eastAsiaTheme="minorEastAsia" w:hAnsiTheme="minorEastAsia" w:hint="eastAsia"/>
          <w:kern w:val="0"/>
          <w:szCs w:val="21"/>
        </w:rPr>
        <w:t>中国证监会认定的其他情形。</w:t>
      </w:r>
    </w:p>
    <w:p w:rsidR="00B43AC4" w:rsidRPr="009802E0" w:rsidRDefault="00B43AC4" w:rsidP="00FE018D">
      <w:pPr>
        <w:pStyle w:val="22"/>
        <w:adjustRightInd w:val="0"/>
        <w:snapToGrid w:val="0"/>
        <w:spacing w:beforeLines="0" w:afterLines="0" w:line="360" w:lineRule="auto"/>
        <w:ind w:firstLineChars="0" w:firstLine="420"/>
        <w:rPr>
          <w:rFonts w:asciiTheme="minorEastAsia" w:eastAsiaTheme="minorEastAsia" w:hAnsiTheme="minorEastAsia"/>
          <w:b w:val="0"/>
        </w:rPr>
      </w:pPr>
      <w:bookmarkStart w:id="122" w:name="_Toc43301943"/>
      <w:r w:rsidRPr="009802E0">
        <w:rPr>
          <w:rFonts w:asciiTheme="minorEastAsia" w:eastAsiaTheme="minorEastAsia" w:hAnsiTheme="minorEastAsia" w:hint="eastAsia"/>
          <w:b w:val="0"/>
        </w:rPr>
        <w:t>（八）特殊情形的处理</w:t>
      </w:r>
      <w:bookmarkEnd w:id="122"/>
    </w:p>
    <w:p w:rsidR="00B43AC4" w:rsidRPr="009802E0" w:rsidRDefault="00B43AC4"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w:t>
      </w:r>
      <w:r w:rsidR="004E552C"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基金管理人按估值方法的第6项进行估值时，所造成的误差不作为基金资产估值错误处理；</w:t>
      </w:r>
    </w:p>
    <w:p w:rsidR="00B43AC4" w:rsidRPr="009802E0" w:rsidRDefault="00B43AC4"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w:t>
      </w:r>
      <w:r w:rsidR="004E552C"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由于证券交易所及其</w:t>
      </w:r>
      <w:r w:rsidR="008D0420" w:rsidRPr="009802E0">
        <w:rPr>
          <w:rFonts w:asciiTheme="minorEastAsia" w:eastAsiaTheme="minorEastAsia" w:hAnsiTheme="minorEastAsia" w:hint="eastAsia"/>
          <w:kern w:val="0"/>
          <w:szCs w:val="21"/>
        </w:rPr>
        <w:t>注册登记</w:t>
      </w:r>
      <w:r w:rsidRPr="009802E0">
        <w:rPr>
          <w:rFonts w:asciiTheme="minorEastAsia" w:eastAsiaTheme="minorEastAsia" w:hAnsiTheme="minorEastAsia" w:hint="eastAsia"/>
          <w:kern w:val="0"/>
          <w:szCs w:val="21"/>
        </w:rPr>
        <w:t>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rsidR="00B43AC4" w:rsidRPr="009802E0" w:rsidRDefault="00B43AC4" w:rsidP="00FE018D">
      <w:pPr>
        <w:adjustRightInd w:val="0"/>
        <w:snapToGrid w:val="0"/>
        <w:spacing w:line="360" w:lineRule="auto"/>
        <w:ind w:firstLine="181"/>
        <w:rPr>
          <w:rFonts w:asciiTheme="minorEastAsia" w:eastAsiaTheme="minorEastAsia" w:hAnsiTheme="minorEastAsia"/>
        </w:rPr>
      </w:pPr>
    </w:p>
    <w:p w:rsidR="00B43AC4" w:rsidRPr="009802E0" w:rsidRDefault="00B43AC4" w:rsidP="00FE018D">
      <w:pPr>
        <w:pStyle w:val="1"/>
        <w:adjustRightInd w:val="0"/>
        <w:snapToGrid w:val="0"/>
        <w:spacing w:beforeLines="0" w:afterLines="0" w:line="360" w:lineRule="auto"/>
        <w:ind w:firstLine="600"/>
        <w:rPr>
          <w:rFonts w:asciiTheme="minorEastAsia" w:eastAsiaTheme="minorEastAsia" w:hAnsiTheme="minorEastAsia"/>
          <w:b/>
          <w:bCs/>
        </w:rPr>
      </w:pPr>
      <w:r w:rsidRPr="009802E0">
        <w:rPr>
          <w:rFonts w:asciiTheme="minorEastAsia" w:eastAsiaTheme="minorEastAsia" w:hAnsiTheme="minorEastAsia"/>
          <w:sz w:val="30"/>
        </w:rPr>
        <w:br w:type="column"/>
      </w:r>
      <w:bookmarkStart w:id="123" w:name="_Toc43301944"/>
      <w:r w:rsidR="00C63890" w:rsidRPr="009802E0">
        <w:rPr>
          <w:rFonts w:asciiTheme="minorEastAsia" w:eastAsiaTheme="minorEastAsia" w:hAnsiTheme="minorEastAsia" w:hint="eastAsia"/>
          <w:b/>
          <w:sz w:val="30"/>
        </w:rPr>
        <w:lastRenderedPageBreak/>
        <w:t>十五</w:t>
      </w:r>
      <w:r w:rsidRPr="009802E0">
        <w:rPr>
          <w:rFonts w:asciiTheme="minorEastAsia" w:eastAsiaTheme="minorEastAsia" w:hAnsiTheme="minorEastAsia" w:hint="eastAsia"/>
          <w:b/>
          <w:sz w:val="30"/>
        </w:rPr>
        <w:t>、基金的收益分配</w:t>
      </w:r>
      <w:bookmarkEnd w:id="123"/>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rPr>
      </w:pPr>
      <w:bookmarkStart w:id="124" w:name="_Toc43301945"/>
      <w:r w:rsidRPr="009802E0">
        <w:rPr>
          <w:rFonts w:asciiTheme="minorEastAsia" w:eastAsiaTheme="minorEastAsia" w:hAnsiTheme="minorEastAsia" w:hint="eastAsia"/>
          <w:b w:val="0"/>
        </w:rPr>
        <w:t>（一）基金利润的构成</w:t>
      </w:r>
      <w:bookmarkEnd w:id="124"/>
    </w:p>
    <w:p w:rsidR="00B43AC4" w:rsidRPr="009802E0" w:rsidRDefault="00B43AC4"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基金利润指基金利息收入、投资收益、公允价值变动收益和其他收入扣除相关费用后的余额，基金已实现收益指基金利润减去公允价值变动收益后的余额。</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rPr>
      </w:pPr>
      <w:bookmarkStart w:id="125" w:name="_Toc43301946"/>
      <w:r w:rsidRPr="009802E0">
        <w:rPr>
          <w:rFonts w:asciiTheme="minorEastAsia" w:eastAsiaTheme="minorEastAsia" w:hAnsiTheme="minorEastAsia" w:hint="eastAsia"/>
          <w:b w:val="0"/>
        </w:rPr>
        <w:t>（二）基金可供分配利润</w:t>
      </w:r>
      <w:bookmarkEnd w:id="125"/>
    </w:p>
    <w:p w:rsidR="00D818E1" w:rsidRPr="009802E0" w:rsidRDefault="00D818E1"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基金可供分配利润指截至收益分配基准日资产负债表中基金未分配利润与未分配利润中已实现收益的孰低数。</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rPr>
      </w:pPr>
      <w:bookmarkStart w:id="126" w:name="_Toc43301947"/>
      <w:r w:rsidRPr="009802E0">
        <w:rPr>
          <w:rFonts w:asciiTheme="minorEastAsia" w:eastAsiaTheme="minorEastAsia" w:hAnsiTheme="minorEastAsia" w:hint="eastAsia"/>
          <w:b w:val="0"/>
        </w:rPr>
        <w:t>（三）收益分配原则</w:t>
      </w:r>
      <w:bookmarkEnd w:id="126"/>
    </w:p>
    <w:p w:rsidR="00D818E1" w:rsidRPr="009802E0" w:rsidRDefault="00D818E1"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w:t>
      </w:r>
      <w:r w:rsidR="004E552C"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由于本基金A类基金份额不收取销售服务费，而B类基金份额收取销售服务费，各基金份额类别对应的可分配收益将有所不同。本基金同一类别的每一基金份额享有同等分配权；</w:t>
      </w:r>
    </w:p>
    <w:p w:rsidR="00D818E1" w:rsidRPr="009802E0" w:rsidRDefault="00D818E1"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w:t>
      </w:r>
      <w:r w:rsidR="004E552C"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在符合有关基金分红条件的前提下，本基金每年收益分配次数最多为12次，每份基金份额每次收益分配比例不得低于</w:t>
      </w:r>
      <w:r w:rsidRPr="009802E0">
        <w:rPr>
          <w:rFonts w:asciiTheme="minorEastAsia" w:eastAsiaTheme="minorEastAsia" w:hAnsiTheme="minorEastAsia"/>
          <w:kern w:val="0"/>
          <w:szCs w:val="21"/>
        </w:rPr>
        <w:t>收益分配基准日</w:t>
      </w:r>
      <w:r w:rsidRPr="009802E0">
        <w:rPr>
          <w:rFonts w:asciiTheme="minorEastAsia" w:eastAsiaTheme="minorEastAsia" w:hAnsiTheme="minorEastAsia" w:hint="eastAsia"/>
          <w:kern w:val="0"/>
          <w:szCs w:val="21"/>
        </w:rPr>
        <w:t>每份基金份额可供分配利润的60%，若《基金合同》生效不满3个月可不进行收益分配；</w:t>
      </w:r>
    </w:p>
    <w:p w:rsidR="00D818E1" w:rsidRPr="009802E0" w:rsidRDefault="00D818E1"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3</w:t>
      </w:r>
      <w:r w:rsidR="004E552C"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本基金收益分配方式分两种：现金分红与红利再投资，投资者可选择现金红利或将现金红利自动转为基金份额进行再投资；若投资者不选择，本基金默认的收益分配方式是现金分红；</w:t>
      </w:r>
    </w:p>
    <w:p w:rsidR="00D818E1" w:rsidRPr="009802E0" w:rsidRDefault="00D818E1"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4</w:t>
      </w:r>
      <w:r w:rsidR="004E552C"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基金收益分配基准日的基金份额净值减去每单位基金份额收益分配金额后不能低于面值；</w:t>
      </w:r>
    </w:p>
    <w:p w:rsidR="00D818E1" w:rsidRPr="009802E0" w:rsidRDefault="00D818E1"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5</w:t>
      </w:r>
      <w:r w:rsidR="004E552C"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本基金收益分配的发放日距离收益分配基准日的时间不超过15个工作日；</w:t>
      </w:r>
    </w:p>
    <w:p w:rsidR="00D818E1" w:rsidRPr="009802E0" w:rsidRDefault="00D818E1"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6</w:t>
      </w:r>
      <w:r w:rsidR="004E552C"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法律法规或监管机关另有规定的，从其规定。</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rPr>
      </w:pPr>
      <w:bookmarkStart w:id="127" w:name="_Toc43301948"/>
      <w:r w:rsidRPr="009802E0">
        <w:rPr>
          <w:rFonts w:asciiTheme="minorEastAsia" w:eastAsiaTheme="minorEastAsia" w:hAnsiTheme="minorEastAsia" w:hint="eastAsia"/>
          <w:b w:val="0"/>
        </w:rPr>
        <w:t>（四）收益分配方案</w:t>
      </w:r>
      <w:bookmarkEnd w:id="127"/>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szCs w:val="21"/>
        </w:rPr>
        <w:t>基金收益分配方案中应载明</w:t>
      </w:r>
      <w:r w:rsidRPr="009802E0">
        <w:rPr>
          <w:rFonts w:asciiTheme="minorEastAsia" w:eastAsiaTheme="minorEastAsia" w:hAnsiTheme="minorEastAsia" w:hint="eastAsia"/>
          <w:szCs w:val="21"/>
        </w:rPr>
        <w:t>截止收益分配基准日的可供分配利润</w:t>
      </w:r>
      <w:r w:rsidRPr="009802E0">
        <w:rPr>
          <w:rFonts w:asciiTheme="minorEastAsia" w:eastAsiaTheme="minorEastAsia" w:hAnsiTheme="minorEastAsia"/>
          <w:szCs w:val="21"/>
        </w:rPr>
        <w:t>、基金收益分配对象、分配时间、分配数额及比例、分配方式等内容。</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rPr>
      </w:pPr>
      <w:bookmarkStart w:id="128" w:name="_Toc43301949"/>
      <w:r w:rsidRPr="009802E0">
        <w:rPr>
          <w:rFonts w:asciiTheme="minorEastAsia" w:eastAsiaTheme="minorEastAsia" w:hAnsiTheme="minorEastAsia" w:hint="eastAsia"/>
          <w:b w:val="0"/>
        </w:rPr>
        <w:t>（五）收益分配方案的确定、公告与实施</w:t>
      </w:r>
      <w:bookmarkEnd w:id="128"/>
    </w:p>
    <w:p w:rsidR="00D818E1" w:rsidRPr="009802E0" w:rsidRDefault="00D818E1"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本基金收益分配方案由基金管理人拟定，并由基金托管人复核，在至少一家</w:t>
      </w:r>
      <w:r w:rsidR="004E4473" w:rsidRPr="009802E0">
        <w:rPr>
          <w:rFonts w:asciiTheme="minorEastAsia" w:eastAsiaTheme="minorEastAsia" w:hAnsiTheme="minorEastAsia" w:hint="eastAsia"/>
          <w:kern w:val="0"/>
          <w:szCs w:val="21"/>
        </w:rPr>
        <w:t>指定媒介</w:t>
      </w:r>
      <w:r w:rsidRPr="009802E0">
        <w:rPr>
          <w:rFonts w:asciiTheme="minorEastAsia" w:eastAsiaTheme="minorEastAsia" w:hAnsiTheme="minorEastAsia" w:hint="eastAsia"/>
          <w:kern w:val="0"/>
          <w:szCs w:val="21"/>
        </w:rPr>
        <w:t>公告。</w:t>
      </w:r>
    </w:p>
    <w:p w:rsidR="00D818E1" w:rsidRPr="009802E0" w:rsidRDefault="00D818E1"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法律法规或监管机关另有规定的，从其规定。</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rPr>
      </w:pPr>
      <w:bookmarkStart w:id="129" w:name="_Toc43301950"/>
      <w:r w:rsidRPr="009802E0">
        <w:rPr>
          <w:rFonts w:asciiTheme="minorEastAsia" w:eastAsiaTheme="minorEastAsia" w:hAnsiTheme="minorEastAsia" w:hint="eastAsia"/>
          <w:b w:val="0"/>
        </w:rPr>
        <w:t>（六）收益分配中发生的费用</w:t>
      </w:r>
      <w:bookmarkEnd w:id="129"/>
    </w:p>
    <w:p w:rsidR="009C0E15" w:rsidRPr="009802E0" w:rsidRDefault="00D818E1" w:rsidP="00FE018D">
      <w:pPr>
        <w:adjustRightInd w:val="0"/>
        <w:snapToGrid w:val="0"/>
        <w:spacing w:line="360" w:lineRule="auto"/>
        <w:ind w:firstLine="420"/>
        <w:jc w:val="center"/>
        <w:rPr>
          <w:rFonts w:asciiTheme="minorEastAsia" w:eastAsiaTheme="minorEastAsia" w:hAnsiTheme="minorEastAsia"/>
          <w:szCs w:val="21"/>
        </w:rPr>
      </w:pPr>
      <w:r w:rsidRPr="009802E0">
        <w:rPr>
          <w:rFonts w:asciiTheme="minorEastAsia" w:eastAsiaTheme="minorEastAsia" w:hAnsiTheme="minorEastAsia" w:hint="eastAsia"/>
          <w:kern w:val="0"/>
          <w:szCs w:val="21"/>
        </w:rPr>
        <w:t>基金收益分配时所发生的银行转账或其他手续费用由投资者自行承担。当投资者的现金红利小于一定金额，不足于支付银行转账或其他手续费用时，基金注册登记机构可将基金份额持有人的现金红利自动转为基金份额。红利再投资的计算方法，依照《业务规则》执行。</w:t>
      </w:r>
      <w:r w:rsidR="00B43AC4" w:rsidRPr="009802E0">
        <w:rPr>
          <w:rFonts w:asciiTheme="minorEastAsia" w:eastAsiaTheme="minorEastAsia" w:hAnsiTheme="minorEastAsia"/>
          <w:szCs w:val="21"/>
        </w:rPr>
        <w:br w:type="column"/>
      </w:r>
    </w:p>
    <w:p w:rsidR="00B43AC4" w:rsidRPr="009802E0" w:rsidRDefault="00C63890" w:rsidP="009C0E15">
      <w:pPr>
        <w:pStyle w:val="1"/>
        <w:adjustRightInd w:val="0"/>
        <w:snapToGrid w:val="0"/>
        <w:spacing w:beforeLines="0" w:afterLines="0" w:line="360" w:lineRule="auto"/>
        <w:ind w:firstLine="602"/>
        <w:rPr>
          <w:rFonts w:asciiTheme="minorEastAsia" w:eastAsiaTheme="minorEastAsia" w:hAnsiTheme="minorEastAsia"/>
          <w:b/>
          <w:sz w:val="30"/>
        </w:rPr>
      </w:pPr>
      <w:bookmarkStart w:id="130" w:name="_Toc43301951"/>
      <w:r w:rsidRPr="009802E0">
        <w:rPr>
          <w:rFonts w:asciiTheme="minorEastAsia" w:eastAsiaTheme="minorEastAsia" w:hAnsiTheme="minorEastAsia" w:hint="eastAsia"/>
          <w:b/>
          <w:sz w:val="30"/>
        </w:rPr>
        <w:t>十六</w:t>
      </w:r>
      <w:r w:rsidR="00B43AC4" w:rsidRPr="009802E0">
        <w:rPr>
          <w:rFonts w:asciiTheme="minorEastAsia" w:eastAsiaTheme="minorEastAsia" w:hAnsiTheme="minorEastAsia" w:hint="eastAsia"/>
          <w:b/>
          <w:sz w:val="30"/>
        </w:rPr>
        <w:t>、基金的费用与税收</w:t>
      </w:r>
      <w:bookmarkEnd w:id="130"/>
    </w:p>
    <w:p w:rsidR="005C1A5D" w:rsidRPr="009802E0" w:rsidRDefault="005C1A5D" w:rsidP="00FE018D">
      <w:pPr>
        <w:pStyle w:val="22"/>
        <w:adjustRightInd w:val="0"/>
        <w:snapToGrid w:val="0"/>
        <w:spacing w:beforeLines="0" w:afterLines="0" w:line="360" w:lineRule="auto"/>
        <w:ind w:firstLineChars="0" w:firstLine="0"/>
        <w:rPr>
          <w:rFonts w:asciiTheme="minorEastAsia" w:eastAsiaTheme="minorEastAsia" w:hAnsiTheme="minorEastAsia"/>
          <w:b w:val="0"/>
        </w:rPr>
      </w:pPr>
      <w:bookmarkStart w:id="131" w:name="_Toc84149669"/>
      <w:bookmarkStart w:id="132" w:name="_Toc86584633"/>
      <w:bookmarkStart w:id="133" w:name="_Toc294686170"/>
      <w:bookmarkStart w:id="134" w:name="_Toc43301952"/>
      <w:r w:rsidRPr="009802E0">
        <w:rPr>
          <w:rFonts w:asciiTheme="minorEastAsia" w:eastAsiaTheme="minorEastAsia" w:hAnsiTheme="minorEastAsia" w:hint="eastAsia"/>
          <w:b w:val="0"/>
        </w:rPr>
        <w:t>（一）与基金运作相关的费用</w:t>
      </w:r>
      <w:bookmarkEnd w:id="131"/>
      <w:bookmarkEnd w:id="132"/>
      <w:bookmarkEnd w:id="133"/>
      <w:bookmarkEnd w:id="134"/>
    </w:p>
    <w:p w:rsidR="005C1A5D" w:rsidRPr="009802E0" w:rsidRDefault="004E552C" w:rsidP="00FE018D">
      <w:pPr>
        <w:adjustRightInd w:val="0"/>
        <w:snapToGrid w:val="0"/>
        <w:spacing w:line="360" w:lineRule="auto"/>
        <w:ind w:firstLine="420"/>
        <w:rPr>
          <w:rFonts w:asciiTheme="minorEastAsia" w:eastAsiaTheme="minorEastAsia" w:hAnsiTheme="minorEastAsia"/>
        </w:rPr>
      </w:pPr>
      <w:r w:rsidRPr="009802E0">
        <w:rPr>
          <w:rFonts w:asciiTheme="minorEastAsia" w:eastAsiaTheme="minorEastAsia" w:hAnsiTheme="minorEastAsia" w:hint="eastAsia"/>
        </w:rPr>
        <w:t>1、</w:t>
      </w:r>
      <w:r w:rsidR="005C1A5D" w:rsidRPr="009802E0">
        <w:rPr>
          <w:rFonts w:asciiTheme="minorEastAsia" w:eastAsiaTheme="minorEastAsia" w:hAnsiTheme="minorEastAsia" w:hint="eastAsia"/>
        </w:rPr>
        <w:t>基金费用的种类</w:t>
      </w:r>
    </w:p>
    <w:p w:rsidR="005C1A5D" w:rsidRPr="009802E0" w:rsidRDefault="005C1A5D" w:rsidP="00FE018D">
      <w:pPr>
        <w:adjustRightInd w:val="0"/>
        <w:snapToGrid w:val="0"/>
        <w:spacing w:line="360" w:lineRule="auto"/>
        <w:ind w:firstLine="420"/>
        <w:rPr>
          <w:rFonts w:asciiTheme="minorEastAsia" w:eastAsiaTheme="minorEastAsia" w:hAnsiTheme="minorEastAsia"/>
        </w:rPr>
      </w:pPr>
      <w:r w:rsidRPr="009802E0">
        <w:rPr>
          <w:rFonts w:asciiTheme="minorEastAsia" w:eastAsiaTheme="minorEastAsia" w:hAnsiTheme="minorEastAsia" w:hint="eastAsia"/>
        </w:rPr>
        <w:t>(</w:t>
      </w:r>
      <w:r w:rsidRPr="009802E0">
        <w:rPr>
          <w:rFonts w:asciiTheme="minorEastAsia" w:eastAsiaTheme="minorEastAsia" w:hAnsiTheme="minorEastAsia"/>
        </w:rPr>
        <w:t>1</w:t>
      </w:r>
      <w:r w:rsidRPr="009802E0">
        <w:rPr>
          <w:rFonts w:asciiTheme="minorEastAsia" w:eastAsiaTheme="minorEastAsia" w:hAnsiTheme="minorEastAsia" w:hint="eastAsia"/>
        </w:rPr>
        <w:t>)基金管理人的管理费；</w:t>
      </w:r>
    </w:p>
    <w:p w:rsidR="005C1A5D" w:rsidRPr="009802E0" w:rsidRDefault="005C1A5D" w:rsidP="00FE018D">
      <w:pPr>
        <w:adjustRightInd w:val="0"/>
        <w:snapToGrid w:val="0"/>
        <w:spacing w:line="360" w:lineRule="auto"/>
        <w:ind w:firstLine="420"/>
        <w:rPr>
          <w:rFonts w:asciiTheme="minorEastAsia" w:eastAsiaTheme="minorEastAsia" w:hAnsiTheme="minorEastAsia"/>
        </w:rPr>
      </w:pPr>
      <w:r w:rsidRPr="009802E0">
        <w:rPr>
          <w:rFonts w:asciiTheme="minorEastAsia" w:eastAsiaTheme="minorEastAsia" w:hAnsiTheme="minorEastAsia" w:hint="eastAsia"/>
        </w:rPr>
        <w:t>(</w:t>
      </w:r>
      <w:r w:rsidRPr="009802E0">
        <w:rPr>
          <w:rFonts w:asciiTheme="minorEastAsia" w:eastAsiaTheme="minorEastAsia" w:hAnsiTheme="minorEastAsia"/>
        </w:rPr>
        <w:t>2</w:t>
      </w:r>
      <w:r w:rsidRPr="009802E0">
        <w:rPr>
          <w:rFonts w:asciiTheme="minorEastAsia" w:eastAsiaTheme="minorEastAsia" w:hAnsiTheme="minorEastAsia" w:hint="eastAsia"/>
        </w:rPr>
        <w:t>)基金托管人的托管费；</w:t>
      </w:r>
    </w:p>
    <w:p w:rsidR="005C1A5D" w:rsidRPr="009802E0" w:rsidRDefault="005C1A5D" w:rsidP="00FE018D">
      <w:pPr>
        <w:adjustRightInd w:val="0"/>
        <w:snapToGrid w:val="0"/>
        <w:spacing w:line="360" w:lineRule="auto"/>
        <w:ind w:firstLine="420"/>
        <w:rPr>
          <w:rFonts w:asciiTheme="minorEastAsia" w:eastAsiaTheme="minorEastAsia" w:hAnsiTheme="minorEastAsia"/>
        </w:rPr>
      </w:pPr>
      <w:r w:rsidRPr="009802E0">
        <w:rPr>
          <w:rFonts w:asciiTheme="minorEastAsia" w:eastAsiaTheme="minorEastAsia" w:hAnsiTheme="minorEastAsia" w:hint="eastAsia"/>
        </w:rPr>
        <w:t>(</w:t>
      </w:r>
      <w:r w:rsidRPr="009802E0">
        <w:rPr>
          <w:rFonts w:asciiTheme="minorEastAsia" w:eastAsiaTheme="minorEastAsia" w:hAnsiTheme="minorEastAsia"/>
        </w:rPr>
        <w:t>3</w:t>
      </w:r>
      <w:r w:rsidRPr="009802E0">
        <w:rPr>
          <w:rFonts w:asciiTheme="minorEastAsia" w:eastAsiaTheme="minorEastAsia" w:hAnsiTheme="minorEastAsia" w:hint="eastAsia"/>
        </w:rPr>
        <w:t>)从B类基金份额的基金财产中计提的销售服务费；</w:t>
      </w:r>
    </w:p>
    <w:p w:rsidR="005C1A5D" w:rsidRPr="009802E0" w:rsidRDefault="005C1A5D"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w:t>
      </w:r>
      <w:r w:rsidRPr="009802E0">
        <w:rPr>
          <w:rFonts w:asciiTheme="minorEastAsia" w:eastAsiaTheme="minorEastAsia" w:hAnsiTheme="minorEastAsia"/>
        </w:rPr>
        <w:t>4</w:t>
      </w:r>
      <w:r w:rsidRPr="009802E0">
        <w:rPr>
          <w:rFonts w:asciiTheme="minorEastAsia" w:eastAsiaTheme="minorEastAsia" w:hAnsiTheme="minorEastAsia" w:hint="eastAsia"/>
        </w:rPr>
        <w:t>)《基金合同》生效后与基金相关的信息披露费用；</w:t>
      </w:r>
    </w:p>
    <w:p w:rsidR="005C1A5D" w:rsidRPr="009802E0" w:rsidRDefault="005C1A5D"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w:t>
      </w:r>
      <w:r w:rsidRPr="009802E0">
        <w:rPr>
          <w:rFonts w:asciiTheme="minorEastAsia" w:eastAsiaTheme="minorEastAsia" w:hAnsiTheme="minorEastAsia"/>
        </w:rPr>
        <w:t>5</w:t>
      </w:r>
      <w:r w:rsidRPr="009802E0">
        <w:rPr>
          <w:rFonts w:asciiTheme="minorEastAsia" w:eastAsiaTheme="minorEastAsia" w:hAnsiTheme="minorEastAsia" w:hint="eastAsia"/>
        </w:rPr>
        <w:t>)《基金合同》生效后与基金相关的会计师费、律师费和诉讼费；</w:t>
      </w:r>
    </w:p>
    <w:p w:rsidR="005C1A5D" w:rsidRPr="009802E0" w:rsidRDefault="005C1A5D"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w:t>
      </w:r>
      <w:r w:rsidRPr="009802E0">
        <w:rPr>
          <w:rFonts w:asciiTheme="minorEastAsia" w:eastAsiaTheme="minorEastAsia" w:hAnsiTheme="minorEastAsia"/>
        </w:rPr>
        <w:t>6</w:t>
      </w:r>
      <w:r w:rsidRPr="009802E0">
        <w:rPr>
          <w:rFonts w:asciiTheme="minorEastAsia" w:eastAsiaTheme="minorEastAsia" w:hAnsiTheme="minorEastAsia" w:hint="eastAsia"/>
        </w:rPr>
        <w:t>)基金份额持有人大会费用；</w:t>
      </w:r>
    </w:p>
    <w:p w:rsidR="005C1A5D" w:rsidRPr="009802E0" w:rsidRDefault="005C1A5D"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w:t>
      </w:r>
      <w:r w:rsidRPr="009802E0">
        <w:rPr>
          <w:rFonts w:asciiTheme="minorEastAsia" w:eastAsiaTheme="minorEastAsia" w:hAnsiTheme="minorEastAsia"/>
        </w:rPr>
        <w:t>7</w:t>
      </w:r>
      <w:r w:rsidRPr="009802E0">
        <w:rPr>
          <w:rFonts w:asciiTheme="minorEastAsia" w:eastAsiaTheme="minorEastAsia" w:hAnsiTheme="minorEastAsia" w:hint="eastAsia"/>
        </w:rPr>
        <w:t>)基金的证券交易费用；</w:t>
      </w:r>
    </w:p>
    <w:p w:rsidR="005C1A5D" w:rsidRPr="009802E0" w:rsidRDefault="005C1A5D"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w:t>
      </w:r>
      <w:r w:rsidRPr="009802E0">
        <w:rPr>
          <w:rFonts w:asciiTheme="minorEastAsia" w:eastAsiaTheme="minorEastAsia" w:hAnsiTheme="minorEastAsia"/>
        </w:rPr>
        <w:t>8</w:t>
      </w:r>
      <w:r w:rsidRPr="009802E0">
        <w:rPr>
          <w:rFonts w:asciiTheme="minorEastAsia" w:eastAsiaTheme="minorEastAsia" w:hAnsiTheme="minorEastAsia" w:hint="eastAsia"/>
        </w:rPr>
        <w:t>)基金的银行汇划费用；</w:t>
      </w:r>
    </w:p>
    <w:p w:rsidR="005C1A5D" w:rsidRPr="009802E0" w:rsidRDefault="005C1A5D"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(9)按照国家有关规定和《基金合同》可以在基金财产中列支的其他费用。</w:t>
      </w:r>
    </w:p>
    <w:p w:rsidR="000F137B" w:rsidRPr="009802E0" w:rsidRDefault="000F137B"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本基金终止清算时所发生费用，按实际支出额从基金财产总值中扣除。</w:t>
      </w:r>
    </w:p>
    <w:p w:rsidR="005C1A5D" w:rsidRPr="009802E0" w:rsidRDefault="004E552C"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2、</w:t>
      </w:r>
      <w:r w:rsidR="005C1A5D" w:rsidRPr="009802E0">
        <w:rPr>
          <w:rFonts w:asciiTheme="minorEastAsia" w:eastAsiaTheme="minorEastAsia" w:hAnsiTheme="minorEastAsia" w:hint="eastAsia"/>
        </w:rPr>
        <w:t>基金费用计提方法、计提标准和支付方式</w:t>
      </w:r>
    </w:p>
    <w:p w:rsidR="00CA66C3" w:rsidRPr="009802E0" w:rsidRDefault="00CA66C3"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（1）基金管理人的管理费</w:t>
      </w:r>
    </w:p>
    <w:p w:rsidR="00CA66C3" w:rsidRPr="009802E0" w:rsidRDefault="00CA66C3"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本基金的管理费按前一日基金资产净值的0.70%年费率计提。管理费的计算方法如下：</w:t>
      </w:r>
    </w:p>
    <w:p w:rsidR="00CA66C3" w:rsidRPr="009802E0" w:rsidRDefault="00CA66C3"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H＝E×0.70%÷当年天数</w:t>
      </w:r>
    </w:p>
    <w:p w:rsidR="00CA66C3" w:rsidRPr="009802E0" w:rsidRDefault="00CA66C3"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H为每日应计提的基金管理费</w:t>
      </w:r>
    </w:p>
    <w:p w:rsidR="00CA66C3" w:rsidRPr="009802E0" w:rsidRDefault="00CA66C3"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E为前一日的基金资产净值</w:t>
      </w:r>
    </w:p>
    <w:p w:rsidR="00CA66C3" w:rsidRPr="009802E0" w:rsidRDefault="00CA66C3"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基金管理费每日计算，逐日累计至每月月末，按月支付，由基金管理人向基金托管人发送基金管理费划款指令，基金托管人复核后于次月首日起3个工作日内从基金财产中一次性支付给基金管理人。若遇法定节假日、公休假等,支付日期顺延。</w:t>
      </w:r>
    </w:p>
    <w:p w:rsidR="00CA66C3" w:rsidRPr="009802E0" w:rsidRDefault="00CA66C3"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（2）基金托管人的托管费</w:t>
      </w:r>
    </w:p>
    <w:p w:rsidR="00CA66C3" w:rsidRPr="009802E0" w:rsidRDefault="00CA66C3"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本基金的托管费按前一日基金资产净值的0.20%年费率计提。托管费的计算方法如下：</w:t>
      </w:r>
    </w:p>
    <w:p w:rsidR="00CA66C3" w:rsidRPr="009802E0" w:rsidRDefault="00CA66C3"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H＝E×0.20%÷当年天数</w:t>
      </w:r>
    </w:p>
    <w:p w:rsidR="00CA66C3" w:rsidRPr="009802E0" w:rsidRDefault="00CA66C3"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H为每日应计提的基金托管费</w:t>
      </w:r>
    </w:p>
    <w:p w:rsidR="00CA66C3" w:rsidRPr="009802E0" w:rsidRDefault="00CA66C3"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E为前一日的基金资产净值</w:t>
      </w:r>
    </w:p>
    <w:p w:rsidR="00CA66C3" w:rsidRPr="009802E0" w:rsidRDefault="00CA66C3" w:rsidP="00FE018D">
      <w:pPr>
        <w:adjustRightInd w:val="0"/>
        <w:snapToGrid w:val="0"/>
        <w:spacing w:line="360" w:lineRule="auto"/>
        <w:ind w:firstLine="420"/>
        <w:rPr>
          <w:rFonts w:asciiTheme="minorEastAsia" w:eastAsiaTheme="minorEastAsia" w:hAnsiTheme="minorEastAsia"/>
        </w:rPr>
      </w:pPr>
      <w:r w:rsidRPr="009802E0">
        <w:rPr>
          <w:rFonts w:asciiTheme="minorEastAsia" w:eastAsiaTheme="minorEastAsia" w:hAnsiTheme="minorEastAsia" w:hint="eastAsia"/>
        </w:rPr>
        <w:t>基金托管费每日计算，逐日累计至每月月末，按月支付，由基金管理人向基金托管人发送基金托管费划款指令，基金托管人复核后于次月首日起3个工作日内从基金财产中一次性支取。若遇法定节假日、公休日等,支付日期顺延。</w:t>
      </w:r>
    </w:p>
    <w:p w:rsidR="00CA66C3" w:rsidRPr="009802E0" w:rsidRDefault="00CA66C3"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（3）销售服务费</w:t>
      </w:r>
    </w:p>
    <w:p w:rsidR="00CA66C3" w:rsidRPr="009802E0" w:rsidRDefault="00CA66C3"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本基金A类基金份额不收取销售服务费，B类基金份额的销售服务费年费率为0.40%。</w:t>
      </w:r>
    </w:p>
    <w:p w:rsidR="00CA66C3" w:rsidRPr="009802E0" w:rsidRDefault="00CA66C3"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lastRenderedPageBreak/>
        <w:t>本基金销售服务费按前一日B类基金资产净值的0.40%年费率计提。</w:t>
      </w:r>
    </w:p>
    <w:p w:rsidR="00CA66C3" w:rsidRPr="009802E0" w:rsidRDefault="00CA66C3"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销售服务费的计算方法如下：</w:t>
      </w:r>
    </w:p>
    <w:p w:rsidR="00CA66C3" w:rsidRPr="009802E0" w:rsidRDefault="00CA66C3"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H＝E×0.40%÷当年天数</w:t>
      </w:r>
    </w:p>
    <w:p w:rsidR="00CA66C3" w:rsidRPr="009802E0" w:rsidRDefault="00CA66C3"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H为B类基金份额每日应计提的销售服务费</w:t>
      </w:r>
    </w:p>
    <w:p w:rsidR="00CA66C3" w:rsidRPr="009802E0" w:rsidRDefault="00CA66C3"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E为B类基金份额前一日基金资产净值</w:t>
      </w:r>
    </w:p>
    <w:p w:rsidR="00CA66C3" w:rsidRPr="009802E0" w:rsidRDefault="00CA66C3"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基金销售服务费每日计提，按月支付。由基金管理人向基金托管人发送基金销售服务费划付指令，经基金托管人复核后于次月首日起3个工作日内从基金财产中一次性划出，由注册登记机构代收，注册登记机构收到后按相关合同规定支付给基金销售机构等。若遇法定节假日、公休日等,支付日期顺延。</w:t>
      </w:r>
    </w:p>
    <w:p w:rsidR="00CA66C3" w:rsidRPr="009802E0" w:rsidRDefault="00CA66C3"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销售服务费主要用于支付销售机构佣金、以及基金管理人的基金行销广告费、促销活动费、基金份额持有人服务费等。</w:t>
      </w:r>
    </w:p>
    <w:p w:rsidR="00CA66C3" w:rsidRPr="009802E0" w:rsidRDefault="00CA66C3"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销售服务费使用范围不包括基金募集期间的上述费用。</w:t>
      </w:r>
    </w:p>
    <w:p w:rsidR="005C1A5D" w:rsidRPr="009802E0" w:rsidRDefault="00CA66C3"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上述（一）基金费用的种类中其他各项费用，根据有关法规及相应协议规定，按费用实际支出金额列入当期费用，由基金托管人从基金财产中支付。</w:t>
      </w:r>
    </w:p>
    <w:p w:rsidR="005C1A5D" w:rsidRPr="009802E0" w:rsidRDefault="004E552C"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3、</w:t>
      </w:r>
      <w:r w:rsidR="005C1A5D" w:rsidRPr="009802E0">
        <w:rPr>
          <w:rFonts w:asciiTheme="minorEastAsia" w:eastAsiaTheme="minorEastAsia" w:hAnsiTheme="minorEastAsia" w:hint="eastAsia"/>
        </w:rPr>
        <w:t>不列入基金费用的项目</w:t>
      </w:r>
    </w:p>
    <w:p w:rsidR="005C1A5D" w:rsidRPr="009802E0" w:rsidRDefault="005C1A5D"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下列费用不列入基金费用：</w:t>
      </w:r>
    </w:p>
    <w:p w:rsidR="005C1A5D" w:rsidRPr="009802E0" w:rsidRDefault="005C1A5D" w:rsidP="009C0E15">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rPr>
        <w:t>(1)基金管理人和基金托管人因未履行或未完全履行义务导致</w:t>
      </w:r>
      <w:r w:rsidRPr="009802E0">
        <w:rPr>
          <w:rFonts w:asciiTheme="minorEastAsia" w:eastAsiaTheme="minorEastAsia" w:hAnsiTheme="minorEastAsia" w:hint="eastAsia"/>
          <w:kern w:val="0"/>
          <w:szCs w:val="21"/>
        </w:rPr>
        <w:t>的费用支出或基金财产的损失；</w:t>
      </w:r>
    </w:p>
    <w:p w:rsidR="005C1A5D" w:rsidRPr="009802E0" w:rsidRDefault="005C1A5D"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kern w:val="0"/>
          <w:szCs w:val="21"/>
        </w:rPr>
        <w:t>(2)基金管</w:t>
      </w:r>
      <w:r w:rsidRPr="009802E0">
        <w:rPr>
          <w:rFonts w:asciiTheme="minorEastAsia" w:eastAsiaTheme="minorEastAsia" w:hAnsiTheme="minorEastAsia" w:hint="eastAsia"/>
        </w:rPr>
        <w:t>理人和基金托管人处理与基金运作无关的事项发生的费用；</w:t>
      </w:r>
    </w:p>
    <w:p w:rsidR="005C1A5D" w:rsidRPr="009802E0" w:rsidRDefault="005C1A5D"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(3)《基金合同》生效前的相关费用，包括但不限于验资费、会计师和律师费、信息披露费用等费用；</w:t>
      </w:r>
    </w:p>
    <w:p w:rsidR="005C1A5D" w:rsidRPr="009802E0" w:rsidRDefault="005C1A5D"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(4)其他根据相关法律法规及中国证监会的有关规定不得列入基金费用的项目。</w:t>
      </w:r>
    </w:p>
    <w:p w:rsidR="005C1A5D" w:rsidRPr="009802E0" w:rsidRDefault="004E552C"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4、</w:t>
      </w:r>
      <w:r w:rsidR="005C1A5D" w:rsidRPr="009802E0">
        <w:rPr>
          <w:rFonts w:asciiTheme="minorEastAsia" w:eastAsiaTheme="minorEastAsia" w:hAnsiTheme="minorEastAsia" w:hint="eastAsia"/>
        </w:rPr>
        <w:t>基金费用的调整</w:t>
      </w:r>
    </w:p>
    <w:p w:rsidR="005C1A5D" w:rsidRPr="009802E0" w:rsidRDefault="005C1A5D"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基金管理人和基金托管人协商一致后，可根据基金发展情况调整基金管理费率、基金托管费率、基金销售费率等相关费率。</w:t>
      </w:r>
    </w:p>
    <w:p w:rsidR="005C1A5D" w:rsidRPr="009802E0" w:rsidRDefault="005C1A5D" w:rsidP="009C0E15">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rPr>
        <w:t>调高基金管理费率、基金托管费率或基金销售费率等费率，须召开基金份额持有人大会审议；调低基金管理费率、基金托</w:t>
      </w:r>
      <w:r w:rsidRPr="009802E0">
        <w:rPr>
          <w:rFonts w:asciiTheme="minorEastAsia" w:eastAsiaTheme="minorEastAsia" w:hAnsiTheme="minorEastAsia" w:hint="eastAsia"/>
          <w:kern w:val="0"/>
          <w:szCs w:val="21"/>
        </w:rPr>
        <w:t>管费率或基金销售费率等费率，无须召开基金份额持有人大会。</w:t>
      </w:r>
    </w:p>
    <w:p w:rsidR="006D4EE7" w:rsidRPr="009802E0" w:rsidRDefault="005C1A5D"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基金管理人必须最迟于新的费率实施日前2日在至少一种</w:t>
      </w:r>
      <w:r w:rsidR="004E4473" w:rsidRPr="009802E0">
        <w:rPr>
          <w:rFonts w:asciiTheme="minorEastAsia" w:eastAsiaTheme="minorEastAsia" w:hAnsiTheme="minorEastAsia" w:hint="eastAsia"/>
          <w:kern w:val="0"/>
          <w:szCs w:val="21"/>
        </w:rPr>
        <w:t>指定媒介</w:t>
      </w:r>
      <w:r w:rsidRPr="009802E0">
        <w:rPr>
          <w:rFonts w:asciiTheme="minorEastAsia" w:eastAsiaTheme="minorEastAsia" w:hAnsiTheme="minorEastAsia" w:hint="eastAsia"/>
          <w:kern w:val="0"/>
          <w:szCs w:val="21"/>
        </w:rPr>
        <w:t>上公告。</w:t>
      </w:r>
    </w:p>
    <w:p w:rsidR="005B4AB3" w:rsidRPr="009802E0" w:rsidRDefault="005B4AB3" w:rsidP="00FE018D">
      <w:pPr>
        <w:pStyle w:val="22"/>
        <w:adjustRightInd w:val="0"/>
        <w:snapToGrid w:val="0"/>
        <w:spacing w:beforeLines="0" w:afterLines="0" w:line="360" w:lineRule="auto"/>
        <w:ind w:firstLineChars="0" w:firstLine="0"/>
        <w:rPr>
          <w:rFonts w:asciiTheme="minorEastAsia" w:eastAsiaTheme="minorEastAsia" w:hAnsiTheme="minorEastAsia"/>
          <w:b w:val="0"/>
        </w:rPr>
      </w:pPr>
      <w:bookmarkStart w:id="135" w:name="_Toc43301953"/>
      <w:r w:rsidRPr="009802E0">
        <w:rPr>
          <w:rFonts w:asciiTheme="minorEastAsia" w:eastAsiaTheme="minorEastAsia" w:hAnsiTheme="minorEastAsia" w:hint="eastAsia"/>
          <w:b w:val="0"/>
        </w:rPr>
        <w:t>（二）与基金销售相关的费用</w:t>
      </w:r>
      <w:bookmarkEnd w:id="135"/>
    </w:p>
    <w:p w:rsidR="00DA1E70" w:rsidRPr="009802E0" w:rsidRDefault="00DA1E7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w:t>
      </w:r>
      <w:r w:rsidR="004E552C" w:rsidRPr="009802E0">
        <w:rPr>
          <w:rFonts w:asciiTheme="minorEastAsia" w:eastAsiaTheme="minorEastAsia" w:hAnsiTheme="minorEastAsia" w:hint="eastAsia"/>
          <w:kern w:val="0"/>
          <w:szCs w:val="21"/>
        </w:rPr>
        <w:t>、</w:t>
      </w:r>
      <w:r w:rsidR="00F63055" w:rsidRPr="009802E0">
        <w:rPr>
          <w:rFonts w:asciiTheme="minorEastAsia" w:eastAsiaTheme="minorEastAsia" w:hAnsiTheme="minorEastAsia" w:hint="eastAsia"/>
          <w:kern w:val="0"/>
          <w:szCs w:val="21"/>
        </w:rPr>
        <w:t>本基金申购费、赎回费的费率水平、收取方式和计算公式详见本招募说明书“八、基金份额的申购、赎回”中的“（七）基金的申购费和赎回费”和“（八）申购和赎回的数额和价格”的相关规定。</w:t>
      </w:r>
    </w:p>
    <w:p w:rsidR="0077071B" w:rsidRPr="009802E0" w:rsidRDefault="00F63055" w:rsidP="009C0E15">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2</w:t>
      </w:r>
      <w:r w:rsidR="004E552C" w:rsidRPr="009802E0">
        <w:rPr>
          <w:rFonts w:asciiTheme="minorEastAsia" w:eastAsiaTheme="minorEastAsia" w:hAnsiTheme="minorEastAsia" w:hint="eastAsia"/>
          <w:szCs w:val="21"/>
        </w:rPr>
        <w:t>、</w:t>
      </w:r>
      <w:r w:rsidR="0077071B" w:rsidRPr="009802E0">
        <w:rPr>
          <w:rFonts w:asciiTheme="minorEastAsia" w:eastAsiaTheme="minorEastAsia" w:hAnsiTheme="minorEastAsia"/>
        </w:rPr>
        <w:t>转换费率</w:t>
      </w:r>
    </w:p>
    <w:p w:rsidR="0077071B" w:rsidRPr="009802E0" w:rsidRDefault="00EA7FCB" w:rsidP="00FE018D">
      <w:pPr>
        <w:pStyle w:val="a7"/>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目前，基金管理人已开通了本基金与旗下部分开放式基金之间的转换业务，具体实施办法和转换费率详见相关公告。</w:t>
      </w:r>
      <w:r w:rsidR="00D83CFA" w:rsidRPr="009802E0">
        <w:rPr>
          <w:rFonts w:asciiTheme="minorEastAsia" w:eastAsiaTheme="minorEastAsia" w:hAnsiTheme="minorEastAsia" w:hint="eastAsia"/>
          <w:kern w:val="0"/>
          <w:szCs w:val="21"/>
        </w:rPr>
        <w:t>基金转换费用由投资者承担，</w:t>
      </w:r>
      <w:r w:rsidR="0077071B" w:rsidRPr="009802E0">
        <w:rPr>
          <w:rFonts w:asciiTheme="minorEastAsia" w:eastAsiaTheme="minorEastAsia" w:hAnsiTheme="minorEastAsia" w:hint="eastAsia"/>
          <w:szCs w:val="21"/>
        </w:rPr>
        <w:t>基金转换费</w:t>
      </w:r>
      <w:r w:rsidR="009607B4" w:rsidRPr="009802E0">
        <w:rPr>
          <w:rFonts w:asciiTheme="minorEastAsia" w:eastAsiaTheme="minorEastAsia" w:hAnsiTheme="minorEastAsia" w:hint="eastAsia"/>
          <w:kern w:val="0"/>
          <w:szCs w:val="21"/>
        </w:rPr>
        <w:t>用</w:t>
      </w:r>
      <w:r w:rsidR="0077071B" w:rsidRPr="009802E0">
        <w:rPr>
          <w:rFonts w:asciiTheme="minorEastAsia" w:eastAsiaTheme="minorEastAsia" w:hAnsiTheme="minorEastAsia" w:hint="eastAsia"/>
          <w:szCs w:val="21"/>
        </w:rPr>
        <w:t>由转出基金赎回费用及基金申购补差费用</w:t>
      </w:r>
      <w:r w:rsidR="00D83CFA" w:rsidRPr="009802E0">
        <w:rPr>
          <w:rFonts w:asciiTheme="minorEastAsia" w:eastAsiaTheme="minorEastAsia" w:hAnsiTheme="minorEastAsia" w:hint="eastAsia"/>
          <w:kern w:val="0"/>
          <w:szCs w:val="21"/>
        </w:rPr>
        <w:t>两部分</w:t>
      </w:r>
      <w:r w:rsidR="0077071B" w:rsidRPr="009802E0">
        <w:rPr>
          <w:rFonts w:asciiTheme="minorEastAsia" w:eastAsiaTheme="minorEastAsia" w:hAnsiTheme="minorEastAsia" w:hint="eastAsia"/>
          <w:szCs w:val="21"/>
        </w:rPr>
        <w:t>构成，其中转出基金赎回费</w:t>
      </w:r>
      <w:r w:rsidR="003D51F2" w:rsidRPr="009802E0">
        <w:rPr>
          <w:rFonts w:asciiTheme="minorEastAsia" w:eastAsiaTheme="minorEastAsia" w:hAnsiTheme="minorEastAsia" w:hint="eastAsia"/>
          <w:szCs w:val="21"/>
        </w:rPr>
        <w:t>按照</w:t>
      </w:r>
      <w:r w:rsidR="00B3450A" w:rsidRPr="009802E0">
        <w:rPr>
          <w:rFonts w:asciiTheme="minorEastAsia" w:eastAsiaTheme="minorEastAsia" w:hAnsiTheme="minorEastAsia" w:hint="eastAsia"/>
          <w:szCs w:val="21"/>
        </w:rPr>
        <w:t>各基金的</w:t>
      </w:r>
      <w:r w:rsidR="003D51F2" w:rsidRPr="009802E0">
        <w:rPr>
          <w:rFonts w:asciiTheme="minorEastAsia" w:eastAsiaTheme="minorEastAsia" w:hAnsiTheme="minorEastAsia" w:hint="eastAsia"/>
          <w:szCs w:val="21"/>
        </w:rPr>
        <w:t>基金合同、更新的招募说明书及最新的相关公告约定的比例归入基金财产</w:t>
      </w:r>
      <w:r w:rsidR="0077071B" w:rsidRPr="009802E0">
        <w:rPr>
          <w:rFonts w:asciiTheme="minorEastAsia" w:eastAsiaTheme="minorEastAsia" w:hAnsiTheme="minorEastAsia" w:hint="eastAsia"/>
          <w:szCs w:val="21"/>
        </w:rPr>
        <w:t>，其余部分用于支付注册登记费等相关手续费。</w:t>
      </w:r>
      <w:r w:rsidR="0077071B" w:rsidRPr="009802E0">
        <w:rPr>
          <w:rFonts w:asciiTheme="minorEastAsia" w:eastAsiaTheme="minorEastAsia" w:hAnsiTheme="minorEastAsia"/>
          <w:szCs w:val="21"/>
        </w:rPr>
        <w:t>转换费用以人民币元为单位，计算结果按照四舍五入方法，保留小数点后两位。</w:t>
      </w:r>
    </w:p>
    <w:p w:rsidR="0077071B" w:rsidRPr="009802E0" w:rsidRDefault="00F63055" w:rsidP="00FE018D">
      <w:pPr>
        <w:pStyle w:val="a7"/>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3</w:t>
      </w:r>
      <w:r w:rsidR="004E552C" w:rsidRPr="009802E0">
        <w:rPr>
          <w:rFonts w:asciiTheme="minorEastAsia" w:eastAsiaTheme="minorEastAsia" w:hAnsiTheme="minorEastAsia" w:hint="eastAsia"/>
          <w:szCs w:val="21"/>
        </w:rPr>
        <w:t>、</w:t>
      </w:r>
      <w:r w:rsidR="0077071B" w:rsidRPr="009802E0">
        <w:rPr>
          <w:rFonts w:asciiTheme="minorEastAsia" w:eastAsiaTheme="minorEastAsia" w:hAnsiTheme="minorEastAsia" w:hint="eastAsia"/>
          <w:szCs w:val="21"/>
        </w:rPr>
        <w:t>投资者通过本公司网上交易系统（www.efunds.com.cn）进行申购、赎回和转换的交易费率，请具体参照我公司网站上的相关说明。</w:t>
      </w:r>
    </w:p>
    <w:p w:rsidR="0077071B" w:rsidRPr="009802E0" w:rsidRDefault="00F63055" w:rsidP="00FE018D">
      <w:pPr>
        <w:pStyle w:val="a7"/>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4</w:t>
      </w:r>
      <w:r w:rsidR="004E552C" w:rsidRPr="009802E0">
        <w:rPr>
          <w:rFonts w:asciiTheme="minorEastAsia" w:eastAsiaTheme="minorEastAsia" w:hAnsiTheme="minorEastAsia" w:hint="eastAsia"/>
          <w:szCs w:val="21"/>
        </w:rPr>
        <w:t>、</w:t>
      </w:r>
      <w:r w:rsidR="0077071B" w:rsidRPr="009802E0">
        <w:rPr>
          <w:rFonts w:asciiTheme="minorEastAsia" w:eastAsiaTheme="minorEastAsia" w:hAnsiTheme="minorEastAsia"/>
          <w:szCs w:val="21"/>
        </w:rPr>
        <w:t>基金管理人可以在基金合同规定的范围内调整</w:t>
      </w:r>
      <w:r w:rsidR="0077071B" w:rsidRPr="009802E0">
        <w:rPr>
          <w:rFonts w:asciiTheme="minorEastAsia" w:eastAsiaTheme="minorEastAsia" w:hAnsiTheme="minorEastAsia" w:hint="eastAsia"/>
          <w:szCs w:val="21"/>
        </w:rPr>
        <w:t>上述</w:t>
      </w:r>
      <w:r w:rsidR="0077071B" w:rsidRPr="009802E0">
        <w:rPr>
          <w:rFonts w:asciiTheme="minorEastAsia" w:eastAsiaTheme="minorEastAsia" w:hAnsiTheme="minorEastAsia"/>
          <w:szCs w:val="21"/>
        </w:rPr>
        <w:t>费率</w:t>
      </w:r>
      <w:r w:rsidR="0077071B" w:rsidRPr="009802E0">
        <w:rPr>
          <w:rFonts w:asciiTheme="minorEastAsia" w:eastAsiaTheme="minorEastAsia" w:hAnsiTheme="minorEastAsia" w:hint="eastAsia"/>
          <w:szCs w:val="21"/>
        </w:rPr>
        <w:t>。</w:t>
      </w:r>
      <w:r w:rsidR="0077071B" w:rsidRPr="009802E0">
        <w:rPr>
          <w:rFonts w:asciiTheme="minorEastAsia" w:eastAsiaTheme="minorEastAsia" w:hAnsiTheme="minorEastAsia"/>
          <w:szCs w:val="21"/>
        </w:rPr>
        <w:t>上述费率如发生变更，基金管理人应最迟于新的费率实施</w:t>
      </w:r>
      <w:r w:rsidR="00B91A58" w:rsidRPr="009802E0">
        <w:rPr>
          <w:rFonts w:asciiTheme="minorEastAsia" w:eastAsiaTheme="minorEastAsia" w:hAnsiTheme="minorEastAsia"/>
          <w:szCs w:val="21"/>
        </w:rPr>
        <w:t>前</w:t>
      </w:r>
      <w:r w:rsidR="0077071B" w:rsidRPr="009802E0">
        <w:rPr>
          <w:rFonts w:asciiTheme="minorEastAsia" w:eastAsiaTheme="minorEastAsia" w:hAnsiTheme="minorEastAsia"/>
          <w:szCs w:val="21"/>
        </w:rPr>
        <w:t>在至少一种中国证监会指定的信息披露媒体公告。</w:t>
      </w:r>
    </w:p>
    <w:p w:rsidR="000F137B" w:rsidRPr="009802E0" w:rsidRDefault="00F63055" w:rsidP="00FE018D">
      <w:pPr>
        <w:pStyle w:val="a7"/>
        <w:adjustRightInd w:val="0"/>
        <w:snapToGrid w:val="0"/>
        <w:spacing w:line="360" w:lineRule="auto"/>
        <w:ind w:firstLineChars="200"/>
        <w:rPr>
          <w:rFonts w:asciiTheme="minorEastAsia" w:eastAsiaTheme="minorEastAsia" w:hAnsiTheme="minorEastAsia"/>
          <w:szCs w:val="21"/>
        </w:rPr>
      </w:pPr>
      <w:r w:rsidRPr="009802E0">
        <w:rPr>
          <w:rFonts w:asciiTheme="minorEastAsia" w:eastAsiaTheme="minorEastAsia" w:hAnsiTheme="minorEastAsia" w:hint="eastAsia"/>
          <w:szCs w:val="21"/>
        </w:rPr>
        <w:t>5</w:t>
      </w:r>
      <w:r w:rsidR="004E552C" w:rsidRPr="009802E0">
        <w:rPr>
          <w:rFonts w:asciiTheme="minorEastAsia" w:eastAsiaTheme="minorEastAsia" w:hAnsiTheme="minorEastAsia" w:hint="eastAsia"/>
          <w:szCs w:val="21"/>
        </w:rPr>
        <w:t>、</w:t>
      </w:r>
      <w:r w:rsidR="00526F5E" w:rsidRPr="009802E0">
        <w:rPr>
          <w:rFonts w:asciiTheme="minorEastAsia" w:eastAsiaTheme="minorEastAsia" w:hAnsiTheme="minorEastAsia" w:hint="eastAsia"/>
          <w:szCs w:val="2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rPr>
      </w:pPr>
      <w:bookmarkStart w:id="136" w:name="_Toc43301954"/>
      <w:r w:rsidRPr="009802E0">
        <w:rPr>
          <w:rFonts w:asciiTheme="minorEastAsia" w:eastAsiaTheme="minorEastAsia" w:hAnsiTheme="minorEastAsia" w:hint="eastAsia"/>
          <w:b w:val="0"/>
        </w:rPr>
        <w:t>（</w:t>
      </w:r>
      <w:r w:rsidR="005B4AB3" w:rsidRPr="009802E0">
        <w:rPr>
          <w:rFonts w:asciiTheme="minorEastAsia" w:eastAsiaTheme="minorEastAsia" w:hAnsiTheme="minorEastAsia" w:hint="eastAsia"/>
          <w:b w:val="0"/>
        </w:rPr>
        <w:t>三</w:t>
      </w:r>
      <w:r w:rsidRPr="009802E0">
        <w:rPr>
          <w:rFonts w:asciiTheme="minorEastAsia" w:eastAsiaTheme="minorEastAsia" w:hAnsiTheme="minorEastAsia" w:hint="eastAsia"/>
          <w:b w:val="0"/>
        </w:rPr>
        <w:t>）</w:t>
      </w:r>
      <w:r w:rsidR="005B4AB3" w:rsidRPr="009802E0">
        <w:rPr>
          <w:rFonts w:asciiTheme="minorEastAsia" w:eastAsiaTheme="minorEastAsia" w:hAnsiTheme="minorEastAsia" w:hint="eastAsia"/>
          <w:b w:val="0"/>
        </w:rPr>
        <w:t>基金</w:t>
      </w:r>
      <w:r w:rsidRPr="009802E0">
        <w:rPr>
          <w:rFonts w:asciiTheme="minorEastAsia" w:eastAsiaTheme="minorEastAsia" w:hAnsiTheme="minorEastAsia" w:hint="eastAsia"/>
          <w:b w:val="0"/>
        </w:rPr>
        <w:t>税收</w:t>
      </w:r>
      <w:bookmarkEnd w:id="136"/>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本基金运作过程中涉及的各纳税主体，其纳税义务按国家税收法律、法规执行。</w:t>
      </w:r>
    </w:p>
    <w:p w:rsidR="00B43AC4" w:rsidRPr="009802E0" w:rsidRDefault="00B43AC4" w:rsidP="00FE018D">
      <w:pPr>
        <w:pStyle w:val="1"/>
        <w:adjustRightInd w:val="0"/>
        <w:snapToGrid w:val="0"/>
        <w:spacing w:beforeLines="0" w:afterLines="0" w:line="360" w:lineRule="auto"/>
        <w:ind w:firstLine="600"/>
        <w:rPr>
          <w:rFonts w:asciiTheme="minorEastAsia" w:eastAsiaTheme="minorEastAsia" w:hAnsiTheme="minorEastAsia"/>
          <w:b/>
          <w:bCs/>
        </w:rPr>
      </w:pPr>
      <w:r w:rsidRPr="009802E0">
        <w:rPr>
          <w:rFonts w:asciiTheme="minorEastAsia" w:eastAsiaTheme="minorEastAsia" w:hAnsiTheme="minorEastAsia"/>
          <w:sz w:val="30"/>
        </w:rPr>
        <w:br w:type="page"/>
      </w:r>
      <w:bookmarkStart w:id="137" w:name="_Toc43301955"/>
      <w:r w:rsidR="00CB4F63" w:rsidRPr="009802E0">
        <w:rPr>
          <w:rFonts w:asciiTheme="minorEastAsia" w:eastAsiaTheme="minorEastAsia" w:hAnsiTheme="minorEastAsia" w:hint="eastAsia"/>
          <w:b/>
          <w:sz w:val="30"/>
        </w:rPr>
        <w:lastRenderedPageBreak/>
        <w:t>十七</w:t>
      </w:r>
      <w:r w:rsidRPr="009802E0">
        <w:rPr>
          <w:rFonts w:asciiTheme="minorEastAsia" w:eastAsiaTheme="minorEastAsia" w:hAnsiTheme="minorEastAsia" w:hint="eastAsia"/>
          <w:b/>
          <w:sz w:val="30"/>
        </w:rPr>
        <w:t>、基金的会计与审计</w:t>
      </w:r>
      <w:bookmarkEnd w:id="137"/>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rPr>
      </w:pPr>
      <w:bookmarkStart w:id="138" w:name="_Toc43301956"/>
      <w:r w:rsidRPr="009802E0">
        <w:rPr>
          <w:rFonts w:asciiTheme="minorEastAsia" w:eastAsiaTheme="minorEastAsia" w:hAnsiTheme="minorEastAsia" w:hint="eastAsia"/>
          <w:b w:val="0"/>
        </w:rPr>
        <w:t>（一）基金会计政策</w:t>
      </w:r>
      <w:bookmarkEnd w:id="138"/>
    </w:p>
    <w:p w:rsidR="00E17D68" w:rsidRPr="009802E0" w:rsidRDefault="00E17D68"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kern w:val="0"/>
          <w:szCs w:val="21"/>
        </w:rPr>
        <w:t>1</w:t>
      </w:r>
      <w:r w:rsidR="004E552C"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基金管理人为本基金的基金会计责任方；</w:t>
      </w:r>
    </w:p>
    <w:p w:rsidR="00E17D68" w:rsidRPr="009802E0" w:rsidRDefault="00E17D68"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kern w:val="0"/>
          <w:szCs w:val="21"/>
        </w:rPr>
        <w:t>2</w:t>
      </w:r>
      <w:r w:rsidR="004E552C"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基金的会计年度为公历年度的</w:t>
      </w:r>
      <w:r w:rsidRPr="009802E0">
        <w:rPr>
          <w:rFonts w:asciiTheme="minorEastAsia" w:eastAsiaTheme="minorEastAsia" w:hAnsiTheme="minorEastAsia"/>
          <w:kern w:val="0"/>
          <w:szCs w:val="21"/>
        </w:rPr>
        <w:t>1</w:t>
      </w:r>
      <w:r w:rsidRPr="009802E0">
        <w:rPr>
          <w:rFonts w:asciiTheme="minorEastAsia" w:eastAsiaTheme="minorEastAsia" w:hAnsiTheme="minorEastAsia" w:hint="eastAsia"/>
          <w:kern w:val="0"/>
          <w:szCs w:val="21"/>
        </w:rPr>
        <w:t>月</w:t>
      </w:r>
      <w:r w:rsidRPr="009802E0">
        <w:rPr>
          <w:rFonts w:asciiTheme="minorEastAsia" w:eastAsiaTheme="minorEastAsia" w:hAnsiTheme="minorEastAsia"/>
          <w:kern w:val="0"/>
          <w:szCs w:val="21"/>
        </w:rPr>
        <w:t>1</w:t>
      </w:r>
      <w:r w:rsidRPr="009802E0">
        <w:rPr>
          <w:rFonts w:asciiTheme="minorEastAsia" w:eastAsiaTheme="minorEastAsia" w:hAnsiTheme="minorEastAsia" w:hint="eastAsia"/>
          <w:kern w:val="0"/>
          <w:szCs w:val="21"/>
        </w:rPr>
        <w:t>日至</w:t>
      </w:r>
      <w:r w:rsidRPr="009802E0">
        <w:rPr>
          <w:rFonts w:asciiTheme="minorEastAsia" w:eastAsiaTheme="minorEastAsia" w:hAnsiTheme="minorEastAsia"/>
          <w:kern w:val="0"/>
          <w:szCs w:val="21"/>
        </w:rPr>
        <w:t>12</w:t>
      </w:r>
      <w:r w:rsidRPr="009802E0">
        <w:rPr>
          <w:rFonts w:asciiTheme="minorEastAsia" w:eastAsiaTheme="minorEastAsia" w:hAnsiTheme="minorEastAsia" w:hint="eastAsia"/>
          <w:kern w:val="0"/>
          <w:szCs w:val="21"/>
        </w:rPr>
        <w:t>月</w:t>
      </w:r>
      <w:r w:rsidRPr="009802E0">
        <w:rPr>
          <w:rFonts w:asciiTheme="minorEastAsia" w:eastAsiaTheme="minorEastAsia" w:hAnsiTheme="minorEastAsia"/>
          <w:kern w:val="0"/>
          <w:szCs w:val="21"/>
        </w:rPr>
        <w:t>31</w:t>
      </w:r>
      <w:r w:rsidRPr="009802E0">
        <w:rPr>
          <w:rFonts w:asciiTheme="minorEastAsia" w:eastAsiaTheme="minorEastAsia" w:hAnsiTheme="minorEastAsia" w:hint="eastAsia"/>
          <w:kern w:val="0"/>
          <w:szCs w:val="21"/>
        </w:rPr>
        <w:t>日；基金首次募集的会计年度按如下原则：如果《基金合同》生效少于2个月，可以并入下一个会计年度；</w:t>
      </w:r>
    </w:p>
    <w:p w:rsidR="00E17D68" w:rsidRPr="009802E0" w:rsidRDefault="00E17D68" w:rsidP="009C0E15">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kern w:val="0"/>
          <w:szCs w:val="21"/>
        </w:rPr>
        <w:t>3</w:t>
      </w:r>
      <w:r w:rsidR="004E552C"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rPr>
        <w:t>基金核算以人民币为记账本位币</w:t>
      </w:r>
      <w:r w:rsidRPr="009802E0">
        <w:rPr>
          <w:rFonts w:asciiTheme="minorEastAsia" w:eastAsiaTheme="minorEastAsia" w:hAnsiTheme="minorEastAsia" w:hint="eastAsia"/>
          <w:kern w:val="0"/>
          <w:szCs w:val="21"/>
        </w:rPr>
        <w:t>，以人民币元为记账单位；</w:t>
      </w:r>
    </w:p>
    <w:p w:rsidR="00E17D68" w:rsidRPr="009802E0" w:rsidRDefault="00E17D68"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kern w:val="0"/>
          <w:szCs w:val="21"/>
        </w:rPr>
        <w:t>4</w:t>
      </w:r>
      <w:r w:rsidR="004E552C"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会计制度执行国家有关会计制度；</w:t>
      </w:r>
    </w:p>
    <w:p w:rsidR="00E17D68" w:rsidRPr="009802E0" w:rsidRDefault="00E17D68"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kern w:val="0"/>
          <w:szCs w:val="21"/>
        </w:rPr>
        <w:t>5</w:t>
      </w:r>
      <w:r w:rsidR="004E552C"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本基金独立建账、独立核算；</w:t>
      </w:r>
    </w:p>
    <w:p w:rsidR="00E17D68" w:rsidRPr="009802E0" w:rsidRDefault="00E17D68"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kern w:val="0"/>
          <w:szCs w:val="21"/>
        </w:rPr>
        <w:t>6</w:t>
      </w:r>
      <w:r w:rsidR="004E552C"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基金管理人及基金托管人各自保留完整的会计账目、凭证并进行日常的会计核算，按照有关规定编制基金会计报表；</w:t>
      </w:r>
    </w:p>
    <w:p w:rsidR="00E17D68" w:rsidRPr="009802E0" w:rsidRDefault="00E17D68"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kern w:val="0"/>
          <w:szCs w:val="21"/>
        </w:rPr>
        <w:t>7</w:t>
      </w:r>
      <w:r w:rsidR="004E552C"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基金托管人每月与基金管理人就基金的会计核算、报表编制等进行核对并以书面方式确认。</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rPr>
      </w:pPr>
      <w:bookmarkStart w:id="139" w:name="_Toc43301957"/>
      <w:r w:rsidRPr="009802E0">
        <w:rPr>
          <w:rFonts w:asciiTheme="minorEastAsia" w:eastAsiaTheme="minorEastAsia" w:hAnsiTheme="minorEastAsia" w:hint="eastAsia"/>
          <w:b w:val="0"/>
        </w:rPr>
        <w:t>（二）基金审计</w:t>
      </w:r>
      <w:bookmarkEnd w:id="139"/>
    </w:p>
    <w:p w:rsidR="00E17D68" w:rsidRPr="009802E0" w:rsidRDefault="00E17D68"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kern w:val="0"/>
          <w:szCs w:val="21"/>
        </w:rPr>
        <w:t>1</w:t>
      </w:r>
      <w:r w:rsidR="004E552C"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基金管理人聘请与基金管理人、基金托管人相互独立的具有证券</w:t>
      </w:r>
      <w:r w:rsidR="000470CE" w:rsidRPr="009802E0">
        <w:rPr>
          <w:rFonts w:asciiTheme="minorEastAsia" w:eastAsiaTheme="minorEastAsia" w:hAnsiTheme="minorEastAsia" w:hint="eastAsia"/>
          <w:kern w:val="0"/>
          <w:szCs w:val="21"/>
        </w:rPr>
        <w:t>、期货相关业务资格</w:t>
      </w:r>
      <w:r w:rsidRPr="009802E0">
        <w:rPr>
          <w:rFonts w:asciiTheme="minorEastAsia" w:eastAsiaTheme="minorEastAsia" w:hAnsiTheme="minorEastAsia" w:hint="eastAsia"/>
          <w:kern w:val="0"/>
          <w:szCs w:val="21"/>
        </w:rPr>
        <w:t>的会计师事务所及其注册会计师对本基金的年度财务报表进行审计。</w:t>
      </w:r>
    </w:p>
    <w:p w:rsidR="00E17D68" w:rsidRPr="009802E0" w:rsidRDefault="00E17D68"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kern w:val="0"/>
          <w:szCs w:val="21"/>
        </w:rPr>
        <w:t>2</w:t>
      </w:r>
      <w:r w:rsidR="004E552C"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会计师事务所更换经办注册会计师，应事先征得基金管理人同意。</w:t>
      </w:r>
    </w:p>
    <w:p w:rsidR="00E17D68" w:rsidRPr="009802E0" w:rsidRDefault="00E17D68"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kern w:val="0"/>
          <w:szCs w:val="21"/>
        </w:rPr>
        <w:t>3</w:t>
      </w:r>
      <w:r w:rsidR="004E552C"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基金管理人认为有充足理由更换会计师事务所，须通报基金托管人。更换会计师事务所需在2日内在至少一家</w:t>
      </w:r>
      <w:r w:rsidR="004E4473" w:rsidRPr="009802E0">
        <w:rPr>
          <w:rFonts w:asciiTheme="minorEastAsia" w:eastAsiaTheme="minorEastAsia" w:hAnsiTheme="minorEastAsia" w:hint="eastAsia"/>
          <w:kern w:val="0"/>
          <w:szCs w:val="21"/>
        </w:rPr>
        <w:t>指定媒介</w:t>
      </w:r>
      <w:r w:rsidRPr="009802E0">
        <w:rPr>
          <w:rFonts w:asciiTheme="minorEastAsia" w:eastAsiaTheme="minorEastAsia" w:hAnsiTheme="minorEastAsia" w:hint="eastAsia"/>
          <w:kern w:val="0"/>
          <w:szCs w:val="21"/>
        </w:rPr>
        <w:t>公告。</w:t>
      </w:r>
    </w:p>
    <w:p w:rsidR="00B43AC4" w:rsidRPr="009802E0" w:rsidRDefault="00B43AC4" w:rsidP="00FE018D">
      <w:pPr>
        <w:adjustRightInd w:val="0"/>
        <w:snapToGrid w:val="0"/>
        <w:spacing w:line="360" w:lineRule="auto"/>
        <w:ind w:firstLine="420"/>
        <w:rPr>
          <w:rFonts w:asciiTheme="minorEastAsia" w:eastAsiaTheme="minorEastAsia" w:hAnsiTheme="minorEastAsia"/>
          <w:szCs w:val="21"/>
        </w:rPr>
      </w:pPr>
    </w:p>
    <w:p w:rsidR="00B43AC4" w:rsidRPr="009802E0" w:rsidRDefault="00B43AC4" w:rsidP="00FE018D">
      <w:pPr>
        <w:adjustRightInd w:val="0"/>
        <w:snapToGrid w:val="0"/>
        <w:spacing w:line="360" w:lineRule="auto"/>
        <w:ind w:firstLine="480"/>
        <w:rPr>
          <w:rFonts w:asciiTheme="minorEastAsia" w:eastAsiaTheme="minorEastAsia" w:hAnsiTheme="minorEastAsia"/>
        </w:rPr>
      </w:pPr>
    </w:p>
    <w:p w:rsidR="00B43AC4" w:rsidRPr="009802E0" w:rsidRDefault="00B43AC4" w:rsidP="00FE018D">
      <w:pPr>
        <w:pStyle w:val="1"/>
        <w:adjustRightInd w:val="0"/>
        <w:snapToGrid w:val="0"/>
        <w:spacing w:beforeLines="0" w:afterLines="0" w:line="360" w:lineRule="auto"/>
        <w:ind w:firstLine="600"/>
        <w:rPr>
          <w:rFonts w:asciiTheme="minorEastAsia" w:eastAsiaTheme="minorEastAsia" w:hAnsiTheme="minorEastAsia"/>
          <w:b/>
        </w:rPr>
      </w:pPr>
      <w:r w:rsidRPr="009802E0">
        <w:rPr>
          <w:rFonts w:asciiTheme="minorEastAsia" w:eastAsiaTheme="minorEastAsia" w:hAnsiTheme="minorEastAsia"/>
          <w:sz w:val="30"/>
        </w:rPr>
        <w:br w:type="column"/>
      </w:r>
      <w:bookmarkStart w:id="140" w:name="_Toc43301958"/>
      <w:r w:rsidR="00CB4F63" w:rsidRPr="009802E0">
        <w:rPr>
          <w:rFonts w:asciiTheme="minorEastAsia" w:eastAsiaTheme="minorEastAsia" w:hAnsiTheme="minorEastAsia" w:hint="eastAsia"/>
          <w:b/>
          <w:sz w:val="30"/>
        </w:rPr>
        <w:lastRenderedPageBreak/>
        <w:t>十八</w:t>
      </w:r>
      <w:r w:rsidRPr="009802E0">
        <w:rPr>
          <w:rFonts w:asciiTheme="minorEastAsia" w:eastAsiaTheme="minorEastAsia" w:hAnsiTheme="minorEastAsia" w:hint="eastAsia"/>
          <w:b/>
          <w:sz w:val="30"/>
        </w:rPr>
        <w:t>、基金的信息披露</w:t>
      </w:r>
      <w:bookmarkEnd w:id="140"/>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rPr>
      </w:pPr>
      <w:bookmarkStart w:id="141" w:name="_Toc43301959"/>
      <w:r w:rsidRPr="009802E0">
        <w:rPr>
          <w:rFonts w:asciiTheme="minorEastAsia" w:eastAsiaTheme="minorEastAsia" w:hAnsiTheme="minorEastAsia" w:hint="eastAsia"/>
          <w:b w:val="0"/>
        </w:rPr>
        <w:t>（一）信息披露的形式</w:t>
      </w:r>
      <w:bookmarkEnd w:id="141"/>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本基金的信息披露严格按照《基金法》、《</w:t>
      </w:r>
      <w:r w:rsidR="000470CE" w:rsidRPr="009802E0">
        <w:rPr>
          <w:rFonts w:asciiTheme="minorEastAsia" w:eastAsiaTheme="minorEastAsia" w:hAnsiTheme="minorEastAsia" w:hint="eastAsia"/>
          <w:szCs w:val="21"/>
        </w:rPr>
        <w:t>公开募集</w:t>
      </w:r>
      <w:r w:rsidRPr="009802E0">
        <w:rPr>
          <w:rFonts w:asciiTheme="minorEastAsia" w:eastAsiaTheme="minorEastAsia" w:hAnsiTheme="minorEastAsia" w:hint="eastAsia"/>
          <w:szCs w:val="21"/>
        </w:rPr>
        <w:t>证券投资基金信息披露管理办法》、《证券投资基金信息披露内容和格式准则》、《证券投资基金信息披露编报规则》、基金合同及其它有关规定进行。本基金信息披露义务人应当在中国证监会规定时间内，将应予披露的基金信息通过</w:t>
      </w:r>
      <w:r w:rsidR="004E4473" w:rsidRPr="009802E0">
        <w:rPr>
          <w:rFonts w:asciiTheme="minorEastAsia" w:eastAsiaTheme="minorEastAsia" w:hAnsiTheme="minorEastAsia" w:hint="eastAsia"/>
          <w:szCs w:val="21"/>
        </w:rPr>
        <w:t>指定媒介</w:t>
      </w:r>
      <w:r w:rsidRPr="009802E0">
        <w:rPr>
          <w:rFonts w:asciiTheme="minorEastAsia" w:eastAsiaTheme="minorEastAsia" w:hAnsiTheme="minorEastAsia" w:hint="eastAsia"/>
          <w:szCs w:val="21"/>
        </w:rPr>
        <w:t>披露，并保证基金投资者能够按照基金合同约定的时间和方式查阅或者复制公开披露的信息资料。</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rPr>
      </w:pPr>
      <w:bookmarkStart w:id="142" w:name="_Toc43301960"/>
      <w:r w:rsidRPr="009802E0">
        <w:rPr>
          <w:rFonts w:asciiTheme="minorEastAsia" w:eastAsiaTheme="minorEastAsia" w:hAnsiTheme="minorEastAsia" w:hint="eastAsia"/>
          <w:b w:val="0"/>
        </w:rPr>
        <w:t>（二）信息披露的种类、披露时间和披露形式</w:t>
      </w:r>
      <w:bookmarkEnd w:id="142"/>
    </w:p>
    <w:p w:rsidR="00B43AC4" w:rsidRPr="009802E0" w:rsidRDefault="00B43AC4"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w:t>
      </w:r>
      <w:r w:rsidR="004E552C"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基金招募说明书、基金合同、托管协议</w:t>
      </w:r>
      <w:r w:rsidR="001519E7" w:rsidRPr="009802E0">
        <w:rPr>
          <w:rFonts w:asciiTheme="minorEastAsia" w:eastAsiaTheme="minorEastAsia" w:hAnsiTheme="minorEastAsia" w:hint="eastAsia"/>
          <w:kern w:val="0"/>
          <w:szCs w:val="21"/>
        </w:rPr>
        <w:t>、基金产品资料概要</w:t>
      </w:r>
    </w:p>
    <w:p w:rsidR="00B43AC4" w:rsidRPr="009802E0" w:rsidRDefault="001519E7"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基金募集申请经中国证监会核准后，基金管理人在基金份额发售的3日前，将基金招募说明书、《基金合同》摘要登载在指定媒介上；基金管理人、基金托管人应当将《基金合同》、托管协议登载在网站上。</w:t>
      </w:r>
    </w:p>
    <w:p w:rsidR="00B43AC4" w:rsidRPr="009802E0" w:rsidRDefault="00B43AC4"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w:t>
      </w:r>
      <w:r w:rsidR="001519E7" w:rsidRPr="009802E0">
        <w:rPr>
          <w:rFonts w:asciiTheme="minorEastAsia" w:eastAsiaTheme="minorEastAsia" w:hAnsiTheme="minorEastAsia" w:hint="eastAsia"/>
          <w:kern w:val="0"/>
          <w:szCs w:val="21"/>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B43AC4" w:rsidRPr="009802E0" w:rsidRDefault="00B43AC4"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（2）基金合同是界定基金合同当事人的各项权利、义务关系，明确基金份额持有人大会召开的规则及具体程序，说明基金产品的特性等涉及基金投资者重大利益的事项的法律文件。</w:t>
      </w:r>
    </w:p>
    <w:p w:rsidR="001519E7" w:rsidRPr="009802E0" w:rsidRDefault="00B43AC4" w:rsidP="001519E7">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（3）</w:t>
      </w:r>
      <w:r w:rsidR="001519E7" w:rsidRPr="009802E0">
        <w:rPr>
          <w:rFonts w:asciiTheme="minorEastAsia" w:eastAsiaTheme="minorEastAsia" w:hAnsiTheme="minorEastAsia" w:hint="eastAsia"/>
          <w:kern w:val="0"/>
          <w:szCs w:val="21"/>
        </w:rPr>
        <w:t>托管协议是界定基金托管人和基金管理人在基金财产保管及基金运作监督等活动中的权利、义务关系的法律文件。</w:t>
      </w:r>
    </w:p>
    <w:p w:rsidR="00B43AC4" w:rsidRPr="009802E0" w:rsidRDefault="001519E7" w:rsidP="001519E7">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B43AC4" w:rsidRPr="009802E0" w:rsidRDefault="00B43AC4"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kern w:val="0"/>
          <w:szCs w:val="21"/>
        </w:rPr>
        <w:t>2</w:t>
      </w:r>
      <w:r w:rsidR="004E552C"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基金份额</w:t>
      </w:r>
      <w:r w:rsidRPr="009802E0">
        <w:rPr>
          <w:rFonts w:asciiTheme="minorEastAsia" w:eastAsiaTheme="minorEastAsia" w:hAnsiTheme="minorEastAsia" w:hint="eastAsia"/>
        </w:rPr>
        <w:t>发售公告</w:t>
      </w:r>
    </w:p>
    <w:p w:rsidR="00B43AC4" w:rsidRPr="009802E0" w:rsidRDefault="001519E7" w:rsidP="00640F1C">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基金管理人应当就基金份额发售的具体事宜编制基金份额发售公告，并在披露招募说明书的当日登载于指定媒体指定媒介上。</w:t>
      </w:r>
    </w:p>
    <w:p w:rsidR="00B43AC4" w:rsidRPr="009802E0" w:rsidRDefault="00B43AC4"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3</w:t>
      </w:r>
      <w:r w:rsidR="004E552C" w:rsidRPr="009802E0">
        <w:rPr>
          <w:rFonts w:asciiTheme="minorEastAsia" w:eastAsiaTheme="minorEastAsia" w:hAnsiTheme="minorEastAsia" w:hint="eastAsia"/>
        </w:rPr>
        <w:t>、</w:t>
      </w:r>
      <w:r w:rsidRPr="009802E0">
        <w:rPr>
          <w:rFonts w:asciiTheme="minorEastAsia" w:eastAsiaTheme="minorEastAsia" w:hAnsiTheme="minorEastAsia" w:hint="eastAsia"/>
        </w:rPr>
        <w:t>基金合同生效公告</w:t>
      </w:r>
    </w:p>
    <w:p w:rsidR="00B43AC4" w:rsidRPr="009802E0" w:rsidRDefault="001519E7"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基金管理人应当在《基金合同》生效的次日在指定媒介上登载《基金合同》生效公告。</w:t>
      </w:r>
    </w:p>
    <w:p w:rsidR="001519E7" w:rsidRPr="009802E0" w:rsidRDefault="00AB6EE6" w:rsidP="001519E7">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lastRenderedPageBreak/>
        <w:t>4</w:t>
      </w:r>
      <w:r w:rsidR="004E552C" w:rsidRPr="009802E0">
        <w:rPr>
          <w:rFonts w:asciiTheme="minorEastAsia" w:eastAsiaTheme="minorEastAsia" w:hAnsiTheme="minorEastAsia" w:hint="eastAsia"/>
        </w:rPr>
        <w:t>、</w:t>
      </w:r>
      <w:r w:rsidR="001519E7" w:rsidRPr="009802E0">
        <w:rPr>
          <w:rFonts w:asciiTheme="minorEastAsia" w:eastAsiaTheme="minorEastAsia" w:hAnsiTheme="minorEastAsia" w:hint="eastAsia"/>
        </w:rPr>
        <w:t>基金净值信息</w:t>
      </w:r>
    </w:p>
    <w:p w:rsidR="001519E7" w:rsidRPr="009802E0" w:rsidRDefault="001519E7" w:rsidP="001519E7">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《基金合同》生效后，在开始办理基金份额申购或者赎回前，基金管理人应当至少每周在指定网站披露一次基金份额净值和基金份额累计净值。</w:t>
      </w:r>
    </w:p>
    <w:p w:rsidR="001519E7" w:rsidRPr="009802E0" w:rsidRDefault="001519E7" w:rsidP="001519E7">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在开始办理基金份额申购或者赎回后，基金管理人应当在不晚于每个开放日的次日，通过指定网站、基金销售机构网站或者营业网点，披露开放日的基金份额净值和基金份额累计净值。</w:t>
      </w:r>
    </w:p>
    <w:p w:rsidR="00C63A24" w:rsidRPr="009802E0" w:rsidRDefault="001519E7" w:rsidP="001519E7">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基金管理人应当在不晚于半年度和年度最后一日的次日，在指定网站披露半年度和年度最后一日的基金份额净值和基金份额累计净值。</w:t>
      </w:r>
    </w:p>
    <w:p w:rsidR="00B43AC4" w:rsidRPr="009802E0" w:rsidRDefault="00AB6EE6"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5</w:t>
      </w:r>
      <w:r w:rsidR="004E552C" w:rsidRPr="009802E0">
        <w:rPr>
          <w:rFonts w:asciiTheme="minorEastAsia" w:eastAsiaTheme="minorEastAsia" w:hAnsiTheme="minorEastAsia" w:hint="eastAsia"/>
        </w:rPr>
        <w:t>、</w:t>
      </w:r>
      <w:r w:rsidR="00B43AC4" w:rsidRPr="009802E0">
        <w:rPr>
          <w:rFonts w:asciiTheme="minorEastAsia" w:eastAsiaTheme="minorEastAsia" w:hAnsiTheme="minorEastAsia" w:hint="eastAsia"/>
        </w:rPr>
        <w:t>基金份额申购、赎回价格</w:t>
      </w:r>
    </w:p>
    <w:p w:rsidR="00B43AC4" w:rsidRPr="009802E0" w:rsidRDefault="001519E7"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1519E7" w:rsidRPr="009802E0" w:rsidRDefault="00AB6EE6" w:rsidP="001519E7">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6</w:t>
      </w:r>
      <w:r w:rsidR="004E552C" w:rsidRPr="009802E0">
        <w:rPr>
          <w:rFonts w:asciiTheme="minorEastAsia" w:eastAsiaTheme="minorEastAsia" w:hAnsiTheme="minorEastAsia" w:hint="eastAsia"/>
        </w:rPr>
        <w:t>、</w:t>
      </w:r>
      <w:r w:rsidR="001519E7" w:rsidRPr="009802E0">
        <w:rPr>
          <w:rFonts w:asciiTheme="minorEastAsia" w:eastAsiaTheme="minorEastAsia" w:hAnsiTheme="minorEastAsia" w:hint="eastAsia"/>
        </w:rPr>
        <w:t>基金定期报告，包括基金年度报告、基金中期报告和基金季度报告</w:t>
      </w:r>
    </w:p>
    <w:p w:rsidR="001519E7" w:rsidRPr="009802E0" w:rsidRDefault="001519E7" w:rsidP="001519E7">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1519E7" w:rsidRPr="009802E0" w:rsidRDefault="001519E7" w:rsidP="001519E7">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基金管理人应当在上半年结束之日起两个月内，编制完成基金中期报告，将中期报告登载在指定网站上，并将中期报告提示性公告登载在指定报刊上。</w:t>
      </w:r>
    </w:p>
    <w:p w:rsidR="001519E7" w:rsidRPr="009802E0" w:rsidRDefault="001519E7" w:rsidP="001519E7">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基金管理人应当在季度结束之日起15个工作日内，编制完成基金季度报告，将季度报告登载在指定网站上，并将季度报告提示性公告登载在指定报刊上。</w:t>
      </w:r>
    </w:p>
    <w:p w:rsidR="001519E7" w:rsidRPr="009802E0" w:rsidRDefault="001519E7" w:rsidP="001519E7">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《基金合同》生效不足2个月的，基金管理人可以不编制当期季度报告、中期报告或者年度报告。</w:t>
      </w:r>
    </w:p>
    <w:p w:rsidR="001519E7" w:rsidRPr="009802E0" w:rsidRDefault="001519E7" w:rsidP="001519E7">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A10BE0" w:rsidRPr="009802E0" w:rsidRDefault="001519E7" w:rsidP="001519E7">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rPr>
        <w:t>基金管理人应当在基金年度报告和中期报告中披露基金组合资产情况及其流动性风险分析等。</w:t>
      </w:r>
    </w:p>
    <w:p w:rsidR="00B43AC4" w:rsidRPr="009802E0" w:rsidRDefault="00AB6EE6"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kern w:val="0"/>
          <w:szCs w:val="21"/>
        </w:rPr>
        <w:t>7</w:t>
      </w:r>
      <w:r w:rsidR="004E552C" w:rsidRPr="009802E0">
        <w:rPr>
          <w:rFonts w:asciiTheme="minorEastAsia" w:eastAsiaTheme="minorEastAsia" w:hAnsiTheme="minorEastAsia" w:hint="eastAsia"/>
          <w:kern w:val="0"/>
          <w:szCs w:val="21"/>
        </w:rPr>
        <w:t>、</w:t>
      </w:r>
      <w:r w:rsidR="00B43AC4" w:rsidRPr="009802E0">
        <w:rPr>
          <w:rFonts w:asciiTheme="minorEastAsia" w:eastAsiaTheme="minorEastAsia" w:hAnsiTheme="minorEastAsia" w:hint="eastAsia"/>
        </w:rPr>
        <w:t>临时报告</w:t>
      </w:r>
    </w:p>
    <w:p w:rsidR="001519E7" w:rsidRPr="009802E0" w:rsidRDefault="001519E7" w:rsidP="001519E7">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本基金发生重大事件，有关信息披露义务人应当在2日内编制临时报告书，并登载在指定报刊和指定网站上。</w:t>
      </w:r>
    </w:p>
    <w:p w:rsidR="001519E7" w:rsidRPr="009802E0" w:rsidRDefault="001519E7" w:rsidP="001519E7">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前款所称重大事件，是指可能对基金份额持有人权益或者基金份额的价格产生重大影响的下列事件：</w:t>
      </w:r>
    </w:p>
    <w:p w:rsidR="001519E7" w:rsidRPr="009802E0" w:rsidRDefault="001519E7" w:rsidP="001519E7">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（1）基金份额持有人大会的召开及决定的事项；</w:t>
      </w:r>
    </w:p>
    <w:p w:rsidR="001519E7" w:rsidRPr="009802E0" w:rsidRDefault="001519E7" w:rsidP="001519E7">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lastRenderedPageBreak/>
        <w:t>（2）基金合同终止、基金清算；</w:t>
      </w:r>
    </w:p>
    <w:p w:rsidR="001519E7" w:rsidRPr="009802E0" w:rsidRDefault="001519E7" w:rsidP="001519E7">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（3）转换基金运作方式、基金合并；</w:t>
      </w:r>
    </w:p>
    <w:p w:rsidR="001519E7" w:rsidRPr="009802E0" w:rsidRDefault="001519E7" w:rsidP="001519E7">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（4）更换基金管理人、基金托管人、基金份额登记机构，基金改聘会计师事务所；</w:t>
      </w:r>
    </w:p>
    <w:p w:rsidR="001519E7" w:rsidRPr="009802E0" w:rsidRDefault="001519E7" w:rsidP="001519E7">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（5）基金管理人委托基金服务机构代为办理基金的份额登记、核算、估值等事项，基金托管人委托基金服务机构代为办理基金的核算、估值、复核等事项；</w:t>
      </w:r>
    </w:p>
    <w:p w:rsidR="001519E7" w:rsidRPr="009802E0" w:rsidRDefault="001519E7" w:rsidP="001519E7">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（6）基金管理人、基金托管人的法定名称、住所发生变更；</w:t>
      </w:r>
    </w:p>
    <w:p w:rsidR="001519E7" w:rsidRPr="009802E0" w:rsidRDefault="001519E7" w:rsidP="001519E7">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（7）基金管理公司变更持有百分之五以上股权的股东、基金管理人的实际控制人变更；</w:t>
      </w:r>
    </w:p>
    <w:p w:rsidR="001519E7" w:rsidRPr="009802E0" w:rsidRDefault="001519E7" w:rsidP="001519E7">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（8）基金募集期延长或提前结束募集；</w:t>
      </w:r>
    </w:p>
    <w:p w:rsidR="001519E7" w:rsidRPr="009802E0" w:rsidRDefault="001519E7" w:rsidP="001519E7">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（9）基金管理人的高级管理人员、基金经理和基金托管人专门基金托管部门负责人发生变动；</w:t>
      </w:r>
    </w:p>
    <w:p w:rsidR="001519E7" w:rsidRPr="009802E0" w:rsidRDefault="001519E7" w:rsidP="001519E7">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（10）基金管理人的董事在最近12个月内变更超过百分之五十，基金管理人、基金托管人专门基金托管部门的主要业务人员在最近12个月内变动超过百分之三十；</w:t>
      </w:r>
    </w:p>
    <w:p w:rsidR="001519E7" w:rsidRPr="009802E0" w:rsidRDefault="001519E7" w:rsidP="001519E7">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（11）涉及基金管理人、基金财产、基金托管业务的诉讼；</w:t>
      </w:r>
    </w:p>
    <w:p w:rsidR="001519E7" w:rsidRPr="009802E0" w:rsidRDefault="001519E7" w:rsidP="001519E7">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（12）基金管理人或其高级管理人员、基金经理因基金管理业务相关行为受到重大行政处罚、刑事处罚，基金托管人或其专门基金托管部门负责人因基金托管业务相关行为受到重大行政处罚、刑事处罚；</w:t>
      </w:r>
    </w:p>
    <w:p w:rsidR="001519E7" w:rsidRPr="009802E0" w:rsidRDefault="001519E7" w:rsidP="001519E7">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1519E7" w:rsidRPr="009802E0" w:rsidRDefault="001519E7" w:rsidP="001519E7">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（14）基金收益分配事项；</w:t>
      </w:r>
    </w:p>
    <w:p w:rsidR="001519E7" w:rsidRPr="009802E0" w:rsidRDefault="001519E7" w:rsidP="001519E7">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（15）管理费、托管费、销售服务费、申购费、赎回费等费用计提标准、计提方式和费率发生变更；</w:t>
      </w:r>
    </w:p>
    <w:p w:rsidR="001519E7" w:rsidRPr="009802E0" w:rsidRDefault="001519E7" w:rsidP="001519E7">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（16）基金份额净值计价错误达基金份额净值百分之零点五；</w:t>
      </w:r>
    </w:p>
    <w:p w:rsidR="001519E7" w:rsidRPr="009802E0" w:rsidRDefault="001519E7" w:rsidP="001519E7">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（17）本基金开始办理申购、赎回；</w:t>
      </w:r>
    </w:p>
    <w:p w:rsidR="001519E7" w:rsidRPr="009802E0" w:rsidRDefault="001519E7" w:rsidP="001519E7">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（18）本基金暂停接受申购、赎回申请或重新接受申购、赎回申请；</w:t>
      </w:r>
    </w:p>
    <w:p w:rsidR="001519E7" w:rsidRPr="009802E0" w:rsidRDefault="001519E7" w:rsidP="001519E7">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（19）调整基金份额类别的设置；</w:t>
      </w:r>
    </w:p>
    <w:p w:rsidR="001519E7" w:rsidRPr="009802E0" w:rsidRDefault="001519E7" w:rsidP="001519E7">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（20）基金推出新业务或服务；</w:t>
      </w:r>
    </w:p>
    <w:p w:rsidR="00B43AC4" w:rsidRPr="009802E0" w:rsidRDefault="001519E7"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（21）基金信息披露义务人认为可能对基金份额持有人权益或者基金份额的价格产生重大影响的其他事项或中国证监会规定的其他事项。</w:t>
      </w:r>
    </w:p>
    <w:p w:rsidR="00B43AC4" w:rsidRPr="009802E0" w:rsidRDefault="00AB6EE6"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8</w:t>
      </w:r>
      <w:r w:rsidR="004E552C" w:rsidRPr="009802E0">
        <w:rPr>
          <w:rFonts w:asciiTheme="minorEastAsia" w:eastAsiaTheme="minorEastAsia" w:hAnsiTheme="minorEastAsia" w:hint="eastAsia"/>
        </w:rPr>
        <w:t>、</w:t>
      </w:r>
      <w:r w:rsidR="00B43AC4" w:rsidRPr="009802E0">
        <w:rPr>
          <w:rFonts w:asciiTheme="minorEastAsia" w:eastAsiaTheme="minorEastAsia" w:hAnsiTheme="minorEastAsia" w:hint="eastAsia"/>
        </w:rPr>
        <w:t>澄清公告</w:t>
      </w:r>
    </w:p>
    <w:p w:rsidR="005D45B5" w:rsidRPr="009802E0" w:rsidRDefault="005D45B5" w:rsidP="005D45B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5D45B5" w:rsidRPr="009802E0" w:rsidRDefault="005D45B5" w:rsidP="00640F1C">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9、清算报告</w:t>
      </w:r>
    </w:p>
    <w:p w:rsidR="00B43AC4" w:rsidRPr="009802E0" w:rsidRDefault="005D45B5" w:rsidP="005D45B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lastRenderedPageBreak/>
        <w:t>基金合同终止的，基金管理人应当依法组织基金财产清算小组对基金财产进行清算并作出清算报告。基金财产清算小组应当将清算报告登载在指定网站上，并将清算报告提示性公告登载在指定报刊上。</w:t>
      </w:r>
    </w:p>
    <w:p w:rsidR="00B43AC4" w:rsidRPr="009802E0" w:rsidRDefault="005D45B5"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10</w:t>
      </w:r>
      <w:r w:rsidR="004E552C" w:rsidRPr="009802E0">
        <w:rPr>
          <w:rFonts w:asciiTheme="minorEastAsia" w:eastAsiaTheme="minorEastAsia" w:hAnsiTheme="minorEastAsia" w:hint="eastAsia"/>
        </w:rPr>
        <w:t>、</w:t>
      </w:r>
      <w:r w:rsidR="00B43AC4" w:rsidRPr="009802E0">
        <w:rPr>
          <w:rFonts w:asciiTheme="minorEastAsia" w:eastAsiaTheme="minorEastAsia" w:hAnsiTheme="minorEastAsia" w:hint="eastAsia"/>
        </w:rPr>
        <w:t>基金份额持有人大会决议</w:t>
      </w:r>
    </w:p>
    <w:p w:rsidR="00B43AC4" w:rsidRPr="009802E0" w:rsidRDefault="00B43AC4"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基金份额持有人大会决定的事项，应当依法报</w:t>
      </w:r>
      <w:r w:rsidR="00AC3C1D" w:rsidRPr="009802E0">
        <w:rPr>
          <w:rFonts w:asciiTheme="minorEastAsia" w:eastAsiaTheme="minorEastAsia" w:hAnsiTheme="minorEastAsia" w:hint="eastAsia"/>
          <w:kern w:val="0"/>
          <w:szCs w:val="21"/>
        </w:rPr>
        <w:t>中国证监会</w:t>
      </w:r>
      <w:r w:rsidRPr="009802E0">
        <w:rPr>
          <w:rFonts w:asciiTheme="minorEastAsia" w:eastAsiaTheme="minorEastAsia" w:hAnsiTheme="minorEastAsia" w:hint="eastAsia"/>
          <w:kern w:val="0"/>
          <w:szCs w:val="21"/>
        </w:rPr>
        <w:t>核准或者备案，并予以公告。召开基金份额持有人大会的，召集人应当至少提前4</w:t>
      </w:r>
      <w:r w:rsidRPr="009802E0">
        <w:rPr>
          <w:rFonts w:asciiTheme="minorEastAsia" w:eastAsiaTheme="minorEastAsia" w:hAnsiTheme="minorEastAsia"/>
          <w:kern w:val="0"/>
          <w:szCs w:val="21"/>
        </w:rPr>
        <w:t>0</w:t>
      </w:r>
      <w:r w:rsidRPr="009802E0">
        <w:rPr>
          <w:rFonts w:asciiTheme="minorEastAsia" w:eastAsiaTheme="minorEastAsia" w:hAnsiTheme="minorEastAsia" w:hint="eastAsia"/>
          <w:kern w:val="0"/>
          <w:szCs w:val="21"/>
        </w:rPr>
        <w:t>日公告基金份额持有人大会的召开时间、会议形式、审议事项、议事程序和表决方式等事项。</w:t>
      </w:r>
    </w:p>
    <w:p w:rsidR="00B43AC4" w:rsidRPr="009802E0" w:rsidRDefault="00B43AC4"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基金份额持有人依法自行召集基金份额持有人大会，基金管理人、基金托管人对基金份额持有人大会决定的事项不依法履行信息披露义务的，召集人应当履行相关信息披露义务。</w:t>
      </w:r>
    </w:p>
    <w:p w:rsidR="00B43AC4" w:rsidRPr="009802E0" w:rsidRDefault="00AB6EE6"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w:t>
      </w:r>
      <w:r w:rsidR="005D45B5" w:rsidRPr="009802E0">
        <w:rPr>
          <w:rFonts w:asciiTheme="minorEastAsia" w:eastAsiaTheme="minorEastAsia" w:hAnsiTheme="minorEastAsia" w:hint="eastAsia"/>
          <w:kern w:val="0"/>
          <w:szCs w:val="21"/>
        </w:rPr>
        <w:t>1</w:t>
      </w:r>
      <w:r w:rsidR="004E552C" w:rsidRPr="009802E0">
        <w:rPr>
          <w:rFonts w:asciiTheme="minorEastAsia" w:eastAsiaTheme="minorEastAsia" w:hAnsiTheme="minorEastAsia" w:hint="eastAsia"/>
          <w:kern w:val="0"/>
          <w:szCs w:val="21"/>
        </w:rPr>
        <w:t>、</w:t>
      </w:r>
      <w:r w:rsidR="00B43AC4" w:rsidRPr="009802E0">
        <w:rPr>
          <w:rFonts w:asciiTheme="minorEastAsia" w:eastAsiaTheme="minorEastAsia" w:hAnsiTheme="minorEastAsia" w:hint="eastAsia"/>
          <w:kern w:val="0"/>
          <w:szCs w:val="21"/>
        </w:rPr>
        <w:t>中国证监会规定的其他信息。</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bCs/>
        </w:rPr>
      </w:pPr>
      <w:bookmarkStart w:id="143" w:name="_Toc43301961"/>
      <w:r w:rsidRPr="009802E0">
        <w:rPr>
          <w:rFonts w:asciiTheme="minorEastAsia" w:eastAsiaTheme="minorEastAsia" w:hAnsiTheme="minorEastAsia" w:hint="eastAsia"/>
          <w:b w:val="0"/>
        </w:rPr>
        <w:t>（三）信息披露文件的存放与查阅</w:t>
      </w:r>
      <w:bookmarkEnd w:id="143"/>
    </w:p>
    <w:p w:rsidR="00B43AC4" w:rsidRPr="009802E0" w:rsidRDefault="005D45B5" w:rsidP="00FE018D">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依法必须披露的信息发布后，基金管理人、基金托管人应当按照相关法律法规规定将信息置备于公司办公场所，供社会公众查阅、复制。</w:t>
      </w:r>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rPr>
      </w:pPr>
    </w:p>
    <w:p w:rsidR="00B43AC4" w:rsidRPr="009802E0" w:rsidRDefault="00B43AC4" w:rsidP="00FE018D">
      <w:pPr>
        <w:adjustRightInd w:val="0"/>
        <w:snapToGrid w:val="0"/>
        <w:spacing w:line="360" w:lineRule="auto"/>
        <w:ind w:firstLine="480"/>
        <w:rPr>
          <w:rFonts w:asciiTheme="minorEastAsia" w:eastAsiaTheme="minorEastAsia" w:hAnsiTheme="minorEastAsia"/>
        </w:rPr>
      </w:pPr>
    </w:p>
    <w:p w:rsidR="00B43AC4" w:rsidRPr="009802E0" w:rsidRDefault="00B43AC4" w:rsidP="00FE018D">
      <w:pPr>
        <w:adjustRightInd w:val="0"/>
        <w:snapToGrid w:val="0"/>
        <w:spacing w:line="360" w:lineRule="auto"/>
        <w:ind w:firstLine="480"/>
        <w:rPr>
          <w:rFonts w:asciiTheme="minorEastAsia" w:eastAsiaTheme="minorEastAsia" w:hAnsiTheme="minorEastAsia"/>
        </w:rPr>
      </w:pPr>
    </w:p>
    <w:p w:rsidR="00B43AC4" w:rsidRPr="009802E0" w:rsidRDefault="00B43AC4" w:rsidP="00FE018D">
      <w:pPr>
        <w:adjustRightInd w:val="0"/>
        <w:snapToGrid w:val="0"/>
        <w:spacing w:line="360" w:lineRule="auto"/>
        <w:ind w:firstLine="480"/>
        <w:rPr>
          <w:rFonts w:asciiTheme="minorEastAsia" w:eastAsiaTheme="minorEastAsia" w:hAnsiTheme="minorEastAsia"/>
        </w:rPr>
      </w:pPr>
    </w:p>
    <w:p w:rsidR="00B43AC4" w:rsidRPr="009802E0" w:rsidRDefault="00B43AC4" w:rsidP="00FE018D">
      <w:pPr>
        <w:adjustRightInd w:val="0"/>
        <w:snapToGrid w:val="0"/>
        <w:spacing w:line="360" w:lineRule="auto"/>
        <w:ind w:firstLine="480"/>
        <w:rPr>
          <w:rFonts w:asciiTheme="minorEastAsia" w:eastAsiaTheme="minorEastAsia" w:hAnsiTheme="minorEastAsia"/>
        </w:rPr>
      </w:pPr>
    </w:p>
    <w:p w:rsidR="00B43AC4" w:rsidRPr="009802E0" w:rsidRDefault="00B43AC4" w:rsidP="00FE018D">
      <w:pPr>
        <w:adjustRightInd w:val="0"/>
        <w:snapToGrid w:val="0"/>
        <w:spacing w:line="360" w:lineRule="auto"/>
        <w:ind w:firstLine="480"/>
        <w:rPr>
          <w:rFonts w:asciiTheme="minorEastAsia" w:eastAsiaTheme="minorEastAsia" w:hAnsiTheme="minorEastAsia"/>
        </w:rPr>
      </w:pPr>
    </w:p>
    <w:p w:rsidR="00B43AC4" w:rsidRPr="009802E0" w:rsidRDefault="00B43AC4" w:rsidP="00FE018D">
      <w:pPr>
        <w:adjustRightInd w:val="0"/>
        <w:snapToGrid w:val="0"/>
        <w:spacing w:line="360" w:lineRule="auto"/>
        <w:ind w:firstLine="480"/>
        <w:rPr>
          <w:rFonts w:asciiTheme="minorEastAsia" w:eastAsiaTheme="minorEastAsia" w:hAnsiTheme="minorEastAsia"/>
        </w:rPr>
      </w:pPr>
    </w:p>
    <w:p w:rsidR="00B43AC4" w:rsidRPr="009802E0" w:rsidRDefault="00B43AC4" w:rsidP="00FE018D">
      <w:pPr>
        <w:pStyle w:val="1"/>
        <w:adjustRightInd w:val="0"/>
        <w:snapToGrid w:val="0"/>
        <w:spacing w:beforeLines="0" w:afterLines="0" w:line="360" w:lineRule="auto"/>
        <w:ind w:firstLine="600"/>
        <w:rPr>
          <w:rFonts w:asciiTheme="minorEastAsia" w:eastAsiaTheme="minorEastAsia" w:hAnsiTheme="minorEastAsia"/>
          <w:b/>
        </w:rPr>
      </w:pPr>
      <w:r w:rsidRPr="009802E0">
        <w:rPr>
          <w:rFonts w:asciiTheme="minorEastAsia" w:eastAsiaTheme="minorEastAsia" w:hAnsiTheme="minorEastAsia"/>
          <w:sz w:val="30"/>
        </w:rPr>
        <w:br w:type="column"/>
      </w:r>
      <w:bookmarkStart w:id="144" w:name="_Toc43301962"/>
      <w:r w:rsidR="0055286C" w:rsidRPr="009802E0">
        <w:rPr>
          <w:rFonts w:asciiTheme="minorEastAsia" w:eastAsiaTheme="minorEastAsia" w:hAnsiTheme="minorEastAsia" w:hint="eastAsia"/>
          <w:b/>
          <w:sz w:val="30"/>
        </w:rPr>
        <w:lastRenderedPageBreak/>
        <w:t>十九</w:t>
      </w:r>
      <w:r w:rsidRPr="009802E0">
        <w:rPr>
          <w:rFonts w:asciiTheme="minorEastAsia" w:eastAsiaTheme="minorEastAsia" w:hAnsiTheme="minorEastAsia" w:hint="eastAsia"/>
          <w:b/>
          <w:sz w:val="30"/>
        </w:rPr>
        <w:t>、风险揭示</w:t>
      </w:r>
      <w:bookmarkEnd w:id="144"/>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cs="TT54AB0ED3tCID-WinCharSetFFFF-H"/>
          <w:kern w:val="0"/>
        </w:rPr>
      </w:pPr>
      <w:bookmarkStart w:id="145" w:name="_Toc43301963"/>
      <w:r w:rsidRPr="009802E0">
        <w:rPr>
          <w:rFonts w:asciiTheme="minorEastAsia" w:eastAsiaTheme="minorEastAsia" w:hAnsiTheme="minorEastAsia" w:hint="eastAsia"/>
          <w:b w:val="0"/>
        </w:rPr>
        <w:t>（一）市场风险</w:t>
      </w:r>
      <w:bookmarkEnd w:id="145"/>
    </w:p>
    <w:p w:rsidR="00B43AC4" w:rsidRPr="009802E0" w:rsidRDefault="00B43AC4"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本基金主要投资于证券市场，而证券市场价格因受到经济因素、政治因素、投资者心理和交易制度等各种因素的影响而产生波动，从而导致基金收益水平发生变化，产生风险。主要的风险因素包括：</w:t>
      </w:r>
    </w:p>
    <w:p w:rsidR="00B43AC4" w:rsidRPr="009802E0" w:rsidRDefault="00B43AC4"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kern w:val="0"/>
          <w:szCs w:val="21"/>
        </w:rPr>
        <w:t>1</w:t>
      </w:r>
      <w:r w:rsidR="004E552C"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政策</w:t>
      </w:r>
      <w:r w:rsidRPr="009802E0">
        <w:rPr>
          <w:rFonts w:asciiTheme="minorEastAsia" w:eastAsiaTheme="minorEastAsia" w:hAnsiTheme="minorEastAsia" w:hint="eastAsia"/>
        </w:rPr>
        <w:t>风险</w:t>
      </w:r>
    </w:p>
    <w:p w:rsidR="00B43AC4" w:rsidRPr="009802E0" w:rsidRDefault="00B43AC4"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因国家宏观政策（如货币政策、财政政策、行业政策、地区发展政策等）发生变化，导致市场价格波动而产生风险。</w:t>
      </w:r>
    </w:p>
    <w:p w:rsidR="00B43AC4" w:rsidRPr="009802E0" w:rsidRDefault="00B43AC4"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rPr>
        <w:t>2</w:t>
      </w:r>
      <w:r w:rsidR="004E552C" w:rsidRPr="009802E0">
        <w:rPr>
          <w:rFonts w:asciiTheme="minorEastAsia" w:eastAsiaTheme="minorEastAsia" w:hAnsiTheme="minorEastAsia" w:hint="eastAsia"/>
        </w:rPr>
        <w:t>、</w:t>
      </w:r>
      <w:r w:rsidRPr="009802E0">
        <w:rPr>
          <w:rFonts w:asciiTheme="minorEastAsia" w:eastAsiaTheme="minorEastAsia" w:hAnsiTheme="minorEastAsia" w:hint="eastAsia"/>
        </w:rPr>
        <w:t>利率风险</w:t>
      </w:r>
    </w:p>
    <w:p w:rsidR="00B43AC4" w:rsidRPr="009802E0" w:rsidRDefault="00B43AC4"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利率风险主要是指因金融市场利率的波动而导致证券市场价格和收益率变动的风险。利率直接影响着债券的价格和收益率，影响着企业的融资成本和利润。本基金主要投资方向包括债券、票据和银行存款，其收益水平直接受到利率变化的影响。</w:t>
      </w:r>
    </w:p>
    <w:p w:rsidR="00B43AC4" w:rsidRPr="009802E0" w:rsidRDefault="00B43AC4"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rPr>
        <w:t>3</w:t>
      </w:r>
      <w:r w:rsidR="004E552C" w:rsidRPr="009802E0">
        <w:rPr>
          <w:rFonts w:asciiTheme="minorEastAsia" w:eastAsiaTheme="minorEastAsia" w:hAnsiTheme="minorEastAsia" w:hint="eastAsia"/>
        </w:rPr>
        <w:t>、</w:t>
      </w:r>
      <w:r w:rsidRPr="009802E0">
        <w:rPr>
          <w:rFonts w:asciiTheme="minorEastAsia" w:eastAsiaTheme="minorEastAsia" w:hAnsiTheme="minorEastAsia" w:hint="eastAsia"/>
        </w:rPr>
        <w:t>再投资风险</w:t>
      </w:r>
    </w:p>
    <w:p w:rsidR="00B43AC4" w:rsidRPr="009802E0" w:rsidRDefault="00B43AC4"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债券、票据偿付本息后以及回购到期后可能由于市场利率的下降面临资金再投资的收益率低于原来利率，由此本基金面临再投资风险。</w:t>
      </w:r>
    </w:p>
    <w:p w:rsidR="00B43AC4" w:rsidRPr="009802E0" w:rsidRDefault="00B43AC4"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rPr>
        <w:t>4</w:t>
      </w:r>
      <w:r w:rsidR="004E552C" w:rsidRPr="009802E0">
        <w:rPr>
          <w:rFonts w:asciiTheme="minorEastAsia" w:eastAsiaTheme="minorEastAsia" w:hAnsiTheme="minorEastAsia" w:hint="eastAsia"/>
        </w:rPr>
        <w:t>、</w:t>
      </w:r>
      <w:r w:rsidRPr="009802E0">
        <w:rPr>
          <w:rFonts w:asciiTheme="minorEastAsia" w:eastAsiaTheme="minorEastAsia" w:hAnsiTheme="minorEastAsia" w:hint="eastAsia"/>
        </w:rPr>
        <w:t>信用风险</w:t>
      </w:r>
    </w:p>
    <w:p w:rsidR="00B43AC4" w:rsidRPr="009802E0" w:rsidRDefault="002F1F6F"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债券发行人不能按期还本付息或回购交易中交易对手在回购到期履行交割责任时，不能偿还全部或部分证券或价款，都可能使本基金面临信用风险。</w:t>
      </w:r>
    </w:p>
    <w:p w:rsidR="00B43AC4" w:rsidRPr="009802E0" w:rsidRDefault="004E552C"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rPr>
        <w:t>5</w:t>
      </w:r>
      <w:r w:rsidRPr="009802E0">
        <w:rPr>
          <w:rFonts w:asciiTheme="minorEastAsia" w:eastAsiaTheme="minorEastAsia" w:hAnsiTheme="minorEastAsia" w:hint="eastAsia"/>
        </w:rPr>
        <w:t>、</w:t>
      </w:r>
      <w:r w:rsidR="007559FC" w:rsidRPr="009802E0">
        <w:rPr>
          <w:rFonts w:asciiTheme="minorEastAsia" w:eastAsiaTheme="minorEastAsia" w:hAnsiTheme="minorEastAsia" w:hint="eastAsia"/>
        </w:rPr>
        <w:t>股票市场</w:t>
      </w:r>
      <w:r w:rsidR="00B43AC4" w:rsidRPr="009802E0">
        <w:rPr>
          <w:rFonts w:asciiTheme="minorEastAsia" w:eastAsiaTheme="minorEastAsia" w:hAnsiTheme="minorEastAsia" w:hint="eastAsia"/>
        </w:rPr>
        <w:t>风险</w:t>
      </w:r>
    </w:p>
    <w:p w:rsidR="00B43AC4" w:rsidRPr="009802E0" w:rsidRDefault="00D10A71"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如果股票市场下跌，本基金</w:t>
      </w:r>
      <w:r w:rsidR="00BE26B5" w:rsidRPr="009802E0">
        <w:rPr>
          <w:rFonts w:asciiTheme="minorEastAsia" w:eastAsiaTheme="minorEastAsia" w:hAnsiTheme="minorEastAsia" w:hint="eastAsia"/>
        </w:rPr>
        <w:t>持有</w:t>
      </w:r>
      <w:r w:rsidRPr="009802E0">
        <w:rPr>
          <w:rFonts w:asciiTheme="minorEastAsia" w:eastAsiaTheme="minorEastAsia" w:hAnsiTheme="minorEastAsia" w:hint="eastAsia"/>
        </w:rPr>
        <w:t>股票部分将面临下跌风险。另外，</w:t>
      </w:r>
      <w:r w:rsidR="00B43AC4" w:rsidRPr="009802E0">
        <w:rPr>
          <w:rFonts w:asciiTheme="minorEastAsia" w:eastAsiaTheme="minorEastAsia" w:hAnsiTheme="minorEastAsia" w:hint="eastAsia"/>
        </w:rPr>
        <w:t>如果新股发行数量减少或新股申购收益率降低，本基金将面临收益率降低的风险。尤其当新股上市价格跌破发行价格时，新股申购将可能出现亏损。</w:t>
      </w:r>
    </w:p>
    <w:p w:rsidR="00B43AC4" w:rsidRPr="009802E0" w:rsidRDefault="004E552C"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rPr>
        <w:t>6</w:t>
      </w:r>
      <w:r w:rsidRPr="009802E0">
        <w:rPr>
          <w:rFonts w:asciiTheme="minorEastAsia" w:eastAsiaTheme="minorEastAsia" w:hAnsiTheme="minorEastAsia" w:hint="eastAsia"/>
        </w:rPr>
        <w:t>、</w:t>
      </w:r>
      <w:r w:rsidR="00B43AC4" w:rsidRPr="009802E0">
        <w:rPr>
          <w:rFonts w:asciiTheme="minorEastAsia" w:eastAsiaTheme="minorEastAsia" w:hAnsiTheme="minorEastAsia" w:hint="eastAsia"/>
        </w:rPr>
        <w:t>经营风险</w:t>
      </w:r>
    </w:p>
    <w:p w:rsidR="00B43AC4" w:rsidRPr="009802E0" w:rsidRDefault="00B43AC4" w:rsidP="007A5FD3">
      <w:pPr>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公司的经营活动受多种因素影响</w:t>
      </w:r>
      <w:r w:rsidR="002F1F6F" w:rsidRPr="009802E0">
        <w:rPr>
          <w:rFonts w:asciiTheme="minorEastAsia" w:eastAsiaTheme="minorEastAsia" w:hAnsiTheme="minorEastAsia" w:cs="宋体" w:hint="eastAsia"/>
          <w:kern w:val="0"/>
          <w:szCs w:val="21"/>
        </w:rPr>
        <w:t>，如管理能力、行业竞争、市场前景、技术更新、新产品研究开发等都会导致公司盈利发生变化。如果基金所投资的公司经营不善，</w:t>
      </w:r>
      <w:r w:rsidRPr="009802E0">
        <w:rPr>
          <w:rFonts w:asciiTheme="minorEastAsia" w:eastAsiaTheme="minorEastAsia" w:hAnsiTheme="minorEastAsia" w:hint="eastAsia"/>
          <w:kern w:val="0"/>
          <w:szCs w:val="21"/>
        </w:rPr>
        <w:t>其债券价格可能下跌；同时，其偿债能力也会受到影响。</w:t>
      </w:r>
    </w:p>
    <w:p w:rsidR="00213D2A" w:rsidRPr="009802E0" w:rsidRDefault="00213D2A" w:rsidP="007A5FD3">
      <w:pPr>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kern w:val="0"/>
          <w:szCs w:val="21"/>
        </w:rPr>
        <w:t>7</w:t>
      </w:r>
      <w:r w:rsidRPr="009802E0">
        <w:rPr>
          <w:rFonts w:asciiTheme="minorEastAsia" w:eastAsiaTheme="minorEastAsia" w:hAnsiTheme="minorEastAsia" w:hint="eastAsia"/>
          <w:kern w:val="0"/>
          <w:szCs w:val="21"/>
        </w:rPr>
        <w:t>、购买力风险</w:t>
      </w:r>
    </w:p>
    <w:p w:rsidR="00213D2A" w:rsidRPr="009802E0" w:rsidRDefault="00213D2A" w:rsidP="007A5FD3">
      <w:pPr>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如果发生通货膨胀，基金投资于证券所获得的收益可能会被通货膨胀抵消，从而影响基金资产的实际收益率。</w:t>
      </w:r>
    </w:p>
    <w:p w:rsidR="00213D2A" w:rsidRPr="009802E0" w:rsidRDefault="00213D2A" w:rsidP="007A5FD3">
      <w:pPr>
        <w:spacing w:line="360" w:lineRule="auto"/>
        <w:ind w:firstLine="420"/>
        <w:rPr>
          <w:rFonts w:asciiTheme="minorEastAsia" w:eastAsiaTheme="minorEastAsia" w:hAnsiTheme="minorEastAsia"/>
        </w:rPr>
      </w:pPr>
      <w:r w:rsidRPr="009802E0">
        <w:rPr>
          <w:rFonts w:asciiTheme="minorEastAsia" w:eastAsiaTheme="minorEastAsia" w:hAnsiTheme="minorEastAsia"/>
          <w:kern w:val="0"/>
          <w:szCs w:val="21"/>
        </w:rPr>
        <w:t>8</w:t>
      </w:r>
      <w:r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rPr>
        <w:t>经济周期风险</w:t>
      </w:r>
    </w:p>
    <w:p w:rsidR="00213D2A" w:rsidRPr="009802E0" w:rsidRDefault="00213D2A" w:rsidP="007A5FD3">
      <w:pPr>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rPr>
        <w:t>随着经济运行的周期性变化，证券市场的收益水平也呈周期性变化，基金投资的收益水平也会随之变化，从而产生风险。</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rPr>
      </w:pPr>
      <w:bookmarkStart w:id="146" w:name="_Toc43301964"/>
      <w:r w:rsidRPr="009802E0">
        <w:rPr>
          <w:rFonts w:asciiTheme="minorEastAsia" w:eastAsiaTheme="minorEastAsia" w:hAnsiTheme="minorEastAsia" w:hint="eastAsia"/>
          <w:b w:val="0"/>
        </w:rPr>
        <w:lastRenderedPageBreak/>
        <w:t>（二）管理风险</w:t>
      </w:r>
      <w:bookmarkEnd w:id="146"/>
    </w:p>
    <w:p w:rsidR="00B43AC4" w:rsidRPr="009802E0" w:rsidRDefault="00B43AC4"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kern w:val="0"/>
          <w:szCs w:val="21"/>
        </w:rPr>
        <w:t>1</w:t>
      </w:r>
      <w:r w:rsidR="004E552C"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在基金管理运作过程中，基金管理人的知识、经验、判断、决策、技能等，会影响其对信息的占有以及对经济形势、证券价格走势的判断，从而影响基金收益水平；</w:t>
      </w:r>
    </w:p>
    <w:p w:rsidR="00B43AC4" w:rsidRPr="009802E0" w:rsidRDefault="00B43AC4"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kern w:val="0"/>
          <w:szCs w:val="21"/>
        </w:rPr>
        <w:t>2</w:t>
      </w:r>
      <w:r w:rsidR="004E552C"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基金管理人</w:t>
      </w:r>
      <w:r w:rsidR="002F1F6F" w:rsidRPr="009802E0">
        <w:rPr>
          <w:rFonts w:asciiTheme="minorEastAsia" w:eastAsiaTheme="minorEastAsia" w:hAnsiTheme="minorEastAsia" w:hint="eastAsia"/>
          <w:kern w:val="0"/>
          <w:szCs w:val="21"/>
        </w:rPr>
        <w:t>和基金托管人</w:t>
      </w:r>
      <w:r w:rsidRPr="009802E0">
        <w:rPr>
          <w:rFonts w:asciiTheme="minorEastAsia" w:eastAsiaTheme="minorEastAsia" w:hAnsiTheme="minorEastAsia" w:hint="eastAsia"/>
          <w:kern w:val="0"/>
          <w:szCs w:val="21"/>
        </w:rPr>
        <w:t>的管理手段和管理技术等因素的变化也会影响基金收益水平。</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rPr>
      </w:pPr>
      <w:bookmarkStart w:id="147" w:name="_Toc43301965"/>
      <w:r w:rsidRPr="009802E0">
        <w:rPr>
          <w:rFonts w:asciiTheme="minorEastAsia" w:eastAsiaTheme="minorEastAsia" w:hAnsiTheme="minorEastAsia" w:hint="eastAsia"/>
          <w:b w:val="0"/>
        </w:rPr>
        <w:t>（三）流动性风险</w:t>
      </w:r>
      <w:bookmarkEnd w:id="147"/>
    </w:p>
    <w:p w:rsidR="00A10BE0" w:rsidRPr="009802E0" w:rsidRDefault="00A10BE0" w:rsidP="00A10BE0">
      <w:pPr>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rPr>
        <w:t>1</w:t>
      </w:r>
      <w:r w:rsidRPr="009802E0">
        <w:rPr>
          <w:rFonts w:asciiTheme="minorEastAsia" w:eastAsiaTheme="minorEastAsia" w:hAnsiTheme="minorEastAsia" w:hint="eastAsia"/>
        </w:rPr>
        <w:t>、流动性风险评估</w:t>
      </w:r>
    </w:p>
    <w:p w:rsidR="00A10BE0" w:rsidRPr="009802E0" w:rsidRDefault="00A10BE0" w:rsidP="00A10BE0">
      <w:pPr>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本基金为债券型基金，主要投资于债券、股票</w:t>
      </w:r>
      <w:r w:rsidRPr="009802E0">
        <w:rPr>
          <w:rFonts w:asciiTheme="minorEastAsia" w:eastAsiaTheme="minorEastAsia" w:hAnsiTheme="minorEastAsia"/>
        </w:rPr>
        <w:t>、资产</w:t>
      </w:r>
      <w:r w:rsidRPr="009802E0">
        <w:rPr>
          <w:rFonts w:asciiTheme="minorEastAsia" w:eastAsiaTheme="minorEastAsia" w:hAnsiTheme="minorEastAsia" w:hint="eastAsia"/>
        </w:rPr>
        <w:t>支持</w:t>
      </w:r>
      <w:r w:rsidRPr="009802E0">
        <w:rPr>
          <w:rFonts w:asciiTheme="minorEastAsia" w:eastAsiaTheme="minorEastAsia" w:hAnsiTheme="minorEastAsia"/>
        </w:rPr>
        <w:t>证券、银行存款</w:t>
      </w:r>
      <w:r w:rsidRPr="009802E0">
        <w:rPr>
          <w:rFonts w:asciiTheme="minorEastAsia" w:eastAsiaTheme="minorEastAsia" w:hAnsiTheme="minorEastAsia" w:hint="eastAsia"/>
        </w:rPr>
        <w:t>，一般情况下，这些资产市场流动性较好，但不排除在特定阶段、特定市场环境下特定投资标的出现流动性较差的情况。因此，本基金投资于上述资产时，可能存在以下流动性风险：一是基金管理人建仓或进行组合调整时，可能由于特定投资标的流动性相对不足而无法按预期的价格买进或卖出；二是为应付投资者的赎回，基金被迫以不适当的价格卖出股票、债券或其他资产。两者均可能使基金净值受到不利影响。</w:t>
      </w:r>
    </w:p>
    <w:p w:rsidR="00A10BE0" w:rsidRPr="009802E0" w:rsidRDefault="00A10BE0" w:rsidP="00A10BE0">
      <w:pPr>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rPr>
        <w:t>2</w:t>
      </w:r>
      <w:r w:rsidRPr="009802E0">
        <w:rPr>
          <w:rFonts w:asciiTheme="minorEastAsia" w:eastAsiaTheme="minorEastAsia" w:hAnsiTheme="minorEastAsia" w:hint="eastAsia"/>
        </w:rPr>
        <w:t>、巨额赎回情形下的流动性风险管理措施</w:t>
      </w:r>
    </w:p>
    <w:p w:rsidR="00A10BE0" w:rsidRPr="009802E0" w:rsidRDefault="00A10BE0" w:rsidP="00A10BE0">
      <w:pPr>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当本基金出现巨额赎回时，基金管理人可以根据基金当时的资产组合状况决定全额赎回或部分延期赎回；此外，如连续2个开放日以上发生巨额赎回，如基金管理人认为有必要，可暂停接受赎回申请；已经接受的赎回申请可以延缓支付赎回款项，但不得超过20个工作日；当本基金发生巨额赎回且单个基金份额持有人的赎回申请超过上一开放日基金总份额10%的，基金管理人有权对该单个基金份额持有人超出该比例的赎回申请实施延期办理。具体情形、程序见招募说明书“八、基金份额的申购、赎回”之“</w:t>
      </w:r>
      <w:r w:rsidRPr="009802E0">
        <w:rPr>
          <w:rFonts w:asciiTheme="minorEastAsia" w:eastAsiaTheme="minorEastAsia" w:hAnsiTheme="minorEastAsia" w:hint="eastAsia"/>
          <w:szCs w:val="21"/>
        </w:rPr>
        <w:t>（十）巨额赎回的认定及处理方式</w:t>
      </w:r>
      <w:r w:rsidRPr="009802E0">
        <w:rPr>
          <w:rFonts w:asciiTheme="minorEastAsia" w:eastAsiaTheme="minorEastAsia" w:hAnsiTheme="minorEastAsia" w:hint="eastAsia"/>
        </w:rPr>
        <w:t>”</w:t>
      </w:r>
    </w:p>
    <w:p w:rsidR="00A10BE0" w:rsidRPr="009802E0" w:rsidRDefault="00A10BE0" w:rsidP="00A10BE0">
      <w:pPr>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发生上述情形时，投资人面临无法全部赎回或无法及时获得赎回资金的风险。在本基金暂停或延期办理投资者赎回申请的情况下，投资者未能赎回的基金份额还将面临净值波动的风险。</w:t>
      </w:r>
    </w:p>
    <w:p w:rsidR="00A10BE0" w:rsidRPr="009802E0" w:rsidRDefault="00A10BE0" w:rsidP="00A10BE0">
      <w:pPr>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rPr>
        <w:t>3</w:t>
      </w:r>
      <w:r w:rsidRPr="009802E0">
        <w:rPr>
          <w:rFonts w:asciiTheme="minorEastAsia" w:eastAsiaTheme="minorEastAsia" w:hAnsiTheme="minorEastAsia" w:hint="eastAsia"/>
        </w:rPr>
        <w:t>、除巨额赎回情形外实施备用的流动性风险管理工具的情形、程序及对投资者的潜在影响</w:t>
      </w:r>
    </w:p>
    <w:p w:rsidR="00A10BE0" w:rsidRPr="009802E0" w:rsidRDefault="00A10BE0" w:rsidP="00A10BE0">
      <w:pPr>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除巨额赎回情形外，本基金备用流动性风险管理工具包括但不限于暂停接受赎回申请、延缓支付赎回款项、收取短期赎回费、暂停基金估值以及证监会认定的其他措施。</w:t>
      </w:r>
    </w:p>
    <w:p w:rsidR="00A10BE0" w:rsidRPr="009802E0" w:rsidRDefault="00A10BE0" w:rsidP="00A10BE0">
      <w:pPr>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暂停接受赎回申请、延缓支付赎回款项等工具的情形、程序见招募说明书“八、基金份额的申购、赎回”之“</w:t>
      </w:r>
      <w:r w:rsidRPr="009802E0">
        <w:rPr>
          <w:rFonts w:asciiTheme="minorEastAsia" w:eastAsiaTheme="minorEastAsia" w:hAnsiTheme="minorEastAsia" w:hint="eastAsia"/>
          <w:szCs w:val="21"/>
        </w:rPr>
        <w:t>（十一）拒绝或暂停申购、暂停赎回的情形及处理</w:t>
      </w:r>
      <w:r w:rsidRPr="009802E0">
        <w:rPr>
          <w:rFonts w:asciiTheme="minorEastAsia" w:eastAsiaTheme="minorEastAsia" w:hAnsiTheme="minorEastAsia" w:hint="eastAsia"/>
        </w:rPr>
        <w:t>”的相关规定。若本基金暂停赎回申请，投资者在暂停赎回期间将无法赎回其持有的基金份额。若本基金延缓支付赎回款项，赎回款支付时间将后延，可能对投资者的资金安排带来不利影响。</w:t>
      </w:r>
    </w:p>
    <w:p w:rsidR="00A10BE0" w:rsidRPr="009802E0" w:rsidRDefault="00A10BE0" w:rsidP="00A10BE0">
      <w:pPr>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短期赎回费适用于持续持有期少于7日的投资者，费率为1.5%。短期赎回费由赎回基</w:t>
      </w:r>
      <w:r w:rsidRPr="009802E0">
        <w:rPr>
          <w:rFonts w:asciiTheme="minorEastAsia" w:eastAsiaTheme="minorEastAsia" w:hAnsiTheme="minorEastAsia" w:hint="eastAsia"/>
        </w:rPr>
        <w:lastRenderedPageBreak/>
        <w:t>金份额的基金份额持有人承担，在基金份额持有人赎回基金份额时收取，并全额计入基金财产。短期赎回费的收取将使得投资者在持续持有期限少于7日时会承担较高的赎回费。</w:t>
      </w:r>
    </w:p>
    <w:p w:rsidR="00B43AC4" w:rsidRPr="009802E0" w:rsidRDefault="00A10BE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rPr>
        <w:t>暂停基金估值的情形、程序见招募说明书“十四、基金资产的估值”之“</w:t>
      </w:r>
      <w:r w:rsidRPr="009802E0">
        <w:rPr>
          <w:rFonts w:asciiTheme="minorEastAsia" w:eastAsiaTheme="minorEastAsia" w:hAnsiTheme="minorEastAsia" w:hint="eastAsia"/>
          <w:szCs w:val="21"/>
        </w:rPr>
        <w:t>（七）暂停估值的情形</w:t>
      </w:r>
      <w:r w:rsidRPr="009802E0">
        <w:rPr>
          <w:rFonts w:asciiTheme="minorEastAsia" w:eastAsiaTheme="minorEastAsia" w:hAnsiTheme="minorEastAsia" w:hint="eastAsia"/>
        </w:rPr>
        <w:t>”的相关规定。若本基金暂停基金估值，一方面投资者将无法知晓本基金的基金份额净值，另一方面基金将暂停接受申购赎回申请或延缓支付赎回款项，将导致投资者无法申购或赎回本基金，或赎回款支付时间将后延，可能对投资者的资金安排带来不利影响。</w:t>
      </w:r>
    </w:p>
    <w:p w:rsidR="00CA6516" w:rsidRPr="009802E0" w:rsidRDefault="00CA6516" w:rsidP="0058405C">
      <w:pPr>
        <w:pStyle w:val="22"/>
        <w:adjustRightInd w:val="0"/>
        <w:snapToGrid w:val="0"/>
        <w:spacing w:before="312" w:after="312" w:line="360" w:lineRule="auto"/>
        <w:ind w:firstLineChars="0" w:firstLine="0"/>
        <w:rPr>
          <w:rFonts w:asciiTheme="minorEastAsia" w:eastAsiaTheme="minorEastAsia" w:hAnsiTheme="minorEastAsia"/>
          <w:b w:val="0"/>
        </w:rPr>
      </w:pPr>
      <w:bookmarkStart w:id="148" w:name="_Toc43301966"/>
      <w:r w:rsidRPr="009802E0">
        <w:rPr>
          <w:rFonts w:asciiTheme="minorEastAsia" w:eastAsiaTheme="minorEastAsia" w:hAnsiTheme="minorEastAsia" w:hint="eastAsia"/>
          <w:b w:val="0"/>
        </w:rPr>
        <w:t>（四）本基金法律文件中涉及基金风险特征的表述与销售机构对基金的风险评级可能不一致的风险</w:t>
      </w:r>
      <w:bookmarkEnd w:id="148"/>
    </w:p>
    <w:p w:rsidR="00CA6516" w:rsidRPr="009802E0" w:rsidRDefault="00CA6516" w:rsidP="0058405C">
      <w:pPr>
        <w:adjustRightInd w:val="0"/>
        <w:snapToGrid w:val="0"/>
        <w:spacing w:line="360" w:lineRule="auto"/>
        <w:ind w:firstLine="420"/>
        <w:rPr>
          <w:rFonts w:asciiTheme="minorEastAsia" w:eastAsiaTheme="minorEastAsia" w:hAnsiTheme="minorEastAsia"/>
          <w:b/>
          <w:kern w:val="0"/>
          <w:szCs w:val="21"/>
        </w:rPr>
      </w:pPr>
      <w:r w:rsidRPr="009802E0">
        <w:rPr>
          <w:rFonts w:asciiTheme="minorEastAsia" w:eastAsiaTheme="minorEastAsia" w:hAnsiTheme="minorEastAsia" w:hint="eastAsia"/>
          <w:kern w:val="0"/>
          <w:szCs w:val="21"/>
        </w:rPr>
        <w:t>本基金基金合同、招募说明书等法律文件中涉及基金风险收益特征或风险状况的表述仅为主要基于基金投资方向与策略特点的概括性表述；而本基金各销售机构依据中国证券投资基金业协会发布的《基金募集机构投资者适当性管理实施指引（试行）》及内部评级标准，将基金产品按照风险由低到高顺序进行风险级别评定划分，其风险评级结果所依据的评价要素可能更多、范围更广，与本基金法律文件中的风险收益特征或风险状况表述并不必然一致或存在对应关系。同时，不同销售机构因其采取的具体评价标准和方法的差异，对同一产品风险级别的评定也可能各有不同；销售机构还可能根据监管要求、市场变化及基金实际运作情况等适时调整对本基金的风险评级。敬请投资人知悉，在购买本基金时按照销售机构的要求完成风险承受能力与产品风险之间的匹配检验，并须及时关注销售机构对于本基金风险评级的调整情况，谨慎作出投资决策。</w:t>
      </w:r>
    </w:p>
    <w:p w:rsidR="00B43AC4" w:rsidRPr="009802E0" w:rsidRDefault="00CA6516" w:rsidP="00FE018D">
      <w:pPr>
        <w:pStyle w:val="22"/>
        <w:adjustRightInd w:val="0"/>
        <w:snapToGrid w:val="0"/>
        <w:spacing w:beforeLines="0" w:afterLines="0" w:line="360" w:lineRule="auto"/>
        <w:ind w:firstLineChars="0" w:firstLine="0"/>
        <w:rPr>
          <w:rFonts w:asciiTheme="minorEastAsia" w:eastAsiaTheme="minorEastAsia" w:hAnsiTheme="minorEastAsia"/>
          <w:b w:val="0"/>
        </w:rPr>
      </w:pPr>
      <w:bookmarkStart w:id="149" w:name="_Toc43301967"/>
      <w:r w:rsidRPr="009802E0">
        <w:rPr>
          <w:rFonts w:asciiTheme="minorEastAsia" w:eastAsiaTheme="minorEastAsia" w:hAnsiTheme="minorEastAsia" w:hint="eastAsia"/>
          <w:b w:val="0"/>
        </w:rPr>
        <w:t>（五）特有风险</w:t>
      </w:r>
      <w:bookmarkEnd w:id="149"/>
    </w:p>
    <w:p w:rsidR="000B2119" w:rsidRPr="009802E0" w:rsidRDefault="0038759E"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本基金对</w:t>
      </w:r>
      <w:r w:rsidR="007317A2" w:rsidRPr="009802E0">
        <w:rPr>
          <w:rFonts w:asciiTheme="minorEastAsia" w:eastAsiaTheme="minorEastAsia" w:hAnsiTheme="minorEastAsia" w:hint="eastAsia"/>
          <w:kern w:val="0"/>
          <w:szCs w:val="21"/>
        </w:rPr>
        <w:t>固定收益类品种</w:t>
      </w:r>
      <w:r w:rsidRPr="009802E0">
        <w:rPr>
          <w:rFonts w:asciiTheme="minorEastAsia" w:eastAsiaTheme="minorEastAsia" w:hAnsiTheme="minorEastAsia" w:hint="eastAsia"/>
          <w:kern w:val="0"/>
          <w:szCs w:val="21"/>
        </w:rPr>
        <w:t>的投资比例不低于基金资产的</w:t>
      </w:r>
      <w:r w:rsidRPr="009802E0">
        <w:rPr>
          <w:rFonts w:asciiTheme="minorEastAsia" w:eastAsiaTheme="minorEastAsia" w:hAnsiTheme="minorEastAsia"/>
          <w:kern w:val="0"/>
          <w:szCs w:val="21"/>
        </w:rPr>
        <w:t>80%</w:t>
      </w:r>
      <w:r w:rsidR="007317A2"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因此，</w:t>
      </w:r>
      <w:r w:rsidR="003E7C88" w:rsidRPr="009802E0">
        <w:rPr>
          <w:rFonts w:asciiTheme="minorEastAsia" w:eastAsiaTheme="minorEastAsia" w:hAnsiTheme="minorEastAsia" w:hint="eastAsia"/>
          <w:kern w:val="0"/>
          <w:szCs w:val="21"/>
        </w:rPr>
        <w:t>本基金需要承担由于市场利率波动造成的利率风险以及如企业债、</w:t>
      </w:r>
      <w:r w:rsidRPr="009802E0">
        <w:rPr>
          <w:rFonts w:asciiTheme="minorEastAsia" w:eastAsiaTheme="minorEastAsia" w:hAnsiTheme="minorEastAsia" w:hint="eastAsia"/>
          <w:kern w:val="0"/>
          <w:szCs w:val="21"/>
        </w:rPr>
        <w:t>公司债</w:t>
      </w:r>
      <w:r w:rsidR="003E7C88" w:rsidRPr="009802E0">
        <w:rPr>
          <w:rFonts w:asciiTheme="minorEastAsia" w:eastAsiaTheme="minorEastAsia" w:hAnsiTheme="minorEastAsia" w:hint="eastAsia"/>
          <w:kern w:val="0"/>
          <w:szCs w:val="21"/>
        </w:rPr>
        <w:t>等信用品种</w:t>
      </w:r>
      <w:r w:rsidRPr="009802E0">
        <w:rPr>
          <w:rFonts w:asciiTheme="minorEastAsia" w:eastAsiaTheme="minorEastAsia" w:hAnsiTheme="minorEastAsia" w:hint="eastAsia"/>
          <w:kern w:val="0"/>
          <w:szCs w:val="21"/>
        </w:rPr>
        <w:t>的发债主体</w:t>
      </w:r>
      <w:r w:rsidR="003E7C88" w:rsidRPr="009802E0">
        <w:rPr>
          <w:rFonts w:asciiTheme="minorEastAsia" w:eastAsiaTheme="minorEastAsia" w:hAnsiTheme="minorEastAsia" w:hint="eastAsia"/>
          <w:kern w:val="0"/>
          <w:szCs w:val="21"/>
        </w:rPr>
        <w:t>信用恶化</w:t>
      </w:r>
      <w:r w:rsidRPr="009802E0">
        <w:rPr>
          <w:rFonts w:asciiTheme="minorEastAsia" w:eastAsiaTheme="minorEastAsia" w:hAnsiTheme="minorEastAsia" w:hint="eastAsia"/>
          <w:kern w:val="0"/>
          <w:szCs w:val="21"/>
        </w:rPr>
        <w:t>造成的信用风险；如果债券市场出现整体下跌，将无法完全避免债券市场系统性风险</w:t>
      </w:r>
      <w:r w:rsidR="00974EAA" w:rsidRPr="009802E0">
        <w:rPr>
          <w:rFonts w:asciiTheme="minorEastAsia" w:eastAsiaTheme="minorEastAsia" w:hAnsiTheme="minorEastAsia" w:hint="eastAsia"/>
          <w:kern w:val="0"/>
          <w:szCs w:val="21"/>
        </w:rPr>
        <w:t>。另外，因</w:t>
      </w:r>
      <w:r w:rsidR="00974EAA" w:rsidRPr="009802E0">
        <w:rPr>
          <w:rFonts w:asciiTheme="minorEastAsia" w:eastAsiaTheme="minorEastAsia" w:hAnsiTheme="minorEastAsia" w:hint="eastAsia"/>
          <w:bCs/>
          <w:szCs w:val="21"/>
        </w:rPr>
        <w:t>固定收益类</w:t>
      </w:r>
      <w:r w:rsidR="00045110" w:rsidRPr="009802E0">
        <w:rPr>
          <w:rFonts w:asciiTheme="minorEastAsia" w:eastAsiaTheme="minorEastAsia" w:hAnsiTheme="minorEastAsia" w:hint="eastAsia"/>
          <w:szCs w:val="21"/>
        </w:rPr>
        <w:t>品种</w:t>
      </w:r>
      <w:r w:rsidR="00974EAA" w:rsidRPr="009802E0">
        <w:rPr>
          <w:rFonts w:asciiTheme="minorEastAsia" w:eastAsiaTheme="minorEastAsia" w:hAnsiTheme="minorEastAsia" w:hint="eastAsia"/>
          <w:szCs w:val="21"/>
        </w:rPr>
        <w:t>主要在场外市场进行交易，场外市场交易现阶段自动化程度较场内市场低，本基金在投资运作过程中可能面临操作风险。</w:t>
      </w:r>
    </w:p>
    <w:p w:rsidR="0038759E" w:rsidRPr="009802E0" w:rsidRDefault="000B2119"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同时,</w:t>
      </w:r>
      <w:r w:rsidR="0038759E" w:rsidRPr="009802E0">
        <w:rPr>
          <w:rFonts w:asciiTheme="minorEastAsia" w:eastAsiaTheme="minorEastAsia" w:hAnsiTheme="minorEastAsia" w:hint="eastAsia"/>
          <w:kern w:val="0"/>
          <w:szCs w:val="21"/>
        </w:rPr>
        <w:t>本基金还可参与一级市场新股申购或增发新股、持有可转债转股所得的股票、投资二级市场股票等</w:t>
      </w:r>
      <w:r w:rsidR="003E6C96" w:rsidRPr="009802E0">
        <w:rPr>
          <w:rFonts w:asciiTheme="minorEastAsia" w:eastAsiaTheme="minorEastAsia" w:hAnsiTheme="minorEastAsia" w:hint="eastAsia"/>
          <w:kern w:val="0"/>
          <w:szCs w:val="21"/>
        </w:rPr>
        <w:t>权益类品种</w:t>
      </w:r>
      <w:r w:rsidR="0038759E" w:rsidRPr="009802E0">
        <w:rPr>
          <w:rFonts w:asciiTheme="minorEastAsia" w:eastAsiaTheme="minorEastAsia" w:hAnsiTheme="minorEastAsia" w:hint="eastAsia"/>
          <w:kern w:val="0"/>
          <w:szCs w:val="21"/>
        </w:rPr>
        <w:t>，但上述</w:t>
      </w:r>
      <w:r w:rsidR="003E6C96" w:rsidRPr="009802E0">
        <w:rPr>
          <w:rFonts w:asciiTheme="minorEastAsia" w:eastAsiaTheme="minorEastAsia" w:hAnsiTheme="minorEastAsia" w:hint="eastAsia"/>
          <w:kern w:val="0"/>
          <w:szCs w:val="21"/>
        </w:rPr>
        <w:t>权益类品种</w:t>
      </w:r>
      <w:r w:rsidR="0038759E" w:rsidRPr="009802E0">
        <w:rPr>
          <w:rFonts w:asciiTheme="minorEastAsia" w:eastAsiaTheme="minorEastAsia" w:hAnsiTheme="minorEastAsia" w:hint="eastAsia"/>
          <w:kern w:val="0"/>
          <w:szCs w:val="21"/>
        </w:rPr>
        <w:t>的投资比例</w:t>
      </w:r>
      <w:r w:rsidR="003E6C96" w:rsidRPr="009802E0">
        <w:rPr>
          <w:rFonts w:asciiTheme="minorEastAsia" w:eastAsiaTheme="minorEastAsia" w:hAnsiTheme="minorEastAsia" w:hint="eastAsia"/>
          <w:kern w:val="0"/>
          <w:szCs w:val="21"/>
        </w:rPr>
        <w:t>不高于基金资产净值的</w:t>
      </w:r>
      <w:r w:rsidR="0038759E" w:rsidRPr="009802E0">
        <w:rPr>
          <w:rFonts w:asciiTheme="minorEastAsia" w:eastAsiaTheme="minorEastAsia" w:hAnsiTheme="minorEastAsia"/>
          <w:kern w:val="0"/>
          <w:szCs w:val="21"/>
        </w:rPr>
        <w:t>20%</w:t>
      </w:r>
      <w:r w:rsidR="0038759E" w:rsidRPr="009802E0">
        <w:rPr>
          <w:rFonts w:asciiTheme="minorEastAsia" w:eastAsiaTheme="minorEastAsia" w:hAnsiTheme="minorEastAsia" w:hint="eastAsia"/>
          <w:kern w:val="0"/>
          <w:szCs w:val="21"/>
        </w:rPr>
        <w:t>。因此，本基金也将面临</w:t>
      </w:r>
      <w:r w:rsidR="00640494" w:rsidRPr="009802E0">
        <w:rPr>
          <w:rFonts w:asciiTheme="minorEastAsia" w:eastAsiaTheme="minorEastAsia" w:hAnsiTheme="minorEastAsia" w:hint="eastAsia"/>
          <w:kern w:val="0"/>
          <w:szCs w:val="21"/>
        </w:rPr>
        <w:t>股票市场下跌</w:t>
      </w:r>
      <w:r w:rsidR="0038759E" w:rsidRPr="009802E0">
        <w:rPr>
          <w:rFonts w:asciiTheme="minorEastAsia" w:eastAsiaTheme="minorEastAsia" w:hAnsiTheme="minorEastAsia" w:hint="eastAsia"/>
          <w:kern w:val="0"/>
          <w:szCs w:val="21"/>
        </w:rPr>
        <w:t>、</w:t>
      </w:r>
      <w:r w:rsidR="00640494" w:rsidRPr="009802E0">
        <w:rPr>
          <w:rFonts w:asciiTheme="minorEastAsia" w:eastAsiaTheme="minorEastAsia" w:hAnsiTheme="minorEastAsia" w:hint="eastAsia"/>
          <w:kern w:val="0"/>
          <w:szCs w:val="21"/>
        </w:rPr>
        <w:t>新股发行数量减少或新股申购收益率降低</w:t>
      </w:r>
      <w:r w:rsidR="0038759E" w:rsidRPr="009802E0">
        <w:rPr>
          <w:rFonts w:asciiTheme="minorEastAsia" w:eastAsiaTheme="minorEastAsia" w:hAnsiTheme="minorEastAsia" w:hint="eastAsia"/>
          <w:kern w:val="0"/>
          <w:szCs w:val="21"/>
        </w:rPr>
        <w:t>甚至</w:t>
      </w:r>
      <w:r w:rsidR="00640494" w:rsidRPr="009802E0">
        <w:rPr>
          <w:rFonts w:asciiTheme="minorEastAsia" w:eastAsiaTheme="minorEastAsia" w:hAnsiTheme="minorEastAsia" w:hint="eastAsia"/>
          <w:kern w:val="0"/>
          <w:szCs w:val="21"/>
        </w:rPr>
        <w:t>可能</w:t>
      </w:r>
      <w:r w:rsidR="0038759E" w:rsidRPr="009802E0">
        <w:rPr>
          <w:rFonts w:asciiTheme="minorEastAsia" w:eastAsiaTheme="minorEastAsia" w:hAnsiTheme="minorEastAsia" w:hint="eastAsia"/>
          <w:kern w:val="0"/>
          <w:szCs w:val="21"/>
        </w:rPr>
        <w:t>出现亏损的风险。</w:t>
      </w:r>
    </w:p>
    <w:p w:rsidR="0092101C" w:rsidRPr="009802E0" w:rsidRDefault="0092101C"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此外</w:t>
      </w:r>
      <w:r w:rsidRPr="009802E0">
        <w:rPr>
          <w:rFonts w:asciiTheme="minorEastAsia" w:eastAsiaTheme="minorEastAsia" w:hAnsiTheme="minorEastAsia"/>
          <w:kern w:val="0"/>
          <w:szCs w:val="21"/>
        </w:rPr>
        <w:t>，</w:t>
      </w:r>
      <w:r w:rsidRPr="009802E0">
        <w:rPr>
          <w:rFonts w:asciiTheme="minorEastAsia" w:eastAsiaTheme="minorEastAsia" w:hAnsiTheme="minorEastAsia" w:hint="eastAsia"/>
          <w:kern w:val="0"/>
          <w:szCs w:val="21"/>
        </w:rPr>
        <w:t>本基金投资范围包括资产支持证券，投资该类型债券除了面临信用风险、利率风险、流动性风险以外，还面临债务人可能由于利率变化等原因进行提前偿付，从而使基金资产面临再投资的风险。</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rPr>
      </w:pPr>
      <w:bookmarkStart w:id="150" w:name="_Toc43301968"/>
      <w:r w:rsidRPr="009802E0">
        <w:rPr>
          <w:rFonts w:asciiTheme="minorEastAsia" w:eastAsiaTheme="minorEastAsia" w:hAnsiTheme="minorEastAsia" w:hint="eastAsia"/>
          <w:b w:val="0"/>
        </w:rPr>
        <w:lastRenderedPageBreak/>
        <w:t>（</w:t>
      </w:r>
      <w:r w:rsidR="00CA6516" w:rsidRPr="009802E0">
        <w:rPr>
          <w:rFonts w:asciiTheme="minorEastAsia" w:eastAsiaTheme="minorEastAsia" w:hAnsiTheme="minorEastAsia" w:hint="eastAsia"/>
          <w:b w:val="0"/>
        </w:rPr>
        <w:t>六</w:t>
      </w:r>
      <w:r w:rsidRPr="009802E0">
        <w:rPr>
          <w:rFonts w:asciiTheme="minorEastAsia" w:eastAsiaTheme="minorEastAsia" w:hAnsiTheme="minorEastAsia" w:hint="eastAsia"/>
          <w:b w:val="0"/>
        </w:rPr>
        <w:t>）其他风险</w:t>
      </w:r>
      <w:bookmarkEnd w:id="150"/>
    </w:p>
    <w:p w:rsidR="002F1F6F" w:rsidRPr="009802E0" w:rsidRDefault="002F1F6F"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kern w:val="0"/>
          <w:szCs w:val="21"/>
        </w:rPr>
        <w:t>1</w:t>
      </w:r>
      <w:r w:rsidR="004E552C"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本基金力争战胜业绩比较基准，但本基金的收益水平有可能不能达到或超过业绩比较基准，基金份额持有人面临无法获得目标收益率甚至本金亏损的风险；</w:t>
      </w:r>
    </w:p>
    <w:p w:rsidR="002F1F6F" w:rsidRPr="009802E0" w:rsidRDefault="002F1F6F"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kern w:val="0"/>
          <w:szCs w:val="21"/>
        </w:rPr>
        <w:t>2</w:t>
      </w:r>
      <w:r w:rsidR="004E552C"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因技术因素而产生的风险，如电脑等技术系统的故障或差错产生的风险；</w:t>
      </w:r>
    </w:p>
    <w:p w:rsidR="002F1F6F" w:rsidRPr="009802E0" w:rsidRDefault="002F1F6F"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kern w:val="0"/>
          <w:szCs w:val="21"/>
        </w:rPr>
        <w:t>3</w:t>
      </w:r>
      <w:r w:rsidR="004E552C"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因战争、自然灾害等不可抗力导致的基金管理人、基金托管人、基金</w:t>
      </w:r>
      <w:r w:rsidR="00635A87" w:rsidRPr="009802E0">
        <w:rPr>
          <w:rFonts w:asciiTheme="minorEastAsia" w:eastAsiaTheme="minorEastAsia" w:hAnsiTheme="minorEastAsia" w:hint="eastAsia"/>
          <w:kern w:val="0"/>
          <w:szCs w:val="21"/>
        </w:rPr>
        <w:t>服务</w:t>
      </w:r>
      <w:r w:rsidRPr="009802E0">
        <w:rPr>
          <w:rFonts w:asciiTheme="minorEastAsia" w:eastAsiaTheme="minorEastAsia" w:hAnsiTheme="minorEastAsia" w:hint="eastAsia"/>
          <w:kern w:val="0"/>
          <w:szCs w:val="21"/>
        </w:rPr>
        <w:t>机构等机构无法正常工作，从而影响基金运作的风险；</w:t>
      </w:r>
    </w:p>
    <w:p w:rsidR="00F57BF0" w:rsidRPr="009802E0" w:rsidRDefault="002F1F6F"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kern w:val="0"/>
          <w:szCs w:val="21"/>
        </w:rPr>
        <w:t>4</w:t>
      </w:r>
      <w:r w:rsidR="004E552C" w:rsidRPr="009802E0">
        <w:rPr>
          <w:rFonts w:asciiTheme="minorEastAsia" w:eastAsiaTheme="minorEastAsia" w:hAnsiTheme="minorEastAsia" w:hint="eastAsia"/>
          <w:kern w:val="0"/>
          <w:szCs w:val="21"/>
        </w:rPr>
        <w:t>、</w:t>
      </w:r>
      <w:r w:rsidR="00F57BF0" w:rsidRPr="009802E0">
        <w:rPr>
          <w:rFonts w:asciiTheme="minorEastAsia" w:eastAsiaTheme="minorEastAsia" w:hAnsiTheme="minorEastAsia" w:hint="eastAsia"/>
          <w:kern w:val="0"/>
          <w:szCs w:val="21"/>
        </w:rPr>
        <w:t>因固定收益类金融工具主要在场外市场进行交易，场外市场交易现阶段自动化程度较场内市场低，本基金在投资运作过程中可能面临操作风险；</w:t>
      </w:r>
    </w:p>
    <w:p w:rsidR="00B43AC4" w:rsidRPr="009802E0" w:rsidRDefault="00F57BF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5</w:t>
      </w:r>
      <w:r w:rsidRPr="009802E0">
        <w:rPr>
          <w:rFonts w:asciiTheme="minorEastAsia" w:eastAsiaTheme="minorEastAsia" w:hAnsiTheme="minorEastAsia"/>
          <w:kern w:val="0"/>
          <w:szCs w:val="21"/>
        </w:rPr>
        <w:t>、</w:t>
      </w:r>
      <w:r w:rsidR="002F1F6F" w:rsidRPr="009802E0">
        <w:rPr>
          <w:rFonts w:asciiTheme="minorEastAsia" w:eastAsiaTheme="minorEastAsia" w:hAnsiTheme="minorEastAsia" w:hint="eastAsia"/>
          <w:kern w:val="0"/>
          <w:szCs w:val="21"/>
        </w:rPr>
        <w:t>因金融市场危机、代理商违约、基金托管人违约等超出基金管理人自身控制能力的因素出现，可能导致基金或者基金份额持有人利益受损的风险。</w:t>
      </w:r>
    </w:p>
    <w:p w:rsidR="00F57BF0" w:rsidRPr="009802E0" w:rsidRDefault="00F57BF0">
      <w:pPr>
        <w:widowControl/>
        <w:jc w:val="left"/>
        <w:rPr>
          <w:rFonts w:asciiTheme="minorEastAsia" w:eastAsiaTheme="minorEastAsia" w:hAnsiTheme="minorEastAsia"/>
          <w:b/>
          <w:sz w:val="30"/>
          <w:szCs w:val="32"/>
        </w:rPr>
      </w:pPr>
      <w:r w:rsidRPr="009802E0">
        <w:rPr>
          <w:rFonts w:asciiTheme="minorEastAsia" w:eastAsiaTheme="minorEastAsia" w:hAnsiTheme="minorEastAsia"/>
          <w:b/>
          <w:sz w:val="30"/>
        </w:rPr>
        <w:br w:type="page"/>
      </w:r>
    </w:p>
    <w:p w:rsidR="00B43AC4" w:rsidRPr="009802E0" w:rsidRDefault="00AC6E16" w:rsidP="00FE018D">
      <w:pPr>
        <w:pStyle w:val="1"/>
        <w:adjustRightInd w:val="0"/>
        <w:snapToGrid w:val="0"/>
        <w:spacing w:beforeLines="0" w:afterLines="0" w:line="360" w:lineRule="auto"/>
        <w:ind w:firstLine="602"/>
        <w:rPr>
          <w:rFonts w:asciiTheme="minorEastAsia" w:eastAsiaTheme="minorEastAsia" w:hAnsiTheme="minorEastAsia"/>
          <w:b/>
        </w:rPr>
      </w:pPr>
      <w:bookmarkStart w:id="151" w:name="_Toc43301969"/>
      <w:r w:rsidRPr="009802E0">
        <w:rPr>
          <w:rFonts w:asciiTheme="minorEastAsia" w:eastAsiaTheme="minorEastAsia" w:hAnsiTheme="minorEastAsia" w:hint="eastAsia"/>
          <w:b/>
          <w:sz w:val="30"/>
        </w:rPr>
        <w:lastRenderedPageBreak/>
        <w:t>二十</w:t>
      </w:r>
      <w:r w:rsidR="00B43AC4" w:rsidRPr="009802E0">
        <w:rPr>
          <w:rFonts w:asciiTheme="minorEastAsia" w:eastAsiaTheme="minorEastAsia" w:hAnsiTheme="minorEastAsia" w:hint="eastAsia"/>
          <w:b/>
          <w:sz w:val="30"/>
        </w:rPr>
        <w:t>、基金合同的变更、终止与基金财产的清算</w:t>
      </w:r>
      <w:bookmarkEnd w:id="151"/>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bCs/>
        </w:rPr>
      </w:pPr>
      <w:bookmarkStart w:id="152" w:name="_Toc43301970"/>
      <w:r w:rsidRPr="009802E0">
        <w:rPr>
          <w:rFonts w:asciiTheme="minorEastAsia" w:eastAsiaTheme="minorEastAsia" w:hAnsiTheme="minorEastAsia" w:hint="eastAsia"/>
          <w:b w:val="0"/>
        </w:rPr>
        <w:t>（一）基金合同的变更</w:t>
      </w:r>
      <w:bookmarkEnd w:id="152"/>
    </w:p>
    <w:p w:rsidR="003D74FC" w:rsidRPr="009802E0" w:rsidRDefault="003D74FC" w:rsidP="00FE018D">
      <w:pPr>
        <w:autoSpaceDE w:val="0"/>
        <w:autoSpaceDN w:val="0"/>
        <w:adjustRightInd w:val="0"/>
        <w:snapToGrid w:val="0"/>
        <w:spacing w:line="360" w:lineRule="auto"/>
        <w:ind w:firstLineChars="200" w:firstLine="420"/>
        <w:jc w:val="left"/>
        <w:rPr>
          <w:rFonts w:asciiTheme="minorEastAsia" w:eastAsiaTheme="minorEastAsia" w:hAnsiTheme="minorEastAsia"/>
          <w:szCs w:val="21"/>
        </w:rPr>
      </w:pPr>
      <w:r w:rsidRPr="009802E0">
        <w:rPr>
          <w:rFonts w:asciiTheme="minorEastAsia" w:eastAsiaTheme="minorEastAsia" w:hAnsiTheme="minorEastAsia"/>
          <w:szCs w:val="21"/>
        </w:rPr>
        <w:t>1</w:t>
      </w:r>
      <w:r w:rsidR="004E552C" w:rsidRPr="009802E0">
        <w:rPr>
          <w:rFonts w:asciiTheme="minorEastAsia" w:eastAsiaTheme="minorEastAsia" w:hAnsiTheme="minorEastAsia" w:hint="eastAsia"/>
          <w:szCs w:val="21"/>
        </w:rPr>
        <w:t>、</w:t>
      </w:r>
      <w:r w:rsidRPr="009802E0">
        <w:rPr>
          <w:rFonts w:asciiTheme="minorEastAsia" w:eastAsiaTheme="minorEastAsia" w:hAnsiTheme="minorEastAsia" w:hint="eastAsia"/>
          <w:szCs w:val="21"/>
        </w:rPr>
        <w:t>以下变更《基金合同》的事项应经基金份额持有人大会决议通过：</w:t>
      </w:r>
    </w:p>
    <w:p w:rsidR="003D74FC" w:rsidRPr="009802E0" w:rsidRDefault="003D74FC"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szCs w:val="21"/>
        </w:rPr>
        <w:t>（1）更换基金管理人；</w:t>
      </w:r>
    </w:p>
    <w:p w:rsidR="003D74FC" w:rsidRPr="009802E0" w:rsidRDefault="003D74FC"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szCs w:val="21"/>
        </w:rPr>
        <w:t>（2）更换基金托管人；</w:t>
      </w:r>
    </w:p>
    <w:p w:rsidR="003D74FC" w:rsidRPr="009802E0" w:rsidRDefault="003D74FC"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szCs w:val="21"/>
        </w:rPr>
        <w:t>（3）转换基金运作方式；</w:t>
      </w:r>
    </w:p>
    <w:p w:rsidR="003D74FC" w:rsidRPr="009802E0" w:rsidRDefault="003D74FC"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szCs w:val="21"/>
        </w:rPr>
        <w:t>（4）提高基金管理人、基金托管人的报酬标准；</w:t>
      </w:r>
    </w:p>
    <w:p w:rsidR="003D74FC" w:rsidRPr="009802E0" w:rsidRDefault="003D74FC"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szCs w:val="21"/>
        </w:rPr>
        <w:t>（5）变更基金类别；</w:t>
      </w:r>
    </w:p>
    <w:p w:rsidR="003D74FC" w:rsidRPr="009802E0" w:rsidRDefault="003D74FC"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szCs w:val="21"/>
        </w:rPr>
        <w:t>（6）变更基金投资目标</w:t>
      </w:r>
      <w:r w:rsidRPr="009802E0">
        <w:rPr>
          <w:rFonts w:asciiTheme="minorEastAsia" w:eastAsiaTheme="minorEastAsia" w:hAnsiTheme="minorEastAsia" w:hint="eastAsia"/>
          <w:szCs w:val="21"/>
        </w:rPr>
        <w:t>、</w:t>
      </w:r>
      <w:r w:rsidRPr="009802E0">
        <w:rPr>
          <w:rFonts w:asciiTheme="minorEastAsia" w:eastAsiaTheme="minorEastAsia" w:hAnsiTheme="minorEastAsia"/>
          <w:szCs w:val="21"/>
        </w:rPr>
        <w:t>范围</w:t>
      </w:r>
      <w:r w:rsidRPr="009802E0">
        <w:rPr>
          <w:rFonts w:asciiTheme="minorEastAsia" w:eastAsiaTheme="minorEastAsia" w:hAnsiTheme="minorEastAsia" w:hint="eastAsia"/>
          <w:szCs w:val="21"/>
        </w:rPr>
        <w:t>或策略（法律法规和中国证监会另有规定的除外）</w:t>
      </w:r>
      <w:r w:rsidRPr="009802E0">
        <w:rPr>
          <w:rFonts w:asciiTheme="minorEastAsia" w:eastAsiaTheme="minorEastAsia" w:hAnsiTheme="minorEastAsia"/>
          <w:szCs w:val="21"/>
        </w:rPr>
        <w:t>；</w:t>
      </w:r>
    </w:p>
    <w:p w:rsidR="003D74FC" w:rsidRPr="009802E0" w:rsidRDefault="003D74FC"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szCs w:val="21"/>
        </w:rPr>
        <w:t>（</w:t>
      </w:r>
      <w:r w:rsidRPr="009802E0">
        <w:rPr>
          <w:rFonts w:asciiTheme="minorEastAsia" w:eastAsiaTheme="minorEastAsia" w:hAnsiTheme="minorEastAsia" w:hint="eastAsia"/>
          <w:szCs w:val="21"/>
        </w:rPr>
        <w:t>7</w:t>
      </w:r>
      <w:r w:rsidRPr="009802E0">
        <w:rPr>
          <w:rFonts w:asciiTheme="minorEastAsia" w:eastAsiaTheme="minorEastAsia" w:hAnsiTheme="minorEastAsia"/>
          <w:szCs w:val="21"/>
        </w:rPr>
        <w:t>）</w:t>
      </w:r>
      <w:r w:rsidRPr="009802E0">
        <w:rPr>
          <w:rFonts w:asciiTheme="minorEastAsia" w:eastAsiaTheme="minorEastAsia" w:hAnsiTheme="minorEastAsia" w:hint="eastAsia"/>
          <w:szCs w:val="21"/>
        </w:rPr>
        <w:t>本基金与其他基金的合并；</w:t>
      </w:r>
    </w:p>
    <w:p w:rsidR="003D74FC" w:rsidRPr="009802E0" w:rsidRDefault="003D74FC"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szCs w:val="21"/>
        </w:rPr>
        <w:t>（</w:t>
      </w:r>
      <w:r w:rsidRPr="009802E0">
        <w:rPr>
          <w:rFonts w:asciiTheme="minorEastAsia" w:eastAsiaTheme="minorEastAsia" w:hAnsiTheme="minorEastAsia" w:hint="eastAsia"/>
          <w:szCs w:val="21"/>
        </w:rPr>
        <w:t>8</w:t>
      </w:r>
      <w:r w:rsidRPr="009802E0">
        <w:rPr>
          <w:rFonts w:asciiTheme="minorEastAsia" w:eastAsiaTheme="minorEastAsia" w:hAnsiTheme="minorEastAsia"/>
          <w:szCs w:val="21"/>
        </w:rPr>
        <w:t>）变更基金份额持有人大会</w:t>
      </w:r>
      <w:r w:rsidRPr="009802E0">
        <w:rPr>
          <w:rFonts w:asciiTheme="minorEastAsia" w:eastAsiaTheme="minorEastAsia" w:hAnsiTheme="minorEastAsia" w:hint="eastAsia"/>
          <w:szCs w:val="21"/>
        </w:rPr>
        <w:t>召开</w:t>
      </w:r>
      <w:r w:rsidRPr="009802E0">
        <w:rPr>
          <w:rFonts w:asciiTheme="minorEastAsia" w:eastAsiaTheme="minorEastAsia" w:hAnsiTheme="minorEastAsia"/>
          <w:szCs w:val="21"/>
        </w:rPr>
        <w:t>程序；</w:t>
      </w:r>
    </w:p>
    <w:p w:rsidR="003D74FC" w:rsidRPr="009802E0" w:rsidRDefault="003D74FC" w:rsidP="00FE018D">
      <w:pPr>
        <w:autoSpaceDE w:val="0"/>
        <w:autoSpaceDN w:val="0"/>
        <w:adjustRightInd w:val="0"/>
        <w:snapToGrid w:val="0"/>
        <w:spacing w:line="360" w:lineRule="auto"/>
        <w:ind w:firstLineChars="200" w:firstLine="420"/>
        <w:jc w:val="left"/>
        <w:rPr>
          <w:rFonts w:asciiTheme="minorEastAsia" w:eastAsiaTheme="minorEastAsia" w:hAnsiTheme="minorEastAsia"/>
          <w:szCs w:val="21"/>
        </w:rPr>
      </w:pPr>
      <w:r w:rsidRPr="009802E0">
        <w:rPr>
          <w:rFonts w:asciiTheme="minorEastAsia" w:eastAsiaTheme="minorEastAsia" w:hAnsiTheme="minorEastAsia"/>
          <w:szCs w:val="21"/>
        </w:rPr>
        <w:t>（</w:t>
      </w:r>
      <w:r w:rsidRPr="009802E0">
        <w:rPr>
          <w:rFonts w:asciiTheme="minorEastAsia" w:eastAsiaTheme="minorEastAsia" w:hAnsiTheme="minorEastAsia" w:hint="eastAsia"/>
          <w:szCs w:val="21"/>
        </w:rPr>
        <w:t>9</w:t>
      </w:r>
      <w:r w:rsidRPr="009802E0">
        <w:rPr>
          <w:rFonts w:asciiTheme="minorEastAsia" w:eastAsiaTheme="minorEastAsia" w:hAnsiTheme="minorEastAsia"/>
          <w:szCs w:val="21"/>
        </w:rPr>
        <w:t>）</w:t>
      </w:r>
      <w:r w:rsidRPr="009802E0">
        <w:rPr>
          <w:rFonts w:asciiTheme="minorEastAsia" w:eastAsiaTheme="minorEastAsia" w:hAnsiTheme="minorEastAsia" w:hint="eastAsia"/>
          <w:szCs w:val="21"/>
        </w:rPr>
        <w:t>终止《基金合同》；</w:t>
      </w:r>
    </w:p>
    <w:p w:rsidR="003D74FC" w:rsidRPr="009802E0" w:rsidRDefault="003D74FC" w:rsidP="00FE018D">
      <w:pPr>
        <w:autoSpaceDE w:val="0"/>
        <w:autoSpaceDN w:val="0"/>
        <w:adjustRightInd w:val="0"/>
        <w:snapToGrid w:val="0"/>
        <w:spacing w:line="360" w:lineRule="auto"/>
        <w:ind w:firstLineChars="200" w:firstLine="420"/>
        <w:jc w:val="left"/>
        <w:rPr>
          <w:rFonts w:asciiTheme="minorEastAsia" w:eastAsiaTheme="minorEastAsia" w:hAnsiTheme="minorEastAsia"/>
          <w:szCs w:val="21"/>
        </w:rPr>
      </w:pPr>
      <w:r w:rsidRPr="009802E0">
        <w:rPr>
          <w:rFonts w:asciiTheme="minorEastAsia" w:eastAsiaTheme="minorEastAsia" w:hAnsiTheme="minorEastAsia" w:hint="eastAsia"/>
          <w:szCs w:val="21"/>
        </w:rPr>
        <w:t>（10）其他可能</w:t>
      </w:r>
      <w:r w:rsidRPr="009802E0">
        <w:rPr>
          <w:rFonts w:asciiTheme="minorEastAsia" w:eastAsiaTheme="minorEastAsia" w:hAnsiTheme="minorEastAsia"/>
          <w:szCs w:val="21"/>
        </w:rPr>
        <w:t>对基金当事人权利和义务产生重大影响的事项</w:t>
      </w:r>
      <w:r w:rsidRPr="009802E0">
        <w:rPr>
          <w:rFonts w:asciiTheme="minorEastAsia" w:eastAsiaTheme="minorEastAsia" w:hAnsiTheme="minorEastAsia" w:hint="eastAsia"/>
          <w:szCs w:val="21"/>
        </w:rPr>
        <w:t>。</w:t>
      </w:r>
    </w:p>
    <w:p w:rsidR="008A5DC6" w:rsidRPr="009802E0" w:rsidRDefault="008A5DC6" w:rsidP="00FE018D">
      <w:pPr>
        <w:autoSpaceDE w:val="0"/>
        <w:autoSpaceDN w:val="0"/>
        <w:adjustRightInd w:val="0"/>
        <w:snapToGrid w:val="0"/>
        <w:spacing w:line="360" w:lineRule="auto"/>
        <w:ind w:firstLineChars="200" w:firstLine="420"/>
        <w:jc w:val="left"/>
        <w:rPr>
          <w:rFonts w:asciiTheme="minorEastAsia" w:eastAsiaTheme="minorEastAsia" w:hAnsiTheme="minorEastAsia"/>
          <w:szCs w:val="21"/>
        </w:rPr>
      </w:pPr>
      <w:r w:rsidRPr="009802E0">
        <w:rPr>
          <w:rFonts w:asciiTheme="minorEastAsia" w:eastAsiaTheme="minorEastAsia" w:hAnsiTheme="minorEastAsia" w:hint="eastAsia"/>
          <w:szCs w:val="21"/>
        </w:rPr>
        <w:t>基金合同生效后的存续期内，出现以下情形之一的，基金管理人应终止基金合同：</w:t>
      </w:r>
    </w:p>
    <w:p w:rsidR="008A5DC6" w:rsidRPr="009802E0" w:rsidRDefault="008A5DC6"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szCs w:val="21"/>
        </w:rPr>
        <w:t>（1）基金</w:t>
      </w:r>
      <w:r w:rsidRPr="009802E0">
        <w:rPr>
          <w:rFonts w:asciiTheme="minorEastAsia" w:eastAsiaTheme="minorEastAsia" w:hAnsiTheme="minorEastAsia" w:hint="eastAsia"/>
        </w:rPr>
        <w:t>份额持有人数量连续60个工作日达不到200人；</w:t>
      </w:r>
    </w:p>
    <w:p w:rsidR="008A5DC6" w:rsidRPr="009802E0" w:rsidRDefault="008A5DC6"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（2）基金资产净值连续60个工作日低于3000万元；</w:t>
      </w:r>
    </w:p>
    <w:p w:rsidR="008A5DC6" w:rsidRPr="009802E0" w:rsidRDefault="008A5DC6"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（3）本基金前十大基金份额持有人所持份额数在本基金全部份额数中所占比例连续60个工作日达到90%以上。</w:t>
      </w:r>
    </w:p>
    <w:p w:rsidR="003D74FC" w:rsidRPr="009802E0" w:rsidRDefault="003D74FC"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但出现下列情况时，可不经基金份额持有人大会决议，由基金管理人和基金托管人同意后变更并公告，并报中国证监会备案：</w:t>
      </w:r>
    </w:p>
    <w:p w:rsidR="003D74FC" w:rsidRPr="009802E0" w:rsidRDefault="003D74FC"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（1）调低基金管理费、基金托管费；</w:t>
      </w:r>
    </w:p>
    <w:p w:rsidR="003D74FC" w:rsidRPr="009802E0" w:rsidRDefault="003D74FC"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（2）法律法规要求增加的基金费用的收取；</w:t>
      </w:r>
    </w:p>
    <w:p w:rsidR="003D74FC" w:rsidRPr="009802E0" w:rsidRDefault="003D74FC"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（3）</w:t>
      </w:r>
      <w:r w:rsidRPr="009802E0">
        <w:rPr>
          <w:rFonts w:asciiTheme="minorEastAsia" w:eastAsiaTheme="minorEastAsia" w:hAnsiTheme="minorEastAsia"/>
        </w:rPr>
        <w:t>在</w:t>
      </w:r>
      <w:r w:rsidRPr="009802E0">
        <w:rPr>
          <w:rFonts w:asciiTheme="minorEastAsia" w:eastAsiaTheme="minorEastAsia" w:hAnsiTheme="minorEastAsia" w:hint="eastAsia"/>
        </w:rPr>
        <w:t>法律法规和</w:t>
      </w:r>
      <w:r w:rsidRPr="009802E0">
        <w:rPr>
          <w:rFonts w:asciiTheme="minorEastAsia" w:eastAsiaTheme="minorEastAsia" w:hAnsiTheme="minorEastAsia"/>
        </w:rPr>
        <w:t>《基金合同》规定的范围内</w:t>
      </w:r>
      <w:r w:rsidRPr="009802E0">
        <w:rPr>
          <w:rFonts w:asciiTheme="minorEastAsia" w:eastAsiaTheme="minorEastAsia" w:hAnsiTheme="minorEastAsia" w:hint="eastAsia"/>
        </w:rPr>
        <w:t>调整</w:t>
      </w:r>
      <w:r w:rsidRPr="009802E0">
        <w:rPr>
          <w:rFonts w:asciiTheme="minorEastAsia" w:eastAsiaTheme="minorEastAsia" w:hAnsiTheme="minorEastAsia"/>
        </w:rPr>
        <w:t>本基金的申购费率、调低赎回费率</w:t>
      </w:r>
      <w:r w:rsidR="00CA60B5" w:rsidRPr="009802E0">
        <w:rPr>
          <w:rFonts w:asciiTheme="minorEastAsia" w:eastAsiaTheme="minorEastAsia" w:hAnsiTheme="minorEastAsia" w:hint="eastAsia"/>
        </w:rPr>
        <w:t>或调整收费方式</w:t>
      </w:r>
      <w:r w:rsidRPr="009802E0">
        <w:rPr>
          <w:rFonts w:asciiTheme="minorEastAsia" w:eastAsiaTheme="minorEastAsia" w:hAnsiTheme="minorEastAsia" w:hint="eastAsia"/>
        </w:rPr>
        <w:t>；</w:t>
      </w:r>
    </w:p>
    <w:p w:rsidR="003D74FC" w:rsidRPr="009802E0" w:rsidRDefault="003D74FC" w:rsidP="009C0E15">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rPr>
        <w:t>（4）因相应的法律法规发生变</w:t>
      </w:r>
      <w:r w:rsidRPr="009802E0">
        <w:rPr>
          <w:rFonts w:asciiTheme="minorEastAsia" w:eastAsiaTheme="minorEastAsia" w:hAnsiTheme="minorEastAsia" w:hint="eastAsia"/>
          <w:kern w:val="0"/>
          <w:szCs w:val="21"/>
        </w:rPr>
        <w:t>动而应当对《基金合同》进行修改；</w:t>
      </w:r>
    </w:p>
    <w:p w:rsidR="003D74FC" w:rsidRPr="009802E0" w:rsidRDefault="003D74FC"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（5）对《基金合同》的修改对基金份额持有人利益无实质性不利影响或修改不涉及《基金合同》当事人权利义务关系发生变化；</w:t>
      </w:r>
    </w:p>
    <w:p w:rsidR="003D74FC" w:rsidRPr="009802E0" w:rsidRDefault="003D74FC"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（6）除按照法律法规和《基金合同》规定应当召开基金份额持有人大会的以外的其他情形。</w:t>
      </w:r>
    </w:p>
    <w:p w:rsidR="003D74FC" w:rsidRPr="009802E0" w:rsidRDefault="003D74FC"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2</w:t>
      </w:r>
      <w:r w:rsidR="004E552C" w:rsidRPr="009802E0">
        <w:rPr>
          <w:rFonts w:asciiTheme="minorEastAsia" w:eastAsiaTheme="minorEastAsia" w:hAnsiTheme="minorEastAsia" w:hint="eastAsia"/>
          <w:szCs w:val="21"/>
        </w:rPr>
        <w:t>、</w:t>
      </w:r>
      <w:r w:rsidRPr="009802E0">
        <w:rPr>
          <w:rFonts w:asciiTheme="minorEastAsia" w:eastAsiaTheme="minorEastAsia" w:hAnsiTheme="minorEastAsia" w:hint="eastAsia"/>
          <w:szCs w:val="21"/>
        </w:rPr>
        <w:t>关于《基金合同》变更的基金份额持有人大会决议经中国证监会核准生效后方可执行，自《基金合同》生效之日起在至少一家</w:t>
      </w:r>
      <w:r w:rsidR="004E4473" w:rsidRPr="009802E0">
        <w:rPr>
          <w:rFonts w:asciiTheme="minorEastAsia" w:eastAsiaTheme="minorEastAsia" w:hAnsiTheme="minorEastAsia" w:hint="eastAsia"/>
          <w:szCs w:val="21"/>
        </w:rPr>
        <w:t>指定媒介</w:t>
      </w:r>
      <w:r w:rsidRPr="009802E0">
        <w:rPr>
          <w:rFonts w:asciiTheme="minorEastAsia" w:eastAsiaTheme="minorEastAsia" w:hAnsiTheme="minorEastAsia" w:hint="eastAsia"/>
          <w:szCs w:val="21"/>
        </w:rPr>
        <w:t>公告。</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rPr>
      </w:pPr>
      <w:bookmarkStart w:id="153" w:name="_Toc43301971"/>
      <w:r w:rsidRPr="009802E0">
        <w:rPr>
          <w:rFonts w:asciiTheme="minorEastAsia" w:eastAsiaTheme="minorEastAsia" w:hAnsiTheme="minorEastAsia" w:hint="eastAsia"/>
          <w:b w:val="0"/>
        </w:rPr>
        <w:t>（二）基金合同的终止</w:t>
      </w:r>
      <w:bookmarkEnd w:id="153"/>
    </w:p>
    <w:p w:rsidR="003D74FC" w:rsidRPr="009802E0" w:rsidRDefault="003D74FC"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有下列情形之一的，《基金合同》应当终止：</w:t>
      </w:r>
    </w:p>
    <w:p w:rsidR="003D74FC" w:rsidRPr="009802E0" w:rsidRDefault="003D74FC" w:rsidP="009C0E15">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1</w:t>
      </w:r>
      <w:r w:rsidR="004E552C" w:rsidRPr="009802E0">
        <w:rPr>
          <w:rFonts w:asciiTheme="minorEastAsia" w:eastAsiaTheme="minorEastAsia" w:hAnsiTheme="minorEastAsia" w:hint="eastAsia"/>
          <w:szCs w:val="21"/>
        </w:rPr>
        <w:t>、</w:t>
      </w:r>
      <w:r w:rsidRPr="009802E0">
        <w:rPr>
          <w:rFonts w:asciiTheme="minorEastAsia" w:eastAsiaTheme="minorEastAsia" w:hAnsiTheme="minorEastAsia" w:hint="eastAsia"/>
        </w:rPr>
        <w:t>基金份额持有人大会决定终止的</w:t>
      </w:r>
      <w:r w:rsidRPr="009802E0">
        <w:rPr>
          <w:rFonts w:asciiTheme="minorEastAsia" w:eastAsiaTheme="minorEastAsia" w:hAnsiTheme="minorEastAsia" w:hint="eastAsia"/>
          <w:szCs w:val="21"/>
        </w:rPr>
        <w:t>；</w:t>
      </w:r>
    </w:p>
    <w:p w:rsidR="003D74FC" w:rsidRPr="009802E0" w:rsidRDefault="003D74FC"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2</w:t>
      </w:r>
      <w:r w:rsidR="004E552C" w:rsidRPr="009802E0">
        <w:rPr>
          <w:rFonts w:asciiTheme="minorEastAsia" w:eastAsiaTheme="minorEastAsia" w:hAnsiTheme="minorEastAsia" w:hint="eastAsia"/>
          <w:szCs w:val="21"/>
        </w:rPr>
        <w:t>、</w:t>
      </w:r>
      <w:r w:rsidRPr="009802E0">
        <w:rPr>
          <w:rFonts w:asciiTheme="minorEastAsia" w:eastAsiaTheme="minorEastAsia" w:hAnsiTheme="minorEastAsia" w:hint="eastAsia"/>
          <w:szCs w:val="21"/>
        </w:rPr>
        <w:t>基金管理人、基金托管人职责终止，在6个月内没有新基金管理人、新基金托管人承接的；</w:t>
      </w:r>
    </w:p>
    <w:p w:rsidR="003D74FC" w:rsidRPr="009802E0" w:rsidRDefault="003D74FC"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3</w:t>
      </w:r>
      <w:r w:rsidR="004E552C" w:rsidRPr="009802E0">
        <w:rPr>
          <w:rFonts w:asciiTheme="minorEastAsia" w:eastAsiaTheme="minorEastAsia" w:hAnsiTheme="minorEastAsia" w:hint="eastAsia"/>
          <w:szCs w:val="21"/>
        </w:rPr>
        <w:t>、</w:t>
      </w:r>
      <w:r w:rsidRPr="009802E0">
        <w:rPr>
          <w:rFonts w:asciiTheme="minorEastAsia" w:eastAsiaTheme="minorEastAsia" w:hAnsiTheme="minorEastAsia" w:hint="eastAsia"/>
          <w:szCs w:val="21"/>
        </w:rPr>
        <w:t>《基金合同》约定的其他情形；</w:t>
      </w:r>
    </w:p>
    <w:p w:rsidR="003D74FC" w:rsidRPr="009802E0" w:rsidRDefault="003D74FC"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4</w:t>
      </w:r>
      <w:r w:rsidR="004E552C" w:rsidRPr="009802E0">
        <w:rPr>
          <w:rFonts w:asciiTheme="minorEastAsia" w:eastAsiaTheme="minorEastAsia" w:hAnsiTheme="minorEastAsia" w:hint="eastAsia"/>
          <w:szCs w:val="21"/>
        </w:rPr>
        <w:t>、</w:t>
      </w:r>
      <w:r w:rsidRPr="009802E0">
        <w:rPr>
          <w:rFonts w:asciiTheme="minorEastAsia" w:eastAsiaTheme="minorEastAsia" w:hAnsiTheme="minorEastAsia" w:hint="eastAsia"/>
          <w:szCs w:val="21"/>
        </w:rPr>
        <w:t>相关法律法规和中国证监会规定的其他情况。</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bCs/>
        </w:rPr>
      </w:pPr>
      <w:bookmarkStart w:id="154" w:name="_Toc43301972"/>
      <w:r w:rsidRPr="009802E0">
        <w:rPr>
          <w:rFonts w:asciiTheme="minorEastAsia" w:eastAsiaTheme="minorEastAsia" w:hAnsiTheme="minorEastAsia" w:hint="eastAsia"/>
          <w:b w:val="0"/>
        </w:rPr>
        <w:t>（三）基金财产的清算</w:t>
      </w:r>
      <w:bookmarkEnd w:id="154"/>
    </w:p>
    <w:p w:rsidR="003D74FC" w:rsidRPr="009802E0" w:rsidRDefault="003D74FC"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1</w:t>
      </w:r>
      <w:r w:rsidR="004E552C" w:rsidRPr="009802E0">
        <w:rPr>
          <w:rFonts w:asciiTheme="minorEastAsia" w:eastAsiaTheme="minorEastAsia" w:hAnsiTheme="minorEastAsia" w:hint="eastAsia"/>
          <w:szCs w:val="21"/>
        </w:rPr>
        <w:t>、</w:t>
      </w:r>
      <w:r w:rsidRPr="009802E0">
        <w:rPr>
          <w:rFonts w:asciiTheme="minorEastAsia" w:eastAsiaTheme="minorEastAsia" w:hAnsiTheme="minorEastAsia" w:hint="eastAsia"/>
          <w:szCs w:val="21"/>
        </w:rPr>
        <w:t>基金财产清算小组：自出现《基金合同》终止事由之日起</w:t>
      </w:r>
      <w:r w:rsidRPr="009802E0">
        <w:rPr>
          <w:rFonts w:asciiTheme="minorEastAsia" w:eastAsiaTheme="minorEastAsia" w:hAnsiTheme="minorEastAsia"/>
          <w:szCs w:val="21"/>
        </w:rPr>
        <w:t>30</w:t>
      </w:r>
      <w:r w:rsidRPr="009802E0">
        <w:rPr>
          <w:rFonts w:asciiTheme="minorEastAsia" w:eastAsiaTheme="minorEastAsia" w:hAnsiTheme="minorEastAsia" w:hint="eastAsia"/>
          <w:szCs w:val="21"/>
        </w:rPr>
        <w:t>个工作日内成立清算小组，基金管理人组织基金财产清算小组并在中国证监会的监督下进行基金清算。</w:t>
      </w:r>
    </w:p>
    <w:p w:rsidR="003D74FC" w:rsidRPr="009802E0" w:rsidRDefault="003D74FC"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2</w:t>
      </w:r>
      <w:r w:rsidR="004E552C" w:rsidRPr="009802E0">
        <w:rPr>
          <w:rFonts w:asciiTheme="minorEastAsia" w:eastAsiaTheme="minorEastAsia" w:hAnsiTheme="minorEastAsia" w:hint="eastAsia"/>
          <w:szCs w:val="21"/>
        </w:rPr>
        <w:t>、</w:t>
      </w:r>
      <w:r w:rsidRPr="009802E0">
        <w:rPr>
          <w:rFonts w:asciiTheme="minorEastAsia" w:eastAsiaTheme="minorEastAsia" w:hAnsiTheme="minorEastAsia" w:hint="eastAsia"/>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3D74FC" w:rsidRPr="009802E0" w:rsidRDefault="003D74FC"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3</w:t>
      </w:r>
      <w:r w:rsidR="004E552C" w:rsidRPr="009802E0">
        <w:rPr>
          <w:rFonts w:asciiTheme="minorEastAsia" w:eastAsiaTheme="minorEastAsia" w:hAnsiTheme="minorEastAsia" w:hint="eastAsia"/>
          <w:szCs w:val="21"/>
        </w:rPr>
        <w:t>、</w:t>
      </w:r>
      <w:r w:rsidRPr="009802E0">
        <w:rPr>
          <w:rFonts w:asciiTheme="minorEastAsia" w:eastAsiaTheme="minorEastAsia" w:hAnsiTheme="minorEastAsia" w:hint="eastAsia"/>
          <w:szCs w:val="21"/>
        </w:rPr>
        <w:t>基金财产清算小组职责：基金财产清算小组负责基金财产的保管、清理、估价、变现和分配。基金财产清算小组可以依法进行必要的民事活动。</w:t>
      </w:r>
    </w:p>
    <w:p w:rsidR="003D74FC" w:rsidRPr="009802E0" w:rsidRDefault="003D74FC"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szCs w:val="21"/>
        </w:rPr>
        <w:t>4</w:t>
      </w:r>
      <w:r w:rsidR="004E552C" w:rsidRPr="009802E0">
        <w:rPr>
          <w:rFonts w:asciiTheme="minorEastAsia" w:eastAsiaTheme="minorEastAsia" w:hAnsiTheme="minorEastAsia" w:hint="eastAsia"/>
          <w:szCs w:val="21"/>
        </w:rPr>
        <w:t>、</w:t>
      </w:r>
      <w:r w:rsidRPr="009802E0">
        <w:rPr>
          <w:rFonts w:asciiTheme="minorEastAsia" w:eastAsiaTheme="minorEastAsia" w:hAnsiTheme="minorEastAsia" w:hint="eastAsia"/>
          <w:szCs w:val="21"/>
        </w:rPr>
        <w:t>基金财产清算程序：</w:t>
      </w:r>
    </w:p>
    <w:p w:rsidR="003D74FC" w:rsidRPr="009802E0" w:rsidRDefault="003D74FC"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kern w:val="0"/>
          <w:szCs w:val="21"/>
        </w:rPr>
        <w:t>（1）《基金</w:t>
      </w:r>
      <w:r w:rsidRPr="009802E0">
        <w:rPr>
          <w:rFonts w:asciiTheme="minorEastAsia" w:eastAsiaTheme="minorEastAsia" w:hAnsiTheme="minorEastAsia" w:hint="eastAsia"/>
        </w:rPr>
        <w:t>合同》终止后，由基金财产清算小组统一接管基金；</w:t>
      </w:r>
    </w:p>
    <w:p w:rsidR="003D74FC" w:rsidRPr="009802E0" w:rsidRDefault="003D74FC"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（2）对基金财产和债权债务进行清理和确认；</w:t>
      </w:r>
    </w:p>
    <w:p w:rsidR="003D74FC" w:rsidRPr="009802E0" w:rsidRDefault="003D74FC"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（3）对基金财产进行估值和变现；</w:t>
      </w:r>
    </w:p>
    <w:p w:rsidR="003D74FC" w:rsidRPr="009802E0" w:rsidRDefault="003D74FC"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（4）制作清算报告；</w:t>
      </w:r>
    </w:p>
    <w:p w:rsidR="003D74FC" w:rsidRPr="009802E0" w:rsidRDefault="003D74FC"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（5）聘请会计师事务所对清算报告进行外部审计，聘请律师事务所对清算报告出具法律意见书；</w:t>
      </w:r>
    </w:p>
    <w:p w:rsidR="003D74FC" w:rsidRPr="009802E0" w:rsidRDefault="003D74FC"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（6）将清算报告报中国证监会备案并公告。</w:t>
      </w:r>
    </w:p>
    <w:p w:rsidR="003D74FC" w:rsidRPr="009802E0" w:rsidRDefault="003D74FC"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（7）对基金财产进行分配。</w:t>
      </w:r>
    </w:p>
    <w:p w:rsidR="00B43AC4" w:rsidRPr="009802E0" w:rsidRDefault="003D74FC"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5</w:t>
      </w:r>
      <w:r w:rsidR="004E552C" w:rsidRPr="009802E0">
        <w:rPr>
          <w:rFonts w:asciiTheme="minorEastAsia" w:eastAsiaTheme="minorEastAsia" w:hAnsiTheme="minorEastAsia" w:hint="eastAsia"/>
        </w:rPr>
        <w:t>、</w:t>
      </w:r>
      <w:r w:rsidR="00B43AC4" w:rsidRPr="009802E0">
        <w:rPr>
          <w:rFonts w:asciiTheme="minorEastAsia" w:eastAsiaTheme="minorEastAsia" w:hAnsiTheme="minorEastAsia" w:hint="eastAsia"/>
        </w:rPr>
        <w:t>清算费用</w:t>
      </w:r>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清算费用是指基金财产清算小组在进行基金清算过程中发生的所有合理费用，清算费用由基金财产清算小组优先从基金财产中支付。</w:t>
      </w:r>
    </w:p>
    <w:p w:rsidR="00B43AC4" w:rsidRPr="009802E0" w:rsidRDefault="003D74FC"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6</w:t>
      </w:r>
      <w:r w:rsidR="004E552C" w:rsidRPr="009802E0">
        <w:rPr>
          <w:rFonts w:asciiTheme="minorEastAsia" w:eastAsiaTheme="minorEastAsia" w:hAnsiTheme="minorEastAsia" w:hint="eastAsia"/>
        </w:rPr>
        <w:t>、</w:t>
      </w:r>
      <w:r w:rsidR="00B43AC4" w:rsidRPr="009802E0">
        <w:rPr>
          <w:rFonts w:asciiTheme="minorEastAsia" w:eastAsiaTheme="minorEastAsia" w:hAnsiTheme="minorEastAsia" w:hint="eastAsia"/>
        </w:rPr>
        <w:t>基金剩余财产的分配</w:t>
      </w:r>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基金财产按下列顺序清偿：</w:t>
      </w:r>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(1)支付清算费用；</w:t>
      </w:r>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(2)交纳所欠税款；</w:t>
      </w:r>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(3)清偿基金债务；</w:t>
      </w:r>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(4)按基金份额持有人持有的基金份额比例进行分配。</w:t>
      </w:r>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基金财产未按前款(1)－(</w:t>
      </w:r>
      <w:r w:rsidRPr="009802E0">
        <w:rPr>
          <w:rFonts w:asciiTheme="minorEastAsia" w:eastAsiaTheme="minorEastAsia" w:hAnsiTheme="minorEastAsia"/>
        </w:rPr>
        <w:t>3</w:t>
      </w:r>
      <w:r w:rsidRPr="009802E0">
        <w:rPr>
          <w:rFonts w:asciiTheme="minorEastAsia" w:eastAsiaTheme="minorEastAsia" w:hAnsiTheme="minorEastAsia" w:hint="eastAsia"/>
        </w:rPr>
        <w:t>)项规定清偿前，不分配给基金份额持有人。</w:t>
      </w:r>
    </w:p>
    <w:p w:rsidR="00B43AC4" w:rsidRPr="009802E0" w:rsidRDefault="003D74FC"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7</w:t>
      </w:r>
      <w:r w:rsidR="004E552C" w:rsidRPr="009802E0">
        <w:rPr>
          <w:rFonts w:asciiTheme="minorEastAsia" w:eastAsiaTheme="minorEastAsia" w:hAnsiTheme="minorEastAsia" w:hint="eastAsia"/>
        </w:rPr>
        <w:t>、</w:t>
      </w:r>
      <w:r w:rsidR="00B43AC4" w:rsidRPr="009802E0">
        <w:rPr>
          <w:rFonts w:asciiTheme="minorEastAsia" w:eastAsiaTheme="minorEastAsia" w:hAnsiTheme="minorEastAsia" w:hint="eastAsia"/>
        </w:rPr>
        <w:t>基金财产清算的公告</w:t>
      </w:r>
    </w:p>
    <w:p w:rsidR="00B43AC4" w:rsidRPr="009802E0" w:rsidRDefault="00B43AC4"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rPr>
        <w:t>清算过程中的有关重大事项须及时公</w:t>
      </w:r>
      <w:r w:rsidRPr="009802E0">
        <w:rPr>
          <w:rFonts w:asciiTheme="minorEastAsia" w:eastAsiaTheme="minorEastAsia" w:hAnsiTheme="minorEastAsia" w:hint="eastAsia"/>
          <w:szCs w:val="21"/>
        </w:rPr>
        <w:t>告；基金财产清算报告经会计师事务所审计并由律</w:t>
      </w:r>
      <w:r w:rsidRPr="009802E0">
        <w:rPr>
          <w:rFonts w:asciiTheme="minorEastAsia" w:eastAsiaTheme="minorEastAsia" w:hAnsiTheme="minorEastAsia" w:hint="eastAsia"/>
          <w:szCs w:val="21"/>
        </w:rPr>
        <w:lastRenderedPageBreak/>
        <w:t>师事务所出具法律意见书后报中国证监会备案并公告。</w:t>
      </w:r>
      <w:r w:rsidRPr="009802E0">
        <w:rPr>
          <w:rFonts w:asciiTheme="minorEastAsia" w:eastAsiaTheme="minorEastAsia" w:hAnsiTheme="minorEastAsia"/>
          <w:szCs w:val="21"/>
        </w:rPr>
        <w:t>基金财产清算公告于</w:t>
      </w:r>
      <w:r w:rsidRPr="009802E0">
        <w:rPr>
          <w:rFonts w:asciiTheme="minorEastAsia" w:eastAsiaTheme="minorEastAsia" w:hAnsiTheme="minorEastAsia" w:hint="eastAsia"/>
          <w:szCs w:val="21"/>
        </w:rPr>
        <w:t>基金合同终止并报中国证监会备案后</w:t>
      </w:r>
      <w:r w:rsidRPr="009802E0">
        <w:rPr>
          <w:rFonts w:asciiTheme="minorEastAsia" w:eastAsiaTheme="minorEastAsia" w:hAnsiTheme="minorEastAsia"/>
          <w:szCs w:val="21"/>
        </w:rPr>
        <w:t>5</w:t>
      </w:r>
      <w:r w:rsidRPr="009802E0">
        <w:rPr>
          <w:rFonts w:asciiTheme="minorEastAsia" w:eastAsiaTheme="minorEastAsia" w:hAnsiTheme="minorEastAsia" w:hint="eastAsia"/>
          <w:szCs w:val="21"/>
        </w:rPr>
        <w:t>个工作日内由基金财产清算小组进行公告。</w:t>
      </w:r>
    </w:p>
    <w:p w:rsidR="00B43AC4" w:rsidRPr="009802E0" w:rsidRDefault="003D74FC" w:rsidP="009C0E15">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8</w:t>
      </w:r>
      <w:r w:rsidR="004E552C" w:rsidRPr="009802E0">
        <w:rPr>
          <w:rFonts w:asciiTheme="minorEastAsia" w:eastAsiaTheme="minorEastAsia" w:hAnsiTheme="minorEastAsia" w:hint="eastAsia"/>
          <w:kern w:val="0"/>
          <w:szCs w:val="21"/>
        </w:rPr>
        <w:t>、</w:t>
      </w:r>
      <w:r w:rsidR="00B43AC4" w:rsidRPr="009802E0">
        <w:rPr>
          <w:rFonts w:asciiTheme="minorEastAsia" w:eastAsiaTheme="minorEastAsia" w:hAnsiTheme="minorEastAsia" w:hint="eastAsia"/>
        </w:rPr>
        <w:t>基金财产清算账册及文件的保存</w:t>
      </w:r>
    </w:p>
    <w:p w:rsidR="00B43AC4" w:rsidRPr="009802E0" w:rsidRDefault="00555B5C" w:rsidP="00FE018D">
      <w:pPr>
        <w:adjustRightInd w:val="0"/>
        <w:snapToGrid w:val="0"/>
        <w:spacing w:line="360" w:lineRule="auto"/>
        <w:ind w:firstLineChars="200" w:firstLine="420"/>
        <w:rPr>
          <w:rFonts w:asciiTheme="minorEastAsia" w:eastAsiaTheme="minorEastAsia" w:hAnsiTheme="minorEastAsia"/>
          <w:szCs w:val="21"/>
        </w:rPr>
      </w:pPr>
      <w:r w:rsidRPr="009802E0">
        <w:rPr>
          <w:rFonts w:asciiTheme="minorEastAsia" w:eastAsiaTheme="minorEastAsia" w:hAnsiTheme="minorEastAsia" w:hint="eastAsia"/>
        </w:rPr>
        <w:t>基金财产清算账册及有关文件由基金托管人</w:t>
      </w:r>
      <w:r w:rsidR="00A26890" w:rsidRPr="009802E0">
        <w:rPr>
          <w:rFonts w:asciiTheme="minorEastAsia" w:eastAsiaTheme="minorEastAsia" w:hAnsiTheme="minorEastAsia" w:hint="eastAsia"/>
        </w:rPr>
        <w:t>保存15年以上</w:t>
      </w:r>
      <w:r w:rsidR="00B43AC4" w:rsidRPr="009802E0">
        <w:rPr>
          <w:rFonts w:asciiTheme="minorEastAsia" w:eastAsiaTheme="minorEastAsia" w:hAnsiTheme="minorEastAsia" w:hint="eastAsia"/>
          <w:szCs w:val="21"/>
        </w:rPr>
        <w:t>。</w:t>
      </w:r>
    </w:p>
    <w:p w:rsidR="00B43AC4" w:rsidRPr="009802E0" w:rsidRDefault="00B43AC4" w:rsidP="00FE018D">
      <w:pPr>
        <w:adjustRightInd w:val="0"/>
        <w:snapToGrid w:val="0"/>
        <w:spacing w:line="360" w:lineRule="auto"/>
        <w:ind w:firstLine="420"/>
        <w:rPr>
          <w:rFonts w:asciiTheme="minorEastAsia" w:eastAsiaTheme="minorEastAsia" w:hAnsiTheme="minorEastAsia"/>
          <w:kern w:val="0"/>
          <w:szCs w:val="21"/>
        </w:rPr>
      </w:pPr>
    </w:p>
    <w:p w:rsidR="00B43AC4" w:rsidRPr="009802E0" w:rsidRDefault="00B43AC4" w:rsidP="00FE018D">
      <w:pPr>
        <w:adjustRightInd w:val="0"/>
        <w:snapToGrid w:val="0"/>
        <w:spacing w:line="360" w:lineRule="auto"/>
        <w:rPr>
          <w:rFonts w:asciiTheme="minorEastAsia" w:eastAsiaTheme="minorEastAsia" w:hAnsiTheme="minorEastAsia"/>
        </w:rPr>
      </w:pPr>
    </w:p>
    <w:p w:rsidR="00B43AC4" w:rsidRPr="009802E0" w:rsidRDefault="00B43AC4" w:rsidP="00FE018D">
      <w:pPr>
        <w:adjustRightInd w:val="0"/>
        <w:snapToGrid w:val="0"/>
        <w:spacing w:line="360" w:lineRule="auto"/>
        <w:rPr>
          <w:rFonts w:asciiTheme="minorEastAsia" w:eastAsiaTheme="minorEastAsia" w:hAnsiTheme="minorEastAsia"/>
        </w:rPr>
      </w:pPr>
    </w:p>
    <w:p w:rsidR="00B43AC4" w:rsidRPr="009802E0" w:rsidRDefault="00B43AC4" w:rsidP="00FE018D">
      <w:pPr>
        <w:pStyle w:val="1"/>
        <w:adjustRightInd w:val="0"/>
        <w:snapToGrid w:val="0"/>
        <w:spacing w:beforeLines="0" w:afterLines="0" w:line="360" w:lineRule="auto"/>
        <w:ind w:firstLine="600"/>
        <w:rPr>
          <w:rFonts w:asciiTheme="minorEastAsia" w:eastAsiaTheme="minorEastAsia" w:hAnsiTheme="minorEastAsia"/>
          <w:b/>
          <w:bCs/>
          <w:kern w:val="44"/>
          <w:sz w:val="28"/>
          <w:szCs w:val="44"/>
        </w:rPr>
      </w:pPr>
      <w:r w:rsidRPr="009802E0">
        <w:rPr>
          <w:rFonts w:asciiTheme="minorEastAsia" w:eastAsiaTheme="minorEastAsia" w:hAnsiTheme="minorEastAsia"/>
          <w:sz w:val="30"/>
        </w:rPr>
        <w:br w:type="column"/>
      </w:r>
      <w:bookmarkStart w:id="155" w:name="_Toc43301973"/>
      <w:r w:rsidRPr="009802E0">
        <w:rPr>
          <w:rFonts w:asciiTheme="minorEastAsia" w:eastAsiaTheme="minorEastAsia" w:hAnsiTheme="minorEastAsia" w:hint="eastAsia"/>
          <w:b/>
          <w:sz w:val="30"/>
        </w:rPr>
        <w:lastRenderedPageBreak/>
        <w:t>二十</w:t>
      </w:r>
      <w:r w:rsidR="0055286C" w:rsidRPr="009802E0">
        <w:rPr>
          <w:rFonts w:asciiTheme="minorEastAsia" w:eastAsiaTheme="minorEastAsia" w:hAnsiTheme="minorEastAsia" w:hint="eastAsia"/>
          <w:b/>
          <w:sz w:val="30"/>
        </w:rPr>
        <w:t>一</w:t>
      </w:r>
      <w:r w:rsidRPr="009802E0">
        <w:rPr>
          <w:rFonts w:asciiTheme="minorEastAsia" w:eastAsiaTheme="minorEastAsia" w:hAnsiTheme="minorEastAsia" w:hint="eastAsia"/>
          <w:b/>
          <w:sz w:val="30"/>
        </w:rPr>
        <w:t>、基金合同的内容摘要</w:t>
      </w:r>
      <w:bookmarkEnd w:id="155"/>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bCs/>
        </w:rPr>
      </w:pPr>
      <w:bookmarkStart w:id="156" w:name="_Toc43301974"/>
      <w:r w:rsidRPr="009802E0">
        <w:rPr>
          <w:rFonts w:asciiTheme="minorEastAsia" w:eastAsiaTheme="minorEastAsia" w:hAnsiTheme="minorEastAsia" w:hint="eastAsia"/>
          <w:b w:val="0"/>
          <w:bCs/>
        </w:rPr>
        <w:t>（一）基金管理人的权利和义务</w:t>
      </w:r>
      <w:bookmarkEnd w:id="156"/>
    </w:p>
    <w:p w:rsidR="00B43AC4" w:rsidRPr="009802E0" w:rsidRDefault="004E552C" w:rsidP="00FE018D">
      <w:pPr>
        <w:pStyle w:val="a7"/>
        <w:tabs>
          <w:tab w:val="left" w:pos="735"/>
        </w:tabs>
        <w:adjustRightInd w:val="0"/>
        <w:snapToGrid w:val="0"/>
        <w:spacing w:line="360" w:lineRule="auto"/>
        <w:ind w:left="420" w:firstLine="0"/>
        <w:rPr>
          <w:rFonts w:asciiTheme="minorEastAsia" w:eastAsiaTheme="minorEastAsia" w:hAnsiTheme="minorEastAsia"/>
          <w:b/>
          <w:bCs/>
        </w:rPr>
      </w:pPr>
      <w:r w:rsidRPr="009802E0">
        <w:rPr>
          <w:rFonts w:asciiTheme="minorEastAsia" w:eastAsiaTheme="minorEastAsia" w:hAnsiTheme="minorEastAsia" w:hint="eastAsia"/>
          <w:b/>
          <w:bCs/>
        </w:rPr>
        <w:t>1、</w:t>
      </w:r>
      <w:r w:rsidR="00B43AC4" w:rsidRPr="009802E0">
        <w:rPr>
          <w:rFonts w:asciiTheme="minorEastAsia" w:eastAsiaTheme="minorEastAsia" w:hAnsiTheme="minorEastAsia" w:hint="eastAsia"/>
          <w:b/>
          <w:bCs/>
        </w:rPr>
        <w:t>基金管理人的权利</w:t>
      </w:r>
    </w:p>
    <w:p w:rsidR="00DE7545" w:rsidRPr="009802E0" w:rsidRDefault="00DE7545"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（1）依法募集基金；</w:t>
      </w:r>
    </w:p>
    <w:p w:rsidR="00DE7545" w:rsidRPr="009802E0" w:rsidRDefault="00DE7545"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（2）自《基金合同》生效之日起，根据法律法规和《基金合同》独立运用并管理基金财产；</w:t>
      </w:r>
    </w:p>
    <w:p w:rsidR="00DE7545" w:rsidRPr="009802E0" w:rsidRDefault="00DE7545"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（3）依照《基金合同》收取基金管理费以及法律法规规定或中国证监会批准的其他费用；</w:t>
      </w:r>
    </w:p>
    <w:p w:rsidR="00DE7545" w:rsidRPr="009802E0" w:rsidRDefault="00DE7545"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（4）销售基金份额；</w:t>
      </w:r>
    </w:p>
    <w:p w:rsidR="00DE7545" w:rsidRPr="009802E0" w:rsidRDefault="00DE7545"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（5）召集基金份额持有人大会；</w:t>
      </w:r>
    </w:p>
    <w:p w:rsidR="00DE7545" w:rsidRPr="009802E0" w:rsidRDefault="00DE7545"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（6）依据《基金合同》及有关法律规定监督基金托管人，如认为基金托管人违反了《基金合同》及国家有关法律规定，应呈报中国证监会和其他监管部门，并采取必要措施保护基金投资者的利益；</w:t>
      </w:r>
    </w:p>
    <w:p w:rsidR="00DE7545" w:rsidRPr="009802E0" w:rsidRDefault="00DE7545"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（7）在基金托管人更换时，提名新的基金托管人；</w:t>
      </w:r>
    </w:p>
    <w:p w:rsidR="00DE7545" w:rsidRPr="009802E0" w:rsidRDefault="00DE7545"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（8）选择、委托、更换基金代销机构，对基金代销机构的相关行为进行监督和处理；</w:t>
      </w:r>
    </w:p>
    <w:p w:rsidR="00DE7545" w:rsidRPr="009802E0" w:rsidRDefault="00DE7545"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（9）担任或委托其他符合条件的机构担任基金注册登记机构办理基金注册登记业务并获得《基金合同》规定的费用；</w:t>
      </w:r>
    </w:p>
    <w:p w:rsidR="00DE7545" w:rsidRPr="009802E0" w:rsidRDefault="00DE7545"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（10）依据《基金合同》及有关法律规定决定基金收益的分配方案；</w:t>
      </w:r>
      <w:r w:rsidRPr="009802E0">
        <w:rPr>
          <w:rFonts w:asciiTheme="minorEastAsia" w:eastAsiaTheme="minorEastAsia" w:hAnsiTheme="minorEastAsia" w:hint="eastAsia"/>
        </w:rPr>
        <w:tab/>
      </w:r>
    </w:p>
    <w:p w:rsidR="00DE7545" w:rsidRPr="009802E0" w:rsidRDefault="00DE7545"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（11）在《基金合同》约定的范围内，拒绝或暂停受理申购与赎回申请；</w:t>
      </w:r>
    </w:p>
    <w:p w:rsidR="00DE7545" w:rsidRPr="009802E0" w:rsidRDefault="00DE7545"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（12）在符合有关法律法规和《基金合同》的前提下，制订和调整相关业务规则，决定和调整除调高管理费率和托管费率之外的基金相关费率结构和收费方式；</w:t>
      </w:r>
      <w:r w:rsidRPr="009802E0">
        <w:rPr>
          <w:rFonts w:asciiTheme="minorEastAsia" w:eastAsiaTheme="minorEastAsia" w:hAnsiTheme="minorEastAsia" w:hint="eastAsia"/>
        </w:rPr>
        <w:tab/>
      </w:r>
    </w:p>
    <w:p w:rsidR="00DE7545" w:rsidRPr="009802E0" w:rsidRDefault="00DE7545"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（13）依照法律法规为基金的利益对被投资公司行使股东权利，为基金的利益行使因基金财产投资于证券所产生的权利；</w:t>
      </w:r>
      <w:r w:rsidRPr="009802E0">
        <w:rPr>
          <w:rFonts w:asciiTheme="minorEastAsia" w:eastAsiaTheme="minorEastAsia" w:hAnsiTheme="minorEastAsia" w:hint="eastAsia"/>
        </w:rPr>
        <w:tab/>
      </w:r>
    </w:p>
    <w:p w:rsidR="00DE7545" w:rsidRPr="009802E0" w:rsidRDefault="00DE7545"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（14）在法律法规允许的前提下，为基金的利益依法为基金进行融资；</w:t>
      </w:r>
    </w:p>
    <w:p w:rsidR="00DE7545" w:rsidRPr="009802E0" w:rsidRDefault="00DE7545"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（15）以基金管理人的名义，代表基金份额持有人的利益行使诉讼权利或者实施其他法律行为；</w:t>
      </w:r>
      <w:r w:rsidRPr="009802E0">
        <w:rPr>
          <w:rFonts w:asciiTheme="minorEastAsia" w:eastAsiaTheme="minorEastAsia" w:hAnsiTheme="minorEastAsia" w:hint="eastAsia"/>
        </w:rPr>
        <w:tab/>
      </w:r>
    </w:p>
    <w:p w:rsidR="00DE7545" w:rsidRPr="009802E0" w:rsidRDefault="00DE7545"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（16）选择、更换律师事务所、会计师事务所、证券经纪商或其他为基金提供服务的外部机构；</w:t>
      </w:r>
      <w:r w:rsidRPr="009802E0">
        <w:rPr>
          <w:rFonts w:asciiTheme="minorEastAsia" w:eastAsiaTheme="minorEastAsia" w:hAnsiTheme="minorEastAsia" w:hint="eastAsia"/>
        </w:rPr>
        <w:tab/>
      </w:r>
    </w:p>
    <w:p w:rsidR="00B43AC4" w:rsidRPr="009802E0" w:rsidRDefault="00DE7545"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（17）法律法规和《基金合同》规定的其他权利。</w:t>
      </w:r>
    </w:p>
    <w:p w:rsidR="00B43AC4" w:rsidRPr="009802E0" w:rsidRDefault="004E552C" w:rsidP="009C0E15">
      <w:pPr>
        <w:pStyle w:val="a7"/>
        <w:tabs>
          <w:tab w:val="left" w:pos="735"/>
        </w:tabs>
        <w:adjustRightInd w:val="0"/>
        <w:snapToGrid w:val="0"/>
        <w:spacing w:line="360" w:lineRule="auto"/>
        <w:ind w:left="420" w:firstLine="0"/>
        <w:rPr>
          <w:rFonts w:asciiTheme="minorEastAsia" w:eastAsiaTheme="minorEastAsia" w:hAnsiTheme="minorEastAsia"/>
          <w:b/>
          <w:bCs/>
        </w:rPr>
      </w:pPr>
      <w:r w:rsidRPr="009802E0">
        <w:rPr>
          <w:rFonts w:asciiTheme="minorEastAsia" w:eastAsiaTheme="minorEastAsia" w:hAnsiTheme="minorEastAsia" w:hint="eastAsia"/>
          <w:b/>
          <w:bCs/>
        </w:rPr>
        <w:t>2、</w:t>
      </w:r>
      <w:r w:rsidR="00B43AC4" w:rsidRPr="009802E0">
        <w:rPr>
          <w:rFonts w:asciiTheme="minorEastAsia" w:eastAsiaTheme="minorEastAsia" w:hAnsiTheme="minorEastAsia" w:hint="eastAsia"/>
          <w:b/>
          <w:bCs/>
        </w:rPr>
        <w:t>基金管理人的义务</w:t>
      </w:r>
    </w:p>
    <w:p w:rsidR="00DE7545" w:rsidRPr="009802E0" w:rsidRDefault="00DE7545"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依法募集基金，办理或者委托经中国证监会认定的其他机构代为办理基金份额的发售、申购、赎回和登记事宜;如认为基金代销机构违反《基金合同》、基金销售与服务代理协议及国家有关法律规定，应呈报中国证监会和其他监管部门，并采取必要措施保护基金</w:t>
      </w:r>
      <w:r w:rsidRPr="009802E0">
        <w:rPr>
          <w:rFonts w:asciiTheme="minorEastAsia" w:eastAsiaTheme="minorEastAsia" w:hAnsiTheme="minorEastAsia" w:hint="eastAsia"/>
          <w:kern w:val="0"/>
          <w:szCs w:val="21"/>
        </w:rPr>
        <w:lastRenderedPageBreak/>
        <w:t>投资者的利益；</w:t>
      </w:r>
    </w:p>
    <w:p w:rsidR="00DE7545" w:rsidRPr="009802E0" w:rsidRDefault="00DE7545"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kern w:val="0"/>
          <w:szCs w:val="21"/>
        </w:rPr>
        <w:t>（2</w:t>
      </w:r>
      <w:r w:rsidRPr="009802E0">
        <w:rPr>
          <w:rFonts w:asciiTheme="minorEastAsia" w:eastAsiaTheme="minorEastAsia" w:hAnsiTheme="minorEastAsia"/>
          <w:kern w:val="0"/>
          <w:szCs w:val="21"/>
        </w:rPr>
        <w:t>）</w:t>
      </w:r>
      <w:r w:rsidRPr="009802E0">
        <w:rPr>
          <w:rFonts w:asciiTheme="minorEastAsia" w:eastAsiaTheme="minorEastAsia" w:hAnsiTheme="minorEastAsia" w:hint="eastAsia"/>
          <w:kern w:val="0"/>
          <w:szCs w:val="21"/>
        </w:rPr>
        <w:t>办理</w:t>
      </w:r>
      <w:r w:rsidRPr="009802E0">
        <w:rPr>
          <w:rFonts w:asciiTheme="minorEastAsia" w:eastAsiaTheme="minorEastAsia" w:hAnsiTheme="minorEastAsia" w:hint="eastAsia"/>
        </w:rPr>
        <w:t>基金备案手续；</w:t>
      </w:r>
    </w:p>
    <w:p w:rsidR="00DE7545" w:rsidRPr="009802E0" w:rsidRDefault="00DE7545"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（3</w:t>
      </w:r>
      <w:r w:rsidRPr="009802E0">
        <w:rPr>
          <w:rFonts w:asciiTheme="minorEastAsia" w:eastAsiaTheme="minorEastAsia" w:hAnsiTheme="minorEastAsia"/>
        </w:rPr>
        <w:t>）</w:t>
      </w:r>
      <w:r w:rsidRPr="009802E0">
        <w:rPr>
          <w:rFonts w:asciiTheme="minorEastAsia" w:eastAsiaTheme="minorEastAsia" w:hAnsiTheme="minorEastAsia" w:hint="eastAsia"/>
        </w:rPr>
        <w:t>自《基金合同》生效之日起</w:t>
      </w:r>
      <w:r w:rsidRPr="009802E0">
        <w:rPr>
          <w:rFonts w:asciiTheme="minorEastAsia" w:eastAsiaTheme="minorEastAsia" w:hAnsiTheme="minorEastAsia"/>
        </w:rPr>
        <w:t>,</w:t>
      </w:r>
      <w:r w:rsidRPr="009802E0">
        <w:rPr>
          <w:rFonts w:asciiTheme="minorEastAsia" w:eastAsiaTheme="minorEastAsia" w:hAnsiTheme="minorEastAsia" w:hint="eastAsia"/>
        </w:rPr>
        <w:t>以诚实信用、谨慎勤勉的原则管理和运用基金财产；</w:t>
      </w:r>
    </w:p>
    <w:p w:rsidR="00DE7545" w:rsidRPr="009802E0" w:rsidRDefault="00DE7545"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（4）配备足够的具有专业资格的人员进行基金投资分析、决策，以专业化的经营方式管理和运作基金财产；</w:t>
      </w:r>
    </w:p>
    <w:p w:rsidR="00DE7545" w:rsidRPr="009802E0" w:rsidRDefault="00DE7545"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（5）建立健全内部风险控制、监察与稽核、财务管理及人事管理等制度，保证所管理的基金财产和基金管理人的财产相互独立</w:t>
      </w:r>
      <w:r w:rsidRPr="009802E0">
        <w:rPr>
          <w:rFonts w:asciiTheme="minorEastAsia" w:eastAsiaTheme="minorEastAsia" w:hAnsiTheme="minorEastAsia"/>
        </w:rPr>
        <w:t>,</w:t>
      </w:r>
      <w:r w:rsidRPr="009802E0">
        <w:rPr>
          <w:rFonts w:asciiTheme="minorEastAsia" w:eastAsiaTheme="minorEastAsia" w:hAnsiTheme="minorEastAsia" w:hint="eastAsia"/>
        </w:rPr>
        <w:t>对所管理的不同基金分别管理，分别记账，进行证券投资；</w:t>
      </w:r>
    </w:p>
    <w:p w:rsidR="00DE7545" w:rsidRPr="009802E0" w:rsidRDefault="00DE7545"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（6）除依据《基金法》、《基金合同》及其他有关规定外</w:t>
      </w:r>
      <w:r w:rsidRPr="009802E0">
        <w:rPr>
          <w:rFonts w:asciiTheme="minorEastAsia" w:eastAsiaTheme="minorEastAsia" w:hAnsiTheme="minorEastAsia"/>
        </w:rPr>
        <w:t>,</w:t>
      </w:r>
      <w:r w:rsidRPr="009802E0">
        <w:rPr>
          <w:rFonts w:asciiTheme="minorEastAsia" w:eastAsiaTheme="minorEastAsia" w:hAnsiTheme="minorEastAsia" w:hint="eastAsia"/>
        </w:rPr>
        <w:t>不得利用基金财产为自己及任何第三人谋取利益，不得委托第三人运作基金财产；</w:t>
      </w:r>
    </w:p>
    <w:p w:rsidR="00DE7545" w:rsidRPr="009802E0" w:rsidRDefault="00DE7545"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（7）依法接受基金托管人的监督；</w:t>
      </w:r>
    </w:p>
    <w:p w:rsidR="00DE7545" w:rsidRPr="009802E0" w:rsidRDefault="00DE7545"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（8）采取适当合理的措施使计算基金份额认购、申购、赎回价格的方法符合《基金合同》等法律文件的规定，按有关规定计算并公告基金净值</w:t>
      </w:r>
      <w:r w:rsidR="005D45B5" w:rsidRPr="009802E0">
        <w:rPr>
          <w:rFonts w:asciiTheme="minorEastAsia" w:eastAsiaTheme="minorEastAsia" w:hAnsiTheme="minorEastAsia" w:hint="eastAsia"/>
        </w:rPr>
        <w:t>信息</w:t>
      </w:r>
      <w:r w:rsidRPr="009802E0">
        <w:rPr>
          <w:rFonts w:asciiTheme="minorEastAsia" w:eastAsiaTheme="minorEastAsia" w:hAnsiTheme="minorEastAsia" w:hint="eastAsia"/>
        </w:rPr>
        <w:t>，确定基金份额申购、赎回的价格；</w:t>
      </w:r>
    </w:p>
    <w:p w:rsidR="00DE7545" w:rsidRPr="009802E0" w:rsidRDefault="00DE7545"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（9）进行基金会计核算并编制基金财务会计报告；</w:t>
      </w:r>
    </w:p>
    <w:p w:rsidR="00DE7545" w:rsidRPr="009802E0" w:rsidRDefault="00DE7545"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（10）编制季度</w:t>
      </w:r>
      <w:r w:rsidR="005D45B5" w:rsidRPr="009802E0">
        <w:rPr>
          <w:rFonts w:asciiTheme="minorEastAsia" w:eastAsiaTheme="minorEastAsia" w:hAnsiTheme="minorEastAsia" w:hint="eastAsia"/>
        </w:rPr>
        <w:t>报告、中期报告</w:t>
      </w:r>
      <w:r w:rsidRPr="009802E0">
        <w:rPr>
          <w:rFonts w:asciiTheme="minorEastAsia" w:eastAsiaTheme="minorEastAsia" w:hAnsiTheme="minorEastAsia" w:hint="eastAsia"/>
        </w:rPr>
        <w:t>和年度报告；</w:t>
      </w:r>
    </w:p>
    <w:p w:rsidR="00DE7545" w:rsidRPr="009802E0" w:rsidRDefault="00DE7545"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（11）严格按照《基金法》、《基金合同》及其他有关规定，履行信息披露及报告义务；</w:t>
      </w:r>
    </w:p>
    <w:p w:rsidR="00DE7545" w:rsidRPr="009802E0" w:rsidRDefault="00DE7545"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（12）保守基金商业秘密，不泄露基金投资计划、投资意向等。除《基金法》、《基金合同》及其他有关规定另有规定外，在基金信息公开披露前应予保密，不向他人泄露；</w:t>
      </w:r>
    </w:p>
    <w:p w:rsidR="00DE7545" w:rsidRPr="009802E0" w:rsidRDefault="00DE7545"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（13）按《基金合同》的约定确定基金收益分配方案，及时向基金份额持有人分配基金收益；</w:t>
      </w:r>
    </w:p>
    <w:p w:rsidR="00DE7545" w:rsidRPr="009802E0" w:rsidRDefault="00DE7545"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（14）按规定受理申购与赎回申请，及时、足额支付赎回款项；</w:t>
      </w:r>
    </w:p>
    <w:p w:rsidR="00DE7545" w:rsidRPr="009802E0" w:rsidRDefault="00DE7545" w:rsidP="009C0E15">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rPr>
        <w:t>（15）依据《基金法》、《基金合同》及其</w:t>
      </w:r>
      <w:r w:rsidRPr="009802E0">
        <w:rPr>
          <w:rFonts w:asciiTheme="minorEastAsia" w:eastAsiaTheme="minorEastAsia" w:hAnsiTheme="minorEastAsia" w:hint="eastAsia"/>
          <w:kern w:val="0"/>
          <w:szCs w:val="21"/>
        </w:rPr>
        <w:t>他有关规定召集基金份额持有人大会</w:t>
      </w:r>
      <w:r w:rsidRPr="009802E0">
        <w:rPr>
          <w:rFonts w:asciiTheme="minorEastAsia" w:eastAsiaTheme="minorEastAsia" w:hAnsiTheme="minorEastAsia"/>
          <w:kern w:val="0"/>
          <w:szCs w:val="21"/>
        </w:rPr>
        <w:t>或配合基金托管人、基金份额持有人依法召集基金份额持有人大会</w:t>
      </w:r>
      <w:r w:rsidRPr="009802E0">
        <w:rPr>
          <w:rFonts w:asciiTheme="minorEastAsia" w:eastAsiaTheme="minorEastAsia" w:hAnsiTheme="minorEastAsia" w:hint="eastAsia"/>
          <w:kern w:val="0"/>
          <w:szCs w:val="21"/>
        </w:rPr>
        <w:t>；</w:t>
      </w:r>
    </w:p>
    <w:p w:rsidR="00DE7545" w:rsidRPr="009802E0" w:rsidRDefault="00DE7545"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（16）按规定保存基金财产管理业务活动的会计账册、报表、记录和其他相关资料15年以上；</w:t>
      </w:r>
    </w:p>
    <w:p w:rsidR="00DE7545" w:rsidRPr="009802E0" w:rsidRDefault="00DE7545"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DE7545" w:rsidRPr="009802E0" w:rsidRDefault="00DE7545"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（18）组织并参加基金财产清算小组</w:t>
      </w:r>
      <w:r w:rsidRPr="009802E0">
        <w:rPr>
          <w:rFonts w:asciiTheme="minorEastAsia" w:eastAsiaTheme="minorEastAsia" w:hAnsiTheme="minorEastAsia"/>
          <w:kern w:val="0"/>
          <w:szCs w:val="21"/>
        </w:rPr>
        <w:t>,</w:t>
      </w:r>
      <w:r w:rsidRPr="009802E0">
        <w:rPr>
          <w:rFonts w:asciiTheme="minorEastAsia" w:eastAsiaTheme="minorEastAsia" w:hAnsiTheme="minorEastAsia" w:hint="eastAsia"/>
          <w:kern w:val="0"/>
          <w:szCs w:val="21"/>
        </w:rPr>
        <w:t>参与基金财产的保管、清理、估价、变现和分配；</w:t>
      </w:r>
    </w:p>
    <w:p w:rsidR="00DE7545" w:rsidRPr="009802E0" w:rsidRDefault="00DE7545"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（19）面临解散、依法被撤销或者被依法宣告破产时，及时报告中国证监会并通知基金托管人；</w:t>
      </w:r>
    </w:p>
    <w:p w:rsidR="00DE7545" w:rsidRPr="009802E0" w:rsidRDefault="00DE7545"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（20）因违反《基金合同》导致基金财产的损失</w:t>
      </w:r>
      <w:r w:rsidRPr="009802E0">
        <w:rPr>
          <w:rFonts w:asciiTheme="minorEastAsia" w:eastAsiaTheme="minorEastAsia" w:hAnsiTheme="minorEastAsia"/>
          <w:kern w:val="0"/>
          <w:szCs w:val="21"/>
        </w:rPr>
        <w:t>或损害基金份额持有人合法权益</w:t>
      </w:r>
      <w:r w:rsidRPr="009802E0">
        <w:rPr>
          <w:rFonts w:asciiTheme="minorEastAsia" w:eastAsiaTheme="minorEastAsia" w:hAnsiTheme="minorEastAsia" w:hint="eastAsia"/>
          <w:kern w:val="0"/>
          <w:szCs w:val="21"/>
        </w:rPr>
        <w:t>时，应当承担赔偿责任，其赔偿责任不因其退任而免除；</w:t>
      </w:r>
    </w:p>
    <w:p w:rsidR="00DE7545" w:rsidRPr="009802E0" w:rsidRDefault="00DE7545"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lastRenderedPageBreak/>
        <w:t>（21）监督基金托管人按法律法规和《基金合同》规定履行自己的义务，基金托管人违反《基金合同》造成基金财产损失时，基金管理人应为基金份额持有人利益向基金托管人追偿；</w:t>
      </w:r>
    </w:p>
    <w:p w:rsidR="00DE7545" w:rsidRPr="009802E0" w:rsidRDefault="00DE7545"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22）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rsidR="00DE7545" w:rsidRPr="009802E0" w:rsidRDefault="00DE7545"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（23）以基金管理人名义，代表基金份额持有人利益行使诉讼权利或实施其他法律行为；</w:t>
      </w:r>
    </w:p>
    <w:p w:rsidR="00DE7545" w:rsidRPr="009802E0" w:rsidRDefault="00DE7545"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（24）基金管理人在募集期间未能达到基金的备案条件，《基金合同》不能生效，基金管理人承担全部募集费用，将已募集资金并加计银行同期存款利息在基金募集期结束后30日内退还基金认购人；</w:t>
      </w:r>
    </w:p>
    <w:p w:rsidR="00DE7545" w:rsidRPr="009802E0" w:rsidRDefault="00DE7545"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kern w:val="0"/>
          <w:szCs w:val="21"/>
        </w:rPr>
        <w:t>（25</w:t>
      </w:r>
      <w:r w:rsidRPr="009802E0">
        <w:rPr>
          <w:rFonts w:asciiTheme="minorEastAsia" w:eastAsiaTheme="minorEastAsia" w:hAnsiTheme="minorEastAsia"/>
          <w:kern w:val="0"/>
          <w:szCs w:val="21"/>
        </w:rPr>
        <w:t>）执</w:t>
      </w:r>
      <w:r w:rsidRPr="009802E0">
        <w:rPr>
          <w:rFonts w:asciiTheme="minorEastAsia" w:eastAsiaTheme="minorEastAsia" w:hAnsiTheme="minorEastAsia"/>
        </w:rPr>
        <w:t>行生效的基金份额持有人大会的</w:t>
      </w:r>
      <w:r w:rsidRPr="009802E0">
        <w:rPr>
          <w:rFonts w:asciiTheme="minorEastAsia" w:eastAsiaTheme="minorEastAsia" w:hAnsiTheme="minorEastAsia" w:hint="eastAsia"/>
        </w:rPr>
        <w:t>决议；</w:t>
      </w:r>
    </w:p>
    <w:p w:rsidR="00DE7545" w:rsidRPr="009802E0" w:rsidRDefault="00DE7545"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（26）</w:t>
      </w:r>
      <w:r w:rsidRPr="009802E0">
        <w:rPr>
          <w:rFonts w:asciiTheme="minorEastAsia" w:eastAsiaTheme="minorEastAsia" w:hAnsiTheme="minorEastAsia"/>
        </w:rPr>
        <w:t>建立并保存基金份额持有人名册</w:t>
      </w:r>
      <w:r w:rsidRPr="009802E0">
        <w:rPr>
          <w:rFonts w:asciiTheme="minorEastAsia" w:eastAsiaTheme="minorEastAsia" w:hAnsiTheme="minorEastAsia" w:hint="eastAsia"/>
        </w:rPr>
        <w:t>，定期或不定期向基金托管人提供基金份额持有人名册</w:t>
      </w:r>
      <w:r w:rsidRPr="009802E0">
        <w:rPr>
          <w:rFonts w:asciiTheme="minorEastAsia" w:eastAsiaTheme="minorEastAsia" w:hAnsiTheme="minorEastAsia"/>
        </w:rPr>
        <w:t>；</w:t>
      </w:r>
    </w:p>
    <w:p w:rsidR="00B43AC4" w:rsidRPr="009802E0" w:rsidRDefault="00DE7545"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（27）</w:t>
      </w:r>
      <w:r w:rsidRPr="009802E0">
        <w:rPr>
          <w:rFonts w:asciiTheme="minorEastAsia" w:eastAsiaTheme="minorEastAsia" w:hAnsiTheme="minorEastAsia"/>
          <w:kern w:val="0"/>
          <w:szCs w:val="21"/>
        </w:rPr>
        <w:t>法律法规</w:t>
      </w:r>
      <w:r w:rsidRPr="009802E0">
        <w:rPr>
          <w:rFonts w:asciiTheme="minorEastAsia" w:eastAsiaTheme="minorEastAsia" w:hAnsiTheme="minorEastAsia" w:hint="eastAsia"/>
          <w:kern w:val="0"/>
          <w:szCs w:val="21"/>
        </w:rPr>
        <w:t>及中国证监会规定的</w:t>
      </w:r>
      <w:r w:rsidRPr="009802E0">
        <w:rPr>
          <w:rFonts w:asciiTheme="minorEastAsia" w:eastAsiaTheme="minorEastAsia" w:hAnsiTheme="minorEastAsia"/>
          <w:kern w:val="0"/>
          <w:szCs w:val="21"/>
        </w:rPr>
        <w:t>和《基金合同》</w:t>
      </w:r>
      <w:r w:rsidRPr="009802E0">
        <w:rPr>
          <w:rFonts w:asciiTheme="minorEastAsia" w:eastAsiaTheme="minorEastAsia" w:hAnsiTheme="minorEastAsia" w:hint="eastAsia"/>
          <w:kern w:val="0"/>
          <w:szCs w:val="21"/>
        </w:rPr>
        <w:t>约</w:t>
      </w:r>
      <w:r w:rsidRPr="009802E0">
        <w:rPr>
          <w:rFonts w:asciiTheme="minorEastAsia" w:eastAsiaTheme="minorEastAsia" w:hAnsiTheme="minorEastAsia"/>
          <w:kern w:val="0"/>
          <w:szCs w:val="21"/>
        </w:rPr>
        <w:t>定的其他义务</w:t>
      </w:r>
      <w:r w:rsidR="00B43AC4" w:rsidRPr="009802E0">
        <w:rPr>
          <w:rFonts w:asciiTheme="minorEastAsia" w:eastAsiaTheme="minorEastAsia" w:hAnsiTheme="minorEastAsia" w:hint="eastAsia"/>
          <w:kern w:val="0"/>
          <w:szCs w:val="21"/>
        </w:rPr>
        <w:t>。</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bCs/>
        </w:rPr>
      </w:pPr>
      <w:bookmarkStart w:id="157" w:name="_Toc43301975"/>
      <w:r w:rsidRPr="009802E0">
        <w:rPr>
          <w:rFonts w:asciiTheme="minorEastAsia" w:eastAsiaTheme="minorEastAsia" w:hAnsiTheme="minorEastAsia" w:hint="eastAsia"/>
          <w:b w:val="0"/>
          <w:bCs/>
        </w:rPr>
        <w:t>（二）基金托管人的权利和义务</w:t>
      </w:r>
      <w:bookmarkEnd w:id="157"/>
    </w:p>
    <w:p w:rsidR="00CB427F" w:rsidRPr="009802E0" w:rsidRDefault="00B43AC4" w:rsidP="00FE018D">
      <w:pPr>
        <w:pStyle w:val="a7"/>
        <w:tabs>
          <w:tab w:val="left" w:pos="735"/>
        </w:tabs>
        <w:adjustRightInd w:val="0"/>
        <w:snapToGrid w:val="0"/>
        <w:spacing w:line="360" w:lineRule="auto"/>
        <w:ind w:firstLineChars="200" w:firstLine="422"/>
        <w:rPr>
          <w:rFonts w:asciiTheme="minorEastAsia" w:eastAsiaTheme="minorEastAsia" w:hAnsiTheme="minorEastAsia"/>
          <w:b/>
          <w:bCs/>
        </w:rPr>
      </w:pPr>
      <w:r w:rsidRPr="009802E0">
        <w:rPr>
          <w:rFonts w:asciiTheme="minorEastAsia" w:eastAsiaTheme="minorEastAsia" w:hAnsiTheme="minorEastAsia" w:hint="eastAsia"/>
          <w:b/>
          <w:bCs/>
        </w:rPr>
        <w:t>1</w:t>
      </w:r>
      <w:r w:rsidR="004E552C" w:rsidRPr="009802E0">
        <w:rPr>
          <w:rFonts w:asciiTheme="minorEastAsia" w:eastAsiaTheme="minorEastAsia" w:hAnsiTheme="minorEastAsia" w:hint="eastAsia"/>
          <w:b/>
          <w:bCs/>
        </w:rPr>
        <w:t>、</w:t>
      </w:r>
      <w:r w:rsidRPr="009802E0">
        <w:rPr>
          <w:rFonts w:asciiTheme="minorEastAsia" w:eastAsiaTheme="minorEastAsia" w:hAnsiTheme="minorEastAsia" w:hint="eastAsia"/>
          <w:b/>
          <w:bCs/>
        </w:rPr>
        <w:t>基金托管人的权利</w:t>
      </w:r>
    </w:p>
    <w:p w:rsidR="00FC151A" w:rsidRPr="009802E0" w:rsidRDefault="00FC151A" w:rsidP="00FE018D">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（1）自《基金合同》生效之日起，依法律法规和《基金合同》的规定安全保管基金财产；</w:t>
      </w:r>
    </w:p>
    <w:p w:rsidR="00FC151A" w:rsidRPr="009802E0" w:rsidRDefault="00FC151A" w:rsidP="00FE018D">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（2）依《基金合同》约定获得基金托管费以及法律法规规定或监管部门批准的其他收入；</w:t>
      </w:r>
    </w:p>
    <w:p w:rsidR="00FC151A" w:rsidRPr="009802E0" w:rsidRDefault="00FC151A" w:rsidP="00FE018D">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（3</w:t>
      </w:r>
      <w:r w:rsidRPr="009802E0">
        <w:rPr>
          <w:rFonts w:asciiTheme="minorEastAsia" w:eastAsiaTheme="minorEastAsia" w:hAnsiTheme="minorEastAsia"/>
          <w:kern w:val="0"/>
          <w:szCs w:val="21"/>
        </w:rPr>
        <w:t>）</w:t>
      </w:r>
      <w:r w:rsidRPr="009802E0">
        <w:rPr>
          <w:rFonts w:asciiTheme="minorEastAsia" w:eastAsiaTheme="minorEastAsia" w:hAnsiTheme="minorEastAsia" w:hint="eastAsia"/>
          <w:kern w:val="0"/>
          <w:szCs w:val="21"/>
        </w:rPr>
        <w:t>监督基金管理人对本基金的投资运作，如发现基金管理人有违反《基金合同》及国家法律法规行为，</w:t>
      </w:r>
      <w:r w:rsidRPr="009802E0">
        <w:rPr>
          <w:rFonts w:asciiTheme="minorEastAsia" w:eastAsiaTheme="minorEastAsia" w:hAnsiTheme="minorEastAsia"/>
          <w:kern w:val="0"/>
          <w:szCs w:val="21"/>
        </w:rPr>
        <w:t>对基金</w:t>
      </w:r>
      <w:r w:rsidRPr="009802E0">
        <w:rPr>
          <w:rFonts w:asciiTheme="minorEastAsia" w:eastAsiaTheme="minorEastAsia" w:hAnsiTheme="minorEastAsia" w:hint="eastAsia"/>
          <w:kern w:val="0"/>
          <w:szCs w:val="21"/>
        </w:rPr>
        <w:t>财</w:t>
      </w:r>
      <w:r w:rsidRPr="009802E0">
        <w:rPr>
          <w:rFonts w:asciiTheme="minorEastAsia" w:eastAsiaTheme="minorEastAsia" w:hAnsiTheme="minorEastAsia"/>
          <w:kern w:val="0"/>
          <w:szCs w:val="21"/>
        </w:rPr>
        <w:t>产、其他当事人的利益造成重大损失的</w:t>
      </w:r>
      <w:r w:rsidRPr="009802E0">
        <w:rPr>
          <w:rFonts w:asciiTheme="minorEastAsia" w:eastAsiaTheme="minorEastAsia" w:hAnsiTheme="minorEastAsia" w:hint="eastAsia"/>
          <w:kern w:val="0"/>
          <w:szCs w:val="21"/>
        </w:rPr>
        <w:t>情形</w:t>
      </w:r>
      <w:r w:rsidRPr="009802E0">
        <w:rPr>
          <w:rFonts w:asciiTheme="minorEastAsia" w:eastAsiaTheme="minorEastAsia" w:hAnsiTheme="minorEastAsia"/>
          <w:kern w:val="0"/>
          <w:szCs w:val="21"/>
        </w:rPr>
        <w:t>，</w:t>
      </w:r>
      <w:r w:rsidRPr="009802E0">
        <w:rPr>
          <w:rFonts w:asciiTheme="minorEastAsia" w:eastAsiaTheme="minorEastAsia" w:hAnsiTheme="minorEastAsia" w:hint="eastAsia"/>
          <w:kern w:val="0"/>
          <w:szCs w:val="21"/>
        </w:rPr>
        <w:t>应呈报中国证监会，并采取必要措施保护基金投资者的利益；</w:t>
      </w:r>
    </w:p>
    <w:p w:rsidR="00FC151A" w:rsidRPr="009802E0" w:rsidRDefault="00FC151A" w:rsidP="00FE018D">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（4）</w:t>
      </w:r>
      <w:r w:rsidRPr="009802E0">
        <w:rPr>
          <w:rFonts w:asciiTheme="minorEastAsia" w:eastAsiaTheme="minorEastAsia" w:hAnsiTheme="minorEastAsia"/>
          <w:kern w:val="0"/>
          <w:szCs w:val="21"/>
        </w:rPr>
        <w:t>以基金托管人和基金联名的方式在中国证券登记结算有限公司上海分公司和深圳分公司开设证券账户；</w:t>
      </w:r>
    </w:p>
    <w:p w:rsidR="00FC151A" w:rsidRPr="009802E0" w:rsidRDefault="00FC151A" w:rsidP="00FE018D">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（5）</w:t>
      </w:r>
      <w:r w:rsidRPr="009802E0">
        <w:rPr>
          <w:rFonts w:asciiTheme="minorEastAsia" w:eastAsiaTheme="minorEastAsia" w:hAnsiTheme="minorEastAsia"/>
          <w:kern w:val="0"/>
          <w:szCs w:val="21"/>
        </w:rPr>
        <w:t>以基金托管人名义开立证券交易资金账户，用于证券交易资金清算；</w:t>
      </w:r>
    </w:p>
    <w:p w:rsidR="00FC151A" w:rsidRPr="009802E0" w:rsidRDefault="00FC151A" w:rsidP="00FE018D">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（6）</w:t>
      </w:r>
      <w:r w:rsidRPr="009802E0">
        <w:rPr>
          <w:rFonts w:asciiTheme="minorEastAsia" w:eastAsiaTheme="minorEastAsia" w:hAnsiTheme="minorEastAsia"/>
          <w:kern w:val="0"/>
          <w:szCs w:val="21"/>
        </w:rPr>
        <w:t>以基金的名义在中央国债登记结算有限公司开设</w:t>
      </w:r>
      <w:r w:rsidRPr="009802E0">
        <w:rPr>
          <w:rFonts w:asciiTheme="minorEastAsia" w:eastAsiaTheme="minorEastAsia" w:hAnsiTheme="minorEastAsia" w:hint="eastAsia"/>
          <w:kern w:val="0"/>
          <w:szCs w:val="21"/>
        </w:rPr>
        <w:t>银行间</w:t>
      </w:r>
      <w:r w:rsidRPr="009802E0">
        <w:rPr>
          <w:rFonts w:asciiTheme="minorEastAsia" w:eastAsiaTheme="minorEastAsia" w:hAnsiTheme="minorEastAsia"/>
          <w:kern w:val="0"/>
          <w:szCs w:val="21"/>
        </w:rPr>
        <w:t>债券托管账户</w:t>
      </w:r>
      <w:r w:rsidRPr="009802E0">
        <w:rPr>
          <w:rFonts w:asciiTheme="minorEastAsia" w:eastAsiaTheme="minorEastAsia" w:hAnsiTheme="minorEastAsia" w:hint="eastAsia"/>
          <w:kern w:val="0"/>
          <w:szCs w:val="21"/>
        </w:rPr>
        <w:t>，</w:t>
      </w:r>
      <w:r w:rsidRPr="009802E0">
        <w:rPr>
          <w:rFonts w:asciiTheme="minorEastAsia" w:eastAsiaTheme="minorEastAsia" w:hAnsiTheme="minorEastAsia"/>
          <w:kern w:val="0"/>
          <w:szCs w:val="21"/>
        </w:rPr>
        <w:t>负责基金</w:t>
      </w:r>
      <w:r w:rsidRPr="009802E0">
        <w:rPr>
          <w:rFonts w:asciiTheme="minorEastAsia" w:eastAsiaTheme="minorEastAsia" w:hAnsiTheme="minorEastAsia" w:hint="eastAsia"/>
          <w:kern w:val="0"/>
          <w:szCs w:val="21"/>
        </w:rPr>
        <w:t>投资</w:t>
      </w:r>
      <w:r w:rsidRPr="009802E0">
        <w:rPr>
          <w:rFonts w:asciiTheme="minorEastAsia" w:eastAsiaTheme="minorEastAsia" w:hAnsiTheme="minorEastAsia"/>
          <w:kern w:val="0"/>
          <w:szCs w:val="21"/>
        </w:rPr>
        <w:t>债券</w:t>
      </w:r>
      <w:r w:rsidRPr="009802E0">
        <w:rPr>
          <w:rFonts w:asciiTheme="minorEastAsia" w:eastAsiaTheme="minorEastAsia" w:hAnsiTheme="minorEastAsia" w:hint="eastAsia"/>
          <w:kern w:val="0"/>
          <w:szCs w:val="21"/>
        </w:rPr>
        <w:t>的后台匹配</w:t>
      </w:r>
      <w:r w:rsidRPr="009802E0">
        <w:rPr>
          <w:rFonts w:asciiTheme="minorEastAsia" w:eastAsiaTheme="minorEastAsia" w:hAnsiTheme="minorEastAsia"/>
          <w:kern w:val="0"/>
          <w:szCs w:val="21"/>
        </w:rPr>
        <w:t>及资金的清算；</w:t>
      </w:r>
    </w:p>
    <w:p w:rsidR="00FC151A" w:rsidRPr="009802E0" w:rsidRDefault="00FC151A" w:rsidP="00FE018D">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（7）提议召开或召集基金份额持有人大会；</w:t>
      </w:r>
    </w:p>
    <w:p w:rsidR="00FC151A" w:rsidRPr="009802E0" w:rsidRDefault="00FC151A" w:rsidP="00FE018D">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（8）在基金管理人更换时，提名新的基金管理人；</w:t>
      </w:r>
    </w:p>
    <w:p w:rsidR="00B43AC4" w:rsidRPr="009802E0" w:rsidRDefault="00FC151A" w:rsidP="00FE018D">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（9）法律法规和《基金合同》规定的其他权利。</w:t>
      </w:r>
    </w:p>
    <w:p w:rsidR="00CB427F" w:rsidRPr="009802E0" w:rsidRDefault="00B43AC4" w:rsidP="00FE018D">
      <w:pPr>
        <w:pStyle w:val="a7"/>
        <w:tabs>
          <w:tab w:val="left" w:pos="735"/>
        </w:tabs>
        <w:adjustRightInd w:val="0"/>
        <w:snapToGrid w:val="0"/>
        <w:spacing w:line="360" w:lineRule="auto"/>
        <w:ind w:firstLineChars="200" w:firstLine="422"/>
        <w:rPr>
          <w:rFonts w:asciiTheme="minorEastAsia" w:eastAsiaTheme="minorEastAsia" w:hAnsiTheme="minorEastAsia"/>
          <w:b/>
          <w:bCs/>
        </w:rPr>
      </w:pPr>
      <w:r w:rsidRPr="009802E0">
        <w:rPr>
          <w:rFonts w:asciiTheme="minorEastAsia" w:eastAsiaTheme="minorEastAsia" w:hAnsiTheme="minorEastAsia" w:hint="eastAsia"/>
          <w:b/>
          <w:bCs/>
        </w:rPr>
        <w:t>2</w:t>
      </w:r>
      <w:r w:rsidR="004E552C" w:rsidRPr="009802E0">
        <w:rPr>
          <w:rFonts w:asciiTheme="minorEastAsia" w:eastAsiaTheme="minorEastAsia" w:hAnsiTheme="minorEastAsia" w:hint="eastAsia"/>
          <w:b/>
          <w:bCs/>
        </w:rPr>
        <w:t>、</w:t>
      </w:r>
      <w:r w:rsidRPr="009802E0">
        <w:rPr>
          <w:rFonts w:asciiTheme="minorEastAsia" w:eastAsiaTheme="minorEastAsia" w:hAnsiTheme="minorEastAsia" w:hint="eastAsia"/>
          <w:b/>
          <w:bCs/>
        </w:rPr>
        <w:t>基金托管人的义务</w:t>
      </w:r>
    </w:p>
    <w:p w:rsidR="00FC151A" w:rsidRPr="009802E0" w:rsidRDefault="00FC151A"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kern w:val="0"/>
          <w:szCs w:val="21"/>
        </w:rPr>
        <w:t>（1）以诚实</w:t>
      </w:r>
      <w:r w:rsidRPr="009802E0">
        <w:rPr>
          <w:rFonts w:asciiTheme="minorEastAsia" w:eastAsiaTheme="minorEastAsia" w:hAnsiTheme="minorEastAsia" w:hint="eastAsia"/>
        </w:rPr>
        <w:t>信用、勤勉尽责的原则持有并安全保管基金财产；</w:t>
      </w:r>
    </w:p>
    <w:p w:rsidR="00FC151A" w:rsidRPr="009802E0" w:rsidRDefault="00FC151A"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（2）设立专门的基金托管部门，具有符合要求的营业场所，配备足够的、合格的熟悉</w:t>
      </w:r>
      <w:r w:rsidRPr="009802E0">
        <w:rPr>
          <w:rFonts w:asciiTheme="minorEastAsia" w:eastAsiaTheme="minorEastAsia" w:hAnsiTheme="minorEastAsia" w:hint="eastAsia"/>
        </w:rPr>
        <w:lastRenderedPageBreak/>
        <w:t>基金托管业务的专职人员，负责基金财产托管事宜；</w:t>
      </w:r>
    </w:p>
    <w:p w:rsidR="00FC151A" w:rsidRPr="009802E0" w:rsidRDefault="00FC151A"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FC151A" w:rsidRPr="009802E0" w:rsidRDefault="00FC151A"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（4）除依据《基金法》、《基金合同》及其他有关规定外，不得利用基金财产为自己及任何第三人谋取利益，不得委托第三人托管基金财产；</w:t>
      </w:r>
    </w:p>
    <w:p w:rsidR="00FC151A" w:rsidRPr="009802E0" w:rsidRDefault="00FC151A"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（5）保管由基金管理人代表基金签订的与基金有关的重大合同及有关凭证；</w:t>
      </w:r>
    </w:p>
    <w:p w:rsidR="00FC151A" w:rsidRPr="009802E0" w:rsidRDefault="00FC151A"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（6）按规定开设基金财产的资金账户和证券账户</w:t>
      </w:r>
      <w:r w:rsidRPr="009802E0">
        <w:rPr>
          <w:rFonts w:asciiTheme="minorEastAsia" w:eastAsiaTheme="minorEastAsia" w:hAnsiTheme="minorEastAsia"/>
        </w:rPr>
        <w:t>,</w:t>
      </w:r>
      <w:r w:rsidRPr="009802E0">
        <w:rPr>
          <w:rFonts w:asciiTheme="minorEastAsia" w:eastAsiaTheme="minorEastAsia" w:hAnsiTheme="minorEastAsia" w:hint="eastAsia"/>
        </w:rPr>
        <w:t>按照《基金合同》的约定，根据基金管理人的投资指令，及时办理清算、交割事宜；</w:t>
      </w:r>
    </w:p>
    <w:p w:rsidR="00FC151A" w:rsidRPr="009802E0" w:rsidRDefault="00FC151A"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（7）保守基金商业秘密，除《基金法》、《基金合同》及其他有关规定另有规定外，在基金信息公开披露前予以保密，不得向他人泄露；</w:t>
      </w:r>
    </w:p>
    <w:p w:rsidR="00FC151A" w:rsidRPr="009802E0" w:rsidRDefault="00FC151A"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（8）复核、审查基金管理人计算的基金资产净值、</w:t>
      </w:r>
      <w:r w:rsidR="00640F1C" w:rsidRPr="009802E0">
        <w:rPr>
          <w:rFonts w:asciiTheme="minorEastAsia" w:eastAsiaTheme="minorEastAsia" w:hAnsiTheme="minorEastAsia" w:hint="eastAsia"/>
        </w:rPr>
        <w:t>基金份额净值、</w:t>
      </w:r>
      <w:r w:rsidRPr="009802E0">
        <w:rPr>
          <w:rFonts w:asciiTheme="minorEastAsia" w:eastAsiaTheme="minorEastAsia" w:hAnsiTheme="minorEastAsia" w:hint="eastAsia"/>
        </w:rPr>
        <w:t>基金份额申购、赎回价格；</w:t>
      </w:r>
    </w:p>
    <w:p w:rsidR="00FC151A" w:rsidRPr="009802E0" w:rsidRDefault="00FC151A"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（9）办理与基金托管业务活动有关的信息披露事项；</w:t>
      </w:r>
    </w:p>
    <w:p w:rsidR="00FC151A" w:rsidRPr="009802E0" w:rsidRDefault="00FC151A" w:rsidP="00FE018D">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rPr>
        <w:t>（10）对基金财务会计报告、季度</w:t>
      </w:r>
      <w:r w:rsidR="00640F1C" w:rsidRPr="009802E0">
        <w:rPr>
          <w:rFonts w:asciiTheme="minorEastAsia" w:eastAsiaTheme="minorEastAsia" w:hAnsiTheme="minorEastAsia" w:hint="eastAsia"/>
        </w:rPr>
        <w:t>报告、中期报告</w:t>
      </w:r>
      <w:r w:rsidRPr="009802E0">
        <w:rPr>
          <w:rFonts w:asciiTheme="minorEastAsia" w:eastAsiaTheme="minorEastAsia" w:hAnsiTheme="minorEastAsia" w:hint="eastAsia"/>
        </w:rPr>
        <w:t>和</w:t>
      </w:r>
      <w:r w:rsidRPr="009802E0">
        <w:rPr>
          <w:rFonts w:asciiTheme="minorEastAsia" w:eastAsiaTheme="minorEastAsia" w:hAnsiTheme="minorEastAsia" w:hint="eastAsia"/>
          <w:kern w:val="0"/>
          <w:szCs w:val="21"/>
        </w:rPr>
        <w:t>年度报告出具意见，说明基金管理人在各重要方面的运作是否严格按照《基金合同》的规定进行；如果基金管理人有未执行《基金合同》规定的行为，还应当说明基金托管人是否采取了适当的措施；</w:t>
      </w:r>
    </w:p>
    <w:p w:rsidR="00FC151A" w:rsidRPr="009802E0" w:rsidRDefault="00FC151A" w:rsidP="00FE018D">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（11）保存基金托管业务活动的记录、账册、报表和其他相关资料15年以上；</w:t>
      </w:r>
    </w:p>
    <w:p w:rsidR="00FC151A" w:rsidRPr="009802E0" w:rsidRDefault="00FC151A" w:rsidP="00FE018D">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（12）</w:t>
      </w:r>
      <w:r w:rsidRPr="009802E0">
        <w:rPr>
          <w:rFonts w:asciiTheme="minorEastAsia" w:eastAsiaTheme="minorEastAsia" w:hAnsiTheme="minorEastAsia"/>
          <w:kern w:val="0"/>
          <w:szCs w:val="21"/>
        </w:rPr>
        <w:t>建立并保存基金份额持有人名册</w:t>
      </w:r>
      <w:r w:rsidRPr="009802E0">
        <w:rPr>
          <w:rFonts w:asciiTheme="minorEastAsia" w:eastAsiaTheme="minorEastAsia" w:hAnsiTheme="minorEastAsia" w:hint="eastAsia"/>
          <w:kern w:val="0"/>
          <w:szCs w:val="21"/>
        </w:rPr>
        <w:t>；</w:t>
      </w:r>
    </w:p>
    <w:p w:rsidR="00FC151A" w:rsidRPr="009802E0" w:rsidRDefault="00FC151A" w:rsidP="00FE018D">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（13）按规定制作相关账册并与基金管理人核对；</w:t>
      </w:r>
    </w:p>
    <w:p w:rsidR="00FC151A" w:rsidRPr="009802E0" w:rsidRDefault="00FC151A" w:rsidP="00FE018D">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（14）依据基金管理人的指令或有关规定向基金份额持有人支付基金收益和赎回款项；</w:t>
      </w:r>
    </w:p>
    <w:p w:rsidR="00FC151A" w:rsidRPr="009802E0" w:rsidRDefault="00FC151A" w:rsidP="00FE018D">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（15）按照规定召集基金份额持有人大会或配合基金份额持有人依法自行召集基金份额持有人大会；</w:t>
      </w:r>
    </w:p>
    <w:p w:rsidR="00FC151A" w:rsidRPr="009802E0" w:rsidRDefault="00FC151A" w:rsidP="00FE018D">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（16）按照法律法规和《基金合同》的规定监督基金管理人的投资运作；</w:t>
      </w:r>
    </w:p>
    <w:p w:rsidR="00FC151A" w:rsidRPr="009802E0" w:rsidRDefault="00FC151A" w:rsidP="00FE018D">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（17）参加基金财产清算小组，参与基金财产的保管、清理、估价、变现和分配；</w:t>
      </w:r>
    </w:p>
    <w:p w:rsidR="00FC151A" w:rsidRPr="009802E0" w:rsidRDefault="00FC151A" w:rsidP="00FE018D">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（18）面临解散、依法被撤销或者被依法宣告破产时，及时报告中国证监会和银行监管机构，并通知基金管理人；</w:t>
      </w:r>
    </w:p>
    <w:p w:rsidR="00FC151A" w:rsidRPr="009802E0" w:rsidRDefault="00FC151A" w:rsidP="00FE018D">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（19）因违反《基金合同》导致基金财产损失时，应承担赔偿责任，其赔偿责任不因其退任而免除；</w:t>
      </w:r>
    </w:p>
    <w:p w:rsidR="00FC151A" w:rsidRPr="009802E0" w:rsidRDefault="00FC151A" w:rsidP="00FE018D">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（20）按规定监督基金管理人按法律法规和《基金合同》规定履行自己的义务，基金管理人因违反《基金合同》造成基金财产损失时，应为基金利益向基金管理人追偿；</w:t>
      </w:r>
    </w:p>
    <w:p w:rsidR="00FC151A" w:rsidRPr="009802E0" w:rsidRDefault="00FC151A" w:rsidP="009C0E15">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（21）</w:t>
      </w:r>
      <w:r w:rsidRPr="009802E0">
        <w:rPr>
          <w:rFonts w:asciiTheme="minorEastAsia" w:eastAsiaTheme="minorEastAsia" w:hAnsiTheme="minorEastAsia"/>
        </w:rPr>
        <w:t>执行生效的基金份额持有人大会的</w:t>
      </w:r>
      <w:r w:rsidRPr="009802E0">
        <w:rPr>
          <w:rFonts w:asciiTheme="minorEastAsia" w:eastAsiaTheme="minorEastAsia" w:hAnsiTheme="minorEastAsia" w:hint="eastAsia"/>
        </w:rPr>
        <w:t>决议</w:t>
      </w:r>
      <w:r w:rsidRPr="009802E0">
        <w:rPr>
          <w:rFonts w:asciiTheme="minorEastAsia" w:eastAsiaTheme="minorEastAsia" w:hAnsiTheme="minorEastAsia" w:hint="eastAsia"/>
          <w:kern w:val="0"/>
          <w:szCs w:val="21"/>
        </w:rPr>
        <w:t>；</w:t>
      </w:r>
    </w:p>
    <w:p w:rsidR="00B43AC4" w:rsidRPr="009802E0" w:rsidRDefault="00FC151A" w:rsidP="00FE018D">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（22）</w:t>
      </w:r>
      <w:r w:rsidRPr="009802E0">
        <w:rPr>
          <w:rFonts w:asciiTheme="minorEastAsia" w:eastAsiaTheme="minorEastAsia" w:hAnsiTheme="minorEastAsia"/>
          <w:kern w:val="0"/>
          <w:szCs w:val="21"/>
        </w:rPr>
        <w:t>法律法规</w:t>
      </w:r>
      <w:r w:rsidRPr="009802E0">
        <w:rPr>
          <w:rFonts w:asciiTheme="minorEastAsia" w:eastAsiaTheme="minorEastAsia" w:hAnsiTheme="minorEastAsia" w:hint="eastAsia"/>
          <w:kern w:val="0"/>
          <w:szCs w:val="21"/>
        </w:rPr>
        <w:t>及中国证监会规定的</w:t>
      </w:r>
      <w:r w:rsidRPr="009802E0">
        <w:rPr>
          <w:rFonts w:asciiTheme="minorEastAsia" w:eastAsiaTheme="minorEastAsia" w:hAnsiTheme="minorEastAsia"/>
          <w:kern w:val="0"/>
          <w:szCs w:val="21"/>
        </w:rPr>
        <w:t>和《基金合同》</w:t>
      </w:r>
      <w:r w:rsidRPr="009802E0">
        <w:rPr>
          <w:rFonts w:asciiTheme="minorEastAsia" w:eastAsiaTheme="minorEastAsia" w:hAnsiTheme="minorEastAsia" w:hint="eastAsia"/>
          <w:kern w:val="0"/>
          <w:szCs w:val="21"/>
        </w:rPr>
        <w:t>约</w:t>
      </w:r>
      <w:r w:rsidRPr="009802E0">
        <w:rPr>
          <w:rFonts w:asciiTheme="minorEastAsia" w:eastAsiaTheme="minorEastAsia" w:hAnsiTheme="minorEastAsia"/>
          <w:kern w:val="0"/>
          <w:szCs w:val="21"/>
        </w:rPr>
        <w:t>定的其他义务</w:t>
      </w:r>
      <w:r w:rsidR="00B43AC4" w:rsidRPr="009802E0">
        <w:rPr>
          <w:rFonts w:asciiTheme="minorEastAsia" w:eastAsiaTheme="minorEastAsia" w:hAnsiTheme="minorEastAsia" w:hint="eastAsia"/>
          <w:kern w:val="0"/>
          <w:szCs w:val="21"/>
        </w:rPr>
        <w:t>。</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bCs/>
        </w:rPr>
      </w:pPr>
      <w:bookmarkStart w:id="158" w:name="_Toc43301976"/>
      <w:r w:rsidRPr="009802E0">
        <w:rPr>
          <w:rFonts w:asciiTheme="minorEastAsia" w:eastAsiaTheme="minorEastAsia" w:hAnsiTheme="minorEastAsia" w:hint="eastAsia"/>
          <w:b w:val="0"/>
          <w:bCs/>
        </w:rPr>
        <w:lastRenderedPageBreak/>
        <w:t>（三）基金份额持有人的权利和义务</w:t>
      </w:r>
      <w:bookmarkEnd w:id="158"/>
    </w:p>
    <w:p w:rsidR="00B43AC4" w:rsidRPr="009802E0" w:rsidRDefault="004E552C" w:rsidP="00FE018D">
      <w:pPr>
        <w:pStyle w:val="a7"/>
        <w:tabs>
          <w:tab w:val="left" w:pos="735"/>
        </w:tabs>
        <w:adjustRightInd w:val="0"/>
        <w:snapToGrid w:val="0"/>
        <w:spacing w:line="360" w:lineRule="auto"/>
        <w:ind w:left="420" w:firstLine="0"/>
        <w:rPr>
          <w:rFonts w:asciiTheme="minorEastAsia" w:eastAsiaTheme="minorEastAsia" w:hAnsiTheme="minorEastAsia"/>
          <w:b/>
          <w:bCs/>
        </w:rPr>
      </w:pPr>
      <w:r w:rsidRPr="009802E0">
        <w:rPr>
          <w:rFonts w:asciiTheme="minorEastAsia" w:eastAsiaTheme="minorEastAsia" w:hAnsiTheme="minorEastAsia" w:hint="eastAsia"/>
          <w:b/>
          <w:bCs/>
        </w:rPr>
        <w:t>1、</w:t>
      </w:r>
      <w:r w:rsidR="00B43AC4" w:rsidRPr="009802E0">
        <w:rPr>
          <w:rFonts w:asciiTheme="minorEastAsia" w:eastAsiaTheme="minorEastAsia" w:hAnsiTheme="minorEastAsia" w:hint="eastAsia"/>
          <w:b/>
          <w:bCs/>
        </w:rPr>
        <w:t>基金份额持有人权利</w:t>
      </w:r>
    </w:p>
    <w:p w:rsidR="00A97261" w:rsidRPr="009802E0" w:rsidRDefault="00A97261"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（1）分享基金财产收益；</w:t>
      </w:r>
    </w:p>
    <w:p w:rsidR="00A97261" w:rsidRPr="009802E0" w:rsidRDefault="00A97261"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w:t>
      </w:r>
      <w:r w:rsidRPr="009802E0">
        <w:rPr>
          <w:rFonts w:asciiTheme="minorEastAsia" w:eastAsiaTheme="minorEastAsia" w:hAnsiTheme="minorEastAsia"/>
          <w:kern w:val="0"/>
          <w:szCs w:val="21"/>
        </w:rPr>
        <w:t>参与分配清算后的剩余基金财产</w:t>
      </w:r>
      <w:r w:rsidRPr="009802E0">
        <w:rPr>
          <w:rFonts w:asciiTheme="minorEastAsia" w:eastAsiaTheme="minorEastAsia" w:hAnsiTheme="minorEastAsia" w:hint="eastAsia"/>
          <w:kern w:val="0"/>
          <w:szCs w:val="21"/>
        </w:rPr>
        <w:t>；</w:t>
      </w:r>
    </w:p>
    <w:p w:rsidR="00A97261" w:rsidRPr="009802E0" w:rsidRDefault="00A97261"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（3）依法申请赎回其持有的基金份额</w:t>
      </w:r>
      <w:r w:rsidRPr="009802E0">
        <w:rPr>
          <w:rFonts w:asciiTheme="minorEastAsia" w:eastAsiaTheme="minorEastAsia" w:hAnsiTheme="minorEastAsia"/>
          <w:kern w:val="0"/>
          <w:szCs w:val="21"/>
        </w:rPr>
        <w:t>；</w:t>
      </w:r>
    </w:p>
    <w:p w:rsidR="00A97261" w:rsidRPr="009802E0" w:rsidRDefault="00A97261"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（4）</w:t>
      </w:r>
      <w:r w:rsidRPr="009802E0">
        <w:rPr>
          <w:rFonts w:asciiTheme="minorEastAsia" w:eastAsiaTheme="minorEastAsia" w:hAnsiTheme="minorEastAsia"/>
          <w:kern w:val="0"/>
          <w:szCs w:val="21"/>
        </w:rPr>
        <w:t>按照规定要求召开基金份额持有人大会</w:t>
      </w:r>
      <w:r w:rsidRPr="009802E0">
        <w:rPr>
          <w:rFonts w:asciiTheme="minorEastAsia" w:eastAsiaTheme="minorEastAsia" w:hAnsiTheme="minorEastAsia" w:hint="eastAsia"/>
          <w:kern w:val="0"/>
          <w:szCs w:val="21"/>
        </w:rPr>
        <w:t>；</w:t>
      </w:r>
    </w:p>
    <w:p w:rsidR="00A97261" w:rsidRPr="009802E0" w:rsidRDefault="00A97261"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（5）出席或者委派代表出席基金</w:t>
      </w:r>
      <w:r w:rsidRPr="009802E0">
        <w:rPr>
          <w:rFonts w:asciiTheme="minorEastAsia" w:eastAsiaTheme="minorEastAsia" w:hAnsiTheme="minorEastAsia"/>
          <w:kern w:val="0"/>
          <w:szCs w:val="21"/>
        </w:rPr>
        <w:t>份额</w:t>
      </w:r>
      <w:r w:rsidRPr="009802E0">
        <w:rPr>
          <w:rFonts w:asciiTheme="minorEastAsia" w:eastAsiaTheme="minorEastAsia" w:hAnsiTheme="minorEastAsia" w:hint="eastAsia"/>
          <w:kern w:val="0"/>
          <w:szCs w:val="21"/>
        </w:rPr>
        <w:t>持有人大会，</w:t>
      </w:r>
      <w:r w:rsidRPr="009802E0">
        <w:rPr>
          <w:rFonts w:asciiTheme="minorEastAsia" w:eastAsiaTheme="minorEastAsia" w:hAnsiTheme="minorEastAsia"/>
          <w:kern w:val="0"/>
          <w:szCs w:val="21"/>
        </w:rPr>
        <w:t>对基金份额持有人大会审议事项行使表决权</w:t>
      </w:r>
      <w:r w:rsidRPr="009802E0">
        <w:rPr>
          <w:rFonts w:asciiTheme="minorEastAsia" w:eastAsiaTheme="minorEastAsia" w:hAnsiTheme="minorEastAsia" w:hint="eastAsia"/>
          <w:kern w:val="0"/>
          <w:szCs w:val="21"/>
        </w:rPr>
        <w:t>；</w:t>
      </w:r>
    </w:p>
    <w:p w:rsidR="00A97261" w:rsidRPr="009802E0" w:rsidRDefault="00A97261"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（6）</w:t>
      </w:r>
      <w:r w:rsidRPr="009802E0">
        <w:rPr>
          <w:rFonts w:asciiTheme="minorEastAsia" w:eastAsiaTheme="minorEastAsia" w:hAnsiTheme="minorEastAsia"/>
          <w:kern w:val="0"/>
          <w:szCs w:val="21"/>
        </w:rPr>
        <w:t>查阅或者复制公开披露的基金信息资料；</w:t>
      </w:r>
    </w:p>
    <w:p w:rsidR="00A97261" w:rsidRPr="009802E0" w:rsidRDefault="00A97261"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（7）</w:t>
      </w:r>
      <w:r w:rsidRPr="009802E0">
        <w:rPr>
          <w:rFonts w:asciiTheme="minorEastAsia" w:eastAsiaTheme="minorEastAsia" w:hAnsiTheme="minorEastAsia"/>
          <w:kern w:val="0"/>
          <w:szCs w:val="21"/>
        </w:rPr>
        <w:t>监督基金管理人的投资运作</w:t>
      </w:r>
      <w:r w:rsidRPr="009802E0">
        <w:rPr>
          <w:rFonts w:asciiTheme="minorEastAsia" w:eastAsiaTheme="minorEastAsia" w:hAnsiTheme="minorEastAsia" w:hint="eastAsia"/>
          <w:kern w:val="0"/>
          <w:szCs w:val="21"/>
        </w:rPr>
        <w:t>；</w:t>
      </w:r>
    </w:p>
    <w:p w:rsidR="00A97261" w:rsidRPr="009802E0" w:rsidRDefault="00A97261"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（8）对基金管理人、基金托管人、基金销售机构损害其合法权益的行为依法提起诉讼；</w:t>
      </w:r>
    </w:p>
    <w:p w:rsidR="00B43AC4" w:rsidRPr="009802E0" w:rsidRDefault="00A97261"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（9）法律法规和《基金合同》规定的其他权利</w:t>
      </w:r>
      <w:r w:rsidR="00B43AC4" w:rsidRPr="009802E0">
        <w:rPr>
          <w:rFonts w:asciiTheme="minorEastAsia" w:eastAsiaTheme="minorEastAsia" w:hAnsiTheme="minorEastAsia" w:hint="eastAsia"/>
          <w:kern w:val="0"/>
          <w:szCs w:val="21"/>
        </w:rPr>
        <w:t>。</w:t>
      </w:r>
    </w:p>
    <w:p w:rsidR="005A4DC3" w:rsidRPr="009802E0" w:rsidRDefault="005A4DC3"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本基金同一类别的每一基金份额享有同等的合法权益。</w:t>
      </w:r>
    </w:p>
    <w:p w:rsidR="00B43AC4" w:rsidRPr="009802E0" w:rsidRDefault="004E552C" w:rsidP="009C0E15">
      <w:pPr>
        <w:pStyle w:val="a7"/>
        <w:tabs>
          <w:tab w:val="left" w:pos="735"/>
        </w:tabs>
        <w:adjustRightInd w:val="0"/>
        <w:snapToGrid w:val="0"/>
        <w:spacing w:line="360" w:lineRule="auto"/>
        <w:ind w:left="420" w:firstLine="0"/>
        <w:rPr>
          <w:rFonts w:asciiTheme="minorEastAsia" w:eastAsiaTheme="minorEastAsia" w:hAnsiTheme="minorEastAsia"/>
          <w:b/>
          <w:bCs/>
        </w:rPr>
      </w:pPr>
      <w:r w:rsidRPr="009802E0">
        <w:rPr>
          <w:rFonts w:asciiTheme="minorEastAsia" w:eastAsiaTheme="minorEastAsia" w:hAnsiTheme="minorEastAsia" w:hint="eastAsia"/>
          <w:b/>
          <w:bCs/>
        </w:rPr>
        <w:t>2、</w:t>
      </w:r>
      <w:r w:rsidR="00B43AC4" w:rsidRPr="009802E0">
        <w:rPr>
          <w:rFonts w:asciiTheme="minorEastAsia" w:eastAsiaTheme="minorEastAsia" w:hAnsiTheme="minorEastAsia" w:hint="eastAsia"/>
          <w:b/>
          <w:bCs/>
        </w:rPr>
        <w:t>基金份额持有人义务</w:t>
      </w:r>
    </w:p>
    <w:p w:rsidR="00A97261" w:rsidRPr="009802E0" w:rsidRDefault="00A97261"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（1）遵守《基金合同》；</w:t>
      </w:r>
    </w:p>
    <w:p w:rsidR="00A97261" w:rsidRPr="009802E0" w:rsidRDefault="00A97261"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（2）缴纳基金认购、申购、赎回款项及法律法规和《基金合同》所规定的费用；</w:t>
      </w:r>
    </w:p>
    <w:p w:rsidR="00A97261" w:rsidRPr="009802E0" w:rsidRDefault="00A97261"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（3）在其持有的基金份额范围内，承担基金亏损或者《基金合同》终止的有限责任；</w:t>
      </w:r>
    </w:p>
    <w:p w:rsidR="00A97261" w:rsidRPr="009802E0" w:rsidRDefault="00A97261"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（4）不从事任何有损基金及其他《基金合同》当事人</w:t>
      </w:r>
      <w:r w:rsidRPr="009802E0">
        <w:rPr>
          <w:rFonts w:asciiTheme="minorEastAsia" w:eastAsiaTheme="minorEastAsia" w:hAnsiTheme="minorEastAsia"/>
          <w:kern w:val="0"/>
          <w:szCs w:val="21"/>
        </w:rPr>
        <w:t>合法权益</w:t>
      </w:r>
      <w:r w:rsidRPr="009802E0">
        <w:rPr>
          <w:rFonts w:asciiTheme="minorEastAsia" w:eastAsiaTheme="minorEastAsia" w:hAnsiTheme="minorEastAsia" w:hint="eastAsia"/>
          <w:kern w:val="0"/>
          <w:szCs w:val="21"/>
        </w:rPr>
        <w:t>的活动；</w:t>
      </w:r>
    </w:p>
    <w:p w:rsidR="00A97261" w:rsidRPr="009802E0" w:rsidRDefault="00A97261"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（5）返还在基金交易过程中因任何原因，自基金管理人、基金托管人及代销机构处获得的不当得利；</w:t>
      </w:r>
    </w:p>
    <w:p w:rsidR="00A97261" w:rsidRPr="009802E0" w:rsidRDefault="00A97261" w:rsidP="009C0E15">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（6）</w:t>
      </w:r>
      <w:r w:rsidRPr="009802E0">
        <w:rPr>
          <w:rFonts w:asciiTheme="minorEastAsia" w:eastAsiaTheme="minorEastAsia" w:hAnsiTheme="minorEastAsia" w:hint="eastAsia"/>
        </w:rPr>
        <w:t>执行生效的基金份额持有人大会的决议</w:t>
      </w:r>
      <w:r w:rsidRPr="009802E0">
        <w:rPr>
          <w:rFonts w:asciiTheme="minorEastAsia" w:eastAsiaTheme="minorEastAsia" w:hAnsiTheme="minorEastAsia" w:hint="eastAsia"/>
          <w:kern w:val="0"/>
          <w:szCs w:val="21"/>
        </w:rPr>
        <w:t>；</w:t>
      </w:r>
    </w:p>
    <w:p w:rsidR="00B43AC4" w:rsidRPr="009802E0" w:rsidRDefault="00A97261"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（7）</w:t>
      </w:r>
      <w:r w:rsidRPr="009802E0">
        <w:rPr>
          <w:rFonts w:asciiTheme="minorEastAsia" w:eastAsiaTheme="minorEastAsia" w:hAnsiTheme="minorEastAsia"/>
          <w:kern w:val="0"/>
          <w:szCs w:val="21"/>
        </w:rPr>
        <w:t>法律法规</w:t>
      </w:r>
      <w:r w:rsidRPr="009802E0">
        <w:rPr>
          <w:rFonts w:asciiTheme="minorEastAsia" w:eastAsiaTheme="minorEastAsia" w:hAnsiTheme="minorEastAsia" w:hint="eastAsia"/>
          <w:kern w:val="0"/>
          <w:szCs w:val="21"/>
        </w:rPr>
        <w:t>及中国证监会规定的</w:t>
      </w:r>
      <w:r w:rsidRPr="009802E0">
        <w:rPr>
          <w:rFonts w:asciiTheme="minorEastAsia" w:eastAsiaTheme="minorEastAsia" w:hAnsiTheme="minorEastAsia"/>
          <w:kern w:val="0"/>
          <w:szCs w:val="21"/>
        </w:rPr>
        <w:t>和《基金合同》</w:t>
      </w:r>
      <w:r w:rsidRPr="009802E0">
        <w:rPr>
          <w:rFonts w:asciiTheme="minorEastAsia" w:eastAsiaTheme="minorEastAsia" w:hAnsiTheme="minorEastAsia" w:hint="eastAsia"/>
          <w:kern w:val="0"/>
          <w:szCs w:val="21"/>
        </w:rPr>
        <w:t>约</w:t>
      </w:r>
      <w:r w:rsidRPr="009802E0">
        <w:rPr>
          <w:rFonts w:asciiTheme="minorEastAsia" w:eastAsiaTheme="minorEastAsia" w:hAnsiTheme="minorEastAsia"/>
          <w:kern w:val="0"/>
          <w:szCs w:val="21"/>
        </w:rPr>
        <w:t>定的其他义务</w:t>
      </w:r>
      <w:r w:rsidR="00B43AC4" w:rsidRPr="009802E0">
        <w:rPr>
          <w:rFonts w:asciiTheme="minorEastAsia" w:eastAsiaTheme="minorEastAsia" w:hAnsiTheme="minorEastAsia" w:hint="eastAsia"/>
          <w:kern w:val="0"/>
          <w:szCs w:val="21"/>
        </w:rPr>
        <w:t>。</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bCs/>
        </w:rPr>
      </w:pPr>
      <w:bookmarkStart w:id="159" w:name="_Toc43301977"/>
      <w:r w:rsidRPr="009802E0">
        <w:rPr>
          <w:rFonts w:asciiTheme="minorEastAsia" w:eastAsiaTheme="minorEastAsia" w:hAnsiTheme="minorEastAsia" w:hint="eastAsia"/>
          <w:b w:val="0"/>
          <w:bCs/>
        </w:rPr>
        <w:t>（四）基金份额持有人大会</w:t>
      </w:r>
      <w:bookmarkEnd w:id="159"/>
    </w:p>
    <w:p w:rsidR="00B43AC4" w:rsidRPr="009802E0" w:rsidRDefault="00B43AC4"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w:t>
      </w:r>
      <w:r w:rsidR="004E552C" w:rsidRPr="009802E0">
        <w:rPr>
          <w:rFonts w:asciiTheme="minorEastAsia" w:eastAsiaTheme="minorEastAsia" w:hAnsiTheme="minorEastAsia" w:hint="eastAsia"/>
          <w:kern w:val="0"/>
          <w:szCs w:val="21"/>
        </w:rPr>
        <w:t>、</w:t>
      </w:r>
      <w:r w:rsidR="00FE1FEF" w:rsidRPr="009802E0">
        <w:rPr>
          <w:rFonts w:asciiTheme="minorEastAsia" w:eastAsiaTheme="minorEastAsia" w:hAnsiTheme="minorEastAsia" w:hint="eastAsia"/>
          <w:szCs w:val="21"/>
        </w:rPr>
        <w:t>基金份额持有人大会由基金份额持有人组成，基金份额持有人的合法授权代表有权在授权范围内代表基金份额持有人行使权利。基金份额持有人持有的每一基金份额拥有平等的投票权</w:t>
      </w:r>
      <w:r w:rsidRPr="009802E0">
        <w:rPr>
          <w:rFonts w:asciiTheme="minorEastAsia" w:eastAsiaTheme="minorEastAsia" w:hAnsiTheme="minorEastAsia" w:hint="eastAsia"/>
          <w:kern w:val="0"/>
          <w:szCs w:val="21"/>
        </w:rPr>
        <w:t>。</w:t>
      </w:r>
    </w:p>
    <w:p w:rsidR="00B43AC4" w:rsidRPr="009802E0" w:rsidRDefault="00B43AC4"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w:t>
      </w:r>
      <w:r w:rsidR="004E552C"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当出现或需要决定下列事由之一时，应召开基金份额持有人大会：</w:t>
      </w:r>
    </w:p>
    <w:p w:rsidR="00FE1FEF" w:rsidRPr="009802E0" w:rsidRDefault="00FE1FEF"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（1）终止《基金合同》；</w:t>
      </w:r>
    </w:p>
    <w:p w:rsidR="00FE1FEF" w:rsidRPr="009802E0" w:rsidRDefault="00FE1FEF"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（2）更换基金管理人；</w:t>
      </w:r>
    </w:p>
    <w:p w:rsidR="00FE1FEF" w:rsidRPr="009802E0" w:rsidRDefault="00FE1FEF"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（3）更换基金托管人；</w:t>
      </w:r>
    </w:p>
    <w:p w:rsidR="00FE1FEF" w:rsidRPr="009802E0" w:rsidRDefault="00FE1FEF"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（4）转换基金运作方式；</w:t>
      </w:r>
    </w:p>
    <w:p w:rsidR="00FE1FEF" w:rsidRPr="009802E0" w:rsidRDefault="00FE1FEF"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（5）提高基金管理人、基金托管人的报酬标准；</w:t>
      </w:r>
    </w:p>
    <w:p w:rsidR="00FE1FEF" w:rsidRPr="009802E0" w:rsidRDefault="00FE1FEF"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（6）</w:t>
      </w:r>
      <w:r w:rsidRPr="009802E0">
        <w:rPr>
          <w:rFonts w:asciiTheme="minorEastAsia" w:eastAsiaTheme="minorEastAsia" w:hAnsiTheme="minorEastAsia"/>
          <w:kern w:val="0"/>
          <w:szCs w:val="21"/>
        </w:rPr>
        <w:t>变更基金类别</w:t>
      </w:r>
      <w:r w:rsidRPr="009802E0">
        <w:rPr>
          <w:rFonts w:asciiTheme="minorEastAsia" w:eastAsiaTheme="minorEastAsia" w:hAnsiTheme="minorEastAsia" w:hint="eastAsia"/>
          <w:kern w:val="0"/>
          <w:szCs w:val="21"/>
        </w:rPr>
        <w:t>；</w:t>
      </w:r>
    </w:p>
    <w:p w:rsidR="00FE1FEF" w:rsidRPr="009802E0" w:rsidRDefault="00FE1FEF"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lastRenderedPageBreak/>
        <w:t>（7</w:t>
      </w:r>
      <w:r w:rsidRPr="009802E0">
        <w:rPr>
          <w:rFonts w:asciiTheme="minorEastAsia" w:eastAsiaTheme="minorEastAsia" w:hAnsiTheme="minorEastAsia"/>
          <w:kern w:val="0"/>
          <w:szCs w:val="21"/>
        </w:rPr>
        <w:t>）</w:t>
      </w:r>
      <w:r w:rsidRPr="009802E0">
        <w:rPr>
          <w:rFonts w:asciiTheme="minorEastAsia" w:eastAsiaTheme="minorEastAsia" w:hAnsiTheme="minorEastAsia" w:hint="eastAsia"/>
          <w:kern w:val="0"/>
          <w:szCs w:val="21"/>
        </w:rPr>
        <w:t>本基金与其他基金的合并；</w:t>
      </w:r>
    </w:p>
    <w:p w:rsidR="00FE1FEF" w:rsidRPr="009802E0" w:rsidRDefault="00FE1FEF"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（8）</w:t>
      </w:r>
      <w:r w:rsidRPr="009802E0">
        <w:rPr>
          <w:rFonts w:asciiTheme="minorEastAsia" w:eastAsiaTheme="minorEastAsia" w:hAnsiTheme="minorEastAsia"/>
          <w:kern w:val="0"/>
          <w:szCs w:val="21"/>
        </w:rPr>
        <w:t>变更基金投资目标、范围或策略</w:t>
      </w:r>
      <w:r w:rsidRPr="009802E0">
        <w:rPr>
          <w:rFonts w:asciiTheme="minorEastAsia" w:eastAsiaTheme="minorEastAsia" w:hAnsiTheme="minorEastAsia" w:hint="eastAsia"/>
          <w:kern w:val="0"/>
          <w:szCs w:val="21"/>
        </w:rPr>
        <w:t>（法律法规和中国证监会另有规定的除外）；</w:t>
      </w:r>
    </w:p>
    <w:p w:rsidR="00FE1FEF" w:rsidRPr="009802E0" w:rsidRDefault="00FE1FEF"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（9）</w:t>
      </w:r>
      <w:r w:rsidRPr="009802E0">
        <w:rPr>
          <w:rFonts w:asciiTheme="minorEastAsia" w:eastAsiaTheme="minorEastAsia" w:hAnsiTheme="minorEastAsia"/>
        </w:rPr>
        <w:t>变更基金份额持有人大会程序</w:t>
      </w:r>
      <w:r w:rsidRPr="009802E0">
        <w:rPr>
          <w:rFonts w:asciiTheme="minorEastAsia" w:eastAsiaTheme="minorEastAsia" w:hAnsiTheme="minorEastAsia" w:hint="eastAsia"/>
        </w:rPr>
        <w:t>；</w:t>
      </w:r>
    </w:p>
    <w:p w:rsidR="00FE1FEF" w:rsidRPr="009802E0" w:rsidRDefault="00FE1FEF"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（10）基金管理人或基金托管人要求召开基金份额持有人大会；</w:t>
      </w:r>
    </w:p>
    <w:p w:rsidR="00FE1FEF" w:rsidRPr="009802E0" w:rsidRDefault="00FE1FEF"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（11）单独或合计持有本基金总份额10％以上（含10％）基金份额的基金份额持有人（以基金管理人收到提议当日的基金份额计算，下同）就同一事项书面要求召开基金份额持有人大会；</w:t>
      </w:r>
    </w:p>
    <w:p w:rsidR="00FE1FEF" w:rsidRPr="009802E0" w:rsidRDefault="00FE1FEF"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（12）对基金当事人权利和义务产生重大影响的其他事项；</w:t>
      </w:r>
    </w:p>
    <w:p w:rsidR="00B43AC4" w:rsidRPr="009802E0" w:rsidRDefault="00FE1FEF"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（13）法律法规、《基金合同》或中国证监会规定的其他应当召开基金份额持有人大会的事项</w:t>
      </w:r>
      <w:r w:rsidR="00B43AC4" w:rsidRPr="009802E0">
        <w:rPr>
          <w:rFonts w:asciiTheme="minorEastAsia" w:eastAsiaTheme="minorEastAsia" w:hAnsiTheme="minorEastAsia" w:hint="eastAsia"/>
        </w:rPr>
        <w:t>。</w:t>
      </w:r>
    </w:p>
    <w:p w:rsidR="00B43AC4" w:rsidRPr="009802E0" w:rsidRDefault="00B43AC4"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3</w:t>
      </w:r>
      <w:r w:rsidR="004E552C" w:rsidRPr="009802E0">
        <w:rPr>
          <w:rFonts w:asciiTheme="minorEastAsia" w:eastAsiaTheme="minorEastAsia" w:hAnsiTheme="minorEastAsia" w:hint="eastAsia"/>
        </w:rPr>
        <w:t>、</w:t>
      </w:r>
      <w:r w:rsidR="003A3ED9" w:rsidRPr="009802E0">
        <w:rPr>
          <w:rFonts w:asciiTheme="minorEastAsia" w:eastAsiaTheme="minorEastAsia" w:hAnsiTheme="minorEastAsia" w:hint="eastAsia"/>
        </w:rPr>
        <w:t>以下情况可由基金管理人和基金托管人协商后修改，不需召开基金份额持有人大会</w:t>
      </w:r>
      <w:r w:rsidRPr="009802E0">
        <w:rPr>
          <w:rFonts w:asciiTheme="minorEastAsia" w:eastAsiaTheme="minorEastAsia" w:hAnsiTheme="minorEastAsia" w:hint="eastAsia"/>
        </w:rPr>
        <w:t>：</w:t>
      </w:r>
    </w:p>
    <w:p w:rsidR="00FE1FEF" w:rsidRPr="009802E0" w:rsidRDefault="00FE1FEF"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（1）调低基金管理费、基金托管费；</w:t>
      </w:r>
    </w:p>
    <w:p w:rsidR="00FE1FEF" w:rsidRPr="009802E0" w:rsidRDefault="00FE1FEF"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（2）法律法规要求增加的基金费用的收取；</w:t>
      </w:r>
    </w:p>
    <w:p w:rsidR="00FE1FEF" w:rsidRPr="009802E0" w:rsidRDefault="00FE1FEF"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（3）</w:t>
      </w:r>
      <w:r w:rsidRPr="009802E0">
        <w:rPr>
          <w:rFonts w:asciiTheme="minorEastAsia" w:eastAsiaTheme="minorEastAsia" w:hAnsiTheme="minorEastAsia"/>
        </w:rPr>
        <w:t>在</w:t>
      </w:r>
      <w:r w:rsidRPr="009802E0">
        <w:rPr>
          <w:rFonts w:asciiTheme="minorEastAsia" w:eastAsiaTheme="minorEastAsia" w:hAnsiTheme="minorEastAsia" w:hint="eastAsia"/>
        </w:rPr>
        <w:t>法律法规和</w:t>
      </w:r>
      <w:r w:rsidRPr="009802E0">
        <w:rPr>
          <w:rFonts w:asciiTheme="minorEastAsia" w:eastAsiaTheme="minorEastAsia" w:hAnsiTheme="minorEastAsia"/>
        </w:rPr>
        <w:t>《基金合同》规定的范围内</w:t>
      </w:r>
      <w:r w:rsidRPr="009802E0">
        <w:rPr>
          <w:rFonts w:asciiTheme="minorEastAsia" w:eastAsiaTheme="minorEastAsia" w:hAnsiTheme="minorEastAsia" w:hint="eastAsia"/>
        </w:rPr>
        <w:t>调整</w:t>
      </w:r>
      <w:r w:rsidRPr="009802E0">
        <w:rPr>
          <w:rFonts w:asciiTheme="minorEastAsia" w:eastAsiaTheme="minorEastAsia" w:hAnsiTheme="minorEastAsia"/>
        </w:rPr>
        <w:t>本基金的申购费率、调低赎回费率</w:t>
      </w:r>
      <w:r w:rsidR="007E7751" w:rsidRPr="009802E0">
        <w:rPr>
          <w:rFonts w:asciiTheme="minorEastAsia" w:eastAsiaTheme="minorEastAsia" w:hAnsiTheme="minorEastAsia" w:hint="eastAsia"/>
        </w:rPr>
        <w:t>或调整收费方式</w:t>
      </w:r>
      <w:r w:rsidRPr="009802E0">
        <w:rPr>
          <w:rFonts w:asciiTheme="minorEastAsia" w:eastAsiaTheme="minorEastAsia" w:hAnsiTheme="minorEastAsia" w:hint="eastAsia"/>
        </w:rPr>
        <w:t>；</w:t>
      </w:r>
    </w:p>
    <w:p w:rsidR="00FE1FEF" w:rsidRPr="009802E0" w:rsidRDefault="00FE1FEF"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（4）因相应的法律法规发生变动而应当对《基金合同》进行修改；</w:t>
      </w:r>
    </w:p>
    <w:p w:rsidR="00FE1FEF" w:rsidRPr="009802E0" w:rsidRDefault="00FE1FEF"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（5）对《基金合同》的修改对基金份额持有人利益无实质性不利影响或修改不涉及《基金合同》当事人权利义务关系发生变化；</w:t>
      </w:r>
    </w:p>
    <w:p w:rsidR="00B43AC4" w:rsidRPr="009802E0" w:rsidRDefault="00FE1FEF"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（6）除按照法律法规和《基金合同》规定应当召开基金份额持有人大会的以外的其他情形</w:t>
      </w:r>
      <w:r w:rsidR="00B43AC4" w:rsidRPr="009802E0">
        <w:rPr>
          <w:rFonts w:asciiTheme="minorEastAsia" w:eastAsiaTheme="minorEastAsia" w:hAnsiTheme="minorEastAsia" w:hint="eastAsia"/>
        </w:rPr>
        <w:t>。</w:t>
      </w:r>
    </w:p>
    <w:p w:rsidR="00B43AC4" w:rsidRPr="009802E0" w:rsidRDefault="00FE1FEF"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4</w:t>
      </w:r>
      <w:r w:rsidR="004E552C" w:rsidRPr="009802E0">
        <w:rPr>
          <w:rFonts w:asciiTheme="minorEastAsia" w:eastAsiaTheme="minorEastAsia" w:hAnsiTheme="minorEastAsia" w:hint="eastAsia"/>
        </w:rPr>
        <w:t>、</w:t>
      </w:r>
      <w:r w:rsidR="00B43AC4" w:rsidRPr="009802E0">
        <w:rPr>
          <w:rFonts w:asciiTheme="minorEastAsia" w:eastAsiaTheme="minorEastAsia" w:hAnsiTheme="minorEastAsia" w:hint="eastAsia"/>
        </w:rPr>
        <w:t>召集人及召集方式：</w:t>
      </w:r>
    </w:p>
    <w:p w:rsidR="00FE1FEF" w:rsidRPr="009802E0" w:rsidRDefault="00FE1FEF"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（1）除法律法规规定或《基金合同》另有约定外，基金份额持有人大会由基金管理人召集；</w:t>
      </w:r>
    </w:p>
    <w:p w:rsidR="00FE1FEF" w:rsidRPr="009802E0" w:rsidRDefault="00FE1FEF"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（2）基金管理人未按规定召集或不能召集时，由基金托管人召集；</w:t>
      </w:r>
    </w:p>
    <w:p w:rsidR="00FE1FEF" w:rsidRPr="009802E0" w:rsidRDefault="00FE1FEF"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（3）</w:t>
      </w:r>
      <w:r w:rsidRPr="009802E0">
        <w:rPr>
          <w:rFonts w:asciiTheme="minorEastAsia" w:eastAsiaTheme="minorEastAsia" w:hAnsiTheme="minorEastAsia"/>
        </w:rPr>
        <w:t>基金托管人认为有必要召开基金份额持有人大会的，应当向基金管理人提出书面提议。基金管理人应当自收到书面提议之日起</w:t>
      </w:r>
      <w:r w:rsidRPr="009802E0">
        <w:rPr>
          <w:rFonts w:asciiTheme="minorEastAsia" w:eastAsiaTheme="minorEastAsia" w:hAnsiTheme="minorEastAsia" w:hint="eastAsia"/>
        </w:rPr>
        <w:t>10</w:t>
      </w:r>
      <w:r w:rsidRPr="009802E0">
        <w:rPr>
          <w:rFonts w:asciiTheme="minorEastAsia" w:eastAsiaTheme="minorEastAsia" w:hAnsiTheme="minorEastAsia"/>
        </w:rPr>
        <w:t>日内决定是否召集，并书面告知基金托管人。基金管理人决定召集的，应当自出具书面决定之日起</w:t>
      </w:r>
      <w:r w:rsidRPr="009802E0">
        <w:rPr>
          <w:rFonts w:asciiTheme="minorEastAsia" w:eastAsiaTheme="minorEastAsia" w:hAnsiTheme="minorEastAsia" w:hint="eastAsia"/>
        </w:rPr>
        <w:t>60</w:t>
      </w:r>
      <w:r w:rsidRPr="009802E0">
        <w:rPr>
          <w:rFonts w:asciiTheme="minorEastAsia" w:eastAsiaTheme="minorEastAsia" w:hAnsiTheme="minorEastAsia"/>
        </w:rPr>
        <w:t>日内召开；基金管理人决定不召集，基金托管人仍认为有必要召开的，应当</w:t>
      </w:r>
      <w:r w:rsidRPr="009802E0">
        <w:rPr>
          <w:rFonts w:asciiTheme="minorEastAsia" w:eastAsiaTheme="minorEastAsia" w:hAnsiTheme="minorEastAsia" w:hint="eastAsia"/>
        </w:rPr>
        <w:t>由基金托管人</w:t>
      </w:r>
      <w:r w:rsidRPr="009802E0">
        <w:rPr>
          <w:rFonts w:asciiTheme="minorEastAsia" w:eastAsiaTheme="minorEastAsia" w:hAnsiTheme="minorEastAsia"/>
        </w:rPr>
        <w:t>自行召集。</w:t>
      </w:r>
    </w:p>
    <w:p w:rsidR="00FE1FEF" w:rsidRPr="009802E0" w:rsidRDefault="00FE1FEF" w:rsidP="009C0E15">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rPr>
        <w:t>（4）代表基金份额10%以上（含10%）的基金份额持有人就同一事项书面要求召开基金份额持有人大会，</w:t>
      </w:r>
      <w:r w:rsidRPr="009802E0">
        <w:rPr>
          <w:rFonts w:asciiTheme="minorEastAsia" w:eastAsiaTheme="minorEastAsia" w:hAnsiTheme="minorEastAsia"/>
        </w:rPr>
        <w:t>应当向基金管理人提出书面提议。基金管</w:t>
      </w:r>
      <w:r w:rsidRPr="009802E0">
        <w:rPr>
          <w:rFonts w:asciiTheme="minorEastAsia" w:eastAsiaTheme="minorEastAsia" w:hAnsiTheme="minorEastAsia"/>
          <w:kern w:val="0"/>
          <w:szCs w:val="21"/>
        </w:rPr>
        <w:t>理人应当自收到书面提议之日起</w:t>
      </w:r>
      <w:r w:rsidRPr="009802E0">
        <w:rPr>
          <w:rFonts w:asciiTheme="minorEastAsia" w:eastAsiaTheme="minorEastAsia" w:hAnsiTheme="minorEastAsia" w:hint="eastAsia"/>
          <w:kern w:val="0"/>
          <w:szCs w:val="21"/>
        </w:rPr>
        <w:t>10</w:t>
      </w:r>
      <w:r w:rsidRPr="009802E0">
        <w:rPr>
          <w:rFonts w:asciiTheme="minorEastAsia" w:eastAsiaTheme="minorEastAsia" w:hAnsiTheme="minorEastAsia"/>
          <w:kern w:val="0"/>
          <w:szCs w:val="21"/>
        </w:rPr>
        <w:t>日内决定是否召集，并书面告知提出提议的基金份额持有人代表和基金托管人。基金管理人决定召集的，应当自出具书面决定之日起</w:t>
      </w:r>
      <w:r w:rsidRPr="009802E0">
        <w:rPr>
          <w:rFonts w:asciiTheme="minorEastAsia" w:eastAsiaTheme="minorEastAsia" w:hAnsiTheme="minorEastAsia" w:hint="eastAsia"/>
          <w:kern w:val="0"/>
          <w:szCs w:val="21"/>
        </w:rPr>
        <w:t>60</w:t>
      </w:r>
      <w:r w:rsidRPr="009802E0">
        <w:rPr>
          <w:rFonts w:asciiTheme="minorEastAsia" w:eastAsiaTheme="minorEastAsia" w:hAnsiTheme="minorEastAsia"/>
          <w:kern w:val="0"/>
          <w:szCs w:val="21"/>
        </w:rPr>
        <w:t>日内召开；基金管理人决定不召集，代表基金份额</w:t>
      </w:r>
      <w:r w:rsidRPr="009802E0">
        <w:rPr>
          <w:rFonts w:asciiTheme="minorEastAsia" w:eastAsiaTheme="minorEastAsia" w:hAnsiTheme="minorEastAsia" w:hint="eastAsia"/>
          <w:kern w:val="0"/>
          <w:szCs w:val="21"/>
        </w:rPr>
        <w:t>10%</w:t>
      </w:r>
      <w:r w:rsidRPr="009802E0">
        <w:rPr>
          <w:rFonts w:asciiTheme="minorEastAsia" w:eastAsiaTheme="minorEastAsia" w:hAnsiTheme="minorEastAsia"/>
          <w:kern w:val="0"/>
          <w:szCs w:val="21"/>
        </w:rPr>
        <w:t>以上</w:t>
      </w:r>
      <w:r w:rsidRPr="009802E0">
        <w:rPr>
          <w:rFonts w:asciiTheme="minorEastAsia" w:eastAsiaTheme="minorEastAsia" w:hAnsiTheme="minorEastAsia" w:hint="eastAsia"/>
          <w:kern w:val="0"/>
          <w:szCs w:val="21"/>
        </w:rPr>
        <w:t>（含10%）</w:t>
      </w:r>
      <w:r w:rsidRPr="009802E0">
        <w:rPr>
          <w:rFonts w:asciiTheme="minorEastAsia" w:eastAsiaTheme="minorEastAsia" w:hAnsiTheme="minorEastAsia"/>
          <w:kern w:val="0"/>
          <w:szCs w:val="21"/>
        </w:rPr>
        <w:t>的基金份额持有人仍认为有必要召开的，应当向基金托管人提出书面提议。基金托管人应当自收到书面提议之日起</w:t>
      </w:r>
      <w:r w:rsidRPr="009802E0">
        <w:rPr>
          <w:rFonts w:asciiTheme="minorEastAsia" w:eastAsiaTheme="minorEastAsia" w:hAnsiTheme="minorEastAsia" w:hint="eastAsia"/>
          <w:kern w:val="0"/>
          <w:szCs w:val="21"/>
        </w:rPr>
        <w:t>10</w:t>
      </w:r>
      <w:r w:rsidRPr="009802E0">
        <w:rPr>
          <w:rFonts w:asciiTheme="minorEastAsia" w:eastAsiaTheme="minorEastAsia" w:hAnsiTheme="minorEastAsia"/>
          <w:kern w:val="0"/>
          <w:szCs w:val="21"/>
        </w:rPr>
        <w:t>日内决定是否召集，并书面告知提</w:t>
      </w:r>
      <w:r w:rsidRPr="009802E0">
        <w:rPr>
          <w:rFonts w:asciiTheme="minorEastAsia" w:eastAsiaTheme="minorEastAsia" w:hAnsiTheme="minorEastAsia"/>
          <w:kern w:val="0"/>
          <w:szCs w:val="21"/>
        </w:rPr>
        <w:lastRenderedPageBreak/>
        <w:t>出提议的基金份额持有人代表和基金管理人；基金托管人决定召集的，应当自出具书面决定之日起</w:t>
      </w:r>
      <w:r w:rsidRPr="009802E0">
        <w:rPr>
          <w:rFonts w:asciiTheme="minorEastAsia" w:eastAsiaTheme="minorEastAsia" w:hAnsiTheme="minorEastAsia" w:hint="eastAsia"/>
          <w:kern w:val="0"/>
          <w:szCs w:val="21"/>
        </w:rPr>
        <w:t>60</w:t>
      </w:r>
      <w:r w:rsidRPr="009802E0">
        <w:rPr>
          <w:rFonts w:asciiTheme="minorEastAsia" w:eastAsiaTheme="minorEastAsia" w:hAnsiTheme="minorEastAsia"/>
          <w:kern w:val="0"/>
          <w:szCs w:val="21"/>
        </w:rPr>
        <w:t>日内召开。</w:t>
      </w:r>
    </w:p>
    <w:p w:rsidR="00FE1FEF" w:rsidRPr="009802E0" w:rsidRDefault="00FE1FEF"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（5）</w:t>
      </w:r>
      <w:r w:rsidRPr="009802E0">
        <w:rPr>
          <w:rFonts w:asciiTheme="minorEastAsia" w:eastAsiaTheme="minorEastAsia" w:hAnsiTheme="minorEastAsia"/>
          <w:kern w:val="0"/>
          <w:szCs w:val="21"/>
        </w:rPr>
        <w:t>代表基金份额</w:t>
      </w:r>
      <w:r w:rsidRPr="009802E0">
        <w:rPr>
          <w:rFonts w:asciiTheme="minorEastAsia" w:eastAsiaTheme="minorEastAsia" w:hAnsiTheme="minorEastAsia" w:hint="eastAsia"/>
          <w:kern w:val="0"/>
          <w:szCs w:val="21"/>
        </w:rPr>
        <w:t>10%以上（含10%）</w:t>
      </w:r>
      <w:r w:rsidRPr="009802E0">
        <w:rPr>
          <w:rFonts w:asciiTheme="minorEastAsia" w:eastAsiaTheme="minorEastAsia" w:hAnsiTheme="minorEastAsia"/>
          <w:kern w:val="0"/>
          <w:szCs w:val="21"/>
        </w:rPr>
        <w:t>的基金份额持有人就同一事项要求召开基金份额持有人大会，而</w:t>
      </w:r>
      <w:r w:rsidRPr="009802E0">
        <w:rPr>
          <w:rFonts w:asciiTheme="minorEastAsia" w:eastAsiaTheme="minorEastAsia" w:hAnsiTheme="minorEastAsia" w:hint="eastAsia"/>
          <w:kern w:val="0"/>
          <w:szCs w:val="21"/>
        </w:rPr>
        <w:t>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FE1FEF" w:rsidRPr="009802E0" w:rsidRDefault="00FE1FEF"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（6）基金份额持有人会议的召集人负责选择确定开会时间、地点、方式和权益登记日。</w:t>
      </w:r>
    </w:p>
    <w:p w:rsidR="00B43AC4" w:rsidRPr="009802E0" w:rsidRDefault="004E552C"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kern w:val="0"/>
          <w:szCs w:val="21"/>
        </w:rPr>
        <w:t>5、</w:t>
      </w:r>
      <w:r w:rsidR="00B43AC4" w:rsidRPr="009802E0">
        <w:rPr>
          <w:rFonts w:asciiTheme="minorEastAsia" w:eastAsiaTheme="minorEastAsia" w:hAnsiTheme="minorEastAsia" w:hint="eastAsia"/>
          <w:kern w:val="0"/>
          <w:szCs w:val="21"/>
        </w:rPr>
        <w:t>会</w:t>
      </w:r>
      <w:r w:rsidR="00B43AC4" w:rsidRPr="009802E0">
        <w:rPr>
          <w:rFonts w:asciiTheme="minorEastAsia" w:eastAsiaTheme="minorEastAsia" w:hAnsiTheme="minorEastAsia" w:hint="eastAsia"/>
        </w:rPr>
        <w:t>议通知</w:t>
      </w:r>
    </w:p>
    <w:p w:rsidR="00B43AC4" w:rsidRPr="009802E0" w:rsidRDefault="00B43AC4"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(1)</w:t>
      </w:r>
      <w:r w:rsidR="00DE5820" w:rsidRPr="009802E0">
        <w:rPr>
          <w:rFonts w:asciiTheme="minorEastAsia" w:eastAsiaTheme="minorEastAsia" w:hAnsiTheme="minorEastAsia" w:hint="eastAsia"/>
        </w:rPr>
        <w:t>召开基金份额持有人大会，召集人应于会议召开前4</w:t>
      </w:r>
      <w:r w:rsidR="00DE5820" w:rsidRPr="009802E0">
        <w:rPr>
          <w:rFonts w:asciiTheme="minorEastAsia" w:eastAsiaTheme="minorEastAsia" w:hAnsiTheme="minorEastAsia"/>
        </w:rPr>
        <w:t>0</w:t>
      </w:r>
      <w:r w:rsidR="00DE5820" w:rsidRPr="009802E0">
        <w:rPr>
          <w:rFonts w:asciiTheme="minorEastAsia" w:eastAsiaTheme="minorEastAsia" w:hAnsiTheme="minorEastAsia" w:hint="eastAsia"/>
        </w:rPr>
        <w:t>天，在至少一家</w:t>
      </w:r>
      <w:r w:rsidR="004E4473" w:rsidRPr="009802E0">
        <w:rPr>
          <w:rFonts w:asciiTheme="minorEastAsia" w:eastAsiaTheme="minorEastAsia" w:hAnsiTheme="minorEastAsia" w:hint="eastAsia"/>
        </w:rPr>
        <w:t>指定媒介</w:t>
      </w:r>
      <w:r w:rsidR="00DE5820" w:rsidRPr="009802E0">
        <w:rPr>
          <w:rFonts w:asciiTheme="minorEastAsia" w:eastAsiaTheme="minorEastAsia" w:hAnsiTheme="minorEastAsia" w:hint="eastAsia"/>
        </w:rPr>
        <w:t>公告。基金份额持有人大会通知应至少载明以下内容</w:t>
      </w:r>
      <w:r w:rsidRPr="009802E0">
        <w:rPr>
          <w:rFonts w:asciiTheme="minorEastAsia" w:eastAsiaTheme="minorEastAsia" w:hAnsiTheme="minorEastAsia" w:hint="eastAsia"/>
        </w:rPr>
        <w:t>：</w:t>
      </w:r>
    </w:p>
    <w:p w:rsidR="00B43AC4" w:rsidRPr="009802E0" w:rsidRDefault="00B43AC4"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a.</w:t>
      </w:r>
      <w:r w:rsidR="00DE5820" w:rsidRPr="009802E0">
        <w:rPr>
          <w:rFonts w:asciiTheme="minorEastAsia" w:eastAsiaTheme="minorEastAsia" w:hAnsiTheme="minorEastAsia" w:hint="eastAsia"/>
        </w:rPr>
        <w:t>会议召开的时间、地点、方式和会议形式</w:t>
      </w:r>
      <w:r w:rsidRPr="009802E0">
        <w:rPr>
          <w:rFonts w:asciiTheme="minorEastAsia" w:eastAsiaTheme="minorEastAsia" w:hAnsiTheme="minorEastAsia" w:hint="eastAsia"/>
        </w:rPr>
        <w:t>；</w:t>
      </w:r>
    </w:p>
    <w:p w:rsidR="00B43AC4" w:rsidRPr="009802E0" w:rsidRDefault="00B43AC4"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b.</w:t>
      </w:r>
      <w:r w:rsidR="00DE5820" w:rsidRPr="009802E0">
        <w:rPr>
          <w:rFonts w:asciiTheme="minorEastAsia" w:eastAsiaTheme="minorEastAsia" w:hAnsiTheme="minorEastAsia" w:hint="eastAsia"/>
        </w:rPr>
        <w:t>会议拟审议的事项、议事程序和表决形式</w:t>
      </w:r>
      <w:r w:rsidRPr="009802E0">
        <w:rPr>
          <w:rFonts w:asciiTheme="minorEastAsia" w:eastAsiaTheme="minorEastAsia" w:hAnsiTheme="minorEastAsia" w:hint="eastAsia"/>
        </w:rPr>
        <w:t>；</w:t>
      </w:r>
    </w:p>
    <w:p w:rsidR="00B43AC4" w:rsidRPr="009802E0" w:rsidRDefault="00B43AC4"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c.</w:t>
      </w:r>
      <w:r w:rsidR="00DE5820" w:rsidRPr="009802E0">
        <w:rPr>
          <w:rFonts w:asciiTheme="minorEastAsia" w:eastAsiaTheme="minorEastAsia" w:hAnsiTheme="minorEastAsia" w:hint="eastAsia"/>
        </w:rPr>
        <w:t>有权出席基金份额持有人大会的基金份额持有人的权益登记日</w:t>
      </w:r>
      <w:r w:rsidRPr="009802E0">
        <w:rPr>
          <w:rFonts w:asciiTheme="minorEastAsia" w:eastAsiaTheme="minorEastAsia" w:hAnsiTheme="minorEastAsia" w:hint="eastAsia"/>
        </w:rPr>
        <w:t>；</w:t>
      </w:r>
    </w:p>
    <w:p w:rsidR="00B43AC4" w:rsidRPr="009802E0" w:rsidRDefault="00B43AC4"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d.</w:t>
      </w:r>
      <w:r w:rsidR="00DE5820" w:rsidRPr="009802E0">
        <w:rPr>
          <w:rFonts w:asciiTheme="minorEastAsia" w:eastAsiaTheme="minorEastAsia" w:hAnsiTheme="minorEastAsia" w:hint="eastAsia"/>
        </w:rPr>
        <w:t>授权委托书的内容要求（包括但不限于代理人身份，代理权限和代理有效期限等）、送达时间和地点</w:t>
      </w:r>
      <w:r w:rsidRPr="009802E0">
        <w:rPr>
          <w:rFonts w:asciiTheme="minorEastAsia" w:eastAsiaTheme="minorEastAsia" w:hAnsiTheme="minorEastAsia" w:hint="eastAsia"/>
        </w:rPr>
        <w:t>；</w:t>
      </w:r>
    </w:p>
    <w:p w:rsidR="00B43AC4" w:rsidRPr="009802E0" w:rsidRDefault="00B43AC4"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e.</w:t>
      </w:r>
      <w:r w:rsidR="00DE5820" w:rsidRPr="009802E0">
        <w:rPr>
          <w:rFonts w:asciiTheme="minorEastAsia" w:eastAsiaTheme="minorEastAsia" w:hAnsiTheme="minorEastAsia" w:hint="eastAsia"/>
        </w:rPr>
        <w:t>会务常设联系人姓名及联系电话</w:t>
      </w:r>
      <w:r w:rsidRPr="009802E0">
        <w:rPr>
          <w:rFonts w:asciiTheme="minorEastAsia" w:eastAsiaTheme="minorEastAsia" w:hAnsiTheme="minorEastAsia" w:hint="eastAsia"/>
        </w:rPr>
        <w:t>；</w:t>
      </w:r>
    </w:p>
    <w:p w:rsidR="00DE5820" w:rsidRPr="009802E0" w:rsidRDefault="00DE5820"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f.出席会议者必须准备的文件和必须履行的手续;</w:t>
      </w:r>
    </w:p>
    <w:p w:rsidR="00DE5820" w:rsidRPr="009802E0" w:rsidRDefault="00DE5820"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g.召集人需要通知的其他事项。</w:t>
      </w:r>
    </w:p>
    <w:p w:rsidR="00EF3BFE" w:rsidRPr="009802E0" w:rsidRDefault="00B43AC4"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(2)</w:t>
      </w:r>
      <w:r w:rsidR="00EF3BFE" w:rsidRPr="009802E0">
        <w:rPr>
          <w:rFonts w:asciiTheme="minorEastAsia" w:eastAsiaTheme="minorEastAsia" w:hAnsiTheme="minorEastAsia" w:hint="eastAsia"/>
        </w:rPr>
        <w:t>采</w:t>
      </w:r>
      <w:r w:rsidR="00EF3BFE" w:rsidRPr="009802E0">
        <w:rPr>
          <w:rFonts w:asciiTheme="minorEastAsia" w:eastAsiaTheme="minorEastAsia" w:hAnsiTheme="minorEastAsia"/>
        </w:rPr>
        <w:t>取通讯开会方式并进行表决的情况下，</w:t>
      </w:r>
      <w:r w:rsidR="00EF3BFE" w:rsidRPr="009802E0">
        <w:rPr>
          <w:rFonts w:asciiTheme="minorEastAsia" w:eastAsiaTheme="minorEastAsia" w:hAnsiTheme="minorEastAsia" w:hint="eastAsia"/>
        </w:rPr>
        <w:t>由会议召集人决定通讯方式和书面表决方式，并在会议通知中说明本次基金份额持有人大会所采取的具体通讯方式、委托的公证机关及其联系方式和联系人、书面表决意见寄交的截止时间和收取方式。</w:t>
      </w:r>
    </w:p>
    <w:p w:rsidR="00EF3BFE" w:rsidRPr="009802E0" w:rsidRDefault="00B43AC4" w:rsidP="009C0E15">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rPr>
        <w:t>(3)</w:t>
      </w:r>
      <w:r w:rsidR="00EF3BFE" w:rsidRPr="009802E0">
        <w:rPr>
          <w:rFonts w:asciiTheme="minorEastAsia" w:eastAsiaTheme="minorEastAsia" w:hAnsiTheme="minorEastAsia" w:hint="eastAsia"/>
        </w:rPr>
        <w:t>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w:t>
      </w:r>
      <w:r w:rsidR="00EF3BFE" w:rsidRPr="009802E0">
        <w:rPr>
          <w:rFonts w:asciiTheme="minorEastAsia" w:eastAsiaTheme="minorEastAsia" w:hAnsiTheme="minorEastAsia" w:hint="eastAsia"/>
          <w:kern w:val="0"/>
          <w:szCs w:val="21"/>
        </w:rPr>
        <w:t>的计票进行监督。基金管理人或基金托管人拒不派代表对书面表决意见的计票进行监督的，不影响表决意见的计票效力。</w:t>
      </w:r>
    </w:p>
    <w:p w:rsidR="00B43AC4" w:rsidRPr="009802E0" w:rsidRDefault="004E552C"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kern w:val="0"/>
          <w:szCs w:val="21"/>
        </w:rPr>
        <w:t>6、</w:t>
      </w:r>
      <w:r w:rsidR="00AE0078" w:rsidRPr="009802E0">
        <w:rPr>
          <w:rFonts w:asciiTheme="minorEastAsia" w:eastAsiaTheme="minorEastAsia" w:hAnsiTheme="minorEastAsia" w:hint="eastAsia"/>
          <w:kern w:val="0"/>
          <w:szCs w:val="21"/>
        </w:rPr>
        <w:t>基金</w:t>
      </w:r>
      <w:r w:rsidR="00AE0078" w:rsidRPr="009802E0">
        <w:rPr>
          <w:rFonts w:asciiTheme="minorEastAsia" w:eastAsiaTheme="minorEastAsia" w:hAnsiTheme="minorEastAsia" w:hint="eastAsia"/>
        </w:rPr>
        <w:t>份额持有人出席</w:t>
      </w:r>
      <w:r w:rsidR="00AE0078" w:rsidRPr="009802E0">
        <w:rPr>
          <w:rFonts w:asciiTheme="minorEastAsia" w:eastAsiaTheme="minorEastAsia" w:hAnsiTheme="minorEastAsia"/>
        </w:rPr>
        <w:t>会议</w:t>
      </w:r>
      <w:r w:rsidR="00AE0078" w:rsidRPr="009802E0">
        <w:rPr>
          <w:rFonts w:asciiTheme="minorEastAsia" w:eastAsiaTheme="minorEastAsia" w:hAnsiTheme="minorEastAsia" w:hint="eastAsia"/>
        </w:rPr>
        <w:t>的</w:t>
      </w:r>
      <w:r w:rsidR="00AE0078" w:rsidRPr="009802E0">
        <w:rPr>
          <w:rFonts w:asciiTheme="minorEastAsia" w:eastAsiaTheme="minorEastAsia" w:hAnsiTheme="minorEastAsia"/>
        </w:rPr>
        <w:t>方式</w:t>
      </w:r>
    </w:p>
    <w:p w:rsidR="00AE0078" w:rsidRPr="009802E0" w:rsidRDefault="00AE0078"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rPr>
        <w:t>基金份额持有人大会</w:t>
      </w:r>
      <w:r w:rsidRPr="009802E0">
        <w:rPr>
          <w:rFonts w:asciiTheme="minorEastAsia" w:eastAsiaTheme="minorEastAsia" w:hAnsiTheme="minorEastAsia" w:hint="eastAsia"/>
        </w:rPr>
        <w:t>可通过现场开会方式、通讯开会方式或法律法规和监管机关允许的其他方式召开。</w:t>
      </w:r>
    </w:p>
    <w:p w:rsidR="00AE0078" w:rsidRPr="009802E0" w:rsidRDefault="00AE0078" w:rsidP="009C0E15">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rPr>
        <w:t>会议的召开方式由</w:t>
      </w:r>
      <w:r w:rsidRPr="009802E0">
        <w:rPr>
          <w:rFonts w:asciiTheme="minorEastAsia" w:eastAsiaTheme="minorEastAsia" w:hAnsiTheme="minorEastAsia" w:hint="eastAsia"/>
        </w:rPr>
        <w:t>会议</w:t>
      </w:r>
      <w:r w:rsidRPr="009802E0">
        <w:rPr>
          <w:rFonts w:asciiTheme="minorEastAsia" w:eastAsiaTheme="minorEastAsia" w:hAnsiTheme="minorEastAsia"/>
        </w:rPr>
        <w:t>召集人确定，但更换基金管理人和基金托管人必须以现场开会方式召开。</w:t>
      </w:r>
    </w:p>
    <w:p w:rsidR="00AE0078" w:rsidRPr="009802E0" w:rsidRDefault="00B43AC4" w:rsidP="009C0E15">
      <w:pPr>
        <w:adjustRightInd w:val="0"/>
        <w:snapToGrid w:val="0"/>
        <w:spacing w:line="360" w:lineRule="auto"/>
        <w:ind w:firstLineChars="200" w:firstLine="420"/>
        <w:rPr>
          <w:rFonts w:asciiTheme="minorEastAsia" w:eastAsiaTheme="minorEastAsia" w:hAnsiTheme="minorEastAsia"/>
          <w:kern w:val="0"/>
          <w:szCs w:val="21"/>
        </w:rPr>
      </w:pPr>
      <w:r w:rsidRPr="009802E0">
        <w:rPr>
          <w:rFonts w:asciiTheme="minorEastAsia" w:eastAsiaTheme="minorEastAsia" w:hAnsiTheme="minorEastAsia" w:hint="eastAsia"/>
        </w:rPr>
        <w:t>(1)</w:t>
      </w:r>
      <w:r w:rsidR="00AE0078" w:rsidRPr="009802E0">
        <w:rPr>
          <w:rFonts w:asciiTheme="minorEastAsia" w:eastAsiaTheme="minorEastAsia" w:hAnsiTheme="minorEastAsia"/>
        </w:rPr>
        <w:t>现场开会。由基金份额持有人本人出席或以代理投票授权委托书委派代表出席，现场开会时基金管理人和基金托管人的授权代表应当</w:t>
      </w:r>
      <w:r w:rsidR="00AE0078" w:rsidRPr="009802E0">
        <w:rPr>
          <w:rFonts w:asciiTheme="minorEastAsia" w:eastAsiaTheme="minorEastAsia" w:hAnsiTheme="minorEastAsia" w:hint="eastAsia"/>
        </w:rPr>
        <w:t>列席</w:t>
      </w:r>
      <w:r w:rsidR="00AE0078" w:rsidRPr="009802E0">
        <w:rPr>
          <w:rFonts w:asciiTheme="minorEastAsia" w:eastAsiaTheme="minorEastAsia" w:hAnsiTheme="minorEastAsia"/>
        </w:rPr>
        <w:t>基金份额持有人大会</w:t>
      </w:r>
      <w:r w:rsidR="00AE0078" w:rsidRPr="009802E0">
        <w:rPr>
          <w:rFonts w:asciiTheme="minorEastAsia" w:eastAsiaTheme="minorEastAsia" w:hAnsiTheme="minorEastAsia" w:hint="eastAsia"/>
        </w:rPr>
        <w:t>，基金管理人或</w:t>
      </w:r>
      <w:r w:rsidR="00AE0078" w:rsidRPr="009802E0">
        <w:rPr>
          <w:rFonts w:asciiTheme="minorEastAsia" w:eastAsiaTheme="minorEastAsia" w:hAnsiTheme="minorEastAsia" w:hint="eastAsia"/>
        </w:rPr>
        <w:lastRenderedPageBreak/>
        <w:t>托管人不派代表列席的，不影响表</w:t>
      </w:r>
      <w:r w:rsidR="00AE0078" w:rsidRPr="009802E0">
        <w:rPr>
          <w:rFonts w:asciiTheme="minorEastAsia" w:eastAsiaTheme="minorEastAsia" w:hAnsiTheme="minorEastAsia" w:hint="eastAsia"/>
          <w:kern w:val="0"/>
          <w:szCs w:val="21"/>
        </w:rPr>
        <w:t>决效力</w:t>
      </w:r>
      <w:r w:rsidR="00AE0078" w:rsidRPr="009802E0">
        <w:rPr>
          <w:rFonts w:asciiTheme="minorEastAsia" w:eastAsiaTheme="minorEastAsia" w:hAnsiTheme="minorEastAsia"/>
          <w:kern w:val="0"/>
          <w:szCs w:val="21"/>
        </w:rPr>
        <w:t>。现场开会同时符合以下条件时，可以进行基金份额持有人大会议程：</w:t>
      </w:r>
    </w:p>
    <w:p w:rsidR="00AE0078" w:rsidRPr="009802E0" w:rsidRDefault="00B43AC4"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a.</w:t>
      </w:r>
      <w:r w:rsidR="00AE0078" w:rsidRPr="009802E0">
        <w:rPr>
          <w:rFonts w:asciiTheme="minorEastAsia" w:eastAsiaTheme="minorEastAsia" w:hAnsiTheme="minorEastAsia"/>
          <w:kern w:val="0"/>
          <w:szCs w:val="21"/>
        </w:rPr>
        <w:t>亲自出席会议者持有基金份额的凭证、受托出席会议者出具的委托人持有基金份额的凭证及委托人的代理投票授权委托书符合法律法规、《基金合同》和会议通知的规定，并且持有基金份额的凭证与</w:t>
      </w:r>
      <w:r w:rsidR="00AE0078" w:rsidRPr="009802E0">
        <w:rPr>
          <w:rFonts w:asciiTheme="minorEastAsia" w:eastAsiaTheme="minorEastAsia" w:hAnsiTheme="minorEastAsia" w:hint="eastAsia"/>
          <w:kern w:val="0"/>
          <w:szCs w:val="21"/>
        </w:rPr>
        <w:t>基金注册登记机构提供的</w:t>
      </w:r>
      <w:r w:rsidR="00AE0078" w:rsidRPr="009802E0">
        <w:rPr>
          <w:rFonts w:asciiTheme="minorEastAsia" w:eastAsiaTheme="minorEastAsia" w:hAnsiTheme="minorEastAsia"/>
          <w:kern w:val="0"/>
          <w:szCs w:val="21"/>
        </w:rPr>
        <w:t>登记资料相符；</w:t>
      </w:r>
    </w:p>
    <w:p w:rsidR="00AE0078" w:rsidRPr="009802E0" w:rsidRDefault="00B43AC4"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b.</w:t>
      </w:r>
      <w:r w:rsidR="00AE0078" w:rsidRPr="009802E0">
        <w:rPr>
          <w:rFonts w:asciiTheme="minorEastAsia" w:eastAsiaTheme="minorEastAsia" w:hAnsiTheme="minorEastAsia"/>
          <w:kern w:val="0"/>
          <w:szCs w:val="21"/>
        </w:rPr>
        <w:t>经核对，汇总到会者出示的在权益登记日持有基金份额的凭证显示，有效的基金份额</w:t>
      </w:r>
      <w:r w:rsidR="00AE0078" w:rsidRPr="009802E0">
        <w:rPr>
          <w:rFonts w:asciiTheme="minorEastAsia" w:eastAsiaTheme="minorEastAsia" w:hAnsiTheme="minorEastAsia" w:hint="eastAsia"/>
          <w:kern w:val="0"/>
          <w:szCs w:val="21"/>
        </w:rPr>
        <w:t>不少</w:t>
      </w:r>
      <w:r w:rsidR="00AE0078" w:rsidRPr="009802E0">
        <w:rPr>
          <w:rFonts w:asciiTheme="minorEastAsia" w:eastAsiaTheme="minorEastAsia" w:hAnsiTheme="minorEastAsia"/>
          <w:kern w:val="0"/>
          <w:szCs w:val="21"/>
        </w:rPr>
        <w:t>于本基金在</w:t>
      </w:r>
      <w:r w:rsidR="00AE0078" w:rsidRPr="009802E0">
        <w:rPr>
          <w:rFonts w:asciiTheme="minorEastAsia" w:eastAsiaTheme="minorEastAsia" w:hAnsiTheme="minorEastAsia" w:hint="eastAsia"/>
          <w:kern w:val="0"/>
          <w:szCs w:val="21"/>
        </w:rPr>
        <w:t>权益</w:t>
      </w:r>
      <w:r w:rsidR="00AE0078" w:rsidRPr="009802E0">
        <w:rPr>
          <w:rFonts w:asciiTheme="minorEastAsia" w:eastAsiaTheme="minorEastAsia" w:hAnsiTheme="minorEastAsia"/>
          <w:kern w:val="0"/>
          <w:szCs w:val="21"/>
        </w:rPr>
        <w:t>登记日基金总</w:t>
      </w:r>
      <w:r w:rsidR="00AE0078" w:rsidRPr="009802E0">
        <w:rPr>
          <w:rFonts w:asciiTheme="minorEastAsia" w:eastAsiaTheme="minorEastAsia" w:hAnsiTheme="minorEastAsia" w:hint="eastAsia"/>
          <w:kern w:val="0"/>
          <w:szCs w:val="21"/>
        </w:rPr>
        <w:t>份</w:t>
      </w:r>
      <w:r w:rsidR="00AE0078" w:rsidRPr="009802E0">
        <w:rPr>
          <w:rFonts w:asciiTheme="minorEastAsia" w:eastAsiaTheme="minorEastAsia" w:hAnsiTheme="minorEastAsia"/>
          <w:kern w:val="0"/>
          <w:szCs w:val="21"/>
        </w:rPr>
        <w:t>额的</w:t>
      </w:r>
      <w:r w:rsidR="00AE0078" w:rsidRPr="009802E0">
        <w:rPr>
          <w:rFonts w:asciiTheme="minorEastAsia" w:eastAsiaTheme="minorEastAsia" w:hAnsiTheme="minorEastAsia" w:hint="eastAsia"/>
          <w:kern w:val="0"/>
          <w:szCs w:val="21"/>
        </w:rPr>
        <w:t>50</w:t>
      </w:r>
      <w:r w:rsidR="00AE0078" w:rsidRPr="009802E0">
        <w:rPr>
          <w:rFonts w:asciiTheme="minorEastAsia" w:eastAsiaTheme="minorEastAsia" w:hAnsiTheme="minorEastAsia"/>
          <w:kern w:val="0"/>
          <w:szCs w:val="21"/>
        </w:rPr>
        <w:t>%</w:t>
      </w:r>
      <w:r w:rsidR="00AE0078" w:rsidRPr="009802E0">
        <w:rPr>
          <w:rFonts w:asciiTheme="minorEastAsia" w:eastAsiaTheme="minorEastAsia" w:hAnsiTheme="minorEastAsia" w:hint="eastAsia"/>
          <w:kern w:val="0"/>
          <w:szCs w:val="21"/>
        </w:rPr>
        <w:t>（含50%）</w:t>
      </w:r>
      <w:r w:rsidR="00AE0078" w:rsidRPr="009802E0">
        <w:rPr>
          <w:rFonts w:asciiTheme="minorEastAsia" w:eastAsiaTheme="minorEastAsia" w:hAnsiTheme="minorEastAsia"/>
          <w:kern w:val="0"/>
          <w:szCs w:val="21"/>
        </w:rPr>
        <w:t>。</w:t>
      </w:r>
    </w:p>
    <w:p w:rsidR="00AE0078" w:rsidRPr="009802E0" w:rsidRDefault="00B43AC4"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(2)通讯开会。</w:t>
      </w:r>
      <w:r w:rsidR="00AE0078" w:rsidRPr="009802E0">
        <w:rPr>
          <w:rFonts w:asciiTheme="minorEastAsia" w:eastAsiaTheme="minorEastAsia" w:hAnsiTheme="minorEastAsia" w:hint="eastAsia"/>
          <w:kern w:val="0"/>
          <w:szCs w:val="21"/>
        </w:rPr>
        <w:t>通讯开会系指基金份额持有人将其对表决事项的投票以书面形式在表决截至日以前送达至召集人指定的地址。</w:t>
      </w:r>
      <w:r w:rsidR="00AE0078" w:rsidRPr="009802E0">
        <w:rPr>
          <w:rFonts w:asciiTheme="minorEastAsia" w:eastAsiaTheme="minorEastAsia" w:hAnsiTheme="minorEastAsia"/>
          <w:kern w:val="0"/>
          <w:szCs w:val="21"/>
        </w:rPr>
        <w:t>通讯开会应以书面方式进行表决。</w:t>
      </w:r>
    </w:p>
    <w:p w:rsidR="00AE0078" w:rsidRPr="009802E0" w:rsidRDefault="00AE0078"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kern w:val="0"/>
          <w:szCs w:val="21"/>
        </w:rPr>
        <w:t>在</w:t>
      </w:r>
      <w:r w:rsidRPr="009802E0">
        <w:rPr>
          <w:rFonts w:asciiTheme="minorEastAsia" w:eastAsiaTheme="minorEastAsia" w:hAnsiTheme="minorEastAsia" w:hint="eastAsia"/>
          <w:kern w:val="0"/>
          <w:szCs w:val="21"/>
        </w:rPr>
        <w:t>同时</w:t>
      </w:r>
      <w:r w:rsidRPr="009802E0">
        <w:rPr>
          <w:rFonts w:asciiTheme="minorEastAsia" w:eastAsiaTheme="minorEastAsia" w:hAnsiTheme="minorEastAsia"/>
          <w:kern w:val="0"/>
          <w:szCs w:val="21"/>
        </w:rPr>
        <w:t>符合以下条件时，通讯开会的方式视为有效：</w:t>
      </w:r>
    </w:p>
    <w:p w:rsidR="00AE0078" w:rsidRPr="009802E0" w:rsidRDefault="00AE0078"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a.会议召集人</w:t>
      </w:r>
      <w:r w:rsidRPr="009802E0">
        <w:rPr>
          <w:rFonts w:asciiTheme="minorEastAsia" w:eastAsiaTheme="minorEastAsia" w:hAnsiTheme="minorEastAsia"/>
          <w:kern w:val="0"/>
          <w:szCs w:val="21"/>
        </w:rPr>
        <w:t>按《基金合同》规定公布会议通知后，在</w:t>
      </w:r>
      <w:r w:rsidRPr="009802E0">
        <w:rPr>
          <w:rFonts w:asciiTheme="minorEastAsia" w:eastAsiaTheme="minorEastAsia" w:hAnsiTheme="minorEastAsia" w:hint="eastAsia"/>
          <w:kern w:val="0"/>
          <w:szCs w:val="21"/>
        </w:rPr>
        <w:t>2</w:t>
      </w:r>
      <w:r w:rsidRPr="009802E0">
        <w:rPr>
          <w:rFonts w:asciiTheme="minorEastAsia" w:eastAsiaTheme="minorEastAsia" w:hAnsiTheme="minorEastAsia"/>
          <w:kern w:val="0"/>
          <w:szCs w:val="21"/>
        </w:rPr>
        <w:t>个工作日内连续公布相关提示性公告；</w:t>
      </w:r>
    </w:p>
    <w:p w:rsidR="00AE0078" w:rsidRPr="009802E0" w:rsidRDefault="00AE0078"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b.召集人按基金合同规定通知基金托管人（如果基金托管人为召集人，则为基金管理人）到指定地点对书面表决意见的计票进行监督。会议召集人</w:t>
      </w:r>
      <w:r w:rsidRPr="009802E0">
        <w:rPr>
          <w:rFonts w:asciiTheme="minorEastAsia" w:eastAsiaTheme="minorEastAsia" w:hAnsiTheme="minorEastAsia"/>
          <w:kern w:val="0"/>
          <w:szCs w:val="21"/>
        </w:rPr>
        <w:t>在基金托管人</w:t>
      </w:r>
      <w:r w:rsidRPr="009802E0">
        <w:rPr>
          <w:rFonts w:asciiTheme="minorEastAsia" w:eastAsiaTheme="minorEastAsia" w:hAnsiTheme="minorEastAsia" w:hint="eastAsia"/>
          <w:kern w:val="0"/>
          <w:szCs w:val="21"/>
        </w:rPr>
        <w:t>（如果基金托管人为召集人，则为基金管理人）</w:t>
      </w:r>
      <w:r w:rsidRPr="009802E0">
        <w:rPr>
          <w:rFonts w:asciiTheme="minorEastAsia" w:eastAsiaTheme="minorEastAsia" w:hAnsiTheme="minorEastAsia"/>
          <w:kern w:val="0"/>
          <w:szCs w:val="21"/>
        </w:rPr>
        <w:t>和公证机关的监督下按照会议通知规定的方式收取基金份额持有人的书面表决意见；</w:t>
      </w:r>
      <w:r w:rsidRPr="009802E0">
        <w:rPr>
          <w:rFonts w:asciiTheme="minorEastAsia" w:eastAsiaTheme="minorEastAsia" w:hAnsiTheme="minorEastAsia" w:hint="eastAsia"/>
          <w:kern w:val="0"/>
          <w:szCs w:val="21"/>
        </w:rPr>
        <w:t>基金托管人或基金管理人经通知不参加收取书面表决意见的，不影响表决效力</w:t>
      </w:r>
      <w:r w:rsidRPr="009802E0">
        <w:rPr>
          <w:rFonts w:asciiTheme="minorEastAsia" w:eastAsiaTheme="minorEastAsia" w:hAnsiTheme="minorEastAsia"/>
          <w:kern w:val="0"/>
          <w:szCs w:val="21"/>
        </w:rPr>
        <w:t>；</w:t>
      </w:r>
    </w:p>
    <w:p w:rsidR="00AE0078" w:rsidRPr="009802E0" w:rsidRDefault="00AE0078"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c.</w:t>
      </w:r>
      <w:r w:rsidRPr="009802E0">
        <w:rPr>
          <w:rFonts w:asciiTheme="minorEastAsia" w:eastAsiaTheme="minorEastAsia" w:hAnsiTheme="minorEastAsia"/>
          <w:kern w:val="0"/>
          <w:szCs w:val="21"/>
        </w:rPr>
        <w:t>本人直接出具书面意见或授权他人代表出具书面意见的，基金份额持有人所持有的基金份额</w:t>
      </w:r>
      <w:r w:rsidRPr="009802E0">
        <w:rPr>
          <w:rFonts w:asciiTheme="minorEastAsia" w:eastAsiaTheme="minorEastAsia" w:hAnsiTheme="minorEastAsia" w:hint="eastAsia"/>
          <w:kern w:val="0"/>
          <w:szCs w:val="21"/>
        </w:rPr>
        <w:t>不小</w:t>
      </w:r>
      <w:r w:rsidRPr="009802E0">
        <w:rPr>
          <w:rFonts w:asciiTheme="minorEastAsia" w:eastAsiaTheme="minorEastAsia" w:hAnsiTheme="minorEastAsia"/>
          <w:kern w:val="0"/>
          <w:szCs w:val="21"/>
        </w:rPr>
        <w:t>于在</w:t>
      </w:r>
      <w:r w:rsidRPr="009802E0">
        <w:rPr>
          <w:rFonts w:asciiTheme="minorEastAsia" w:eastAsiaTheme="minorEastAsia" w:hAnsiTheme="minorEastAsia" w:hint="eastAsia"/>
          <w:kern w:val="0"/>
          <w:szCs w:val="21"/>
        </w:rPr>
        <w:t>权益</w:t>
      </w:r>
      <w:r w:rsidRPr="009802E0">
        <w:rPr>
          <w:rFonts w:asciiTheme="minorEastAsia" w:eastAsiaTheme="minorEastAsia" w:hAnsiTheme="minorEastAsia"/>
          <w:kern w:val="0"/>
          <w:szCs w:val="21"/>
        </w:rPr>
        <w:t>登记日基金总份额的</w:t>
      </w:r>
      <w:r w:rsidRPr="009802E0">
        <w:rPr>
          <w:rFonts w:asciiTheme="minorEastAsia" w:eastAsiaTheme="minorEastAsia" w:hAnsiTheme="minorEastAsia" w:hint="eastAsia"/>
          <w:kern w:val="0"/>
          <w:szCs w:val="21"/>
        </w:rPr>
        <w:t>50%（含50%）</w:t>
      </w:r>
      <w:r w:rsidRPr="009802E0">
        <w:rPr>
          <w:rFonts w:asciiTheme="minorEastAsia" w:eastAsiaTheme="minorEastAsia" w:hAnsiTheme="minorEastAsia"/>
          <w:kern w:val="0"/>
          <w:szCs w:val="21"/>
        </w:rPr>
        <w:t>；</w:t>
      </w:r>
    </w:p>
    <w:p w:rsidR="00AE0078" w:rsidRPr="009802E0" w:rsidRDefault="00AE0078"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d.上述c项中</w:t>
      </w:r>
      <w:r w:rsidRPr="009802E0">
        <w:rPr>
          <w:rFonts w:asciiTheme="minorEastAsia" w:eastAsiaTheme="minorEastAsia" w:hAnsiTheme="minorEastAsia"/>
          <w:kern w:val="0"/>
          <w:szCs w:val="21"/>
        </w:rPr>
        <w:t>直接出具书面意见的基金份额持有人或受托代表他人出具书面意见的代理人，同时提交的持有基金份额的凭证、受托</w:t>
      </w:r>
      <w:r w:rsidRPr="009802E0">
        <w:rPr>
          <w:rFonts w:asciiTheme="minorEastAsia" w:eastAsiaTheme="minorEastAsia" w:hAnsiTheme="minorEastAsia" w:hint="eastAsia"/>
          <w:kern w:val="0"/>
          <w:szCs w:val="21"/>
        </w:rPr>
        <w:t>出具书面意见的代理人</w:t>
      </w:r>
      <w:r w:rsidRPr="009802E0">
        <w:rPr>
          <w:rFonts w:asciiTheme="minorEastAsia" w:eastAsiaTheme="minorEastAsia" w:hAnsiTheme="minorEastAsia"/>
          <w:kern w:val="0"/>
          <w:szCs w:val="21"/>
        </w:rPr>
        <w:t>出具的委托人持有基金份额的凭证及委托人的代理投票授权委托书符合法律法规、《基金合同》和会议通知的规定</w:t>
      </w:r>
      <w:r w:rsidRPr="009802E0">
        <w:rPr>
          <w:rFonts w:asciiTheme="minorEastAsia" w:eastAsiaTheme="minorEastAsia" w:hAnsiTheme="minorEastAsia" w:hint="eastAsia"/>
          <w:kern w:val="0"/>
          <w:szCs w:val="21"/>
        </w:rPr>
        <w:t>，并与基金登记注册机构记录相符，并且委托人出具的代理投票授权委托书符合法律法规、《基金合同》和会议通知的规定</w:t>
      </w:r>
      <w:r w:rsidRPr="009802E0">
        <w:rPr>
          <w:rFonts w:asciiTheme="minorEastAsia" w:eastAsiaTheme="minorEastAsia" w:hAnsiTheme="minorEastAsia"/>
          <w:kern w:val="0"/>
          <w:szCs w:val="21"/>
        </w:rPr>
        <w:t>；</w:t>
      </w:r>
    </w:p>
    <w:p w:rsidR="00AE0078" w:rsidRPr="009802E0" w:rsidRDefault="00AE0078"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e.</w:t>
      </w:r>
      <w:r w:rsidRPr="009802E0">
        <w:rPr>
          <w:rFonts w:asciiTheme="minorEastAsia" w:eastAsiaTheme="minorEastAsia" w:hAnsiTheme="minorEastAsia"/>
          <w:kern w:val="0"/>
          <w:szCs w:val="21"/>
        </w:rPr>
        <w:t>会议通知公布前报中国证监会备案。</w:t>
      </w:r>
    </w:p>
    <w:p w:rsidR="003A3ED9" w:rsidRPr="009802E0" w:rsidRDefault="00AE0078"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采取通讯方式进行表决时，除非在计票时有充分的相反证据证明，否则提交符合会议通知中规定的确认投资者身份文件的表决视为有效出席的投资者；表面符合法律法规和会议通知规定的书面表决意见即视为有效的表决，表决意见模糊不清或相互矛盾的视为弃权表决，但应当计入出具书面意见的基金份额持有人所代表的基金份额总数。</w:t>
      </w:r>
    </w:p>
    <w:p w:rsidR="003A3ED9" w:rsidRPr="009802E0" w:rsidRDefault="003A3ED9"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（3）在法律法规和监管机关允许的情况下，本基金亦可采用网络、电话等其他非现场方式由基金份额持有人对其代表进行授权或召开基金份额持有人大会，会议程序比照现场开会或通讯开会。</w:t>
      </w:r>
    </w:p>
    <w:p w:rsidR="00B43AC4" w:rsidRPr="009802E0" w:rsidRDefault="004E552C"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7、</w:t>
      </w:r>
      <w:r w:rsidR="00B43AC4" w:rsidRPr="009802E0">
        <w:rPr>
          <w:rFonts w:asciiTheme="minorEastAsia" w:eastAsiaTheme="minorEastAsia" w:hAnsiTheme="minorEastAsia" w:hint="eastAsia"/>
          <w:kern w:val="0"/>
          <w:szCs w:val="21"/>
        </w:rPr>
        <w:t>议事内容与程序</w:t>
      </w:r>
    </w:p>
    <w:p w:rsidR="00B43AC4" w:rsidRPr="009802E0" w:rsidRDefault="00B43AC4"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(1)议事内容及提案权</w:t>
      </w:r>
    </w:p>
    <w:p w:rsidR="00035B99" w:rsidRPr="009802E0" w:rsidRDefault="00035B99"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kern w:val="0"/>
          <w:szCs w:val="21"/>
        </w:rPr>
        <w:lastRenderedPageBreak/>
        <w:t>议事内容为关系基金份额持有人利益的重大事项，如</w:t>
      </w:r>
      <w:r w:rsidRPr="009802E0">
        <w:rPr>
          <w:rFonts w:asciiTheme="minorEastAsia" w:eastAsiaTheme="minorEastAsia" w:hAnsiTheme="minorEastAsia" w:hint="eastAsia"/>
          <w:kern w:val="0"/>
          <w:szCs w:val="21"/>
        </w:rPr>
        <w:t>《基金合同》的重大修改</w:t>
      </w:r>
      <w:r w:rsidRPr="009802E0">
        <w:rPr>
          <w:rFonts w:asciiTheme="minorEastAsia" w:eastAsiaTheme="minorEastAsia" w:hAnsiTheme="minorEastAsia"/>
          <w:kern w:val="0"/>
          <w:szCs w:val="21"/>
        </w:rPr>
        <w:t>、决定终止</w:t>
      </w:r>
      <w:r w:rsidRPr="009802E0">
        <w:rPr>
          <w:rFonts w:asciiTheme="minorEastAsia" w:eastAsiaTheme="minorEastAsia" w:hAnsiTheme="minorEastAsia" w:hint="eastAsia"/>
          <w:kern w:val="0"/>
          <w:szCs w:val="21"/>
        </w:rPr>
        <w:t>《</w:t>
      </w:r>
      <w:r w:rsidRPr="009802E0">
        <w:rPr>
          <w:rFonts w:asciiTheme="minorEastAsia" w:eastAsiaTheme="minorEastAsia" w:hAnsiTheme="minorEastAsia"/>
          <w:kern w:val="0"/>
          <w:szCs w:val="21"/>
        </w:rPr>
        <w:t>基金</w:t>
      </w:r>
      <w:r w:rsidRPr="009802E0">
        <w:rPr>
          <w:rFonts w:asciiTheme="minorEastAsia" w:eastAsiaTheme="minorEastAsia" w:hAnsiTheme="minorEastAsia" w:hint="eastAsia"/>
          <w:kern w:val="0"/>
          <w:szCs w:val="21"/>
        </w:rPr>
        <w:t>合同》</w:t>
      </w:r>
      <w:r w:rsidRPr="009802E0">
        <w:rPr>
          <w:rFonts w:asciiTheme="minorEastAsia" w:eastAsiaTheme="minorEastAsia" w:hAnsiTheme="minorEastAsia"/>
          <w:kern w:val="0"/>
          <w:szCs w:val="21"/>
        </w:rPr>
        <w:t>、更换基金管理人、更换基金托管人、与其他基金合并</w:t>
      </w:r>
      <w:r w:rsidRPr="009802E0">
        <w:rPr>
          <w:rFonts w:asciiTheme="minorEastAsia" w:eastAsiaTheme="minorEastAsia" w:hAnsiTheme="minorEastAsia" w:hint="eastAsia"/>
          <w:kern w:val="0"/>
          <w:szCs w:val="21"/>
        </w:rPr>
        <w:t>、法律法规及《基金合同》规定的其他事项</w:t>
      </w:r>
      <w:r w:rsidRPr="009802E0">
        <w:rPr>
          <w:rFonts w:asciiTheme="minorEastAsia" w:eastAsiaTheme="minorEastAsia" w:hAnsiTheme="minorEastAsia"/>
          <w:kern w:val="0"/>
          <w:szCs w:val="21"/>
        </w:rPr>
        <w:t>以及</w:t>
      </w:r>
      <w:r w:rsidRPr="009802E0">
        <w:rPr>
          <w:rFonts w:asciiTheme="minorEastAsia" w:eastAsiaTheme="minorEastAsia" w:hAnsiTheme="minorEastAsia" w:hint="eastAsia"/>
          <w:kern w:val="0"/>
          <w:szCs w:val="21"/>
        </w:rPr>
        <w:t>会议</w:t>
      </w:r>
      <w:r w:rsidRPr="009802E0">
        <w:rPr>
          <w:rFonts w:asciiTheme="minorEastAsia" w:eastAsiaTheme="minorEastAsia" w:hAnsiTheme="minorEastAsia"/>
          <w:kern w:val="0"/>
          <w:szCs w:val="21"/>
        </w:rPr>
        <w:t>召集人认为需提交基金份额持有人大会讨论的其他事项。</w:t>
      </w:r>
    </w:p>
    <w:p w:rsidR="00035B99" w:rsidRPr="009802E0" w:rsidRDefault="00035B99"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kern w:val="0"/>
          <w:szCs w:val="21"/>
        </w:rPr>
        <w:t>基金管理人、基金托管人、单独或合并持有权</w:t>
      </w:r>
      <w:r w:rsidRPr="009802E0">
        <w:rPr>
          <w:rFonts w:asciiTheme="minorEastAsia" w:eastAsiaTheme="minorEastAsia" w:hAnsiTheme="minorEastAsia" w:hint="eastAsia"/>
          <w:kern w:val="0"/>
          <w:szCs w:val="21"/>
        </w:rPr>
        <w:t>益</w:t>
      </w:r>
      <w:r w:rsidRPr="009802E0">
        <w:rPr>
          <w:rFonts w:asciiTheme="minorEastAsia" w:eastAsiaTheme="minorEastAsia" w:hAnsiTheme="minorEastAsia"/>
          <w:kern w:val="0"/>
          <w:szCs w:val="21"/>
        </w:rPr>
        <w:t>登记日基金总份额10%</w:t>
      </w:r>
      <w:r w:rsidRPr="009802E0">
        <w:rPr>
          <w:rFonts w:asciiTheme="minorEastAsia" w:eastAsiaTheme="minorEastAsia" w:hAnsiTheme="minorEastAsia" w:hint="eastAsia"/>
          <w:kern w:val="0"/>
          <w:szCs w:val="21"/>
        </w:rPr>
        <w:t>（含10%）</w:t>
      </w:r>
      <w:r w:rsidRPr="009802E0">
        <w:rPr>
          <w:rFonts w:asciiTheme="minorEastAsia" w:eastAsiaTheme="minorEastAsia" w:hAnsiTheme="minorEastAsia"/>
          <w:kern w:val="0"/>
          <w:szCs w:val="21"/>
        </w:rPr>
        <w:t>以上的基金份额持有人可以在大会召集人发出会议通知前向大会召集人提交需由基金份额持有人大会审议表决的提案；也可以在会议通知发出后向大会召集人提交临时提案，临时提案应当在大会召开日</w:t>
      </w:r>
      <w:r w:rsidRPr="009802E0">
        <w:rPr>
          <w:rFonts w:asciiTheme="minorEastAsia" w:eastAsiaTheme="minorEastAsia" w:hAnsiTheme="minorEastAsia" w:hint="eastAsia"/>
          <w:kern w:val="0"/>
          <w:szCs w:val="21"/>
        </w:rPr>
        <w:t>至少35</w:t>
      </w:r>
      <w:r w:rsidRPr="009802E0">
        <w:rPr>
          <w:rFonts w:asciiTheme="minorEastAsia" w:eastAsiaTheme="minorEastAsia" w:hAnsiTheme="minorEastAsia"/>
          <w:kern w:val="0"/>
          <w:szCs w:val="21"/>
        </w:rPr>
        <w:t>天</w:t>
      </w:r>
      <w:r w:rsidRPr="009802E0">
        <w:rPr>
          <w:rFonts w:asciiTheme="minorEastAsia" w:eastAsiaTheme="minorEastAsia" w:hAnsiTheme="minorEastAsia" w:hint="eastAsia"/>
          <w:kern w:val="0"/>
          <w:szCs w:val="21"/>
        </w:rPr>
        <w:t>前</w:t>
      </w:r>
      <w:r w:rsidRPr="009802E0">
        <w:rPr>
          <w:rFonts w:asciiTheme="minorEastAsia" w:eastAsiaTheme="minorEastAsia" w:hAnsiTheme="minorEastAsia"/>
          <w:kern w:val="0"/>
          <w:szCs w:val="21"/>
        </w:rPr>
        <w:t>提交召集人</w:t>
      </w:r>
      <w:r w:rsidRPr="009802E0">
        <w:rPr>
          <w:rFonts w:asciiTheme="minorEastAsia" w:eastAsiaTheme="minorEastAsia" w:hAnsiTheme="minorEastAsia" w:hint="eastAsia"/>
          <w:kern w:val="0"/>
          <w:szCs w:val="21"/>
        </w:rPr>
        <w:t>并由召集人公告</w:t>
      </w:r>
      <w:r w:rsidRPr="009802E0">
        <w:rPr>
          <w:rFonts w:asciiTheme="minorEastAsia" w:eastAsiaTheme="minorEastAsia" w:hAnsiTheme="minorEastAsia"/>
          <w:kern w:val="0"/>
          <w:szCs w:val="21"/>
        </w:rPr>
        <w:t>。</w:t>
      </w:r>
    </w:p>
    <w:p w:rsidR="00035B99" w:rsidRPr="009802E0" w:rsidRDefault="00035B99"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kern w:val="0"/>
          <w:szCs w:val="21"/>
        </w:rPr>
        <w:t>基金份额持有人大会的召集人发出召集会议的通知后，对原有提案的修改应当在基金份额持有人大会召开日</w:t>
      </w:r>
      <w:r w:rsidRPr="009802E0">
        <w:rPr>
          <w:rFonts w:asciiTheme="minorEastAsia" w:eastAsiaTheme="minorEastAsia" w:hAnsiTheme="minorEastAsia" w:hint="eastAsia"/>
          <w:kern w:val="0"/>
          <w:szCs w:val="21"/>
        </w:rPr>
        <w:t>30</w:t>
      </w:r>
      <w:r w:rsidRPr="009802E0">
        <w:rPr>
          <w:rFonts w:asciiTheme="minorEastAsia" w:eastAsiaTheme="minorEastAsia" w:hAnsiTheme="minorEastAsia"/>
          <w:kern w:val="0"/>
          <w:szCs w:val="21"/>
        </w:rPr>
        <w:t>天</w:t>
      </w:r>
      <w:r w:rsidRPr="009802E0">
        <w:rPr>
          <w:rFonts w:asciiTheme="minorEastAsia" w:eastAsiaTheme="minorEastAsia" w:hAnsiTheme="minorEastAsia" w:hint="eastAsia"/>
          <w:kern w:val="0"/>
          <w:szCs w:val="21"/>
        </w:rPr>
        <w:t>前</w:t>
      </w:r>
      <w:r w:rsidRPr="009802E0">
        <w:rPr>
          <w:rFonts w:asciiTheme="minorEastAsia" w:eastAsiaTheme="minorEastAsia" w:hAnsiTheme="minorEastAsia"/>
          <w:kern w:val="0"/>
          <w:szCs w:val="21"/>
        </w:rPr>
        <w:t>公告。</w:t>
      </w:r>
    </w:p>
    <w:p w:rsidR="00035B99" w:rsidRPr="009802E0" w:rsidRDefault="00035B99"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kern w:val="0"/>
          <w:szCs w:val="21"/>
        </w:rPr>
        <w:t>基金份额持有人大会不得对未事先公告的议事内容进行表决。</w:t>
      </w:r>
    </w:p>
    <w:p w:rsidR="00035B99" w:rsidRPr="009802E0" w:rsidRDefault="00035B99"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kern w:val="0"/>
          <w:szCs w:val="21"/>
        </w:rPr>
        <w:t>召集人对于基金管理人</w:t>
      </w:r>
      <w:r w:rsidRPr="009802E0">
        <w:rPr>
          <w:rFonts w:asciiTheme="minorEastAsia" w:eastAsiaTheme="minorEastAsia" w:hAnsiTheme="minorEastAsia" w:hint="eastAsia"/>
          <w:kern w:val="0"/>
          <w:szCs w:val="21"/>
        </w:rPr>
        <w:t>、</w:t>
      </w:r>
      <w:r w:rsidRPr="009802E0">
        <w:rPr>
          <w:rFonts w:asciiTheme="minorEastAsia" w:eastAsiaTheme="minorEastAsia" w:hAnsiTheme="minorEastAsia"/>
          <w:kern w:val="0"/>
          <w:szCs w:val="21"/>
        </w:rPr>
        <w:t>基金托管人和</w:t>
      </w:r>
      <w:r w:rsidRPr="009802E0">
        <w:rPr>
          <w:rFonts w:asciiTheme="minorEastAsia" w:eastAsiaTheme="minorEastAsia" w:hAnsiTheme="minorEastAsia" w:hint="eastAsia"/>
          <w:kern w:val="0"/>
          <w:szCs w:val="21"/>
        </w:rPr>
        <w:t>基金份额持有人</w:t>
      </w:r>
      <w:r w:rsidRPr="009802E0">
        <w:rPr>
          <w:rFonts w:asciiTheme="minorEastAsia" w:eastAsiaTheme="minorEastAsia" w:hAnsiTheme="minorEastAsia"/>
          <w:kern w:val="0"/>
          <w:szCs w:val="21"/>
        </w:rPr>
        <w:t>提交的临时提案</w:t>
      </w:r>
      <w:r w:rsidRPr="009802E0">
        <w:rPr>
          <w:rFonts w:asciiTheme="minorEastAsia" w:eastAsiaTheme="minorEastAsia" w:hAnsiTheme="minorEastAsia" w:hint="eastAsia"/>
          <w:kern w:val="0"/>
          <w:szCs w:val="21"/>
        </w:rPr>
        <w:t>进行审核，符合条件的</w:t>
      </w:r>
      <w:r w:rsidRPr="009802E0">
        <w:rPr>
          <w:rFonts w:asciiTheme="minorEastAsia" w:eastAsiaTheme="minorEastAsia" w:hAnsiTheme="minorEastAsia"/>
          <w:kern w:val="0"/>
          <w:szCs w:val="21"/>
        </w:rPr>
        <w:t>应当在大会召开日</w:t>
      </w:r>
      <w:r w:rsidRPr="009802E0">
        <w:rPr>
          <w:rFonts w:asciiTheme="minorEastAsia" w:eastAsiaTheme="minorEastAsia" w:hAnsiTheme="minorEastAsia" w:hint="eastAsia"/>
          <w:kern w:val="0"/>
          <w:szCs w:val="21"/>
        </w:rPr>
        <w:t>30</w:t>
      </w:r>
      <w:r w:rsidRPr="009802E0">
        <w:rPr>
          <w:rFonts w:asciiTheme="minorEastAsia" w:eastAsiaTheme="minorEastAsia" w:hAnsiTheme="minorEastAsia"/>
          <w:kern w:val="0"/>
          <w:szCs w:val="21"/>
        </w:rPr>
        <w:t>天前公告。大会召集人应当按照以下原则对提案进行审核：</w:t>
      </w:r>
    </w:p>
    <w:p w:rsidR="00035B99" w:rsidRPr="009802E0" w:rsidRDefault="00035B99"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a.</w:t>
      </w:r>
      <w:r w:rsidRPr="009802E0">
        <w:rPr>
          <w:rFonts w:asciiTheme="minorEastAsia" w:eastAsiaTheme="minorEastAsia" w:hAnsiTheme="minorEastAsia"/>
          <w:kern w:val="0"/>
          <w:szCs w:val="21"/>
        </w:rPr>
        <w:t>关联性。大会召集人对于提案涉及事项与基金有直接关系，并且不超出法律法规和</w:t>
      </w:r>
      <w:r w:rsidRPr="009802E0">
        <w:rPr>
          <w:rFonts w:asciiTheme="minorEastAsia" w:eastAsiaTheme="minorEastAsia" w:hAnsiTheme="minorEastAsia" w:hint="eastAsia"/>
          <w:kern w:val="0"/>
          <w:szCs w:val="21"/>
        </w:rPr>
        <w:t>《基金合同》</w:t>
      </w:r>
      <w:r w:rsidRPr="009802E0">
        <w:rPr>
          <w:rFonts w:asciiTheme="minorEastAsia" w:eastAsiaTheme="minorEastAsia" w:hAnsiTheme="minorEastAsia"/>
          <w:kern w:val="0"/>
          <w:szCs w:val="21"/>
        </w:rPr>
        <w:t>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035B99" w:rsidRPr="009802E0" w:rsidRDefault="00035B99"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b.</w:t>
      </w:r>
      <w:r w:rsidRPr="009802E0">
        <w:rPr>
          <w:rFonts w:asciiTheme="minorEastAsia" w:eastAsiaTheme="minorEastAsia" w:hAnsiTheme="minorEastAsia"/>
          <w:kern w:val="0"/>
          <w:szCs w:val="21"/>
        </w:rPr>
        <w:t>程序性。大会召集人可以对提案涉及的程序性问题</w:t>
      </w:r>
      <w:r w:rsidRPr="009802E0">
        <w:rPr>
          <w:rFonts w:asciiTheme="minorEastAsia" w:eastAsiaTheme="minorEastAsia" w:hAnsiTheme="minorEastAsia" w:hint="eastAsia"/>
          <w:kern w:val="0"/>
          <w:szCs w:val="21"/>
        </w:rPr>
        <w:t>做</w:t>
      </w:r>
      <w:r w:rsidRPr="009802E0">
        <w:rPr>
          <w:rFonts w:asciiTheme="minorEastAsia" w:eastAsiaTheme="minorEastAsia" w:hAnsiTheme="minorEastAsia"/>
          <w:kern w:val="0"/>
          <w:szCs w:val="21"/>
        </w:rPr>
        <w:t>出决定。如将提案进行分拆或合并表决，需征得原提案人同意；原提案人不同意变更的，大会主持人可以就程序性问题提请基金份额持有人大会</w:t>
      </w:r>
      <w:r w:rsidRPr="009802E0">
        <w:rPr>
          <w:rFonts w:asciiTheme="minorEastAsia" w:eastAsiaTheme="minorEastAsia" w:hAnsiTheme="minorEastAsia" w:hint="eastAsia"/>
          <w:kern w:val="0"/>
          <w:szCs w:val="21"/>
        </w:rPr>
        <w:t>做</w:t>
      </w:r>
      <w:r w:rsidRPr="009802E0">
        <w:rPr>
          <w:rFonts w:asciiTheme="minorEastAsia" w:eastAsiaTheme="minorEastAsia" w:hAnsiTheme="minorEastAsia"/>
          <w:kern w:val="0"/>
          <w:szCs w:val="21"/>
        </w:rPr>
        <w:t>出决定，并按照基金份额持有人大会决定的程序进行审议。</w:t>
      </w:r>
    </w:p>
    <w:p w:rsidR="00035B99" w:rsidRPr="009802E0" w:rsidRDefault="00035B99"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单独或合并持有权益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除外。</w:t>
      </w:r>
    </w:p>
    <w:p w:rsidR="00035B99" w:rsidRPr="009802E0" w:rsidRDefault="00035B99"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基金份额持有人大会的召集人发出召开会议的通知后，如果需要对原有提案进行修改，应当最迟在基金份额持有人大会召开前30日公告。否则，会议的召开日期应当顺延并保证至少与公告日期有30日的间隔期。</w:t>
      </w:r>
    </w:p>
    <w:p w:rsidR="00B43AC4" w:rsidRPr="009802E0" w:rsidRDefault="00B43AC4"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(2)议事程序</w:t>
      </w:r>
    </w:p>
    <w:p w:rsidR="00035B99" w:rsidRPr="009802E0" w:rsidRDefault="00035B99"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a.</w:t>
      </w:r>
      <w:r w:rsidRPr="009802E0">
        <w:rPr>
          <w:rFonts w:asciiTheme="minorEastAsia" w:eastAsiaTheme="minorEastAsia" w:hAnsiTheme="minorEastAsia"/>
          <w:kern w:val="0"/>
          <w:szCs w:val="21"/>
        </w:rPr>
        <w:t>现场开会</w:t>
      </w:r>
    </w:p>
    <w:p w:rsidR="00035B99" w:rsidRPr="009802E0" w:rsidRDefault="00035B99"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kern w:val="0"/>
          <w:szCs w:val="21"/>
        </w:rPr>
        <w:t>在现场开会的方式下，首先由大会主持人按照下列第七</w:t>
      </w:r>
      <w:r w:rsidRPr="009802E0">
        <w:rPr>
          <w:rFonts w:asciiTheme="minorEastAsia" w:eastAsiaTheme="minorEastAsia" w:hAnsiTheme="minorEastAsia" w:hint="eastAsia"/>
          <w:kern w:val="0"/>
          <w:szCs w:val="21"/>
        </w:rPr>
        <w:t>条</w:t>
      </w:r>
      <w:r w:rsidRPr="009802E0">
        <w:rPr>
          <w:rFonts w:asciiTheme="minorEastAsia" w:eastAsiaTheme="minorEastAsia" w:hAnsiTheme="minorEastAsia"/>
          <w:kern w:val="0"/>
          <w:szCs w:val="21"/>
        </w:rPr>
        <w:t>规定程序确定和公布监票人，然后由大会主持人宣读提案，经讨论后进行表决，并形成大会决议。大会主持人为基金管理人授权出席会议的代表，在基金管理人</w:t>
      </w:r>
      <w:r w:rsidRPr="009802E0">
        <w:rPr>
          <w:rFonts w:asciiTheme="minorEastAsia" w:eastAsiaTheme="minorEastAsia" w:hAnsiTheme="minorEastAsia" w:hint="eastAsia"/>
          <w:kern w:val="0"/>
          <w:szCs w:val="21"/>
        </w:rPr>
        <w:t>授权代表</w:t>
      </w:r>
      <w:r w:rsidRPr="009802E0">
        <w:rPr>
          <w:rFonts w:asciiTheme="minorEastAsia" w:eastAsiaTheme="minorEastAsia" w:hAnsiTheme="minorEastAsia"/>
          <w:kern w:val="0"/>
          <w:szCs w:val="21"/>
        </w:rPr>
        <w:t>未能主持大会的情况下，由基金托管人授权其出席会议的代表主持；如果基金管理人</w:t>
      </w:r>
      <w:r w:rsidRPr="009802E0">
        <w:rPr>
          <w:rFonts w:asciiTheme="minorEastAsia" w:eastAsiaTheme="minorEastAsia" w:hAnsiTheme="minorEastAsia" w:hint="eastAsia"/>
          <w:kern w:val="0"/>
          <w:szCs w:val="21"/>
        </w:rPr>
        <w:t>授权代表</w:t>
      </w:r>
      <w:r w:rsidRPr="009802E0">
        <w:rPr>
          <w:rFonts w:asciiTheme="minorEastAsia" w:eastAsiaTheme="minorEastAsia" w:hAnsiTheme="minorEastAsia"/>
          <w:kern w:val="0"/>
          <w:szCs w:val="21"/>
        </w:rPr>
        <w:t>和基金托管人</w:t>
      </w:r>
      <w:r w:rsidRPr="009802E0">
        <w:rPr>
          <w:rFonts w:asciiTheme="minorEastAsia" w:eastAsiaTheme="minorEastAsia" w:hAnsiTheme="minorEastAsia" w:hint="eastAsia"/>
          <w:kern w:val="0"/>
          <w:szCs w:val="21"/>
        </w:rPr>
        <w:t>授权代表</w:t>
      </w:r>
      <w:r w:rsidRPr="009802E0">
        <w:rPr>
          <w:rFonts w:asciiTheme="minorEastAsia" w:eastAsiaTheme="minorEastAsia" w:hAnsiTheme="minorEastAsia"/>
          <w:kern w:val="0"/>
          <w:szCs w:val="21"/>
        </w:rPr>
        <w:t>均未能主持大会，则由出席大会的基金份额持有人</w:t>
      </w:r>
      <w:r w:rsidRPr="009802E0">
        <w:rPr>
          <w:rFonts w:asciiTheme="minorEastAsia" w:eastAsiaTheme="minorEastAsia" w:hAnsiTheme="minorEastAsia" w:hint="eastAsia"/>
          <w:kern w:val="0"/>
          <w:szCs w:val="21"/>
        </w:rPr>
        <w:t>和代理人所持表决权的</w:t>
      </w:r>
      <w:r w:rsidRPr="009802E0">
        <w:rPr>
          <w:rFonts w:asciiTheme="minorEastAsia" w:eastAsiaTheme="minorEastAsia" w:hAnsiTheme="minorEastAsia"/>
          <w:kern w:val="0"/>
          <w:szCs w:val="21"/>
        </w:rPr>
        <w:t>50%以上（含50%）</w:t>
      </w:r>
      <w:r w:rsidRPr="009802E0">
        <w:rPr>
          <w:rFonts w:asciiTheme="minorEastAsia" w:eastAsiaTheme="minorEastAsia" w:hAnsiTheme="minorEastAsia" w:hint="eastAsia"/>
          <w:kern w:val="0"/>
          <w:szCs w:val="21"/>
        </w:rPr>
        <w:t>选举</w:t>
      </w:r>
      <w:r w:rsidRPr="009802E0">
        <w:rPr>
          <w:rFonts w:asciiTheme="minorEastAsia" w:eastAsiaTheme="minorEastAsia" w:hAnsiTheme="minorEastAsia"/>
          <w:kern w:val="0"/>
          <w:szCs w:val="21"/>
        </w:rPr>
        <w:t>产生一名基金份额持有人作为该次基金份额持有人大会的主持人。</w:t>
      </w:r>
      <w:r w:rsidRPr="009802E0">
        <w:rPr>
          <w:rFonts w:asciiTheme="minorEastAsia" w:eastAsiaTheme="minorEastAsia" w:hAnsiTheme="minorEastAsia" w:hint="eastAsia"/>
          <w:kern w:val="0"/>
          <w:szCs w:val="21"/>
        </w:rPr>
        <w:t>基金管理人和基金托管人不出席或主</w:t>
      </w:r>
      <w:r w:rsidRPr="009802E0">
        <w:rPr>
          <w:rFonts w:asciiTheme="minorEastAsia" w:eastAsiaTheme="minorEastAsia" w:hAnsiTheme="minorEastAsia" w:hint="eastAsia"/>
          <w:kern w:val="0"/>
          <w:szCs w:val="21"/>
        </w:rPr>
        <w:lastRenderedPageBreak/>
        <w:t>持基金份额持有人大会，不影响基金份额持有人大会作出的决议的效力。</w:t>
      </w:r>
    </w:p>
    <w:p w:rsidR="00035B99" w:rsidRPr="009802E0" w:rsidRDefault="00035B99"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会议</w:t>
      </w:r>
      <w:r w:rsidRPr="009802E0">
        <w:rPr>
          <w:rFonts w:asciiTheme="minorEastAsia" w:eastAsiaTheme="minorEastAsia" w:hAnsiTheme="minorEastAsia"/>
          <w:kern w:val="0"/>
          <w:szCs w:val="21"/>
        </w:rPr>
        <w:t>召集人应当制作出席会议人员的签名册。签名册载明参加会议人员姓名（或单位名称）、身份证号码、住所地址、持有或代表有表决权的基金份额、委托人姓名（或单位名称）等事项。</w:t>
      </w:r>
    </w:p>
    <w:p w:rsidR="00035B99" w:rsidRPr="009802E0" w:rsidRDefault="00035B99"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b.</w:t>
      </w:r>
      <w:r w:rsidRPr="009802E0">
        <w:rPr>
          <w:rFonts w:asciiTheme="minorEastAsia" w:eastAsiaTheme="minorEastAsia" w:hAnsiTheme="minorEastAsia"/>
          <w:kern w:val="0"/>
          <w:szCs w:val="21"/>
        </w:rPr>
        <w:t>通讯开会</w:t>
      </w:r>
    </w:p>
    <w:p w:rsidR="00035B99" w:rsidRPr="009802E0" w:rsidRDefault="00035B99"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kern w:val="0"/>
          <w:szCs w:val="21"/>
        </w:rPr>
        <w:t>在通讯开会的情况下，</w:t>
      </w:r>
      <w:r w:rsidRPr="009802E0">
        <w:rPr>
          <w:rFonts w:asciiTheme="minorEastAsia" w:eastAsiaTheme="minorEastAsia" w:hAnsiTheme="minorEastAsia" w:hint="eastAsia"/>
          <w:kern w:val="0"/>
          <w:szCs w:val="21"/>
        </w:rPr>
        <w:t>首先由召集人提前30日公布提案</w:t>
      </w:r>
      <w:r w:rsidRPr="009802E0">
        <w:rPr>
          <w:rFonts w:asciiTheme="minorEastAsia" w:eastAsiaTheme="minorEastAsia" w:hAnsiTheme="minorEastAsia"/>
          <w:kern w:val="0"/>
          <w:szCs w:val="21"/>
        </w:rPr>
        <w:t>，在所通知的表决截止日期</w:t>
      </w:r>
      <w:r w:rsidRPr="009802E0">
        <w:rPr>
          <w:rFonts w:asciiTheme="minorEastAsia" w:eastAsiaTheme="minorEastAsia" w:hAnsiTheme="minorEastAsia" w:hint="eastAsia"/>
          <w:kern w:val="0"/>
          <w:szCs w:val="21"/>
        </w:rPr>
        <w:t>后2个工作日内在公证机关监督下由召集人统计全部有效表决</w:t>
      </w:r>
      <w:r w:rsidRPr="009802E0">
        <w:rPr>
          <w:rFonts w:asciiTheme="minorEastAsia" w:eastAsiaTheme="minorEastAsia" w:hAnsiTheme="minorEastAsia"/>
          <w:kern w:val="0"/>
          <w:szCs w:val="21"/>
        </w:rPr>
        <w:t>，在公证</w:t>
      </w:r>
      <w:r w:rsidRPr="009802E0">
        <w:rPr>
          <w:rFonts w:asciiTheme="minorEastAsia" w:eastAsiaTheme="minorEastAsia" w:hAnsiTheme="minorEastAsia" w:hint="eastAsia"/>
          <w:kern w:val="0"/>
          <w:szCs w:val="21"/>
        </w:rPr>
        <w:t>机关</w:t>
      </w:r>
      <w:r w:rsidRPr="009802E0">
        <w:rPr>
          <w:rFonts w:asciiTheme="minorEastAsia" w:eastAsiaTheme="minorEastAsia" w:hAnsiTheme="minorEastAsia"/>
          <w:kern w:val="0"/>
          <w:szCs w:val="21"/>
        </w:rPr>
        <w:t>监督下形成决议。</w:t>
      </w:r>
    </w:p>
    <w:p w:rsidR="00B43AC4" w:rsidRPr="009802E0" w:rsidRDefault="004E552C"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8、</w:t>
      </w:r>
      <w:r w:rsidR="00B43AC4" w:rsidRPr="009802E0">
        <w:rPr>
          <w:rFonts w:asciiTheme="minorEastAsia" w:eastAsiaTheme="minorEastAsia" w:hAnsiTheme="minorEastAsia" w:hint="eastAsia"/>
          <w:kern w:val="0"/>
          <w:szCs w:val="21"/>
        </w:rPr>
        <w:t>表决</w:t>
      </w:r>
    </w:p>
    <w:p w:rsidR="00035B99" w:rsidRPr="009802E0" w:rsidRDefault="00035B99"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kern w:val="0"/>
          <w:szCs w:val="21"/>
        </w:rPr>
        <w:t>基金份额持有人所持每份基金份额有一票表决权。</w:t>
      </w:r>
    </w:p>
    <w:p w:rsidR="00035B99" w:rsidRPr="009802E0" w:rsidRDefault="00035B99"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kern w:val="0"/>
          <w:szCs w:val="21"/>
        </w:rPr>
        <w:t>基金份额持有人大会决议分为一般决议和特别决议：</w:t>
      </w:r>
    </w:p>
    <w:p w:rsidR="00035B99" w:rsidRPr="009802E0" w:rsidRDefault="00035B99"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w:t>
      </w:r>
      <w:r w:rsidRPr="009802E0">
        <w:rPr>
          <w:rFonts w:asciiTheme="minorEastAsia" w:eastAsiaTheme="minorEastAsia" w:hAnsiTheme="minorEastAsia"/>
          <w:kern w:val="0"/>
          <w:szCs w:val="21"/>
        </w:rPr>
        <w:t>一般决议，一般决议须经参加大会的基金份额持有人</w:t>
      </w:r>
      <w:r w:rsidRPr="009802E0">
        <w:rPr>
          <w:rFonts w:asciiTheme="minorEastAsia" w:eastAsiaTheme="minorEastAsia" w:hAnsiTheme="minorEastAsia" w:hint="eastAsia"/>
          <w:kern w:val="0"/>
          <w:szCs w:val="21"/>
        </w:rPr>
        <w:t>或其代理人</w:t>
      </w:r>
      <w:r w:rsidRPr="009802E0">
        <w:rPr>
          <w:rFonts w:asciiTheme="minorEastAsia" w:eastAsiaTheme="minorEastAsia" w:hAnsiTheme="minorEastAsia"/>
          <w:kern w:val="0"/>
          <w:szCs w:val="21"/>
        </w:rPr>
        <w:t>所持表决权的</w:t>
      </w:r>
      <w:r w:rsidRPr="009802E0">
        <w:rPr>
          <w:rFonts w:asciiTheme="minorEastAsia" w:eastAsiaTheme="minorEastAsia" w:hAnsiTheme="minorEastAsia" w:hint="eastAsia"/>
          <w:kern w:val="0"/>
          <w:szCs w:val="21"/>
        </w:rPr>
        <w:t>50%</w:t>
      </w:r>
      <w:r w:rsidRPr="009802E0">
        <w:rPr>
          <w:rFonts w:asciiTheme="minorEastAsia" w:eastAsiaTheme="minorEastAsia" w:hAnsiTheme="minorEastAsia"/>
          <w:kern w:val="0"/>
          <w:szCs w:val="21"/>
        </w:rPr>
        <w:t>以上（含</w:t>
      </w:r>
      <w:r w:rsidRPr="009802E0">
        <w:rPr>
          <w:rFonts w:asciiTheme="minorEastAsia" w:eastAsiaTheme="minorEastAsia" w:hAnsiTheme="minorEastAsia" w:hint="eastAsia"/>
          <w:kern w:val="0"/>
          <w:szCs w:val="21"/>
        </w:rPr>
        <w:t>50%</w:t>
      </w:r>
      <w:r w:rsidRPr="009802E0">
        <w:rPr>
          <w:rFonts w:asciiTheme="minorEastAsia" w:eastAsiaTheme="minorEastAsia" w:hAnsiTheme="minorEastAsia"/>
          <w:kern w:val="0"/>
          <w:szCs w:val="21"/>
        </w:rPr>
        <w:t>）通过方为有效；除下列</w:t>
      </w:r>
      <w:r w:rsidRPr="009802E0">
        <w:rPr>
          <w:rFonts w:asciiTheme="minorEastAsia" w:eastAsiaTheme="minorEastAsia" w:hAnsiTheme="minorEastAsia" w:hint="eastAsia"/>
          <w:kern w:val="0"/>
          <w:szCs w:val="21"/>
        </w:rPr>
        <w:t>第2项</w:t>
      </w:r>
      <w:r w:rsidRPr="009802E0">
        <w:rPr>
          <w:rFonts w:asciiTheme="minorEastAsia" w:eastAsiaTheme="minorEastAsia" w:hAnsiTheme="minorEastAsia"/>
          <w:kern w:val="0"/>
          <w:szCs w:val="21"/>
        </w:rPr>
        <w:t>所规定的须以特别决议通过事项以外的其他事项均以一般决议的方式通过。</w:t>
      </w:r>
    </w:p>
    <w:p w:rsidR="00035B99" w:rsidRPr="009802E0" w:rsidRDefault="00035B99"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w:t>
      </w:r>
      <w:r w:rsidRPr="009802E0">
        <w:rPr>
          <w:rFonts w:asciiTheme="minorEastAsia" w:eastAsiaTheme="minorEastAsia" w:hAnsiTheme="minorEastAsia"/>
          <w:kern w:val="0"/>
          <w:szCs w:val="21"/>
        </w:rPr>
        <w:t>特别决议，特别决议应当经参加大会的基金份额持有人</w:t>
      </w:r>
      <w:r w:rsidRPr="009802E0">
        <w:rPr>
          <w:rFonts w:asciiTheme="minorEastAsia" w:eastAsiaTheme="minorEastAsia" w:hAnsiTheme="minorEastAsia" w:hint="eastAsia"/>
          <w:kern w:val="0"/>
          <w:szCs w:val="21"/>
        </w:rPr>
        <w:t>或其代理人</w:t>
      </w:r>
      <w:r w:rsidRPr="009802E0">
        <w:rPr>
          <w:rFonts w:asciiTheme="minorEastAsia" w:eastAsiaTheme="minorEastAsia" w:hAnsiTheme="minorEastAsia"/>
          <w:kern w:val="0"/>
          <w:szCs w:val="21"/>
        </w:rPr>
        <w:t>所持表决权的三分之二</w:t>
      </w:r>
      <w:r w:rsidRPr="009802E0">
        <w:rPr>
          <w:rFonts w:asciiTheme="minorEastAsia" w:eastAsiaTheme="minorEastAsia" w:hAnsiTheme="minorEastAsia" w:hint="eastAsia"/>
          <w:kern w:val="0"/>
          <w:szCs w:val="21"/>
        </w:rPr>
        <w:t>以上（含</w:t>
      </w:r>
      <w:r w:rsidRPr="009802E0">
        <w:rPr>
          <w:rFonts w:asciiTheme="minorEastAsia" w:eastAsiaTheme="minorEastAsia" w:hAnsiTheme="minorEastAsia"/>
          <w:kern w:val="0"/>
          <w:szCs w:val="21"/>
        </w:rPr>
        <w:t>三分之二</w:t>
      </w:r>
      <w:r w:rsidRPr="009802E0">
        <w:rPr>
          <w:rFonts w:asciiTheme="minorEastAsia" w:eastAsiaTheme="minorEastAsia" w:hAnsiTheme="minorEastAsia" w:hint="eastAsia"/>
          <w:kern w:val="0"/>
          <w:szCs w:val="21"/>
        </w:rPr>
        <w:t>）</w:t>
      </w:r>
      <w:r w:rsidRPr="009802E0">
        <w:rPr>
          <w:rFonts w:asciiTheme="minorEastAsia" w:eastAsiaTheme="minorEastAsia" w:hAnsiTheme="minorEastAsia"/>
          <w:kern w:val="0"/>
          <w:szCs w:val="21"/>
        </w:rPr>
        <w:t>通过方可</w:t>
      </w:r>
      <w:r w:rsidRPr="009802E0">
        <w:rPr>
          <w:rFonts w:asciiTheme="minorEastAsia" w:eastAsiaTheme="minorEastAsia" w:hAnsiTheme="minorEastAsia" w:hint="eastAsia"/>
          <w:kern w:val="0"/>
          <w:szCs w:val="21"/>
        </w:rPr>
        <w:t>做</w:t>
      </w:r>
      <w:r w:rsidRPr="009802E0">
        <w:rPr>
          <w:rFonts w:asciiTheme="minorEastAsia" w:eastAsiaTheme="minorEastAsia" w:hAnsiTheme="minorEastAsia"/>
          <w:kern w:val="0"/>
          <w:szCs w:val="21"/>
        </w:rPr>
        <w:t>出。转换基金运作方式、更换基金管理人或者基金托管人、终止</w:t>
      </w:r>
      <w:r w:rsidRPr="009802E0">
        <w:rPr>
          <w:rFonts w:asciiTheme="minorEastAsia" w:eastAsiaTheme="minorEastAsia" w:hAnsiTheme="minorEastAsia" w:hint="eastAsia"/>
          <w:kern w:val="0"/>
          <w:szCs w:val="21"/>
        </w:rPr>
        <w:t>《</w:t>
      </w:r>
      <w:r w:rsidRPr="009802E0">
        <w:rPr>
          <w:rFonts w:asciiTheme="minorEastAsia" w:eastAsiaTheme="minorEastAsia" w:hAnsiTheme="minorEastAsia"/>
          <w:kern w:val="0"/>
          <w:szCs w:val="21"/>
        </w:rPr>
        <w:t>基金合同</w:t>
      </w:r>
      <w:r w:rsidRPr="009802E0">
        <w:rPr>
          <w:rFonts w:asciiTheme="minorEastAsia" w:eastAsiaTheme="minorEastAsia" w:hAnsiTheme="minorEastAsia" w:hint="eastAsia"/>
          <w:kern w:val="0"/>
          <w:szCs w:val="21"/>
        </w:rPr>
        <w:t>》</w:t>
      </w:r>
      <w:r w:rsidRPr="009802E0">
        <w:rPr>
          <w:rFonts w:asciiTheme="minorEastAsia" w:eastAsiaTheme="minorEastAsia" w:hAnsiTheme="minorEastAsia"/>
          <w:kern w:val="0"/>
          <w:szCs w:val="21"/>
        </w:rPr>
        <w:t>以特别决议通过方为有效。</w:t>
      </w:r>
    </w:p>
    <w:p w:rsidR="00035B99" w:rsidRPr="009802E0" w:rsidRDefault="00035B99"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kern w:val="0"/>
          <w:szCs w:val="21"/>
        </w:rPr>
        <w:t>基金份额持有人大会采取记名方式进行投票表决。</w:t>
      </w:r>
    </w:p>
    <w:p w:rsidR="00035B99" w:rsidRPr="009802E0" w:rsidRDefault="00035B99"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kern w:val="0"/>
          <w:szCs w:val="21"/>
        </w:rPr>
        <w:t>采取通讯方式进行表决时，</w:t>
      </w:r>
      <w:r w:rsidRPr="009802E0">
        <w:rPr>
          <w:rFonts w:asciiTheme="minorEastAsia" w:eastAsiaTheme="minorEastAsia" w:hAnsiTheme="minorEastAsia" w:hint="eastAsia"/>
          <w:kern w:val="0"/>
          <w:szCs w:val="21"/>
        </w:rPr>
        <w:t>除非在计票时有充分的相反证据证明，提交符合会议通知中规定的确认投资者身份文件的表决视为有效出席的投资者，</w:t>
      </w:r>
      <w:r w:rsidRPr="009802E0">
        <w:rPr>
          <w:rFonts w:asciiTheme="minorEastAsia" w:eastAsiaTheme="minorEastAsia" w:hAnsiTheme="minorEastAsia"/>
          <w:kern w:val="0"/>
          <w:szCs w:val="21"/>
        </w:rPr>
        <w:t>符合会议通知规定的书面表决意见视为有效表决</w:t>
      </w:r>
      <w:r w:rsidRPr="009802E0">
        <w:rPr>
          <w:rFonts w:asciiTheme="minorEastAsia" w:eastAsiaTheme="minorEastAsia" w:hAnsiTheme="minorEastAsia" w:hint="eastAsia"/>
          <w:kern w:val="0"/>
          <w:szCs w:val="21"/>
        </w:rPr>
        <w:t>，表决意见模糊不清或相互矛盾的视为弃权表决，但应当计入出具书面意见的基金份额持有人所代表的基金份额总数。</w:t>
      </w:r>
    </w:p>
    <w:p w:rsidR="00035B99" w:rsidRPr="009802E0" w:rsidRDefault="00035B99"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kern w:val="0"/>
          <w:szCs w:val="21"/>
        </w:rPr>
        <w:t>基金份额持有人大会的各项提案或同一项提案内并列的各项议题应当分开审议、逐项表决。</w:t>
      </w:r>
    </w:p>
    <w:p w:rsidR="00B43AC4" w:rsidRPr="009802E0" w:rsidRDefault="004E552C"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9、</w:t>
      </w:r>
      <w:r w:rsidR="00B43AC4" w:rsidRPr="009802E0">
        <w:rPr>
          <w:rFonts w:asciiTheme="minorEastAsia" w:eastAsiaTheme="minorEastAsia" w:hAnsiTheme="minorEastAsia" w:hint="eastAsia"/>
          <w:kern w:val="0"/>
          <w:szCs w:val="21"/>
        </w:rPr>
        <w:t>计票</w:t>
      </w:r>
    </w:p>
    <w:p w:rsidR="00006F5B" w:rsidRPr="009802E0" w:rsidRDefault="00006F5B"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w:t>
      </w:r>
      <w:r w:rsidRPr="009802E0">
        <w:rPr>
          <w:rFonts w:asciiTheme="minorEastAsia" w:eastAsiaTheme="minorEastAsia" w:hAnsiTheme="minorEastAsia"/>
          <w:kern w:val="0"/>
          <w:szCs w:val="21"/>
        </w:rPr>
        <w:t>现场开会</w:t>
      </w:r>
    </w:p>
    <w:p w:rsidR="00006F5B" w:rsidRPr="009802E0" w:rsidRDefault="00006F5B"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a.</w:t>
      </w:r>
      <w:r w:rsidRPr="009802E0">
        <w:rPr>
          <w:rFonts w:asciiTheme="minorEastAsia" w:eastAsiaTheme="minorEastAsia" w:hAnsiTheme="minorEastAsia"/>
          <w:kern w:val="0"/>
          <w:szCs w:val="21"/>
        </w:rPr>
        <w:t>如大会由基金管理人或基金托管人召集，基金份额持有人大会的主持人应当在会议开始后宣布在出席会议的基金份额持有人</w:t>
      </w:r>
      <w:r w:rsidRPr="009802E0">
        <w:rPr>
          <w:rFonts w:asciiTheme="minorEastAsia" w:eastAsiaTheme="minorEastAsia" w:hAnsiTheme="minorEastAsia" w:hint="eastAsia"/>
          <w:kern w:val="0"/>
          <w:szCs w:val="21"/>
        </w:rPr>
        <w:t>和代理人</w:t>
      </w:r>
      <w:r w:rsidRPr="009802E0">
        <w:rPr>
          <w:rFonts w:asciiTheme="minorEastAsia" w:eastAsiaTheme="minorEastAsia" w:hAnsiTheme="minorEastAsia"/>
          <w:kern w:val="0"/>
          <w:szCs w:val="21"/>
        </w:rPr>
        <w:t>中选举两名基金份额持有人代表与大会召集人授权的一名监督员共同担任监票人；如大会由基金份额持有人自行召集</w:t>
      </w:r>
      <w:r w:rsidRPr="009802E0">
        <w:rPr>
          <w:rFonts w:asciiTheme="minorEastAsia" w:eastAsiaTheme="minorEastAsia" w:hAnsiTheme="minorEastAsia" w:hint="eastAsia"/>
          <w:kern w:val="0"/>
          <w:szCs w:val="21"/>
        </w:rPr>
        <w:t>或大会虽然由基金管理人或基金托管人召集，但是基金管理人或基金托管人未出席大会的</w:t>
      </w:r>
      <w:r w:rsidRPr="009802E0">
        <w:rPr>
          <w:rFonts w:asciiTheme="minorEastAsia" w:eastAsiaTheme="minorEastAsia" w:hAnsiTheme="minorEastAsia"/>
          <w:kern w:val="0"/>
          <w:szCs w:val="21"/>
        </w:rPr>
        <w:t>，基金份额持有人大会的主持人应当在会议开始后宣布在出席会议的基金份额持有人中选举三名基金份额持有人代表担任监票人。</w:t>
      </w:r>
      <w:r w:rsidRPr="009802E0">
        <w:rPr>
          <w:rFonts w:asciiTheme="minorEastAsia" w:eastAsiaTheme="minorEastAsia" w:hAnsiTheme="minorEastAsia" w:hint="eastAsia"/>
          <w:kern w:val="0"/>
          <w:szCs w:val="21"/>
        </w:rPr>
        <w:t>基金管理人或基金托管人不出席大会的，不影响计票的效力。</w:t>
      </w:r>
    </w:p>
    <w:p w:rsidR="00006F5B" w:rsidRPr="009802E0" w:rsidRDefault="00006F5B"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b.</w:t>
      </w:r>
      <w:r w:rsidRPr="009802E0">
        <w:rPr>
          <w:rFonts w:asciiTheme="minorEastAsia" w:eastAsiaTheme="minorEastAsia" w:hAnsiTheme="minorEastAsia"/>
          <w:kern w:val="0"/>
          <w:szCs w:val="21"/>
        </w:rPr>
        <w:t>监票人应当在基金份额持有人表决后立即进行清点并由大会主持人当场公布计票结果。</w:t>
      </w:r>
    </w:p>
    <w:p w:rsidR="00006F5B" w:rsidRPr="009802E0" w:rsidRDefault="00006F5B"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c.</w:t>
      </w:r>
      <w:r w:rsidRPr="009802E0">
        <w:rPr>
          <w:rFonts w:asciiTheme="minorEastAsia" w:eastAsiaTheme="minorEastAsia" w:hAnsiTheme="minorEastAsia"/>
          <w:kern w:val="0"/>
          <w:szCs w:val="21"/>
        </w:rPr>
        <w:t>如果会议主持人</w:t>
      </w:r>
      <w:r w:rsidRPr="009802E0">
        <w:rPr>
          <w:rFonts w:asciiTheme="minorEastAsia" w:eastAsiaTheme="minorEastAsia" w:hAnsiTheme="minorEastAsia" w:hint="eastAsia"/>
          <w:kern w:val="0"/>
          <w:szCs w:val="21"/>
        </w:rPr>
        <w:t>或</w:t>
      </w:r>
      <w:r w:rsidRPr="009802E0">
        <w:rPr>
          <w:rFonts w:asciiTheme="minorEastAsia" w:eastAsiaTheme="minorEastAsia" w:hAnsiTheme="minorEastAsia"/>
          <w:kern w:val="0"/>
          <w:szCs w:val="21"/>
        </w:rPr>
        <w:t>基金份额持有人</w:t>
      </w:r>
      <w:r w:rsidRPr="009802E0">
        <w:rPr>
          <w:rFonts w:asciiTheme="minorEastAsia" w:eastAsiaTheme="minorEastAsia" w:hAnsiTheme="minorEastAsia" w:hint="eastAsia"/>
          <w:kern w:val="0"/>
          <w:szCs w:val="21"/>
        </w:rPr>
        <w:t>或代理人</w:t>
      </w:r>
      <w:r w:rsidRPr="009802E0">
        <w:rPr>
          <w:rFonts w:asciiTheme="minorEastAsia" w:eastAsiaTheme="minorEastAsia" w:hAnsiTheme="minorEastAsia"/>
          <w:kern w:val="0"/>
          <w:szCs w:val="21"/>
        </w:rPr>
        <w:t>对于提交的表决结果有怀疑，可以在宣布</w:t>
      </w:r>
      <w:r w:rsidRPr="009802E0">
        <w:rPr>
          <w:rFonts w:asciiTheme="minorEastAsia" w:eastAsiaTheme="minorEastAsia" w:hAnsiTheme="minorEastAsia"/>
          <w:kern w:val="0"/>
          <w:szCs w:val="21"/>
        </w:rPr>
        <w:lastRenderedPageBreak/>
        <w:t>表决结果后立即对所投票数</w:t>
      </w:r>
      <w:r w:rsidRPr="009802E0">
        <w:rPr>
          <w:rFonts w:asciiTheme="minorEastAsia" w:eastAsiaTheme="minorEastAsia" w:hAnsiTheme="minorEastAsia" w:hint="eastAsia"/>
          <w:kern w:val="0"/>
          <w:szCs w:val="21"/>
        </w:rPr>
        <w:t>要求</w:t>
      </w:r>
      <w:r w:rsidRPr="009802E0">
        <w:rPr>
          <w:rFonts w:asciiTheme="minorEastAsia" w:eastAsiaTheme="minorEastAsia" w:hAnsiTheme="minorEastAsia"/>
          <w:kern w:val="0"/>
          <w:szCs w:val="21"/>
        </w:rPr>
        <w:t>进行重新清点</w:t>
      </w:r>
      <w:r w:rsidRPr="009802E0">
        <w:rPr>
          <w:rFonts w:asciiTheme="minorEastAsia" w:eastAsiaTheme="minorEastAsia" w:hAnsiTheme="minorEastAsia" w:hint="eastAsia"/>
          <w:kern w:val="0"/>
          <w:szCs w:val="21"/>
        </w:rPr>
        <w:t>。监票人应当进行重新清点，重新清点以一次为限。重新清点后，大会主持人应当当场公布重新清点结果。</w:t>
      </w:r>
    </w:p>
    <w:p w:rsidR="00006F5B" w:rsidRPr="009802E0" w:rsidRDefault="00006F5B"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d.计票过程应由公证机关予以公证,基金管理人或基金托管人拒不出席大会的，不影响计票的效力。</w:t>
      </w:r>
    </w:p>
    <w:p w:rsidR="00006F5B" w:rsidRPr="009802E0" w:rsidRDefault="00006F5B" w:rsidP="009C0E15">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w:t>
      </w:r>
      <w:r w:rsidRPr="009802E0">
        <w:rPr>
          <w:rFonts w:asciiTheme="minorEastAsia" w:eastAsiaTheme="minorEastAsia" w:hAnsiTheme="minorEastAsia"/>
          <w:kern w:val="0"/>
          <w:szCs w:val="21"/>
        </w:rPr>
        <w:t>通讯开会</w:t>
      </w:r>
    </w:p>
    <w:p w:rsidR="00006F5B" w:rsidRPr="009802E0" w:rsidRDefault="00006F5B"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kern w:val="0"/>
          <w:szCs w:val="21"/>
        </w:rPr>
        <w:t>在通讯开会的情况下，计票方式为：由大会召集人授权的两名监督员在基金托管人授权代表</w:t>
      </w:r>
      <w:r w:rsidRPr="009802E0">
        <w:rPr>
          <w:rFonts w:asciiTheme="minorEastAsia" w:eastAsiaTheme="minorEastAsia" w:hAnsiTheme="minorEastAsia" w:hint="eastAsia"/>
          <w:kern w:val="0"/>
          <w:szCs w:val="21"/>
        </w:rPr>
        <w:t>（若由基金托管人召集，则为基金管理人</w:t>
      </w:r>
      <w:r w:rsidRPr="009802E0">
        <w:rPr>
          <w:rFonts w:asciiTheme="minorEastAsia" w:eastAsiaTheme="minorEastAsia" w:hAnsiTheme="minorEastAsia"/>
          <w:kern w:val="0"/>
          <w:szCs w:val="21"/>
        </w:rPr>
        <w:t>授权代表</w:t>
      </w:r>
      <w:r w:rsidRPr="009802E0">
        <w:rPr>
          <w:rFonts w:asciiTheme="minorEastAsia" w:eastAsiaTheme="minorEastAsia" w:hAnsiTheme="minorEastAsia" w:hint="eastAsia"/>
          <w:kern w:val="0"/>
          <w:szCs w:val="21"/>
        </w:rPr>
        <w:t>）</w:t>
      </w:r>
      <w:r w:rsidRPr="009802E0">
        <w:rPr>
          <w:rFonts w:asciiTheme="minorEastAsia" w:eastAsiaTheme="minorEastAsia" w:hAnsiTheme="minorEastAsia"/>
          <w:kern w:val="0"/>
          <w:szCs w:val="21"/>
        </w:rPr>
        <w:t>的监督下进行计票，并由公证机关对其计票过程予以公证。</w:t>
      </w:r>
      <w:r w:rsidRPr="009802E0">
        <w:rPr>
          <w:rFonts w:asciiTheme="minorEastAsia" w:eastAsiaTheme="minorEastAsia" w:hAnsiTheme="minorEastAsia" w:hint="eastAsia"/>
          <w:kern w:val="0"/>
          <w:szCs w:val="21"/>
        </w:rPr>
        <w:t>基金管理人或基金托管人拒派代表对书面表决意见的计票进行监督的，不影响计票和表决结果。</w:t>
      </w:r>
    </w:p>
    <w:p w:rsidR="00B43AC4" w:rsidRPr="009802E0" w:rsidRDefault="004E552C" w:rsidP="009C0E15">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10、</w:t>
      </w:r>
      <w:r w:rsidR="00B43AC4" w:rsidRPr="009802E0">
        <w:rPr>
          <w:rFonts w:asciiTheme="minorEastAsia" w:eastAsiaTheme="minorEastAsia" w:hAnsiTheme="minorEastAsia" w:hint="eastAsia"/>
          <w:kern w:val="0"/>
          <w:szCs w:val="21"/>
        </w:rPr>
        <w:t>生效与公告</w:t>
      </w:r>
    </w:p>
    <w:p w:rsidR="00006F5B" w:rsidRPr="009802E0" w:rsidRDefault="00006F5B"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基金份额持有人大会的决议，召集人应当自通过之日起5日内报中国证监会核准或者备案。</w:t>
      </w:r>
    </w:p>
    <w:p w:rsidR="00006F5B" w:rsidRPr="009802E0" w:rsidRDefault="00006F5B"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基金份额持有人大会的决议自中国证监会依法核准或者出具无异议意见之日起生效。</w:t>
      </w:r>
    </w:p>
    <w:p w:rsidR="00006F5B" w:rsidRPr="009802E0" w:rsidRDefault="00006F5B"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kern w:val="0"/>
          <w:szCs w:val="21"/>
        </w:rPr>
        <w:t>基金份额持有人大会决议自生效之日起</w:t>
      </w:r>
      <w:r w:rsidRPr="009802E0">
        <w:rPr>
          <w:rFonts w:asciiTheme="minorEastAsia" w:eastAsiaTheme="minorEastAsia" w:hAnsiTheme="minorEastAsia" w:hint="eastAsia"/>
          <w:kern w:val="0"/>
          <w:szCs w:val="21"/>
        </w:rPr>
        <w:t>2</w:t>
      </w:r>
      <w:r w:rsidRPr="009802E0">
        <w:rPr>
          <w:rFonts w:asciiTheme="minorEastAsia" w:eastAsiaTheme="minorEastAsia" w:hAnsiTheme="minorEastAsia"/>
          <w:kern w:val="0"/>
          <w:szCs w:val="21"/>
        </w:rPr>
        <w:t>日内在至少一</w:t>
      </w:r>
      <w:r w:rsidRPr="009802E0">
        <w:rPr>
          <w:rFonts w:asciiTheme="minorEastAsia" w:eastAsiaTheme="minorEastAsia" w:hAnsiTheme="minorEastAsia" w:hint="eastAsia"/>
          <w:kern w:val="0"/>
          <w:szCs w:val="21"/>
        </w:rPr>
        <w:t>家</w:t>
      </w:r>
      <w:r w:rsidR="004E4473" w:rsidRPr="009802E0">
        <w:rPr>
          <w:rFonts w:asciiTheme="minorEastAsia" w:eastAsiaTheme="minorEastAsia" w:hAnsiTheme="minorEastAsia"/>
          <w:kern w:val="0"/>
          <w:szCs w:val="21"/>
        </w:rPr>
        <w:t>指定媒介</w:t>
      </w:r>
      <w:r w:rsidRPr="009802E0">
        <w:rPr>
          <w:rFonts w:asciiTheme="minorEastAsia" w:eastAsiaTheme="minorEastAsia" w:hAnsiTheme="minorEastAsia" w:hint="eastAsia"/>
          <w:kern w:val="0"/>
          <w:szCs w:val="21"/>
        </w:rPr>
        <w:t>上</w:t>
      </w:r>
      <w:r w:rsidRPr="009802E0">
        <w:rPr>
          <w:rFonts w:asciiTheme="minorEastAsia" w:eastAsiaTheme="minorEastAsia" w:hAnsiTheme="minorEastAsia"/>
          <w:kern w:val="0"/>
          <w:szCs w:val="21"/>
        </w:rPr>
        <w:t>公告。</w:t>
      </w:r>
      <w:r w:rsidRPr="009802E0">
        <w:rPr>
          <w:rFonts w:asciiTheme="minorEastAsia" w:eastAsiaTheme="minorEastAsia" w:hAnsiTheme="minorEastAsia" w:hint="eastAsia"/>
          <w:kern w:val="0"/>
          <w:szCs w:val="21"/>
        </w:rPr>
        <w:t>如果采用通讯方式进行表决，在公告基金份额持有人大会决议时，必须将公证书全文、公证机构、公证员姓名等一同公告。</w:t>
      </w:r>
    </w:p>
    <w:p w:rsidR="00006F5B" w:rsidRPr="009802E0" w:rsidRDefault="00006F5B"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基金管理人、基金托管人和基金份额持有人应当执行生效的基金份额持有人大会的决议。</w:t>
      </w:r>
    </w:p>
    <w:p w:rsidR="00006F5B" w:rsidRPr="009802E0" w:rsidRDefault="00006F5B"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生效的基金份额持有人大会决议对全体基金份额持有人、基金管理人、基金托管人均有约束力。</w:t>
      </w:r>
    </w:p>
    <w:p w:rsidR="00B43AC4" w:rsidRPr="009802E0" w:rsidRDefault="00B43AC4"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w:t>
      </w:r>
      <w:r w:rsidR="004E552C" w:rsidRPr="009802E0">
        <w:rPr>
          <w:rFonts w:asciiTheme="minorEastAsia" w:eastAsiaTheme="minorEastAsia" w:hAnsiTheme="minorEastAsia" w:hint="eastAsia"/>
          <w:kern w:val="0"/>
          <w:szCs w:val="21"/>
        </w:rPr>
        <w:t>1、</w:t>
      </w:r>
      <w:r w:rsidRPr="009802E0">
        <w:rPr>
          <w:rFonts w:asciiTheme="minorEastAsia" w:eastAsiaTheme="minorEastAsia" w:hAnsiTheme="minorEastAsia" w:hint="eastAsia"/>
          <w:kern w:val="0"/>
          <w:szCs w:val="21"/>
        </w:rPr>
        <w:t>法律法规或监管机关对基金份额持有人大会另有规定的，从其规定。</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bCs/>
        </w:rPr>
      </w:pPr>
      <w:bookmarkStart w:id="160" w:name="_Toc43301978"/>
      <w:r w:rsidRPr="009802E0">
        <w:rPr>
          <w:rFonts w:asciiTheme="minorEastAsia" w:eastAsiaTheme="minorEastAsia" w:hAnsiTheme="minorEastAsia" w:hint="eastAsia"/>
          <w:b w:val="0"/>
          <w:bCs/>
        </w:rPr>
        <w:t>（五）基金合同的变更、终止与基金财产的清算</w:t>
      </w:r>
      <w:bookmarkEnd w:id="160"/>
    </w:p>
    <w:p w:rsidR="001649C0" w:rsidRPr="009802E0" w:rsidRDefault="004E552C" w:rsidP="00FE018D">
      <w:pPr>
        <w:adjustRightInd w:val="0"/>
        <w:snapToGrid w:val="0"/>
        <w:spacing w:line="360" w:lineRule="auto"/>
        <w:ind w:firstLine="420"/>
        <w:rPr>
          <w:rFonts w:asciiTheme="minorEastAsia" w:eastAsiaTheme="minorEastAsia" w:hAnsiTheme="minorEastAsia"/>
          <w:kern w:val="0"/>
          <w:szCs w:val="21"/>
        </w:rPr>
      </w:pPr>
      <w:bookmarkStart w:id="161" w:name="_Toc79392639"/>
      <w:r w:rsidRPr="009802E0">
        <w:rPr>
          <w:rFonts w:asciiTheme="minorEastAsia" w:eastAsiaTheme="minorEastAsia" w:hAnsiTheme="minorEastAsia" w:hint="eastAsia"/>
          <w:kern w:val="0"/>
          <w:szCs w:val="21"/>
        </w:rPr>
        <w:t>1、</w:t>
      </w:r>
      <w:r w:rsidR="001649C0" w:rsidRPr="009802E0">
        <w:rPr>
          <w:rFonts w:asciiTheme="minorEastAsia" w:eastAsiaTheme="minorEastAsia" w:hAnsiTheme="minorEastAsia" w:hint="eastAsia"/>
          <w:kern w:val="0"/>
          <w:szCs w:val="21"/>
        </w:rPr>
        <w:t>《基金合同》的变更</w:t>
      </w:r>
      <w:bookmarkEnd w:id="161"/>
    </w:p>
    <w:p w:rsidR="001649C0" w:rsidRPr="009802E0" w:rsidRDefault="001649C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（1）以下变更《基金合同》的事项应经基金份额持有人大会决议通过：</w:t>
      </w:r>
    </w:p>
    <w:p w:rsidR="001649C0" w:rsidRPr="009802E0" w:rsidRDefault="001649C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a.</w:t>
      </w:r>
      <w:r w:rsidRPr="009802E0">
        <w:rPr>
          <w:rFonts w:asciiTheme="minorEastAsia" w:eastAsiaTheme="minorEastAsia" w:hAnsiTheme="minorEastAsia"/>
          <w:kern w:val="0"/>
          <w:szCs w:val="21"/>
        </w:rPr>
        <w:t>更换基金管理人；</w:t>
      </w:r>
    </w:p>
    <w:p w:rsidR="001649C0" w:rsidRPr="009802E0" w:rsidRDefault="001649C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b.</w:t>
      </w:r>
      <w:r w:rsidRPr="009802E0">
        <w:rPr>
          <w:rFonts w:asciiTheme="minorEastAsia" w:eastAsiaTheme="minorEastAsia" w:hAnsiTheme="minorEastAsia"/>
          <w:kern w:val="0"/>
          <w:szCs w:val="21"/>
        </w:rPr>
        <w:t>更换基金托管人；</w:t>
      </w:r>
    </w:p>
    <w:p w:rsidR="001649C0" w:rsidRPr="009802E0" w:rsidRDefault="001649C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c.</w:t>
      </w:r>
      <w:r w:rsidRPr="009802E0">
        <w:rPr>
          <w:rFonts w:asciiTheme="minorEastAsia" w:eastAsiaTheme="minorEastAsia" w:hAnsiTheme="minorEastAsia"/>
          <w:kern w:val="0"/>
          <w:szCs w:val="21"/>
        </w:rPr>
        <w:t>转换基金运作方式；</w:t>
      </w:r>
    </w:p>
    <w:p w:rsidR="001649C0" w:rsidRPr="009802E0" w:rsidRDefault="001649C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d.</w:t>
      </w:r>
      <w:r w:rsidRPr="009802E0">
        <w:rPr>
          <w:rFonts w:asciiTheme="minorEastAsia" w:eastAsiaTheme="minorEastAsia" w:hAnsiTheme="minorEastAsia"/>
          <w:kern w:val="0"/>
          <w:szCs w:val="21"/>
        </w:rPr>
        <w:t>提高基金管理人、基金托管人的报酬标准；</w:t>
      </w:r>
    </w:p>
    <w:p w:rsidR="001649C0" w:rsidRPr="009802E0" w:rsidRDefault="001649C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e.</w:t>
      </w:r>
      <w:r w:rsidRPr="009802E0">
        <w:rPr>
          <w:rFonts w:asciiTheme="minorEastAsia" w:eastAsiaTheme="minorEastAsia" w:hAnsiTheme="minorEastAsia"/>
          <w:kern w:val="0"/>
          <w:szCs w:val="21"/>
        </w:rPr>
        <w:t>变更基金类别；</w:t>
      </w:r>
    </w:p>
    <w:p w:rsidR="001649C0" w:rsidRPr="009802E0" w:rsidRDefault="001649C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f.</w:t>
      </w:r>
      <w:r w:rsidRPr="009802E0">
        <w:rPr>
          <w:rFonts w:asciiTheme="minorEastAsia" w:eastAsiaTheme="minorEastAsia" w:hAnsiTheme="minorEastAsia"/>
          <w:kern w:val="0"/>
          <w:szCs w:val="21"/>
        </w:rPr>
        <w:t>变更基金投资目标</w:t>
      </w:r>
      <w:r w:rsidRPr="009802E0">
        <w:rPr>
          <w:rFonts w:asciiTheme="minorEastAsia" w:eastAsiaTheme="minorEastAsia" w:hAnsiTheme="minorEastAsia" w:hint="eastAsia"/>
          <w:kern w:val="0"/>
          <w:szCs w:val="21"/>
        </w:rPr>
        <w:t>、</w:t>
      </w:r>
      <w:r w:rsidRPr="009802E0">
        <w:rPr>
          <w:rFonts w:asciiTheme="minorEastAsia" w:eastAsiaTheme="minorEastAsia" w:hAnsiTheme="minorEastAsia"/>
          <w:kern w:val="0"/>
          <w:szCs w:val="21"/>
        </w:rPr>
        <w:t>范围</w:t>
      </w:r>
      <w:r w:rsidRPr="009802E0">
        <w:rPr>
          <w:rFonts w:asciiTheme="minorEastAsia" w:eastAsiaTheme="minorEastAsia" w:hAnsiTheme="minorEastAsia" w:hint="eastAsia"/>
          <w:kern w:val="0"/>
          <w:szCs w:val="21"/>
        </w:rPr>
        <w:t>或策略（法律法规和中国证监会另有规定的除外）</w:t>
      </w:r>
      <w:r w:rsidRPr="009802E0">
        <w:rPr>
          <w:rFonts w:asciiTheme="minorEastAsia" w:eastAsiaTheme="minorEastAsia" w:hAnsiTheme="minorEastAsia"/>
          <w:kern w:val="0"/>
          <w:szCs w:val="21"/>
        </w:rPr>
        <w:t>；</w:t>
      </w:r>
    </w:p>
    <w:p w:rsidR="001649C0" w:rsidRPr="009802E0" w:rsidRDefault="001649C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g.本基金与其他基金的合并；</w:t>
      </w:r>
    </w:p>
    <w:p w:rsidR="001649C0" w:rsidRPr="009802E0" w:rsidRDefault="001649C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h.</w:t>
      </w:r>
      <w:r w:rsidRPr="009802E0">
        <w:rPr>
          <w:rFonts w:asciiTheme="minorEastAsia" w:eastAsiaTheme="minorEastAsia" w:hAnsiTheme="minorEastAsia"/>
          <w:kern w:val="0"/>
          <w:szCs w:val="21"/>
        </w:rPr>
        <w:t>变更基金份额持有人大会</w:t>
      </w:r>
      <w:r w:rsidRPr="009802E0">
        <w:rPr>
          <w:rFonts w:asciiTheme="minorEastAsia" w:eastAsiaTheme="minorEastAsia" w:hAnsiTheme="minorEastAsia" w:hint="eastAsia"/>
          <w:kern w:val="0"/>
          <w:szCs w:val="21"/>
        </w:rPr>
        <w:t>召开</w:t>
      </w:r>
      <w:r w:rsidRPr="009802E0">
        <w:rPr>
          <w:rFonts w:asciiTheme="minorEastAsia" w:eastAsiaTheme="minorEastAsia" w:hAnsiTheme="minorEastAsia"/>
          <w:kern w:val="0"/>
          <w:szCs w:val="21"/>
        </w:rPr>
        <w:t>程序；</w:t>
      </w:r>
    </w:p>
    <w:p w:rsidR="001649C0" w:rsidRPr="009802E0" w:rsidRDefault="001649C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i.终止《基金合同》；</w:t>
      </w:r>
    </w:p>
    <w:p w:rsidR="00392B74" w:rsidRPr="009802E0" w:rsidRDefault="001649C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j.其他可能</w:t>
      </w:r>
      <w:r w:rsidRPr="009802E0">
        <w:rPr>
          <w:rFonts w:asciiTheme="minorEastAsia" w:eastAsiaTheme="minorEastAsia" w:hAnsiTheme="minorEastAsia"/>
          <w:kern w:val="0"/>
          <w:szCs w:val="21"/>
        </w:rPr>
        <w:t>对基金当事人权利和义务产生重大影响的事项</w:t>
      </w:r>
      <w:r w:rsidRPr="009802E0">
        <w:rPr>
          <w:rFonts w:asciiTheme="minorEastAsia" w:eastAsiaTheme="minorEastAsia" w:hAnsiTheme="minorEastAsia" w:hint="eastAsia"/>
          <w:kern w:val="0"/>
          <w:szCs w:val="21"/>
        </w:rPr>
        <w:t>。</w:t>
      </w:r>
    </w:p>
    <w:p w:rsidR="00392B74" w:rsidRPr="009802E0" w:rsidRDefault="00392B74"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基金合同生效后的存续期内，出现以下情形之一的，基金管理人应终止基金合同：</w:t>
      </w:r>
    </w:p>
    <w:p w:rsidR="00392B74" w:rsidRPr="009802E0" w:rsidRDefault="00392B74"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lastRenderedPageBreak/>
        <w:t>（1）基金份额持有人数量连续60个工作日达不到200人；</w:t>
      </w:r>
    </w:p>
    <w:p w:rsidR="00392B74" w:rsidRPr="009802E0" w:rsidRDefault="00392B74" w:rsidP="009C0E15">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（2）基金资产净值连续60个工作日低于3000万元；</w:t>
      </w:r>
    </w:p>
    <w:p w:rsidR="00392B74" w:rsidRPr="009802E0" w:rsidRDefault="00392B74"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（3）本基金前十大基金份额持有人所持份额数在本基金全部份额数中所占比例连续60个工作日达到90%以上。</w:t>
      </w:r>
    </w:p>
    <w:p w:rsidR="001649C0" w:rsidRPr="009802E0" w:rsidRDefault="001649C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但出现下列情况时，可不经基金份额持有人大会决议，由基金管理人和基金托管人同意后变更并公告，并报中国证监会备案：</w:t>
      </w:r>
    </w:p>
    <w:p w:rsidR="001649C0" w:rsidRPr="009802E0" w:rsidRDefault="001649C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a.调低基金管理费、基金托管费；</w:t>
      </w:r>
    </w:p>
    <w:p w:rsidR="001649C0" w:rsidRPr="009802E0" w:rsidRDefault="001649C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b.法律法规要求增加的基金费用的收取；</w:t>
      </w:r>
    </w:p>
    <w:p w:rsidR="001649C0" w:rsidRPr="009802E0" w:rsidRDefault="001649C0" w:rsidP="00FE018D">
      <w:pPr>
        <w:adjustRightInd w:val="0"/>
        <w:snapToGrid w:val="0"/>
        <w:spacing w:line="360" w:lineRule="auto"/>
        <w:ind w:firstLine="181"/>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c.</w:t>
      </w:r>
      <w:r w:rsidRPr="009802E0">
        <w:rPr>
          <w:rFonts w:asciiTheme="minorEastAsia" w:eastAsiaTheme="minorEastAsia" w:hAnsiTheme="minorEastAsia"/>
          <w:kern w:val="0"/>
          <w:szCs w:val="21"/>
        </w:rPr>
        <w:t>在</w:t>
      </w:r>
      <w:r w:rsidRPr="009802E0">
        <w:rPr>
          <w:rFonts w:asciiTheme="minorEastAsia" w:eastAsiaTheme="minorEastAsia" w:hAnsiTheme="minorEastAsia" w:hint="eastAsia"/>
          <w:kern w:val="0"/>
          <w:szCs w:val="21"/>
        </w:rPr>
        <w:t>法律法规和</w:t>
      </w:r>
      <w:r w:rsidRPr="009802E0">
        <w:rPr>
          <w:rFonts w:asciiTheme="minorEastAsia" w:eastAsiaTheme="minorEastAsia" w:hAnsiTheme="minorEastAsia"/>
          <w:kern w:val="0"/>
          <w:szCs w:val="21"/>
        </w:rPr>
        <w:t>《基金合同》规定的范围内</w:t>
      </w:r>
      <w:r w:rsidRPr="009802E0">
        <w:rPr>
          <w:rFonts w:asciiTheme="minorEastAsia" w:eastAsiaTheme="minorEastAsia" w:hAnsiTheme="minorEastAsia" w:hint="eastAsia"/>
          <w:kern w:val="0"/>
          <w:szCs w:val="21"/>
        </w:rPr>
        <w:t>调整</w:t>
      </w:r>
      <w:r w:rsidRPr="009802E0">
        <w:rPr>
          <w:rFonts w:asciiTheme="minorEastAsia" w:eastAsiaTheme="minorEastAsia" w:hAnsiTheme="minorEastAsia"/>
          <w:kern w:val="0"/>
          <w:szCs w:val="21"/>
        </w:rPr>
        <w:t>本基金的申购费率、调低赎回费率</w:t>
      </w:r>
      <w:r w:rsidR="00933389" w:rsidRPr="009802E0">
        <w:rPr>
          <w:rFonts w:asciiTheme="minorEastAsia" w:eastAsiaTheme="minorEastAsia" w:hAnsiTheme="minorEastAsia" w:hint="eastAsia"/>
          <w:kern w:val="0"/>
          <w:szCs w:val="21"/>
        </w:rPr>
        <w:t>或调整收费方式</w:t>
      </w:r>
      <w:r w:rsidRPr="009802E0">
        <w:rPr>
          <w:rFonts w:asciiTheme="minorEastAsia" w:eastAsiaTheme="minorEastAsia" w:hAnsiTheme="minorEastAsia" w:hint="eastAsia"/>
          <w:kern w:val="0"/>
          <w:szCs w:val="21"/>
        </w:rPr>
        <w:t>；</w:t>
      </w:r>
    </w:p>
    <w:p w:rsidR="001649C0" w:rsidRPr="009802E0" w:rsidRDefault="001649C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d.因相应的法律法规发生变动而应当对《基金合同》进行修改；</w:t>
      </w:r>
    </w:p>
    <w:p w:rsidR="001649C0" w:rsidRPr="009802E0" w:rsidRDefault="001649C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e.对《基金合同》的修改对基金份额持有人利益无实质性不利影响或修改不涉及《基金合同》当事人权利义务关系发生变化；</w:t>
      </w:r>
    </w:p>
    <w:p w:rsidR="001649C0" w:rsidRPr="009802E0" w:rsidRDefault="001649C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f.除按照法律法规和《基金合同》规定应当召开基金份额持有人大会的以外的其他情形。</w:t>
      </w:r>
    </w:p>
    <w:p w:rsidR="001649C0" w:rsidRPr="009802E0" w:rsidRDefault="001649C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(2)关于《基金合同》变更的基金份额持有人大会决议经中国证监会核准生效后方可执行，自《基金合同》生效之日起在至少一家</w:t>
      </w:r>
      <w:r w:rsidR="004E4473" w:rsidRPr="009802E0">
        <w:rPr>
          <w:rFonts w:asciiTheme="minorEastAsia" w:eastAsiaTheme="minorEastAsia" w:hAnsiTheme="minorEastAsia" w:hint="eastAsia"/>
          <w:kern w:val="0"/>
          <w:szCs w:val="21"/>
        </w:rPr>
        <w:t>指定媒介</w:t>
      </w:r>
      <w:r w:rsidRPr="009802E0">
        <w:rPr>
          <w:rFonts w:asciiTheme="minorEastAsia" w:eastAsiaTheme="minorEastAsia" w:hAnsiTheme="minorEastAsia" w:hint="eastAsia"/>
          <w:kern w:val="0"/>
          <w:szCs w:val="21"/>
        </w:rPr>
        <w:t>公告。</w:t>
      </w:r>
    </w:p>
    <w:p w:rsidR="001649C0" w:rsidRPr="009802E0" w:rsidRDefault="001649C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w:t>
      </w:r>
      <w:r w:rsidR="004E552C"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《基金合同》的终止</w:t>
      </w:r>
    </w:p>
    <w:p w:rsidR="001649C0" w:rsidRPr="009802E0" w:rsidRDefault="001649C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有下列情形之一的，《基金合同》应当终止：</w:t>
      </w:r>
    </w:p>
    <w:p w:rsidR="001649C0" w:rsidRPr="009802E0" w:rsidRDefault="001649C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（1）基金份额持有人大会决定终止的；</w:t>
      </w:r>
    </w:p>
    <w:p w:rsidR="001649C0" w:rsidRPr="009802E0" w:rsidRDefault="001649C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（2）基金管理人、基金托管人职责终止，在6个月内没有新基金管理人、新基金托管人承接的；</w:t>
      </w:r>
    </w:p>
    <w:p w:rsidR="001649C0" w:rsidRPr="009802E0" w:rsidRDefault="001649C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（3）《基金合同》约定的其他情形；</w:t>
      </w:r>
    </w:p>
    <w:p w:rsidR="001649C0" w:rsidRPr="009802E0" w:rsidRDefault="001649C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（4）相关法律法规和中国证监会规定的其他情况。</w:t>
      </w:r>
    </w:p>
    <w:p w:rsidR="001649C0" w:rsidRPr="009802E0" w:rsidRDefault="004E552C"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3、</w:t>
      </w:r>
      <w:r w:rsidR="001649C0" w:rsidRPr="009802E0">
        <w:rPr>
          <w:rFonts w:asciiTheme="minorEastAsia" w:eastAsiaTheme="minorEastAsia" w:hAnsiTheme="minorEastAsia" w:hint="eastAsia"/>
          <w:kern w:val="0"/>
          <w:szCs w:val="21"/>
        </w:rPr>
        <w:t>基金财产的清算</w:t>
      </w:r>
    </w:p>
    <w:p w:rsidR="001649C0" w:rsidRPr="009802E0" w:rsidRDefault="001649C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（1）基金财产清算小组：自出现《基金合同》终止事由之日起</w:t>
      </w:r>
      <w:r w:rsidRPr="009802E0">
        <w:rPr>
          <w:rFonts w:asciiTheme="minorEastAsia" w:eastAsiaTheme="minorEastAsia" w:hAnsiTheme="minorEastAsia"/>
          <w:kern w:val="0"/>
          <w:szCs w:val="21"/>
        </w:rPr>
        <w:t>30</w:t>
      </w:r>
      <w:r w:rsidRPr="009802E0">
        <w:rPr>
          <w:rFonts w:asciiTheme="minorEastAsia" w:eastAsiaTheme="minorEastAsia" w:hAnsiTheme="minorEastAsia" w:hint="eastAsia"/>
          <w:kern w:val="0"/>
          <w:szCs w:val="21"/>
        </w:rPr>
        <w:t>个工作日内成立清算小组，基金管理人组织基金财产清算小组并在中国证监会的监督下进行基金清算。</w:t>
      </w:r>
    </w:p>
    <w:p w:rsidR="001649C0" w:rsidRPr="009802E0" w:rsidRDefault="001649C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1649C0" w:rsidRPr="009802E0" w:rsidRDefault="001649C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（3）基金财产清算小组职责：基金财产清算小组负责基金财产的保管、清理、估价、变现和分配。基金财产清算小组可以依法进行必要的民事活动。</w:t>
      </w:r>
    </w:p>
    <w:p w:rsidR="001649C0" w:rsidRPr="009802E0" w:rsidRDefault="001649C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（4）基金财产清算程序：</w:t>
      </w:r>
    </w:p>
    <w:p w:rsidR="001649C0" w:rsidRPr="009802E0" w:rsidRDefault="001649C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a.《基金合同》终止后，由基金财产清算小组统一接管基金；</w:t>
      </w:r>
    </w:p>
    <w:p w:rsidR="001649C0" w:rsidRPr="009802E0" w:rsidRDefault="001649C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b.对基金财产和债权债务进行清理和确认；</w:t>
      </w:r>
    </w:p>
    <w:p w:rsidR="001649C0" w:rsidRPr="009802E0" w:rsidRDefault="001649C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lastRenderedPageBreak/>
        <w:t>c.对基金财产进行估值和变现；</w:t>
      </w:r>
    </w:p>
    <w:p w:rsidR="001649C0" w:rsidRPr="009802E0" w:rsidRDefault="001649C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d.制作清算报告；</w:t>
      </w:r>
    </w:p>
    <w:p w:rsidR="001649C0" w:rsidRPr="009802E0" w:rsidRDefault="001649C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e.聘请会计师事务所对清算报告进行外部审计，聘请律师事务所对清算告出具法律意见书；</w:t>
      </w:r>
    </w:p>
    <w:p w:rsidR="001649C0" w:rsidRPr="009802E0" w:rsidRDefault="001649C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f.将清算报告报中国证监会备案并公告。</w:t>
      </w:r>
    </w:p>
    <w:p w:rsidR="001649C0" w:rsidRPr="009802E0" w:rsidRDefault="001649C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g.对基金财产进行分配。</w:t>
      </w:r>
    </w:p>
    <w:p w:rsidR="001649C0" w:rsidRPr="009802E0" w:rsidRDefault="004E552C"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4、</w:t>
      </w:r>
      <w:r w:rsidR="001649C0" w:rsidRPr="009802E0">
        <w:rPr>
          <w:rFonts w:asciiTheme="minorEastAsia" w:eastAsiaTheme="minorEastAsia" w:hAnsiTheme="minorEastAsia" w:hint="eastAsia"/>
          <w:kern w:val="0"/>
          <w:szCs w:val="21"/>
        </w:rPr>
        <w:t>清算费用</w:t>
      </w:r>
    </w:p>
    <w:p w:rsidR="001649C0" w:rsidRPr="009802E0" w:rsidRDefault="001649C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清算费用是指基金财产清算小组在进行基金清算过程中发生的所有合理费用，清算费用由基金财产清算小组优先从基金财产中支付。</w:t>
      </w:r>
    </w:p>
    <w:p w:rsidR="001649C0" w:rsidRPr="009802E0" w:rsidRDefault="004E552C"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5、</w:t>
      </w:r>
      <w:r w:rsidR="001649C0" w:rsidRPr="009802E0">
        <w:rPr>
          <w:rFonts w:asciiTheme="minorEastAsia" w:eastAsiaTheme="minorEastAsia" w:hAnsiTheme="minorEastAsia" w:hint="eastAsia"/>
          <w:kern w:val="0"/>
          <w:szCs w:val="21"/>
        </w:rPr>
        <w:t>基金财产清算剩余资产的分配</w:t>
      </w:r>
    </w:p>
    <w:p w:rsidR="001649C0" w:rsidRPr="009802E0" w:rsidRDefault="001649C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基金财产按下列顺序清偿：</w:t>
      </w:r>
    </w:p>
    <w:p w:rsidR="001649C0" w:rsidRPr="009802E0" w:rsidRDefault="001649C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(1)支付清算费用；</w:t>
      </w:r>
    </w:p>
    <w:p w:rsidR="001649C0" w:rsidRPr="009802E0" w:rsidRDefault="001649C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(2)交纳所欠税款；</w:t>
      </w:r>
    </w:p>
    <w:p w:rsidR="001649C0" w:rsidRPr="009802E0" w:rsidRDefault="001649C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(3)清偿基金债务；</w:t>
      </w:r>
    </w:p>
    <w:p w:rsidR="001649C0" w:rsidRPr="009802E0" w:rsidRDefault="001649C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(4)按基金份额持有人持有的基金份额比例进行分配。</w:t>
      </w:r>
    </w:p>
    <w:p w:rsidR="001649C0" w:rsidRPr="009802E0" w:rsidRDefault="001649C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基金财产未按前款(1)－(</w:t>
      </w:r>
      <w:r w:rsidRPr="009802E0">
        <w:rPr>
          <w:rFonts w:asciiTheme="minorEastAsia" w:eastAsiaTheme="minorEastAsia" w:hAnsiTheme="minorEastAsia"/>
          <w:kern w:val="0"/>
          <w:szCs w:val="21"/>
        </w:rPr>
        <w:t>3</w:t>
      </w:r>
      <w:r w:rsidRPr="009802E0">
        <w:rPr>
          <w:rFonts w:asciiTheme="minorEastAsia" w:eastAsiaTheme="minorEastAsia" w:hAnsiTheme="minorEastAsia" w:hint="eastAsia"/>
          <w:kern w:val="0"/>
          <w:szCs w:val="21"/>
        </w:rPr>
        <w:t>)项规定清偿前，不分配给基金份额持有人。</w:t>
      </w:r>
    </w:p>
    <w:p w:rsidR="001649C0" w:rsidRPr="009802E0" w:rsidRDefault="004E552C" w:rsidP="009C0E15">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6、</w:t>
      </w:r>
      <w:r w:rsidR="001649C0" w:rsidRPr="009802E0">
        <w:rPr>
          <w:rFonts w:asciiTheme="minorEastAsia" w:eastAsiaTheme="minorEastAsia" w:hAnsiTheme="minorEastAsia" w:hint="eastAsia"/>
          <w:kern w:val="0"/>
          <w:szCs w:val="21"/>
        </w:rPr>
        <w:t>基金财产清算的公告</w:t>
      </w:r>
    </w:p>
    <w:p w:rsidR="001649C0" w:rsidRPr="009802E0" w:rsidRDefault="001649C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清算过程中的有关重大事项须及时公告；基金财产清算报告经会计师事务所审计并由律师事务所出具法律意见书后报中国证监会备案并公告。</w:t>
      </w:r>
      <w:r w:rsidRPr="009802E0">
        <w:rPr>
          <w:rFonts w:asciiTheme="minorEastAsia" w:eastAsiaTheme="minorEastAsia" w:hAnsiTheme="minorEastAsia"/>
          <w:kern w:val="0"/>
          <w:szCs w:val="21"/>
        </w:rPr>
        <w:t>基金财产清算公告于</w:t>
      </w:r>
      <w:r w:rsidRPr="009802E0">
        <w:rPr>
          <w:rFonts w:asciiTheme="minorEastAsia" w:eastAsiaTheme="minorEastAsia" w:hAnsiTheme="minorEastAsia" w:hint="eastAsia"/>
          <w:kern w:val="0"/>
          <w:szCs w:val="21"/>
        </w:rPr>
        <w:t>《基金合同》终止并报中国证监会备案后</w:t>
      </w:r>
      <w:r w:rsidRPr="009802E0">
        <w:rPr>
          <w:rFonts w:asciiTheme="minorEastAsia" w:eastAsiaTheme="minorEastAsia" w:hAnsiTheme="minorEastAsia"/>
          <w:kern w:val="0"/>
          <w:szCs w:val="21"/>
        </w:rPr>
        <w:t>5</w:t>
      </w:r>
      <w:r w:rsidRPr="009802E0">
        <w:rPr>
          <w:rFonts w:asciiTheme="minorEastAsia" w:eastAsiaTheme="minorEastAsia" w:hAnsiTheme="minorEastAsia" w:hint="eastAsia"/>
          <w:kern w:val="0"/>
          <w:szCs w:val="21"/>
        </w:rPr>
        <w:t>个工作日内由基金财产清算小组进行公告。</w:t>
      </w:r>
    </w:p>
    <w:p w:rsidR="001649C0" w:rsidRPr="009802E0" w:rsidRDefault="004E552C" w:rsidP="009C0E15">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7、</w:t>
      </w:r>
      <w:r w:rsidR="001649C0" w:rsidRPr="009802E0">
        <w:rPr>
          <w:rFonts w:asciiTheme="minorEastAsia" w:eastAsiaTheme="minorEastAsia" w:hAnsiTheme="minorEastAsia" w:hint="eastAsia"/>
          <w:kern w:val="0"/>
          <w:szCs w:val="21"/>
        </w:rPr>
        <w:t>基金财产清算账册及文件的保存</w:t>
      </w:r>
    </w:p>
    <w:p w:rsidR="001649C0" w:rsidRPr="009802E0" w:rsidRDefault="001649C0"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基金财产清算账册及有关文件由基金托管人</w:t>
      </w:r>
      <w:r w:rsidR="00A26890" w:rsidRPr="009802E0">
        <w:rPr>
          <w:rFonts w:asciiTheme="minorEastAsia" w:eastAsiaTheme="minorEastAsia" w:hAnsiTheme="minorEastAsia" w:hint="eastAsia"/>
          <w:kern w:val="0"/>
          <w:szCs w:val="21"/>
        </w:rPr>
        <w:t>保存15年以上</w:t>
      </w:r>
      <w:r w:rsidRPr="009802E0">
        <w:rPr>
          <w:rFonts w:asciiTheme="minorEastAsia" w:eastAsiaTheme="minorEastAsia" w:hAnsiTheme="minorEastAsia" w:hint="eastAsia"/>
          <w:kern w:val="0"/>
          <w:szCs w:val="21"/>
        </w:rPr>
        <w:t>。</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bCs/>
        </w:rPr>
      </w:pPr>
      <w:bookmarkStart w:id="162" w:name="_Toc43301979"/>
      <w:r w:rsidRPr="009802E0">
        <w:rPr>
          <w:rFonts w:asciiTheme="minorEastAsia" w:eastAsiaTheme="minorEastAsia" w:hAnsiTheme="minorEastAsia" w:hint="eastAsia"/>
          <w:b w:val="0"/>
          <w:bCs/>
        </w:rPr>
        <w:t>（六）争议的处理</w:t>
      </w:r>
      <w:bookmarkEnd w:id="162"/>
    </w:p>
    <w:p w:rsidR="00AE02B9" w:rsidRPr="009802E0" w:rsidRDefault="00AE02B9"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rsidR="00AE02B9" w:rsidRPr="009802E0" w:rsidRDefault="00AE02B9"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《基金合同》受中国法律管辖。</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bCs/>
        </w:rPr>
      </w:pPr>
      <w:bookmarkStart w:id="163" w:name="_Toc43301980"/>
      <w:r w:rsidRPr="009802E0">
        <w:rPr>
          <w:rFonts w:asciiTheme="minorEastAsia" w:eastAsiaTheme="minorEastAsia" w:hAnsiTheme="minorEastAsia" w:hint="eastAsia"/>
          <w:b w:val="0"/>
          <w:bCs/>
        </w:rPr>
        <w:t>（七）基金合同的效力</w:t>
      </w:r>
      <w:bookmarkEnd w:id="163"/>
    </w:p>
    <w:p w:rsidR="00AE02B9" w:rsidRPr="009802E0" w:rsidRDefault="00AE02B9"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《基金合同》是约定基金当事人之间、基金与基金当事人之间权利义务关系的法律文件。</w:t>
      </w:r>
    </w:p>
    <w:p w:rsidR="00AE02B9" w:rsidRPr="009802E0" w:rsidRDefault="00AE02B9"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1</w:t>
      </w:r>
      <w:r w:rsidR="004E552C"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《基金合同》经基金管理人、基金托管人双方盖章以及双方法定代表人或授权代表签字并在募集结束后经基金管理人向中国证监会办理基金备案手续，并经中国证监会书面确认后生效。</w:t>
      </w:r>
    </w:p>
    <w:p w:rsidR="00AE02B9" w:rsidRPr="009802E0" w:rsidRDefault="00AE02B9"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lastRenderedPageBreak/>
        <w:t>2</w:t>
      </w:r>
      <w:r w:rsidR="004E552C"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《基金合同》的有效期自其生效之日起至基金财产清算结果报中国证监会备案并公告之日止。</w:t>
      </w:r>
    </w:p>
    <w:p w:rsidR="00AE02B9" w:rsidRPr="009802E0" w:rsidRDefault="00AE02B9"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3</w:t>
      </w:r>
      <w:r w:rsidR="004E552C"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《基金合同》自生效之日起对包括基金管理人、基金托管人和基金份额持有人在内的《基金合同》各方当事人具有同等的法律约束力。</w:t>
      </w:r>
    </w:p>
    <w:p w:rsidR="00AE02B9" w:rsidRPr="009802E0" w:rsidRDefault="00AE02B9"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4</w:t>
      </w:r>
      <w:r w:rsidR="004E552C"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《基金合同》正本一式六份，除上报有关监管机构一式二份外，基金管理人、基金托管人各持有二份，每份具有同等的法律效力。</w:t>
      </w:r>
    </w:p>
    <w:p w:rsidR="00AE02B9" w:rsidRPr="009802E0" w:rsidRDefault="00AE02B9" w:rsidP="00FE018D">
      <w:pPr>
        <w:adjustRightInd w:val="0"/>
        <w:snapToGrid w:val="0"/>
        <w:spacing w:line="360" w:lineRule="auto"/>
        <w:ind w:firstLine="420"/>
        <w:rPr>
          <w:rFonts w:asciiTheme="minorEastAsia" w:eastAsiaTheme="minorEastAsia" w:hAnsiTheme="minorEastAsia"/>
          <w:kern w:val="0"/>
          <w:szCs w:val="21"/>
        </w:rPr>
      </w:pPr>
      <w:bookmarkStart w:id="164" w:name="_Toc523711689"/>
      <w:r w:rsidRPr="009802E0">
        <w:rPr>
          <w:rFonts w:asciiTheme="minorEastAsia" w:eastAsiaTheme="minorEastAsia" w:hAnsiTheme="minorEastAsia" w:hint="eastAsia"/>
          <w:kern w:val="0"/>
          <w:szCs w:val="21"/>
        </w:rPr>
        <w:t>5</w:t>
      </w:r>
      <w:r w:rsidR="004E552C" w:rsidRPr="009802E0">
        <w:rPr>
          <w:rFonts w:asciiTheme="minorEastAsia" w:eastAsiaTheme="minorEastAsia" w:hAnsiTheme="minorEastAsia" w:hint="eastAsia"/>
          <w:kern w:val="0"/>
          <w:szCs w:val="21"/>
        </w:rPr>
        <w:t>、</w:t>
      </w:r>
      <w:r w:rsidRPr="009802E0">
        <w:rPr>
          <w:rFonts w:asciiTheme="minorEastAsia" w:eastAsiaTheme="minorEastAsia" w:hAnsiTheme="minorEastAsia" w:hint="eastAsia"/>
          <w:kern w:val="0"/>
          <w:szCs w:val="21"/>
        </w:rPr>
        <w:t>《基金合同》</w:t>
      </w:r>
      <w:r w:rsidRPr="009802E0">
        <w:rPr>
          <w:rFonts w:asciiTheme="minorEastAsia" w:eastAsiaTheme="minorEastAsia" w:hAnsiTheme="minorEastAsia"/>
          <w:kern w:val="0"/>
          <w:szCs w:val="21"/>
        </w:rPr>
        <w:t>可印制成册</w:t>
      </w:r>
      <w:r w:rsidRPr="009802E0">
        <w:rPr>
          <w:rFonts w:asciiTheme="minorEastAsia" w:eastAsiaTheme="minorEastAsia" w:hAnsiTheme="minorEastAsia" w:hint="eastAsia"/>
          <w:kern w:val="0"/>
          <w:szCs w:val="21"/>
        </w:rPr>
        <w:t>，供投资者在基金管理人、基金托管人、代销机构的办公场所和营业场所查阅；投资者也可按工本费购买《基金合同》复制件或复印件，但内容应以《基金合同》正本为准。</w:t>
      </w:r>
    </w:p>
    <w:bookmarkEnd w:id="164"/>
    <w:p w:rsidR="00B43AC4" w:rsidRPr="009802E0" w:rsidRDefault="00B43AC4" w:rsidP="00FE018D">
      <w:pPr>
        <w:pStyle w:val="a7"/>
        <w:adjustRightInd w:val="0"/>
        <w:snapToGrid w:val="0"/>
        <w:spacing w:line="360" w:lineRule="auto"/>
        <w:rPr>
          <w:rFonts w:asciiTheme="minorEastAsia" w:eastAsiaTheme="minorEastAsia" w:hAnsiTheme="minorEastAsia"/>
          <w:szCs w:val="24"/>
        </w:rPr>
      </w:pPr>
    </w:p>
    <w:p w:rsidR="00B43AC4" w:rsidRPr="009802E0" w:rsidRDefault="00B43AC4" w:rsidP="00FE018D">
      <w:pPr>
        <w:pStyle w:val="1"/>
        <w:adjustRightInd w:val="0"/>
        <w:snapToGrid w:val="0"/>
        <w:spacing w:beforeLines="0" w:afterLines="0" w:line="360" w:lineRule="auto"/>
        <w:ind w:firstLine="600"/>
        <w:rPr>
          <w:rFonts w:asciiTheme="minorEastAsia" w:eastAsiaTheme="minorEastAsia" w:hAnsiTheme="minorEastAsia"/>
          <w:b/>
          <w:bCs/>
          <w:szCs w:val="20"/>
        </w:rPr>
      </w:pPr>
      <w:r w:rsidRPr="009802E0">
        <w:rPr>
          <w:rFonts w:asciiTheme="minorEastAsia" w:eastAsiaTheme="minorEastAsia" w:hAnsiTheme="minorEastAsia"/>
          <w:sz w:val="30"/>
        </w:rPr>
        <w:br w:type="page"/>
      </w:r>
      <w:bookmarkStart w:id="165" w:name="_Toc43301981"/>
      <w:r w:rsidR="000A7D95" w:rsidRPr="009802E0">
        <w:rPr>
          <w:rFonts w:asciiTheme="minorEastAsia" w:eastAsiaTheme="minorEastAsia" w:hAnsiTheme="minorEastAsia" w:hint="eastAsia"/>
          <w:b/>
          <w:sz w:val="30"/>
        </w:rPr>
        <w:lastRenderedPageBreak/>
        <w:t>二十二</w:t>
      </w:r>
      <w:r w:rsidRPr="009802E0">
        <w:rPr>
          <w:rFonts w:asciiTheme="minorEastAsia" w:eastAsiaTheme="minorEastAsia" w:hAnsiTheme="minorEastAsia" w:hint="eastAsia"/>
          <w:b/>
          <w:sz w:val="30"/>
        </w:rPr>
        <w:t>、基金托管协议的内容摘要</w:t>
      </w:r>
      <w:bookmarkEnd w:id="165"/>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bCs/>
        </w:rPr>
      </w:pPr>
      <w:bookmarkStart w:id="166" w:name="_Toc43301982"/>
      <w:r w:rsidRPr="009802E0">
        <w:rPr>
          <w:rFonts w:asciiTheme="minorEastAsia" w:eastAsiaTheme="minorEastAsia" w:hAnsiTheme="minorEastAsia" w:hint="eastAsia"/>
          <w:b w:val="0"/>
          <w:bCs/>
        </w:rPr>
        <w:t>（一）托管协议当事人</w:t>
      </w:r>
      <w:bookmarkEnd w:id="166"/>
    </w:p>
    <w:p w:rsidR="00B43AC4" w:rsidRPr="009802E0" w:rsidRDefault="004E552C" w:rsidP="00FE018D">
      <w:pPr>
        <w:adjustRightInd w:val="0"/>
        <w:snapToGrid w:val="0"/>
        <w:spacing w:line="360" w:lineRule="auto"/>
        <w:ind w:left="420" w:right="26"/>
        <w:rPr>
          <w:rFonts w:asciiTheme="minorEastAsia" w:eastAsiaTheme="minorEastAsia" w:hAnsiTheme="minorEastAsia"/>
          <w:b/>
          <w:kern w:val="0"/>
          <w:szCs w:val="21"/>
        </w:rPr>
      </w:pPr>
      <w:r w:rsidRPr="009802E0">
        <w:rPr>
          <w:rFonts w:asciiTheme="minorEastAsia" w:eastAsiaTheme="minorEastAsia" w:hAnsiTheme="minorEastAsia" w:hint="eastAsia"/>
          <w:b/>
          <w:kern w:val="0"/>
          <w:szCs w:val="21"/>
        </w:rPr>
        <w:t>1、</w:t>
      </w:r>
      <w:r w:rsidR="00B43AC4" w:rsidRPr="009802E0">
        <w:rPr>
          <w:rFonts w:asciiTheme="minorEastAsia" w:eastAsiaTheme="minorEastAsia" w:hAnsiTheme="minorEastAsia" w:hint="eastAsia"/>
          <w:b/>
          <w:kern w:val="0"/>
          <w:szCs w:val="21"/>
        </w:rPr>
        <w:t>基金管理人（或简称“管理人”）</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bookmarkStart w:id="167" w:name="_Toc15118236"/>
      <w:r w:rsidRPr="009802E0">
        <w:rPr>
          <w:rFonts w:asciiTheme="minorEastAsia" w:eastAsiaTheme="minorEastAsia" w:hAnsiTheme="minorEastAsia" w:hint="eastAsia"/>
        </w:rPr>
        <w:t>名称：易方达基金管理有限公司</w:t>
      </w:r>
    </w:p>
    <w:bookmarkEnd w:id="167"/>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住所：</w:t>
      </w:r>
      <w:r w:rsidR="004006DB" w:rsidRPr="009802E0">
        <w:rPr>
          <w:rFonts w:asciiTheme="minorEastAsia" w:eastAsiaTheme="minorEastAsia" w:hAnsiTheme="minorEastAsia" w:cs="仿宋_GB2312" w:hint="eastAsia"/>
          <w:kern w:val="0"/>
        </w:rPr>
        <w:t>广东省珠海市横琴新区宝华路6号105室-42891（集中办公区）</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法定代表人：</w:t>
      </w:r>
      <w:r w:rsidR="00BA778E" w:rsidRPr="009802E0">
        <w:rPr>
          <w:rFonts w:asciiTheme="minorEastAsia" w:eastAsiaTheme="minorEastAsia" w:hAnsiTheme="minorEastAsia" w:hint="eastAsia"/>
        </w:rPr>
        <w:t>刘晓艳</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成立时间：2001年4月17日</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批准设立机关：中国证券监督管理委员会</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批准设立文号：证监基金字[2001</w:t>
      </w:r>
      <w:r w:rsidRPr="009802E0">
        <w:rPr>
          <w:rFonts w:asciiTheme="minorEastAsia" w:eastAsiaTheme="minorEastAsia" w:hAnsiTheme="minorEastAsia"/>
        </w:rPr>
        <w:t>]</w:t>
      </w:r>
      <w:r w:rsidRPr="009802E0">
        <w:rPr>
          <w:rFonts w:asciiTheme="minorEastAsia" w:eastAsiaTheme="minorEastAsia" w:hAnsiTheme="minorEastAsia" w:hint="eastAsia"/>
        </w:rPr>
        <w:t>4号</w:t>
      </w:r>
    </w:p>
    <w:p w:rsidR="005E34F4" w:rsidRPr="009802E0" w:rsidRDefault="00C461F8"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注册资本：13,244.2万元人民币</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组织形式：有限责任公司</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经营范围：</w:t>
      </w:r>
      <w:r w:rsidR="004006DB" w:rsidRPr="009802E0">
        <w:rPr>
          <w:rFonts w:asciiTheme="minorEastAsia" w:eastAsiaTheme="minorEastAsia" w:hAnsiTheme="minorEastAsia" w:hint="eastAsia"/>
          <w:szCs w:val="21"/>
        </w:rPr>
        <w:t>公开募集证券投资基金管理、基金销售、特定客户资产</w:t>
      </w:r>
      <w:r w:rsidR="004006DB" w:rsidRPr="009802E0">
        <w:rPr>
          <w:rFonts w:asciiTheme="minorEastAsia" w:eastAsiaTheme="minorEastAsia" w:hAnsiTheme="minorEastAsia" w:hint="eastAsia"/>
        </w:rPr>
        <w:t>管理</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存续期间：持续经营</w:t>
      </w:r>
    </w:p>
    <w:p w:rsidR="00B43AC4" w:rsidRPr="009802E0" w:rsidRDefault="004E552C" w:rsidP="00FE018D">
      <w:pPr>
        <w:adjustRightInd w:val="0"/>
        <w:snapToGrid w:val="0"/>
        <w:spacing w:line="360" w:lineRule="auto"/>
        <w:ind w:left="420" w:right="26"/>
        <w:rPr>
          <w:rFonts w:asciiTheme="minorEastAsia" w:eastAsiaTheme="minorEastAsia" w:hAnsiTheme="minorEastAsia"/>
          <w:b/>
          <w:kern w:val="0"/>
          <w:szCs w:val="21"/>
        </w:rPr>
      </w:pPr>
      <w:r w:rsidRPr="009802E0">
        <w:rPr>
          <w:rFonts w:asciiTheme="minorEastAsia" w:eastAsiaTheme="minorEastAsia" w:hAnsiTheme="minorEastAsia" w:hint="eastAsia"/>
          <w:b/>
          <w:kern w:val="0"/>
          <w:szCs w:val="21"/>
        </w:rPr>
        <w:t>2、</w:t>
      </w:r>
      <w:r w:rsidR="00B43AC4" w:rsidRPr="009802E0">
        <w:rPr>
          <w:rFonts w:asciiTheme="minorEastAsia" w:eastAsiaTheme="minorEastAsia" w:hAnsiTheme="minorEastAsia" w:hint="eastAsia"/>
          <w:b/>
          <w:kern w:val="0"/>
          <w:szCs w:val="21"/>
        </w:rPr>
        <w:t>基金托管人（或简称“托管人”）</w:t>
      </w:r>
    </w:p>
    <w:p w:rsidR="005E34F4" w:rsidRPr="009802E0" w:rsidRDefault="005E34F4" w:rsidP="0083708B">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名称：中国工商银行股份有限公司</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住所：北京市西城区复兴门内大街</w:t>
      </w:r>
      <w:r w:rsidRPr="009802E0">
        <w:rPr>
          <w:rFonts w:asciiTheme="minorEastAsia" w:eastAsiaTheme="minorEastAsia" w:hAnsiTheme="minorEastAsia"/>
        </w:rPr>
        <w:t>55</w:t>
      </w:r>
      <w:r w:rsidRPr="009802E0">
        <w:rPr>
          <w:rFonts w:asciiTheme="minorEastAsia" w:eastAsiaTheme="minorEastAsia" w:hAnsiTheme="minorEastAsia" w:hint="eastAsia"/>
        </w:rPr>
        <w:t>号（100032）</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法定代表人：</w:t>
      </w:r>
      <w:r w:rsidR="00946AA4" w:rsidRPr="009802E0">
        <w:rPr>
          <w:rFonts w:asciiTheme="minorEastAsia" w:eastAsiaTheme="minorEastAsia" w:hAnsiTheme="minorEastAsia"/>
        </w:rPr>
        <w:t>陈四清</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电话：（</w:t>
      </w:r>
      <w:r w:rsidRPr="009802E0">
        <w:rPr>
          <w:rFonts w:asciiTheme="minorEastAsia" w:eastAsiaTheme="minorEastAsia" w:hAnsiTheme="minorEastAsia"/>
        </w:rPr>
        <w:t>010</w:t>
      </w:r>
      <w:r w:rsidRPr="009802E0">
        <w:rPr>
          <w:rFonts w:asciiTheme="minorEastAsia" w:eastAsiaTheme="minorEastAsia" w:hAnsiTheme="minorEastAsia" w:hint="eastAsia"/>
        </w:rPr>
        <w:t>）</w:t>
      </w:r>
      <w:r w:rsidRPr="009802E0">
        <w:rPr>
          <w:rFonts w:asciiTheme="minorEastAsia" w:eastAsiaTheme="minorEastAsia" w:hAnsiTheme="minorEastAsia"/>
        </w:rPr>
        <w:t>6610</w:t>
      </w:r>
      <w:r w:rsidRPr="009802E0">
        <w:rPr>
          <w:rFonts w:asciiTheme="minorEastAsia" w:eastAsiaTheme="minorEastAsia" w:hAnsiTheme="minorEastAsia" w:hint="eastAsia"/>
        </w:rPr>
        <w:t>5799</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传真：（</w:t>
      </w:r>
      <w:r w:rsidRPr="009802E0">
        <w:rPr>
          <w:rFonts w:asciiTheme="minorEastAsia" w:eastAsiaTheme="minorEastAsia" w:hAnsiTheme="minorEastAsia"/>
        </w:rPr>
        <w:t>010</w:t>
      </w:r>
      <w:r w:rsidRPr="009802E0">
        <w:rPr>
          <w:rFonts w:asciiTheme="minorEastAsia" w:eastAsiaTheme="minorEastAsia" w:hAnsiTheme="minorEastAsia" w:hint="eastAsia"/>
        </w:rPr>
        <w:t>）</w:t>
      </w:r>
      <w:r w:rsidRPr="009802E0">
        <w:rPr>
          <w:rFonts w:asciiTheme="minorEastAsia" w:eastAsiaTheme="minorEastAsia" w:hAnsiTheme="minorEastAsia"/>
        </w:rPr>
        <w:t>6610</w:t>
      </w:r>
      <w:r w:rsidRPr="009802E0">
        <w:rPr>
          <w:rFonts w:asciiTheme="minorEastAsia" w:eastAsiaTheme="minorEastAsia" w:hAnsiTheme="minorEastAsia" w:hint="eastAsia"/>
        </w:rPr>
        <w:t>5798</w:t>
      </w:r>
    </w:p>
    <w:p w:rsidR="0009042A" w:rsidRPr="009802E0" w:rsidRDefault="0009042A"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联系人：</w:t>
      </w:r>
      <w:r w:rsidR="00493BF9" w:rsidRPr="009802E0">
        <w:rPr>
          <w:rFonts w:asciiTheme="minorEastAsia" w:eastAsiaTheme="minorEastAsia" w:hAnsiTheme="minorEastAsia" w:hint="eastAsia"/>
          <w:spacing w:val="6"/>
        </w:rPr>
        <w:t>郭明</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成立时间：</w:t>
      </w:r>
      <w:r w:rsidRPr="009802E0">
        <w:rPr>
          <w:rFonts w:asciiTheme="minorEastAsia" w:eastAsiaTheme="minorEastAsia" w:hAnsiTheme="minorEastAsia"/>
        </w:rPr>
        <w:t>1984</w:t>
      </w:r>
      <w:r w:rsidRPr="009802E0">
        <w:rPr>
          <w:rFonts w:asciiTheme="minorEastAsia" w:eastAsiaTheme="minorEastAsia" w:hAnsiTheme="minorEastAsia" w:hint="eastAsia"/>
        </w:rPr>
        <w:t>年</w:t>
      </w:r>
      <w:r w:rsidRPr="009802E0">
        <w:rPr>
          <w:rFonts w:asciiTheme="minorEastAsia" w:eastAsiaTheme="minorEastAsia" w:hAnsiTheme="minorEastAsia"/>
        </w:rPr>
        <w:t>1</w:t>
      </w:r>
      <w:r w:rsidRPr="009802E0">
        <w:rPr>
          <w:rFonts w:asciiTheme="minorEastAsia" w:eastAsiaTheme="minorEastAsia" w:hAnsiTheme="minorEastAsia" w:hint="eastAsia"/>
        </w:rPr>
        <w:t>月</w:t>
      </w:r>
      <w:r w:rsidRPr="009802E0">
        <w:rPr>
          <w:rFonts w:asciiTheme="minorEastAsia" w:eastAsiaTheme="minorEastAsia" w:hAnsiTheme="minorEastAsia"/>
        </w:rPr>
        <w:t>1</w:t>
      </w:r>
      <w:r w:rsidRPr="009802E0">
        <w:rPr>
          <w:rFonts w:asciiTheme="minorEastAsia" w:eastAsiaTheme="minorEastAsia" w:hAnsiTheme="minorEastAsia" w:hint="eastAsia"/>
        </w:rPr>
        <w:t>日</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组织形式：股份有限公司</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注册资本：</w:t>
      </w:r>
      <w:r w:rsidR="004F2D3B" w:rsidRPr="009802E0">
        <w:rPr>
          <w:rFonts w:asciiTheme="minorEastAsia" w:eastAsiaTheme="minorEastAsia" w:hAnsiTheme="minorEastAsia" w:hint="eastAsia"/>
        </w:rPr>
        <w:t>人民币35,640,625.7089万元</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批准设立机关和设立文号：国务院《关于中国人民银行专门行使中央银行职能的决定》（国发[1983]146号）</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存续期间：持续经营</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bCs/>
        </w:rPr>
      </w:pPr>
      <w:bookmarkStart w:id="168" w:name="_Toc43301983"/>
      <w:r w:rsidRPr="009802E0">
        <w:rPr>
          <w:rFonts w:asciiTheme="minorEastAsia" w:eastAsiaTheme="minorEastAsia" w:hAnsiTheme="minorEastAsia" w:hint="eastAsia"/>
          <w:b w:val="0"/>
          <w:bCs/>
        </w:rPr>
        <w:t>（二）基金托管人对基金管理人的业务监督、核查</w:t>
      </w:r>
      <w:bookmarkEnd w:id="168"/>
    </w:p>
    <w:p w:rsidR="005E34F4" w:rsidRPr="009802E0" w:rsidRDefault="004E552C"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1、</w:t>
      </w:r>
      <w:r w:rsidR="005E34F4" w:rsidRPr="009802E0">
        <w:rPr>
          <w:rFonts w:asciiTheme="minorEastAsia" w:eastAsiaTheme="minorEastAsia" w:hAnsiTheme="minorEastAsia" w:hint="eastAsia"/>
        </w:rPr>
        <w:t>基金托管人对基金管理人的投资行为行使监督权</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(1)基金托管人根据有关法律法规的规定和《基金合同》的约定，对下述基金投资范围、投资对象进行监督。</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本基金将投资于以下金融工具：</w:t>
      </w:r>
    </w:p>
    <w:p w:rsidR="0067292B" w:rsidRPr="009802E0" w:rsidRDefault="0067292B"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本基金的投资范围为具有良好流动性的金融工具，包括国债、央行票据、地方政府债、金融债、企业债、短期融资券、公司债、可转换债券（含分离型可转换债券）、资产支持证</w:t>
      </w:r>
      <w:r w:rsidRPr="009802E0">
        <w:rPr>
          <w:rFonts w:asciiTheme="minorEastAsia" w:eastAsiaTheme="minorEastAsia" w:hAnsiTheme="minorEastAsia" w:hint="eastAsia"/>
        </w:rPr>
        <w:lastRenderedPageBreak/>
        <w:t>券、债券回购、银行存款等固定收益类品种、股票（包含中小板、创业板及其他经中国证监会</w:t>
      </w:r>
      <w:r w:rsidR="002B53EA" w:rsidRPr="009802E0">
        <w:rPr>
          <w:rFonts w:asciiTheme="minorEastAsia" w:eastAsiaTheme="minorEastAsia" w:hAnsiTheme="minorEastAsia" w:hint="eastAsia"/>
        </w:rPr>
        <w:t>核准</w:t>
      </w:r>
      <w:r w:rsidRPr="009802E0">
        <w:rPr>
          <w:rFonts w:asciiTheme="minorEastAsia" w:eastAsiaTheme="minorEastAsia" w:hAnsiTheme="minorEastAsia" w:hint="eastAsia"/>
        </w:rPr>
        <w:t>上市的股票）</w:t>
      </w:r>
      <w:r w:rsidR="002B53EA" w:rsidRPr="009802E0">
        <w:rPr>
          <w:rFonts w:asciiTheme="minorEastAsia" w:eastAsiaTheme="minorEastAsia" w:hAnsiTheme="minorEastAsia" w:hint="eastAsia"/>
        </w:rPr>
        <w:t>、权证</w:t>
      </w:r>
      <w:r w:rsidRPr="009802E0">
        <w:rPr>
          <w:rFonts w:asciiTheme="minorEastAsia" w:eastAsiaTheme="minorEastAsia" w:hAnsiTheme="minorEastAsia" w:hint="eastAsia"/>
        </w:rPr>
        <w:t>等权益类品种以及法律法规或中国证监会允许基金投资的其他金融工具，但须符合中国证监会相关规定。</w:t>
      </w:r>
    </w:p>
    <w:p w:rsidR="0067292B" w:rsidRPr="009802E0" w:rsidRDefault="0067292B"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如法律法规或监管机构以后允许基金投资其他品种，基金管理人</w:t>
      </w:r>
      <w:r w:rsidR="00DF5BED" w:rsidRPr="009802E0">
        <w:rPr>
          <w:rFonts w:asciiTheme="minorEastAsia" w:eastAsiaTheme="minorEastAsia" w:hAnsiTheme="minorEastAsia" w:hint="eastAsia"/>
        </w:rPr>
        <w:t>在履行适当程序</w:t>
      </w:r>
      <w:r w:rsidRPr="009802E0">
        <w:rPr>
          <w:rFonts w:asciiTheme="minorEastAsia" w:eastAsiaTheme="minorEastAsia" w:hAnsiTheme="minorEastAsia" w:hint="eastAsia"/>
        </w:rPr>
        <w:t>后，可以将其纳入投资范围，其投资比例遵循届时有效法律法规或相关规定。</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rPr>
        <w:t>本基金不得投资于</w:t>
      </w:r>
      <w:r w:rsidRPr="009802E0">
        <w:rPr>
          <w:rFonts w:asciiTheme="minorEastAsia" w:eastAsiaTheme="minorEastAsia" w:hAnsiTheme="minorEastAsia" w:hint="eastAsia"/>
        </w:rPr>
        <w:t>相关法律、法规、部门规章及《基金合同》禁止投资的投资工具</w:t>
      </w:r>
      <w:r w:rsidRPr="009802E0">
        <w:rPr>
          <w:rFonts w:asciiTheme="minorEastAsia" w:eastAsiaTheme="minorEastAsia" w:hAnsiTheme="minorEastAsia"/>
        </w:rPr>
        <w:t>。</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(2)基金托管人根据有关法律法规的规定及《基金合同》的约定对下述基金投融资比例进行监督：</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1）按法律法规的规定及《基金合同》的约定，本基金的投资资产配置比例为：</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本基金各类资产的投资比例范围为：固定收益类品种的比例不低于基金资产的80%；权益类品种的比例不高于基金资产的20%；现金以及到期日在一年以内的政府债券的比例合计不低于基金资产净值的</w:t>
      </w:r>
      <w:r w:rsidRPr="009802E0">
        <w:rPr>
          <w:rFonts w:asciiTheme="minorEastAsia" w:eastAsiaTheme="minorEastAsia" w:hAnsiTheme="minorEastAsia"/>
        </w:rPr>
        <w:t>5%</w:t>
      </w:r>
      <w:r w:rsidR="004006DB" w:rsidRPr="009802E0">
        <w:rPr>
          <w:rFonts w:asciiTheme="minorEastAsia" w:eastAsiaTheme="minorEastAsia" w:hAnsiTheme="minorEastAsia" w:hint="eastAsia"/>
        </w:rPr>
        <w:t>，现金不包括结算备付金、存出保证金、应收申购款等</w:t>
      </w:r>
      <w:r w:rsidRPr="009802E0">
        <w:rPr>
          <w:rFonts w:asciiTheme="minorEastAsia" w:eastAsiaTheme="minorEastAsia" w:hAnsiTheme="minorEastAsia" w:hint="eastAsia"/>
        </w:rPr>
        <w:t>。</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因基金规模或市场变化等因素导致投资组合不符合上述规定的，基金管理人应在合理的期限内调整基金的投资组合，以符合上述比例限定。法律法规另有规定时，从其规定。</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2）根据法律法规的规定及《基金合同》的约定，本基金投资组合遵循以下投资限制：</w:t>
      </w:r>
    </w:p>
    <w:p w:rsidR="00136150" w:rsidRPr="009802E0" w:rsidRDefault="00136150"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a、</w:t>
      </w:r>
      <w:r w:rsidRPr="009802E0">
        <w:rPr>
          <w:rFonts w:asciiTheme="minorEastAsia" w:eastAsiaTheme="minorEastAsia" w:hAnsiTheme="minorEastAsia"/>
        </w:rPr>
        <w:t>持有一家</w:t>
      </w:r>
      <w:r w:rsidRPr="009802E0">
        <w:rPr>
          <w:rFonts w:asciiTheme="minorEastAsia" w:eastAsiaTheme="minorEastAsia" w:hAnsiTheme="minorEastAsia" w:hint="eastAsia"/>
        </w:rPr>
        <w:t>上市</w:t>
      </w:r>
      <w:r w:rsidRPr="009802E0">
        <w:rPr>
          <w:rFonts w:asciiTheme="minorEastAsia" w:eastAsiaTheme="minorEastAsia" w:hAnsiTheme="minorEastAsia"/>
        </w:rPr>
        <w:t>公司的股票，</w:t>
      </w:r>
      <w:r w:rsidRPr="009802E0">
        <w:rPr>
          <w:rFonts w:asciiTheme="minorEastAsia" w:eastAsiaTheme="minorEastAsia" w:hAnsiTheme="minorEastAsia" w:hint="eastAsia"/>
        </w:rPr>
        <w:t>其市值</w:t>
      </w:r>
      <w:r w:rsidRPr="009802E0">
        <w:rPr>
          <w:rFonts w:asciiTheme="minorEastAsia" w:eastAsiaTheme="minorEastAsia" w:hAnsiTheme="minorEastAsia"/>
        </w:rPr>
        <w:t>不得超过基金资产净值的10%；</w:t>
      </w:r>
    </w:p>
    <w:p w:rsidR="00136150" w:rsidRPr="009802E0" w:rsidRDefault="00136150"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b、本基金进入全国银行间同业市场进行债券回购的资金余额不得超过基金资产净值的40%，本基金进入全国银行间同业市场进行债券回购的最长期限为1年，债券回购到期后不得展期</w:t>
      </w:r>
      <w:r w:rsidRPr="009802E0">
        <w:rPr>
          <w:rFonts w:asciiTheme="minorEastAsia" w:eastAsiaTheme="minorEastAsia" w:hAnsiTheme="minorEastAsia"/>
        </w:rPr>
        <w:t>；</w:t>
      </w:r>
    </w:p>
    <w:p w:rsidR="00136150" w:rsidRPr="009802E0" w:rsidRDefault="00136150"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c、本基金在任何交易日买入权证的总金额，不超过上一交易日基金资产净值的0.5%，基金持有的全部权证的市值不超过基金资产净值的3%。法律法规或中国证监会另有规定的，遵从其规定；</w:t>
      </w:r>
    </w:p>
    <w:p w:rsidR="00136150" w:rsidRPr="009802E0" w:rsidRDefault="00136150"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d、本基金持有现金以及到期日不超过1年的政府债券不低于基金资产净值的5%</w:t>
      </w:r>
      <w:r w:rsidR="004006DB" w:rsidRPr="009802E0">
        <w:rPr>
          <w:rFonts w:asciiTheme="minorEastAsia" w:eastAsiaTheme="minorEastAsia" w:hAnsiTheme="minorEastAsia" w:hint="eastAsia"/>
        </w:rPr>
        <w:t>，现金不包括结算备付金、存出保证金、应收申购款等</w:t>
      </w:r>
      <w:r w:rsidRPr="009802E0">
        <w:rPr>
          <w:rFonts w:asciiTheme="minorEastAsia" w:eastAsiaTheme="minorEastAsia" w:hAnsiTheme="minorEastAsia" w:hint="eastAsia"/>
        </w:rPr>
        <w:t>；</w:t>
      </w:r>
    </w:p>
    <w:p w:rsidR="00136150" w:rsidRPr="009802E0" w:rsidRDefault="00136150"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e、本基金投资于同一原始权益人的各类资产支持证券的比例，不得超过基金资产净值的10％；</w:t>
      </w:r>
    </w:p>
    <w:p w:rsidR="00136150" w:rsidRPr="009802E0" w:rsidRDefault="00136150"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f、本基金持有的全部资产支持证券，其市值不得超过基金资产净值的20%；</w:t>
      </w:r>
    </w:p>
    <w:p w:rsidR="00136150" w:rsidRPr="009802E0" w:rsidRDefault="00136150"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g、本基金持有的同一（指同一信用级别）资产支持证券的比例，不得超过该资产支持证券规模的10%；</w:t>
      </w:r>
    </w:p>
    <w:p w:rsidR="00136150" w:rsidRPr="009802E0" w:rsidRDefault="00136150"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h、本基金应投资于信用级别评级为BBB以上(含BBB)的资产支持证券。基金持有资产支持证券期间，如果其信用等级下降、不再符合投资标准，应在评级报告发布之日起3个月内予以全部卖出；</w:t>
      </w:r>
    </w:p>
    <w:p w:rsidR="00136150" w:rsidRPr="009802E0" w:rsidRDefault="00136150"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i、本基金财产参与股票发行申购，所申报的金额不得超过本基金的总资产，所申报的股票数量不得超过拟发行股票公司本次发行股票的总量；</w:t>
      </w:r>
    </w:p>
    <w:p w:rsidR="00136150" w:rsidRPr="009802E0" w:rsidRDefault="00136150"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lastRenderedPageBreak/>
        <w:t>j、一只基金持有单个流通受限证券，其市值不得超过基金资产净值的百分之三；一只基金持有的所有流通受限证券，其市值不得超过该基金资产净值的百分之十；因流通受限证券价格波动、基金规模变动等基金管理人无法控制的因素导致上述比例被动超标的，基金管理人应当停止主动买入流通受限证券或在流通受限期结束后卖出流通受限证券。经基金管理人和托管人协商，可对以上比例进行调整；</w:t>
      </w:r>
    </w:p>
    <w:p w:rsidR="004006DB" w:rsidRPr="009802E0" w:rsidRDefault="004006DB" w:rsidP="004006DB">
      <w:pPr>
        <w:pStyle w:val="af2"/>
        <w:autoSpaceDE w:val="0"/>
        <w:autoSpaceDN w:val="0"/>
        <w:adjustRightInd w:val="0"/>
        <w:snapToGrid w:val="0"/>
        <w:spacing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k、本基金管理人管理且由基金托管人托管的全部开放式基金持有一家上市公司发行的可流通股票，不得超过该上市公司可流通股票的15%；本基金管理人管理且由基金托管人托管的全部投资组合持有一家上市公司发行的可流通股票，不得超过该上市公司可流通股票的30%；</w:t>
      </w:r>
    </w:p>
    <w:p w:rsidR="004006DB" w:rsidRPr="009802E0" w:rsidRDefault="004006DB" w:rsidP="004006DB">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l、本基金主动投资于流动性受限资产的市值合计不得超过该基金资产净值的15%。</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如</w:t>
      </w:r>
      <w:r w:rsidRPr="009802E0">
        <w:rPr>
          <w:rFonts w:asciiTheme="minorEastAsia" w:eastAsiaTheme="minorEastAsia" w:hAnsiTheme="minorEastAsia"/>
        </w:rPr>
        <w:t>法律法规或监管部门</w:t>
      </w:r>
      <w:r w:rsidRPr="009802E0">
        <w:rPr>
          <w:rFonts w:asciiTheme="minorEastAsia" w:eastAsiaTheme="minorEastAsia" w:hAnsiTheme="minorEastAsia" w:hint="eastAsia"/>
        </w:rPr>
        <w:t>取消上述限制性规定，履行适当程序后，本基金不受上述规定的限制</w:t>
      </w:r>
      <w:r w:rsidRPr="009802E0">
        <w:rPr>
          <w:rFonts w:asciiTheme="minorEastAsia" w:eastAsiaTheme="minorEastAsia" w:hAnsiTheme="minorEastAsia"/>
        </w:rPr>
        <w:t>。</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基金托管人对基金的投资的监督和检查自本基金合同生效之日起开始。</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3）法规允许的基金投资比例调整期限</w:t>
      </w:r>
    </w:p>
    <w:p w:rsidR="005E34F4" w:rsidRPr="009802E0" w:rsidRDefault="004006DB"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除上述d、h、i、l以外，</w:t>
      </w:r>
      <w:r w:rsidR="005E34F4" w:rsidRPr="009802E0">
        <w:rPr>
          <w:rFonts w:asciiTheme="minorEastAsia" w:eastAsiaTheme="minorEastAsia" w:hAnsiTheme="minorEastAsia"/>
        </w:rPr>
        <w:t>由于</w:t>
      </w:r>
      <w:r w:rsidR="005E34F4" w:rsidRPr="009802E0">
        <w:rPr>
          <w:rFonts w:asciiTheme="minorEastAsia" w:eastAsiaTheme="minorEastAsia" w:hAnsiTheme="minorEastAsia" w:hint="eastAsia"/>
        </w:rPr>
        <w:t>证券市场波动、上市公司合并</w:t>
      </w:r>
      <w:r w:rsidR="005E34F4" w:rsidRPr="009802E0">
        <w:rPr>
          <w:rFonts w:asciiTheme="minorEastAsia" w:eastAsiaTheme="minorEastAsia" w:hAnsiTheme="minorEastAsia"/>
        </w:rPr>
        <w:t>或</w:t>
      </w:r>
      <w:r w:rsidR="005E34F4" w:rsidRPr="009802E0">
        <w:rPr>
          <w:rFonts w:asciiTheme="minorEastAsia" w:eastAsiaTheme="minorEastAsia" w:hAnsiTheme="minorEastAsia" w:hint="eastAsia"/>
        </w:rPr>
        <w:t>基金规模变动等基金管理人之外的原因</w:t>
      </w:r>
      <w:r w:rsidR="005E34F4" w:rsidRPr="009802E0">
        <w:rPr>
          <w:rFonts w:asciiTheme="minorEastAsia" w:eastAsiaTheme="minorEastAsia" w:hAnsiTheme="minorEastAsia"/>
        </w:rPr>
        <w:t>导致的投资组合</w:t>
      </w:r>
      <w:r w:rsidR="005E34F4" w:rsidRPr="009802E0">
        <w:rPr>
          <w:rFonts w:asciiTheme="minorEastAsia" w:eastAsiaTheme="minorEastAsia" w:hAnsiTheme="minorEastAsia" w:hint="eastAsia"/>
        </w:rPr>
        <w:t>不符合</w:t>
      </w:r>
      <w:r w:rsidR="005E34F4" w:rsidRPr="009802E0">
        <w:rPr>
          <w:rFonts w:asciiTheme="minorEastAsia" w:eastAsiaTheme="minorEastAsia" w:hAnsiTheme="minorEastAsia"/>
        </w:rPr>
        <w:t>上述约定的比例</w:t>
      </w:r>
      <w:r w:rsidR="005E34F4" w:rsidRPr="009802E0">
        <w:rPr>
          <w:rFonts w:asciiTheme="minorEastAsia" w:eastAsiaTheme="minorEastAsia" w:hAnsiTheme="minorEastAsia" w:hint="eastAsia"/>
        </w:rPr>
        <w:t>，</w:t>
      </w:r>
      <w:r w:rsidR="005E34F4" w:rsidRPr="009802E0">
        <w:rPr>
          <w:rFonts w:asciiTheme="minorEastAsia" w:eastAsiaTheme="minorEastAsia" w:hAnsiTheme="minorEastAsia"/>
        </w:rPr>
        <w:t>不在限制之内，但基金管理人应在</w:t>
      </w:r>
      <w:r w:rsidR="005E34F4" w:rsidRPr="009802E0">
        <w:rPr>
          <w:rFonts w:asciiTheme="minorEastAsia" w:eastAsiaTheme="minorEastAsia" w:hAnsiTheme="minorEastAsia" w:hint="eastAsia"/>
        </w:rPr>
        <w:t>10个交易日</w:t>
      </w:r>
      <w:r w:rsidR="005E34F4" w:rsidRPr="009802E0">
        <w:rPr>
          <w:rFonts w:asciiTheme="minorEastAsia" w:eastAsiaTheme="minorEastAsia" w:hAnsiTheme="minorEastAsia"/>
        </w:rPr>
        <w:t>内进行调整，以达到</w:t>
      </w:r>
      <w:r w:rsidR="005E34F4" w:rsidRPr="009802E0">
        <w:rPr>
          <w:rFonts w:asciiTheme="minorEastAsia" w:eastAsiaTheme="minorEastAsia" w:hAnsiTheme="minorEastAsia" w:hint="eastAsia"/>
        </w:rPr>
        <w:t>规定的投资比例限制要求。法律法规另有规定的从其规定。</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基金管理人应在出现可预见资产规模大幅变动的情况下，至少提前</w:t>
      </w:r>
      <w:r w:rsidRPr="009802E0">
        <w:rPr>
          <w:rFonts w:asciiTheme="minorEastAsia" w:eastAsiaTheme="minorEastAsia" w:hAnsiTheme="minorEastAsia"/>
        </w:rPr>
        <w:t>2</w:t>
      </w:r>
      <w:r w:rsidRPr="009802E0">
        <w:rPr>
          <w:rFonts w:asciiTheme="minorEastAsia" w:eastAsiaTheme="minorEastAsia" w:hAnsiTheme="minorEastAsia" w:hint="eastAsia"/>
        </w:rPr>
        <w:t>个工作日正式向基金托管人发函说明基金可能变动规模和公司应对措施，便于托管人实施交易监督。</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4）本基金可以按照国家的有关规定进行融资融券。</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5）相关法律、法规或部门规章规定的其他比例限制。</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(3)基金托管人根据有关法律法规的规定及《基金合同》的约定对下述基金投资禁止行为进行监督：</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根据法律法规的规定及《基金合同》的约定，本基金禁止从事下列行为：</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1）承销证券；</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2）向他人贷款或提供担保；</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3）</w:t>
      </w:r>
      <w:r w:rsidRPr="009802E0">
        <w:rPr>
          <w:rFonts w:asciiTheme="minorEastAsia" w:eastAsiaTheme="minorEastAsia" w:hAnsiTheme="minorEastAsia"/>
        </w:rPr>
        <w:t>从事承担无限责任的投资；</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4）买卖其他基金份额，但法律法规或中国证监会另有规定的除外；</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5）向基金管理人、基金托管人出资或者买卖其基金管理人、基金托管人发行的股票或债券；</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6）买卖与基金管理人、基金托管人有控股关系的股东或者与基金管理人、基金托管人有其他重大利害关系的公司发行的证券或者承销期内承销的证券；</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7）当时有效的法律法规、中国证监会及《基金合同》规定禁止从事的其他行为。</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如</w:t>
      </w:r>
      <w:r w:rsidRPr="009802E0">
        <w:rPr>
          <w:rFonts w:asciiTheme="minorEastAsia" w:eastAsiaTheme="minorEastAsia" w:hAnsiTheme="minorEastAsia"/>
        </w:rPr>
        <w:t>法律法规或监管部门</w:t>
      </w:r>
      <w:r w:rsidRPr="009802E0">
        <w:rPr>
          <w:rFonts w:asciiTheme="minorEastAsia" w:eastAsiaTheme="minorEastAsia" w:hAnsiTheme="minorEastAsia" w:hint="eastAsia"/>
        </w:rPr>
        <w:t>取消上述禁止性规定，基金管理人在履行适当程序后可不受上述</w:t>
      </w:r>
      <w:r w:rsidRPr="009802E0">
        <w:rPr>
          <w:rFonts w:asciiTheme="minorEastAsia" w:eastAsiaTheme="minorEastAsia" w:hAnsiTheme="minorEastAsia" w:hint="eastAsia"/>
        </w:rPr>
        <w:lastRenderedPageBreak/>
        <w:t>规定的限制</w:t>
      </w:r>
      <w:r w:rsidRPr="009802E0">
        <w:rPr>
          <w:rFonts w:asciiTheme="minorEastAsia" w:eastAsiaTheme="minorEastAsia" w:hAnsiTheme="minorEastAsia"/>
        </w:rPr>
        <w:t>。</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(4)基金托管人依据有关法律法规的规定和《基金合同》的约定对于基金关联投资限制进行监督。</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根据法律法规有关基金禁止从事的关联交易的规定，基金管理人和基金托管人应事先相互提供与本机构有控股关系的股东或与本机构有其他重大利害关系的公司名单及其更新，加盖公章并书面提交，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如果基金托管人在运作中严格遵循了监督流程，基金管理人仍违规进行关联交易，并造成基金资产损失的，由基金管理人承担责任。</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(5)基金托管人依据有关法律法规的规定和《基金合同》的约定对基金管理人参与银行间债券市场进行监督。</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1）基金托管人按以下方式对基金管理人参与银行间市场交易的交易对手资信风险控制措施进行监督。</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向基金托管人提出书面申请，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2）基金托管人对于基金管理人参与银行间市场交易的交易方式的控制</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时造成基金资产损失的，基金托管人不承担责任。</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lastRenderedPageBreak/>
        <w:t>3）基金管理人参与银行间市场交易的核心交易对手为中国工商银行、中国银行、中国建设银行、中国农业银行和交通银行，基金管理人与基金托管人协商一致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如果基金托管人在运作中严格遵循了上述监督流程，则对于由于交易对手资信风险引起的损失，不承担赔偿责任。</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(6)基金托管人对基金管理人选择存款银行进行监督。</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如果基金托管人在运作过程中遵循上述监督流程，则对于由于存款银行信用风险引起的损失，不承担赔偿责任。基金管理人与基金托管人协商一致后，可以根据当时的市场情况对于核心存款银行名单进行调整。</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(7)基金托管人对基金投资流通受限证券的监督</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1）基金投资流通受限证券，应遵守《关于规范基金投资非公开发行证券行为的紧急通知》、《关于基金投资非公开发行股票等流通受限证券有关问题的通知》等有关法律法规规定。</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2）流通受限证券，包括由《上市公司证券发行管理办法》规范的非公开发行股票、公开发行股票网下配售部分等在发行时明确一定期限锁定期的可交易证券</w:t>
      </w:r>
      <w:r w:rsidRPr="009802E0">
        <w:rPr>
          <w:rFonts w:asciiTheme="minorEastAsia" w:eastAsiaTheme="minorEastAsia" w:hAnsiTheme="minorEastAsia"/>
        </w:rPr>
        <w:t>,</w:t>
      </w:r>
      <w:r w:rsidRPr="009802E0">
        <w:rPr>
          <w:rFonts w:asciiTheme="minorEastAsia" w:eastAsiaTheme="minorEastAsia" w:hAnsiTheme="minorEastAsia" w:hint="eastAsia"/>
        </w:rPr>
        <w:t>不包括由于发布重大消息或其他原因而临时停牌的证券、已发行未上市证券、回购交易中的质押券等流通受限证券。</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lastRenderedPageBreak/>
        <w:t>5）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如基金管理人和基金托管人无法达成一致，应及时上报中国证监会请求解决。如果基金托管人</w:t>
      </w:r>
      <w:r w:rsidRPr="009802E0">
        <w:rPr>
          <w:rFonts w:asciiTheme="minorEastAsia" w:eastAsiaTheme="minorEastAsia" w:hAnsiTheme="minorEastAsia"/>
        </w:rPr>
        <w:t>切实履行监督职责</w:t>
      </w:r>
      <w:r w:rsidRPr="009802E0">
        <w:rPr>
          <w:rFonts w:asciiTheme="minorEastAsia" w:eastAsiaTheme="minorEastAsia" w:hAnsiTheme="minorEastAsia" w:hint="eastAsia"/>
        </w:rPr>
        <w:t>，则不承担任何责任。</w:t>
      </w:r>
      <w:r w:rsidRPr="009802E0">
        <w:rPr>
          <w:rFonts w:asciiTheme="minorEastAsia" w:eastAsiaTheme="minorEastAsia" w:hAnsiTheme="minorEastAsia"/>
        </w:rPr>
        <w:t>如果基金托管</w:t>
      </w:r>
      <w:r w:rsidRPr="009802E0">
        <w:rPr>
          <w:rFonts w:asciiTheme="minorEastAsia" w:eastAsiaTheme="minorEastAsia" w:hAnsiTheme="minorEastAsia" w:hint="eastAsia"/>
        </w:rPr>
        <w:t>人</w:t>
      </w:r>
      <w:r w:rsidRPr="009802E0">
        <w:rPr>
          <w:rFonts w:asciiTheme="minorEastAsia" w:eastAsiaTheme="minorEastAsia" w:hAnsiTheme="minorEastAsia"/>
        </w:rPr>
        <w:t>没有切实履行监督职责，导致基金出现风险，基金托管</w:t>
      </w:r>
      <w:r w:rsidRPr="009802E0">
        <w:rPr>
          <w:rFonts w:asciiTheme="minorEastAsia" w:eastAsiaTheme="minorEastAsia" w:hAnsiTheme="minorEastAsia" w:hint="eastAsia"/>
        </w:rPr>
        <w:t>人</w:t>
      </w:r>
      <w:r w:rsidRPr="009802E0">
        <w:rPr>
          <w:rFonts w:asciiTheme="minorEastAsia" w:eastAsiaTheme="minorEastAsia" w:hAnsiTheme="minorEastAsia"/>
        </w:rPr>
        <w:t>应承担连带责任。</w:t>
      </w:r>
    </w:p>
    <w:p w:rsidR="005E34F4" w:rsidRPr="009802E0" w:rsidRDefault="004E552C"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2、</w:t>
      </w:r>
      <w:r w:rsidR="005E34F4" w:rsidRPr="009802E0">
        <w:rPr>
          <w:rFonts w:asciiTheme="minorEastAsia" w:eastAsiaTheme="minorEastAsia" w:hAnsiTheme="minorEastAsia" w:hint="eastAsia"/>
        </w:rPr>
        <w:t>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5E34F4" w:rsidRPr="009802E0" w:rsidRDefault="004E552C"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3、</w:t>
      </w:r>
      <w:r w:rsidR="005E34F4" w:rsidRPr="009802E0">
        <w:rPr>
          <w:rFonts w:asciiTheme="minorEastAsia" w:eastAsiaTheme="minorEastAsia" w:hAnsiTheme="minorEastAsia" w:hint="eastAsia"/>
        </w:rPr>
        <w:t>基金托管人发现基金管理人的投资运作及其他运作违反《基金法》、《基金合同》、基金托管协议及其他有关规定时，应及时以书面形式通知基金管理人限期纠正，基金管理人收到通知后应在下一个工作日及时核对，并以书面形式向基金托管人发出回函，进行解释或举证。</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基金托管人发现基金管理人的投资指令违反关法律法规规定或者违反《基金合同》约定的，应当拒绝执行，立即通知基金管理人，并向中国证监会报告。</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基金托管人发现基金管理人依据交易程序已经生效的投资指令违反法律、行政法规和其他有关规定，或者违反《基金合同》约定的，应当立即通知基金管理人，并报告中国证监会。</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基金管理人应积极配合和协助基金托管人的监督和核查，必须在规定时间内答复基金托管人并改正，就基金托管人的疑义进行解释或举证，对基金托管人按照法律法规要求需向中国证监会报送基金监督报告的，基金管理人应积极配合提供相关数据资料和制度等。</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基金托管人发现基金管理人有重大违规行为，应立即报告中国证监会，同时通知基金管理人限期纠正。</w:t>
      </w:r>
    </w:p>
    <w:p w:rsidR="005E34F4" w:rsidRPr="009802E0" w:rsidRDefault="005E34F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bCs/>
        </w:rPr>
      </w:pPr>
      <w:bookmarkStart w:id="169" w:name="_Toc43301984"/>
      <w:r w:rsidRPr="009802E0">
        <w:rPr>
          <w:rFonts w:asciiTheme="minorEastAsia" w:eastAsiaTheme="minorEastAsia" w:hAnsiTheme="minorEastAsia" w:hint="eastAsia"/>
          <w:b w:val="0"/>
          <w:bCs/>
        </w:rPr>
        <w:t>（三）基金管理人对基金托管人的业务核查</w:t>
      </w:r>
      <w:bookmarkEnd w:id="169"/>
    </w:p>
    <w:p w:rsidR="00E76001" w:rsidRPr="009802E0" w:rsidRDefault="00E76001"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基金管理人对基金托管人履行托管职责情况进行核查，核查事项包括但不限于基金托管</w:t>
      </w:r>
      <w:r w:rsidRPr="009802E0">
        <w:rPr>
          <w:rFonts w:asciiTheme="minorEastAsia" w:eastAsiaTheme="minorEastAsia" w:hAnsiTheme="minorEastAsia" w:hint="eastAsia"/>
        </w:rPr>
        <w:lastRenderedPageBreak/>
        <w:t>人安全保管基金财产、开设基金财产的资金账户和证券账户、复核基金管理人计算的基金资产净值和基金份额净值、根据管理人指令办理清算交收、相关信息披露和监督基金投资运作等行为。</w:t>
      </w:r>
    </w:p>
    <w:p w:rsidR="00E76001" w:rsidRPr="009802E0" w:rsidRDefault="00E76001"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E76001" w:rsidRPr="009802E0" w:rsidRDefault="00E76001"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基金管理人发现基金托管人有重大违规行为，应立即报告中国证监会和银行业监督管理机构，同时通知基金托管人限期纠正。</w:t>
      </w:r>
    </w:p>
    <w:p w:rsidR="00E76001" w:rsidRPr="009802E0" w:rsidRDefault="00E76001"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基金托管人应积极配合基金管理人的核查行为，包括但不限于：提交相关资料以供基金管理人核查托管财产的完整性和真实性，在规定时间内答复基金管理人并改正。</w:t>
      </w:r>
    </w:p>
    <w:p w:rsidR="00E76001" w:rsidRPr="009802E0" w:rsidRDefault="00E76001"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bCs/>
        </w:rPr>
      </w:pPr>
      <w:bookmarkStart w:id="170" w:name="_Toc43301985"/>
      <w:r w:rsidRPr="009802E0">
        <w:rPr>
          <w:rFonts w:asciiTheme="minorEastAsia" w:eastAsiaTheme="minorEastAsia" w:hAnsiTheme="minorEastAsia" w:hint="eastAsia"/>
          <w:b w:val="0"/>
          <w:bCs/>
        </w:rPr>
        <w:t>（四）基金财产的保管</w:t>
      </w:r>
      <w:bookmarkEnd w:id="170"/>
    </w:p>
    <w:p w:rsidR="00C30CEE" w:rsidRPr="009802E0" w:rsidRDefault="004E552C"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bookmarkStart w:id="171" w:name="_Toc37159173"/>
      <w:r w:rsidRPr="009802E0">
        <w:rPr>
          <w:rFonts w:asciiTheme="minorEastAsia" w:eastAsiaTheme="minorEastAsia" w:hAnsiTheme="minorEastAsia" w:hint="eastAsia"/>
        </w:rPr>
        <w:t>1、</w:t>
      </w:r>
      <w:r w:rsidR="00C30CEE" w:rsidRPr="009802E0">
        <w:rPr>
          <w:rFonts w:asciiTheme="minorEastAsia" w:eastAsiaTheme="minorEastAsia" w:hAnsiTheme="minorEastAsia" w:hint="eastAsia"/>
        </w:rPr>
        <w:t>基金财产保管的原则</w:t>
      </w:r>
      <w:bookmarkEnd w:id="171"/>
    </w:p>
    <w:p w:rsidR="00C30CEE" w:rsidRPr="009802E0" w:rsidRDefault="00C30CEE"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(1)基金财产应独立于基金管理人、基金托管人的固有财产。</w:t>
      </w:r>
    </w:p>
    <w:p w:rsidR="00C30CEE" w:rsidRPr="009802E0" w:rsidRDefault="00C30CEE"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(2)基金托管人应安全保管基金财产。未经基金管理人的正当指令，不得自行运用、处分、分配基金的任何财产。</w:t>
      </w:r>
    </w:p>
    <w:p w:rsidR="00C30CEE" w:rsidRPr="009802E0" w:rsidRDefault="00C30CEE"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(3)基金托管人按照规定开设基金财产的资金账户和证券账户。</w:t>
      </w:r>
    </w:p>
    <w:p w:rsidR="00C30CEE" w:rsidRPr="009802E0" w:rsidRDefault="00C30CEE"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(4)基金托管人对所托管的不同基金财产分别设置账户，与基金托管人的其他业务和其他基金的托管业务实行严格的分账管理，确保基金财产的完整与独立。</w:t>
      </w:r>
    </w:p>
    <w:p w:rsidR="00C30CEE" w:rsidRPr="009802E0" w:rsidRDefault="00C30CEE"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C30CEE" w:rsidRPr="009802E0" w:rsidRDefault="004E552C"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bookmarkStart w:id="172" w:name="_Toc37159174"/>
      <w:r w:rsidRPr="009802E0">
        <w:rPr>
          <w:rFonts w:asciiTheme="minorEastAsia" w:eastAsiaTheme="minorEastAsia" w:hAnsiTheme="minorEastAsia" w:hint="eastAsia"/>
        </w:rPr>
        <w:t>2、</w:t>
      </w:r>
      <w:r w:rsidR="00C30CEE" w:rsidRPr="009802E0">
        <w:rPr>
          <w:rFonts w:asciiTheme="minorEastAsia" w:eastAsiaTheme="minorEastAsia" w:hAnsiTheme="minorEastAsia" w:hint="eastAsia"/>
        </w:rPr>
        <w:t>募集资金的验证</w:t>
      </w:r>
      <w:bookmarkEnd w:id="172"/>
    </w:p>
    <w:p w:rsidR="00C30CEE" w:rsidRPr="009802E0" w:rsidRDefault="00C30CEE"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基金募集期满或基金停止募集时，募集的基金份额总额、基金募集金额、基金份额持有人人数符合《基金法》、《运作办法》等有关规定后，基金管理人应将募集的属于本基金财产的全部资金划入基金托管人为基金开立的资产托管专户中，基金托管人在收到资金当日出具确认文件，同时由基金管理人聘请具有从事证券业务资格的会计师事务所进行验资，出具验</w:t>
      </w:r>
      <w:r w:rsidRPr="009802E0">
        <w:rPr>
          <w:rFonts w:asciiTheme="minorEastAsia" w:eastAsiaTheme="minorEastAsia" w:hAnsiTheme="minorEastAsia" w:hint="eastAsia"/>
        </w:rPr>
        <w:lastRenderedPageBreak/>
        <w:t>资报告，出具的验资报告应由参加验资的</w:t>
      </w:r>
      <w:r w:rsidRPr="009802E0">
        <w:rPr>
          <w:rFonts w:asciiTheme="minorEastAsia" w:eastAsiaTheme="minorEastAsia" w:hAnsiTheme="minorEastAsia"/>
        </w:rPr>
        <w:t>2</w:t>
      </w:r>
      <w:r w:rsidRPr="009802E0">
        <w:rPr>
          <w:rFonts w:asciiTheme="minorEastAsia" w:eastAsiaTheme="minorEastAsia" w:hAnsiTheme="minorEastAsia" w:hint="eastAsia"/>
        </w:rPr>
        <w:t>名以上（含</w:t>
      </w:r>
      <w:r w:rsidRPr="009802E0">
        <w:rPr>
          <w:rFonts w:asciiTheme="minorEastAsia" w:eastAsiaTheme="minorEastAsia" w:hAnsiTheme="minorEastAsia"/>
        </w:rPr>
        <w:t>2</w:t>
      </w:r>
      <w:r w:rsidRPr="009802E0">
        <w:rPr>
          <w:rFonts w:asciiTheme="minorEastAsia" w:eastAsiaTheme="minorEastAsia" w:hAnsiTheme="minorEastAsia" w:hint="eastAsia"/>
        </w:rPr>
        <w:t>名）中国注册会计师签字有效。</w:t>
      </w:r>
    </w:p>
    <w:p w:rsidR="00C30CEE" w:rsidRPr="009802E0" w:rsidRDefault="00C30CEE"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若基金募集期限届满，未能达到《基金合同》生效的条件，由基金管理人按规定办理退款事宜。</w:t>
      </w:r>
    </w:p>
    <w:p w:rsidR="00C30CEE" w:rsidRPr="009802E0" w:rsidRDefault="004E552C"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3、</w:t>
      </w:r>
      <w:r w:rsidR="00C30CEE" w:rsidRPr="009802E0">
        <w:rPr>
          <w:rFonts w:asciiTheme="minorEastAsia" w:eastAsiaTheme="minorEastAsia" w:hAnsiTheme="minorEastAsia" w:hint="eastAsia"/>
        </w:rPr>
        <w:t>基金的银行账户的开立和管理</w:t>
      </w:r>
    </w:p>
    <w:p w:rsidR="00C30CEE" w:rsidRPr="009802E0" w:rsidRDefault="00C30CEE"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基金托管人以基金托管人的名义在其营业机构开设资产托管专户，保管基金的银行存款。该资产托管专户是指基金托管人在集中托管模式下，代表所托管的基金与中国证券登记结算有限责任公司进行一级结算的专用账户。该账户的开设和管理由基金托管人承担。本基金的一切货币收支活动，均需通过基金托管人的资产托管专户进行。</w:t>
      </w:r>
    </w:p>
    <w:p w:rsidR="00C30CEE" w:rsidRPr="009802E0" w:rsidRDefault="00C30CEE"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C30CEE" w:rsidRPr="009802E0" w:rsidRDefault="00C30CEE"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资产托管专户的管理应符合</w:t>
      </w:r>
      <w:r w:rsidRPr="009802E0">
        <w:rPr>
          <w:rFonts w:asciiTheme="minorEastAsia" w:eastAsiaTheme="minorEastAsia" w:hAnsiTheme="minorEastAsia"/>
        </w:rPr>
        <w:t>《人民币银行结算账户管理办法》</w:t>
      </w:r>
      <w:r w:rsidRPr="009802E0">
        <w:rPr>
          <w:rFonts w:asciiTheme="minorEastAsia" w:eastAsiaTheme="minorEastAsia" w:hAnsiTheme="minorEastAsia" w:hint="eastAsia"/>
        </w:rPr>
        <w:t>、《现金管理暂行条例》、《人民币利率管理规定》、《利率管理暂行规定》、《支付结算办法》以及银行业监督管理机构的其他规定。</w:t>
      </w:r>
    </w:p>
    <w:p w:rsidR="00C30CEE" w:rsidRPr="009802E0" w:rsidRDefault="004E552C"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4、</w:t>
      </w:r>
      <w:r w:rsidR="00C30CEE" w:rsidRPr="009802E0">
        <w:rPr>
          <w:rFonts w:asciiTheme="minorEastAsia" w:eastAsiaTheme="minorEastAsia" w:hAnsiTheme="minorEastAsia" w:hint="eastAsia"/>
        </w:rPr>
        <w:t>基金证券账户与证券交易资金账户的开设和管理</w:t>
      </w:r>
    </w:p>
    <w:p w:rsidR="00C30CEE" w:rsidRPr="009802E0" w:rsidRDefault="00C30CEE"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基金托管人以基金托管人和本基金联名的方式在中国证券登记结算有限公司上海分公司/深圳分公司开设证券账户。</w:t>
      </w:r>
    </w:p>
    <w:p w:rsidR="00C30CEE" w:rsidRPr="009802E0" w:rsidRDefault="00C30CEE"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基金托管人</w:t>
      </w:r>
      <w:r w:rsidRPr="009802E0">
        <w:rPr>
          <w:rFonts w:asciiTheme="minorEastAsia" w:eastAsiaTheme="minorEastAsia" w:hAnsiTheme="minorEastAsia"/>
        </w:rPr>
        <w:t>以</w:t>
      </w:r>
      <w:r w:rsidRPr="009802E0">
        <w:rPr>
          <w:rFonts w:asciiTheme="minorEastAsia" w:eastAsiaTheme="minorEastAsia" w:hAnsiTheme="minorEastAsia" w:hint="eastAsia"/>
        </w:rPr>
        <w:t>基金托管人的名义在中国证券登记结算有限责任公司上海分公司/深圳分公司开立基金证券交易资金账户，用于证券清算。</w:t>
      </w:r>
    </w:p>
    <w:p w:rsidR="00C30CEE" w:rsidRPr="009802E0" w:rsidRDefault="00C30CEE"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C30CEE" w:rsidRPr="009802E0" w:rsidRDefault="004E552C"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5、</w:t>
      </w:r>
      <w:r w:rsidR="00C30CEE" w:rsidRPr="009802E0">
        <w:rPr>
          <w:rFonts w:asciiTheme="minorEastAsia" w:eastAsiaTheme="minorEastAsia" w:hAnsiTheme="minorEastAsia" w:hint="eastAsia"/>
        </w:rPr>
        <w:t>债券托管账户的开立和管理</w:t>
      </w:r>
    </w:p>
    <w:p w:rsidR="00C30CEE" w:rsidRPr="009802E0" w:rsidRDefault="00726D12"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(1)</w:t>
      </w:r>
      <w:r w:rsidR="00C30CEE" w:rsidRPr="009802E0">
        <w:rPr>
          <w:rFonts w:asciiTheme="minorEastAsia" w:eastAsiaTheme="minorEastAsia" w:hAnsiTheme="minorEastAsia" w:hint="eastAsia"/>
        </w:rPr>
        <w:t>《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C30CEE" w:rsidRPr="009802E0" w:rsidRDefault="00726D12"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(2)</w:t>
      </w:r>
      <w:r w:rsidR="00C30CEE" w:rsidRPr="009802E0">
        <w:rPr>
          <w:rFonts w:asciiTheme="minorEastAsia" w:eastAsiaTheme="minorEastAsia" w:hAnsiTheme="minorEastAsia" w:hint="eastAsia"/>
        </w:rPr>
        <w:t>基金管理人和基金托管人应一起负责为基金对外签订全国银行间国债市场回购主协议，正本由基金托管人保管，基金管理人保存副本。</w:t>
      </w:r>
    </w:p>
    <w:p w:rsidR="00C30CEE" w:rsidRPr="009802E0" w:rsidRDefault="004E552C"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6、</w:t>
      </w:r>
      <w:r w:rsidR="00C30CEE" w:rsidRPr="009802E0">
        <w:rPr>
          <w:rFonts w:asciiTheme="minorEastAsia" w:eastAsiaTheme="minorEastAsia" w:hAnsiTheme="minorEastAsia" w:hint="eastAsia"/>
        </w:rPr>
        <w:t>其他账户的开设和管理</w:t>
      </w:r>
    </w:p>
    <w:p w:rsidR="00C30CEE" w:rsidRPr="009802E0" w:rsidRDefault="00C30CEE"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C30CEE" w:rsidRPr="009802E0" w:rsidRDefault="004E552C"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lastRenderedPageBreak/>
        <w:t>7、</w:t>
      </w:r>
      <w:r w:rsidR="00C30CEE" w:rsidRPr="009802E0">
        <w:rPr>
          <w:rFonts w:asciiTheme="minorEastAsia" w:eastAsiaTheme="minorEastAsia" w:hAnsiTheme="minorEastAsia" w:hint="eastAsia"/>
        </w:rPr>
        <w:t>基金财产投资的有关实物证券、银行定期存款存单等有价凭证的保管</w:t>
      </w:r>
    </w:p>
    <w:p w:rsidR="00C30CEE" w:rsidRPr="009802E0" w:rsidRDefault="00C30CEE"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w:t>
      </w:r>
    </w:p>
    <w:p w:rsidR="00C30CEE" w:rsidRPr="009802E0" w:rsidRDefault="004E552C"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bookmarkStart w:id="173" w:name="_Toc37159180"/>
      <w:r w:rsidRPr="009802E0">
        <w:rPr>
          <w:rFonts w:asciiTheme="minorEastAsia" w:eastAsiaTheme="minorEastAsia" w:hAnsiTheme="minorEastAsia" w:hint="eastAsia"/>
        </w:rPr>
        <w:t>8、</w:t>
      </w:r>
      <w:r w:rsidR="00C30CEE" w:rsidRPr="009802E0">
        <w:rPr>
          <w:rFonts w:asciiTheme="minorEastAsia" w:eastAsiaTheme="minorEastAsia" w:hAnsiTheme="minorEastAsia" w:hint="eastAsia"/>
        </w:rPr>
        <w:t>与基金财产有关的重大合同的保管</w:t>
      </w:r>
      <w:bookmarkEnd w:id="173"/>
    </w:p>
    <w:p w:rsidR="00C30CEE" w:rsidRPr="009802E0" w:rsidRDefault="00C30CEE"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bCs/>
        </w:rPr>
      </w:pPr>
      <w:bookmarkStart w:id="174" w:name="_Toc43301986"/>
      <w:r w:rsidRPr="009802E0">
        <w:rPr>
          <w:rFonts w:asciiTheme="minorEastAsia" w:eastAsiaTheme="minorEastAsia" w:hAnsiTheme="minorEastAsia" w:hint="eastAsia"/>
          <w:b w:val="0"/>
          <w:bCs/>
        </w:rPr>
        <w:t>（五）基金资产净值计算与复核</w:t>
      </w:r>
      <w:bookmarkEnd w:id="174"/>
    </w:p>
    <w:p w:rsidR="001E7865" w:rsidRPr="009802E0" w:rsidRDefault="004E552C"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1、</w:t>
      </w:r>
      <w:r w:rsidR="001E7865" w:rsidRPr="009802E0">
        <w:rPr>
          <w:rFonts w:asciiTheme="minorEastAsia" w:eastAsiaTheme="minorEastAsia" w:hAnsiTheme="minorEastAsia" w:hint="eastAsia"/>
        </w:rPr>
        <w:t>基金资产净值的计算、复核的时间和程序</w:t>
      </w:r>
    </w:p>
    <w:p w:rsidR="001E7865" w:rsidRPr="009802E0" w:rsidRDefault="001E7865"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基金资产净值是指基金资产总值减去负债后的价值。基金份额净值是指计算日基金资产净值除以该计算日基金份额总份额后的数值。基金份额净值的计算保留到小数点后3位，小数点后第4位四舍五入，由此产生的误差计入基金财产。</w:t>
      </w:r>
    </w:p>
    <w:p w:rsidR="004F2D3B" w:rsidRPr="009802E0" w:rsidRDefault="004F2D3B"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基金管理人应每工作日对基金资产估值。估值原则应符合《基金合同》、《证券投资基金会计核算办法》及其他法律、法规的规定。用于基金信息披露的基金净值信息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1E7865" w:rsidRPr="009802E0" w:rsidRDefault="001E7865"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1E7865" w:rsidRPr="009802E0" w:rsidRDefault="001E7865"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基金资产净值计算和基金会计核算的义务由基金管理人承担。因此，就与本基金有关的会计问题，本基金的会计责任方是基金管理人，如经相关各方在平等基础上充分讨论后，仍无法达成一致的意见，按照基金管理人对基金资产净值的计算结果对外予以公布。</w:t>
      </w:r>
    </w:p>
    <w:p w:rsidR="00722233" w:rsidRPr="009802E0" w:rsidRDefault="004E552C" w:rsidP="00FE018D">
      <w:pPr>
        <w:adjustRightInd w:val="0"/>
        <w:snapToGrid w:val="0"/>
        <w:spacing w:line="360" w:lineRule="auto"/>
        <w:ind w:firstLine="420"/>
        <w:rPr>
          <w:rFonts w:asciiTheme="minorEastAsia" w:eastAsiaTheme="minorEastAsia" w:hAnsiTheme="minorEastAsia"/>
          <w:kern w:val="0"/>
          <w:szCs w:val="21"/>
        </w:rPr>
      </w:pPr>
      <w:r w:rsidRPr="009802E0">
        <w:rPr>
          <w:rFonts w:asciiTheme="minorEastAsia" w:eastAsiaTheme="minorEastAsia" w:hAnsiTheme="minorEastAsia" w:hint="eastAsia"/>
          <w:kern w:val="0"/>
          <w:szCs w:val="21"/>
        </w:rPr>
        <w:t>2、</w:t>
      </w:r>
      <w:r w:rsidR="000B4F55" w:rsidRPr="009802E0">
        <w:rPr>
          <w:rFonts w:asciiTheme="minorEastAsia" w:eastAsiaTheme="minorEastAsia" w:hAnsiTheme="minorEastAsia" w:hint="eastAsia"/>
          <w:kern w:val="0"/>
          <w:szCs w:val="21"/>
        </w:rPr>
        <w:t>估值差错处理</w:t>
      </w:r>
    </w:p>
    <w:p w:rsidR="00722233" w:rsidRPr="009802E0" w:rsidRDefault="00722233"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因基金估值错误给投资者造成损失的应先由基金管理人承担，基金管理人对不应由其承担的责任，有权向过错人追偿。</w:t>
      </w:r>
    </w:p>
    <w:p w:rsidR="00722233" w:rsidRPr="009802E0" w:rsidRDefault="00722233"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lastRenderedPageBreak/>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722233" w:rsidRPr="009802E0" w:rsidRDefault="00722233"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722233" w:rsidRPr="009802E0" w:rsidRDefault="00722233"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rsidR="00722233" w:rsidRPr="009802E0" w:rsidRDefault="00722233"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bCs/>
        </w:rPr>
      </w:pPr>
      <w:bookmarkStart w:id="175" w:name="_Toc43301987"/>
      <w:r w:rsidRPr="009802E0">
        <w:rPr>
          <w:rFonts w:asciiTheme="minorEastAsia" w:eastAsiaTheme="minorEastAsia" w:hAnsiTheme="minorEastAsia" w:hint="eastAsia"/>
          <w:b w:val="0"/>
          <w:bCs/>
        </w:rPr>
        <w:t>（六）基金份额持有人名册的保管</w:t>
      </w:r>
      <w:bookmarkEnd w:id="175"/>
    </w:p>
    <w:p w:rsidR="00707CBC" w:rsidRPr="009802E0" w:rsidRDefault="00707CBC"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rsidR="00707CBC" w:rsidRPr="009802E0" w:rsidRDefault="00707CBC"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基金份额持有人名册由基金的基金注册登记机构根据基金管理人的指令编制和保管，基金管理人和基金托管人应按照目前相关规则分别保管基金份额持有人名册。保管方式可以采用电子或文档的形式。保管期限为15年。</w:t>
      </w:r>
    </w:p>
    <w:p w:rsidR="00707CBC" w:rsidRPr="009802E0" w:rsidRDefault="00707CBC"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707CBC" w:rsidRPr="009802E0" w:rsidRDefault="00707CBC"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基金托管人以电子版形式妥善保管基金份额持有人名册，并定期刻成光盘备份，保存期限为15年。基金托管人不得将所保管的基金份额持有人名册用于基金托管业务以外的其他用途，并应遵守保密义务。</w:t>
      </w:r>
    </w:p>
    <w:p w:rsidR="00707CBC" w:rsidRPr="009802E0" w:rsidRDefault="00707CBC"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若基金管理人或基金托管人由于自身原因无法妥善保管基金份额持有人名册，应按有关</w:t>
      </w:r>
      <w:r w:rsidRPr="009802E0">
        <w:rPr>
          <w:rFonts w:asciiTheme="minorEastAsia" w:eastAsiaTheme="minorEastAsia" w:hAnsiTheme="minorEastAsia" w:hint="eastAsia"/>
        </w:rPr>
        <w:lastRenderedPageBreak/>
        <w:t>法规规定各自承担相应的责任。</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sz w:val="21"/>
        </w:rPr>
      </w:pPr>
      <w:bookmarkStart w:id="176" w:name="_Toc43301988"/>
      <w:r w:rsidRPr="009802E0">
        <w:rPr>
          <w:rFonts w:asciiTheme="minorEastAsia" w:eastAsiaTheme="minorEastAsia" w:hAnsiTheme="minorEastAsia" w:hint="eastAsia"/>
          <w:b w:val="0"/>
          <w:bCs/>
        </w:rPr>
        <w:t>（七）适用法律与争议解决方式</w:t>
      </w:r>
      <w:bookmarkEnd w:id="176"/>
    </w:p>
    <w:p w:rsidR="00707CBC" w:rsidRPr="009802E0" w:rsidRDefault="00707CBC"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707CBC" w:rsidRPr="009802E0" w:rsidRDefault="00707CBC"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争议处理期间，相关各方当事人应恪守基金管理人和基金托管人职责，继续忠实、勤勉、尽责地履行《基金合同》和托管协议规定的义务，维护基金份额持有人的合法权益。</w:t>
      </w:r>
    </w:p>
    <w:p w:rsidR="00707CBC" w:rsidRPr="009802E0" w:rsidRDefault="00707CBC"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本协议受中国法律管辖。</w:t>
      </w:r>
    </w:p>
    <w:p w:rsidR="00B43AC4" w:rsidRPr="009802E0" w:rsidRDefault="00B43AC4" w:rsidP="00FE018D">
      <w:pPr>
        <w:pStyle w:val="22"/>
        <w:adjustRightInd w:val="0"/>
        <w:snapToGrid w:val="0"/>
        <w:spacing w:beforeLines="0" w:afterLines="0" w:line="360" w:lineRule="auto"/>
        <w:ind w:firstLineChars="0" w:firstLine="0"/>
        <w:rPr>
          <w:rFonts w:asciiTheme="minorEastAsia" w:eastAsiaTheme="minorEastAsia" w:hAnsiTheme="minorEastAsia"/>
          <w:b w:val="0"/>
          <w:bCs/>
        </w:rPr>
      </w:pPr>
      <w:bookmarkStart w:id="177" w:name="_Toc43301989"/>
      <w:r w:rsidRPr="009802E0">
        <w:rPr>
          <w:rFonts w:asciiTheme="minorEastAsia" w:eastAsiaTheme="minorEastAsia" w:hAnsiTheme="minorEastAsia" w:hint="eastAsia"/>
          <w:b w:val="0"/>
          <w:bCs/>
        </w:rPr>
        <w:t>（八）托管协议的变更与终止</w:t>
      </w:r>
      <w:bookmarkEnd w:id="177"/>
    </w:p>
    <w:p w:rsidR="00707CBC" w:rsidRPr="009802E0" w:rsidRDefault="00707CBC"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1</w:t>
      </w:r>
      <w:r w:rsidR="004E552C" w:rsidRPr="009802E0">
        <w:rPr>
          <w:rFonts w:asciiTheme="minorEastAsia" w:eastAsiaTheme="minorEastAsia" w:hAnsiTheme="minorEastAsia" w:hint="eastAsia"/>
        </w:rPr>
        <w:t>、</w:t>
      </w:r>
      <w:r w:rsidRPr="009802E0">
        <w:rPr>
          <w:rFonts w:asciiTheme="minorEastAsia" w:eastAsiaTheme="minorEastAsia" w:hAnsiTheme="minorEastAsia" w:hint="eastAsia"/>
        </w:rPr>
        <w:t>托管协议的变更程序</w:t>
      </w:r>
    </w:p>
    <w:p w:rsidR="00707CBC" w:rsidRPr="009802E0" w:rsidRDefault="00707CBC"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本协议双方当事人经协商一致，可以对协议的内容进行变更。变更后的托管协议，其内容不得与《基金合同》的规定有任何冲突。</w:t>
      </w:r>
    </w:p>
    <w:p w:rsidR="00707CBC" w:rsidRPr="009802E0" w:rsidRDefault="00707CBC"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2</w:t>
      </w:r>
      <w:r w:rsidR="004E552C" w:rsidRPr="009802E0">
        <w:rPr>
          <w:rFonts w:asciiTheme="minorEastAsia" w:eastAsiaTheme="minorEastAsia" w:hAnsiTheme="minorEastAsia" w:hint="eastAsia"/>
        </w:rPr>
        <w:t>、</w:t>
      </w:r>
      <w:r w:rsidRPr="009802E0">
        <w:rPr>
          <w:rFonts w:asciiTheme="minorEastAsia" w:eastAsiaTheme="minorEastAsia" w:hAnsiTheme="minorEastAsia" w:hint="eastAsia"/>
        </w:rPr>
        <w:t>基金托管协议终止的情形</w:t>
      </w:r>
    </w:p>
    <w:p w:rsidR="00707CBC" w:rsidRPr="009802E0" w:rsidRDefault="00707CBC"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发生以下情况，本托管协议终止：</w:t>
      </w:r>
    </w:p>
    <w:p w:rsidR="00707CBC" w:rsidRPr="009802E0" w:rsidRDefault="00707CBC"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（1）《基金合同》终止；</w:t>
      </w:r>
    </w:p>
    <w:p w:rsidR="00707CBC" w:rsidRPr="009802E0" w:rsidRDefault="00707CBC"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（2）基金托管人解散、依法被撤销、破产或有其他基金托管人接管基金资产；</w:t>
      </w:r>
    </w:p>
    <w:p w:rsidR="00707CBC" w:rsidRPr="009802E0" w:rsidRDefault="00707CBC"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（3）基金管理人解散、依法被撤销、破产或有其他基金管理人接管基金管理权；</w:t>
      </w:r>
    </w:p>
    <w:p w:rsidR="00707CBC" w:rsidRPr="009802E0" w:rsidRDefault="00707CBC"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（4）发生法律法规或《基金合同》规定的终止事项。</w:t>
      </w:r>
    </w:p>
    <w:p w:rsidR="00B43AC4" w:rsidRPr="009802E0" w:rsidRDefault="00B43AC4" w:rsidP="00FE018D">
      <w:pPr>
        <w:adjustRightInd w:val="0"/>
        <w:snapToGrid w:val="0"/>
        <w:spacing w:line="360" w:lineRule="auto"/>
        <w:rPr>
          <w:rFonts w:asciiTheme="minorEastAsia" w:eastAsiaTheme="minorEastAsia" w:hAnsiTheme="minorEastAsia"/>
        </w:rPr>
      </w:pPr>
    </w:p>
    <w:p w:rsidR="00CB427F" w:rsidRPr="009802E0" w:rsidRDefault="00216A6D" w:rsidP="00FE018D">
      <w:pPr>
        <w:pStyle w:val="1"/>
        <w:pageBreakBefore/>
        <w:adjustRightInd w:val="0"/>
        <w:snapToGrid w:val="0"/>
        <w:spacing w:beforeLines="0" w:afterLines="0" w:line="360" w:lineRule="auto"/>
        <w:ind w:firstLine="602"/>
        <w:rPr>
          <w:rFonts w:asciiTheme="minorEastAsia" w:eastAsiaTheme="minorEastAsia" w:hAnsiTheme="minorEastAsia"/>
          <w:b/>
          <w:bCs/>
        </w:rPr>
      </w:pPr>
      <w:bookmarkStart w:id="178" w:name="_Toc43301990"/>
      <w:r w:rsidRPr="009802E0">
        <w:rPr>
          <w:rFonts w:asciiTheme="minorEastAsia" w:eastAsiaTheme="minorEastAsia" w:hAnsiTheme="minorEastAsia" w:hint="eastAsia"/>
          <w:b/>
          <w:sz w:val="30"/>
        </w:rPr>
        <w:lastRenderedPageBreak/>
        <w:t>二十三</w:t>
      </w:r>
      <w:r w:rsidR="00B43AC4" w:rsidRPr="009802E0">
        <w:rPr>
          <w:rFonts w:asciiTheme="minorEastAsia" w:eastAsiaTheme="minorEastAsia" w:hAnsiTheme="minorEastAsia" w:hint="eastAsia"/>
          <w:b/>
          <w:sz w:val="30"/>
        </w:rPr>
        <w:t>、对基金份额持有人的服务</w:t>
      </w:r>
      <w:bookmarkEnd w:id="178"/>
    </w:p>
    <w:p w:rsidR="008E5FA2" w:rsidRPr="009802E0" w:rsidRDefault="008E5FA2"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基金管理人承诺为基金份额持有人提供一系列的服务。以下是主要的服务内容，基金管理人根据基金份额持有人的需要和市场的变化，有权增加、修改这些服务项目：</w:t>
      </w:r>
    </w:p>
    <w:p w:rsidR="008E5FA2" w:rsidRPr="009802E0" w:rsidRDefault="008E5FA2" w:rsidP="00FE018D">
      <w:pPr>
        <w:pStyle w:val="22"/>
        <w:adjustRightInd w:val="0"/>
        <w:snapToGrid w:val="0"/>
        <w:spacing w:beforeLines="0" w:afterLines="0" w:line="360" w:lineRule="auto"/>
        <w:ind w:firstLineChars="0" w:firstLine="0"/>
        <w:rPr>
          <w:rFonts w:asciiTheme="minorEastAsia" w:eastAsiaTheme="minorEastAsia" w:hAnsiTheme="minorEastAsia"/>
          <w:b w:val="0"/>
          <w:bCs/>
        </w:rPr>
      </w:pPr>
      <w:bookmarkStart w:id="179" w:name="_Toc43301991"/>
      <w:r w:rsidRPr="009802E0">
        <w:rPr>
          <w:rFonts w:asciiTheme="minorEastAsia" w:eastAsiaTheme="minorEastAsia" w:hAnsiTheme="minorEastAsia" w:hint="eastAsia"/>
          <w:b w:val="0"/>
          <w:bCs/>
        </w:rPr>
        <w:t>（一）基金份额持有人投资交易确认服务</w:t>
      </w:r>
      <w:bookmarkEnd w:id="179"/>
    </w:p>
    <w:p w:rsidR="00DE13F2" w:rsidRPr="009802E0" w:rsidRDefault="008E5FA2" w:rsidP="00FE018D">
      <w:pPr>
        <w:pStyle w:val="af2"/>
        <w:autoSpaceDE w:val="0"/>
        <w:autoSpaceDN w:val="0"/>
        <w:adjustRightInd w:val="0"/>
        <w:snapToGrid w:val="0"/>
        <w:spacing w:after="0" w:line="360" w:lineRule="auto"/>
        <w:ind w:firstLineChars="0"/>
        <w:rPr>
          <w:rFonts w:asciiTheme="minorEastAsia" w:eastAsiaTheme="minorEastAsia" w:hAnsiTheme="minorEastAsia"/>
        </w:rPr>
      </w:pPr>
      <w:r w:rsidRPr="009802E0">
        <w:rPr>
          <w:rFonts w:asciiTheme="minorEastAsia" w:eastAsiaTheme="minorEastAsia" w:hAnsiTheme="minorEastAsia" w:hint="eastAsia"/>
        </w:rPr>
        <w:t>基金注册登记机构保留基金份额持有人名册上列明的所有基金份额持有人的基金交易记录。</w:t>
      </w:r>
    </w:p>
    <w:p w:rsidR="008E5FA2" w:rsidRPr="009802E0" w:rsidRDefault="008E5FA2" w:rsidP="00FE018D">
      <w:pPr>
        <w:pStyle w:val="af2"/>
        <w:autoSpaceDE w:val="0"/>
        <w:autoSpaceDN w:val="0"/>
        <w:adjustRightInd w:val="0"/>
        <w:snapToGrid w:val="0"/>
        <w:spacing w:after="0" w:line="360" w:lineRule="auto"/>
        <w:ind w:firstLineChars="0"/>
        <w:rPr>
          <w:rFonts w:asciiTheme="minorEastAsia" w:eastAsiaTheme="minorEastAsia" w:hAnsiTheme="minorEastAsia"/>
        </w:rPr>
      </w:pPr>
      <w:r w:rsidRPr="009802E0">
        <w:rPr>
          <w:rFonts w:asciiTheme="minorEastAsia" w:eastAsiaTheme="minorEastAsia" w:hAnsiTheme="minorEastAsia" w:hint="eastAsia"/>
        </w:rPr>
        <w:t>基金管理人直销</w:t>
      </w:r>
      <w:r w:rsidR="00172C6A" w:rsidRPr="009802E0">
        <w:rPr>
          <w:rFonts w:asciiTheme="minorEastAsia" w:eastAsiaTheme="minorEastAsia" w:hAnsiTheme="minorEastAsia" w:hint="eastAsia"/>
        </w:rPr>
        <w:t>网点</w:t>
      </w:r>
      <w:r w:rsidRPr="009802E0">
        <w:rPr>
          <w:rFonts w:asciiTheme="minorEastAsia" w:eastAsiaTheme="minorEastAsia" w:hAnsiTheme="minorEastAsia" w:hint="eastAsia"/>
        </w:rPr>
        <w:t>应根据在基金管理人直销</w:t>
      </w:r>
      <w:r w:rsidR="00172C6A" w:rsidRPr="009802E0">
        <w:rPr>
          <w:rFonts w:asciiTheme="minorEastAsia" w:eastAsiaTheme="minorEastAsia" w:hAnsiTheme="minorEastAsia" w:hint="eastAsia"/>
        </w:rPr>
        <w:t>网点</w:t>
      </w:r>
      <w:r w:rsidRPr="009802E0">
        <w:rPr>
          <w:rFonts w:asciiTheme="minorEastAsia" w:eastAsiaTheme="minorEastAsia" w:hAnsiTheme="minorEastAsia" w:hint="eastAsia"/>
        </w:rPr>
        <w:t>进行交易的投资者的要求</w:t>
      </w:r>
      <w:r w:rsidR="00172C6A" w:rsidRPr="009802E0">
        <w:rPr>
          <w:rFonts w:asciiTheme="minorEastAsia" w:eastAsiaTheme="minorEastAsia" w:hAnsiTheme="minorEastAsia" w:hint="eastAsia"/>
        </w:rPr>
        <w:t>提供</w:t>
      </w:r>
      <w:r w:rsidRPr="009802E0">
        <w:rPr>
          <w:rFonts w:asciiTheme="minorEastAsia" w:eastAsiaTheme="minorEastAsia" w:hAnsiTheme="minorEastAsia" w:hint="eastAsia"/>
        </w:rPr>
        <w:t>成交确认单。基金</w:t>
      </w:r>
      <w:r w:rsidR="007909DB" w:rsidRPr="009802E0">
        <w:rPr>
          <w:rFonts w:asciiTheme="minorEastAsia" w:eastAsiaTheme="minorEastAsia" w:hAnsiTheme="minorEastAsia" w:hint="eastAsia"/>
        </w:rPr>
        <w:t>非直销销售机构应根据在销售</w:t>
      </w:r>
      <w:r w:rsidRPr="009802E0">
        <w:rPr>
          <w:rFonts w:asciiTheme="minorEastAsia" w:eastAsiaTheme="minorEastAsia" w:hAnsiTheme="minorEastAsia" w:hint="eastAsia"/>
        </w:rPr>
        <w:t>网点进行交易的投资者的要求</w:t>
      </w:r>
      <w:r w:rsidR="00172C6A" w:rsidRPr="009802E0">
        <w:rPr>
          <w:rFonts w:asciiTheme="minorEastAsia" w:eastAsiaTheme="minorEastAsia" w:hAnsiTheme="minorEastAsia" w:hint="eastAsia"/>
        </w:rPr>
        <w:t>提供</w:t>
      </w:r>
      <w:r w:rsidRPr="009802E0">
        <w:rPr>
          <w:rFonts w:asciiTheme="minorEastAsia" w:eastAsiaTheme="minorEastAsia" w:hAnsiTheme="minorEastAsia" w:hint="eastAsia"/>
        </w:rPr>
        <w:t>成交确认单。</w:t>
      </w:r>
    </w:p>
    <w:p w:rsidR="008E5FA2" w:rsidRPr="009802E0" w:rsidRDefault="008E5FA2" w:rsidP="00FE018D">
      <w:pPr>
        <w:pStyle w:val="22"/>
        <w:adjustRightInd w:val="0"/>
        <w:snapToGrid w:val="0"/>
        <w:spacing w:beforeLines="0" w:afterLines="0" w:line="360" w:lineRule="auto"/>
        <w:ind w:firstLineChars="0" w:firstLine="0"/>
        <w:rPr>
          <w:rFonts w:asciiTheme="minorEastAsia" w:eastAsiaTheme="minorEastAsia" w:hAnsiTheme="minorEastAsia"/>
          <w:b w:val="0"/>
          <w:bCs/>
        </w:rPr>
      </w:pPr>
      <w:bookmarkStart w:id="180" w:name="_Toc43301992"/>
      <w:r w:rsidRPr="009802E0">
        <w:rPr>
          <w:rFonts w:asciiTheme="minorEastAsia" w:eastAsiaTheme="minorEastAsia" w:hAnsiTheme="minorEastAsia" w:hint="eastAsia"/>
          <w:b w:val="0"/>
          <w:bCs/>
        </w:rPr>
        <w:t>（二）基金份额持有人交易记录查询服务</w:t>
      </w:r>
      <w:bookmarkEnd w:id="180"/>
    </w:p>
    <w:p w:rsidR="008E5FA2" w:rsidRPr="009802E0" w:rsidRDefault="008E5FA2"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本基金份额持有人可通过基金管理人的客户服务中心查询历史交易记录。</w:t>
      </w:r>
    </w:p>
    <w:p w:rsidR="005D63B7" w:rsidRPr="009802E0" w:rsidRDefault="00E462E2" w:rsidP="00FE018D">
      <w:pPr>
        <w:pStyle w:val="22"/>
        <w:adjustRightInd w:val="0"/>
        <w:snapToGrid w:val="0"/>
        <w:spacing w:beforeLines="0" w:afterLines="0" w:line="360" w:lineRule="auto"/>
        <w:ind w:firstLineChars="0" w:firstLine="0"/>
        <w:rPr>
          <w:rFonts w:asciiTheme="minorEastAsia" w:eastAsiaTheme="minorEastAsia" w:hAnsiTheme="minorEastAsia"/>
          <w:b w:val="0"/>
          <w:bCs/>
        </w:rPr>
      </w:pPr>
      <w:bookmarkStart w:id="181" w:name="_Toc43301993"/>
      <w:r w:rsidRPr="009802E0">
        <w:rPr>
          <w:rFonts w:asciiTheme="minorEastAsia" w:eastAsiaTheme="minorEastAsia" w:hAnsiTheme="minorEastAsia" w:hint="eastAsia"/>
          <w:b w:val="0"/>
          <w:bCs/>
        </w:rPr>
        <w:t>（三）</w:t>
      </w:r>
      <w:r w:rsidR="005D63B7" w:rsidRPr="009802E0">
        <w:rPr>
          <w:rFonts w:asciiTheme="minorEastAsia" w:eastAsiaTheme="minorEastAsia" w:hAnsiTheme="minorEastAsia" w:hint="eastAsia"/>
          <w:b w:val="0"/>
          <w:bCs/>
        </w:rPr>
        <w:t>基金份额持有人的对账单服务</w:t>
      </w:r>
      <w:bookmarkEnd w:id="181"/>
    </w:p>
    <w:p w:rsidR="005D63B7" w:rsidRPr="009802E0" w:rsidRDefault="005D63B7"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1</w:t>
      </w:r>
      <w:r w:rsidR="004E552C" w:rsidRPr="009802E0">
        <w:rPr>
          <w:rFonts w:asciiTheme="minorEastAsia" w:eastAsiaTheme="minorEastAsia" w:hAnsiTheme="minorEastAsia" w:hint="eastAsia"/>
        </w:rPr>
        <w:t>、</w:t>
      </w:r>
      <w:r w:rsidRPr="009802E0">
        <w:rPr>
          <w:rFonts w:asciiTheme="minorEastAsia" w:eastAsiaTheme="minorEastAsia" w:hAnsiTheme="minorEastAsia" w:hint="eastAsia"/>
        </w:rPr>
        <w:t>基金份额持有人可登录本公司网站（http://www.efunds.com.cn）查阅对账单。</w:t>
      </w:r>
    </w:p>
    <w:p w:rsidR="005D63B7" w:rsidRPr="009802E0" w:rsidRDefault="005D63B7"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2</w:t>
      </w:r>
      <w:r w:rsidR="004E552C" w:rsidRPr="009802E0">
        <w:rPr>
          <w:rFonts w:asciiTheme="minorEastAsia" w:eastAsiaTheme="minorEastAsia" w:hAnsiTheme="minorEastAsia" w:hint="eastAsia"/>
        </w:rPr>
        <w:t>、</w:t>
      </w:r>
      <w:r w:rsidRPr="009802E0">
        <w:rPr>
          <w:rFonts w:asciiTheme="minorEastAsia" w:eastAsiaTheme="minorEastAsia" w:hAnsiTheme="minorEastAsia" w:hint="eastAsia"/>
        </w:rPr>
        <w:t>基金份额持有人也可向本公司定制电子对账单。</w:t>
      </w:r>
    </w:p>
    <w:p w:rsidR="005D63B7" w:rsidRPr="009802E0" w:rsidRDefault="005D63B7" w:rsidP="00FE018D">
      <w:pPr>
        <w:adjustRightInd w:val="0"/>
        <w:snapToGrid w:val="0"/>
        <w:spacing w:line="360" w:lineRule="auto"/>
        <w:ind w:firstLineChars="200" w:firstLine="420"/>
        <w:rPr>
          <w:rFonts w:asciiTheme="minorEastAsia" w:eastAsiaTheme="minorEastAsia" w:hAnsiTheme="minorEastAsia"/>
        </w:rPr>
      </w:pPr>
      <w:r w:rsidRPr="009802E0">
        <w:rPr>
          <w:rFonts w:asciiTheme="minorEastAsia" w:eastAsiaTheme="minorEastAsia" w:hAnsiTheme="minorEastAsia" w:hint="eastAsia"/>
        </w:rPr>
        <w:t>具体查阅和定制账单的方法可参见本公司网站或拨打客服热线咨询。</w:t>
      </w:r>
    </w:p>
    <w:p w:rsidR="008E5FA2" w:rsidRPr="009802E0" w:rsidRDefault="008E5FA2" w:rsidP="00FE018D">
      <w:pPr>
        <w:pStyle w:val="22"/>
        <w:adjustRightInd w:val="0"/>
        <w:snapToGrid w:val="0"/>
        <w:spacing w:beforeLines="0" w:afterLines="0" w:line="360" w:lineRule="auto"/>
        <w:ind w:firstLineChars="0" w:firstLine="0"/>
        <w:rPr>
          <w:rFonts w:asciiTheme="minorEastAsia" w:eastAsiaTheme="minorEastAsia" w:hAnsiTheme="minorEastAsia"/>
          <w:b w:val="0"/>
          <w:bCs/>
        </w:rPr>
      </w:pPr>
      <w:bookmarkStart w:id="182" w:name="_Toc43301994"/>
      <w:r w:rsidRPr="009802E0">
        <w:rPr>
          <w:rFonts w:asciiTheme="minorEastAsia" w:eastAsiaTheme="minorEastAsia" w:hAnsiTheme="minorEastAsia" w:hint="eastAsia"/>
          <w:b w:val="0"/>
          <w:bCs/>
        </w:rPr>
        <w:t>（</w:t>
      </w:r>
      <w:r w:rsidR="006C2603" w:rsidRPr="009802E0">
        <w:rPr>
          <w:rFonts w:asciiTheme="minorEastAsia" w:eastAsiaTheme="minorEastAsia" w:hAnsiTheme="minorEastAsia" w:hint="eastAsia"/>
          <w:b w:val="0"/>
          <w:bCs/>
        </w:rPr>
        <w:t>四</w:t>
      </w:r>
      <w:r w:rsidRPr="009802E0">
        <w:rPr>
          <w:rFonts w:asciiTheme="minorEastAsia" w:eastAsiaTheme="minorEastAsia" w:hAnsiTheme="minorEastAsia" w:hint="eastAsia"/>
          <w:b w:val="0"/>
          <w:bCs/>
        </w:rPr>
        <w:t>）定期定额投资计划</w:t>
      </w:r>
      <w:bookmarkEnd w:id="182"/>
    </w:p>
    <w:p w:rsidR="008E5FA2" w:rsidRPr="009802E0" w:rsidRDefault="00172C6A"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szCs w:val="21"/>
        </w:rPr>
        <w:t>基金管理人可利用</w:t>
      </w:r>
      <w:r w:rsidR="007909DB" w:rsidRPr="009802E0">
        <w:rPr>
          <w:rFonts w:asciiTheme="minorEastAsia" w:eastAsiaTheme="minorEastAsia" w:hAnsiTheme="minorEastAsia" w:hint="eastAsia"/>
        </w:rPr>
        <w:t>非直销销售机构</w:t>
      </w:r>
      <w:r w:rsidRPr="009802E0">
        <w:rPr>
          <w:rFonts w:asciiTheme="minorEastAsia" w:eastAsiaTheme="minorEastAsia" w:hAnsiTheme="minorEastAsia" w:hint="eastAsia"/>
          <w:szCs w:val="21"/>
        </w:rPr>
        <w:t>网点和本公司网上交易系统为投资者提供定期定额投资的服务（本公司网上交易系统的定期定额投资服务目前仅对个人投资者开通）。</w:t>
      </w:r>
      <w:r w:rsidR="008E5FA2" w:rsidRPr="009802E0">
        <w:rPr>
          <w:rFonts w:asciiTheme="minorEastAsia" w:eastAsiaTheme="minorEastAsia" w:hAnsiTheme="minorEastAsia" w:hint="eastAsia"/>
        </w:rPr>
        <w:t>通过定期定额投资计划，投资者可以通过固定的渠道，定期定额申购基金份额，具体实施方法见有关公告。</w:t>
      </w:r>
    </w:p>
    <w:p w:rsidR="008E5FA2" w:rsidRPr="009802E0" w:rsidRDefault="008E5FA2" w:rsidP="00FE018D">
      <w:pPr>
        <w:pStyle w:val="22"/>
        <w:adjustRightInd w:val="0"/>
        <w:snapToGrid w:val="0"/>
        <w:spacing w:beforeLines="0" w:afterLines="0" w:line="360" w:lineRule="auto"/>
        <w:ind w:firstLineChars="0" w:firstLine="0"/>
        <w:rPr>
          <w:rFonts w:asciiTheme="minorEastAsia" w:eastAsiaTheme="minorEastAsia" w:hAnsiTheme="minorEastAsia"/>
          <w:b w:val="0"/>
          <w:bCs/>
        </w:rPr>
      </w:pPr>
      <w:bookmarkStart w:id="183" w:name="_Toc43301995"/>
      <w:r w:rsidRPr="009802E0">
        <w:rPr>
          <w:rFonts w:asciiTheme="minorEastAsia" w:eastAsiaTheme="minorEastAsia" w:hAnsiTheme="minorEastAsia" w:hint="eastAsia"/>
          <w:b w:val="0"/>
          <w:bCs/>
        </w:rPr>
        <w:t>（</w:t>
      </w:r>
      <w:r w:rsidR="006C2603" w:rsidRPr="009802E0">
        <w:rPr>
          <w:rFonts w:asciiTheme="minorEastAsia" w:eastAsiaTheme="minorEastAsia" w:hAnsiTheme="minorEastAsia" w:hint="eastAsia"/>
          <w:b w:val="0"/>
          <w:bCs/>
        </w:rPr>
        <w:t>五</w:t>
      </w:r>
      <w:r w:rsidRPr="009802E0">
        <w:rPr>
          <w:rFonts w:asciiTheme="minorEastAsia" w:eastAsiaTheme="minorEastAsia" w:hAnsiTheme="minorEastAsia" w:hint="eastAsia"/>
          <w:b w:val="0"/>
          <w:bCs/>
        </w:rPr>
        <w:t>）资讯服务</w:t>
      </w:r>
      <w:bookmarkEnd w:id="183"/>
    </w:p>
    <w:p w:rsidR="00B43AC4" w:rsidRPr="009802E0" w:rsidRDefault="00B43AC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1</w:t>
      </w:r>
      <w:r w:rsidR="004E552C" w:rsidRPr="009802E0">
        <w:rPr>
          <w:rFonts w:asciiTheme="minorEastAsia" w:eastAsiaTheme="minorEastAsia" w:hAnsiTheme="minorEastAsia" w:hint="eastAsia"/>
        </w:rPr>
        <w:t>、</w:t>
      </w:r>
      <w:r w:rsidRPr="009802E0">
        <w:rPr>
          <w:rFonts w:asciiTheme="minorEastAsia" w:eastAsiaTheme="minorEastAsia" w:hAnsiTheme="minorEastAsia" w:hint="eastAsia"/>
        </w:rPr>
        <w:t>客户服务电话</w:t>
      </w:r>
    </w:p>
    <w:p w:rsidR="007909DB" w:rsidRPr="009802E0" w:rsidRDefault="007909DB"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投资者如果想了解申购与赎回的交易情况、基金账户余额、基金产品与服务等信息，</w:t>
      </w:r>
      <w:r w:rsidR="00EC6D01" w:rsidRPr="009802E0">
        <w:rPr>
          <w:rFonts w:asciiTheme="minorEastAsia" w:eastAsiaTheme="minorEastAsia" w:hAnsiTheme="minorEastAsia" w:hint="eastAsia"/>
          <w:kern w:val="0"/>
        </w:rPr>
        <w:t>或反馈投资过程中需要投诉与建议的情况，</w:t>
      </w:r>
      <w:r w:rsidRPr="009802E0">
        <w:rPr>
          <w:rFonts w:asciiTheme="minorEastAsia" w:eastAsiaTheme="minorEastAsia" w:hAnsiTheme="minorEastAsia" w:hint="eastAsia"/>
        </w:rPr>
        <w:t>可拨打如下电话：4008818088（免长途话费）。</w:t>
      </w:r>
      <w:r w:rsidR="00EC6D01" w:rsidRPr="009802E0">
        <w:rPr>
          <w:rFonts w:asciiTheme="minorEastAsia" w:eastAsiaTheme="minorEastAsia" w:hAnsiTheme="minorEastAsia" w:hint="eastAsia"/>
          <w:kern w:val="0"/>
          <w:szCs w:val="21"/>
        </w:rPr>
        <w:t>投资者如果认为自己不能准确理解本基金《招募说明书》、《基金合同》的具体内容，也可拨打上述电话详询。</w:t>
      </w:r>
    </w:p>
    <w:p w:rsidR="00B43AC4" w:rsidRPr="009802E0" w:rsidRDefault="00B43AC4" w:rsidP="009C0E15">
      <w:pPr>
        <w:adjustRightInd w:val="0"/>
        <w:snapToGrid w:val="0"/>
        <w:spacing w:line="360" w:lineRule="auto"/>
        <w:ind w:firstLine="420"/>
        <w:rPr>
          <w:rFonts w:asciiTheme="minorEastAsia" w:eastAsiaTheme="minorEastAsia" w:hAnsiTheme="minorEastAsia"/>
        </w:rPr>
      </w:pPr>
      <w:r w:rsidRPr="009802E0">
        <w:rPr>
          <w:rFonts w:asciiTheme="minorEastAsia" w:eastAsiaTheme="minorEastAsia" w:hAnsiTheme="minorEastAsia" w:hint="eastAsia"/>
        </w:rPr>
        <w:t>2</w:t>
      </w:r>
      <w:r w:rsidR="004E552C" w:rsidRPr="009802E0">
        <w:rPr>
          <w:rFonts w:asciiTheme="minorEastAsia" w:eastAsiaTheme="minorEastAsia" w:hAnsiTheme="minorEastAsia" w:hint="eastAsia"/>
        </w:rPr>
        <w:t>、</w:t>
      </w:r>
      <w:r w:rsidRPr="009802E0">
        <w:rPr>
          <w:rFonts w:asciiTheme="minorEastAsia" w:eastAsiaTheme="minorEastAsia" w:hAnsiTheme="minorEastAsia" w:hint="eastAsia"/>
          <w:kern w:val="0"/>
          <w:szCs w:val="21"/>
        </w:rPr>
        <w:t>互联网站及电子信箱</w:t>
      </w:r>
    </w:p>
    <w:p w:rsidR="00B43AC4" w:rsidRPr="009802E0" w:rsidRDefault="00B43AC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网址：</w:t>
      </w:r>
      <w:hyperlink r:id="rId21" w:history="1">
        <w:r w:rsidRPr="009802E0">
          <w:rPr>
            <w:rFonts w:asciiTheme="minorEastAsia" w:eastAsiaTheme="minorEastAsia" w:hAnsiTheme="minorEastAsia" w:hint="eastAsia"/>
          </w:rPr>
          <w:t>http://www.efunds.com.cn</w:t>
        </w:r>
      </w:hyperlink>
    </w:p>
    <w:p w:rsidR="00B43AC4" w:rsidRPr="009802E0" w:rsidRDefault="00B43AC4" w:rsidP="00FE018D">
      <w:pPr>
        <w:pStyle w:val="af2"/>
        <w:autoSpaceDE w:val="0"/>
        <w:autoSpaceDN w:val="0"/>
        <w:adjustRightInd w:val="0"/>
        <w:snapToGrid w:val="0"/>
        <w:spacing w:after="0"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电子信箱：</w:t>
      </w:r>
      <w:hyperlink r:id="rId22" w:history="1">
        <w:r w:rsidRPr="009802E0">
          <w:rPr>
            <w:rFonts w:asciiTheme="minorEastAsia" w:eastAsiaTheme="minorEastAsia" w:hAnsiTheme="minorEastAsia" w:hint="eastAsia"/>
          </w:rPr>
          <w:t>service@efunds.com.cn</w:t>
        </w:r>
      </w:hyperlink>
    </w:p>
    <w:p w:rsidR="00B43AC4" w:rsidRPr="009802E0" w:rsidRDefault="00B43AC4" w:rsidP="00FE018D">
      <w:pPr>
        <w:adjustRightInd w:val="0"/>
        <w:snapToGrid w:val="0"/>
        <w:spacing w:line="360" w:lineRule="auto"/>
        <w:ind w:firstLine="420"/>
        <w:rPr>
          <w:rFonts w:asciiTheme="minorEastAsia" w:eastAsiaTheme="minorEastAsia" w:hAnsiTheme="minorEastAsia"/>
        </w:rPr>
      </w:pPr>
    </w:p>
    <w:p w:rsidR="00B43AC4" w:rsidRPr="009802E0" w:rsidRDefault="00B43AC4" w:rsidP="00FE018D">
      <w:pPr>
        <w:adjustRightInd w:val="0"/>
        <w:snapToGrid w:val="0"/>
        <w:spacing w:line="360" w:lineRule="auto"/>
        <w:ind w:firstLine="420"/>
        <w:rPr>
          <w:rFonts w:asciiTheme="minorEastAsia" w:eastAsiaTheme="minorEastAsia" w:hAnsiTheme="minorEastAsia"/>
        </w:rPr>
      </w:pPr>
    </w:p>
    <w:p w:rsidR="00A654E7" w:rsidRPr="009802E0" w:rsidRDefault="00216A6D" w:rsidP="00FE018D">
      <w:pPr>
        <w:pStyle w:val="1"/>
        <w:pageBreakBefore/>
        <w:adjustRightInd w:val="0"/>
        <w:snapToGrid w:val="0"/>
        <w:spacing w:beforeLines="0" w:afterLines="0" w:line="360" w:lineRule="auto"/>
        <w:ind w:firstLineChars="850" w:firstLine="2560"/>
        <w:jc w:val="both"/>
        <w:rPr>
          <w:rFonts w:asciiTheme="minorEastAsia" w:eastAsiaTheme="minorEastAsia" w:hAnsiTheme="minorEastAsia"/>
          <w:b/>
          <w:sz w:val="30"/>
        </w:rPr>
      </w:pPr>
      <w:bookmarkStart w:id="184" w:name="_Toc43301996"/>
      <w:r w:rsidRPr="009802E0">
        <w:rPr>
          <w:rFonts w:asciiTheme="minorEastAsia" w:eastAsiaTheme="minorEastAsia" w:hAnsiTheme="minorEastAsia" w:hint="eastAsia"/>
          <w:b/>
          <w:sz w:val="30"/>
        </w:rPr>
        <w:lastRenderedPageBreak/>
        <w:t>二十四</w:t>
      </w:r>
      <w:r w:rsidR="00B43AC4" w:rsidRPr="009802E0">
        <w:rPr>
          <w:rFonts w:asciiTheme="minorEastAsia" w:eastAsiaTheme="minorEastAsia" w:hAnsiTheme="minorEastAsia" w:hint="eastAsia"/>
          <w:b/>
          <w:sz w:val="30"/>
        </w:rPr>
        <w:t>、其他应披露事项</w:t>
      </w:r>
      <w:bookmarkEnd w:id="184"/>
    </w:p>
    <w:tbl>
      <w:tblPr>
        <w:tblW w:w="84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6"/>
        <w:gridCol w:w="1893"/>
      </w:tblGrid>
      <w:tr w:rsidR="00F1417A" w:rsidRPr="009802E0" w:rsidTr="00517D9C">
        <w:trPr>
          <w:trHeight w:val="765"/>
        </w:trPr>
        <w:tc>
          <w:tcPr>
            <w:tcW w:w="6536" w:type="dxa"/>
            <w:tcBorders>
              <w:top w:val="single" w:sz="4" w:space="0" w:color="auto"/>
              <w:left w:val="single" w:sz="4" w:space="0" w:color="auto"/>
              <w:bottom w:val="single" w:sz="4" w:space="0" w:color="auto"/>
              <w:right w:val="single" w:sz="4" w:space="0" w:color="auto"/>
            </w:tcBorders>
            <w:vAlign w:val="center"/>
            <w:hideMark/>
          </w:tcPr>
          <w:p w:rsidR="00A654E7" w:rsidRPr="009802E0" w:rsidRDefault="0096166C" w:rsidP="001D3F4B">
            <w:pPr>
              <w:adjustRightInd w:val="0"/>
              <w:snapToGrid w:val="0"/>
              <w:spacing w:line="360" w:lineRule="auto"/>
              <w:ind w:firstLineChars="1300" w:firstLine="2730"/>
              <w:jc w:val="left"/>
              <w:rPr>
                <w:rFonts w:asciiTheme="minorEastAsia" w:eastAsiaTheme="minorEastAsia" w:hAnsiTheme="minorEastAsia"/>
              </w:rPr>
            </w:pPr>
            <w:r w:rsidRPr="009802E0">
              <w:rPr>
                <w:rFonts w:asciiTheme="minorEastAsia" w:eastAsiaTheme="minorEastAsia" w:hAnsiTheme="minorEastAsia" w:hint="eastAsia"/>
              </w:rPr>
              <w:t>公告事项</w:t>
            </w:r>
          </w:p>
        </w:tc>
        <w:tc>
          <w:tcPr>
            <w:tcW w:w="1893" w:type="dxa"/>
            <w:tcBorders>
              <w:top w:val="single" w:sz="4" w:space="0" w:color="auto"/>
              <w:left w:val="single" w:sz="4" w:space="0" w:color="auto"/>
              <w:bottom w:val="single" w:sz="4" w:space="0" w:color="auto"/>
              <w:right w:val="single" w:sz="4" w:space="0" w:color="auto"/>
            </w:tcBorders>
            <w:vAlign w:val="center"/>
            <w:hideMark/>
          </w:tcPr>
          <w:p w:rsidR="00A654E7" w:rsidRPr="009802E0" w:rsidRDefault="0096166C" w:rsidP="00517D9C">
            <w:pPr>
              <w:adjustRightInd w:val="0"/>
              <w:snapToGrid w:val="0"/>
              <w:spacing w:line="360" w:lineRule="auto"/>
              <w:jc w:val="center"/>
              <w:rPr>
                <w:rFonts w:asciiTheme="minorEastAsia" w:eastAsiaTheme="minorEastAsia" w:hAnsiTheme="minorEastAsia"/>
              </w:rPr>
            </w:pPr>
            <w:r w:rsidRPr="009802E0">
              <w:rPr>
                <w:rFonts w:asciiTheme="minorEastAsia" w:eastAsiaTheme="minorEastAsia" w:hAnsiTheme="minorEastAsia" w:hint="eastAsia"/>
              </w:rPr>
              <w:t>披露日期</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易方达基金管理有限公司关于旗下部分公开募集证券投资基金可投资于科创板股票的公告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2019-06-22</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易方达基金管理有限公司关于旗下部分开放式基金参加德邦证券费率优惠活动的公告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2019-06-24</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易方达基金管理有限公司关于旗下部分开放式基金参加长城国瑞证券费率优惠活动的公告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2019-06-28</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易方达基金管理有限公司关于旗下部分开放式基金参加云南红塔银行费率优惠活动的公告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2019-07-05</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易方达基金管理有限公司关于旗下部分开放式基金参加安信证券定期定额投资费率优惠活动的公告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2019-07-15</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易方达基金管理有限公司关于旗下部分开放式基金参加天津农商银行费率优惠活动的公告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2019-07-16</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6166C">
            <w:pPr>
              <w:autoSpaceDE w:val="0"/>
              <w:autoSpaceDN w:val="0"/>
              <w:adjustRightInd w:val="0"/>
              <w:jc w:val="left"/>
              <w:rPr>
                <w:rFonts w:asciiTheme="minorEastAsia" w:eastAsiaTheme="minorEastAsia" w:hAnsiTheme="minorEastAsia" w:cs="宋体"/>
                <w:kern w:val="0"/>
                <w:szCs w:val="21"/>
              </w:rPr>
            </w:pPr>
            <w:r w:rsidRPr="009802E0">
              <w:rPr>
                <w:rFonts w:asciiTheme="minorEastAsia" w:eastAsiaTheme="minorEastAsia" w:hAnsiTheme="minorEastAsia" w:cs="宋体" w:hint="eastAsia"/>
                <w:kern w:val="0"/>
                <w:szCs w:val="21"/>
              </w:rPr>
              <w:t>易方达基金管理有限公司关于旗下部分开放式基金参加广东南粤银行费率优惠活动的公告</w:t>
            </w:r>
          </w:p>
          <w:p w:rsidR="0096166C" w:rsidRPr="009802E0" w:rsidRDefault="0096166C" w:rsidP="0096166C">
            <w:pPr>
              <w:adjustRightInd w:val="0"/>
              <w:snapToGrid w:val="0"/>
              <w:spacing w:line="360" w:lineRule="auto"/>
              <w:rPr>
                <w:rFonts w:asciiTheme="minorEastAsia" w:eastAsiaTheme="minorEastAsia" w:hAnsiTheme="minorEastAsia"/>
              </w:rPr>
            </w:pP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2019-08-06</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易方达基金管理有限公司关于旗下部分开放式基金参加海通证券费率优惠活动的公告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2019-08-12</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易方达基金管理有限公司关于旗下部分开放式基金参加销售机构申购费率优惠活动的公告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2019-08-13</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易方达基金管理有限公司关于暂停北京中期时代基金销售有限公司办理旗下基金相关销售业务的公告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2019-08-13</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易方达基金管理有限公司关于暂停北京加和基金销售有限公司办理旗下基金相关销售业务的公告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2019-08-14</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6166C">
            <w:pPr>
              <w:autoSpaceDE w:val="0"/>
              <w:autoSpaceDN w:val="0"/>
              <w:adjustRightInd w:val="0"/>
              <w:jc w:val="left"/>
              <w:rPr>
                <w:rFonts w:asciiTheme="minorEastAsia" w:eastAsiaTheme="minorEastAsia" w:hAnsiTheme="minorEastAsia" w:cs="宋体"/>
                <w:kern w:val="0"/>
                <w:szCs w:val="21"/>
              </w:rPr>
            </w:pPr>
            <w:r w:rsidRPr="009802E0">
              <w:rPr>
                <w:rFonts w:asciiTheme="minorEastAsia" w:eastAsiaTheme="minorEastAsia" w:hAnsiTheme="minorEastAsia" w:cs="宋体" w:hint="eastAsia"/>
                <w:kern w:val="0"/>
                <w:szCs w:val="21"/>
              </w:rPr>
              <w:t>易方达基金管理有限公司关于暂停和谐保险销售有限公司办理旗下基金相关销售业务的公告</w:t>
            </w:r>
          </w:p>
          <w:p w:rsidR="0096166C" w:rsidRPr="009802E0" w:rsidRDefault="0096166C" w:rsidP="0096166C">
            <w:pPr>
              <w:adjustRightInd w:val="0"/>
              <w:snapToGrid w:val="0"/>
              <w:spacing w:line="360" w:lineRule="auto"/>
              <w:rPr>
                <w:rFonts w:asciiTheme="minorEastAsia" w:eastAsiaTheme="minorEastAsia" w:hAnsiTheme="minorEastAsia"/>
              </w:rPr>
            </w:pP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2019-08-14</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易方达基金管理有限公司关于暂停上海凯石财富基金销售有限公司办理旗下基金相关销售业务的公告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2019-08-14</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易方达基金管理有限公司关于暂停深圳宜投基金销售有限公司办理旗下基金相关销售业务的公告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2019-08-14</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易方达基金管理有限公司关于暂停厦门市鑫鼎盛控股有限公司办理旗</w:t>
            </w:r>
            <w:r w:rsidRPr="009802E0">
              <w:rPr>
                <w:rFonts w:asciiTheme="minorEastAsia" w:eastAsiaTheme="minorEastAsia" w:hAnsiTheme="minorEastAsia" w:hint="eastAsia"/>
                <w:szCs w:val="21"/>
              </w:rPr>
              <w:lastRenderedPageBreak/>
              <w:t>下基金相关销售业务的公告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2019-08-14</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易方达基金管理有限公司关于旗下部分开放式基金参加潍坊银行费率优惠活动的公告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2019-08-26</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易方达基金管理有限公司关于易方达安心回报债券型证券投资基金增加华林证券为销售机构、参加华林证券费率优惠活动的公告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2019-08-31</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易方达基金管理有限公司旗下部分开放式基金增加微众银行为销售机构、参加微众银行费率优惠活动的公告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2019-09-11</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易方达基金管理有限公司旗下部分开放式基金参加东莞农村商业银行费率优惠活动的公告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2019-09-17</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易方达基金管理有限公司旗下部分开放式基金参加广东南粤银行费率优惠活动的公告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2019-09-30</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易方达基金管理有限公司关于聘任基金经理助理的公告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2019-10-11</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易方达基金管理有限公司旗下基金季度报告提示性公告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2019-10-24</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易方达基金管理有限公司旗下部分开放式基金参加东亚银行定期定额投资费率优惠活动的公告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2019-10-25</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易方达基金管理有限公司旗下部分开放式基金参加方正证券费率优惠活动的公告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2019-11-08</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易方达基金管理有限公司旗下部分开放式基金增加中邮证券为销售机构的公告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2019-12-13</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易方达基金管理有限公司旗下部分开放式基金参加中信银行费率优惠活动的公告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2019-12-16</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易方达基金管理有限公司旗下部分开放式基金参加中国邮政储蓄银行个人网上银行和手机银行申购费率优惠活动的公告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2019-12-30</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易方达基金管理有限公司关于公司股权变更的公告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2019-12-31</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易方达基金管理有限公司关于易方达安心回报债券型证券投资基金根据《公开募集证券投资基金信息披露管理办法》修订基金合同、托管协议部分条款的公告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2019-12-31</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易方达基金管理有限公司旗下部分开放式基金参加交通银行手机银行费率优惠活动的公告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2019-12-31</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易方达基金管理有限公司旗下部分开放式基金参加昆仑银行费率优惠活动的公告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2019-12-31</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易方达基金管理有限公司旗下部分开放式基金参加苏州银行费率优惠活动的公告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2019-12-31</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lastRenderedPageBreak/>
              <w:t>易方达基金管理有限公司旗下部分开放式基金参加烟台银行定期定额投资费率优惠活动的公告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2019-12-31</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易方达基金管理有限公司旗下部分开放式基金参加中国工商银行“2020倾心回馈”基金定期定额投资费率优惠活动的公告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2019-12-31</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易方达基金管理有限公司旗下部分开放式基金参加中国工商银行个人电子银行渠道申购费率优惠活动的公告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2019-12-31</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易方达基金管理有限公司旗下部分开放式基金参加中国农业银行费率优惠活动的公告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2020-01-06</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易方达基金管理有限公司旗下基金2019年第4季度报告提示性公告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2020-01-18</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易方达基金管理有限公司旗下部分开放式基金参加长城证券申购费率优惠活动的公告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2020-01-22</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易方达基金管理有限公司旗下部分开放式基金参加泉州银行费率优惠活动的公告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2020-01-23</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易方达基金管理有限公司关于旗下基金2020年1月31日不开放申购、赎回、转换、定期定额投资等业务的提示性公告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2020-01-30</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易方达基金管理有限公司及全资子公司投资旗下基金相关事宜的公告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2020-02-04</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6166C">
            <w:pPr>
              <w:autoSpaceDE w:val="0"/>
              <w:autoSpaceDN w:val="0"/>
              <w:adjustRightInd w:val="0"/>
              <w:jc w:val="left"/>
              <w:rPr>
                <w:rFonts w:asciiTheme="minorEastAsia" w:eastAsiaTheme="minorEastAsia" w:hAnsiTheme="minorEastAsia" w:cs="宋体"/>
                <w:kern w:val="0"/>
                <w:szCs w:val="21"/>
              </w:rPr>
            </w:pPr>
            <w:r w:rsidRPr="009802E0">
              <w:rPr>
                <w:rFonts w:asciiTheme="minorEastAsia" w:eastAsiaTheme="minorEastAsia" w:hAnsiTheme="minorEastAsia" w:cs="宋体" w:hint="eastAsia"/>
                <w:kern w:val="0"/>
                <w:szCs w:val="21"/>
              </w:rPr>
              <w:t>易方达基金管理有限公司旗下部分开放式基金参加长城证券申购费率优惠活动的公告</w:t>
            </w:r>
          </w:p>
          <w:p w:rsidR="0096166C" w:rsidRPr="009802E0" w:rsidRDefault="0096166C" w:rsidP="0096166C">
            <w:pPr>
              <w:adjustRightInd w:val="0"/>
              <w:snapToGrid w:val="0"/>
              <w:spacing w:line="360" w:lineRule="auto"/>
              <w:rPr>
                <w:rFonts w:asciiTheme="minorEastAsia" w:eastAsiaTheme="minorEastAsia" w:hAnsiTheme="minorEastAsia"/>
              </w:rPr>
            </w:pP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2020-02-28</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易方达安心回报债券型证券投资基金在网上直销系统恢复大额申购、大额转换转入业务的公告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2020-03-03</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易方达基金管理有限公司旗下部分开放式基金参加中金公司费率优惠活动的公告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2020-03-05</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易方达基金管理有限公司旗下部分开放式基金参加百度百盈费率优惠活动的公告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2020-03-10</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易方达基金管理有限公司旗下部分开放式基金增加华瑞保险销售为销售机构、参加华瑞保险销售费率优惠活动的公告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2020-03-23</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易方达基金管理有限公司关于提醒投资者及时提供或更新身份信息资料的公告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2020-04-10</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易方达基金管理有限公司旗下部分开放式基金参加诺亚正行费率优惠活动的公告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2020-04-17</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易方达基金管理有限公司旗下部分开放式基金参加中国国际期货费率优惠活动的公告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2020-04-17</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易方达基金管理有限公司旗下部分开放式基金参加国联证券费率优惠</w:t>
            </w:r>
            <w:r w:rsidRPr="009802E0">
              <w:rPr>
                <w:rFonts w:asciiTheme="minorEastAsia" w:eastAsiaTheme="minorEastAsia" w:hAnsiTheme="minorEastAsia" w:hint="eastAsia"/>
                <w:szCs w:val="21"/>
              </w:rPr>
              <w:lastRenderedPageBreak/>
              <w:t>活动的公告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lastRenderedPageBreak/>
              <w:t>2020-04-22</w:t>
            </w:r>
          </w:p>
        </w:tc>
      </w:tr>
      <w:tr w:rsidR="0096166C" w:rsidRPr="009802E0" w:rsidTr="009802E0">
        <w:tc>
          <w:tcPr>
            <w:tcW w:w="6536" w:type="dxa"/>
            <w:tcBorders>
              <w:top w:val="single" w:sz="4" w:space="0" w:color="auto"/>
              <w:left w:val="single" w:sz="4" w:space="0" w:color="auto"/>
              <w:bottom w:val="single" w:sz="4" w:space="0" w:color="auto"/>
              <w:right w:val="single" w:sz="4" w:space="0" w:color="auto"/>
            </w:tcBorders>
            <w:vAlign w:val="bottom"/>
          </w:tcPr>
          <w:p w:rsidR="0096166C" w:rsidRPr="009802E0" w:rsidRDefault="0096166C" w:rsidP="0096166C">
            <w:pPr>
              <w:adjustRightInd w:val="0"/>
              <w:snapToGrid w:val="0"/>
              <w:spacing w:line="360" w:lineRule="auto"/>
              <w:rPr>
                <w:rFonts w:asciiTheme="minorEastAsia" w:eastAsiaTheme="minorEastAsia" w:hAnsiTheme="minorEastAsia"/>
              </w:rPr>
            </w:pPr>
            <w:r w:rsidRPr="009802E0">
              <w:rPr>
                <w:rFonts w:asciiTheme="minorEastAsia" w:eastAsiaTheme="minorEastAsia" w:hAnsiTheme="minorEastAsia" w:hint="eastAsia"/>
                <w:szCs w:val="21"/>
              </w:rPr>
              <w:t>易方达基金管理有限公司旗下部分开放式基金增加金海九州为销售机构、参加金海九州费率优惠活动的公告</w:t>
            </w:r>
          </w:p>
        </w:tc>
        <w:tc>
          <w:tcPr>
            <w:tcW w:w="1893" w:type="dxa"/>
            <w:tcBorders>
              <w:top w:val="single" w:sz="4" w:space="0" w:color="auto"/>
              <w:left w:val="single" w:sz="4" w:space="0" w:color="auto"/>
              <w:bottom w:val="single" w:sz="4" w:space="0" w:color="auto"/>
              <w:right w:val="single" w:sz="4" w:space="0" w:color="auto"/>
            </w:tcBorders>
            <w:vAlign w:val="center"/>
          </w:tcPr>
          <w:p w:rsidR="0096166C" w:rsidRPr="009802E0" w:rsidRDefault="0096166C" w:rsidP="009802E0">
            <w:pPr>
              <w:adjustRightInd w:val="0"/>
              <w:snapToGrid w:val="0"/>
              <w:spacing w:line="360" w:lineRule="auto"/>
              <w:jc w:val="center"/>
              <w:rPr>
                <w:rFonts w:asciiTheme="minorEastAsia" w:eastAsiaTheme="minorEastAsia" w:hAnsiTheme="minorEastAsia"/>
                <w:szCs w:val="21"/>
              </w:rPr>
            </w:pPr>
            <w:r w:rsidRPr="009802E0">
              <w:rPr>
                <w:rFonts w:asciiTheme="minorEastAsia" w:eastAsiaTheme="minorEastAsia" w:hAnsiTheme="minorEastAsia" w:hint="eastAsia"/>
                <w:szCs w:val="21"/>
              </w:rPr>
              <w:t>2020-04-28</w:t>
            </w:r>
          </w:p>
        </w:tc>
      </w:tr>
    </w:tbl>
    <w:p w:rsidR="00034552" w:rsidRPr="009802E0" w:rsidRDefault="009E0B5C" w:rsidP="002C74C2">
      <w:pPr>
        <w:adjustRightInd w:val="0"/>
        <w:snapToGrid w:val="0"/>
        <w:spacing w:line="360" w:lineRule="auto"/>
        <w:jc w:val="left"/>
        <w:rPr>
          <w:rFonts w:asciiTheme="minorEastAsia" w:eastAsiaTheme="minorEastAsia" w:hAnsiTheme="minorEastAsia"/>
        </w:rPr>
      </w:pPr>
      <w:r w:rsidRPr="009802E0">
        <w:rPr>
          <w:rFonts w:asciiTheme="minorEastAsia" w:eastAsiaTheme="minorEastAsia" w:hAnsiTheme="minorEastAsia" w:hint="eastAsia"/>
        </w:rPr>
        <w:t>注：以上公告事项披露在指定媒介及基金管理人网站上。</w:t>
      </w:r>
    </w:p>
    <w:p w:rsidR="00034552" w:rsidRPr="009802E0" w:rsidRDefault="00034552">
      <w:pPr>
        <w:widowControl/>
        <w:jc w:val="left"/>
        <w:rPr>
          <w:rFonts w:asciiTheme="minorEastAsia" w:eastAsiaTheme="minorEastAsia" w:hAnsiTheme="minorEastAsia"/>
        </w:rPr>
      </w:pPr>
      <w:r w:rsidRPr="009802E0">
        <w:rPr>
          <w:rFonts w:asciiTheme="minorEastAsia" w:eastAsiaTheme="minorEastAsia" w:hAnsiTheme="minorEastAsia"/>
        </w:rPr>
        <w:br w:type="page"/>
      </w:r>
    </w:p>
    <w:p w:rsidR="00E163E0" w:rsidRPr="009802E0" w:rsidRDefault="00E163E0" w:rsidP="00034552">
      <w:pPr>
        <w:adjustRightInd w:val="0"/>
        <w:snapToGrid w:val="0"/>
        <w:spacing w:line="360" w:lineRule="auto"/>
        <w:jc w:val="left"/>
        <w:rPr>
          <w:rFonts w:asciiTheme="minorEastAsia" w:eastAsiaTheme="minorEastAsia" w:hAnsiTheme="minorEastAsia"/>
        </w:rPr>
      </w:pPr>
    </w:p>
    <w:p w:rsidR="00CB427F" w:rsidRPr="009802E0" w:rsidRDefault="00216A6D" w:rsidP="00FE018D">
      <w:pPr>
        <w:pStyle w:val="1"/>
        <w:adjustRightInd w:val="0"/>
        <w:snapToGrid w:val="0"/>
        <w:spacing w:beforeLines="0" w:afterLines="0" w:line="360" w:lineRule="auto"/>
        <w:ind w:firstLine="602"/>
        <w:rPr>
          <w:rFonts w:asciiTheme="minorEastAsia" w:eastAsiaTheme="minorEastAsia" w:hAnsiTheme="minorEastAsia"/>
          <w:b/>
          <w:bCs/>
          <w:szCs w:val="20"/>
        </w:rPr>
      </w:pPr>
      <w:bookmarkStart w:id="185" w:name="_Toc43301997"/>
      <w:r w:rsidRPr="009802E0">
        <w:rPr>
          <w:rFonts w:asciiTheme="minorEastAsia" w:eastAsiaTheme="minorEastAsia" w:hAnsiTheme="minorEastAsia" w:hint="eastAsia"/>
          <w:b/>
          <w:sz w:val="30"/>
        </w:rPr>
        <w:t>二十五</w:t>
      </w:r>
      <w:r w:rsidR="00B43AC4" w:rsidRPr="009802E0">
        <w:rPr>
          <w:rFonts w:asciiTheme="minorEastAsia" w:eastAsiaTheme="minorEastAsia" w:hAnsiTheme="minorEastAsia" w:hint="eastAsia"/>
          <w:b/>
          <w:sz w:val="30"/>
        </w:rPr>
        <w:t>、招募说明书的存放及查阅方式</w:t>
      </w:r>
      <w:bookmarkEnd w:id="185"/>
    </w:p>
    <w:p w:rsidR="00B43AC4" w:rsidRPr="009802E0" w:rsidRDefault="00B43AC4" w:rsidP="00FE018D">
      <w:pPr>
        <w:adjustRightInd w:val="0"/>
        <w:snapToGrid w:val="0"/>
        <w:spacing w:line="360" w:lineRule="auto"/>
        <w:ind w:firstLine="420"/>
        <w:rPr>
          <w:rFonts w:asciiTheme="minorEastAsia" w:eastAsiaTheme="minorEastAsia" w:hAnsiTheme="minorEastAsia"/>
        </w:rPr>
      </w:pPr>
      <w:r w:rsidRPr="009802E0">
        <w:rPr>
          <w:rFonts w:asciiTheme="minorEastAsia" w:eastAsiaTheme="minorEastAsia" w:hAnsiTheme="minorEastAsia" w:hint="eastAsia"/>
        </w:rPr>
        <w:t>本招募说明书存放在基金管理人、基金托管人及基金</w:t>
      </w:r>
      <w:r w:rsidR="00635A87" w:rsidRPr="009802E0">
        <w:rPr>
          <w:rFonts w:asciiTheme="minorEastAsia" w:eastAsiaTheme="minorEastAsia" w:hAnsiTheme="minorEastAsia" w:hint="eastAsia"/>
        </w:rPr>
        <w:t>销售</w:t>
      </w:r>
      <w:r w:rsidRPr="009802E0">
        <w:rPr>
          <w:rFonts w:asciiTheme="minorEastAsia" w:eastAsiaTheme="minorEastAsia" w:hAnsiTheme="minorEastAsia" w:hint="eastAsia"/>
        </w:rPr>
        <w:t>机构处，投资者可在营业时间免费查阅，也可按工本费购买复印件。</w:t>
      </w:r>
    </w:p>
    <w:p w:rsidR="00B43AC4" w:rsidRPr="009802E0" w:rsidRDefault="00B43AC4" w:rsidP="000B1351">
      <w:pPr>
        <w:pStyle w:val="af"/>
        <w:adjustRightInd w:val="0"/>
        <w:snapToGrid w:val="0"/>
        <w:spacing w:line="360" w:lineRule="auto"/>
        <w:ind w:firstLineChars="200"/>
        <w:rPr>
          <w:rFonts w:asciiTheme="minorEastAsia" w:eastAsiaTheme="minorEastAsia" w:hAnsiTheme="minorEastAsia"/>
        </w:rPr>
      </w:pPr>
      <w:r w:rsidRPr="009802E0">
        <w:rPr>
          <w:rFonts w:asciiTheme="minorEastAsia" w:eastAsiaTheme="minorEastAsia" w:hAnsiTheme="minorEastAsia" w:hint="eastAsia"/>
        </w:rPr>
        <w:t>基金管理人和基金托管人保证文本的内容与公告的内容完全一致。</w:t>
      </w:r>
    </w:p>
    <w:p w:rsidR="00B43AC4" w:rsidRPr="009802E0" w:rsidRDefault="00B43AC4" w:rsidP="00FE018D">
      <w:pPr>
        <w:adjustRightInd w:val="0"/>
        <w:snapToGrid w:val="0"/>
        <w:spacing w:line="360" w:lineRule="auto"/>
        <w:ind w:firstLine="480"/>
        <w:rPr>
          <w:rFonts w:asciiTheme="minorEastAsia" w:eastAsiaTheme="minorEastAsia" w:hAnsiTheme="minorEastAsia"/>
        </w:rPr>
      </w:pPr>
    </w:p>
    <w:p w:rsidR="007525C5" w:rsidRPr="009802E0" w:rsidRDefault="007525C5" w:rsidP="00FE018D">
      <w:pPr>
        <w:pStyle w:val="1"/>
        <w:adjustRightInd w:val="0"/>
        <w:snapToGrid w:val="0"/>
        <w:spacing w:beforeLines="0" w:afterLines="0" w:line="360" w:lineRule="auto"/>
        <w:ind w:firstLineChars="0" w:firstLine="0"/>
        <w:rPr>
          <w:rFonts w:asciiTheme="minorEastAsia" w:eastAsiaTheme="minorEastAsia" w:hAnsiTheme="minorEastAsia"/>
          <w:b/>
          <w:sz w:val="30"/>
        </w:rPr>
        <w:sectPr w:rsidR="007525C5" w:rsidRPr="009802E0" w:rsidSect="00D810F1">
          <w:pgSz w:w="11906" w:h="16838" w:code="9"/>
          <w:pgMar w:top="1440" w:right="1800" w:bottom="1440" w:left="1800" w:header="720" w:footer="720" w:gutter="0"/>
          <w:cols w:space="720"/>
          <w:docGrid w:type="lines" w:linePitch="312"/>
        </w:sectPr>
      </w:pPr>
    </w:p>
    <w:p w:rsidR="00B43AC4" w:rsidRPr="009802E0" w:rsidRDefault="00216A6D" w:rsidP="00FE018D">
      <w:pPr>
        <w:pStyle w:val="1"/>
        <w:adjustRightInd w:val="0"/>
        <w:snapToGrid w:val="0"/>
        <w:spacing w:beforeLines="0" w:afterLines="0" w:line="360" w:lineRule="auto"/>
        <w:ind w:firstLineChars="0" w:firstLine="0"/>
        <w:rPr>
          <w:rFonts w:asciiTheme="minorEastAsia" w:eastAsiaTheme="minorEastAsia" w:hAnsiTheme="minorEastAsia"/>
          <w:b/>
          <w:bCs/>
          <w:szCs w:val="20"/>
        </w:rPr>
      </w:pPr>
      <w:bookmarkStart w:id="186" w:name="_Toc43301998"/>
      <w:r w:rsidRPr="009802E0">
        <w:rPr>
          <w:rFonts w:asciiTheme="minorEastAsia" w:eastAsiaTheme="minorEastAsia" w:hAnsiTheme="minorEastAsia" w:hint="eastAsia"/>
          <w:b/>
          <w:sz w:val="30"/>
        </w:rPr>
        <w:lastRenderedPageBreak/>
        <w:t>二十六</w:t>
      </w:r>
      <w:r w:rsidR="00B43AC4" w:rsidRPr="009802E0">
        <w:rPr>
          <w:rFonts w:asciiTheme="minorEastAsia" w:eastAsiaTheme="minorEastAsia" w:hAnsiTheme="minorEastAsia" w:hint="eastAsia"/>
          <w:b/>
          <w:sz w:val="30"/>
        </w:rPr>
        <w:t>、备查文件</w:t>
      </w:r>
      <w:bookmarkEnd w:id="186"/>
    </w:p>
    <w:p w:rsidR="00B43AC4" w:rsidRPr="009802E0" w:rsidRDefault="004E552C" w:rsidP="00FE018D">
      <w:pPr>
        <w:adjustRightInd w:val="0"/>
        <w:snapToGrid w:val="0"/>
        <w:spacing w:line="360" w:lineRule="auto"/>
        <w:ind w:firstLine="420"/>
        <w:rPr>
          <w:rFonts w:asciiTheme="minorEastAsia" w:eastAsiaTheme="minorEastAsia" w:hAnsiTheme="minorEastAsia"/>
        </w:rPr>
      </w:pPr>
      <w:r w:rsidRPr="009802E0">
        <w:rPr>
          <w:rFonts w:asciiTheme="minorEastAsia" w:eastAsiaTheme="minorEastAsia" w:hAnsiTheme="minorEastAsia" w:hint="eastAsia"/>
        </w:rPr>
        <w:t>1、</w:t>
      </w:r>
      <w:r w:rsidR="00B43AC4" w:rsidRPr="009802E0">
        <w:rPr>
          <w:rFonts w:asciiTheme="minorEastAsia" w:eastAsiaTheme="minorEastAsia" w:hAnsiTheme="minorEastAsia" w:hint="eastAsia"/>
        </w:rPr>
        <w:t>中国证监会核准易方达</w:t>
      </w:r>
      <w:r w:rsidR="002844EC" w:rsidRPr="009802E0">
        <w:rPr>
          <w:rFonts w:asciiTheme="minorEastAsia" w:eastAsiaTheme="minorEastAsia" w:hAnsiTheme="minorEastAsia" w:hint="eastAsia"/>
        </w:rPr>
        <w:t>安心回报</w:t>
      </w:r>
      <w:r w:rsidR="00B43AC4" w:rsidRPr="009802E0">
        <w:rPr>
          <w:rFonts w:asciiTheme="minorEastAsia" w:eastAsiaTheme="minorEastAsia" w:hAnsiTheme="minorEastAsia" w:hint="eastAsia"/>
        </w:rPr>
        <w:t>债券型证券投资基金募集的文件；</w:t>
      </w:r>
    </w:p>
    <w:p w:rsidR="00B43AC4" w:rsidRPr="009802E0" w:rsidRDefault="004E552C" w:rsidP="00FE018D">
      <w:pPr>
        <w:adjustRightInd w:val="0"/>
        <w:snapToGrid w:val="0"/>
        <w:spacing w:line="360" w:lineRule="auto"/>
        <w:ind w:firstLine="420"/>
        <w:rPr>
          <w:rFonts w:asciiTheme="minorEastAsia" w:eastAsiaTheme="minorEastAsia" w:hAnsiTheme="minorEastAsia"/>
        </w:rPr>
      </w:pPr>
      <w:r w:rsidRPr="009802E0">
        <w:rPr>
          <w:rFonts w:asciiTheme="minorEastAsia" w:eastAsiaTheme="minorEastAsia" w:hAnsiTheme="minorEastAsia" w:hint="eastAsia"/>
        </w:rPr>
        <w:t>2、</w:t>
      </w:r>
      <w:r w:rsidR="00B43AC4" w:rsidRPr="009802E0">
        <w:rPr>
          <w:rFonts w:asciiTheme="minorEastAsia" w:eastAsiaTheme="minorEastAsia" w:hAnsiTheme="minorEastAsia" w:hint="eastAsia"/>
        </w:rPr>
        <w:t>《易方达</w:t>
      </w:r>
      <w:r w:rsidR="002844EC" w:rsidRPr="009802E0">
        <w:rPr>
          <w:rFonts w:asciiTheme="minorEastAsia" w:eastAsiaTheme="minorEastAsia" w:hAnsiTheme="minorEastAsia" w:hint="eastAsia"/>
        </w:rPr>
        <w:t>安心回报</w:t>
      </w:r>
      <w:r w:rsidR="00B43AC4" w:rsidRPr="009802E0">
        <w:rPr>
          <w:rFonts w:asciiTheme="minorEastAsia" w:eastAsiaTheme="minorEastAsia" w:hAnsiTheme="minorEastAsia" w:hint="eastAsia"/>
        </w:rPr>
        <w:t>债券型证券投资基金基金合同》；</w:t>
      </w:r>
    </w:p>
    <w:p w:rsidR="00B43AC4" w:rsidRPr="009802E0" w:rsidRDefault="004E552C" w:rsidP="00FE018D">
      <w:pPr>
        <w:adjustRightInd w:val="0"/>
        <w:snapToGrid w:val="0"/>
        <w:spacing w:line="360" w:lineRule="auto"/>
        <w:ind w:firstLine="420"/>
        <w:rPr>
          <w:rFonts w:asciiTheme="minorEastAsia" w:eastAsiaTheme="minorEastAsia" w:hAnsiTheme="minorEastAsia"/>
        </w:rPr>
      </w:pPr>
      <w:r w:rsidRPr="009802E0">
        <w:rPr>
          <w:rFonts w:asciiTheme="minorEastAsia" w:eastAsiaTheme="minorEastAsia" w:hAnsiTheme="minorEastAsia" w:hint="eastAsia"/>
        </w:rPr>
        <w:t>3、</w:t>
      </w:r>
      <w:r w:rsidR="00B43AC4" w:rsidRPr="009802E0">
        <w:rPr>
          <w:rFonts w:asciiTheme="minorEastAsia" w:eastAsiaTheme="minorEastAsia" w:hAnsiTheme="minorEastAsia" w:hint="eastAsia"/>
        </w:rPr>
        <w:t>《易方达</w:t>
      </w:r>
      <w:r w:rsidR="002844EC" w:rsidRPr="009802E0">
        <w:rPr>
          <w:rFonts w:asciiTheme="minorEastAsia" w:eastAsiaTheme="minorEastAsia" w:hAnsiTheme="minorEastAsia" w:hint="eastAsia"/>
        </w:rPr>
        <w:t>安心回报</w:t>
      </w:r>
      <w:r w:rsidR="00B43AC4" w:rsidRPr="009802E0">
        <w:rPr>
          <w:rFonts w:asciiTheme="minorEastAsia" w:eastAsiaTheme="minorEastAsia" w:hAnsiTheme="minorEastAsia" w:hint="eastAsia"/>
        </w:rPr>
        <w:t>债券型证券投资基金托管协议》；</w:t>
      </w:r>
    </w:p>
    <w:p w:rsidR="00B43AC4" w:rsidRPr="009802E0" w:rsidRDefault="004E552C" w:rsidP="00FE018D">
      <w:pPr>
        <w:adjustRightInd w:val="0"/>
        <w:snapToGrid w:val="0"/>
        <w:spacing w:line="360" w:lineRule="auto"/>
        <w:ind w:firstLine="420"/>
        <w:rPr>
          <w:rFonts w:asciiTheme="minorEastAsia" w:eastAsiaTheme="minorEastAsia" w:hAnsiTheme="minorEastAsia"/>
        </w:rPr>
      </w:pPr>
      <w:r w:rsidRPr="009802E0">
        <w:rPr>
          <w:rFonts w:asciiTheme="minorEastAsia" w:eastAsiaTheme="minorEastAsia" w:hAnsiTheme="minorEastAsia" w:hint="eastAsia"/>
        </w:rPr>
        <w:t>4、</w:t>
      </w:r>
      <w:r w:rsidR="00B43AC4" w:rsidRPr="009802E0">
        <w:rPr>
          <w:rFonts w:asciiTheme="minorEastAsia" w:eastAsiaTheme="minorEastAsia" w:hAnsiTheme="minorEastAsia" w:hint="eastAsia"/>
        </w:rPr>
        <w:t>法律意见书；</w:t>
      </w:r>
    </w:p>
    <w:p w:rsidR="00B43AC4" w:rsidRPr="009802E0" w:rsidRDefault="004E552C" w:rsidP="00FE018D">
      <w:pPr>
        <w:adjustRightInd w:val="0"/>
        <w:snapToGrid w:val="0"/>
        <w:spacing w:line="360" w:lineRule="auto"/>
        <w:ind w:firstLine="420"/>
        <w:rPr>
          <w:rFonts w:asciiTheme="minorEastAsia" w:eastAsiaTheme="minorEastAsia" w:hAnsiTheme="minorEastAsia"/>
        </w:rPr>
      </w:pPr>
      <w:r w:rsidRPr="009802E0">
        <w:rPr>
          <w:rFonts w:asciiTheme="minorEastAsia" w:eastAsiaTheme="minorEastAsia" w:hAnsiTheme="minorEastAsia" w:hint="eastAsia"/>
        </w:rPr>
        <w:t>5、</w:t>
      </w:r>
      <w:r w:rsidR="00B43AC4" w:rsidRPr="009802E0">
        <w:rPr>
          <w:rFonts w:asciiTheme="minorEastAsia" w:eastAsiaTheme="minorEastAsia" w:hAnsiTheme="minorEastAsia" w:hint="eastAsia"/>
        </w:rPr>
        <w:t>基金管理人业务资格批件、营</w:t>
      </w:r>
      <w:bookmarkStart w:id="187" w:name="_GoBack"/>
      <w:bookmarkEnd w:id="187"/>
      <w:r w:rsidR="00B43AC4" w:rsidRPr="009802E0">
        <w:rPr>
          <w:rFonts w:asciiTheme="minorEastAsia" w:eastAsiaTheme="minorEastAsia" w:hAnsiTheme="minorEastAsia" w:hint="eastAsia"/>
        </w:rPr>
        <w:t>业执照；</w:t>
      </w:r>
    </w:p>
    <w:p w:rsidR="00B43AC4" w:rsidRPr="009802E0" w:rsidRDefault="004E552C" w:rsidP="00FE018D">
      <w:pPr>
        <w:adjustRightInd w:val="0"/>
        <w:snapToGrid w:val="0"/>
        <w:spacing w:line="360" w:lineRule="auto"/>
        <w:ind w:firstLine="420"/>
        <w:rPr>
          <w:rFonts w:asciiTheme="minorEastAsia" w:eastAsiaTheme="minorEastAsia" w:hAnsiTheme="minorEastAsia"/>
        </w:rPr>
      </w:pPr>
      <w:r w:rsidRPr="009802E0">
        <w:rPr>
          <w:rFonts w:asciiTheme="minorEastAsia" w:eastAsiaTheme="minorEastAsia" w:hAnsiTheme="minorEastAsia" w:hint="eastAsia"/>
        </w:rPr>
        <w:t>6、</w:t>
      </w:r>
      <w:r w:rsidR="00B43AC4" w:rsidRPr="009802E0">
        <w:rPr>
          <w:rFonts w:asciiTheme="minorEastAsia" w:eastAsiaTheme="minorEastAsia" w:hAnsiTheme="minorEastAsia" w:hint="eastAsia"/>
        </w:rPr>
        <w:t>基金托管人业务资格批件、营业执照。</w:t>
      </w:r>
    </w:p>
    <w:p w:rsidR="00B43AC4" w:rsidRPr="009802E0" w:rsidRDefault="00B43AC4" w:rsidP="00FE018D">
      <w:pPr>
        <w:adjustRightInd w:val="0"/>
        <w:snapToGrid w:val="0"/>
        <w:spacing w:line="360" w:lineRule="auto"/>
        <w:ind w:firstLine="420"/>
        <w:rPr>
          <w:rFonts w:asciiTheme="minorEastAsia" w:eastAsiaTheme="minorEastAsia" w:hAnsiTheme="minorEastAsia"/>
        </w:rPr>
      </w:pPr>
      <w:r w:rsidRPr="009802E0">
        <w:rPr>
          <w:rFonts w:asciiTheme="minorEastAsia" w:eastAsiaTheme="minorEastAsia" w:hAnsiTheme="minorEastAsia" w:hint="eastAsia"/>
        </w:rPr>
        <w:t>存放地点：基金管理人、基金托管人处</w:t>
      </w:r>
    </w:p>
    <w:p w:rsidR="00B43AC4" w:rsidRPr="009802E0" w:rsidRDefault="00B43AC4" w:rsidP="00FE018D">
      <w:pPr>
        <w:pStyle w:val="a9"/>
        <w:adjustRightInd w:val="0"/>
        <w:snapToGrid w:val="0"/>
        <w:spacing w:line="360" w:lineRule="auto"/>
        <w:ind w:firstLine="420"/>
        <w:rPr>
          <w:rFonts w:asciiTheme="minorEastAsia" w:eastAsiaTheme="minorEastAsia" w:hAnsiTheme="minorEastAsia"/>
          <w:sz w:val="21"/>
        </w:rPr>
      </w:pPr>
      <w:r w:rsidRPr="009802E0">
        <w:rPr>
          <w:rFonts w:asciiTheme="minorEastAsia" w:eastAsiaTheme="minorEastAsia" w:hAnsiTheme="minorEastAsia" w:hint="eastAsia"/>
          <w:sz w:val="21"/>
        </w:rPr>
        <w:t>查阅方式：投资者可在营业时间免费查阅，也可按工本费购买复印件。</w:t>
      </w:r>
    </w:p>
    <w:p w:rsidR="00B43AC4" w:rsidRPr="009802E0" w:rsidRDefault="00B43AC4" w:rsidP="00FE018D">
      <w:pPr>
        <w:pStyle w:val="a9"/>
        <w:adjustRightInd w:val="0"/>
        <w:snapToGrid w:val="0"/>
        <w:spacing w:line="360" w:lineRule="auto"/>
        <w:ind w:firstLine="420"/>
        <w:rPr>
          <w:rFonts w:asciiTheme="minorEastAsia" w:eastAsiaTheme="minorEastAsia" w:hAnsiTheme="minorEastAsia"/>
          <w:sz w:val="21"/>
        </w:rPr>
      </w:pPr>
    </w:p>
    <w:p w:rsidR="00B96096" w:rsidRPr="009802E0" w:rsidRDefault="00B96096" w:rsidP="00FE018D">
      <w:pPr>
        <w:widowControl/>
        <w:adjustRightInd w:val="0"/>
        <w:snapToGrid w:val="0"/>
        <w:spacing w:line="360" w:lineRule="auto"/>
        <w:ind w:left="420"/>
        <w:rPr>
          <w:rFonts w:asciiTheme="minorEastAsia" w:eastAsiaTheme="minorEastAsia" w:hAnsiTheme="minorEastAsia"/>
        </w:rPr>
      </w:pPr>
      <w:bookmarkStart w:id="188" w:name="_Toc38438350"/>
      <w:bookmarkStart w:id="189" w:name="_Toc38438687"/>
      <w:bookmarkStart w:id="190" w:name="_Toc38439024"/>
      <w:bookmarkStart w:id="191" w:name="_Toc38439361"/>
      <w:bookmarkStart w:id="192" w:name="_Toc38439698"/>
      <w:bookmarkStart w:id="193" w:name="_Toc38440035"/>
      <w:bookmarkStart w:id="194" w:name="_Toc38440372"/>
      <w:bookmarkStart w:id="195" w:name="_Toc38440904"/>
      <w:bookmarkStart w:id="196" w:name="_Toc38441236"/>
      <w:bookmarkStart w:id="197" w:name="_Toc38441568"/>
      <w:bookmarkStart w:id="198" w:name="_Toc38441896"/>
      <w:bookmarkStart w:id="199" w:name="_Toc38442228"/>
      <w:bookmarkStart w:id="200" w:name="_Toc38442560"/>
      <w:bookmarkStart w:id="201" w:name="_Toc38442891"/>
      <w:bookmarkStart w:id="202" w:name="_Toc38443222"/>
      <w:bookmarkStart w:id="203" w:name="_Toc38443553"/>
      <w:bookmarkStart w:id="204" w:name="_Toc38443883"/>
      <w:bookmarkStart w:id="205" w:name="_Toc38438351"/>
      <w:bookmarkStart w:id="206" w:name="_Toc38438688"/>
      <w:bookmarkStart w:id="207" w:name="_Toc38439025"/>
      <w:bookmarkStart w:id="208" w:name="_Toc38439362"/>
      <w:bookmarkStart w:id="209" w:name="_Toc38439699"/>
      <w:bookmarkStart w:id="210" w:name="_Toc38440036"/>
      <w:bookmarkStart w:id="211" w:name="_Toc38440373"/>
      <w:bookmarkStart w:id="212" w:name="_Toc38440905"/>
      <w:bookmarkStart w:id="213" w:name="_Toc38441237"/>
      <w:bookmarkStart w:id="214" w:name="_Toc38441569"/>
      <w:bookmarkStart w:id="215" w:name="_Toc38441897"/>
      <w:bookmarkStart w:id="216" w:name="_Toc38442229"/>
      <w:bookmarkStart w:id="217" w:name="_Toc38442561"/>
      <w:bookmarkStart w:id="218" w:name="_Toc38442892"/>
      <w:bookmarkStart w:id="219" w:name="_Toc38443223"/>
      <w:bookmarkStart w:id="220" w:name="_Toc38443554"/>
      <w:bookmarkStart w:id="221" w:name="_Toc38443884"/>
      <w:bookmarkStart w:id="222" w:name="_Toc38438352"/>
      <w:bookmarkStart w:id="223" w:name="_Toc38438689"/>
      <w:bookmarkStart w:id="224" w:name="_Toc38439026"/>
      <w:bookmarkStart w:id="225" w:name="_Toc38439363"/>
      <w:bookmarkStart w:id="226" w:name="_Toc38439700"/>
      <w:bookmarkStart w:id="227" w:name="_Toc38440037"/>
      <w:bookmarkStart w:id="228" w:name="_Toc38440374"/>
      <w:bookmarkStart w:id="229" w:name="_Toc38440906"/>
      <w:bookmarkStart w:id="230" w:name="_Toc38441238"/>
      <w:bookmarkStart w:id="231" w:name="_Toc38441570"/>
      <w:bookmarkStart w:id="232" w:name="_Toc38441898"/>
      <w:bookmarkStart w:id="233" w:name="_Toc38442230"/>
      <w:bookmarkStart w:id="234" w:name="_Toc38442562"/>
      <w:bookmarkStart w:id="235" w:name="_Toc38442893"/>
      <w:bookmarkStart w:id="236" w:name="_Toc38443224"/>
      <w:bookmarkStart w:id="237" w:name="_Toc38443555"/>
      <w:bookmarkStart w:id="238" w:name="_Toc38443885"/>
      <w:bookmarkStart w:id="239" w:name="_Toc38438353"/>
      <w:bookmarkStart w:id="240" w:name="_Toc38438690"/>
      <w:bookmarkStart w:id="241" w:name="_Toc38439027"/>
      <w:bookmarkStart w:id="242" w:name="_Toc38439364"/>
      <w:bookmarkStart w:id="243" w:name="_Toc38439701"/>
      <w:bookmarkStart w:id="244" w:name="_Toc38440038"/>
      <w:bookmarkStart w:id="245" w:name="_Toc38440375"/>
      <w:bookmarkStart w:id="246" w:name="_Toc38440907"/>
      <w:bookmarkStart w:id="247" w:name="_Toc38441239"/>
      <w:bookmarkStart w:id="248" w:name="_Toc38441571"/>
      <w:bookmarkStart w:id="249" w:name="_Toc38441899"/>
      <w:bookmarkStart w:id="250" w:name="_Toc38442231"/>
      <w:bookmarkStart w:id="251" w:name="_Toc38442563"/>
      <w:bookmarkStart w:id="252" w:name="_Toc38442894"/>
      <w:bookmarkStart w:id="253" w:name="_Toc38443225"/>
      <w:bookmarkStart w:id="254" w:name="_Toc38443556"/>
      <w:bookmarkStart w:id="255" w:name="_Toc38443886"/>
      <w:bookmarkStart w:id="256" w:name="_Toc38438354"/>
      <w:bookmarkStart w:id="257" w:name="_Toc38438691"/>
      <w:bookmarkStart w:id="258" w:name="_Toc38439028"/>
      <w:bookmarkStart w:id="259" w:name="_Toc38439365"/>
      <w:bookmarkStart w:id="260" w:name="_Toc38439702"/>
      <w:bookmarkStart w:id="261" w:name="_Toc38440039"/>
      <w:bookmarkStart w:id="262" w:name="_Toc38440376"/>
      <w:bookmarkStart w:id="263" w:name="_Toc38440908"/>
      <w:bookmarkStart w:id="264" w:name="_Toc38441240"/>
      <w:bookmarkStart w:id="265" w:name="_Toc38441572"/>
      <w:bookmarkStart w:id="266" w:name="_Toc38441900"/>
      <w:bookmarkStart w:id="267" w:name="_Toc38442232"/>
      <w:bookmarkStart w:id="268" w:name="_Toc38442564"/>
      <w:bookmarkStart w:id="269" w:name="_Toc38442895"/>
      <w:bookmarkStart w:id="270" w:name="_Toc38443226"/>
      <w:bookmarkStart w:id="271" w:name="_Toc38443557"/>
      <w:bookmarkStart w:id="272" w:name="_Toc38443887"/>
      <w:bookmarkStart w:id="273" w:name="_Toc38438355"/>
      <w:bookmarkStart w:id="274" w:name="_Toc38438692"/>
      <w:bookmarkStart w:id="275" w:name="_Toc38439029"/>
      <w:bookmarkStart w:id="276" w:name="_Toc38439366"/>
      <w:bookmarkStart w:id="277" w:name="_Toc38439703"/>
      <w:bookmarkStart w:id="278" w:name="_Toc38440040"/>
      <w:bookmarkStart w:id="279" w:name="_Toc38440377"/>
      <w:bookmarkStart w:id="280" w:name="_Toc38440909"/>
      <w:bookmarkStart w:id="281" w:name="_Toc38441241"/>
      <w:bookmarkStart w:id="282" w:name="_Toc38441573"/>
      <w:bookmarkStart w:id="283" w:name="_Toc38441901"/>
      <w:bookmarkStart w:id="284" w:name="_Toc38442233"/>
      <w:bookmarkStart w:id="285" w:name="_Toc38442565"/>
      <w:bookmarkStart w:id="286" w:name="_Toc38442896"/>
      <w:bookmarkStart w:id="287" w:name="_Toc38443227"/>
      <w:bookmarkStart w:id="288" w:name="_Toc38443558"/>
      <w:bookmarkStart w:id="289" w:name="_Toc38443888"/>
      <w:bookmarkStart w:id="290" w:name="_Toc38438356"/>
      <w:bookmarkStart w:id="291" w:name="_Toc38438693"/>
      <w:bookmarkStart w:id="292" w:name="_Toc38439030"/>
      <w:bookmarkStart w:id="293" w:name="_Toc38439367"/>
      <w:bookmarkStart w:id="294" w:name="_Toc38439704"/>
      <w:bookmarkStart w:id="295" w:name="_Toc38440041"/>
      <w:bookmarkStart w:id="296" w:name="_Toc38440378"/>
      <w:bookmarkStart w:id="297" w:name="_Toc38440910"/>
      <w:bookmarkStart w:id="298" w:name="_Toc38441242"/>
      <w:bookmarkStart w:id="299" w:name="_Toc38441574"/>
      <w:bookmarkStart w:id="300" w:name="_Toc38441902"/>
      <w:bookmarkStart w:id="301" w:name="_Toc38442234"/>
      <w:bookmarkStart w:id="302" w:name="_Toc38442566"/>
      <w:bookmarkStart w:id="303" w:name="_Toc38442897"/>
      <w:bookmarkStart w:id="304" w:name="_Toc38443228"/>
      <w:bookmarkStart w:id="305" w:name="_Toc38443559"/>
      <w:bookmarkStart w:id="306" w:name="_Toc38443889"/>
      <w:bookmarkStart w:id="307" w:name="_Toc38438357"/>
      <w:bookmarkStart w:id="308" w:name="_Toc38438694"/>
      <w:bookmarkStart w:id="309" w:name="_Toc38439031"/>
      <w:bookmarkStart w:id="310" w:name="_Toc38439368"/>
      <w:bookmarkStart w:id="311" w:name="_Toc38439705"/>
      <w:bookmarkStart w:id="312" w:name="_Toc38440042"/>
      <w:bookmarkStart w:id="313" w:name="_Toc38440379"/>
      <w:bookmarkStart w:id="314" w:name="_Toc38440911"/>
      <w:bookmarkStart w:id="315" w:name="_Toc38441243"/>
      <w:bookmarkStart w:id="316" w:name="_Toc38441575"/>
      <w:bookmarkStart w:id="317" w:name="_Toc38441903"/>
      <w:bookmarkStart w:id="318" w:name="_Toc38442235"/>
      <w:bookmarkStart w:id="319" w:name="_Toc38442567"/>
      <w:bookmarkStart w:id="320" w:name="_Toc38442898"/>
      <w:bookmarkStart w:id="321" w:name="_Toc38443229"/>
      <w:bookmarkStart w:id="322" w:name="_Toc38443560"/>
      <w:bookmarkStart w:id="323" w:name="_Toc38443890"/>
      <w:bookmarkStart w:id="324" w:name="_Toc38438358"/>
      <w:bookmarkStart w:id="325" w:name="_Toc38438695"/>
      <w:bookmarkStart w:id="326" w:name="_Toc38439032"/>
      <w:bookmarkStart w:id="327" w:name="_Toc38439369"/>
      <w:bookmarkStart w:id="328" w:name="_Toc38439706"/>
      <w:bookmarkStart w:id="329" w:name="_Toc38440043"/>
      <w:bookmarkStart w:id="330" w:name="_Toc38440380"/>
      <w:bookmarkStart w:id="331" w:name="_Toc38440912"/>
      <w:bookmarkStart w:id="332" w:name="_Toc38441244"/>
      <w:bookmarkStart w:id="333" w:name="_Toc38441576"/>
      <w:bookmarkStart w:id="334" w:name="_Toc38441904"/>
      <w:bookmarkStart w:id="335" w:name="_Toc38442236"/>
      <w:bookmarkStart w:id="336" w:name="_Toc38442568"/>
      <w:bookmarkStart w:id="337" w:name="_Toc38442899"/>
      <w:bookmarkStart w:id="338" w:name="_Toc38443230"/>
      <w:bookmarkStart w:id="339" w:name="_Toc38443561"/>
      <w:bookmarkStart w:id="340" w:name="_Toc38443891"/>
      <w:bookmarkStart w:id="341" w:name="_Toc38438359"/>
      <w:bookmarkStart w:id="342" w:name="_Toc38438696"/>
      <w:bookmarkStart w:id="343" w:name="_Toc38439033"/>
      <w:bookmarkStart w:id="344" w:name="_Toc38439370"/>
      <w:bookmarkStart w:id="345" w:name="_Toc38439707"/>
      <w:bookmarkStart w:id="346" w:name="_Toc38440044"/>
      <w:bookmarkStart w:id="347" w:name="_Toc38440381"/>
      <w:bookmarkStart w:id="348" w:name="_Toc38440913"/>
      <w:bookmarkStart w:id="349" w:name="_Toc38441245"/>
      <w:bookmarkStart w:id="350" w:name="_Toc38441577"/>
      <w:bookmarkStart w:id="351" w:name="_Toc38441905"/>
      <w:bookmarkStart w:id="352" w:name="_Toc38442237"/>
      <w:bookmarkStart w:id="353" w:name="_Toc38442569"/>
      <w:bookmarkStart w:id="354" w:name="_Toc38442900"/>
      <w:bookmarkStart w:id="355" w:name="_Toc38443231"/>
      <w:bookmarkStart w:id="356" w:name="_Toc38443562"/>
      <w:bookmarkStart w:id="357" w:name="_Toc38443892"/>
      <w:bookmarkStart w:id="358" w:name="_Toc38438360"/>
      <w:bookmarkStart w:id="359" w:name="_Toc38438697"/>
      <w:bookmarkStart w:id="360" w:name="_Toc38439034"/>
      <w:bookmarkStart w:id="361" w:name="_Toc38439371"/>
      <w:bookmarkStart w:id="362" w:name="_Toc38439708"/>
      <w:bookmarkStart w:id="363" w:name="_Toc38440045"/>
      <w:bookmarkStart w:id="364" w:name="_Toc38440382"/>
      <w:bookmarkStart w:id="365" w:name="_Toc38440914"/>
      <w:bookmarkStart w:id="366" w:name="_Toc38441246"/>
      <w:bookmarkStart w:id="367" w:name="_Toc38441578"/>
      <w:bookmarkStart w:id="368" w:name="_Toc38441906"/>
      <w:bookmarkStart w:id="369" w:name="_Toc38442238"/>
      <w:bookmarkStart w:id="370" w:name="_Toc38442570"/>
      <w:bookmarkStart w:id="371" w:name="_Toc38442901"/>
      <w:bookmarkStart w:id="372" w:name="_Toc38443232"/>
      <w:bookmarkStart w:id="373" w:name="_Toc38443563"/>
      <w:bookmarkStart w:id="374" w:name="_Toc38443893"/>
      <w:bookmarkStart w:id="375" w:name="_Toc38438361"/>
      <w:bookmarkStart w:id="376" w:name="_Toc38438698"/>
      <w:bookmarkStart w:id="377" w:name="_Toc38439035"/>
      <w:bookmarkStart w:id="378" w:name="_Toc38439372"/>
      <w:bookmarkStart w:id="379" w:name="_Toc38439709"/>
      <w:bookmarkStart w:id="380" w:name="_Toc38440046"/>
      <w:bookmarkStart w:id="381" w:name="_Toc38440383"/>
      <w:bookmarkStart w:id="382" w:name="_Toc38440915"/>
      <w:bookmarkStart w:id="383" w:name="_Toc38441247"/>
      <w:bookmarkStart w:id="384" w:name="_Toc38441579"/>
      <w:bookmarkStart w:id="385" w:name="_Toc38441907"/>
      <w:bookmarkStart w:id="386" w:name="_Toc38442239"/>
      <w:bookmarkStart w:id="387" w:name="_Toc38442571"/>
      <w:bookmarkStart w:id="388" w:name="_Toc38442902"/>
      <w:bookmarkStart w:id="389" w:name="_Toc38443233"/>
      <w:bookmarkStart w:id="390" w:name="_Toc38443564"/>
      <w:bookmarkStart w:id="391" w:name="_Toc38443894"/>
      <w:bookmarkStart w:id="392" w:name="_Toc38438362"/>
      <w:bookmarkStart w:id="393" w:name="_Toc38438699"/>
      <w:bookmarkStart w:id="394" w:name="_Toc38439036"/>
      <w:bookmarkStart w:id="395" w:name="_Toc38439373"/>
      <w:bookmarkStart w:id="396" w:name="_Toc38439710"/>
      <w:bookmarkStart w:id="397" w:name="_Toc38440047"/>
      <w:bookmarkStart w:id="398" w:name="_Toc38440384"/>
      <w:bookmarkStart w:id="399" w:name="_Toc38440916"/>
      <w:bookmarkStart w:id="400" w:name="_Toc38441248"/>
      <w:bookmarkStart w:id="401" w:name="_Toc38441580"/>
      <w:bookmarkStart w:id="402" w:name="_Toc38441908"/>
      <w:bookmarkStart w:id="403" w:name="_Toc38442240"/>
      <w:bookmarkStart w:id="404" w:name="_Toc38442572"/>
      <w:bookmarkStart w:id="405" w:name="_Toc38442903"/>
      <w:bookmarkStart w:id="406" w:name="_Toc38443234"/>
      <w:bookmarkStart w:id="407" w:name="_Toc38443565"/>
      <w:bookmarkStart w:id="408" w:name="_Toc38443895"/>
      <w:bookmarkStart w:id="409" w:name="_Toc38438363"/>
      <w:bookmarkStart w:id="410" w:name="_Toc38438700"/>
      <w:bookmarkStart w:id="411" w:name="_Toc38439037"/>
      <w:bookmarkStart w:id="412" w:name="_Toc38439374"/>
      <w:bookmarkStart w:id="413" w:name="_Toc38439711"/>
      <w:bookmarkStart w:id="414" w:name="_Toc38440048"/>
      <w:bookmarkStart w:id="415" w:name="_Toc38440385"/>
      <w:bookmarkStart w:id="416" w:name="_Toc38440917"/>
      <w:bookmarkStart w:id="417" w:name="_Toc38441249"/>
      <w:bookmarkStart w:id="418" w:name="_Toc38441581"/>
      <w:bookmarkStart w:id="419" w:name="_Toc38441909"/>
      <w:bookmarkStart w:id="420" w:name="_Toc38442241"/>
      <w:bookmarkStart w:id="421" w:name="_Toc38442573"/>
      <w:bookmarkStart w:id="422" w:name="_Toc38442904"/>
      <w:bookmarkStart w:id="423" w:name="_Toc38443235"/>
      <w:bookmarkStart w:id="424" w:name="_Toc38443566"/>
      <w:bookmarkStart w:id="425" w:name="_Toc38443896"/>
      <w:bookmarkStart w:id="426" w:name="_Toc38438364"/>
      <w:bookmarkStart w:id="427" w:name="_Toc38438701"/>
      <w:bookmarkStart w:id="428" w:name="_Toc38439038"/>
      <w:bookmarkStart w:id="429" w:name="_Toc38439375"/>
      <w:bookmarkStart w:id="430" w:name="_Toc38439712"/>
      <w:bookmarkStart w:id="431" w:name="_Toc38440049"/>
      <w:bookmarkStart w:id="432" w:name="_Toc38440386"/>
      <w:bookmarkStart w:id="433" w:name="_Toc38440918"/>
      <w:bookmarkStart w:id="434" w:name="_Toc38441250"/>
      <w:bookmarkStart w:id="435" w:name="_Toc38441582"/>
      <w:bookmarkStart w:id="436" w:name="_Toc38441910"/>
      <w:bookmarkStart w:id="437" w:name="_Toc38442242"/>
      <w:bookmarkStart w:id="438" w:name="_Toc38442574"/>
      <w:bookmarkStart w:id="439" w:name="_Toc38442905"/>
      <w:bookmarkStart w:id="440" w:name="_Toc38443236"/>
      <w:bookmarkStart w:id="441" w:name="_Toc38443567"/>
      <w:bookmarkStart w:id="442" w:name="_Toc38443897"/>
      <w:bookmarkStart w:id="443" w:name="_Toc38438365"/>
      <w:bookmarkStart w:id="444" w:name="_Toc38438702"/>
      <w:bookmarkStart w:id="445" w:name="_Toc38439039"/>
      <w:bookmarkStart w:id="446" w:name="_Toc38439376"/>
      <w:bookmarkStart w:id="447" w:name="_Toc38439713"/>
      <w:bookmarkStart w:id="448" w:name="_Toc38440050"/>
      <w:bookmarkStart w:id="449" w:name="_Toc38440387"/>
      <w:bookmarkStart w:id="450" w:name="_Toc38440919"/>
      <w:bookmarkStart w:id="451" w:name="_Toc38441251"/>
      <w:bookmarkStart w:id="452" w:name="_Toc38441583"/>
      <w:bookmarkStart w:id="453" w:name="_Toc38441911"/>
      <w:bookmarkStart w:id="454" w:name="_Toc38442243"/>
      <w:bookmarkStart w:id="455" w:name="_Toc38442575"/>
      <w:bookmarkStart w:id="456" w:name="_Toc38442906"/>
      <w:bookmarkStart w:id="457" w:name="_Toc38443237"/>
      <w:bookmarkStart w:id="458" w:name="_Toc38443568"/>
      <w:bookmarkStart w:id="459" w:name="_Toc38443898"/>
      <w:bookmarkStart w:id="460" w:name="_Toc38438366"/>
      <w:bookmarkStart w:id="461" w:name="_Toc38438703"/>
      <w:bookmarkStart w:id="462" w:name="_Toc38439040"/>
      <w:bookmarkStart w:id="463" w:name="_Toc38439377"/>
      <w:bookmarkStart w:id="464" w:name="_Toc38439714"/>
      <w:bookmarkStart w:id="465" w:name="_Toc38440051"/>
      <w:bookmarkStart w:id="466" w:name="_Toc38440388"/>
      <w:bookmarkStart w:id="467" w:name="_Toc38440920"/>
      <w:bookmarkStart w:id="468" w:name="_Toc38441252"/>
      <w:bookmarkStart w:id="469" w:name="_Toc38441584"/>
      <w:bookmarkStart w:id="470" w:name="_Toc38441912"/>
      <w:bookmarkStart w:id="471" w:name="_Toc38442244"/>
      <w:bookmarkStart w:id="472" w:name="_Toc38442576"/>
      <w:bookmarkStart w:id="473" w:name="_Toc38442907"/>
      <w:bookmarkStart w:id="474" w:name="_Toc38443238"/>
      <w:bookmarkStart w:id="475" w:name="_Toc38443569"/>
      <w:bookmarkStart w:id="476" w:name="_Toc38443899"/>
      <w:bookmarkStart w:id="477" w:name="_Toc38438367"/>
      <w:bookmarkStart w:id="478" w:name="_Toc38438704"/>
      <w:bookmarkStart w:id="479" w:name="_Toc38439041"/>
      <w:bookmarkStart w:id="480" w:name="_Toc38439378"/>
      <w:bookmarkStart w:id="481" w:name="_Toc38439715"/>
      <w:bookmarkStart w:id="482" w:name="_Toc38440052"/>
      <w:bookmarkStart w:id="483" w:name="_Toc38440389"/>
      <w:bookmarkStart w:id="484" w:name="_Toc38440921"/>
      <w:bookmarkStart w:id="485" w:name="_Toc38441253"/>
      <w:bookmarkStart w:id="486" w:name="_Toc38441585"/>
      <w:bookmarkStart w:id="487" w:name="_Toc38441913"/>
      <w:bookmarkStart w:id="488" w:name="_Toc38442245"/>
      <w:bookmarkStart w:id="489" w:name="_Toc38442577"/>
      <w:bookmarkStart w:id="490" w:name="_Toc38442908"/>
      <w:bookmarkStart w:id="491" w:name="_Toc38443239"/>
      <w:bookmarkStart w:id="492" w:name="_Toc38443570"/>
      <w:bookmarkStart w:id="493" w:name="_Toc38443900"/>
      <w:bookmarkStart w:id="494" w:name="_Toc38438368"/>
      <w:bookmarkStart w:id="495" w:name="_Toc38438705"/>
      <w:bookmarkStart w:id="496" w:name="_Toc38439042"/>
      <w:bookmarkStart w:id="497" w:name="_Toc38439379"/>
      <w:bookmarkStart w:id="498" w:name="_Toc38439716"/>
      <w:bookmarkStart w:id="499" w:name="_Toc38440053"/>
      <w:bookmarkStart w:id="500" w:name="_Toc38440390"/>
      <w:bookmarkStart w:id="501" w:name="_Toc38440922"/>
      <w:bookmarkStart w:id="502" w:name="_Toc38441254"/>
      <w:bookmarkStart w:id="503" w:name="_Toc38441586"/>
      <w:bookmarkStart w:id="504" w:name="_Toc38441914"/>
      <w:bookmarkStart w:id="505" w:name="_Toc38442246"/>
      <w:bookmarkStart w:id="506" w:name="_Toc38442578"/>
      <w:bookmarkStart w:id="507" w:name="_Toc38442909"/>
      <w:bookmarkStart w:id="508" w:name="_Toc38443240"/>
      <w:bookmarkStart w:id="509" w:name="_Toc38443571"/>
      <w:bookmarkStart w:id="510" w:name="_Toc38443901"/>
      <w:bookmarkStart w:id="511" w:name="_Toc38438369"/>
      <w:bookmarkStart w:id="512" w:name="_Toc38438706"/>
      <w:bookmarkStart w:id="513" w:name="_Toc38439043"/>
      <w:bookmarkStart w:id="514" w:name="_Toc38439380"/>
      <w:bookmarkStart w:id="515" w:name="_Toc38439717"/>
      <w:bookmarkStart w:id="516" w:name="_Toc38440054"/>
      <w:bookmarkStart w:id="517" w:name="_Toc38440391"/>
      <w:bookmarkStart w:id="518" w:name="_Toc38440923"/>
      <w:bookmarkStart w:id="519" w:name="_Toc38441255"/>
      <w:bookmarkStart w:id="520" w:name="_Toc38441587"/>
      <w:bookmarkStart w:id="521" w:name="_Toc38441915"/>
      <w:bookmarkStart w:id="522" w:name="_Toc38442247"/>
      <w:bookmarkStart w:id="523" w:name="_Toc38442579"/>
      <w:bookmarkStart w:id="524" w:name="_Toc38442910"/>
      <w:bookmarkStart w:id="525" w:name="_Toc38443241"/>
      <w:bookmarkStart w:id="526" w:name="_Toc38443572"/>
      <w:bookmarkStart w:id="527" w:name="_Toc38443902"/>
      <w:bookmarkStart w:id="528" w:name="_Toc38438371"/>
      <w:bookmarkStart w:id="529" w:name="_Toc38438708"/>
      <w:bookmarkStart w:id="530" w:name="_Toc38439045"/>
      <w:bookmarkStart w:id="531" w:name="_Toc38439382"/>
      <w:bookmarkStart w:id="532" w:name="_Toc38439719"/>
      <w:bookmarkStart w:id="533" w:name="_Toc38440056"/>
      <w:bookmarkStart w:id="534" w:name="_Toc38440393"/>
      <w:bookmarkStart w:id="535" w:name="_Toc38440925"/>
      <w:bookmarkStart w:id="536" w:name="_Toc38441257"/>
      <w:bookmarkStart w:id="537" w:name="_Toc38441589"/>
      <w:bookmarkStart w:id="538" w:name="_Toc38441917"/>
      <w:bookmarkStart w:id="539" w:name="_Toc38442249"/>
      <w:bookmarkStart w:id="540" w:name="_Toc38442581"/>
      <w:bookmarkStart w:id="541" w:name="_Toc38442912"/>
      <w:bookmarkStart w:id="542" w:name="_Toc38443243"/>
      <w:bookmarkStart w:id="543" w:name="_Toc38443574"/>
      <w:bookmarkStart w:id="544" w:name="_Toc38443904"/>
      <w:bookmarkStart w:id="545" w:name="_Toc38438372"/>
      <w:bookmarkStart w:id="546" w:name="_Toc38438709"/>
      <w:bookmarkStart w:id="547" w:name="_Toc38439046"/>
      <w:bookmarkStart w:id="548" w:name="_Toc38439383"/>
      <w:bookmarkStart w:id="549" w:name="_Toc38439720"/>
      <w:bookmarkStart w:id="550" w:name="_Toc38440057"/>
      <w:bookmarkStart w:id="551" w:name="_Toc38440394"/>
      <w:bookmarkStart w:id="552" w:name="_Toc38440926"/>
      <w:bookmarkStart w:id="553" w:name="_Toc38441258"/>
      <w:bookmarkStart w:id="554" w:name="_Toc38441590"/>
      <w:bookmarkStart w:id="555" w:name="_Toc38441918"/>
      <w:bookmarkStart w:id="556" w:name="_Toc38442250"/>
      <w:bookmarkStart w:id="557" w:name="_Toc38442582"/>
      <w:bookmarkStart w:id="558" w:name="_Toc38442913"/>
      <w:bookmarkStart w:id="559" w:name="_Toc38443244"/>
      <w:bookmarkStart w:id="560" w:name="_Toc38443575"/>
      <w:bookmarkStart w:id="561" w:name="_Toc38443905"/>
      <w:bookmarkStart w:id="562" w:name="_Toc38438373"/>
      <w:bookmarkStart w:id="563" w:name="_Toc38438710"/>
      <w:bookmarkStart w:id="564" w:name="_Toc38439047"/>
      <w:bookmarkStart w:id="565" w:name="_Toc38439384"/>
      <w:bookmarkStart w:id="566" w:name="_Toc38439721"/>
      <w:bookmarkStart w:id="567" w:name="_Toc38440058"/>
      <w:bookmarkStart w:id="568" w:name="_Toc38440395"/>
      <w:bookmarkStart w:id="569" w:name="_Toc38440927"/>
      <w:bookmarkStart w:id="570" w:name="_Toc38441259"/>
      <w:bookmarkStart w:id="571" w:name="_Toc38441591"/>
      <w:bookmarkStart w:id="572" w:name="_Toc38441919"/>
      <w:bookmarkStart w:id="573" w:name="_Toc38442251"/>
      <w:bookmarkStart w:id="574" w:name="_Toc38442583"/>
      <w:bookmarkStart w:id="575" w:name="_Toc38442914"/>
      <w:bookmarkStart w:id="576" w:name="_Toc38443245"/>
      <w:bookmarkStart w:id="577" w:name="_Toc38443576"/>
      <w:bookmarkStart w:id="578" w:name="_Toc38443906"/>
      <w:bookmarkStart w:id="579" w:name="_Toc38438374"/>
      <w:bookmarkStart w:id="580" w:name="_Toc38438711"/>
      <w:bookmarkStart w:id="581" w:name="_Toc38439048"/>
      <w:bookmarkStart w:id="582" w:name="_Toc38439385"/>
      <w:bookmarkStart w:id="583" w:name="_Toc38439722"/>
      <w:bookmarkStart w:id="584" w:name="_Toc38440059"/>
      <w:bookmarkStart w:id="585" w:name="_Toc38440396"/>
      <w:bookmarkStart w:id="586" w:name="_Toc38440928"/>
      <w:bookmarkStart w:id="587" w:name="_Toc38441260"/>
      <w:bookmarkStart w:id="588" w:name="_Toc38441592"/>
      <w:bookmarkStart w:id="589" w:name="_Toc38441920"/>
      <w:bookmarkStart w:id="590" w:name="_Toc38442252"/>
      <w:bookmarkStart w:id="591" w:name="_Toc38442584"/>
      <w:bookmarkStart w:id="592" w:name="_Toc38442915"/>
      <w:bookmarkStart w:id="593" w:name="_Toc38443246"/>
      <w:bookmarkStart w:id="594" w:name="_Toc38443577"/>
      <w:bookmarkStart w:id="595" w:name="_Toc38443907"/>
      <w:bookmarkStart w:id="596" w:name="_Toc38438375"/>
      <w:bookmarkStart w:id="597" w:name="_Toc38438712"/>
      <w:bookmarkStart w:id="598" w:name="_Toc38439049"/>
      <w:bookmarkStart w:id="599" w:name="_Toc38439386"/>
      <w:bookmarkStart w:id="600" w:name="_Toc38439723"/>
      <w:bookmarkStart w:id="601" w:name="_Toc38440060"/>
      <w:bookmarkStart w:id="602" w:name="_Toc38440397"/>
      <w:bookmarkStart w:id="603" w:name="_Toc38440929"/>
      <w:bookmarkStart w:id="604" w:name="_Toc38441261"/>
      <w:bookmarkStart w:id="605" w:name="_Toc38441593"/>
      <w:bookmarkStart w:id="606" w:name="_Toc38441921"/>
      <w:bookmarkStart w:id="607" w:name="_Toc38442253"/>
      <w:bookmarkStart w:id="608" w:name="_Toc38442585"/>
      <w:bookmarkStart w:id="609" w:name="_Toc38442916"/>
      <w:bookmarkStart w:id="610" w:name="_Toc38443247"/>
      <w:bookmarkStart w:id="611" w:name="_Toc38443578"/>
      <w:bookmarkStart w:id="612" w:name="_Toc38443908"/>
      <w:bookmarkStart w:id="613" w:name="_Toc38438376"/>
      <w:bookmarkStart w:id="614" w:name="_Toc38438713"/>
      <w:bookmarkStart w:id="615" w:name="_Toc38439050"/>
      <w:bookmarkStart w:id="616" w:name="_Toc38439387"/>
      <w:bookmarkStart w:id="617" w:name="_Toc38439724"/>
      <w:bookmarkStart w:id="618" w:name="_Toc38440061"/>
      <w:bookmarkStart w:id="619" w:name="_Toc38440398"/>
      <w:bookmarkStart w:id="620" w:name="_Toc38440930"/>
      <w:bookmarkStart w:id="621" w:name="_Toc38441262"/>
      <w:bookmarkStart w:id="622" w:name="_Toc38441594"/>
      <w:bookmarkStart w:id="623" w:name="_Toc38441922"/>
      <w:bookmarkStart w:id="624" w:name="_Toc38442254"/>
      <w:bookmarkStart w:id="625" w:name="_Toc38442586"/>
      <w:bookmarkStart w:id="626" w:name="_Toc38442917"/>
      <w:bookmarkStart w:id="627" w:name="_Toc38443248"/>
      <w:bookmarkStart w:id="628" w:name="_Toc38443579"/>
      <w:bookmarkStart w:id="629" w:name="_Toc38443909"/>
      <w:bookmarkStart w:id="630" w:name="_Toc38438377"/>
      <w:bookmarkStart w:id="631" w:name="_Toc38438714"/>
      <w:bookmarkStart w:id="632" w:name="_Toc38439051"/>
      <w:bookmarkStart w:id="633" w:name="_Toc38439388"/>
      <w:bookmarkStart w:id="634" w:name="_Toc38439725"/>
      <w:bookmarkStart w:id="635" w:name="_Toc38440062"/>
      <w:bookmarkStart w:id="636" w:name="_Toc38440399"/>
      <w:bookmarkStart w:id="637" w:name="_Toc38440931"/>
      <w:bookmarkStart w:id="638" w:name="_Toc38441263"/>
      <w:bookmarkStart w:id="639" w:name="_Toc38441595"/>
      <w:bookmarkStart w:id="640" w:name="_Toc38441923"/>
      <w:bookmarkStart w:id="641" w:name="_Toc38442255"/>
      <w:bookmarkStart w:id="642" w:name="_Toc38442587"/>
      <w:bookmarkStart w:id="643" w:name="_Toc38442918"/>
      <w:bookmarkStart w:id="644" w:name="_Toc38443249"/>
      <w:bookmarkStart w:id="645" w:name="_Toc38443580"/>
      <w:bookmarkStart w:id="646" w:name="_Toc38443910"/>
      <w:bookmarkStart w:id="647" w:name="_Toc38438378"/>
      <w:bookmarkStart w:id="648" w:name="_Toc38438715"/>
      <w:bookmarkStart w:id="649" w:name="_Toc38439052"/>
      <w:bookmarkStart w:id="650" w:name="_Toc38439389"/>
      <w:bookmarkStart w:id="651" w:name="_Toc38439726"/>
      <w:bookmarkStart w:id="652" w:name="_Toc38440063"/>
      <w:bookmarkStart w:id="653" w:name="_Toc38440400"/>
      <w:bookmarkStart w:id="654" w:name="_Toc38440932"/>
      <w:bookmarkStart w:id="655" w:name="_Toc38441264"/>
      <w:bookmarkStart w:id="656" w:name="_Toc38441596"/>
      <w:bookmarkStart w:id="657" w:name="_Toc38441924"/>
      <w:bookmarkStart w:id="658" w:name="_Toc38442256"/>
      <w:bookmarkStart w:id="659" w:name="_Toc38442588"/>
      <w:bookmarkStart w:id="660" w:name="_Toc38442919"/>
      <w:bookmarkStart w:id="661" w:name="_Toc38443250"/>
      <w:bookmarkStart w:id="662" w:name="_Toc38443581"/>
      <w:bookmarkStart w:id="663" w:name="_Toc38443911"/>
      <w:bookmarkStart w:id="664" w:name="_Toc38438379"/>
      <w:bookmarkStart w:id="665" w:name="_Toc38438716"/>
      <w:bookmarkStart w:id="666" w:name="_Toc38439053"/>
      <w:bookmarkStart w:id="667" w:name="_Toc38439390"/>
      <w:bookmarkStart w:id="668" w:name="_Toc38439727"/>
      <w:bookmarkStart w:id="669" w:name="_Toc38440064"/>
      <w:bookmarkStart w:id="670" w:name="_Toc38440401"/>
      <w:bookmarkStart w:id="671" w:name="_Toc38440933"/>
      <w:bookmarkStart w:id="672" w:name="_Toc38441265"/>
      <w:bookmarkStart w:id="673" w:name="_Toc38441597"/>
      <w:bookmarkStart w:id="674" w:name="_Toc38441925"/>
      <w:bookmarkStart w:id="675" w:name="_Toc38442257"/>
      <w:bookmarkStart w:id="676" w:name="_Toc38442589"/>
      <w:bookmarkStart w:id="677" w:name="_Toc38442920"/>
      <w:bookmarkStart w:id="678" w:name="_Toc38443251"/>
      <w:bookmarkStart w:id="679" w:name="_Toc38443582"/>
      <w:bookmarkStart w:id="680" w:name="_Toc38443912"/>
      <w:bookmarkStart w:id="681" w:name="_Toc38438380"/>
      <w:bookmarkStart w:id="682" w:name="_Toc38438717"/>
      <w:bookmarkStart w:id="683" w:name="_Toc38439054"/>
      <w:bookmarkStart w:id="684" w:name="_Toc38439391"/>
      <w:bookmarkStart w:id="685" w:name="_Toc38439728"/>
      <w:bookmarkStart w:id="686" w:name="_Toc38440065"/>
      <w:bookmarkStart w:id="687" w:name="_Toc38440402"/>
      <w:bookmarkStart w:id="688" w:name="_Toc38440934"/>
      <w:bookmarkStart w:id="689" w:name="_Toc38441266"/>
      <w:bookmarkStart w:id="690" w:name="_Toc38441598"/>
      <w:bookmarkStart w:id="691" w:name="_Toc38441926"/>
      <w:bookmarkStart w:id="692" w:name="_Toc38442258"/>
      <w:bookmarkStart w:id="693" w:name="_Toc38442590"/>
      <w:bookmarkStart w:id="694" w:name="_Toc38442921"/>
      <w:bookmarkStart w:id="695" w:name="_Toc38443252"/>
      <w:bookmarkStart w:id="696" w:name="_Toc38443583"/>
      <w:bookmarkStart w:id="697" w:name="_Toc38443913"/>
      <w:bookmarkStart w:id="698" w:name="_Toc38438381"/>
      <w:bookmarkStart w:id="699" w:name="_Toc38438718"/>
      <w:bookmarkStart w:id="700" w:name="_Toc38439055"/>
      <w:bookmarkStart w:id="701" w:name="_Toc38439392"/>
      <w:bookmarkStart w:id="702" w:name="_Toc38439729"/>
      <w:bookmarkStart w:id="703" w:name="_Toc38440066"/>
      <w:bookmarkStart w:id="704" w:name="_Toc38440403"/>
      <w:bookmarkStart w:id="705" w:name="_Toc38440935"/>
      <w:bookmarkStart w:id="706" w:name="_Toc38441267"/>
      <w:bookmarkStart w:id="707" w:name="_Toc38441599"/>
      <w:bookmarkStart w:id="708" w:name="_Toc38441927"/>
      <w:bookmarkStart w:id="709" w:name="_Toc38442259"/>
      <w:bookmarkStart w:id="710" w:name="_Toc38442591"/>
      <w:bookmarkStart w:id="711" w:name="_Toc38442922"/>
      <w:bookmarkStart w:id="712" w:name="_Toc38443253"/>
      <w:bookmarkStart w:id="713" w:name="_Toc38443584"/>
      <w:bookmarkStart w:id="714" w:name="_Toc38443914"/>
      <w:bookmarkStart w:id="715" w:name="_Toc38438382"/>
      <w:bookmarkStart w:id="716" w:name="_Toc38438719"/>
      <w:bookmarkStart w:id="717" w:name="_Toc38439056"/>
      <w:bookmarkStart w:id="718" w:name="_Toc38439393"/>
      <w:bookmarkStart w:id="719" w:name="_Toc38439730"/>
      <w:bookmarkStart w:id="720" w:name="_Toc38440067"/>
      <w:bookmarkStart w:id="721" w:name="_Toc38440404"/>
      <w:bookmarkStart w:id="722" w:name="_Toc38440936"/>
      <w:bookmarkStart w:id="723" w:name="_Toc38441268"/>
      <w:bookmarkStart w:id="724" w:name="_Toc38441600"/>
      <w:bookmarkStart w:id="725" w:name="_Toc38441928"/>
      <w:bookmarkStart w:id="726" w:name="_Toc38442260"/>
      <w:bookmarkStart w:id="727" w:name="_Toc38442592"/>
      <w:bookmarkStart w:id="728" w:name="_Toc38442923"/>
      <w:bookmarkStart w:id="729" w:name="_Toc38443254"/>
      <w:bookmarkStart w:id="730" w:name="_Toc38443585"/>
      <w:bookmarkStart w:id="731" w:name="_Toc38443915"/>
      <w:bookmarkStart w:id="732" w:name="_Toc38438383"/>
      <w:bookmarkStart w:id="733" w:name="_Toc38438720"/>
      <w:bookmarkStart w:id="734" w:name="_Toc38439057"/>
      <w:bookmarkStart w:id="735" w:name="_Toc38439394"/>
      <w:bookmarkStart w:id="736" w:name="_Toc38439731"/>
      <w:bookmarkStart w:id="737" w:name="_Toc38440068"/>
      <w:bookmarkStart w:id="738" w:name="_Toc38440405"/>
      <w:bookmarkStart w:id="739" w:name="_Toc38440937"/>
      <w:bookmarkStart w:id="740" w:name="_Toc38441269"/>
      <w:bookmarkStart w:id="741" w:name="_Toc38441601"/>
      <w:bookmarkStart w:id="742" w:name="_Toc38441929"/>
      <w:bookmarkStart w:id="743" w:name="_Toc38442261"/>
      <w:bookmarkStart w:id="744" w:name="_Toc38442593"/>
      <w:bookmarkStart w:id="745" w:name="_Toc38442924"/>
      <w:bookmarkStart w:id="746" w:name="_Toc38443255"/>
      <w:bookmarkStart w:id="747" w:name="_Toc38443586"/>
      <w:bookmarkStart w:id="748" w:name="_Toc38443916"/>
      <w:bookmarkStart w:id="749" w:name="_Toc38438384"/>
      <w:bookmarkStart w:id="750" w:name="_Toc38438721"/>
      <w:bookmarkStart w:id="751" w:name="_Toc38439058"/>
      <w:bookmarkStart w:id="752" w:name="_Toc38439395"/>
      <w:bookmarkStart w:id="753" w:name="_Toc38439732"/>
      <w:bookmarkStart w:id="754" w:name="_Toc38440069"/>
      <w:bookmarkStart w:id="755" w:name="_Toc38440406"/>
      <w:bookmarkStart w:id="756" w:name="_Toc38440938"/>
      <w:bookmarkStart w:id="757" w:name="_Toc38441270"/>
      <w:bookmarkStart w:id="758" w:name="_Toc38441602"/>
      <w:bookmarkStart w:id="759" w:name="_Toc38441930"/>
      <w:bookmarkStart w:id="760" w:name="_Toc38442262"/>
      <w:bookmarkStart w:id="761" w:name="_Toc38442594"/>
      <w:bookmarkStart w:id="762" w:name="_Toc38442925"/>
      <w:bookmarkStart w:id="763" w:name="_Toc38443256"/>
      <w:bookmarkStart w:id="764" w:name="_Toc38443587"/>
      <w:bookmarkStart w:id="765" w:name="_Toc38443917"/>
      <w:bookmarkStart w:id="766" w:name="_Toc38438385"/>
      <w:bookmarkStart w:id="767" w:name="_Toc38438722"/>
      <w:bookmarkStart w:id="768" w:name="_Toc38439059"/>
      <w:bookmarkStart w:id="769" w:name="_Toc38439396"/>
      <w:bookmarkStart w:id="770" w:name="_Toc38439733"/>
      <w:bookmarkStart w:id="771" w:name="_Toc38440070"/>
      <w:bookmarkStart w:id="772" w:name="_Toc38440407"/>
      <w:bookmarkStart w:id="773" w:name="_Toc38440939"/>
      <w:bookmarkStart w:id="774" w:name="_Toc38441271"/>
      <w:bookmarkStart w:id="775" w:name="_Toc38441603"/>
      <w:bookmarkStart w:id="776" w:name="_Toc38441931"/>
      <w:bookmarkStart w:id="777" w:name="_Toc38442263"/>
      <w:bookmarkStart w:id="778" w:name="_Toc38442595"/>
      <w:bookmarkStart w:id="779" w:name="_Toc38442926"/>
      <w:bookmarkStart w:id="780" w:name="_Toc38443257"/>
      <w:bookmarkStart w:id="781" w:name="_Toc38443588"/>
      <w:bookmarkStart w:id="782" w:name="_Toc38443918"/>
      <w:bookmarkStart w:id="783" w:name="_Toc38438386"/>
      <w:bookmarkStart w:id="784" w:name="_Toc38438723"/>
      <w:bookmarkStart w:id="785" w:name="_Toc38439060"/>
      <w:bookmarkStart w:id="786" w:name="_Toc38439397"/>
      <w:bookmarkStart w:id="787" w:name="_Toc38439734"/>
      <w:bookmarkStart w:id="788" w:name="_Toc38440071"/>
      <w:bookmarkStart w:id="789" w:name="_Toc38440408"/>
      <w:bookmarkStart w:id="790" w:name="_Toc38440940"/>
      <w:bookmarkStart w:id="791" w:name="_Toc38441272"/>
      <w:bookmarkStart w:id="792" w:name="_Toc38441604"/>
      <w:bookmarkStart w:id="793" w:name="_Toc38441932"/>
      <w:bookmarkStart w:id="794" w:name="_Toc38442264"/>
      <w:bookmarkStart w:id="795" w:name="_Toc38442596"/>
      <w:bookmarkStart w:id="796" w:name="_Toc38442927"/>
      <w:bookmarkStart w:id="797" w:name="_Toc38443258"/>
      <w:bookmarkStart w:id="798" w:name="_Toc38443589"/>
      <w:bookmarkStart w:id="799" w:name="_Toc38443919"/>
      <w:bookmarkStart w:id="800" w:name="_Toc38438387"/>
      <w:bookmarkStart w:id="801" w:name="_Toc38438724"/>
      <w:bookmarkStart w:id="802" w:name="_Toc38439061"/>
      <w:bookmarkStart w:id="803" w:name="_Toc38439398"/>
      <w:bookmarkStart w:id="804" w:name="_Toc38439735"/>
      <w:bookmarkStart w:id="805" w:name="_Toc38440072"/>
      <w:bookmarkStart w:id="806" w:name="_Toc38440409"/>
      <w:bookmarkStart w:id="807" w:name="_Toc38440941"/>
      <w:bookmarkStart w:id="808" w:name="_Toc38441273"/>
      <w:bookmarkStart w:id="809" w:name="_Toc38441605"/>
      <w:bookmarkStart w:id="810" w:name="_Toc38441933"/>
      <w:bookmarkStart w:id="811" w:name="_Toc38442265"/>
      <w:bookmarkStart w:id="812" w:name="_Toc38442597"/>
      <w:bookmarkStart w:id="813" w:name="_Toc38442928"/>
      <w:bookmarkStart w:id="814" w:name="_Toc38443259"/>
      <w:bookmarkStart w:id="815" w:name="_Toc38443590"/>
      <w:bookmarkStart w:id="816" w:name="_Toc38443920"/>
      <w:bookmarkStart w:id="817" w:name="_Toc38438388"/>
      <w:bookmarkStart w:id="818" w:name="_Toc38438725"/>
      <w:bookmarkStart w:id="819" w:name="_Toc38439062"/>
      <w:bookmarkStart w:id="820" w:name="_Toc38439399"/>
      <w:bookmarkStart w:id="821" w:name="_Toc38439736"/>
      <w:bookmarkStart w:id="822" w:name="_Toc38440073"/>
      <w:bookmarkStart w:id="823" w:name="_Toc38440410"/>
      <w:bookmarkStart w:id="824" w:name="_Toc38440942"/>
      <w:bookmarkStart w:id="825" w:name="_Toc38441274"/>
      <w:bookmarkStart w:id="826" w:name="_Toc38441606"/>
      <w:bookmarkStart w:id="827" w:name="_Toc38441934"/>
      <w:bookmarkStart w:id="828" w:name="_Toc38442266"/>
      <w:bookmarkStart w:id="829" w:name="_Toc38442598"/>
      <w:bookmarkStart w:id="830" w:name="_Toc38442929"/>
      <w:bookmarkStart w:id="831" w:name="_Toc38443260"/>
      <w:bookmarkStart w:id="832" w:name="_Toc38443591"/>
      <w:bookmarkStart w:id="833" w:name="_Toc38443921"/>
      <w:bookmarkStart w:id="834" w:name="_Toc38438389"/>
      <w:bookmarkStart w:id="835" w:name="_Toc38438726"/>
      <w:bookmarkStart w:id="836" w:name="_Toc38439063"/>
      <w:bookmarkStart w:id="837" w:name="_Toc38439400"/>
      <w:bookmarkStart w:id="838" w:name="_Toc38439737"/>
      <w:bookmarkStart w:id="839" w:name="_Toc38440074"/>
      <w:bookmarkStart w:id="840" w:name="_Toc38440411"/>
      <w:bookmarkStart w:id="841" w:name="_Toc38440943"/>
      <w:bookmarkStart w:id="842" w:name="_Toc38441275"/>
      <w:bookmarkStart w:id="843" w:name="_Toc38441607"/>
      <w:bookmarkStart w:id="844" w:name="_Toc38441935"/>
      <w:bookmarkStart w:id="845" w:name="_Toc38442267"/>
      <w:bookmarkStart w:id="846" w:name="_Toc38442599"/>
      <w:bookmarkStart w:id="847" w:name="_Toc38442930"/>
      <w:bookmarkStart w:id="848" w:name="_Toc38443261"/>
      <w:bookmarkStart w:id="849" w:name="_Toc38443592"/>
      <w:bookmarkStart w:id="850" w:name="_Toc38443922"/>
      <w:bookmarkStart w:id="851" w:name="_Toc38438390"/>
      <w:bookmarkStart w:id="852" w:name="_Toc38438727"/>
      <w:bookmarkStart w:id="853" w:name="_Toc38439064"/>
      <w:bookmarkStart w:id="854" w:name="_Toc38439401"/>
      <w:bookmarkStart w:id="855" w:name="_Toc38439738"/>
      <w:bookmarkStart w:id="856" w:name="_Toc38440075"/>
      <w:bookmarkStart w:id="857" w:name="_Toc38440412"/>
      <w:bookmarkStart w:id="858" w:name="_Toc38440944"/>
      <w:bookmarkStart w:id="859" w:name="_Toc38441276"/>
      <w:bookmarkStart w:id="860" w:name="_Toc38441608"/>
      <w:bookmarkStart w:id="861" w:name="_Toc38441936"/>
      <w:bookmarkStart w:id="862" w:name="_Toc38442268"/>
      <w:bookmarkStart w:id="863" w:name="_Toc38442600"/>
      <w:bookmarkStart w:id="864" w:name="_Toc38442931"/>
      <w:bookmarkStart w:id="865" w:name="_Toc38443262"/>
      <w:bookmarkStart w:id="866" w:name="_Toc38443593"/>
      <w:bookmarkStart w:id="867" w:name="_Toc38443923"/>
      <w:bookmarkStart w:id="868" w:name="_Toc38438391"/>
      <w:bookmarkStart w:id="869" w:name="_Toc38438728"/>
      <w:bookmarkStart w:id="870" w:name="_Toc38439065"/>
      <w:bookmarkStart w:id="871" w:name="_Toc38439402"/>
      <w:bookmarkStart w:id="872" w:name="_Toc38439739"/>
      <w:bookmarkStart w:id="873" w:name="_Toc38440076"/>
      <w:bookmarkStart w:id="874" w:name="_Toc38440413"/>
      <w:bookmarkStart w:id="875" w:name="_Toc38440945"/>
      <w:bookmarkStart w:id="876" w:name="_Toc38441277"/>
      <w:bookmarkStart w:id="877" w:name="_Toc38441609"/>
      <w:bookmarkStart w:id="878" w:name="_Toc38441937"/>
      <w:bookmarkStart w:id="879" w:name="_Toc38442269"/>
      <w:bookmarkStart w:id="880" w:name="_Toc38442601"/>
      <w:bookmarkStart w:id="881" w:name="_Toc38442932"/>
      <w:bookmarkStart w:id="882" w:name="_Toc38443263"/>
      <w:bookmarkStart w:id="883" w:name="_Toc38443594"/>
      <w:bookmarkStart w:id="884" w:name="_Toc38443924"/>
      <w:bookmarkStart w:id="885" w:name="_Toc38438392"/>
      <w:bookmarkStart w:id="886" w:name="_Toc38438729"/>
      <w:bookmarkStart w:id="887" w:name="_Toc38439066"/>
      <w:bookmarkStart w:id="888" w:name="_Toc38439403"/>
      <w:bookmarkStart w:id="889" w:name="_Toc38439740"/>
      <w:bookmarkStart w:id="890" w:name="_Toc38440077"/>
      <w:bookmarkStart w:id="891" w:name="_Toc38440414"/>
      <w:bookmarkStart w:id="892" w:name="_Toc38440946"/>
      <w:bookmarkStart w:id="893" w:name="_Toc38441278"/>
      <w:bookmarkStart w:id="894" w:name="_Toc38441610"/>
      <w:bookmarkStart w:id="895" w:name="_Toc38441938"/>
      <w:bookmarkStart w:id="896" w:name="_Toc38442270"/>
      <w:bookmarkStart w:id="897" w:name="_Toc38442602"/>
      <w:bookmarkStart w:id="898" w:name="_Toc38442933"/>
      <w:bookmarkStart w:id="899" w:name="_Toc38443264"/>
      <w:bookmarkStart w:id="900" w:name="_Toc38443595"/>
      <w:bookmarkStart w:id="901" w:name="_Toc38443925"/>
      <w:bookmarkStart w:id="902" w:name="_Toc38438393"/>
      <w:bookmarkStart w:id="903" w:name="_Toc38438730"/>
      <w:bookmarkStart w:id="904" w:name="_Toc38439067"/>
      <w:bookmarkStart w:id="905" w:name="_Toc38439404"/>
      <w:bookmarkStart w:id="906" w:name="_Toc38439741"/>
      <w:bookmarkStart w:id="907" w:name="_Toc38440078"/>
      <w:bookmarkStart w:id="908" w:name="_Toc38440415"/>
      <w:bookmarkStart w:id="909" w:name="_Toc38440947"/>
      <w:bookmarkStart w:id="910" w:name="_Toc38441279"/>
      <w:bookmarkStart w:id="911" w:name="_Toc38441611"/>
      <w:bookmarkStart w:id="912" w:name="_Toc38441939"/>
      <w:bookmarkStart w:id="913" w:name="_Toc38442271"/>
      <w:bookmarkStart w:id="914" w:name="_Toc38442603"/>
      <w:bookmarkStart w:id="915" w:name="_Toc38442934"/>
      <w:bookmarkStart w:id="916" w:name="_Toc38443265"/>
      <w:bookmarkStart w:id="917" w:name="_Toc38443596"/>
      <w:bookmarkStart w:id="918" w:name="_Toc38443926"/>
      <w:bookmarkStart w:id="919" w:name="_Toc38438394"/>
      <w:bookmarkStart w:id="920" w:name="_Toc38438731"/>
      <w:bookmarkStart w:id="921" w:name="_Toc38439068"/>
      <w:bookmarkStart w:id="922" w:name="_Toc38439405"/>
      <w:bookmarkStart w:id="923" w:name="_Toc38439742"/>
      <w:bookmarkStart w:id="924" w:name="_Toc38440079"/>
      <w:bookmarkStart w:id="925" w:name="_Toc38440416"/>
      <w:bookmarkStart w:id="926" w:name="_Toc38440948"/>
      <w:bookmarkStart w:id="927" w:name="_Toc38441280"/>
      <w:bookmarkStart w:id="928" w:name="_Toc38441612"/>
      <w:bookmarkStart w:id="929" w:name="_Toc38441940"/>
      <w:bookmarkStart w:id="930" w:name="_Toc38442272"/>
      <w:bookmarkStart w:id="931" w:name="_Toc38442604"/>
      <w:bookmarkStart w:id="932" w:name="_Toc38442935"/>
      <w:bookmarkStart w:id="933" w:name="_Toc38443266"/>
      <w:bookmarkStart w:id="934" w:name="_Toc38443597"/>
      <w:bookmarkStart w:id="935" w:name="_Toc38443927"/>
      <w:bookmarkStart w:id="936" w:name="_Toc38438395"/>
      <w:bookmarkStart w:id="937" w:name="_Toc38438732"/>
      <w:bookmarkStart w:id="938" w:name="_Toc38439069"/>
      <w:bookmarkStart w:id="939" w:name="_Toc38439406"/>
      <w:bookmarkStart w:id="940" w:name="_Toc38439743"/>
      <w:bookmarkStart w:id="941" w:name="_Toc38440080"/>
      <w:bookmarkStart w:id="942" w:name="_Toc38440417"/>
      <w:bookmarkStart w:id="943" w:name="_Toc38440949"/>
      <w:bookmarkStart w:id="944" w:name="_Toc38441281"/>
      <w:bookmarkStart w:id="945" w:name="_Toc38441613"/>
      <w:bookmarkStart w:id="946" w:name="_Toc38441941"/>
      <w:bookmarkStart w:id="947" w:name="_Toc38442273"/>
      <w:bookmarkStart w:id="948" w:name="_Toc38442605"/>
      <w:bookmarkStart w:id="949" w:name="_Toc38442936"/>
      <w:bookmarkStart w:id="950" w:name="_Toc38443267"/>
      <w:bookmarkStart w:id="951" w:name="_Toc38443598"/>
      <w:bookmarkStart w:id="952" w:name="_Toc38443928"/>
      <w:bookmarkStart w:id="953" w:name="_Toc38438396"/>
      <w:bookmarkStart w:id="954" w:name="_Toc38438733"/>
      <w:bookmarkStart w:id="955" w:name="_Toc38439070"/>
      <w:bookmarkStart w:id="956" w:name="_Toc38439407"/>
      <w:bookmarkStart w:id="957" w:name="_Toc38439744"/>
      <w:bookmarkStart w:id="958" w:name="_Toc38440081"/>
      <w:bookmarkStart w:id="959" w:name="_Toc38440418"/>
      <w:bookmarkStart w:id="960" w:name="_Toc38440950"/>
      <w:bookmarkStart w:id="961" w:name="_Toc38441282"/>
      <w:bookmarkStart w:id="962" w:name="_Toc38441614"/>
      <w:bookmarkStart w:id="963" w:name="_Toc38441942"/>
      <w:bookmarkStart w:id="964" w:name="_Toc38442274"/>
      <w:bookmarkStart w:id="965" w:name="_Toc38442606"/>
      <w:bookmarkStart w:id="966" w:name="_Toc38442937"/>
      <w:bookmarkStart w:id="967" w:name="_Toc38443268"/>
      <w:bookmarkStart w:id="968" w:name="_Toc38443599"/>
      <w:bookmarkStart w:id="969" w:name="_Toc38443929"/>
      <w:bookmarkStart w:id="970" w:name="_Toc38438397"/>
      <w:bookmarkStart w:id="971" w:name="_Toc38438734"/>
      <w:bookmarkStart w:id="972" w:name="_Toc38439071"/>
      <w:bookmarkStart w:id="973" w:name="_Toc38439408"/>
      <w:bookmarkStart w:id="974" w:name="_Toc38439745"/>
      <w:bookmarkStart w:id="975" w:name="_Toc38440082"/>
      <w:bookmarkStart w:id="976" w:name="_Toc38440419"/>
      <w:bookmarkStart w:id="977" w:name="_Toc38440951"/>
      <w:bookmarkStart w:id="978" w:name="_Toc38441283"/>
      <w:bookmarkStart w:id="979" w:name="_Toc38441615"/>
      <w:bookmarkStart w:id="980" w:name="_Toc38441943"/>
      <w:bookmarkStart w:id="981" w:name="_Toc38442275"/>
      <w:bookmarkStart w:id="982" w:name="_Toc38442607"/>
      <w:bookmarkStart w:id="983" w:name="_Toc38442938"/>
      <w:bookmarkStart w:id="984" w:name="_Toc38443269"/>
      <w:bookmarkStart w:id="985" w:name="_Toc38443600"/>
      <w:bookmarkStart w:id="986" w:name="_Toc38443930"/>
      <w:bookmarkStart w:id="987" w:name="_Toc38438398"/>
      <w:bookmarkStart w:id="988" w:name="_Toc38438735"/>
      <w:bookmarkStart w:id="989" w:name="_Toc38439072"/>
      <w:bookmarkStart w:id="990" w:name="_Toc38439409"/>
      <w:bookmarkStart w:id="991" w:name="_Toc38439746"/>
      <w:bookmarkStart w:id="992" w:name="_Toc38440083"/>
      <w:bookmarkStart w:id="993" w:name="_Toc38440420"/>
      <w:bookmarkStart w:id="994" w:name="_Toc38440952"/>
      <w:bookmarkStart w:id="995" w:name="_Toc38441284"/>
      <w:bookmarkStart w:id="996" w:name="_Toc38441616"/>
      <w:bookmarkStart w:id="997" w:name="_Toc38441944"/>
      <w:bookmarkStart w:id="998" w:name="_Toc38442276"/>
      <w:bookmarkStart w:id="999" w:name="_Toc38442608"/>
      <w:bookmarkStart w:id="1000" w:name="_Toc38442939"/>
      <w:bookmarkStart w:id="1001" w:name="_Toc38443270"/>
      <w:bookmarkStart w:id="1002" w:name="_Toc38443601"/>
      <w:bookmarkStart w:id="1003" w:name="_Toc38443931"/>
      <w:bookmarkStart w:id="1004" w:name="_Toc38438400"/>
      <w:bookmarkStart w:id="1005" w:name="_Toc38438737"/>
      <w:bookmarkStart w:id="1006" w:name="_Toc38439074"/>
      <w:bookmarkStart w:id="1007" w:name="_Toc38439411"/>
      <w:bookmarkStart w:id="1008" w:name="_Toc38439748"/>
      <w:bookmarkStart w:id="1009" w:name="_Toc38440085"/>
      <w:bookmarkStart w:id="1010" w:name="_Toc38440422"/>
      <w:bookmarkStart w:id="1011" w:name="_Toc38440954"/>
      <w:bookmarkStart w:id="1012" w:name="_Toc38441286"/>
      <w:bookmarkStart w:id="1013" w:name="_Toc38441618"/>
      <w:bookmarkStart w:id="1014" w:name="_Toc38441946"/>
      <w:bookmarkStart w:id="1015" w:name="_Toc38442278"/>
      <w:bookmarkStart w:id="1016" w:name="_Toc38442610"/>
      <w:bookmarkStart w:id="1017" w:name="_Toc38442941"/>
      <w:bookmarkStart w:id="1018" w:name="_Toc38443272"/>
      <w:bookmarkStart w:id="1019" w:name="_Toc38443603"/>
      <w:bookmarkStart w:id="1020" w:name="_Toc38443933"/>
      <w:bookmarkStart w:id="1021" w:name="_Toc38438401"/>
      <w:bookmarkStart w:id="1022" w:name="_Toc38438738"/>
      <w:bookmarkStart w:id="1023" w:name="_Toc38439075"/>
      <w:bookmarkStart w:id="1024" w:name="_Toc38439412"/>
      <w:bookmarkStart w:id="1025" w:name="_Toc38439749"/>
      <w:bookmarkStart w:id="1026" w:name="_Toc38440086"/>
      <w:bookmarkStart w:id="1027" w:name="_Toc38440423"/>
      <w:bookmarkStart w:id="1028" w:name="_Toc38440955"/>
      <w:bookmarkStart w:id="1029" w:name="_Toc38441287"/>
      <w:bookmarkStart w:id="1030" w:name="_Toc38441619"/>
      <w:bookmarkStart w:id="1031" w:name="_Toc38441947"/>
      <w:bookmarkStart w:id="1032" w:name="_Toc38442279"/>
      <w:bookmarkStart w:id="1033" w:name="_Toc38442611"/>
      <w:bookmarkStart w:id="1034" w:name="_Toc38442942"/>
      <w:bookmarkStart w:id="1035" w:name="_Toc38443273"/>
      <w:bookmarkStart w:id="1036" w:name="_Toc38443604"/>
      <w:bookmarkStart w:id="1037" w:name="_Toc38443934"/>
      <w:bookmarkStart w:id="1038" w:name="_Toc38438402"/>
      <w:bookmarkStart w:id="1039" w:name="_Toc38438739"/>
      <w:bookmarkStart w:id="1040" w:name="_Toc38439076"/>
      <w:bookmarkStart w:id="1041" w:name="_Toc38439413"/>
      <w:bookmarkStart w:id="1042" w:name="_Toc38439750"/>
      <w:bookmarkStart w:id="1043" w:name="_Toc38440087"/>
      <w:bookmarkStart w:id="1044" w:name="_Toc38440424"/>
      <w:bookmarkStart w:id="1045" w:name="_Toc38440956"/>
      <w:bookmarkStart w:id="1046" w:name="_Toc38441288"/>
      <w:bookmarkStart w:id="1047" w:name="_Toc38441620"/>
      <w:bookmarkStart w:id="1048" w:name="_Toc38441948"/>
      <w:bookmarkStart w:id="1049" w:name="_Toc38442280"/>
      <w:bookmarkStart w:id="1050" w:name="_Toc38442612"/>
      <w:bookmarkStart w:id="1051" w:name="_Toc38442943"/>
      <w:bookmarkStart w:id="1052" w:name="_Toc38443274"/>
      <w:bookmarkStart w:id="1053" w:name="_Toc38443605"/>
      <w:bookmarkStart w:id="1054" w:name="_Toc38443935"/>
      <w:bookmarkStart w:id="1055" w:name="_Toc38438404"/>
      <w:bookmarkStart w:id="1056" w:name="_Toc38438741"/>
      <w:bookmarkStart w:id="1057" w:name="_Toc38439078"/>
      <w:bookmarkStart w:id="1058" w:name="_Toc38439415"/>
      <w:bookmarkStart w:id="1059" w:name="_Toc38439752"/>
      <w:bookmarkStart w:id="1060" w:name="_Toc38440089"/>
      <w:bookmarkStart w:id="1061" w:name="_Toc38440426"/>
      <w:bookmarkStart w:id="1062" w:name="_Toc38440958"/>
      <w:bookmarkStart w:id="1063" w:name="_Toc38441290"/>
      <w:bookmarkStart w:id="1064" w:name="_Toc38441622"/>
      <w:bookmarkStart w:id="1065" w:name="_Toc38441950"/>
      <w:bookmarkStart w:id="1066" w:name="_Toc38442282"/>
      <w:bookmarkStart w:id="1067" w:name="_Toc38442614"/>
      <w:bookmarkStart w:id="1068" w:name="_Toc38442945"/>
      <w:bookmarkStart w:id="1069" w:name="_Toc38443276"/>
      <w:bookmarkStart w:id="1070" w:name="_Toc38443607"/>
      <w:bookmarkStart w:id="1071" w:name="_Toc38443937"/>
      <w:bookmarkStart w:id="1072" w:name="_Toc38438405"/>
      <w:bookmarkStart w:id="1073" w:name="_Toc38438742"/>
      <w:bookmarkStart w:id="1074" w:name="_Toc38439079"/>
      <w:bookmarkStart w:id="1075" w:name="_Toc38439416"/>
      <w:bookmarkStart w:id="1076" w:name="_Toc38439753"/>
      <w:bookmarkStart w:id="1077" w:name="_Toc38440090"/>
      <w:bookmarkStart w:id="1078" w:name="_Toc38440427"/>
      <w:bookmarkStart w:id="1079" w:name="_Toc38440959"/>
      <w:bookmarkStart w:id="1080" w:name="_Toc38441291"/>
      <w:bookmarkStart w:id="1081" w:name="_Toc38441623"/>
      <w:bookmarkStart w:id="1082" w:name="_Toc38441951"/>
      <w:bookmarkStart w:id="1083" w:name="_Toc38442283"/>
      <w:bookmarkStart w:id="1084" w:name="_Toc38442615"/>
      <w:bookmarkStart w:id="1085" w:name="_Toc38442946"/>
      <w:bookmarkStart w:id="1086" w:name="_Toc38443277"/>
      <w:bookmarkStart w:id="1087" w:name="_Toc38443608"/>
      <w:bookmarkStart w:id="1088" w:name="_Toc38443938"/>
      <w:bookmarkStart w:id="1089" w:name="_Toc38438406"/>
      <w:bookmarkStart w:id="1090" w:name="_Toc38438743"/>
      <w:bookmarkStart w:id="1091" w:name="_Toc38439080"/>
      <w:bookmarkStart w:id="1092" w:name="_Toc38439417"/>
      <w:bookmarkStart w:id="1093" w:name="_Toc38439754"/>
      <w:bookmarkStart w:id="1094" w:name="_Toc38440091"/>
      <w:bookmarkStart w:id="1095" w:name="_Toc38440428"/>
      <w:bookmarkStart w:id="1096" w:name="_Toc38440960"/>
      <w:bookmarkStart w:id="1097" w:name="_Toc38441292"/>
      <w:bookmarkStart w:id="1098" w:name="_Toc38441624"/>
      <w:bookmarkStart w:id="1099" w:name="_Toc38441952"/>
      <w:bookmarkStart w:id="1100" w:name="_Toc38442284"/>
      <w:bookmarkStart w:id="1101" w:name="_Toc38442616"/>
      <w:bookmarkStart w:id="1102" w:name="_Toc38442947"/>
      <w:bookmarkStart w:id="1103" w:name="_Toc38443278"/>
      <w:bookmarkStart w:id="1104" w:name="_Toc38443609"/>
      <w:bookmarkStart w:id="1105" w:name="_Toc38443939"/>
      <w:bookmarkStart w:id="1106" w:name="_Toc38438407"/>
      <w:bookmarkStart w:id="1107" w:name="_Toc38438744"/>
      <w:bookmarkStart w:id="1108" w:name="_Toc38439081"/>
      <w:bookmarkStart w:id="1109" w:name="_Toc38439418"/>
      <w:bookmarkStart w:id="1110" w:name="_Toc38439755"/>
      <w:bookmarkStart w:id="1111" w:name="_Toc38440092"/>
      <w:bookmarkStart w:id="1112" w:name="_Toc38440429"/>
      <w:bookmarkStart w:id="1113" w:name="_Toc38440961"/>
      <w:bookmarkStart w:id="1114" w:name="_Toc38441293"/>
      <w:bookmarkStart w:id="1115" w:name="_Toc38441625"/>
      <w:bookmarkStart w:id="1116" w:name="_Toc38441953"/>
      <w:bookmarkStart w:id="1117" w:name="_Toc38442285"/>
      <w:bookmarkStart w:id="1118" w:name="_Toc38442617"/>
      <w:bookmarkStart w:id="1119" w:name="_Toc38442948"/>
      <w:bookmarkStart w:id="1120" w:name="_Toc38443279"/>
      <w:bookmarkStart w:id="1121" w:name="_Toc38443610"/>
      <w:bookmarkStart w:id="1122" w:name="_Toc38443940"/>
      <w:bookmarkStart w:id="1123" w:name="_Toc38438408"/>
      <w:bookmarkStart w:id="1124" w:name="_Toc38438745"/>
      <w:bookmarkStart w:id="1125" w:name="_Toc38439082"/>
      <w:bookmarkStart w:id="1126" w:name="_Toc38439419"/>
      <w:bookmarkStart w:id="1127" w:name="_Toc38439756"/>
      <w:bookmarkStart w:id="1128" w:name="_Toc38440093"/>
      <w:bookmarkStart w:id="1129" w:name="_Toc38440430"/>
      <w:bookmarkStart w:id="1130" w:name="_Toc38440962"/>
      <w:bookmarkStart w:id="1131" w:name="_Toc38441294"/>
      <w:bookmarkStart w:id="1132" w:name="_Toc38441626"/>
      <w:bookmarkStart w:id="1133" w:name="_Toc38441954"/>
      <w:bookmarkStart w:id="1134" w:name="_Toc38442286"/>
      <w:bookmarkStart w:id="1135" w:name="_Toc38442618"/>
      <w:bookmarkStart w:id="1136" w:name="_Toc38442949"/>
      <w:bookmarkStart w:id="1137" w:name="_Toc38443280"/>
      <w:bookmarkStart w:id="1138" w:name="_Toc38443611"/>
      <w:bookmarkStart w:id="1139" w:name="_Toc38443941"/>
      <w:bookmarkStart w:id="1140" w:name="_Toc38438409"/>
      <w:bookmarkStart w:id="1141" w:name="_Toc38438746"/>
      <w:bookmarkStart w:id="1142" w:name="_Toc38439083"/>
      <w:bookmarkStart w:id="1143" w:name="_Toc38439420"/>
      <w:bookmarkStart w:id="1144" w:name="_Toc38439757"/>
      <w:bookmarkStart w:id="1145" w:name="_Toc38440094"/>
      <w:bookmarkStart w:id="1146" w:name="_Toc38440431"/>
      <w:bookmarkStart w:id="1147" w:name="_Toc38440963"/>
      <w:bookmarkStart w:id="1148" w:name="_Toc38441295"/>
      <w:bookmarkStart w:id="1149" w:name="_Toc38441627"/>
      <w:bookmarkStart w:id="1150" w:name="_Toc38441955"/>
      <w:bookmarkStart w:id="1151" w:name="_Toc38442287"/>
      <w:bookmarkStart w:id="1152" w:name="_Toc38442619"/>
      <w:bookmarkStart w:id="1153" w:name="_Toc38442950"/>
      <w:bookmarkStart w:id="1154" w:name="_Toc38443281"/>
      <w:bookmarkStart w:id="1155" w:name="_Toc38443612"/>
      <w:bookmarkStart w:id="1156" w:name="_Toc38443942"/>
      <w:bookmarkStart w:id="1157" w:name="_Toc38438410"/>
      <w:bookmarkStart w:id="1158" w:name="_Toc38438747"/>
      <w:bookmarkStart w:id="1159" w:name="_Toc38439084"/>
      <w:bookmarkStart w:id="1160" w:name="_Toc38439421"/>
      <w:bookmarkStart w:id="1161" w:name="_Toc38439758"/>
      <w:bookmarkStart w:id="1162" w:name="_Toc38440095"/>
      <w:bookmarkStart w:id="1163" w:name="_Toc38440432"/>
      <w:bookmarkStart w:id="1164" w:name="_Toc38440964"/>
      <w:bookmarkStart w:id="1165" w:name="_Toc38441296"/>
      <w:bookmarkStart w:id="1166" w:name="_Toc38441628"/>
      <w:bookmarkStart w:id="1167" w:name="_Toc38441956"/>
      <w:bookmarkStart w:id="1168" w:name="_Toc38442288"/>
      <w:bookmarkStart w:id="1169" w:name="_Toc38442620"/>
      <w:bookmarkStart w:id="1170" w:name="_Toc38442951"/>
      <w:bookmarkStart w:id="1171" w:name="_Toc38443282"/>
      <w:bookmarkStart w:id="1172" w:name="_Toc38443613"/>
      <w:bookmarkStart w:id="1173" w:name="_Toc38443943"/>
      <w:bookmarkStart w:id="1174" w:name="_Toc38438411"/>
      <w:bookmarkStart w:id="1175" w:name="_Toc38438748"/>
      <w:bookmarkStart w:id="1176" w:name="_Toc38439085"/>
      <w:bookmarkStart w:id="1177" w:name="_Toc38439422"/>
      <w:bookmarkStart w:id="1178" w:name="_Toc38439759"/>
      <w:bookmarkStart w:id="1179" w:name="_Toc38440096"/>
      <w:bookmarkStart w:id="1180" w:name="_Toc38440433"/>
      <w:bookmarkStart w:id="1181" w:name="_Toc38440965"/>
      <w:bookmarkStart w:id="1182" w:name="_Toc38441297"/>
      <w:bookmarkStart w:id="1183" w:name="_Toc38441629"/>
      <w:bookmarkStart w:id="1184" w:name="_Toc38441957"/>
      <w:bookmarkStart w:id="1185" w:name="_Toc38442289"/>
      <w:bookmarkStart w:id="1186" w:name="_Toc38442621"/>
      <w:bookmarkStart w:id="1187" w:name="_Toc38442952"/>
      <w:bookmarkStart w:id="1188" w:name="_Toc38443283"/>
      <w:bookmarkStart w:id="1189" w:name="_Toc38443614"/>
      <w:bookmarkStart w:id="1190" w:name="_Toc38443944"/>
      <w:bookmarkStart w:id="1191" w:name="_Toc38438412"/>
      <w:bookmarkStart w:id="1192" w:name="_Toc38438749"/>
      <w:bookmarkStart w:id="1193" w:name="_Toc38439086"/>
      <w:bookmarkStart w:id="1194" w:name="_Toc38439423"/>
      <w:bookmarkStart w:id="1195" w:name="_Toc38439760"/>
      <w:bookmarkStart w:id="1196" w:name="_Toc38440097"/>
      <w:bookmarkStart w:id="1197" w:name="_Toc38440434"/>
      <w:bookmarkStart w:id="1198" w:name="_Toc38440966"/>
      <w:bookmarkStart w:id="1199" w:name="_Toc38441298"/>
      <w:bookmarkStart w:id="1200" w:name="_Toc38441630"/>
      <w:bookmarkStart w:id="1201" w:name="_Toc38441958"/>
      <w:bookmarkStart w:id="1202" w:name="_Toc38442290"/>
      <w:bookmarkStart w:id="1203" w:name="_Toc38442622"/>
      <w:bookmarkStart w:id="1204" w:name="_Toc38442953"/>
      <w:bookmarkStart w:id="1205" w:name="_Toc38443284"/>
      <w:bookmarkStart w:id="1206" w:name="_Toc38443615"/>
      <w:bookmarkStart w:id="1207" w:name="_Toc38443945"/>
      <w:bookmarkStart w:id="1208" w:name="_Toc38438413"/>
      <w:bookmarkStart w:id="1209" w:name="_Toc38438750"/>
      <w:bookmarkStart w:id="1210" w:name="_Toc38439087"/>
      <w:bookmarkStart w:id="1211" w:name="_Toc38439424"/>
      <w:bookmarkStart w:id="1212" w:name="_Toc38439761"/>
      <w:bookmarkStart w:id="1213" w:name="_Toc38440098"/>
      <w:bookmarkStart w:id="1214" w:name="_Toc38440435"/>
      <w:bookmarkStart w:id="1215" w:name="_Toc38440967"/>
      <w:bookmarkStart w:id="1216" w:name="_Toc38441299"/>
      <w:bookmarkStart w:id="1217" w:name="_Toc38441631"/>
      <w:bookmarkStart w:id="1218" w:name="_Toc38441959"/>
      <w:bookmarkStart w:id="1219" w:name="_Toc38442291"/>
      <w:bookmarkStart w:id="1220" w:name="_Toc38442623"/>
      <w:bookmarkStart w:id="1221" w:name="_Toc38442954"/>
      <w:bookmarkStart w:id="1222" w:name="_Toc38443285"/>
      <w:bookmarkStart w:id="1223" w:name="_Toc38443616"/>
      <w:bookmarkStart w:id="1224" w:name="_Toc38443946"/>
      <w:bookmarkStart w:id="1225" w:name="_Toc38438414"/>
      <w:bookmarkStart w:id="1226" w:name="_Toc38438751"/>
      <w:bookmarkStart w:id="1227" w:name="_Toc38439088"/>
      <w:bookmarkStart w:id="1228" w:name="_Toc38439425"/>
      <w:bookmarkStart w:id="1229" w:name="_Toc38439762"/>
      <w:bookmarkStart w:id="1230" w:name="_Toc38440099"/>
      <w:bookmarkStart w:id="1231" w:name="_Toc38440436"/>
      <w:bookmarkStart w:id="1232" w:name="_Toc38440968"/>
      <w:bookmarkStart w:id="1233" w:name="_Toc38441300"/>
      <w:bookmarkStart w:id="1234" w:name="_Toc38441632"/>
      <w:bookmarkStart w:id="1235" w:name="_Toc38441960"/>
      <w:bookmarkStart w:id="1236" w:name="_Toc38442292"/>
      <w:bookmarkStart w:id="1237" w:name="_Toc38442624"/>
      <w:bookmarkStart w:id="1238" w:name="_Toc38442955"/>
      <w:bookmarkStart w:id="1239" w:name="_Toc38443286"/>
      <w:bookmarkStart w:id="1240" w:name="_Toc38443617"/>
      <w:bookmarkStart w:id="1241" w:name="_Toc38443947"/>
      <w:bookmarkStart w:id="1242" w:name="_Toc38438415"/>
      <w:bookmarkStart w:id="1243" w:name="_Toc38438752"/>
      <w:bookmarkStart w:id="1244" w:name="_Toc38439089"/>
      <w:bookmarkStart w:id="1245" w:name="_Toc38439426"/>
      <w:bookmarkStart w:id="1246" w:name="_Toc38439763"/>
      <w:bookmarkStart w:id="1247" w:name="_Toc38440100"/>
      <w:bookmarkStart w:id="1248" w:name="_Toc38440437"/>
      <w:bookmarkStart w:id="1249" w:name="_Toc38440969"/>
      <w:bookmarkStart w:id="1250" w:name="_Toc38441301"/>
      <w:bookmarkStart w:id="1251" w:name="_Toc38441633"/>
      <w:bookmarkStart w:id="1252" w:name="_Toc38441961"/>
      <w:bookmarkStart w:id="1253" w:name="_Toc38442293"/>
      <w:bookmarkStart w:id="1254" w:name="_Toc38442625"/>
      <w:bookmarkStart w:id="1255" w:name="_Toc38442956"/>
      <w:bookmarkStart w:id="1256" w:name="_Toc38443287"/>
      <w:bookmarkStart w:id="1257" w:name="_Toc38443618"/>
      <w:bookmarkStart w:id="1258" w:name="_Toc38443948"/>
      <w:bookmarkStart w:id="1259" w:name="_Toc38438416"/>
      <w:bookmarkStart w:id="1260" w:name="_Toc38438753"/>
      <w:bookmarkStart w:id="1261" w:name="_Toc38439090"/>
      <w:bookmarkStart w:id="1262" w:name="_Toc38439427"/>
      <w:bookmarkStart w:id="1263" w:name="_Toc38439764"/>
      <w:bookmarkStart w:id="1264" w:name="_Toc38440101"/>
      <w:bookmarkStart w:id="1265" w:name="_Toc38440438"/>
      <w:bookmarkStart w:id="1266" w:name="_Toc38440970"/>
      <w:bookmarkStart w:id="1267" w:name="_Toc38441302"/>
      <w:bookmarkStart w:id="1268" w:name="_Toc38441634"/>
      <w:bookmarkStart w:id="1269" w:name="_Toc38441962"/>
      <w:bookmarkStart w:id="1270" w:name="_Toc38442294"/>
      <w:bookmarkStart w:id="1271" w:name="_Toc38442626"/>
      <w:bookmarkStart w:id="1272" w:name="_Toc38442957"/>
      <w:bookmarkStart w:id="1273" w:name="_Toc38443288"/>
      <w:bookmarkStart w:id="1274" w:name="_Toc38443619"/>
      <w:bookmarkStart w:id="1275" w:name="_Toc38443949"/>
      <w:bookmarkStart w:id="1276" w:name="_Toc38438417"/>
      <w:bookmarkStart w:id="1277" w:name="_Toc38438754"/>
      <w:bookmarkStart w:id="1278" w:name="_Toc38439091"/>
      <w:bookmarkStart w:id="1279" w:name="_Toc38439428"/>
      <w:bookmarkStart w:id="1280" w:name="_Toc38439765"/>
      <w:bookmarkStart w:id="1281" w:name="_Toc38440102"/>
      <w:bookmarkStart w:id="1282" w:name="_Toc38440439"/>
      <w:bookmarkStart w:id="1283" w:name="_Toc38440971"/>
      <w:bookmarkStart w:id="1284" w:name="_Toc38441303"/>
      <w:bookmarkStart w:id="1285" w:name="_Toc38441635"/>
      <w:bookmarkStart w:id="1286" w:name="_Toc38441963"/>
      <w:bookmarkStart w:id="1287" w:name="_Toc38442295"/>
      <w:bookmarkStart w:id="1288" w:name="_Toc38442627"/>
      <w:bookmarkStart w:id="1289" w:name="_Toc38442958"/>
      <w:bookmarkStart w:id="1290" w:name="_Toc38443289"/>
      <w:bookmarkStart w:id="1291" w:name="_Toc38443620"/>
      <w:bookmarkStart w:id="1292" w:name="_Toc38443950"/>
      <w:bookmarkStart w:id="1293" w:name="_Toc38438418"/>
      <w:bookmarkStart w:id="1294" w:name="_Toc38438755"/>
      <w:bookmarkStart w:id="1295" w:name="_Toc38439092"/>
      <w:bookmarkStart w:id="1296" w:name="_Toc38439429"/>
      <w:bookmarkStart w:id="1297" w:name="_Toc38439766"/>
      <w:bookmarkStart w:id="1298" w:name="_Toc38440103"/>
      <w:bookmarkStart w:id="1299" w:name="_Toc38440440"/>
      <w:bookmarkStart w:id="1300" w:name="_Toc38440972"/>
      <w:bookmarkStart w:id="1301" w:name="_Toc38441304"/>
      <w:bookmarkStart w:id="1302" w:name="_Toc38441636"/>
      <w:bookmarkStart w:id="1303" w:name="_Toc38441964"/>
      <w:bookmarkStart w:id="1304" w:name="_Toc38442296"/>
      <w:bookmarkStart w:id="1305" w:name="_Toc38442628"/>
      <w:bookmarkStart w:id="1306" w:name="_Toc38442959"/>
      <w:bookmarkStart w:id="1307" w:name="_Toc38443290"/>
      <w:bookmarkStart w:id="1308" w:name="_Toc38443621"/>
      <w:bookmarkStart w:id="1309" w:name="_Toc38443951"/>
      <w:bookmarkStart w:id="1310" w:name="_Toc38438419"/>
      <w:bookmarkStart w:id="1311" w:name="_Toc38438756"/>
      <w:bookmarkStart w:id="1312" w:name="_Toc38439093"/>
      <w:bookmarkStart w:id="1313" w:name="_Toc38439430"/>
      <w:bookmarkStart w:id="1314" w:name="_Toc38439767"/>
      <w:bookmarkStart w:id="1315" w:name="_Toc38440104"/>
      <w:bookmarkStart w:id="1316" w:name="_Toc38440441"/>
      <w:bookmarkStart w:id="1317" w:name="_Toc38440973"/>
      <w:bookmarkStart w:id="1318" w:name="_Toc38441305"/>
      <w:bookmarkStart w:id="1319" w:name="_Toc38441637"/>
      <w:bookmarkStart w:id="1320" w:name="_Toc38441965"/>
      <w:bookmarkStart w:id="1321" w:name="_Toc38442297"/>
      <w:bookmarkStart w:id="1322" w:name="_Toc38442629"/>
      <w:bookmarkStart w:id="1323" w:name="_Toc38442960"/>
      <w:bookmarkStart w:id="1324" w:name="_Toc38443291"/>
      <w:bookmarkStart w:id="1325" w:name="_Toc38443622"/>
      <w:bookmarkStart w:id="1326" w:name="_Toc38443952"/>
      <w:bookmarkStart w:id="1327" w:name="_Toc38438420"/>
      <w:bookmarkStart w:id="1328" w:name="_Toc38438757"/>
      <w:bookmarkStart w:id="1329" w:name="_Toc38439094"/>
      <w:bookmarkStart w:id="1330" w:name="_Toc38439431"/>
      <w:bookmarkStart w:id="1331" w:name="_Toc38439768"/>
      <w:bookmarkStart w:id="1332" w:name="_Toc38440105"/>
      <w:bookmarkStart w:id="1333" w:name="_Toc38440442"/>
      <w:bookmarkStart w:id="1334" w:name="_Toc38440974"/>
      <w:bookmarkStart w:id="1335" w:name="_Toc38441306"/>
      <w:bookmarkStart w:id="1336" w:name="_Toc38441638"/>
      <w:bookmarkStart w:id="1337" w:name="_Toc38441966"/>
      <w:bookmarkStart w:id="1338" w:name="_Toc38442298"/>
      <w:bookmarkStart w:id="1339" w:name="_Toc38442630"/>
      <w:bookmarkStart w:id="1340" w:name="_Toc38442961"/>
      <w:bookmarkStart w:id="1341" w:name="_Toc38443292"/>
      <w:bookmarkStart w:id="1342" w:name="_Toc38443623"/>
      <w:bookmarkStart w:id="1343" w:name="_Toc38443953"/>
      <w:bookmarkStart w:id="1344" w:name="_Toc38438421"/>
      <w:bookmarkStart w:id="1345" w:name="_Toc38438758"/>
      <w:bookmarkStart w:id="1346" w:name="_Toc38439095"/>
      <w:bookmarkStart w:id="1347" w:name="_Toc38439432"/>
      <w:bookmarkStart w:id="1348" w:name="_Toc38439769"/>
      <w:bookmarkStart w:id="1349" w:name="_Toc38440106"/>
      <w:bookmarkStart w:id="1350" w:name="_Toc38440443"/>
      <w:bookmarkStart w:id="1351" w:name="_Toc38440975"/>
      <w:bookmarkStart w:id="1352" w:name="_Toc38441307"/>
      <w:bookmarkStart w:id="1353" w:name="_Toc38441639"/>
      <w:bookmarkStart w:id="1354" w:name="_Toc38441967"/>
      <w:bookmarkStart w:id="1355" w:name="_Toc38442299"/>
      <w:bookmarkStart w:id="1356" w:name="_Toc38442631"/>
      <w:bookmarkStart w:id="1357" w:name="_Toc38442962"/>
      <w:bookmarkStart w:id="1358" w:name="_Toc38443293"/>
      <w:bookmarkStart w:id="1359" w:name="_Toc38443624"/>
      <w:bookmarkStart w:id="1360" w:name="_Toc38443954"/>
      <w:bookmarkStart w:id="1361" w:name="_Toc38438422"/>
      <w:bookmarkStart w:id="1362" w:name="_Toc38438759"/>
      <w:bookmarkStart w:id="1363" w:name="_Toc38439096"/>
      <w:bookmarkStart w:id="1364" w:name="_Toc38439433"/>
      <w:bookmarkStart w:id="1365" w:name="_Toc38439770"/>
      <w:bookmarkStart w:id="1366" w:name="_Toc38440107"/>
      <w:bookmarkStart w:id="1367" w:name="_Toc38440444"/>
      <w:bookmarkStart w:id="1368" w:name="_Toc38440976"/>
      <w:bookmarkStart w:id="1369" w:name="_Toc38441308"/>
      <w:bookmarkStart w:id="1370" w:name="_Toc38441640"/>
      <w:bookmarkStart w:id="1371" w:name="_Toc38441968"/>
      <w:bookmarkStart w:id="1372" w:name="_Toc38442300"/>
      <w:bookmarkStart w:id="1373" w:name="_Toc38442632"/>
      <w:bookmarkStart w:id="1374" w:name="_Toc38442963"/>
      <w:bookmarkStart w:id="1375" w:name="_Toc38443294"/>
      <w:bookmarkStart w:id="1376" w:name="_Toc38443625"/>
      <w:bookmarkStart w:id="1377" w:name="_Toc38443955"/>
      <w:bookmarkStart w:id="1378" w:name="_Toc38438423"/>
      <w:bookmarkStart w:id="1379" w:name="_Toc38438760"/>
      <w:bookmarkStart w:id="1380" w:name="_Toc38439097"/>
      <w:bookmarkStart w:id="1381" w:name="_Toc38439434"/>
      <w:bookmarkStart w:id="1382" w:name="_Toc38439771"/>
      <w:bookmarkStart w:id="1383" w:name="_Toc38440108"/>
      <w:bookmarkStart w:id="1384" w:name="_Toc38440445"/>
      <w:bookmarkStart w:id="1385" w:name="_Toc38440977"/>
      <w:bookmarkStart w:id="1386" w:name="_Toc38441309"/>
      <w:bookmarkStart w:id="1387" w:name="_Toc38441641"/>
      <w:bookmarkStart w:id="1388" w:name="_Toc38441969"/>
      <w:bookmarkStart w:id="1389" w:name="_Toc38442301"/>
      <w:bookmarkStart w:id="1390" w:name="_Toc38442633"/>
      <w:bookmarkStart w:id="1391" w:name="_Toc38442964"/>
      <w:bookmarkStart w:id="1392" w:name="_Toc38443295"/>
      <w:bookmarkStart w:id="1393" w:name="_Toc38443626"/>
      <w:bookmarkStart w:id="1394" w:name="_Toc38443956"/>
      <w:bookmarkStart w:id="1395" w:name="_Toc38438424"/>
      <w:bookmarkStart w:id="1396" w:name="_Toc38438761"/>
      <w:bookmarkStart w:id="1397" w:name="_Toc38439098"/>
      <w:bookmarkStart w:id="1398" w:name="_Toc38439435"/>
      <w:bookmarkStart w:id="1399" w:name="_Toc38439772"/>
      <w:bookmarkStart w:id="1400" w:name="_Toc38440109"/>
      <w:bookmarkStart w:id="1401" w:name="_Toc38440446"/>
      <w:bookmarkStart w:id="1402" w:name="_Toc38440978"/>
      <w:bookmarkStart w:id="1403" w:name="_Toc38441310"/>
      <w:bookmarkStart w:id="1404" w:name="_Toc38441642"/>
      <w:bookmarkStart w:id="1405" w:name="_Toc38441970"/>
      <w:bookmarkStart w:id="1406" w:name="_Toc38442302"/>
      <w:bookmarkStart w:id="1407" w:name="_Toc38442634"/>
      <w:bookmarkStart w:id="1408" w:name="_Toc38442965"/>
      <w:bookmarkStart w:id="1409" w:name="_Toc38443296"/>
      <w:bookmarkStart w:id="1410" w:name="_Toc38443627"/>
      <w:bookmarkStart w:id="1411" w:name="_Toc38443957"/>
      <w:bookmarkStart w:id="1412" w:name="_Toc38438425"/>
      <w:bookmarkStart w:id="1413" w:name="_Toc38438762"/>
      <w:bookmarkStart w:id="1414" w:name="_Toc38439099"/>
      <w:bookmarkStart w:id="1415" w:name="_Toc38439436"/>
      <w:bookmarkStart w:id="1416" w:name="_Toc38439773"/>
      <w:bookmarkStart w:id="1417" w:name="_Toc38440110"/>
      <w:bookmarkStart w:id="1418" w:name="_Toc38440447"/>
      <w:bookmarkStart w:id="1419" w:name="_Toc38440979"/>
      <w:bookmarkStart w:id="1420" w:name="_Toc38441311"/>
      <w:bookmarkStart w:id="1421" w:name="_Toc38441643"/>
      <w:bookmarkStart w:id="1422" w:name="_Toc38441971"/>
      <w:bookmarkStart w:id="1423" w:name="_Toc38442303"/>
      <w:bookmarkStart w:id="1424" w:name="_Toc38442635"/>
      <w:bookmarkStart w:id="1425" w:name="_Toc38442966"/>
      <w:bookmarkStart w:id="1426" w:name="_Toc38443297"/>
      <w:bookmarkStart w:id="1427" w:name="_Toc38443628"/>
      <w:bookmarkStart w:id="1428" w:name="_Toc38443958"/>
      <w:bookmarkStart w:id="1429" w:name="_Toc38438426"/>
      <w:bookmarkStart w:id="1430" w:name="_Toc38438763"/>
      <w:bookmarkStart w:id="1431" w:name="_Toc38439100"/>
      <w:bookmarkStart w:id="1432" w:name="_Toc38439437"/>
      <w:bookmarkStart w:id="1433" w:name="_Toc38439774"/>
      <w:bookmarkStart w:id="1434" w:name="_Toc38440111"/>
      <w:bookmarkStart w:id="1435" w:name="_Toc38440448"/>
      <w:bookmarkStart w:id="1436" w:name="_Toc38440980"/>
      <w:bookmarkStart w:id="1437" w:name="_Toc38441312"/>
      <w:bookmarkStart w:id="1438" w:name="_Toc38441644"/>
      <w:bookmarkStart w:id="1439" w:name="_Toc38441972"/>
      <w:bookmarkStart w:id="1440" w:name="_Toc38442304"/>
      <w:bookmarkStart w:id="1441" w:name="_Toc38442636"/>
      <w:bookmarkStart w:id="1442" w:name="_Toc38442967"/>
      <w:bookmarkStart w:id="1443" w:name="_Toc38443298"/>
      <w:bookmarkStart w:id="1444" w:name="_Toc38443629"/>
      <w:bookmarkStart w:id="1445" w:name="_Toc38443959"/>
      <w:bookmarkStart w:id="1446" w:name="_Toc38438427"/>
      <w:bookmarkStart w:id="1447" w:name="_Toc38438764"/>
      <w:bookmarkStart w:id="1448" w:name="_Toc38439101"/>
      <w:bookmarkStart w:id="1449" w:name="_Toc38439438"/>
      <w:bookmarkStart w:id="1450" w:name="_Toc38439775"/>
      <w:bookmarkStart w:id="1451" w:name="_Toc38440112"/>
      <w:bookmarkStart w:id="1452" w:name="_Toc38440449"/>
      <w:bookmarkStart w:id="1453" w:name="_Toc38440981"/>
      <w:bookmarkStart w:id="1454" w:name="_Toc38441313"/>
      <w:bookmarkStart w:id="1455" w:name="_Toc38441645"/>
      <w:bookmarkStart w:id="1456" w:name="_Toc38441973"/>
      <w:bookmarkStart w:id="1457" w:name="_Toc38442305"/>
      <w:bookmarkStart w:id="1458" w:name="_Toc38442637"/>
      <w:bookmarkStart w:id="1459" w:name="_Toc38442968"/>
      <w:bookmarkStart w:id="1460" w:name="_Toc38443299"/>
      <w:bookmarkStart w:id="1461" w:name="_Toc38443630"/>
      <w:bookmarkStart w:id="1462" w:name="_Toc38443960"/>
      <w:bookmarkStart w:id="1463" w:name="_Toc38438428"/>
      <w:bookmarkStart w:id="1464" w:name="_Toc38438765"/>
      <w:bookmarkStart w:id="1465" w:name="_Toc38439102"/>
      <w:bookmarkStart w:id="1466" w:name="_Toc38439439"/>
      <w:bookmarkStart w:id="1467" w:name="_Toc38439776"/>
      <w:bookmarkStart w:id="1468" w:name="_Toc38440113"/>
      <w:bookmarkStart w:id="1469" w:name="_Toc38440450"/>
      <w:bookmarkStart w:id="1470" w:name="_Toc38440982"/>
      <w:bookmarkStart w:id="1471" w:name="_Toc38441314"/>
      <w:bookmarkStart w:id="1472" w:name="_Toc38441646"/>
      <w:bookmarkStart w:id="1473" w:name="_Toc38441974"/>
      <w:bookmarkStart w:id="1474" w:name="_Toc38442306"/>
      <w:bookmarkStart w:id="1475" w:name="_Toc38442638"/>
      <w:bookmarkStart w:id="1476" w:name="_Toc38442969"/>
      <w:bookmarkStart w:id="1477" w:name="_Toc38443300"/>
      <w:bookmarkStart w:id="1478" w:name="_Toc38443631"/>
      <w:bookmarkStart w:id="1479" w:name="_Toc38443961"/>
      <w:bookmarkStart w:id="1480" w:name="_Toc38438429"/>
      <w:bookmarkStart w:id="1481" w:name="_Toc38438766"/>
      <w:bookmarkStart w:id="1482" w:name="_Toc38439103"/>
      <w:bookmarkStart w:id="1483" w:name="_Toc38439440"/>
      <w:bookmarkStart w:id="1484" w:name="_Toc38439777"/>
      <w:bookmarkStart w:id="1485" w:name="_Toc38440114"/>
      <w:bookmarkStart w:id="1486" w:name="_Toc38440451"/>
      <w:bookmarkStart w:id="1487" w:name="_Toc38440983"/>
      <w:bookmarkStart w:id="1488" w:name="_Toc38441315"/>
      <w:bookmarkStart w:id="1489" w:name="_Toc38441647"/>
      <w:bookmarkStart w:id="1490" w:name="_Toc38441975"/>
      <w:bookmarkStart w:id="1491" w:name="_Toc38442307"/>
      <w:bookmarkStart w:id="1492" w:name="_Toc38442639"/>
      <w:bookmarkStart w:id="1493" w:name="_Toc38442970"/>
      <w:bookmarkStart w:id="1494" w:name="_Toc38443301"/>
      <w:bookmarkStart w:id="1495" w:name="_Toc38443632"/>
      <w:bookmarkStart w:id="1496" w:name="_Toc38443962"/>
      <w:bookmarkStart w:id="1497" w:name="_Toc38438430"/>
      <w:bookmarkStart w:id="1498" w:name="_Toc38438767"/>
      <w:bookmarkStart w:id="1499" w:name="_Toc38439104"/>
      <w:bookmarkStart w:id="1500" w:name="_Toc38439441"/>
      <w:bookmarkStart w:id="1501" w:name="_Toc38439778"/>
      <w:bookmarkStart w:id="1502" w:name="_Toc38440115"/>
      <w:bookmarkStart w:id="1503" w:name="_Toc38440452"/>
      <w:bookmarkStart w:id="1504" w:name="_Toc38440984"/>
      <w:bookmarkStart w:id="1505" w:name="_Toc38441316"/>
      <w:bookmarkStart w:id="1506" w:name="_Toc38441648"/>
      <w:bookmarkStart w:id="1507" w:name="_Toc38441976"/>
      <w:bookmarkStart w:id="1508" w:name="_Toc38442308"/>
      <w:bookmarkStart w:id="1509" w:name="_Toc38442640"/>
      <w:bookmarkStart w:id="1510" w:name="_Toc38442971"/>
      <w:bookmarkStart w:id="1511" w:name="_Toc38443302"/>
      <w:bookmarkStart w:id="1512" w:name="_Toc38443633"/>
      <w:bookmarkStart w:id="1513" w:name="_Toc38443963"/>
      <w:bookmarkStart w:id="1514" w:name="_Toc38438431"/>
      <w:bookmarkStart w:id="1515" w:name="_Toc38438768"/>
      <w:bookmarkStart w:id="1516" w:name="_Toc38439105"/>
      <w:bookmarkStart w:id="1517" w:name="_Toc38439442"/>
      <w:bookmarkStart w:id="1518" w:name="_Toc38439779"/>
      <w:bookmarkStart w:id="1519" w:name="_Toc38440116"/>
      <w:bookmarkStart w:id="1520" w:name="_Toc38440453"/>
      <w:bookmarkStart w:id="1521" w:name="_Toc38440985"/>
      <w:bookmarkStart w:id="1522" w:name="_Toc38441317"/>
      <w:bookmarkStart w:id="1523" w:name="_Toc38441649"/>
      <w:bookmarkStart w:id="1524" w:name="_Toc38441977"/>
      <w:bookmarkStart w:id="1525" w:name="_Toc38442309"/>
      <w:bookmarkStart w:id="1526" w:name="_Toc38442641"/>
      <w:bookmarkStart w:id="1527" w:name="_Toc38442972"/>
      <w:bookmarkStart w:id="1528" w:name="_Toc38443303"/>
      <w:bookmarkStart w:id="1529" w:name="_Toc38443634"/>
      <w:bookmarkStart w:id="1530" w:name="_Toc38443964"/>
      <w:bookmarkStart w:id="1531" w:name="_Toc38438432"/>
      <w:bookmarkStart w:id="1532" w:name="_Toc38438769"/>
      <w:bookmarkStart w:id="1533" w:name="_Toc38439106"/>
      <w:bookmarkStart w:id="1534" w:name="_Toc38439443"/>
      <w:bookmarkStart w:id="1535" w:name="_Toc38439780"/>
      <w:bookmarkStart w:id="1536" w:name="_Toc38440117"/>
      <w:bookmarkStart w:id="1537" w:name="_Toc38440454"/>
      <w:bookmarkStart w:id="1538" w:name="_Toc38440986"/>
      <w:bookmarkStart w:id="1539" w:name="_Toc38441318"/>
      <w:bookmarkStart w:id="1540" w:name="_Toc38441650"/>
      <w:bookmarkStart w:id="1541" w:name="_Toc38441978"/>
      <w:bookmarkStart w:id="1542" w:name="_Toc38442310"/>
      <w:bookmarkStart w:id="1543" w:name="_Toc38442642"/>
      <w:bookmarkStart w:id="1544" w:name="_Toc38442973"/>
      <w:bookmarkStart w:id="1545" w:name="_Toc38443304"/>
      <w:bookmarkStart w:id="1546" w:name="_Toc38443635"/>
      <w:bookmarkStart w:id="1547" w:name="_Toc38443965"/>
      <w:bookmarkStart w:id="1548" w:name="_Toc38438433"/>
      <w:bookmarkStart w:id="1549" w:name="_Toc38438770"/>
      <w:bookmarkStart w:id="1550" w:name="_Toc38439107"/>
      <w:bookmarkStart w:id="1551" w:name="_Toc38439444"/>
      <w:bookmarkStart w:id="1552" w:name="_Toc38439781"/>
      <w:bookmarkStart w:id="1553" w:name="_Toc38440118"/>
      <w:bookmarkStart w:id="1554" w:name="_Toc38440455"/>
      <w:bookmarkStart w:id="1555" w:name="_Toc38440987"/>
      <w:bookmarkStart w:id="1556" w:name="_Toc38441319"/>
      <w:bookmarkStart w:id="1557" w:name="_Toc38441651"/>
      <w:bookmarkStart w:id="1558" w:name="_Toc38441979"/>
      <w:bookmarkStart w:id="1559" w:name="_Toc38442311"/>
      <w:bookmarkStart w:id="1560" w:name="_Toc38442643"/>
      <w:bookmarkStart w:id="1561" w:name="_Toc38442974"/>
      <w:bookmarkStart w:id="1562" w:name="_Toc38443305"/>
      <w:bookmarkStart w:id="1563" w:name="_Toc38443636"/>
      <w:bookmarkStart w:id="1564" w:name="_Toc38443966"/>
      <w:bookmarkStart w:id="1565" w:name="_Toc38438434"/>
      <w:bookmarkStart w:id="1566" w:name="_Toc38438771"/>
      <w:bookmarkStart w:id="1567" w:name="_Toc38439108"/>
      <w:bookmarkStart w:id="1568" w:name="_Toc38439445"/>
      <w:bookmarkStart w:id="1569" w:name="_Toc38439782"/>
      <w:bookmarkStart w:id="1570" w:name="_Toc38440119"/>
      <w:bookmarkStart w:id="1571" w:name="_Toc38440456"/>
      <w:bookmarkStart w:id="1572" w:name="_Toc38440988"/>
      <w:bookmarkStart w:id="1573" w:name="_Toc38441320"/>
      <w:bookmarkStart w:id="1574" w:name="_Toc38441652"/>
      <w:bookmarkStart w:id="1575" w:name="_Toc38441980"/>
      <w:bookmarkStart w:id="1576" w:name="_Toc38442312"/>
      <w:bookmarkStart w:id="1577" w:name="_Toc38442644"/>
      <w:bookmarkStart w:id="1578" w:name="_Toc38442975"/>
      <w:bookmarkStart w:id="1579" w:name="_Toc38443306"/>
      <w:bookmarkStart w:id="1580" w:name="_Toc38443637"/>
      <w:bookmarkStart w:id="1581" w:name="_Toc38443967"/>
      <w:bookmarkStart w:id="1582" w:name="_Toc38438435"/>
      <w:bookmarkStart w:id="1583" w:name="_Toc38438772"/>
      <w:bookmarkStart w:id="1584" w:name="_Toc38439109"/>
      <w:bookmarkStart w:id="1585" w:name="_Toc38439446"/>
      <w:bookmarkStart w:id="1586" w:name="_Toc38439783"/>
      <w:bookmarkStart w:id="1587" w:name="_Toc38440120"/>
      <w:bookmarkStart w:id="1588" w:name="_Toc38440457"/>
      <w:bookmarkStart w:id="1589" w:name="_Toc38440989"/>
      <w:bookmarkStart w:id="1590" w:name="_Toc38441321"/>
      <w:bookmarkStart w:id="1591" w:name="_Toc38441653"/>
      <w:bookmarkStart w:id="1592" w:name="_Toc38441981"/>
      <w:bookmarkStart w:id="1593" w:name="_Toc38442313"/>
      <w:bookmarkStart w:id="1594" w:name="_Toc38442645"/>
      <w:bookmarkStart w:id="1595" w:name="_Toc38442976"/>
      <w:bookmarkStart w:id="1596" w:name="_Toc38443307"/>
      <w:bookmarkStart w:id="1597" w:name="_Toc38443638"/>
      <w:bookmarkStart w:id="1598" w:name="_Toc38443968"/>
      <w:bookmarkStart w:id="1599" w:name="_Toc38438436"/>
      <w:bookmarkStart w:id="1600" w:name="_Toc38438773"/>
      <w:bookmarkStart w:id="1601" w:name="_Toc38439110"/>
      <w:bookmarkStart w:id="1602" w:name="_Toc38439447"/>
      <w:bookmarkStart w:id="1603" w:name="_Toc38439784"/>
      <w:bookmarkStart w:id="1604" w:name="_Toc38440121"/>
      <w:bookmarkStart w:id="1605" w:name="_Toc38440458"/>
      <w:bookmarkStart w:id="1606" w:name="_Toc38440990"/>
      <w:bookmarkStart w:id="1607" w:name="_Toc38441322"/>
      <w:bookmarkStart w:id="1608" w:name="_Toc38441654"/>
      <w:bookmarkStart w:id="1609" w:name="_Toc38441982"/>
      <w:bookmarkStart w:id="1610" w:name="_Toc38442314"/>
      <w:bookmarkStart w:id="1611" w:name="_Toc38442646"/>
      <w:bookmarkStart w:id="1612" w:name="_Toc38442977"/>
      <w:bookmarkStart w:id="1613" w:name="_Toc38443308"/>
      <w:bookmarkStart w:id="1614" w:name="_Toc38443639"/>
      <w:bookmarkStart w:id="1615" w:name="_Toc38443969"/>
      <w:bookmarkStart w:id="1616" w:name="_Toc38438437"/>
      <w:bookmarkStart w:id="1617" w:name="_Toc38438774"/>
      <w:bookmarkStart w:id="1618" w:name="_Toc38439111"/>
      <w:bookmarkStart w:id="1619" w:name="_Toc38439448"/>
      <w:bookmarkStart w:id="1620" w:name="_Toc38439785"/>
      <w:bookmarkStart w:id="1621" w:name="_Toc38440122"/>
      <w:bookmarkStart w:id="1622" w:name="_Toc38440459"/>
      <w:bookmarkStart w:id="1623" w:name="_Toc38440991"/>
      <w:bookmarkStart w:id="1624" w:name="_Toc38441323"/>
      <w:bookmarkStart w:id="1625" w:name="_Toc38441655"/>
      <w:bookmarkStart w:id="1626" w:name="_Toc38441983"/>
      <w:bookmarkStart w:id="1627" w:name="_Toc38442315"/>
      <w:bookmarkStart w:id="1628" w:name="_Toc38442647"/>
      <w:bookmarkStart w:id="1629" w:name="_Toc38442978"/>
      <w:bookmarkStart w:id="1630" w:name="_Toc38443309"/>
      <w:bookmarkStart w:id="1631" w:name="_Toc38443640"/>
      <w:bookmarkStart w:id="1632" w:name="_Toc38443970"/>
      <w:bookmarkStart w:id="1633" w:name="_Toc38438438"/>
      <w:bookmarkStart w:id="1634" w:name="_Toc38438775"/>
      <w:bookmarkStart w:id="1635" w:name="_Toc38439112"/>
      <w:bookmarkStart w:id="1636" w:name="_Toc38439449"/>
      <w:bookmarkStart w:id="1637" w:name="_Toc38439786"/>
      <w:bookmarkStart w:id="1638" w:name="_Toc38440123"/>
      <w:bookmarkStart w:id="1639" w:name="_Toc38440460"/>
      <w:bookmarkStart w:id="1640" w:name="_Toc38440992"/>
      <w:bookmarkStart w:id="1641" w:name="_Toc38441324"/>
      <w:bookmarkStart w:id="1642" w:name="_Toc38441656"/>
      <w:bookmarkStart w:id="1643" w:name="_Toc38441984"/>
      <w:bookmarkStart w:id="1644" w:name="_Toc38442316"/>
      <w:bookmarkStart w:id="1645" w:name="_Toc38442648"/>
      <w:bookmarkStart w:id="1646" w:name="_Toc38442979"/>
      <w:bookmarkStart w:id="1647" w:name="_Toc38443310"/>
      <w:bookmarkStart w:id="1648" w:name="_Toc38443641"/>
      <w:bookmarkStart w:id="1649" w:name="_Toc38443971"/>
      <w:bookmarkStart w:id="1650" w:name="_Toc38438439"/>
      <w:bookmarkStart w:id="1651" w:name="_Toc38438776"/>
      <w:bookmarkStart w:id="1652" w:name="_Toc38439113"/>
      <w:bookmarkStart w:id="1653" w:name="_Toc38439450"/>
      <w:bookmarkStart w:id="1654" w:name="_Toc38439787"/>
      <w:bookmarkStart w:id="1655" w:name="_Toc38440124"/>
      <w:bookmarkStart w:id="1656" w:name="_Toc38440461"/>
      <w:bookmarkStart w:id="1657" w:name="_Toc38440993"/>
      <w:bookmarkStart w:id="1658" w:name="_Toc38441325"/>
      <w:bookmarkStart w:id="1659" w:name="_Toc38441657"/>
      <w:bookmarkStart w:id="1660" w:name="_Toc38441985"/>
      <w:bookmarkStart w:id="1661" w:name="_Toc38442317"/>
      <w:bookmarkStart w:id="1662" w:name="_Toc38442649"/>
      <w:bookmarkStart w:id="1663" w:name="_Toc38442980"/>
      <w:bookmarkStart w:id="1664" w:name="_Toc38443311"/>
      <w:bookmarkStart w:id="1665" w:name="_Toc38443642"/>
      <w:bookmarkStart w:id="1666" w:name="_Toc38443972"/>
      <w:bookmarkStart w:id="1667" w:name="_Toc38438440"/>
      <w:bookmarkStart w:id="1668" w:name="_Toc38438777"/>
      <w:bookmarkStart w:id="1669" w:name="_Toc38439114"/>
      <w:bookmarkStart w:id="1670" w:name="_Toc38439451"/>
      <w:bookmarkStart w:id="1671" w:name="_Toc38439788"/>
      <w:bookmarkStart w:id="1672" w:name="_Toc38440125"/>
      <w:bookmarkStart w:id="1673" w:name="_Toc38440462"/>
      <w:bookmarkStart w:id="1674" w:name="_Toc38440994"/>
      <w:bookmarkStart w:id="1675" w:name="_Toc38441326"/>
      <w:bookmarkStart w:id="1676" w:name="_Toc38441658"/>
      <w:bookmarkStart w:id="1677" w:name="_Toc38441986"/>
      <w:bookmarkStart w:id="1678" w:name="_Toc38442318"/>
      <w:bookmarkStart w:id="1679" w:name="_Toc38442650"/>
      <w:bookmarkStart w:id="1680" w:name="_Toc38442981"/>
      <w:bookmarkStart w:id="1681" w:name="_Toc38443312"/>
      <w:bookmarkStart w:id="1682" w:name="_Toc38443643"/>
      <w:bookmarkStart w:id="1683" w:name="_Toc38443973"/>
      <w:bookmarkStart w:id="1684" w:name="_Toc38438441"/>
      <w:bookmarkStart w:id="1685" w:name="_Toc38438778"/>
      <w:bookmarkStart w:id="1686" w:name="_Toc38439115"/>
      <w:bookmarkStart w:id="1687" w:name="_Toc38439452"/>
      <w:bookmarkStart w:id="1688" w:name="_Toc38439789"/>
      <w:bookmarkStart w:id="1689" w:name="_Toc38440126"/>
      <w:bookmarkStart w:id="1690" w:name="_Toc38440463"/>
      <w:bookmarkStart w:id="1691" w:name="_Toc38440995"/>
      <w:bookmarkStart w:id="1692" w:name="_Toc38441327"/>
      <w:bookmarkStart w:id="1693" w:name="_Toc38441659"/>
      <w:bookmarkStart w:id="1694" w:name="_Toc38441987"/>
      <w:bookmarkStart w:id="1695" w:name="_Toc38442319"/>
      <w:bookmarkStart w:id="1696" w:name="_Toc38442651"/>
      <w:bookmarkStart w:id="1697" w:name="_Toc38442982"/>
      <w:bookmarkStart w:id="1698" w:name="_Toc38443313"/>
      <w:bookmarkStart w:id="1699" w:name="_Toc38443644"/>
      <w:bookmarkStart w:id="1700" w:name="_Toc38443974"/>
      <w:bookmarkStart w:id="1701" w:name="_Toc38438442"/>
      <w:bookmarkStart w:id="1702" w:name="_Toc38438779"/>
      <w:bookmarkStart w:id="1703" w:name="_Toc38439116"/>
      <w:bookmarkStart w:id="1704" w:name="_Toc38439453"/>
      <w:bookmarkStart w:id="1705" w:name="_Toc38439790"/>
      <w:bookmarkStart w:id="1706" w:name="_Toc38440127"/>
      <w:bookmarkStart w:id="1707" w:name="_Toc38440464"/>
      <w:bookmarkStart w:id="1708" w:name="_Toc38440996"/>
      <w:bookmarkStart w:id="1709" w:name="_Toc38441328"/>
      <w:bookmarkStart w:id="1710" w:name="_Toc38441660"/>
      <w:bookmarkStart w:id="1711" w:name="_Toc38441988"/>
      <w:bookmarkStart w:id="1712" w:name="_Toc38442320"/>
      <w:bookmarkStart w:id="1713" w:name="_Toc38442652"/>
      <w:bookmarkStart w:id="1714" w:name="_Toc38442983"/>
      <w:bookmarkStart w:id="1715" w:name="_Toc38443314"/>
      <w:bookmarkStart w:id="1716" w:name="_Toc38443645"/>
      <w:bookmarkStart w:id="1717" w:name="_Toc38443975"/>
      <w:bookmarkStart w:id="1718" w:name="_Toc38438443"/>
      <w:bookmarkStart w:id="1719" w:name="_Toc38438780"/>
      <w:bookmarkStart w:id="1720" w:name="_Toc38439117"/>
      <w:bookmarkStart w:id="1721" w:name="_Toc38439454"/>
      <w:bookmarkStart w:id="1722" w:name="_Toc38439791"/>
      <w:bookmarkStart w:id="1723" w:name="_Toc38440128"/>
      <w:bookmarkStart w:id="1724" w:name="_Toc38440465"/>
      <w:bookmarkStart w:id="1725" w:name="_Toc38440997"/>
      <w:bookmarkStart w:id="1726" w:name="_Toc38441329"/>
      <w:bookmarkStart w:id="1727" w:name="_Toc38441661"/>
      <w:bookmarkStart w:id="1728" w:name="_Toc38441989"/>
      <w:bookmarkStart w:id="1729" w:name="_Toc38442321"/>
      <w:bookmarkStart w:id="1730" w:name="_Toc38442653"/>
      <w:bookmarkStart w:id="1731" w:name="_Toc38442984"/>
      <w:bookmarkStart w:id="1732" w:name="_Toc38443315"/>
      <w:bookmarkStart w:id="1733" w:name="_Toc38443646"/>
      <w:bookmarkStart w:id="1734" w:name="_Toc38443976"/>
      <w:bookmarkStart w:id="1735" w:name="_Toc38438444"/>
      <w:bookmarkStart w:id="1736" w:name="_Toc38438781"/>
      <w:bookmarkStart w:id="1737" w:name="_Toc38439118"/>
      <w:bookmarkStart w:id="1738" w:name="_Toc38439455"/>
      <w:bookmarkStart w:id="1739" w:name="_Toc38439792"/>
      <w:bookmarkStart w:id="1740" w:name="_Toc38440129"/>
      <w:bookmarkStart w:id="1741" w:name="_Toc38440466"/>
      <w:bookmarkStart w:id="1742" w:name="_Toc38440998"/>
      <w:bookmarkStart w:id="1743" w:name="_Toc38441330"/>
      <w:bookmarkStart w:id="1744" w:name="_Toc38441662"/>
      <w:bookmarkStart w:id="1745" w:name="_Toc38441990"/>
      <w:bookmarkStart w:id="1746" w:name="_Toc38442322"/>
      <w:bookmarkStart w:id="1747" w:name="_Toc38442654"/>
      <w:bookmarkStart w:id="1748" w:name="_Toc38442985"/>
      <w:bookmarkStart w:id="1749" w:name="_Toc38443316"/>
      <w:bookmarkStart w:id="1750" w:name="_Toc38443647"/>
      <w:bookmarkStart w:id="1751" w:name="_Toc38443977"/>
      <w:bookmarkStart w:id="1752" w:name="_Toc38438445"/>
      <w:bookmarkStart w:id="1753" w:name="_Toc38438782"/>
      <w:bookmarkStart w:id="1754" w:name="_Toc38439119"/>
      <w:bookmarkStart w:id="1755" w:name="_Toc38439456"/>
      <w:bookmarkStart w:id="1756" w:name="_Toc38439793"/>
      <w:bookmarkStart w:id="1757" w:name="_Toc38440130"/>
      <w:bookmarkStart w:id="1758" w:name="_Toc38440467"/>
      <w:bookmarkStart w:id="1759" w:name="_Toc38440999"/>
      <w:bookmarkStart w:id="1760" w:name="_Toc38441331"/>
      <w:bookmarkStart w:id="1761" w:name="_Toc38441663"/>
      <w:bookmarkStart w:id="1762" w:name="_Toc38441991"/>
      <w:bookmarkStart w:id="1763" w:name="_Toc38442323"/>
      <w:bookmarkStart w:id="1764" w:name="_Toc38442655"/>
      <w:bookmarkStart w:id="1765" w:name="_Toc38442986"/>
      <w:bookmarkStart w:id="1766" w:name="_Toc38443317"/>
      <w:bookmarkStart w:id="1767" w:name="_Toc38443648"/>
      <w:bookmarkStart w:id="1768" w:name="_Toc38443978"/>
      <w:bookmarkStart w:id="1769" w:name="_Toc38438446"/>
      <w:bookmarkStart w:id="1770" w:name="_Toc38438783"/>
      <w:bookmarkStart w:id="1771" w:name="_Toc38439120"/>
      <w:bookmarkStart w:id="1772" w:name="_Toc38439457"/>
      <w:bookmarkStart w:id="1773" w:name="_Toc38439794"/>
      <w:bookmarkStart w:id="1774" w:name="_Toc38440131"/>
      <w:bookmarkStart w:id="1775" w:name="_Toc38440468"/>
      <w:bookmarkStart w:id="1776" w:name="_Toc38441000"/>
      <w:bookmarkStart w:id="1777" w:name="_Toc38441332"/>
      <w:bookmarkStart w:id="1778" w:name="_Toc38441664"/>
      <w:bookmarkStart w:id="1779" w:name="_Toc38441992"/>
      <w:bookmarkStart w:id="1780" w:name="_Toc38442324"/>
      <w:bookmarkStart w:id="1781" w:name="_Toc38442656"/>
      <w:bookmarkStart w:id="1782" w:name="_Toc38442987"/>
      <w:bookmarkStart w:id="1783" w:name="_Toc38443318"/>
      <w:bookmarkStart w:id="1784" w:name="_Toc38443649"/>
      <w:bookmarkStart w:id="1785" w:name="_Toc38443979"/>
      <w:bookmarkStart w:id="1786" w:name="_Toc38438447"/>
      <w:bookmarkStart w:id="1787" w:name="_Toc38438784"/>
      <w:bookmarkStart w:id="1788" w:name="_Toc38439121"/>
      <w:bookmarkStart w:id="1789" w:name="_Toc38439458"/>
      <w:bookmarkStart w:id="1790" w:name="_Toc38439795"/>
      <w:bookmarkStart w:id="1791" w:name="_Toc38440132"/>
      <w:bookmarkStart w:id="1792" w:name="_Toc38440469"/>
      <w:bookmarkStart w:id="1793" w:name="_Toc38441001"/>
      <w:bookmarkStart w:id="1794" w:name="_Toc38441333"/>
      <w:bookmarkStart w:id="1795" w:name="_Toc38441665"/>
      <w:bookmarkStart w:id="1796" w:name="_Toc38441993"/>
      <w:bookmarkStart w:id="1797" w:name="_Toc38442325"/>
      <w:bookmarkStart w:id="1798" w:name="_Toc38442657"/>
      <w:bookmarkStart w:id="1799" w:name="_Toc38442988"/>
      <w:bookmarkStart w:id="1800" w:name="_Toc38443319"/>
      <w:bookmarkStart w:id="1801" w:name="_Toc38443650"/>
      <w:bookmarkStart w:id="1802" w:name="_Toc38443980"/>
      <w:bookmarkStart w:id="1803" w:name="_Toc38438448"/>
      <w:bookmarkStart w:id="1804" w:name="_Toc38438785"/>
      <w:bookmarkStart w:id="1805" w:name="_Toc38439122"/>
      <w:bookmarkStart w:id="1806" w:name="_Toc38439459"/>
      <w:bookmarkStart w:id="1807" w:name="_Toc38439796"/>
      <w:bookmarkStart w:id="1808" w:name="_Toc38440133"/>
      <w:bookmarkStart w:id="1809" w:name="_Toc38440470"/>
      <w:bookmarkStart w:id="1810" w:name="_Toc38441002"/>
      <w:bookmarkStart w:id="1811" w:name="_Toc38441334"/>
      <w:bookmarkStart w:id="1812" w:name="_Toc38441666"/>
      <w:bookmarkStart w:id="1813" w:name="_Toc38441994"/>
      <w:bookmarkStart w:id="1814" w:name="_Toc38442326"/>
      <w:bookmarkStart w:id="1815" w:name="_Toc38442658"/>
      <w:bookmarkStart w:id="1816" w:name="_Toc38442989"/>
      <w:bookmarkStart w:id="1817" w:name="_Toc38443320"/>
      <w:bookmarkStart w:id="1818" w:name="_Toc38443651"/>
      <w:bookmarkStart w:id="1819" w:name="_Toc38443981"/>
      <w:bookmarkStart w:id="1820" w:name="_Toc38438449"/>
      <w:bookmarkStart w:id="1821" w:name="_Toc38438786"/>
      <w:bookmarkStart w:id="1822" w:name="_Toc38439123"/>
      <w:bookmarkStart w:id="1823" w:name="_Toc38439460"/>
      <w:bookmarkStart w:id="1824" w:name="_Toc38439797"/>
      <w:bookmarkStart w:id="1825" w:name="_Toc38440134"/>
      <w:bookmarkStart w:id="1826" w:name="_Toc38440471"/>
      <w:bookmarkStart w:id="1827" w:name="_Toc38441003"/>
      <w:bookmarkStart w:id="1828" w:name="_Toc38441335"/>
      <w:bookmarkStart w:id="1829" w:name="_Toc38441667"/>
      <w:bookmarkStart w:id="1830" w:name="_Toc38441995"/>
      <w:bookmarkStart w:id="1831" w:name="_Toc38442327"/>
      <w:bookmarkStart w:id="1832" w:name="_Toc38442659"/>
      <w:bookmarkStart w:id="1833" w:name="_Toc38442990"/>
      <w:bookmarkStart w:id="1834" w:name="_Toc38443321"/>
      <w:bookmarkStart w:id="1835" w:name="_Toc38443652"/>
      <w:bookmarkStart w:id="1836" w:name="_Toc38443982"/>
      <w:bookmarkStart w:id="1837" w:name="_Toc38438450"/>
      <w:bookmarkStart w:id="1838" w:name="_Toc38438787"/>
      <w:bookmarkStart w:id="1839" w:name="_Toc38439124"/>
      <w:bookmarkStart w:id="1840" w:name="_Toc38439461"/>
      <w:bookmarkStart w:id="1841" w:name="_Toc38439798"/>
      <w:bookmarkStart w:id="1842" w:name="_Toc38440135"/>
      <w:bookmarkStart w:id="1843" w:name="_Toc38440472"/>
      <w:bookmarkStart w:id="1844" w:name="_Toc38441004"/>
      <w:bookmarkStart w:id="1845" w:name="_Toc38441336"/>
      <w:bookmarkStart w:id="1846" w:name="_Toc38441668"/>
      <w:bookmarkStart w:id="1847" w:name="_Toc38441996"/>
      <w:bookmarkStart w:id="1848" w:name="_Toc38442328"/>
      <w:bookmarkStart w:id="1849" w:name="_Toc38442660"/>
      <w:bookmarkStart w:id="1850" w:name="_Toc38442991"/>
      <w:bookmarkStart w:id="1851" w:name="_Toc38443322"/>
      <w:bookmarkStart w:id="1852" w:name="_Toc38443653"/>
      <w:bookmarkStart w:id="1853" w:name="_Toc38443983"/>
      <w:bookmarkStart w:id="1854" w:name="_Toc38438451"/>
      <w:bookmarkStart w:id="1855" w:name="_Toc38438788"/>
      <w:bookmarkStart w:id="1856" w:name="_Toc38439125"/>
      <w:bookmarkStart w:id="1857" w:name="_Toc38439462"/>
      <w:bookmarkStart w:id="1858" w:name="_Toc38439799"/>
      <w:bookmarkStart w:id="1859" w:name="_Toc38440136"/>
      <w:bookmarkStart w:id="1860" w:name="_Toc38440473"/>
      <w:bookmarkStart w:id="1861" w:name="_Toc38441005"/>
      <w:bookmarkStart w:id="1862" w:name="_Toc38441337"/>
      <w:bookmarkStart w:id="1863" w:name="_Toc38441669"/>
      <w:bookmarkStart w:id="1864" w:name="_Toc38441997"/>
      <w:bookmarkStart w:id="1865" w:name="_Toc38442329"/>
      <w:bookmarkStart w:id="1866" w:name="_Toc38442661"/>
      <w:bookmarkStart w:id="1867" w:name="_Toc38442992"/>
      <w:bookmarkStart w:id="1868" w:name="_Toc38443323"/>
      <w:bookmarkStart w:id="1869" w:name="_Toc38443654"/>
      <w:bookmarkStart w:id="1870" w:name="_Toc38443984"/>
      <w:bookmarkStart w:id="1871" w:name="_Toc38438452"/>
      <w:bookmarkStart w:id="1872" w:name="_Toc38438789"/>
      <w:bookmarkStart w:id="1873" w:name="_Toc38439126"/>
      <w:bookmarkStart w:id="1874" w:name="_Toc38439463"/>
      <w:bookmarkStart w:id="1875" w:name="_Toc38439800"/>
      <w:bookmarkStart w:id="1876" w:name="_Toc38440137"/>
      <w:bookmarkStart w:id="1877" w:name="_Toc38440474"/>
      <w:bookmarkStart w:id="1878" w:name="_Toc38441006"/>
      <w:bookmarkStart w:id="1879" w:name="_Toc38441338"/>
      <w:bookmarkStart w:id="1880" w:name="_Toc38441670"/>
      <w:bookmarkStart w:id="1881" w:name="_Toc38441998"/>
      <w:bookmarkStart w:id="1882" w:name="_Toc38442330"/>
      <w:bookmarkStart w:id="1883" w:name="_Toc38442662"/>
      <w:bookmarkStart w:id="1884" w:name="_Toc38442993"/>
      <w:bookmarkStart w:id="1885" w:name="_Toc38443324"/>
      <w:bookmarkStart w:id="1886" w:name="_Toc38443655"/>
      <w:bookmarkStart w:id="1887" w:name="_Toc38443985"/>
      <w:bookmarkStart w:id="1888" w:name="_Toc38438453"/>
      <w:bookmarkStart w:id="1889" w:name="_Toc38438790"/>
      <w:bookmarkStart w:id="1890" w:name="_Toc38439127"/>
      <w:bookmarkStart w:id="1891" w:name="_Toc38439464"/>
      <w:bookmarkStart w:id="1892" w:name="_Toc38439801"/>
      <w:bookmarkStart w:id="1893" w:name="_Toc38440138"/>
      <w:bookmarkStart w:id="1894" w:name="_Toc38440475"/>
      <w:bookmarkStart w:id="1895" w:name="_Toc38441007"/>
      <w:bookmarkStart w:id="1896" w:name="_Toc38441339"/>
      <w:bookmarkStart w:id="1897" w:name="_Toc38441671"/>
      <w:bookmarkStart w:id="1898" w:name="_Toc38441999"/>
      <w:bookmarkStart w:id="1899" w:name="_Toc38442331"/>
      <w:bookmarkStart w:id="1900" w:name="_Toc38442663"/>
      <w:bookmarkStart w:id="1901" w:name="_Toc38442994"/>
      <w:bookmarkStart w:id="1902" w:name="_Toc38443325"/>
      <w:bookmarkStart w:id="1903" w:name="_Toc38443656"/>
      <w:bookmarkStart w:id="1904" w:name="_Toc38443986"/>
      <w:bookmarkStart w:id="1905" w:name="_Toc38438454"/>
      <w:bookmarkStart w:id="1906" w:name="_Toc38438791"/>
      <w:bookmarkStart w:id="1907" w:name="_Toc38439128"/>
      <w:bookmarkStart w:id="1908" w:name="_Toc38439465"/>
      <w:bookmarkStart w:id="1909" w:name="_Toc38439802"/>
      <w:bookmarkStart w:id="1910" w:name="_Toc38440139"/>
      <w:bookmarkStart w:id="1911" w:name="_Toc38440476"/>
      <w:bookmarkStart w:id="1912" w:name="_Toc38441008"/>
      <w:bookmarkStart w:id="1913" w:name="_Toc38441340"/>
      <w:bookmarkStart w:id="1914" w:name="_Toc38441672"/>
      <w:bookmarkStart w:id="1915" w:name="_Toc38442000"/>
      <w:bookmarkStart w:id="1916" w:name="_Toc38442332"/>
      <w:bookmarkStart w:id="1917" w:name="_Toc38442664"/>
      <w:bookmarkStart w:id="1918" w:name="_Toc38442995"/>
      <w:bookmarkStart w:id="1919" w:name="_Toc38443326"/>
      <w:bookmarkStart w:id="1920" w:name="_Toc38443657"/>
      <w:bookmarkStart w:id="1921" w:name="_Toc38443987"/>
      <w:bookmarkStart w:id="1922" w:name="_Toc38438455"/>
      <w:bookmarkStart w:id="1923" w:name="_Toc38438792"/>
      <w:bookmarkStart w:id="1924" w:name="_Toc38439129"/>
      <w:bookmarkStart w:id="1925" w:name="_Toc38439466"/>
      <w:bookmarkStart w:id="1926" w:name="_Toc38439803"/>
      <w:bookmarkStart w:id="1927" w:name="_Toc38440140"/>
      <w:bookmarkStart w:id="1928" w:name="_Toc38440477"/>
      <w:bookmarkStart w:id="1929" w:name="_Toc38441009"/>
      <w:bookmarkStart w:id="1930" w:name="_Toc38441341"/>
      <w:bookmarkStart w:id="1931" w:name="_Toc38441673"/>
      <w:bookmarkStart w:id="1932" w:name="_Toc38442001"/>
      <w:bookmarkStart w:id="1933" w:name="_Toc38442333"/>
      <w:bookmarkStart w:id="1934" w:name="_Toc38442665"/>
      <w:bookmarkStart w:id="1935" w:name="_Toc38442996"/>
      <w:bookmarkStart w:id="1936" w:name="_Toc38443327"/>
      <w:bookmarkStart w:id="1937" w:name="_Toc38443658"/>
      <w:bookmarkStart w:id="1938" w:name="_Toc38443988"/>
      <w:bookmarkStart w:id="1939" w:name="_Toc38438456"/>
      <w:bookmarkStart w:id="1940" w:name="_Toc38438793"/>
      <w:bookmarkStart w:id="1941" w:name="_Toc38439130"/>
      <w:bookmarkStart w:id="1942" w:name="_Toc38439467"/>
      <w:bookmarkStart w:id="1943" w:name="_Toc38439804"/>
      <w:bookmarkStart w:id="1944" w:name="_Toc38440141"/>
      <w:bookmarkStart w:id="1945" w:name="_Toc38440478"/>
      <w:bookmarkStart w:id="1946" w:name="_Toc38441010"/>
      <w:bookmarkStart w:id="1947" w:name="_Toc38441342"/>
      <w:bookmarkStart w:id="1948" w:name="_Toc38441674"/>
      <w:bookmarkStart w:id="1949" w:name="_Toc38442002"/>
      <w:bookmarkStart w:id="1950" w:name="_Toc38442334"/>
      <w:bookmarkStart w:id="1951" w:name="_Toc38442666"/>
      <w:bookmarkStart w:id="1952" w:name="_Toc38442997"/>
      <w:bookmarkStart w:id="1953" w:name="_Toc38443328"/>
      <w:bookmarkStart w:id="1954" w:name="_Toc38443659"/>
      <w:bookmarkStart w:id="1955" w:name="_Toc38443989"/>
      <w:bookmarkStart w:id="1956" w:name="_Toc38438457"/>
      <w:bookmarkStart w:id="1957" w:name="_Toc38438794"/>
      <w:bookmarkStart w:id="1958" w:name="_Toc38439131"/>
      <w:bookmarkStart w:id="1959" w:name="_Toc38439468"/>
      <w:bookmarkStart w:id="1960" w:name="_Toc38439805"/>
      <w:bookmarkStart w:id="1961" w:name="_Toc38440142"/>
      <w:bookmarkStart w:id="1962" w:name="_Toc38440479"/>
      <w:bookmarkStart w:id="1963" w:name="_Toc38441011"/>
      <w:bookmarkStart w:id="1964" w:name="_Toc38441343"/>
      <w:bookmarkStart w:id="1965" w:name="_Toc38441675"/>
      <w:bookmarkStart w:id="1966" w:name="_Toc38442003"/>
      <w:bookmarkStart w:id="1967" w:name="_Toc38442335"/>
      <w:bookmarkStart w:id="1968" w:name="_Toc38442667"/>
      <w:bookmarkStart w:id="1969" w:name="_Toc38442998"/>
      <w:bookmarkStart w:id="1970" w:name="_Toc38443329"/>
      <w:bookmarkStart w:id="1971" w:name="_Toc38443660"/>
      <w:bookmarkStart w:id="1972" w:name="_Toc38443990"/>
      <w:bookmarkStart w:id="1973" w:name="_Toc38438458"/>
      <w:bookmarkStart w:id="1974" w:name="_Toc38438795"/>
      <w:bookmarkStart w:id="1975" w:name="_Toc38439132"/>
      <w:bookmarkStart w:id="1976" w:name="_Toc38439469"/>
      <w:bookmarkStart w:id="1977" w:name="_Toc38439806"/>
      <w:bookmarkStart w:id="1978" w:name="_Toc38440143"/>
      <w:bookmarkStart w:id="1979" w:name="_Toc38440480"/>
      <w:bookmarkStart w:id="1980" w:name="_Toc38441012"/>
      <w:bookmarkStart w:id="1981" w:name="_Toc38441344"/>
      <w:bookmarkStart w:id="1982" w:name="_Toc38441676"/>
      <w:bookmarkStart w:id="1983" w:name="_Toc38442004"/>
      <w:bookmarkStart w:id="1984" w:name="_Toc38442336"/>
      <w:bookmarkStart w:id="1985" w:name="_Toc38442668"/>
      <w:bookmarkStart w:id="1986" w:name="_Toc38442999"/>
      <w:bookmarkStart w:id="1987" w:name="_Toc38443330"/>
      <w:bookmarkStart w:id="1988" w:name="_Toc38443661"/>
      <w:bookmarkStart w:id="1989" w:name="_Toc38443991"/>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p>
    <w:p w:rsidR="0054310C" w:rsidRPr="009802E0" w:rsidRDefault="0054310C" w:rsidP="00FE018D">
      <w:pPr>
        <w:pStyle w:val="a9"/>
        <w:adjustRightInd w:val="0"/>
        <w:snapToGrid w:val="0"/>
        <w:spacing w:line="360" w:lineRule="auto"/>
        <w:ind w:firstLine="420"/>
        <w:jc w:val="right"/>
        <w:rPr>
          <w:rFonts w:asciiTheme="minorEastAsia" w:eastAsiaTheme="minorEastAsia" w:hAnsiTheme="minorEastAsia"/>
          <w:sz w:val="21"/>
        </w:rPr>
      </w:pPr>
      <w:r w:rsidRPr="009802E0">
        <w:rPr>
          <w:rFonts w:asciiTheme="minorEastAsia" w:eastAsiaTheme="minorEastAsia" w:hAnsiTheme="minorEastAsia" w:hint="eastAsia"/>
          <w:sz w:val="21"/>
        </w:rPr>
        <w:t>易方达基金管理有限公司</w:t>
      </w:r>
    </w:p>
    <w:p w:rsidR="004F4308" w:rsidRPr="009802E0" w:rsidRDefault="0096166C" w:rsidP="00517D9C">
      <w:pPr>
        <w:pStyle w:val="a9"/>
        <w:adjustRightInd w:val="0"/>
        <w:snapToGrid w:val="0"/>
        <w:spacing w:line="360" w:lineRule="auto"/>
        <w:ind w:left="420" w:right="420" w:firstLine="420"/>
        <w:jc w:val="right"/>
        <w:rPr>
          <w:rFonts w:asciiTheme="minorEastAsia" w:eastAsiaTheme="minorEastAsia" w:hAnsiTheme="minorEastAsia"/>
          <w:sz w:val="21"/>
        </w:rPr>
      </w:pPr>
      <w:r w:rsidRPr="009802E0">
        <w:rPr>
          <w:rFonts w:asciiTheme="minorEastAsia" w:eastAsiaTheme="minorEastAsia" w:hAnsiTheme="minorEastAsia"/>
          <w:sz w:val="21"/>
        </w:rPr>
        <w:t>2020年6月</w:t>
      </w:r>
      <w:r w:rsidR="009802E0" w:rsidRPr="009802E0">
        <w:rPr>
          <w:rFonts w:asciiTheme="minorEastAsia" w:eastAsiaTheme="minorEastAsia" w:hAnsiTheme="minorEastAsia"/>
          <w:sz w:val="21"/>
        </w:rPr>
        <w:t>18</w:t>
      </w:r>
      <w:r w:rsidRPr="009802E0">
        <w:rPr>
          <w:rFonts w:asciiTheme="minorEastAsia" w:eastAsiaTheme="minorEastAsia" w:hAnsiTheme="minorEastAsia"/>
          <w:sz w:val="21"/>
        </w:rPr>
        <w:t>日</w:t>
      </w:r>
    </w:p>
    <w:sectPr w:rsidR="004F4308" w:rsidRPr="009802E0" w:rsidSect="00D810F1">
      <w:pgSz w:w="11906" w:h="16838" w:code="9"/>
      <w:pgMar w:top="1440" w:right="1800" w:bottom="1440" w:left="1800" w:header="720" w:footer="720"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98E" w:rsidRDefault="00F9698E">
      <w:r>
        <w:separator/>
      </w:r>
    </w:p>
  </w:endnote>
  <w:endnote w:type="continuationSeparator" w:id="0">
    <w:p w:rsidR="00F9698E" w:rsidRDefault="00F9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肆">
    <w:altName w:val="宋体"/>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ˎ̥">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T64E9BFA0tCID-WinCharSetFFFF-H">
    <w:altName w:val="宋体"/>
    <w:charset w:val="86"/>
    <w:family w:val="auto"/>
    <w:pitch w:val="default"/>
    <w:sig w:usb0="00000001" w:usb1="080E0000" w:usb2="00000010" w:usb3="00000000" w:csb0="00040000" w:csb1="00000000"/>
  </w:font>
  <w:font w:name="TT54AB0ED3tCID-WinCharSetFFFF-H">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CE" w:rsidRDefault="00B35B6A" w:rsidP="00026CFC">
    <w:pPr>
      <w:pStyle w:val="ad"/>
      <w:framePr w:wrap="around" w:vAnchor="text" w:hAnchor="margin" w:xAlign="center" w:y="1"/>
      <w:ind w:firstLine="360"/>
      <w:rPr>
        <w:rStyle w:val="ac"/>
      </w:rPr>
    </w:pPr>
    <w:r>
      <w:rPr>
        <w:rStyle w:val="ac"/>
      </w:rPr>
      <w:fldChar w:fldCharType="begin"/>
    </w:r>
    <w:r w:rsidR="000470CE">
      <w:rPr>
        <w:rStyle w:val="ac"/>
      </w:rPr>
      <w:instrText xml:space="preserve">PAGE  </w:instrText>
    </w:r>
    <w:r>
      <w:rPr>
        <w:rStyle w:val="ac"/>
      </w:rPr>
      <w:fldChar w:fldCharType="end"/>
    </w:r>
  </w:p>
  <w:p w:rsidR="000470CE" w:rsidRDefault="000470CE" w:rsidP="00026CFC">
    <w:pPr>
      <w:pStyle w:val="ad"/>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CE" w:rsidRDefault="000470CE" w:rsidP="00026CFC">
    <w:pPr>
      <w:pStyle w:val="ad"/>
      <w:tabs>
        <w:tab w:val="clear" w:pos="8306"/>
        <w:tab w:val="left" w:pos="4440"/>
      </w:tabs>
      <w:ind w:firstLineChars="2211" w:firstLine="398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CE" w:rsidRDefault="000470CE" w:rsidP="00026CFC">
    <w:pPr>
      <w:pStyle w:val="ad"/>
      <w:ind w:firstLineChars="2300" w:firstLine="414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CE" w:rsidRDefault="00B35B6A" w:rsidP="00F77317">
    <w:pPr>
      <w:pStyle w:val="ad"/>
      <w:ind w:firstLine="360"/>
      <w:jc w:val="center"/>
    </w:pPr>
    <w:r>
      <w:fldChar w:fldCharType="begin"/>
    </w:r>
    <w:r w:rsidR="000470CE">
      <w:instrText xml:space="preserve"> PAGE   \* MERGEFORMAT </w:instrText>
    </w:r>
    <w:r>
      <w:fldChar w:fldCharType="separate"/>
    </w:r>
    <w:r w:rsidR="009802E0" w:rsidRPr="009802E0">
      <w:rPr>
        <w:noProof/>
        <w:lang w:val="zh-CN"/>
      </w:rPr>
      <w:t>V</w:t>
    </w:r>
    <w:r>
      <w:rPr>
        <w:noProof/>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CE" w:rsidRDefault="00B35B6A" w:rsidP="004E74E4">
    <w:pPr>
      <w:pStyle w:val="ad"/>
      <w:framePr w:wrap="around" w:vAnchor="text" w:hAnchor="page" w:x="5836" w:y="20"/>
      <w:ind w:firstLineChars="0" w:firstLine="0"/>
      <w:rPr>
        <w:rStyle w:val="ac"/>
      </w:rPr>
    </w:pPr>
    <w:r>
      <w:rPr>
        <w:rStyle w:val="ac"/>
      </w:rPr>
      <w:fldChar w:fldCharType="begin"/>
    </w:r>
    <w:r w:rsidR="000470CE">
      <w:rPr>
        <w:rStyle w:val="ac"/>
      </w:rPr>
      <w:instrText xml:space="preserve">PAGE  </w:instrText>
    </w:r>
    <w:r>
      <w:rPr>
        <w:rStyle w:val="ac"/>
      </w:rPr>
      <w:fldChar w:fldCharType="separate"/>
    </w:r>
    <w:r w:rsidR="009802E0">
      <w:rPr>
        <w:rStyle w:val="ac"/>
        <w:noProof/>
      </w:rPr>
      <w:t>173</w:t>
    </w:r>
    <w:r>
      <w:rPr>
        <w:rStyle w:val="ac"/>
      </w:rPr>
      <w:fldChar w:fldCharType="end"/>
    </w:r>
  </w:p>
  <w:p w:rsidR="000470CE" w:rsidRDefault="000470CE" w:rsidP="004E74E4">
    <w:pPr>
      <w:pStyle w:val="ad"/>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98E" w:rsidRDefault="00F9698E">
      <w:r>
        <w:separator/>
      </w:r>
    </w:p>
  </w:footnote>
  <w:footnote w:type="continuationSeparator" w:id="0">
    <w:p w:rsidR="00F9698E" w:rsidRDefault="00F96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CE" w:rsidRDefault="000470CE" w:rsidP="00026CFC">
    <w:pPr>
      <w:pStyle w:val="ab"/>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CE" w:rsidRPr="00244240" w:rsidRDefault="000470CE" w:rsidP="00026CFC">
    <w:pPr>
      <w:pStyle w:val="ab"/>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CE" w:rsidRPr="002A7F91" w:rsidRDefault="000470CE" w:rsidP="00026CFC">
    <w:pPr>
      <w:pStyle w:val="ab"/>
      <w:pBdr>
        <w:bottom w:val="none" w:sz="0" w:space="0" w:color="auto"/>
      </w:pBdr>
      <w:ind w:firstLine="360"/>
      <w:rPr>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CE" w:rsidRPr="00013FF2" w:rsidRDefault="000470CE" w:rsidP="00013FF2">
    <w:pPr>
      <w:pStyle w:val="ab"/>
      <w:pBdr>
        <w:bottom w:val="none" w:sz="0" w:space="0"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AB66A80"/>
    <w:lvl w:ilvl="0">
      <w:start w:val="1"/>
      <w:numFmt w:val="decimal"/>
      <w:pStyle w:val="5"/>
      <w:lvlText w:val="%1."/>
      <w:lvlJc w:val="left"/>
      <w:pPr>
        <w:tabs>
          <w:tab w:val="num" w:pos="2040"/>
        </w:tabs>
        <w:ind w:left="2040" w:hanging="360"/>
      </w:pPr>
    </w:lvl>
  </w:abstractNum>
  <w:abstractNum w:abstractNumId="1" w15:restartNumberingAfterBreak="0">
    <w:nsid w:val="FFFFFF7D"/>
    <w:multiLevelType w:val="singleLevel"/>
    <w:tmpl w:val="D77EA536"/>
    <w:lvl w:ilvl="0">
      <w:start w:val="1"/>
      <w:numFmt w:val="decimal"/>
      <w:pStyle w:val="4"/>
      <w:lvlText w:val="%1."/>
      <w:lvlJc w:val="left"/>
      <w:pPr>
        <w:tabs>
          <w:tab w:val="num" w:pos="1620"/>
        </w:tabs>
        <w:ind w:left="1620" w:hanging="360"/>
      </w:pPr>
    </w:lvl>
  </w:abstractNum>
  <w:abstractNum w:abstractNumId="2" w15:restartNumberingAfterBreak="0">
    <w:nsid w:val="FFFFFF7E"/>
    <w:multiLevelType w:val="singleLevel"/>
    <w:tmpl w:val="D722BE4C"/>
    <w:lvl w:ilvl="0">
      <w:start w:val="1"/>
      <w:numFmt w:val="decimal"/>
      <w:pStyle w:val="3"/>
      <w:lvlText w:val="%1."/>
      <w:lvlJc w:val="left"/>
      <w:pPr>
        <w:tabs>
          <w:tab w:val="num" w:pos="1200"/>
        </w:tabs>
        <w:ind w:left="1200" w:hanging="360"/>
      </w:pPr>
    </w:lvl>
  </w:abstractNum>
  <w:abstractNum w:abstractNumId="3" w15:restartNumberingAfterBreak="0">
    <w:nsid w:val="FFFFFF7F"/>
    <w:multiLevelType w:val="singleLevel"/>
    <w:tmpl w:val="596E522A"/>
    <w:lvl w:ilvl="0">
      <w:start w:val="1"/>
      <w:numFmt w:val="decimal"/>
      <w:pStyle w:val="2"/>
      <w:lvlText w:val="%1."/>
      <w:lvlJc w:val="left"/>
      <w:pPr>
        <w:tabs>
          <w:tab w:val="num" w:pos="780"/>
        </w:tabs>
        <w:ind w:left="780" w:hanging="360"/>
      </w:pPr>
    </w:lvl>
  </w:abstractNum>
  <w:abstractNum w:abstractNumId="4" w15:restartNumberingAfterBreak="0">
    <w:nsid w:val="FFFFFF80"/>
    <w:multiLevelType w:val="singleLevel"/>
    <w:tmpl w:val="C2A01F00"/>
    <w:lvl w:ilvl="0">
      <w:start w:val="1"/>
      <w:numFmt w:val="bullet"/>
      <w:pStyle w:val="50"/>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C636976C"/>
    <w:lvl w:ilvl="0">
      <w:start w:val="1"/>
      <w:numFmt w:val="bullet"/>
      <w:pStyle w:val="40"/>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2CAC36EC"/>
    <w:lvl w:ilvl="0">
      <w:start w:val="1"/>
      <w:numFmt w:val="bullet"/>
      <w:pStyle w:val="30"/>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7AE64CA6"/>
    <w:lvl w:ilvl="0">
      <w:start w:val="1"/>
      <w:numFmt w:val="bullet"/>
      <w:pStyle w:val="20"/>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F97EE8E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EAFA001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0D80EED"/>
    <w:multiLevelType w:val="hybridMultilevel"/>
    <w:tmpl w:val="4B08DDBE"/>
    <w:lvl w:ilvl="0" w:tplc="AFB67184">
      <w:start w:val="1"/>
      <w:numFmt w:val="decimal"/>
      <w:lvlText w:val="%1."/>
      <w:lvlJc w:val="left"/>
      <w:pPr>
        <w:ind w:left="375" w:hanging="360"/>
      </w:pPr>
      <w:rPr>
        <w:rFonts w:hint="default"/>
      </w:rPr>
    </w:lvl>
    <w:lvl w:ilvl="1" w:tplc="04090019" w:tentative="1">
      <w:start w:val="1"/>
      <w:numFmt w:val="lowerLetter"/>
      <w:lvlText w:val="%2)"/>
      <w:lvlJc w:val="left"/>
      <w:pPr>
        <w:ind w:left="855" w:hanging="420"/>
      </w:pPr>
    </w:lvl>
    <w:lvl w:ilvl="2" w:tplc="0409001B" w:tentative="1">
      <w:start w:val="1"/>
      <w:numFmt w:val="lowerRoman"/>
      <w:lvlText w:val="%3."/>
      <w:lvlJc w:val="right"/>
      <w:pPr>
        <w:ind w:left="1275" w:hanging="420"/>
      </w:pPr>
    </w:lvl>
    <w:lvl w:ilvl="3" w:tplc="0409000F" w:tentative="1">
      <w:start w:val="1"/>
      <w:numFmt w:val="decimal"/>
      <w:lvlText w:val="%4."/>
      <w:lvlJc w:val="left"/>
      <w:pPr>
        <w:ind w:left="1695" w:hanging="420"/>
      </w:pPr>
    </w:lvl>
    <w:lvl w:ilvl="4" w:tplc="04090019" w:tentative="1">
      <w:start w:val="1"/>
      <w:numFmt w:val="lowerLetter"/>
      <w:lvlText w:val="%5)"/>
      <w:lvlJc w:val="left"/>
      <w:pPr>
        <w:ind w:left="2115" w:hanging="420"/>
      </w:pPr>
    </w:lvl>
    <w:lvl w:ilvl="5" w:tplc="0409001B" w:tentative="1">
      <w:start w:val="1"/>
      <w:numFmt w:val="lowerRoman"/>
      <w:lvlText w:val="%6."/>
      <w:lvlJc w:val="right"/>
      <w:pPr>
        <w:ind w:left="2535" w:hanging="420"/>
      </w:pPr>
    </w:lvl>
    <w:lvl w:ilvl="6" w:tplc="0409000F" w:tentative="1">
      <w:start w:val="1"/>
      <w:numFmt w:val="decimal"/>
      <w:lvlText w:val="%7."/>
      <w:lvlJc w:val="left"/>
      <w:pPr>
        <w:ind w:left="2955" w:hanging="420"/>
      </w:pPr>
    </w:lvl>
    <w:lvl w:ilvl="7" w:tplc="04090019" w:tentative="1">
      <w:start w:val="1"/>
      <w:numFmt w:val="lowerLetter"/>
      <w:lvlText w:val="%8)"/>
      <w:lvlJc w:val="left"/>
      <w:pPr>
        <w:ind w:left="3375" w:hanging="420"/>
      </w:pPr>
    </w:lvl>
    <w:lvl w:ilvl="8" w:tplc="0409001B" w:tentative="1">
      <w:start w:val="1"/>
      <w:numFmt w:val="lowerRoman"/>
      <w:lvlText w:val="%9."/>
      <w:lvlJc w:val="right"/>
      <w:pPr>
        <w:ind w:left="3795" w:hanging="420"/>
      </w:pPr>
    </w:lvl>
  </w:abstractNum>
  <w:abstractNum w:abstractNumId="11" w15:restartNumberingAfterBreak="0">
    <w:nsid w:val="02A63ECB"/>
    <w:multiLevelType w:val="singleLevel"/>
    <w:tmpl w:val="2136817C"/>
    <w:lvl w:ilvl="0">
      <w:start w:val="1"/>
      <w:numFmt w:val="decimal"/>
      <w:lvlText w:val="(%1)"/>
      <w:lvlJc w:val="left"/>
      <w:pPr>
        <w:tabs>
          <w:tab w:val="num" w:pos="425"/>
        </w:tabs>
        <w:ind w:left="425" w:hanging="425"/>
      </w:pPr>
      <w:rPr>
        <w:rFonts w:hint="eastAsia"/>
      </w:rPr>
    </w:lvl>
  </w:abstractNum>
  <w:abstractNum w:abstractNumId="12" w15:restartNumberingAfterBreak="0">
    <w:nsid w:val="06DA78B9"/>
    <w:multiLevelType w:val="hybridMultilevel"/>
    <w:tmpl w:val="FEA6D152"/>
    <w:lvl w:ilvl="0" w:tplc="04090019">
      <w:start w:val="1"/>
      <w:numFmt w:val="lowerLetter"/>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3" w15:restartNumberingAfterBreak="0">
    <w:nsid w:val="06EF2B8A"/>
    <w:multiLevelType w:val="hybridMultilevel"/>
    <w:tmpl w:val="1860661A"/>
    <w:lvl w:ilvl="0" w:tplc="129ADA6E">
      <w:start w:val="1"/>
      <w:numFmt w:val="japaneseCounting"/>
      <w:lvlText w:val="%1、"/>
      <w:lvlJc w:val="left"/>
      <w:pPr>
        <w:tabs>
          <w:tab w:val="num" w:pos="720"/>
        </w:tabs>
        <w:ind w:left="720" w:hanging="720"/>
      </w:pPr>
      <w:rPr>
        <w:rFonts w:hint="eastAsia"/>
      </w:rPr>
    </w:lvl>
    <w:lvl w:ilvl="1" w:tplc="7BD2BFA8">
      <w:start w:val="1"/>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107B66C2"/>
    <w:multiLevelType w:val="hybridMultilevel"/>
    <w:tmpl w:val="B434A088"/>
    <w:lvl w:ilvl="0" w:tplc="87C2BABC">
      <w:start w:val="1"/>
      <w:numFmt w:val="decimal"/>
      <w:lvlText w:val="(%1)"/>
      <w:lvlJc w:val="left"/>
      <w:pPr>
        <w:tabs>
          <w:tab w:val="num" w:pos="780"/>
        </w:tabs>
        <w:ind w:left="78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1A4038FD"/>
    <w:multiLevelType w:val="hybridMultilevel"/>
    <w:tmpl w:val="127218AA"/>
    <w:lvl w:ilvl="0" w:tplc="BADADE8E">
      <w:start w:val="1"/>
      <w:numFmt w:val="japaneseCounting"/>
      <w:pStyle w:val="211"/>
      <w:lvlText w:val="%1、"/>
      <w:lvlJc w:val="left"/>
      <w:pPr>
        <w:tabs>
          <w:tab w:val="num" w:pos="3243"/>
        </w:tabs>
        <w:ind w:left="3243" w:hanging="720"/>
      </w:pPr>
      <w:rPr>
        <w:rFonts w:hint="eastAsia"/>
      </w:rPr>
    </w:lvl>
    <w:lvl w:ilvl="1" w:tplc="68EECE30" w:tentative="1">
      <w:start w:val="1"/>
      <w:numFmt w:val="lowerLetter"/>
      <w:lvlText w:val="%2)"/>
      <w:lvlJc w:val="left"/>
      <w:pPr>
        <w:tabs>
          <w:tab w:val="num" w:pos="840"/>
        </w:tabs>
        <w:ind w:left="840" w:hanging="420"/>
      </w:pPr>
    </w:lvl>
    <w:lvl w:ilvl="2" w:tplc="8BCECA4E" w:tentative="1">
      <w:start w:val="1"/>
      <w:numFmt w:val="lowerRoman"/>
      <w:lvlText w:val="%3."/>
      <w:lvlJc w:val="right"/>
      <w:pPr>
        <w:tabs>
          <w:tab w:val="num" w:pos="1260"/>
        </w:tabs>
        <w:ind w:left="1260" w:hanging="420"/>
      </w:pPr>
    </w:lvl>
    <w:lvl w:ilvl="3" w:tplc="A7D8A0A0" w:tentative="1">
      <w:start w:val="1"/>
      <w:numFmt w:val="decimal"/>
      <w:lvlText w:val="%4."/>
      <w:lvlJc w:val="left"/>
      <w:pPr>
        <w:tabs>
          <w:tab w:val="num" w:pos="1680"/>
        </w:tabs>
        <w:ind w:left="1680" w:hanging="420"/>
      </w:pPr>
    </w:lvl>
    <w:lvl w:ilvl="4" w:tplc="AC42F62C" w:tentative="1">
      <w:start w:val="1"/>
      <w:numFmt w:val="lowerLetter"/>
      <w:lvlText w:val="%5)"/>
      <w:lvlJc w:val="left"/>
      <w:pPr>
        <w:tabs>
          <w:tab w:val="num" w:pos="2100"/>
        </w:tabs>
        <w:ind w:left="2100" w:hanging="420"/>
      </w:pPr>
    </w:lvl>
    <w:lvl w:ilvl="5" w:tplc="A6EC5D20" w:tentative="1">
      <w:start w:val="1"/>
      <w:numFmt w:val="lowerRoman"/>
      <w:lvlText w:val="%6."/>
      <w:lvlJc w:val="right"/>
      <w:pPr>
        <w:tabs>
          <w:tab w:val="num" w:pos="2520"/>
        </w:tabs>
        <w:ind w:left="2520" w:hanging="420"/>
      </w:pPr>
    </w:lvl>
    <w:lvl w:ilvl="6" w:tplc="223A77D2" w:tentative="1">
      <w:start w:val="1"/>
      <w:numFmt w:val="decimal"/>
      <w:lvlText w:val="%7."/>
      <w:lvlJc w:val="left"/>
      <w:pPr>
        <w:tabs>
          <w:tab w:val="num" w:pos="2940"/>
        </w:tabs>
        <w:ind w:left="2940" w:hanging="420"/>
      </w:pPr>
    </w:lvl>
    <w:lvl w:ilvl="7" w:tplc="2B70C732" w:tentative="1">
      <w:start w:val="1"/>
      <w:numFmt w:val="lowerLetter"/>
      <w:lvlText w:val="%8)"/>
      <w:lvlJc w:val="left"/>
      <w:pPr>
        <w:tabs>
          <w:tab w:val="num" w:pos="3360"/>
        </w:tabs>
        <w:ind w:left="3360" w:hanging="420"/>
      </w:pPr>
    </w:lvl>
    <w:lvl w:ilvl="8" w:tplc="71B8107A" w:tentative="1">
      <w:start w:val="1"/>
      <w:numFmt w:val="lowerRoman"/>
      <w:lvlText w:val="%9."/>
      <w:lvlJc w:val="right"/>
      <w:pPr>
        <w:tabs>
          <w:tab w:val="num" w:pos="3780"/>
        </w:tabs>
        <w:ind w:left="3780" w:hanging="420"/>
      </w:pPr>
    </w:lvl>
  </w:abstractNum>
  <w:abstractNum w:abstractNumId="16" w15:restartNumberingAfterBreak="0">
    <w:nsid w:val="1AB70BA6"/>
    <w:multiLevelType w:val="hybridMultilevel"/>
    <w:tmpl w:val="0F2A35AE"/>
    <w:lvl w:ilvl="0" w:tplc="35F09A1C">
      <w:start w:val="1"/>
      <w:numFmt w:val="chineseCountingThousand"/>
      <w:lvlText w:val="（%1）."/>
      <w:lvlJc w:val="left"/>
      <w:pPr>
        <w:tabs>
          <w:tab w:val="num" w:pos="1140"/>
        </w:tabs>
        <w:ind w:left="0" w:firstLine="420"/>
      </w:pPr>
      <w:rPr>
        <w:rFonts w:hint="eastAsia"/>
        <w:sz w:val="24"/>
      </w:rPr>
    </w:lvl>
    <w:lvl w:ilvl="1" w:tplc="9F5E5A14">
      <w:start w:val="1"/>
      <w:numFmt w:val="decimal"/>
      <w:lvlText w:val="%2."/>
      <w:lvlJc w:val="left"/>
      <w:pPr>
        <w:tabs>
          <w:tab w:val="num" w:pos="780"/>
        </w:tabs>
        <w:ind w:left="0" w:firstLine="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239E2F0F"/>
    <w:multiLevelType w:val="multilevel"/>
    <w:tmpl w:val="97B69774"/>
    <w:lvl w:ilvl="0">
      <w:start w:val="1"/>
      <w:numFmt w:val="chineseCountingThousand"/>
      <w:suff w:val="space"/>
      <w:lvlText w:val="%1、"/>
      <w:lvlJc w:val="left"/>
      <w:pPr>
        <w:ind w:left="0" w:firstLine="0"/>
      </w:pPr>
      <w:rPr>
        <w:rFonts w:hint="eastAsia"/>
      </w:rPr>
    </w:lvl>
    <w:lvl w:ilvl="1">
      <w:start w:val="1"/>
      <w:numFmt w:val="chineseCountingThousand"/>
      <w:pStyle w:val="2111111"/>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pStyle w:val="41"/>
      <w:suff w:val="nothing"/>
      <w:lvlText w:val=""/>
      <w:lvlJc w:val="left"/>
      <w:pPr>
        <w:ind w:left="851" w:firstLine="0"/>
      </w:pPr>
      <w:rPr>
        <w:rFonts w:hint="eastAsia"/>
      </w:rPr>
    </w:lvl>
    <w:lvl w:ilvl="4">
      <w:start w:val="1"/>
      <w:numFmt w:val="none"/>
      <w:pStyle w:val="51"/>
      <w:suff w:val="nothing"/>
      <w:lvlText w:val=""/>
      <w:lvlJc w:val="left"/>
      <w:pPr>
        <w:ind w:left="851" w:firstLine="0"/>
      </w:pPr>
      <w:rPr>
        <w:rFonts w:hint="eastAsia"/>
      </w:rPr>
    </w:lvl>
    <w:lvl w:ilvl="5">
      <w:start w:val="1"/>
      <w:numFmt w:val="none"/>
      <w:pStyle w:val="6"/>
      <w:suff w:val="nothing"/>
      <w:lvlText w:val=""/>
      <w:lvlJc w:val="left"/>
      <w:pPr>
        <w:ind w:left="851" w:firstLine="0"/>
      </w:pPr>
      <w:rPr>
        <w:rFonts w:hint="eastAsia"/>
      </w:rPr>
    </w:lvl>
    <w:lvl w:ilvl="6">
      <w:start w:val="1"/>
      <w:numFmt w:val="none"/>
      <w:pStyle w:val="7"/>
      <w:suff w:val="nothing"/>
      <w:lvlText w:val=""/>
      <w:lvlJc w:val="left"/>
      <w:pPr>
        <w:ind w:left="851" w:firstLine="0"/>
      </w:pPr>
      <w:rPr>
        <w:rFonts w:hint="eastAsia"/>
      </w:rPr>
    </w:lvl>
    <w:lvl w:ilvl="7">
      <w:start w:val="1"/>
      <w:numFmt w:val="none"/>
      <w:pStyle w:val="8"/>
      <w:suff w:val="nothing"/>
      <w:lvlText w:val=""/>
      <w:lvlJc w:val="left"/>
      <w:pPr>
        <w:ind w:left="851" w:firstLine="0"/>
      </w:pPr>
      <w:rPr>
        <w:rFonts w:hint="eastAsia"/>
      </w:rPr>
    </w:lvl>
    <w:lvl w:ilvl="8">
      <w:start w:val="1"/>
      <w:numFmt w:val="none"/>
      <w:pStyle w:val="9"/>
      <w:suff w:val="nothing"/>
      <w:lvlText w:val=""/>
      <w:lvlJc w:val="left"/>
      <w:pPr>
        <w:ind w:left="851" w:firstLine="0"/>
      </w:pPr>
      <w:rPr>
        <w:rFonts w:hint="eastAsia"/>
      </w:rPr>
    </w:lvl>
  </w:abstractNum>
  <w:abstractNum w:abstractNumId="18" w15:restartNumberingAfterBreak="0">
    <w:nsid w:val="37296806"/>
    <w:multiLevelType w:val="hybridMultilevel"/>
    <w:tmpl w:val="0E4CF03C"/>
    <w:lvl w:ilvl="0" w:tplc="7960D7AE">
      <w:start w:val="1"/>
      <w:numFmt w:val="decimal"/>
      <w:lvlText w:val="%1、"/>
      <w:lvlJc w:val="left"/>
      <w:pPr>
        <w:tabs>
          <w:tab w:val="num" w:pos="900"/>
        </w:tabs>
        <w:ind w:left="900" w:hanging="480"/>
      </w:pPr>
      <w:rPr>
        <w:rFonts w:eastAsia="肆"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9" w15:restartNumberingAfterBreak="0">
    <w:nsid w:val="37E46BB2"/>
    <w:multiLevelType w:val="hybridMultilevel"/>
    <w:tmpl w:val="3BAA6728"/>
    <w:lvl w:ilvl="0" w:tplc="7960D7AE">
      <w:start w:val="1"/>
      <w:numFmt w:val="decimal"/>
      <w:lvlText w:val="%1、"/>
      <w:lvlJc w:val="left"/>
      <w:pPr>
        <w:tabs>
          <w:tab w:val="num" w:pos="764"/>
        </w:tabs>
        <w:ind w:left="764" w:hanging="480"/>
      </w:pPr>
      <w:rPr>
        <w:rFonts w:eastAsia="肆" w:hint="eastAsia"/>
      </w:rPr>
    </w:lvl>
    <w:lvl w:ilvl="1" w:tplc="04090019">
      <w:start w:val="1"/>
      <w:numFmt w:val="lowerLetter"/>
      <w:lvlText w:val="%2)"/>
      <w:lvlJc w:val="left"/>
      <w:pPr>
        <w:tabs>
          <w:tab w:val="num" w:pos="704"/>
        </w:tabs>
        <w:ind w:left="704" w:hanging="420"/>
      </w:pPr>
    </w:lvl>
    <w:lvl w:ilvl="2" w:tplc="0409001B" w:tentative="1">
      <w:start w:val="1"/>
      <w:numFmt w:val="lowerRoman"/>
      <w:lvlText w:val="%3."/>
      <w:lvlJc w:val="right"/>
      <w:pPr>
        <w:tabs>
          <w:tab w:val="num" w:pos="1124"/>
        </w:tabs>
        <w:ind w:left="1124" w:hanging="420"/>
      </w:pPr>
    </w:lvl>
    <w:lvl w:ilvl="3" w:tplc="0409000F" w:tentative="1">
      <w:start w:val="1"/>
      <w:numFmt w:val="decimal"/>
      <w:lvlText w:val="%4."/>
      <w:lvlJc w:val="left"/>
      <w:pPr>
        <w:tabs>
          <w:tab w:val="num" w:pos="1544"/>
        </w:tabs>
        <w:ind w:left="1544" w:hanging="420"/>
      </w:pPr>
    </w:lvl>
    <w:lvl w:ilvl="4" w:tplc="04090019" w:tentative="1">
      <w:start w:val="1"/>
      <w:numFmt w:val="lowerLetter"/>
      <w:lvlText w:val="%5)"/>
      <w:lvlJc w:val="left"/>
      <w:pPr>
        <w:tabs>
          <w:tab w:val="num" w:pos="1964"/>
        </w:tabs>
        <w:ind w:left="1964" w:hanging="420"/>
      </w:pPr>
    </w:lvl>
    <w:lvl w:ilvl="5" w:tplc="0409001B" w:tentative="1">
      <w:start w:val="1"/>
      <w:numFmt w:val="lowerRoman"/>
      <w:lvlText w:val="%6."/>
      <w:lvlJc w:val="right"/>
      <w:pPr>
        <w:tabs>
          <w:tab w:val="num" w:pos="2384"/>
        </w:tabs>
        <w:ind w:left="2384" w:hanging="420"/>
      </w:pPr>
    </w:lvl>
    <w:lvl w:ilvl="6" w:tplc="0409000F" w:tentative="1">
      <w:start w:val="1"/>
      <w:numFmt w:val="decimal"/>
      <w:lvlText w:val="%7."/>
      <w:lvlJc w:val="left"/>
      <w:pPr>
        <w:tabs>
          <w:tab w:val="num" w:pos="2804"/>
        </w:tabs>
        <w:ind w:left="2804" w:hanging="420"/>
      </w:pPr>
    </w:lvl>
    <w:lvl w:ilvl="7" w:tplc="04090019" w:tentative="1">
      <w:start w:val="1"/>
      <w:numFmt w:val="lowerLetter"/>
      <w:lvlText w:val="%8)"/>
      <w:lvlJc w:val="left"/>
      <w:pPr>
        <w:tabs>
          <w:tab w:val="num" w:pos="3224"/>
        </w:tabs>
        <w:ind w:left="3224" w:hanging="420"/>
      </w:pPr>
    </w:lvl>
    <w:lvl w:ilvl="8" w:tplc="0409001B" w:tentative="1">
      <w:start w:val="1"/>
      <w:numFmt w:val="lowerRoman"/>
      <w:lvlText w:val="%9."/>
      <w:lvlJc w:val="right"/>
      <w:pPr>
        <w:tabs>
          <w:tab w:val="num" w:pos="3644"/>
        </w:tabs>
        <w:ind w:left="3644" w:hanging="420"/>
      </w:pPr>
    </w:lvl>
  </w:abstractNum>
  <w:abstractNum w:abstractNumId="20" w15:restartNumberingAfterBreak="0">
    <w:nsid w:val="388E68AD"/>
    <w:multiLevelType w:val="hybridMultilevel"/>
    <w:tmpl w:val="0A4EB93A"/>
    <w:lvl w:ilvl="0" w:tplc="5D0875D8">
      <w:start w:val="1"/>
      <w:numFmt w:val="chineseCountingThousand"/>
      <w:lvlText w:val="（%1）."/>
      <w:lvlJc w:val="left"/>
      <w:pPr>
        <w:tabs>
          <w:tab w:val="num" w:pos="1140"/>
        </w:tabs>
        <w:ind w:left="0" w:firstLine="420"/>
      </w:pPr>
      <w:rPr>
        <w:rFonts w:hint="eastAsia"/>
      </w:rPr>
    </w:lvl>
    <w:lvl w:ilvl="1" w:tplc="012E9C98">
      <w:start w:val="1"/>
      <w:numFmt w:val="decimal"/>
      <w:lvlText w:val="%2."/>
      <w:lvlJc w:val="left"/>
      <w:pPr>
        <w:tabs>
          <w:tab w:val="num" w:pos="780"/>
        </w:tabs>
        <w:ind w:left="0" w:firstLine="420"/>
      </w:pPr>
      <w:rPr>
        <w:rFonts w:hint="eastAsia"/>
      </w:rPr>
    </w:lvl>
    <w:lvl w:ilvl="2" w:tplc="67DE0988">
      <w:start w:val="1"/>
      <w:numFmt w:val="decimal"/>
      <w:lvlText w:val="(%3)"/>
      <w:lvlJc w:val="left"/>
      <w:pPr>
        <w:tabs>
          <w:tab w:val="num" w:pos="1200"/>
        </w:tabs>
        <w:ind w:left="420" w:firstLine="420"/>
      </w:pPr>
      <w:rPr>
        <w:rFonts w:ascii="宋体" w:eastAsia="宋体" w:hint="eastAsia"/>
        <w:b w:val="0"/>
        <w:i w:val="0"/>
        <w:sz w:val="21"/>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432767B3"/>
    <w:multiLevelType w:val="hybridMultilevel"/>
    <w:tmpl w:val="2D42C294"/>
    <w:lvl w:ilvl="0" w:tplc="EB7E00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34C0486"/>
    <w:multiLevelType w:val="hybridMultilevel"/>
    <w:tmpl w:val="6D92F278"/>
    <w:lvl w:ilvl="0" w:tplc="5D0875D8">
      <w:start w:val="1"/>
      <w:numFmt w:val="chineseCountingThousand"/>
      <w:pStyle w:val="a1"/>
      <w:lvlText w:val="（%1）."/>
      <w:lvlJc w:val="left"/>
      <w:pPr>
        <w:tabs>
          <w:tab w:val="num" w:pos="1140"/>
        </w:tabs>
        <w:ind w:left="0" w:firstLine="420"/>
      </w:pPr>
      <w:rPr>
        <w:rFonts w:hint="eastAsia"/>
      </w:rPr>
    </w:lvl>
    <w:lvl w:ilvl="1" w:tplc="85DCE3DC">
      <w:start w:val="1"/>
      <w:numFmt w:val="decimal"/>
      <w:lvlText w:val="%2."/>
      <w:lvlJc w:val="left"/>
      <w:pPr>
        <w:tabs>
          <w:tab w:val="num" w:pos="780"/>
        </w:tabs>
        <w:ind w:left="0" w:firstLine="420"/>
      </w:pPr>
      <w:rPr>
        <w:rFonts w:hint="eastAsia"/>
      </w:rPr>
    </w:lvl>
    <w:lvl w:ilvl="2" w:tplc="C8DE7F70">
      <w:start w:val="1"/>
      <w:numFmt w:val="decimal"/>
      <w:lvlText w:val="（%3）"/>
      <w:lvlJc w:val="left"/>
      <w:pPr>
        <w:tabs>
          <w:tab w:val="num" w:pos="1560"/>
        </w:tabs>
        <w:ind w:left="420" w:firstLine="4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436A7359"/>
    <w:multiLevelType w:val="hybridMultilevel"/>
    <w:tmpl w:val="244CE718"/>
    <w:lvl w:ilvl="0" w:tplc="382AF65E">
      <w:start w:val="1"/>
      <w:numFmt w:val="decimal"/>
      <w:lvlText w:val="（%1）"/>
      <w:lvlJc w:val="left"/>
      <w:pPr>
        <w:ind w:left="840" w:hanging="420"/>
      </w:pPr>
      <w:rPr>
        <w:rFonts w:ascii="宋体" w:eastAsia="宋体" w:hAnsi="宋体" w:hint="eastAsia"/>
      </w:rPr>
    </w:lvl>
    <w:lvl w:ilvl="1" w:tplc="F5F4552E">
      <w:start w:val="1"/>
      <w:numFmt w:val="decimal"/>
      <w:lvlText w:val="（%2）"/>
      <w:lvlJc w:val="left"/>
      <w:pPr>
        <w:ind w:left="1260" w:hanging="42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456C7310"/>
    <w:multiLevelType w:val="hybridMultilevel"/>
    <w:tmpl w:val="2EC46E02"/>
    <w:lvl w:ilvl="0" w:tplc="124C5692">
      <w:start w:val="1"/>
      <w:numFmt w:val="japaneseCounting"/>
      <w:pStyle w:val="211211"/>
      <w:lvlText w:val="%1、"/>
      <w:lvlJc w:val="left"/>
      <w:pPr>
        <w:tabs>
          <w:tab w:val="num" w:pos="720"/>
        </w:tabs>
        <w:ind w:left="720" w:hanging="720"/>
      </w:pPr>
      <w:rPr>
        <w:rFonts w:hint="eastAsia"/>
      </w:rPr>
    </w:lvl>
    <w:lvl w:ilvl="1" w:tplc="AF8E51DA" w:tentative="1">
      <w:start w:val="1"/>
      <w:numFmt w:val="lowerLetter"/>
      <w:lvlText w:val="%2)"/>
      <w:lvlJc w:val="left"/>
      <w:pPr>
        <w:tabs>
          <w:tab w:val="num" w:pos="840"/>
        </w:tabs>
        <w:ind w:left="840" w:hanging="420"/>
      </w:pPr>
    </w:lvl>
    <w:lvl w:ilvl="2" w:tplc="6778D7BC" w:tentative="1">
      <w:start w:val="1"/>
      <w:numFmt w:val="lowerRoman"/>
      <w:lvlText w:val="%3."/>
      <w:lvlJc w:val="right"/>
      <w:pPr>
        <w:tabs>
          <w:tab w:val="num" w:pos="1260"/>
        </w:tabs>
        <w:ind w:left="1260" w:hanging="420"/>
      </w:pPr>
    </w:lvl>
    <w:lvl w:ilvl="3" w:tplc="CA5257B6" w:tentative="1">
      <w:start w:val="1"/>
      <w:numFmt w:val="decimal"/>
      <w:lvlText w:val="%4."/>
      <w:lvlJc w:val="left"/>
      <w:pPr>
        <w:tabs>
          <w:tab w:val="num" w:pos="1680"/>
        </w:tabs>
        <w:ind w:left="1680" w:hanging="420"/>
      </w:pPr>
    </w:lvl>
    <w:lvl w:ilvl="4" w:tplc="38D482C8" w:tentative="1">
      <w:start w:val="1"/>
      <w:numFmt w:val="lowerLetter"/>
      <w:lvlText w:val="%5)"/>
      <w:lvlJc w:val="left"/>
      <w:pPr>
        <w:tabs>
          <w:tab w:val="num" w:pos="2100"/>
        </w:tabs>
        <w:ind w:left="2100" w:hanging="420"/>
      </w:pPr>
    </w:lvl>
    <w:lvl w:ilvl="5" w:tplc="D6BEC0D6" w:tentative="1">
      <w:start w:val="1"/>
      <w:numFmt w:val="lowerRoman"/>
      <w:lvlText w:val="%6."/>
      <w:lvlJc w:val="right"/>
      <w:pPr>
        <w:tabs>
          <w:tab w:val="num" w:pos="2520"/>
        </w:tabs>
        <w:ind w:left="2520" w:hanging="420"/>
      </w:pPr>
    </w:lvl>
    <w:lvl w:ilvl="6" w:tplc="57D4D17E" w:tentative="1">
      <w:start w:val="1"/>
      <w:numFmt w:val="decimal"/>
      <w:lvlText w:val="%7."/>
      <w:lvlJc w:val="left"/>
      <w:pPr>
        <w:tabs>
          <w:tab w:val="num" w:pos="2940"/>
        </w:tabs>
        <w:ind w:left="2940" w:hanging="420"/>
      </w:pPr>
    </w:lvl>
    <w:lvl w:ilvl="7" w:tplc="5470A038" w:tentative="1">
      <w:start w:val="1"/>
      <w:numFmt w:val="lowerLetter"/>
      <w:lvlText w:val="%8)"/>
      <w:lvlJc w:val="left"/>
      <w:pPr>
        <w:tabs>
          <w:tab w:val="num" w:pos="3360"/>
        </w:tabs>
        <w:ind w:left="3360" w:hanging="420"/>
      </w:pPr>
    </w:lvl>
    <w:lvl w:ilvl="8" w:tplc="ED6AA5F8" w:tentative="1">
      <w:start w:val="1"/>
      <w:numFmt w:val="lowerRoman"/>
      <w:lvlText w:val="%9."/>
      <w:lvlJc w:val="right"/>
      <w:pPr>
        <w:tabs>
          <w:tab w:val="num" w:pos="3780"/>
        </w:tabs>
        <w:ind w:left="3780" w:hanging="420"/>
      </w:pPr>
    </w:lvl>
  </w:abstractNum>
  <w:abstractNum w:abstractNumId="25" w15:restartNumberingAfterBreak="0">
    <w:nsid w:val="480810E9"/>
    <w:multiLevelType w:val="multilevel"/>
    <w:tmpl w:val="40A20F34"/>
    <w:lvl w:ilvl="0">
      <w:start w:val="1"/>
      <w:numFmt w:val="none"/>
      <w:lvlText w:val=""/>
      <w:lvlJc w:val="left"/>
      <w:pPr>
        <w:tabs>
          <w:tab w:val="num" w:pos="425"/>
        </w:tabs>
        <w:ind w:left="0" w:firstLine="0"/>
      </w:pPr>
      <w:rPr>
        <w:rFonts w:hint="eastAsia"/>
      </w:rPr>
    </w:lvl>
    <w:lvl w:ilvl="1">
      <w:start w:val="1"/>
      <w:numFmt w:val="chineseCountingThousand"/>
      <w:pStyle w:val="2211"/>
      <w:lvlText w:val="%2、"/>
      <w:lvlJc w:val="left"/>
      <w:pPr>
        <w:tabs>
          <w:tab w:val="num" w:pos="1276"/>
        </w:tabs>
        <w:ind w:left="851" w:firstLine="0"/>
      </w:pPr>
      <w:rPr>
        <w:rFonts w:hint="eastAsia"/>
      </w:rPr>
    </w:lvl>
    <w:lvl w:ilvl="2">
      <w:start w:val="1"/>
      <w:numFmt w:val="chineseCountingThousand"/>
      <w:lvlText w:val="（%3）"/>
      <w:lvlJc w:val="left"/>
      <w:pPr>
        <w:tabs>
          <w:tab w:val="num" w:pos="2126"/>
        </w:tabs>
        <w:ind w:left="1701" w:firstLine="0"/>
      </w:pPr>
      <w:rPr>
        <w:rFonts w:hint="eastAsia"/>
      </w:rPr>
    </w:lvl>
    <w:lvl w:ilvl="3">
      <w:start w:val="1"/>
      <w:numFmt w:val="lowerLetter"/>
      <w:lvlText w:val="%4)"/>
      <w:lvlJc w:val="left"/>
      <w:pPr>
        <w:tabs>
          <w:tab w:val="num" w:pos="2976"/>
        </w:tabs>
        <w:ind w:left="2551" w:firstLine="0"/>
      </w:pPr>
      <w:rPr>
        <w:rFonts w:hint="eastAsia"/>
      </w:rPr>
    </w:lvl>
    <w:lvl w:ilvl="4">
      <w:start w:val="1"/>
      <w:numFmt w:val="decimal"/>
      <w:lvlText w:val="(%5)"/>
      <w:lvlJc w:val="left"/>
      <w:pPr>
        <w:tabs>
          <w:tab w:val="num" w:pos="3827"/>
        </w:tabs>
        <w:ind w:left="3402" w:firstLine="0"/>
      </w:pPr>
      <w:rPr>
        <w:rFonts w:hint="eastAsia"/>
      </w:rPr>
    </w:lvl>
    <w:lvl w:ilvl="5">
      <w:start w:val="1"/>
      <w:numFmt w:val="lowerLetter"/>
      <w:lvlText w:val="(%6)"/>
      <w:lvlJc w:val="left"/>
      <w:pPr>
        <w:tabs>
          <w:tab w:val="num" w:pos="4677"/>
        </w:tabs>
        <w:ind w:left="4252" w:firstLine="0"/>
      </w:pPr>
      <w:rPr>
        <w:rFonts w:hint="eastAsia"/>
      </w:rPr>
    </w:lvl>
    <w:lvl w:ilvl="6">
      <w:start w:val="1"/>
      <w:numFmt w:val="lowerRoman"/>
      <w:lvlText w:val="(%7)"/>
      <w:lvlJc w:val="left"/>
      <w:pPr>
        <w:tabs>
          <w:tab w:val="num" w:pos="5528"/>
        </w:tabs>
        <w:ind w:left="5102" w:firstLine="0"/>
      </w:pPr>
      <w:rPr>
        <w:rFonts w:hint="eastAsia"/>
      </w:rPr>
    </w:lvl>
    <w:lvl w:ilvl="7">
      <w:start w:val="1"/>
      <w:numFmt w:val="lowerLetter"/>
      <w:lvlText w:val="(%8)"/>
      <w:lvlJc w:val="left"/>
      <w:pPr>
        <w:tabs>
          <w:tab w:val="num" w:pos="6378"/>
        </w:tabs>
        <w:ind w:left="5953" w:firstLine="0"/>
      </w:pPr>
      <w:rPr>
        <w:rFonts w:hint="eastAsia"/>
      </w:rPr>
    </w:lvl>
    <w:lvl w:ilvl="8">
      <w:start w:val="1"/>
      <w:numFmt w:val="lowerRoman"/>
      <w:lvlText w:val="(%9)"/>
      <w:lvlJc w:val="left"/>
      <w:pPr>
        <w:tabs>
          <w:tab w:val="num" w:pos="7228"/>
        </w:tabs>
        <w:ind w:left="6803" w:firstLine="0"/>
      </w:pPr>
      <w:rPr>
        <w:rFonts w:hint="eastAsia"/>
      </w:rPr>
    </w:lvl>
  </w:abstractNum>
  <w:abstractNum w:abstractNumId="26" w15:restartNumberingAfterBreak="0">
    <w:nsid w:val="4B385D0F"/>
    <w:multiLevelType w:val="hybridMultilevel"/>
    <w:tmpl w:val="36E8BDCC"/>
    <w:lvl w:ilvl="0" w:tplc="583A131A">
      <w:start w:val="1"/>
      <w:numFmt w:val="japaneseCounting"/>
      <w:lvlText w:val="（%1）"/>
      <w:lvlJc w:val="left"/>
      <w:pPr>
        <w:tabs>
          <w:tab w:val="num" w:pos="720"/>
        </w:tabs>
        <w:ind w:left="720" w:hanging="720"/>
      </w:pPr>
      <w:rPr>
        <w:rFonts w:hint="eastAsia"/>
      </w:rPr>
    </w:lvl>
    <w:lvl w:ilvl="1" w:tplc="43EAF0B0">
      <w:start w:val="1"/>
      <w:numFmt w:val="decimal"/>
      <w:pStyle w:val="a2"/>
      <w:lvlText w:val="%2、"/>
      <w:lvlJc w:val="left"/>
      <w:pPr>
        <w:tabs>
          <w:tab w:val="num" w:pos="780"/>
        </w:tabs>
        <w:ind w:left="780" w:hanging="360"/>
      </w:pPr>
      <w:rPr>
        <w:rFonts w:hint="eastAsia"/>
      </w:rPr>
    </w:lvl>
    <w:lvl w:ilvl="2" w:tplc="1A9C20EE" w:tentative="1">
      <w:start w:val="1"/>
      <w:numFmt w:val="lowerRoman"/>
      <w:lvlText w:val="%3."/>
      <w:lvlJc w:val="right"/>
      <w:pPr>
        <w:tabs>
          <w:tab w:val="num" w:pos="1260"/>
        </w:tabs>
        <w:ind w:left="1260" w:hanging="420"/>
      </w:pPr>
    </w:lvl>
    <w:lvl w:ilvl="3" w:tplc="B3FC816A" w:tentative="1">
      <w:start w:val="1"/>
      <w:numFmt w:val="decimal"/>
      <w:lvlText w:val="%4."/>
      <w:lvlJc w:val="left"/>
      <w:pPr>
        <w:tabs>
          <w:tab w:val="num" w:pos="1680"/>
        </w:tabs>
        <w:ind w:left="1680" w:hanging="420"/>
      </w:pPr>
    </w:lvl>
    <w:lvl w:ilvl="4" w:tplc="360CF1A8" w:tentative="1">
      <w:start w:val="1"/>
      <w:numFmt w:val="lowerLetter"/>
      <w:lvlText w:val="%5)"/>
      <w:lvlJc w:val="left"/>
      <w:pPr>
        <w:tabs>
          <w:tab w:val="num" w:pos="2100"/>
        </w:tabs>
        <w:ind w:left="2100" w:hanging="420"/>
      </w:pPr>
    </w:lvl>
    <w:lvl w:ilvl="5" w:tplc="4880CE3C" w:tentative="1">
      <w:start w:val="1"/>
      <w:numFmt w:val="lowerRoman"/>
      <w:lvlText w:val="%6."/>
      <w:lvlJc w:val="right"/>
      <w:pPr>
        <w:tabs>
          <w:tab w:val="num" w:pos="2520"/>
        </w:tabs>
        <w:ind w:left="2520" w:hanging="420"/>
      </w:pPr>
    </w:lvl>
    <w:lvl w:ilvl="6" w:tplc="7F30CEA2" w:tentative="1">
      <w:start w:val="1"/>
      <w:numFmt w:val="decimal"/>
      <w:lvlText w:val="%7."/>
      <w:lvlJc w:val="left"/>
      <w:pPr>
        <w:tabs>
          <w:tab w:val="num" w:pos="2940"/>
        </w:tabs>
        <w:ind w:left="2940" w:hanging="420"/>
      </w:pPr>
    </w:lvl>
    <w:lvl w:ilvl="7" w:tplc="B99E7A8C" w:tentative="1">
      <w:start w:val="1"/>
      <w:numFmt w:val="lowerLetter"/>
      <w:lvlText w:val="%8)"/>
      <w:lvlJc w:val="left"/>
      <w:pPr>
        <w:tabs>
          <w:tab w:val="num" w:pos="3360"/>
        </w:tabs>
        <w:ind w:left="3360" w:hanging="420"/>
      </w:pPr>
    </w:lvl>
    <w:lvl w:ilvl="8" w:tplc="F4528944" w:tentative="1">
      <w:start w:val="1"/>
      <w:numFmt w:val="lowerRoman"/>
      <w:lvlText w:val="%9."/>
      <w:lvlJc w:val="right"/>
      <w:pPr>
        <w:tabs>
          <w:tab w:val="num" w:pos="3780"/>
        </w:tabs>
        <w:ind w:left="3780" w:hanging="420"/>
      </w:pPr>
    </w:lvl>
  </w:abstractNum>
  <w:abstractNum w:abstractNumId="27" w15:restartNumberingAfterBreak="0">
    <w:nsid w:val="4C9109DF"/>
    <w:multiLevelType w:val="hybridMultilevel"/>
    <w:tmpl w:val="0D3C1AC2"/>
    <w:lvl w:ilvl="0" w:tplc="892A96B2">
      <w:start w:val="1"/>
      <w:numFmt w:val="decimal"/>
      <w:lvlText w:val="%1、"/>
      <w:lvlJc w:val="left"/>
      <w:pPr>
        <w:tabs>
          <w:tab w:val="num" w:pos="900"/>
        </w:tabs>
        <w:ind w:left="900" w:hanging="420"/>
      </w:pPr>
      <w:rPr>
        <w:rFonts w:hint="eastAsia"/>
      </w:rPr>
    </w:lvl>
    <w:lvl w:ilvl="1" w:tplc="5742121A">
      <w:start w:val="1"/>
      <w:numFmt w:val="decimalEnclosedCircle"/>
      <w:lvlText w:val="%2"/>
      <w:lvlJc w:val="left"/>
      <w:pPr>
        <w:tabs>
          <w:tab w:val="num" w:pos="1260"/>
        </w:tabs>
        <w:ind w:left="1260" w:hanging="360"/>
      </w:pPr>
      <w:rPr>
        <w:rFonts w:ascii="宋体" w:hAnsi="宋体"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8" w15:restartNumberingAfterBreak="0">
    <w:nsid w:val="532465A0"/>
    <w:multiLevelType w:val="hybridMultilevel"/>
    <w:tmpl w:val="9AE4CDEA"/>
    <w:lvl w:ilvl="0" w:tplc="77962930">
      <w:start w:val="1"/>
      <w:numFmt w:val="japaneseCounting"/>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9" w15:restartNumberingAfterBreak="0">
    <w:nsid w:val="53EB22A3"/>
    <w:multiLevelType w:val="hybridMultilevel"/>
    <w:tmpl w:val="B3D6975C"/>
    <w:lvl w:ilvl="0" w:tplc="841C8DC8">
      <w:start w:val="1"/>
      <w:numFmt w:val="decimal"/>
      <w:lvlText w:val="（%1）"/>
      <w:lvlJc w:val="left"/>
      <w:pPr>
        <w:tabs>
          <w:tab w:val="num" w:pos="1134"/>
        </w:tabs>
        <w:ind w:left="1134" w:hanging="714"/>
      </w:pPr>
      <w:rPr>
        <w:rFonts w:hint="eastAsia"/>
      </w:rPr>
    </w:lvl>
    <w:lvl w:ilvl="1" w:tplc="329A9606">
      <w:start w:val="1"/>
      <w:numFmt w:val="low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5562621F"/>
    <w:multiLevelType w:val="hybridMultilevel"/>
    <w:tmpl w:val="1A3A79AA"/>
    <w:lvl w:ilvl="0" w:tplc="9DF6616A">
      <w:start w:val="1"/>
      <w:numFmt w:val="decimal"/>
      <w:lvlText w:val="%1."/>
      <w:lvlJc w:val="left"/>
      <w:pPr>
        <w:tabs>
          <w:tab w:val="num" w:pos="780"/>
        </w:tabs>
        <w:ind w:left="420" w:firstLine="0"/>
      </w:pPr>
      <w:rPr>
        <w:rFonts w:hint="eastAsia"/>
      </w:rPr>
    </w:lvl>
    <w:lvl w:ilvl="1" w:tplc="841C8DC8">
      <w:start w:val="1"/>
      <w:numFmt w:val="decimal"/>
      <w:lvlText w:val="（%2）"/>
      <w:lvlJc w:val="left"/>
      <w:pPr>
        <w:tabs>
          <w:tab w:val="num" w:pos="1423"/>
        </w:tabs>
        <w:ind w:left="1423" w:hanging="714"/>
      </w:pPr>
      <w:rPr>
        <w:rFonts w:hint="eastAsia"/>
      </w:rPr>
    </w:lvl>
    <w:lvl w:ilvl="2" w:tplc="A1B2D0EE">
      <w:start w:val="1"/>
      <w:numFmt w:val="decimal"/>
      <w:lvlText w:val="%3"/>
      <w:lvlJc w:val="left"/>
      <w:pPr>
        <w:tabs>
          <w:tab w:val="num" w:pos="780"/>
        </w:tabs>
        <w:ind w:left="420" w:firstLine="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56C20CF4"/>
    <w:multiLevelType w:val="multilevel"/>
    <w:tmpl w:val="4350DE18"/>
    <w:lvl w:ilvl="0">
      <w:start w:val="1"/>
      <w:numFmt w:val="decimal"/>
      <w:lvlText w:val="%1、"/>
      <w:lvlJc w:val="left"/>
      <w:pPr>
        <w:tabs>
          <w:tab w:val="num" w:pos="2160"/>
        </w:tabs>
        <w:ind w:left="2160" w:hanging="480"/>
      </w:pPr>
      <w:rPr>
        <w:rFonts w:eastAsia="肆" w:hint="eastAsia"/>
      </w:rPr>
    </w:lvl>
    <w:lvl w:ilvl="1">
      <w:start w:val="1"/>
      <w:numFmt w:val="lowerLetter"/>
      <w:lvlText w:val="%2)"/>
      <w:lvlJc w:val="left"/>
      <w:pPr>
        <w:tabs>
          <w:tab w:val="num" w:pos="2520"/>
        </w:tabs>
        <w:ind w:left="2520" w:hanging="420"/>
      </w:pPr>
    </w:lvl>
    <w:lvl w:ilvl="2">
      <w:start w:val="1"/>
      <w:numFmt w:val="lowerRoman"/>
      <w:lvlText w:val="%3."/>
      <w:lvlJc w:val="right"/>
      <w:pPr>
        <w:tabs>
          <w:tab w:val="num" w:pos="2940"/>
        </w:tabs>
        <w:ind w:left="2940" w:hanging="420"/>
      </w:pPr>
    </w:lvl>
    <w:lvl w:ilvl="3">
      <w:start w:val="1"/>
      <w:numFmt w:val="decimal"/>
      <w:lvlText w:val="%4."/>
      <w:lvlJc w:val="left"/>
      <w:pPr>
        <w:tabs>
          <w:tab w:val="num" w:pos="3360"/>
        </w:tabs>
        <w:ind w:left="3360" w:hanging="420"/>
      </w:pPr>
    </w:lvl>
    <w:lvl w:ilvl="4">
      <w:start w:val="1"/>
      <w:numFmt w:val="lowerLetter"/>
      <w:lvlText w:val="%5)"/>
      <w:lvlJc w:val="left"/>
      <w:pPr>
        <w:tabs>
          <w:tab w:val="num" w:pos="3780"/>
        </w:tabs>
        <w:ind w:left="3780" w:hanging="420"/>
      </w:pPr>
    </w:lvl>
    <w:lvl w:ilvl="5">
      <w:start w:val="1"/>
      <w:numFmt w:val="lowerRoman"/>
      <w:lvlText w:val="%6."/>
      <w:lvlJc w:val="right"/>
      <w:pPr>
        <w:tabs>
          <w:tab w:val="num" w:pos="4200"/>
        </w:tabs>
        <w:ind w:left="4200" w:hanging="420"/>
      </w:pPr>
    </w:lvl>
    <w:lvl w:ilvl="6">
      <w:start w:val="1"/>
      <w:numFmt w:val="decimal"/>
      <w:lvlText w:val="%7."/>
      <w:lvlJc w:val="left"/>
      <w:pPr>
        <w:tabs>
          <w:tab w:val="num" w:pos="4620"/>
        </w:tabs>
        <w:ind w:left="4620" w:hanging="420"/>
      </w:pPr>
    </w:lvl>
    <w:lvl w:ilvl="7">
      <w:start w:val="1"/>
      <w:numFmt w:val="lowerLetter"/>
      <w:lvlText w:val="%8)"/>
      <w:lvlJc w:val="left"/>
      <w:pPr>
        <w:tabs>
          <w:tab w:val="num" w:pos="5040"/>
        </w:tabs>
        <w:ind w:left="5040" w:hanging="420"/>
      </w:pPr>
    </w:lvl>
    <w:lvl w:ilvl="8">
      <w:start w:val="1"/>
      <w:numFmt w:val="lowerRoman"/>
      <w:lvlText w:val="%9."/>
      <w:lvlJc w:val="right"/>
      <w:pPr>
        <w:tabs>
          <w:tab w:val="num" w:pos="5460"/>
        </w:tabs>
        <w:ind w:left="5460" w:hanging="420"/>
      </w:pPr>
    </w:lvl>
  </w:abstractNum>
  <w:abstractNum w:abstractNumId="32" w15:restartNumberingAfterBreak="0">
    <w:nsid w:val="5B1E64C3"/>
    <w:multiLevelType w:val="multilevel"/>
    <w:tmpl w:val="56CC4BCE"/>
    <w:lvl w:ilvl="0">
      <w:start w:val="1"/>
      <w:numFmt w:val="none"/>
      <w:lvlText w:val="三、"/>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15:restartNumberingAfterBreak="0">
    <w:nsid w:val="5E5E11DD"/>
    <w:multiLevelType w:val="hybridMultilevel"/>
    <w:tmpl w:val="7A34AD50"/>
    <w:lvl w:ilvl="0" w:tplc="7960D7AE">
      <w:start w:val="1"/>
      <w:numFmt w:val="decimal"/>
      <w:lvlText w:val="%1、"/>
      <w:lvlJc w:val="left"/>
      <w:pPr>
        <w:tabs>
          <w:tab w:val="num" w:pos="900"/>
        </w:tabs>
        <w:ind w:left="900" w:hanging="480"/>
      </w:pPr>
      <w:rPr>
        <w:rFonts w:eastAsia="肆" w:hint="eastAsia"/>
      </w:rPr>
    </w:lvl>
    <w:lvl w:ilvl="1" w:tplc="A328D27E">
      <w:numFmt w:val="none"/>
      <w:lvlText w:val=""/>
      <w:lvlJc w:val="left"/>
      <w:pPr>
        <w:tabs>
          <w:tab w:val="num" w:pos="360"/>
        </w:tabs>
      </w:pPr>
    </w:lvl>
    <w:lvl w:ilvl="2" w:tplc="BB80C800">
      <w:numFmt w:val="none"/>
      <w:lvlText w:val=""/>
      <w:lvlJc w:val="left"/>
      <w:pPr>
        <w:tabs>
          <w:tab w:val="num" w:pos="360"/>
        </w:tabs>
      </w:pPr>
    </w:lvl>
    <w:lvl w:ilvl="3" w:tplc="21505FDA">
      <w:numFmt w:val="none"/>
      <w:lvlText w:val=""/>
      <w:lvlJc w:val="left"/>
      <w:pPr>
        <w:tabs>
          <w:tab w:val="num" w:pos="360"/>
        </w:tabs>
      </w:pPr>
    </w:lvl>
    <w:lvl w:ilvl="4" w:tplc="B5063910">
      <w:numFmt w:val="none"/>
      <w:lvlText w:val=""/>
      <w:lvlJc w:val="left"/>
      <w:pPr>
        <w:tabs>
          <w:tab w:val="num" w:pos="360"/>
        </w:tabs>
      </w:pPr>
    </w:lvl>
    <w:lvl w:ilvl="5" w:tplc="913E6AD2">
      <w:numFmt w:val="none"/>
      <w:lvlText w:val=""/>
      <w:lvlJc w:val="left"/>
      <w:pPr>
        <w:tabs>
          <w:tab w:val="num" w:pos="360"/>
        </w:tabs>
      </w:pPr>
    </w:lvl>
    <w:lvl w:ilvl="6" w:tplc="87E61C3A">
      <w:numFmt w:val="none"/>
      <w:lvlText w:val=""/>
      <w:lvlJc w:val="left"/>
      <w:pPr>
        <w:tabs>
          <w:tab w:val="num" w:pos="360"/>
        </w:tabs>
      </w:pPr>
    </w:lvl>
    <w:lvl w:ilvl="7" w:tplc="5FD62720">
      <w:numFmt w:val="none"/>
      <w:lvlText w:val=""/>
      <w:lvlJc w:val="left"/>
      <w:pPr>
        <w:tabs>
          <w:tab w:val="num" w:pos="360"/>
        </w:tabs>
      </w:pPr>
    </w:lvl>
    <w:lvl w:ilvl="8" w:tplc="5A5CFE96">
      <w:numFmt w:val="none"/>
      <w:lvlText w:val=""/>
      <w:lvlJc w:val="left"/>
      <w:pPr>
        <w:tabs>
          <w:tab w:val="num" w:pos="360"/>
        </w:tabs>
      </w:pPr>
    </w:lvl>
  </w:abstractNum>
  <w:abstractNum w:abstractNumId="34" w15:restartNumberingAfterBreak="0">
    <w:nsid w:val="615E22BF"/>
    <w:multiLevelType w:val="hybridMultilevel"/>
    <w:tmpl w:val="94D649CE"/>
    <w:lvl w:ilvl="0" w:tplc="EEFE1616">
      <w:start w:val="1"/>
      <w:numFmt w:val="chineseCountingThousand"/>
      <w:lvlText w:val="%1、"/>
      <w:lvlJc w:val="left"/>
      <w:pPr>
        <w:tabs>
          <w:tab w:val="num" w:pos="2798"/>
        </w:tabs>
        <w:ind w:left="2798" w:hanging="896"/>
      </w:pPr>
      <w:rPr>
        <w:rFonts w:ascii="黑体" w:eastAsia="黑体" w:hint="eastAsia"/>
        <w:b/>
        <w:i w:val="0"/>
        <w:sz w:val="32"/>
        <w:szCs w:val="32"/>
      </w:rPr>
    </w:lvl>
    <w:lvl w:ilvl="1" w:tplc="F2927438">
      <w:start w:val="1"/>
      <w:numFmt w:val="decimal"/>
      <w:lvlText w:val="%2."/>
      <w:lvlJc w:val="left"/>
      <w:pPr>
        <w:tabs>
          <w:tab w:val="num" w:pos="643"/>
        </w:tabs>
        <w:ind w:left="1063" w:firstLine="0"/>
      </w:pPr>
      <w:rPr>
        <w:rFonts w:ascii="宋体" w:eastAsia="宋体" w:hAnsi="宋体" w:hint="eastAsia"/>
        <w:b w:val="0"/>
        <w:i w:val="0"/>
        <w:sz w:val="21"/>
        <w:szCs w:val="21"/>
      </w:r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abstractNum w:abstractNumId="35" w15:restartNumberingAfterBreak="0">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6" w15:restartNumberingAfterBreak="0">
    <w:nsid w:val="66732404"/>
    <w:multiLevelType w:val="multilevel"/>
    <w:tmpl w:val="CDC0E6D0"/>
    <w:lvl w:ilvl="0">
      <w:start w:val="1"/>
      <w:numFmt w:val="japaneseCounting"/>
      <w:lvlText w:val="（%1）"/>
      <w:lvlJc w:val="left"/>
      <w:pPr>
        <w:tabs>
          <w:tab w:val="num" w:pos="990"/>
        </w:tabs>
        <w:ind w:left="990" w:hanging="840"/>
      </w:pPr>
      <w:rPr>
        <w:rFonts w:hint="eastAsia"/>
      </w:rPr>
    </w:lvl>
    <w:lvl w:ilvl="1">
      <w:start w:val="1"/>
      <w:numFmt w:val="decimal"/>
      <w:lvlText w:val="（%2）"/>
      <w:lvlJc w:val="left"/>
      <w:pPr>
        <w:tabs>
          <w:tab w:val="num" w:pos="1290"/>
        </w:tabs>
        <w:ind w:left="1290" w:hanging="720"/>
      </w:pPr>
      <w:rPr>
        <w:rFonts w:hint="eastAsia"/>
      </w:rPr>
    </w:lvl>
    <w:lvl w:ilvl="2">
      <w:start w:val="4"/>
      <w:numFmt w:val="japaneseCounting"/>
      <w:pStyle w:val="31"/>
      <w:lvlText w:val="%3、"/>
      <w:lvlJc w:val="left"/>
      <w:pPr>
        <w:tabs>
          <w:tab w:val="num" w:pos="1710"/>
        </w:tabs>
        <w:ind w:left="1710" w:hanging="720"/>
      </w:pPr>
      <w:rPr>
        <w:rFonts w:eastAsia="宋体" w:hint="eastAsia"/>
        <w:b/>
        <w:color w:val="auto"/>
      </w:rPr>
    </w:lvl>
    <w:lvl w:ilvl="3">
      <w:start w:val="1"/>
      <w:numFmt w:val="decimal"/>
      <w:lvlText w:val="%4."/>
      <w:lvlJc w:val="left"/>
      <w:pPr>
        <w:tabs>
          <w:tab w:val="num" w:pos="1830"/>
        </w:tabs>
        <w:ind w:left="1830" w:hanging="420"/>
      </w:pPr>
    </w:lvl>
    <w:lvl w:ilvl="4">
      <w:start w:val="1"/>
      <w:numFmt w:val="lowerLetter"/>
      <w:lvlText w:val="%5)"/>
      <w:lvlJc w:val="left"/>
      <w:pPr>
        <w:tabs>
          <w:tab w:val="num" w:pos="2250"/>
        </w:tabs>
        <w:ind w:left="2250" w:hanging="420"/>
      </w:pPr>
    </w:lvl>
    <w:lvl w:ilvl="5">
      <w:start w:val="1"/>
      <w:numFmt w:val="lowerRoman"/>
      <w:lvlText w:val="%6."/>
      <w:lvlJc w:val="right"/>
      <w:pPr>
        <w:tabs>
          <w:tab w:val="num" w:pos="2670"/>
        </w:tabs>
        <w:ind w:left="2670" w:hanging="420"/>
      </w:pPr>
    </w:lvl>
    <w:lvl w:ilvl="6">
      <w:start w:val="1"/>
      <w:numFmt w:val="decimal"/>
      <w:lvlText w:val="%7."/>
      <w:lvlJc w:val="left"/>
      <w:pPr>
        <w:tabs>
          <w:tab w:val="num" w:pos="3090"/>
        </w:tabs>
        <w:ind w:left="3090" w:hanging="420"/>
      </w:p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abstractNum w:abstractNumId="37" w15:restartNumberingAfterBreak="0">
    <w:nsid w:val="67D51DFF"/>
    <w:multiLevelType w:val="hybridMultilevel"/>
    <w:tmpl w:val="B7A4913C"/>
    <w:lvl w:ilvl="0" w:tplc="FFFFFFFF">
      <w:start w:val="1"/>
      <w:numFmt w:val="japaneseCounting"/>
      <w:lvlText w:val="%1、"/>
      <w:lvlJc w:val="left"/>
      <w:pPr>
        <w:tabs>
          <w:tab w:val="num" w:pos="480"/>
        </w:tabs>
        <w:ind w:left="480" w:hanging="480"/>
      </w:pPr>
      <w:rPr>
        <w:rFonts w:hint="eastAsia"/>
        <w:lang w:val="en-US"/>
      </w:rPr>
    </w:lvl>
    <w:lvl w:ilvl="1" w:tplc="FFFFFFFF">
      <w:start w:val="1"/>
      <w:numFmt w:val="japaneseCounting"/>
      <w:lvlText w:val="%2、"/>
      <w:lvlJc w:val="left"/>
      <w:pPr>
        <w:tabs>
          <w:tab w:val="num" w:pos="480"/>
        </w:tabs>
        <w:ind w:left="480" w:hanging="480"/>
      </w:pPr>
      <w:rPr>
        <w:rFonts w:hint="eastAsia"/>
        <w:lang w:val="en-US"/>
      </w:rPr>
    </w:lvl>
    <w:lvl w:ilvl="2" w:tplc="FFFFFFFF">
      <w:start w:val="1"/>
      <w:numFmt w:val="decimal"/>
      <w:lvlText w:val="%3)"/>
      <w:lvlJc w:val="left"/>
      <w:pPr>
        <w:tabs>
          <w:tab w:val="num" w:pos="1260"/>
        </w:tabs>
        <w:ind w:left="1260" w:hanging="420"/>
      </w:p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lowerLetter"/>
      <w:lvlText w:val="%5)"/>
      <w:lvlJc w:val="left"/>
      <w:pPr>
        <w:tabs>
          <w:tab w:val="num" w:pos="2100"/>
        </w:tabs>
        <w:ind w:left="2100" w:hanging="420"/>
      </w:pPr>
    </w:lvl>
    <w:lvl w:ilvl="5" w:tplc="FFFFFFFF">
      <w:start w:val="1"/>
      <w:numFmt w:val="decimal"/>
      <w:lvlText w:val="（%6）"/>
      <w:lvlJc w:val="left"/>
      <w:pPr>
        <w:tabs>
          <w:tab w:val="num" w:pos="2820"/>
        </w:tabs>
        <w:ind w:left="2820" w:hanging="720"/>
      </w:pPr>
      <w:rPr>
        <w:rFonts w:hint="default"/>
      </w:r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8" w15:restartNumberingAfterBreak="0">
    <w:nsid w:val="6C390FF8"/>
    <w:multiLevelType w:val="hybridMultilevel"/>
    <w:tmpl w:val="91840896"/>
    <w:lvl w:ilvl="0" w:tplc="E3C0E748">
      <w:start w:val="1"/>
      <w:numFmt w:val="decimal"/>
      <w:lvlText w:val="%1."/>
      <w:lvlJc w:val="left"/>
      <w:pPr>
        <w:tabs>
          <w:tab w:val="num" w:pos="900"/>
        </w:tabs>
        <w:ind w:left="-27" w:firstLine="567"/>
      </w:pPr>
      <w:rPr>
        <w:rFonts w:hint="eastAsia"/>
      </w:rPr>
    </w:lvl>
    <w:lvl w:ilvl="1" w:tplc="B858AA0E">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6FE147B6"/>
    <w:multiLevelType w:val="singleLevel"/>
    <w:tmpl w:val="5DAA9A04"/>
    <w:lvl w:ilvl="0">
      <w:start w:val="1"/>
      <w:numFmt w:val="decimal"/>
      <w:pStyle w:val="21"/>
      <w:lvlText w:val="(%1)"/>
      <w:lvlJc w:val="left"/>
      <w:pPr>
        <w:tabs>
          <w:tab w:val="num" w:pos="360"/>
        </w:tabs>
        <w:ind w:left="0" w:firstLine="0"/>
      </w:pPr>
      <w:rPr>
        <w:rFonts w:hint="eastAsia"/>
      </w:rPr>
    </w:lvl>
  </w:abstractNum>
  <w:abstractNum w:abstractNumId="40" w15:restartNumberingAfterBreak="0">
    <w:nsid w:val="73123D9C"/>
    <w:multiLevelType w:val="hybridMultilevel"/>
    <w:tmpl w:val="8682A73C"/>
    <w:lvl w:ilvl="0" w:tplc="7960D7AE">
      <w:start w:val="1"/>
      <w:numFmt w:val="decimal"/>
      <w:lvlText w:val="%1、"/>
      <w:lvlJc w:val="left"/>
      <w:pPr>
        <w:tabs>
          <w:tab w:val="num" w:pos="900"/>
        </w:tabs>
        <w:ind w:left="900" w:hanging="480"/>
      </w:pPr>
      <w:rPr>
        <w:rFonts w:eastAsia="肆"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1" w15:restartNumberingAfterBreak="0">
    <w:nsid w:val="77B4748A"/>
    <w:multiLevelType w:val="hybridMultilevel"/>
    <w:tmpl w:val="806C3D62"/>
    <w:lvl w:ilvl="0" w:tplc="99AA8908">
      <w:start w:val="1"/>
      <w:numFmt w:val="decimal"/>
      <w:lvlText w:val="%1."/>
      <w:lvlJc w:val="left"/>
      <w:pPr>
        <w:tabs>
          <w:tab w:val="num" w:pos="780"/>
        </w:tabs>
        <w:ind w:left="420" w:firstLine="0"/>
      </w:pPr>
      <w:rPr>
        <w:rFonts w:hint="eastAsia"/>
      </w:rPr>
    </w:lvl>
    <w:lvl w:ilvl="1" w:tplc="271E205C">
      <w:start w:val="1"/>
      <w:numFmt w:val="decimal"/>
      <w:lvlText w:val="（%2）"/>
      <w:lvlJc w:val="left"/>
      <w:pPr>
        <w:tabs>
          <w:tab w:val="num" w:pos="851"/>
        </w:tabs>
        <w:ind w:left="851" w:hanging="567"/>
      </w:pPr>
      <w:rPr>
        <w:rFonts w:hint="eastAsia"/>
      </w:rPr>
    </w:lvl>
    <w:lvl w:ilvl="2" w:tplc="23888C08">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15:restartNumberingAfterBreak="0">
    <w:nsid w:val="78855797"/>
    <w:multiLevelType w:val="hybridMultilevel"/>
    <w:tmpl w:val="C5B8DB76"/>
    <w:lvl w:ilvl="0" w:tplc="87C2BABC">
      <w:start w:val="1"/>
      <w:numFmt w:val="decimal"/>
      <w:lvlText w:val="(%1)"/>
      <w:lvlJc w:val="left"/>
      <w:pPr>
        <w:tabs>
          <w:tab w:val="num" w:pos="846"/>
        </w:tabs>
        <w:ind w:left="846" w:hanging="420"/>
      </w:pPr>
    </w:lvl>
    <w:lvl w:ilvl="1" w:tplc="04090019">
      <w:start w:val="1"/>
      <w:numFmt w:val="decimal"/>
      <w:lvlText w:val="%2."/>
      <w:lvlJc w:val="left"/>
      <w:pPr>
        <w:tabs>
          <w:tab w:val="num" w:pos="1446"/>
        </w:tabs>
        <w:ind w:left="1446" w:hanging="360"/>
      </w:pPr>
    </w:lvl>
    <w:lvl w:ilvl="2" w:tplc="0409001B">
      <w:start w:val="1"/>
      <w:numFmt w:val="decimal"/>
      <w:lvlText w:val="%3."/>
      <w:lvlJc w:val="left"/>
      <w:pPr>
        <w:tabs>
          <w:tab w:val="num" w:pos="2166"/>
        </w:tabs>
        <w:ind w:left="2166" w:hanging="360"/>
      </w:pPr>
    </w:lvl>
    <w:lvl w:ilvl="3" w:tplc="0409000F">
      <w:start w:val="1"/>
      <w:numFmt w:val="decimal"/>
      <w:lvlText w:val="%4."/>
      <w:lvlJc w:val="left"/>
      <w:pPr>
        <w:tabs>
          <w:tab w:val="num" w:pos="2886"/>
        </w:tabs>
        <w:ind w:left="2886" w:hanging="360"/>
      </w:pPr>
    </w:lvl>
    <w:lvl w:ilvl="4" w:tplc="04090019">
      <w:start w:val="1"/>
      <w:numFmt w:val="decimal"/>
      <w:lvlText w:val="%5."/>
      <w:lvlJc w:val="left"/>
      <w:pPr>
        <w:tabs>
          <w:tab w:val="num" w:pos="3606"/>
        </w:tabs>
        <w:ind w:left="3606" w:hanging="360"/>
      </w:pPr>
    </w:lvl>
    <w:lvl w:ilvl="5" w:tplc="0409001B">
      <w:start w:val="1"/>
      <w:numFmt w:val="decimal"/>
      <w:lvlText w:val="%6."/>
      <w:lvlJc w:val="left"/>
      <w:pPr>
        <w:tabs>
          <w:tab w:val="num" w:pos="4326"/>
        </w:tabs>
        <w:ind w:left="4326" w:hanging="360"/>
      </w:pPr>
    </w:lvl>
    <w:lvl w:ilvl="6" w:tplc="0409000F">
      <w:start w:val="1"/>
      <w:numFmt w:val="decimal"/>
      <w:lvlText w:val="%7."/>
      <w:lvlJc w:val="left"/>
      <w:pPr>
        <w:tabs>
          <w:tab w:val="num" w:pos="5046"/>
        </w:tabs>
        <w:ind w:left="5046" w:hanging="360"/>
      </w:pPr>
    </w:lvl>
    <w:lvl w:ilvl="7" w:tplc="04090019">
      <w:start w:val="1"/>
      <w:numFmt w:val="decimal"/>
      <w:lvlText w:val="%8."/>
      <w:lvlJc w:val="left"/>
      <w:pPr>
        <w:tabs>
          <w:tab w:val="num" w:pos="5766"/>
        </w:tabs>
        <w:ind w:left="5766" w:hanging="360"/>
      </w:pPr>
    </w:lvl>
    <w:lvl w:ilvl="8" w:tplc="0409001B">
      <w:start w:val="1"/>
      <w:numFmt w:val="decimal"/>
      <w:lvlText w:val="%9."/>
      <w:lvlJc w:val="left"/>
      <w:pPr>
        <w:tabs>
          <w:tab w:val="num" w:pos="6486"/>
        </w:tabs>
        <w:ind w:left="6486" w:hanging="360"/>
      </w:pPr>
    </w:lvl>
  </w:abstractNum>
  <w:abstractNum w:abstractNumId="43" w15:restartNumberingAfterBreak="0">
    <w:nsid w:val="7E531937"/>
    <w:multiLevelType w:val="hybridMultilevel"/>
    <w:tmpl w:val="EB885994"/>
    <w:lvl w:ilvl="0" w:tplc="9F5E5A14">
      <w:start w:val="1"/>
      <w:numFmt w:val="decimal"/>
      <w:lvlText w:val="%1."/>
      <w:lvlJc w:val="left"/>
      <w:pPr>
        <w:tabs>
          <w:tab w:val="num" w:pos="780"/>
        </w:tabs>
        <w:ind w:left="0" w:firstLine="420"/>
      </w:pPr>
      <w:rPr>
        <w:rFonts w:hint="eastAsia"/>
      </w:rPr>
    </w:lvl>
    <w:lvl w:ilvl="1" w:tplc="D618D024">
      <w:start w:val="1"/>
      <w:numFmt w:val="decimal"/>
      <w:lvlText w:val="(%2)"/>
      <w:lvlJc w:val="left"/>
      <w:pPr>
        <w:tabs>
          <w:tab w:val="num" w:pos="780"/>
        </w:tabs>
        <w:ind w:left="0" w:firstLine="420"/>
      </w:pPr>
      <w:rPr>
        <w:rFonts w:ascii="宋体" w:eastAsia="宋体" w:hint="eastAsia"/>
        <w:b w:val="0"/>
        <w:i w:val="0"/>
        <w:sz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15:restartNumberingAfterBreak="0">
    <w:nsid w:val="7EB37935"/>
    <w:multiLevelType w:val="hybridMultilevel"/>
    <w:tmpl w:val="CD549DA2"/>
    <w:lvl w:ilvl="0" w:tplc="EF5E741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5" w15:restartNumberingAfterBreak="0">
    <w:nsid w:val="7EE602AC"/>
    <w:multiLevelType w:val="hybridMultilevel"/>
    <w:tmpl w:val="6652E13E"/>
    <w:lvl w:ilvl="0" w:tplc="8C2A9336">
      <w:start w:val="1"/>
      <w:numFmt w:val="decimal"/>
      <w:lvlText w:val="（%1）"/>
      <w:lvlJc w:val="left"/>
      <w:pPr>
        <w:tabs>
          <w:tab w:val="num" w:pos="2100"/>
        </w:tabs>
        <w:ind w:left="2100" w:hanging="420"/>
      </w:pPr>
      <w:rPr>
        <w:rFonts w:hint="eastAsia"/>
        <w:b w:val="0"/>
        <w:sz w:val="21"/>
        <w:szCs w:val="21"/>
      </w:rPr>
    </w:lvl>
    <w:lvl w:ilvl="1" w:tplc="04090019" w:tentative="1">
      <w:start w:val="1"/>
      <w:numFmt w:val="lowerLetter"/>
      <w:lvlText w:val="%2)"/>
      <w:lvlJc w:val="left"/>
      <w:pPr>
        <w:tabs>
          <w:tab w:val="num" w:pos="2520"/>
        </w:tabs>
        <w:ind w:left="2520" w:hanging="420"/>
      </w:pPr>
    </w:lvl>
    <w:lvl w:ilvl="2" w:tplc="0409001B" w:tentative="1">
      <w:start w:val="1"/>
      <w:numFmt w:val="lowerRoman"/>
      <w:lvlText w:val="%3."/>
      <w:lvlJc w:val="righ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9" w:tentative="1">
      <w:start w:val="1"/>
      <w:numFmt w:val="lowerLetter"/>
      <w:lvlText w:val="%5)"/>
      <w:lvlJc w:val="left"/>
      <w:pPr>
        <w:tabs>
          <w:tab w:val="num" w:pos="3780"/>
        </w:tabs>
        <w:ind w:left="3780" w:hanging="420"/>
      </w:pPr>
    </w:lvl>
    <w:lvl w:ilvl="5" w:tplc="0409001B" w:tentative="1">
      <w:start w:val="1"/>
      <w:numFmt w:val="lowerRoman"/>
      <w:lvlText w:val="%6."/>
      <w:lvlJc w:val="righ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9" w:tentative="1">
      <w:start w:val="1"/>
      <w:numFmt w:val="lowerLetter"/>
      <w:lvlText w:val="%8)"/>
      <w:lvlJc w:val="left"/>
      <w:pPr>
        <w:tabs>
          <w:tab w:val="num" w:pos="5040"/>
        </w:tabs>
        <w:ind w:left="5040" w:hanging="420"/>
      </w:pPr>
    </w:lvl>
    <w:lvl w:ilvl="8" w:tplc="0409001B" w:tentative="1">
      <w:start w:val="1"/>
      <w:numFmt w:val="lowerRoman"/>
      <w:lvlText w:val="%9."/>
      <w:lvlJc w:val="right"/>
      <w:pPr>
        <w:tabs>
          <w:tab w:val="num" w:pos="5460"/>
        </w:tabs>
        <w:ind w:left="5460" w:hanging="420"/>
      </w:pPr>
    </w:lvl>
  </w:abstractNum>
  <w:num w:numId="1">
    <w:abstractNumId w:val="11"/>
  </w:num>
  <w:num w:numId="2">
    <w:abstractNumId w:val="15"/>
  </w:num>
  <w:num w:numId="3">
    <w:abstractNumId w:val="24"/>
  </w:num>
  <w:num w:numId="4">
    <w:abstractNumId w:val="17"/>
  </w:num>
  <w:num w:numId="5">
    <w:abstractNumId w:val="25"/>
  </w:num>
  <w:num w:numId="6">
    <w:abstractNumId w:val="36"/>
  </w:num>
  <w:num w:numId="7">
    <w:abstractNumId w:val="26"/>
  </w:num>
  <w:num w:numId="8">
    <w:abstractNumId w:val="19"/>
  </w:num>
  <w:num w:numId="9">
    <w:abstractNumId w:val="30"/>
  </w:num>
  <w:num w:numId="10">
    <w:abstractNumId w:val="41"/>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33"/>
  </w:num>
  <w:num w:numId="22">
    <w:abstractNumId w:val="22"/>
  </w:num>
  <w:num w:numId="23">
    <w:abstractNumId w:val="20"/>
  </w:num>
  <w:num w:numId="24">
    <w:abstractNumId w:val="43"/>
  </w:num>
  <w:num w:numId="25">
    <w:abstractNumId w:val="16"/>
  </w:num>
  <w:num w:numId="26">
    <w:abstractNumId w:val="39"/>
  </w:num>
  <w:num w:numId="27">
    <w:abstractNumId w:val="29"/>
  </w:num>
  <w:num w:numId="28">
    <w:abstractNumId w:val="28"/>
  </w:num>
  <w:num w:numId="29">
    <w:abstractNumId w:val="18"/>
  </w:num>
  <w:num w:numId="30">
    <w:abstractNumId w:val="40"/>
  </w:num>
  <w:num w:numId="31">
    <w:abstractNumId w:val="13"/>
  </w:num>
  <w:num w:numId="32">
    <w:abstractNumId w:val="27"/>
  </w:num>
  <w:num w:numId="33">
    <w:abstractNumId w:val="12"/>
  </w:num>
  <w:num w:numId="34">
    <w:abstractNumId w:val="45"/>
  </w:num>
  <w:num w:numId="35">
    <w:abstractNumId w:val="38"/>
  </w:num>
  <w:num w:numId="36">
    <w:abstractNumId w:val="32"/>
  </w:num>
  <w:num w:numId="37">
    <w:abstractNumId w:val="35"/>
  </w:num>
  <w:num w:numId="38">
    <w:abstractNumId w:val="31"/>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14"/>
  </w:num>
  <w:num w:numId="42">
    <w:abstractNumId w:val="37"/>
  </w:num>
  <w:num w:numId="43">
    <w:abstractNumId w:val="34"/>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21"/>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31FF3"/>
    <w:rsid w:val="00000042"/>
    <w:rsid w:val="00000617"/>
    <w:rsid w:val="00002E3C"/>
    <w:rsid w:val="000032A1"/>
    <w:rsid w:val="00005A18"/>
    <w:rsid w:val="000064C9"/>
    <w:rsid w:val="00006F5B"/>
    <w:rsid w:val="000075C0"/>
    <w:rsid w:val="000104F1"/>
    <w:rsid w:val="000113A4"/>
    <w:rsid w:val="00011F62"/>
    <w:rsid w:val="000134D0"/>
    <w:rsid w:val="00013FF2"/>
    <w:rsid w:val="0001479F"/>
    <w:rsid w:val="00014B8B"/>
    <w:rsid w:val="0001614D"/>
    <w:rsid w:val="00016E2D"/>
    <w:rsid w:val="00017A88"/>
    <w:rsid w:val="00020561"/>
    <w:rsid w:val="00021253"/>
    <w:rsid w:val="00021323"/>
    <w:rsid w:val="0002181B"/>
    <w:rsid w:val="00021B48"/>
    <w:rsid w:val="00021BAB"/>
    <w:rsid w:val="00021E09"/>
    <w:rsid w:val="00021F75"/>
    <w:rsid w:val="00022C46"/>
    <w:rsid w:val="000250E8"/>
    <w:rsid w:val="00026CFC"/>
    <w:rsid w:val="00026E6D"/>
    <w:rsid w:val="00026FCD"/>
    <w:rsid w:val="0003023B"/>
    <w:rsid w:val="00030C88"/>
    <w:rsid w:val="000324C7"/>
    <w:rsid w:val="00032AA8"/>
    <w:rsid w:val="0003342D"/>
    <w:rsid w:val="000342BD"/>
    <w:rsid w:val="00034552"/>
    <w:rsid w:val="00035B36"/>
    <w:rsid w:val="00035B99"/>
    <w:rsid w:val="00035FEE"/>
    <w:rsid w:val="00041C5E"/>
    <w:rsid w:val="0004294D"/>
    <w:rsid w:val="000430EC"/>
    <w:rsid w:val="000447B6"/>
    <w:rsid w:val="00045110"/>
    <w:rsid w:val="000460F7"/>
    <w:rsid w:val="000468BC"/>
    <w:rsid w:val="000470CE"/>
    <w:rsid w:val="00052662"/>
    <w:rsid w:val="0005325E"/>
    <w:rsid w:val="00056086"/>
    <w:rsid w:val="0005713C"/>
    <w:rsid w:val="0006189F"/>
    <w:rsid w:val="00061D58"/>
    <w:rsid w:val="00062BA2"/>
    <w:rsid w:val="0006329A"/>
    <w:rsid w:val="000637AF"/>
    <w:rsid w:val="000640A9"/>
    <w:rsid w:val="00064410"/>
    <w:rsid w:val="00064584"/>
    <w:rsid w:val="000659B3"/>
    <w:rsid w:val="00066F9E"/>
    <w:rsid w:val="00067AFE"/>
    <w:rsid w:val="00070081"/>
    <w:rsid w:val="00070875"/>
    <w:rsid w:val="00070AC9"/>
    <w:rsid w:val="00071437"/>
    <w:rsid w:val="00071DBC"/>
    <w:rsid w:val="00072ECB"/>
    <w:rsid w:val="00073502"/>
    <w:rsid w:val="00073ADB"/>
    <w:rsid w:val="0007464A"/>
    <w:rsid w:val="00074724"/>
    <w:rsid w:val="00074F0A"/>
    <w:rsid w:val="0007570D"/>
    <w:rsid w:val="00075F54"/>
    <w:rsid w:val="0007634E"/>
    <w:rsid w:val="0007640C"/>
    <w:rsid w:val="000776C0"/>
    <w:rsid w:val="000801D6"/>
    <w:rsid w:val="000802B3"/>
    <w:rsid w:val="00080DCC"/>
    <w:rsid w:val="00081616"/>
    <w:rsid w:val="00083E38"/>
    <w:rsid w:val="0008440A"/>
    <w:rsid w:val="000849E1"/>
    <w:rsid w:val="00084D4D"/>
    <w:rsid w:val="00085631"/>
    <w:rsid w:val="00085B20"/>
    <w:rsid w:val="00085FF4"/>
    <w:rsid w:val="000864A6"/>
    <w:rsid w:val="0009042A"/>
    <w:rsid w:val="0009311A"/>
    <w:rsid w:val="00093315"/>
    <w:rsid w:val="00093433"/>
    <w:rsid w:val="00093567"/>
    <w:rsid w:val="00094E43"/>
    <w:rsid w:val="00094E97"/>
    <w:rsid w:val="0009526F"/>
    <w:rsid w:val="000954AC"/>
    <w:rsid w:val="00095531"/>
    <w:rsid w:val="000955CF"/>
    <w:rsid w:val="00095781"/>
    <w:rsid w:val="00095AE4"/>
    <w:rsid w:val="000A008D"/>
    <w:rsid w:val="000A00BE"/>
    <w:rsid w:val="000A1864"/>
    <w:rsid w:val="000A1C5B"/>
    <w:rsid w:val="000A1D64"/>
    <w:rsid w:val="000A514F"/>
    <w:rsid w:val="000A52BB"/>
    <w:rsid w:val="000A54C1"/>
    <w:rsid w:val="000A5AEF"/>
    <w:rsid w:val="000A7D95"/>
    <w:rsid w:val="000B00F5"/>
    <w:rsid w:val="000B09D4"/>
    <w:rsid w:val="000B0CFB"/>
    <w:rsid w:val="000B1351"/>
    <w:rsid w:val="000B2119"/>
    <w:rsid w:val="000B2408"/>
    <w:rsid w:val="000B2449"/>
    <w:rsid w:val="000B3A95"/>
    <w:rsid w:val="000B3CE6"/>
    <w:rsid w:val="000B4222"/>
    <w:rsid w:val="000B4C72"/>
    <w:rsid w:val="000B4F55"/>
    <w:rsid w:val="000B4FFC"/>
    <w:rsid w:val="000B55EF"/>
    <w:rsid w:val="000B5F1E"/>
    <w:rsid w:val="000B68BF"/>
    <w:rsid w:val="000B6A47"/>
    <w:rsid w:val="000B7749"/>
    <w:rsid w:val="000C0105"/>
    <w:rsid w:val="000C1F63"/>
    <w:rsid w:val="000C2DA3"/>
    <w:rsid w:val="000C339D"/>
    <w:rsid w:val="000C3839"/>
    <w:rsid w:val="000C4419"/>
    <w:rsid w:val="000C4F5D"/>
    <w:rsid w:val="000C513E"/>
    <w:rsid w:val="000C5216"/>
    <w:rsid w:val="000C62C8"/>
    <w:rsid w:val="000C6F8B"/>
    <w:rsid w:val="000D039C"/>
    <w:rsid w:val="000D21A1"/>
    <w:rsid w:val="000D3F61"/>
    <w:rsid w:val="000D404E"/>
    <w:rsid w:val="000D40D0"/>
    <w:rsid w:val="000D5771"/>
    <w:rsid w:val="000D5847"/>
    <w:rsid w:val="000D616D"/>
    <w:rsid w:val="000D6346"/>
    <w:rsid w:val="000D76E3"/>
    <w:rsid w:val="000D78D2"/>
    <w:rsid w:val="000D7B19"/>
    <w:rsid w:val="000E0A0D"/>
    <w:rsid w:val="000E3599"/>
    <w:rsid w:val="000E3CDE"/>
    <w:rsid w:val="000E429D"/>
    <w:rsid w:val="000E43E1"/>
    <w:rsid w:val="000E6D22"/>
    <w:rsid w:val="000E6FCB"/>
    <w:rsid w:val="000E7767"/>
    <w:rsid w:val="000F0333"/>
    <w:rsid w:val="000F137B"/>
    <w:rsid w:val="000F2077"/>
    <w:rsid w:val="000F27FC"/>
    <w:rsid w:val="000F2E0F"/>
    <w:rsid w:val="000F672C"/>
    <w:rsid w:val="001004F0"/>
    <w:rsid w:val="00100740"/>
    <w:rsid w:val="001013FF"/>
    <w:rsid w:val="0010252F"/>
    <w:rsid w:val="00105814"/>
    <w:rsid w:val="00106FE6"/>
    <w:rsid w:val="00110ED7"/>
    <w:rsid w:val="001113F2"/>
    <w:rsid w:val="00112F2E"/>
    <w:rsid w:val="00113274"/>
    <w:rsid w:val="001132BA"/>
    <w:rsid w:val="0011337B"/>
    <w:rsid w:val="00114B5A"/>
    <w:rsid w:val="00114C8B"/>
    <w:rsid w:val="00114D19"/>
    <w:rsid w:val="00115780"/>
    <w:rsid w:val="00115ABD"/>
    <w:rsid w:val="00116149"/>
    <w:rsid w:val="001200AC"/>
    <w:rsid w:val="00120B36"/>
    <w:rsid w:val="001221BF"/>
    <w:rsid w:val="00123371"/>
    <w:rsid w:val="00123503"/>
    <w:rsid w:val="001239DD"/>
    <w:rsid w:val="001242FB"/>
    <w:rsid w:val="00125637"/>
    <w:rsid w:val="00125EFA"/>
    <w:rsid w:val="00130016"/>
    <w:rsid w:val="001305B8"/>
    <w:rsid w:val="00130821"/>
    <w:rsid w:val="0013114E"/>
    <w:rsid w:val="0013155F"/>
    <w:rsid w:val="00131811"/>
    <w:rsid w:val="00133B66"/>
    <w:rsid w:val="00133B7F"/>
    <w:rsid w:val="001348EE"/>
    <w:rsid w:val="00134AA5"/>
    <w:rsid w:val="00134CE6"/>
    <w:rsid w:val="00135A86"/>
    <w:rsid w:val="00135BD4"/>
    <w:rsid w:val="00136150"/>
    <w:rsid w:val="00136F72"/>
    <w:rsid w:val="00137D5B"/>
    <w:rsid w:val="00140217"/>
    <w:rsid w:val="00140E5D"/>
    <w:rsid w:val="00141271"/>
    <w:rsid w:val="0014209F"/>
    <w:rsid w:val="00143A56"/>
    <w:rsid w:val="001446BD"/>
    <w:rsid w:val="00146B56"/>
    <w:rsid w:val="00146C4B"/>
    <w:rsid w:val="00147E8D"/>
    <w:rsid w:val="001506B1"/>
    <w:rsid w:val="00150C55"/>
    <w:rsid w:val="001519E7"/>
    <w:rsid w:val="00151F00"/>
    <w:rsid w:val="00152BB2"/>
    <w:rsid w:val="00154390"/>
    <w:rsid w:val="00154596"/>
    <w:rsid w:val="00154F36"/>
    <w:rsid w:val="00155170"/>
    <w:rsid w:val="0015535E"/>
    <w:rsid w:val="001569EE"/>
    <w:rsid w:val="00161AD8"/>
    <w:rsid w:val="001637D9"/>
    <w:rsid w:val="00163B65"/>
    <w:rsid w:val="001649C0"/>
    <w:rsid w:val="00164FE7"/>
    <w:rsid w:val="00165B85"/>
    <w:rsid w:val="00166CFC"/>
    <w:rsid w:val="0016703A"/>
    <w:rsid w:val="0016792E"/>
    <w:rsid w:val="0017192B"/>
    <w:rsid w:val="00172884"/>
    <w:rsid w:val="00172C6A"/>
    <w:rsid w:val="0017356F"/>
    <w:rsid w:val="00174713"/>
    <w:rsid w:val="0017530E"/>
    <w:rsid w:val="0017614F"/>
    <w:rsid w:val="00176EFB"/>
    <w:rsid w:val="00177115"/>
    <w:rsid w:val="00177FD0"/>
    <w:rsid w:val="00180FBA"/>
    <w:rsid w:val="001810DD"/>
    <w:rsid w:val="00181302"/>
    <w:rsid w:val="001823CC"/>
    <w:rsid w:val="00182F64"/>
    <w:rsid w:val="001849C7"/>
    <w:rsid w:val="001864B3"/>
    <w:rsid w:val="001865A2"/>
    <w:rsid w:val="00186B9A"/>
    <w:rsid w:val="00186BC5"/>
    <w:rsid w:val="0018739C"/>
    <w:rsid w:val="00190668"/>
    <w:rsid w:val="00190ACA"/>
    <w:rsid w:val="00190AF1"/>
    <w:rsid w:val="00190CCE"/>
    <w:rsid w:val="00192456"/>
    <w:rsid w:val="001928D3"/>
    <w:rsid w:val="001932E3"/>
    <w:rsid w:val="00193CA8"/>
    <w:rsid w:val="00193F59"/>
    <w:rsid w:val="001954CC"/>
    <w:rsid w:val="001973D3"/>
    <w:rsid w:val="001A0570"/>
    <w:rsid w:val="001A0E54"/>
    <w:rsid w:val="001A18BB"/>
    <w:rsid w:val="001A1FAA"/>
    <w:rsid w:val="001A20AC"/>
    <w:rsid w:val="001A25E0"/>
    <w:rsid w:val="001A3E67"/>
    <w:rsid w:val="001A4084"/>
    <w:rsid w:val="001A418C"/>
    <w:rsid w:val="001A4383"/>
    <w:rsid w:val="001A4ED8"/>
    <w:rsid w:val="001A5058"/>
    <w:rsid w:val="001A54B0"/>
    <w:rsid w:val="001A6927"/>
    <w:rsid w:val="001A7990"/>
    <w:rsid w:val="001A7A02"/>
    <w:rsid w:val="001B0F53"/>
    <w:rsid w:val="001B1A71"/>
    <w:rsid w:val="001B320D"/>
    <w:rsid w:val="001B35D0"/>
    <w:rsid w:val="001B3AF2"/>
    <w:rsid w:val="001B3DC8"/>
    <w:rsid w:val="001B3FB0"/>
    <w:rsid w:val="001B472F"/>
    <w:rsid w:val="001B57EC"/>
    <w:rsid w:val="001B6369"/>
    <w:rsid w:val="001B68CD"/>
    <w:rsid w:val="001C0955"/>
    <w:rsid w:val="001C0F1D"/>
    <w:rsid w:val="001C1D74"/>
    <w:rsid w:val="001C218F"/>
    <w:rsid w:val="001C223C"/>
    <w:rsid w:val="001C2337"/>
    <w:rsid w:val="001C27EB"/>
    <w:rsid w:val="001C3098"/>
    <w:rsid w:val="001C3133"/>
    <w:rsid w:val="001C3533"/>
    <w:rsid w:val="001C3D6F"/>
    <w:rsid w:val="001C3F7D"/>
    <w:rsid w:val="001C4A86"/>
    <w:rsid w:val="001C5425"/>
    <w:rsid w:val="001C7C1F"/>
    <w:rsid w:val="001C7DDA"/>
    <w:rsid w:val="001C7EA3"/>
    <w:rsid w:val="001D3F4B"/>
    <w:rsid w:val="001D4321"/>
    <w:rsid w:val="001D61CD"/>
    <w:rsid w:val="001D6BA8"/>
    <w:rsid w:val="001D7FEB"/>
    <w:rsid w:val="001E09C4"/>
    <w:rsid w:val="001E1A27"/>
    <w:rsid w:val="001E3E46"/>
    <w:rsid w:val="001E5EF3"/>
    <w:rsid w:val="001E68F2"/>
    <w:rsid w:val="001E7865"/>
    <w:rsid w:val="001E7C11"/>
    <w:rsid w:val="001E7E9F"/>
    <w:rsid w:val="001F1667"/>
    <w:rsid w:val="001F22CF"/>
    <w:rsid w:val="001F2465"/>
    <w:rsid w:val="001F2D6F"/>
    <w:rsid w:val="001F3296"/>
    <w:rsid w:val="001F38C1"/>
    <w:rsid w:val="001F43AB"/>
    <w:rsid w:val="001F51E6"/>
    <w:rsid w:val="001F520F"/>
    <w:rsid w:val="001F59D2"/>
    <w:rsid w:val="001F6649"/>
    <w:rsid w:val="001F6917"/>
    <w:rsid w:val="002011A8"/>
    <w:rsid w:val="00201499"/>
    <w:rsid w:val="00201B0D"/>
    <w:rsid w:val="002028B0"/>
    <w:rsid w:val="002032E6"/>
    <w:rsid w:val="002047A8"/>
    <w:rsid w:val="00204BBF"/>
    <w:rsid w:val="00205066"/>
    <w:rsid w:val="00205AF2"/>
    <w:rsid w:val="00205F24"/>
    <w:rsid w:val="002064CE"/>
    <w:rsid w:val="002066F9"/>
    <w:rsid w:val="0020675E"/>
    <w:rsid w:val="00206CB1"/>
    <w:rsid w:val="00206FED"/>
    <w:rsid w:val="00207B88"/>
    <w:rsid w:val="00210278"/>
    <w:rsid w:val="00210648"/>
    <w:rsid w:val="00210B8A"/>
    <w:rsid w:val="00210C63"/>
    <w:rsid w:val="00211ADC"/>
    <w:rsid w:val="00212175"/>
    <w:rsid w:val="0021220D"/>
    <w:rsid w:val="00213D2A"/>
    <w:rsid w:val="00214BDE"/>
    <w:rsid w:val="00215952"/>
    <w:rsid w:val="00216A6D"/>
    <w:rsid w:val="002176C1"/>
    <w:rsid w:val="00221018"/>
    <w:rsid w:val="00222229"/>
    <w:rsid w:val="0022411A"/>
    <w:rsid w:val="00224600"/>
    <w:rsid w:val="00224610"/>
    <w:rsid w:val="00226838"/>
    <w:rsid w:val="00226D63"/>
    <w:rsid w:val="0022742A"/>
    <w:rsid w:val="00227C25"/>
    <w:rsid w:val="0023014E"/>
    <w:rsid w:val="002305FC"/>
    <w:rsid w:val="00230D20"/>
    <w:rsid w:val="0023478E"/>
    <w:rsid w:val="0023659A"/>
    <w:rsid w:val="00236783"/>
    <w:rsid w:val="0023707B"/>
    <w:rsid w:val="002407F4"/>
    <w:rsid w:val="002438B4"/>
    <w:rsid w:val="002448B0"/>
    <w:rsid w:val="0024582A"/>
    <w:rsid w:val="002459FC"/>
    <w:rsid w:val="00245BAB"/>
    <w:rsid w:val="002460C0"/>
    <w:rsid w:val="002463AC"/>
    <w:rsid w:val="00246B7E"/>
    <w:rsid w:val="00247809"/>
    <w:rsid w:val="002478E6"/>
    <w:rsid w:val="00247A25"/>
    <w:rsid w:val="00247C06"/>
    <w:rsid w:val="002501D0"/>
    <w:rsid w:val="00254425"/>
    <w:rsid w:val="0025468A"/>
    <w:rsid w:val="002548C2"/>
    <w:rsid w:val="00256677"/>
    <w:rsid w:val="00256D66"/>
    <w:rsid w:val="002575D5"/>
    <w:rsid w:val="00261705"/>
    <w:rsid w:val="002626DA"/>
    <w:rsid w:val="002631FC"/>
    <w:rsid w:val="00264932"/>
    <w:rsid w:val="00265C91"/>
    <w:rsid w:val="002663F8"/>
    <w:rsid w:val="00266FF5"/>
    <w:rsid w:val="00267D59"/>
    <w:rsid w:val="002702BB"/>
    <w:rsid w:val="002708D4"/>
    <w:rsid w:val="002747BB"/>
    <w:rsid w:val="0027497F"/>
    <w:rsid w:val="00274C52"/>
    <w:rsid w:val="00280D43"/>
    <w:rsid w:val="002823B0"/>
    <w:rsid w:val="002824B8"/>
    <w:rsid w:val="00282FDD"/>
    <w:rsid w:val="00283C43"/>
    <w:rsid w:val="002842E5"/>
    <w:rsid w:val="002844EC"/>
    <w:rsid w:val="00284552"/>
    <w:rsid w:val="00284579"/>
    <w:rsid w:val="0028468B"/>
    <w:rsid w:val="00285EBD"/>
    <w:rsid w:val="002862FF"/>
    <w:rsid w:val="002911FD"/>
    <w:rsid w:val="00291A78"/>
    <w:rsid w:val="00291AB4"/>
    <w:rsid w:val="00291B7E"/>
    <w:rsid w:val="00293527"/>
    <w:rsid w:val="00293DAA"/>
    <w:rsid w:val="002969C3"/>
    <w:rsid w:val="00297818"/>
    <w:rsid w:val="00297A76"/>
    <w:rsid w:val="002A1503"/>
    <w:rsid w:val="002A16BB"/>
    <w:rsid w:val="002A22B8"/>
    <w:rsid w:val="002A2CD8"/>
    <w:rsid w:val="002A2D3C"/>
    <w:rsid w:val="002A2DBE"/>
    <w:rsid w:val="002A353B"/>
    <w:rsid w:val="002A4AA2"/>
    <w:rsid w:val="002A4EC1"/>
    <w:rsid w:val="002A7F79"/>
    <w:rsid w:val="002B01B3"/>
    <w:rsid w:val="002B155F"/>
    <w:rsid w:val="002B1CD8"/>
    <w:rsid w:val="002B2123"/>
    <w:rsid w:val="002B2809"/>
    <w:rsid w:val="002B2B73"/>
    <w:rsid w:val="002B3556"/>
    <w:rsid w:val="002B3B19"/>
    <w:rsid w:val="002B418C"/>
    <w:rsid w:val="002B42A1"/>
    <w:rsid w:val="002B4E4B"/>
    <w:rsid w:val="002B53EA"/>
    <w:rsid w:val="002B5599"/>
    <w:rsid w:val="002B5B21"/>
    <w:rsid w:val="002B5B52"/>
    <w:rsid w:val="002B5FE4"/>
    <w:rsid w:val="002B71D3"/>
    <w:rsid w:val="002B725A"/>
    <w:rsid w:val="002B7C30"/>
    <w:rsid w:val="002B7E00"/>
    <w:rsid w:val="002C02CB"/>
    <w:rsid w:val="002C073B"/>
    <w:rsid w:val="002C0828"/>
    <w:rsid w:val="002C1970"/>
    <w:rsid w:val="002C3D73"/>
    <w:rsid w:val="002C3FC3"/>
    <w:rsid w:val="002C591E"/>
    <w:rsid w:val="002C69ED"/>
    <w:rsid w:val="002C74C2"/>
    <w:rsid w:val="002C74CE"/>
    <w:rsid w:val="002C76AA"/>
    <w:rsid w:val="002D0CA2"/>
    <w:rsid w:val="002D1B04"/>
    <w:rsid w:val="002D1EF6"/>
    <w:rsid w:val="002D20EC"/>
    <w:rsid w:val="002D2DFA"/>
    <w:rsid w:val="002D415E"/>
    <w:rsid w:val="002D5320"/>
    <w:rsid w:val="002D617B"/>
    <w:rsid w:val="002D669D"/>
    <w:rsid w:val="002D6D02"/>
    <w:rsid w:val="002D782F"/>
    <w:rsid w:val="002E12E4"/>
    <w:rsid w:val="002E14F5"/>
    <w:rsid w:val="002E26C3"/>
    <w:rsid w:val="002E3958"/>
    <w:rsid w:val="002E3DEE"/>
    <w:rsid w:val="002E5440"/>
    <w:rsid w:val="002E58FC"/>
    <w:rsid w:val="002E6C62"/>
    <w:rsid w:val="002F0C0F"/>
    <w:rsid w:val="002F0E6F"/>
    <w:rsid w:val="002F13E9"/>
    <w:rsid w:val="002F1A02"/>
    <w:rsid w:val="002F1CD1"/>
    <w:rsid w:val="002F1F6F"/>
    <w:rsid w:val="002F2FE1"/>
    <w:rsid w:val="002F3B0A"/>
    <w:rsid w:val="002F4A3E"/>
    <w:rsid w:val="002F530A"/>
    <w:rsid w:val="002F5851"/>
    <w:rsid w:val="002F5D1F"/>
    <w:rsid w:val="002F7D6E"/>
    <w:rsid w:val="00300BDC"/>
    <w:rsid w:val="0030154E"/>
    <w:rsid w:val="00302337"/>
    <w:rsid w:val="00303701"/>
    <w:rsid w:val="0030378E"/>
    <w:rsid w:val="00304850"/>
    <w:rsid w:val="00304E7B"/>
    <w:rsid w:val="0030522D"/>
    <w:rsid w:val="00305E31"/>
    <w:rsid w:val="0030718F"/>
    <w:rsid w:val="00310B42"/>
    <w:rsid w:val="003111B5"/>
    <w:rsid w:val="00312C22"/>
    <w:rsid w:val="0031302D"/>
    <w:rsid w:val="00313310"/>
    <w:rsid w:val="0031370C"/>
    <w:rsid w:val="00314A57"/>
    <w:rsid w:val="00315475"/>
    <w:rsid w:val="0031578A"/>
    <w:rsid w:val="003200AA"/>
    <w:rsid w:val="00321788"/>
    <w:rsid w:val="00321BCA"/>
    <w:rsid w:val="00323A60"/>
    <w:rsid w:val="00323E22"/>
    <w:rsid w:val="00324698"/>
    <w:rsid w:val="00325330"/>
    <w:rsid w:val="003256F0"/>
    <w:rsid w:val="00326CA4"/>
    <w:rsid w:val="00327B56"/>
    <w:rsid w:val="00330232"/>
    <w:rsid w:val="00331651"/>
    <w:rsid w:val="00332013"/>
    <w:rsid w:val="00332572"/>
    <w:rsid w:val="00332583"/>
    <w:rsid w:val="003329BE"/>
    <w:rsid w:val="00334578"/>
    <w:rsid w:val="00334F97"/>
    <w:rsid w:val="0033517C"/>
    <w:rsid w:val="00335477"/>
    <w:rsid w:val="0033756A"/>
    <w:rsid w:val="00340274"/>
    <w:rsid w:val="003414DC"/>
    <w:rsid w:val="00342277"/>
    <w:rsid w:val="0034308E"/>
    <w:rsid w:val="0034441A"/>
    <w:rsid w:val="00344B85"/>
    <w:rsid w:val="00345EC8"/>
    <w:rsid w:val="00346D8F"/>
    <w:rsid w:val="00350877"/>
    <w:rsid w:val="0035203B"/>
    <w:rsid w:val="003532AD"/>
    <w:rsid w:val="00353BA7"/>
    <w:rsid w:val="00353D6F"/>
    <w:rsid w:val="00354B91"/>
    <w:rsid w:val="0035549F"/>
    <w:rsid w:val="00356FB4"/>
    <w:rsid w:val="003575D8"/>
    <w:rsid w:val="003606E9"/>
    <w:rsid w:val="00360DFF"/>
    <w:rsid w:val="003611DC"/>
    <w:rsid w:val="003613E4"/>
    <w:rsid w:val="003627AE"/>
    <w:rsid w:val="003632F5"/>
    <w:rsid w:val="00363308"/>
    <w:rsid w:val="00363450"/>
    <w:rsid w:val="003634FC"/>
    <w:rsid w:val="00363A71"/>
    <w:rsid w:val="00363F10"/>
    <w:rsid w:val="00364617"/>
    <w:rsid w:val="003648D7"/>
    <w:rsid w:val="00365EAF"/>
    <w:rsid w:val="003679A9"/>
    <w:rsid w:val="00370399"/>
    <w:rsid w:val="00370C89"/>
    <w:rsid w:val="00371B27"/>
    <w:rsid w:val="00372672"/>
    <w:rsid w:val="003728D4"/>
    <w:rsid w:val="003731D5"/>
    <w:rsid w:val="0037393F"/>
    <w:rsid w:val="00373C67"/>
    <w:rsid w:val="00374947"/>
    <w:rsid w:val="00381F7A"/>
    <w:rsid w:val="003829BD"/>
    <w:rsid w:val="00382D70"/>
    <w:rsid w:val="003837DA"/>
    <w:rsid w:val="00383807"/>
    <w:rsid w:val="00384CF7"/>
    <w:rsid w:val="00384DE9"/>
    <w:rsid w:val="003866AC"/>
    <w:rsid w:val="00386FCD"/>
    <w:rsid w:val="0038759E"/>
    <w:rsid w:val="00390FB9"/>
    <w:rsid w:val="00392556"/>
    <w:rsid w:val="00392B74"/>
    <w:rsid w:val="003937B5"/>
    <w:rsid w:val="00393A93"/>
    <w:rsid w:val="00394E32"/>
    <w:rsid w:val="00395D01"/>
    <w:rsid w:val="00396394"/>
    <w:rsid w:val="003969F6"/>
    <w:rsid w:val="00396C56"/>
    <w:rsid w:val="003971D6"/>
    <w:rsid w:val="003A2500"/>
    <w:rsid w:val="003A3651"/>
    <w:rsid w:val="003A3ED9"/>
    <w:rsid w:val="003A4050"/>
    <w:rsid w:val="003A5733"/>
    <w:rsid w:val="003A579C"/>
    <w:rsid w:val="003A6547"/>
    <w:rsid w:val="003A6653"/>
    <w:rsid w:val="003A6A53"/>
    <w:rsid w:val="003B48FA"/>
    <w:rsid w:val="003B4955"/>
    <w:rsid w:val="003B560F"/>
    <w:rsid w:val="003B5CDD"/>
    <w:rsid w:val="003B5DD9"/>
    <w:rsid w:val="003B6A24"/>
    <w:rsid w:val="003C008A"/>
    <w:rsid w:val="003C0A71"/>
    <w:rsid w:val="003C0CA0"/>
    <w:rsid w:val="003C1686"/>
    <w:rsid w:val="003C3017"/>
    <w:rsid w:val="003C3EDF"/>
    <w:rsid w:val="003C4D7D"/>
    <w:rsid w:val="003C52EC"/>
    <w:rsid w:val="003D140E"/>
    <w:rsid w:val="003D1D65"/>
    <w:rsid w:val="003D2232"/>
    <w:rsid w:val="003D2E41"/>
    <w:rsid w:val="003D2F65"/>
    <w:rsid w:val="003D3050"/>
    <w:rsid w:val="003D438A"/>
    <w:rsid w:val="003D44D9"/>
    <w:rsid w:val="003D48C5"/>
    <w:rsid w:val="003D51F2"/>
    <w:rsid w:val="003D5AF3"/>
    <w:rsid w:val="003D74FC"/>
    <w:rsid w:val="003D75A1"/>
    <w:rsid w:val="003D7A40"/>
    <w:rsid w:val="003E0074"/>
    <w:rsid w:val="003E074C"/>
    <w:rsid w:val="003E0A38"/>
    <w:rsid w:val="003E1EFA"/>
    <w:rsid w:val="003E2555"/>
    <w:rsid w:val="003E2661"/>
    <w:rsid w:val="003E27D6"/>
    <w:rsid w:val="003E2E42"/>
    <w:rsid w:val="003E3001"/>
    <w:rsid w:val="003E30A6"/>
    <w:rsid w:val="003E59E6"/>
    <w:rsid w:val="003E6215"/>
    <w:rsid w:val="003E6ACB"/>
    <w:rsid w:val="003E6C96"/>
    <w:rsid w:val="003E7B8D"/>
    <w:rsid w:val="003E7C88"/>
    <w:rsid w:val="003F0829"/>
    <w:rsid w:val="003F0BD3"/>
    <w:rsid w:val="003F195D"/>
    <w:rsid w:val="003F1F9E"/>
    <w:rsid w:val="003F2A53"/>
    <w:rsid w:val="003F348C"/>
    <w:rsid w:val="003F450C"/>
    <w:rsid w:val="003F4FB9"/>
    <w:rsid w:val="003F55C8"/>
    <w:rsid w:val="003F7A1F"/>
    <w:rsid w:val="004006DB"/>
    <w:rsid w:val="0040087A"/>
    <w:rsid w:val="00402B31"/>
    <w:rsid w:val="00402C8D"/>
    <w:rsid w:val="00403B13"/>
    <w:rsid w:val="00404ECA"/>
    <w:rsid w:val="00404FFE"/>
    <w:rsid w:val="00405212"/>
    <w:rsid w:val="00405D3F"/>
    <w:rsid w:val="00406B20"/>
    <w:rsid w:val="00406BB3"/>
    <w:rsid w:val="00406DBD"/>
    <w:rsid w:val="0041012C"/>
    <w:rsid w:val="00410D92"/>
    <w:rsid w:val="004114C4"/>
    <w:rsid w:val="00411631"/>
    <w:rsid w:val="004136C1"/>
    <w:rsid w:val="004146AA"/>
    <w:rsid w:val="004161A1"/>
    <w:rsid w:val="00416FAD"/>
    <w:rsid w:val="00417A0C"/>
    <w:rsid w:val="00417BB0"/>
    <w:rsid w:val="004206A0"/>
    <w:rsid w:val="00422282"/>
    <w:rsid w:val="00423356"/>
    <w:rsid w:val="00424885"/>
    <w:rsid w:val="00424A1B"/>
    <w:rsid w:val="0042521F"/>
    <w:rsid w:val="0042682A"/>
    <w:rsid w:val="00427330"/>
    <w:rsid w:val="00430B88"/>
    <w:rsid w:val="00431FF3"/>
    <w:rsid w:val="004336D3"/>
    <w:rsid w:val="0043374A"/>
    <w:rsid w:val="00433940"/>
    <w:rsid w:val="00433BAF"/>
    <w:rsid w:val="00433C1E"/>
    <w:rsid w:val="00433E43"/>
    <w:rsid w:val="004348E3"/>
    <w:rsid w:val="00435579"/>
    <w:rsid w:val="0043609A"/>
    <w:rsid w:val="00436577"/>
    <w:rsid w:val="00436CC5"/>
    <w:rsid w:val="00437156"/>
    <w:rsid w:val="0043757B"/>
    <w:rsid w:val="00437D10"/>
    <w:rsid w:val="00440ACC"/>
    <w:rsid w:val="0044232D"/>
    <w:rsid w:val="00442634"/>
    <w:rsid w:val="00443248"/>
    <w:rsid w:val="00443F7C"/>
    <w:rsid w:val="004443A2"/>
    <w:rsid w:val="00444DF1"/>
    <w:rsid w:val="00446D76"/>
    <w:rsid w:val="00446D7A"/>
    <w:rsid w:val="00446F3F"/>
    <w:rsid w:val="00447860"/>
    <w:rsid w:val="00447A47"/>
    <w:rsid w:val="00450327"/>
    <w:rsid w:val="004508FC"/>
    <w:rsid w:val="00451715"/>
    <w:rsid w:val="00452177"/>
    <w:rsid w:val="0045280E"/>
    <w:rsid w:val="004528F1"/>
    <w:rsid w:val="00454099"/>
    <w:rsid w:val="00454AFD"/>
    <w:rsid w:val="004564B2"/>
    <w:rsid w:val="004578AC"/>
    <w:rsid w:val="00457B11"/>
    <w:rsid w:val="004603B4"/>
    <w:rsid w:val="00460D30"/>
    <w:rsid w:val="004624B3"/>
    <w:rsid w:val="0046257D"/>
    <w:rsid w:val="0046261E"/>
    <w:rsid w:val="004632A9"/>
    <w:rsid w:val="004633F7"/>
    <w:rsid w:val="00466589"/>
    <w:rsid w:val="0046667B"/>
    <w:rsid w:val="00466F91"/>
    <w:rsid w:val="00467976"/>
    <w:rsid w:val="004702D1"/>
    <w:rsid w:val="00471E4D"/>
    <w:rsid w:val="00472A8C"/>
    <w:rsid w:val="00473162"/>
    <w:rsid w:val="00473C4F"/>
    <w:rsid w:val="00475199"/>
    <w:rsid w:val="0047726C"/>
    <w:rsid w:val="00477B18"/>
    <w:rsid w:val="0048002C"/>
    <w:rsid w:val="004803B4"/>
    <w:rsid w:val="00481036"/>
    <w:rsid w:val="00482C3D"/>
    <w:rsid w:val="0048628A"/>
    <w:rsid w:val="0048656F"/>
    <w:rsid w:val="00486CC3"/>
    <w:rsid w:val="00490299"/>
    <w:rsid w:val="00490405"/>
    <w:rsid w:val="004906E9"/>
    <w:rsid w:val="00491FDE"/>
    <w:rsid w:val="00493BF9"/>
    <w:rsid w:val="00494DE4"/>
    <w:rsid w:val="00495225"/>
    <w:rsid w:val="0049539D"/>
    <w:rsid w:val="00495F30"/>
    <w:rsid w:val="004960E8"/>
    <w:rsid w:val="00496A6E"/>
    <w:rsid w:val="004975AC"/>
    <w:rsid w:val="004A1D6B"/>
    <w:rsid w:val="004A1FAD"/>
    <w:rsid w:val="004A3C3C"/>
    <w:rsid w:val="004A4C45"/>
    <w:rsid w:val="004A4EBB"/>
    <w:rsid w:val="004A70A8"/>
    <w:rsid w:val="004A7B6E"/>
    <w:rsid w:val="004A7F90"/>
    <w:rsid w:val="004B01F1"/>
    <w:rsid w:val="004B0937"/>
    <w:rsid w:val="004B1FB7"/>
    <w:rsid w:val="004B253C"/>
    <w:rsid w:val="004B2680"/>
    <w:rsid w:val="004B311F"/>
    <w:rsid w:val="004B4592"/>
    <w:rsid w:val="004B45A3"/>
    <w:rsid w:val="004B4ED2"/>
    <w:rsid w:val="004B5246"/>
    <w:rsid w:val="004B624F"/>
    <w:rsid w:val="004B6FB2"/>
    <w:rsid w:val="004C19F8"/>
    <w:rsid w:val="004C3D51"/>
    <w:rsid w:val="004C5509"/>
    <w:rsid w:val="004C58D8"/>
    <w:rsid w:val="004C62D7"/>
    <w:rsid w:val="004C681C"/>
    <w:rsid w:val="004C6C88"/>
    <w:rsid w:val="004C6DFF"/>
    <w:rsid w:val="004C7F6C"/>
    <w:rsid w:val="004D0DF2"/>
    <w:rsid w:val="004D1C26"/>
    <w:rsid w:val="004D4B79"/>
    <w:rsid w:val="004D4EEC"/>
    <w:rsid w:val="004D567E"/>
    <w:rsid w:val="004D57F8"/>
    <w:rsid w:val="004D6827"/>
    <w:rsid w:val="004D76B2"/>
    <w:rsid w:val="004E024A"/>
    <w:rsid w:val="004E10AC"/>
    <w:rsid w:val="004E122A"/>
    <w:rsid w:val="004E26A8"/>
    <w:rsid w:val="004E2CD9"/>
    <w:rsid w:val="004E37B7"/>
    <w:rsid w:val="004E3D46"/>
    <w:rsid w:val="004E4473"/>
    <w:rsid w:val="004E4996"/>
    <w:rsid w:val="004E552C"/>
    <w:rsid w:val="004E74E4"/>
    <w:rsid w:val="004F0AC3"/>
    <w:rsid w:val="004F12BF"/>
    <w:rsid w:val="004F192F"/>
    <w:rsid w:val="004F208A"/>
    <w:rsid w:val="004F2D3B"/>
    <w:rsid w:val="004F3D19"/>
    <w:rsid w:val="004F4308"/>
    <w:rsid w:val="004F4FFC"/>
    <w:rsid w:val="004F5A8D"/>
    <w:rsid w:val="004F5C1A"/>
    <w:rsid w:val="004F6EC1"/>
    <w:rsid w:val="0050003D"/>
    <w:rsid w:val="005002E0"/>
    <w:rsid w:val="00500762"/>
    <w:rsid w:val="00500C75"/>
    <w:rsid w:val="0050335B"/>
    <w:rsid w:val="005033DC"/>
    <w:rsid w:val="00504AA8"/>
    <w:rsid w:val="00504AE6"/>
    <w:rsid w:val="0050652B"/>
    <w:rsid w:val="00506BCE"/>
    <w:rsid w:val="005070C5"/>
    <w:rsid w:val="00507338"/>
    <w:rsid w:val="005073BF"/>
    <w:rsid w:val="0051004D"/>
    <w:rsid w:val="00510533"/>
    <w:rsid w:val="00510BE1"/>
    <w:rsid w:val="00510E52"/>
    <w:rsid w:val="00511FFF"/>
    <w:rsid w:val="0051230D"/>
    <w:rsid w:val="005124BF"/>
    <w:rsid w:val="00512DDF"/>
    <w:rsid w:val="00512F84"/>
    <w:rsid w:val="0051335F"/>
    <w:rsid w:val="0051521F"/>
    <w:rsid w:val="00516031"/>
    <w:rsid w:val="00516BE0"/>
    <w:rsid w:val="0051720E"/>
    <w:rsid w:val="00517D5D"/>
    <w:rsid w:val="00517D9C"/>
    <w:rsid w:val="0052076F"/>
    <w:rsid w:val="00522A78"/>
    <w:rsid w:val="00523619"/>
    <w:rsid w:val="00523B2C"/>
    <w:rsid w:val="00523BA5"/>
    <w:rsid w:val="00524DFD"/>
    <w:rsid w:val="00525D24"/>
    <w:rsid w:val="00526F5E"/>
    <w:rsid w:val="00530946"/>
    <w:rsid w:val="00530B9E"/>
    <w:rsid w:val="005316A0"/>
    <w:rsid w:val="0053267A"/>
    <w:rsid w:val="005336EC"/>
    <w:rsid w:val="005338DD"/>
    <w:rsid w:val="00535078"/>
    <w:rsid w:val="005362A4"/>
    <w:rsid w:val="0053637F"/>
    <w:rsid w:val="00536B8C"/>
    <w:rsid w:val="005377FA"/>
    <w:rsid w:val="00537A36"/>
    <w:rsid w:val="005400AA"/>
    <w:rsid w:val="00541790"/>
    <w:rsid w:val="005419FC"/>
    <w:rsid w:val="00541F6C"/>
    <w:rsid w:val="0054267D"/>
    <w:rsid w:val="0054310C"/>
    <w:rsid w:val="00543C98"/>
    <w:rsid w:val="00544CDE"/>
    <w:rsid w:val="00544EBA"/>
    <w:rsid w:val="005464FA"/>
    <w:rsid w:val="00546A3E"/>
    <w:rsid w:val="00547343"/>
    <w:rsid w:val="005476ED"/>
    <w:rsid w:val="005504B5"/>
    <w:rsid w:val="00550CFB"/>
    <w:rsid w:val="0055286C"/>
    <w:rsid w:val="005529EC"/>
    <w:rsid w:val="00555B5C"/>
    <w:rsid w:val="00555EFA"/>
    <w:rsid w:val="005601B6"/>
    <w:rsid w:val="005609CA"/>
    <w:rsid w:val="0056122E"/>
    <w:rsid w:val="005637DD"/>
    <w:rsid w:val="00563A8F"/>
    <w:rsid w:val="005640AA"/>
    <w:rsid w:val="0056471E"/>
    <w:rsid w:val="0056552C"/>
    <w:rsid w:val="00566D55"/>
    <w:rsid w:val="00566EF7"/>
    <w:rsid w:val="005723EB"/>
    <w:rsid w:val="005729F3"/>
    <w:rsid w:val="005735F1"/>
    <w:rsid w:val="00573E6C"/>
    <w:rsid w:val="00574807"/>
    <w:rsid w:val="00574891"/>
    <w:rsid w:val="00574B89"/>
    <w:rsid w:val="0057574E"/>
    <w:rsid w:val="005766C7"/>
    <w:rsid w:val="00582060"/>
    <w:rsid w:val="00582D7D"/>
    <w:rsid w:val="005835AA"/>
    <w:rsid w:val="00583B91"/>
    <w:rsid w:val="00584030"/>
    <w:rsid w:val="0058405C"/>
    <w:rsid w:val="00584788"/>
    <w:rsid w:val="005857CA"/>
    <w:rsid w:val="00585AF5"/>
    <w:rsid w:val="00585B0E"/>
    <w:rsid w:val="005863D5"/>
    <w:rsid w:val="00587059"/>
    <w:rsid w:val="00590173"/>
    <w:rsid w:val="00590CF1"/>
    <w:rsid w:val="0059136C"/>
    <w:rsid w:val="00592BD2"/>
    <w:rsid w:val="0059351E"/>
    <w:rsid w:val="00593883"/>
    <w:rsid w:val="00594349"/>
    <w:rsid w:val="00594797"/>
    <w:rsid w:val="00595071"/>
    <w:rsid w:val="00595253"/>
    <w:rsid w:val="00597253"/>
    <w:rsid w:val="005A0143"/>
    <w:rsid w:val="005A0BCA"/>
    <w:rsid w:val="005A15C4"/>
    <w:rsid w:val="005A234D"/>
    <w:rsid w:val="005A31E0"/>
    <w:rsid w:val="005A359B"/>
    <w:rsid w:val="005A4DC3"/>
    <w:rsid w:val="005A58B9"/>
    <w:rsid w:val="005A5DF5"/>
    <w:rsid w:val="005A6774"/>
    <w:rsid w:val="005A683E"/>
    <w:rsid w:val="005A69CE"/>
    <w:rsid w:val="005A69F2"/>
    <w:rsid w:val="005A6DAA"/>
    <w:rsid w:val="005A7A3D"/>
    <w:rsid w:val="005B215B"/>
    <w:rsid w:val="005B21D0"/>
    <w:rsid w:val="005B23E7"/>
    <w:rsid w:val="005B2897"/>
    <w:rsid w:val="005B4AB3"/>
    <w:rsid w:val="005B504E"/>
    <w:rsid w:val="005B5052"/>
    <w:rsid w:val="005B6BF4"/>
    <w:rsid w:val="005C0E5B"/>
    <w:rsid w:val="005C1682"/>
    <w:rsid w:val="005C1A5D"/>
    <w:rsid w:val="005C1DE3"/>
    <w:rsid w:val="005C4E55"/>
    <w:rsid w:val="005C522A"/>
    <w:rsid w:val="005C5629"/>
    <w:rsid w:val="005C7011"/>
    <w:rsid w:val="005D0423"/>
    <w:rsid w:val="005D097F"/>
    <w:rsid w:val="005D166E"/>
    <w:rsid w:val="005D1AC3"/>
    <w:rsid w:val="005D1CAD"/>
    <w:rsid w:val="005D1FAA"/>
    <w:rsid w:val="005D317F"/>
    <w:rsid w:val="005D3804"/>
    <w:rsid w:val="005D45B5"/>
    <w:rsid w:val="005D4A75"/>
    <w:rsid w:val="005D63B7"/>
    <w:rsid w:val="005E0790"/>
    <w:rsid w:val="005E108F"/>
    <w:rsid w:val="005E1531"/>
    <w:rsid w:val="005E2733"/>
    <w:rsid w:val="005E2A62"/>
    <w:rsid w:val="005E34F4"/>
    <w:rsid w:val="005E3791"/>
    <w:rsid w:val="005E46CC"/>
    <w:rsid w:val="005E4F5E"/>
    <w:rsid w:val="005E5353"/>
    <w:rsid w:val="005E5CBD"/>
    <w:rsid w:val="005E683E"/>
    <w:rsid w:val="005E6856"/>
    <w:rsid w:val="005E699B"/>
    <w:rsid w:val="005E6CCA"/>
    <w:rsid w:val="005E7ADF"/>
    <w:rsid w:val="005F1936"/>
    <w:rsid w:val="005F21DC"/>
    <w:rsid w:val="005F24F2"/>
    <w:rsid w:val="005F2BB5"/>
    <w:rsid w:val="005F30C0"/>
    <w:rsid w:val="005F3583"/>
    <w:rsid w:val="005F3861"/>
    <w:rsid w:val="005F3E3B"/>
    <w:rsid w:val="005F4047"/>
    <w:rsid w:val="005F4837"/>
    <w:rsid w:val="005F55A8"/>
    <w:rsid w:val="005F56BE"/>
    <w:rsid w:val="0060034F"/>
    <w:rsid w:val="00600F17"/>
    <w:rsid w:val="00601106"/>
    <w:rsid w:val="00601620"/>
    <w:rsid w:val="0060184D"/>
    <w:rsid w:val="00601B69"/>
    <w:rsid w:val="00601D17"/>
    <w:rsid w:val="006023D3"/>
    <w:rsid w:val="00602B17"/>
    <w:rsid w:val="00603670"/>
    <w:rsid w:val="00603CF8"/>
    <w:rsid w:val="0060405E"/>
    <w:rsid w:val="00604BA0"/>
    <w:rsid w:val="006052EA"/>
    <w:rsid w:val="00606890"/>
    <w:rsid w:val="00611029"/>
    <w:rsid w:val="00611235"/>
    <w:rsid w:val="0061166C"/>
    <w:rsid w:val="00611AFC"/>
    <w:rsid w:val="00611CA2"/>
    <w:rsid w:val="006120E2"/>
    <w:rsid w:val="00613EE5"/>
    <w:rsid w:val="0061433C"/>
    <w:rsid w:val="00615745"/>
    <w:rsid w:val="006158F9"/>
    <w:rsid w:val="0061698C"/>
    <w:rsid w:val="006170B5"/>
    <w:rsid w:val="00617649"/>
    <w:rsid w:val="006207A3"/>
    <w:rsid w:val="006208BD"/>
    <w:rsid w:val="006214D2"/>
    <w:rsid w:val="00623988"/>
    <w:rsid w:val="006248D1"/>
    <w:rsid w:val="0062570E"/>
    <w:rsid w:val="00625CFB"/>
    <w:rsid w:val="00625EE0"/>
    <w:rsid w:val="00627E26"/>
    <w:rsid w:val="0063010F"/>
    <w:rsid w:val="0063046F"/>
    <w:rsid w:val="00630B94"/>
    <w:rsid w:val="00632480"/>
    <w:rsid w:val="0063477D"/>
    <w:rsid w:val="0063553D"/>
    <w:rsid w:val="00635A87"/>
    <w:rsid w:val="00636D0B"/>
    <w:rsid w:val="0063767E"/>
    <w:rsid w:val="00637F84"/>
    <w:rsid w:val="006401E3"/>
    <w:rsid w:val="00640494"/>
    <w:rsid w:val="00640F1C"/>
    <w:rsid w:val="006423E0"/>
    <w:rsid w:val="00642AF3"/>
    <w:rsid w:val="00642D9D"/>
    <w:rsid w:val="00643F98"/>
    <w:rsid w:val="006453E8"/>
    <w:rsid w:val="00645B4F"/>
    <w:rsid w:val="00645D7A"/>
    <w:rsid w:val="006470EB"/>
    <w:rsid w:val="00651950"/>
    <w:rsid w:val="0065279A"/>
    <w:rsid w:val="0065410C"/>
    <w:rsid w:val="0065665D"/>
    <w:rsid w:val="00657378"/>
    <w:rsid w:val="00657B52"/>
    <w:rsid w:val="0066127D"/>
    <w:rsid w:val="006616CD"/>
    <w:rsid w:val="00661F53"/>
    <w:rsid w:val="006620C9"/>
    <w:rsid w:val="006633E6"/>
    <w:rsid w:val="00663BA7"/>
    <w:rsid w:val="006648D5"/>
    <w:rsid w:val="00664D0C"/>
    <w:rsid w:val="00664E50"/>
    <w:rsid w:val="00664E7C"/>
    <w:rsid w:val="00665FC9"/>
    <w:rsid w:val="00665FD8"/>
    <w:rsid w:val="006662C8"/>
    <w:rsid w:val="0066645E"/>
    <w:rsid w:val="00666600"/>
    <w:rsid w:val="00666729"/>
    <w:rsid w:val="00670D18"/>
    <w:rsid w:val="0067122E"/>
    <w:rsid w:val="0067292B"/>
    <w:rsid w:val="00672965"/>
    <w:rsid w:val="00672AB9"/>
    <w:rsid w:val="006770B7"/>
    <w:rsid w:val="00677B8F"/>
    <w:rsid w:val="00677CB8"/>
    <w:rsid w:val="006820DB"/>
    <w:rsid w:val="0068370B"/>
    <w:rsid w:val="006838A6"/>
    <w:rsid w:val="00686443"/>
    <w:rsid w:val="00686D52"/>
    <w:rsid w:val="0069079E"/>
    <w:rsid w:val="0069110F"/>
    <w:rsid w:val="0069265A"/>
    <w:rsid w:val="00692F69"/>
    <w:rsid w:val="00693056"/>
    <w:rsid w:val="0069328E"/>
    <w:rsid w:val="00693FEA"/>
    <w:rsid w:val="00695A72"/>
    <w:rsid w:val="00695E82"/>
    <w:rsid w:val="00696AA7"/>
    <w:rsid w:val="0069743F"/>
    <w:rsid w:val="006A01EB"/>
    <w:rsid w:val="006A0C8B"/>
    <w:rsid w:val="006A173F"/>
    <w:rsid w:val="006A1D32"/>
    <w:rsid w:val="006A4E29"/>
    <w:rsid w:val="006A5276"/>
    <w:rsid w:val="006A62F4"/>
    <w:rsid w:val="006A64C2"/>
    <w:rsid w:val="006A745D"/>
    <w:rsid w:val="006A7635"/>
    <w:rsid w:val="006A7653"/>
    <w:rsid w:val="006A7FE7"/>
    <w:rsid w:val="006B0119"/>
    <w:rsid w:val="006B10A7"/>
    <w:rsid w:val="006B1277"/>
    <w:rsid w:val="006B147E"/>
    <w:rsid w:val="006B4790"/>
    <w:rsid w:val="006B6300"/>
    <w:rsid w:val="006B632D"/>
    <w:rsid w:val="006B6487"/>
    <w:rsid w:val="006B7228"/>
    <w:rsid w:val="006B7764"/>
    <w:rsid w:val="006B7CF0"/>
    <w:rsid w:val="006C058C"/>
    <w:rsid w:val="006C0625"/>
    <w:rsid w:val="006C0CCD"/>
    <w:rsid w:val="006C17C2"/>
    <w:rsid w:val="006C2603"/>
    <w:rsid w:val="006C2668"/>
    <w:rsid w:val="006C2B4F"/>
    <w:rsid w:val="006C5F20"/>
    <w:rsid w:val="006C6045"/>
    <w:rsid w:val="006C61CC"/>
    <w:rsid w:val="006C7518"/>
    <w:rsid w:val="006D0AD0"/>
    <w:rsid w:val="006D2249"/>
    <w:rsid w:val="006D249A"/>
    <w:rsid w:val="006D24DF"/>
    <w:rsid w:val="006D3357"/>
    <w:rsid w:val="006D4370"/>
    <w:rsid w:val="006D4EE7"/>
    <w:rsid w:val="006D6C51"/>
    <w:rsid w:val="006D70A5"/>
    <w:rsid w:val="006D713E"/>
    <w:rsid w:val="006D7312"/>
    <w:rsid w:val="006D758C"/>
    <w:rsid w:val="006E076A"/>
    <w:rsid w:val="006E0D25"/>
    <w:rsid w:val="006E1DC3"/>
    <w:rsid w:val="006E20CE"/>
    <w:rsid w:val="006E2A21"/>
    <w:rsid w:val="006E31CD"/>
    <w:rsid w:val="006E33DF"/>
    <w:rsid w:val="006E518A"/>
    <w:rsid w:val="006E6D28"/>
    <w:rsid w:val="006F21DD"/>
    <w:rsid w:val="006F2599"/>
    <w:rsid w:val="006F28C4"/>
    <w:rsid w:val="006F400F"/>
    <w:rsid w:val="006F404D"/>
    <w:rsid w:val="006F4849"/>
    <w:rsid w:val="006F5AD1"/>
    <w:rsid w:val="006F63C8"/>
    <w:rsid w:val="0070015B"/>
    <w:rsid w:val="0070017F"/>
    <w:rsid w:val="007001B1"/>
    <w:rsid w:val="007006A9"/>
    <w:rsid w:val="007018E6"/>
    <w:rsid w:val="00702323"/>
    <w:rsid w:val="007032F5"/>
    <w:rsid w:val="00703FD9"/>
    <w:rsid w:val="00705544"/>
    <w:rsid w:val="007055A8"/>
    <w:rsid w:val="00706324"/>
    <w:rsid w:val="00706C42"/>
    <w:rsid w:val="00706F5C"/>
    <w:rsid w:val="007070AF"/>
    <w:rsid w:val="00707601"/>
    <w:rsid w:val="00707CBC"/>
    <w:rsid w:val="00707D63"/>
    <w:rsid w:val="00710F40"/>
    <w:rsid w:val="007112AF"/>
    <w:rsid w:val="0071217B"/>
    <w:rsid w:val="00715596"/>
    <w:rsid w:val="00715D99"/>
    <w:rsid w:val="00717668"/>
    <w:rsid w:val="00722233"/>
    <w:rsid w:val="007233A6"/>
    <w:rsid w:val="00723BFE"/>
    <w:rsid w:val="00723EEF"/>
    <w:rsid w:val="0072464F"/>
    <w:rsid w:val="0072491C"/>
    <w:rsid w:val="007250D7"/>
    <w:rsid w:val="007265F7"/>
    <w:rsid w:val="00726D12"/>
    <w:rsid w:val="007276E2"/>
    <w:rsid w:val="007317A2"/>
    <w:rsid w:val="007337BA"/>
    <w:rsid w:val="007343B1"/>
    <w:rsid w:val="0073458E"/>
    <w:rsid w:val="007352D4"/>
    <w:rsid w:val="00735876"/>
    <w:rsid w:val="007359A6"/>
    <w:rsid w:val="00735BE1"/>
    <w:rsid w:val="0074087D"/>
    <w:rsid w:val="00740EBF"/>
    <w:rsid w:val="007410AC"/>
    <w:rsid w:val="007412E6"/>
    <w:rsid w:val="00741A94"/>
    <w:rsid w:val="0074411E"/>
    <w:rsid w:val="00744E95"/>
    <w:rsid w:val="00745443"/>
    <w:rsid w:val="00745D2B"/>
    <w:rsid w:val="00750209"/>
    <w:rsid w:val="00750794"/>
    <w:rsid w:val="007510E2"/>
    <w:rsid w:val="00751C0F"/>
    <w:rsid w:val="007521DF"/>
    <w:rsid w:val="007525C5"/>
    <w:rsid w:val="0075301F"/>
    <w:rsid w:val="00754DA5"/>
    <w:rsid w:val="007559FC"/>
    <w:rsid w:val="00755B0D"/>
    <w:rsid w:val="00755E80"/>
    <w:rsid w:val="0076029E"/>
    <w:rsid w:val="00760A5F"/>
    <w:rsid w:val="007614D2"/>
    <w:rsid w:val="0076291E"/>
    <w:rsid w:val="00762A8B"/>
    <w:rsid w:val="00762DD8"/>
    <w:rsid w:val="00762E54"/>
    <w:rsid w:val="0076495F"/>
    <w:rsid w:val="00764CF7"/>
    <w:rsid w:val="007652F0"/>
    <w:rsid w:val="00766ED4"/>
    <w:rsid w:val="0077071B"/>
    <w:rsid w:val="00770846"/>
    <w:rsid w:val="00770E07"/>
    <w:rsid w:val="00771D3F"/>
    <w:rsid w:val="0077311E"/>
    <w:rsid w:val="007745FB"/>
    <w:rsid w:val="00774AC9"/>
    <w:rsid w:val="00775FD9"/>
    <w:rsid w:val="0077776A"/>
    <w:rsid w:val="007779A1"/>
    <w:rsid w:val="00777D9D"/>
    <w:rsid w:val="00781BD4"/>
    <w:rsid w:val="00781D0D"/>
    <w:rsid w:val="00782491"/>
    <w:rsid w:val="007832FE"/>
    <w:rsid w:val="00783336"/>
    <w:rsid w:val="00785139"/>
    <w:rsid w:val="0078555C"/>
    <w:rsid w:val="00785D2B"/>
    <w:rsid w:val="00786163"/>
    <w:rsid w:val="00786B30"/>
    <w:rsid w:val="00787E11"/>
    <w:rsid w:val="007909DB"/>
    <w:rsid w:val="00791A19"/>
    <w:rsid w:val="00791DF4"/>
    <w:rsid w:val="007926EF"/>
    <w:rsid w:val="007937F6"/>
    <w:rsid w:val="00793CA2"/>
    <w:rsid w:val="0079435E"/>
    <w:rsid w:val="0079515E"/>
    <w:rsid w:val="00795A52"/>
    <w:rsid w:val="00796352"/>
    <w:rsid w:val="00796F08"/>
    <w:rsid w:val="00797A56"/>
    <w:rsid w:val="007A00D4"/>
    <w:rsid w:val="007A3E81"/>
    <w:rsid w:val="007A4131"/>
    <w:rsid w:val="007A4BFB"/>
    <w:rsid w:val="007A5A68"/>
    <w:rsid w:val="007A5FD3"/>
    <w:rsid w:val="007A666E"/>
    <w:rsid w:val="007A66B6"/>
    <w:rsid w:val="007A68E1"/>
    <w:rsid w:val="007A7607"/>
    <w:rsid w:val="007B1C9F"/>
    <w:rsid w:val="007B1F70"/>
    <w:rsid w:val="007B5DB8"/>
    <w:rsid w:val="007B61C4"/>
    <w:rsid w:val="007B6242"/>
    <w:rsid w:val="007B6530"/>
    <w:rsid w:val="007B7C1B"/>
    <w:rsid w:val="007C034F"/>
    <w:rsid w:val="007C0A38"/>
    <w:rsid w:val="007C192F"/>
    <w:rsid w:val="007C2695"/>
    <w:rsid w:val="007C366A"/>
    <w:rsid w:val="007C39D6"/>
    <w:rsid w:val="007C4958"/>
    <w:rsid w:val="007C4F73"/>
    <w:rsid w:val="007C5AAA"/>
    <w:rsid w:val="007C628C"/>
    <w:rsid w:val="007C66BA"/>
    <w:rsid w:val="007C7F3D"/>
    <w:rsid w:val="007C7F5E"/>
    <w:rsid w:val="007D037C"/>
    <w:rsid w:val="007D0C22"/>
    <w:rsid w:val="007D0DD5"/>
    <w:rsid w:val="007D1B3C"/>
    <w:rsid w:val="007D4543"/>
    <w:rsid w:val="007D503D"/>
    <w:rsid w:val="007D6302"/>
    <w:rsid w:val="007D7BB6"/>
    <w:rsid w:val="007E0B3D"/>
    <w:rsid w:val="007E0E93"/>
    <w:rsid w:val="007E17B5"/>
    <w:rsid w:val="007E1BE1"/>
    <w:rsid w:val="007E2BBD"/>
    <w:rsid w:val="007E3204"/>
    <w:rsid w:val="007E3550"/>
    <w:rsid w:val="007E358D"/>
    <w:rsid w:val="007E3E2B"/>
    <w:rsid w:val="007E4239"/>
    <w:rsid w:val="007E4698"/>
    <w:rsid w:val="007E6B28"/>
    <w:rsid w:val="007E7651"/>
    <w:rsid w:val="007E7751"/>
    <w:rsid w:val="007E7D13"/>
    <w:rsid w:val="007F0021"/>
    <w:rsid w:val="007F0700"/>
    <w:rsid w:val="007F0C2C"/>
    <w:rsid w:val="007F14BB"/>
    <w:rsid w:val="007F173E"/>
    <w:rsid w:val="007F22E5"/>
    <w:rsid w:val="007F24D9"/>
    <w:rsid w:val="007F2500"/>
    <w:rsid w:val="007F2882"/>
    <w:rsid w:val="007F5CAF"/>
    <w:rsid w:val="007F5CCB"/>
    <w:rsid w:val="007F670A"/>
    <w:rsid w:val="007F68BA"/>
    <w:rsid w:val="007F6F8C"/>
    <w:rsid w:val="007F7DD2"/>
    <w:rsid w:val="008014DC"/>
    <w:rsid w:val="00801934"/>
    <w:rsid w:val="00801991"/>
    <w:rsid w:val="00801D0E"/>
    <w:rsid w:val="00801F63"/>
    <w:rsid w:val="00803E99"/>
    <w:rsid w:val="00804B82"/>
    <w:rsid w:val="00805DC5"/>
    <w:rsid w:val="0080729D"/>
    <w:rsid w:val="00807DB8"/>
    <w:rsid w:val="00811710"/>
    <w:rsid w:val="00811D4B"/>
    <w:rsid w:val="00813BAC"/>
    <w:rsid w:val="008148A0"/>
    <w:rsid w:val="0081508A"/>
    <w:rsid w:val="00815D64"/>
    <w:rsid w:val="008176FE"/>
    <w:rsid w:val="008203FC"/>
    <w:rsid w:val="00820B01"/>
    <w:rsid w:val="00820C1E"/>
    <w:rsid w:val="00822544"/>
    <w:rsid w:val="008226CC"/>
    <w:rsid w:val="00822727"/>
    <w:rsid w:val="00823019"/>
    <w:rsid w:val="00823BE1"/>
    <w:rsid w:val="00824691"/>
    <w:rsid w:val="00826D5A"/>
    <w:rsid w:val="00827392"/>
    <w:rsid w:val="00830CDF"/>
    <w:rsid w:val="00831B0A"/>
    <w:rsid w:val="008327AA"/>
    <w:rsid w:val="0083287B"/>
    <w:rsid w:val="00833612"/>
    <w:rsid w:val="00834155"/>
    <w:rsid w:val="00836C4C"/>
    <w:rsid w:val="0083708B"/>
    <w:rsid w:val="00837FE9"/>
    <w:rsid w:val="00840B2C"/>
    <w:rsid w:val="00840D03"/>
    <w:rsid w:val="008413AC"/>
    <w:rsid w:val="00842962"/>
    <w:rsid w:val="0084329B"/>
    <w:rsid w:val="008445D1"/>
    <w:rsid w:val="00844851"/>
    <w:rsid w:val="008468A5"/>
    <w:rsid w:val="008469BF"/>
    <w:rsid w:val="00846F44"/>
    <w:rsid w:val="00847038"/>
    <w:rsid w:val="0084715D"/>
    <w:rsid w:val="00847560"/>
    <w:rsid w:val="0085073E"/>
    <w:rsid w:val="00851F3F"/>
    <w:rsid w:val="008538D4"/>
    <w:rsid w:val="008538F7"/>
    <w:rsid w:val="00856C49"/>
    <w:rsid w:val="00856FBA"/>
    <w:rsid w:val="00862502"/>
    <w:rsid w:val="00863DF1"/>
    <w:rsid w:val="008647A3"/>
    <w:rsid w:val="008655E8"/>
    <w:rsid w:val="0086601C"/>
    <w:rsid w:val="00870DE9"/>
    <w:rsid w:val="00870FB7"/>
    <w:rsid w:val="008719B6"/>
    <w:rsid w:val="00873374"/>
    <w:rsid w:val="00873A0F"/>
    <w:rsid w:val="00874CC8"/>
    <w:rsid w:val="00875F8A"/>
    <w:rsid w:val="008760F6"/>
    <w:rsid w:val="00877228"/>
    <w:rsid w:val="00877FB1"/>
    <w:rsid w:val="00880FD3"/>
    <w:rsid w:val="00881F8B"/>
    <w:rsid w:val="00882616"/>
    <w:rsid w:val="00884DA7"/>
    <w:rsid w:val="00885BDF"/>
    <w:rsid w:val="00886485"/>
    <w:rsid w:val="00886519"/>
    <w:rsid w:val="00886548"/>
    <w:rsid w:val="00886654"/>
    <w:rsid w:val="008903BA"/>
    <w:rsid w:val="008911E3"/>
    <w:rsid w:val="00891C5C"/>
    <w:rsid w:val="00893336"/>
    <w:rsid w:val="008939AC"/>
    <w:rsid w:val="0089576E"/>
    <w:rsid w:val="0089589B"/>
    <w:rsid w:val="00896974"/>
    <w:rsid w:val="00897FCE"/>
    <w:rsid w:val="008A1AC3"/>
    <w:rsid w:val="008A2451"/>
    <w:rsid w:val="008A2867"/>
    <w:rsid w:val="008A2A6E"/>
    <w:rsid w:val="008A2B3B"/>
    <w:rsid w:val="008A35A9"/>
    <w:rsid w:val="008A369D"/>
    <w:rsid w:val="008A43FA"/>
    <w:rsid w:val="008A5A48"/>
    <w:rsid w:val="008A5AF1"/>
    <w:rsid w:val="008A5DC6"/>
    <w:rsid w:val="008A6EE8"/>
    <w:rsid w:val="008A777D"/>
    <w:rsid w:val="008A7B89"/>
    <w:rsid w:val="008A7E0E"/>
    <w:rsid w:val="008A7E15"/>
    <w:rsid w:val="008A7F20"/>
    <w:rsid w:val="008B0C9B"/>
    <w:rsid w:val="008B1882"/>
    <w:rsid w:val="008B20E6"/>
    <w:rsid w:val="008B38D2"/>
    <w:rsid w:val="008B5892"/>
    <w:rsid w:val="008B6026"/>
    <w:rsid w:val="008B69EC"/>
    <w:rsid w:val="008B6FE9"/>
    <w:rsid w:val="008B755C"/>
    <w:rsid w:val="008C0A4A"/>
    <w:rsid w:val="008C0A61"/>
    <w:rsid w:val="008C0C17"/>
    <w:rsid w:val="008C0C97"/>
    <w:rsid w:val="008C179C"/>
    <w:rsid w:val="008C2380"/>
    <w:rsid w:val="008C2685"/>
    <w:rsid w:val="008C3A3A"/>
    <w:rsid w:val="008C6506"/>
    <w:rsid w:val="008D01B1"/>
    <w:rsid w:val="008D0420"/>
    <w:rsid w:val="008D143F"/>
    <w:rsid w:val="008D2B3C"/>
    <w:rsid w:val="008D2C6F"/>
    <w:rsid w:val="008D3E53"/>
    <w:rsid w:val="008D66C9"/>
    <w:rsid w:val="008D7F34"/>
    <w:rsid w:val="008E0A9D"/>
    <w:rsid w:val="008E0EB0"/>
    <w:rsid w:val="008E169E"/>
    <w:rsid w:val="008E25C0"/>
    <w:rsid w:val="008E31B2"/>
    <w:rsid w:val="008E39B2"/>
    <w:rsid w:val="008E3EA8"/>
    <w:rsid w:val="008E5FA2"/>
    <w:rsid w:val="008E744C"/>
    <w:rsid w:val="008F04CD"/>
    <w:rsid w:val="008F24D1"/>
    <w:rsid w:val="008F27DE"/>
    <w:rsid w:val="008F2AE1"/>
    <w:rsid w:val="008F38AB"/>
    <w:rsid w:val="008F3FBE"/>
    <w:rsid w:val="008F4F98"/>
    <w:rsid w:val="008F5635"/>
    <w:rsid w:val="008F5F3D"/>
    <w:rsid w:val="008F7306"/>
    <w:rsid w:val="008F7EB0"/>
    <w:rsid w:val="00901189"/>
    <w:rsid w:val="00901B70"/>
    <w:rsid w:val="00902E4B"/>
    <w:rsid w:val="00903200"/>
    <w:rsid w:val="00903526"/>
    <w:rsid w:val="00903E4C"/>
    <w:rsid w:val="00904221"/>
    <w:rsid w:val="00904509"/>
    <w:rsid w:val="009055A7"/>
    <w:rsid w:val="009056E3"/>
    <w:rsid w:val="009071D5"/>
    <w:rsid w:val="00907C0E"/>
    <w:rsid w:val="009113B7"/>
    <w:rsid w:val="009120B9"/>
    <w:rsid w:val="0091300C"/>
    <w:rsid w:val="00914613"/>
    <w:rsid w:val="009149C5"/>
    <w:rsid w:val="00915AFC"/>
    <w:rsid w:val="00915D9C"/>
    <w:rsid w:val="00920961"/>
    <w:rsid w:val="0092101C"/>
    <w:rsid w:val="00921702"/>
    <w:rsid w:val="00921B20"/>
    <w:rsid w:val="00921FFA"/>
    <w:rsid w:val="00922F21"/>
    <w:rsid w:val="009259E4"/>
    <w:rsid w:val="00925E16"/>
    <w:rsid w:val="00925F62"/>
    <w:rsid w:val="00927B8B"/>
    <w:rsid w:val="00927EA6"/>
    <w:rsid w:val="00931099"/>
    <w:rsid w:val="00933389"/>
    <w:rsid w:val="009334E3"/>
    <w:rsid w:val="0093354A"/>
    <w:rsid w:val="00933878"/>
    <w:rsid w:val="0093462E"/>
    <w:rsid w:val="00934A6C"/>
    <w:rsid w:val="00935D1E"/>
    <w:rsid w:val="00935D7D"/>
    <w:rsid w:val="00935D8D"/>
    <w:rsid w:val="0093600A"/>
    <w:rsid w:val="0093628A"/>
    <w:rsid w:val="00936A5F"/>
    <w:rsid w:val="00936F0E"/>
    <w:rsid w:val="0094045A"/>
    <w:rsid w:val="00940826"/>
    <w:rsid w:val="00942361"/>
    <w:rsid w:val="00942B66"/>
    <w:rsid w:val="00942EB2"/>
    <w:rsid w:val="009431DE"/>
    <w:rsid w:val="00943345"/>
    <w:rsid w:val="00944209"/>
    <w:rsid w:val="0094435C"/>
    <w:rsid w:val="0094661D"/>
    <w:rsid w:val="00946AA4"/>
    <w:rsid w:val="00952079"/>
    <w:rsid w:val="00952BA6"/>
    <w:rsid w:val="00953728"/>
    <w:rsid w:val="00954E08"/>
    <w:rsid w:val="00955954"/>
    <w:rsid w:val="00956809"/>
    <w:rsid w:val="00956924"/>
    <w:rsid w:val="009607B4"/>
    <w:rsid w:val="0096095A"/>
    <w:rsid w:val="00960D0A"/>
    <w:rsid w:val="00960EF7"/>
    <w:rsid w:val="0096160C"/>
    <w:rsid w:val="0096166C"/>
    <w:rsid w:val="00963D44"/>
    <w:rsid w:val="0096487E"/>
    <w:rsid w:val="00964AD9"/>
    <w:rsid w:val="00965FB1"/>
    <w:rsid w:val="009667F1"/>
    <w:rsid w:val="00970423"/>
    <w:rsid w:val="00970DAD"/>
    <w:rsid w:val="00970F29"/>
    <w:rsid w:val="009715A5"/>
    <w:rsid w:val="00971C55"/>
    <w:rsid w:val="0097205B"/>
    <w:rsid w:val="00972685"/>
    <w:rsid w:val="00972B07"/>
    <w:rsid w:val="00974EAA"/>
    <w:rsid w:val="009754B9"/>
    <w:rsid w:val="0097758D"/>
    <w:rsid w:val="009802E0"/>
    <w:rsid w:val="00980744"/>
    <w:rsid w:val="00980A74"/>
    <w:rsid w:val="009812B0"/>
    <w:rsid w:val="00981CC6"/>
    <w:rsid w:val="00982430"/>
    <w:rsid w:val="00982530"/>
    <w:rsid w:val="00982B48"/>
    <w:rsid w:val="0098363F"/>
    <w:rsid w:val="00983B19"/>
    <w:rsid w:val="009842A5"/>
    <w:rsid w:val="009844F2"/>
    <w:rsid w:val="00984ABD"/>
    <w:rsid w:val="009863F3"/>
    <w:rsid w:val="00990F74"/>
    <w:rsid w:val="00992E5C"/>
    <w:rsid w:val="00993CC2"/>
    <w:rsid w:val="00993F68"/>
    <w:rsid w:val="009946CC"/>
    <w:rsid w:val="0099484D"/>
    <w:rsid w:val="00994F0A"/>
    <w:rsid w:val="00995ED0"/>
    <w:rsid w:val="0099618E"/>
    <w:rsid w:val="0099634A"/>
    <w:rsid w:val="0099635D"/>
    <w:rsid w:val="009972A2"/>
    <w:rsid w:val="00997347"/>
    <w:rsid w:val="00997634"/>
    <w:rsid w:val="0099793C"/>
    <w:rsid w:val="009A04AE"/>
    <w:rsid w:val="009A0CAE"/>
    <w:rsid w:val="009A19D5"/>
    <w:rsid w:val="009A293F"/>
    <w:rsid w:val="009A31FF"/>
    <w:rsid w:val="009A4092"/>
    <w:rsid w:val="009A4A40"/>
    <w:rsid w:val="009A4F6B"/>
    <w:rsid w:val="009A5560"/>
    <w:rsid w:val="009A5F73"/>
    <w:rsid w:val="009A621D"/>
    <w:rsid w:val="009A68F5"/>
    <w:rsid w:val="009A6C5C"/>
    <w:rsid w:val="009A76DA"/>
    <w:rsid w:val="009B1134"/>
    <w:rsid w:val="009B194B"/>
    <w:rsid w:val="009B195A"/>
    <w:rsid w:val="009B220E"/>
    <w:rsid w:val="009B22F3"/>
    <w:rsid w:val="009B2773"/>
    <w:rsid w:val="009B31FA"/>
    <w:rsid w:val="009B341A"/>
    <w:rsid w:val="009B3CA6"/>
    <w:rsid w:val="009B4BFA"/>
    <w:rsid w:val="009B5114"/>
    <w:rsid w:val="009B5562"/>
    <w:rsid w:val="009B56B8"/>
    <w:rsid w:val="009B7172"/>
    <w:rsid w:val="009B786B"/>
    <w:rsid w:val="009C066C"/>
    <w:rsid w:val="009C0E15"/>
    <w:rsid w:val="009C1C61"/>
    <w:rsid w:val="009C3230"/>
    <w:rsid w:val="009C3D84"/>
    <w:rsid w:val="009C429F"/>
    <w:rsid w:val="009C4EB9"/>
    <w:rsid w:val="009C5572"/>
    <w:rsid w:val="009C5B69"/>
    <w:rsid w:val="009C5D30"/>
    <w:rsid w:val="009C6E27"/>
    <w:rsid w:val="009C7824"/>
    <w:rsid w:val="009D0A7B"/>
    <w:rsid w:val="009D0D48"/>
    <w:rsid w:val="009D14E4"/>
    <w:rsid w:val="009D176A"/>
    <w:rsid w:val="009D2385"/>
    <w:rsid w:val="009D28B6"/>
    <w:rsid w:val="009D2AC8"/>
    <w:rsid w:val="009D57A9"/>
    <w:rsid w:val="009D6EF2"/>
    <w:rsid w:val="009D6FF0"/>
    <w:rsid w:val="009E014A"/>
    <w:rsid w:val="009E0B5C"/>
    <w:rsid w:val="009E25BB"/>
    <w:rsid w:val="009E31ED"/>
    <w:rsid w:val="009E3E52"/>
    <w:rsid w:val="009E5179"/>
    <w:rsid w:val="009E5C33"/>
    <w:rsid w:val="009E6651"/>
    <w:rsid w:val="009E71E7"/>
    <w:rsid w:val="009E7579"/>
    <w:rsid w:val="009E7AC0"/>
    <w:rsid w:val="009F0EA6"/>
    <w:rsid w:val="009F1021"/>
    <w:rsid w:val="009F1C73"/>
    <w:rsid w:val="009F2E17"/>
    <w:rsid w:val="009F3CDB"/>
    <w:rsid w:val="009F4884"/>
    <w:rsid w:val="009F4E59"/>
    <w:rsid w:val="009F4EC9"/>
    <w:rsid w:val="009F4F4F"/>
    <w:rsid w:val="009F4F6B"/>
    <w:rsid w:val="009F5C11"/>
    <w:rsid w:val="009F609D"/>
    <w:rsid w:val="009F6783"/>
    <w:rsid w:val="009F6924"/>
    <w:rsid w:val="009F6FBE"/>
    <w:rsid w:val="00A0112F"/>
    <w:rsid w:val="00A018C3"/>
    <w:rsid w:val="00A04DA9"/>
    <w:rsid w:val="00A057CD"/>
    <w:rsid w:val="00A0652C"/>
    <w:rsid w:val="00A07746"/>
    <w:rsid w:val="00A07811"/>
    <w:rsid w:val="00A07D70"/>
    <w:rsid w:val="00A103DA"/>
    <w:rsid w:val="00A10968"/>
    <w:rsid w:val="00A10BE0"/>
    <w:rsid w:val="00A110E3"/>
    <w:rsid w:val="00A11268"/>
    <w:rsid w:val="00A1143E"/>
    <w:rsid w:val="00A11AC2"/>
    <w:rsid w:val="00A12277"/>
    <w:rsid w:val="00A124A2"/>
    <w:rsid w:val="00A13B10"/>
    <w:rsid w:val="00A13D5E"/>
    <w:rsid w:val="00A143FA"/>
    <w:rsid w:val="00A17B06"/>
    <w:rsid w:val="00A208E6"/>
    <w:rsid w:val="00A21425"/>
    <w:rsid w:val="00A219F8"/>
    <w:rsid w:val="00A22228"/>
    <w:rsid w:val="00A22310"/>
    <w:rsid w:val="00A24240"/>
    <w:rsid w:val="00A24EC7"/>
    <w:rsid w:val="00A25336"/>
    <w:rsid w:val="00A256F4"/>
    <w:rsid w:val="00A258A0"/>
    <w:rsid w:val="00A2650F"/>
    <w:rsid w:val="00A26890"/>
    <w:rsid w:val="00A273B7"/>
    <w:rsid w:val="00A3017B"/>
    <w:rsid w:val="00A3064A"/>
    <w:rsid w:val="00A324A2"/>
    <w:rsid w:val="00A32BAE"/>
    <w:rsid w:val="00A32C43"/>
    <w:rsid w:val="00A34C4D"/>
    <w:rsid w:val="00A34ECC"/>
    <w:rsid w:val="00A35E04"/>
    <w:rsid w:val="00A36885"/>
    <w:rsid w:val="00A37693"/>
    <w:rsid w:val="00A378E4"/>
    <w:rsid w:val="00A421DA"/>
    <w:rsid w:val="00A42C73"/>
    <w:rsid w:val="00A43CE3"/>
    <w:rsid w:val="00A44A94"/>
    <w:rsid w:val="00A50310"/>
    <w:rsid w:val="00A50919"/>
    <w:rsid w:val="00A512BC"/>
    <w:rsid w:val="00A514BA"/>
    <w:rsid w:val="00A528AA"/>
    <w:rsid w:val="00A53A16"/>
    <w:rsid w:val="00A550EA"/>
    <w:rsid w:val="00A56610"/>
    <w:rsid w:val="00A575F9"/>
    <w:rsid w:val="00A577F2"/>
    <w:rsid w:val="00A626CC"/>
    <w:rsid w:val="00A63083"/>
    <w:rsid w:val="00A63E21"/>
    <w:rsid w:val="00A654E7"/>
    <w:rsid w:val="00A67B2C"/>
    <w:rsid w:val="00A70B88"/>
    <w:rsid w:val="00A70C30"/>
    <w:rsid w:val="00A71571"/>
    <w:rsid w:val="00A71DC2"/>
    <w:rsid w:val="00A72C92"/>
    <w:rsid w:val="00A73360"/>
    <w:rsid w:val="00A74048"/>
    <w:rsid w:val="00A743F3"/>
    <w:rsid w:val="00A7443A"/>
    <w:rsid w:val="00A75861"/>
    <w:rsid w:val="00A76226"/>
    <w:rsid w:val="00A76636"/>
    <w:rsid w:val="00A76A8F"/>
    <w:rsid w:val="00A7776C"/>
    <w:rsid w:val="00A7794B"/>
    <w:rsid w:val="00A8126E"/>
    <w:rsid w:val="00A8197C"/>
    <w:rsid w:val="00A83ABC"/>
    <w:rsid w:val="00A84263"/>
    <w:rsid w:val="00A844AF"/>
    <w:rsid w:val="00A848E5"/>
    <w:rsid w:val="00A85653"/>
    <w:rsid w:val="00A90E9B"/>
    <w:rsid w:val="00A92023"/>
    <w:rsid w:val="00A92596"/>
    <w:rsid w:val="00A942D9"/>
    <w:rsid w:val="00A94308"/>
    <w:rsid w:val="00A94877"/>
    <w:rsid w:val="00A94887"/>
    <w:rsid w:val="00A95083"/>
    <w:rsid w:val="00A9579D"/>
    <w:rsid w:val="00A957BF"/>
    <w:rsid w:val="00A97261"/>
    <w:rsid w:val="00A97D2E"/>
    <w:rsid w:val="00AA01F3"/>
    <w:rsid w:val="00AA0327"/>
    <w:rsid w:val="00AA0763"/>
    <w:rsid w:val="00AA28AF"/>
    <w:rsid w:val="00AA3FB3"/>
    <w:rsid w:val="00AA3FE4"/>
    <w:rsid w:val="00AA440D"/>
    <w:rsid w:val="00AA623A"/>
    <w:rsid w:val="00AA6599"/>
    <w:rsid w:val="00AA7AE8"/>
    <w:rsid w:val="00AB1EB1"/>
    <w:rsid w:val="00AB26F8"/>
    <w:rsid w:val="00AB3A61"/>
    <w:rsid w:val="00AB3EAE"/>
    <w:rsid w:val="00AB6C76"/>
    <w:rsid w:val="00AB6EE6"/>
    <w:rsid w:val="00AB77A9"/>
    <w:rsid w:val="00AB7D4F"/>
    <w:rsid w:val="00AC0172"/>
    <w:rsid w:val="00AC0267"/>
    <w:rsid w:val="00AC027D"/>
    <w:rsid w:val="00AC0447"/>
    <w:rsid w:val="00AC2B17"/>
    <w:rsid w:val="00AC375D"/>
    <w:rsid w:val="00AC3C1D"/>
    <w:rsid w:val="00AC4F2B"/>
    <w:rsid w:val="00AC60B0"/>
    <w:rsid w:val="00AC6E14"/>
    <w:rsid w:val="00AC6E16"/>
    <w:rsid w:val="00AC75EF"/>
    <w:rsid w:val="00AC7F00"/>
    <w:rsid w:val="00AD0863"/>
    <w:rsid w:val="00AD09ED"/>
    <w:rsid w:val="00AD0FA7"/>
    <w:rsid w:val="00AD193A"/>
    <w:rsid w:val="00AD1D25"/>
    <w:rsid w:val="00AD2790"/>
    <w:rsid w:val="00AD320E"/>
    <w:rsid w:val="00AD3278"/>
    <w:rsid w:val="00AD3DAC"/>
    <w:rsid w:val="00AD46D3"/>
    <w:rsid w:val="00AD4998"/>
    <w:rsid w:val="00AD5591"/>
    <w:rsid w:val="00AD70F3"/>
    <w:rsid w:val="00AD7EC3"/>
    <w:rsid w:val="00AE0004"/>
    <w:rsid w:val="00AE0078"/>
    <w:rsid w:val="00AE02B9"/>
    <w:rsid w:val="00AE0A15"/>
    <w:rsid w:val="00AE0C61"/>
    <w:rsid w:val="00AE164C"/>
    <w:rsid w:val="00AE28A3"/>
    <w:rsid w:val="00AE34DA"/>
    <w:rsid w:val="00AE40D7"/>
    <w:rsid w:val="00AE4671"/>
    <w:rsid w:val="00AE4C0F"/>
    <w:rsid w:val="00AF17C9"/>
    <w:rsid w:val="00AF1C74"/>
    <w:rsid w:val="00AF288E"/>
    <w:rsid w:val="00AF2943"/>
    <w:rsid w:val="00AF49A6"/>
    <w:rsid w:val="00AF6309"/>
    <w:rsid w:val="00AF636D"/>
    <w:rsid w:val="00AF6527"/>
    <w:rsid w:val="00AF6AD8"/>
    <w:rsid w:val="00B012F3"/>
    <w:rsid w:val="00B04A36"/>
    <w:rsid w:val="00B06289"/>
    <w:rsid w:val="00B06499"/>
    <w:rsid w:val="00B06699"/>
    <w:rsid w:val="00B06D72"/>
    <w:rsid w:val="00B07011"/>
    <w:rsid w:val="00B070C7"/>
    <w:rsid w:val="00B07200"/>
    <w:rsid w:val="00B077BE"/>
    <w:rsid w:val="00B112A9"/>
    <w:rsid w:val="00B154F7"/>
    <w:rsid w:val="00B15E7E"/>
    <w:rsid w:val="00B172D6"/>
    <w:rsid w:val="00B203F1"/>
    <w:rsid w:val="00B2047C"/>
    <w:rsid w:val="00B21205"/>
    <w:rsid w:val="00B216C7"/>
    <w:rsid w:val="00B21C3A"/>
    <w:rsid w:val="00B23ACA"/>
    <w:rsid w:val="00B2445F"/>
    <w:rsid w:val="00B25525"/>
    <w:rsid w:val="00B26A39"/>
    <w:rsid w:val="00B30B3E"/>
    <w:rsid w:val="00B315FD"/>
    <w:rsid w:val="00B32804"/>
    <w:rsid w:val="00B32837"/>
    <w:rsid w:val="00B3450A"/>
    <w:rsid w:val="00B34634"/>
    <w:rsid w:val="00B34FA2"/>
    <w:rsid w:val="00B3579D"/>
    <w:rsid w:val="00B35B6A"/>
    <w:rsid w:val="00B360B4"/>
    <w:rsid w:val="00B36570"/>
    <w:rsid w:val="00B36EA5"/>
    <w:rsid w:val="00B36F0A"/>
    <w:rsid w:val="00B3712B"/>
    <w:rsid w:val="00B40689"/>
    <w:rsid w:val="00B40D2C"/>
    <w:rsid w:val="00B40DDA"/>
    <w:rsid w:val="00B41079"/>
    <w:rsid w:val="00B411A7"/>
    <w:rsid w:val="00B41A69"/>
    <w:rsid w:val="00B42D9C"/>
    <w:rsid w:val="00B42EF5"/>
    <w:rsid w:val="00B43636"/>
    <w:rsid w:val="00B43AC4"/>
    <w:rsid w:val="00B4436E"/>
    <w:rsid w:val="00B44A1F"/>
    <w:rsid w:val="00B45414"/>
    <w:rsid w:val="00B47096"/>
    <w:rsid w:val="00B50664"/>
    <w:rsid w:val="00B51078"/>
    <w:rsid w:val="00B512AF"/>
    <w:rsid w:val="00B51560"/>
    <w:rsid w:val="00B519A7"/>
    <w:rsid w:val="00B54B59"/>
    <w:rsid w:val="00B56772"/>
    <w:rsid w:val="00B57574"/>
    <w:rsid w:val="00B57C26"/>
    <w:rsid w:val="00B57E5A"/>
    <w:rsid w:val="00B60A92"/>
    <w:rsid w:val="00B60A9E"/>
    <w:rsid w:val="00B62C98"/>
    <w:rsid w:val="00B62D6A"/>
    <w:rsid w:val="00B6351B"/>
    <w:rsid w:val="00B63EEC"/>
    <w:rsid w:val="00B655E8"/>
    <w:rsid w:val="00B66673"/>
    <w:rsid w:val="00B67183"/>
    <w:rsid w:val="00B7073E"/>
    <w:rsid w:val="00B709C5"/>
    <w:rsid w:val="00B70B01"/>
    <w:rsid w:val="00B7231D"/>
    <w:rsid w:val="00B727FE"/>
    <w:rsid w:val="00B72BEF"/>
    <w:rsid w:val="00B72C57"/>
    <w:rsid w:val="00B74A7D"/>
    <w:rsid w:val="00B75329"/>
    <w:rsid w:val="00B75FDF"/>
    <w:rsid w:val="00B75FE9"/>
    <w:rsid w:val="00B76299"/>
    <w:rsid w:val="00B8008D"/>
    <w:rsid w:val="00B80FD0"/>
    <w:rsid w:val="00B8170F"/>
    <w:rsid w:val="00B818D5"/>
    <w:rsid w:val="00B81A5F"/>
    <w:rsid w:val="00B836D2"/>
    <w:rsid w:val="00B83A7A"/>
    <w:rsid w:val="00B83B3A"/>
    <w:rsid w:val="00B847BD"/>
    <w:rsid w:val="00B86163"/>
    <w:rsid w:val="00B862A5"/>
    <w:rsid w:val="00B8778D"/>
    <w:rsid w:val="00B91A58"/>
    <w:rsid w:val="00B93726"/>
    <w:rsid w:val="00B938C5"/>
    <w:rsid w:val="00B93BE5"/>
    <w:rsid w:val="00B9469F"/>
    <w:rsid w:val="00B94AD0"/>
    <w:rsid w:val="00B9576D"/>
    <w:rsid w:val="00B958B4"/>
    <w:rsid w:val="00B96096"/>
    <w:rsid w:val="00B9727A"/>
    <w:rsid w:val="00BA01A4"/>
    <w:rsid w:val="00BA0E98"/>
    <w:rsid w:val="00BA1A97"/>
    <w:rsid w:val="00BA2B95"/>
    <w:rsid w:val="00BA2FF8"/>
    <w:rsid w:val="00BA3062"/>
    <w:rsid w:val="00BA3BFA"/>
    <w:rsid w:val="00BA3F96"/>
    <w:rsid w:val="00BA4F9E"/>
    <w:rsid w:val="00BA5877"/>
    <w:rsid w:val="00BA58C4"/>
    <w:rsid w:val="00BA5B86"/>
    <w:rsid w:val="00BA5F92"/>
    <w:rsid w:val="00BA759C"/>
    <w:rsid w:val="00BA778E"/>
    <w:rsid w:val="00BA7F77"/>
    <w:rsid w:val="00BB0C9D"/>
    <w:rsid w:val="00BB1200"/>
    <w:rsid w:val="00BB1C30"/>
    <w:rsid w:val="00BB258B"/>
    <w:rsid w:val="00BB29EC"/>
    <w:rsid w:val="00BB3B62"/>
    <w:rsid w:val="00BB52FB"/>
    <w:rsid w:val="00BB5A48"/>
    <w:rsid w:val="00BB6B36"/>
    <w:rsid w:val="00BB6C83"/>
    <w:rsid w:val="00BB6E54"/>
    <w:rsid w:val="00BB7355"/>
    <w:rsid w:val="00BC128D"/>
    <w:rsid w:val="00BC1B2E"/>
    <w:rsid w:val="00BC5A0C"/>
    <w:rsid w:val="00BC5A75"/>
    <w:rsid w:val="00BC648A"/>
    <w:rsid w:val="00BC7EA2"/>
    <w:rsid w:val="00BD0464"/>
    <w:rsid w:val="00BD2670"/>
    <w:rsid w:val="00BD270E"/>
    <w:rsid w:val="00BD2C91"/>
    <w:rsid w:val="00BD56E1"/>
    <w:rsid w:val="00BD76B2"/>
    <w:rsid w:val="00BE022F"/>
    <w:rsid w:val="00BE0E97"/>
    <w:rsid w:val="00BE180F"/>
    <w:rsid w:val="00BE26B5"/>
    <w:rsid w:val="00BE28D6"/>
    <w:rsid w:val="00BE2D53"/>
    <w:rsid w:val="00BE32E1"/>
    <w:rsid w:val="00BE4D86"/>
    <w:rsid w:val="00BE4D8C"/>
    <w:rsid w:val="00BE53FB"/>
    <w:rsid w:val="00BE5AE2"/>
    <w:rsid w:val="00BE5B3F"/>
    <w:rsid w:val="00BE6E36"/>
    <w:rsid w:val="00BF08B7"/>
    <w:rsid w:val="00BF0FB8"/>
    <w:rsid w:val="00BF16FD"/>
    <w:rsid w:val="00BF1D07"/>
    <w:rsid w:val="00BF230F"/>
    <w:rsid w:val="00BF2B4B"/>
    <w:rsid w:val="00BF428C"/>
    <w:rsid w:val="00BF4314"/>
    <w:rsid w:val="00BF4495"/>
    <w:rsid w:val="00BF533E"/>
    <w:rsid w:val="00BF672F"/>
    <w:rsid w:val="00BF6C47"/>
    <w:rsid w:val="00BF710C"/>
    <w:rsid w:val="00BF7405"/>
    <w:rsid w:val="00BF7EB6"/>
    <w:rsid w:val="00C00B22"/>
    <w:rsid w:val="00C0188F"/>
    <w:rsid w:val="00C0202D"/>
    <w:rsid w:val="00C021A4"/>
    <w:rsid w:val="00C02438"/>
    <w:rsid w:val="00C02448"/>
    <w:rsid w:val="00C0296E"/>
    <w:rsid w:val="00C04322"/>
    <w:rsid w:val="00C04CEB"/>
    <w:rsid w:val="00C04F29"/>
    <w:rsid w:val="00C05696"/>
    <w:rsid w:val="00C05883"/>
    <w:rsid w:val="00C05CF8"/>
    <w:rsid w:val="00C07E42"/>
    <w:rsid w:val="00C10AE7"/>
    <w:rsid w:val="00C10F29"/>
    <w:rsid w:val="00C11DDE"/>
    <w:rsid w:val="00C12EE9"/>
    <w:rsid w:val="00C1345D"/>
    <w:rsid w:val="00C13653"/>
    <w:rsid w:val="00C13CA0"/>
    <w:rsid w:val="00C14FB7"/>
    <w:rsid w:val="00C15F6B"/>
    <w:rsid w:val="00C178E1"/>
    <w:rsid w:val="00C17DE6"/>
    <w:rsid w:val="00C17F1E"/>
    <w:rsid w:val="00C20F38"/>
    <w:rsid w:val="00C21D17"/>
    <w:rsid w:val="00C22080"/>
    <w:rsid w:val="00C22C90"/>
    <w:rsid w:val="00C23470"/>
    <w:rsid w:val="00C24B4F"/>
    <w:rsid w:val="00C250EE"/>
    <w:rsid w:val="00C250F0"/>
    <w:rsid w:val="00C26223"/>
    <w:rsid w:val="00C26AA5"/>
    <w:rsid w:val="00C26EE1"/>
    <w:rsid w:val="00C27039"/>
    <w:rsid w:val="00C27FD7"/>
    <w:rsid w:val="00C30935"/>
    <w:rsid w:val="00C30CEE"/>
    <w:rsid w:val="00C313F0"/>
    <w:rsid w:val="00C320BC"/>
    <w:rsid w:val="00C3283D"/>
    <w:rsid w:val="00C32AB3"/>
    <w:rsid w:val="00C32DF9"/>
    <w:rsid w:val="00C335A3"/>
    <w:rsid w:val="00C33857"/>
    <w:rsid w:val="00C343C2"/>
    <w:rsid w:val="00C35807"/>
    <w:rsid w:val="00C36166"/>
    <w:rsid w:val="00C36646"/>
    <w:rsid w:val="00C366A7"/>
    <w:rsid w:val="00C36732"/>
    <w:rsid w:val="00C36898"/>
    <w:rsid w:val="00C3696F"/>
    <w:rsid w:val="00C3717C"/>
    <w:rsid w:val="00C37E85"/>
    <w:rsid w:val="00C40FD4"/>
    <w:rsid w:val="00C41B85"/>
    <w:rsid w:val="00C4374D"/>
    <w:rsid w:val="00C439B4"/>
    <w:rsid w:val="00C43B21"/>
    <w:rsid w:val="00C45FC8"/>
    <w:rsid w:val="00C4609E"/>
    <w:rsid w:val="00C461F8"/>
    <w:rsid w:val="00C46FD2"/>
    <w:rsid w:val="00C474F0"/>
    <w:rsid w:val="00C47714"/>
    <w:rsid w:val="00C479F7"/>
    <w:rsid w:val="00C50328"/>
    <w:rsid w:val="00C50881"/>
    <w:rsid w:val="00C5142C"/>
    <w:rsid w:val="00C5209C"/>
    <w:rsid w:val="00C52119"/>
    <w:rsid w:val="00C52193"/>
    <w:rsid w:val="00C54D3C"/>
    <w:rsid w:val="00C55C89"/>
    <w:rsid w:val="00C55D7E"/>
    <w:rsid w:val="00C5759A"/>
    <w:rsid w:val="00C6232C"/>
    <w:rsid w:val="00C63890"/>
    <w:rsid w:val="00C63A24"/>
    <w:rsid w:val="00C63F06"/>
    <w:rsid w:val="00C64B37"/>
    <w:rsid w:val="00C64B5E"/>
    <w:rsid w:val="00C65A8C"/>
    <w:rsid w:val="00C65EAC"/>
    <w:rsid w:val="00C66B89"/>
    <w:rsid w:val="00C67C92"/>
    <w:rsid w:val="00C71067"/>
    <w:rsid w:val="00C71B7E"/>
    <w:rsid w:val="00C72EC1"/>
    <w:rsid w:val="00C730DB"/>
    <w:rsid w:val="00C73DCE"/>
    <w:rsid w:val="00C747DE"/>
    <w:rsid w:val="00C74B1F"/>
    <w:rsid w:val="00C75FCA"/>
    <w:rsid w:val="00C76A6E"/>
    <w:rsid w:val="00C76BA9"/>
    <w:rsid w:val="00C809C2"/>
    <w:rsid w:val="00C8100F"/>
    <w:rsid w:val="00C81F29"/>
    <w:rsid w:val="00C82149"/>
    <w:rsid w:val="00C83136"/>
    <w:rsid w:val="00C831F0"/>
    <w:rsid w:val="00C85411"/>
    <w:rsid w:val="00C8595E"/>
    <w:rsid w:val="00C87783"/>
    <w:rsid w:val="00C878D5"/>
    <w:rsid w:val="00C87AAA"/>
    <w:rsid w:val="00C90835"/>
    <w:rsid w:val="00C91E56"/>
    <w:rsid w:val="00C93202"/>
    <w:rsid w:val="00C940B2"/>
    <w:rsid w:val="00C942B2"/>
    <w:rsid w:val="00C94C81"/>
    <w:rsid w:val="00C94D22"/>
    <w:rsid w:val="00C9534E"/>
    <w:rsid w:val="00C95CB7"/>
    <w:rsid w:val="00C96242"/>
    <w:rsid w:val="00C963D2"/>
    <w:rsid w:val="00C967D8"/>
    <w:rsid w:val="00C96E29"/>
    <w:rsid w:val="00CA02CE"/>
    <w:rsid w:val="00CA0ED9"/>
    <w:rsid w:val="00CA28FE"/>
    <w:rsid w:val="00CA4CB7"/>
    <w:rsid w:val="00CA5717"/>
    <w:rsid w:val="00CA60B5"/>
    <w:rsid w:val="00CA6516"/>
    <w:rsid w:val="00CA66C3"/>
    <w:rsid w:val="00CA6E14"/>
    <w:rsid w:val="00CA7103"/>
    <w:rsid w:val="00CA7471"/>
    <w:rsid w:val="00CA7B74"/>
    <w:rsid w:val="00CB114A"/>
    <w:rsid w:val="00CB1A5F"/>
    <w:rsid w:val="00CB247D"/>
    <w:rsid w:val="00CB427F"/>
    <w:rsid w:val="00CB428C"/>
    <w:rsid w:val="00CB4F63"/>
    <w:rsid w:val="00CB58DA"/>
    <w:rsid w:val="00CB5C15"/>
    <w:rsid w:val="00CB7DDD"/>
    <w:rsid w:val="00CC0F0A"/>
    <w:rsid w:val="00CC1736"/>
    <w:rsid w:val="00CC2A0F"/>
    <w:rsid w:val="00CC2A9B"/>
    <w:rsid w:val="00CC39C2"/>
    <w:rsid w:val="00CC5E65"/>
    <w:rsid w:val="00CC7356"/>
    <w:rsid w:val="00CD10B6"/>
    <w:rsid w:val="00CD2895"/>
    <w:rsid w:val="00CD2CB9"/>
    <w:rsid w:val="00CD36E4"/>
    <w:rsid w:val="00CD3717"/>
    <w:rsid w:val="00CD4770"/>
    <w:rsid w:val="00CD54BA"/>
    <w:rsid w:val="00CD55A9"/>
    <w:rsid w:val="00CD5974"/>
    <w:rsid w:val="00CD5B82"/>
    <w:rsid w:val="00CD6831"/>
    <w:rsid w:val="00CD76AB"/>
    <w:rsid w:val="00CD79BF"/>
    <w:rsid w:val="00CE24F1"/>
    <w:rsid w:val="00CE310F"/>
    <w:rsid w:val="00CE344C"/>
    <w:rsid w:val="00CE34C1"/>
    <w:rsid w:val="00CE3611"/>
    <w:rsid w:val="00CF045A"/>
    <w:rsid w:val="00CF1F27"/>
    <w:rsid w:val="00CF39F9"/>
    <w:rsid w:val="00CF3BB0"/>
    <w:rsid w:val="00CF3DCC"/>
    <w:rsid w:val="00CF3DF9"/>
    <w:rsid w:val="00CF3E10"/>
    <w:rsid w:val="00CF40FB"/>
    <w:rsid w:val="00CF59BA"/>
    <w:rsid w:val="00CF6A23"/>
    <w:rsid w:val="00CF75E0"/>
    <w:rsid w:val="00D0087D"/>
    <w:rsid w:val="00D009EF"/>
    <w:rsid w:val="00D02CA8"/>
    <w:rsid w:val="00D0385A"/>
    <w:rsid w:val="00D04056"/>
    <w:rsid w:val="00D041CD"/>
    <w:rsid w:val="00D05578"/>
    <w:rsid w:val="00D101F7"/>
    <w:rsid w:val="00D10497"/>
    <w:rsid w:val="00D10A71"/>
    <w:rsid w:val="00D11C0D"/>
    <w:rsid w:val="00D11CAD"/>
    <w:rsid w:val="00D125C7"/>
    <w:rsid w:val="00D1299F"/>
    <w:rsid w:val="00D135AF"/>
    <w:rsid w:val="00D160E9"/>
    <w:rsid w:val="00D164E6"/>
    <w:rsid w:val="00D16B6B"/>
    <w:rsid w:val="00D16EA0"/>
    <w:rsid w:val="00D17408"/>
    <w:rsid w:val="00D22DDE"/>
    <w:rsid w:val="00D23711"/>
    <w:rsid w:val="00D23F2A"/>
    <w:rsid w:val="00D24895"/>
    <w:rsid w:val="00D24C05"/>
    <w:rsid w:val="00D24FD4"/>
    <w:rsid w:val="00D25A1E"/>
    <w:rsid w:val="00D25F70"/>
    <w:rsid w:val="00D2615A"/>
    <w:rsid w:val="00D26190"/>
    <w:rsid w:val="00D26CFC"/>
    <w:rsid w:val="00D272A4"/>
    <w:rsid w:val="00D27B10"/>
    <w:rsid w:val="00D30292"/>
    <w:rsid w:val="00D30340"/>
    <w:rsid w:val="00D30354"/>
    <w:rsid w:val="00D31E5B"/>
    <w:rsid w:val="00D322B6"/>
    <w:rsid w:val="00D324A4"/>
    <w:rsid w:val="00D349EB"/>
    <w:rsid w:val="00D35869"/>
    <w:rsid w:val="00D36E69"/>
    <w:rsid w:val="00D40848"/>
    <w:rsid w:val="00D40C15"/>
    <w:rsid w:val="00D426B4"/>
    <w:rsid w:val="00D426D3"/>
    <w:rsid w:val="00D437BC"/>
    <w:rsid w:val="00D4517F"/>
    <w:rsid w:val="00D459BA"/>
    <w:rsid w:val="00D46509"/>
    <w:rsid w:val="00D46AAD"/>
    <w:rsid w:val="00D46C67"/>
    <w:rsid w:val="00D47D85"/>
    <w:rsid w:val="00D50ADD"/>
    <w:rsid w:val="00D50C6E"/>
    <w:rsid w:val="00D50DBD"/>
    <w:rsid w:val="00D52090"/>
    <w:rsid w:val="00D52566"/>
    <w:rsid w:val="00D52DED"/>
    <w:rsid w:val="00D5501C"/>
    <w:rsid w:val="00D55224"/>
    <w:rsid w:val="00D55C4C"/>
    <w:rsid w:val="00D56350"/>
    <w:rsid w:val="00D572A2"/>
    <w:rsid w:val="00D57897"/>
    <w:rsid w:val="00D57AF0"/>
    <w:rsid w:val="00D57BCA"/>
    <w:rsid w:val="00D60066"/>
    <w:rsid w:val="00D605F3"/>
    <w:rsid w:val="00D61703"/>
    <w:rsid w:val="00D628C8"/>
    <w:rsid w:val="00D656F0"/>
    <w:rsid w:val="00D65D02"/>
    <w:rsid w:val="00D6642D"/>
    <w:rsid w:val="00D676BB"/>
    <w:rsid w:val="00D67D31"/>
    <w:rsid w:val="00D70023"/>
    <w:rsid w:val="00D70351"/>
    <w:rsid w:val="00D70DE3"/>
    <w:rsid w:val="00D7268B"/>
    <w:rsid w:val="00D7268D"/>
    <w:rsid w:val="00D72C01"/>
    <w:rsid w:val="00D74071"/>
    <w:rsid w:val="00D750C4"/>
    <w:rsid w:val="00D752AC"/>
    <w:rsid w:val="00D7762E"/>
    <w:rsid w:val="00D810F1"/>
    <w:rsid w:val="00D811AB"/>
    <w:rsid w:val="00D818E1"/>
    <w:rsid w:val="00D81913"/>
    <w:rsid w:val="00D81A20"/>
    <w:rsid w:val="00D832D8"/>
    <w:rsid w:val="00D83CFA"/>
    <w:rsid w:val="00D841F7"/>
    <w:rsid w:val="00D843BE"/>
    <w:rsid w:val="00D84417"/>
    <w:rsid w:val="00D844EB"/>
    <w:rsid w:val="00D85068"/>
    <w:rsid w:val="00D8537D"/>
    <w:rsid w:val="00D8559B"/>
    <w:rsid w:val="00D85F11"/>
    <w:rsid w:val="00D9047C"/>
    <w:rsid w:val="00D907F9"/>
    <w:rsid w:val="00D90899"/>
    <w:rsid w:val="00D94261"/>
    <w:rsid w:val="00D94278"/>
    <w:rsid w:val="00D9457C"/>
    <w:rsid w:val="00D948C7"/>
    <w:rsid w:val="00D94E38"/>
    <w:rsid w:val="00D966E6"/>
    <w:rsid w:val="00DA1E70"/>
    <w:rsid w:val="00DA1F61"/>
    <w:rsid w:val="00DA29F6"/>
    <w:rsid w:val="00DA31C8"/>
    <w:rsid w:val="00DA3BF5"/>
    <w:rsid w:val="00DA4CE1"/>
    <w:rsid w:val="00DA5ABB"/>
    <w:rsid w:val="00DA5DEC"/>
    <w:rsid w:val="00DA6DE8"/>
    <w:rsid w:val="00DB1083"/>
    <w:rsid w:val="00DB1BB4"/>
    <w:rsid w:val="00DB4249"/>
    <w:rsid w:val="00DB43CA"/>
    <w:rsid w:val="00DB54EB"/>
    <w:rsid w:val="00DB5A33"/>
    <w:rsid w:val="00DB5BB8"/>
    <w:rsid w:val="00DB6951"/>
    <w:rsid w:val="00DB6FDD"/>
    <w:rsid w:val="00DB7EED"/>
    <w:rsid w:val="00DB7F8D"/>
    <w:rsid w:val="00DC1CE6"/>
    <w:rsid w:val="00DC1EF2"/>
    <w:rsid w:val="00DC1FF9"/>
    <w:rsid w:val="00DC2E82"/>
    <w:rsid w:val="00DC2EA5"/>
    <w:rsid w:val="00DC6D08"/>
    <w:rsid w:val="00DC7301"/>
    <w:rsid w:val="00DC7EDA"/>
    <w:rsid w:val="00DD0B5B"/>
    <w:rsid w:val="00DD0C46"/>
    <w:rsid w:val="00DD2065"/>
    <w:rsid w:val="00DD2BD1"/>
    <w:rsid w:val="00DD2CE1"/>
    <w:rsid w:val="00DD4271"/>
    <w:rsid w:val="00DD47FD"/>
    <w:rsid w:val="00DD4A2D"/>
    <w:rsid w:val="00DD4CF7"/>
    <w:rsid w:val="00DD600A"/>
    <w:rsid w:val="00DD70C1"/>
    <w:rsid w:val="00DE06B9"/>
    <w:rsid w:val="00DE0D47"/>
    <w:rsid w:val="00DE13F2"/>
    <w:rsid w:val="00DE2BED"/>
    <w:rsid w:val="00DE509F"/>
    <w:rsid w:val="00DE533A"/>
    <w:rsid w:val="00DE5820"/>
    <w:rsid w:val="00DE652B"/>
    <w:rsid w:val="00DE6A8D"/>
    <w:rsid w:val="00DE7545"/>
    <w:rsid w:val="00DF0A51"/>
    <w:rsid w:val="00DF1299"/>
    <w:rsid w:val="00DF30A7"/>
    <w:rsid w:val="00DF31A3"/>
    <w:rsid w:val="00DF3FB6"/>
    <w:rsid w:val="00DF5B40"/>
    <w:rsid w:val="00DF5BED"/>
    <w:rsid w:val="00DF6BC2"/>
    <w:rsid w:val="00DF7576"/>
    <w:rsid w:val="00E007FC"/>
    <w:rsid w:val="00E00CCF"/>
    <w:rsid w:val="00E01E45"/>
    <w:rsid w:val="00E0237D"/>
    <w:rsid w:val="00E02E53"/>
    <w:rsid w:val="00E03DC8"/>
    <w:rsid w:val="00E0450A"/>
    <w:rsid w:val="00E058E0"/>
    <w:rsid w:val="00E05EC0"/>
    <w:rsid w:val="00E06446"/>
    <w:rsid w:val="00E070D5"/>
    <w:rsid w:val="00E1078B"/>
    <w:rsid w:val="00E10B4A"/>
    <w:rsid w:val="00E11F5B"/>
    <w:rsid w:val="00E123B9"/>
    <w:rsid w:val="00E134F6"/>
    <w:rsid w:val="00E14573"/>
    <w:rsid w:val="00E154BA"/>
    <w:rsid w:val="00E15C22"/>
    <w:rsid w:val="00E163E0"/>
    <w:rsid w:val="00E17A3D"/>
    <w:rsid w:val="00E17D68"/>
    <w:rsid w:val="00E20E11"/>
    <w:rsid w:val="00E21B89"/>
    <w:rsid w:val="00E228D5"/>
    <w:rsid w:val="00E22927"/>
    <w:rsid w:val="00E22D95"/>
    <w:rsid w:val="00E23474"/>
    <w:rsid w:val="00E23DA5"/>
    <w:rsid w:val="00E24F74"/>
    <w:rsid w:val="00E30745"/>
    <w:rsid w:val="00E30855"/>
    <w:rsid w:val="00E30A8B"/>
    <w:rsid w:val="00E30C44"/>
    <w:rsid w:val="00E31CD3"/>
    <w:rsid w:val="00E32538"/>
    <w:rsid w:val="00E326E2"/>
    <w:rsid w:val="00E33D7B"/>
    <w:rsid w:val="00E34064"/>
    <w:rsid w:val="00E3415E"/>
    <w:rsid w:val="00E35D64"/>
    <w:rsid w:val="00E3600F"/>
    <w:rsid w:val="00E3610B"/>
    <w:rsid w:val="00E36A04"/>
    <w:rsid w:val="00E3702C"/>
    <w:rsid w:val="00E3704D"/>
    <w:rsid w:val="00E404ED"/>
    <w:rsid w:val="00E412F9"/>
    <w:rsid w:val="00E42816"/>
    <w:rsid w:val="00E431B9"/>
    <w:rsid w:val="00E438FF"/>
    <w:rsid w:val="00E43B75"/>
    <w:rsid w:val="00E4401A"/>
    <w:rsid w:val="00E44ADC"/>
    <w:rsid w:val="00E462E2"/>
    <w:rsid w:val="00E47848"/>
    <w:rsid w:val="00E50285"/>
    <w:rsid w:val="00E50F10"/>
    <w:rsid w:val="00E52B8B"/>
    <w:rsid w:val="00E52E18"/>
    <w:rsid w:val="00E54D29"/>
    <w:rsid w:val="00E56A8A"/>
    <w:rsid w:val="00E57015"/>
    <w:rsid w:val="00E6127F"/>
    <w:rsid w:val="00E629E5"/>
    <w:rsid w:val="00E6301B"/>
    <w:rsid w:val="00E64087"/>
    <w:rsid w:val="00E64CCE"/>
    <w:rsid w:val="00E678C7"/>
    <w:rsid w:val="00E70F72"/>
    <w:rsid w:val="00E71832"/>
    <w:rsid w:val="00E72213"/>
    <w:rsid w:val="00E72863"/>
    <w:rsid w:val="00E73446"/>
    <w:rsid w:val="00E73A17"/>
    <w:rsid w:val="00E73A6C"/>
    <w:rsid w:val="00E76001"/>
    <w:rsid w:val="00E775B2"/>
    <w:rsid w:val="00E77F73"/>
    <w:rsid w:val="00E808CE"/>
    <w:rsid w:val="00E811C3"/>
    <w:rsid w:val="00E813A4"/>
    <w:rsid w:val="00E82096"/>
    <w:rsid w:val="00E82DE7"/>
    <w:rsid w:val="00E83B36"/>
    <w:rsid w:val="00E83B63"/>
    <w:rsid w:val="00E844D5"/>
    <w:rsid w:val="00E84751"/>
    <w:rsid w:val="00E8606E"/>
    <w:rsid w:val="00E86E64"/>
    <w:rsid w:val="00E8797A"/>
    <w:rsid w:val="00E87A22"/>
    <w:rsid w:val="00E87A28"/>
    <w:rsid w:val="00E87E69"/>
    <w:rsid w:val="00E90CDC"/>
    <w:rsid w:val="00E91311"/>
    <w:rsid w:val="00E91A33"/>
    <w:rsid w:val="00E93655"/>
    <w:rsid w:val="00E94F55"/>
    <w:rsid w:val="00E95937"/>
    <w:rsid w:val="00E95AA4"/>
    <w:rsid w:val="00E96607"/>
    <w:rsid w:val="00E96783"/>
    <w:rsid w:val="00E96854"/>
    <w:rsid w:val="00E96B0A"/>
    <w:rsid w:val="00E96C82"/>
    <w:rsid w:val="00E979B1"/>
    <w:rsid w:val="00E97E75"/>
    <w:rsid w:val="00E97FC6"/>
    <w:rsid w:val="00EA07C1"/>
    <w:rsid w:val="00EA0A92"/>
    <w:rsid w:val="00EA0B74"/>
    <w:rsid w:val="00EA0CAB"/>
    <w:rsid w:val="00EA10BE"/>
    <w:rsid w:val="00EA14E6"/>
    <w:rsid w:val="00EA1618"/>
    <w:rsid w:val="00EA17D0"/>
    <w:rsid w:val="00EA17D8"/>
    <w:rsid w:val="00EA248E"/>
    <w:rsid w:val="00EA2844"/>
    <w:rsid w:val="00EA384E"/>
    <w:rsid w:val="00EA4444"/>
    <w:rsid w:val="00EA4835"/>
    <w:rsid w:val="00EA5096"/>
    <w:rsid w:val="00EA5439"/>
    <w:rsid w:val="00EA6A11"/>
    <w:rsid w:val="00EA6AEB"/>
    <w:rsid w:val="00EA6EE7"/>
    <w:rsid w:val="00EA79BE"/>
    <w:rsid w:val="00EA7FCB"/>
    <w:rsid w:val="00EB00C0"/>
    <w:rsid w:val="00EB0A8B"/>
    <w:rsid w:val="00EB0F37"/>
    <w:rsid w:val="00EB155E"/>
    <w:rsid w:val="00EB1736"/>
    <w:rsid w:val="00EB1C72"/>
    <w:rsid w:val="00EB2100"/>
    <w:rsid w:val="00EB211E"/>
    <w:rsid w:val="00EB40CB"/>
    <w:rsid w:val="00EB4ACB"/>
    <w:rsid w:val="00EB4FE7"/>
    <w:rsid w:val="00EB595A"/>
    <w:rsid w:val="00EB5DAC"/>
    <w:rsid w:val="00EB7B1F"/>
    <w:rsid w:val="00EC112A"/>
    <w:rsid w:val="00EC2D7F"/>
    <w:rsid w:val="00EC2DE6"/>
    <w:rsid w:val="00EC3131"/>
    <w:rsid w:val="00EC3985"/>
    <w:rsid w:val="00EC46D0"/>
    <w:rsid w:val="00EC61AD"/>
    <w:rsid w:val="00EC6D01"/>
    <w:rsid w:val="00ED1B8C"/>
    <w:rsid w:val="00ED1C44"/>
    <w:rsid w:val="00ED33D2"/>
    <w:rsid w:val="00ED47D8"/>
    <w:rsid w:val="00ED504D"/>
    <w:rsid w:val="00ED56F1"/>
    <w:rsid w:val="00ED7B8E"/>
    <w:rsid w:val="00ED7EE6"/>
    <w:rsid w:val="00ED7F4E"/>
    <w:rsid w:val="00EE02D3"/>
    <w:rsid w:val="00EE056C"/>
    <w:rsid w:val="00EE09B6"/>
    <w:rsid w:val="00EE0F85"/>
    <w:rsid w:val="00EE135F"/>
    <w:rsid w:val="00EE1583"/>
    <w:rsid w:val="00EE291E"/>
    <w:rsid w:val="00EE2AE6"/>
    <w:rsid w:val="00EE307B"/>
    <w:rsid w:val="00EE421D"/>
    <w:rsid w:val="00EE5A6A"/>
    <w:rsid w:val="00EE7421"/>
    <w:rsid w:val="00EF0332"/>
    <w:rsid w:val="00EF061A"/>
    <w:rsid w:val="00EF2252"/>
    <w:rsid w:val="00EF265C"/>
    <w:rsid w:val="00EF2B46"/>
    <w:rsid w:val="00EF2DED"/>
    <w:rsid w:val="00EF32A3"/>
    <w:rsid w:val="00EF33E7"/>
    <w:rsid w:val="00EF33EB"/>
    <w:rsid w:val="00EF3BFE"/>
    <w:rsid w:val="00EF3F03"/>
    <w:rsid w:val="00EF42BA"/>
    <w:rsid w:val="00EF60DC"/>
    <w:rsid w:val="00EF65FB"/>
    <w:rsid w:val="00F010F8"/>
    <w:rsid w:val="00F019AF"/>
    <w:rsid w:val="00F02208"/>
    <w:rsid w:val="00F026DB"/>
    <w:rsid w:val="00F03794"/>
    <w:rsid w:val="00F039D5"/>
    <w:rsid w:val="00F0556B"/>
    <w:rsid w:val="00F05D12"/>
    <w:rsid w:val="00F05D26"/>
    <w:rsid w:val="00F05E0E"/>
    <w:rsid w:val="00F062E6"/>
    <w:rsid w:val="00F070C5"/>
    <w:rsid w:val="00F07A33"/>
    <w:rsid w:val="00F10AF9"/>
    <w:rsid w:val="00F10C58"/>
    <w:rsid w:val="00F115A8"/>
    <w:rsid w:val="00F11B49"/>
    <w:rsid w:val="00F13269"/>
    <w:rsid w:val="00F1391B"/>
    <w:rsid w:val="00F1417A"/>
    <w:rsid w:val="00F16910"/>
    <w:rsid w:val="00F177D3"/>
    <w:rsid w:val="00F2037B"/>
    <w:rsid w:val="00F20988"/>
    <w:rsid w:val="00F20C4F"/>
    <w:rsid w:val="00F213DC"/>
    <w:rsid w:val="00F22356"/>
    <w:rsid w:val="00F248EF"/>
    <w:rsid w:val="00F252A1"/>
    <w:rsid w:val="00F25475"/>
    <w:rsid w:val="00F254F4"/>
    <w:rsid w:val="00F25B6C"/>
    <w:rsid w:val="00F26645"/>
    <w:rsid w:val="00F26CF9"/>
    <w:rsid w:val="00F2709A"/>
    <w:rsid w:val="00F27186"/>
    <w:rsid w:val="00F279A3"/>
    <w:rsid w:val="00F30063"/>
    <w:rsid w:val="00F302AB"/>
    <w:rsid w:val="00F302EB"/>
    <w:rsid w:val="00F3043D"/>
    <w:rsid w:val="00F30F92"/>
    <w:rsid w:val="00F31517"/>
    <w:rsid w:val="00F315D2"/>
    <w:rsid w:val="00F31A72"/>
    <w:rsid w:val="00F32886"/>
    <w:rsid w:val="00F32ADB"/>
    <w:rsid w:val="00F343F6"/>
    <w:rsid w:val="00F35515"/>
    <w:rsid w:val="00F368CE"/>
    <w:rsid w:val="00F40113"/>
    <w:rsid w:val="00F424DD"/>
    <w:rsid w:val="00F42832"/>
    <w:rsid w:val="00F42F29"/>
    <w:rsid w:val="00F43E13"/>
    <w:rsid w:val="00F44320"/>
    <w:rsid w:val="00F44447"/>
    <w:rsid w:val="00F445E7"/>
    <w:rsid w:val="00F4495D"/>
    <w:rsid w:val="00F44DA8"/>
    <w:rsid w:val="00F46978"/>
    <w:rsid w:val="00F46BD6"/>
    <w:rsid w:val="00F46BF1"/>
    <w:rsid w:val="00F5051C"/>
    <w:rsid w:val="00F5128D"/>
    <w:rsid w:val="00F51779"/>
    <w:rsid w:val="00F5215A"/>
    <w:rsid w:val="00F5239F"/>
    <w:rsid w:val="00F527CD"/>
    <w:rsid w:val="00F53CD8"/>
    <w:rsid w:val="00F54A7B"/>
    <w:rsid w:val="00F54AB3"/>
    <w:rsid w:val="00F5642C"/>
    <w:rsid w:val="00F56862"/>
    <w:rsid w:val="00F56A59"/>
    <w:rsid w:val="00F57143"/>
    <w:rsid w:val="00F576E3"/>
    <w:rsid w:val="00F57BF0"/>
    <w:rsid w:val="00F6018D"/>
    <w:rsid w:val="00F60516"/>
    <w:rsid w:val="00F60A86"/>
    <w:rsid w:val="00F61011"/>
    <w:rsid w:val="00F63055"/>
    <w:rsid w:val="00F65B78"/>
    <w:rsid w:val="00F6641D"/>
    <w:rsid w:val="00F70072"/>
    <w:rsid w:val="00F71002"/>
    <w:rsid w:val="00F73774"/>
    <w:rsid w:val="00F74428"/>
    <w:rsid w:val="00F7482F"/>
    <w:rsid w:val="00F77317"/>
    <w:rsid w:val="00F779D0"/>
    <w:rsid w:val="00F8018E"/>
    <w:rsid w:val="00F80572"/>
    <w:rsid w:val="00F80637"/>
    <w:rsid w:val="00F816AA"/>
    <w:rsid w:val="00F817E6"/>
    <w:rsid w:val="00F81EE6"/>
    <w:rsid w:val="00F832F0"/>
    <w:rsid w:val="00F84B5C"/>
    <w:rsid w:val="00F85A0B"/>
    <w:rsid w:val="00F86AE4"/>
    <w:rsid w:val="00F8776E"/>
    <w:rsid w:val="00F87A03"/>
    <w:rsid w:val="00F90839"/>
    <w:rsid w:val="00F916A5"/>
    <w:rsid w:val="00F91C68"/>
    <w:rsid w:val="00F93DB6"/>
    <w:rsid w:val="00F94D20"/>
    <w:rsid w:val="00F95F60"/>
    <w:rsid w:val="00F95F7A"/>
    <w:rsid w:val="00F9627A"/>
    <w:rsid w:val="00F966A9"/>
    <w:rsid w:val="00F9698E"/>
    <w:rsid w:val="00F96DF9"/>
    <w:rsid w:val="00F972F2"/>
    <w:rsid w:val="00F973C6"/>
    <w:rsid w:val="00F977D8"/>
    <w:rsid w:val="00FA1B7A"/>
    <w:rsid w:val="00FA1D3D"/>
    <w:rsid w:val="00FA3AAF"/>
    <w:rsid w:val="00FA3DD6"/>
    <w:rsid w:val="00FB200A"/>
    <w:rsid w:val="00FB2B23"/>
    <w:rsid w:val="00FB35CF"/>
    <w:rsid w:val="00FB4382"/>
    <w:rsid w:val="00FB45C2"/>
    <w:rsid w:val="00FB49F6"/>
    <w:rsid w:val="00FB4D9D"/>
    <w:rsid w:val="00FB63D5"/>
    <w:rsid w:val="00FB7177"/>
    <w:rsid w:val="00FB72FE"/>
    <w:rsid w:val="00FB7A4F"/>
    <w:rsid w:val="00FB7E3C"/>
    <w:rsid w:val="00FC039B"/>
    <w:rsid w:val="00FC0EBF"/>
    <w:rsid w:val="00FC10C5"/>
    <w:rsid w:val="00FC151A"/>
    <w:rsid w:val="00FC1F88"/>
    <w:rsid w:val="00FC458D"/>
    <w:rsid w:val="00FC4BAA"/>
    <w:rsid w:val="00FC64F5"/>
    <w:rsid w:val="00FD03E4"/>
    <w:rsid w:val="00FD2837"/>
    <w:rsid w:val="00FD3180"/>
    <w:rsid w:val="00FD3C6A"/>
    <w:rsid w:val="00FD4173"/>
    <w:rsid w:val="00FD5585"/>
    <w:rsid w:val="00FD6C7E"/>
    <w:rsid w:val="00FD6F06"/>
    <w:rsid w:val="00FD7B89"/>
    <w:rsid w:val="00FD7C44"/>
    <w:rsid w:val="00FE018D"/>
    <w:rsid w:val="00FE10F1"/>
    <w:rsid w:val="00FE1FEF"/>
    <w:rsid w:val="00FE2C8D"/>
    <w:rsid w:val="00FE3151"/>
    <w:rsid w:val="00FE3940"/>
    <w:rsid w:val="00FE4BB5"/>
    <w:rsid w:val="00FE504B"/>
    <w:rsid w:val="00FE5CC7"/>
    <w:rsid w:val="00FE637C"/>
    <w:rsid w:val="00FE7953"/>
    <w:rsid w:val="00FE7D76"/>
    <w:rsid w:val="00FE7D82"/>
    <w:rsid w:val="00FF0E0D"/>
    <w:rsid w:val="00FF2506"/>
    <w:rsid w:val="00FF2A17"/>
    <w:rsid w:val="00FF3127"/>
    <w:rsid w:val="00FF3808"/>
    <w:rsid w:val="00FF4230"/>
    <w:rsid w:val="00FF4CAB"/>
    <w:rsid w:val="00FF4E1E"/>
    <w:rsid w:val="00FF528F"/>
    <w:rsid w:val="00FF5F25"/>
    <w:rsid w:val="00FF64B3"/>
    <w:rsid w:val="00FF67C1"/>
    <w:rsid w:val="00FF7311"/>
    <w:rsid w:val="00FF76A0"/>
    <w:rsid w:val="00FF774E"/>
    <w:rsid w:val="00FF7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4327A7-4E65-4E6A-A5DF-B7626BB2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D4EEC"/>
    <w:pPr>
      <w:widowControl w:val="0"/>
      <w:jc w:val="both"/>
    </w:pPr>
    <w:rPr>
      <w:kern w:val="2"/>
      <w:sz w:val="21"/>
      <w:szCs w:val="24"/>
    </w:rPr>
  </w:style>
  <w:style w:type="paragraph" w:styleId="1">
    <w:name w:val="heading 1"/>
    <w:aliases w:val="Heading 0,H1,PIM 1,Heading 11,level 1,Level 1 Head,h1,123321,Level 1 Topic Heading"/>
    <w:basedOn w:val="a3"/>
    <w:next w:val="a3"/>
    <w:qFormat/>
    <w:rsid w:val="004D4EEC"/>
    <w:pPr>
      <w:keepNext/>
      <w:spacing w:beforeLines="100" w:afterLines="100"/>
      <w:ind w:firstLineChars="200" w:firstLine="200"/>
      <w:jc w:val="center"/>
      <w:outlineLvl w:val="0"/>
    </w:pPr>
    <w:rPr>
      <w:rFonts w:ascii="黑体" w:eastAsia="黑体"/>
      <w:sz w:val="32"/>
      <w:szCs w:val="32"/>
    </w:rPr>
  </w:style>
  <w:style w:type="paragraph" w:styleId="22">
    <w:name w:val="heading 2"/>
    <w:aliases w:val="H2,Heading 2 Hidden,Heading 2 CCBS,标题 2 Char Char,2nd level,h2,2,Header 2,PIM2,l2,Level 2 Head,proj2,proj21,proj22,proj23,proj24,proj25,proj26,proj27,proj28,proj29,proj210,proj211,proj212,proj221,proj231,proj241,proj251,proj261,proj271,proj281"/>
    <w:basedOn w:val="a3"/>
    <w:next w:val="a3"/>
    <w:qFormat/>
    <w:rsid w:val="004D4EEC"/>
    <w:pPr>
      <w:keepNext/>
      <w:keepLines/>
      <w:spacing w:beforeLines="100" w:afterLines="100"/>
      <w:ind w:firstLineChars="200" w:firstLine="200"/>
      <w:outlineLvl w:val="1"/>
    </w:pPr>
    <w:rPr>
      <w:rFonts w:ascii="Arial" w:hAnsi="Arial"/>
      <w:b/>
      <w:sz w:val="28"/>
      <w:szCs w:val="28"/>
    </w:rPr>
  </w:style>
  <w:style w:type="paragraph" w:styleId="31">
    <w:name w:val="heading 3"/>
    <w:basedOn w:val="a3"/>
    <w:next w:val="a3"/>
    <w:qFormat/>
    <w:rsid w:val="004D4EEC"/>
    <w:pPr>
      <w:numPr>
        <w:ilvl w:val="2"/>
        <w:numId w:val="6"/>
      </w:numPr>
      <w:spacing w:before="260" w:after="260" w:line="416" w:lineRule="auto"/>
      <w:outlineLvl w:val="2"/>
    </w:pPr>
    <w:rPr>
      <w:rFonts w:ascii="仿宋_GB2312" w:eastAsia="仿宋_GB2312"/>
      <w:sz w:val="24"/>
      <w:szCs w:val="20"/>
    </w:rPr>
  </w:style>
  <w:style w:type="paragraph" w:styleId="41">
    <w:name w:val="heading 4"/>
    <w:basedOn w:val="a3"/>
    <w:next w:val="a3"/>
    <w:qFormat/>
    <w:rsid w:val="004D4EEC"/>
    <w:pPr>
      <w:keepNext/>
      <w:keepLines/>
      <w:numPr>
        <w:ilvl w:val="3"/>
        <w:numId w:val="4"/>
      </w:numPr>
      <w:spacing w:before="280" w:after="290" w:line="376" w:lineRule="auto"/>
      <w:outlineLvl w:val="3"/>
    </w:pPr>
    <w:rPr>
      <w:rFonts w:ascii="Arial" w:eastAsia="黑体" w:hAnsi="Arial"/>
      <w:b/>
      <w:bCs/>
      <w:sz w:val="28"/>
      <w:szCs w:val="28"/>
    </w:rPr>
  </w:style>
  <w:style w:type="paragraph" w:styleId="51">
    <w:name w:val="heading 5"/>
    <w:basedOn w:val="a3"/>
    <w:next w:val="a3"/>
    <w:qFormat/>
    <w:rsid w:val="004D4EEC"/>
    <w:pPr>
      <w:keepNext/>
      <w:keepLines/>
      <w:numPr>
        <w:ilvl w:val="4"/>
        <w:numId w:val="4"/>
      </w:numPr>
      <w:spacing w:before="280" w:after="290" w:line="376" w:lineRule="auto"/>
      <w:ind w:firstLineChars="200" w:firstLine="200"/>
      <w:outlineLvl w:val="4"/>
    </w:pPr>
    <w:rPr>
      <w:b/>
      <w:bCs/>
      <w:sz w:val="28"/>
      <w:szCs w:val="28"/>
    </w:rPr>
  </w:style>
  <w:style w:type="paragraph" w:styleId="6">
    <w:name w:val="heading 6"/>
    <w:basedOn w:val="a3"/>
    <w:next w:val="a3"/>
    <w:qFormat/>
    <w:rsid w:val="004D4EEC"/>
    <w:pPr>
      <w:keepNext/>
      <w:keepLines/>
      <w:numPr>
        <w:ilvl w:val="5"/>
        <w:numId w:val="4"/>
      </w:numPr>
      <w:spacing w:before="240" w:after="64" w:line="320" w:lineRule="auto"/>
      <w:ind w:firstLineChars="200" w:firstLine="200"/>
      <w:outlineLvl w:val="5"/>
    </w:pPr>
    <w:rPr>
      <w:rFonts w:ascii="Arial" w:eastAsia="黑体" w:hAnsi="Arial"/>
      <w:b/>
      <w:bCs/>
      <w:sz w:val="24"/>
    </w:rPr>
  </w:style>
  <w:style w:type="paragraph" w:styleId="7">
    <w:name w:val="heading 7"/>
    <w:basedOn w:val="a3"/>
    <w:next w:val="a3"/>
    <w:qFormat/>
    <w:rsid w:val="004D4EEC"/>
    <w:pPr>
      <w:keepNext/>
      <w:keepLines/>
      <w:numPr>
        <w:ilvl w:val="6"/>
        <w:numId w:val="4"/>
      </w:numPr>
      <w:spacing w:before="240" w:after="64" w:line="320" w:lineRule="auto"/>
      <w:ind w:firstLineChars="200" w:firstLine="200"/>
      <w:outlineLvl w:val="6"/>
    </w:pPr>
    <w:rPr>
      <w:b/>
      <w:bCs/>
      <w:sz w:val="24"/>
    </w:rPr>
  </w:style>
  <w:style w:type="paragraph" w:styleId="8">
    <w:name w:val="heading 8"/>
    <w:basedOn w:val="a3"/>
    <w:next w:val="a3"/>
    <w:qFormat/>
    <w:rsid w:val="004D4EEC"/>
    <w:pPr>
      <w:keepNext/>
      <w:keepLines/>
      <w:numPr>
        <w:ilvl w:val="7"/>
        <w:numId w:val="4"/>
      </w:numPr>
      <w:spacing w:before="240" w:after="64" w:line="320" w:lineRule="auto"/>
      <w:ind w:firstLineChars="200" w:firstLine="200"/>
      <w:outlineLvl w:val="7"/>
    </w:pPr>
    <w:rPr>
      <w:rFonts w:ascii="Arial" w:eastAsia="黑体" w:hAnsi="Arial"/>
      <w:sz w:val="24"/>
    </w:rPr>
  </w:style>
  <w:style w:type="paragraph" w:styleId="9">
    <w:name w:val="heading 9"/>
    <w:basedOn w:val="a3"/>
    <w:next w:val="a3"/>
    <w:qFormat/>
    <w:rsid w:val="004D4EEC"/>
    <w:pPr>
      <w:keepNext/>
      <w:keepLines/>
      <w:numPr>
        <w:ilvl w:val="8"/>
        <w:numId w:val="4"/>
      </w:numPr>
      <w:spacing w:before="240" w:after="64" w:line="320" w:lineRule="auto"/>
      <w:ind w:firstLineChars="200" w:firstLine="200"/>
      <w:outlineLvl w:val="8"/>
    </w:pPr>
    <w:rPr>
      <w:rFonts w:ascii="Arial" w:eastAsia="黑体" w:hAnsi="Arial"/>
      <w:sz w:val="24"/>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211">
    <w:name w:val="样式 标题 2 + 段前: 1 行 段后: 1 行"/>
    <w:basedOn w:val="22"/>
    <w:rsid w:val="004D4EEC"/>
    <w:pPr>
      <w:numPr>
        <w:numId w:val="2"/>
      </w:numPr>
      <w:tabs>
        <w:tab w:val="clear" w:pos="3243"/>
        <w:tab w:val="num" w:pos="360"/>
      </w:tabs>
      <w:spacing w:before="447" w:after="447"/>
      <w:ind w:left="0" w:firstLine="200"/>
    </w:pPr>
    <w:rPr>
      <w:b w:val="0"/>
      <w:szCs w:val="20"/>
    </w:rPr>
  </w:style>
  <w:style w:type="paragraph" w:customStyle="1" w:styleId="2111111">
    <w:name w:val="样式 样式 样式 标题 2 + 段前: 1 行 段后: 1 行1 + 段前: 1 行 段后: 1 行 + 段前: 1 行 段后..."/>
    <w:basedOn w:val="a3"/>
    <w:rsid w:val="004D4EEC"/>
    <w:pPr>
      <w:keepNext/>
      <w:keepLines/>
      <w:numPr>
        <w:ilvl w:val="1"/>
        <w:numId w:val="4"/>
      </w:numPr>
      <w:tabs>
        <w:tab w:val="num" w:pos="360"/>
      </w:tabs>
      <w:spacing w:beforeLines="100" w:afterLines="100"/>
      <w:outlineLvl w:val="1"/>
    </w:pPr>
    <w:rPr>
      <w:rFonts w:ascii="Arial" w:hAnsi="Arial"/>
      <w:b/>
      <w:bCs/>
      <w:sz w:val="28"/>
      <w:szCs w:val="20"/>
    </w:rPr>
  </w:style>
  <w:style w:type="paragraph" w:styleId="a2">
    <w:name w:val="Body Text"/>
    <w:basedOn w:val="a3"/>
    <w:link w:val="Char"/>
    <w:rsid w:val="004D4EEC"/>
    <w:pPr>
      <w:numPr>
        <w:ilvl w:val="1"/>
        <w:numId w:val="7"/>
      </w:numPr>
      <w:tabs>
        <w:tab w:val="num" w:pos="0"/>
      </w:tabs>
      <w:autoSpaceDE w:val="0"/>
      <w:autoSpaceDN w:val="0"/>
      <w:adjustRightInd w:val="0"/>
      <w:ind w:left="0" w:firstLine="540"/>
      <w:jc w:val="left"/>
    </w:pPr>
    <w:rPr>
      <w:rFonts w:ascii="宋体"/>
      <w:kern w:val="0"/>
      <w:sz w:val="24"/>
    </w:rPr>
  </w:style>
  <w:style w:type="paragraph" w:styleId="a7">
    <w:name w:val="Normal Indent"/>
    <w:aliases w:val="正文缩进1,ALT+Z"/>
    <w:basedOn w:val="a3"/>
    <w:rsid w:val="004D4EEC"/>
    <w:pPr>
      <w:ind w:firstLine="420"/>
    </w:pPr>
    <w:rPr>
      <w:szCs w:val="20"/>
    </w:rPr>
  </w:style>
  <w:style w:type="character" w:styleId="a8">
    <w:name w:val="Hyperlink"/>
    <w:basedOn w:val="a4"/>
    <w:uiPriority w:val="99"/>
    <w:rsid w:val="004D4EEC"/>
    <w:rPr>
      <w:color w:val="0000FF"/>
      <w:u w:val="single"/>
    </w:rPr>
  </w:style>
  <w:style w:type="paragraph" w:styleId="10">
    <w:name w:val="toc 1"/>
    <w:basedOn w:val="a3"/>
    <w:next w:val="a3"/>
    <w:autoRedefine/>
    <w:uiPriority w:val="39"/>
    <w:rsid w:val="00AA440D"/>
    <w:pPr>
      <w:tabs>
        <w:tab w:val="right" w:leader="dot" w:pos="8296"/>
      </w:tabs>
      <w:spacing w:line="360" w:lineRule="exact"/>
      <w:jc w:val="left"/>
    </w:pPr>
    <w:rPr>
      <w:rFonts w:ascii="宋体" w:eastAsia="黑体" w:hAnsi="宋体"/>
      <w:caps/>
      <w:noProof/>
      <w:color w:val="000000"/>
      <w:sz w:val="24"/>
      <w:szCs w:val="28"/>
    </w:rPr>
  </w:style>
  <w:style w:type="paragraph" w:styleId="23">
    <w:name w:val="toc 2"/>
    <w:basedOn w:val="a3"/>
    <w:next w:val="a3"/>
    <w:autoRedefine/>
    <w:uiPriority w:val="39"/>
    <w:rsid w:val="004D4EEC"/>
    <w:pPr>
      <w:ind w:left="320" w:firstLineChars="200" w:firstLine="200"/>
      <w:jc w:val="left"/>
    </w:pPr>
    <w:rPr>
      <w:rFonts w:eastAsia="仿宋_GB2312"/>
      <w:smallCaps/>
      <w:szCs w:val="20"/>
    </w:rPr>
  </w:style>
  <w:style w:type="paragraph" w:customStyle="1" w:styleId="11">
    <w:name w:val="样式 标题 1 + 黑体 非加粗"/>
    <w:basedOn w:val="1"/>
    <w:rsid w:val="004D4EEC"/>
    <w:pPr>
      <w:pageBreakBefore/>
    </w:pPr>
    <w:rPr>
      <w:rFonts w:hAnsi="黑体"/>
      <w:b/>
    </w:rPr>
  </w:style>
  <w:style w:type="paragraph" w:customStyle="1" w:styleId="111">
    <w:name w:val="样式 标题 1 + 段前: 1 行 段后: 1 行"/>
    <w:basedOn w:val="1"/>
    <w:rsid w:val="004D4EEC"/>
    <w:pPr>
      <w:pageBreakBefore/>
    </w:pPr>
    <w:rPr>
      <w:szCs w:val="20"/>
    </w:rPr>
  </w:style>
  <w:style w:type="paragraph" w:customStyle="1" w:styleId="24">
    <w:name w:val="样式 首行缩进:  2 字符"/>
    <w:basedOn w:val="a3"/>
    <w:rsid w:val="004D4EEC"/>
    <w:pPr>
      <w:spacing w:before="100" w:beforeAutospacing="1" w:after="100" w:afterAutospacing="1" w:line="360" w:lineRule="auto"/>
      <w:ind w:firstLineChars="200" w:firstLine="480"/>
    </w:pPr>
    <w:rPr>
      <w:szCs w:val="20"/>
    </w:rPr>
  </w:style>
  <w:style w:type="paragraph" w:styleId="32">
    <w:name w:val="Body Text Indent 3"/>
    <w:basedOn w:val="a3"/>
    <w:link w:val="3Char"/>
    <w:rsid w:val="004D4EEC"/>
    <w:pPr>
      <w:ind w:firstLineChars="200" w:firstLine="480"/>
    </w:pPr>
    <w:rPr>
      <w:rFonts w:ascii="宋体" w:hAnsi="宋体"/>
      <w:color w:val="FF0000"/>
      <w:sz w:val="24"/>
      <w:szCs w:val="20"/>
    </w:rPr>
  </w:style>
  <w:style w:type="paragraph" w:styleId="a9">
    <w:name w:val="Plain Text"/>
    <w:basedOn w:val="a3"/>
    <w:link w:val="Char1"/>
    <w:rsid w:val="004D4EEC"/>
    <w:pPr>
      <w:ind w:firstLineChars="200" w:firstLine="200"/>
    </w:pPr>
    <w:rPr>
      <w:rFonts w:ascii="宋体" w:hAnsi="Courier New"/>
      <w:sz w:val="24"/>
      <w:szCs w:val="21"/>
    </w:rPr>
  </w:style>
  <w:style w:type="character" w:customStyle="1" w:styleId="Char0">
    <w:name w:val="纯文本 Char"/>
    <w:basedOn w:val="a4"/>
    <w:rsid w:val="004D4EEC"/>
    <w:rPr>
      <w:rFonts w:ascii="宋体" w:eastAsia="宋体" w:hAnsi="Courier New"/>
      <w:kern w:val="2"/>
      <w:sz w:val="24"/>
      <w:szCs w:val="21"/>
      <w:lang w:val="en-US" w:eastAsia="zh-CN" w:bidi="ar-SA"/>
    </w:rPr>
  </w:style>
  <w:style w:type="paragraph" w:styleId="aa">
    <w:name w:val="Body Text Indent"/>
    <w:basedOn w:val="a3"/>
    <w:rsid w:val="004D4EEC"/>
    <w:pPr>
      <w:ind w:firstLineChars="200" w:firstLine="480"/>
    </w:pPr>
    <w:rPr>
      <w:rFonts w:ascii="宋体" w:hAnsi="宋体"/>
      <w:sz w:val="24"/>
    </w:rPr>
  </w:style>
  <w:style w:type="character" w:customStyle="1" w:styleId="big1">
    <w:name w:val="big1"/>
    <w:basedOn w:val="a4"/>
    <w:rsid w:val="004D4EEC"/>
    <w:rPr>
      <w:spacing w:val="360"/>
      <w:sz w:val="22"/>
      <w:szCs w:val="22"/>
    </w:rPr>
  </w:style>
  <w:style w:type="paragraph" w:styleId="ab">
    <w:name w:val="header"/>
    <w:basedOn w:val="a3"/>
    <w:link w:val="Char2"/>
    <w:uiPriority w:val="99"/>
    <w:rsid w:val="004D4EEC"/>
    <w:pPr>
      <w:pBdr>
        <w:bottom w:val="single" w:sz="6" w:space="1" w:color="auto"/>
      </w:pBdr>
      <w:tabs>
        <w:tab w:val="center" w:pos="4153"/>
        <w:tab w:val="right" w:pos="8306"/>
      </w:tabs>
      <w:snapToGrid w:val="0"/>
      <w:ind w:firstLineChars="200" w:firstLine="200"/>
      <w:jc w:val="center"/>
    </w:pPr>
    <w:rPr>
      <w:rFonts w:eastAsia="仿宋_GB2312"/>
      <w:sz w:val="18"/>
      <w:szCs w:val="20"/>
    </w:rPr>
  </w:style>
  <w:style w:type="character" w:styleId="ac">
    <w:name w:val="page number"/>
    <w:basedOn w:val="a4"/>
    <w:rsid w:val="004D4EEC"/>
  </w:style>
  <w:style w:type="paragraph" w:styleId="ad">
    <w:name w:val="footer"/>
    <w:basedOn w:val="a3"/>
    <w:link w:val="Char3"/>
    <w:uiPriority w:val="99"/>
    <w:rsid w:val="004D4EEC"/>
    <w:pPr>
      <w:tabs>
        <w:tab w:val="center" w:pos="4153"/>
        <w:tab w:val="right" w:pos="8306"/>
      </w:tabs>
      <w:snapToGrid w:val="0"/>
      <w:ind w:firstLineChars="200" w:firstLine="200"/>
      <w:jc w:val="left"/>
    </w:pPr>
    <w:rPr>
      <w:rFonts w:eastAsia="仿宋_GB2312"/>
      <w:sz w:val="18"/>
      <w:szCs w:val="20"/>
    </w:rPr>
  </w:style>
  <w:style w:type="character" w:customStyle="1" w:styleId="da">
    <w:name w:val="da"/>
    <w:basedOn w:val="a4"/>
    <w:rsid w:val="004D4EEC"/>
  </w:style>
  <w:style w:type="paragraph" w:styleId="ae">
    <w:name w:val="Salutation"/>
    <w:basedOn w:val="a3"/>
    <w:next w:val="a3"/>
    <w:rsid w:val="004D4EEC"/>
  </w:style>
  <w:style w:type="paragraph" w:customStyle="1" w:styleId="CharCharCharCharCharCharChar">
    <w:name w:val="正文文字 Char Char Char Char Char Char Char"/>
    <w:basedOn w:val="a3"/>
    <w:next w:val="33"/>
    <w:rsid w:val="004D4EEC"/>
    <w:pPr>
      <w:tabs>
        <w:tab w:val="num" w:pos="425"/>
      </w:tabs>
      <w:spacing w:after="120"/>
      <w:ind w:left="425" w:hanging="425"/>
    </w:pPr>
    <w:rPr>
      <w:sz w:val="16"/>
      <w:szCs w:val="16"/>
    </w:rPr>
  </w:style>
  <w:style w:type="paragraph" w:styleId="33">
    <w:name w:val="Body Text 3"/>
    <w:basedOn w:val="a3"/>
    <w:rsid w:val="004D4EEC"/>
    <w:pPr>
      <w:spacing w:after="120"/>
    </w:pPr>
    <w:rPr>
      <w:sz w:val="16"/>
      <w:szCs w:val="16"/>
    </w:rPr>
  </w:style>
  <w:style w:type="paragraph" w:customStyle="1" w:styleId="af">
    <w:name w:val="特点"/>
    <w:aliases w:val="表正文,正文非缩进,段1"/>
    <w:basedOn w:val="a3"/>
    <w:next w:val="a7"/>
    <w:rsid w:val="004D4EEC"/>
    <w:pPr>
      <w:ind w:firstLine="420"/>
    </w:pPr>
    <w:rPr>
      <w:szCs w:val="20"/>
    </w:rPr>
  </w:style>
  <w:style w:type="paragraph" w:styleId="a">
    <w:name w:val="List Number"/>
    <w:basedOn w:val="a3"/>
    <w:rsid w:val="004D4EEC"/>
    <w:pPr>
      <w:numPr>
        <w:numId w:val="11"/>
      </w:numPr>
      <w:ind w:hangingChars="200" w:hanging="200"/>
    </w:pPr>
  </w:style>
  <w:style w:type="paragraph" w:styleId="2">
    <w:name w:val="List Number 2"/>
    <w:basedOn w:val="a3"/>
    <w:rsid w:val="004D4EEC"/>
    <w:pPr>
      <w:numPr>
        <w:numId w:val="12"/>
      </w:numPr>
      <w:ind w:leftChars="200" w:left="200" w:hangingChars="200" w:hanging="200"/>
    </w:pPr>
  </w:style>
  <w:style w:type="paragraph" w:styleId="3">
    <w:name w:val="List Number 3"/>
    <w:basedOn w:val="a3"/>
    <w:rsid w:val="004D4EEC"/>
    <w:pPr>
      <w:numPr>
        <w:numId w:val="13"/>
      </w:numPr>
      <w:ind w:leftChars="400" w:left="400" w:hangingChars="200" w:hanging="200"/>
    </w:pPr>
  </w:style>
  <w:style w:type="paragraph" w:styleId="4">
    <w:name w:val="List Number 4"/>
    <w:basedOn w:val="a3"/>
    <w:rsid w:val="004D4EEC"/>
    <w:pPr>
      <w:numPr>
        <w:numId w:val="14"/>
      </w:numPr>
      <w:ind w:leftChars="600" w:left="600" w:hangingChars="200" w:hanging="200"/>
    </w:pPr>
  </w:style>
  <w:style w:type="paragraph" w:styleId="5">
    <w:name w:val="List Number 5"/>
    <w:basedOn w:val="a3"/>
    <w:rsid w:val="004D4EEC"/>
    <w:pPr>
      <w:numPr>
        <w:numId w:val="15"/>
      </w:numPr>
      <w:ind w:leftChars="800" w:left="800" w:hangingChars="200" w:hanging="200"/>
    </w:pPr>
  </w:style>
  <w:style w:type="paragraph" w:styleId="a0">
    <w:name w:val="List Bullet"/>
    <w:basedOn w:val="a3"/>
    <w:autoRedefine/>
    <w:rsid w:val="004D4EEC"/>
    <w:pPr>
      <w:numPr>
        <w:numId w:val="16"/>
      </w:numPr>
      <w:ind w:hangingChars="200" w:hanging="200"/>
    </w:pPr>
  </w:style>
  <w:style w:type="paragraph" w:styleId="20">
    <w:name w:val="List Bullet 2"/>
    <w:basedOn w:val="a3"/>
    <w:autoRedefine/>
    <w:rsid w:val="004D4EEC"/>
    <w:pPr>
      <w:numPr>
        <w:numId w:val="17"/>
      </w:numPr>
      <w:ind w:leftChars="200" w:left="200" w:hangingChars="200" w:hanging="200"/>
    </w:pPr>
  </w:style>
  <w:style w:type="paragraph" w:styleId="30">
    <w:name w:val="List Bullet 3"/>
    <w:basedOn w:val="a3"/>
    <w:autoRedefine/>
    <w:rsid w:val="004D4EEC"/>
    <w:pPr>
      <w:numPr>
        <w:numId w:val="18"/>
      </w:numPr>
      <w:ind w:leftChars="400" w:left="400" w:hangingChars="200" w:hanging="200"/>
    </w:pPr>
  </w:style>
  <w:style w:type="paragraph" w:styleId="40">
    <w:name w:val="List Bullet 4"/>
    <w:basedOn w:val="a3"/>
    <w:autoRedefine/>
    <w:rsid w:val="004D4EEC"/>
    <w:pPr>
      <w:numPr>
        <w:numId w:val="19"/>
      </w:numPr>
      <w:ind w:leftChars="600" w:left="600" w:hangingChars="200" w:hanging="200"/>
    </w:pPr>
  </w:style>
  <w:style w:type="paragraph" w:styleId="50">
    <w:name w:val="List Bullet 5"/>
    <w:basedOn w:val="a3"/>
    <w:autoRedefine/>
    <w:rsid w:val="004D4EEC"/>
    <w:pPr>
      <w:numPr>
        <w:numId w:val="20"/>
      </w:numPr>
      <w:ind w:leftChars="800" w:left="800" w:hangingChars="200" w:hanging="200"/>
    </w:pPr>
  </w:style>
  <w:style w:type="paragraph" w:customStyle="1" w:styleId="115">
    <w:name w:val="样式 标题 1 + 段前: 1.5 行"/>
    <w:basedOn w:val="a3"/>
    <w:rsid w:val="004D4EEC"/>
    <w:pPr>
      <w:tabs>
        <w:tab w:val="num" w:pos="990"/>
      </w:tabs>
      <w:ind w:left="990" w:hanging="840"/>
    </w:pPr>
    <w:rPr>
      <w:sz w:val="24"/>
      <w:szCs w:val="20"/>
    </w:rPr>
  </w:style>
  <w:style w:type="paragraph" w:customStyle="1" w:styleId="211211">
    <w:name w:val="样式 样式 标题 2 + 段前: 1 行 段后: 1 行2 + 段前: 1 行 段后: 1 行"/>
    <w:basedOn w:val="2112"/>
    <w:rsid w:val="004D4EEC"/>
    <w:pPr>
      <w:numPr>
        <w:numId w:val="3"/>
      </w:numPr>
    </w:pPr>
  </w:style>
  <w:style w:type="paragraph" w:customStyle="1" w:styleId="2112">
    <w:name w:val="样式 标题 2 + 段前: 1 行 段后: 1 行2"/>
    <w:basedOn w:val="22"/>
    <w:rsid w:val="004D4EEC"/>
    <w:rPr>
      <w:bCs/>
      <w:szCs w:val="20"/>
    </w:rPr>
  </w:style>
  <w:style w:type="paragraph" w:customStyle="1" w:styleId="2211">
    <w:name w:val="样式 标题 2 + 首行缩进:  2 字符 段前: 1 行 段后: 1 行"/>
    <w:basedOn w:val="22"/>
    <w:rsid w:val="004D4EEC"/>
    <w:pPr>
      <w:numPr>
        <w:ilvl w:val="1"/>
        <w:numId w:val="5"/>
      </w:numPr>
      <w:ind w:firstLineChars="0"/>
    </w:pPr>
    <w:rPr>
      <w:bCs/>
      <w:szCs w:val="20"/>
    </w:rPr>
  </w:style>
  <w:style w:type="paragraph" w:customStyle="1" w:styleId="12">
    <w:name w:val="1"/>
    <w:basedOn w:val="a3"/>
    <w:rsid w:val="004D4EEC"/>
    <w:pPr>
      <w:spacing w:before="100" w:beforeAutospacing="1" w:after="120" w:afterAutospacing="1" w:line="360" w:lineRule="auto"/>
      <w:ind w:leftChars="200" w:left="420"/>
    </w:pPr>
  </w:style>
  <w:style w:type="character" w:styleId="af0">
    <w:name w:val="FollowedHyperlink"/>
    <w:basedOn w:val="a4"/>
    <w:uiPriority w:val="99"/>
    <w:rsid w:val="004D4EEC"/>
    <w:rPr>
      <w:color w:val="800080"/>
      <w:u w:val="single"/>
    </w:rPr>
  </w:style>
  <w:style w:type="paragraph" w:styleId="25">
    <w:name w:val="Body Text Indent 2"/>
    <w:basedOn w:val="a3"/>
    <w:rsid w:val="004D4EEC"/>
    <w:pPr>
      <w:autoSpaceDE w:val="0"/>
      <w:autoSpaceDN w:val="0"/>
      <w:adjustRightInd w:val="0"/>
      <w:spacing w:line="320" w:lineRule="exact"/>
      <w:ind w:firstLine="458"/>
      <w:jc w:val="left"/>
    </w:pPr>
    <w:rPr>
      <w:rFonts w:ascii="宋体" w:hAnsi="宋体"/>
    </w:rPr>
  </w:style>
  <w:style w:type="character" w:customStyle="1" w:styleId="read1">
    <w:name w:val="read1"/>
    <w:basedOn w:val="a4"/>
    <w:rsid w:val="004D4EEC"/>
    <w:rPr>
      <w:rFonts w:ascii="ˎ̥" w:hAnsi="ˎ̥" w:hint="default"/>
      <w:strike w:val="0"/>
      <w:dstrike w:val="0"/>
      <w:color w:val="000000"/>
      <w:u w:val="none"/>
      <w:effect w:val="none"/>
    </w:rPr>
  </w:style>
  <w:style w:type="paragraph" w:customStyle="1" w:styleId="2111">
    <w:name w:val="样式 标题 2 + 段前: 1 行 段后: 1 行1"/>
    <w:basedOn w:val="22"/>
    <w:rsid w:val="004D4EEC"/>
    <w:pPr>
      <w:ind w:firstLine="0"/>
    </w:pPr>
    <w:rPr>
      <w:bCs/>
      <w:szCs w:val="20"/>
    </w:rPr>
  </w:style>
  <w:style w:type="paragraph" w:styleId="af1">
    <w:name w:val="Balloon Text"/>
    <w:basedOn w:val="a3"/>
    <w:link w:val="Char4"/>
    <w:semiHidden/>
    <w:rsid w:val="004D4EEC"/>
    <w:pPr>
      <w:ind w:firstLineChars="200" w:firstLine="200"/>
    </w:pPr>
    <w:rPr>
      <w:sz w:val="18"/>
      <w:szCs w:val="18"/>
    </w:rPr>
  </w:style>
  <w:style w:type="paragraph" w:customStyle="1" w:styleId="211111">
    <w:name w:val="样式 样式 标题 2 + 段前: 1 行 段后: 1 行1 + 段前: 1 行 段后: 1 行"/>
    <w:basedOn w:val="2111"/>
    <w:rsid w:val="004D4EEC"/>
  </w:style>
  <w:style w:type="paragraph" w:customStyle="1" w:styleId="1211">
    <w:name w:val="样式 标题 1 + 首行缩进:  2 字符 段前: 1 行 段后: 1 行"/>
    <w:basedOn w:val="1"/>
    <w:rsid w:val="004D4EEC"/>
    <w:pPr>
      <w:pageBreakBefore/>
      <w:ind w:firstLineChars="0" w:firstLine="0"/>
    </w:pPr>
    <w:rPr>
      <w:szCs w:val="20"/>
    </w:rPr>
  </w:style>
  <w:style w:type="paragraph" w:customStyle="1" w:styleId="22111">
    <w:name w:val="样式 标题 2 + 首行缩进:  2 字符 段前: 1 行 段后: 1 行1"/>
    <w:basedOn w:val="22"/>
    <w:rsid w:val="004D4EEC"/>
    <w:pPr>
      <w:ind w:firstLineChars="0" w:firstLine="0"/>
    </w:pPr>
    <w:rPr>
      <w:bCs/>
      <w:szCs w:val="20"/>
    </w:rPr>
  </w:style>
  <w:style w:type="character" w:customStyle="1" w:styleId="tt11">
    <w:name w:val="tt11"/>
    <w:basedOn w:val="a4"/>
    <w:rsid w:val="004D4EEC"/>
    <w:rPr>
      <w:spacing w:val="400"/>
      <w:sz w:val="22"/>
      <w:szCs w:val="22"/>
    </w:rPr>
  </w:style>
  <w:style w:type="paragraph" w:customStyle="1" w:styleId="211311">
    <w:name w:val="样式 样式 标题 2 + 段前: 1 行 段后: 1 行3 + 段前: 1 行 段后: 1 行"/>
    <w:basedOn w:val="a3"/>
    <w:rsid w:val="004D4EEC"/>
    <w:pPr>
      <w:keepNext/>
      <w:keepLines/>
      <w:spacing w:beforeLines="100" w:afterLines="100"/>
      <w:jc w:val="center"/>
      <w:outlineLvl w:val="1"/>
    </w:pPr>
    <w:rPr>
      <w:rFonts w:ascii="Arial" w:hAnsi="Arial"/>
      <w:b/>
      <w:bCs/>
      <w:sz w:val="28"/>
      <w:szCs w:val="20"/>
    </w:rPr>
  </w:style>
  <w:style w:type="character" w:customStyle="1" w:styleId="afont1">
    <w:name w:val="afont1"/>
    <w:basedOn w:val="a4"/>
    <w:rsid w:val="004D4EEC"/>
    <w:rPr>
      <w:rFonts w:ascii="Arial Narrow" w:hAnsi="Arial Narrow" w:hint="default"/>
      <w:sz w:val="21"/>
      <w:szCs w:val="21"/>
    </w:rPr>
  </w:style>
  <w:style w:type="paragraph" w:customStyle="1" w:styleId="xl25">
    <w:name w:val="xl25"/>
    <w:basedOn w:val="a3"/>
    <w:rsid w:val="004D4EE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font5">
    <w:name w:val="font5"/>
    <w:basedOn w:val="a3"/>
    <w:rsid w:val="004D4EEC"/>
    <w:pPr>
      <w:widowControl/>
      <w:spacing w:before="100" w:beforeAutospacing="1" w:after="100" w:afterAutospacing="1"/>
      <w:jc w:val="left"/>
    </w:pPr>
    <w:rPr>
      <w:rFonts w:ascii="宋体" w:hAnsi="宋体" w:hint="eastAsia"/>
      <w:kern w:val="0"/>
      <w:sz w:val="18"/>
      <w:szCs w:val="18"/>
    </w:rPr>
  </w:style>
  <w:style w:type="paragraph" w:customStyle="1" w:styleId="xl22">
    <w:name w:val="xl22"/>
    <w:basedOn w:val="a3"/>
    <w:rsid w:val="004D4EE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23">
    <w:name w:val="xl23"/>
    <w:basedOn w:val="a3"/>
    <w:rsid w:val="004D4E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olor w:val="333333"/>
      <w:kern w:val="0"/>
      <w:sz w:val="23"/>
      <w:szCs w:val="23"/>
    </w:rPr>
  </w:style>
  <w:style w:type="paragraph" w:customStyle="1" w:styleId="xl24">
    <w:name w:val="xl24"/>
    <w:basedOn w:val="a3"/>
    <w:rsid w:val="004D4E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olor w:val="333333"/>
      <w:kern w:val="0"/>
      <w:sz w:val="23"/>
      <w:szCs w:val="23"/>
    </w:rPr>
  </w:style>
  <w:style w:type="paragraph" w:customStyle="1" w:styleId="xl26">
    <w:name w:val="xl26"/>
    <w:basedOn w:val="a3"/>
    <w:rsid w:val="004D4E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xl27">
    <w:name w:val="xl27"/>
    <w:basedOn w:val="a3"/>
    <w:rsid w:val="004D4E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3"/>
      <w:szCs w:val="23"/>
    </w:rPr>
  </w:style>
  <w:style w:type="paragraph" w:customStyle="1" w:styleId="font6">
    <w:name w:val="font6"/>
    <w:basedOn w:val="a3"/>
    <w:rsid w:val="004D4EEC"/>
    <w:pPr>
      <w:widowControl/>
      <w:spacing w:before="100" w:beforeAutospacing="1" w:after="100" w:afterAutospacing="1"/>
      <w:jc w:val="left"/>
    </w:pPr>
    <w:rPr>
      <w:rFonts w:ascii="宋体" w:hAnsi="宋体" w:hint="eastAsia"/>
      <w:kern w:val="0"/>
      <w:sz w:val="20"/>
      <w:szCs w:val="20"/>
    </w:rPr>
  </w:style>
  <w:style w:type="paragraph" w:customStyle="1" w:styleId="font7">
    <w:name w:val="font7"/>
    <w:basedOn w:val="a3"/>
    <w:rsid w:val="004D4EEC"/>
    <w:pPr>
      <w:widowControl/>
      <w:spacing w:before="100" w:beforeAutospacing="1" w:after="100" w:afterAutospacing="1"/>
      <w:jc w:val="left"/>
    </w:pPr>
    <w:rPr>
      <w:rFonts w:eastAsia="Arial Unicode MS"/>
      <w:kern w:val="0"/>
      <w:sz w:val="20"/>
      <w:szCs w:val="20"/>
    </w:rPr>
  </w:style>
  <w:style w:type="character" w:customStyle="1" w:styleId="big">
    <w:name w:val="big"/>
    <w:basedOn w:val="a4"/>
    <w:rsid w:val="004D4EEC"/>
  </w:style>
  <w:style w:type="character" w:customStyle="1" w:styleId="2CharCharChar">
    <w:name w:val="标题 2 Char Char Char"/>
    <w:aliases w:val="标题 2 Char,H2 Char,Heading 2 Hidden Char,Heading 2 CCBS Char,2nd level Char,h2 Char,2 Char,Header 2 Char,PIM2 Char,l2 Char,Level 2 Head Char,proj2 Char,proj21 Char,proj22 Char,proj23 Char,proj24 Char,proj25 Char,proj26 Char"/>
    <w:basedOn w:val="a4"/>
    <w:rsid w:val="004D4EEC"/>
    <w:rPr>
      <w:rFonts w:ascii="Arial" w:eastAsia="宋体" w:hAnsi="Arial"/>
      <w:b/>
      <w:kern w:val="2"/>
      <w:sz w:val="28"/>
      <w:szCs w:val="28"/>
      <w:lang w:val="en-US" w:eastAsia="zh-CN" w:bidi="ar-SA"/>
    </w:rPr>
  </w:style>
  <w:style w:type="character" w:customStyle="1" w:styleId="13">
    <w:name w:val="正文文本1"/>
    <w:aliases w:val="正文文字 Char Char Char Char Char Char Char Char"/>
    <w:basedOn w:val="a4"/>
    <w:rsid w:val="004D4EEC"/>
    <w:rPr>
      <w:rFonts w:ascii="仿宋_GB2312" w:eastAsia="仿宋_GB2312"/>
      <w:sz w:val="28"/>
      <w:lang w:val="en-US" w:eastAsia="zh-CN" w:bidi="ar-SA"/>
    </w:rPr>
  </w:style>
  <w:style w:type="character" w:customStyle="1" w:styleId="font141">
    <w:name w:val="font141"/>
    <w:basedOn w:val="a4"/>
    <w:rsid w:val="004D4EEC"/>
    <w:rPr>
      <w:rFonts w:ascii="宋体" w:eastAsia="宋体" w:hAnsi="宋体" w:hint="eastAsia"/>
      <w:spacing w:val="300"/>
      <w:sz w:val="21"/>
      <w:szCs w:val="21"/>
    </w:rPr>
  </w:style>
  <w:style w:type="paragraph" w:customStyle="1" w:styleId="xl33">
    <w:name w:val="xl33"/>
    <w:basedOn w:val="a3"/>
    <w:rsid w:val="004D4EEC"/>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3">
    <w:name w:val="样式 标题 2 + 段前: 1 行 段后: 1 行3"/>
    <w:basedOn w:val="22"/>
    <w:rsid w:val="004D4EEC"/>
    <w:pPr>
      <w:spacing w:beforeAutospacing="1" w:afterAutospacing="1" w:line="360" w:lineRule="auto"/>
      <w:ind w:firstLineChars="0" w:firstLine="0"/>
    </w:pPr>
    <w:rPr>
      <w:bCs/>
      <w:szCs w:val="20"/>
    </w:rPr>
  </w:style>
  <w:style w:type="paragraph" w:customStyle="1" w:styleId="a1">
    <w:name w:val="表标题"/>
    <w:basedOn w:val="a7"/>
    <w:rsid w:val="004D4EEC"/>
    <w:pPr>
      <w:numPr>
        <w:numId w:val="22"/>
      </w:numPr>
      <w:spacing w:before="120" w:after="60" w:line="288" w:lineRule="auto"/>
    </w:pPr>
    <w:rPr>
      <w:sz w:val="28"/>
    </w:rPr>
  </w:style>
  <w:style w:type="paragraph" w:styleId="af2">
    <w:name w:val="Body Text First Indent"/>
    <w:basedOn w:val="a2"/>
    <w:link w:val="Char5"/>
    <w:rsid w:val="004D4EEC"/>
    <w:pPr>
      <w:numPr>
        <w:ilvl w:val="0"/>
        <w:numId w:val="0"/>
      </w:numPr>
      <w:tabs>
        <w:tab w:val="clear" w:pos="780"/>
      </w:tabs>
      <w:autoSpaceDE/>
      <w:autoSpaceDN/>
      <w:adjustRightInd/>
      <w:spacing w:after="120"/>
      <w:ind w:firstLineChars="100" w:firstLine="420"/>
      <w:jc w:val="both"/>
    </w:pPr>
    <w:rPr>
      <w:rFonts w:ascii="Times New Roman"/>
      <w:kern w:val="2"/>
      <w:sz w:val="21"/>
    </w:rPr>
  </w:style>
  <w:style w:type="paragraph" w:customStyle="1" w:styleId="af3">
    <w:name w:val="正文所"/>
    <w:basedOn w:val="a3"/>
    <w:rsid w:val="004D4EEC"/>
    <w:pPr>
      <w:spacing w:line="360" w:lineRule="auto"/>
      <w:ind w:firstLineChars="200" w:firstLine="420"/>
    </w:pPr>
  </w:style>
  <w:style w:type="paragraph" w:styleId="af4">
    <w:name w:val="Document Map"/>
    <w:basedOn w:val="a3"/>
    <w:semiHidden/>
    <w:rsid w:val="004D4EEC"/>
    <w:pPr>
      <w:shd w:val="clear" w:color="auto" w:fill="000080"/>
    </w:pPr>
  </w:style>
  <w:style w:type="paragraph" w:customStyle="1" w:styleId="21">
    <w:name w:val="列表2"/>
    <w:basedOn w:val="a3"/>
    <w:next w:val="af5"/>
    <w:rsid w:val="004D4EEC"/>
    <w:pPr>
      <w:numPr>
        <w:numId w:val="26"/>
      </w:numPr>
      <w:spacing w:line="360" w:lineRule="auto"/>
    </w:pPr>
    <w:rPr>
      <w:rFonts w:ascii="宋体"/>
      <w:szCs w:val="20"/>
    </w:rPr>
  </w:style>
  <w:style w:type="paragraph" w:styleId="af5">
    <w:name w:val="Title"/>
    <w:basedOn w:val="a3"/>
    <w:qFormat/>
    <w:rsid w:val="004D4EEC"/>
    <w:pPr>
      <w:spacing w:before="240" w:after="60"/>
      <w:jc w:val="center"/>
      <w:outlineLvl w:val="0"/>
    </w:pPr>
    <w:rPr>
      <w:rFonts w:ascii="Arial" w:hAnsi="Arial" w:cs="Arial"/>
      <w:b/>
      <w:bCs/>
      <w:sz w:val="32"/>
      <w:szCs w:val="32"/>
    </w:rPr>
  </w:style>
  <w:style w:type="paragraph" w:customStyle="1" w:styleId="Char6">
    <w:name w:val="Char"/>
    <w:basedOn w:val="a3"/>
    <w:rsid w:val="004D4EEC"/>
  </w:style>
  <w:style w:type="paragraph" w:styleId="af6">
    <w:name w:val="Normal (Web)"/>
    <w:basedOn w:val="a3"/>
    <w:rsid w:val="004D4EEC"/>
    <w:rPr>
      <w:sz w:val="24"/>
    </w:rPr>
  </w:style>
  <w:style w:type="paragraph" w:customStyle="1" w:styleId="ParaChar">
    <w:name w:val="默认段落字体 Para Char"/>
    <w:basedOn w:val="a3"/>
    <w:autoRedefine/>
    <w:rsid w:val="00D10497"/>
    <w:pPr>
      <w:tabs>
        <w:tab w:val="num" w:pos="360"/>
        <w:tab w:val="num" w:pos="3243"/>
      </w:tabs>
    </w:pPr>
    <w:rPr>
      <w:sz w:val="24"/>
    </w:rPr>
  </w:style>
  <w:style w:type="paragraph" w:styleId="af7">
    <w:name w:val="Closing"/>
    <w:basedOn w:val="a3"/>
    <w:rsid w:val="004D4EEC"/>
    <w:pPr>
      <w:ind w:leftChars="2100" w:left="100"/>
    </w:pPr>
  </w:style>
  <w:style w:type="paragraph" w:customStyle="1" w:styleId="CharChar1CharCharCharCharCharCharCharCharCharCharCharCharCharCharCharCharCharCharCharCharCharChar">
    <w:name w:val="Char Char1 Char Char Char Char Char Char Char Char Char Char Char Char Char Char Char Char Char Char Char Char Char Char"/>
    <w:basedOn w:val="a3"/>
    <w:autoRedefine/>
    <w:rsid w:val="004D4EEC"/>
    <w:pPr>
      <w:tabs>
        <w:tab w:val="num" w:pos="987"/>
      </w:tabs>
      <w:ind w:left="987" w:hanging="283"/>
    </w:pPr>
    <w:rPr>
      <w:sz w:val="24"/>
    </w:rPr>
  </w:style>
  <w:style w:type="paragraph" w:customStyle="1" w:styleId="CharCharCharChar">
    <w:name w:val="Char Char Char Char"/>
    <w:basedOn w:val="a3"/>
    <w:autoRedefine/>
    <w:rsid w:val="00D30354"/>
    <w:pPr>
      <w:tabs>
        <w:tab w:val="num" w:pos="360"/>
      </w:tabs>
    </w:pPr>
    <w:rPr>
      <w:sz w:val="24"/>
    </w:rPr>
  </w:style>
  <w:style w:type="paragraph" w:customStyle="1" w:styleId="Default">
    <w:name w:val="Default"/>
    <w:rsid w:val="000B4FFC"/>
    <w:pPr>
      <w:widowControl w:val="0"/>
      <w:autoSpaceDE w:val="0"/>
      <w:autoSpaceDN w:val="0"/>
      <w:adjustRightInd w:val="0"/>
    </w:pPr>
    <w:rPr>
      <w:rFonts w:ascii="宋体" w:cs="宋体"/>
      <w:color w:val="000000"/>
      <w:sz w:val="24"/>
      <w:szCs w:val="24"/>
    </w:rPr>
  </w:style>
  <w:style w:type="table" w:styleId="af8">
    <w:name w:val="Table Theme"/>
    <w:basedOn w:val="a5"/>
    <w:rsid w:val="00D948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4"/>
    <w:semiHidden/>
    <w:rsid w:val="00A577F2"/>
    <w:rPr>
      <w:sz w:val="21"/>
      <w:szCs w:val="21"/>
    </w:rPr>
  </w:style>
  <w:style w:type="paragraph" w:styleId="afa">
    <w:name w:val="annotation text"/>
    <w:basedOn w:val="a3"/>
    <w:semiHidden/>
    <w:rsid w:val="00A577F2"/>
    <w:pPr>
      <w:jc w:val="left"/>
    </w:pPr>
  </w:style>
  <w:style w:type="character" w:customStyle="1" w:styleId="Char3">
    <w:name w:val="页脚 Char"/>
    <w:basedOn w:val="a4"/>
    <w:link w:val="ad"/>
    <w:uiPriority w:val="99"/>
    <w:rsid w:val="009E3E52"/>
    <w:rPr>
      <w:rFonts w:eastAsia="仿宋_GB2312"/>
      <w:kern w:val="2"/>
      <w:sz w:val="18"/>
    </w:rPr>
  </w:style>
  <w:style w:type="character" w:styleId="HTML">
    <w:name w:val="HTML Typewriter"/>
    <w:basedOn w:val="a4"/>
    <w:uiPriority w:val="99"/>
    <w:rsid w:val="00547343"/>
    <w:rPr>
      <w:rFonts w:ascii="黑体" w:eastAsia="黑体" w:hAnsi="Courier New" w:cs="Courier New"/>
      <w:sz w:val="20"/>
      <w:szCs w:val="20"/>
    </w:rPr>
  </w:style>
  <w:style w:type="character" w:customStyle="1" w:styleId="afb">
    <w:name w:val="a"/>
    <w:basedOn w:val="a4"/>
    <w:rsid w:val="00547343"/>
  </w:style>
  <w:style w:type="paragraph" w:styleId="afc">
    <w:name w:val="Revision"/>
    <w:hidden/>
    <w:uiPriority w:val="99"/>
    <w:semiHidden/>
    <w:rsid w:val="00E96783"/>
    <w:rPr>
      <w:kern w:val="2"/>
      <w:sz w:val="21"/>
      <w:szCs w:val="24"/>
    </w:rPr>
  </w:style>
  <w:style w:type="character" w:customStyle="1" w:styleId="txtcontent11">
    <w:name w:val="txtcontent11"/>
    <w:basedOn w:val="a4"/>
    <w:rsid w:val="004A7B6E"/>
    <w:rPr>
      <w:rFonts w:ascii="ˎ̥" w:hAnsi="ˎ̥" w:hint="default"/>
      <w:b w:val="0"/>
      <w:bCs w:val="0"/>
      <w:color w:val="000000"/>
      <w:sz w:val="21"/>
      <w:szCs w:val="21"/>
    </w:rPr>
  </w:style>
  <w:style w:type="paragraph" w:styleId="34">
    <w:name w:val="toc 3"/>
    <w:basedOn w:val="a3"/>
    <w:next w:val="a3"/>
    <w:autoRedefine/>
    <w:uiPriority w:val="39"/>
    <w:unhideWhenUsed/>
    <w:rsid w:val="00313310"/>
    <w:pPr>
      <w:ind w:leftChars="400" w:left="840"/>
    </w:pPr>
    <w:rPr>
      <w:rFonts w:ascii="Calibri" w:hAnsi="Calibri"/>
      <w:szCs w:val="22"/>
    </w:rPr>
  </w:style>
  <w:style w:type="paragraph" w:styleId="42">
    <w:name w:val="toc 4"/>
    <w:basedOn w:val="a3"/>
    <w:next w:val="a3"/>
    <w:autoRedefine/>
    <w:uiPriority w:val="39"/>
    <w:unhideWhenUsed/>
    <w:rsid w:val="00313310"/>
    <w:pPr>
      <w:ind w:leftChars="600" w:left="1260"/>
    </w:pPr>
    <w:rPr>
      <w:rFonts w:ascii="Calibri" w:hAnsi="Calibri"/>
      <w:szCs w:val="22"/>
    </w:rPr>
  </w:style>
  <w:style w:type="paragraph" w:styleId="52">
    <w:name w:val="toc 5"/>
    <w:basedOn w:val="a3"/>
    <w:next w:val="a3"/>
    <w:autoRedefine/>
    <w:uiPriority w:val="39"/>
    <w:unhideWhenUsed/>
    <w:rsid w:val="00313310"/>
    <w:pPr>
      <w:ind w:leftChars="800" w:left="1680"/>
    </w:pPr>
    <w:rPr>
      <w:rFonts w:ascii="Calibri" w:hAnsi="Calibri"/>
      <w:szCs w:val="22"/>
    </w:rPr>
  </w:style>
  <w:style w:type="paragraph" w:styleId="60">
    <w:name w:val="toc 6"/>
    <w:basedOn w:val="a3"/>
    <w:next w:val="a3"/>
    <w:autoRedefine/>
    <w:uiPriority w:val="39"/>
    <w:unhideWhenUsed/>
    <w:rsid w:val="00313310"/>
    <w:pPr>
      <w:ind w:leftChars="1000" w:left="2100"/>
    </w:pPr>
    <w:rPr>
      <w:rFonts w:ascii="Calibri" w:hAnsi="Calibri"/>
      <w:szCs w:val="22"/>
    </w:rPr>
  </w:style>
  <w:style w:type="paragraph" w:styleId="70">
    <w:name w:val="toc 7"/>
    <w:basedOn w:val="a3"/>
    <w:next w:val="a3"/>
    <w:autoRedefine/>
    <w:uiPriority w:val="39"/>
    <w:unhideWhenUsed/>
    <w:rsid w:val="00313310"/>
    <w:pPr>
      <w:ind w:leftChars="1200" w:left="2520"/>
    </w:pPr>
    <w:rPr>
      <w:rFonts w:ascii="Calibri" w:hAnsi="Calibri"/>
      <w:szCs w:val="22"/>
    </w:rPr>
  </w:style>
  <w:style w:type="paragraph" w:styleId="80">
    <w:name w:val="toc 8"/>
    <w:basedOn w:val="a3"/>
    <w:next w:val="a3"/>
    <w:autoRedefine/>
    <w:uiPriority w:val="39"/>
    <w:unhideWhenUsed/>
    <w:rsid w:val="00313310"/>
    <w:pPr>
      <w:ind w:leftChars="1400" w:left="2940"/>
    </w:pPr>
    <w:rPr>
      <w:rFonts w:ascii="Calibri" w:hAnsi="Calibri"/>
      <w:szCs w:val="22"/>
    </w:rPr>
  </w:style>
  <w:style w:type="paragraph" w:styleId="90">
    <w:name w:val="toc 9"/>
    <w:basedOn w:val="a3"/>
    <w:next w:val="a3"/>
    <w:autoRedefine/>
    <w:uiPriority w:val="39"/>
    <w:unhideWhenUsed/>
    <w:rsid w:val="00313310"/>
    <w:pPr>
      <w:ind w:leftChars="1600" w:left="3360"/>
    </w:pPr>
    <w:rPr>
      <w:rFonts w:ascii="Calibri" w:hAnsi="Calibri"/>
      <w:szCs w:val="22"/>
    </w:rPr>
  </w:style>
  <w:style w:type="table" w:styleId="afd">
    <w:name w:val="Table Grid"/>
    <w:basedOn w:val="a5"/>
    <w:rsid w:val="00436C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0">
    <w:name w:val="HTML Preformatted"/>
    <w:basedOn w:val="a3"/>
    <w:link w:val="HTMLChar"/>
    <w:uiPriority w:val="99"/>
    <w:unhideWhenUsed/>
    <w:rsid w:val="003F7A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4"/>
    <w:link w:val="HTML0"/>
    <w:uiPriority w:val="99"/>
    <w:rsid w:val="003F7A1F"/>
    <w:rPr>
      <w:rFonts w:ascii="黑体" w:eastAsia="黑体" w:hAnsi="Courier New" w:cs="Courier New"/>
    </w:rPr>
  </w:style>
  <w:style w:type="character" w:customStyle="1" w:styleId="Char2">
    <w:name w:val="页眉 Char"/>
    <w:basedOn w:val="a4"/>
    <w:link w:val="ab"/>
    <w:uiPriority w:val="99"/>
    <w:rsid w:val="003F7A1F"/>
    <w:rPr>
      <w:rFonts w:eastAsia="仿宋_GB2312"/>
      <w:kern w:val="2"/>
      <w:sz w:val="18"/>
    </w:rPr>
  </w:style>
  <w:style w:type="character" w:customStyle="1" w:styleId="Char">
    <w:name w:val="正文文本 Char"/>
    <w:basedOn w:val="a4"/>
    <w:link w:val="a2"/>
    <w:rsid w:val="003F7A1F"/>
    <w:rPr>
      <w:rFonts w:ascii="宋体"/>
      <w:sz w:val="24"/>
      <w:szCs w:val="24"/>
    </w:rPr>
  </w:style>
  <w:style w:type="character" w:customStyle="1" w:styleId="3Char">
    <w:name w:val="正文文本缩进 3 Char"/>
    <w:basedOn w:val="a4"/>
    <w:link w:val="32"/>
    <w:rsid w:val="003F7A1F"/>
    <w:rPr>
      <w:rFonts w:ascii="宋体" w:hAnsi="宋体"/>
      <w:color w:val="FF0000"/>
      <w:kern w:val="2"/>
      <w:sz w:val="24"/>
    </w:rPr>
  </w:style>
  <w:style w:type="character" w:customStyle="1" w:styleId="Char4">
    <w:name w:val="批注框文本 Char"/>
    <w:basedOn w:val="a4"/>
    <w:link w:val="af1"/>
    <w:semiHidden/>
    <w:rsid w:val="003F7A1F"/>
    <w:rPr>
      <w:kern w:val="2"/>
      <w:sz w:val="18"/>
      <w:szCs w:val="18"/>
    </w:rPr>
  </w:style>
  <w:style w:type="paragraph" w:customStyle="1" w:styleId="Char10">
    <w:name w:val="Char1"/>
    <w:basedOn w:val="a3"/>
    <w:rsid w:val="003F7A1F"/>
  </w:style>
  <w:style w:type="paragraph" w:customStyle="1" w:styleId="CharCharCharChar1">
    <w:name w:val="Char Char Char Char1"/>
    <w:basedOn w:val="a3"/>
    <w:autoRedefine/>
    <w:rsid w:val="003F7A1F"/>
    <w:pPr>
      <w:tabs>
        <w:tab w:val="num" w:pos="360"/>
      </w:tabs>
      <w:spacing w:before="312" w:after="312" w:line="360" w:lineRule="auto"/>
    </w:pPr>
    <w:rPr>
      <w:sz w:val="24"/>
    </w:rPr>
  </w:style>
  <w:style w:type="paragraph" w:customStyle="1" w:styleId="CharCharCharCharCharCharChar0">
    <w:name w:val="Char Char Char Char Char Char Char"/>
    <w:basedOn w:val="a3"/>
    <w:rsid w:val="003F7A1F"/>
  </w:style>
  <w:style w:type="character" w:customStyle="1" w:styleId="text1">
    <w:name w:val="text1"/>
    <w:basedOn w:val="a4"/>
    <w:rsid w:val="003F7A1F"/>
    <w:rPr>
      <w:rFonts w:hint="default"/>
      <w:b w:val="0"/>
      <w:bCs w:val="0"/>
      <w:i w:val="0"/>
      <w:iCs w:val="0"/>
      <w:smallCaps w:val="0"/>
      <w:strike w:val="0"/>
      <w:dstrike w:val="0"/>
      <w:color w:val="000000"/>
      <w:spacing w:val="345"/>
      <w:sz w:val="18"/>
      <w:szCs w:val="18"/>
      <w:u w:val="none"/>
      <w:effect w:val="none"/>
    </w:rPr>
  </w:style>
  <w:style w:type="character" w:customStyle="1" w:styleId="style21">
    <w:name w:val="style21"/>
    <w:basedOn w:val="a4"/>
    <w:rsid w:val="003F7A1F"/>
    <w:rPr>
      <w:rFonts w:ascii="Arial" w:hAnsi="Arial" w:cs="Arial" w:hint="default"/>
    </w:rPr>
  </w:style>
  <w:style w:type="character" w:customStyle="1" w:styleId="fontcolor3">
    <w:name w:val="fontcolor3"/>
    <w:basedOn w:val="a4"/>
    <w:rsid w:val="003F7A1F"/>
    <w:rPr>
      <w:color w:val="6C057B"/>
    </w:rPr>
  </w:style>
  <w:style w:type="character" w:customStyle="1" w:styleId="15">
    <w:name w:val="15"/>
    <w:basedOn w:val="a4"/>
    <w:rsid w:val="003F7A1F"/>
  </w:style>
  <w:style w:type="character" w:customStyle="1" w:styleId="Char1">
    <w:name w:val="纯文本 Char1"/>
    <w:basedOn w:val="a4"/>
    <w:link w:val="a9"/>
    <w:locked/>
    <w:rsid w:val="003F7A1F"/>
    <w:rPr>
      <w:rFonts w:ascii="宋体" w:hAnsi="Courier New"/>
      <w:kern w:val="2"/>
      <w:sz w:val="24"/>
      <w:szCs w:val="21"/>
    </w:rPr>
  </w:style>
  <w:style w:type="character" w:styleId="afe">
    <w:name w:val="Strong"/>
    <w:basedOn w:val="a4"/>
    <w:uiPriority w:val="99"/>
    <w:qFormat/>
    <w:rsid w:val="003E2E42"/>
    <w:rPr>
      <w:b/>
      <w:bCs/>
    </w:rPr>
  </w:style>
  <w:style w:type="character" w:customStyle="1" w:styleId="CharChar11">
    <w:name w:val="Char Char11"/>
    <w:basedOn w:val="a4"/>
    <w:locked/>
    <w:rsid w:val="00677B8F"/>
    <w:rPr>
      <w:rFonts w:ascii="宋体" w:eastAsia="宋体" w:hAnsi="Courier New" w:cs="Courier New"/>
      <w:kern w:val="2"/>
      <w:sz w:val="21"/>
      <w:szCs w:val="21"/>
      <w:lang w:val="en-US" w:eastAsia="zh-CN" w:bidi="ar-SA"/>
    </w:rPr>
  </w:style>
  <w:style w:type="character" w:customStyle="1" w:styleId="Char5">
    <w:name w:val="正文首行缩进 Char"/>
    <w:basedOn w:val="Char"/>
    <w:link w:val="af2"/>
    <w:rsid w:val="007909DB"/>
    <w:rPr>
      <w:rFonts w:ascii="宋体"/>
      <w:kern w:val="2"/>
      <w:sz w:val="21"/>
      <w:szCs w:val="24"/>
    </w:rPr>
  </w:style>
  <w:style w:type="paragraph" w:styleId="aff">
    <w:name w:val="List Paragraph"/>
    <w:basedOn w:val="a3"/>
    <w:uiPriority w:val="34"/>
    <w:qFormat/>
    <w:rsid w:val="00A654E7"/>
    <w:pPr>
      <w:ind w:firstLineChars="200" w:firstLine="420"/>
    </w:pPr>
  </w:style>
  <w:style w:type="paragraph" w:styleId="aff0">
    <w:name w:val="Date"/>
    <w:basedOn w:val="a3"/>
    <w:next w:val="a3"/>
    <w:link w:val="Char7"/>
    <w:rsid w:val="00AD2790"/>
    <w:pPr>
      <w:ind w:leftChars="2500" w:left="100"/>
    </w:pPr>
  </w:style>
  <w:style w:type="character" w:customStyle="1" w:styleId="Char7">
    <w:name w:val="日期 Char"/>
    <w:basedOn w:val="a4"/>
    <w:link w:val="aff0"/>
    <w:rsid w:val="00AD279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0349">
      <w:bodyDiv w:val="1"/>
      <w:marLeft w:val="0"/>
      <w:marRight w:val="0"/>
      <w:marTop w:val="0"/>
      <w:marBottom w:val="0"/>
      <w:divBdr>
        <w:top w:val="none" w:sz="0" w:space="0" w:color="auto"/>
        <w:left w:val="none" w:sz="0" w:space="0" w:color="auto"/>
        <w:bottom w:val="none" w:sz="0" w:space="0" w:color="auto"/>
        <w:right w:val="none" w:sz="0" w:space="0" w:color="auto"/>
      </w:divBdr>
    </w:div>
    <w:div w:id="25300296">
      <w:bodyDiv w:val="1"/>
      <w:marLeft w:val="0"/>
      <w:marRight w:val="0"/>
      <w:marTop w:val="0"/>
      <w:marBottom w:val="0"/>
      <w:divBdr>
        <w:top w:val="none" w:sz="0" w:space="0" w:color="auto"/>
        <w:left w:val="none" w:sz="0" w:space="0" w:color="auto"/>
        <w:bottom w:val="none" w:sz="0" w:space="0" w:color="auto"/>
        <w:right w:val="none" w:sz="0" w:space="0" w:color="auto"/>
      </w:divBdr>
    </w:div>
    <w:div w:id="53043011">
      <w:bodyDiv w:val="1"/>
      <w:marLeft w:val="0"/>
      <w:marRight w:val="0"/>
      <w:marTop w:val="0"/>
      <w:marBottom w:val="0"/>
      <w:divBdr>
        <w:top w:val="none" w:sz="0" w:space="0" w:color="auto"/>
        <w:left w:val="none" w:sz="0" w:space="0" w:color="auto"/>
        <w:bottom w:val="none" w:sz="0" w:space="0" w:color="auto"/>
        <w:right w:val="none" w:sz="0" w:space="0" w:color="auto"/>
      </w:divBdr>
    </w:div>
    <w:div w:id="59334678">
      <w:bodyDiv w:val="1"/>
      <w:marLeft w:val="0"/>
      <w:marRight w:val="0"/>
      <w:marTop w:val="0"/>
      <w:marBottom w:val="0"/>
      <w:divBdr>
        <w:top w:val="none" w:sz="0" w:space="0" w:color="auto"/>
        <w:left w:val="none" w:sz="0" w:space="0" w:color="auto"/>
        <w:bottom w:val="none" w:sz="0" w:space="0" w:color="auto"/>
        <w:right w:val="none" w:sz="0" w:space="0" w:color="auto"/>
      </w:divBdr>
    </w:div>
    <w:div w:id="66609961">
      <w:bodyDiv w:val="1"/>
      <w:marLeft w:val="0"/>
      <w:marRight w:val="0"/>
      <w:marTop w:val="0"/>
      <w:marBottom w:val="0"/>
      <w:divBdr>
        <w:top w:val="none" w:sz="0" w:space="0" w:color="auto"/>
        <w:left w:val="none" w:sz="0" w:space="0" w:color="auto"/>
        <w:bottom w:val="none" w:sz="0" w:space="0" w:color="auto"/>
        <w:right w:val="none" w:sz="0" w:space="0" w:color="auto"/>
      </w:divBdr>
    </w:div>
    <w:div w:id="67194878">
      <w:bodyDiv w:val="1"/>
      <w:marLeft w:val="0"/>
      <w:marRight w:val="0"/>
      <w:marTop w:val="0"/>
      <w:marBottom w:val="0"/>
      <w:divBdr>
        <w:top w:val="none" w:sz="0" w:space="0" w:color="auto"/>
        <w:left w:val="none" w:sz="0" w:space="0" w:color="auto"/>
        <w:bottom w:val="none" w:sz="0" w:space="0" w:color="auto"/>
        <w:right w:val="none" w:sz="0" w:space="0" w:color="auto"/>
      </w:divBdr>
    </w:div>
    <w:div w:id="72628840">
      <w:bodyDiv w:val="1"/>
      <w:marLeft w:val="0"/>
      <w:marRight w:val="0"/>
      <w:marTop w:val="0"/>
      <w:marBottom w:val="0"/>
      <w:divBdr>
        <w:top w:val="none" w:sz="0" w:space="0" w:color="auto"/>
        <w:left w:val="none" w:sz="0" w:space="0" w:color="auto"/>
        <w:bottom w:val="none" w:sz="0" w:space="0" w:color="auto"/>
        <w:right w:val="none" w:sz="0" w:space="0" w:color="auto"/>
      </w:divBdr>
    </w:div>
    <w:div w:id="75445482">
      <w:bodyDiv w:val="1"/>
      <w:marLeft w:val="0"/>
      <w:marRight w:val="0"/>
      <w:marTop w:val="0"/>
      <w:marBottom w:val="0"/>
      <w:divBdr>
        <w:top w:val="none" w:sz="0" w:space="0" w:color="auto"/>
        <w:left w:val="none" w:sz="0" w:space="0" w:color="auto"/>
        <w:bottom w:val="none" w:sz="0" w:space="0" w:color="auto"/>
        <w:right w:val="none" w:sz="0" w:space="0" w:color="auto"/>
      </w:divBdr>
    </w:div>
    <w:div w:id="100031749">
      <w:bodyDiv w:val="1"/>
      <w:marLeft w:val="0"/>
      <w:marRight w:val="0"/>
      <w:marTop w:val="0"/>
      <w:marBottom w:val="0"/>
      <w:divBdr>
        <w:top w:val="none" w:sz="0" w:space="0" w:color="auto"/>
        <w:left w:val="none" w:sz="0" w:space="0" w:color="auto"/>
        <w:bottom w:val="none" w:sz="0" w:space="0" w:color="auto"/>
        <w:right w:val="none" w:sz="0" w:space="0" w:color="auto"/>
      </w:divBdr>
    </w:div>
    <w:div w:id="122693337">
      <w:bodyDiv w:val="1"/>
      <w:marLeft w:val="0"/>
      <w:marRight w:val="0"/>
      <w:marTop w:val="0"/>
      <w:marBottom w:val="0"/>
      <w:divBdr>
        <w:top w:val="none" w:sz="0" w:space="0" w:color="auto"/>
        <w:left w:val="none" w:sz="0" w:space="0" w:color="auto"/>
        <w:bottom w:val="none" w:sz="0" w:space="0" w:color="auto"/>
        <w:right w:val="none" w:sz="0" w:space="0" w:color="auto"/>
      </w:divBdr>
    </w:div>
    <w:div w:id="125396116">
      <w:bodyDiv w:val="1"/>
      <w:marLeft w:val="0"/>
      <w:marRight w:val="0"/>
      <w:marTop w:val="0"/>
      <w:marBottom w:val="0"/>
      <w:divBdr>
        <w:top w:val="none" w:sz="0" w:space="0" w:color="auto"/>
        <w:left w:val="none" w:sz="0" w:space="0" w:color="auto"/>
        <w:bottom w:val="none" w:sz="0" w:space="0" w:color="auto"/>
        <w:right w:val="none" w:sz="0" w:space="0" w:color="auto"/>
      </w:divBdr>
    </w:div>
    <w:div w:id="145320054">
      <w:bodyDiv w:val="1"/>
      <w:marLeft w:val="0"/>
      <w:marRight w:val="0"/>
      <w:marTop w:val="0"/>
      <w:marBottom w:val="0"/>
      <w:divBdr>
        <w:top w:val="none" w:sz="0" w:space="0" w:color="auto"/>
        <w:left w:val="none" w:sz="0" w:space="0" w:color="auto"/>
        <w:bottom w:val="none" w:sz="0" w:space="0" w:color="auto"/>
        <w:right w:val="none" w:sz="0" w:space="0" w:color="auto"/>
      </w:divBdr>
    </w:div>
    <w:div w:id="178352931">
      <w:bodyDiv w:val="1"/>
      <w:marLeft w:val="0"/>
      <w:marRight w:val="0"/>
      <w:marTop w:val="0"/>
      <w:marBottom w:val="0"/>
      <w:divBdr>
        <w:top w:val="none" w:sz="0" w:space="0" w:color="auto"/>
        <w:left w:val="none" w:sz="0" w:space="0" w:color="auto"/>
        <w:bottom w:val="none" w:sz="0" w:space="0" w:color="auto"/>
        <w:right w:val="none" w:sz="0" w:space="0" w:color="auto"/>
      </w:divBdr>
    </w:div>
    <w:div w:id="187522723">
      <w:bodyDiv w:val="1"/>
      <w:marLeft w:val="0"/>
      <w:marRight w:val="0"/>
      <w:marTop w:val="0"/>
      <w:marBottom w:val="0"/>
      <w:divBdr>
        <w:top w:val="none" w:sz="0" w:space="0" w:color="auto"/>
        <w:left w:val="none" w:sz="0" w:space="0" w:color="auto"/>
        <w:bottom w:val="none" w:sz="0" w:space="0" w:color="auto"/>
        <w:right w:val="none" w:sz="0" w:space="0" w:color="auto"/>
      </w:divBdr>
    </w:div>
    <w:div w:id="194075084">
      <w:bodyDiv w:val="1"/>
      <w:marLeft w:val="0"/>
      <w:marRight w:val="0"/>
      <w:marTop w:val="0"/>
      <w:marBottom w:val="0"/>
      <w:divBdr>
        <w:top w:val="none" w:sz="0" w:space="0" w:color="auto"/>
        <w:left w:val="none" w:sz="0" w:space="0" w:color="auto"/>
        <w:bottom w:val="none" w:sz="0" w:space="0" w:color="auto"/>
        <w:right w:val="none" w:sz="0" w:space="0" w:color="auto"/>
      </w:divBdr>
    </w:div>
    <w:div w:id="197011834">
      <w:bodyDiv w:val="1"/>
      <w:marLeft w:val="0"/>
      <w:marRight w:val="0"/>
      <w:marTop w:val="0"/>
      <w:marBottom w:val="0"/>
      <w:divBdr>
        <w:top w:val="none" w:sz="0" w:space="0" w:color="auto"/>
        <w:left w:val="none" w:sz="0" w:space="0" w:color="auto"/>
        <w:bottom w:val="none" w:sz="0" w:space="0" w:color="auto"/>
        <w:right w:val="none" w:sz="0" w:space="0" w:color="auto"/>
      </w:divBdr>
    </w:div>
    <w:div w:id="202598606">
      <w:bodyDiv w:val="1"/>
      <w:marLeft w:val="0"/>
      <w:marRight w:val="0"/>
      <w:marTop w:val="0"/>
      <w:marBottom w:val="0"/>
      <w:divBdr>
        <w:top w:val="none" w:sz="0" w:space="0" w:color="auto"/>
        <w:left w:val="none" w:sz="0" w:space="0" w:color="auto"/>
        <w:bottom w:val="none" w:sz="0" w:space="0" w:color="auto"/>
        <w:right w:val="none" w:sz="0" w:space="0" w:color="auto"/>
      </w:divBdr>
    </w:div>
    <w:div w:id="210462791">
      <w:bodyDiv w:val="1"/>
      <w:marLeft w:val="0"/>
      <w:marRight w:val="0"/>
      <w:marTop w:val="0"/>
      <w:marBottom w:val="0"/>
      <w:divBdr>
        <w:top w:val="none" w:sz="0" w:space="0" w:color="auto"/>
        <w:left w:val="none" w:sz="0" w:space="0" w:color="auto"/>
        <w:bottom w:val="none" w:sz="0" w:space="0" w:color="auto"/>
        <w:right w:val="none" w:sz="0" w:space="0" w:color="auto"/>
      </w:divBdr>
    </w:div>
    <w:div w:id="213274933">
      <w:bodyDiv w:val="1"/>
      <w:marLeft w:val="0"/>
      <w:marRight w:val="0"/>
      <w:marTop w:val="0"/>
      <w:marBottom w:val="0"/>
      <w:divBdr>
        <w:top w:val="none" w:sz="0" w:space="0" w:color="auto"/>
        <w:left w:val="none" w:sz="0" w:space="0" w:color="auto"/>
        <w:bottom w:val="none" w:sz="0" w:space="0" w:color="auto"/>
        <w:right w:val="none" w:sz="0" w:space="0" w:color="auto"/>
      </w:divBdr>
    </w:div>
    <w:div w:id="222566046">
      <w:bodyDiv w:val="1"/>
      <w:marLeft w:val="0"/>
      <w:marRight w:val="0"/>
      <w:marTop w:val="0"/>
      <w:marBottom w:val="0"/>
      <w:divBdr>
        <w:top w:val="none" w:sz="0" w:space="0" w:color="auto"/>
        <w:left w:val="none" w:sz="0" w:space="0" w:color="auto"/>
        <w:bottom w:val="none" w:sz="0" w:space="0" w:color="auto"/>
        <w:right w:val="none" w:sz="0" w:space="0" w:color="auto"/>
      </w:divBdr>
    </w:div>
    <w:div w:id="223108918">
      <w:bodyDiv w:val="1"/>
      <w:marLeft w:val="0"/>
      <w:marRight w:val="0"/>
      <w:marTop w:val="0"/>
      <w:marBottom w:val="0"/>
      <w:divBdr>
        <w:top w:val="none" w:sz="0" w:space="0" w:color="auto"/>
        <w:left w:val="none" w:sz="0" w:space="0" w:color="auto"/>
        <w:bottom w:val="none" w:sz="0" w:space="0" w:color="auto"/>
        <w:right w:val="none" w:sz="0" w:space="0" w:color="auto"/>
      </w:divBdr>
    </w:div>
    <w:div w:id="224338980">
      <w:bodyDiv w:val="1"/>
      <w:marLeft w:val="0"/>
      <w:marRight w:val="0"/>
      <w:marTop w:val="0"/>
      <w:marBottom w:val="0"/>
      <w:divBdr>
        <w:top w:val="none" w:sz="0" w:space="0" w:color="auto"/>
        <w:left w:val="none" w:sz="0" w:space="0" w:color="auto"/>
        <w:bottom w:val="none" w:sz="0" w:space="0" w:color="auto"/>
        <w:right w:val="none" w:sz="0" w:space="0" w:color="auto"/>
      </w:divBdr>
    </w:div>
    <w:div w:id="230433118">
      <w:bodyDiv w:val="1"/>
      <w:marLeft w:val="0"/>
      <w:marRight w:val="0"/>
      <w:marTop w:val="0"/>
      <w:marBottom w:val="0"/>
      <w:divBdr>
        <w:top w:val="none" w:sz="0" w:space="0" w:color="auto"/>
        <w:left w:val="none" w:sz="0" w:space="0" w:color="auto"/>
        <w:bottom w:val="none" w:sz="0" w:space="0" w:color="auto"/>
        <w:right w:val="none" w:sz="0" w:space="0" w:color="auto"/>
      </w:divBdr>
    </w:div>
    <w:div w:id="235212845">
      <w:bodyDiv w:val="1"/>
      <w:marLeft w:val="0"/>
      <w:marRight w:val="0"/>
      <w:marTop w:val="0"/>
      <w:marBottom w:val="0"/>
      <w:divBdr>
        <w:top w:val="none" w:sz="0" w:space="0" w:color="auto"/>
        <w:left w:val="none" w:sz="0" w:space="0" w:color="auto"/>
        <w:bottom w:val="none" w:sz="0" w:space="0" w:color="auto"/>
        <w:right w:val="none" w:sz="0" w:space="0" w:color="auto"/>
      </w:divBdr>
    </w:div>
    <w:div w:id="248196139">
      <w:bodyDiv w:val="1"/>
      <w:marLeft w:val="0"/>
      <w:marRight w:val="0"/>
      <w:marTop w:val="0"/>
      <w:marBottom w:val="0"/>
      <w:divBdr>
        <w:top w:val="none" w:sz="0" w:space="0" w:color="auto"/>
        <w:left w:val="none" w:sz="0" w:space="0" w:color="auto"/>
        <w:bottom w:val="none" w:sz="0" w:space="0" w:color="auto"/>
        <w:right w:val="none" w:sz="0" w:space="0" w:color="auto"/>
      </w:divBdr>
    </w:div>
    <w:div w:id="258106683">
      <w:bodyDiv w:val="1"/>
      <w:marLeft w:val="150"/>
      <w:marRight w:val="150"/>
      <w:marTop w:val="150"/>
      <w:marBottom w:val="150"/>
      <w:divBdr>
        <w:top w:val="none" w:sz="0" w:space="0" w:color="auto"/>
        <w:left w:val="none" w:sz="0" w:space="0" w:color="auto"/>
        <w:bottom w:val="none" w:sz="0" w:space="0" w:color="auto"/>
        <w:right w:val="none" w:sz="0" w:space="0" w:color="auto"/>
      </w:divBdr>
    </w:div>
    <w:div w:id="260334983">
      <w:bodyDiv w:val="1"/>
      <w:marLeft w:val="0"/>
      <w:marRight w:val="0"/>
      <w:marTop w:val="0"/>
      <w:marBottom w:val="0"/>
      <w:divBdr>
        <w:top w:val="none" w:sz="0" w:space="0" w:color="auto"/>
        <w:left w:val="none" w:sz="0" w:space="0" w:color="auto"/>
        <w:bottom w:val="none" w:sz="0" w:space="0" w:color="auto"/>
        <w:right w:val="none" w:sz="0" w:space="0" w:color="auto"/>
      </w:divBdr>
    </w:div>
    <w:div w:id="261183316">
      <w:bodyDiv w:val="1"/>
      <w:marLeft w:val="0"/>
      <w:marRight w:val="0"/>
      <w:marTop w:val="0"/>
      <w:marBottom w:val="0"/>
      <w:divBdr>
        <w:top w:val="none" w:sz="0" w:space="0" w:color="auto"/>
        <w:left w:val="none" w:sz="0" w:space="0" w:color="auto"/>
        <w:bottom w:val="none" w:sz="0" w:space="0" w:color="auto"/>
        <w:right w:val="none" w:sz="0" w:space="0" w:color="auto"/>
      </w:divBdr>
    </w:div>
    <w:div w:id="265309693">
      <w:bodyDiv w:val="1"/>
      <w:marLeft w:val="0"/>
      <w:marRight w:val="0"/>
      <w:marTop w:val="0"/>
      <w:marBottom w:val="0"/>
      <w:divBdr>
        <w:top w:val="none" w:sz="0" w:space="0" w:color="auto"/>
        <w:left w:val="none" w:sz="0" w:space="0" w:color="auto"/>
        <w:bottom w:val="none" w:sz="0" w:space="0" w:color="auto"/>
        <w:right w:val="none" w:sz="0" w:space="0" w:color="auto"/>
      </w:divBdr>
    </w:div>
    <w:div w:id="279722950">
      <w:bodyDiv w:val="1"/>
      <w:marLeft w:val="0"/>
      <w:marRight w:val="0"/>
      <w:marTop w:val="0"/>
      <w:marBottom w:val="0"/>
      <w:divBdr>
        <w:top w:val="none" w:sz="0" w:space="0" w:color="auto"/>
        <w:left w:val="none" w:sz="0" w:space="0" w:color="auto"/>
        <w:bottom w:val="none" w:sz="0" w:space="0" w:color="auto"/>
        <w:right w:val="none" w:sz="0" w:space="0" w:color="auto"/>
      </w:divBdr>
    </w:div>
    <w:div w:id="279916068">
      <w:bodyDiv w:val="1"/>
      <w:marLeft w:val="0"/>
      <w:marRight w:val="0"/>
      <w:marTop w:val="0"/>
      <w:marBottom w:val="0"/>
      <w:divBdr>
        <w:top w:val="none" w:sz="0" w:space="0" w:color="auto"/>
        <w:left w:val="none" w:sz="0" w:space="0" w:color="auto"/>
        <w:bottom w:val="none" w:sz="0" w:space="0" w:color="auto"/>
        <w:right w:val="none" w:sz="0" w:space="0" w:color="auto"/>
      </w:divBdr>
    </w:div>
    <w:div w:id="280840273">
      <w:bodyDiv w:val="1"/>
      <w:marLeft w:val="0"/>
      <w:marRight w:val="0"/>
      <w:marTop w:val="0"/>
      <w:marBottom w:val="0"/>
      <w:divBdr>
        <w:top w:val="none" w:sz="0" w:space="0" w:color="auto"/>
        <w:left w:val="none" w:sz="0" w:space="0" w:color="auto"/>
        <w:bottom w:val="none" w:sz="0" w:space="0" w:color="auto"/>
        <w:right w:val="none" w:sz="0" w:space="0" w:color="auto"/>
      </w:divBdr>
    </w:div>
    <w:div w:id="284695518">
      <w:bodyDiv w:val="1"/>
      <w:marLeft w:val="0"/>
      <w:marRight w:val="0"/>
      <w:marTop w:val="0"/>
      <w:marBottom w:val="0"/>
      <w:divBdr>
        <w:top w:val="none" w:sz="0" w:space="0" w:color="auto"/>
        <w:left w:val="none" w:sz="0" w:space="0" w:color="auto"/>
        <w:bottom w:val="none" w:sz="0" w:space="0" w:color="auto"/>
        <w:right w:val="none" w:sz="0" w:space="0" w:color="auto"/>
      </w:divBdr>
    </w:div>
    <w:div w:id="288243460">
      <w:bodyDiv w:val="1"/>
      <w:marLeft w:val="0"/>
      <w:marRight w:val="0"/>
      <w:marTop w:val="0"/>
      <w:marBottom w:val="0"/>
      <w:divBdr>
        <w:top w:val="none" w:sz="0" w:space="0" w:color="auto"/>
        <w:left w:val="none" w:sz="0" w:space="0" w:color="auto"/>
        <w:bottom w:val="none" w:sz="0" w:space="0" w:color="auto"/>
        <w:right w:val="none" w:sz="0" w:space="0" w:color="auto"/>
      </w:divBdr>
    </w:div>
    <w:div w:id="307826153">
      <w:bodyDiv w:val="1"/>
      <w:marLeft w:val="0"/>
      <w:marRight w:val="0"/>
      <w:marTop w:val="0"/>
      <w:marBottom w:val="0"/>
      <w:divBdr>
        <w:top w:val="none" w:sz="0" w:space="0" w:color="auto"/>
        <w:left w:val="none" w:sz="0" w:space="0" w:color="auto"/>
        <w:bottom w:val="none" w:sz="0" w:space="0" w:color="auto"/>
        <w:right w:val="none" w:sz="0" w:space="0" w:color="auto"/>
      </w:divBdr>
    </w:div>
    <w:div w:id="312220546">
      <w:bodyDiv w:val="1"/>
      <w:marLeft w:val="0"/>
      <w:marRight w:val="0"/>
      <w:marTop w:val="0"/>
      <w:marBottom w:val="0"/>
      <w:divBdr>
        <w:top w:val="none" w:sz="0" w:space="0" w:color="auto"/>
        <w:left w:val="none" w:sz="0" w:space="0" w:color="auto"/>
        <w:bottom w:val="none" w:sz="0" w:space="0" w:color="auto"/>
        <w:right w:val="none" w:sz="0" w:space="0" w:color="auto"/>
      </w:divBdr>
    </w:div>
    <w:div w:id="319120704">
      <w:bodyDiv w:val="1"/>
      <w:marLeft w:val="0"/>
      <w:marRight w:val="0"/>
      <w:marTop w:val="0"/>
      <w:marBottom w:val="0"/>
      <w:divBdr>
        <w:top w:val="none" w:sz="0" w:space="0" w:color="auto"/>
        <w:left w:val="none" w:sz="0" w:space="0" w:color="auto"/>
        <w:bottom w:val="none" w:sz="0" w:space="0" w:color="auto"/>
        <w:right w:val="none" w:sz="0" w:space="0" w:color="auto"/>
      </w:divBdr>
    </w:div>
    <w:div w:id="335770541">
      <w:bodyDiv w:val="1"/>
      <w:marLeft w:val="0"/>
      <w:marRight w:val="0"/>
      <w:marTop w:val="0"/>
      <w:marBottom w:val="0"/>
      <w:divBdr>
        <w:top w:val="none" w:sz="0" w:space="0" w:color="auto"/>
        <w:left w:val="none" w:sz="0" w:space="0" w:color="auto"/>
        <w:bottom w:val="none" w:sz="0" w:space="0" w:color="auto"/>
        <w:right w:val="none" w:sz="0" w:space="0" w:color="auto"/>
      </w:divBdr>
    </w:div>
    <w:div w:id="335810572">
      <w:bodyDiv w:val="1"/>
      <w:marLeft w:val="0"/>
      <w:marRight w:val="0"/>
      <w:marTop w:val="0"/>
      <w:marBottom w:val="0"/>
      <w:divBdr>
        <w:top w:val="none" w:sz="0" w:space="0" w:color="auto"/>
        <w:left w:val="none" w:sz="0" w:space="0" w:color="auto"/>
        <w:bottom w:val="none" w:sz="0" w:space="0" w:color="auto"/>
        <w:right w:val="none" w:sz="0" w:space="0" w:color="auto"/>
      </w:divBdr>
    </w:div>
    <w:div w:id="337317114">
      <w:bodyDiv w:val="1"/>
      <w:marLeft w:val="0"/>
      <w:marRight w:val="0"/>
      <w:marTop w:val="0"/>
      <w:marBottom w:val="0"/>
      <w:divBdr>
        <w:top w:val="none" w:sz="0" w:space="0" w:color="auto"/>
        <w:left w:val="none" w:sz="0" w:space="0" w:color="auto"/>
        <w:bottom w:val="none" w:sz="0" w:space="0" w:color="auto"/>
        <w:right w:val="none" w:sz="0" w:space="0" w:color="auto"/>
      </w:divBdr>
    </w:div>
    <w:div w:id="341124402">
      <w:bodyDiv w:val="1"/>
      <w:marLeft w:val="0"/>
      <w:marRight w:val="0"/>
      <w:marTop w:val="0"/>
      <w:marBottom w:val="0"/>
      <w:divBdr>
        <w:top w:val="none" w:sz="0" w:space="0" w:color="auto"/>
        <w:left w:val="none" w:sz="0" w:space="0" w:color="auto"/>
        <w:bottom w:val="none" w:sz="0" w:space="0" w:color="auto"/>
        <w:right w:val="none" w:sz="0" w:space="0" w:color="auto"/>
      </w:divBdr>
    </w:div>
    <w:div w:id="361513863">
      <w:bodyDiv w:val="1"/>
      <w:marLeft w:val="0"/>
      <w:marRight w:val="0"/>
      <w:marTop w:val="0"/>
      <w:marBottom w:val="0"/>
      <w:divBdr>
        <w:top w:val="none" w:sz="0" w:space="0" w:color="auto"/>
        <w:left w:val="none" w:sz="0" w:space="0" w:color="auto"/>
        <w:bottom w:val="none" w:sz="0" w:space="0" w:color="auto"/>
        <w:right w:val="none" w:sz="0" w:space="0" w:color="auto"/>
      </w:divBdr>
    </w:div>
    <w:div w:id="375128460">
      <w:bodyDiv w:val="1"/>
      <w:marLeft w:val="0"/>
      <w:marRight w:val="0"/>
      <w:marTop w:val="0"/>
      <w:marBottom w:val="0"/>
      <w:divBdr>
        <w:top w:val="none" w:sz="0" w:space="0" w:color="auto"/>
        <w:left w:val="none" w:sz="0" w:space="0" w:color="auto"/>
        <w:bottom w:val="none" w:sz="0" w:space="0" w:color="auto"/>
        <w:right w:val="none" w:sz="0" w:space="0" w:color="auto"/>
      </w:divBdr>
    </w:div>
    <w:div w:id="396394422">
      <w:bodyDiv w:val="1"/>
      <w:marLeft w:val="0"/>
      <w:marRight w:val="0"/>
      <w:marTop w:val="0"/>
      <w:marBottom w:val="0"/>
      <w:divBdr>
        <w:top w:val="none" w:sz="0" w:space="0" w:color="auto"/>
        <w:left w:val="none" w:sz="0" w:space="0" w:color="auto"/>
        <w:bottom w:val="none" w:sz="0" w:space="0" w:color="auto"/>
        <w:right w:val="none" w:sz="0" w:space="0" w:color="auto"/>
      </w:divBdr>
    </w:div>
    <w:div w:id="408574239">
      <w:bodyDiv w:val="1"/>
      <w:marLeft w:val="0"/>
      <w:marRight w:val="0"/>
      <w:marTop w:val="0"/>
      <w:marBottom w:val="0"/>
      <w:divBdr>
        <w:top w:val="none" w:sz="0" w:space="0" w:color="auto"/>
        <w:left w:val="none" w:sz="0" w:space="0" w:color="auto"/>
        <w:bottom w:val="none" w:sz="0" w:space="0" w:color="auto"/>
        <w:right w:val="none" w:sz="0" w:space="0" w:color="auto"/>
      </w:divBdr>
    </w:div>
    <w:div w:id="459541787">
      <w:bodyDiv w:val="1"/>
      <w:marLeft w:val="0"/>
      <w:marRight w:val="0"/>
      <w:marTop w:val="0"/>
      <w:marBottom w:val="0"/>
      <w:divBdr>
        <w:top w:val="none" w:sz="0" w:space="0" w:color="auto"/>
        <w:left w:val="none" w:sz="0" w:space="0" w:color="auto"/>
        <w:bottom w:val="none" w:sz="0" w:space="0" w:color="auto"/>
        <w:right w:val="none" w:sz="0" w:space="0" w:color="auto"/>
      </w:divBdr>
    </w:div>
    <w:div w:id="463543409">
      <w:bodyDiv w:val="1"/>
      <w:marLeft w:val="0"/>
      <w:marRight w:val="0"/>
      <w:marTop w:val="0"/>
      <w:marBottom w:val="0"/>
      <w:divBdr>
        <w:top w:val="none" w:sz="0" w:space="0" w:color="auto"/>
        <w:left w:val="none" w:sz="0" w:space="0" w:color="auto"/>
        <w:bottom w:val="none" w:sz="0" w:space="0" w:color="auto"/>
        <w:right w:val="none" w:sz="0" w:space="0" w:color="auto"/>
      </w:divBdr>
    </w:div>
    <w:div w:id="469175186">
      <w:bodyDiv w:val="1"/>
      <w:marLeft w:val="0"/>
      <w:marRight w:val="0"/>
      <w:marTop w:val="0"/>
      <w:marBottom w:val="0"/>
      <w:divBdr>
        <w:top w:val="none" w:sz="0" w:space="0" w:color="auto"/>
        <w:left w:val="none" w:sz="0" w:space="0" w:color="auto"/>
        <w:bottom w:val="none" w:sz="0" w:space="0" w:color="auto"/>
        <w:right w:val="none" w:sz="0" w:space="0" w:color="auto"/>
      </w:divBdr>
    </w:div>
    <w:div w:id="482739731">
      <w:bodyDiv w:val="1"/>
      <w:marLeft w:val="0"/>
      <w:marRight w:val="0"/>
      <w:marTop w:val="0"/>
      <w:marBottom w:val="0"/>
      <w:divBdr>
        <w:top w:val="none" w:sz="0" w:space="0" w:color="auto"/>
        <w:left w:val="none" w:sz="0" w:space="0" w:color="auto"/>
        <w:bottom w:val="none" w:sz="0" w:space="0" w:color="auto"/>
        <w:right w:val="none" w:sz="0" w:space="0" w:color="auto"/>
      </w:divBdr>
    </w:div>
    <w:div w:id="506674663">
      <w:bodyDiv w:val="1"/>
      <w:marLeft w:val="0"/>
      <w:marRight w:val="0"/>
      <w:marTop w:val="0"/>
      <w:marBottom w:val="0"/>
      <w:divBdr>
        <w:top w:val="none" w:sz="0" w:space="0" w:color="auto"/>
        <w:left w:val="none" w:sz="0" w:space="0" w:color="auto"/>
        <w:bottom w:val="none" w:sz="0" w:space="0" w:color="auto"/>
        <w:right w:val="none" w:sz="0" w:space="0" w:color="auto"/>
      </w:divBdr>
    </w:div>
    <w:div w:id="515071765">
      <w:bodyDiv w:val="1"/>
      <w:marLeft w:val="0"/>
      <w:marRight w:val="0"/>
      <w:marTop w:val="0"/>
      <w:marBottom w:val="0"/>
      <w:divBdr>
        <w:top w:val="none" w:sz="0" w:space="0" w:color="auto"/>
        <w:left w:val="none" w:sz="0" w:space="0" w:color="auto"/>
        <w:bottom w:val="none" w:sz="0" w:space="0" w:color="auto"/>
        <w:right w:val="none" w:sz="0" w:space="0" w:color="auto"/>
      </w:divBdr>
    </w:div>
    <w:div w:id="515075729">
      <w:bodyDiv w:val="1"/>
      <w:marLeft w:val="0"/>
      <w:marRight w:val="0"/>
      <w:marTop w:val="0"/>
      <w:marBottom w:val="0"/>
      <w:divBdr>
        <w:top w:val="none" w:sz="0" w:space="0" w:color="auto"/>
        <w:left w:val="none" w:sz="0" w:space="0" w:color="auto"/>
        <w:bottom w:val="none" w:sz="0" w:space="0" w:color="auto"/>
        <w:right w:val="none" w:sz="0" w:space="0" w:color="auto"/>
      </w:divBdr>
    </w:div>
    <w:div w:id="547306188">
      <w:bodyDiv w:val="1"/>
      <w:marLeft w:val="0"/>
      <w:marRight w:val="0"/>
      <w:marTop w:val="0"/>
      <w:marBottom w:val="0"/>
      <w:divBdr>
        <w:top w:val="none" w:sz="0" w:space="0" w:color="auto"/>
        <w:left w:val="none" w:sz="0" w:space="0" w:color="auto"/>
        <w:bottom w:val="none" w:sz="0" w:space="0" w:color="auto"/>
        <w:right w:val="none" w:sz="0" w:space="0" w:color="auto"/>
      </w:divBdr>
    </w:div>
    <w:div w:id="569540167">
      <w:bodyDiv w:val="1"/>
      <w:marLeft w:val="0"/>
      <w:marRight w:val="0"/>
      <w:marTop w:val="0"/>
      <w:marBottom w:val="0"/>
      <w:divBdr>
        <w:top w:val="none" w:sz="0" w:space="0" w:color="auto"/>
        <w:left w:val="none" w:sz="0" w:space="0" w:color="auto"/>
        <w:bottom w:val="none" w:sz="0" w:space="0" w:color="auto"/>
        <w:right w:val="none" w:sz="0" w:space="0" w:color="auto"/>
      </w:divBdr>
    </w:div>
    <w:div w:id="570582445">
      <w:bodyDiv w:val="1"/>
      <w:marLeft w:val="0"/>
      <w:marRight w:val="0"/>
      <w:marTop w:val="0"/>
      <w:marBottom w:val="0"/>
      <w:divBdr>
        <w:top w:val="none" w:sz="0" w:space="0" w:color="auto"/>
        <w:left w:val="none" w:sz="0" w:space="0" w:color="auto"/>
        <w:bottom w:val="none" w:sz="0" w:space="0" w:color="auto"/>
        <w:right w:val="none" w:sz="0" w:space="0" w:color="auto"/>
      </w:divBdr>
    </w:div>
    <w:div w:id="573977626">
      <w:bodyDiv w:val="1"/>
      <w:marLeft w:val="0"/>
      <w:marRight w:val="0"/>
      <w:marTop w:val="0"/>
      <w:marBottom w:val="0"/>
      <w:divBdr>
        <w:top w:val="none" w:sz="0" w:space="0" w:color="auto"/>
        <w:left w:val="none" w:sz="0" w:space="0" w:color="auto"/>
        <w:bottom w:val="none" w:sz="0" w:space="0" w:color="auto"/>
        <w:right w:val="none" w:sz="0" w:space="0" w:color="auto"/>
      </w:divBdr>
    </w:div>
    <w:div w:id="575826889">
      <w:bodyDiv w:val="1"/>
      <w:marLeft w:val="0"/>
      <w:marRight w:val="0"/>
      <w:marTop w:val="0"/>
      <w:marBottom w:val="0"/>
      <w:divBdr>
        <w:top w:val="none" w:sz="0" w:space="0" w:color="auto"/>
        <w:left w:val="none" w:sz="0" w:space="0" w:color="auto"/>
        <w:bottom w:val="none" w:sz="0" w:space="0" w:color="auto"/>
        <w:right w:val="none" w:sz="0" w:space="0" w:color="auto"/>
      </w:divBdr>
    </w:div>
    <w:div w:id="611009979">
      <w:bodyDiv w:val="1"/>
      <w:marLeft w:val="0"/>
      <w:marRight w:val="0"/>
      <w:marTop w:val="0"/>
      <w:marBottom w:val="0"/>
      <w:divBdr>
        <w:top w:val="none" w:sz="0" w:space="0" w:color="auto"/>
        <w:left w:val="none" w:sz="0" w:space="0" w:color="auto"/>
        <w:bottom w:val="none" w:sz="0" w:space="0" w:color="auto"/>
        <w:right w:val="none" w:sz="0" w:space="0" w:color="auto"/>
      </w:divBdr>
    </w:div>
    <w:div w:id="619338640">
      <w:bodyDiv w:val="1"/>
      <w:marLeft w:val="0"/>
      <w:marRight w:val="0"/>
      <w:marTop w:val="0"/>
      <w:marBottom w:val="0"/>
      <w:divBdr>
        <w:top w:val="none" w:sz="0" w:space="0" w:color="auto"/>
        <w:left w:val="none" w:sz="0" w:space="0" w:color="auto"/>
        <w:bottom w:val="none" w:sz="0" w:space="0" w:color="auto"/>
        <w:right w:val="none" w:sz="0" w:space="0" w:color="auto"/>
      </w:divBdr>
    </w:div>
    <w:div w:id="634913716">
      <w:bodyDiv w:val="1"/>
      <w:marLeft w:val="0"/>
      <w:marRight w:val="0"/>
      <w:marTop w:val="0"/>
      <w:marBottom w:val="0"/>
      <w:divBdr>
        <w:top w:val="none" w:sz="0" w:space="0" w:color="auto"/>
        <w:left w:val="none" w:sz="0" w:space="0" w:color="auto"/>
        <w:bottom w:val="none" w:sz="0" w:space="0" w:color="auto"/>
        <w:right w:val="none" w:sz="0" w:space="0" w:color="auto"/>
      </w:divBdr>
    </w:div>
    <w:div w:id="692195981">
      <w:bodyDiv w:val="1"/>
      <w:marLeft w:val="0"/>
      <w:marRight w:val="0"/>
      <w:marTop w:val="0"/>
      <w:marBottom w:val="0"/>
      <w:divBdr>
        <w:top w:val="none" w:sz="0" w:space="0" w:color="auto"/>
        <w:left w:val="none" w:sz="0" w:space="0" w:color="auto"/>
        <w:bottom w:val="none" w:sz="0" w:space="0" w:color="auto"/>
        <w:right w:val="none" w:sz="0" w:space="0" w:color="auto"/>
      </w:divBdr>
    </w:div>
    <w:div w:id="717781399">
      <w:bodyDiv w:val="1"/>
      <w:marLeft w:val="0"/>
      <w:marRight w:val="0"/>
      <w:marTop w:val="0"/>
      <w:marBottom w:val="0"/>
      <w:divBdr>
        <w:top w:val="none" w:sz="0" w:space="0" w:color="auto"/>
        <w:left w:val="none" w:sz="0" w:space="0" w:color="auto"/>
        <w:bottom w:val="none" w:sz="0" w:space="0" w:color="auto"/>
        <w:right w:val="none" w:sz="0" w:space="0" w:color="auto"/>
      </w:divBdr>
    </w:div>
    <w:div w:id="737485227">
      <w:bodyDiv w:val="1"/>
      <w:marLeft w:val="0"/>
      <w:marRight w:val="0"/>
      <w:marTop w:val="0"/>
      <w:marBottom w:val="0"/>
      <w:divBdr>
        <w:top w:val="none" w:sz="0" w:space="0" w:color="auto"/>
        <w:left w:val="none" w:sz="0" w:space="0" w:color="auto"/>
        <w:bottom w:val="none" w:sz="0" w:space="0" w:color="auto"/>
        <w:right w:val="none" w:sz="0" w:space="0" w:color="auto"/>
      </w:divBdr>
    </w:div>
    <w:div w:id="738401525">
      <w:bodyDiv w:val="1"/>
      <w:marLeft w:val="0"/>
      <w:marRight w:val="0"/>
      <w:marTop w:val="0"/>
      <w:marBottom w:val="0"/>
      <w:divBdr>
        <w:top w:val="none" w:sz="0" w:space="0" w:color="auto"/>
        <w:left w:val="none" w:sz="0" w:space="0" w:color="auto"/>
        <w:bottom w:val="none" w:sz="0" w:space="0" w:color="auto"/>
        <w:right w:val="none" w:sz="0" w:space="0" w:color="auto"/>
      </w:divBdr>
    </w:div>
    <w:div w:id="747114522">
      <w:bodyDiv w:val="1"/>
      <w:marLeft w:val="0"/>
      <w:marRight w:val="0"/>
      <w:marTop w:val="0"/>
      <w:marBottom w:val="0"/>
      <w:divBdr>
        <w:top w:val="none" w:sz="0" w:space="0" w:color="auto"/>
        <w:left w:val="none" w:sz="0" w:space="0" w:color="auto"/>
        <w:bottom w:val="none" w:sz="0" w:space="0" w:color="auto"/>
        <w:right w:val="none" w:sz="0" w:space="0" w:color="auto"/>
      </w:divBdr>
    </w:div>
    <w:div w:id="751467976">
      <w:bodyDiv w:val="1"/>
      <w:marLeft w:val="0"/>
      <w:marRight w:val="0"/>
      <w:marTop w:val="0"/>
      <w:marBottom w:val="0"/>
      <w:divBdr>
        <w:top w:val="none" w:sz="0" w:space="0" w:color="auto"/>
        <w:left w:val="none" w:sz="0" w:space="0" w:color="auto"/>
        <w:bottom w:val="none" w:sz="0" w:space="0" w:color="auto"/>
        <w:right w:val="none" w:sz="0" w:space="0" w:color="auto"/>
      </w:divBdr>
    </w:div>
    <w:div w:id="753741285">
      <w:bodyDiv w:val="1"/>
      <w:marLeft w:val="0"/>
      <w:marRight w:val="0"/>
      <w:marTop w:val="0"/>
      <w:marBottom w:val="0"/>
      <w:divBdr>
        <w:top w:val="none" w:sz="0" w:space="0" w:color="auto"/>
        <w:left w:val="none" w:sz="0" w:space="0" w:color="auto"/>
        <w:bottom w:val="none" w:sz="0" w:space="0" w:color="auto"/>
        <w:right w:val="none" w:sz="0" w:space="0" w:color="auto"/>
      </w:divBdr>
    </w:div>
    <w:div w:id="785465991">
      <w:bodyDiv w:val="1"/>
      <w:marLeft w:val="0"/>
      <w:marRight w:val="0"/>
      <w:marTop w:val="0"/>
      <w:marBottom w:val="0"/>
      <w:divBdr>
        <w:top w:val="none" w:sz="0" w:space="0" w:color="auto"/>
        <w:left w:val="none" w:sz="0" w:space="0" w:color="auto"/>
        <w:bottom w:val="none" w:sz="0" w:space="0" w:color="auto"/>
        <w:right w:val="none" w:sz="0" w:space="0" w:color="auto"/>
      </w:divBdr>
    </w:div>
    <w:div w:id="788816139">
      <w:bodyDiv w:val="1"/>
      <w:marLeft w:val="0"/>
      <w:marRight w:val="0"/>
      <w:marTop w:val="0"/>
      <w:marBottom w:val="0"/>
      <w:divBdr>
        <w:top w:val="none" w:sz="0" w:space="0" w:color="auto"/>
        <w:left w:val="none" w:sz="0" w:space="0" w:color="auto"/>
        <w:bottom w:val="none" w:sz="0" w:space="0" w:color="auto"/>
        <w:right w:val="none" w:sz="0" w:space="0" w:color="auto"/>
      </w:divBdr>
    </w:div>
    <w:div w:id="809053975">
      <w:bodyDiv w:val="1"/>
      <w:marLeft w:val="0"/>
      <w:marRight w:val="0"/>
      <w:marTop w:val="0"/>
      <w:marBottom w:val="0"/>
      <w:divBdr>
        <w:top w:val="none" w:sz="0" w:space="0" w:color="auto"/>
        <w:left w:val="none" w:sz="0" w:space="0" w:color="auto"/>
        <w:bottom w:val="none" w:sz="0" w:space="0" w:color="auto"/>
        <w:right w:val="none" w:sz="0" w:space="0" w:color="auto"/>
      </w:divBdr>
    </w:div>
    <w:div w:id="833489476">
      <w:bodyDiv w:val="1"/>
      <w:marLeft w:val="0"/>
      <w:marRight w:val="0"/>
      <w:marTop w:val="0"/>
      <w:marBottom w:val="0"/>
      <w:divBdr>
        <w:top w:val="none" w:sz="0" w:space="0" w:color="auto"/>
        <w:left w:val="none" w:sz="0" w:space="0" w:color="auto"/>
        <w:bottom w:val="none" w:sz="0" w:space="0" w:color="auto"/>
        <w:right w:val="none" w:sz="0" w:space="0" w:color="auto"/>
      </w:divBdr>
    </w:div>
    <w:div w:id="856232773">
      <w:bodyDiv w:val="1"/>
      <w:marLeft w:val="0"/>
      <w:marRight w:val="0"/>
      <w:marTop w:val="0"/>
      <w:marBottom w:val="0"/>
      <w:divBdr>
        <w:top w:val="none" w:sz="0" w:space="0" w:color="auto"/>
        <w:left w:val="none" w:sz="0" w:space="0" w:color="auto"/>
        <w:bottom w:val="none" w:sz="0" w:space="0" w:color="auto"/>
        <w:right w:val="none" w:sz="0" w:space="0" w:color="auto"/>
      </w:divBdr>
    </w:div>
    <w:div w:id="867648054">
      <w:bodyDiv w:val="1"/>
      <w:marLeft w:val="0"/>
      <w:marRight w:val="0"/>
      <w:marTop w:val="0"/>
      <w:marBottom w:val="0"/>
      <w:divBdr>
        <w:top w:val="none" w:sz="0" w:space="0" w:color="auto"/>
        <w:left w:val="none" w:sz="0" w:space="0" w:color="auto"/>
        <w:bottom w:val="none" w:sz="0" w:space="0" w:color="auto"/>
        <w:right w:val="none" w:sz="0" w:space="0" w:color="auto"/>
      </w:divBdr>
    </w:div>
    <w:div w:id="875892781">
      <w:bodyDiv w:val="1"/>
      <w:marLeft w:val="0"/>
      <w:marRight w:val="0"/>
      <w:marTop w:val="0"/>
      <w:marBottom w:val="0"/>
      <w:divBdr>
        <w:top w:val="none" w:sz="0" w:space="0" w:color="auto"/>
        <w:left w:val="none" w:sz="0" w:space="0" w:color="auto"/>
        <w:bottom w:val="none" w:sz="0" w:space="0" w:color="auto"/>
        <w:right w:val="none" w:sz="0" w:space="0" w:color="auto"/>
      </w:divBdr>
    </w:div>
    <w:div w:id="898445456">
      <w:bodyDiv w:val="1"/>
      <w:marLeft w:val="0"/>
      <w:marRight w:val="0"/>
      <w:marTop w:val="0"/>
      <w:marBottom w:val="0"/>
      <w:divBdr>
        <w:top w:val="none" w:sz="0" w:space="0" w:color="auto"/>
        <w:left w:val="none" w:sz="0" w:space="0" w:color="auto"/>
        <w:bottom w:val="none" w:sz="0" w:space="0" w:color="auto"/>
        <w:right w:val="none" w:sz="0" w:space="0" w:color="auto"/>
      </w:divBdr>
    </w:div>
    <w:div w:id="905607859">
      <w:bodyDiv w:val="1"/>
      <w:marLeft w:val="0"/>
      <w:marRight w:val="0"/>
      <w:marTop w:val="0"/>
      <w:marBottom w:val="0"/>
      <w:divBdr>
        <w:top w:val="none" w:sz="0" w:space="0" w:color="auto"/>
        <w:left w:val="none" w:sz="0" w:space="0" w:color="auto"/>
        <w:bottom w:val="none" w:sz="0" w:space="0" w:color="auto"/>
        <w:right w:val="none" w:sz="0" w:space="0" w:color="auto"/>
      </w:divBdr>
    </w:div>
    <w:div w:id="912008756">
      <w:bodyDiv w:val="1"/>
      <w:marLeft w:val="0"/>
      <w:marRight w:val="0"/>
      <w:marTop w:val="0"/>
      <w:marBottom w:val="0"/>
      <w:divBdr>
        <w:top w:val="none" w:sz="0" w:space="0" w:color="auto"/>
        <w:left w:val="none" w:sz="0" w:space="0" w:color="auto"/>
        <w:bottom w:val="none" w:sz="0" w:space="0" w:color="auto"/>
        <w:right w:val="none" w:sz="0" w:space="0" w:color="auto"/>
      </w:divBdr>
    </w:div>
    <w:div w:id="919487256">
      <w:bodyDiv w:val="1"/>
      <w:marLeft w:val="0"/>
      <w:marRight w:val="0"/>
      <w:marTop w:val="0"/>
      <w:marBottom w:val="0"/>
      <w:divBdr>
        <w:top w:val="none" w:sz="0" w:space="0" w:color="auto"/>
        <w:left w:val="none" w:sz="0" w:space="0" w:color="auto"/>
        <w:bottom w:val="none" w:sz="0" w:space="0" w:color="auto"/>
        <w:right w:val="none" w:sz="0" w:space="0" w:color="auto"/>
      </w:divBdr>
    </w:div>
    <w:div w:id="920062302">
      <w:bodyDiv w:val="1"/>
      <w:marLeft w:val="0"/>
      <w:marRight w:val="0"/>
      <w:marTop w:val="0"/>
      <w:marBottom w:val="0"/>
      <w:divBdr>
        <w:top w:val="none" w:sz="0" w:space="0" w:color="auto"/>
        <w:left w:val="none" w:sz="0" w:space="0" w:color="auto"/>
        <w:bottom w:val="none" w:sz="0" w:space="0" w:color="auto"/>
        <w:right w:val="none" w:sz="0" w:space="0" w:color="auto"/>
      </w:divBdr>
    </w:div>
    <w:div w:id="1008798783">
      <w:bodyDiv w:val="1"/>
      <w:marLeft w:val="0"/>
      <w:marRight w:val="0"/>
      <w:marTop w:val="0"/>
      <w:marBottom w:val="0"/>
      <w:divBdr>
        <w:top w:val="none" w:sz="0" w:space="0" w:color="auto"/>
        <w:left w:val="none" w:sz="0" w:space="0" w:color="auto"/>
        <w:bottom w:val="none" w:sz="0" w:space="0" w:color="auto"/>
        <w:right w:val="none" w:sz="0" w:space="0" w:color="auto"/>
      </w:divBdr>
    </w:div>
    <w:div w:id="1016617417">
      <w:bodyDiv w:val="1"/>
      <w:marLeft w:val="0"/>
      <w:marRight w:val="0"/>
      <w:marTop w:val="0"/>
      <w:marBottom w:val="0"/>
      <w:divBdr>
        <w:top w:val="none" w:sz="0" w:space="0" w:color="auto"/>
        <w:left w:val="none" w:sz="0" w:space="0" w:color="auto"/>
        <w:bottom w:val="none" w:sz="0" w:space="0" w:color="auto"/>
        <w:right w:val="none" w:sz="0" w:space="0" w:color="auto"/>
      </w:divBdr>
    </w:div>
    <w:div w:id="1022170110">
      <w:bodyDiv w:val="1"/>
      <w:marLeft w:val="0"/>
      <w:marRight w:val="0"/>
      <w:marTop w:val="0"/>
      <w:marBottom w:val="0"/>
      <w:divBdr>
        <w:top w:val="none" w:sz="0" w:space="0" w:color="auto"/>
        <w:left w:val="none" w:sz="0" w:space="0" w:color="auto"/>
        <w:bottom w:val="none" w:sz="0" w:space="0" w:color="auto"/>
        <w:right w:val="none" w:sz="0" w:space="0" w:color="auto"/>
      </w:divBdr>
    </w:div>
    <w:div w:id="1027562075">
      <w:bodyDiv w:val="1"/>
      <w:marLeft w:val="0"/>
      <w:marRight w:val="0"/>
      <w:marTop w:val="0"/>
      <w:marBottom w:val="0"/>
      <w:divBdr>
        <w:top w:val="none" w:sz="0" w:space="0" w:color="auto"/>
        <w:left w:val="none" w:sz="0" w:space="0" w:color="auto"/>
        <w:bottom w:val="none" w:sz="0" w:space="0" w:color="auto"/>
        <w:right w:val="none" w:sz="0" w:space="0" w:color="auto"/>
      </w:divBdr>
    </w:div>
    <w:div w:id="1034312351">
      <w:bodyDiv w:val="1"/>
      <w:marLeft w:val="0"/>
      <w:marRight w:val="0"/>
      <w:marTop w:val="0"/>
      <w:marBottom w:val="0"/>
      <w:divBdr>
        <w:top w:val="none" w:sz="0" w:space="0" w:color="auto"/>
        <w:left w:val="none" w:sz="0" w:space="0" w:color="auto"/>
        <w:bottom w:val="none" w:sz="0" w:space="0" w:color="auto"/>
        <w:right w:val="none" w:sz="0" w:space="0" w:color="auto"/>
      </w:divBdr>
    </w:div>
    <w:div w:id="1034768778">
      <w:bodyDiv w:val="1"/>
      <w:marLeft w:val="0"/>
      <w:marRight w:val="0"/>
      <w:marTop w:val="0"/>
      <w:marBottom w:val="0"/>
      <w:divBdr>
        <w:top w:val="none" w:sz="0" w:space="0" w:color="auto"/>
        <w:left w:val="none" w:sz="0" w:space="0" w:color="auto"/>
        <w:bottom w:val="none" w:sz="0" w:space="0" w:color="auto"/>
        <w:right w:val="none" w:sz="0" w:space="0" w:color="auto"/>
      </w:divBdr>
    </w:div>
    <w:div w:id="1064449910">
      <w:bodyDiv w:val="1"/>
      <w:marLeft w:val="0"/>
      <w:marRight w:val="0"/>
      <w:marTop w:val="0"/>
      <w:marBottom w:val="0"/>
      <w:divBdr>
        <w:top w:val="none" w:sz="0" w:space="0" w:color="auto"/>
        <w:left w:val="none" w:sz="0" w:space="0" w:color="auto"/>
        <w:bottom w:val="none" w:sz="0" w:space="0" w:color="auto"/>
        <w:right w:val="none" w:sz="0" w:space="0" w:color="auto"/>
      </w:divBdr>
    </w:div>
    <w:div w:id="1076784869">
      <w:bodyDiv w:val="1"/>
      <w:marLeft w:val="0"/>
      <w:marRight w:val="0"/>
      <w:marTop w:val="0"/>
      <w:marBottom w:val="0"/>
      <w:divBdr>
        <w:top w:val="none" w:sz="0" w:space="0" w:color="auto"/>
        <w:left w:val="none" w:sz="0" w:space="0" w:color="auto"/>
        <w:bottom w:val="none" w:sz="0" w:space="0" w:color="auto"/>
        <w:right w:val="none" w:sz="0" w:space="0" w:color="auto"/>
      </w:divBdr>
    </w:div>
    <w:div w:id="1091508062">
      <w:bodyDiv w:val="1"/>
      <w:marLeft w:val="0"/>
      <w:marRight w:val="0"/>
      <w:marTop w:val="0"/>
      <w:marBottom w:val="0"/>
      <w:divBdr>
        <w:top w:val="none" w:sz="0" w:space="0" w:color="auto"/>
        <w:left w:val="none" w:sz="0" w:space="0" w:color="auto"/>
        <w:bottom w:val="none" w:sz="0" w:space="0" w:color="auto"/>
        <w:right w:val="none" w:sz="0" w:space="0" w:color="auto"/>
      </w:divBdr>
    </w:div>
    <w:div w:id="1103309311">
      <w:bodyDiv w:val="1"/>
      <w:marLeft w:val="0"/>
      <w:marRight w:val="0"/>
      <w:marTop w:val="0"/>
      <w:marBottom w:val="0"/>
      <w:divBdr>
        <w:top w:val="none" w:sz="0" w:space="0" w:color="auto"/>
        <w:left w:val="none" w:sz="0" w:space="0" w:color="auto"/>
        <w:bottom w:val="none" w:sz="0" w:space="0" w:color="auto"/>
        <w:right w:val="none" w:sz="0" w:space="0" w:color="auto"/>
      </w:divBdr>
    </w:div>
    <w:div w:id="1103502850">
      <w:bodyDiv w:val="1"/>
      <w:marLeft w:val="0"/>
      <w:marRight w:val="0"/>
      <w:marTop w:val="0"/>
      <w:marBottom w:val="0"/>
      <w:divBdr>
        <w:top w:val="none" w:sz="0" w:space="0" w:color="auto"/>
        <w:left w:val="none" w:sz="0" w:space="0" w:color="auto"/>
        <w:bottom w:val="none" w:sz="0" w:space="0" w:color="auto"/>
        <w:right w:val="none" w:sz="0" w:space="0" w:color="auto"/>
      </w:divBdr>
    </w:div>
    <w:div w:id="1108159558">
      <w:bodyDiv w:val="1"/>
      <w:marLeft w:val="0"/>
      <w:marRight w:val="0"/>
      <w:marTop w:val="0"/>
      <w:marBottom w:val="0"/>
      <w:divBdr>
        <w:top w:val="none" w:sz="0" w:space="0" w:color="auto"/>
        <w:left w:val="none" w:sz="0" w:space="0" w:color="auto"/>
        <w:bottom w:val="none" w:sz="0" w:space="0" w:color="auto"/>
        <w:right w:val="none" w:sz="0" w:space="0" w:color="auto"/>
      </w:divBdr>
    </w:div>
    <w:div w:id="1113089760">
      <w:bodyDiv w:val="1"/>
      <w:marLeft w:val="0"/>
      <w:marRight w:val="0"/>
      <w:marTop w:val="0"/>
      <w:marBottom w:val="0"/>
      <w:divBdr>
        <w:top w:val="none" w:sz="0" w:space="0" w:color="auto"/>
        <w:left w:val="none" w:sz="0" w:space="0" w:color="auto"/>
        <w:bottom w:val="none" w:sz="0" w:space="0" w:color="auto"/>
        <w:right w:val="none" w:sz="0" w:space="0" w:color="auto"/>
      </w:divBdr>
    </w:div>
    <w:div w:id="1129938112">
      <w:bodyDiv w:val="1"/>
      <w:marLeft w:val="0"/>
      <w:marRight w:val="0"/>
      <w:marTop w:val="0"/>
      <w:marBottom w:val="0"/>
      <w:divBdr>
        <w:top w:val="none" w:sz="0" w:space="0" w:color="auto"/>
        <w:left w:val="none" w:sz="0" w:space="0" w:color="auto"/>
        <w:bottom w:val="none" w:sz="0" w:space="0" w:color="auto"/>
        <w:right w:val="none" w:sz="0" w:space="0" w:color="auto"/>
      </w:divBdr>
    </w:div>
    <w:div w:id="1129975993">
      <w:bodyDiv w:val="1"/>
      <w:marLeft w:val="0"/>
      <w:marRight w:val="0"/>
      <w:marTop w:val="0"/>
      <w:marBottom w:val="0"/>
      <w:divBdr>
        <w:top w:val="none" w:sz="0" w:space="0" w:color="auto"/>
        <w:left w:val="none" w:sz="0" w:space="0" w:color="auto"/>
        <w:bottom w:val="none" w:sz="0" w:space="0" w:color="auto"/>
        <w:right w:val="none" w:sz="0" w:space="0" w:color="auto"/>
      </w:divBdr>
    </w:div>
    <w:div w:id="1141996853">
      <w:bodyDiv w:val="1"/>
      <w:marLeft w:val="0"/>
      <w:marRight w:val="0"/>
      <w:marTop w:val="0"/>
      <w:marBottom w:val="0"/>
      <w:divBdr>
        <w:top w:val="none" w:sz="0" w:space="0" w:color="auto"/>
        <w:left w:val="none" w:sz="0" w:space="0" w:color="auto"/>
        <w:bottom w:val="none" w:sz="0" w:space="0" w:color="auto"/>
        <w:right w:val="none" w:sz="0" w:space="0" w:color="auto"/>
      </w:divBdr>
    </w:div>
    <w:div w:id="1171287913">
      <w:bodyDiv w:val="1"/>
      <w:marLeft w:val="0"/>
      <w:marRight w:val="0"/>
      <w:marTop w:val="0"/>
      <w:marBottom w:val="0"/>
      <w:divBdr>
        <w:top w:val="none" w:sz="0" w:space="0" w:color="auto"/>
        <w:left w:val="none" w:sz="0" w:space="0" w:color="auto"/>
        <w:bottom w:val="none" w:sz="0" w:space="0" w:color="auto"/>
        <w:right w:val="none" w:sz="0" w:space="0" w:color="auto"/>
      </w:divBdr>
    </w:div>
    <w:div w:id="1214270980">
      <w:bodyDiv w:val="1"/>
      <w:marLeft w:val="0"/>
      <w:marRight w:val="0"/>
      <w:marTop w:val="0"/>
      <w:marBottom w:val="0"/>
      <w:divBdr>
        <w:top w:val="none" w:sz="0" w:space="0" w:color="auto"/>
        <w:left w:val="none" w:sz="0" w:space="0" w:color="auto"/>
        <w:bottom w:val="none" w:sz="0" w:space="0" w:color="auto"/>
        <w:right w:val="none" w:sz="0" w:space="0" w:color="auto"/>
      </w:divBdr>
    </w:div>
    <w:div w:id="1238589811">
      <w:bodyDiv w:val="1"/>
      <w:marLeft w:val="0"/>
      <w:marRight w:val="0"/>
      <w:marTop w:val="0"/>
      <w:marBottom w:val="0"/>
      <w:divBdr>
        <w:top w:val="none" w:sz="0" w:space="0" w:color="auto"/>
        <w:left w:val="none" w:sz="0" w:space="0" w:color="auto"/>
        <w:bottom w:val="none" w:sz="0" w:space="0" w:color="auto"/>
        <w:right w:val="none" w:sz="0" w:space="0" w:color="auto"/>
      </w:divBdr>
    </w:div>
    <w:div w:id="1254433828">
      <w:bodyDiv w:val="1"/>
      <w:marLeft w:val="0"/>
      <w:marRight w:val="0"/>
      <w:marTop w:val="0"/>
      <w:marBottom w:val="0"/>
      <w:divBdr>
        <w:top w:val="none" w:sz="0" w:space="0" w:color="auto"/>
        <w:left w:val="none" w:sz="0" w:space="0" w:color="auto"/>
        <w:bottom w:val="none" w:sz="0" w:space="0" w:color="auto"/>
        <w:right w:val="none" w:sz="0" w:space="0" w:color="auto"/>
      </w:divBdr>
    </w:div>
    <w:div w:id="1262760001">
      <w:bodyDiv w:val="1"/>
      <w:marLeft w:val="0"/>
      <w:marRight w:val="0"/>
      <w:marTop w:val="0"/>
      <w:marBottom w:val="0"/>
      <w:divBdr>
        <w:top w:val="none" w:sz="0" w:space="0" w:color="auto"/>
        <w:left w:val="none" w:sz="0" w:space="0" w:color="auto"/>
        <w:bottom w:val="none" w:sz="0" w:space="0" w:color="auto"/>
        <w:right w:val="none" w:sz="0" w:space="0" w:color="auto"/>
      </w:divBdr>
    </w:div>
    <w:div w:id="1271161479">
      <w:bodyDiv w:val="1"/>
      <w:marLeft w:val="0"/>
      <w:marRight w:val="0"/>
      <w:marTop w:val="0"/>
      <w:marBottom w:val="0"/>
      <w:divBdr>
        <w:top w:val="none" w:sz="0" w:space="0" w:color="auto"/>
        <w:left w:val="none" w:sz="0" w:space="0" w:color="auto"/>
        <w:bottom w:val="none" w:sz="0" w:space="0" w:color="auto"/>
        <w:right w:val="none" w:sz="0" w:space="0" w:color="auto"/>
      </w:divBdr>
    </w:div>
    <w:div w:id="1280455586">
      <w:bodyDiv w:val="1"/>
      <w:marLeft w:val="0"/>
      <w:marRight w:val="0"/>
      <w:marTop w:val="0"/>
      <w:marBottom w:val="0"/>
      <w:divBdr>
        <w:top w:val="none" w:sz="0" w:space="0" w:color="auto"/>
        <w:left w:val="none" w:sz="0" w:space="0" w:color="auto"/>
        <w:bottom w:val="none" w:sz="0" w:space="0" w:color="auto"/>
        <w:right w:val="none" w:sz="0" w:space="0" w:color="auto"/>
      </w:divBdr>
    </w:div>
    <w:div w:id="1306277941">
      <w:bodyDiv w:val="1"/>
      <w:marLeft w:val="0"/>
      <w:marRight w:val="0"/>
      <w:marTop w:val="0"/>
      <w:marBottom w:val="0"/>
      <w:divBdr>
        <w:top w:val="none" w:sz="0" w:space="0" w:color="auto"/>
        <w:left w:val="none" w:sz="0" w:space="0" w:color="auto"/>
        <w:bottom w:val="none" w:sz="0" w:space="0" w:color="auto"/>
        <w:right w:val="none" w:sz="0" w:space="0" w:color="auto"/>
      </w:divBdr>
    </w:div>
    <w:div w:id="1312712688">
      <w:bodyDiv w:val="1"/>
      <w:marLeft w:val="0"/>
      <w:marRight w:val="0"/>
      <w:marTop w:val="0"/>
      <w:marBottom w:val="0"/>
      <w:divBdr>
        <w:top w:val="none" w:sz="0" w:space="0" w:color="auto"/>
        <w:left w:val="none" w:sz="0" w:space="0" w:color="auto"/>
        <w:bottom w:val="none" w:sz="0" w:space="0" w:color="auto"/>
        <w:right w:val="none" w:sz="0" w:space="0" w:color="auto"/>
      </w:divBdr>
    </w:div>
    <w:div w:id="1316840459">
      <w:bodyDiv w:val="1"/>
      <w:marLeft w:val="0"/>
      <w:marRight w:val="0"/>
      <w:marTop w:val="0"/>
      <w:marBottom w:val="0"/>
      <w:divBdr>
        <w:top w:val="none" w:sz="0" w:space="0" w:color="auto"/>
        <w:left w:val="none" w:sz="0" w:space="0" w:color="auto"/>
        <w:bottom w:val="none" w:sz="0" w:space="0" w:color="auto"/>
        <w:right w:val="none" w:sz="0" w:space="0" w:color="auto"/>
      </w:divBdr>
    </w:div>
    <w:div w:id="1333068934">
      <w:bodyDiv w:val="1"/>
      <w:marLeft w:val="0"/>
      <w:marRight w:val="0"/>
      <w:marTop w:val="0"/>
      <w:marBottom w:val="0"/>
      <w:divBdr>
        <w:top w:val="none" w:sz="0" w:space="0" w:color="auto"/>
        <w:left w:val="none" w:sz="0" w:space="0" w:color="auto"/>
        <w:bottom w:val="none" w:sz="0" w:space="0" w:color="auto"/>
        <w:right w:val="none" w:sz="0" w:space="0" w:color="auto"/>
      </w:divBdr>
    </w:div>
    <w:div w:id="1335453037">
      <w:bodyDiv w:val="1"/>
      <w:marLeft w:val="0"/>
      <w:marRight w:val="0"/>
      <w:marTop w:val="0"/>
      <w:marBottom w:val="0"/>
      <w:divBdr>
        <w:top w:val="none" w:sz="0" w:space="0" w:color="auto"/>
        <w:left w:val="none" w:sz="0" w:space="0" w:color="auto"/>
        <w:bottom w:val="none" w:sz="0" w:space="0" w:color="auto"/>
        <w:right w:val="none" w:sz="0" w:space="0" w:color="auto"/>
      </w:divBdr>
    </w:div>
    <w:div w:id="1345716322">
      <w:bodyDiv w:val="1"/>
      <w:marLeft w:val="0"/>
      <w:marRight w:val="0"/>
      <w:marTop w:val="0"/>
      <w:marBottom w:val="0"/>
      <w:divBdr>
        <w:top w:val="none" w:sz="0" w:space="0" w:color="auto"/>
        <w:left w:val="none" w:sz="0" w:space="0" w:color="auto"/>
        <w:bottom w:val="none" w:sz="0" w:space="0" w:color="auto"/>
        <w:right w:val="none" w:sz="0" w:space="0" w:color="auto"/>
      </w:divBdr>
    </w:div>
    <w:div w:id="1360156095">
      <w:bodyDiv w:val="1"/>
      <w:marLeft w:val="0"/>
      <w:marRight w:val="0"/>
      <w:marTop w:val="0"/>
      <w:marBottom w:val="0"/>
      <w:divBdr>
        <w:top w:val="none" w:sz="0" w:space="0" w:color="auto"/>
        <w:left w:val="none" w:sz="0" w:space="0" w:color="auto"/>
        <w:bottom w:val="none" w:sz="0" w:space="0" w:color="auto"/>
        <w:right w:val="none" w:sz="0" w:space="0" w:color="auto"/>
      </w:divBdr>
    </w:div>
    <w:div w:id="1369833989">
      <w:bodyDiv w:val="1"/>
      <w:marLeft w:val="0"/>
      <w:marRight w:val="0"/>
      <w:marTop w:val="0"/>
      <w:marBottom w:val="0"/>
      <w:divBdr>
        <w:top w:val="none" w:sz="0" w:space="0" w:color="auto"/>
        <w:left w:val="none" w:sz="0" w:space="0" w:color="auto"/>
        <w:bottom w:val="none" w:sz="0" w:space="0" w:color="auto"/>
        <w:right w:val="none" w:sz="0" w:space="0" w:color="auto"/>
      </w:divBdr>
    </w:div>
    <w:div w:id="1373114305">
      <w:bodyDiv w:val="1"/>
      <w:marLeft w:val="0"/>
      <w:marRight w:val="0"/>
      <w:marTop w:val="0"/>
      <w:marBottom w:val="0"/>
      <w:divBdr>
        <w:top w:val="none" w:sz="0" w:space="0" w:color="auto"/>
        <w:left w:val="none" w:sz="0" w:space="0" w:color="auto"/>
        <w:bottom w:val="none" w:sz="0" w:space="0" w:color="auto"/>
        <w:right w:val="none" w:sz="0" w:space="0" w:color="auto"/>
      </w:divBdr>
    </w:div>
    <w:div w:id="1373771291">
      <w:bodyDiv w:val="1"/>
      <w:marLeft w:val="0"/>
      <w:marRight w:val="0"/>
      <w:marTop w:val="0"/>
      <w:marBottom w:val="0"/>
      <w:divBdr>
        <w:top w:val="none" w:sz="0" w:space="0" w:color="auto"/>
        <w:left w:val="none" w:sz="0" w:space="0" w:color="auto"/>
        <w:bottom w:val="none" w:sz="0" w:space="0" w:color="auto"/>
        <w:right w:val="none" w:sz="0" w:space="0" w:color="auto"/>
      </w:divBdr>
    </w:div>
    <w:div w:id="1382749045">
      <w:bodyDiv w:val="1"/>
      <w:marLeft w:val="0"/>
      <w:marRight w:val="0"/>
      <w:marTop w:val="0"/>
      <w:marBottom w:val="0"/>
      <w:divBdr>
        <w:top w:val="none" w:sz="0" w:space="0" w:color="auto"/>
        <w:left w:val="none" w:sz="0" w:space="0" w:color="auto"/>
        <w:bottom w:val="none" w:sz="0" w:space="0" w:color="auto"/>
        <w:right w:val="none" w:sz="0" w:space="0" w:color="auto"/>
      </w:divBdr>
    </w:div>
    <w:div w:id="1388846252">
      <w:bodyDiv w:val="1"/>
      <w:marLeft w:val="0"/>
      <w:marRight w:val="0"/>
      <w:marTop w:val="0"/>
      <w:marBottom w:val="0"/>
      <w:divBdr>
        <w:top w:val="none" w:sz="0" w:space="0" w:color="auto"/>
        <w:left w:val="none" w:sz="0" w:space="0" w:color="auto"/>
        <w:bottom w:val="none" w:sz="0" w:space="0" w:color="auto"/>
        <w:right w:val="none" w:sz="0" w:space="0" w:color="auto"/>
      </w:divBdr>
    </w:div>
    <w:div w:id="1405448508">
      <w:bodyDiv w:val="1"/>
      <w:marLeft w:val="0"/>
      <w:marRight w:val="0"/>
      <w:marTop w:val="0"/>
      <w:marBottom w:val="0"/>
      <w:divBdr>
        <w:top w:val="none" w:sz="0" w:space="0" w:color="auto"/>
        <w:left w:val="none" w:sz="0" w:space="0" w:color="auto"/>
        <w:bottom w:val="none" w:sz="0" w:space="0" w:color="auto"/>
        <w:right w:val="none" w:sz="0" w:space="0" w:color="auto"/>
      </w:divBdr>
    </w:div>
    <w:div w:id="1415929392">
      <w:bodyDiv w:val="1"/>
      <w:marLeft w:val="0"/>
      <w:marRight w:val="0"/>
      <w:marTop w:val="0"/>
      <w:marBottom w:val="0"/>
      <w:divBdr>
        <w:top w:val="none" w:sz="0" w:space="0" w:color="auto"/>
        <w:left w:val="none" w:sz="0" w:space="0" w:color="auto"/>
        <w:bottom w:val="none" w:sz="0" w:space="0" w:color="auto"/>
        <w:right w:val="none" w:sz="0" w:space="0" w:color="auto"/>
      </w:divBdr>
    </w:div>
    <w:div w:id="1426262251">
      <w:bodyDiv w:val="1"/>
      <w:marLeft w:val="0"/>
      <w:marRight w:val="0"/>
      <w:marTop w:val="0"/>
      <w:marBottom w:val="0"/>
      <w:divBdr>
        <w:top w:val="none" w:sz="0" w:space="0" w:color="auto"/>
        <w:left w:val="none" w:sz="0" w:space="0" w:color="auto"/>
        <w:bottom w:val="none" w:sz="0" w:space="0" w:color="auto"/>
        <w:right w:val="none" w:sz="0" w:space="0" w:color="auto"/>
      </w:divBdr>
    </w:div>
    <w:div w:id="1436511452">
      <w:bodyDiv w:val="1"/>
      <w:marLeft w:val="0"/>
      <w:marRight w:val="0"/>
      <w:marTop w:val="0"/>
      <w:marBottom w:val="0"/>
      <w:divBdr>
        <w:top w:val="none" w:sz="0" w:space="0" w:color="auto"/>
        <w:left w:val="none" w:sz="0" w:space="0" w:color="auto"/>
        <w:bottom w:val="none" w:sz="0" w:space="0" w:color="auto"/>
        <w:right w:val="none" w:sz="0" w:space="0" w:color="auto"/>
      </w:divBdr>
    </w:div>
    <w:div w:id="1442804282">
      <w:bodyDiv w:val="1"/>
      <w:marLeft w:val="0"/>
      <w:marRight w:val="0"/>
      <w:marTop w:val="0"/>
      <w:marBottom w:val="0"/>
      <w:divBdr>
        <w:top w:val="none" w:sz="0" w:space="0" w:color="auto"/>
        <w:left w:val="none" w:sz="0" w:space="0" w:color="auto"/>
        <w:bottom w:val="none" w:sz="0" w:space="0" w:color="auto"/>
        <w:right w:val="none" w:sz="0" w:space="0" w:color="auto"/>
      </w:divBdr>
    </w:div>
    <w:div w:id="1451558258">
      <w:bodyDiv w:val="1"/>
      <w:marLeft w:val="0"/>
      <w:marRight w:val="0"/>
      <w:marTop w:val="0"/>
      <w:marBottom w:val="0"/>
      <w:divBdr>
        <w:top w:val="none" w:sz="0" w:space="0" w:color="auto"/>
        <w:left w:val="none" w:sz="0" w:space="0" w:color="auto"/>
        <w:bottom w:val="none" w:sz="0" w:space="0" w:color="auto"/>
        <w:right w:val="none" w:sz="0" w:space="0" w:color="auto"/>
      </w:divBdr>
    </w:div>
    <w:div w:id="1455324597">
      <w:bodyDiv w:val="1"/>
      <w:marLeft w:val="0"/>
      <w:marRight w:val="0"/>
      <w:marTop w:val="0"/>
      <w:marBottom w:val="0"/>
      <w:divBdr>
        <w:top w:val="none" w:sz="0" w:space="0" w:color="auto"/>
        <w:left w:val="none" w:sz="0" w:space="0" w:color="auto"/>
        <w:bottom w:val="none" w:sz="0" w:space="0" w:color="auto"/>
        <w:right w:val="none" w:sz="0" w:space="0" w:color="auto"/>
      </w:divBdr>
    </w:div>
    <w:div w:id="1461875795">
      <w:bodyDiv w:val="1"/>
      <w:marLeft w:val="0"/>
      <w:marRight w:val="0"/>
      <w:marTop w:val="0"/>
      <w:marBottom w:val="0"/>
      <w:divBdr>
        <w:top w:val="none" w:sz="0" w:space="0" w:color="auto"/>
        <w:left w:val="none" w:sz="0" w:space="0" w:color="auto"/>
        <w:bottom w:val="none" w:sz="0" w:space="0" w:color="auto"/>
        <w:right w:val="none" w:sz="0" w:space="0" w:color="auto"/>
      </w:divBdr>
    </w:div>
    <w:div w:id="1467435104">
      <w:bodyDiv w:val="1"/>
      <w:marLeft w:val="0"/>
      <w:marRight w:val="0"/>
      <w:marTop w:val="0"/>
      <w:marBottom w:val="0"/>
      <w:divBdr>
        <w:top w:val="none" w:sz="0" w:space="0" w:color="auto"/>
        <w:left w:val="none" w:sz="0" w:space="0" w:color="auto"/>
        <w:bottom w:val="none" w:sz="0" w:space="0" w:color="auto"/>
        <w:right w:val="none" w:sz="0" w:space="0" w:color="auto"/>
      </w:divBdr>
    </w:div>
    <w:div w:id="1497921752">
      <w:bodyDiv w:val="1"/>
      <w:marLeft w:val="0"/>
      <w:marRight w:val="0"/>
      <w:marTop w:val="0"/>
      <w:marBottom w:val="0"/>
      <w:divBdr>
        <w:top w:val="none" w:sz="0" w:space="0" w:color="auto"/>
        <w:left w:val="none" w:sz="0" w:space="0" w:color="auto"/>
        <w:bottom w:val="none" w:sz="0" w:space="0" w:color="auto"/>
        <w:right w:val="none" w:sz="0" w:space="0" w:color="auto"/>
      </w:divBdr>
    </w:div>
    <w:div w:id="1507935946">
      <w:bodyDiv w:val="1"/>
      <w:marLeft w:val="0"/>
      <w:marRight w:val="0"/>
      <w:marTop w:val="0"/>
      <w:marBottom w:val="0"/>
      <w:divBdr>
        <w:top w:val="none" w:sz="0" w:space="0" w:color="auto"/>
        <w:left w:val="none" w:sz="0" w:space="0" w:color="auto"/>
        <w:bottom w:val="none" w:sz="0" w:space="0" w:color="auto"/>
        <w:right w:val="none" w:sz="0" w:space="0" w:color="auto"/>
      </w:divBdr>
    </w:div>
    <w:div w:id="1514035053">
      <w:bodyDiv w:val="1"/>
      <w:marLeft w:val="0"/>
      <w:marRight w:val="0"/>
      <w:marTop w:val="0"/>
      <w:marBottom w:val="0"/>
      <w:divBdr>
        <w:top w:val="none" w:sz="0" w:space="0" w:color="auto"/>
        <w:left w:val="none" w:sz="0" w:space="0" w:color="auto"/>
        <w:bottom w:val="none" w:sz="0" w:space="0" w:color="auto"/>
        <w:right w:val="none" w:sz="0" w:space="0" w:color="auto"/>
      </w:divBdr>
    </w:div>
    <w:div w:id="1516648388">
      <w:bodyDiv w:val="1"/>
      <w:marLeft w:val="0"/>
      <w:marRight w:val="0"/>
      <w:marTop w:val="0"/>
      <w:marBottom w:val="0"/>
      <w:divBdr>
        <w:top w:val="none" w:sz="0" w:space="0" w:color="auto"/>
        <w:left w:val="none" w:sz="0" w:space="0" w:color="auto"/>
        <w:bottom w:val="none" w:sz="0" w:space="0" w:color="auto"/>
        <w:right w:val="none" w:sz="0" w:space="0" w:color="auto"/>
      </w:divBdr>
    </w:div>
    <w:div w:id="1562403291">
      <w:bodyDiv w:val="1"/>
      <w:marLeft w:val="0"/>
      <w:marRight w:val="0"/>
      <w:marTop w:val="0"/>
      <w:marBottom w:val="0"/>
      <w:divBdr>
        <w:top w:val="none" w:sz="0" w:space="0" w:color="auto"/>
        <w:left w:val="none" w:sz="0" w:space="0" w:color="auto"/>
        <w:bottom w:val="none" w:sz="0" w:space="0" w:color="auto"/>
        <w:right w:val="none" w:sz="0" w:space="0" w:color="auto"/>
      </w:divBdr>
    </w:div>
    <w:div w:id="1564489322">
      <w:bodyDiv w:val="1"/>
      <w:marLeft w:val="0"/>
      <w:marRight w:val="0"/>
      <w:marTop w:val="0"/>
      <w:marBottom w:val="0"/>
      <w:divBdr>
        <w:top w:val="none" w:sz="0" w:space="0" w:color="auto"/>
        <w:left w:val="none" w:sz="0" w:space="0" w:color="auto"/>
        <w:bottom w:val="none" w:sz="0" w:space="0" w:color="auto"/>
        <w:right w:val="none" w:sz="0" w:space="0" w:color="auto"/>
      </w:divBdr>
    </w:div>
    <w:div w:id="1576738755">
      <w:bodyDiv w:val="1"/>
      <w:marLeft w:val="0"/>
      <w:marRight w:val="0"/>
      <w:marTop w:val="0"/>
      <w:marBottom w:val="0"/>
      <w:divBdr>
        <w:top w:val="none" w:sz="0" w:space="0" w:color="auto"/>
        <w:left w:val="none" w:sz="0" w:space="0" w:color="auto"/>
        <w:bottom w:val="none" w:sz="0" w:space="0" w:color="auto"/>
        <w:right w:val="none" w:sz="0" w:space="0" w:color="auto"/>
      </w:divBdr>
    </w:div>
    <w:div w:id="1581283270">
      <w:bodyDiv w:val="1"/>
      <w:marLeft w:val="0"/>
      <w:marRight w:val="0"/>
      <w:marTop w:val="0"/>
      <w:marBottom w:val="0"/>
      <w:divBdr>
        <w:top w:val="none" w:sz="0" w:space="0" w:color="auto"/>
        <w:left w:val="none" w:sz="0" w:space="0" w:color="auto"/>
        <w:bottom w:val="none" w:sz="0" w:space="0" w:color="auto"/>
        <w:right w:val="none" w:sz="0" w:space="0" w:color="auto"/>
      </w:divBdr>
    </w:div>
    <w:div w:id="1587956014">
      <w:bodyDiv w:val="1"/>
      <w:marLeft w:val="0"/>
      <w:marRight w:val="0"/>
      <w:marTop w:val="0"/>
      <w:marBottom w:val="0"/>
      <w:divBdr>
        <w:top w:val="none" w:sz="0" w:space="0" w:color="auto"/>
        <w:left w:val="none" w:sz="0" w:space="0" w:color="auto"/>
        <w:bottom w:val="none" w:sz="0" w:space="0" w:color="auto"/>
        <w:right w:val="none" w:sz="0" w:space="0" w:color="auto"/>
      </w:divBdr>
    </w:div>
    <w:div w:id="1592468350">
      <w:bodyDiv w:val="1"/>
      <w:marLeft w:val="0"/>
      <w:marRight w:val="0"/>
      <w:marTop w:val="0"/>
      <w:marBottom w:val="0"/>
      <w:divBdr>
        <w:top w:val="none" w:sz="0" w:space="0" w:color="auto"/>
        <w:left w:val="none" w:sz="0" w:space="0" w:color="auto"/>
        <w:bottom w:val="none" w:sz="0" w:space="0" w:color="auto"/>
        <w:right w:val="none" w:sz="0" w:space="0" w:color="auto"/>
      </w:divBdr>
    </w:div>
    <w:div w:id="1594969689">
      <w:bodyDiv w:val="1"/>
      <w:marLeft w:val="0"/>
      <w:marRight w:val="0"/>
      <w:marTop w:val="0"/>
      <w:marBottom w:val="0"/>
      <w:divBdr>
        <w:top w:val="none" w:sz="0" w:space="0" w:color="auto"/>
        <w:left w:val="none" w:sz="0" w:space="0" w:color="auto"/>
        <w:bottom w:val="none" w:sz="0" w:space="0" w:color="auto"/>
        <w:right w:val="none" w:sz="0" w:space="0" w:color="auto"/>
      </w:divBdr>
    </w:div>
    <w:div w:id="1622493589">
      <w:bodyDiv w:val="1"/>
      <w:marLeft w:val="0"/>
      <w:marRight w:val="0"/>
      <w:marTop w:val="0"/>
      <w:marBottom w:val="0"/>
      <w:divBdr>
        <w:top w:val="none" w:sz="0" w:space="0" w:color="auto"/>
        <w:left w:val="none" w:sz="0" w:space="0" w:color="auto"/>
        <w:bottom w:val="none" w:sz="0" w:space="0" w:color="auto"/>
        <w:right w:val="none" w:sz="0" w:space="0" w:color="auto"/>
      </w:divBdr>
    </w:div>
    <w:div w:id="1632518835">
      <w:bodyDiv w:val="1"/>
      <w:marLeft w:val="0"/>
      <w:marRight w:val="0"/>
      <w:marTop w:val="0"/>
      <w:marBottom w:val="0"/>
      <w:divBdr>
        <w:top w:val="none" w:sz="0" w:space="0" w:color="auto"/>
        <w:left w:val="none" w:sz="0" w:space="0" w:color="auto"/>
        <w:bottom w:val="none" w:sz="0" w:space="0" w:color="auto"/>
        <w:right w:val="none" w:sz="0" w:space="0" w:color="auto"/>
      </w:divBdr>
    </w:div>
    <w:div w:id="1657148616">
      <w:bodyDiv w:val="1"/>
      <w:marLeft w:val="0"/>
      <w:marRight w:val="0"/>
      <w:marTop w:val="0"/>
      <w:marBottom w:val="0"/>
      <w:divBdr>
        <w:top w:val="none" w:sz="0" w:space="0" w:color="auto"/>
        <w:left w:val="none" w:sz="0" w:space="0" w:color="auto"/>
        <w:bottom w:val="none" w:sz="0" w:space="0" w:color="auto"/>
        <w:right w:val="none" w:sz="0" w:space="0" w:color="auto"/>
      </w:divBdr>
    </w:div>
    <w:div w:id="1669209338">
      <w:bodyDiv w:val="1"/>
      <w:marLeft w:val="0"/>
      <w:marRight w:val="0"/>
      <w:marTop w:val="0"/>
      <w:marBottom w:val="0"/>
      <w:divBdr>
        <w:top w:val="none" w:sz="0" w:space="0" w:color="auto"/>
        <w:left w:val="none" w:sz="0" w:space="0" w:color="auto"/>
        <w:bottom w:val="none" w:sz="0" w:space="0" w:color="auto"/>
        <w:right w:val="none" w:sz="0" w:space="0" w:color="auto"/>
      </w:divBdr>
    </w:div>
    <w:div w:id="1675691738">
      <w:bodyDiv w:val="1"/>
      <w:marLeft w:val="0"/>
      <w:marRight w:val="0"/>
      <w:marTop w:val="0"/>
      <w:marBottom w:val="0"/>
      <w:divBdr>
        <w:top w:val="none" w:sz="0" w:space="0" w:color="auto"/>
        <w:left w:val="none" w:sz="0" w:space="0" w:color="auto"/>
        <w:bottom w:val="none" w:sz="0" w:space="0" w:color="auto"/>
        <w:right w:val="none" w:sz="0" w:space="0" w:color="auto"/>
      </w:divBdr>
    </w:div>
    <w:div w:id="1679580816">
      <w:bodyDiv w:val="1"/>
      <w:marLeft w:val="0"/>
      <w:marRight w:val="0"/>
      <w:marTop w:val="0"/>
      <w:marBottom w:val="0"/>
      <w:divBdr>
        <w:top w:val="none" w:sz="0" w:space="0" w:color="auto"/>
        <w:left w:val="none" w:sz="0" w:space="0" w:color="auto"/>
        <w:bottom w:val="none" w:sz="0" w:space="0" w:color="auto"/>
        <w:right w:val="none" w:sz="0" w:space="0" w:color="auto"/>
      </w:divBdr>
    </w:div>
    <w:div w:id="1688747136">
      <w:bodyDiv w:val="1"/>
      <w:marLeft w:val="0"/>
      <w:marRight w:val="0"/>
      <w:marTop w:val="0"/>
      <w:marBottom w:val="0"/>
      <w:divBdr>
        <w:top w:val="none" w:sz="0" w:space="0" w:color="auto"/>
        <w:left w:val="none" w:sz="0" w:space="0" w:color="auto"/>
        <w:bottom w:val="none" w:sz="0" w:space="0" w:color="auto"/>
        <w:right w:val="none" w:sz="0" w:space="0" w:color="auto"/>
      </w:divBdr>
    </w:div>
    <w:div w:id="1698965281">
      <w:bodyDiv w:val="1"/>
      <w:marLeft w:val="0"/>
      <w:marRight w:val="0"/>
      <w:marTop w:val="0"/>
      <w:marBottom w:val="0"/>
      <w:divBdr>
        <w:top w:val="none" w:sz="0" w:space="0" w:color="auto"/>
        <w:left w:val="none" w:sz="0" w:space="0" w:color="auto"/>
        <w:bottom w:val="none" w:sz="0" w:space="0" w:color="auto"/>
        <w:right w:val="none" w:sz="0" w:space="0" w:color="auto"/>
      </w:divBdr>
    </w:div>
    <w:div w:id="1722943211">
      <w:bodyDiv w:val="1"/>
      <w:marLeft w:val="0"/>
      <w:marRight w:val="0"/>
      <w:marTop w:val="0"/>
      <w:marBottom w:val="0"/>
      <w:divBdr>
        <w:top w:val="none" w:sz="0" w:space="0" w:color="auto"/>
        <w:left w:val="none" w:sz="0" w:space="0" w:color="auto"/>
        <w:bottom w:val="none" w:sz="0" w:space="0" w:color="auto"/>
        <w:right w:val="none" w:sz="0" w:space="0" w:color="auto"/>
      </w:divBdr>
    </w:div>
    <w:div w:id="1767074337">
      <w:bodyDiv w:val="1"/>
      <w:marLeft w:val="0"/>
      <w:marRight w:val="0"/>
      <w:marTop w:val="0"/>
      <w:marBottom w:val="0"/>
      <w:divBdr>
        <w:top w:val="none" w:sz="0" w:space="0" w:color="auto"/>
        <w:left w:val="none" w:sz="0" w:space="0" w:color="auto"/>
        <w:bottom w:val="none" w:sz="0" w:space="0" w:color="auto"/>
        <w:right w:val="none" w:sz="0" w:space="0" w:color="auto"/>
      </w:divBdr>
    </w:div>
    <w:div w:id="1769151813">
      <w:bodyDiv w:val="1"/>
      <w:marLeft w:val="0"/>
      <w:marRight w:val="0"/>
      <w:marTop w:val="0"/>
      <w:marBottom w:val="0"/>
      <w:divBdr>
        <w:top w:val="none" w:sz="0" w:space="0" w:color="auto"/>
        <w:left w:val="none" w:sz="0" w:space="0" w:color="auto"/>
        <w:bottom w:val="none" w:sz="0" w:space="0" w:color="auto"/>
        <w:right w:val="none" w:sz="0" w:space="0" w:color="auto"/>
      </w:divBdr>
    </w:div>
    <w:div w:id="1769697281">
      <w:bodyDiv w:val="1"/>
      <w:marLeft w:val="0"/>
      <w:marRight w:val="0"/>
      <w:marTop w:val="0"/>
      <w:marBottom w:val="0"/>
      <w:divBdr>
        <w:top w:val="none" w:sz="0" w:space="0" w:color="auto"/>
        <w:left w:val="none" w:sz="0" w:space="0" w:color="auto"/>
        <w:bottom w:val="none" w:sz="0" w:space="0" w:color="auto"/>
        <w:right w:val="none" w:sz="0" w:space="0" w:color="auto"/>
      </w:divBdr>
    </w:div>
    <w:div w:id="1781098664">
      <w:bodyDiv w:val="1"/>
      <w:marLeft w:val="0"/>
      <w:marRight w:val="0"/>
      <w:marTop w:val="0"/>
      <w:marBottom w:val="0"/>
      <w:divBdr>
        <w:top w:val="none" w:sz="0" w:space="0" w:color="auto"/>
        <w:left w:val="none" w:sz="0" w:space="0" w:color="auto"/>
        <w:bottom w:val="none" w:sz="0" w:space="0" w:color="auto"/>
        <w:right w:val="none" w:sz="0" w:space="0" w:color="auto"/>
      </w:divBdr>
    </w:div>
    <w:div w:id="1811316632">
      <w:bodyDiv w:val="1"/>
      <w:marLeft w:val="0"/>
      <w:marRight w:val="0"/>
      <w:marTop w:val="0"/>
      <w:marBottom w:val="0"/>
      <w:divBdr>
        <w:top w:val="none" w:sz="0" w:space="0" w:color="auto"/>
        <w:left w:val="none" w:sz="0" w:space="0" w:color="auto"/>
        <w:bottom w:val="none" w:sz="0" w:space="0" w:color="auto"/>
        <w:right w:val="none" w:sz="0" w:space="0" w:color="auto"/>
      </w:divBdr>
    </w:div>
    <w:div w:id="1819153123">
      <w:bodyDiv w:val="1"/>
      <w:marLeft w:val="0"/>
      <w:marRight w:val="0"/>
      <w:marTop w:val="0"/>
      <w:marBottom w:val="0"/>
      <w:divBdr>
        <w:top w:val="none" w:sz="0" w:space="0" w:color="auto"/>
        <w:left w:val="none" w:sz="0" w:space="0" w:color="auto"/>
        <w:bottom w:val="none" w:sz="0" w:space="0" w:color="auto"/>
        <w:right w:val="none" w:sz="0" w:space="0" w:color="auto"/>
      </w:divBdr>
    </w:div>
    <w:div w:id="1835753618">
      <w:bodyDiv w:val="1"/>
      <w:marLeft w:val="0"/>
      <w:marRight w:val="0"/>
      <w:marTop w:val="0"/>
      <w:marBottom w:val="0"/>
      <w:divBdr>
        <w:top w:val="none" w:sz="0" w:space="0" w:color="auto"/>
        <w:left w:val="none" w:sz="0" w:space="0" w:color="auto"/>
        <w:bottom w:val="none" w:sz="0" w:space="0" w:color="auto"/>
        <w:right w:val="none" w:sz="0" w:space="0" w:color="auto"/>
      </w:divBdr>
    </w:div>
    <w:div w:id="1836920569">
      <w:bodyDiv w:val="1"/>
      <w:marLeft w:val="0"/>
      <w:marRight w:val="0"/>
      <w:marTop w:val="0"/>
      <w:marBottom w:val="0"/>
      <w:divBdr>
        <w:top w:val="none" w:sz="0" w:space="0" w:color="auto"/>
        <w:left w:val="none" w:sz="0" w:space="0" w:color="auto"/>
        <w:bottom w:val="none" w:sz="0" w:space="0" w:color="auto"/>
        <w:right w:val="none" w:sz="0" w:space="0" w:color="auto"/>
      </w:divBdr>
    </w:div>
    <w:div w:id="1838033024">
      <w:bodyDiv w:val="1"/>
      <w:marLeft w:val="0"/>
      <w:marRight w:val="0"/>
      <w:marTop w:val="0"/>
      <w:marBottom w:val="0"/>
      <w:divBdr>
        <w:top w:val="none" w:sz="0" w:space="0" w:color="auto"/>
        <w:left w:val="none" w:sz="0" w:space="0" w:color="auto"/>
        <w:bottom w:val="none" w:sz="0" w:space="0" w:color="auto"/>
        <w:right w:val="none" w:sz="0" w:space="0" w:color="auto"/>
      </w:divBdr>
    </w:div>
    <w:div w:id="1852841259">
      <w:bodyDiv w:val="1"/>
      <w:marLeft w:val="0"/>
      <w:marRight w:val="0"/>
      <w:marTop w:val="0"/>
      <w:marBottom w:val="0"/>
      <w:divBdr>
        <w:top w:val="none" w:sz="0" w:space="0" w:color="auto"/>
        <w:left w:val="none" w:sz="0" w:space="0" w:color="auto"/>
        <w:bottom w:val="none" w:sz="0" w:space="0" w:color="auto"/>
        <w:right w:val="none" w:sz="0" w:space="0" w:color="auto"/>
      </w:divBdr>
    </w:div>
    <w:div w:id="1862548257">
      <w:bodyDiv w:val="1"/>
      <w:marLeft w:val="0"/>
      <w:marRight w:val="0"/>
      <w:marTop w:val="0"/>
      <w:marBottom w:val="0"/>
      <w:divBdr>
        <w:top w:val="none" w:sz="0" w:space="0" w:color="auto"/>
        <w:left w:val="none" w:sz="0" w:space="0" w:color="auto"/>
        <w:bottom w:val="none" w:sz="0" w:space="0" w:color="auto"/>
        <w:right w:val="none" w:sz="0" w:space="0" w:color="auto"/>
      </w:divBdr>
    </w:div>
    <w:div w:id="1869372783">
      <w:bodyDiv w:val="1"/>
      <w:marLeft w:val="0"/>
      <w:marRight w:val="0"/>
      <w:marTop w:val="0"/>
      <w:marBottom w:val="0"/>
      <w:divBdr>
        <w:top w:val="none" w:sz="0" w:space="0" w:color="auto"/>
        <w:left w:val="none" w:sz="0" w:space="0" w:color="auto"/>
        <w:bottom w:val="none" w:sz="0" w:space="0" w:color="auto"/>
        <w:right w:val="none" w:sz="0" w:space="0" w:color="auto"/>
      </w:divBdr>
    </w:div>
    <w:div w:id="1870483647">
      <w:bodyDiv w:val="1"/>
      <w:marLeft w:val="0"/>
      <w:marRight w:val="0"/>
      <w:marTop w:val="0"/>
      <w:marBottom w:val="0"/>
      <w:divBdr>
        <w:top w:val="none" w:sz="0" w:space="0" w:color="auto"/>
        <w:left w:val="none" w:sz="0" w:space="0" w:color="auto"/>
        <w:bottom w:val="none" w:sz="0" w:space="0" w:color="auto"/>
        <w:right w:val="none" w:sz="0" w:space="0" w:color="auto"/>
      </w:divBdr>
    </w:div>
    <w:div w:id="1880165375">
      <w:bodyDiv w:val="1"/>
      <w:marLeft w:val="0"/>
      <w:marRight w:val="0"/>
      <w:marTop w:val="0"/>
      <w:marBottom w:val="0"/>
      <w:divBdr>
        <w:top w:val="none" w:sz="0" w:space="0" w:color="auto"/>
        <w:left w:val="none" w:sz="0" w:space="0" w:color="auto"/>
        <w:bottom w:val="none" w:sz="0" w:space="0" w:color="auto"/>
        <w:right w:val="none" w:sz="0" w:space="0" w:color="auto"/>
      </w:divBdr>
    </w:div>
    <w:div w:id="1895653419">
      <w:bodyDiv w:val="1"/>
      <w:marLeft w:val="0"/>
      <w:marRight w:val="0"/>
      <w:marTop w:val="0"/>
      <w:marBottom w:val="0"/>
      <w:divBdr>
        <w:top w:val="none" w:sz="0" w:space="0" w:color="auto"/>
        <w:left w:val="none" w:sz="0" w:space="0" w:color="auto"/>
        <w:bottom w:val="none" w:sz="0" w:space="0" w:color="auto"/>
        <w:right w:val="none" w:sz="0" w:space="0" w:color="auto"/>
      </w:divBdr>
    </w:div>
    <w:div w:id="1898396129">
      <w:bodyDiv w:val="1"/>
      <w:marLeft w:val="0"/>
      <w:marRight w:val="0"/>
      <w:marTop w:val="0"/>
      <w:marBottom w:val="0"/>
      <w:divBdr>
        <w:top w:val="none" w:sz="0" w:space="0" w:color="auto"/>
        <w:left w:val="none" w:sz="0" w:space="0" w:color="auto"/>
        <w:bottom w:val="none" w:sz="0" w:space="0" w:color="auto"/>
        <w:right w:val="none" w:sz="0" w:space="0" w:color="auto"/>
      </w:divBdr>
    </w:div>
    <w:div w:id="1907182076">
      <w:bodyDiv w:val="1"/>
      <w:marLeft w:val="0"/>
      <w:marRight w:val="0"/>
      <w:marTop w:val="0"/>
      <w:marBottom w:val="0"/>
      <w:divBdr>
        <w:top w:val="none" w:sz="0" w:space="0" w:color="auto"/>
        <w:left w:val="none" w:sz="0" w:space="0" w:color="auto"/>
        <w:bottom w:val="none" w:sz="0" w:space="0" w:color="auto"/>
        <w:right w:val="none" w:sz="0" w:space="0" w:color="auto"/>
      </w:divBdr>
      <w:divsChild>
        <w:div w:id="324819503">
          <w:marLeft w:val="0"/>
          <w:marRight w:val="0"/>
          <w:marTop w:val="0"/>
          <w:marBottom w:val="0"/>
          <w:divBdr>
            <w:top w:val="none" w:sz="0" w:space="0" w:color="auto"/>
            <w:left w:val="none" w:sz="0" w:space="0" w:color="auto"/>
            <w:bottom w:val="none" w:sz="0" w:space="0" w:color="auto"/>
            <w:right w:val="none" w:sz="0" w:space="0" w:color="auto"/>
          </w:divBdr>
        </w:div>
        <w:div w:id="1415739197">
          <w:marLeft w:val="0"/>
          <w:marRight w:val="0"/>
          <w:marTop w:val="0"/>
          <w:marBottom w:val="0"/>
          <w:divBdr>
            <w:top w:val="none" w:sz="0" w:space="0" w:color="auto"/>
            <w:left w:val="none" w:sz="0" w:space="0" w:color="auto"/>
            <w:bottom w:val="none" w:sz="0" w:space="0" w:color="auto"/>
            <w:right w:val="none" w:sz="0" w:space="0" w:color="auto"/>
          </w:divBdr>
        </w:div>
        <w:div w:id="1674989623">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 w:id="1822846299">
          <w:marLeft w:val="0"/>
          <w:marRight w:val="0"/>
          <w:marTop w:val="0"/>
          <w:marBottom w:val="0"/>
          <w:divBdr>
            <w:top w:val="none" w:sz="0" w:space="0" w:color="auto"/>
            <w:left w:val="none" w:sz="0" w:space="0" w:color="auto"/>
            <w:bottom w:val="none" w:sz="0" w:space="0" w:color="auto"/>
            <w:right w:val="none" w:sz="0" w:space="0" w:color="auto"/>
          </w:divBdr>
        </w:div>
        <w:div w:id="1904755078">
          <w:marLeft w:val="0"/>
          <w:marRight w:val="0"/>
          <w:marTop w:val="0"/>
          <w:marBottom w:val="0"/>
          <w:divBdr>
            <w:top w:val="none" w:sz="0" w:space="0" w:color="auto"/>
            <w:left w:val="none" w:sz="0" w:space="0" w:color="auto"/>
            <w:bottom w:val="none" w:sz="0" w:space="0" w:color="auto"/>
            <w:right w:val="none" w:sz="0" w:space="0" w:color="auto"/>
          </w:divBdr>
        </w:div>
        <w:div w:id="2090228890">
          <w:marLeft w:val="0"/>
          <w:marRight w:val="0"/>
          <w:marTop w:val="0"/>
          <w:marBottom w:val="0"/>
          <w:divBdr>
            <w:top w:val="none" w:sz="0" w:space="0" w:color="auto"/>
            <w:left w:val="none" w:sz="0" w:space="0" w:color="auto"/>
            <w:bottom w:val="none" w:sz="0" w:space="0" w:color="auto"/>
            <w:right w:val="none" w:sz="0" w:space="0" w:color="auto"/>
          </w:divBdr>
        </w:div>
      </w:divsChild>
    </w:div>
    <w:div w:id="1907569649">
      <w:bodyDiv w:val="1"/>
      <w:marLeft w:val="0"/>
      <w:marRight w:val="0"/>
      <w:marTop w:val="0"/>
      <w:marBottom w:val="0"/>
      <w:divBdr>
        <w:top w:val="none" w:sz="0" w:space="0" w:color="auto"/>
        <w:left w:val="none" w:sz="0" w:space="0" w:color="auto"/>
        <w:bottom w:val="none" w:sz="0" w:space="0" w:color="auto"/>
        <w:right w:val="none" w:sz="0" w:space="0" w:color="auto"/>
      </w:divBdr>
    </w:div>
    <w:div w:id="1908832434">
      <w:bodyDiv w:val="1"/>
      <w:marLeft w:val="0"/>
      <w:marRight w:val="0"/>
      <w:marTop w:val="0"/>
      <w:marBottom w:val="0"/>
      <w:divBdr>
        <w:top w:val="none" w:sz="0" w:space="0" w:color="auto"/>
        <w:left w:val="none" w:sz="0" w:space="0" w:color="auto"/>
        <w:bottom w:val="none" w:sz="0" w:space="0" w:color="auto"/>
        <w:right w:val="none" w:sz="0" w:space="0" w:color="auto"/>
      </w:divBdr>
    </w:div>
    <w:div w:id="1936817882">
      <w:bodyDiv w:val="1"/>
      <w:marLeft w:val="0"/>
      <w:marRight w:val="0"/>
      <w:marTop w:val="0"/>
      <w:marBottom w:val="0"/>
      <w:divBdr>
        <w:top w:val="none" w:sz="0" w:space="0" w:color="auto"/>
        <w:left w:val="none" w:sz="0" w:space="0" w:color="auto"/>
        <w:bottom w:val="none" w:sz="0" w:space="0" w:color="auto"/>
        <w:right w:val="none" w:sz="0" w:space="0" w:color="auto"/>
      </w:divBdr>
    </w:div>
    <w:div w:id="1944217747">
      <w:bodyDiv w:val="1"/>
      <w:marLeft w:val="0"/>
      <w:marRight w:val="0"/>
      <w:marTop w:val="0"/>
      <w:marBottom w:val="0"/>
      <w:divBdr>
        <w:top w:val="none" w:sz="0" w:space="0" w:color="auto"/>
        <w:left w:val="none" w:sz="0" w:space="0" w:color="auto"/>
        <w:bottom w:val="none" w:sz="0" w:space="0" w:color="auto"/>
        <w:right w:val="none" w:sz="0" w:space="0" w:color="auto"/>
      </w:divBdr>
    </w:div>
    <w:div w:id="1947695368">
      <w:bodyDiv w:val="1"/>
      <w:marLeft w:val="0"/>
      <w:marRight w:val="0"/>
      <w:marTop w:val="0"/>
      <w:marBottom w:val="0"/>
      <w:divBdr>
        <w:top w:val="none" w:sz="0" w:space="0" w:color="auto"/>
        <w:left w:val="none" w:sz="0" w:space="0" w:color="auto"/>
        <w:bottom w:val="none" w:sz="0" w:space="0" w:color="auto"/>
        <w:right w:val="none" w:sz="0" w:space="0" w:color="auto"/>
      </w:divBdr>
    </w:div>
    <w:div w:id="1953710357">
      <w:bodyDiv w:val="1"/>
      <w:marLeft w:val="0"/>
      <w:marRight w:val="0"/>
      <w:marTop w:val="0"/>
      <w:marBottom w:val="0"/>
      <w:divBdr>
        <w:top w:val="none" w:sz="0" w:space="0" w:color="auto"/>
        <w:left w:val="none" w:sz="0" w:space="0" w:color="auto"/>
        <w:bottom w:val="none" w:sz="0" w:space="0" w:color="auto"/>
        <w:right w:val="none" w:sz="0" w:space="0" w:color="auto"/>
      </w:divBdr>
    </w:div>
    <w:div w:id="1960989140">
      <w:bodyDiv w:val="1"/>
      <w:marLeft w:val="0"/>
      <w:marRight w:val="0"/>
      <w:marTop w:val="0"/>
      <w:marBottom w:val="0"/>
      <w:divBdr>
        <w:top w:val="none" w:sz="0" w:space="0" w:color="auto"/>
        <w:left w:val="none" w:sz="0" w:space="0" w:color="auto"/>
        <w:bottom w:val="none" w:sz="0" w:space="0" w:color="auto"/>
        <w:right w:val="none" w:sz="0" w:space="0" w:color="auto"/>
      </w:divBdr>
    </w:div>
    <w:div w:id="1963070910">
      <w:bodyDiv w:val="1"/>
      <w:marLeft w:val="0"/>
      <w:marRight w:val="0"/>
      <w:marTop w:val="0"/>
      <w:marBottom w:val="0"/>
      <w:divBdr>
        <w:top w:val="none" w:sz="0" w:space="0" w:color="auto"/>
        <w:left w:val="none" w:sz="0" w:space="0" w:color="auto"/>
        <w:bottom w:val="none" w:sz="0" w:space="0" w:color="auto"/>
        <w:right w:val="none" w:sz="0" w:space="0" w:color="auto"/>
      </w:divBdr>
    </w:div>
    <w:div w:id="1970931802">
      <w:bodyDiv w:val="1"/>
      <w:marLeft w:val="0"/>
      <w:marRight w:val="0"/>
      <w:marTop w:val="0"/>
      <w:marBottom w:val="0"/>
      <w:divBdr>
        <w:top w:val="none" w:sz="0" w:space="0" w:color="auto"/>
        <w:left w:val="none" w:sz="0" w:space="0" w:color="auto"/>
        <w:bottom w:val="none" w:sz="0" w:space="0" w:color="auto"/>
        <w:right w:val="none" w:sz="0" w:space="0" w:color="auto"/>
      </w:divBdr>
    </w:div>
    <w:div w:id="1985962249">
      <w:bodyDiv w:val="1"/>
      <w:marLeft w:val="0"/>
      <w:marRight w:val="0"/>
      <w:marTop w:val="0"/>
      <w:marBottom w:val="0"/>
      <w:divBdr>
        <w:top w:val="none" w:sz="0" w:space="0" w:color="auto"/>
        <w:left w:val="none" w:sz="0" w:space="0" w:color="auto"/>
        <w:bottom w:val="none" w:sz="0" w:space="0" w:color="auto"/>
        <w:right w:val="none" w:sz="0" w:space="0" w:color="auto"/>
      </w:divBdr>
    </w:div>
    <w:div w:id="1989431197">
      <w:bodyDiv w:val="1"/>
      <w:marLeft w:val="0"/>
      <w:marRight w:val="0"/>
      <w:marTop w:val="0"/>
      <w:marBottom w:val="0"/>
      <w:divBdr>
        <w:top w:val="none" w:sz="0" w:space="0" w:color="auto"/>
        <w:left w:val="none" w:sz="0" w:space="0" w:color="auto"/>
        <w:bottom w:val="none" w:sz="0" w:space="0" w:color="auto"/>
        <w:right w:val="none" w:sz="0" w:space="0" w:color="auto"/>
      </w:divBdr>
    </w:div>
    <w:div w:id="1993410211">
      <w:bodyDiv w:val="1"/>
      <w:marLeft w:val="0"/>
      <w:marRight w:val="0"/>
      <w:marTop w:val="0"/>
      <w:marBottom w:val="0"/>
      <w:divBdr>
        <w:top w:val="none" w:sz="0" w:space="0" w:color="auto"/>
        <w:left w:val="none" w:sz="0" w:space="0" w:color="auto"/>
        <w:bottom w:val="none" w:sz="0" w:space="0" w:color="auto"/>
        <w:right w:val="none" w:sz="0" w:space="0" w:color="auto"/>
      </w:divBdr>
    </w:div>
    <w:div w:id="1998726655">
      <w:bodyDiv w:val="1"/>
      <w:marLeft w:val="0"/>
      <w:marRight w:val="0"/>
      <w:marTop w:val="0"/>
      <w:marBottom w:val="0"/>
      <w:divBdr>
        <w:top w:val="none" w:sz="0" w:space="0" w:color="auto"/>
        <w:left w:val="none" w:sz="0" w:space="0" w:color="auto"/>
        <w:bottom w:val="none" w:sz="0" w:space="0" w:color="auto"/>
        <w:right w:val="none" w:sz="0" w:space="0" w:color="auto"/>
      </w:divBdr>
    </w:div>
    <w:div w:id="2054767648">
      <w:bodyDiv w:val="1"/>
      <w:marLeft w:val="0"/>
      <w:marRight w:val="0"/>
      <w:marTop w:val="0"/>
      <w:marBottom w:val="0"/>
      <w:divBdr>
        <w:top w:val="none" w:sz="0" w:space="0" w:color="auto"/>
        <w:left w:val="none" w:sz="0" w:space="0" w:color="auto"/>
        <w:bottom w:val="none" w:sz="0" w:space="0" w:color="auto"/>
        <w:right w:val="none" w:sz="0" w:space="0" w:color="auto"/>
      </w:divBdr>
    </w:div>
    <w:div w:id="2063165815">
      <w:bodyDiv w:val="1"/>
      <w:marLeft w:val="0"/>
      <w:marRight w:val="0"/>
      <w:marTop w:val="0"/>
      <w:marBottom w:val="0"/>
      <w:divBdr>
        <w:top w:val="none" w:sz="0" w:space="0" w:color="auto"/>
        <w:left w:val="none" w:sz="0" w:space="0" w:color="auto"/>
        <w:bottom w:val="none" w:sz="0" w:space="0" w:color="auto"/>
        <w:right w:val="none" w:sz="0" w:space="0" w:color="auto"/>
      </w:divBdr>
    </w:div>
    <w:div w:id="2082487561">
      <w:bodyDiv w:val="1"/>
      <w:marLeft w:val="0"/>
      <w:marRight w:val="0"/>
      <w:marTop w:val="0"/>
      <w:marBottom w:val="0"/>
      <w:divBdr>
        <w:top w:val="none" w:sz="0" w:space="0" w:color="auto"/>
        <w:left w:val="none" w:sz="0" w:space="0" w:color="auto"/>
        <w:bottom w:val="none" w:sz="0" w:space="0" w:color="auto"/>
        <w:right w:val="none" w:sz="0" w:space="0" w:color="auto"/>
      </w:divBdr>
    </w:div>
    <w:div w:id="2087415480">
      <w:bodyDiv w:val="1"/>
      <w:marLeft w:val="0"/>
      <w:marRight w:val="0"/>
      <w:marTop w:val="0"/>
      <w:marBottom w:val="0"/>
      <w:divBdr>
        <w:top w:val="none" w:sz="0" w:space="0" w:color="auto"/>
        <w:left w:val="none" w:sz="0" w:space="0" w:color="auto"/>
        <w:bottom w:val="none" w:sz="0" w:space="0" w:color="auto"/>
        <w:right w:val="none" w:sz="0" w:space="0" w:color="auto"/>
      </w:divBdr>
    </w:div>
    <w:div w:id="212141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efunds.com.cn/" TargetMode="External"/><Relationship Id="rId3" Type="http://schemas.openxmlformats.org/officeDocument/2006/relationships/numbering" Target="numbering.xml"/><Relationship Id="rId21" Type="http://schemas.openxmlformats.org/officeDocument/2006/relationships/hyperlink" Target="http://www.efunds.com.cn"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efunds.com.cn/" TargetMode="External"/><Relationship Id="rId2" Type="http://schemas.openxmlformats.org/officeDocument/2006/relationships/customXml" Target="../customXml/item1.xml"/><Relationship Id="rId16" Type="http://schemas.openxmlformats.org/officeDocument/2006/relationships/hyperlink" Target="https://www.qcc.com/firm_54813a9d966ad1869761c8afeaa0002e.html" TargetMode="External"/><Relationship Id="rId20"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service@efunds.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59F51AB-F919-448E-AA3D-46A76D035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180</Pages>
  <Words>21327</Words>
  <Characters>121568</Characters>
  <Application>Microsoft Office Word</Application>
  <DocSecurity>0</DocSecurity>
  <Lines>1013</Lines>
  <Paragraphs>285</Paragraphs>
  <ScaleCrop>false</ScaleCrop>
  <Company>易方达</Company>
  <LinksUpToDate>false</LinksUpToDate>
  <CharactersWithSpaces>142610</CharactersWithSpaces>
  <SharedDoc>false</SharedDoc>
  <HLinks>
    <vt:vector size="804" baseType="variant">
      <vt:variant>
        <vt:i4>1704044</vt:i4>
      </vt:variant>
      <vt:variant>
        <vt:i4>792</vt:i4>
      </vt:variant>
      <vt:variant>
        <vt:i4>0</vt:i4>
      </vt:variant>
      <vt:variant>
        <vt:i4>5</vt:i4>
      </vt:variant>
      <vt:variant>
        <vt:lpwstr>mailto:service@efunds.com.cn</vt:lpwstr>
      </vt:variant>
      <vt:variant>
        <vt:lpwstr/>
      </vt:variant>
      <vt:variant>
        <vt:i4>6160454</vt:i4>
      </vt:variant>
      <vt:variant>
        <vt:i4>789</vt:i4>
      </vt:variant>
      <vt:variant>
        <vt:i4>0</vt:i4>
      </vt:variant>
      <vt:variant>
        <vt:i4>5</vt:i4>
      </vt:variant>
      <vt:variant>
        <vt:lpwstr>http://www.efunds.com.cn/</vt:lpwstr>
      </vt:variant>
      <vt:variant>
        <vt:lpwstr/>
      </vt:variant>
      <vt:variant>
        <vt:i4>6160454</vt:i4>
      </vt:variant>
      <vt:variant>
        <vt:i4>786</vt:i4>
      </vt:variant>
      <vt:variant>
        <vt:i4>0</vt:i4>
      </vt:variant>
      <vt:variant>
        <vt:i4>5</vt:i4>
      </vt:variant>
      <vt:variant>
        <vt:lpwstr>http://www.efunds.com.cn/</vt:lpwstr>
      </vt:variant>
      <vt:variant>
        <vt:lpwstr/>
      </vt:variant>
      <vt:variant>
        <vt:i4>6160454</vt:i4>
      </vt:variant>
      <vt:variant>
        <vt:i4>783</vt:i4>
      </vt:variant>
      <vt:variant>
        <vt:i4>0</vt:i4>
      </vt:variant>
      <vt:variant>
        <vt:i4>5</vt:i4>
      </vt:variant>
      <vt:variant>
        <vt:lpwstr>http://www.efunds.com.cn/</vt:lpwstr>
      </vt:variant>
      <vt:variant>
        <vt:lpwstr/>
      </vt:variant>
      <vt:variant>
        <vt:i4>1507382</vt:i4>
      </vt:variant>
      <vt:variant>
        <vt:i4>776</vt:i4>
      </vt:variant>
      <vt:variant>
        <vt:i4>0</vt:i4>
      </vt:variant>
      <vt:variant>
        <vt:i4>5</vt:i4>
      </vt:variant>
      <vt:variant>
        <vt:lpwstr/>
      </vt:variant>
      <vt:variant>
        <vt:lpwstr>_Toc410305274</vt:lpwstr>
      </vt:variant>
      <vt:variant>
        <vt:i4>1507382</vt:i4>
      </vt:variant>
      <vt:variant>
        <vt:i4>770</vt:i4>
      </vt:variant>
      <vt:variant>
        <vt:i4>0</vt:i4>
      </vt:variant>
      <vt:variant>
        <vt:i4>5</vt:i4>
      </vt:variant>
      <vt:variant>
        <vt:lpwstr/>
      </vt:variant>
      <vt:variant>
        <vt:lpwstr>_Toc410305273</vt:lpwstr>
      </vt:variant>
      <vt:variant>
        <vt:i4>1507382</vt:i4>
      </vt:variant>
      <vt:variant>
        <vt:i4>764</vt:i4>
      </vt:variant>
      <vt:variant>
        <vt:i4>0</vt:i4>
      </vt:variant>
      <vt:variant>
        <vt:i4>5</vt:i4>
      </vt:variant>
      <vt:variant>
        <vt:lpwstr/>
      </vt:variant>
      <vt:variant>
        <vt:lpwstr>_Toc410305272</vt:lpwstr>
      </vt:variant>
      <vt:variant>
        <vt:i4>1507382</vt:i4>
      </vt:variant>
      <vt:variant>
        <vt:i4>758</vt:i4>
      </vt:variant>
      <vt:variant>
        <vt:i4>0</vt:i4>
      </vt:variant>
      <vt:variant>
        <vt:i4>5</vt:i4>
      </vt:variant>
      <vt:variant>
        <vt:lpwstr/>
      </vt:variant>
      <vt:variant>
        <vt:lpwstr>_Toc410305271</vt:lpwstr>
      </vt:variant>
      <vt:variant>
        <vt:i4>1507382</vt:i4>
      </vt:variant>
      <vt:variant>
        <vt:i4>752</vt:i4>
      </vt:variant>
      <vt:variant>
        <vt:i4>0</vt:i4>
      </vt:variant>
      <vt:variant>
        <vt:i4>5</vt:i4>
      </vt:variant>
      <vt:variant>
        <vt:lpwstr/>
      </vt:variant>
      <vt:variant>
        <vt:lpwstr>_Toc410305270</vt:lpwstr>
      </vt:variant>
      <vt:variant>
        <vt:i4>1441846</vt:i4>
      </vt:variant>
      <vt:variant>
        <vt:i4>746</vt:i4>
      </vt:variant>
      <vt:variant>
        <vt:i4>0</vt:i4>
      </vt:variant>
      <vt:variant>
        <vt:i4>5</vt:i4>
      </vt:variant>
      <vt:variant>
        <vt:lpwstr/>
      </vt:variant>
      <vt:variant>
        <vt:lpwstr>_Toc410305269</vt:lpwstr>
      </vt:variant>
      <vt:variant>
        <vt:i4>1441846</vt:i4>
      </vt:variant>
      <vt:variant>
        <vt:i4>740</vt:i4>
      </vt:variant>
      <vt:variant>
        <vt:i4>0</vt:i4>
      </vt:variant>
      <vt:variant>
        <vt:i4>5</vt:i4>
      </vt:variant>
      <vt:variant>
        <vt:lpwstr/>
      </vt:variant>
      <vt:variant>
        <vt:lpwstr>_Toc410305268</vt:lpwstr>
      </vt:variant>
      <vt:variant>
        <vt:i4>1441846</vt:i4>
      </vt:variant>
      <vt:variant>
        <vt:i4>734</vt:i4>
      </vt:variant>
      <vt:variant>
        <vt:i4>0</vt:i4>
      </vt:variant>
      <vt:variant>
        <vt:i4>5</vt:i4>
      </vt:variant>
      <vt:variant>
        <vt:lpwstr/>
      </vt:variant>
      <vt:variant>
        <vt:lpwstr>_Toc410305267</vt:lpwstr>
      </vt:variant>
      <vt:variant>
        <vt:i4>1441846</vt:i4>
      </vt:variant>
      <vt:variant>
        <vt:i4>728</vt:i4>
      </vt:variant>
      <vt:variant>
        <vt:i4>0</vt:i4>
      </vt:variant>
      <vt:variant>
        <vt:i4>5</vt:i4>
      </vt:variant>
      <vt:variant>
        <vt:lpwstr/>
      </vt:variant>
      <vt:variant>
        <vt:lpwstr>_Toc410305266</vt:lpwstr>
      </vt:variant>
      <vt:variant>
        <vt:i4>1441846</vt:i4>
      </vt:variant>
      <vt:variant>
        <vt:i4>722</vt:i4>
      </vt:variant>
      <vt:variant>
        <vt:i4>0</vt:i4>
      </vt:variant>
      <vt:variant>
        <vt:i4>5</vt:i4>
      </vt:variant>
      <vt:variant>
        <vt:lpwstr/>
      </vt:variant>
      <vt:variant>
        <vt:lpwstr>_Toc410305265</vt:lpwstr>
      </vt:variant>
      <vt:variant>
        <vt:i4>1441846</vt:i4>
      </vt:variant>
      <vt:variant>
        <vt:i4>716</vt:i4>
      </vt:variant>
      <vt:variant>
        <vt:i4>0</vt:i4>
      </vt:variant>
      <vt:variant>
        <vt:i4>5</vt:i4>
      </vt:variant>
      <vt:variant>
        <vt:lpwstr/>
      </vt:variant>
      <vt:variant>
        <vt:lpwstr>_Toc410305264</vt:lpwstr>
      </vt:variant>
      <vt:variant>
        <vt:i4>1441846</vt:i4>
      </vt:variant>
      <vt:variant>
        <vt:i4>710</vt:i4>
      </vt:variant>
      <vt:variant>
        <vt:i4>0</vt:i4>
      </vt:variant>
      <vt:variant>
        <vt:i4>5</vt:i4>
      </vt:variant>
      <vt:variant>
        <vt:lpwstr/>
      </vt:variant>
      <vt:variant>
        <vt:lpwstr>_Toc410305263</vt:lpwstr>
      </vt:variant>
      <vt:variant>
        <vt:i4>1441846</vt:i4>
      </vt:variant>
      <vt:variant>
        <vt:i4>704</vt:i4>
      </vt:variant>
      <vt:variant>
        <vt:i4>0</vt:i4>
      </vt:variant>
      <vt:variant>
        <vt:i4>5</vt:i4>
      </vt:variant>
      <vt:variant>
        <vt:lpwstr/>
      </vt:variant>
      <vt:variant>
        <vt:lpwstr>_Toc410305262</vt:lpwstr>
      </vt:variant>
      <vt:variant>
        <vt:i4>1441846</vt:i4>
      </vt:variant>
      <vt:variant>
        <vt:i4>698</vt:i4>
      </vt:variant>
      <vt:variant>
        <vt:i4>0</vt:i4>
      </vt:variant>
      <vt:variant>
        <vt:i4>5</vt:i4>
      </vt:variant>
      <vt:variant>
        <vt:lpwstr/>
      </vt:variant>
      <vt:variant>
        <vt:lpwstr>_Toc410305261</vt:lpwstr>
      </vt:variant>
      <vt:variant>
        <vt:i4>1441846</vt:i4>
      </vt:variant>
      <vt:variant>
        <vt:i4>692</vt:i4>
      </vt:variant>
      <vt:variant>
        <vt:i4>0</vt:i4>
      </vt:variant>
      <vt:variant>
        <vt:i4>5</vt:i4>
      </vt:variant>
      <vt:variant>
        <vt:lpwstr/>
      </vt:variant>
      <vt:variant>
        <vt:lpwstr>_Toc410305260</vt:lpwstr>
      </vt:variant>
      <vt:variant>
        <vt:i4>1376310</vt:i4>
      </vt:variant>
      <vt:variant>
        <vt:i4>686</vt:i4>
      </vt:variant>
      <vt:variant>
        <vt:i4>0</vt:i4>
      </vt:variant>
      <vt:variant>
        <vt:i4>5</vt:i4>
      </vt:variant>
      <vt:variant>
        <vt:lpwstr/>
      </vt:variant>
      <vt:variant>
        <vt:lpwstr>_Toc410305259</vt:lpwstr>
      </vt:variant>
      <vt:variant>
        <vt:i4>1376310</vt:i4>
      </vt:variant>
      <vt:variant>
        <vt:i4>680</vt:i4>
      </vt:variant>
      <vt:variant>
        <vt:i4>0</vt:i4>
      </vt:variant>
      <vt:variant>
        <vt:i4>5</vt:i4>
      </vt:variant>
      <vt:variant>
        <vt:lpwstr/>
      </vt:variant>
      <vt:variant>
        <vt:lpwstr>_Toc410305258</vt:lpwstr>
      </vt:variant>
      <vt:variant>
        <vt:i4>1376310</vt:i4>
      </vt:variant>
      <vt:variant>
        <vt:i4>674</vt:i4>
      </vt:variant>
      <vt:variant>
        <vt:i4>0</vt:i4>
      </vt:variant>
      <vt:variant>
        <vt:i4>5</vt:i4>
      </vt:variant>
      <vt:variant>
        <vt:lpwstr/>
      </vt:variant>
      <vt:variant>
        <vt:lpwstr>_Toc410305257</vt:lpwstr>
      </vt:variant>
      <vt:variant>
        <vt:i4>1376310</vt:i4>
      </vt:variant>
      <vt:variant>
        <vt:i4>668</vt:i4>
      </vt:variant>
      <vt:variant>
        <vt:i4>0</vt:i4>
      </vt:variant>
      <vt:variant>
        <vt:i4>5</vt:i4>
      </vt:variant>
      <vt:variant>
        <vt:lpwstr/>
      </vt:variant>
      <vt:variant>
        <vt:lpwstr>_Toc410305256</vt:lpwstr>
      </vt:variant>
      <vt:variant>
        <vt:i4>1376310</vt:i4>
      </vt:variant>
      <vt:variant>
        <vt:i4>662</vt:i4>
      </vt:variant>
      <vt:variant>
        <vt:i4>0</vt:i4>
      </vt:variant>
      <vt:variant>
        <vt:i4>5</vt:i4>
      </vt:variant>
      <vt:variant>
        <vt:lpwstr/>
      </vt:variant>
      <vt:variant>
        <vt:lpwstr>_Toc410305255</vt:lpwstr>
      </vt:variant>
      <vt:variant>
        <vt:i4>1376310</vt:i4>
      </vt:variant>
      <vt:variant>
        <vt:i4>656</vt:i4>
      </vt:variant>
      <vt:variant>
        <vt:i4>0</vt:i4>
      </vt:variant>
      <vt:variant>
        <vt:i4>5</vt:i4>
      </vt:variant>
      <vt:variant>
        <vt:lpwstr/>
      </vt:variant>
      <vt:variant>
        <vt:lpwstr>_Toc410305254</vt:lpwstr>
      </vt:variant>
      <vt:variant>
        <vt:i4>1376310</vt:i4>
      </vt:variant>
      <vt:variant>
        <vt:i4>650</vt:i4>
      </vt:variant>
      <vt:variant>
        <vt:i4>0</vt:i4>
      </vt:variant>
      <vt:variant>
        <vt:i4>5</vt:i4>
      </vt:variant>
      <vt:variant>
        <vt:lpwstr/>
      </vt:variant>
      <vt:variant>
        <vt:lpwstr>_Toc410305253</vt:lpwstr>
      </vt:variant>
      <vt:variant>
        <vt:i4>1376310</vt:i4>
      </vt:variant>
      <vt:variant>
        <vt:i4>644</vt:i4>
      </vt:variant>
      <vt:variant>
        <vt:i4>0</vt:i4>
      </vt:variant>
      <vt:variant>
        <vt:i4>5</vt:i4>
      </vt:variant>
      <vt:variant>
        <vt:lpwstr/>
      </vt:variant>
      <vt:variant>
        <vt:lpwstr>_Toc410305252</vt:lpwstr>
      </vt:variant>
      <vt:variant>
        <vt:i4>1376310</vt:i4>
      </vt:variant>
      <vt:variant>
        <vt:i4>638</vt:i4>
      </vt:variant>
      <vt:variant>
        <vt:i4>0</vt:i4>
      </vt:variant>
      <vt:variant>
        <vt:i4>5</vt:i4>
      </vt:variant>
      <vt:variant>
        <vt:lpwstr/>
      </vt:variant>
      <vt:variant>
        <vt:lpwstr>_Toc410305251</vt:lpwstr>
      </vt:variant>
      <vt:variant>
        <vt:i4>1376310</vt:i4>
      </vt:variant>
      <vt:variant>
        <vt:i4>632</vt:i4>
      </vt:variant>
      <vt:variant>
        <vt:i4>0</vt:i4>
      </vt:variant>
      <vt:variant>
        <vt:i4>5</vt:i4>
      </vt:variant>
      <vt:variant>
        <vt:lpwstr/>
      </vt:variant>
      <vt:variant>
        <vt:lpwstr>_Toc410305250</vt:lpwstr>
      </vt:variant>
      <vt:variant>
        <vt:i4>1310774</vt:i4>
      </vt:variant>
      <vt:variant>
        <vt:i4>626</vt:i4>
      </vt:variant>
      <vt:variant>
        <vt:i4>0</vt:i4>
      </vt:variant>
      <vt:variant>
        <vt:i4>5</vt:i4>
      </vt:variant>
      <vt:variant>
        <vt:lpwstr/>
      </vt:variant>
      <vt:variant>
        <vt:lpwstr>_Toc410305249</vt:lpwstr>
      </vt:variant>
      <vt:variant>
        <vt:i4>1310774</vt:i4>
      </vt:variant>
      <vt:variant>
        <vt:i4>620</vt:i4>
      </vt:variant>
      <vt:variant>
        <vt:i4>0</vt:i4>
      </vt:variant>
      <vt:variant>
        <vt:i4>5</vt:i4>
      </vt:variant>
      <vt:variant>
        <vt:lpwstr/>
      </vt:variant>
      <vt:variant>
        <vt:lpwstr>_Toc410305248</vt:lpwstr>
      </vt:variant>
      <vt:variant>
        <vt:i4>1310774</vt:i4>
      </vt:variant>
      <vt:variant>
        <vt:i4>614</vt:i4>
      </vt:variant>
      <vt:variant>
        <vt:i4>0</vt:i4>
      </vt:variant>
      <vt:variant>
        <vt:i4>5</vt:i4>
      </vt:variant>
      <vt:variant>
        <vt:lpwstr/>
      </vt:variant>
      <vt:variant>
        <vt:lpwstr>_Toc410305247</vt:lpwstr>
      </vt:variant>
      <vt:variant>
        <vt:i4>1310774</vt:i4>
      </vt:variant>
      <vt:variant>
        <vt:i4>608</vt:i4>
      </vt:variant>
      <vt:variant>
        <vt:i4>0</vt:i4>
      </vt:variant>
      <vt:variant>
        <vt:i4>5</vt:i4>
      </vt:variant>
      <vt:variant>
        <vt:lpwstr/>
      </vt:variant>
      <vt:variant>
        <vt:lpwstr>_Toc410305246</vt:lpwstr>
      </vt:variant>
      <vt:variant>
        <vt:i4>1310774</vt:i4>
      </vt:variant>
      <vt:variant>
        <vt:i4>602</vt:i4>
      </vt:variant>
      <vt:variant>
        <vt:i4>0</vt:i4>
      </vt:variant>
      <vt:variant>
        <vt:i4>5</vt:i4>
      </vt:variant>
      <vt:variant>
        <vt:lpwstr/>
      </vt:variant>
      <vt:variant>
        <vt:lpwstr>_Toc410305245</vt:lpwstr>
      </vt:variant>
      <vt:variant>
        <vt:i4>1310774</vt:i4>
      </vt:variant>
      <vt:variant>
        <vt:i4>596</vt:i4>
      </vt:variant>
      <vt:variant>
        <vt:i4>0</vt:i4>
      </vt:variant>
      <vt:variant>
        <vt:i4>5</vt:i4>
      </vt:variant>
      <vt:variant>
        <vt:lpwstr/>
      </vt:variant>
      <vt:variant>
        <vt:lpwstr>_Toc410305244</vt:lpwstr>
      </vt:variant>
      <vt:variant>
        <vt:i4>1310774</vt:i4>
      </vt:variant>
      <vt:variant>
        <vt:i4>590</vt:i4>
      </vt:variant>
      <vt:variant>
        <vt:i4>0</vt:i4>
      </vt:variant>
      <vt:variant>
        <vt:i4>5</vt:i4>
      </vt:variant>
      <vt:variant>
        <vt:lpwstr/>
      </vt:variant>
      <vt:variant>
        <vt:lpwstr>_Toc410305243</vt:lpwstr>
      </vt:variant>
      <vt:variant>
        <vt:i4>1310774</vt:i4>
      </vt:variant>
      <vt:variant>
        <vt:i4>584</vt:i4>
      </vt:variant>
      <vt:variant>
        <vt:i4>0</vt:i4>
      </vt:variant>
      <vt:variant>
        <vt:i4>5</vt:i4>
      </vt:variant>
      <vt:variant>
        <vt:lpwstr/>
      </vt:variant>
      <vt:variant>
        <vt:lpwstr>_Toc410305242</vt:lpwstr>
      </vt:variant>
      <vt:variant>
        <vt:i4>1310774</vt:i4>
      </vt:variant>
      <vt:variant>
        <vt:i4>578</vt:i4>
      </vt:variant>
      <vt:variant>
        <vt:i4>0</vt:i4>
      </vt:variant>
      <vt:variant>
        <vt:i4>5</vt:i4>
      </vt:variant>
      <vt:variant>
        <vt:lpwstr/>
      </vt:variant>
      <vt:variant>
        <vt:lpwstr>_Toc410305241</vt:lpwstr>
      </vt:variant>
      <vt:variant>
        <vt:i4>1310774</vt:i4>
      </vt:variant>
      <vt:variant>
        <vt:i4>572</vt:i4>
      </vt:variant>
      <vt:variant>
        <vt:i4>0</vt:i4>
      </vt:variant>
      <vt:variant>
        <vt:i4>5</vt:i4>
      </vt:variant>
      <vt:variant>
        <vt:lpwstr/>
      </vt:variant>
      <vt:variant>
        <vt:lpwstr>_Toc410305240</vt:lpwstr>
      </vt:variant>
      <vt:variant>
        <vt:i4>1245238</vt:i4>
      </vt:variant>
      <vt:variant>
        <vt:i4>566</vt:i4>
      </vt:variant>
      <vt:variant>
        <vt:i4>0</vt:i4>
      </vt:variant>
      <vt:variant>
        <vt:i4>5</vt:i4>
      </vt:variant>
      <vt:variant>
        <vt:lpwstr/>
      </vt:variant>
      <vt:variant>
        <vt:lpwstr>_Toc410305239</vt:lpwstr>
      </vt:variant>
      <vt:variant>
        <vt:i4>1245238</vt:i4>
      </vt:variant>
      <vt:variant>
        <vt:i4>560</vt:i4>
      </vt:variant>
      <vt:variant>
        <vt:i4>0</vt:i4>
      </vt:variant>
      <vt:variant>
        <vt:i4>5</vt:i4>
      </vt:variant>
      <vt:variant>
        <vt:lpwstr/>
      </vt:variant>
      <vt:variant>
        <vt:lpwstr>_Toc410305238</vt:lpwstr>
      </vt:variant>
      <vt:variant>
        <vt:i4>1245238</vt:i4>
      </vt:variant>
      <vt:variant>
        <vt:i4>554</vt:i4>
      </vt:variant>
      <vt:variant>
        <vt:i4>0</vt:i4>
      </vt:variant>
      <vt:variant>
        <vt:i4>5</vt:i4>
      </vt:variant>
      <vt:variant>
        <vt:lpwstr/>
      </vt:variant>
      <vt:variant>
        <vt:lpwstr>_Toc410305237</vt:lpwstr>
      </vt:variant>
      <vt:variant>
        <vt:i4>1245238</vt:i4>
      </vt:variant>
      <vt:variant>
        <vt:i4>548</vt:i4>
      </vt:variant>
      <vt:variant>
        <vt:i4>0</vt:i4>
      </vt:variant>
      <vt:variant>
        <vt:i4>5</vt:i4>
      </vt:variant>
      <vt:variant>
        <vt:lpwstr/>
      </vt:variant>
      <vt:variant>
        <vt:lpwstr>_Toc410305236</vt:lpwstr>
      </vt:variant>
      <vt:variant>
        <vt:i4>1245238</vt:i4>
      </vt:variant>
      <vt:variant>
        <vt:i4>542</vt:i4>
      </vt:variant>
      <vt:variant>
        <vt:i4>0</vt:i4>
      </vt:variant>
      <vt:variant>
        <vt:i4>5</vt:i4>
      </vt:variant>
      <vt:variant>
        <vt:lpwstr/>
      </vt:variant>
      <vt:variant>
        <vt:lpwstr>_Toc410305235</vt:lpwstr>
      </vt:variant>
      <vt:variant>
        <vt:i4>1245238</vt:i4>
      </vt:variant>
      <vt:variant>
        <vt:i4>536</vt:i4>
      </vt:variant>
      <vt:variant>
        <vt:i4>0</vt:i4>
      </vt:variant>
      <vt:variant>
        <vt:i4>5</vt:i4>
      </vt:variant>
      <vt:variant>
        <vt:lpwstr/>
      </vt:variant>
      <vt:variant>
        <vt:lpwstr>_Toc410305234</vt:lpwstr>
      </vt:variant>
      <vt:variant>
        <vt:i4>1245238</vt:i4>
      </vt:variant>
      <vt:variant>
        <vt:i4>530</vt:i4>
      </vt:variant>
      <vt:variant>
        <vt:i4>0</vt:i4>
      </vt:variant>
      <vt:variant>
        <vt:i4>5</vt:i4>
      </vt:variant>
      <vt:variant>
        <vt:lpwstr/>
      </vt:variant>
      <vt:variant>
        <vt:lpwstr>_Toc410305233</vt:lpwstr>
      </vt:variant>
      <vt:variant>
        <vt:i4>1245238</vt:i4>
      </vt:variant>
      <vt:variant>
        <vt:i4>524</vt:i4>
      </vt:variant>
      <vt:variant>
        <vt:i4>0</vt:i4>
      </vt:variant>
      <vt:variant>
        <vt:i4>5</vt:i4>
      </vt:variant>
      <vt:variant>
        <vt:lpwstr/>
      </vt:variant>
      <vt:variant>
        <vt:lpwstr>_Toc410305232</vt:lpwstr>
      </vt:variant>
      <vt:variant>
        <vt:i4>1245238</vt:i4>
      </vt:variant>
      <vt:variant>
        <vt:i4>518</vt:i4>
      </vt:variant>
      <vt:variant>
        <vt:i4>0</vt:i4>
      </vt:variant>
      <vt:variant>
        <vt:i4>5</vt:i4>
      </vt:variant>
      <vt:variant>
        <vt:lpwstr/>
      </vt:variant>
      <vt:variant>
        <vt:lpwstr>_Toc410305231</vt:lpwstr>
      </vt:variant>
      <vt:variant>
        <vt:i4>1245238</vt:i4>
      </vt:variant>
      <vt:variant>
        <vt:i4>512</vt:i4>
      </vt:variant>
      <vt:variant>
        <vt:i4>0</vt:i4>
      </vt:variant>
      <vt:variant>
        <vt:i4>5</vt:i4>
      </vt:variant>
      <vt:variant>
        <vt:lpwstr/>
      </vt:variant>
      <vt:variant>
        <vt:lpwstr>_Toc410305230</vt:lpwstr>
      </vt:variant>
      <vt:variant>
        <vt:i4>1179702</vt:i4>
      </vt:variant>
      <vt:variant>
        <vt:i4>506</vt:i4>
      </vt:variant>
      <vt:variant>
        <vt:i4>0</vt:i4>
      </vt:variant>
      <vt:variant>
        <vt:i4>5</vt:i4>
      </vt:variant>
      <vt:variant>
        <vt:lpwstr/>
      </vt:variant>
      <vt:variant>
        <vt:lpwstr>_Toc410305229</vt:lpwstr>
      </vt:variant>
      <vt:variant>
        <vt:i4>1179702</vt:i4>
      </vt:variant>
      <vt:variant>
        <vt:i4>500</vt:i4>
      </vt:variant>
      <vt:variant>
        <vt:i4>0</vt:i4>
      </vt:variant>
      <vt:variant>
        <vt:i4>5</vt:i4>
      </vt:variant>
      <vt:variant>
        <vt:lpwstr/>
      </vt:variant>
      <vt:variant>
        <vt:lpwstr>_Toc410305228</vt:lpwstr>
      </vt:variant>
      <vt:variant>
        <vt:i4>1179702</vt:i4>
      </vt:variant>
      <vt:variant>
        <vt:i4>494</vt:i4>
      </vt:variant>
      <vt:variant>
        <vt:i4>0</vt:i4>
      </vt:variant>
      <vt:variant>
        <vt:i4>5</vt:i4>
      </vt:variant>
      <vt:variant>
        <vt:lpwstr/>
      </vt:variant>
      <vt:variant>
        <vt:lpwstr>_Toc410305227</vt:lpwstr>
      </vt:variant>
      <vt:variant>
        <vt:i4>1179702</vt:i4>
      </vt:variant>
      <vt:variant>
        <vt:i4>488</vt:i4>
      </vt:variant>
      <vt:variant>
        <vt:i4>0</vt:i4>
      </vt:variant>
      <vt:variant>
        <vt:i4>5</vt:i4>
      </vt:variant>
      <vt:variant>
        <vt:lpwstr/>
      </vt:variant>
      <vt:variant>
        <vt:lpwstr>_Toc410305226</vt:lpwstr>
      </vt:variant>
      <vt:variant>
        <vt:i4>1179702</vt:i4>
      </vt:variant>
      <vt:variant>
        <vt:i4>482</vt:i4>
      </vt:variant>
      <vt:variant>
        <vt:i4>0</vt:i4>
      </vt:variant>
      <vt:variant>
        <vt:i4>5</vt:i4>
      </vt:variant>
      <vt:variant>
        <vt:lpwstr/>
      </vt:variant>
      <vt:variant>
        <vt:lpwstr>_Toc410305225</vt:lpwstr>
      </vt:variant>
      <vt:variant>
        <vt:i4>1179702</vt:i4>
      </vt:variant>
      <vt:variant>
        <vt:i4>476</vt:i4>
      </vt:variant>
      <vt:variant>
        <vt:i4>0</vt:i4>
      </vt:variant>
      <vt:variant>
        <vt:i4>5</vt:i4>
      </vt:variant>
      <vt:variant>
        <vt:lpwstr/>
      </vt:variant>
      <vt:variant>
        <vt:lpwstr>_Toc410305224</vt:lpwstr>
      </vt:variant>
      <vt:variant>
        <vt:i4>1179702</vt:i4>
      </vt:variant>
      <vt:variant>
        <vt:i4>470</vt:i4>
      </vt:variant>
      <vt:variant>
        <vt:i4>0</vt:i4>
      </vt:variant>
      <vt:variant>
        <vt:i4>5</vt:i4>
      </vt:variant>
      <vt:variant>
        <vt:lpwstr/>
      </vt:variant>
      <vt:variant>
        <vt:lpwstr>_Toc410305223</vt:lpwstr>
      </vt:variant>
      <vt:variant>
        <vt:i4>1179702</vt:i4>
      </vt:variant>
      <vt:variant>
        <vt:i4>464</vt:i4>
      </vt:variant>
      <vt:variant>
        <vt:i4>0</vt:i4>
      </vt:variant>
      <vt:variant>
        <vt:i4>5</vt:i4>
      </vt:variant>
      <vt:variant>
        <vt:lpwstr/>
      </vt:variant>
      <vt:variant>
        <vt:lpwstr>_Toc410305222</vt:lpwstr>
      </vt:variant>
      <vt:variant>
        <vt:i4>1179702</vt:i4>
      </vt:variant>
      <vt:variant>
        <vt:i4>458</vt:i4>
      </vt:variant>
      <vt:variant>
        <vt:i4>0</vt:i4>
      </vt:variant>
      <vt:variant>
        <vt:i4>5</vt:i4>
      </vt:variant>
      <vt:variant>
        <vt:lpwstr/>
      </vt:variant>
      <vt:variant>
        <vt:lpwstr>_Toc410305221</vt:lpwstr>
      </vt:variant>
      <vt:variant>
        <vt:i4>1179702</vt:i4>
      </vt:variant>
      <vt:variant>
        <vt:i4>452</vt:i4>
      </vt:variant>
      <vt:variant>
        <vt:i4>0</vt:i4>
      </vt:variant>
      <vt:variant>
        <vt:i4>5</vt:i4>
      </vt:variant>
      <vt:variant>
        <vt:lpwstr/>
      </vt:variant>
      <vt:variant>
        <vt:lpwstr>_Toc410305220</vt:lpwstr>
      </vt:variant>
      <vt:variant>
        <vt:i4>1114166</vt:i4>
      </vt:variant>
      <vt:variant>
        <vt:i4>446</vt:i4>
      </vt:variant>
      <vt:variant>
        <vt:i4>0</vt:i4>
      </vt:variant>
      <vt:variant>
        <vt:i4>5</vt:i4>
      </vt:variant>
      <vt:variant>
        <vt:lpwstr/>
      </vt:variant>
      <vt:variant>
        <vt:lpwstr>_Toc410305219</vt:lpwstr>
      </vt:variant>
      <vt:variant>
        <vt:i4>1114166</vt:i4>
      </vt:variant>
      <vt:variant>
        <vt:i4>440</vt:i4>
      </vt:variant>
      <vt:variant>
        <vt:i4>0</vt:i4>
      </vt:variant>
      <vt:variant>
        <vt:i4>5</vt:i4>
      </vt:variant>
      <vt:variant>
        <vt:lpwstr/>
      </vt:variant>
      <vt:variant>
        <vt:lpwstr>_Toc410305218</vt:lpwstr>
      </vt:variant>
      <vt:variant>
        <vt:i4>1114166</vt:i4>
      </vt:variant>
      <vt:variant>
        <vt:i4>434</vt:i4>
      </vt:variant>
      <vt:variant>
        <vt:i4>0</vt:i4>
      </vt:variant>
      <vt:variant>
        <vt:i4>5</vt:i4>
      </vt:variant>
      <vt:variant>
        <vt:lpwstr/>
      </vt:variant>
      <vt:variant>
        <vt:lpwstr>_Toc410305217</vt:lpwstr>
      </vt:variant>
      <vt:variant>
        <vt:i4>1114166</vt:i4>
      </vt:variant>
      <vt:variant>
        <vt:i4>428</vt:i4>
      </vt:variant>
      <vt:variant>
        <vt:i4>0</vt:i4>
      </vt:variant>
      <vt:variant>
        <vt:i4>5</vt:i4>
      </vt:variant>
      <vt:variant>
        <vt:lpwstr/>
      </vt:variant>
      <vt:variant>
        <vt:lpwstr>_Toc410305216</vt:lpwstr>
      </vt:variant>
      <vt:variant>
        <vt:i4>1114166</vt:i4>
      </vt:variant>
      <vt:variant>
        <vt:i4>422</vt:i4>
      </vt:variant>
      <vt:variant>
        <vt:i4>0</vt:i4>
      </vt:variant>
      <vt:variant>
        <vt:i4>5</vt:i4>
      </vt:variant>
      <vt:variant>
        <vt:lpwstr/>
      </vt:variant>
      <vt:variant>
        <vt:lpwstr>_Toc410305215</vt:lpwstr>
      </vt:variant>
      <vt:variant>
        <vt:i4>1114166</vt:i4>
      </vt:variant>
      <vt:variant>
        <vt:i4>416</vt:i4>
      </vt:variant>
      <vt:variant>
        <vt:i4>0</vt:i4>
      </vt:variant>
      <vt:variant>
        <vt:i4>5</vt:i4>
      </vt:variant>
      <vt:variant>
        <vt:lpwstr/>
      </vt:variant>
      <vt:variant>
        <vt:lpwstr>_Toc410305214</vt:lpwstr>
      </vt:variant>
      <vt:variant>
        <vt:i4>1114166</vt:i4>
      </vt:variant>
      <vt:variant>
        <vt:i4>410</vt:i4>
      </vt:variant>
      <vt:variant>
        <vt:i4>0</vt:i4>
      </vt:variant>
      <vt:variant>
        <vt:i4>5</vt:i4>
      </vt:variant>
      <vt:variant>
        <vt:lpwstr/>
      </vt:variant>
      <vt:variant>
        <vt:lpwstr>_Toc410305213</vt:lpwstr>
      </vt:variant>
      <vt:variant>
        <vt:i4>1114166</vt:i4>
      </vt:variant>
      <vt:variant>
        <vt:i4>404</vt:i4>
      </vt:variant>
      <vt:variant>
        <vt:i4>0</vt:i4>
      </vt:variant>
      <vt:variant>
        <vt:i4>5</vt:i4>
      </vt:variant>
      <vt:variant>
        <vt:lpwstr/>
      </vt:variant>
      <vt:variant>
        <vt:lpwstr>_Toc410305212</vt:lpwstr>
      </vt:variant>
      <vt:variant>
        <vt:i4>1114166</vt:i4>
      </vt:variant>
      <vt:variant>
        <vt:i4>398</vt:i4>
      </vt:variant>
      <vt:variant>
        <vt:i4>0</vt:i4>
      </vt:variant>
      <vt:variant>
        <vt:i4>5</vt:i4>
      </vt:variant>
      <vt:variant>
        <vt:lpwstr/>
      </vt:variant>
      <vt:variant>
        <vt:lpwstr>_Toc410305211</vt:lpwstr>
      </vt:variant>
      <vt:variant>
        <vt:i4>1114166</vt:i4>
      </vt:variant>
      <vt:variant>
        <vt:i4>392</vt:i4>
      </vt:variant>
      <vt:variant>
        <vt:i4>0</vt:i4>
      </vt:variant>
      <vt:variant>
        <vt:i4>5</vt:i4>
      </vt:variant>
      <vt:variant>
        <vt:lpwstr/>
      </vt:variant>
      <vt:variant>
        <vt:lpwstr>_Toc410305210</vt:lpwstr>
      </vt:variant>
      <vt:variant>
        <vt:i4>1048630</vt:i4>
      </vt:variant>
      <vt:variant>
        <vt:i4>386</vt:i4>
      </vt:variant>
      <vt:variant>
        <vt:i4>0</vt:i4>
      </vt:variant>
      <vt:variant>
        <vt:i4>5</vt:i4>
      </vt:variant>
      <vt:variant>
        <vt:lpwstr/>
      </vt:variant>
      <vt:variant>
        <vt:lpwstr>_Toc410305209</vt:lpwstr>
      </vt:variant>
      <vt:variant>
        <vt:i4>1048630</vt:i4>
      </vt:variant>
      <vt:variant>
        <vt:i4>380</vt:i4>
      </vt:variant>
      <vt:variant>
        <vt:i4>0</vt:i4>
      </vt:variant>
      <vt:variant>
        <vt:i4>5</vt:i4>
      </vt:variant>
      <vt:variant>
        <vt:lpwstr/>
      </vt:variant>
      <vt:variant>
        <vt:lpwstr>_Toc410305208</vt:lpwstr>
      </vt:variant>
      <vt:variant>
        <vt:i4>1048630</vt:i4>
      </vt:variant>
      <vt:variant>
        <vt:i4>374</vt:i4>
      </vt:variant>
      <vt:variant>
        <vt:i4>0</vt:i4>
      </vt:variant>
      <vt:variant>
        <vt:i4>5</vt:i4>
      </vt:variant>
      <vt:variant>
        <vt:lpwstr/>
      </vt:variant>
      <vt:variant>
        <vt:lpwstr>_Toc410305207</vt:lpwstr>
      </vt:variant>
      <vt:variant>
        <vt:i4>1048630</vt:i4>
      </vt:variant>
      <vt:variant>
        <vt:i4>368</vt:i4>
      </vt:variant>
      <vt:variant>
        <vt:i4>0</vt:i4>
      </vt:variant>
      <vt:variant>
        <vt:i4>5</vt:i4>
      </vt:variant>
      <vt:variant>
        <vt:lpwstr/>
      </vt:variant>
      <vt:variant>
        <vt:lpwstr>_Toc410305206</vt:lpwstr>
      </vt:variant>
      <vt:variant>
        <vt:i4>1048630</vt:i4>
      </vt:variant>
      <vt:variant>
        <vt:i4>362</vt:i4>
      </vt:variant>
      <vt:variant>
        <vt:i4>0</vt:i4>
      </vt:variant>
      <vt:variant>
        <vt:i4>5</vt:i4>
      </vt:variant>
      <vt:variant>
        <vt:lpwstr/>
      </vt:variant>
      <vt:variant>
        <vt:lpwstr>_Toc410305205</vt:lpwstr>
      </vt:variant>
      <vt:variant>
        <vt:i4>1048630</vt:i4>
      </vt:variant>
      <vt:variant>
        <vt:i4>356</vt:i4>
      </vt:variant>
      <vt:variant>
        <vt:i4>0</vt:i4>
      </vt:variant>
      <vt:variant>
        <vt:i4>5</vt:i4>
      </vt:variant>
      <vt:variant>
        <vt:lpwstr/>
      </vt:variant>
      <vt:variant>
        <vt:lpwstr>_Toc410305204</vt:lpwstr>
      </vt:variant>
      <vt:variant>
        <vt:i4>1048630</vt:i4>
      </vt:variant>
      <vt:variant>
        <vt:i4>350</vt:i4>
      </vt:variant>
      <vt:variant>
        <vt:i4>0</vt:i4>
      </vt:variant>
      <vt:variant>
        <vt:i4>5</vt:i4>
      </vt:variant>
      <vt:variant>
        <vt:lpwstr/>
      </vt:variant>
      <vt:variant>
        <vt:lpwstr>_Toc410305203</vt:lpwstr>
      </vt:variant>
      <vt:variant>
        <vt:i4>1048630</vt:i4>
      </vt:variant>
      <vt:variant>
        <vt:i4>344</vt:i4>
      </vt:variant>
      <vt:variant>
        <vt:i4>0</vt:i4>
      </vt:variant>
      <vt:variant>
        <vt:i4>5</vt:i4>
      </vt:variant>
      <vt:variant>
        <vt:lpwstr/>
      </vt:variant>
      <vt:variant>
        <vt:lpwstr>_Toc410305202</vt:lpwstr>
      </vt:variant>
      <vt:variant>
        <vt:i4>1048630</vt:i4>
      </vt:variant>
      <vt:variant>
        <vt:i4>338</vt:i4>
      </vt:variant>
      <vt:variant>
        <vt:i4>0</vt:i4>
      </vt:variant>
      <vt:variant>
        <vt:i4>5</vt:i4>
      </vt:variant>
      <vt:variant>
        <vt:lpwstr/>
      </vt:variant>
      <vt:variant>
        <vt:lpwstr>_Toc410305201</vt:lpwstr>
      </vt:variant>
      <vt:variant>
        <vt:i4>1048630</vt:i4>
      </vt:variant>
      <vt:variant>
        <vt:i4>332</vt:i4>
      </vt:variant>
      <vt:variant>
        <vt:i4>0</vt:i4>
      </vt:variant>
      <vt:variant>
        <vt:i4>5</vt:i4>
      </vt:variant>
      <vt:variant>
        <vt:lpwstr/>
      </vt:variant>
      <vt:variant>
        <vt:lpwstr>_Toc410305200</vt:lpwstr>
      </vt:variant>
      <vt:variant>
        <vt:i4>1638453</vt:i4>
      </vt:variant>
      <vt:variant>
        <vt:i4>326</vt:i4>
      </vt:variant>
      <vt:variant>
        <vt:i4>0</vt:i4>
      </vt:variant>
      <vt:variant>
        <vt:i4>5</vt:i4>
      </vt:variant>
      <vt:variant>
        <vt:lpwstr/>
      </vt:variant>
      <vt:variant>
        <vt:lpwstr>_Toc410305199</vt:lpwstr>
      </vt:variant>
      <vt:variant>
        <vt:i4>1638453</vt:i4>
      </vt:variant>
      <vt:variant>
        <vt:i4>320</vt:i4>
      </vt:variant>
      <vt:variant>
        <vt:i4>0</vt:i4>
      </vt:variant>
      <vt:variant>
        <vt:i4>5</vt:i4>
      </vt:variant>
      <vt:variant>
        <vt:lpwstr/>
      </vt:variant>
      <vt:variant>
        <vt:lpwstr>_Toc410305198</vt:lpwstr>
      </vt:variant>
      <vt:variant>
        <vt:i4>1638453</vt:i4>
      </vt:variant>
      <vt:variant>
        <vt:i4>314</vt:i4>
      </vt:variant>
      <vt:variant>
        <vt:i4>0</vt:i4>
      </vt:variant>
      <vt:variant>
        <vt:i4>5</vt:i4>
      </vt:variant>
      <vt:variant>
        <vt:lpwstr/>
      </vt:variant>
      <vt:variant>
        <vt:lpwstr>_Toc410305197</vt:lpwstr>
      </vt:variant>
      <vt:variant>
        <vt:i4>1638453</vt:i4>
      </vt:variant>
      <vt:variant>
        <vt:i4>308</vt:i4>
      </vt:variant>
      <vt:variant>
        <vt:i4>0</vt:i4>
      </vt:variant>
      <vt:variant>
        <vt:i4>5</vt:i4>
      </vt:variant>
      <vt:variant>
        <vt:lpwstr/>
      </vt:variant>
      <vt:variant>
        <vt:lpwstr>_Toc410305196</vt:lpwstr>
      </vt:variant>
      <vt:variant>
        <vt:i4>1638453</vt:i4>
      </vt:variant>
      <vt:variant>
        <vt:i4>302</vt:i4>
      </vt:variant>
      <vt:variant>
        <vt:i4>0</vt:i4>
      </vt:variant>
      <vt:variant>
        <vt:i4>5</vt:i4>
      </vt:variant>
      <vt:variant>
        <vt:lpwstr/>
      </vt:variant>
      <vt:variant>
        <vt:lpwstr>_Toc410305195</vt:lpwstr>
      </vt:variant>
      <vt:variant>
        <vt:i4>1638453</vt:i4>
      </vt:variant>
      <vt:variant>
        <vt:i4>296</vt:i4>
      </vt:variant>
      <vt:variant>
        <vt:i4>0</vt:i4>
      </vt:variant>
      <vt:variant>
        <vt:i4>5</vt:i4>
      </vt:variant>
      <vt:variant>
        <vt:lpwstr/>
      </vt:variant>
      <vt:variant>
        <vt:lpwstr>_Toc410305194</vt:lpwstr>
      </vt:variant>
      <vt:variant>
        <vt:i4>1638453</vt:i4>
      </vt:variant>
      <vt:variant>
        <vt:i4>290</vt:i4>
      </vt:variant>
      <vt:variant>
        <vt:i4>0</vt:i4>
      </vt:variant>
      <vt:variant>
        <vt:i4>5</vt:i4>
      </vt:variant>
      <vt:variant>
        <vt:lpwstr/>
      </vt:variant>
      <vt:variant>
        <vt:lpwstr>_Toc410305193</vt:lpwstr>
      </vt:variant>
      <vt:variant>
        <vt:i4>1638453</vt:i4>
      </vt:variant>
      <vt:variant>
        <vt:i4>284</vt:i4>
      </vt:variant>
      <vt:variant>
        <vt:i4>0</vt:i4>
      </vt:variant>
      <vt:variant>
        <vt:i4>5</vt:i4>
      </vt:variant>
      <vt:variant>
        <vt:lpwstr/>
      </vt:variant>
      <vt:variant>
        <vt:lpwstr>_Toc410305192</vt:lpwstr>
      </vt:variant>
      <vt:variant>
        <vt:i4>1638453</vt:i4>
      </vt:variant>
      <vt:variant>
        <vt:i4>278</vt:i4>
      </vt:variant>
      <vt:variant>
        <vt:i4>0</vt:i4>
      </vt:variant>
      <vt:variant>
        <vt:i4>5</vt:i4>
      </vt:variant>
      <vt:variant>
        <vt:lpwstr/>
      </vt:variant>
      <vt:variant>
        <vt:lpwstr>_Toc410305191</vt:lpwstr>
      </vt:variant>
      <vt:variant>
        <vt:i4>1638453</vt:i4>
      </vt:variant>
      <vt:variant>
        <vt:i4>272</vt:i4>
      </vt:variant>
      <vt:variant>
        <vt:i4>0</vt:i4>
      </vt:variant>
      <vt:variant>
        <vt:i4>5</vt:i4>
      </vt:variant>
      <vt:variant>
        <vt:lpwstr/>
      </vt:variant>
      <vt:variant>
        <vt:lpwstr>_Toc410305190</vt:lpwstr>
      </vt:variant>
      <vt:variant>
        <vt:i4>1572917</vt:i4>
      </vt:variant>
      <vt:variant>
        <vt:i4>266</vt:i4>
      </vt:variant>
      <vt:variant>
        <vt:i4>0</vt:i4>
      </vt:variant>
      <vt:variant>
        <vt:i4>5</vt:i4>
      </vt:variant>
      <vt:variant>
        <vt:lpwstr/>
      </vt:variant>
      <vt:variant>
        <vt:lpwstr>_Toc410305189</vt:lpwstr>
      </vt:variant>
      <vt:variant>
        <vt:i4>1572917</vt:i4>
      </vt:variant>
      <vt:variant>
        <vt:i4>260</vt:i4>
      </vt:variant>
      <vt:variant>
        <vt:i4>0</vt:i4>
      </vt:variant>
      <vt:variant>
        <vt:i4>5</vt:i4>
      </vt:variant>
      <vt:variant>
        <vt:lpwstr/>
      </vt:variant>
      <vt:variant>
        <vt:lpwstr>_Toc410305188</vt:lpwstr>
      </vt:variant>
      <vt:variant>
        <vt:i4>1572917</vt:i4>
      </vt:variant>
      <vt:variant>
        <vt:i4>254</vt:i4>
      </vt:variant>
      <vt:variant>
        <vt:i4>0</vt:i4>
      </vt:variant>
      <vt:variant>
        <vt:i4>5</vt:i4>
      </vt:variant>
      <vt:variant>
        <vt:lpwstr/>
      </vt:variant>
      <vt:variant>
        <vt:lpwstr>_Toc410305187</vt:lpwstr>
      </vt:variant>
      <vt:variant>
        <vt:i4>1572917</vt:i4>
      </vt:variant>
      <vt:variant>
        <vt:i4>248</vt:i4>
      </vt:variant>
      <vt:variant>
        <vt:i4>0</vt:i4>
      </vt:variant>
      <vt:variant>
        <vt:i4>5</vt:i4>
      </vt:variant>
      <vt:variant>
        <vt:lpwstr/>
      </vt:variant>
      <vt:variant>
        <vt:lpwstr>_Toc410305186</vt:lpwstr>
      </vt:variant>
      <vt:variant>
        <vt:i4>1572917</vt:i4>
      </vt:variant>
      <vt:variant>
        <vt:i4>242</vt:i4>
      </vt:variant>
      <vt:variant>
        <vt:i4>0</vt:i4>
      </vt:variant>
      <vt:variant>
        <vt:i4>5</vt:i4>
      </vt:variant>
      <vt:variant>
        <vt:lpwstr/>
      </vt:variant>
      <vt:variant>
        <vt:lpwstr>_Toc410305185</vt:lpwstr>
      </vt:variant>
      <vt:variant>
        <vt:i4>1572917</vt:i4>
      </vt:variant>
      <vt:variant>
        <vt:i4>236</vt:i4>
      </vt:variant>
      <vt:variant>
        <vt:i4>0</vt:i4>
      </vt:variant>
      <vt:variant>
        <vt:i4>5</vt:i4>
      </vt:variant>
      <vt:variant>
        <vt:lpwstr/>
      </vt:variant>
      <vt:variant>
        <vt:lpwstr>_Toc410305184</vt:lpwstr>
      </vt:variant>
      <vt:variant>
        <vt:i4>1572917</vt:i4>
      </vt:variant>
      <vt:variant>
        <vt:i4>230</vt:i4>
      </vt:variant>
      <vt:variant>
        <vt:i4>0</vt:i4>
      </vt:variant>
      <vt:variant>
        <vt:i4>5</vt:i4>
      </vt:variant>
      <vt:variant>
        <vt:lpwstr/>
      </vt:variant>
      <vt:variant>
        <vt:lpwstr>_Toc410305183</vt:lpwstr>
      </vt:variant>
      <vt:variant>
        <vt:i4>1572917</vt:i4>
      </vt:variant>
      <vt:variant>
        <vt:i4>224</vt:i4>
      </vt:variant>
      <vt:variant>
        <vt:i4>0</vt:i4>
      </vt:variant>
      <vt:variant>
        <vt:i4>5</vt:i4>
      </vt:variant>
      <vt:variant>
        <vt:lpwstr/>
      </vt:variant>
      <vt:variant>
        <vt:lpwstr>_Toc410305182</vt:lpwstr>
      </vt:variant>
      <vt:variant>
        <vt:i4>1572917</vt:i4>
      </vt:variant>
      <vt:variant>
        <vt:i4>218</vt:i4>
      </vt:variant>
      <vt:variant>
        <vt:i4>0</vt:i4>
      </vt:variant>
      <vt:variant>
        <vt:i4>5</vt:i4>
      </vt:variant>
      <vt:variant>
        <vt:lpwstr/>
      </vt:variant>
      <vt:variant>
        <vt:lpwstr>_Toc410305181</vt:lpwstr>
      </vt:variant>
      <vt:variant>
        <vt:i4>1572917</vt:i4>
      </vt:variant>
      <vt:variant>
        <vt:i4>212</vt:i4>
      </vt:variant>
      <vt:variant>
        <vt:i4>0</vt:i4>
      </vt:variant>
      <vt:variant>
        <vt:i4>5</vt:i4>
      </vt:variant>
      <vt:variant>
        <vt:lpwstr/>
      </vt:variant>
      <vt:variant>
        <vt:lpwstr>_Toc410305180</vt:lpwstr>
      </vt:variant>
      <vt:variant>
        <vt:i4>1507381</vt:i4>
      </vt:variant>
      <vt:variant>
        <vt:i4>206</vt:i4>
      </vt:variant>
      <vt:variant>
        <vt:i4>0</vt:i4>
      </vt:variant>
      <vt:variant>
        <vt:i4>5</vt:i4>
      </vt:variant>
      <vt:variant>
        <vt:lpwstr/>
      </vt:variant>
      <vt:variant>
        <vt:lpwstr>_Toc410305179</vt:lpwstr>
      </vt:variant>
      <vt:variant>
        <vt:i4>1507381</vt:i4>
      </vt:variant>
      <vt:variant>
        <vt:i4>200</vt:i4>
      </vt:variant>
      <vt:variant>
        <vt:i4>0</vt:i4>
      </vt:variant>
      <vt:variant>
        <vt:i4>5</vt:i4>
      </vt:variant>
      <vt:variant>
        <vt:lpwstr/>
      </vt:variant>
      <vt:variant>
        <vt:lpwstr>_Toc410305178</vt:lpwstr>
      </vt:variant>
      <vt:variant>
        <vt:i4>1507381</vt:i4>
      </vt:variant>
      <vt:variant>
        <vt:i4>194</vt:i4>
      </vt:variant>
      <vt:variant>
        <vt:i4>0</vt:i4>
      </vt:variant>
      <vt:variant>
        <vt:i4>5</vt:i4>
      </vt:variant>
      <vt:variant>
        <vt:lpwstr/>
      </vt:variant>
      <vt:variant>
        <vt:lpwstr>_Toc410305177</vt:lpwstr>
      </vt:variant>
      <vt:variant>
        <vt:i4>1507381</vt:i4>
      </vt:variant>
      <vt:variant>
        <vt:i4>188</vt:i4>
      </vt:variant>
      <vt:variant>
        <vt:i4>0</vt:i4>
      </vt:variant>
      <vt:variant>
        <vt:i4>5</vt:i4>
      </vt:variant>
      <vt:variant>
        <vt:lpwstr/>
      </vt:variant>
      <vt:variant>
        <vt:lpwstr>_Toc410305176</vt:lpwstr>
      </vt:variant>
      <vt:variant>
        <vt:i4>1507381</vt:i4>
      </vt:variant>
      <vt:variant>
        <vt:i4>182</vt:i4>
      </vt:variant>
      <vt:variant>
        <vt:i4>0</vt:i4>
      </vt:variant>
      <vt:variant>
        <vt:i4>5</vt:i4>
      </vt:variant>
      <vt:variant>
        <vt:lpwstr/>
      </vt:variant>
      <vt:variant>
        <vt:lpwstr>_Toc410305175</vt:lpwstr>
      </vt:variant>
      <vt:variant>
        <vt:i4>1507381</vt:i4>
      </vt:variant>
      <vt:variant>
        <vt:i4>176</vt:i4>
      </vt:variant>
      <vt:variant>
        <vt:i4>0</vt:i4>
      </vt:variant>
      <vt:variant>
        <vt:i4>5</vt:i4>
      </vt:variant>
      <vt:variant>
        <vt:lpwstr/>
      </vt:variant>
      <vt:variant>
        <vt:lpwstr>_Toc410305174</vt:lpwstr>
      </vt:variant>
      <vt:variant>
        <vt:i4>1507381</vt:i4>
      </vt:variant>
      <vt:variant>
        <vt:i4>170</vt:i4>
      </vt:variant>
      <vt:variant>
        <vt:i4>0</vt:i4>
      </vt:variant>
      <vt:variant>
        <vt:i4>5</vt:i4>
      </vt:variant>
      <vt:variant>
        <vt:lpwstr/>
      </vt:variant>
      <vt:variant>
        <vt:lpwstr>_Toc410305173</vt:lpwstr>
      </vt:variant>
      <vt:variant>
        <vt:i4>1507381</vt:i4>
      </vt:variant>
      <vt:variant>
        <vt:i4>164</vt:i4>
      </vt:variant>
      <vt:variant>
        <vt:i4>0</vt:i4>
      </vt:variant>
      <vt:variant>
        <vt:i4>5</vt:i4>
      </vt:variant>
      <vt:variant>
        <vt:lpwstr/>
      </vt:variant>
      <vt:variant>
        <vt:lpwstr>_Toc410305172</vt:lpwstr>
      </vt:variant>
      <vt:variant>
        <vt:i4>1507381</vt:i4>
      </vt:variant>
      <vt:variant>
        <vt:i4>158</vt:i4>
      </vt:variant>
      <vt:variant>
        <vt:i4>0</vt:i4>
      </vt:variant>
      <vt:variant>
        <vt:i4>5</vt:i4>
      </vt:variant>
      <vt:variant>
        <vt:lpwstr/>
      </vt:variant>
      <vt:variant>
        <vt:lpwstr>_Toc410305171</vt:lpwstr>
      </vt:variant>
      <vt:variant>
        <vt:i4>1507381</vt:i4>
      </vt:variant>
      <vt:variant>
        <vt:i4>152</vt:i4>
      </vt:variant>
      <vt:variant>
        <vt:i4>0</vt:i4>
      </vt:variant>
      <vt:variant>
        <vt:i4>5</vt:i4>
      </vt:variant>
      <vt:variant>
        <vt:lpwstr/>
      </vt:variant>
      <vt:variant>
        <vt:lpwstr>_Toc410305170</vt:lpwstr>
      </vt:variant>
      <vt:variant>
        <vt:i4>1441845</vt:i4>
      </vt:variant>
      <vt:variant>
        <vt:i4>146</vt:i4>
      </vt:variant>
      <vt:variant>
        <vt:i4>0</vt:i4>
      </vt:variant>
      <vt:variant>
        <vt:i4>5</vt:i4>
      </vt:variant>
      <vt:variant>
        <vt:lpwstr/>
      </vt:variant>
      <vt:variant>
        <vt:lpwstr>_Toc410305169</vt:lpwstr>
      </vt:variant>
      <vt:variant>
        <vt:i4>1441845</vt:i4>
      </vt:variant>
      <vt:variant>
        <vt:i4>140</vt:i4>
      </vt:variant>
      <vt:variant>
        <vt:i4>0</vt:i4>
      </vt:variant>
      <vt:variant>
        <vt:i4>5</vt:i4>
      </vt:variant>
      <vt:variant>
        <vt:lpwstr/>
      </vt:variant>
      <vt:variant>
        <vt:lpwstr>_Toc410305168</vt:lpwstr>
      </vt:variant>
      <vt:variant>
        <vt:i4>1441845</vt:i4>
      </vt:variant>
      <vt:variant>
        <vt:i4>134</vt:i4>
      </vt:variant>
      <vt:variant>
        <vt:i4>0</vt:i4>
      </vt:variant>
      <vt:variant>
        <vt:i4>5</vt:i4>
      </vt:variant>
      <vt:variant>
        <vt:lpwstr/>
      </vt:variant>
      <vt:variant>
        <vt:lpwstr>_Toc410305167</vt:lpwstr>
      </vt:variant>
      <vt:variant>
        <vt:i4>1441845</vt:i4>
      </vt:variant>
      <vt:variant>
        <vt:i4>128</vt:i4>
      </vt:variant>
      <vt:variant>
        <vt:i4>0</vt:i4>
      </vt:variant>
      <vt:variant>
        <vt:i4>5</vt:i4>
      </vt:variant>
      <vt:variant>
        <vt:lpwstr/>
      </vt:variant>
      <vt:variant>
        <vt:lpwstr>_Toc410305166</vt:lpwstr>
      </vt:variant>
      <vt:variant>
        <vt:i4>1441845</vt:i4>
      </vt:variant>
      <vt:variant>
        <vt:i4>122</vt:i4>
      </vt:variant>
      <vt:variant>
        <vt:i4>0</vt:i4>
      </vt:variant>
      <vt:variant>
        <vt:i4>5</vt:i4>
      </vt:variant>
      <vt:variant>
        <vt:lpwstr/>
      </vt:variant>
      <vt:variant>
        <vt:lpwstr>_Toc410305165</vt:lpwstr>
      </vt:variant>
      <vt:variant>
        <vt:i4>1441845</vt:i4>
      </vt:variant>
      <vt:variant>
        <vt:i4>116</vt:i4>
      </vt:variant>
      <vt:variant>
        <vt:i4>0</vt:i4>
      </vt:variant>
      <vt:variant>
        <vt:i4>5</vt:i4>
      </vt:variant>
      <vt:variant>
        <vt:lpwstr/>
      </vt:variant>
      <vt:variant>
        <vt:lpwstr>_Toc410305164</vt:lpwstr>
      </vt:variant>
      <vt:variant>
        <vt:i4>1441845</vt:i4>
      </vt:variant>
      <vt:variant>
        <vt:i4>110</vt:i4>
      </vt:variant>
      <vt:variant>
        <vt:i4>0</vt:i4>
      </vt:variant>
      <vt:variant>
        <vt:i4>5</vt:i4>
      </vt:variant>
      <vt:variant>
        <vt:lpwstr/>
      </vt:variant>
      <vt:variant>
        <vt:lpwstr>_Toc410305163</vt:lpwstr>
      </vt:variant>
      <vt:variant>
        <vt:i4>1441845</vt:i4>
      </vt:variant>
      <vt:variant>
        <vt:i4>104</vt:i4>
      </vt:variant>
      <vt:variant>
        <vt:i4>0</vt:i4>
      </vt:variant>
      <vt:variant>
        <vt:i4>5</vt:i4>
      </vt:variant>
      <vt:variant>
        <vt:lpwstr/>
      </vt:variant>
      <vt:variant>
        <vt:lpwstr>_Toc410305162</vt:lpwstr>
      </vt:variant>
      <vt:variant>
        <vt:i4>1441845</vt:i4>
      </vt:variant>
      <vt:variant>
        <vt:i4>98</vt:i4>
      </vt:variant>
      <vt:variant>
        <vt:i4>0</vt:i4>
      </vt:variant>
      <vt:variant>
        <vt:i4>5</vt:i4>
      </vt:variant>
      <vt:variant>
        <vt:lpwstr/>
      </vt:variant>
      <vt:variant>
        <vt:lpwstr>_Toc410305161</vt:lpwstr>
      </vt:variant>
      <vt:variant>
        <vt:i4>1441845</vt:i4>
      </vt:variant>
      <vt:variant>
        <vt:i4>92</vt:i4>
      </vt:variant>
      <vt:variant>
        <vt:i4>0</vt:i4>
      </vt:variant>
      <vt:variant>
        <vt:i4>5</vt:i4>
      </vt:variant>
      <vt:variant>
        <vt:lpwstr/>
      </vt:variant>
      <vt:variant>
        <vt:lpwstr>_Toc410305160</vt:lpwstr>
      </vt:variant>
      <vt:variant>
        <vt:i4>1376309</vt:i4>
      </vt:variant>
      <vt:variant>
        <vt:i4>86</vt:i4>
      </vt:variant>
      <vt:variant>
        <vt:i4>0</vt:i4>
      </vt:variant>
      <vt:variant>
        <vt:i4>5</vt:i4>
      </vt:variant>
      <vt:variant>
        <vt:lpwstr/>
      </vt:variant>
      <vt:variant>
        <vt:lpwstr>_Toc410305159</vt:lpwstr>
      </vt:variant>
      <vt:variant>
        <vt:i4>1376309</vt:i4>
      </vt:variant>
      <vt:variant>
        <vt:i4>80</vt:i4>
      </vt:variant>
      <vt:variant>
        <vt:i4>0</vt:i4>
      </vt:variant>
      <vt:variant>
        <vt:i4>5</vt:i4>
      </vt:variant>
      <vt:variant>
        <vt:lpwstr/>
      </vt:variant>
      <vt:variant>
        <vt:lpwstr>_Toc410305158</vt:lpwstr>
      </vt:variant>
      <vt:variant>
        <vt:i4>1376309</vt:i4>
      </vt:variant>
      <vt:variant>
        <vt:i4>74</vt:i4>
      </vt:variant>
      <vt:variant>
        <vt:i4>0</vt:i4>
      </vt:variant>
      <vt:variant>
        <vt:i4>5</vt:i4>
      </vt:variant>
      <vt:variant>
        <vt:lpwstr/>
      </vt:variant>
      <vt:variant>
        <vt:lpwstr>_Toc410305157</vt:lpwstr>
      </vt:variant>
      <vt:variant>
        <vt:i4>1376309</vt:i4>
      </vt:variant>
      <vt:variant>
        <vt:i4>68</vt:i4>
      </vt:variant>
      <vt:variant>
        <vt:i4>0</vt:i4>
      </vt:variant>
      <vt:variant>
        <vt:i4>5</vt:i4>
      </vt:variant>
      <vt:variant>
        <vt:lpwstr/>
      </vt:variant>
      <vt:variant>
        <vt:lpwstr>_Toc410305156</vt:lpwstr>
      </vt:variant>
      <vt:variant>
        <vt:i4>1376309</vt:i4>
      </vt:variant>
      <vt:variant>
        <vt:i4>62</vt:i4>
      </vt:variant>
      <vt:variant>
        <vt:i4>0</vt:i4>
      </vt:variant>
      <vt:variant>
        <vt:i4>5</vt:i4>
      </vt:variant>
      <vt:variant>
        <vt:lpwstr/>
      </vt:variant>
      <vt:variant>
        <vt:lpwstr>_Toc410305155</vt:lpwstr>
      </vt:variant>
      <vt:variant>
        <vt:i4>1376309</vt:i4>
      </vt:variant>
      <vt:variant>
        <vt:i4>56</vt:i4>
      </vt:variant>
      <vt:variant>
        <vt:i4>0</vt:i4>
      </vt:variant>
      <vt:variant>
        <vt:i4>5</vt:i4>
      </vt:variant>
      <vt:variant>
        <vt:lpwstr/>
      </vt:variant>
      <vt:variant>
        <vt:lpwstr>_Toc410305154</vt:lpwstr>
      </vt:variant>
      <vt:variant>
        <vt:i4>1376309</vt:i4>
      </vt:variant>
      <vt:variant>
        <vt:i4>50</vt:i4>
      </vt:variant>
      <vt:variant>
        <vt:i4>0</vt:i4>
      </vt:variant>
      <vt:variant>
        <vt:i4>5</vt:i4>
      </vt:variant>
      <vt:variant>
        <vt:lpwstr/>
      </vt:variant>
      <vt:variant>
        <vt:lpwstr>_Toc410305153</vt:lpwstr>
      </vt:variant>
      <vt:variant>
        <vt:i4>1376309</vt:i4>
      </vt:variant>
      <vt:variant>
        <vt:i4>44</vt:i4>
      </vt:variant>
      <vt:variant>
        <vt:i4>0</vt:i4>
      </vt:variant>
      <vt:variant>
        <vt:i4>5</vt:i4>
      </vt:variant>
      <vt:variant>
        <vt:lpwstr/>
      </vt:variant>
      <vt:variant>
        <vt:lpwstr>_Toc410305152</vt:lpwstr>
      </vt:variant>
      <vt:variant>
        <vt:i4>1376309</vt:i4>
      </vt:variant>
      <vt:variant>
        <vt:i4>38</vt:i4>
      </vt:variant>
      <vt:variant>
        <vt:i4>0</vt:i4>
      </vt:variant>
      <vt:variant>
        <vt:i4>5</vt:i4>
      </vt:variant>
      <vt:variant>
        <vt:lpwstr/>
      </vt:variant>
      <vt:variant>
        <vt:lpwstr>_Toc410305151</vt:lpwstr>
      </vt:variant>
      <vt:variant>
        <vt:i4>1376309</vt:i4>
      </vt:variant>
      <vt:variant>
        <vt:i4>32</vt:i4>
      </vt:variant>
      <vt:variant>
        <vt:i4>0</vt:i4>
      </vt:variant>
      <vt:variant>
        <vt:i4>5</vt:i4>
      </vt:variant>
      <vt:variant>
        <vt:lpwstr/>
      </vt:variant>
      <vt:variant>
        <vt:lpwstr>_Toc410305150</vt:lpwstr>
      </vt:variant>
      <vt:variant>
        <vt:i4>1310773</vt:i4>
      </vt:variant>
      <vt:variant>
        <vt:i4>26</vt:i4>
      </vt:variant>
      <vt:variant>
        <vt:i4>0</vt:i4>
      </vt:variant>
      <vt:variant>
        <vt:i4>5</vt:i4>
      </vt:variant>
      <vt:variant>
        <vt:lpwstr/>
      </vt:variant>
      <vt:variant>
        <vt:lpwstr>_Toc410305149</vt:lpwstr>
      </vt:variant>
      <vt:variant>
        <vt:i4>1310773</vt:i4>
      </vt:variant>
      <vt:variant>
        <vt:i4>20</vt:i4>
      </vt:variant>
      <vt:variant>
        <vt:i4>0</vt:i4>
      </vt:variant>
      <vt:variant>
        <vt:i4>5</vt:i4>
      </vt:variant>
      <vt:variant>
        <vt:lpwstr/>
      </vt:variant>
      <vt:variant>
        <vt:lpwstr>_Toc410305148</vt:lpwstr>
      </vt:variant>
      <vt:variant>
        <vt:i4>1310773</vt:i4>
      </vt:variant>
      <vt:variant>
        <vt:i4>14</vt:i4>
      </vt:variant>
      <vt:variant>
        <vt:i4>0</vt:i4>
      </vt:variant>
      <vt:variant>
        <vt:i4>5</vt:i4>
      </vt:variant>
      <vt:variant>
        <vt:lpwstr/>
      </vt:variant>
      <vt:variant>
        <vt:lpwstr>_Toc410305147</vt:lpwstr>
      </vt:variant>
      <vt:variant>
        <vt:i4>1310773</vt:i4>
      </vt:variant>
      <vt:variant>
        <vt:i4>8</vt:i4>
      </vt:variant>
      <vt:variant>
        <vt:i4>0</vt:i4>
      </vt:variant>
      <vt:variant>
        <vt:i4>5</vt:i4>
      </vt:variant>
      <vt:variant>
        <vt:lpwstr/>
      </vt:variant>
      <vt:variant>
        <vt:lpwstr>_Toc410305146</vt:lpwstr>
      </vt:variant>
      <vt:variant>
        <vt:i4>1310773</vt:i4>
      </vt:variant>
      <vt:variant>
        <vt:i4>2</vt:i4>
      </vt:variant>
      <vt:variant>
        <vt:i4>0</vt:i4>
      </vt:variant>
      <vt:variant>
        <vt:i4>5</vt:i4>
      </vt:variant>
      <vt:variant>
        <vt:lpwstr/>
      </vt:variant>
      <vt:variant>
        <vt:lpwstr>_Toc410305145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募集申请材料</dc:subject>
  <dc:creator>徐晶</dc:creator>
  <cp:keywords/>
  <dc:description/>
  <cp:lastModifiedBy>陈红</cp:lastModifiedBy>
  <cp:revision>4</cp:revision>
  <cp:lastPrinted>2012-01-20T07:16:00Z</cp:lastPrinted>
  <dcterms:created xsi:type="dcterms:W3CDTF">2020-06-15T08:41:00Z</dcterms:created>
  <dcterms:modified xsi:type="dcterms:W3CDTF">2020-06-17T07:57:00Z</dcterms:modified>
  <cp:category>募集申请材料</cp:category>
</cp:coreProperties>
</file>