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0A" w:rsidRDefault="00A47E3E">
      <w:pPr>
        <w:jc w:val="center"/>
        <w:rPr>
          <w:b/>
          <w:sz w:val="32"/>
        </w:rPr>
      </w:pPr>
      <w:r>
        <w:rPr>
          <w:rFonts w:hint="eastAsia"/>
          <w:b/>
          <w:sz w:val="32"/>
        </w:rPr>
        <w:t>南方基金管理股份有限公司关于南方原油证券投资基金</w:t>
      </w:r>
    </w:p>
    <w:p w:rsidR="007F730A" w:rsidRDefault="00A47E3E">
      <w:pPr>
        <w:jc w:val="center"/>
        <w:rPr>
          <w:b/>
          <w:sz w:val="32"/>
        </w:rPr>
      </w:pPr>
      <w:r>
        <w:rPr>
          <w:rFonts w:hint="eastAsia"/>
          <w:b/>
          <w:sz w:val="32"/>
        </w:rPr>
        <w:t>A</w:t>
      </w:r>
      <w:r>
        <w:rPr>
          <w:rFonts w:hint="eastAsia"/>
          <w:b/>
          <w:sz w:val="32"/>
        </w:rPr>
        <w:t>类基金份额</w:t>
      </w:r>
      <w:r w:rsidR="008E7578">
        <w:rPr>
          <w:rFonts w:hint="eastAsia"/>
          <w:b/>
          <w:sz w:val="32"/>
        </w:rPr>
        <w:t>溢价</w:t>
      </w:r>
      <w:r>
        <w:rPr>
          <w:rFonts w:hint="eastAsia"/>
          <w:b/>
          <w:sz w:val="32"/>
        </w:rPr>
        <w:t>风险提示公告</w:t>
      </w:r>
    </w:p>
    <w:p w:rsidR="007F730A" w:rsidRDefault="007F730A">
      <w:pPr>
        <w:widowControl/>
        <w:spacing w:line="360" w:lineRule="auto"/>
        <w:ind w:firstLine="360"/>
        <w:jc w:val="left"/>
        <w:rPr>
          <w:rFonts w:ascii="宋体" w:hAnsi="宋体"/>
          <w:kern w:val="0"/>
          <w:szCs w:val="18"/>
        </w:rPr>
      </w:pPr>
    </w:p>
    <w:p w:rsidR="007F730A" w:rsidRDefault="00A47E3E">
      <w:pPr>
        <w:widowControl/>
        <w:spacing w:line="360" w:lineRule="auto"/>
        <w:ind w:firstLine="360"/>
        <w:rPr>
          <w:rFonts w:ascii="宋体" w:hAnsi="宋体"/>
          <w:kern w:val="0"/>
          <w:szCs w:val="18"/>
        </w:rPr>
      </w:pPr>
      <w:r>
        <w:rPr>
          <w:rFonts w:ascii="宋体" w:hAnsi="宋体" w:hint="eastAsia"/>
          <w:kern w:val="0"/>
          <w:szCs w:val="18"/>
        </w:rPr>
        <w:t>近期，南方基金管理股份有限公司（以下简称“本基金管理人”）旗下南方原油证券投资基金A类基金份额（基金简称：南方原油；</w:t>
      </w:r>
      <w:proofErr w:type="gramStart"/>
      <w:r>
        <w:rPr>
          <w:rFonts w:ascii="宋体" w:hAnsi="宋体" w:hint="eastAsia"/>
          <w:kern w:val="0"/>
          <w:szCs w:val="18"/>
        </w:rPr>
        <w:t>基金扩位简称</w:t>
      </w:r>
      <w:proofErr w:type="gramEnd"/>
      <w:r>
        <w:rPr>
          <w:rFonts w:ascii="宋体" w:hAnsi="宋体" w:hint="eastAsia"/>
          <w:kern w:val="0"/>
          <w:szCs w:val="18"/>
        </w:rPr>
        <w:t>：南方原油LOF；交易代码：</w:t>
      </w:r>
      <w:r>
        <w:rPr>
          <w:rFonts w:ascii="宋体" w:hAnsi="宋体"/>
          <w:kern w:val="0"/>
          <w:szCs w:val="18"/>
        </w:rPr>
        <w:t>501018</w:t>
      </w:r>
      <w:r>
        <w:rPr>
          <w:rFonts w:ascii="宋体" w:hAnsi="宋体" w:hint="eastAsia"/>
          <w:kern w:val="0"/>
          <w:szCs w:val="18"/>
        </w:rPr>
        <w:t>）二级市场交易价格波动较大，请投资者密切关注基金份额净值。</w:t>
      </w:r>
      <w:r w:rsidR="00AC0447" w:rsidRPr="00AC0447">
        <w:rPr>
          <w:rFonts w:ascii="宋体" w:hAnsi="宋体" w:hint="eastAsia"/>
          <w:kern w:val="0"/>
          <w:szCs w:val="18"/>
        </w:rPr>
        <w:t>2020年6月</w:t>
      </w:r>
      <w:r w:rsidR="00557E24">
        <w:rPr>
          <w:rFonts w:ascii="宋体" w:hAnsi="宋体" w:hint="eastAsia"/>
          <w:kern w:val="0"/>
          <w:szCs w:val="18"/>
        </w:rPr>
        <w:t>1</w:t>
      </w:r>
      <w:r w:rsidR="00557E24">
        <w:rPr>
          <w:rFonts w:ascii="宋体" w:hAnsi="宋体"/>
          <w:kern w:val="0"/>
          <w:szCs w:val="18"/>
        </w:rPr>
        <w:t>6</w:t>
      </w:r>
      <w:r w:rsidR="00AC0447" w:rsidRPr="00AC0447">
        <w:rPr>
          <w:rFonts w:ascii="宋体" w:hAnsi="宋体" w:hint="eastAsia"/>
          <w:kern w:val="0"/>
          <w:szCs w:val="18"/>
        </w:rPr>
        <w:t>日，南方原油在二级市场的收盘价为</w:t>
      </w:r>
      <w:r w:rsidR="00557E24" w:rsidRPr="00557E24">
        <w:rPr>
          <w:rFonts w:ascii="宋体" w:hAnsi="宋体"/>
          <w:kern w:val="0"/>
          <w:szCs w:val="18"/>
        </w:rPr>
        <w:t>0.653</w:t>
      </w:r>
      <w:r w:rsidR="00AC0447" w:rsidRPr="00AC0447">
        <w:rPr>
          <w:rFonts w:ascii="宋体" w:hAnsi="宋体" w:hint="eastAsia"/>
          <w:kern w:val="0"/>
          <w:szCs w:val="18"/>
        </w:rPr>
        <w:t>元，相对于当日</w:t>
      </w:r>
      <w:r w:rsidR="00557E24" w:rsidRPr="00557E24">
        <w:rPr>
          <w:rFonts w:ascii="宋体" w:hAnsi="宋体"/>
          <w:kern w:val="0"/>
          <w:szCs w:val="18"/>
        </w:rPr>
        <w:t>0.5307</w:t>
      </w:r>
      <w:r w:rsidR="00AC0447" w:rsidRPr="00AC0447">
        <w:rPr>
          <w:rFonts w:ascii="宋体" w:hAnsi="宋体" w:hint="eastAsia"/>
          <w:kern w:val="0"/>
          <w:szCs w:val="18"/>
        </w:rPr>
        <w:t>元的基金份额净值，溢价幅度达到</w:t>
      </w:r>
      <w:r w:rsidR="00557E24" w:rsidRPr="00557E24">
        <w:rPr>
          <w:rFonts w:ascii="宋体" w:hAnsi="宋体"/>
          <w:kern w:val="0"/>
          <w:szCs w:val="18"/>
        </w:rPr>
        <w:t>23.05%</w:t>
      </w:r>
      <w:r w:rsidR="00AC0447" w:rsidRPr="00AC0447">
        <w:rPr>
          <w:rFonts w:ascii="宋体" w:hAnsi="宋体" w:hint="eastAsia"/>
          <w:kern w:val="0"/>
          <w:szCs w:val="18"/>
        </w:rPr>
        <w:t>。截止2020年6月</w:t>
      </w:r>
      <w:r w:rsidR="00557E24">
        <w:rPr>
          <w:rFonts w:ascii="宋体" w:hAnsi="宋体" w:hint="eastAsia"/>
          <w:kern w:val="0"/>
          <w:szCs w:val="18"/>
        </w:rPr>
        <w:t>1</w:t>
      </w:r>
      <w:r w:rsidR="00557E24">
        <w:rPr>
          <w:rFonts w:ascii="宋体" w:hAnsi="宋体"/>
          <w:kern w:val="0"/>
          <w:szCs w:val="18"/>
        </w:rPr>
        <w:t>8</w:t>
      </w:r>
      <w:r w:rsidR="00AC0447" w:rsidRPr="00AC0447">
        <w:rPr>
          <w:rFonts w:ascii="宋体" w:hAnsi="宋体" w:hint="eastAsia"/>
          <w:kern w:val="0"/>
          <w:szCs w:val="18"/>
        </w:rPr>
        <w:t>日，南方原油在二级市场的收盘价为</w:t>
      </w:r>
      <w:r w:rsidR="007E611D">
        <w:rPr>
          <w:rFonts w:ascii="宋体" w:hAnsi="宋体" w:hint="eastAsia"/>
          <w:kern w:val="0"/>
          <w:szCs w:val="18"/>
        </w:rPr>
        <w:t>0.6</w:t>
      </w:r>
      <w:r w:rsidR="007E611D">
        <w:rPr>
          <w:rFonts w:ascii="宋体" w:hAnsi="宋体"/>
          <w:kern w:val="0"/>
          <w:szCs w:val="18"/>
        </w:rPr>
        <w:t>47</w:t>
      </w:r>
      <w:r w:rsidR="00AC0447" w:rsidRPr="00AC0447">
        <w:rPr>
          <w:rFonts w:ascii="宋体" w:hAnsi="宋体" w:hint="eastAsia"/>
          <w:kern w:val="0"/>
          <w:szCs w:val="18"/>
        </w:rPr>
        <w:t>元，</w:t>
      </w:r>
      <w:r w:rsidR="00D0319B" w:rsidRPr="00D0319B">
        <w:rPr>
          <w:rFonts w:ascii="宋体" w:hAnsi="宋体" w:hint="eastAsia"/>
          <w:kern w:val="0"/>
          <w:szCs w:val="18"/>
        </w:rPr>
        <w:t>明显高于</w:t>
      </w:r>
      <w:r w:rsidR="0014641C">
        <w:rPr>
          <w:rFonts w:ascii="宋体" w:hAnsi="宋体" w:hint="eastAsia"/>
          <w:kern w:val="0"/>
          <w:szCs w:val="18"/>
        </w:rPr>
        <w:t>2020年</w:t>
      </w:r>
      <w:r w:rsidR="005A58C9">
        <w:rPr>
          <w:rFonts w:ascii="宋体" w:hAnsi="宋体" w:hint="eastAsia"/>
          <w:kern w:val="0"/>
          <w:szCs w:val="18"/>
        </w:rPr>
        <w:t>6</w:t>
      </w:r>
      <w:r w:rsidR="0014641C">
        <w:rPr>
          <w:rFonts w:ascii="宋体" w:hAnsi="宋体" w:hint="eastAsia"/>
          <w:kern w:val="0"/>
          <w:szCs w:val="18"/>
        </w:rPr>
        <w:t>月</w:t>
      </w:r>
      <w:r w:rsidR="00A8088B">
        <w:rPr>
          <w:rFonts w:ascii="宋体" w:hAnsi="宋体" w:hint="eastAsia"/>
          <w:kern w:val="0"/>
          <w:szCs w:val="18"/>
        </w:rPr>
        <w:t>1</w:t>
      </w:r>
      <w:r w:rsidR="0008232A">
        <w:rPr>
          <w:rFonts w:ascii="宋体" w:hAnsi="宋体"/>
          <w:kern w:val="0"/>
          <w:szCs w:val="18"/>
        </w:rPr>
        <w:t>6</w:t>
      </w:r>
      <w:r w:rsidR="0014641C">
        <w:rPr>
          <w:rFonts w:ascii="宋体" w:hAnsi="宋体" w:hint="eastAsia"/>
          <w:kern w:val="0"/>
          <w:szCs w:val="18"/>
        </w:rPr>
        <w:t>日的</w:t>
      </w:r>
      <w:r w:rsidR="0014641C" w:rsidRPr="0014641C">
        <w:rPr>
          <w:rFonts w:ascii="宋体" w:hAnsi="宋体" w:hint="eastAsia"/>
          <w:kern w:val="0"/>
          <w:szCs w:val="18"/>
        </w:rPr>
        <w:t>基金份额净值。</w:t>
      </w:r>
      <w:r>
        <w:rPr>
          <w:rFonts w:ascii="宋体" w:hAnsi="宋体" w:hint="eastAsia"/>
          <w:kern w:val="0"/>
          <w:szCs w:val="18"/>
        </w:rPr>
        <w:t>投资者如果盲目投资于高溢价率的基金份额，可能遭受重大损失。</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为此，本基金管理人声明如下：</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1、南方原油证券投资基金为上市型开放式基金，</w:t>
      </w:r>
      <w:r w:rsidR="00716B0B" w:rsidRPr="00716B0B">
        <w:rPr>
          <w:rFonts w:ascii="宋体" w:hAnsi="宋体" w:hint="eastAsia"/>
          <w:kern w:val="0"/>
          <w:szCs w:val="18"/>
        </w:rPr>
        <w:t>根据基金合同，</w:t>
      </w:r>
      <w:r>
        <w:rPr>
          <w:rFonts w:ascii="宋体" w:hAnsi="宋体" w:hint="eastAsia"/>
          <w:kern w:val="0"/>
          <w:szCs w:val="18"/>
        </w:rPr>
        <w:t>南方原油除可在二级市场交易外，投资人还可以申购、赎回，申购、赎回价格以申请当日收市后计算的基金份额净值进行计算，投资者可通过基金管理人网站或</w:t>
      </w:r>
      <w:bookmarkStart w:id="0" w:name="_GoBack"/>
      <w:bookmarkEnd w:id="0"/>
      <w:r>
        <w:rPr>
          <w:rFonts w:ascii="宋体" w:hAnsi="宋体" w:hint="eastAsia"/>
          <w:kern w:val="0"/>
          <w:szCs w:val="18"/>
        </w:rPr>
        <w:t>交易行情系统查询南方原油的最新份额净值。</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根据法律法规及基金法律文件的相关规定，南方原油证券投资基金已于2020年3月1</w:t>
      </w:r>
      <w:r>
        <w:rPr>
          <w:rFonts w:ascii="宋体" w:hAnsi="宋体"/>
          <w:kern w:val="0"/>
          <w:szCs w:val="18"/>
        </w:rPr>
        <w:t>3</w:t>
      </w:r>
      <w:r>
        <w:rPr>
          <w:rFonts w:ascii="宋体" w:hAnsi="宋体" w:hint="eastAsia"/>
          <w:kern w:val="0"/>
          <w:szCs w:val="18"/>
        </w:rPr>
        <w:t>日起暂停申购</w:t>
      </w:r>
      <w:proofErr w:type="gramStart"/>
      <w:r>
        <w:rPr>
          <w:rFonts w:ascii="宋体" w:hAnsi="宋体" w:hint="eastAsia"/>
          <w:kern w:val="0"/>
          <w:szCs w:val="18"/>
        </w:rPr>
        <w:t>及定投业务</w:t>
      </w:r>
      <w:proofErr w:type="gramEnd"/>
      <w:r>
        <w:rPr>
          <w:rFonts w:ascii="宋体" w:hAnsi="宋体" w:hint="eastAsia"/>
          <w:kern w:val="0"/>
          <w:szCs w:val="18"/>
        </w:rPr>
        <w:t>，恢复办理申购及</w:t>
      </w:r>
      <w:proofErr w:type="gramStart"/>
      <w:r>
        <w:rPr>
          <w:rFonts w:ascii="宋体" w:hAnsi="宋体" w:hint="eastAsia"/>
          <w:kern w:val="0"/>
          <w:szCs w:val="18"/>
        </w:rPr>
        <w:t>定投业务</w:t>
      </w:r>
      <w:proofErr w:type="gramEnd"/>
      <w:r>
        <w:rPr>
          <w:rFonts w:ascii="宋体" w:hAnsi="宋体" w:hint="eastAsia"/>
          <w:kern w:val="0"/>
          <w:szCs w:val="18"/>
        </w:rPr>
        <w:t>的时间将另行公告。</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2、截至</w:t>
      </w:r>
      <w:r>
        <w:rPr>
          <w:rFonts w:ascii="宋体" w:hAnsi="宋体"/>
          <w:kern w:val="0"/>
          <w:szCs w:val="18"/>
        </w:rPr>
        <w:t>目前</w:t>
      </w:r>
      <w:r>
        <w:rPr>
          <w:rFonts w:ascii="宋体" w:hAnsi="宋体" w:hint="eastAsia"/>
          <w:kern w:val="0"/>
          <w:szCs w:val="18"/>
        </w:rPr>
        <w:t>，南方原油证券投资基金运作正常。本基金管理人仍将严格按照法律法规及基金合同的相关规定进行投资运作。</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3、截至目前，南方原油证券投资基金无其他应披露而未披露的重大信息。本基金管理人仍将严格按照有关规定和要求，及时做好信息披露工作。</w:t>
      </w:r>
    </w:p>
    <w:p w:rsidR="007F730A" w:rsidRDefault="00A47E3E">
      <w:pPr>
        <w:widowControl/>
        <w:spacing w:line="360" w:lineRule="auto"/>
        <w:ind w:firstLine="360"/>
        <w:rPr>
          <w:rFonts w:ascii="宋体" w:hAnsi="宋体"/>
          <w:kern w:val="0"/>
          <w:szCs w:val="18"/>
        </w:rPr>
      </w:pPr>
      <w:r>
        <w:rPr>
          <w:rFonts w:ascii="宋体" w:hAnsi="宋体" w:hint="eastAsia"/>
          <w:kern w:val="0"/>
          <w:szCs w:val="18"/>
        </w:rPr>
        <w:t>4、南方原油二级市场的交易价格，除了有基金份额参考净值波动的风险外，还会受到市场供求关系、系统性风险、流动性风险等其他因素的影响，可能使投资人面临损失。</w:t>
      </w:r>
    </w:p>
    <w:p w:rsidR="007F730A" w:rsidRDefault="007F730A">
      <w:pPr>
        <w:widowControl/>
        <w:spacing w:line="360" w:lineRule="auto"/>
        <w:ind w:firstLine="360"/>
        <w:rPr>
          <w:rFonts w:ascii="宋体" w:hAnsi="宋体"/>
          <w:kern w:val="0"/>
          <w:sz w:val="32"/>
          <w:szCs w:val="24"/>
        </w:rPr>
      </w:pPr>
    </w:p>
    <w:p w:rsidR="007F730A" w:rsidRDefault="00A47E3E">
      <w:pPr>
        <w:widowControl/>
        <w:spacing w:line="360" w:lineRule="auto"/>
        <w:ind w:firstLine="360"/>
        <w:jc w:val="left"/>
        <w:rPr>
          <w:rFonts w:ascii="宋体" w:hAnsi="宋体"/>
          <w:kern w:val="0"/>
          <w:szCs w:val="18"/>
        </w:rPr>
      </w:pPr>
      <w:r>
        <w:rPr>
          <w:rFonts w:ascii="宋体" w:hAnsi="宋体" w:hint="eastAsia"/>
          <w:kern w:val="0"/>
          <w:szCs w:val="18"/>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更新的《招募说明书》等基金法律文件，全面认识基金产品的风险收益特征，在了解产品情况及听取销售机构适当性意见的基础上，根据自身的风险承受能力、投资期限和投资目标，对基金投资</w:t>
      </w:r>
      <w:proofErr w:type="gramStart"/>
      <w:r>
        <w:rPr>
          <w:rFonts w:ascii="宋体" w:hAnsi="宋体" w:hint="eastAsia"/>
          <w:kern w:val="0"/>
          <w:szCs w:val="18"/>
        </w:rPr>
        <w:t>作出</w:t>
      </w:r>
      <w:proofErr w:type="gramEnd"/>
      <w:r>
        <w:rPr>
          <w:rFonts w:ascii="宋体" w:hAnsi="宋体" w:hint="eastAsia"/>
          <w:kern w:val="0"/>
          <w:szCs w:val="18"/>
        </w:rPr>
        <w:t>独立决策，选择合适的基金产品。基金管理人提醒</w:t>
      </w:r>
      <w:r>
        <w:rPr>
          <w:rFonts w:ascii="宋体" w:hAnsi="宋体" w:hint="eastAsia"/>
          <w:kern w:val="0"/>
          <w:szCs w:val="18"/>
        </w:rPr>
        <w:lastRenderedPageBreak/>
        <w:t>投资者基金投资的“买者自负”原则，在投资者</w:t>
      </w:r>
      <w:proofErr w:type="gramStart"/>
      <w:r>
        <w:rPr>
          <w:rFonts w:ascii="宋体" w:hAnsi="宋体" w:hint="eastAsia"/>
          <w:kern w:val="0"/>
          <w:szCs w:val="18"/>
        </w:rPr>
        <w:t>作出</w:t>
      </w:r>
      <w:proofErr w:type="gramEnd"/>
      <w:r>
        <w:rPr>
          <w:rFonts w:ascii="宋体" w:hAnsi="宋体" w:hint="eastAsia"/>
          <w:kern w:val="0"/>
          <w:szCs w:val="18"/>
        </w:rPr>
        <w:t>投资决策后，基金运营状况与基金净值变化引致的投资风险，由投资者自行负责。</w:t>
      </w:r>
    </w:p>
    <w:p w:rsidR="007F730A" w:rsidRDefault="00A47E3E">
      <w:pPr>
        <w:widowControl/>
        <w:spacing w:line="360" w:lineRule="auto"/>
        <w:ind w:firstLine="360"/>
        <w:jc w:val="left"/>
        <w:rPr>
          <w:rFonts w:ascii="宋体" w:hAnsi="宋体"/>
          <w:kern w:val="0"/>
          <w:sz w:val="32"/>
          <w:szCs w:val="24"/>
        </w:rPr>
      </w:pPr>
      <w:r>
        <w:rPr>
          <w:rFonts w:ascii="宋体" w:hAnsi="宋体" w:hint="eastAsia"/>
          <w:kern w:val="0"/>
          <w:szCs w:val="18"/>
        </w:rPr>
        <w:t>敬请投资者注意投资风险。</w:t>
      </w:r>
    </w:p>
    <w:p w:rsidR="007F730A" w:rsidRDefault="00A47E3E">
      <w:pPr>
        <w:widowControl/>
        <w:spacing w:line="360" w:lineRule="auto"/>
        <w:ind w:firstLine="360"/>
        <w:jc w:val="left"/>
        <w:rPr>
          <w:rFonts w:ascii="宋体" w:hAnsi="宋体"/>
          <w:kern w:val="0"/>
          <w:szCs w:val="18"/>
        </w:rPr>
      </w:pPr>
      <w:r>
        <w:rPr>
          <w:rFonts w:ascii="宋体" w:hAnsi="宋体" w:hint="eastAsia"/>
          <w:kern w:val="0"/>
          <w:szCs w:val="18"/>
        </w:rPr>
        <w:t>特此公告。</w:t>
      </w:r>
    </w:p>
    <w:p w:rsidR="007F730A" w:rsidRDefault="007F730A">
      <w:pPr>
        <w:widowControl/>
        <w:spacing w:line="360" w:lineRule="auto"/>
        <w:ind w:firstLine="360"/>
        <w:jc w:val="left"/>
        <w:rPr>
          <w:rFonts w:ascii="宋体" w:hAnsi="宋体"/>
          <w:kern w:val="0"/>
          <w:szCs w:val="18"/>
        </w:rPr>
      </w:pPr>
    </w:p>
    <w:p w:rsidR="007F730A" w:rsidRDefault="007F730A">
      <w:pPr>
        <w:widowControl/>
        <w:spacing w:line="360" w:lineRule="auto"/>
        <w:ind w:firstLine="360"/>
        <w:jc w:val="left"/>
        <w:rPr>
          <w:rFonts w:ascii="宋体" w:hAnsi="宋体"/>
          <w:kern w:val="0"/>
          <w:sz w:val="32"/>
          <w:szCs w:val="24"/>
        </w:rPr>
      </w:pPr>
    </w:p>
    <w:p w:rsidR="007F730A" w:rsidRDefault="00A47E3E">
      <w:pPr>
        <w:widowControl/>
        <w:spacing w:line="360" w:lineRule="auto"/>
        <w:jc w:val="right"/>
        <w:rPr>
          <w:rFonts w:ascii="宋体" w:hAnsi="宋体"/>
          <w:kern w:val="0"/>
          <w:sz w:val="32"/>
          <w:szCs w:val="24"/>
        </w:rPr>
      </w:pPr>
      <w:r>
        <w:rPr>
          <w:rFonts w:ascii="宋体" w:hAnsi="宋体" w:hint="eastAsia"/>
          <w:kern w:val="0"/>
          <w:szCs w:val="18"/>
        </w:rPr>
        <w:t>南方基金管理股份有限公司</w:t>
      </w:r>
    </w:p>
    <w:p w:rsidR="007F730A" w:rsidRDefault="00A47E3E">
      <w:pPr>
        <w:widowControl/>
        <w:spacing w:line="360" w:lineRule="auto"/>
        <w:jc w:val="right"/>
        <w:rPr>
          <w:sz w:val="24"/>
        </w:rPr>
      </w:pPr>
      <w:r>
        <w:rPr>
          <w:rFonts w:ascii="宋体" w:hAnsi="宋体"/>
          <w:kern w:val="0"/>
          <w:szCs w:val="18"/>
        </w:rPr>
        <w:t>2020</w:t>
      </w:r>
      <w:r>
        <w:rPr>
          <w:rFonts w:ascii="宋体" w:hAnsi="宋体" w:hint="eastAsia"/>
          <w:kern w:val="0"/>
          <w:szCs w:val="18"/>
        </w:rPr>
        <w:t>年</w:t>
      </w:r>
      <w:r w:rsidR="00027E49">
        <w:rPr>
          <w:rFonts w:ascii="宋体" w:hAnsi="宋体"/>
          <w:kern w:val="0"/>
          <w:szCs w:val="18"/>
        </w:rPr>
        <w:t>6</w:t>
      </w:r>
      <w:r>
        <w:rPr>
          <w:rFonts w:ascii="宋体" w:hAnsi="宋体" w:hint="eastAsia"/>
          <w:kern w:val="0"/>
          <w:szCs w:val="18"/>
        </w:rPr>
        <w:t>月</w:t>
      </w:r>
      <w:r w:rsidR="00574194">
        <w:rPr>
          <w:rFonts w:ascii="宋体" w:hAnsi="宋体"/>
          <w:kern w:val="0"/>
          <w:szCs w:val="18"/>
        </w:rPr>
        <w:t>1</w:t>
      </w:r>
      <w:r w:rsidR="007C4455">
        <w:rPr>
          <w:rFonts w:ascii="宋体" w:hAnsi="宋体"/>
          <w:kern w:val="0"/>
          <w:szCs w:val="18"/>
        </w:rPr>
        <w:t>9</w:t>
      </w:r>
      <w:r>
        <w:rPr>
          <w:rFonts w:ascii="宋体" w:hAnsi="宋体" w:hint="eastAsia"/>
          <w:kern w:val="0"/>
          <w:szCs w:val="18"/>
        </w:rPr>
        <w:t>日</w:t>
      </w:r>
    </w:p>
    <w:sectPr w:rsidR="007F73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0A"/>
    <w:rsid w:val="00006B4D"/>
    <w:rsid w:val="00014A40"/>
    <w:rsid w:val="00027E49"/>
    <w:rsid w:val="00077B72"/>
    <w:rsid w:val="0008232A"/>
    <w:rsid w:val="00082430"/>
    <w:rsid w:val="00096C2A"/>
    <w:rsid w:val="000C14F2"/>
    <w:rsid w:val="000D07E9"/>
    <w:rsid w:val="000D4304"/>
    <w:rsid w:val="000F1211"/>
    <w:rsid w:val="0010431A"/>
    <w:rsid w:val="0014641C"/>
    <w:rsid w:val="00150B0F"/>
    <w:rsid w:val="00171F25"/>
    <w:rsid w:val="00172FBC"/>
    <w:rsid w:val="0017310D"/>
    <w:rsid w:val="00193CFC"/>
    <w:rsid w:val="001B6E77"/>
    <w:rsid w:val="001D5225"/>
    <w:rsid w:val="001E365A"/>
    <w:rsid w:val="00202149"/>
    <w:rsid w:val="00203556"/>
    <w:rsid w:val="00206653"/>
    <w:rsid w:val="0021009F"/>
    <w:rsid w:val="002407D7"/>
    <w:rsid w:val="0028494E"/>
    <w:rsid w:val="00287643"/>
    <w:rsid w:val="0029529D"/>
    <w:rsid w:val="002A5E06"/>
    <w:rsid w:val="00333147"/>
    <w:rsid w:val="00337DEF"/>
    <w:rsid w:val="003A10D5"/>
    <w:rsid w:val="003B0893"/>
    <w:rsid w:val="003C0755"/>
    <w:rsid w:val="003D18DF"/>
    <w:rsid w:val="00413572"/>
    <w:rsid w:val="004150F0"/>
    <w:rsid w:val="00434ABF"/>
    <w:rsid w:val="004608E7"/>
    <w:rsid w:val="00463207"/>
    <w:rsid w:val="004B0B94"/>
    <w:rsid w:val="004B6701"/>
    <w:rsid w:val="00555534"/>
    <w:rsid w:val="00557E24"/>
    <w:rsid w:val="00570666"/>
    <w:rsid w:val="005708DD"/>
    <w:rsid w:val="00574194"/>
    <w:rsid w:val="00575CD4"/>
    <w:rsid w:val="00583796"/>
    <w:rsid w:val="00593618"/>
    <w:rsid w:val="005A55A8"/>
    <w:rsid w:val="005A58C9"/>
    <w:rsid w:val="005C1D96"/>
    <w:rsid w:val="005F5EAE"/>
    <w:rsid w:val="006016F6"/>
    <w:rsid w:val="00621AFD"/>
    <w:rsid w:val="006356E4"/>
    <w:rsid w:val="006443F6"/>
    <w:rsid w:val="006471D7"/>
    <w:rsid w:val="006F08DE"/>
    <w:rsid w:val="006F3231"/>
    <w:rsid w:val="00712388"/>
    <w:rsid w:val="00716B0B"/>
    <w:rsid w:val="0073539D"/>
    <w:rsid w:val="00746716"/>
    <w:rsid w:val="00751032"/>
    <w:rsid w:val="00777061"/>
    <w:rsid w:val="007872E8"/>
    <w:rsid w:val="007C4455"/>
    <w:rsid w:val="007D4B6B"/>
    <w:rsid w:val="007E611D"/>
    <w:rsid w:val="007F495C"/>
    <w:rsid w:val="007F730A"/>
    <w:rsid w:val="00821DAE"/>
    <w:rsid w:val="00853D81"/>
    <w:rsid w:val="008651BC"/>
    <w:rsid w:val="008A36AE"/>
    <w:rsid w:val="008E7578"/>
    <w:rsid w:val="00913E01"/>
    <w:rsid w:val="00955F1F"/>
    <w:rsid w:val="009A384A"/>
    <w:rsid w:val="009A40A8"/>
    <w:rsid w:val="009C1644"/>
    <w:rsid w:val="009C6AE7"/>
    <w:rsid w:val="009D37A1"/>
    <w:rsid w:val="00A038F6"/>
    <w:rsid w:val="00A1328C"/>
    <w:rsid w:val="00A47E3E"/>
    <w:rsid w:val="00A54BB0"/>
    <w:rsid w:val="00A8088B"/>
    <w:rsid w:val="00AC0447"/>
    <w:rsid w:val="00AD223E"/>
    <w:rsid w:val="00AE740B"/>
    <w:rsid w:val="00B2340E"/>
    <w:rsid w:val="00B45103"/>
    <w:rsid w:val="00B95A32"/>
    <w:rsid w:val="00BD33F7"/>
    <w:rsid w:val="00BD594F"/>
    <w:rsid w:val="00BE0526"/>
    <w:rsid w:val="00C02B5D"/>
    <w:rsid w:val="00C72D12"/>
    <w:rsid w:val="00C9271D"/>
    <w:rsid w:val="00CF0DD3"/>
    <w:rsid w:val="00D01D8D"/>
    <w:rsid w:val="00D0319B"/>
    <w:rsid w:val="00D23E2C"/>
    <w:rsid w:val="00D506E3"/>
    <w:rsid w:val="00D50A74"/>
    <w:rsid w:val="00D60FEA"/>
    <w:rsid w:val="00E32CBD"/>
    <w:rsid w:val="00EA0481"/>
    <w:rsid w:val="00EB0DAF"/>
    <w:rsid w:val="00EE4033"/>
    <w:rsid w:val="00F6074C"/>
    <w:rsid w:val="00F709A9"/>
    <w:rsid w:val="00FA39F6"/>
    <w:rsid w:val="00FC2F69"/>
    <w:rsid w:val="00FC3B6D"/>
    <w:rsid w:val="00FC41B2"/>
    <w:rsid w:val="00FE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FCC"/>
  <w15:docId w15:val="{CE9E8E31-1ECA-484E-8E6A-366B984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页脚 字符"/>
    <w:basedOn w:val="a0"/>
    <w:link w:val="a6"/>
    <w:uiPriority w:val="99"/>
    <w:rPr>
      <w:sz w:val="18"/>
      <w:szCs w:val="18"/>
    </w:rPr>
  </w:style>
  <w:style w:type="paragraph" w:styleId="a8">
    <w:name w:val="Balloon Text"/>
    <w:basedOn w:val="a"/>
    <w:link w:val="a9"/>
    <w:uiPriority w:val="99"/>
    <w:rPr>
      <w:sz w:val="18"/>
      <w:szCs w:val="18"/>
    </w:rPr>
  </w:style>
  <w:style w:type="character" w:customStyle="1" w:styleId="a9">
    <w:name w:val="批注框文本 字符"/>
    <w:basedOn w:val="a0"/>
    <w:link w:val="a8"/>
    <w:uiPriority w:val="99"/>
    <w:rPr>
      <w:sz w:val="18"/>
      <w:szCs w:val="18"/>
    </w:rPr>
  </w:style>
  <w:style w:type="character" w:styleId="aa">
    <w:name w:val="annotation reference"/>
    <w:basedOn w:val="a0"/>
    <w:uiPriority w:val="99"/>
    <w:rPr>
      <w:sz w:val="21"/>
      <w:szCs w:val="21"/>
    </w:rPr>
  </w:style>
  <w:style w:type="paragraph" w:styleId="ab">
    <w:name w:val="annotation text"/>
    <w:basedOn w:val="a"/>
    <w:link w:val="ac"/>
    <w:uiPriority w:val="99"/>
    <w:pPr>
      <w:jc w:val="left"/>
    </w:pPr>
  </w:style>
  <w:style w:type="character" w:customStyle="1" w:styleId="ac">
    <w:name w:val="批注文字 字符"/>
    <w:basedOn w:val="a0"/>
    <w:link w:val="ab"/>
    <w:uiPriority w:val="99"/>
  </w:style>
  <w:style w:type="paragraph" w:styleId="ad">
    <w:name w:val="annotation subject"/>
    <w:basedOn w:val="ab"/>
    <w:next w:val="ab"/>
    <w:link w:val="ae"/>
    <w:uiPriority w:val="99"/>
    <w:rPr>
      <w:b/>
      <w:bCs/>
    </w:rPr>
  </w:style>
  <w:style w:type="character" w:customStyle="1" w:styleId="ae">
    <w:name w:val="批注主题 字符"/>
    <w:basedOn w:val="ac"/>
    <w:link w:val="ad"/>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张栩铭</cp:lastModifiedBy>
  <cp:revision>127</cp:revision>
  <cp:lastPrinted>2020-05-22T08:45:00Z</cp:lastPrinted>
  <dcterms:created xsi:type="dcterms:W3CDTF">2020-04-29T01:03:00Z</dcterms:created>
  <dcterms:modified xsi:type="dcterms:W3CDTF">2020-06-18T07:15:00Z</dcterms:modified>
</cp:coreProperties>
</file>