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4C" w:rsidRPr="007759F2" w:rsidRDefault="00CD234C" w:rsidP="00CD234C">
      <w:pPr>
        <w:adjustRightInd w:val="0"/>
        <w:snapToGrid w:val="0"/>
        <w:spacing w:line="360" w:lineRule="auto"/>
        <w:jc w:val="left"/>
        <w:rPr>
          <w:rFonts w:asciiTheme="minorEastAsia" w:eastAsiaTheme="minorEastAsia" w:hAnsiTheme="minorEastAsia" w:cs="Arial"/>
          <w:szCs w:val="21"/>
        </w:rPr>
      </w:pPr>
    </w:p>
    <w:p w:rsidR="00CD234C" w:rsidRPr="007759F2" w:rsidRDefault="00CD234C" w:rsidP="00CD234C">
      <w:pPr>
        <w:tabs>
          <w:tab w:val="left" w:pos="1890"/>
        </w:tabs>
        <w:snapToGrid w:val="0"/>
        <w:spacing w:line="360" w:lineRule="auto"/>
        <w:rPr>
          <w:rFonts w:asciiTheme="minorEastAsia" w:eastAsiaTheme="minorEastAsia" w:hAnsiTheme="minorEastAsia"/>
          <w:i/>
          <w:iCs/>
          <w:sz w:val="28"/>
          <w:szCs w:val="28"/>
        </w:rPr>
      </w:pPr>
    </w:p>
    <w:p w:rsidR="00CD234C" w:rsidRPr="007759F2" w:rsidRDefault="00CD234C" w:rsidP="00CD234C">
      <w:pPr>
        <w:snapToGrid w:val="0"/>
        <w:spacing w:line="360" w:lineRule="auto"/>
        <w:ind w:firstLine="881"/>
        <w:jc w:val="center"/>
        <w:rPr>
          <w:rFonts w:asciiTheme="minorEastAsia" w:eastAsiaTheme="minorEastAsia" w:hAnsiTheme="minorEastAsia"/>
          <w:b/>
          <w:sz w:val="44"/>
        </w:rPr>
      </w:pPr>
    </w:p>
    <w:p w:rsidR="00CD234C" w:rsidRPr="007759F2" w:rsidRDefault="00CD234C" w:rsidP="00CD234C">
      <w:pPr>
        <w:snapToGrid w:val="0"/>
        <w:spacing w:line="360" w:lineRule="auto"/>
        <w:ind w:firstLine="881"/>
        <w:jc w:val="center"/>
        <w:rPr>
          <w:rFonts w:asciiTheme="minorEastAsia" w:eastAsiaTheme="minorEastAsia" w:hAnsiTheme="minorEastAsia"/>
          <w:b/>
          <w:sz w:val="44"/>
        </w:rPr>
      </w:pPr>
    </w:p>
    <w:p w:rsidR="00CD234C" w:rsidRPr="007759F2" w:rsidRDefault="00CD234C" w:rsidP="00CD234C">
      <w:pPr>
        <w:snapToGrid w:val="0"/>
        <w:spacing w:line="360" w:lineRule="auto"/>
        <w:ind w:firstLine="881"/>
        <w:jc w:val="center"/>
        <w:rPr>
          <w:rFonts w:asciiTheme="minorEastAsia" w:eastAsiaTheme="minorEastAsia" w:hAnsiTheme="minorEastAsia"/>
          <w:b/>
          <w:sz w:val="44"/>
        </w:rPr>
      </w:pPr>
    </w:p>
    <w:p w:rsidR="00CD234C" w:rsidRPr="007759F2" w:rsidRDefault="00CD234C" w:rsidP="00CD234C">
      <w:pPr>
        <w:snapToGrid w:val="0"/>
        <w:spacing w:line="360" w:lineRule="auto"/>
        <w:jc w:val="center"/>
        <w:rPr>
          <w:rFonts w:asciiTheme="minorEastAsia" w:eastAsiaTheme="minorEastAsia" w:hAnsiTheme="minorEastAsia"/>
          <w:b/>
          <w:sz w:val="44"/>
        </w:rPr>
      </w:pPr>
      <w:r w:rsidRPr="007759F2">
        <w:rPr>
          <w:rFonts w:asciiTheme="minorEastAsia" w:eastAsiaTheme="minorEastAsia" w:hAnsiTheme="minorEastAsia" w:hint="eastAsia"/>
          <w:b/>
          <w:sz w:val="44"/>
        </w:rPr>
        <w:t>易方达瑞景灵活配置混合型证券投资基金</w:t>
      </w:r>
    </w:p>
    <w:p w:rsidR="00CD234C" w:rsidRPr="007759F2" w:rsidRDefault="00CD234C" w:rsidP="00CD234C">
      <w:pPr>
        <w:snapToGrid w:val="0"/>
        <w:spacing w:line="360" w:lineRule="auto"/>
        <w:jc w:val="center"/>
        <w:rPr>
          <w:rFonts w:asciiTheme="minorEastAsia" w:eastAsiaTheme="minorEastAsia" w:hAnsiTheme="minorEastAsia"/>
          <w:b/>
          <w:sz w:val="44"/>
        </w:rPr>
      </w:pPr>
      <w:r w:rsidRPr="007759F2">
        <w:rPr>
          <w:rFonts w:asciiTheme="minorEastAsia" w:eastAsiaTheme="minorEastAsia" w:hAnsiTheme="minorEastAsia" w:hint="eastAsia"/>
          <w:b/>
          <w:sz w:val="44"/>
        </w:rPr>
        <w:t>更新的招募说明书</w:t>
      </w:r>
    </w:p>
    <w:p w:rsidR="00CD234C" w:rsidRPr="007759F2" w:rsidRDefault="00CD234C" w:rsidP="00CD234C">
      <w:pPr>
        <w:snapToGrid w:val="0"/>
        <w:spacing w:line="360" w:lineRule="auto"/>
        <w:ind w:leftChars="800" w:left="1680" w:firstLine="181"/>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firstLine="181"/>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800" w:left="1680"/>
        <w:rPr>
          <w:rFonts w:asciiTheme="minorEastAsia" w:eastAsiaTheme="minorEastAsia" w:hAnsiTheme="minorEastAsia"/>
          <w:sz w:val="30"/>
          <w:szCs w:val="30"/>
        </w:rPr>
      </w:pPr>
    </w:p>
    <w:p w:rsidR="00CD234C" w:rsidRPr="007759F2" w:rsidRDefault="00CD234C" w:rsidP="00CD234C">
      <w:pPr>
        <w:snapToGrid w:val="0"/>
        <w:spacing w:line="360" w:lineRule="auto"/>
        <w:ind w:leftChars="686" w:left="1679" w:hangingChars="74" w:hanging="238"/>
        <w:rPr>
          <w:rFonts w:asciiTheme="minorEastAsia" w:eastAsiaTheme="minorEastAsia" w:hAnsiTheme="minorEastAsia"/>
          <w:b/>
          <w:sz w:val="32"/>
          <w:szCs w:val="32"/>
        </w:rPr>
      </w:pPr>
      <w:r w:rsidRPr="007759F2">
        <w:rPr>
          <w:rFonts w:asciiTheme="minorEastAsia" w:eastAsiaTheme="minorEastAsia" w:hAnsiTheme="minorEastAsia" w:hint="eastAsia"/>
          <w:b/>
          <w:sz w:val="32"/>
          <w:szCs w:val="32"/>
        </w:rPr>
        <w:t>基金管理人：易方达基金管理有限公司</w:t>
      </w:r>
    </w:p>
    <w:p w:rsidR="00CD234C" w:rsidRPr="007759F2" w:rsidRDefault="00CD234C" w:rsidP="00CD234C">
      <w:pPr>
        <w:snapToGrid w:val="0"/>
        <w:spacing w:line="360" w:lineRule="auto"/>
        <w:ind w:leftChars="685" w:left="1438"/>
        <w:rPr>
          <w:rFonts w:asciiTheme="minorEastAsia" w:eastAsiaTheme="minorEastAsia" w:hAnsiTheme="minorEastAsia"/>
          <w:b/>
          <w:sz w:val="32"/>
          <w:szCs w:val="32"/>
        </w:rPr>
      </w:pPr>
      <w:r w:rsidRPr="007759F2">
        <w:rPr>
          <w:rFonts w:asciiTheme="minorEastAsia" w:eastAsiaTheme="minorEastAsia" w:hAnsiTheme="minorEastAsia" w:hint="eastAsia"/>
          <w:b/>
          <w:sz w:val="32"/>
          <w:szCs w:val="32"/>
        </w:rPr>
        <w:t>基金托管人：中国邮政储蓄银行股份有限公司</w:t>
      </w:r>
    </w:p>
    <w:p w:rsidR="00CD234C" w:rsidRPr="007759F2" w:rsidRDefault="00CD234C" w:rsidP="00CD234C">
      <w:pPr>
        <w:snapToGrid w:val="0"/>
        <w:spacing w:line="360" w:lineRule="auto"/>
        <w:ind w:firstLine="561"/>
        <w:rPr>
          <w:rFonts w:asciiTheme="minorEastAsia" w:eastAsiaTheme="minorEastAsia" w:hAnsiTheme="minorEastAsia"/>
          <w:b/>
          <w:sz w:val="24"/>
        </w:rPr>
      </w:pPr>
    </w:p>
    <w:p w:rsidR="00677BF5" w:rsidRPr="007759F2" w:rsidRDefault="00677BF5" w:rsidP="00CD234C">
      <w:pPr>
        <w:snapToGrid w:val="0"/>
        <w:spacing w:line="360" w:lineRule="auto"/>
        <w:jc w:val="center"/>
        <w:rPr>
          <w:rFonts w:asciiTheme="minorEastAsia" w:eastAsiaTheme="minorEastAsia" w:hAnsiTheme="minorEastAsia"/>
          <w:b/>
          <w:bCs/>
          <w:sz w:val="28"/>
        </w:rPr>
      </w:pPr>
      <w:r w:rsidRPr="007759F2">
        <w:rPr>
          <w:rFonts w:asciiTheme="minorEastAsia" w:eastAsiaTheme="minorEastAsia" w:hAnsiTheme="minorEastAsia" w:hint="eastAsia"/>
          <w:b/>
          <w:bCs/>
          <w:sz w:val="28"/>
        </w:rPr>
        <w:t>二○二○年六月</w:t>
      </w:r>
    </w:p>
    <w:p w:rsidR="004A0203" w:rsidRPr="007759F2" w:rsidRDefault="004A0203" w:rsidP="00CD234C">
      <w:pPr>
        <w:snapToGrid w:val="0"/>
        <w:spacing w:line="360" w:lineRule="auto"/>
        <w:jc w:val="center"/>
        <w:rPr>
          <w:rFonts w:asciiTheme="minorEastAsia" w:eastAsiaTheme="minorEastAsia" w:hAnsiTheme="minorEastAsia"/>
          <w:b/>
          <w:sz w:val="28"/>
          <w:szCs w:val="28"/>
        </w:rPr>
      </w:pPr>
    </w:p>
    <w:p w:rsidR="00CD234C" w:rsidRPr="007759F2" w:rsidRDefault="00CD234C" w:rsidP="00CD234C">
      <w:pPr>
        <w:snapToGrid w:val="0"/>
        <w:spacing w:line="360" w:lineRule="auto"/>
        <w:jc w:val="center"/>
        <w:rPr>
          <w:rFonts w:asciiTheme="minorEastAsia" w:eastAsiaTheme="minorEastAsia" w:hAnsiTheme="minorEastAsia"/>
          <w:b/>
          <w:sz w:val="28"/>
          <w:szCs w:val="28"/>
        </w:rPr>
      </w:pPr>
      <w:r w:rsidRPr="007759F2">
        <w:rPr>
          <w:rFonts w:asciiTheme="minorEastAsia" w:eastAsiaTheme="minorEastAsia" w:hAnsiTheme="minorEastAsia" w:hint="eastAsia"/>
          <w:b/>
          <w:sz w:val="28"/>
          <w:szCs w:val="28"/>
        </w:rPr>
        <w:lastRenderedPageBreak/>
        <w:t>重要提示</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本基金根据2015年5月28日中国证券监督管理委员会《关于准予易方达瑞景灵活配置混合型证券投资基金注册的批复》（证监许可[2015]1022号）进行募集。本基金基金合同于2015年6月30日正式生效。</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管理人保证《招募说明书》的内容真实、准确、完整。本基金经中国证监会注册，但中国证监会对本基金募集的注册，并不表明其对本基金的投资价值、市场前景和收益作出实质性判断或保证，也不表明投资于本基金没有风险。</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基金管理人依照恪尽职守、诚实信用、谨慎勤勉的原则管理和运用基金财产，但不保证基金一定盈利，也不保证最低收益。</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本基金投资于证券市场，基金净值会因为证券市场波动等因素产生波动。投资有风险，投资者在投资本基金前，请认真阅读本基金的招募说明书</w:t>
      </w:r>
      <w:r w:rsidR="003D4589" w:rsidRPr="007759F2">
        <w:rPr>
          <w:rFonts w:asciiTheme="minorEastAsia" w:eastAsiaTheme="minorEastAsia" w:hAnsiTheme="minorEastAsia" w:hint="eastAsia"/>
          <w:b/>
        </w:rPr>
        <w:t>、</w:t>
      </w:r>
      <w:r w:rsidRPr="007759F2">
        <w:rPr>
          <w:rFonts w:asciiTheme="minorEastAsia" w:eastAsiaTheme="minorEastAsia" w:hAnsiTheme="minorEastAsia" w:hint="eastAsia"/>
          <w:b/>
        </w:rPr>
        <w:t>基金合同</w:t>
      </w:r>
      <w:r w:rsidR="003D4589" w:rsidRPr="007759F2">
        <w:rPr>
          <w:rFonts w:asciiTheme="minorEastAsia" w:eastAsiaTheme="minorEastAsia" w:hAnsiTheme="minorEastAsia" w:hint="eastAsia"/>
          <w:b/>
        </w:rPr>
        <w:t>和基金产品资料概要</w:t>
      </w:r>
      <w:r w:rsidRPr="007759F2">
        <w:rPr>
          <w:rFonts w:asciiTheme="minorEastAsia" w:eastAsiaTheme="minorEastAsia" w:hAnsiTheme="minorEastAsia" w:hint="eastAsia"/>
          <w:b/>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风险包括：证券市场整体环境引发的系统性风险；个别证券特有的非系统性风险；流动性风险；基金投资过程中产生的操作风险；因交收违约和投资债券引发的信用风险；基金投资回报可能低于业绩比较基准的风险；本基金的投资范围包括股指期货、期权等金融衍生品、</w:t>
      </w:r>
      <w:r w:rsidR="00947C4F" w:rsidRPr="007759F2">
        <w:rPr>
          <w:rFonts w:asciiTheme="minorEastAsia" w:eastAsiaTheme="minorEastAsia" w:hAnsiTheme="minorEastAsia" w:hint="eastAsia"/>
          <w:b/>
        </w:rPr>
        <w:t>科创板股票、</w:t>
      </w:r>
      <w:r w:rsidRPr="007759F2">
        <w:rPr>
          <w:rFonts w:asciiTheme="minorEastAsia" w:eastAsiaTheme="minorEastAsia" w:hAnsiTheme="minorEastAsia" w:hint="eastAsia"/>
          <w:b/>
        </w:rPr>
        <w:t>证券公司短期公司债券、中小企业私募债等品种，可能给本基金带来额外风险</w:t>
      </w:r>
      <w:r w:rsidR="003D4589" w:rsidRPr="007759F2">
        <w:rPr>
          <w:rFonts w:asciiTheme="minorEastAsia" w:eastAsiaTheme="minorEastAsia" w:hAnsiTheme="minorEastAsia" w:hint="eastAsia"/>
          <w:b/>
        </w:rPr>
        <w:t>；本基金法律文件中涉及基金风险特征的表述与销售机构对基金的风险评级可能不一致的风险</w:t>
      </w:r>
      <w:r w:rsidRPr="007759F2">
        <w:rPr>
          <w:rFonts w:asciiTheme="minorEastAsia" w:eastAsiaTheme="minorEastAsia" w:hAnsiTheme="minorEastAsia" w:hint="eastAsia"/>
          <w:b/>
        </w:rPr>
        <w:t>等。</w:t>
      </w:r>
      <w:r w:rsidRPr="007759F2">
        <w:rPr>
          <w:rFonts w:asciiTheme="minorEastAsia" w:eastAsiaTheme="minorEastAsia" w:hAnsiTheme="minorEastAsia" w:hint="eastAsia"/>
          <w:b/>
          <w:szCs w:val="21"/>
        </w:rPr>
        <w:t>本基金的具体运作特点详见基金合同和招募说明书的约定。本基金的一般风险及特有风险详见本招募说明书的“风险揭示”部分。</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本基金为混合型基金，理论上其预期风险收益水平低于股票型基金，高于债券型基金和货币市场基金。</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管理人提醒投资者基金投资的“买者自负”原则，在投资者作出投资决策后，基金运营状况与基金净值变化引致的投资风险，由投资者自行负责。此外，本基金以1元初始面值进行募集，在市场波动等因素的影响下，存在单位份额净值跌破1元初始面值的风险。</w:t>
      </w:r>
    </w:p>
    <w:p w:rsidR="00CD234C" w:rsidRPr="007759F2" w:rsidRDefault="00A008FA"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基金不同于银行储蓄</w:t>
      </w:r>
      <w:r w:rsidR="00CD234C" w:rsidRPr="007759F2">
        <w:rPr>
          <w:rFonts w:asciiTheme="minorEastAsia" w:eastAsiaTheme="minorEastAsia" w:hAnsiTheme="minorEastAsia" w:hint="eastAsia"/>
          <w:b/>
        </w:rPr>
        <w:t>，基金投资人有可能获得较高的收益，也有可能损失本金。投资有风险，投资人在进行投资决策前，请仔细阅读本基金的《招募说明书》及《基金合同》。</w:t>
      </w:r>
    </w:p>
    <w:p w:rsidR="00CD234C"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基金的过往业绩并不预示其未来表现，基金管理人管理的其他基金的业绩并不构成对本基金表现的保证。</w:t>
      </w:r>
    </w:p>
    <w:p w:rsidR="003D4589" w:rsidRPr="007759F2" w:rsidRDefault="009D7ECF"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基金合同约定的基金产品资料概要编制、披露与更新要求，自《信息披露办法》实施之日起一年后开始执行。</w:t>
      </w:r>
    </w:p>
    <w:p w:rsidR="001642EB" w:rsidRPr="007759F2" w:rsidRDefault="00CD234C" w:rsidP="00CD234C">
      <w:pPr>
        <w:snapToGrid w:val="0"/>
        <w:spacing w:line="360" w:lineRule="auto"/>
        <w:ind w:firstLineChars="200" w:firstLine="422"/>
        <w:rPr>
          <w:rFonts w:asciiTheme="minorEastAsia" w:eastAsiaTheme="minorEastAsia" w:hAnsiTheme="minorEastAsia"/>
          <w:b/>
        </w:rPr>
      </w:pPr>
      <w:r w:rsidRPr="007759F2">
        <w:rPr>
          <w:rFonts w:asciiTheme="minorEastAsia" w:eastAsiaTheme="minorEastAsia" w:hAnsiTheme="minorEastAsia" w:hint="eastAsia"/>
          <w:b/>
        </w:rPr>
        <w:t>除非另有说明，</w:t>
      </w:r>
      <w:r w:rsidR="00677BF5" w:rsidRPr="007759F2">
        <w:rPr>
          <w:rFonts w:asciiTheme="minorEastAsia" w:eastAsiaTheme="minorEastAsia" w:hAnsiTheme="minorEastAsia" w:hint="eastAsia"/>
          <w:b/>
        </w:rPr>
        <w:t>本招募说明书所载内容截止日为2020年5月16日</w:t>
      </w:r>
      <w:r w:rsidRPr="007759F2">
        <w:rPr>
          <w:rFonts w:asciiTheme="minorEastAsia" w:eastAsiaTheme="minorEastAsia" w:hAnsiTheme="minorEastAsia" w:hint="eastAsia"/>
          <w:b/>
        </w:rPr>
        <w:t>，</w:t>
      </w:r>
      <w:r w:rsidR="00677BF5" w:rsidRPr="007759F2">
        <w:rPr>
          <w:rFonts w:asciiTheme="minorEastAsia" w:eastAsiaTheme="minorEastAsia" w:hAnsiTheme="minorEastAsia" w:hint="eastAsia"/>
          <w:b/>
        </w:rPr>
        <w:t>有关财务数据截</w:t>
      </w:r>
      <w:r w:rsidR="00677BF5" w:rsidRPr="007759F2">
        <w:rPr>
          <w:rFonts w:asciiTheme="minorEastAsia" w:eastAsiaTheme="minorEastAsia" w:hAnsiTheme="minorEastAsia" w:hint="eastAsia"/>
          <w:b/>
        </w:rPr>
        <w:lastRenderedPageBreak/>
        <w:t>止日为2020年3月31日</w:t>
      </w:r>
      <w:r w:rsidRPr="007759F2">
        <w:rPr>
          <w:rFonts w:asciiTheme="minorEastAsia" w:eastAsiaTheme="minorEastAsia" w:hAnsiTheme="minorEastAsia" w:hint="eastAsia"/>
          <w:b/>
        </w:rPr>
        <w:t>，</w:t>
      </w:r>
      <w:r w:rsidR="00677BF5" w:rsidRPr="007759F2">
        <w:rPr>
          <w:rFonts w:asciiTheme="minorEastAsia" w:eastAsiaTheme="minorEastAsia" w:hAnsiTheme="minorEastAsia" w:hint="eastAsia"/>
          <w:b/>
        </w:rPr>
        <w:t>净值表现截止日为2019年12月31日</w:t>
      </w:r>
      <w:r w:rsidRPr="007759F2">
        <w:rPr>
          <w:rFonts w:asciiTheme="minorEastAsia" w:eastAsiaTheme="minorEastAsia" w:hAnsiTheme="minorEastAsia" w:hint="eastAsia"/>
          <w:b/>
        </w:rPr>
        <w:t>。（本报告中财务数据未经审计）</w:t>
      </w:r>
    </w:p>
    <w:p w:rsidR="001642EB" w:rsidRPr="007759F2" w:rsidRDefault="001642EB" w:rsidP="00CD234C">
      <w:pPr>
        <w:snapToGrid w:val="0"/>
        <w:spacing w:line="360" w:lineRule="auto"/>
        <w:ind w:firstLineChars="200" w:firstLine="422"/>
        <w:rPr>
          <w:rFonts w:asciiTheme="minorEastAsia" w:eastAsiaTheme="minorEastAsia" w:hAnsiTheme="minorEastAsia"/>
          <w:b/>
        </w:rPr>
        <w:sectPr w:rsidR="001642EB" w:rsidRPr="007759F2">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992" w:gutter="0"/>
          <w:pgNumType w:fmt="upperRoman" w:start="1"/>
          <w:cols w:space="720"/>
          <w:docGrid w:type="lines" w:linePitch="317"/>
        </w:sectPr>
      </w:pPr>
    </w:p>
    <w:p w:rsidR="00CD234C" w:rsidRPr="007759F2" w:rsidRDefault="00CD234C" w:rsidP="00CD234C">
      <w:pPr>
        <w:adjustRightInd w:val="0"/>
        <w:snapToGrid w:val="0"/>
        <w:spacing w:line="360" w:lineRule="auto"/>
        <w:jc w:val="center"/>
        <w:rPr>
          <w:rFonts w:asciiTheme="minorEastAsia" w:eastAsiaTheme="minorEastAsia" w:hAnsiTheme="minorEastAsia"/>
          <w:sz w:val="30"/>
        </w:rPr>
      </w:pPr>
      <w:r w:rsidRPr="007759F2">
        <w:rPr>
          <w:rFonts w:asciiTheme="minorEastAsia" w:eastAsiaTheme="minorEastAsia" w:hAnsiTheme="minorEastAsia" w:hint="eastAsia"/>
          <w:sz w:val="30"/>
        </w:rPr>
        <w:lastRenderedPageBreak/>
        <w:t>目录</w:t>
      </w:r>
    </w:p>
    <w:p w:rsidR="007759F2" w:rsidRDefault="00CD234C">
      <w:pPr>
        <w:pStyle w:val="10"/>
        <w:rPr>
          <w:rFonts w:asciiTheme="minorHAnsi" w:eastAsiaTheme="minorEastAsia" w:hAnsiTheme="minorHAnsi" w:cstheme="minorBidi"/>
          <w:caps w:val="0"/>
          <w:color w:val="auto"/>
          <w:sz w:val="21"/>
          <w:szCs w:val="22"/>
        </w:rPr>
      </w:pPr>
      <w:r w:rsidRPr="007759F2">
        <w:rPr>
          <w:rFonts w:asciiTheme="minorEastAsia" w:eastAsiaTheme="minorEastAsia" w:hAnsiTheme="minorEastAsia" w:hint="eastAsia"/>
          <w:caps w:val="0"/>
          <w:color w:val="auto"/>
        </w:rPr>
        <w:fldChar w:fldCharType="begin"/>
      </w:r>
      <w:r w:rsidRPr="007759F2">
        <w:rPr>
          <w:rFonts w:asciiTheme="minorEastAsia" w:eastAsiaTheme="minorEastAsia" w:hAnsiTheme="minorEastAsia" w:hint="eastAsia"/>
          <w:caps w:val="0"/>
          <w:color w:val="auto"/>
        </w:rPr>
        <w:instrText xml:space="preserve"> TOC \o "1-1" \h \z \u </w:instrText>
      </w:r>
      <w:r w:rsidRPr="007759F2">
        <w:rPr>
          <w:rFonts w:asciiTheme="minorEastAsia" w:eastAsiaTheme="minorEastAsia" w:hAnsiTheme="minorEastAsia" w:hint="eastAsia"/>
          <w:caps w:val="0"/>
          <w:color w:val="auto"/>
        </w:rPr>
        <w:fldChar w:fldCharType="separate"/>
      </w:r>
      <w:hyperlink w:anchor="_Toc43380846" w:history="1">
        <w:r w:rsidR="007759F2" w:rsidRPr="006E4FCE">
          <w:rPr>
            <w:rStyle w:val="a5"/>
            <w:rFonts w:asciiTheme="minorEastAsia" w:hAnsiTheme="minorEastAsia" w:hint="eastAsia"/>
          </w:rPr>
          <w:t>一、绪言</w:t>
        </w:r>
        <w:r w:rsidR="007759F2">
          <w:rPr>
            <w:webHidden/>
          </w:rPr>
          <w:tab/>
        </w:r>
        <w:r w:rsidR="007759F2">
          <w:rPr>
            <w:webHidden/>
          </w:rPr>
          <w:fldChar w:fldCharType="begin"/>
        </w:r>
        <w:r w:rsidR="007759F2">
          <w:rPr>
            <w:webHidden/>
          </w:rPr>
          <w:instrText xml:space="preserve"> PAGEREF _Toc43380846 \h </w:instrText>
        </w:r>
        <w:r w:rsidR="007759F2">
          <w:rPr>
            <w:webHidden/>
          </w:rPr>
        </w:r>
        <w:r w:rsidR="007759F2">
          <w:rPr>
            <w:webHidden/>
          </w:rPr>
          <w:fldChar w:fldCharType="separate"/>
        </w:r>
        <w:r w:rsidR="007759F2">
          <w:rPr>
            <w:webHidden/>
          </w:rPr>
          <w:t>1</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47" w:history="1">
        <w:r w:rsidR="007759F2" w:rsidRPr="006E4FCE">
          <w:rPr>
            <w:rStyle w:val="a5"/>
            <w:rFonts w:asciiTheme="minorEastAsia" w:hAnsiTheme="minorEastAsia" w:hint="eastAsia"/>
          </w:rPr>
          <w:t>二、释义</w:t>
        </w:r>
        <w:r w:rsidR="007759F2">
          <w:rPr>
            <w:webHidden/>
          </w:rPr>
          <w:tab/>
        </w:r>
        <w:r w:rsidR="007759F2">
          <w:rPr>
            <w:webHidden/>
          </w:rPr>
          <w:fldChar w:fldCharType="begin"/>
        </w:r>
        <w:r w:rsidR="007759F2">
          <w:rPr>
            <w:webHidden/>
          </w:rPr>
          <w:instrText xml:space="preserve"> PAGEREF _Toc43380847 \h </w:instrText>
        </w:r>
        <w:r w:rsidR="007759F2">
          <w:rPr>
            <w:webHidden/>
          </w:rPr>
        </w:r>
        <w:r w:rsidR="007759F2">
          <w:rPr>
            <w:webHidden/>
          </w:rPr>
          <w:fldChar w:fldCharType="separate"/>
        </w:r>
        <w:r w:rsidR="007759F2">
          <w:rPr>
            <w:webHidden/>
          </w:rPr>
          <w:t>2</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48" w:history="1">
        <w:r w:rsidR="007759F2" w:rsidRPr="006E4FCE">
          <w:rPr>
            <w:rStyle w:val="a5"/>
            <w:rFonts w:asciiTheme="minorEastAsia" w:hAnsiTheme="minorEastAsia" w:hint="eastAsia"/>
          </w:rPr>
          <w:t>三、基金管理人</w:t>
        </w:r>
        <w:r w:rsidR="007759F2">
          <w:rPr>
            <w:webHidden/>
          </w:rPr>
          <w:tab/>
        </w:r>
        <w:r w:rsidR="007759F2">
          <w:rPr>
            <w:webHidden/>
          </w:rPr>
          <w:fldChar w:fldCharType="begin"/>
        </w:r>
        <w:r w:rsidR="007759F2">
          <w:rPr>
            <w:webHidden/>
          </w:rPr>
          <w:instrText xml:space="preserve"> PAGEREF _Toc43380848 \h </w:instrText>
        </w:r>
        <w:r w:rsidR="007759F2">
          <w:rPr>
            <w:webHidden/>
          </w:rPr>
        </w:r>
        <w:r w:rsidR="007759F2">
          <w:rPr>
            <w:webHidden/>
          </w:rPr>
          <w:fldChar w:fldCharType="separate"/>
        </w:r>
        <w:r w:rsidR="007759F2">
          <w:rPr>
            <w:webHidden/>
          </w:rPr>
          <w:t>6</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49" w:history="1">
        <w:r w:rsidR="007759F2" w:rsidRPr="006E4FCE">
          <w:rPr>
            <w:rStyle w:val="a5"/>
            <w:rFonts w:asciiTheme="minorEastAsia" w:hAnsiTheme="minorEastAsia" w:hint="eastAsia"/>
          </w:rPr>
          <w:t>四、基金托管人</w:t>
        </w:r>
        <w:r w:rsidR="007759F2">
          <w:rPr>
            <w:webHidden/>
          </w:rPr>
          <w:tab/>
        </w:r>
        <w:r w:rsidR="007759F2">
          <w:rPr>
            <w:webHidden/>
          </w:rPr>
          <w:fldChar w:fldCharType="begin"/>
        </w:r>
        <w:r w:rsidR="007759F2">
          <w:rPr>
            <w:webHidden/>
          </w:rPr>
          <w:instrText xml:space="preserve"> PAGEREF _Toc43380849 \h </w:instrText>
        </w:r>
        <w:r w:rsidR="007759F2">
          <w:rPr>
            <w:webHidden/>
          </w:rPr>
        </w:r>
        <w:r w:rsidR="007759F2">
          <w:rPr>
            <w:webHidden/>
          </w:rPr>
          <w:fldChar w:fldCharType="separate"/>
        </w:r>
        <w:r w:rsidR="007759F2">
          <w:rPr>
            <w:webHidden/>
          </w:rPr>
          <w:t>19</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0" w:history="1">
        <w:r w:rsidR="007759F2" w:rsidRPr="006E4FCE">
          <w:rPr>
            <w:rStyle w:val="a5"/>
            <w:rFonts w:asciiTheme="minorEastAsia" w:hAnsiTheme="minorEastAsia" w:hint="eastAsia"/>
          </w:rPr>
          <w:t>五、相关服务机构</w:t>
        </w:r>
        <w:r w:rsidR="007759F2">
          <w:rPr>
            <w:webHidden/>
          </w:rPr>
          <w:tab/>
        </w:r>
        <w:r w:rsidR="007759F2">
          <w:rPr>
            <w:webHidden/>
          </w:rPr>
          <w:fldChar w:fldCharType="begin"/>
        </w:r>
        <w:r w:rsidR="007759F2">
          <w:rPr>
            <w:webHidden/>
          </w:rPr>
          <w:instrText xml:space="preserve"> PAGEREF _Toc43380850 \h </w:instrText>
        </w:r>
        <w:r w:rsidR="007759F2">
          <w:rPr>
            <w:webHidden/>
          </w:rPr>
        </w:r>
        <w:r w:rsidR="007759F2">
          <w:rPr>
            <w:webHidden/>
          </w:rPr>
          <w:fldChar w:fldCharType="separate"/>
        </w:r>
        <w:r w:rsidR="007759F2">
          <w:rPr>
            <w:webHidden/>
          </w:rPr>
          <w:t>21</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1" w:history="1">
        <w:r w:rsidR="007759F2" w:rsidRPr="006E4FCE">
          <w:rPr>
            <w:rStyle w:val="a5"/>
            <w:rFonts w:asciiTheme="minorEastAsia" w:hAnsiTheme="minorEastAsia" w:hint="eastAsia"/>
            <w:bCs/>
          </w:rPr>
          <w:t>六、基金的募集</w:t>
        </w:r>
        <w:r w:rsidR="007759F2">
          <w:rPr>
            <w:webHidden/>
          </w:rPr>
          <w:tab/>
        </w:r>
        <w:r w:rsidR="007759F2">
          <w:rPr>
            <w:webHidden/>
          </w:rPr>
          <w:fldChar w:fldCharType="begin"/>
        </w:r>
        <w:r w:rsidR="007759F2">
          <w:rPr>
            <w:webHidden/>
          </w:rPr>
          <w:instrText xml:space="preserve"> PAGEREF _Toc43380851 \h </w:instrText>
        </w:r>
        <w:r w:rsidR="007759F2">
          <w:rPr>
            <w:webHidden/>
          </w:rPr>
        </w:r>
        <w:r w:rsidR="007759F2">
          <w:rPr>
            <w:webHidden/>
          </w:rPr>
          <w:fldChar w:fldCharType="separate"/>
        </w:r>
        <w:r w:rsidR="007759F2">
          <w:rPr>
            <w:webHidden/>
          </w:rPr>
          <w:t>73</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2" w:history="1">
        <w:r w:rsidR="007759F2" w:rsidRPr="006E4FCE">
          <w:rPr>
            <w:rStyle w:val="a5"/>
            <w:rFonts w:asciiTheme="minorEastAsia" w:hAnsiTheme="minorEastAsia" w:hint="eastAsia"/>
            <w:bCs/>
          </w:rPr>
          <w:t>七、基金合同的生效</w:t>
        </w:r>
        <w:r w:rsidR="007759F2">
          <w:rPr>
            <w:webHidden/>
          </w:rPr>
          <w:tab/>
        </w:r>
        <w:r w:rsidR="007759F2">
          <w:rPr>
            <w:webHidden/>
          </w:rPr>
          <w:fldChar w:fldCharType="begin"/>
        </w:r>
        <w:r w:rsidR="007759F2">
          <w:rPr>
            <w:webHidden/>
          </w:rPr>
          <w:instrText xml:space="preserve"> PAGEREF _Toc43380852 \h </w:instrText>
        </w:r>
        <w:r w:rsidR="007759F2">
          <w:rPr>
            <w:webHidden/>
          </w:rPr>
        </w:r>
        <w:r w:rsidR="007759F2">
          <w:rPr>
            <w:webHidden/>
          </w:rPr>
          <w:fldChar w:fldCharType="separate"/>
        </w:r>
        <w:r w:rsidR="007759F2">
          <w:rPr>
            <w:webHidden/>
          </w:rPr>
          <w:t>74</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3" w:history="1">
        <w:r w:rsidR="007759F2" w:rsidRPr="006E4FCE">
          <w:rPr>
            <w:rStyle w:val="a5"/>
            <w:rFonts w:asciiTheme="minorEastAsia" w:hAnsiTheme="minorEastAsia" w:hint="eastAsia"/>
          </w:rPr>
          <w:t>八、基金份额的申购、赎回</w:t>
        </w:r>
        <w:r w:rsidR="007759F2">
          <w:rPr>
            <w:webHidden/>
          </w:rPr>
          <w:tab/>
        </w:r>
        <w:r w:rsidR="007759F2">
          <w:rPr>
            <w:webHidden/>
          </w:rPr>
          <w:fldChar w:fldCharType="begin"/>
        </w:r>
        <w:r w:rsidR="007759F2">
          <w:rPr>
            <w:webHidden/>
          </w:rPr>
          <w:instrText xml:space="preserve"> PAGEREF _Toc43380853 \h </w:instrText>
        </w:r>
        <w:r w:rsidR="007759F2">
          <w:rPr>
            <w:webHidden/>
          </w:rPr>
        </w:r>
        <w:r w:rsidR="007759F2">
          <w:rPr>
            <w:webHidden/>
          </w:rPr>
          <w:fldChar w:fldCharType="separate"/>
        </w:r>
        <w:r w:rsidR="007759F2">
          <w:rPr>
            <w:webHidden/>
          </w:rPr>
          <w:t>75</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4" w:history="1">
        <w:r w:rsidR="007759F2" w:rsidRPr="006E4FCE">
          <w:rPr>
            <w:rStyle w:val="a5"/>
            <w:rFonts w:asciiTheme="minorEastAsia" w:hAnsiTheme="minorEastAsia" w:hint="eastAsia"/>
          </w:rPr>
          <w:t>九、基金转换和定期定额投资计划</w:t>
        </w:r>
        <w:r w:rsidR="007759F2">
          <w:rPr>
            <w:webHidden/>
          </w:rPr>
          <w:tab/>
        </w:r>
        <w:r w:rsidR="007759F2">
          <w:rPr>
            <w:webHidden/>
          </w:rPr>
          <w:fldChar w:fldCharType="begin"/>
        </w:r>
        <w:r w:rsidR="007759F2">
          <w:rPr>
            <w:webHidden/>
          </w:rPr>
          <w:instrText xml:space="preserve"> PAGEREF _Toc43380854 \h </w:instrText>
        </w:r>
        <w:r w:rsidR="007759F2">
          <w:rPr>
            <w:webHidden/>
          </w:rPr>
        </w:r>
        <w:r w:rsidR="007759F2">
          <w:rPr>
            <w:webHidden/>
          </w:rPr>
          <w:fldChar w:fldCharType="separate"/>
        </w:r>
        <w:r w:rsidR="007759F2">
          <w:rPr>
            <w:webHidden/>
          </w:rPr>
          <w:t>83</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5" w:history="1">
        <w:r w:rsidR="007759F2" w:rsidRPr="006E4FCE">
          <w:rPr>
            <w:rStyle w:val="a5"/>
            <w:rFonts w:asciiTheme="minorEastAsia" w:hAnsiTheme="minorEastAsia" w:hint="eastAsia"/>
          </w:rPr>
          <w:t>十、基金的转托管、质押、非交易过户、冻结与解冻</w:t>
        </w:r>
        <w:r w:rsidR="007759F2">
          <w:rPr>
            <w:webHidden/>
          </w:rPr>
          <w:tab/>
        </w:r>
        <w:r w:rsidR="007759F2">
          <w:rPr>
            <w:webHidden/>
          </w:rPr>
          <w:fldChar w:fldCharType="begin"/>
        </w:r>
        <w:r w:rsidR="007759F2">
          <w:rPr>
            <w:webHidden/>
          </w:rPr>
          <w:instrText xml:space="preserve"> PAGEREF _Toc43380855 \h </w:instrText>
        </w:r>
        <w:r w:rsidR="007759F2">
          <w:rPr>
            <w:webHidden/>
          </w:rPr>
        </w:r>
        <w:r w:rsidR="007759F2">
          <w:rPr>
            <w:webHidden/>
          </w:rPr>
          <w:fldChar w:fldCharType="separate"/>
        </w:r>
        <w:r w:rsidR="007759F2">
          <w:rPr>
            <w:webHidden/>
          </w:rPr>
          <w:t>89</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6" w:history="1">
        <w:r w:rsidR="007759F2" w:rsidRPr="006E4FCE">
          <w:rPr>
            <w:rStyle w:val="a5"/>
            <w:rFonts w:asciiTheme="minorEastAsia" w:hAnsiTheme="minorEastAsia" w:hint="eastAsia"/>
          </w:rPr>
          <w:t>十一、基金的投资</w:t>
        </w:r>
        <w:r w:rsidR="007759F2">
          <w:rPr>
            <w:webHidden/>
          </w:rPr>
          <w:tab/>
        </w:r>
        <w:r w:rsidR="007759F2">
          <w:rPr>
            <w:webHidden/>
          </w:rPr>
          <w:fldChar w:fldCharType="begin"/>
        </w:r>
        <w:r w:rsidR="007759F2">
          <w:rPr>
            <w:webHidden/>
          </w:rPr>
          <w:instrText xml:space="preserve"> PAGEREF _Toc43380856 \h </w:instrText>
        </w:r>
        <w:r w:rsidR="007759F2">
          <w:rPr>
            <w:webHidden/>
          </w:rPr>
        </w:r>
        <w:r w:rsidR="007759F2">
          <w:rPr>
            <w:webHidden/>
          </w:rPr>
          <w:fldChar w:fldCharType="separate"/>
        </w:r>
        <w:r w:rsidR="007759F2">
          <w:rPr>
            <w:webHidden/>
          </w:rPr>
          <w:t>90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7" w:history="1">
        <w:r w:rsidR="007759F2" w:rsidRPr="006E4FCE">
          <w:rPr>
            <w:rStyle w:val="a5"/>
            <w:rFonts w:asciiTheme="minorEastAsia" w:hAnsiTheme="minorEastAsia" w:hint="eastAsia"/>
          </w:rPr>
          <w:t>十二、基金的业绩</w:t>
        </w:r>
        <w:r w:rsidR="007759F2">
          <w:rPr>
            <w:webHidden/>
          </w:rPr>
          <w:tab/>
        </w:r>
        <w:r w:rsidR="007759F2">
          <w:rPr>
            <w:webHidden/>
          </w:rPr>
          <w:fldChar w:fldCharType="begin"/>
        </w:r>
        <w:r w:rsidR="007759F2">
          <w:rPr>
            <w:webHidden/>
          </w:rPr>
          <w:instrText xml:space="preserve"> PAGEREF _Toc43380857 \h </w:instrText>
        </w:r>
        <w:r w:rsidR="007759F2">
          <w:rPr>
            <w:webHidden/>
          </w:rPr>
        </w:r>
        <w:r w:rsidR="007759F2">
          <w:rPr>
            <w:webHidden/>
          </w:rPr>
          <w:fldChar w:fldCharType="separate"/>
        </w:r>
        <w:r w:rsidR="007759F2">
          <w:rPr>
            <w:webHidden/>
          </w:rPr>
          <w:t>100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8" w:history="1">
        <w:r w:rsidR="007759F2" w:rsidRPr="006E4FCE">
          <w:rPr>
            <w:rStyle w:val="a5"/>
            <w:rFonts w:asciiTheme="minorEastAsia" w:hAnsiTheme="minorEastAsia" w:hint="eastAsia"/>
          </w:rPr>
          <w:t>十三、基金的财产</w:t>
        </w:r>
        <w:r w:rsidR="007759F2">
          <w:rPr>
            <w:webHidden/>
          </w:rPr>
          <w:tab/>
        </w:r>
        <w:r w:rsidR="007759F2">
          <w:rPr>
            <w:webHidden/>
          </w:rPr>
          <w:fldChar w:fldCharType="begin"/>
        </w:r>
        <w:r w:rsidR="007759F2">
          <w:rPr>
            <w:webHidden/>
          </w:rPr>
          <w:instrText xml:space="preserve"> PAGEREF _Toc43380858 \h </w:instrText>
        </w:r>
        <w:r w:rsidR="007759F2">
          <w:rPr>
            <w:webHidden/>
          </w:rPr>
        </w:r>
        <w:r w:rsidR="007759F2">
          <w:rPr>
            <w:webHidden/>
          </w:rPr>
          <w:fldChar w:fldCharType="separate"/>
        </w:r>
        <w:r w:rsidR="007759F2">
          <w:rPr>
            <w:webHidden/>
          </w:rPr>
          <w:t>101</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59" w:history="1">
        <w:r w:rsidR="007759F2" w:rsidRPr="006E4FCE">
          <w:rPr>
            <w:rStyle w:val="a5"/>
            <w:rFonts w:asciiTheme="minorEastAsia" w:hAnsiTheme="minorEastAsia" w:hint="eastAsia"/>
          </w:rPr>
          <w:t>十四、基金资产的估值</w:t>
        </w:r>
        <w:r w:rsidR="007759F2">
          <w:rPr>
            <w:webHidden/>
          </w:rPr>
          <w:tab/>
        </w:r>
        <w:r w:rsidR="007759F2">
          <w:rPr>
            <w:webHidden/>
          </w:rPr>
          <w:fldChar w:fldCharType="begin"/>
        </w:r>
        <w:r w:rsidR="007759F2">
          <w:rPr>
            <w:webHidden/>
          </w:rPr>
          <w:instrText xml:space="preserve"> PAGEREF _Toc43380859 \h </w:instrText>
        </w:r>
        <w:r w:rsidR="007759F2">
          <w:rPr>
            <w:webHidden/>
          </w:rPr>
        </w:r>
        <w:r w:rsidR="007759F2">
          <w:rPr>
            <w:webHidden/>
          </w:rPr>
          <w:fldChar w:fldCharType="separate"/>
        </w:r>
        <w:r w:rsidR="007759F2">
          <w:rPr>
            <w:webHidden/>
          </w:rPr>
          <w:t>102</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0" w:history="1">
        <w:r w:rsidR="007759F2" w:rsidRPr="006E4FCE">
          <w:rPr>
            <w:rStyle w:val="a5"/>
            <w:rFonts w:asciiTheme="minorEastAsia" w:hAnsiTheme="minorEastAsia" w:hint="eastAsia"/>
          </w:rPr>
          <w:t>十五、基金的收益分配</w:t>
        </w:r>
        <w:r w:rsidR="007759F2">
          <w:rPr>
            <w:webHidden/>
          </w:rPr>
          <w:tab/>
        </w:r>
        <w:r w:rsidR="007759F2">
          <w:rPr>
            <w:webHidden/>
          </w:rPr>
          <w:fldChar w:fldCharType="begin"/>
        </w:r>
        <w:r w:rsidR="007759F2">
          <w:rPr>
            <w:webHidden/>
          </w:rPr>
          <w:instrText xml:space="preserve"> PAGEREF _Toc43380860 \h </w:instrText>
        </w:r>
        <w:r w:rsidR="007759F2">
          <w:rPr>
            <w:webHidden/>
          </w:rPr>
        </w:r>
        <w:r w:rsidR="007759F2">
          <w:rPr>
            <w:webHidden/>
          </w:rPr>
          <w:fldChar w:fldCharType="separate"/>
        </w:r>
        <w:r w:rsidR="007759F2">
          <w:rPr>
            <w:webHidden/>
          </w:rPr>
          <w:t>106</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1" w:history="1">
        <w:r w:rsidR="007759F2" w:rsidRPr="006E4FCE">
          <w:rPr>
            <w:rStyle w:val="a5"/>
            <w:rFonts w:asciiTheme="minorEastAsia" w:hAnsiTheme="minorEastAsia" w:hint="eastAsia"/>
          </w:rPr>
          <w:t>十六、基金的费用与税收</w:t>
        </w:r>
        <w:r w:rsidR="007759F2">
          <w:rPr>
            <w:webHidden/>
          </w:rPr>
          <w:tab/>
        </w:r>
        <w:r w:rsidR="007759F2">
          <w:rPr>
            <w:webHidden/>
          </w:rPr>
          <w:fldChar w:fldCharType="begin"/>
        </w:r>
        <w:r w:rsidR="007759F2">
          <w:rPr>
            <w:webHidden/>
          </w:rPr>
          <w:instrText xml:space="preserve"> PAGEREF _Toc43380861 \h </w:instrText>
        </w:r>
        <w:r w:rsidR="007759F2">
          <w:rPr>
            <w:webHidden/>
          </w:rPr>
        </w:r>
        <w:r w:rsidR="007759F2">
          <w:rPr>
            <w:webHidden/>
          </w:rPr>
          <w:fldChar w:fldCharType="separate"/>
        </w:r>
        <w:r w:rsidR="007759F2">
          <w:rPr>
            <w:webHidden/>
          </w:rPr>
          <w:t>107</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2" w:history="1">
        <w:r w:rsidR="007759F2" w:rsidRPr="006E4FCE">
          <w:rPr>
            <w:rStyle w:val="a5"/>
            <w:rFonts w:asciiTheme="minorEastAsia" w:hAnsiTheme="minorEastAsia" w:hint="eastAsia"/>
          </w:rPr>
          <w:t>十七、基金的会计与审计</w:t>
        </w:r>
        <w:r w:rsidR="007759F2">
          <w:rPr>
            <w:webHidden/>
          </w:rPr>
          <w:tab/>
        </w:r>
        <w:r w:rsidR="007759F2">
          <w:rPr>
            <w:webHidden/>
          </w:rPr>
          <w:fldChar w:fldCharType="begin"/>
        </w:r>
        <w:r w:rsidR="007759F2">
          <w:rPr>
            <w:webHidden/>
          </w:rPr>
          <w:instrText xml:space="preserve"> PAGEREF _Toc43380862 \h </w:instrText>
        </w:r>
        <w:r w:rsidR="007759F2">
          <w:rPr>
            <w:webHidden/>
          </w:rPr>
        </w:r>
        <w:r w:rsidR="007759F2">
          <w:rPr>
            <w:webHidden/>
          </w:rPr>
          <w:fldChar w:fldCharType="separate"/>
        </w:r>
        <w:r w:rsidR="007759F2">
          <w:rPr>
            <w:webHidden/>
          </w:rPr>
          <w:t>109</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3" w:history="1">
        <w:r w:rsidR="007759F2" w:rsidRPr="006E4FCE">
          <w:rPr>
            <w:rStyle w:val="a5"/>
            <w:rFonts w:asciiTheme="minorEastAsia" w:hAnsiTheme="minorEastAsia" w:hint="eastAsia"/>
          </w:rPr>
          <w:t>十八、基金的信息披露</w:t>
        </w:r>
        <w:r w:rsidR="007759F2">
          <w:rPr>
            <w:webHidden/>
          </w:rPr>
          <w:tab/>
        </w:r>
        <w:r w:rsidR="007759F2">
          <w:rPr>
            <w:webHidden/>
          </w:rPr>
          <w:fldChar w:fldCharType="begin"/>
        </w:r>
        <w:r w:rsidR="007759F2">
          <w:rPr>
            <w:webHidden/>
          </w:rPr>
          <w:instrText xml:space="preserve"> PAGEREF _Toc43380863 \h </w:instrText>
        </w:r>
        <w:r w:rsidR="007759F2">
          <w:rPr>
            <w:webHidden/>
          </w:rPr>
        </w:r>
        <w:r w:rsidR="007759F2">
          <w:rPr>
            <w:webHidden/>
          </w:rPr>
          <w:fldChar w:fldCharType="separate"/>
        </w:r>
        <w:r w:rsidR="007759F2">
          <w:rPr>
            <w:webHidden/>
          </w:rPr>
          <w:t>110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4" w:history="1">
        <w:r w:rsidR="007759F2" w:rsidRPr="006E4FCE">
          <w:rPr>
            <w:rStyle w:val="a5"/>
            <w:rFonts w:asciiTheme="minorEastAsia" w:hAnsiTheme="minorEastAsia" w:hint="eastAsia"/>
          </w:rPr>
          <w:t>十九、风险揭示</w:t>
        </w:r>
        <w:r w:rsidR="007759F2">
          <w:rPr>
            <w:webHidden/>
          </w:rPr>
          <w:tab/>
        </w:r>
        <w:r w:rsidR="007759F2">
          <w:rPr>
            <w:webHidden/>
          </w:rPr>
          <w:fldChar w:fldCharType="begin"/>
        </w:r>
        <w:r w:rsidR="007759F2">
          <w:rPr>
            <w:webHidden/>
          </w:rPr>
          <w:instrText xml:space="preserve"> PAGEREF _Toc43380864 \h </w:instrText>
        </w:r>
        <w:r w:rsidR="007759F2">
          <w:rPr>
            <w:webHidden/>
          </w:rPr>
        </w:r>
        <w:r w:rsidR="007759F2">
          <w:rPr>
            <w:webHidden/>
          </w:rPr>
          <w:fldChar w:fldCharType="separate"/>
        </w:r>
        <w:r w:rsidR="007759F2">
          <w:rPr>
            <w:webHidden/>
          </w:rPr>
          <w:t>115</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5" w:history="1">
        <w:r w:rsidR="007759F2" w:rsidRPr="006E4FCE">
          <w:rPr>
            <w:rStyle w:val="a5"/>
            <w:rFonts w:asciiTheme="minorEastAsia" w:hAnsiTheme="minorEastAsia" w:hint="eastAsia"/>
          </w:rPr>
          <w:t>二十、基金合同的变更、终止与基金财产的清算</w:t>
        </w:r>
        <w:r w:rsidR="007759F2">
          <w:rPr>
            <w:webHidden/>
          </w:rPr>
          <w:tab/>
        </w:r>
        <w:r w:rsidR="007759F2">
          <w:rPr>
            <w:webHidden/>
          </w:rPr>
          <w:fldChar w:fldCharType="begin"/>
        </w:r>
        <w:r w:rsidR="007759F2">
          <w:rPr>
            <w:webHidden/>
          </w:rPr>
          <w:instrText xml:space="preserve"> PAGEREF _Toc43380865 \h </w:instrText>
        </w:r>
        <w:r w:rsidR="007759F2">
          <w:rPr>
            <w:webHidden/>
          </w:rPr>
        </w:r>
        <w:r w:rsidR="007759F2">
          <w:rPr>
            <w:webHidden/>
          </w:rPr>
          <w:fldChar w:fldCharType="separate"/>
        </w:r>
        <w:r w:rsidR="007759F2">
          <w:rPr>
            <w:webHidden/>
          </w:rPr>
          <w:t>120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6" w:history="1">
        <w:r w:rsidR="007759F2" w:rsidRPr="006E4FCE">
          <w:rPr>
            <w:rStyle w:val="a5"/>
            <w:rFonts w:asciiTheme="minorEastAsia" w:hAnsiTheme="minorEastAsia" w:hint="eastAsia"/>
          </w:rPr>
          <w:t>二十一、基金合同的内容摘要</w:t>
        </w:r>
        <w:r w:rsidR="007759F2">
          <w:rPr>
            <w:webHidden/>
          </w:rPr>
          <w:tab/>
        </w:r>
        <w:r w:rsidR="007759F2">
          <w:rPr>
            <w:webHidden/>
          </w:rPr>
          <w:fldChar w:fldCharType="begin"/>
        </w:r>
        <w:r w:rsidR="007759F2">
          <w:rPr>
            <w:webHidden/>
          </w:rPr>
          <w:instrText xml:space="preserve"> PAGEREF _Toc43380866 \h </w:instrText>
        </w:r>
        <w:r w:rsidR="007759F2">
          <w:rPr>
            <w:webHidden/>
          </w:rPr>
        </w:r>
        <w:r w:rsidR="007759F2">
          <w:rPr>
            <w:webHidden/>
          </w:rPr>
          <w:fldChar w:fldCharType="separate"/>
        </w:r>
        <w:r w:rsidR="007759F2">
          <w:rPr>
            <w:webHidden/>
          </w:rPr>
          <w:t>122</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7" w:history="1">
        <w:r w:rsidR="007759F2" w:rsidRPr="006E4FCE">
          <w:rPr>
            <w:rStyle w:val="a5"/>
            <w:rFonts w:asciiTheme="minorEastAsia" w:hAnsiTheme="minorEastAsia" w:hint="eastAsia"/>
          </w:rPr>
          <w:t>二十二、基金托管协议的内容摘要</w:t>
        </w:r>
        <w:r w:rsidR="007759F2">
          <w:rPr>
            <w:webHidden/>
          </w:rPr>
          <w:tab/>
        </w:r>
        <w:r w:rsidR="007759F2">
          <w:rPr>
            <w:webHidden/>
          </w:rPr>
          <w:fldChar w:fldCharType="begin"/>
        </w:r>
        <w:r w:rsidR="007759F2">
          <w:rPr>
            <w:webHidden/>
          </w:rPr>
          <w:instrText xml:space="preserve"> PAGEREF _Toc43380867 \h </w:instrText>
        </w:r>
        <w:r w:rsidR="007759F2">
          <w:rPr>
            <w:webHidden/>
          </w:rPr>
        </w:r>
        <w:r w:rsidR="007759F2">
          <w:rPr>
            <w:webHidden/>
          </w:rPr>
          <w:fldChar w:fldCharType="separate"/>
        </w:r>
        <w:r w:rsidR="007759F2">
          <w:rPr>
            <w:webHidden/>
          </w:rPr>
          <w:t>140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8" w:history="1">
        <w:r w:rsidR="007759F2" w:rsidRPr="006E4FCE">
          <w:rPr>
            <w:rStyle w:val="a5"/>
            <w:rFonts w:asciiTheme="minorEastAsia" w:hAnsiTheme="minorEastAsia" w:hint="eastAsia"/>
          </w:rPr>
          <w:t>二十三、对基金份额持有人的服务</w:t>
        </w:r>
        <w:r w:rsidR="007759F2">
          <w:rPr>
            <w:webHidden/>
          </w:rPr>
          <w:tab/>
        </w:r>
        <w:r w:rsidR="007759F2">
          <w:rPr>
            <w:webHidden/>
          </w:rPr>
          <w:fldChar w:fldCharType="begin"/>
        </w:r>
        <w:r w:rsidR="007759F2">
          <w:rPr>
            <w:webHidden/>
          </w:rPr>
          <w:instrText xml:space="preserve"> PAGEREF _Toc43380868 \h </w:instrText>
        </w:r>
        <w:r w:rsidR="007759F2">
          <w:rPr>
            <w:webHidden/>
          </w:rPr>
        </w:r>
        <w:r w:rsidR="007759F2">
          <w:rPr>
            <w:webHidden/>
          </w:rPr>
          <w:fldChar w:fldCharType="separate"/>
        </w:r>
        <w:r w:rsidR="007759F2">
          <w:rPr>
            <w:webHidden/>
          </w:rPr>
          <w:t>157</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69" w:history="1">
        <w:r w:rsidR="007759F2" w:rsidRPr="006E4FCE">
          <w:rPr>
            <w:rStyle w:val="a5"/>
            <w:rFonts w:asciiTheme="minorEastAsia" w:hAnsiTheme="minorEastAsia" w:hint="eastAsia"/>
          </w:rPr>
          <w:t>二十四、其他应披露事项</w:t>
        </w:r>
        <w:r w:rsidR="007759F2">
          <w:rPr>
            <w:webHidden/>
          </w:rPr>
          <w:tab/>
        </w:r>
        <w:r w:rsidR="007759F2">
          <w:rPr>
            <w:webHidden/>
          </w:rPr>
          <w:fldChar w:fldCharType="begin"/>
        </w:r>
        <w:r w:rsidR="007759F2">
          <w:rPr>
            <w:webHidden/>
          </w:rPr>
          <w:instrText xml:space="preserve"> PAGEREF _Toc43380869 \h </w:instrText>
        </w:r>
        <w:r w:rsidR="007759F2">
          <w:rPr>
            <w:webHidden/>
          </w:rPr>
        </w:r>
        <w:r w:rsidR="007759F2">
          <w:rPr>
            <w:webHidden/>
          </w:rPr>
          <w:fldChar w:fldCharType="separate"/>
        </w:r>
        <w:r w:rsidR="007759F2">
          <w:rPr>
            <w:webHidden/>
          </w:rPr>
          <w:t>158</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70" w:history="1">
        <w:r w:rsidR="007759F2" w:rsidRPr="006E4FCE">
          <w:rPr>
            <w:rStyle w:val="a5"/>
            <w:rFonts w:asciiTheme="minorEastAsia" w:hAnsiTheme="minorEastAsia" w:hint="eastAsia"/>
          </w:rPr>
          <w:t>二十五、招募说明书的存放及查阅方式</w:t>
        </w:r>
        <w:r w:rsidR="007759F2">
          <w:rPr>
            <w:webHidden/>
          </w:rPr>
          <w:tab/>
        </w:r>
        <w:r w:rsidR="007759F2">
          <w:rPr>
            <w:webHidden/>
          </w:rPr>
          <w:fldChar w:fldCharType="begin"/>
        </w:r>
        <w:r w:rsidR="007759F2">
          <w:rPr>
            <w:webHidden/>
          </w:rPr>
          <w:instrText xml:space="preserve"> PAGEREF _Toc43380870 \h </w:instrText>
        </w:r>
        <w:r w:rsidR="007759F2">
          <w:rPr>
            <w:webHidden/>
          </w:rPr>
        </w:r>
        <w:r w:rsidR="007759F2">
          <w:rPr>
            <w:webHidden/>
          </w:rPr>
          <w:fldChar w:fldCharType="separate"/>
        </w:r>
        <w:r w:rsidR="007759F2">
          <w:rPr>
            <w:webHidden/>
          </w:rPr>
          <w:t>160</w:t>
        </w:r>
        <w:r w:rsidR="007759F2">
          <w:rPr>
            <w:webHidden/>
          </w:rPr>
          <w:fldChar w:fldCharType="end"/>
        </w:r>
      </w:hyperlink>
    </w:p>
    <w:p w:rsidR="007759F2" w:rsidRDefault="00093452">
      <w:pPr>
        <w:pStyle w:val="10"/>
        <w:rPr>
          <w:rFonts w:asciiTheme="minorHAnsi" w:eastAsiaTheme="minorEastAsia" w:hAnsiTheme="minorHAnsi" w:cstheme="minorBidi"/>
          <w:caps w:val="0"/>
          <w:color w:val="auto"/>
          <w:sz w:val="21"/>
          <w:szCs w:val="22"/>
        </w:rPr>
      </w:pPr>
      <w:hyperlink w:anchor="_Toc43380871" w:history="1">
        <w:r w:rsidR="007759F2" w:rsidRPr="006E4FCE">
          <w:rPr>
            <w:rStyle w:val="a5"/>
            <w:rFonts w:asciiTheme="minorEastAsia" w:hAnsiTheme="minorEastAsia" w:hint="eastAsia"/>
          </w:rPr>
          <w:t>二十六、备查文件</w:t>
        </w:r>
        <w:r w:rsidR="007759F2">
          <w:rPr>
            <w:webHidden/>
          </w:rPr>
          <w:tab/>
        </w:r>
        <w:r w:rsidR="007759F2">
          <w:rPr>
            <w:webHidden/>
          </w:rPr>
          <w:fldChar w:fldCharType="begin"/>
        </w:r>
        <w:r w:rsidR="007759F2">
          <w:rPr>
            <w:webHidden/>
          </w:rPr>
          <w:instrText xml:space="preserve"> PAGEREF _Toc43380871 \h </w:instrText>
        </w:r>
        <w:r w:rsidR="007759F2">
          <w:rPr>
            <w:webHidden/>
          </w:rPr>
        </w:r>
        <w:r w:rsidR="007759F2">
          <w:rPr>
            <w:webHidden/>
          </w:rPr>
          <w:fldChar w:fldCharType="separate"/>
        </w:r>
        <w:r w:rsidR="007759F2">
          <w:rPr>
            <w:webHidden/>
          </w:rPr>
          <w:t>161</w:t>
        </w:r>
        <w:r w:rsidR="007759F2">
          <w:rPr>
            <w:webHidden/>
          </w:rPr>
          <w:fldChar w:fldCharType="end"/>
        </w:r>
      </w:hyperlink>
    </w:p>
    <w:p w:rsidR="00CD234C" w:rsidRPr="007759F2" w:rsidRDefault="00CD234C" w:rsidP="00CD234C">
      <w:pPr>
        <w:snapToGrid w:val="0"/>
        <w:spacing w:line="360" w:lineRule="auto"/>
        <w:ind w:firstLine="560"/>
        <w:jc w:val="center"/>
        <w:rPr>
          <w:rFonts w:asciiTheme="minorEastAsia" w:eastAsiaTheme="minorEastAsia" w:hAnsiTheme="minorEastAsia"/>
          <w:b/>
          <w:caps/>
          <w:noProof/>
          <w:sz w:val="24"/>
          <w:szCs w:val="28"/>
        </w:rPr>
      </w:pPr>
      <w:r w:rsidRPr="007759F2">
        <w:rPr>
          <w:rFonts w:asciiTheme="minorEastAsia" w:eastAsiaTheme="minorEastAsia" w:hAnsiTheme="minorEastAsia" w:hint="eastAsia"/>
          <w:caps/>
          <w:noProof/>
          <w:sz w:val="24"/>
          <w:szCs w:val="28"/>
        </w:rPr>
        <w:fldChar w:fldCharType="end"/>
      </w:r>
    </w:p>
    <w:p w:rsidR="001642EB" w:rsidRPr="007759F2" w:rsidRDefault="001642EB" w:rsidP="00CD234C">
      <w:pPr>
        <w:widowControl/>
        <w:spacing w:line="360" w:lineRule="auto"/>
        <w:jc w:val="left"/>
        <w:rPr>
          <w:rFonts w:asciiTheme="minorEastAsia" w:eastAsiaTheme="minorEastAsia" w:hAnsiTheme="minorEastAsia"/>
          <w:b/>
          <w:caps/>
          <w:noProof/>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1642EB" w:rsidRPr="007759F2" w:rsidRDefault="001642EB" w:rsidP="008B1EB8">
      <w:pPr>
        <w:rPr>
          <w:rFonts w:asciiTheme="minorEastAsia" w:eastAsiaTheme="minorEastAsia" w:hAnsiTheme="minorEastAsia"/>
          <w:sz w:val="24"/>
          <w:szCs w:val="28"/>
        </w:rPr>
      </w:pPr>
    </w:p>
    <w:p w:rsidR="006D544C" w:rsidRPr="007759F2" w:rsidRDefault="006D544C" w:rsidP="008B1EB8">
      <w:pPr>
        <w:rPr>
          <w:rFonts w:asciiTheme="minorEastAsia" w:eastAsiaTheme="minorEastAsia" w:hAnsiTheme="minorEastAsia"/>
          <w:sz w:val="24"/>
          <w:szCs w:val="28"/>
        </w:rPr>
        <w:sectPr w:rsidR="006D544C" w:rsidRPr="007759F2">
          <w:footerReference w:type="default" r:id="rId15"/>
          <w:pgSz w:w="11906" w:h="16838"/>
          <w:pgMar w:top="1440" w:right="1803" w:bottom="1440" w:left="1803" w:header="851" w:footer="992" w:gutter="0"/>
          <w:pgNumType w:fmt="upperRoman" w:start="1"/>
          <w:cols w:space="720"/>
          <w:docGrid w:type="lines" w:linePitch="317"/>
        </w:sectPr>
      </w:pPr>
    </w:p>
    <w:p w:rsidR="00CD234C" w:rsidRPr="007759F2" w:rsidRDefault="00CD234C" w:rsidP="00CD234C">
      <w:pPr>
        <w:pStyle w:val="11"/>
        <w:snapToGrid w:val="0"/>
        <w:spacing w:before="317" w:after="317" w:line="360" w:lineRule="auto"/>
        <w:ind w:firstLine="600"/>
        <w:rPr>
          <w:rFonts w:asciiTheme="minorEastAsia" w:eastAsiaTheme="minorEastAsia" w:hAnsiTheme="minorEastAsia"/>
          <w:b w:val="0"/>
          <w:sz w:val="30"/>
        </w:rPr>
      </w:pPr>
      <w:bookmarkStart w:id="0" w:name="_Toc332373444"/>
      <w:bookmarkStart w:id="1" w:name="_Toc43380846"/>
      <w:r w:rsidRPr="007759F2">
        <w:rPr>
          <w:rFonts w:asciiTheme="minorEastAsia" w:eastAsiaTheme="minorEastAsia" w:hAnsiTheme="minorEastAsia" w:hint="eastAsia"/>
          <w:b w:val="0"/>
          <w:sz w:val="30"/>
        </w:rPr>
        <w:lastRenderedPageBreak/>
        <w:t>一、</w:t>
      </w:r>
      <w:r w:rsidRPr="007759F2">
        <w:rPr>
          <w:rFonts w:asciiTheme="minorEastAsia" w:eastAsiaTheme="minorEastAsia" w:hAnsiTheme="minorEastAsia" w:hint="eastAsia"/>
          <w:b w:val="0"/>
        </w:rPr>
        <w:t>绪言</w:t>
      </w:r>
      <w:bookmarkEnd w:id="0"/>
      <w:bookmarkEnd w:id="1"/>
    </w:p>
    <w:p w:rsidR="00CD234C" w:rsidRPr="007759F2" w:rsidRDefault="00CD234C" w:rsidP="00CD234C">
      <w:pPr>
        <w:autoSpaceDE w:val="0"/>
        <w:autoSpaceDN w:val="0"/>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招募说明书依据《中华人民共和国证券投资基金法》（以下简称《基金法》）、《公开募集证券投资基金运作管理办法》（以下简称《运作办法》）、《证券投资基金销售管理办法》（以下简称《销售办法》）、《</w:t>
      </w:r>
      <w:r w:rsidR="003D4589" w:rsidRPr="007759F2">
        <w:rPr>
          <w:rFonts w:asciiTheme="minorEastAsia" w:eastAsiaTheme="minorEastAsia" w:hAnsiTheme="minorEastAsia" w:hint="eastAsia"/>
        </w:rPr>
        <w:t>公开募集</w:t>
      </w:r>
      <w:r w:rsidRPr="007759F2">
        <w:rPr>
          <w:rFonts w:asciiTheme="minorEastAsia" w:eastAsiaTheme="minorEastAsia" w:hAnsiTheme="minorEastAsia" w:hint="eastAsia"/>
        </w:rPr>
        <w:t>证券投资基金信息披露管理办法》（以下简称《信息披露办法》）、《公开募集开放式证券投资基金流动性风险管理规定》（以下简称《管理规定》）、《证券投资基金信息披露内容与格式准则第5号&lt;招募说明书的内容与格式&gt;》、《易方达瑞景灵活配置混合型证券投资基金基金合同》（以下简称基金合同）及其它有关规定等编写。</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snapToGrid w:val="0"/>
        <w:spacing w:line="360" w:lineRule="auto"/>
        <w:ind w:firstLine="482"/>
        <w:rPr>
          <w:rFonts w:asciiTheme="minorEastAsia" w:eastAsiaTheme="minorEastAsia" w:hAnsiTheme="minorEastAsia"/>
        </w:rPr>
      </w:pPr>
    </w:p>
    <w:p w:rsidR="00CD234C" w:rsidRPr="007759F2" w:rsidRDefault="00CD234C" w:rsidP="00CD234C">
      <w:pPr>
        <w:pStyle w:val="111"/>
        <w:pageBreakBefore w:val="0"/>
        <w:snapToGrid w:val="0"/>
        <w:spacing w:before="317" w:after="317" w:line="360" w:lineRule="auto"/>
        <w:ind w:firstLine="600"/>
        <w:rPr>
          <w:rFonts w:asciiTheme="minorEastAsia" w:eastAsiaTheme="minorEastAsia" w:hAnsiTheme="minorEastAsia"/>
          <w:sz w:val="30"/>
        </w:rPr>
      </w:pPr>
      <w:bookmarkStart w:id="2" w:name="_Toc332373445"/>
      <w:bookmarkStart w:id="3" w:name="_Toc43380847"/>
      <w:r w:rsidRPr="007759F2">
        <w:rPr>
          <w:rFonts w:asciiTheme="minorEastAsia" w:eastAsiaTheme="minorEastAsia" w:hAnsiTheme="minorEastAsia" w:hint="eastAsia"/>
          <w:sz w:val="30"/>
        </w:rPr>
        <w:lastRenderedPageBreak/>
        <w:t>二、释义</w:t>
      </w:r>
      <w:bookmarkEnd w:id="2"/>
      <w:bookmarkEnd w:id="3"/>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本招募说明书中除非文意另有所指，下列词语有如下含义：</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1、基金或本基金：指易方达瑞景灵活配置混合型证券投资基金</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2、基金管理人：指易方达基金管理有限公司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3、基金托管人：指中国邮政储蓄银行股份有限公司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4、基金合同：指《易方达瑞景灵活配置混合型证券投资基金基金合同》及对基金合同的任何有效修订和补充</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5、托管协议：指基金管理人与基金托管人就本基金签订之《易方达瑞景灵活配置混合型证券投资基金托管协议》及对该托管协议的任何有效修订和补充</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6、招募说明书、本招募说明书：指《易方达瑞景灵活配置混合型证券投资基金招募说明书》及其更新</w:t>
      </w:r>
    </w:p>
    <w:p w:rsidR="00DF3107"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Fonts w:asciiTheme="minorEastAsia" w:eastAsiaTheme="minorEastAsia" w:hAnsiTheme="minorEastAsia" w:hint="eastAsia"/>
          <w:bCs/>
        </w:rPr>
        <w:t>7</w:t>
      </w:r>
      <w:r w:rsidRPr="007759F2">
        <w:rPr>
          <w:rFonts w:asciiTheme="minorEastAsia" w:eastAsiaTheme="minorEastAsia" w:hAnsiTheme="minorEastAsia"/>
          <w:bCs/>
        </w:rPr>
        <w:t>、</w:t>
      </w:r>
      <w:r w:rsidRPr="007759F2">
        <w:rPr>
          <w:rFonts w:asciiTheme="minorEastAsia" w:eastAsiaTheme="minorEastAsia" w:hAnsiTheme="minorEastAsia" w:hint="eastAsia"/>
          <w:bCs/>
        </w:rPr>
        <w:t>基金产品</w:t>
      </w:r>
      <w:r w:rsidRPr="007759F2">
        <w:rPr>
          <w:rFonts w:asciiTheme="minorEastAsia" w:eastAsiaTheme="minorEastAsia" w:hAnsiTheme="minorEastAsia"/>
          <w:bCs/>
        </w:rPr>
        <w:t>资料概要：指</w:t>
      </w:r>
      <w:r w:rsidRPr="007759F2">
        <w:rPr>
          <w:rFonts w:asciiTheme="minorEastAsia" w:eastAsiaTheme="minorEastAsia" w:hAnsiTheme="minorEastAsia" w:hint="eastAsia"/>
          <w:bCs/>
        </w:rPr>
        <w:t>《易方达瑞景灵活配置混合型证券投资基金</w:t>
      </w:r>
      <w:r w:rsidR="005C3F6D" w:rsidRPr="007759F2">
        <w:rPr>
          <w:rFonts w:asciiTheme="minorEastAsia" w:eastAsiaTheme="minorEastAsia" w:hAnsiTheme="minorEastAsia" w:hint="eastAsia"/>
          <w:bCs/>
        </w:rPr>
        <w:t>基金</w:t>
      </w:r>
      <w:r w:rsidRPr="007759F2">
        <w:rPr>
          <w:rFonts w:asciiTheme="minorEastAsia" w:eastAsiaTheme="minorEastAsia" w:hAnsiTheme="minorEastAsia"/>
          <w:bCs/>
        </w:rPr>
        <w:t>产品资料概要》</w:t>
      </w:r>
      <w:r w:rsidRPr="007759F2">
        <w:rPr>
          <w:rFonts w:asciiTheme="minorEastAsia" w:eastAsiaTheme="minorEastAsia" w:hAnsiTheme="minorEastAsia" w:hint="eastAsia"/>
          <w:bCs/>
        </w:rPr>
        <w:t>及其</w:t>
      </w:r>
      <w:r w:rsidRPr="007759F2">
        <w:rPr>
          <w:rFonts w:asciiTheme="minorEastAsia" w:eastAsiaTheme="minorEastAsia" w:hAnsiTheme="minorEastAsia"/>
          <w:bCs/>
        </w:rPr>
        <w:t>更新</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w:t>
      </w:r>
      <w:r w:rsidR="00CD234C" w:rsidRPr="007759F2">
        <w:rPr>
          <w:rStyle w:val="da"/>
          <w:rFonts w:asciiTheme="minorEastAsia" w:eastAsiaTheme="minorEastAsia" w:hAnsiTheme="minorEastAsia" w:hint="eastAsia"/>
        </w:rPr>
        <w:t>、基金份额发售公告：指《易方达瑞景灵活配置混合型证券投资基金基金份额发售公告》</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w:t>
      </w:r>
      <w:r w:rsidR="00CD234C" w:rsidRPr="007759F2">
        <w:rPr>
          <w:rStyle w:val="da"/>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w:t>
      </w:r>
      <w:r w:rsidR="00CD234C" w:rsidRPr="007759F2">
        <w:rPr>
          <w:rStyle w:val="da"/>
          <w:rFonts w:asciiTheme="minorEastAsia" w:eastAsiaTheme="minorEastAsia" w:hAnsiTheme="minorEastAsia" w:hint="eastAsia"/>
        </w:rPr>
        <w:t>、《基金法》：指2012年12月28日经第十一届全国人民代表大会常务委员会第三十次会议通过，自2013年6月1日起实施的《中华人民共和国证券投资基金法》及颁布机关对其不时做出的修订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1</w:t>
      </w:r>
      <w:r w:rsidRPr="007759F2">
        <w:rPr>
          <w:rStyle w:val="da"/>
          <w:rFonts w:asciiTheme="minorEastAsia" w:eastAsiaTheme="minorEastAsia" w:hAnsiTheme="minorEastAsia" w:hint="eastAsia"/>
        </w:rPr>
        <w:t>、《销售办法》：指中国证监会2013年3月15日颁布、同年6月1日实施的《证券投资基金销售管理办法》及颁布机关对其不时做出的修订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2</w:t>
      </w:r>
      <w:r w:rsidRPr="007759F2">
        <w:rPr>
          <w:rStyle w:val="da"/>
          <w:rFonts w:asciiTheme="minorEastAsia" w:eastAsiaTheme="minorEastAsia" w:hAnsiTheme="minorEastAsia" w:hint="eastAsia"/>
        </w:rPr>
        <w:t>、《信息披露办法》：</w:t>
      </w:r>
      <w:r w:rsidR="00DF3107" w:rsidRPr="007759F2">
        <w:rPr>
          <w:rFonts w:asciiTheme="minorEastAsia" w:eastAsiaTheme="minorEastAsia" w:hAnsiTheme="minorEastAsia" w:hint="eastAsia"/>
          <w:bCs/>
        </w:rPr>
        <w:t>指中国证监会</w:t>
      </w:r>
      <w:r w:rsidR="00DF3107" w:rsidRPr="007759F2">
        <w:rPr>
          <w:rFonts w:asciiTheme="minorEastAsia" w:eastAsiaTheme="minorEastAsia" w:hAnsiTheme="minorEastAsia"/>
          <w:bCs/>
        </w:rPr>
        <w:t>2019</w:t>
      </w:r>
      <w:r w:rsidR="00DF3107" w:rsidRPr="007759F2">
        <w:rPr>
          <w:rFonts w:asciiTheme="minorEastAsia" w:eastAsiaTheme="minorEastAsia" w:hAnsiTheme="minorEastAsia" w:hint="eastAsia"/>
          <w:bCs/>
        </w:rPr>
        <w:t>年</w:t>
      </w:r>
      <w:r w:rsidR="00DF3107" w:rsidRPr="007759F2">
        <w:rPr>
          <w:rFonts w:asciiTheme="minorEastAsia" w:eastAsiaTheme="minorEastAsia" w:hAnsiTheme="minorEastAsia"/>
          <w:bCs/>
        </w:rPr>
        <w:t>7</w:t>
      </w:r>
      <w:r w:rsidR="00DF3107" w:rsidRPr="007759F2">
        <w:rPr>
          <w:rFonts w:asciiTheme="minorEastAsia" w:eastAsiaTheme="minorEastAsia" w:hAnsiTheme="minorEastAsia" w:hint="eastAsia"/>
          <w:bCs/>
        </w:rPr>
        <w:t>月</w:t>
      </w:r>
      <w:r w:rsidR="00DF3107" w:rsidRPr="007759F2">
        <w:rPr>
          <w:rFonts w:asciiTheme="minorEastAsia" w:eastAsiaTheme="minorEastAsia" w:hAnsiTheme="minorEastAsia"/>
          <w:bCs/>
        </w:rPr>
        <w:t>26</w:t>
      </w:r>
      <w:r w:rsidR="00DF3107" w:rsidRPr="007759F2">
        <w:rPr>
          <w:rFonts w:asciiTheme="minorEastAsia" w:eastAsiaTheme="minorEastAsia" w:hAnsiTheme="minorEastAsia" w:hint="eastAsia"/>
          <w:bCs/>
        </w:rPr>
        <w:t>日颁布、同年</w:t>
      </w:r>
      <w:r w:rsidR="00DF3107" w:rsidRPr="007759F2">
        <w:rPr>
          <w:rFonts w:asciiTheme="minorEastAsia" w:eastAsiaTheme="minorEastAsia" w:hAnsiTheme="minorEastAsia"/>
          <w:bCs/>
        </w:rPr>
        <w:t>9</w:t>
      </w:r>
      <w:r w:rsidR="00DF3107" w:rsidRPr="007759F2">
        <w:rPr>
          <w:rFonts w:asciiTheme="minorEastAsia" w:eastAsiaTheme="minorEastAsia" w:hAnsiTheme="minorEastAsia" w:hint="eastAsia"/>
          <w:bCs/>
        </w:rPr>
        <w:t>月</w:t>
      </w:r>
      <w:r w:rsidR="00DF3107" w:rsidRPr="007759F2">
        <w:rPr>
          <w:rFonts w:asciiTheme="minorEastAsia" w:eastAsiaTheme="minorEastAsia" w:hAnsiTheme="minorEastAsia"/>
          <w:bCs/>
        </w:rPr>
        <w:t>1</w:t>
      </w:r>
      <w:r w:rsidR="00DF3107" w:rsidRPr="007759F2">
        <w:rPr>
          <w:rFonts w:asciiTheme="minorEastAsia" w:eastAsiaTheme="minorEastAsia" w:hAnsiTheme="minorEastAsia" w:hint="eastAsia"/>
          <w:bCs/>
        </w:rPr>
        <w:t>日实施的《公开募集证券投资基金信息披露管理办法》及颁布机关对其不时做出的修订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3</w:t>
      </w:r>
      <w:r w:rsidRPr="007759F2">
        <w:rPr>
          <w:rStyle w:val="da"/>
          <w:rFonts w:asciiTheme="minorEastAsia" w:eastAsiaTheme="minorEastAsia" w:hAnsiTheme="minorEastAsia" w:hint="eastAsia"/>
        </w:rPr>
        <w:t>、《运作办法》：指中国证监会2014年7月7日颁布、同年8月8日实施的《公开募集证券投资基金运作管理办法》及颁布机关对其不时做出的修订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4</w:t>
      </w:r>
      <w:r w:rsidRPr="007759F2">
        <w:rPr>
          <w:rStyle w:val="da"/>
          <w:rFonts w:asciiTheme="minorEastAsia" w:eastAsiaTheme="minorEastAsia" w:hAnsiTheme="minorEastAsia" w:hint="eastAsia"/>
        </w:rPr>
        <w:t>、《管理规定》：指中国证监会2017年8月31日颁布、同年10月1日实施的《公开募集开放式证券投资基金流动性风险管理规定》及颁布机关对其不时做出的修订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5</w:t>
      </w:r>
      <w:r w:rsidRPr="007759F2">
        <w:rPr>
          <w:rStyle w:val="da"/>
          <w:rFonts w:asciiTheme="minorEastAsia" w:eastAsiaTheme="minorEastAsia" w:hAnsiTheme="minorEastAsia" w:hint="eastAsia"/>
        </w:rPr>
        <w:t>、中国证监会：指中国证券监督管理委员会</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6</w:t>
      </w:r>
      <w:r w:rsidRPr="007759F2">
        <w:rPr>
          <w:rStyle w:val="da"/>
          <w:rFonts w:asciiTheme="minorEastAsia" w:eastAsiaTheme="minorEastAsia" w:hAnsiTheme="minorEastAsia" w:hint="eastAsia"/>
        </w:rPr>
        <w:t>、银行业监督管理机构：指中国人民银行和/或中国银行保险监督管理委员会</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7</w:t>
      </w:r>
      <w:r w:rsidRPr="007759F2">
        <w:rPr>
          <w:rStyle w:val="da"/>
          <w:rFonts w:asciiTheme="minorEastAsia" w:eastAsiaTheme="minorEastAsia" w:hAnsiTheme="minorEastAsia" w:hint="eastAsia"/>
        </w:rPr>
        <w:t>、基金合同当事人：指受基金合同约束，根据基金合同享有权利并承担义务的法律主体，包括基金管理人、基金托管人和基金份额持有人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w:t>
      </w:r>
      <w:r w:rsidR="00DF3107" w:rsidRPr="007759F2">
        <w:rPr>
          <w:rStyle w:val="da"/>
          <w:rFonts w:asciiTheme="minorEastAsia" w:eastAsiaTheme="minorEastAsia" w:hAnsiTheme="minorEastAsia" w:hint="eastAsia"/>
        </w:rPr>
        <w:t>8</w:t>
      </w:r>
      <w:r w:rsidRPr="007759F2">
        <w:rPr>
          <w:rStyle w:val="da"/>
          <w:rFonts w:asciiTheme="minorEastAsia" w:eastAsiaTheme="minorEastAsia" w:hAnsiTheme="minorEastAsia" w:hint="eastAsia"/>
        </w:rPr>
        <w:t>、个人投资者：指依据有关法律法规规定可投资于证券投资基金的自然人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1</w:t>
      </w:r>
      <w:r w:rsidR="00DF3107" w:rsidRPr="007759F2">
        <w:rPr>
          <w:rStyle w:val="da"/>
          <w:rFonts w:asciiTheme="minorEastAsia" w:eastAsiaTheme="minorEastAsia" w:hAnsiTheme="minorEastAsia" w:hint="eastAsia"/>
        </w:rPr>
        <w:t>9</w:t>
      </w:r>
      <w:r w:rsidRPr="007759F2">
        <w:rPr>
          <w:rStyle w:val="da"/>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20</w:t>
      </w:r>
      <w:r w:rsidR="00CD234C" w:rsidRPr="007759F2">
        <w:rPr>
          <w:rStyle w:val="da"/>
          <w:rFonts w:asciiTheme="minorEastAsia" w:eastAsiaTheme="minorEastAsia" w:hAnsiTheme="minorEastAsia" w:hint="eastAsia"/>
        </w:rPr>
        <w:t>、合格境外机构投资者：指符合相关法律法规规定可以投资于在中国境内依法募集的证券投资基金的中国境外的机构投资者</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1</w:t>
      </w:r>
      <w:r w:rsidRPr="007759F2">
        <w:rPr>
          <w:rStyle w:val="da"/>
          <w:rFonts w:asciiTheme="minorEastAsia" w:eastAsiaTheme="minorEastAsia" w:hAnsiTheme="minorEastAsia" w:hint="eastAsia"/>
        </w:rPr>
        <w:t>、投资人：指个人投资者、机构投资者和合格境外机构投资者以及法律法规或中国证监会允许购买证券投资基金的其他投资人的合称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2</w:t>
      </w:r>
      <w:r w:rsidRPr="007759F2">
        <w:rPr>
          <w:rStyle w:val="da"/>
          <w:rFonts w:asciiTheme="minorEastAsia" w:eastAsiaTheme="minorEastAsia" w:hAnsiTheme="minorEastAsia" w:hint="eastAsia"/>
        </w:rPr>
        <w:t>、基金份额持有人：指依基金合同和招募说明书合法取得基金份额的投资人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3</w:t>
      </w:r>
      <w:r w:rsidRPr="007759F2">
        <w:rPr>
          <w:rStyle w:val="da"/>
          <w:rFonts w:asciiTheme="minorEastAsia" w:eastAsiaTheme="minorEastAsia" w:hAnsiTheme="minorEastAsia" w:hint="eastAsia"/>
        </w:rPr>
        <w:t>、基金销售业务：指基金管理人或销售机构宣传推介基金，发售基金份额，办理基金份额的申购、赎回、转换、转托管及定期定额投资等业务。</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4</w:t>
      </w:r>
      <w:r w:rsidRPr="007759F2">
        <w:rPr>
          <w:rStyle w:val="da"/>
          <w:rFonts w:asciiTheme="minorEastAsia" w:eastAsiaTheme="minorEastAsia" w:hAnsiTheme="minorEastAsia" w:hint="eastAsia"/>
        </w:rPr>
        <w:t>、销售机构：指易方达基金管理有限公司以及符合《销售办法》和中国证监会规定的其他条件，取得基金销售业务资格并与基金管理人签订了基金销售服务协议，办理基金销售业务的机构</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5</w:t>
      </w:r>
      <w:r w:rsidRPr="007759F2">
        <w:rPr>
          <w:rStyle w:val="da"/>
          <w:rFonts w:asciiTheme="minorEastAsia" w:eastAsiaTheme="minorEastAsia" w:hAnsiTheme="minorEastAsia" w:hint="eastAsia"/>
        </w:rPr>
        <w:t>、</w:t>
      </w:r>
      <w:r w:rsidRPr="007759F2">
        <w:rPr>
          <w:rFonts w:asciiTheme="minorEastAsia" w:eastAsiaTheme="minorEastAsia" w:hAnsiTheme="minorEastAsia" w:hint="eastAsia"/>
        </w:rPr>
        <w:t>直销机构：指易方达基金管理有限公司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6</w:t>
      </w:r>
      <w:r w:rsidRPr="007759F2">
        <w:rPr>
          <w:rStyle w:val="da"/>
          <w:rFonts w:asciiTheme="minorEastAsia" w:eastAsiaTheme="minorEastAsia" w:hAnsiTheme="minorEastAsia" w:hint="eastAsia"/>
        </w:rPr>
        <w:t>、非</w:t>
      </w:r>
      <w:r w:rsidRPr="007759F2">
        <w:rPr>
          <w:rFonts w:asciiTheme="minorEastAsia" w:eastAsiaTheme="minorEastAsia" w:hAnsiTheme="minorEastAsia" w:hint="eastAsia"/>
        </w:rPr>
        <w:t>直销销售机构：指</w:t>
      </w:r>
      <w:r w:rsidRPr="007759F2">
        <w:rPr>
          <w:rStyle w:val="da"/>
          <w:rFonts w:asciiTheme="minorEastAsia" w:eastAsiaTheme="minorEastAsia" w:hAnsiTheme="minorEastAsia" w:hint="eastAsia"/>
        </w:rPr>
        <w:t>符合《销售办法》和中国证监会规定的其他条件，取得基金销售业务资格并与基金管理人签订了基金销售服务协议，办理基金销售业务的机构</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7</w:t>
      </w:r>
      <w:r w:rsidRPr="007759F2">
        <w:rPr>
          <w:rStyle w:val="da"/>
          <w:rFonts w:asciiTheme="minorEastAsia" w:eastAsiaTheme="minorEastAsia" w:hAnsiTheme="minorEastAsia"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8</w:t>
      </w:r>
      <w:r w:rsidRPr="007759F2">
        <w:rPr>
          <w:rStyle w:val="da"/>
          <w:rFonts w:asciiTheme="minorEastAsia" w:eastAsiaTheme="minorEastAsia" w:hAnsiTheme="minorEastAsia" w:hint="eastAsia"/>
        </w:rPr>
        <w:t>、登记机构：指办理登记业务的机构。基金的登记机构为易方达基金管理有限公司或接受易方达基金管理有限公司委托代为办理登记业务的机构</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w:t>
      </w:r>
      <w:r w:rsidR="00DF3107" w:rsidRPr="007759F2">
        <w:rPr>
          <w:rStyle w:val="da"/>
          <w:rFonts w:asciiTheme="minorEastAsia" w:eastAsiaTheme="minorEastAsia" w:hAnsiTheme="minorEastAsia" w:hint="eastAsia"/>
        </w:rPr>
        <w:t>9</w:t>
      </w:r>
      <w:r w:rsidRPr="007759F2">
        <w:rPr>
          <w:rStyle w:val="da"/>
          <w:rFonts w:asciiTheme="minorEastAsia" w:eastAsiaTheme="minorEastAsia" w:hAnsiTheme="minorEastAsia" w:hint="eastAsia"/>
        </w:rPr>
        <w:t>、基金账户：指登记机构为投资人开立的、记录其持有的、基金管理人所管理的基金份额余额及其变动情况的账户</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30</w:t>
      </w:r>
      <w:r w:rsidR="00CD234C" w:rsidRPr="007759F2">
        <w:rPr>
          <w:rStyle w:val="da"/>
          <w:rFonts w:asciiTheme="minorEastAsia" w:eastAsiaTheme="minorEastAsia" w:hAnsiTheme="minorEastAsia" w:hint="eastAsia"/>
        </w:rPr>
        <w:t>、基金交易账户：指销售机构为投资人开立的、记录投资人通过该销售机构买卖基金的基金份额变动及结余情况的账户</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1</w:t>
      </w:r>
      <w:r w:rsidRPr="007759F2">
        <w:rPr>
          <w:rStyle w:val="da"/>
          <w:rFonts w:asciiTheme="minorEastAsia" w:eastAsiaTheme="minorEastAsia" w:hAnsiTheme="minorEastAsia" w:hint="eastAsia"/>
        </w:rPr>
        <w:t>、基金合同生效日：指基金募集达到法律法规规定及基金合同规定的条件，基金管理人向中国证监会办理基金备案手续完毕，并获得中国证监会书面确认的日期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2</w:t>
      </w:r>
      <w:r w:rsidRPr="007759F2">
        <w:rPr>
          <w:rStyle w:val="da"/>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3</w:t>
      </w:r>
      <w:r w:rsidRPr="007759F2">
        <w:rPr>
          <w:rStyle w:val="da"/>
          <w:rFonts w:asciiTheme="minorEastAsia" w:eastAsiaTheme="minorEastAsia" w:hAnsiTheme="minorEastAsia" w:hint="eastAsia"/>
        </w:rPr>
        <w:t>、基金募集期：指自基金份额发售之日起至发售结束之日止的期间，最长不得超过3个月</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4</w:t>
      </w:r>
      <w:r w:rsidRPr="007759F2">
        <w:rPr>
          <w:rStyle w:val="da"/>
          <w:rFonts w:asciiTheme="minorEastAsia" w:eastAsiaTheme="minorEastAsia" w:hAnsiTheme="minorEastAsia" w:hint="eastAsia"/>
        </w:rPr>
        <w:t>、存续期：指基金合同生效日至终止日之间的不定期期限</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5</w:t>
      </w:r>
      <w:r w:rsidRPr="007759F2">
        <w:rPr>
          <w:rStyle w:val="da"/>
          <w:rFonts w:asciiTheme="minorEastAsia" w:eastAsiaTheme="minorEastAsia" w:hAnsiTheme="minorEastAsia" w:hint="eastAsia"/>
        </w:rPr>
        <w:t>、工作日：指上海证券交易所、深圳证券交易所的正常交易日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6</w:t>
      </w:r>
      <w:r w:rsidRPr="007759F2">
        <w:rPr>
          <w:rStyle w:val="da"/>
          <w:rFonts w:asciiTheme="minorEastAsia" w:eastAsiaTheme="minorEastAsia" w:hAnsiTheme="minorEastAsia" w:hint="eastAsia"/>
        </w:rPr>
        <w:t>、T日：指销售机构在规定时间受理投资人申购、赎回或其他业务申请的开放日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7</w:t>
      </w:r>
      <w:r w:rsidRPr="007759F2">
        <w:rPr>
          <w:rStyle w:val="da"/>
          <w:rFonts w:asciiTheme="minorEastAsia" w:eastAsiaTheme="minorEastAsia" w:hAnsiTheme="minorEastAsia" w:hint="eastAsia"/>
        </w:rPr>
        <w:t>、T+n日：指自T日起第n个工作日(不包含T日)，n为自然数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3</w:t>
      </w:r>
      <w:r w:rsidR="00DF3107" w:rsidRPr="007759F2">
        <w:rPr>
          <w:rStyle w:val="da"/>
          <w:rFonts w:asciiTheme="minorEastAsia" w:eastAsiaTheme="minorEastAsia" w:hAnsiTheme="minorEastAsia" w:hint="eastAsia"/>
        </w:rPr>
        <w:t>8</w:t>
      </w:r>
      <w:r w:rsidRPr="007759F2">
        <w:rPr>
          <w:rStyle w:val="da"/>
          <w:rFonts w:asciiTheme="minorEastAsia" w:eastAsiaTheme="minorEastAsia" w:hAnsiTheme="minorEastAsia" w:hint="eastAsia"/>
        </w:rPr>
        <w:t>、开放日：指为投资人办理基金份额申购、赎回或其他业务的工作日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w:t>
      </w:r>
      <w:r w:rsidR="00DF3107" w:rsidRPr="007759F2">
        <w:rPr>
          <w:rStyle w:val="da"/>
          <w:rFonts w:asciiTheme="minorEastAsia" w:eastAsiaTheme="minorEastAsia" w:hAnsiTheme="minorEastAsia" w:hint="eastAsia"/>
        </w:rPr>
        <w:t>9</w:t>
      </w:r>
      <w:r w:rsidRPr="007759F2">
        <w:rPr>
          <w:rStyle w:val="da"/>
          <w:rFonts w:asciiTheme="minorEastAsia" w:eastAsiaTheme="minorEastAsia" w:hAnsiTheme="minorEastAsia" w:hint="eastAsia"/>
        </w:rPr>
        <w:t>、开放时间：指开放日基金接受申购、赎回或其他交易的时间段</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40</w:t>
      </w:r>
      <w:r w:rsidR="00CD234C" w:rsidRPr="007759F2">
        <w:rPr>
          <w:rStyle w:val="da"/>
          <w:rFonts w:asciiTheme="minorEastAsia" w:eastAsiaTheme="minorEastAsia" w:hAnsiTheme="minorEastAsia" w:hint="eastAsia"/>
        </w:rPr>
        <w:t>、《业务规则》：指《易方达基金管理有限公司开放式基金业务规则》，是规范基金管理人所管理的开放式证券投资基金登记方面的业务规则，由基金管理人和投资人共同遵守</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1</w:t>
      </w:r>
      <w:r w:rsidRPr="007759F2">
        <w:rPr>
          <w:rStyle w:val="da"/>
          <w:rFonts w:asciiTheme="minorEastAsia" w:eastAsiaTheme="minorEastAsia" w:hAnsiTheme="minorEastAsia" w:hint="eastAsia"/>
        </w:rPr>
        <w:t>、认购：指在基金募集期内，投资人申请购买基金份额的行为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2</w:t>
      </w:r>
      <w:r w:rsidRPr="007759F2">
        <w:rPr>
          <w:rStyle w:val="da"/>
          <w:rFonts w:asciiTheme="minorEastAsia" w:eastAsiaTheme="minorEastAsia" w:hAnsiTheme="minorEastAsia" w:hint="eastAsia"/>
        </w:rPr>
        <w:t>、申购：指基金合同生效后，投资人根据基金合同和招募说明书的规定申请购买基金份额的行为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3</w:t>
      </w:r>
      <w:r w:rsidRPr="007759F2">
        <w:rPr>
          <w:rStyle w:val="da"/>
          <w:rFonts w:asciiTheme="minorEastAsia" w:eastAsiaTheme="minorEastAsia" w:hAnsiTheme="minorEastAsia" w:hint="eastAsia"/>
        </w:rPr>
        <w:t>、赎回：指基金合同生效后，基金份额持有人按基金合同规定的条件要求将基金份额兑换为现金的行为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4</w:t>
      </w:r>
      <w:r w:rsidRPr="007759F2">
        <w:rPr>
          <w:rStyle w:val="da"/>
          <w:rFonts w:asciiTheme="minorEastAsia" w:eastAsiaTheme="minorEastAsia" w:hAnsiTheme="minorEastAsia" w:hint="eastAsia"/>
        </w:rPr>
        <w:t>、基金转换：指基金份额持有人按照基金合同和基金管理人届时有效公告规定的条件，申请将其持有基金管理人管理的、某一基金的基金份额转换为基金管理人管理的其他基金基金份额的行为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5</w:t>
      </w:r>
      <w:r w:rsidRPr="007759F2">
        <w:rPr>
          <w:rStyle w:val="da"/>
          <w:rFonts w:asciiTheme="minorEastAsia" w:eastAsiaTheme="minorEastAsia" w:hAnsiTheme="minorEastAsia" w:hint="eastAsia"/>
        </w:rPr>
        <w:t>、转托管：指基金份额持有人在本基金的不同销售机构之间实施的变更所持基金份额销售机构的操作</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6</w:t>
      </w:r>
      <w:r w:rsidRPr="007759F2">
        <w:rPr>
          <w:rStyle w:val="da"/>
          <w:rFonts w:asciiTheme="minorEastAsia" w:eastAsiaTheme="minorEastAsia" w:hAnsiTheme="minorEastAsia" w:hint="eastAsia"/>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7</w:t>
      </w:r>
      <w:r w:rsidRPr="007759F2">
        <w:rPr>
          <w:rStyle w:val="da"/>
          <w:rFonts w:asciiTheme="minorEastAsia" w:eastAsiaTheme="minorEastAsia" w:hAnsiTheme="minorEastAsia" w:hint="eastAsia"/>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8</w:t>
      </w:r>
      <w:r w:rsidRPr="007759F2">
        <w:rPr>
          <w:rStyle w:val="da"/>
          <w:rFonts w:asciiTheme="minorEastAsia" w:eastAsiaTheme="minorEastAsia" w:hAnsiTheme="minorEastAsia" w:hint="eastAsia"/>
        </w:rPr>
        <w:t>、元：指人民币元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w:t>
      </w:r>
      <w:r w:rsidR="00DF3107" w:rsidRPr="007759F2">
        <w:rPr>
          <w:rStyle w:val="da"/>
          <w:rFonts w:asciiTheme="minorEastAsia" w:eastAsiaTheme="minorEastAsia" w:hAnsiTheme="minorEastAsia" w:hint="eastAsia"/>
        </w:rPr>
        <w:t>9</w:t>
      </w:r>
      <w:r w:rsidRPr="007759F2">
        <w:rPr>
          <w:rStyle w:val="da"/>
          <w:rFonts w:asciiTheme="minorEastAsia" w:eastAsiaTheme="minorEastAsia" w:hAnsiTheme="minorEastAsia" w:hint="eastAsia"/>
        </w:rPr>
        <w:t>、基金收益：指基金投资所得红利、股息、债券利息、买卖证券价差、银行存款利息、已实现的其他合法收入及因运用基金财产带来的成本和费用的节约</w:t>
      </w:r>
    </w:p>
    <w:p w:rsidR="00CD234C" w:rsidRPr="007759F2" w:rsidRDefault="00DF3107"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50</w:t>
      </w:r>
      <w:r w:rsidR="00CD234C" w:rsidRPr="007759F2">
        <w:rPr>
          <w:rStyle w:val="da"/>
          <w:rFonts w:asciiTheme="minorEastAsia" w:eastAsiaTheme="minorEastAsia" w:hAnsiTheme="minorEastAsia" w:hint="eastAsia"/>
        </w:rPr>
        <w:t>、基金资产总值：指基金拥有的各类有价证券、银行存款本息、基金应收申购款及其他资产的价值总和</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1</w:t>
      </w:r>
      <w:r w:rsidRPr="007759F2">
        <w:rPr>
          <w:rStyle w:val="da"/>
          <w:rFonts w:asciiTheme="minorEastAsia" w:eastAsiaTheme="minorEastAsia" w:hAnsiTheme="minorEastAsia" w:hint="eastAsia"/>
        </w:rPr>
        <w:t>、基金资产净值：指基金资产总值减去基金负债后的价值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2</w:t>
      </w:r>
      <w:r w:rsidRPr="007759F2">
        <w:rPr>
          <w:rStyle w:val="da"/>
          <w:rFonts w:asciiTheme="minorEastAsia" w:eastAsiaTheme="minorEastAsia" w:hAnsiTheme="minorEastAsia" w:hint="eastAsia"/>
        </w:rPr>
        <w:t>、基金份额净值：指计算日基金资产净值除以计算日基金份额总数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3</w:t>
      </w:r>
      <w:r w:rsidRPr="007759F2">
        <w:rPr>
          <w:rStyle w:val="da"/>
          <w:rFonts w:asciiTheme="minorEastAsia" w:eastAsiaTheme="minorEastAsia" w:hAnsiTheme="minorEastAsia" w:hint="eastAsia"/>
        </w:rPr>
        <w:t>、基金资产估值：指计算评估基金资产和负债的价值，以确定基金资产净值和基金份额净值的过程</w:t>
      </w:r>
    </w:p>
    <w:p w:rsidR="00DF3107" w:rsidRPr="007759F2" w:rsidRDefault="00CD234C" w:rsidP="00DF3107">
      <w:pPr>
        <w:snapToGrid w:val="0"/>
        <w:spacing w:line="360" w:lineRule="auto"/>
        <w:ind w:firstLineChars="200" w:firstLine="420"/>
        <w:rPr>
          <w:rFonts w:asciiTheme="minorEastAsia" w:eastAsiaTheme="minorEastAsia" w:hAnsiTheme="minorEastAsia"/>
          <w:bCs/>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4</w:t>
      </w:r>
      <w:r w:rsidRPr="007759F2">
        <w:rPr>
          <w:rStyle w:val="da"/>
          <w:rFonts w:asciiTheme="minorEastAsia" w:eastAsiaTheme="minorEastAsia" w:hAnsiTheme="minorEastAsia" w:hint="eastAsia"/>
        </w:rPr>
        <w:t>、指定媒介：</w:t>
      </w:r>
      <w:r w:rsidR="00DF3107" w:rsidRPr="007759F2">
        <w:rPr>
          <w:rFonts w:asciiTheme="minorEastAsia" w:eastAsiaTheme="minorEastAsia" w:hAnsiTheme="minorEastAsia" w:hint="eastAsia"/>
          <w:bCs/>
        </w:rPr>
        <w:t>指中国证监会指定的用以进行信息披露的全国性报刊及指定互联网网站（包括基金管理人网站、基金托管人网站、中国证监会基金电子披露网站）等媒介</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5</w:t>
      </w:r>
      <w:r w:rsidRPr="007759F2">
        <w:rPr>
          <w:rStyle w:val="da"/>
          <w:rFonts w:asciiTheme="minorEastAsia" w:eastAsiaTheme="minorEastAsia" w:hAnsiTheme="minorEastAsia" w:hint="eastAsia"/>
        </w:rPr>
        <w:t>、基金份额折算：指基金管理人根据基金运作的需要，在基金资产净值不变的前提下，按照一定比例调整基金份额总额及基金份额净值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w:t>
      </w:r>
      <w:r w:rsidR="00DF3107" w:rsidRPr="007759F2">
        <w:rPr>
          <w:rStyle w:val="da"/>
          <w:rFonts w:asciiTheme="minorEastAsia" w:eastAsiaTheme="minorEastAsia" w:hAnsiTheme="minorEastAsia" w:hint="eastAsia"/>
        </w:rPr>
        <w:t>6</w:t>
      </w:r>
      <w:r w:rsidRPr="007759F2">
        <w:rPr>
          <w:rStyle w:val="da"/>
          <w:rFonts w:asciiTheme="minorEastAsia" w:eastAsiaTheme="minorEastAsia" w:hAnsiTheme="minorEastAsia" w:hint="eastAsia"/>
        </w:rPr>
        <w:t>、不可抗力：指基金合同当事人不能预见、不能避免且不能克服的客观事件</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5</w:t>
      </w:r>
      <w:r w:rsidR="00DF3107" w:rsidRPr="007759F2">
        <w:rPr>
          <w:rStyle w:val="da"/>
          <w:rFonts w:asciiTheme="minorEastAsia" w:eastAsiaTheme="minorEastAsia" w:hAnsiTheme="minorEastAsia" w:hint="eastAsia"/>
        </w:rPr>
        <w:t>7</w:t>
      </w:r>
      <w:r w:rsidRPr="007759F2">
        <w:rPr>
          <w:rStyle w:val="da"/>
          <w:rFonts w:asciiTheme="minorEastAsia" w:eastAsiaTheme="minorEastAsia" w:hAnsiTheme="minorEastAsia"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D234C" w:rsidRPr="007759F2" w:rsidRDefault="00CD234C" w:rsidP="00CD234C">
      <w:pPr>
        <w:pStyle w:val="111"/>
        <w:pageBreakBefore w:val="0"/>
        <w:snapToGrid w:val="0"/>
        <w:spacing w:before="317" w:after="317" w:line="360" w:lineRule="auto"/>
        <w:ind w:firstLine="640"/>
        <w:rPr>
          <w:rFonts w:asciiTheme="minorEastAsia" w:eastAsiaTheme="minorEastAsia" w:hAnsiTheme="minorEastAsia"/>
          <w:sz w:val="30"/>
        </w:rPr>
      </w:pPr>
      <w:r w:rsidRPr="007759F2">
        <w:rPr>
          <w:rFonts w:asciiTheme="minorEastAsia" w:eastAsiaTheme="minorEastAsia" w:hAnsiTheme="minorEastAsia" w:hint="eastAsia"/>
          <w:kern w:val="0"/>
        </w:rPr>
        <w:br w:type="column"/>
      </w:r>
      <w:bookmarkStart w:id="4" w:name="_Toc332373446"/>
      <w:bookmarkStart w:id="5" w:name="_Toc43380848"/>
      <w:r w:rsidRPr="007759F2">
        <w:rPr>
          <w:rFonts w:asciiTheme="minorEastAsia" w:eastAsiaTheme="minorEastAsia" w:hAnsiTheme="minorEastAsia" w:hint="eastAsia"/>
          <w:sz w:val="30"/>
        </w:rPr>
        <w:lastRenderedPageBreak/>
        <w:t>三、基金管理人</w:t>
      </w:r>
      <w:bookmarkEnd w:id="4"/>
      <w:bookmarkEnd w:id="5"/>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6" w:name="_Toc332373447"/>
      <w:r w:rsidRPr="007759F2">
        <w:rPr>
          <w:rStyle w:val="da"/>
          <w:rFonts w:asciiTheme="minorEastAsia" w:eastAsiaTheme="minorEastAsia" w:hAnsiTheme="minorEastAsia" w:hint="eastAsia"/>
        </w:rPr>
        <w:t>（一）基金管理人基本情况</w:t>
      </w:r>
      <w:bookmarkEnd w:id="6"/>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7" w:name="_Toc332373448"/>
      <w:bookmarkStart w:id="8" w:name="_Toc332373449"/>
      <w:r w:rsidRPr="007759F2">
        <w:rPr>
          <w:rStyle w:val="da"/>
          <w:rFonts w:asciiTheme="minorEastAsia" w:eastAsiaTheme="minorEastAsia" w:hAnsiTheme="minorEastAsia" w:hint="eastAsia"/>
        </w:rPr>
        <w:t>1、基金管理人：易方达基金管理有限公司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注册地址：广东省珠海市横琴新区宝华路6号105室－42891（集中办公区）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办公地址：广州市天河区珠江新城珠江东路30号广州银行大厦40-43楼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设立日期：2001年4月17日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法定代表人：刘晓艳</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联系电话：4008818088</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联系人：李红枫</w:t>
      </w:r>
    </w:p>
    <w:p w:rsidR="00CD234C" w:rsidRPr="007759F2" w:rsidRDefault="007235C5"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注册资本：13,244.2万元人民币</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批准设立机关及文号：</w:t>
      </w:r>
      <w:r w:rsidRPr="007759F2">
        <w:rPr>
          <w:rFonts w:asciiTheme="minorEastAsia" w:eastAsiaTheme="minorEastAsia" w:hAnsiTheme="minorEastAsia" w:hint="eastAsia"/>
        </w:rPr>
        <w:t>中国证券监督管理委员会</w:t>
      </w:r>
      <w:r w:rsidRPr="007759F2">
        <w:rPr>
          <w:rStyle w:val="da"/>
          <w:rFonts w:asciiTheme="minorEastAsia" w:eastAsiaTheme="minorEastAsia" w:hAnsiTheme="minorEastAsia" w:hint="eastAsia"/>
        </w:rPr>
        <w:t>，证监基金字[2001]4号</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经营范围：公开募集证券投资基金管理、基金销售、特定客户资产管理</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2、股权结构：</w:t>
      </w: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372"/>
      </w:tblGrid>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hint="eastAsia"/>
              </w:rPr>
              <w:t>股东名称</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hint="eastAsia"/>
              </w:rPr>
              <w:t>出资比例</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广东粤财信托有限公司</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22.6514％</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广发证券股份有限公司</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22.6514％</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盈峰控股集团有限公司</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22.6514％</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广东省广晟资产经营有限公司</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15.1010％</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广州市广永国有资产经营有限公司</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7.5505％</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珠海祺荣宝股权投资合伙企业（有限合伙）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hideMark/>
          </w:tcPr>
          <w:p w:rsidR="00CD234C"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1.5087％</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珠海祺泰宝股权投资合伙企业（有限合伙）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1.6205％</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珠海祺丰宝股权投资合伙企业（有限合伙）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1.5309％</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珠海聚莱康股权投资合伙企业（有限合伙）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1.7558％</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珠海聚宁康股权投资合伙企业（有限合伙）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1.4396％</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珠海聚弘康股权投资合伙企业（有限合伙）</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1.5388％</w:t>
            </w:r>
          </w:p>
        </w:tc>
      </w:tr>
      <w:tr w:rsidR="007759F2" w:rsidRPr="007759F2" w:rsidTr="008B6B0F">
        <w:trPr>
          <w:jc w:val="center"/>
        </w:trPr>
        <w:tc>
          <w:tcPr>
            <w:tcW w:w="329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rPr>
                <w:rFonts w:asciiTheme="minorEastAsia" w:eastAsiaTheme="minorEastAsia" w:hAnsiTheme="minorEastAsia"/>
              </w:rPr>
            </w:pPr>
            <w:r w:rsidRPr="007759F2">
              <w:rPr>
                <w:rFonts w:asciiTheme="minorEastAsia" w:eastAsiaTheme="minorEastAsia" w:hAnsiTheme="minorEastAsia" w:hint="eastAsia"/>
              </w:rPr>
              <w:t>总</w:t>
            </w:r>
            <w:r w:rsidRPr="007759F2">
              <w:rPr>
                <w:rFonts w:asciiTheme="minorEastAsia" w:eastAsiaTheme="minorEastAsia" w:hAnsiTheme="minorEastAsia"/>
              </w:rPr>
              <w:t>计</w:t>
            </w:r>
          </w:p>
        </w:tc>
        <w:tc>
          <w:tcPr>
            <w:tcW w:w="1710" w:type="pct"/>
            <w:tcBorders>
              <w:top w:val="single" w:sz="4" w:space="0" w:color="auto"/>
              <w:left w:val="single" w:sz="4" w:space="0" w:color="auto"/>
              <w:bottom w:val="single" w:sz="4" w:space="0" w:color="auto"/>
              <w:right w:val="single" w:sz="4" w:space="0" w:color="auto"/>
            </w:tcBorders>
            <w:vAlign w:val="center"/>
          </w:tcPr>
          <w:p w:rsidR="007235C5" w:rsidRPr="007759F2" w:rsidRDefault="007235C5">
            <w:pPr>
              <w:snapToGrid w:val="0"/>
              <w:spacing w:line="360" w:lineRule="auto"/>
              <w:ind w:firstLine="420"/>
              <w:jc w:val="center"/>
              <w:rPr>
                <w:rFonts w:asciiTheme="minorEastAsia" w:eastAsiaTheme="minorEastAsia" w:hAnsiTheme="minorEastAsia"/>
              </w:rPr>
            </w:pPr>
            <w:r w:rsidRPr="007759F2">
              <w:rPr>
                <w:rFonts w:asciiTheme="minorEastAsia" w:eastAsiaTheme="minorEastAsia" w:hAnsiTheme="minorEastAsia"/>
              </w:rPr>
              <w:t>100％</w:t>
            </w:r>
          </w:p>
        </w:tc>
      </w:tr>
    </w:tbl>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（二）主要人员情况</w:t>
      </w:r>
      <w:bookmarkEnd w:id="7"/>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rPr>
        <w:t>1</w:t>
      </w:r>
      <w:r w:rsidRPr="007759F2">
        <w:rPr>
          <w:rFonts w:asciiTheme="minorEastAsia" w:eastAsiaTheme="minorEastAsia" w:hAnsiTheme="minorEastAsia" w:hint="eastAsia"/>
        </w:rPr>
        <w:t>、董事、监事及高级管理人员</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w:t>
      </w:r>
      <w:r w:rsidRPr="007759F2">
        <w:rPr>
          <w:rFonts w:asciiTheme="minorEastAsia" w:eastAsiaTheme="minorEastAsia" w:hAnsiTheme="minorEastAsia" w:hint="eastAsia"/>
        </w:rPr>
        <w:lastRenderedPageBreak/>
        <w:t>任、投资部主任、证券投资部主任。现任易方达基金管理有限公司董事长；易方达国际控股有限公司董事长。</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易方达基金管理有限公司董事；广东粤财投资控股有限公司董事、总经理。</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易方达基金管理有限公司董事；广发证券股份有限公司执行董事、常务副总经理；广发控股（香港）有限公司董事长。</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陈志辉先生，管理学硕士，董事。曾任美的集团税务总监；安永会计师事务所广州分所高级审计员；盈峰控股集团有限公司资财中心总经理。现任易方达基金管理有限公司董事；宁波盈峰股权投资基金管理有限公司合伙人、联席总裁；深圳市盈峰环保产业基金管理有限公司监事；广东顺德盈峰互联网产业投资管理有限公司监事；广东神华保险代理有限公司董事；西安高新盈峰创业投资管理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易方达基金管理有限公司董事；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易方达基金管理有限公司独立董事；中欧国际工商学院教授；复星旅游文化集团（开曼）有限公司独立董事；</w:t>
      </w:r>
      <w:hyperlink r:id="rId16" w:tgtFrame="_blank" w:history="1">
        <w:r w:rsidRPr="007759F2">
          <w:rPr>
            <w:rFonts w:asciiTheme="minorEastAsia" w:eastAsiaTheme="minorEastAsia" w:hAnsiTheme="minorEastAsia" w:hint="eastAsia"/>
          </w:rPr>
          <w:t>上海汇招信息技术有限公司</w:t>
        </w:r>
      </w:hyperlink>
      <w:r w:rsidRPr="007759F2">
        <w:rPr>
          <w:rFonts w:asciiTheme="minorEastAsia" w:eastAsiaTheme="minorEastAsia" w:hAnsiTheme="minorEastAsia" w:hint="eastAsia"/>
        </w:rPr>
        <w:t>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谭劲松先生，管理学博士（会计学），独立董事。曾任邵阳市财会学校教师；中山大学管理学院助教、讲师、副教授。现任易方达基金管理有限公司独立董事；中山大学管理学院</w:t>
      </w:r>
      <w:r w:rsidRPr="007759F2">
        <w:rPr>
          <w:rFonts w:asciiTheme="minorEastAsia" w:eastAsiaTheme="minorEastAsia" w:hAnsiTheme="minorEastAsia" w:hint="eastAsia"/>
        </w:rPr>
        <w:lastRenderedPageBreak/>
        <w:t>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庄伟燕女士，法学博士，独立董事。曾任广东省妇女联合会干部；广东鸿鼎律师事务所主任；广东广悦鸿鼎律师事务所管委会主任。现任易方达基金管理有限公司独立董事；广东广信君达律师事务所高级合伙人。</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刘发宏先生，工商管理硕士（</w:t>
      </w:r>
      <w:r w:rsidRPr="007759F2">
        <w:rPr>
          <w:rFonts w:asciiTheme="minorEastAsia" w:eastAsiaTheme="minorEastAsia" w:hAnsiTheme="minorEastAsia"/>
        </w:rPr>
        <w:t>MBA），监事会主席。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广东粤财信托有限公司党委委员、副书记。现任易方达基金管理有限公司监事会主席；广东粤财投资控股有限公司党委办主任、人力资源部总经理；广东粤财信托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董志钢先生，法学学士，监事。曾任中国建设银行广东省分行法律事务部科员、脱钩办法律事务室副经理、中农信托管办任经理；中国信达资产管理公司广州办事处处置办处置业务部经理；广东卓信律师事务所律师；广东合邦律师事务所律师；广东省粤科资产管理股份有限公司总经理。现任易方达基金管理有限公司监事；广州市广永国有资产经营有限公司董事长；广州广永股权投资基金管理有限公司董事长；广州广永投资管理有限公司董事长、总经理。</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陈国祥先生，经济学硕士，监事。曾任交通银行广州分行江南西营业部经理；广东粤财信托投资公司证券部副总经理、基金部总经理；易方达基金管理有限公司市场拓展部总经理、总裁助理、市场总监。现任易方达基金管理有限公司监事、党群工作部联席总经理。</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监事、总裁助理、综合管理部总经理；广东粤财互联网金融股份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邓志盛先生，经济学研究生，监事。曾任广东证监会信息部部长、中国证监会广州证管办机构二处处长；金鹰基金管理有限公司副总经理；易方达基金管理有限公司综合管理部总经理、董事会秘书。现任易方达基金管理有限公司监事、行政总监、党群工作部总经理。</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张优造先生，工商管理硕士</w:t>
      </w:r>
      <w:r w:rsidRPr="007759F2">
        <w:rPr>
          <w:rFonts w:asciiTheme="minorEastAsia" w:eastAsiaTheme="minorEastAsia" w:hAnsiTheme="minorEastAsia"/>
        </w:rPr>
        <w:t>(MBA)，常务副总裁。曾任南方证券交易中心业务发展部经</w:t>
      </w:r>
      <w:r w:rsidRPr="007759F2">
        <w:rPr>
          <w:rFonts w:asciiTheme="minorEastAsia" w:eastAsiaTheme="minorEastAsia" w:hAnsiTheme="minorEastAsia"/>
        </w:rPr>
        <w:lastRenderedPageBreak/>
        <w:t>理；广东证券公司发行上市部经理；深圳证券业务部总经理、基金部总经理；易方达基金管理有限公司董事、副总裁。现任易方达基金管理有限公司常务副总裁；易方达国际控股有限公司董事。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马骏先生，高级管理人员工商管理硕士（</w:t>
      </w:r>
      <w:r w:rsidRPr="007759F2">
        <w:rPr>
          <w:rFonts w:asciiTheme="minorEastAsia" w:eastAsiaTheme="minorEastAsia" w:hAnsiTheme="minorEastAsia"/>
        </w:rPr>
        <w:t>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范岳先生，工商管理硕士</w:t>
      </w:r>
      <w:r w:rsidRPr="007759F2">
        <w:rPr>
          <w:rFonts w:asciiTheme="minorEastAsia" w:eastAsiaTheme="minorEastAsia" w:hAnsiTheme="minorEastAsia"/>
        </w:rPr>
        <w:t>(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关秀霞女士，财务硕士、工商管理硕士，首席国际业务官。曾任中国银行</w:t>
      </w:r>
      <w:r w:rsidRPr="007759F2">
        <w:rPr>
          <w:rFonts w:asciiTheme="minorEastAsia" w:eastAsiaTheme="minorEastAsia" w:hAnsiTheme="minorEastAsia"/>
        </w:rPr>
        <w:t xml:space="preserve"> (香港) </w:t>
      </w:r>
      <w:r w:rsidRPr="007759F2">
        <w:rPr>
          <w:rFonts w:asciiTheme="minorEastAsia" w:eastAsiaTheme="minorEastAsia" w:hAnsiTheme="minorEastAsia" w:hint="eastAsia"/>
        </w:rPr>
        <w:t>分析员；</w:t>
      </w:r>
      <w:r w:rsidRPr="007759F2">
        <w:rPr>
          <w:rFonts w:asciiTheme="minorEastAsia" w:eastAsiaTheme="minorEastAsia" w:hAnsiTheme="minorEastAsia"/>
        </w:rPr>
        <w:t xml:space="preserve">Daniel Dennis </w:t>
      </w:r>
      <w:r w:rsidRPr="007759F2">
        <w:rPr>
          <w:rFonts w:asciiTheme="minorEastAsia" w:eastAsiaTheme="minorEastAsia" w:hAnsiTheme="minorEastAsia" w:hint="eastAsia"/>
        </w:rPr>
        <w:t>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高松凡先生，高级管理人员工商管理硕士（</w:t>
      </w:r>
      <w:r w:rsidRPr="007759F2">
        <w:rPr>
          <w:rFonts w:asciiTheme="minorEastAsia" w:eastAsiaTheme="minorEastAsia" w:hAnsiTheme="minorEastAsia"/>
        </w:rPr>
        <w:t>EMBA），首席养老金业务官。曾任招商银行总行人事部高级经理、企业年金中心副主任；浦东发展银行总行企业年金部总经理；长江养</w:t>
      </w:r>
      <w:r w:rsidRPr="007759F2">
        <w:rPr>
          <w:rFonts w:asciiTheme="minorEastAsia" w:eastAsiaTheme="minorEastAsia" w:hAnsiTheme="minorEastAsia"/>
        </w:rPr>
        <w:lastRenderedPageBreak/>
        <w:t>老保险公司首席市场总监；易方达基金管理有限公司养老金业务总监。现任易方达基金管理有限公司首席养老金业务官。</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公司财务中心主任。现任易方达基金管理有限公司首席运营官；易方达资产管理（香港）有限公司董事；易方达资产管理有限公司监事；易方达海外投资（深圳）有限公司监事。</w:t>
      </w:r>
    </w:p>
    <w:p w:rsidR="008D3068" w:rsidRPr="007759F2" w:rsidRDefault="008D3068" w:rsidP="007759F2">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rPr>
        <w:t>2、基金经理</w:t>
      </w:r>
    </w:p>
    <w:p w:rsidR="00677BF5" w:rsidRPr="007759F2" w:rsidRDefault="000B6B76"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韩阅川先生，统计学硕士。曾任嘉实基金管理有限公司固定收益部研究员、投资经理，易方达基金管理有限公司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新鑫灵活配置混合型证券投资基金基金经理助理、易方达瑞选灵活配置混合型证券投资基金基金经理助理、易方达新益灵活配置混合型证券投资基金基金经理助理、易方达裕鑫债券型证券投资基金基金经理助理、易方达瑞信灵活配置混合型证券投资基金基金经理助理、易方达瑞和灵活配置混合型证券投资基金基金经理助理。现任易方达基金管理有限公司易方达新利灵活配置混合型证券投资基金基金经理（自2019年6月26日起任职）、易方达新鑫灵活配置混合型证券投资基金基金经理（自2019年6月26日起任职）、易方达新享灵活配置混合型证券投资基金基金经理（自2019年6月26日起任职）、易方达瑞景灵活配置混合型证券投资基金基金经理（自2019年6月26日起任职）、易方达瑞智灵活配置混合型证券投资基金基金经理（自2019年6月26日起任职）、易方达瑞兴灵活配置混合型证券投资基金基金经理（自2019年6月26日起任职）、易方达瑞祥灵活配置混合型证券投资基金基金经理（自2019年6月26日起任职）、易方达新益灵活配置混合型证券投资基金基金经理（自2019年8月3日起任职）、易方达瑞选灵活配置混合型证券投资基金基金经理（自2019年8月3日起任职）、易方达裕鑫债券型证券投资基金基金经理（自2019年9月28日起任职）、易方达瑞祺灵活配置混合型证券投资基金基金经理（自2019年10月17日起任职）、易方达瑞信灵活配置混合型证券投资基金基金经理（自2020年3月7日起任职）、易方达瑞和灵活配置混合型证券投资基金基金经理（自2020年3月7日起任职）、易方达鑫转添利混合型证</w:t>
      </w:r>
      <w:r w:rsidRPr="007759F2">
        <w:rPr>
          <w:rFonts w:asciiTheme="minorEastAsia" w:eastAsiaTheme="minorEastAsia" w:hAnsiTheme="minorEastAsia" w:hint="eastAsia"/>
        </w:rPr>
        <w:lastRenderedPageBreak/>
        <w:t>券投资基金基金经理（自2020年3月7日起任职）、易方达鑫转招利混合型证券投资基金基金经理（自2020年3月7日起任职）、易方达瑞川灵活配置混合型发起式证券投资基金基金经理（自2020年5月1日起任职）、易方达丰惠混合型证券投资基金基金经理（自2020年5月28日起任职）、易方达新收益灵活配置混合型证券投资基金基金经理助理。</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杨康先生，金融硕士。曾任华夏基金管理有限公司机构债券投资部研究员、投资经理助理，易方达基金管理有限公司易方达鑫转增利混合型证券投资基金基金经理助理、易方达鑫转招利混合型证券投资基金基金经理助理。现任易方达基金管理有限公司易方达鑫转增利混合型证券投资基金基金经理（自</w:t>
      </w:r>
      <w:r w:rsidRPr="007759F2">
        <w:rPr>
          <w:rFonts w:asciiTheme="minorEastAsia" w:eastAsiaTheme="minorEastAsia" w:hAnsiTheme="minorEastAsia"/>
        </w:rPr>
        <w:t>2019年11月7日起任职）、易方达鑫转招利混合型证券投资基金基金经理（自2020年3月7日起任职）、易方达瑞川灵活配置混合型发起式证券投资基金基金经理（自2020年4月22日起任职）、易方达安盈回报混合型证券投资基金基金经理助理、易方达安心回报债券型证券投资基金基金经理助理</w:t>
      </w:r>
      <w:r w:rsidRPr="007759F2">
        <w:rPr>
          <w:rFonts w:asciiTheme="minorEastAsia" w:eastAsiaTheme="minorEastAsia" w:hAnsiTheme="minorEastAsia" w:hint="eastAsia"/>
        </w:rPr>
        <w:t>、易方达丰华债券型证券投资基金基金经理助理、易方达新鑫灵活配置混合型证券投资基金基金经理助理、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瑞选灵活配置混合型证券投资基金基金经理助理、易方达新益灵活配置混合型证券投资基金基金经理助理、易方达裕丰回报债券型证券投资基金基金经理助理、易方达丰和债券型证券投资基金基金经理助理、易方达瑞祺灵活配置混合型证券投资基金基金经理助理。</w:t>
      </w:r>
    </w:p>
    <w:p w:rsidR="00677BF5" w:rsidRPr="007759F2" w:rsidRDefault="000B6B76"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周琼女士，金融硕士。曾任凯仁投资咨询（上海）有限公司客户经理，易方达基金管理有限公司投资支持专员、研究员、易方达恒久添利1年定期开放债券型证券投资基金基金经理助理。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中债3-5年期国债指数证券投资基金基金经理助理、易方达裕鑫债券型证券投资基金基金经理助理、易方达中债7-10年期国开行债券指数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富财纯债债券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w:t>
      </w:r>
      <w:r w:rsidRPr="007759F2">
        <w:rPr>
          <w:rFonts w:asciiTheme="minorEastAsia" w:eastAsiaTheme="minorEastAsia" w:hAnsiTheme="minorEastAsia" w:hint="eastAsia"/>
        </w:rPr>
        <w:lastRenderedPageBreak/>
        <w:t>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本基金历任基金经理情况：王超先生，管理时间为</w:t>
      </w:r>
      <w:r w:rsidRPr="007759F2">
        <w:rPr>
          <w:rFonts w:asciiTheme="minorEastAsia" w:eastAsiaTheme="minorEastAsia" w:hAnsiTheme="minorEastAsia"/>
        </w:rPr>
        <w:t>2015年6月30日至2016年8月5日；张清华先生，管理时间为2016年8月6日至2018年2月1日；李一硕先生，管理时间为2016年8月6日至2019年7月2日。</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rPr>
        <w:t>3、固定收益投资决策委员会成员</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本公司固定收益投资决策委员会成员包括：马骏先生、胡剑先生、张清华先生、王晓晨女士、袁方女士、刘朝阳女士、祁广东先生。</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马骏先生，同上。</w:t>
      </w:r>
    </w:p>
    <w:p w:rsidR="00677BF5" w:rsidRPr="007759F2" w:rsidRDefault="000B6B76"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胡剑先生，经济学硕士。曾任易方达基金管理有限公司固定收益部债券研究员、基金经理助理、固定收益研究部负责人、固定收益总部总经理助理、易方达中债新综合债券指数发起式证券投资基金（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理、易方达瑞兴灵活配置混合型证券投资基金基金经理、易方达瑞祥灵活配置混合型证券投资基金基金经理、易方达高等级信用债债券型证券投资基金基金经理、易方达瑞祺灵活配置混合型证券投资基金基金经理、易方达瑞财灵活配置混合型证券投资基金基金经理、易方达丰惠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瑞富灵活配置混合型证券投资基金基金经理、易方达3年封闭运作战略配售灵活配置混合型证券投资基金（LOF）基金经理、易方达岁丰添利债券型证券投资基金基金经理、易方达恒利3个月定期开放债券型发起式证券投资基金基金经理、易方达恒益定期开放债券型发起式证券投资基金基金经理、易方达恒盛3个月定期开放混合型发起式证券投资基金基金经理、易方达富惠纯债债券型证券投资基金基金经理、易方达中债3-5年期国债指数证券投资基金基金经理、易方达中债7-10年期国开行债券指数证券投资基金基金经理。</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张清华先生，物理学硕士。曾任晨星资讯（深圳）有限公司数量分析师，中信证券股份有限公司研究员，易方达基金管理有限公司投资经理、固定收益基金投资部总经理、易方达</w:t>
      </w:r>
      <w:r w:rsidRPr="007759F2">
        <w:rPr>
          <w:rFonts w:asciiTheme="minorEastAsia" w:eastAsiaTheme="minorEastAsia" w:hAnsiTheme="minorEastAsia" w:hint="eastAsia"/>
        </w:rPr>
        <w:lastRenderedPageBreak/>
        <w:t>裕如灵活配置混合型证券投资基金基金经理、易方达新收益灵活配置混合型证券投资基金基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理、易方达鑫转招利混合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新收益灵活配置混合型证券投资基金基金经理、易方达丰华债券型证券投资基金基金经理。</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易方达新鑫灵活配置混合型证券投资基金基金经理、易方达纯债债券型证券投资基金基金经理、易方达恒益定期开放债券型发起式证券投资基金基金经理、易方达中债</w:t>
      </w:r>
      <w:r w:rsidRPr="007759F2">
        <w:rPr>
          <w:rFonts w:asciiTheme="minorEastAsia" w:eastAsiaTheme="minorEastAsia" w:hAnsiTheme="minorEastAsia"/>
        </w:rPr>
        <w:t>3-5年期国债指数证券投资基金基金经理、易方达中债7-10年期国开行债券指数证券投资基金基金经理。现任易方达基金管理有限公司固定收益投资部副总经理、易方达增强回报债券型证券投资基金基金经理、易方达投资级信用债债券型证券投资基金基金经理、易方达中债新综合债券指数发起式证券投资基金（LOF）基金经理、易方达双债增强债券型证券投资基金基金经理、易方达恒安定期开放债券型发起式证券投资基金基金经理、易方达富财纯债债券型证</w:t>
      </w:r>
      <w:r w:rsidRPr="007759F2">
        <w:rPr>
          <w:rFonts w:asciiTheme="minorEastAsia" w:eastAsiaTheme="minorEastAsia" w:hAnsiTheme="minorEastAsia" w:hint="eastAsia"/>
        </w:rPr>
        <w:t>券投资基金基金经理、易方达安瑞短债债券型证券投资基金基金经理、易方达中债</w:t>
      </w:r>
      <w:r w:rsidRPr="007759F2">
        <w:rPr>
          <w:rFonts w:asciiTheme="minorEastAsia" w:eastAsiaTheme="minorEastAsia" w:hAnsiTheme="minorEastAsia"/>
        </w:rPr>
        <w:t>1-3年国开行债券指数证券投资基金基金经理、易方达中债3-5年国开行债券指数证券投资基金基金经理、易方达恒兴3个月定期开放债券型发起式证券投资基金基金经理、易方达中债1-3年政策性金融债指数证券投资基金基金经理、易方达中债3-5年政策性金融债指数证券投资基金基金经理，易方达资产管理（香港）有限公司基金经理、就证券提供意见负责人员（RO）、提供资产管理负责人员（RO）、易方达资产管理（香港）有限公司固定收益投资决策委员会委员。</w:t>
      </w:r>
    </w:p>
    <w:p w:rsidR="00677BF5" w:rsidRPr="007759F2" w:rsidRDefault="00677BF5"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w:t>
      </w:r>
      <w:r w:rsidRPr="007759F2">
        <w:rPr>
          <w:rFonts w:asciiTheme="minorEastAsia" w:eastAsiaTheme="minorEastAsia" w:hAnsiTheme="minorEastAsia" w:hint="eastAsia"/>
        </w:rPr>
        <w:lastRenderedPageBreak/>
        <w:t>公司固定收益投资部总经理助理、固定收益总部总经理助理、固定收益机构投资部总经理、固定收益专户投资部总经理。现任易方达基金管理有限公司年金投资部总经理、投资经理。</w:t>
      </w:r>
    </w:p>
    <w:p w:rsidR="00677BF5" w:rsidRPr="007759F2" w:rsidRDefault="00677BF5" w:rsidP="000B6B76">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刘朝阳女士，经济学硕士。曾任南方基金管理有限公司固定收益部研究员、债券交易员、宏观策略高级研究员、基金经理。现任易方达基金管理有限公司现金管理部总经理、易方达财富快线货币市场基金基金经理、易方达易理财货币市场基金基金经理、易方达天天理财货币市场基金基金经理、易方达安悦超短债债券型证券投资基金基金经理。</w:t>
      </w:r>
    </w:p>
    <w:p w:rsidR="00677BF5" w:rsidRPr="007759F2" w:rsidRDefault="000B6B76">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祁广东先生，经济学硕士。曾任申银万国证券固定收益总部助理分析师、交易员、助理投资经理，申银万国投资管理（亚洲）有限公司基金经理，易方达资产管理（香港）有限公司投资经理。现任易方达基金管理有限公司投资经理、易方达中短期美元债债券型证券投资基金（QDII）基金经理，易方达资产管理（香港）有限公司就证券提供意见负责人员（RO）、提供资产管理负责人员（RO）、固定收益投资决策委员会委员、固定收益部主管、基金经理。</w:t>
      </w:r>
    </w:p>
    <w:bookmarkEnd w:id="8"/>
    <w:p w:rsidR="00CD234C" w:rsidRPr="007759F2" w:rsidRDefault="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rPr>
        <w:t>4</w:t>
      </w:r>
      <w:r w:rsidRPr="007759F2">
        <w:rPr>
          <w:rFonts w:asciiTheme="minorEastAsia" w:eastAsiaTheme="minorEastAsia" w:hAnsiTheme="minorEastAsia" w:hint="eastAsia"/>
        </w:rPr>
        <w:t>、上述人员之间均不存在近亲属关系。</w:t>
      </w:r>
    </w:p>
    <w:p w:rsidR="00CD234C" w:rsidRPr="007759F2" w:rsidRDefault="00CD234C" w:rsidP="007759F2">
      <w:pPr>
        <w:spacing w:line="360" w:lineRule="auto"/>
        <w:ind w:firstLineChars="200" w:firstLine="420"/>
        <w:rPr>
          <w:rStyle w:val="da"/>
          <w:rFonts w:asciiTheme="minorEastAsia" w:eastAsiaTheme="minorEastAsia" w:hAnsiTheme="minorEastAsia"/>
        </w:rPr>
      </w:pPr>
      <w:bookmarkStart w:id="9" w:name="_Toc332373451"/>
      <w:r w:rsidRPr="007759F2">
        <w:rPr>
          <w:rStyle w:val="da"/>
          <w:rFonts w:asciiTheme="minorEastAsia" w:eastAsiaTheme="minorEastAsia" w:hAnsiTheme="minorEastAsia" w:hint="eastAsia"/>
        </w:rPr>
        <w:t>（三）基金管理人的职责</w:t>
      </w:r>
      <w:bookmarkEnd w:id="9"/>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0" w:name="_Toc332373455"/>
      <w:r w:rsidRPr="007759F2">
        <w:rPr>
          <w:rStyle w:val="da"/>
          <w:rFonts w:asciiTheme="minorEastAsia" w:eastAsiaTheme="minorEastAsia" w:hAnsiTheme="minorEastAsia" w:hint="eastAsia"/>
        </w:rPr>
        <w:t>1、依法募集资金，办理基金份额的发售和登记事宜；</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1" w:name="_Toc332373452"/>
      <w:r w:rsidRPr="007759F2">
        <w:rPr>
          <w:rStyle w:val="da"/>
          <w:rFonts w:asciiTheme="minorEastAsia" w:eastAsiaTheme="minorEastAsia" w:hAnsiTheme="minorEastAsia" w:hint="eastAsia"/>
        </w:rPr>
        <w:t>2、办理基金备案手续；</w:t>
      </w:r>
      <w:bookmarkEnd w:id="11"/>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3、对所管理的不同基金财产分别管理、分别记账，进行证券投资；</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4、按照基金合同的约定及时向基金份额持有人分配收益；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5、进行基金会计核算并编制基金财务会计报告；</w:t>
      </w:r>
    </w:p>
    <w:p w:rsidR="00535AD5" w:rsidRPr="007759F2" w:rsidRDefault="00535AD5" w:rsidP="00535AD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6、编制季度报告、中期报告和年度报告；</w:t>
      </w:r>
    </w:p>
    <w:p w:rsidR="00535AD5" w:rsidRPr="007759F2" w:rsidRDefault="00535AD5" w:rsidP="00535AD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7、计算并公告基金净值信息，确定基金份额申购、赎回价格；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2" w:name="_Toc332373453"/>
      <w:r w:rsidRPr="007759F2">
        <w:rPr>
          <w:rStyle w:val="da"/>
          <w:rFonts w:asciiTheme="minorEastAsia" w:eastAsiaTheme="minorEastAsia" w:hAnsiTheme="minorEastAsia" w:hint="eastAsia"/>
        </w:rPr>
        <w:t>8、办理与基金财产管理业务活动有关的信息披露事项；</w:t>
      </w:r>
      <w:bookmarkEnd w:id="12"/>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9、按照规定召集基金份额持有人大会；</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3" w:name="_Toc332373454"/>
      <w:r w:rsidRPr="007759F2">
        <w:rPr>
          <w:rStyle w:val="da"/>
          <w:rFonts w:asciiTheme="minorEastAsia" w:eastAsiaTheme="minorEastAsia" w:hAnsiTheme="minorEastAsia" w:hint="eastAsia"/>
        </w:rPr>
        <w:t>10、保存基金财产管理业务活动的记录、账册、报表和其他相关资料；</w:t>
      </w:r>
      <w:bookmarkEnd w:id="13"/>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11、以基金管理人名义，代表基金份额持有人利益行使诉讼权利或者实施其他法律行为；</w:t>
      </w:r>
    </w:p>
    <w:p w:rsidR="00CD234C" w:rsidRPr="007759F2" w:rsidRDefault="00CD234C" w:rsidP="00CD234C">
      <w:pPr>
        <w:snapToGrid w:val="0"/>
        <w:spacing w:line="360" w:lineRule="auto"/>
        <w:ind w:firstLine="420"/>
        <w:rPr>
          <w:rFonts w:asciiTheme="minorEastAsia" w:eastAsiaTheme="minorEastAsia" w:hAnsiTheme="minorEastAsia"/>
          <w:kern w:val="0"/>
        </w:rPr>
      </w:pPr>
      <w:r w:rsidRPr="007759F2">
        <w:rPr>
          <w:rStyle w:val="da"/>
          <w:rFonts w:asciiTheme="minorEastAsia" w:eastAsiaTheme="minorEastAsia" w:hAnsiTheme="minorEastAsia" w:hint="eastAsia"/>
        </w:rPr>
        <w:t>12、中国证监会规定的其他职责</w:t>
      </w:r>
      <w:r w:rsidRPr="007759F2">
        <w:rPr>
          <w:rFonts w:asciiTheme="minorEastAsia" w:eastAsiaTheme="minorEastAsia" w:hAnsiTheme="minorEastAsia" w:hint="eastAsia"/>
          <w:kern w:val="0"/>
        </w:rPr>
        <w:t>。</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（四）基金管理人的承诺</w:t>
      </w:r>
      <w:bookmarkEnd w:id="10"/>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2、本基金管理人承诺严格遵守《证券法》、《基金法》及有关法律法规，建立健全内部控制制度，采取有效措施，防止下列行为发生：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4" w:name="_Toc332373456"/>
      <w:r w:rsidRPr="007759F2">
        <w:rPr>
          <w:rStyle w:val="da"/>
          <w:rFonts w:asciiTheme="minorEastAsia" w:eastAsiaTheme="minorEastAsia" w:hAnsiTheme="minorEastAsia" w:hint="eastAsia"/>
        </w:rPr>
        <w:t>（1）将其固有财产或者他人财产混同于基金财产从事证券投资；</w:t>
      </w:r>
      <w:bookmarkEnd w:id="14"/>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（2）不公平地对待其管理的不同基金财产；</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5" w:name="_Toc332373457"/>
      <w:r w:rsidRPr="007759F2">
        <w:rPr>
          <w:rStyle w:val="da"/>
          <w:rFonts w:asciiTheme="minorEastAsia" w:eastAsiaTheme="minorEastAsia" w:hAnsiTheme="minorEastAsia" w:hint="eastAsia"/>
        </w:rPr>
        <w:t>（3）利用基金财产为基金份额持有人以外的第三人谋取利益；</w:t>
      </w:r>
      <w:bookmarkEnd w:id="15"/>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（4）向基金份额持有人违规承诺收益或者承担损失；</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（5）侵占、挪用基金财产；</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（6）泄漏因职务便利获取的未公开信息、利用该信息从事或者明示、暗示他人从事相关的交易活动；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（7）玩忽职守，不按照规定履行职责；</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（8）法律、行政法规和中国证监会禁止的其他行为。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3、本基金管理人承诺加强人员管理，强化职业操守，督促和约束员工遵守国家有关法律、法规及行业规范，诚实信用、勤勉尽责，不从事以下活动：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（1）越权或违规经营；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（2）违反基金合同或托管协议；</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（3）故意损害基金份额持有人或其他基金相关机构的合法利益；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6" w:name="_Toc332373458"/>
      <w:r w:rsidRPr="007759F2">
        <w:rPr>
          <w:rStyle w:val="da"/>
          <w:rFonts w:asciiTheme="minorEastAsia" w:eastAsiaTheme="minorEastAsia" w:hAnsiTheme="minorEastAsia" w:hint="eastAsia"/>
        </w:rPr>
        <w:t>（4）在向中国证监会报送的资料中弄虚作假；</w:t>
      </w:r>
      <w:bookmarkEnd w:id="16"/>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（5）拒绝、干扰、阻挠或严重影响中国证监会依法监管；</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7" w:name="_Toc332373459"/>
      <w:r w:rsidRPr="007759F2">
        <w:rPr>
          <w:rStyle w:val="da"/>
          <w:rFonts w:asciiTheme="minorEastAsia" w:eastAsiaTheme="minorEastAsia" w:hAnsiTheme="minorEastAsia" w:hint="eastAsia"/>
        </w:rPr>
        <w:t>（6）玩忽职守、滥用职权；</w:t>
      </w:r>
      <w:bookmarkEnd w:id="17"/>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（7）违反现行有效的有关法律、法规、规章、基金合同和中国证监会的有关规定，泄漏在任职期间知悉的有关证券、基金的商业秘密，尚未依法公开的基金投资内容、基金投资计划等信息；</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（8）违反证券交易场所业务规则，利用对敲、倒仓等手段操纵市场价格，扰乱市场秩序；</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（9）贬损同行，以抬高自己；</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（10）以不正当手段谋求业务发展；</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（11）有悖社会公德，损害证券投资基金人员形象；</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（12）在公开信息披露和广告中故意含有虚假、误导、欺诈成分；</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（13）其他法律、行政法规以及中国证监会禁止的行为。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8" w:name="_Toc332373460"/>
      <w:r w:rsidRPr="007759F2">
        <w:rPr>
          <w:rStyle w:val="da"/>
          <w:rFonts w:asciiTheme="minorEastAsia" w:eastAsiaTheme="minorEastAsia" w:hAnsiTheme="minorEastAsia" w:hint="eastAsia"/>
        </w:rPr>
        <w:t>4、基金经理承诺</w:t>
      </w:r>
      <w:bookmarkEnd w:id="18"/>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（1）依照有关法律、法规和基金合同的规定，本着谨慎的原则为基金份额持有人谋取最大利益；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19" w:name="_Toc332373461"/>
      <w:r w:rsidRPr="007759F2">
        <w:rPr>
          <w:rStyle w:val="da"/>
          <w:rFonts w:asciiTheme="minorEastAsia" w:eastAsiaTheme="minorEastAsia" w:hAnsiTheme="minorEastAsia" w:hint="eastAsia"/>
        </w:rPr>
        <w:t>（2）不利用职务之便为自己及其代理人、受雇人或任何第三人谋取利益；</w:t>
      </w:r>
      <w:bookmarkEnd w:id="19"/>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（3）不违反现行有效的有关法律、法规、规章、基金合同和中国证监会的有关规定，泄漏在任职期间知悉的有关证券、基金的商业秘密、尚未依法公开的基金投资内容、基金投资计划等信息；</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（4）不从事损害基金财产和基金份额持有人利益的证券交易及其他活动。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20" w:name="_Toc332373462"/>
      <w:r w:rsidRPr="007759F2">
        <w:rPr>
          <w:rStyle w:val="da"/>
          <w:rFonts w:asciiTheme="minorEastAsia" w:eastAsiaTheme="minorEastAsia" w:hAnsiTheme="minorEastAsia" w:hint="eastAsia"/>
        </w:rPr>
        <w:t>（五）基金管理人的内部控制制度</w:t>
      </w:r>
      <w:bookmarkEnd w:id="20"/>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为保证公司规范化运作，有效地防范和化解经营风险，促进公司诚信、合法、有效经营，</w:t>
      </w:r>
      <w:r w:rsidRPr="007759F2">
        <w:rPr>
          <w:rStyle w:val="da"/>
          <w:rFonts w:asciiTheme="minorEastAsia" w:eastAsiaTheme="minorEastAsia" w:hAnsiTheme="minorEastAsia" w:hint="eastAsia"/>
        </w:rPr>
        <w:lastRenderedPageBreak/>
        <w:t>保障基金份额持有人利益，维护公司及公司股东的合法权益，本基金管理人建立了科学、严密、高效的内部控制体系。</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1、公司内部控制的总体目标</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（1）保证公司经营管理活动的合法合规性；</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（2）保证基金份额持有人的合法权益不受侵犯；</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（3）实现公司稳健、持续发展，维护股东权益；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（4）促进公司全体员工恪守职业操守，正直诚信，廉洁自律，勤勉尽责；</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（5）保护公司最重要的资本：公司声誉。</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2、公司内部控制遵循的原则</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bookmarkStart w:id="21" w:name="_Toc332373463"/>
      <w:r w:rsidRPr="007759F2">
        <w:rPr>
          <w:rStyle w:val="da"/>
          <w:rFonts w:asciiTheme="minorEastAsia" w:eastAsiaTheme="minorEastAsia" w:hAnsiTheme="minorEastAsia" w:hint="eastAsia"/>
        </w:rPr>
        <w:t>（1）</w:t>
      </w:r>
      <w:r w:rsidRPr="007759F2">
        <w:rPr>
          <w:rFonts w:asciiTheme="minorEastAsia" w:eastAsiaTheme="minorEastAsia" w:hAnsiTheme="minorEastAsia" w:hint="eastAsia"/>
        </w:rPr>
        <w:t>全面性原则：内部控制必须覆盖公司的所有部门和岗位，渗透各项业务过程和业务环节，并普遍适用于公司每一位职员；</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（2）</w:t>
      </w:r>
      <w:r w:rsidRPr="007759F2">
        <w:rPr>
          <w:rFonts w:asciiTheme="minorEastAsia" w:eastAsiaTheme="minorEastAsia" w:hAnsiTheme="minorEastAsia" w:hint="eastAsia"/>
        </w:rPr>
        <w:t>审慎性原则：内部控制的核心是有效防范各种风险，公司组织体系的构成、内部管理制度的建立都要以防范风险、审慎经营为出发点；</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（3）</w:t>
      </w:r>
      <w:r w:rsidRPr="007759F2">
        <w:rPr>
          <w:rFonts w:asciiTheme="minorEastAsia" w:eastAsiaTheme="minorEastAsia" w:hAnsiTheme="minorEastAsia" w:hint="eastAsia"/>
        </w:rPr>
        <w:t>相互制约原则：公司设置的各部门、各岗位权责分明、相互制衡；</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（4）</w:t>
      </w:r>
      <w:r w:rsidRPr="007759F2">
        <w:rPr>
          <w:rFonts w:asciiTheme="minorEastAsia" w:eastAsiaTheme="minorEastAsia" w:hAnsiTheme="minorEastAsia" w:hint="eastAsia"/>
        </w:rPr>
        <w:t>独立性原则：公司根据业务的需要设立相对独立的机构、部门和岗位；公司内部部门和岗位的设置必须权责分明；</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（5）</w:t>
      </w:r>
      <w:r w:rsidRPr="007759F2">
        <w:rPr>
          <w:rFonts w:asciiTheme="minorEastAsia" w:eastAsiaTheme="minorEastAsia" w:hAnsiTheme="minorEastAsia" w:hint="eastAsia"/>
        </w:rPr>
        <w:t>有效性原则：各种内部管理制度具有高度的权威性，应是所有员工严格遵守的行动指南；执行内部管理制度不能有任何例外，任何人不得拥有超越制度或违反规章的权力；</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（6）</w:t>
      </w:r>
      <w:r w:rsidRPr="007759F2">
        <w:rPr>
          <w:rFonts w:asciiTheme="minorEastAsia" w:eastAsiaTheme="minorEastAsia" w:hAnsiTheme="minorEastAsia" w:hint="eastAsia"/>
        </w:rPr>
        <w:t>适时性原则：内部控制应具有前瞻性，并且必须随着公司经营战略、经营方针、经营理念等内部环境的变化和国家法律、法规、政策制度等外部环境的改变及时进行相应的修改和完善；</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（7）</w:t>
      </w:r>
      <w:r w:rsidRPr="007759F2">
        <w:rPr>
          <w:rFonts w:asciiTheme="minorEastAsia" w:eastAsiaTheme="minorEastAsia" w:hAnsiTheme="minorEastAsia" w:hint="eastAsia"/>
        </w:rPr>
        <w:t>成本效益原则：公司运用科学化的经营管理方法降低运作成本，提高经济效益，力争以合理的控制成本达到最佳的内部控制效果。</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3、内部控制的制度体系</w:t>
      </w:r>
      <w:bookmarkEnd w:id="21"/>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4、关于授权、研究、投资、交易等方面的控制点</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bookmarkStart w:id="22" w:name="_Toc332373470"/>
      <w:r w:rsidRPr="007759F2">
        <w:rPr>
          <w:rStyle w:val="da"/>
          <w:rFonts w:asciiTheme="minorEastAsia" w:eastAsiaTheme="minorEastAsia" w:hAnsiTheme="minorEastAsia" w:hint="eastAsia"/>
        </w:rPr>
        <w:t>（1）</w:t>
      </w:r>
      <w:r w:rsidRPr="007759F2">
        <w:rPr>
          <w:rFonts w:asciiTheme="minorEastAsia" w:eastAsiaTheme="minorEastAsia" w:hAnsiTheme="minorEastAsia" w:hint="eastAsia"/>
        </w:rPr>
        <w:t>授权制度</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公司的授权制度贯穿于整个公司活动。股东会、董事会、监事会和管理层必须充分履行</w:t>
      </w:r>
      <w:r w:rsidRPr="007759F2">
        <w:rPr>
          <w:rFonts w:asciiTheme="minorEastAsia" w:eastAsiaTheme="minorEastAsia" w:hAnsiTheme="minorEastAsia" w:hint="eastAsia"/>
          <w:szCs w:val="21"/>
        </w:rPr>
        <w:lastRenderedPageBreak/>
        <w:t>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（2）</w:t>
      </w:r>
      <w:r w:rsidRPr="007759F2">
        <w:rPr>
          <w:rFonts w:asciiTheme="minorEastAsia" w:eastAsiaTheme="minorEastAsia" w:hAnsiTheme="minorEastAsia" w:hint="eastAsia"/>
        </w:rPr>
        <w:t>公司研究业务</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（3）</w:t>
      </w:r>
      <w:r w:rsidRPr="007759F2">
        <w:rPr>
          <w:rFonts w:asciiTheme="minorEastAsia" w:eastAsiaTheme="minorEastAsia" w:hAnsiTheme="minorEastAsia" w:hint="eastAsia"/>
        </w:rPr>
        <w:t>基金投资业务</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Style w:val="da"/>
          <w:rFonts w:asciiTheme="minorEastAsia" w:eastAsiaTheme="minorEastAsia" w:hAnsiTheme="minorEastAsia" w:hint="eastAsia"/>
        </w:rPr>
        <w:t>（4）</w:t>
      </w:r>
      <w:r w:rsidRPr="007759F2">
        <w:rPr>
          <w:rFonts w:asciiTheme="minorEastAsia" w:eastAsiaTheme="minorEastAsia" w:hAnsiTheme="minorEastAsia" w:hint="eastAsia"/>
        </w:rPr>
        <w:t>交易业务</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Style w:val="da"/>
          <w:rFonts w:asciiTheme="minorEastAsia" w:eastAsiaTheme="minorEastAsia" w:hAnsiTheme="minorEastAsia" w:hint="eastAsia"/>
        </w:rPr>
        <w:t>（5）</w:t>
      </w:r>
      <w:r w:rsidRPr="007759F2">
        <w:rPr>
          <w:rFonts w:asciiTheme="minorEastAsia" w:eastAsiaTheme="minorEastAsia" w:hAnsiTheme="minorEastAsia" w:hint="eastAsia"/>
        </w:rPr>
        <w:t>基金会计核算</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Style w:val="da"/>
          <w:rFonts w:asciiTheme="minorEastAsia" w:eastAsiaTheme="minorEastAsia" w:hAnsiTheme="minorEastAsia" w:hint="eastAsia"/>
        </w:rPr>
        <w:t>（6）</w:t>
      </w:r>
      <w:r w:rsidRPr="007759F2">
        <w:rPr>
          <w:rFonts w:asciiTheme="minorEastAsia" w:eastAsiaTheme="minorEastAsia" w:hAnsiTheme="minorEastAsia" w:hint="eastAsia"/>
        </w:rPr>
        <w:t>信息披露</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rPr>
        <w:t>(7)监察与合规管理</w:t>
      </w:r>
    </w:p>
    <w:p w:rsidR="00CD234C" w:rsidRPr="007759F2" w:rsidRDefault="00CD234C"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公司设立督察长，经董事会聘任，报中国证监会核准。根据公司监察与合规管理工作的需要和董事会授权，督察长可以列席公司相关会议，调阅公司相关档案，就内部控制制度的</w:t>
      </w:r>
      <w:r w:rsidRPr="007759F2">
        <w:rPr>
          <w:rFonts w:asciiTheme="minorEastAsia" w:eastAsiaTheme="minorEastAsia" w:hAnsiTheme="minorEastAsia" w:hint="eastAsia"/>
          <w:szCs w:val="21"/>
        </w:rPr>
        <w:lastRenderedPageBreak/>
        <w:t>执行情况独立地履行检查、评价、报告、建议职能。督察长定期和不定期向董事会报告公司内部控制执行情况，董事会对督察长的报告进行审议。</w:t>
      </w:r>
    </w:p>
    <w:p w:rsidR="00CD234C" w:rsidRPr="007759F2" w:rsidRDefault="00677BF5"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公司设立监察合规管理部门开展监察与合规管理工作，并保证监察合规管理部门的独立性和权威性。公司明确了监察合规管理部门及内部各岗位的具体职责，严格制订了专业任职条件、操作程序和组织纪律。</w:t>
      </w:r>
    </w:p>
    <w:p w:rsidR="00CD234C" w:rsidRPr="007759F2" w:rsidRDefault="00677BF5" w:rsidP="00CD234C">
      <w:pPr>
        <w:tabs>
          <w:tab w:val="left" w:pos="735"/>
        </w:tabs>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监察合规管理部门强化内部检查制度，通过定期或不定期检查内部控制制度的执行情况，促使公司各项经营管理活动的规范运行。</w:t>
      </w:r>
    </w:p>
    <w:p w:rsidR="00CD234C" w:rsidRPr="007759F2" w:rsidRDefault="00CD234C" w:rsidP="00CD234C">
      <w:pPr>
        <w:pStyle w:val="aa"/>
        <w:autoSpaceDE w:val="0"/>
        <w:autoSpaceDN w:val="0"/>
        <w:adjustRightInd w:val="0"/>
        <w:snapToGrid w:val="0"/>
        <w:spacing w:line="360" w:lineRule="auto"/>
        <w:ind w:firstLineChars="200"/>
        <w:rPr>
          <w:rFonts w:asciiTheme="minorEastAsia" w:eastAsiaTheme="minorEastAsia" w:hAnsiTheme="minorEastAsia"/>
          <w:szCs w:val="21"/>
        </w:rPr>
      </w:pPr>
      <w:r w:rsidRPr="007759F2">
        <w:rPr>
          <w:rFonts w:asciiTheme="minorEastAsia" w:eastAsiaTheme="minorEastAsia" w:hAnsiTheme="minorEastAsia" w:hint="eastAsia"/>
          <w:szCs w:val="21"/>
        </w:rPr>
        <w:t>公司董事会和管理层充分重视和支持监察与合规管理工作，对违反法律、法规和公司内部控制制度的，追究有关部门和人员的责任。</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5、基金管理人关于内部控制制度声明书</w:t>
      </w:r>
      <w:bookmarkEnd w:id="22"/>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（1）本公司承诺以上关于内部控制制度的披露真实、准确；</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（2）本公司承诺根据市场变化和公司业务发展不断完善内部控制制度。</w:t>
      </w:r>
    </w:p>
    <w:p w:rsidR="00CD234C" w:rsidRPr="007759F2" w:rsidRDefault="00CD234C" w:rsidP="00CD234C">
      <w:pPr>
        <w:pStyle w:val="1"/>
        <w:snapToGrid w:val="0"/>
        <w:spacing w:before="317" w:after="317" w:line="360" w:lineRule="auto"/>
        <w:ind w:firstLine="640"/>
        <w:rPr>
          <w:rFonts w:asciiTheme="minorEastAsia" w:eastAsiaTheme="minorEastAsia" w:hAnsiTheme="minorEastAsia"/>
        </w:rPr>
      </w:pPr>
      <w:r w:rsidRPr="007759F2">
        <w:rPr>
          <w:rFonts w:asciiTheme="minorEastAsia" w:eastAsiaTheme="minorEastAsia" w:hAnsiTheme="minorEastAsia" w:hint="eastAsia"/>
          <w:bCs/>
        </w:rPr>
        <w:br w:type="column"/>
      </w:r>
      <w:bookmarkStart w:id="23" w:name="_Toc332373471"/>
      <w:bookmarkStart w:id="24" w:name="_Toc43380849"/>
      <w:r w:rsidRPr="007759F2">
        <w:rPr>
          <w:rFonts w:asciiTheme="minorEastAsia" w:eastAsiaTheme="minorEastAsia" w:hAnsiTheme="minorEastAsia" w:hint="eastAsia"/>
        </w:rPr>
        <w:lastRenderedPageBreak/>
        <w:t>四、基金托管人</w:t>
      </w:r>
      <w:bookmarkEnd w:id="23"/>
      <w:bookmarkEnd w:id="24"/>
    </w:p>
    <w:p w:rsidR="00677BF5" w:rsidRPr="007759F2" w:rsidRDefault="00677BF5" w:rsidP="005967A1">
      <w:pPr>
        <w:snapToGrid w:val="0"/>
        <w:spacing w:line="360" w:lineRule="auto"/>
        <w:ind w:firstLineChars="200" w:firstLine="420"/>
        <w:rPr>
          <w:rFonts w:asciiTheme="minorEastAsia" w:eastAsiaTheme="minorEastAsia" w:hAnsiTheme="minorEastAsia"/>
        </w:rPr>
      </w:pPr>
      <w:bookmarkStart w:id="25" w:name="_Toc332373472"/>
      <w:bookmarkStart w:id="26" w:name="_Toc332373481"/>
      <w:r w:rsidRPr="007759F2">
        <w:rPr>
          <w:rFonts w:asciiTheme="minorEastAsia" w:eastAsiaTheme="minorEastAsia" w:hAnsiTheme="minorEastAsia" w:hint="eastAsia"/>
        </w:rPr>
        <w:t>（一）基金托管人情况</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1、基本情况</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名称：</w:t>
      </w:r>
      <w:r w:rsidRPr="007759F2">
        <w:rPr>
          <w:rFonts w:asciiTheme="minorEastAsia" w:eastAsiaTheme="minorEastAsia" w:hAnsiTheme="minorEastAsia" w:hint="eastAsia"/>
          <w:szCs w:val="21"/>
        </w:rPr>
        <w:t>中国邮政储蓄银行股份有限公司</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住所：北京市西城区金融大街3号</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办公地址：北京市西城区金融大街3号A座</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成立时间：2007年3月6日</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法定代表人：张金良</w:t>
      </w:r>
    </w:p>
    <w:p w:rsidR="00677BF5" w:rsidRPr="007759F2" w:rsidRDefault="00677BF5" w:rsidP="00677BF5">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rPr>
        <w:t>注册资本：</w:t>
      </w:r>
      <w:r w:rsidRPr="007759F2">
        <w:rPr>
          <w:rFonts w:asciiTheme="minorEastAsia" w:eastAsiaTheme="minorEastAsia" w:hAnsiTheme="minorEastAsia" w:hint="eastAsia"/>
          <w:szCs w:val="21"/>
        </w:rPr>
        <w:t>810.31亿元人民币</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批准设立机关及批准设立文号：中国银监会银监复〔2006〕484号</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基金托管资格批文及文号：证监许可〔2009〕673号</w:t>
      </w:r>
    </w:p>
    <w:p w:rsidR="00677BF5" w:rsidRPr="007759F2" w:rsidRDefault="00677BF5" w:rsidP="00677BF5">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rPr>
        <w:t>联系人：</w:t>
      </w:r>
      <w:r w:rsidRPr="007759F2">
        <w:rPr>
          <w:rFonts w:asciiTheme="minorEastAsia" w:eastAsiaTheme="minorEastAsia" w:hAnsiTheme="minorEastAsia" w:hint="eastAsia"/>
          <w:szCs w:val="21"/>
        </w:rPr>
        <w:t>马强</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联系电话：</w:t>
      </w:r>
      <w:r w:rsidRPr="007759F2">
        <w:rPr>
          <w:rFonts w:asciiTheme="minorEastAsia" w:eastAsiaTheme="minorEastAsia" w:hAnsiTheme="minorEastAsia" w:hint="eastAsia"/>
          <w:szCs w:val="21"/>
        </w:rPr>
        <w:t>010－68857221</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2、主要人员情况</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中国邮政储蓄银行股份有限公司总行设托管业务部，下设资产托管处、产品管理处、风险管理处、运营管理处等处室。现有员工27人，全部员工拥有大学本科以上学历及基金从业资格，90%员工具有三年以上基金从业经历，具备丰富的托管服务经验。</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3、托管业务经营情况</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lang w:val="zh-CN"/>
        </w:rPr>
        <w:t>截至2020年3月31日，中国邮政储蓄银行托管的证券投资基金共109只。至今，中国邮政储蓄银行已形成涵盖证券投资基金、基金公司特定客户资产管理计划、信托计划、银行</w:t>
      </w:r>
      <w:r w:rsidRPr="007759F2">
        <w:rPr>
          <w:rFonts w:asciiTheme="minorEastAsia" w:eastAsiaTheme="minorEastAsia" w:hAnsiTheme="minorEastAsia" w:hint="eastAsia"/>
          <w:szCs w:val="21"/>
          <w:lang w:val="zh-CN"/>
        </w:rPr>
        <w:lastRenderedPageBreak/>
        <w:t>理财产品（本外币）、私募基金、证券公司资产管理计划、保险资金、保险资产管理计划等多种资产类型的托管产品体系，托管规模达41163.65亿元。</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(二)基金托管人的内部控制制度</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1、内部控制目标</w:t>
      </w:r>
    </w:p>
    <w:p w:rsidR="00677BF5" w:rsidRPr="007759F2" w:rsidRDefault="00677BF5" w:rsidP="00677BF5">
      <w:pPr>
        <w:snapToGrid w:val="0"/>
        <w:spacing w:line="360" w:lineRule="auto"/>
        <w:ind w:firstLineChars="200" w:firstLine="420"/>
        <w:rPr>
          <w:rFonts w:asciiTheme="minorEastAsia" w:eastAsiaTheme="minorEastAsia" w:hAnsiTheme="minorEastAsia"/>
          <w:kern w:val="0"/>
        </w:rPr>
      </w:pPr>
      <w:r w:rsidRPr="007759F2">
        <w:rPr>
          <w:rFonts w:asciiTheme="minorEastAsia" w:eastAsiaTheme="minorEastAsia" w:hAnsiTheme="minorEastAsia" w:hint="eastAsia"/>
          <w:kern w:val="0"/>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2、内部控制组织结构</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3、内部控制制度及措施</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(三)基金托管人对基金管理人运作基金进行监督的方法和程序</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1、监督方法</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2、监督流程</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677BF5" w:rsidRPr="007759F2" w:rsidRDefault="00677BF5" w:rsidP="00677BF5">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(2)收到基金管理人的划款指令后，对涉及各基金的投资范围、投资对象及交易对手等内容进行合法合规性监督。</w:t>
      </w:r>
    </w:p>
    <w:p w:rsidR="00677BF5" w:rsidRPr="007759F2" w:rsidRDefault="00677BF5" w:rsidP="005967A1">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(3)通过技术或非技术手段发现基金涉嫌违规交易，电话或书面要求管理人进行解释或举证，要求限期纠正，并及时报告中国证监会。</w:t>
      </w:r>
    </w:p>
    <w:p w:rsidR="00CD234C" w:rsidRPr="007759F2" w:rsidRDefault="00CD234C" w:rsidP="004A521D">
      <w:pPr>
        <w:pStyle w:val="111"/>
        <w:pageBreakBefore w:val="0"/>
        <w:snapToGrid w:val="0"/>
        <w:spacing w:before="317" w:after="317" w:line="360" w:lineRule="auto"/>
        <w:ind w:firstLine="640"/>
        <w:rPr>
          <w:rFonts w:asciiTheme="minorEastAsia" w:eastAsiaTheme="minorEastAsia" w:hAnsiTheme="minorEastAsia"/>
          <w:szCs w:val="32"/>
        </w:rPr>
      </w:pPr>
      <w:bookmarkStart w:id="27" w:name="_Toc43380850"/>
      <w:bookmarkEnd w:id="25"/>
      <w:r w:rsidRPr="007759F2">
        <w:rPr>
          <w:rFonts w:asciiTheme="minorEastAsia" w:eastAsiaTheme="minorEastAsia" w:hAnsiTheme="minorEastAsia" w:hint="eastAsia"/>
          <w:szCs w:val="21"/>
        </w:rPr>
        <w:lastRenderedPageBreak/>
        <w:t>五、相关服务机构</w:t>
      </w:r>
      <w:bookmarkEnd w:id="26"/>
      <w:bookmarkEnd w:id="27"/>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28" w:name="_Toc332373482"/>
      <w:r w:rsidRPr="007759F2">
        <w:rPr>
          <w:rStyle w:val="da"/>
          <w:rFonts w:asciiTheme="minorEastAsia" w:eastAsiaTheme="minorEastAsia" w:hAnsiTheme="minorEastAsia" w:hint="eastAsia"/>
        </w:rPr>
        <w:t>（一）基金份额销售机构</w:t>
      </w:r>
      <w:bookmarkEnd w:id="28"/>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1、直销机构：易方达基金管理有限公司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注册地址：广东省珠海市横琴新区宝华路6号105室－42891（集中办公区）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办公地址：广州市天河区珠江新城珠江东路30号广州银行大厦40-43楼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法定代表人：刘晓艳</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电话：020-85102506</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传真：4008818099</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w:t>
      </w:r>
      <w:r w:rsidR="00B226AC" w:rsidRPr="007759F2">
        <w:rPr>
          <w:rStyle w:val="da"/>
          <w:rFonts w:asciiTheme="minorEastAsia" w:eastAsiaTheme="minorEastAsia" w:hAnsiTheme="minorEastAsia" w:hint="eastAsia"/>
        </w:rPr>
        <w:t>王峰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t>
      </w:r>
      <w:hyperlink r:id="rId17" w:history="1">
        <w:r w:rsidRPr="007759F2">
          <w:rPr>
            <w:rStyle w:val="da"/>
            <w:rFonts w:asciiTheme="minorEastAsia" w:eastAsiaTheme="minorEastAsia" w:hAnsiTheme="minorEastAsia" w:hint="eastAsia"/>
          </w:rPr>
          <w:t>www.efunds.com.cn</w:t>
        </w:r>
      </w:hyperlink>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直销机构网点信息:</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（1）易方达基金管理有限公司广州直销中心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办公地址：广州市天河区珠江新城珠江东路30号广州银行大厦40楼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电话：020-85102506</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传真：4008818099</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w:t>
      </w:r>
      <w:r w:rsidR="00B226AC" w:rsidRPr="007759F2">
        <w:rPr>
          <w:rStyle w:val="da"/>
          <w:rFonts w:asciiTheme="minorEastAsia" w:eastAsiaTheme="minorEastAsia" w:hAnsiTheme="minorEastAsia" w:hint="eastAsia"/>
        </w:rPr>
        <w:t>王峰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（2）易方达基金管理有限公司北京直销中心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办公地址：北京市西城区武定侯街2号泰康国际大厦18层</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电话：010-63213377</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传真：4008818099</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联系人：刘蕾</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（3）易方达基金管理有限公司上海直销中心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办公地址：上海市浦东新区世纪大道88号金茂大厦46楼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电话：021-50476668</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传真：4008818099</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联系人：于楠</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（4）易方达基金管理有限公司网上交易系统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网址：www.efunds.com.cn</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2、非直销销售机构</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 中国邮政储蓄银行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注册地址：北京市西城区金融大街3号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办公地址：北京市西城区金融大街3号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法定代表人：张金良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联系人：王硕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传真：010-68858057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网址：www.psbc.com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 渤海银行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注册地址：天津市河东区海河东路218号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办公地址：天津市河东区海河东路218号渤海银行大厦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法定代表人：李伏安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联系电话：022-58316666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客户服务电话：95541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传真：022-58316569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网址：www.cbhb.com.cn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 广发银行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注册地址：广东省广州市越秀区东风东路713号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办公地址：广东省广州市越秀区东风东路713号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客户服务电话：400-830-8003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网址：www.cgbchina.com.cn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 恒丰银行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注册地址：济南市历下区泺源大街8号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办公地址：山东省烟台市莱山区港城东大街289号南山世纪大厦A座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联系人：李胜贤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电话：021-63890179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传真：021-63890196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网址：www.hfbank.com.cn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 华夏银行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注册地址：北京市东城区建国门内大街22号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办公地址：北京市东城区建国门内大街22号华夏银行大厦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法定代表人：李民吉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联系人：刘湘波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传真：010-85238680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网址：www.hxb.com.cn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 平安银行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注册地址：广东省深圳市罗湖区深南东路5047号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办公地址：广东省深圳市罗湖区深南东路5047号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法定代表人：谢永林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联系人：赵杨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联系电话：0755-22166574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客户服务电话：95511-3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传真：021-50979507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网址：bank.pingan.com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 浦发银行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注册地址：上海市中山东一路12号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办公地址：上海市中山东一路12号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法定代表人：郑杨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联系人：赵守良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联系电话：021-61618888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传真：021-63604196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网址：www.spdb.com.cn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 兴业银行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注册地址：福州市湖东路154号中山大厦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办公地址：上海市银城路167号兴业银行大厦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法定代表人：陶以平（代为履行法定代表人职权）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联系人：孙琪虹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客户服务电话：95561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网址：www.cib.com.cn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 招商银行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注册地址：深圳市福田区深南大道7088号招商银行大厦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办公地址：深圳市福田区深南大道7088号招商银行大厦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法定代表人：李建红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联系人：季平伟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网址：www.cmbchina.com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(10) 浙商银行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注册地址：浙江省杭州市萧山区鸿宁路1788号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办公地址：浙江杭州市庆春路288号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法定代表人：沈仁康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联系人：沈崟杰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联系电话：0571- 88261822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客户服务电话：95527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传真：0571-87659954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网址：www.czbank.com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 中国民生银行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注册地址：北京市西城区复兴门内大街2号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办公地址：北京市西城区复兴门内大街2号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法定代表人：洪崎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联系人：徐野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客户服务电话：95568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网址：www.cmbc.com.cn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 长安银行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注册地址：西安市高新技术产业开发区高新四路13号1幢1单元10101室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办公地址：西安市高新技术产业开发区高新四路13号朗臣大厦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法定代表人：赵永军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联系人：闫石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客户服务电话：400-05-96669；（029）96669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传真：029-88609566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网址：http://www.ccabchina.com/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 大连银行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注册地址：辽宁省大连市中山区中山路88号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办公地址：大连市中山区中山路88号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法定代表人：崔磊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联系人：卜书慧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联系电话：0411-82311936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客户服务电话：400-664-0099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网址：www.bankofdl.com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 东莞农村商业银行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注册地址：广东省东莞市东城区鸿福东路2号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办公地址：广东省东莞市东城区鸿福东路2号东莞农商银行大厦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法定代表人：王耀球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联系人：钟燕珊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客户服务电话：0769-961122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网址：www.drcbank.com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 东莞银行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注册地址：东莞市莞城区体育路21号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办公地址：东莞市莞城区体育路21号东莞银行大厦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法定代表人：卢国锋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联系人：朱杰霞</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联系电话：0769-22865177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客户服务电话：956033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网址：www.dongguanbank.cn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 佛山农商银行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注册地址：佛山市禅城区华远东路5号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办公地址：佛山市禅城区华远东路5号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法定代表人：李川</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联系人：陈棠熙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客户服务电话：96138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网址：www.foshanbank.cn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 福建海峡银行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注册地址：福建省福州市台江区江滨中大道358号海峡银行大厦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办公地址：福建省福州市台江区江滨中大道358号福建海峡银行8楼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法定代表人：俞敏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联系人：黄钰雯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联系电话：0591-87332762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客户服务电话：400-893-9999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传真：0591-87330926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网址：www.fjhxbank.com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 富滇银行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注册地址：云南省昆明市拓东路41号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办公地址：云南省昆明市拓东路41号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法定代表人：洪维智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联系人：杨翊琳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电话：0871-63140324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客户服务电话：400-88-96533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传真：0871-63194471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网址：http://www.fudian-bank.com/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(19) 富阳农商银行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注册地址：杭州市富阳区鹿山街道依江路501号第1幢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办公地址：杭州市富阳区鹿山街道依江路501号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法定代表人：丁松茂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联系电话：0571-63280253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客户服务电话：96596、4008896596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网址：www.fyrcbk.com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(20) 广东华兴银行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注册地址：广东省汕头市龙湖区黄山路28号四层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办公地址：广州市天河区天河路533号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法定代表人：周泽荣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联系人：许悦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联系电话：020-38173552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客户服务电话：400-830-8001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传真：020-38173857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网址：www.ghbank.com.cn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(21) 广东南粤银行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注册地址：广东省湛江市经济技术开发区乐山大道60号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办公地址：广东省湛江市经济技术开发区乐山大道60号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法定代表人：蒋丹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联系电话：020-28308757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客户服务电话：4000-961818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网址：www.gdnybank.com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(22) 广州农商银行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注册地址：广州市黄埔区映日路9号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办公地址：广州市天河区珠江新城华夏路1号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法定代表人：王继康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联系电话：020-22389067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传真：020-22389031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网址：www.grcbank.com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(23) 哈尔滨银行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注册地址：哈尔滨市道里区尚志大街160号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办公地址：哈尔滨市道里区上江街888号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法定代表人：郭志文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联系人：何岩岩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电话：0451-87792450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客户服务电话：95537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传真：0451-87792682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网址：www.hrbb.com.cn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(24) 杭州银行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注册地址：浙江省杭州市下城区庆春路46号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办公地址：杭州市下城区庆春路46号杭州银行大厦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法定代表人：陈震山</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联系人：蒋梦君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联系电话：0571-85120718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客户服务电话：95398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传真：0571-85106576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网址：www.hzbank.com.cn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(25) 河北银行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注册地址：石家庄市平安北大街28号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办公地址：石家庄市平安北大街28号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法定代表人：乔志强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联系电话：0311-88627587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客户服务电话：400-612-9999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传真：0311-67806407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网址：www.hebbank.com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(26) 华融湘江银行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注册地址：长沙市天心区芙蓉南路一段828号杰座大厦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办公地址：湖南省长沙市湘府东路二段208号万境财智中心南栋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法定代表人：黄卫忠</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联系人：闾娇蓉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联系电话：0731-89828182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客户服务电话：0731-96599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传真：0731-89828806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网址：www.hrxjbank.com.cn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(27) 吉林银行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注册地址：吉林省长春市经济技术开发区东南湖大路1817号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办公地址：吉林省长春市经济技术开发区东南湖大路1817号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法定代表人：陈宇龙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联系人：孟明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联系电话：0431-84992680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客户服务电话：400-88-96666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传真：0431-84992649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网址：www.jlbank.com.cn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(28) 嘉兴银行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注册地址：浙江省嘉兴市昌盛南路1001号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办公地址：浙江省嘉兴市昌盛南路1001号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法定代表人：夏林生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联系人：余舟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联系电话：0573-82080201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客户服务电话：0573-96528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网址：http://www.bojx.com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(29) 江南农村商业银行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注册地址：常州市和平中路413号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办公地址：常州市和平中路413号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法定代表人：陆向阳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电话：0519-80585939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客户服务电话：0519-96005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传真：0519-89995170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网址：http://www.jnbank.com.cn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(30) 江西银行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注册地址：江西省南昌市红谷滩新区金融大街699号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办公地址：江西省南昌市红谷滩新区金融大街699号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法定代表人：陈晓明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联系人：陈云波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联系电话：0791-86796029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客户服务电话：956055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传真：0791-86790795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网址：www.jx-bank.com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(31) 锦州银行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注册地址：辽宁省锦州市科技路68号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办公地址：辽宁省锦州市科技路68号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法定代表人：魏学坤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联系人：庞璐璐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客户服务电话：400-66-96178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网址：www.jinzhoubank.com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(32) 晋商银行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注册地址：山西省太原市小店区长风街59号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办公地址：山西省太原市小店区长风街59号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法定代表人：阎俊生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联系人：董嘉文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联系电话：0351-6819579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客户服务电话：9510-5588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传真：0351-6819926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网址：www.jshbank.com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(33) 九台农商银行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注册地址：吉林省长春市九台区新华大街504号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办公地址：吉林省长春市高新开发区蔚山路2559号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法定代表人：高兵</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联系人：曲凌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客户服务电话：0431-96888-0-2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网址：http://www.jtnsh.com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(34) 昆山农村商业银行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注册地址：江苏省昆山市前进东路828号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办公地址：江苏省昆山市前进东路828号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法定代表人：张哲清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联系人：黄怡</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客户服务电话：0512-96079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网址：www.ksrcb.com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(35) 乐清农商银行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注册地址：浙江省乐清市城南街道伯乐西路99号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办公地址：浙江省乐清市城南街道伯乐西路99号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法定代表人：高剑飞</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联系人：金晓娇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联系电话：0577-61566028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客户服务电话：4008896596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传真：0577-61566063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网址：www.yqbank.com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(36) 龙江银行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注册地址：黑龙江省哈尔滨市道里区友谊路436号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办公地址：黑龙江省哈尔滨市道里区友谊路436号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法定代表人：张建辉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联系人：闫勇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联系电话：0451-85706107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客户服务电话：400-645-8888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传真：0451-85706036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网址：http://www.lj-bank.com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(37) 鹿城农商银行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注册地址：浙江省温州市鹿城区会展路1500号富银大厦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办公地址：温州市车站大道547号信合大厦A幢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法定代表人：陈宏强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联系人：董雷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联系电话：0577-88077675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网址：http://www.lcrcbank.com/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(38) 洛阳银行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注册地址：洛阳市洛阳新区开元大道与通济街交叉口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办公地址：河南省洛阳市开元大道256号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法定代表人：王建甫</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联系人：郭文博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联系电话：0379-65921977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客户服务电话：0379-96699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传真：0379-65938595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网址：www.bankofluoyang.com.cn/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(39) 南海农商银行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注册地址：广东省佛山市南海区桂城街道南海大道北26号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办公地址：广东省佛山市南海区桂城街道南海大道北26号农商银行大厦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法定代表人：李宜心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联系人：廖雪</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电话：0757-86266566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客户服务电话：96138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传真：0757-86250627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网址：www.nanhaibank.com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(40) 宁波银行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注册地址：浙江省宁波市鄞州区宁东路345号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办公地址：浙江省宁波市鄞州区宁东路345号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法定代表人：陆华裕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联系人：夏禾</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客户服务电话：95574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网址：www.nbcb.com.cn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(41) 齐商银行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注册地址：淄博市张店区中心路105号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办公地址：山东省淄博市张店区金晶大道105号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法定代表人：杲传勇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联系人：焦浦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联系电话：0533-2178888-9907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客户服务电话：400-86-96588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传真：0533-2180303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网址：www.qsbank.cc</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(42) 青岛银行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注册地址：山东省青岛市崂山区秦岭路6号3号楼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办公地址：山东省青岛市崂山区秦岭路6号3号楼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法定代表人：郭少泉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联系人：陈界交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联系电话：0532-68629956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客户服务电话：96588（青岛）400-66-96588（全国）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网址：http://www.qdccb.com/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(43) 泉州银行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注册地址：泉州市丰泽区云鹿路3号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办公地址：泉州市丰泽区云鹿路3号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法定代表人：傅子能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联系人：董培姗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联系电话：0595-22551071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客户服务电话：400-88-96312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传真：0595-22578871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网址：http://www.qzccbank.com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(44) 日照银行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注册地址：山东省日照市烟台路197号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办公地址：山东省日照市烟台路197号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联系人：孔颖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联系电话：0633-8081590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客户服务电话：400-68-96588（全国）、0633-96588（日照）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传真：0633-8081276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网址：http://www.bankofrizhao.com.cn/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(45) 瑞安农商银行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注册地址：瑞安市安阳街道万松东路148号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办公地址：瑞安市安阳街道万松东路148号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法定代表人：王光领</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联系人：吴小娜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联系电话：0577-66681245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客户服务电话：4008057702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(46) 上海农村商业银行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注册地址：上海市黄浦区中山东二路70号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办公地址：上海市黄浦区中山东二路70号上海农商银行大厦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法定代表人：徐力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联系人：施传荣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联系电话：021-61899999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客户服务电话：021-962999、4006962999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开放式基金业务传真：021-50105124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网址：www.srcb.com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(47) 上海银行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注册地址：中国（上海）自由贸易试验区银城中路168号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办公地址：上海市浦东新区银城中路168号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法定代表人：金煜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联系电话：021-68475732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客户服务电话：95594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网址：http://www.bosc.cn/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(48) 顺德农村商业银行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注册地址：广东佛山市顺德区大良德和居委会拥翠路2号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办公地址：广东佛山市顺德区大良德和居委会拥翠路2号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法定代表人：姚真勇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联系人：杨素苗、区敏欣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联系电话：0757-22382524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客户服务电话：0757-22223388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传真：0757-22388235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网址：www.sdebank.com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(49) 苏州农村商业银行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注册地址：江苏省苏州市吴江区中山南路1777号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办公地址：江苏省苏州市吴江区中山南路1777号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法定代表人：魏礼亚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联系电话：0512-63969209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客户服务电话：96068（江苏省内）、400-86-96068（江苏省外）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传真：0512-63969071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网址：www.wjrcb.com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(50) 苏州银行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注册地址：江苏省苏州市工业园区钟园路728号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办公地址：江苏省苏州市工业园区钟园路728号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法定代表人：王兰凤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联系人：吴骏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联系电话：0512-69868373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客户服务电话：96067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传真：0512-69868373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网址：www.suzhoubank.com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(51) 天津银行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注册地址：天津市河西区友谊路15号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办公地址：天津市河西区友谊路15号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法定代表人：李宗唐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联系电话：022-28405684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客户服务电话：956056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传真：022-28405631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网址：www.bank-of-tianjin.com.cn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(52) 威海市商业银行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注册地址：威海市宝泉路9号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办公地址：威海市宝泉路9号财政大厦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法定代表人：谭先国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联系人：冯十卉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联系电话：0531-68978175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客户服务电话：山东省内96636、中国境内40000-96636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传真：0531-68978176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网址：www.whccb.com，www.whccb.com.cn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(53) 微众银行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注册地址：深圳市前海深港合作区前湾一路1号A栋201室（入驻深圳市前海商务秘书有限公司）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办公地址：广东省深圳市南山区沙河西路1819号深圳湾科技生态园7栋A座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法定代表人：顾敏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客户服务电话：95384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网址：http://www.webank.com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(54) 潍坊银行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注册地址：山东省潍坊市奎文区胜利东街5139号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办公地址：山东省潍坊市奎文区胜利东街5139号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法定代表人：郭虎英</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联系人：井靖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联系电话：0536-8051904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客户服务电话：400-61-96588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传真：0536-8056061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网址：www.wfccb.com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(55) 无锡农村商业银行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注册地址：无锡市太湖新城金融二街9号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办公地址：无锡市太湖新城金融二街9号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法定代表人：邵辉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联系人：张屹霖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联系电话：0510-85062012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客户服务电话：0510-96058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传真：0510-82830557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网址：www.wrcb.com.cn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(56) 厦门银行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注册地址：厦门市思明区湖滨北路101号商业银行大厦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办公地址：厦门市思明区湖滨北路101号商业银行大厦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法定代表人：吴世群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联系人：孙瑜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联系电话：0592-5310251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客户服务电话：400-858-8888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传真：0592-5373973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网址：www.xmbankonline.com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(57) 萧山农商银行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注册地址：萧山区人民路258号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办公地址：浙江省杭州市萧山区人民路258号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法定代表人：王云龙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联系人：朱光锋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联系电话：0571-82739513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网址：http://www.zjxsbank.com/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(58) 余杭农村商业银行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注册地址：杭州市余杭区南苑街道南大街72号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办公地址：杭州市余杭区南苑街道南大街72号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法定代表人：来煜标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联系人：蔡亮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联系电话：0571-86209980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客户服务电话：96596，4008896596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网址：www.yhrcb.com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(59) 云南红塔银行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注册地址：云南省玉溪市东风南路2号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办公地址：云南省昆明市盘龙区世博路低碳中心A座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法定代表人：李光林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联系人：马杰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联系电话：0871-65236624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客户服务电话：0877-96522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网址：www.ynhtbank.com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(60) 浙江稠州商业银行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注册地址：浙江省义乌市江滨路义乌乐园东侧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办公地址：杭州市上城区望潮路158号稠银大厦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法定代表人：金子军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联系人：谢圆圆</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联系电话：0571-87117661/13777805250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客户服务电话：0571-96527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传真：0571-87117607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网址：http://www.czcb.com.cn/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(61) 浙江泰隆商业银行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注册地址：浙江省台州市路桥区南官大道188号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办公地址：浙江省台州市路桥区南官大道188号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联系人：陈妍宇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联系电话：0571-87219677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网址：www.zjtlcb.com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(62) 中原银行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注册地址：河南省郑州市郑东新区CBD商务外环路23号中科金座大厦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办公地址：河南省郑州市郑东新区CBD商务外环路23号中科金座大厦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法定代表人：窦荣兴</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联系电话：0371-61910217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客户服务电话：95186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网址：www.zybank.com.cn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(63) 重庆农村商业银行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注册地址：重庆市江北区金沙门路36号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办公地址：重庆市江北区金沙门路36号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法定代表人：刘建忠</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联系人：范亮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联系电话：023-61110146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客户服务电话：95389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传真：023-61110146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网址：www.cqrcb.com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(64) 珠海华润银行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注册地址：广东省珠海市吉大九洲大道东1346号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办公地址：广东省珠海市吉大九洲大道东1346号珠海华润银行大厦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法定代表人：刘晓勇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联系电话：4008800338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客户服务电话：96588（广东省外请加拨0756），400-8800-338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网址：www.crbank.com.cn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(65) 安信证券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注册地址：深圳市福田区金田路4018号安联大厦35层、28层A02单元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办公地址：深圳市福田区金田路4018号安联大厦35层、28层A02单元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          深圳市福田区深南大道2008号中国凤凰大厦1栋9层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法定代表人：王连志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联系人：陈剑虹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联系电话：0755-82825551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传真：0755-82558355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网址：www.essence.com.cn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(66) 渤海证券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注册地址：天津市经济技术开发区第二大街42号写字楼101室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办公地址：天津市南开区宾水西道8号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法定代表人：安志勇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联系人：王星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联系电话：022-28451922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客户服务电话：400-651-5988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传真：022-28451892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网址：www.ewww.com.cn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(67) 财信证券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注册地址：长沙市芙蓉中路二段80号顺天国际财富中心26层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办公地址：长沙市芙蓉中路二段80号顺天国际财富中心26-28层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法定代表人：刘宛晨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联系人：郭静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联系电话：0731-84403347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传真：0731-84403439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网址：www.cfzq.com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(68) 长城证券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注册地址：深圳市福田区福田街道金田路2026号能源大厦南塔楼10-19层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办公地址：深圳市福田区福田街道金田路2026号能源大厦南塔楼10-19层长城证券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法定代表人：曹宏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联系人：梁浩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联系电话：0755-83530715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客户服务电话：400-6666-888或95514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传真：0755--83515567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网址：www.cgws.com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(69) 长江证券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注册地址：湖北省武汉市新华路特8号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办公地址：湖北省武汉市新华路特8号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法定代表人：李新华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联系人：奚博宇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联系电话：027-65799999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客户服务电话：95579或4008-888-999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传真：027-85481900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网址：www.95579.com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(70) 川财证券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注册地址：中国（四川）自由贸易试验区成都高新区交子大道177号中海国际中心B</w:t>
      </w:r>
      <w:r w:rsidRPr="007759F2">
        <w:rPr>
          <w:rStyle w:val="da"/>
          <w:rFonts w:asciiTheme="minorEastAsia" w:eastAsiaTheme="minorEastAsia" w:hAnsiTheme="minorEastAsia" w:hint="eastAsia"/>
        </w:rPr>
        <w:lastRenderedPageBreak/>
        <w:t>座17楼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办公地址：四川省成都高新区交子大道177号中海国际中心B座17楼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法定代表人：孟建军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联系人：匡婷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联系电话：028-86583053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客户服务电话：028-962708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网址：www.cczq.com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(71) 大通证券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注册地址：辽宁省大连市沙河口区会展路129号大连国际金融中心A座-大连期货大厦38、39层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办公地址：辽宁省大连市沙河口区会展路129号大连国际金融中心A座-大连期货大厦38、39层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法定代表人：赵玺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联系人：谢立军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联系电话：0411-39991807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客户服务电话：4008-169-169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传真：0411-39673214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网址：www.daton.com.cn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(72) 大同证券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注册地址：山西省大同市城区迎宾街15号桐城中央21层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办公地址：山西省太原市小店区长治路111号山西世贸中心A座F12、F13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法定代表人：董祥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联系人：薛津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联系电话：0351-4130322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客户服务电话：4007121212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传真：0351-7219891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网址：www.dtsbc.com.cn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(73) 德邦证券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注册地址：上海市普陀区曹杨路510号南半幢9楼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办公地址：上海市福山路500号城建国际中心29楼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法定代表人：武晓春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联系人：刘熠</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联系电话：021-68761616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客户服务电话：400-8888-128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传真：021-68767880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网址：http://www.tebon.com.cn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(74) 第一创业证券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注册地址：深圳市福田区福华一路115号投行大厦20楼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办公地址：深圳市福田区福华一路115号投行大厦20楼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法定代表人：刘学民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联系人：单晶</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联系电话：0755-23838750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客户服务电话：95358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网址：www.firstcapital.com.cn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(75) 东北证券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注册地址：长春市生态大街6666号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办公地址：长春市生态大街6666号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法定代表人：李福春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联系人：安岩岩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联系电话：0431-85096517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客户服务电话：95360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传真：0431-85096795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网址：www.nesc.cn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(76) 东莞证券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注册地址：东莞市莞城区可园南路一号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办公地址：东莞市莞城区可园南路1号金源中心30楼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法定代表人：陈照星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联系电话：0769-22115712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传真：0769-22115712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网址：www.dgzq.com.cn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(77) 东海证券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注册地址：江苏省常州市延陵西路23号投资广场18层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办公地址：上海市浦东新区东方路1928号东海证券大厦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法定代表人：钱俊文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联系人：王一彦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联系电话：021-20333333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客户服务电话：95531、400-8888-588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传真：021-50498825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网址：www.longone.com.cn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(78) 东吴证券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注册地址：苏州工业园区星阳街5号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办公地址：苏州工业园区星阳街5号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法定代表人：范力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联系人：陆晓</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联系电话：0512-62938521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客户服务电话：95330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传真：0512-65588021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网址：www.dwzq.com.cn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(79) 东兴证券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注册地址：北京市西城区金融大街5号（新盛大厦）12、15层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办公地址：北京市西城区金融大街5号新盛大厦B座10层、12层、15层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法定代表人：魏庆华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联系人：夏锐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联系电话：010-66559079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客户服务电话：95309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传真：010-66555133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网址：www.dxzq.net</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(80) 光大证券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注册地址：上海市静安区新闸路1508号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办公地址：上海市静安区新闸路1508号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法定代表人：刘秋明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联系人：郁疆</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联系电话：021-22169999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网址：www.ebscn.com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(81) 广发证券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注册地址：广东省广州市黄埔区中新广州知识城腾飞一街2号618室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办公地址：广州市天河区马场路26号广发证券大厦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法定代表人：孙树明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联系人：黄岚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客户服务电话：95575或02095575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网址：www.gf.com.cn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(82) 国都证券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注册地址：北京市东城区东直门南大街3号国华投资大厦9层10层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办公地址：北京市东城区东直门南大街3号国华投资大厦9层10层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法定代表人：王少华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联系人：黄静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联系电话：010-84183389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客户服务电话：400-818-8118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传真：010-84183311-3122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网址：www.guodu.com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(83) 国金证券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注册地址：成都市青羊区东城根上街95号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办公地址：成都市青羊区东城根上街95号成证大厦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法定代表人：冉云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联系人：杜晶、黎建平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联系电话：028-86690057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客户服务电话：95310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传真：028-86690126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网址：www.gjzq.com.cn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(84) 国盛证券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注册地址：江西省南昌市新建区子实路1589号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办公地址：江西省南昌市红谷滩新区凤凰中大道1115号北京银行大厦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法定代表人：徐丽峰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联系人：占文驰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联系电话：0791-88250812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客户服务电话：956080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传真：0791-86281305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网址：www.gszq.com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(85) 国泰君安证券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注册地址：中国（上海）自由贸易试验区商城路618号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办公地址：上海市静安区南京西路768号国泰君安大厦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法定代表人：贺青</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联系人：芮敏祺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客户服务电话：95521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传真：021-38670666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网址：www.gtja.com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(86) 海通证券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注册地址：上海市广东路689号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办公地址：上海市广东路689号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法定代表人：周杰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联系人：金芸、李笑鸣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联系电话：021-23219000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传真：021-23219100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网址：www.htsec.com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(87) 华安证券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注册地址：安徽省合肥市政务文化新区天鹅湖路198号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办公地址：安徽省合肥市政务文化新区天鹅湖路198号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法定代表人：章宏韬</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联系人：范超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联系电话：0551-65161821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传真：0551-65161825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网址：www.hazq.com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(88) 华宝证券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注册地址：中国（上海）自由贸易试验区世纪大道100号57层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办公地址：中国（上海）自由贸易试验区世纪大道100号57层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法定代表人：刘加海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联系人：刘闻川</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联系电话：021-20657517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客户服务电话：400-820-9898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传真：021-20515593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网址：www.cnhbstock.com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(89) 华福证券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注册地址：福建省福州市鼓楼区鼓屏路27号1#楼3层、4层、5层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办公地址：上海市浦东新区陆家嘴环路1088号招商银行大厦18-19楼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法定代表人：黄金琳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联系人：王虹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联系电话：021-20655183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传真：021-20655196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网址：www.hfzq.com.cn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(90) 华龙证券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注册地址：兰州市城关区东岗西路638号兰州财富中心21楼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办公地址：兰州市城关区东岗西路638号兰州财富中心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法定代表人：陈牧原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联系人：范坤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联系电话：0931-4890208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客户服务电话：95368、400-689-8888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传真：0931-4890628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网址：www.hlzq.com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(91) 华融证券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注册地址：北京市西城区金融大街8号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办公地址：北京市朝阳区朝阳门北大街18号中国人保寿险大厦12至18层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法定代表人：张海文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联系人：孙燕波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联系电话：010-85556048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客户服务电话：95390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传真：010-85556088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网址：www.hrsec.com.cn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(92) 华西证券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注册地址：四川省成都市高新区天府二街198号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办公地址：四川省成都市高新区天府二街198号华西证券大厦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法定代表人：杨炯洋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联系人：张彬</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联系电话：010-58124967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客户服务电话：95584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传真：028-86150040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网址：www.hx168.com.cn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(93) 华鑫证券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注册地址：深圳市福田区莲花街道福中社区深南大道2008号中国凤凰大厦1栋20C-1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办公地址：上海市徐汇区宛平南路8号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法定代表人：俞洋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联系人：杨莉娟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联系电话：021-54967552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客户服务电话：95323（全国）、400-109-9918（全国）、029-68918888（西安）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传真：021-54967293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网址：www.cfsc.com.cn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(94) 华信证券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注册地址：上海浦东新区世纪大道100号环球金融中心9楼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办公地址：上海市黄浦区南京西路399号明天广场23楼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法定代表人：陈灿辉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联系人：徐璐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联系电话：021-63898952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客户服务电话：400-820-5999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传真：021-68776977转8952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网址：www.shhxzq.com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(95) 金元证券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注册地址：海口市南宝路36号证券大厦4楼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办公地址：深圳市深南大道4001号时代金融中心大厦17楼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法定代表人：王作义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联系人：刘萍</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联系电话：0755-83025693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客户服务电话：95372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传真：0755-83025625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网址：www.jyzq.cn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(96) 九州证券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注册地址：青海省西宁市南川工业园区创业路108号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办公地址：北京市朝阳区安立路30号仰山公园东一门2号楼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法定代表人：魏先锋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联系人：张思思</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联系电话：010-57672272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传真：010-57672296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网址：www.jzsec.com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(97) 开源证券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注册地址：陕西省西安市高新区锦业路1号都市之门B座5层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办公地址：陕西省西安市高新区锦业路1号都市之门B座5层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联系电话：029-88365809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网址：www.kysec.cn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(98) 联储证券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注册地址：广东省深圳市福田区福田街道岗厦社区深南大道南侧金地中心大厦9楼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办公地址：上海市浦东新区陆家嘴环路333号金砖大厦8楼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法定代表人：吕春卫</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联系人：张婉婷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联系电话：010-86499765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客户服务电话：400-620-6868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网址：www.lczq.com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(99) 南京证券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注册地址：南京市江东中路389号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办公地址：南京市江东中路389号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法定代表人：李剑锋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联系人：王万君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联系电话：025-58519523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传真：025-83369725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网址：www.njzq.com.cn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(100) 平安证券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注册地址：深圳市福田区福田街道益田路5023号平安金融中心B座第22-25层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办公地址：深圳市福田区金田路4036号荣超大厦16-20层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法定代表人：何之江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联系人：周驰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联系电话：021-38643230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客户服务电话：95511-8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传真：021-58991896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网址：stock.pingan.com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(101) 山西证券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注册地址：太原市府西街69号山西国际贸易中心东塔楼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办公地址：太原市府西街69号山西国际贸易中心东塔楼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法定代表人：侯巍</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联系人：谢武兵</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联系电话：0351-8686721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客户服务电话：95573或400-666-1618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传真：0351-8686619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网址：www.i618.com.cn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(102) 上海证券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注册地址：上海市黄浦区四川中路213号7楼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办公地址：上海市四川中路213号久事商务大厦7楼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法定代表人：李俊杰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联系人：邵珍珍</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联系电话：021-53686888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客户服务电话：4008-918-918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传真：021-53686100、021-53686200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网址：https://www.shzq.com/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(103) 申万宏源西部证券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注册地址：新疆乌鲁木齐市高新区（新市区）北京南路358号大成国际大厦20楼2005室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办公地址：新疆乌鲁木齐市高新区（新市区）北京南路358号大成国际大厦20楼2005室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联系人：王怀春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联系电话：0991-2307105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客户服务电话：4008-000-562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传真：010-88085195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网址：www.hysec.com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(104) 申万宏源证券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注册地址：上海市徐汇区长乐路989号45层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办公地址：上海市徐汇区长乐路989号世纪商贸广场45层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法定代表人：杨玉成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联系人：胡馨文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联系电话：021-33388252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客户服务电话：95523、4008895523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传真：021-33388224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网址：www.swhysc.com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(105) 世纪证券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注册地址：深圳市前海深港合作区南山街道桂湾五路128号前海深港基金小镇对冲基金中心406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办公地址：深圳市福田区深南大道招商银行大厦40-42层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联系人：徐玲娟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联系电话：0755-83199553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客户服务电话：4008323000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网址：www.csco.com.cn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(106) 首创证券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注册地址：北京市西城区德胜门外大街115号德胜尚城E座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办公地址：北京市西城区德胜门外大街115号德胜尚城E座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法定代表人：毕劲松</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联系电话：010-59366070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客户服务电话：400-620-0620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传真：010-59366055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网址：http://www.sczq.com.cn/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(107) 天风证券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注册地址：湖北省武汉市东湖新技术开发区关东园路2号高科大厦四楼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办公地址：湖北省武汉市武昌区中南路99号保利广场A座37楼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法定代表人：余磊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联系人：王雅薇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联系电话：027-87617017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客户服务电话：4008005000、95391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传真：027-87618863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网址：http://www.tfzq.com/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(108) 西部证券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注册地址：陕西省西安市新城区东新街319号8幢10000室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办公地址：陕西省西安市新城区东新街319号8幢10000室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法定代表人：徐朝晖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联系人：梁承华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联系电话：029-87211526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传真：029-87211478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网址：www.westsecu.com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(109) 西南证券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注册地址：重庆市江北区桥北苑8号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办公地址：重庆市江北区桥北苑8号西南证券大厦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法定代表人：廖庆轩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联系人：周青</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联系电话：023-63786633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客户服务电话：4008096096或95355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传真：023-63786212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网址：www.swsc.com.cn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(110) 新时代证券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注册地址：北京市海淀区北三环西路99号院1号楼15层1501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办公地址：北京市海淀区北三环西路99号院1号楼15层1501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法定代表人：叶顺德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联系人：马文玺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联系电话：010-83561072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网址：www.xsdzq.cn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(111) 信达证券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注册地址：北京市西城区闹市口大街9号院1号楼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办公地址：北京市西城区闹市口大街9号院1号楼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法定代表人：肖林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联系人：尹旭航</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联系电话：010-63081000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传真：010-63080978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网址：www.cindasc.com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(112) 兴业证券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注册地址：福州市湖东路268号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办公地址：上海浦东新区长柳路36号兴业证券大厦20楼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法定代表人：杨华辉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联系人：乔琳雪</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联系电话：021-38565547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客户服务电话：95562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网址：www.xyzq.com.cn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(113) 银河证券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注册地址：北京市西城区金融大街35号2-6层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办公地址：北京市西城区金融大街35号国际企业大厦C座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法定代表人：陈共炎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联系人：辛国政</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联系电话：010-83574507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客户服务电话：4008-888-888或95551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网址：www.chinastock.com.cn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(114) 粤开证券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注册地址：惠州市江北东江三路55号广播电视新闻中心西面一层大堂和三、四层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办公地址：广东省广州市黄埔区科学大道60号开发区金控中心21-23层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法定代表人：严亦斌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联系人：彭莲</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联系电话：0755-83331195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客户服务电话：95564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公司网址：http://www.ykzq.com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(115) 招商证券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注册地址：深圳市福田区福田街道福华一路111号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办公地址：深圳市福田区福田街道福华一路111号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法定代表人：霍达</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联系人：黄婵君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联系电话：0755-82943666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客户服务电话：95565、400-8888-111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传真：0755-82943636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网址：www.newone.com.cn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(116) 浙商证券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注册地址：浙江省杭州市江干区五星路201号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办公地址：浙江省杭州市江干区五星路201号浙商证券大楼8楼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法定代表人：吴承根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联系人：高扬</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联系电话：0571-87902974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客户服务电话：95345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传真：0571-87901913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网址：www.stocke.com.cn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(117) 中航证券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注册地址：江西省南昌市红谷滩新区红谷中大道1619号南昌国际金融大厦A栋41层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办公地址：江西省南昌市红谷滩新区红谷中大道1619号南昌国际金融大厦A栋41层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法定代表人：王晓峰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联系人：王紫雯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联系电话：15611538682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客户服务电话：95335或400-88-95335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传真：010-59562637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网址：www.avicsec.com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(118) 中金财富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注册地址：深圳市福田区益田路与福中路交界处荣超商务中心A栋第18-21层及第04层01.02.03.05.11.12.13.15.16.18.19.20.21.22.23单元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办公地址：深圳福田区益田路6003号荣超商务中心A座4层、18-21层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法定代表人：高涛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联系人：万玉琳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联系电话：0755-82026907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客户服务电话：95532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网址：https://www.ciccwm.com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(119) 中金公司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注册地址：北京市朝阳区建国门外大街1号国贸大厦2座27层及28层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办公地址：北京市朝阳区建国门外大街甲6号SK大厦38层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法定代表人：沈如军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联系人：杨涵宇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联系电话：010-65051166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客户服务电话：4009101166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网址：www.cicc.com.cn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(120) 中山证券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注册地址：深圳市南山区粤海街道蔚蓝海岸社区创业路1777号海信南方大厦21、22</w:t>
      </w:r>
      <w:r w:rsidRPr="007759F2">
        <w:rPr>
          <w:rStyle w:val="da"/>
          <w:rFonts w:asciiTheme="minorEastAsia" w:eastAsiaTheme="minorEastAsia" w:hAnsiTheme="minorEastAsia" w:hint="eastAsia"/>
        </w:rPr>
        <w:lastRenderedPageBreak/>
        <w:t>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办公地址：深圳市南山区创业路1777号海信南方大厦21、22层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法定代表人：林炳城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联系人：罗艺琳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电话：0755-82943755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传真：0755-82960582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客户服务电话：95329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网址：www.zszq.com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(121) 中泰证券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注册地址：济南市市中区经七路86号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办公地址：山东省济南市经七路86号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联系人：许曼华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联系电话：021-20315290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客户服务电话：95538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传真：0531-68889095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网址：www.zts.com.cn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(122) 中天证券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注册地址：辽宁省沈阳市和平区光荣街23甲</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办公地址：辽宁省沈阳市和平区光荣街23甲</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法定代表人：马功勋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联系人：李泓灏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联系电话：024-23255256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客户服务电话：024-95346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传真：024-23255606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网址：www.iztzq.com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(123) 中信建投证券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注册地址：北京市朝阳区安立路66号4号楼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办公地址：北京市朝阳门内大街188号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法定代表人：王常青</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联系电话：010－85130554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客户服务电话：95587或4008-888-108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网址：http://www.csc108.com/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(124) 中信证券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注册地址：广东省深圳市福田区中心三路8号卓越时代广场（二期）北座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办公地址：北京市朝阳区亮马桥路48号中信证券大厦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法定代表人：张佑君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联系人：王一通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联系电话：010-60838888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客户服务电话：95548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传真：010-60836029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网址：www.cs.ecitic.com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(125) 中信证券华南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注册地址：广州市天河区珠江西路5号广州国际金融中心主塔19层、20层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办公地址：广州市天河区珠江西路5号广州国际金融中心主塔19层、20层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法定代表人：胡伏云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联系人：陈靖</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联系电话：020-88836999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客户服务电话：95548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传真：020-88836984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网址：www.gzs.com.cn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(126) 中信证券（山东）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注册地址：青岛市崂山区深圳路222号1号楼2001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办公地址：青岛市市南区东海西路28号龙翔广场东座5层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法定代表人：姜晓林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联系人：焦刚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联系电话：0531-89606166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客户服务电话：95548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传真：0532-85022605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网址：http://sd.citics.com/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(127) 中银证券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注册地址：上海市浦东新区银城中路200号中银大厦39层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办公地址：上海市浦东新区银城中路200号中银大厦39-40层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法定代表人：宁敏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联系人：王炜哲</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客户服务电话：400-620-8888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传真：021-50372474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网址：www.bocichina.com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(128) 中邮证券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注册地址：陕西省西安市唐延路5号（陕西邮政信息大厦9-11层）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办公地址：北京市东城区珠市口东大街17号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法定代表人：丁奇文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联系人：岳帅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 010-67017788-6068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客户服务电话：4008-888-005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传真：010-67017788-9696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网址：www.cnpsec.com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(129) 中原证券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注册地址：郑州市郑东新区商务外环路10号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办公地址：河南省郑州市郑东新区商务外环路10号中原广发金融大厦19楼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法定代表人：菅明军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联系人：程月艳  李盼盼 党静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联系电话：0371-69099882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客户服务电话：95377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传真：0371-65585899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网址：www.ccnew.com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(130) 百度百盈</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注册地址：北京市海淀区西北旺东路10号院西区4号楼1层103室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办公地址：北京市海淀区西北旺东路10号院西区4号楼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法定代表人：葛新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联系人：孙博超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联系电话：010-59403028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客户服务电话：95055-4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网址：www.baiyingfund.com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(131) 长量基金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注册地址：上海市浦东新区高翔路526号2幢220室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办公地址：上海市浦东新区东方路1267号陆家嘴金融服务广场二期11层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法定代表人：张跃伟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联系人：党敏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联系电话：021-20691935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客户服务电话：400-820-2899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传真：021-20691861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网址：www.erichfund.com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(132) 朝阳永续</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注册地址：浦东新区上丰路977号1幢B座812室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办公地址：上海市浦东新区碧波路690号4号楼2楼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法定代表人：孙晓慧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联系人：陆纪青</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联系电话：021-80234888-6813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客户服务电话：400-699-1888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网址：www.998fund.com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(133) 创金启富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注册地址：北京市西城区白纸坊东街2号院6号楼712室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办公地址：北京市西城区白纸坊东街2号院6号楼712室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法定代表人：梁蓉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联系人：杨凤椅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联系电话：010-66154828-8047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客户服务电话：400-6262-818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传真：010-63583991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网址：www.5irich.com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(134) 大泰金石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注册地址：南京市建邺区江东中路102号708室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办公地址：上海市浦东新区峨山路505号东方纯一大厦15楼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法定代表人：陈达伟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联系人：孟召社</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联系电话：021-20324176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客户服务电话：400-995-9220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传真：021-20324199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网址：www.dtfunds.com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(135) 大智慧基金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注册地址：中国（上海）自由贸易试验区杨高南路428号1号楼1102单元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办公地址：中国（上海）自由贸易试验区杨高南路428号1号楼1102单元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法定代表人：申健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联系人：张蜓</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联系电话：021-20219988-35374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客户服务电话：021-20292031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传真：021-20219923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网址：https://www.wg.com.cn/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(136) 蛋卷基金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注册地址：北京市朝阳区创远路34号院6号楼15层1501室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办公地址：北京市朝阳区创远路 34 号院融新科技中心 C 座 17 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法定代表人：钟斐斐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联系人：侯芳芳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联系电话：010-61840688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客户服务电话：400-159-9288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网址：https://danjuanapp.com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(137) 鼎信汇金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注册地址：北京市海淀区太月园3号楼5层521室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办公地址：北京市海淀区太月园3号楼5层521室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法定代表人：齐凌峰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联系人：阮志凌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联系电话：010-82050520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客户服务电话：400-158-5050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传真：010-82086110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网址：www.9ifund.com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(138) 东证期货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注册地址：中国（上海）自由贸易试验区浦电路500号上海期货大厦14层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办公地址：上海市黄浦区中山南路318号2号楼22楼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法定代表人：卢大印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联系人：张敏圆</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联系电话：021-63325888-4259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客户服务电话：4008859999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传真：021-63326752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网址：www.dzqh.com.cn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(139) 泛华普益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注册地址：四川省成都市成华区建设路9号高地中心1101室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办公地址：成都市金牛区花照壁西顺街399号1栋1单元龙湖西宸天街B座1201号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法定代表人：于海锋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联系电话：15114053620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客户服务电话：400-080-3388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网址：www.puyifund.com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(140) 富济基金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注册地址：深圳市福田区福田街道岗厦社区金田路3088号中洲大厦3203A单元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办公地址：深圳市福田区福田街道岗厦社区金田路3088号中洲大厦3203A单元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法定代表人：祝中村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联系人：曾瑶敏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联系电话：0755-83999907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客户服务电话：0755-83999907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传真：0755-83999926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网址：www.fujifund.cn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(141) 海银基金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注册地址：中国（上海）自由贸易试验区银城中路8号402室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办公地址：上海市浦东新区银城中路8号海银金融中心4楼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法定代表人：巩巧丽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联系人：毛林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联系电话：021-80133597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客户服务电话：400-808-1016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传真：021-80133413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网址：www.fundhaiyin.com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(142) 好买基金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注册地址：上海市虹口区欧阳路196号26号楼2楼41号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办公地址：上海市浦东南路1118号鄂尔多斯国际大厦903～906室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法定代表人：杨文斌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联系人：高源</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联系电话：021-36696312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客户服务电话：400-700-9665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传真：021-68596919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网址：www.ehowbuy.com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(143) 和讯信息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注册地址：北京市朝阳区朝外大街22号1002室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办公地址：北京市朝阳区朝外大街22号泛利大厦10层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联系人：陈慧慧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联系电话：010-85657353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客户服务电话：400-920-0022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传真：010-65884788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网址：http://licaike.hexun.com/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(144) 恒天明泽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注册地址：北京市经济技术开发区宏达北路10号五层5122室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办公地址：北京市朝阳区东三环北路甲19号SOHO嘉盛中心30层3001室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法定代表人：周斌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联系人：陈霞</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联系电话：010-59313555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客户服务电话：400-8980-618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传真：010-59313586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网址：www.chtwm.com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(145) 弘业期货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注册地址：江苏省南京市秦淮区中华路50号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办公地址：江苏省南京市秦淮区中华路50号弘业大厦9楼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法人代表：周剑秋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联系人：张苏怡</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联系电话：025-52278981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客户服务电话：400-828-1288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网址：www.ftol.com.cn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(146) 虹点基金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注册地址：北京市朝阳区东三环北路17号10层1015室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办公地址：北京市朝阳区东三环北路17号10层1015室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法定代表人：何静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联系人：王重阳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联系电话：010-65951887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客户服务电话：400-618-0707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网址：www.hongdianfund.com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(147) 华瑞保险销售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注册地址：上海市嘉定区南翔镇众仁路399号运通星财富广场1号楼B座13、14层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办公地址：上海市浦东新区向城路288号国华人寿金融大厦8层806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法定代表人：路昊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联系人：茆勇强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联系电话：021-68595698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客户服务电话：952303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传真：021-68595766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网址：www.huaruisales.com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(148) 华夏财富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注册地址：上海市虹口区东大名路687号1幢2楼268室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办公地址：北京市西城区金融大街33号通泰大厦B座8层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法定代表人：毛淮平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联系人：张静怡</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联系电话：010-88066326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客户服务电话：400-817-5666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传真：010-63136184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网址：www.amcfortune.com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(149) 徽商期货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注册地址：安徽省合肥市芜湖路258号3号楼6-7层，6号楼1-2层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办公地址：合肥市芜湖路258号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法人代表：吴国华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联系人：申倩倩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联系电话：0551-62865215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客户服务电话：400-887-8707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网址：www.hsqh.net</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(150) 汇成基金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注册地址：北京市海淀区中关村大街11号11层1108号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办公地址：北京市西城区西直门外大街1号院2号楼 19层 19C13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法定代表人：王伟刚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联系人：王骁骁</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联系电话：010-56251471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客户服务电话：400-619-9059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网址：www.hcjijin.com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(151) 汇付基金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注册地址：上海市黄浦区黄河路333号201室A区056单元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办公地址：上海市徐汇区宜山路700号普天信息产业园2期C5栋 汇付天下总部大楼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法定代表人：金佶</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联系人：甄宝林</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联系电话：021-34013996-3011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客户服务电话：021-34013999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传真：021-33323837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网址：www.hotjijin.com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(152) 济安财富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注册地址：北京市朝阳区太阳宫中路16号院1号楼3层307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办公地址：北京市朝阳区太阳宫中路16号院1号楼冠捷大厦3层307单元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法定代表人：杨健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联系人：李海燕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联系电话：010-65309516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客户服务电话：400-673-7010（济安财富官网）  400-071-6766（腾讯财经）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传真：010-65330699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网址：www.jianfortune.com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(153) 加和基金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注册地址：北京市西城区德胜门外大街13号院1号楼5层505室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办公地址：北京市西城区德胜门外大街13号院1号楼5层505室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法定代表人：曲阳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联系人：王梓骄</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联系电话：010-80456756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客户服务电话：400-803-1188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传真：010-80456278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网址：www.bzfunds.com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(154) 嘉实财富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注册地址：中国（上海）自由贸易试验区世纪大道8号上海国金中心办公楼二期53层5312-15单元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办公地址：北京市朝阳区建国路91号金地中心A座6层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法定代表人：赵学军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联系电话：010-60842306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客户服务电话：400-021-8850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传真：010-85712195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网址：www.harvestwm.cn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(155) 金百临</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注册地址：无锡市滨湖区锦溪路99号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办公地址：江苏省无锡市太湖新城锦溪道楝泽路9号楼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法人代表：费晓燕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联系人：邹云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联系电话：0510-81188088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客户服务电话：0510-9688988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网址：www.jsjbl.com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(156) 金观诚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注册地址：杭州拱墅区登云路45号金诚集团（锦昌大厦）1幢10楼1001室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办公地址：杭州拱墅区登云路55号金诚集团（锦昌大厦）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法定代表人：蒋雪琦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联系人：来舒岚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联系电话：0571-88337888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客户服务电话：4000680058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传真：0571-88337666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网址：http://www.jincheng-fund.com/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(157) 金海九州</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注册地址：深圳市前海深港合作区前湾一路1号A栋201室（入驻深圳市前海商务秘书有限公司）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办公地址：深圳市福田区富德生命保险大厦1106室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法定代表人：彭维熙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联系人：彭维熙</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联系电话：0755-81994266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客户服务电话：4000993333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传真：0755-84333886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网址：www.jhjzfund.com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(158) 凯石财富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注册地址：上海市黄浦区西藏南路765号602-115室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办公地址：上海市黄浦区延安东路1号凯石大厦4楼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法定代表人：陈继武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联系人：冯强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联系电话：021-63333389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客户服务电话：4006-433-389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传真：021-63333390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网址：www.vstonewealth.com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(159) 肯特瑞基金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注册地址：北京市海淀区西三旗建材城中路12号17号平房157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办公地址：北京市大兴区亦庄经济开发区科创十一街十八号院京东集团总部A座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法定代表人：王苏宁</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联系人：娄云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联系电话：010-89189291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客户服务电话：95118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网址：http://fund.jd.com/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(160) 利得基金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注册地址：上海市宝山区蕴川路5475号1033室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办公地址：上海市虹口区东大名路1098号浦江国际金融广场53层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法定代表人：李兴春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联系人：陈孜明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联系电话：86-021-50583533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客户服务电话：95733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传真：86-21-61101630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网址：www.leadfund.com.cn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(161) 联泰基金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注册地址：中国（上海）自由贸易试验区富特北路277号3层310室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办公地址：上海市长宁区福泉北路518号8座3楼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法定代表人：尹彬彬</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联系人：陈东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联系电话：021-52822063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客户服务电话：400-118-1188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传真：021-52975270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网址：www.66zichan.com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(162) 陆基金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注册地址：中国（上海）自由贸易试验区陆家嘴环路1333号14楼09单元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办公地址：中国（上海）自由贸易试验区陆家嘴环路1333号14楼09单元</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法定代表人：王之光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联系人：宁博宇</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联系电话：021-20665952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客户服务电话：4008219031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传真：021-22066653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网址：www.lufunds.com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(163) 蚂蚁基金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注册地址：浙江省杭州市余杭区五常街道文一西路969号3幢5层599室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办公地址：浙江省杭州市西湖区万塘路18号黄龙时代广场B座6F</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法定代表人：祖国明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联系人：韩爱彬</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联系电话：0571-26888888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客户服务电话：4000-766-123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网址：http://www.fund123.cn/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(164) 民商基金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注册地址：上海黄浦区北京东路666号H区（东座）6楼A31室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办公地址：上海市浦东新区张杨路707号生命人寿大厦32楼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法定代表人：贲惠琴</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联系人：林志枫</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联系电话：021-50206003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客户服务电话：021-50206003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传真：021-50206001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网址：http://www.msftec.com/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(165) 诺亚正行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注册地址：上海市虹口区飞虹路360弄9号3724室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办公地址：上海市杨浦区长阳路1687号长阳谷2号楼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法定代表人：汪静波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联系电话：021-80358523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客户服务电话：400-821-5399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传真：021-38509777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网址：www.noah-fund.com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(166) 浦领基金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注册地址：北京市朝阳区望京东园四区13号楼A座9层908室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办公地址：北京市朝阳区望京浦项中心A座9层04-08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法定代表人：聂婉君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联系人：李艳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联系电话：010-59497361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客户服务电话：400-012-5899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传真：010-64788016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网址：www.zscffund.com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(167) 钱景基金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注册地址：北京市海淀区中关村东路18号1号楼11层B-1108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办公地址：北京市海淀区中关村东路18号财智国际大厦B-1108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法定代表人：王利刚</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联系人：姚付景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联系电话：010-59422766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客户服务电话：400-893-6885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传真：010-62565181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网址：www.qianjing.com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(168) 深圳新兰德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注册地址：深圳市福田区福田街道民田路178号华融大厦27层2704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办公地址：北京市西城区宣武门外大街28号富卓大厦A座7层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法定代表人：洪弘</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联系人：张燕</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联系电话：010-83363099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客户服务电话：400-166-1188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传真：010-83363010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网址：http://8.jrj.com.cn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(169) 晟视天下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注册地址：北京市怀柔区九渡河镇黄坎村735号03室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办公地址：北京市朝阳区朝外大街甲六号万通中心D座21层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法定代表人：蒋煜</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联系人：史俊杰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联系电话：010-58170936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客户服务电话：010-58170761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传真：010-58170800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网址：www.shengshiview.com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(170) 苏宁基金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注册地址：南京市玄武区苏宁大道1-5号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办公地址：南京市玄武区苏宁大道1-5号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联系人：冯鹏鹏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联系电话：025-66996699-882796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客户服务电话：95177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网址：www.snjijin.com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(171) 天天基金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注册地址：上海市徐汇区龙田路190号2号楼2层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办公地址：上海市徐汇区宛平南路88号东方财富大厦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法定代表人：其实</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联系人：屠彦洋</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联系电话：021-54509977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客户服务电话：95021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传真：021-64385308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网址：www.1234567.com.cn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(172) 通华财富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注册地址：上海市虹口区同丰路667弄107号201室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办公地址：上海市浦东新区金沪路55号通华科技大厦2楼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法定代表人：沈丹义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联系人：杨涛、庄洁茹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联系电话：021-60810586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客户服务电话：400-101-9301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传真：021-60810695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网址：www.tonghuafund.com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(173) 同花顺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注册地址：浙江省杭州市文二西路1号903室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办公地址：杭州市余杭区五常街道同顺街18号同花顺大楼4层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法定代表人：吴强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联系人：吴强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联系电话：0571-88911818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客户服务电话：952555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传真：0571-86800423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网址：www.5ifund.com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(174) 途牛基金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注册地址：江苏省南京市玄武区玄武大道699-1号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办公地址：江苏省南京市玄武区玄武大道699-32号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法人代表：宋时琳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联系人：贺杰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联系电话：025-86853960-66727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客户服务电话：4007-999-999转3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网址：http://jr.tuniu.com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(175) 挖财基金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注册地址：中国（上海）自由贸易试验区杨高南路799号5楼04室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办公地址：上海市浦东新区杨高南路799号陆家嘴世纪金融广场3号楼5层04室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法定代表人：吕柳霞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联系人：曾芸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联系电话：021-50810687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客户服务电话：021-50810673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网址：www.wacaijijin.com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(176) 万得基金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注册地址：中国（上海）自由贸易试验区福山路33号11楼B座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办公地址：上海市浦东新区浦明路1500号万得大厦11楼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法定代表人：黄祎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联系人：徐亚丹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联系电话：021-50712782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客户服务电话：400-799-1888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网址：www.520fund.com.cn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(177) 万家财富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注册地址：天津自贸区（中心商务区）迎宾大道1988号滨海浙商大厦公寓2-2413室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办公地址：北京市西城区丰盛胡同28号太平洋保险大厦A座5层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联系人：王芳芳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联系电话：010-59013828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客户服务电话：010-59013895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网址：http://www.wanjiawealth.com/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(178) 新浪仓石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注册地址：北京市海淀区东北旺西路中关村软件园二期（西扩）N-1、N-2地块新浪总部科研楼5层518室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办公地址：北京市海淀区西北旺东路10号院东区3号楼为明大厦C座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法定代表人：赵芯蕊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联系人：赵芯蕊</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联系电话：010-62625768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客户服务电话：010-62675369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传真：010-62676582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网址：www.xincai.com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(179) 鑫鼎盛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注册地址：厦门市思明区鹭江道2号厦门第一广场西座1501-1502室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办公地址：厦门市思明区鹭江道2号厦门第一广场西座1501-1502室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 xml:space="preserve">法定代表人：陈洪生 </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联系人：梁云波</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联系电话：0592-3122757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客户服务电话：400-6533-789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网址：www.xds.com.cn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(180) 阳光人寿保险</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注册地址：海南省三亚市迎宾路360-1号三亚阳光金融广场16层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办公地址：北京市朝阳区朝阳门外大街乙12号院1号昆泰国际大厦12层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法定代表人：李科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联系人：王超</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联系电话：010-85632771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客户服务电话：95510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传真：010-85632773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网址：http://fund.sinosig.com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(181) 一路财富</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注册地址：北京市海淀区宝盛南路1号院20号楼9层101-14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办公地址：北京市海淀区宝盛南路奥北科技园20号楼国泰大厦9层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法定代表人：吴雪秀</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联系人：董宣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联系电话：010-88312877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客户服务电话：400-001-1566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传真：010-88312099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网址：www.yilucaifu.com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(182) 宜信普泽</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注册地址：北京市朝阳区西大望路1号9层公寓1008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办公地址：北京市朝阳区西大望路1号9层公寓1008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法定代表人：戎兵</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联系人：魏晨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联系电话：010-52413385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客户服务电话：400-6099-200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传真：010-85800047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网址：www.yixinfund.com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(183) 奕丰金融</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注册地址：深圳市前海深港合作区前湾一路1号A栋201室（入驻深圳市前海商务秘书有限公司）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办公地址：深圳市南山区海德三道航天科技广场A座17楼1704室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法定代表人：TEO WEE HOWE</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联系人：叶健</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联系电话：0755-89460507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客户服务电话：400-684-0500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传真：0755-21674453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网址：www.ifastps.com.cn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(184) 盈米基金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注册地址：珠海市横琴新区宝华路6号105室-3491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办公地址：广州市海珠区琶洲大道东路1号保利国际广场南塔1201-1203室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法定代表人：肖雯</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联系人：邱湘湘</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联系电话：020-89629099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客户服务电话：020-89629066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传真：020-89629011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网址：www.yingmi.cn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(185) 云湾基金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注册地址：中国（上海）自由贸易试验区新金桥路27号、明月路1257号1幢1层103-1、103-2办公区</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办公地址：上海市浦东新区新金桥路27号1号楼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法定代表人：冯轶明</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联系人：范泽杰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联系电话：021-20530186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客户服务电话：400-820-1515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传真：021-20539999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网址：http://www.zhengtongfunds.com/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(186) 增财基金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注册地址：北京市西城区南礼士路66号建威大厦1208室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办公地址：北京市西城区南礼士路66号建威大厦1208-1209室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法定代表人：罗细安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联系人：闫丽敏</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联系电话：010-67000988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客户服务电话：400-001-8811</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传真：010-67000988-6000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网址：www.zcvc.com.cn</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(187) 展恒基金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注册地址：北京市朝阳区安苑路11号西楼6层604、607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办公地址：北京市朝阳区北四环中路27号盘古大观3205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法定代表人：闫振杰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联系人：武文佳</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联系电话：010-59601399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客户服务电话：400-818-8000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传真：0351-4110714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网址：www.myfund.com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(188) 中期时代基金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注册地址：北京市朝阳区建国门外光华路14号1幢11层1103号</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办公地址：北京市朝阳区建国门外光华路14号1幢4层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法定代表人：田宏莉</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联系人：尹庆</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联系电话：010-65807865</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客户服务电话：95162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传真：010-65807864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网址：www.jrtoo.com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(189) 中信建投期货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注册地址：重庆市渝中区中山三路107号上站大楼平街11-B，名义层11-A，8-B4，9-B、C</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办公地址：重庆市渝中区中山三路107号皇冠大厦11楼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法定代表人：王广学</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联系人：刘芸</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联系电话：023-86769637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客户服务电话：400-8877-780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传真：023-86769629</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网址：www.cfc108.com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(190) 中信期货</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注册地址：广东省深圳市福田区中心三路8号卓越时代广场（二期）北座13层1301-1305室、14层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办公地址：深圳市福田区中心三路8号卓越时代广场（二期）北座13层1301-1305室、14层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法定代表人：张皓</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联系人：刘宏莹</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联系电话：010-6083 3754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客户服务电话：400-990-8826</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传真：021-60819988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网址：www.citicsf.com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(191) 中正达广</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注册地址：上海市徐汇区龙腾大道2815号302室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办公地址：上海市徐汇区龙腾大道2815号302室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法定代表人：黄欣</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联系人：戴珉微</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联系电话：021-33768132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客户服务电话：400-6767-523</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传真：021-33768132-802</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网址：www.zhongzhengfund.com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(192) 中证金牛</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注册地址：北京市丰台区东管头1号2号楼2-45室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办公地址：北京市西城区宣武门外大街甲1号环球财讯中心A座5层</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法定代表人：钱昊旻</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联系人：沈晨</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联系电话：010-59336544</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客户服务电话：4008-909-998</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网址：www.jnlc.com</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(193) 众禄基金</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注册地址：深圳市罗湖区笋岗街道笋西社区梨园路8号HALO广场一期四层12-13室</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办公地址：深圳市罗湖区梨园路HALO广场4楼</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法定代表人：薛峰</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联系人：龚江江</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联系电话：0755-33227950</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客户服务电话：4006-788-887</w:t>
      </w:r>
    </w:p>
    <w:p w:rsidR="00775AD9" w:rsidRPr="007759F2" w:rsidRDefault="00775AD9" w:rsidP="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传真：0755-33227951</w:t>
      </w:r>
    </w:p>
    <w:p w:rsidR="00677BF5" w:rsidRPr="007759F2" w:rsidRDefault="00775AD9">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网址：www.zlfund.cn    www.jjmmw.com</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29" w:name="_Toc332373483"/>
      <w:r w:rsidRPr="007759F2">
        <w:rPr>
          <w:rStyle w:val="da"/>
          <w:rFonts w:asciiTheme="minorEastAsia" w:eastAsiaTheme="minorEastAsia" w:hAnsiTheme="minorEastAsia" w:hint="eastAsia"/>
        </w:rPr>
        <w:t>（二）基金</w:t>
      </w:r>
      <w:bookmarkEnd w:id="29"/>
      <w:r w:rsidRPr="007759F2">
        <w:rPr>
          <w:rStyle w:val="da"/>
          <w:rFonts w:asciiTheme="minorEastAsia" w:eastAsiaTheme="minorEastAsia" w:hAnsiTheme="minorEastAsia" w:hint="eastAsia"/>
        </w:rPr>
        <w:t>登记机构</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名称：易方达基金管理有限公司</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注册地址：广东省珠海市横琴新区宝华路6号105室－42891（集中办公区）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办公地址：</w:t>
      </w:r>
      <w:r w:rsidRPr="007759F2">
        <w:rPr>
          <w:rFonts w:asciiTheme="minorEastAsia" w:eastAsiaTheme="minorEastAsia" w:hAnsiTheme="minorEastAsia" w:hint="eastAsia"/>
        </w:rPr>
        <w:t>广州市天河区珠江新城珠江东路30号广州银行大厦40-43楼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法定代表人：刘晓艳</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电话：4008818088</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传真：020-38799249</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联系人：余贤高</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30" w:name="_Toc332373484"/>
      <w:r w:rsidRPr="007759F2">
        <w:rPr>
          <w:rStyle w:val="da"/>
          <w:rFonts w:asciiTheme="minorEastAsia" w:eastAsiaTheme="minorEastAsia" w:hAnsiTheme="minorEastAsia" w:hint="eastAsia"/>
        </w:rPr>
        <w:t>（三）律师事务所和经办律师</w:t>
      </w:r>
      <w:bookmarkEnd w:id="30"/>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律师事务所：</w:t>
      </w:r>
      <w:r w:rsidRPr="007759F2">
        <w:rPr>
          <w:rFonts w:asciiTheme="minorEastAsia" w:eastAsiaTheme="minorEastAsia" w:hAnsiTheme="minorEastAsia" w:hint="eastAsia"/>
        </w:rPr>
        <w:t>国浩律师(广州)事务所</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cs="宋体"/>
          <w:szCs w:val="21"/>
        </w:rPr>
      </w:pPr>
      <w:r w:rsidRPr="007759F2">
        <w:rPr>
          <w:rStyle w:val="da"/>
          <w:rFonts w:asciiTheme="minorEastAsia" w:eastAsiaTheme="minorEastAsia" w:hAnsiTheme="minorEastAsia" w:hint="eastAsia"/>
        </w:rPr>
        <w:t>地址：</w:t>
      </w:r>
      <w:r w:rsidRPr="007759F2">
        <w:rPr>
          <w:rFonts w:asciiTheme="minorEastAsia" w:eastAsiaTheme="minorEastAsia" w:hAnsiTheme="minorEastAsia" w:hint="eastAsia"/>
        </w:rPr>
        <w:t>广州市天河区珠江东路28号越秀金融大厦38层</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负责人：程秉</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电话：020-38799345</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rPr>
        <w:t>传真：</w:t>
      </w:r>
      <w:r w:rsidRPr="007759F2">
        <w:rPr>
          <w:rFonts w:asciiTheme="minorEastAsia" w:eastAsiaTheme="minorEastAsia" w:hAnsiTheme="minorEastAsia" w:hint="eastAsia"/>
          <w:szCs w:val="21"/>
        </w:rPr>
        <w:t>020-</w:t>
      </w:r>
      <w:r w:rsidRPr="007759F2">
        <w:rPr>
          <w:rStyle w:val="da"/>
          <w:rFonts w:asciiTheme="minorEastAsia" w:eastAsiaTheme="minorEastAsia" w:hAnsiTheme="minorEastAsia" w:hint="eastAsia"/>
        </w:rPr>
        <w:t>38799345-200</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经办律师：黄贞、周姗姗</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联系人：黄贞</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31" w:name="_Toc332373485"/>
      <w:r w:rsidRPr="007759F2">
        <w:rPr>
          <w:rStyle w:val="da"/>
          <w:rFonts w:asciiTheme="minorEastAsia" w:eastAsiaTheme="minorEastAsia" w:hAnsiTheme="minorEastAsia" w:hint="eastAsia"/>
        </w:rPr>
        <w:t>（四）会计师事务所和经办注册会计师</w:t>
      </w:r>
      <w:bookmarkEnd w:id="31"/>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本基金的法定验资机构为安永华明会计师事务所（特殊普通合伙）。</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会计师事务所：安永华明会计师事务所（特殊普通合伙）</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主要经营场所：北京市东城区东长安街1号东方广场安永大楼17层01-12室</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执行事务合伙人：NgAlbertKongPing吴港平</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电话：（010）58153000</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传真：（010）85188298</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经办注册会计师：昌华、熊姝英</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联系人：许建辉</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本基金的年度财务报表及其他规定事项的审计机构为普华永道中天会计师事务所(特殊普通合伙)。</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lastRenderedPageBreak/>
        <w:t>会计师事务所：普华永道中天会计师事务所(特殊普通合伙)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住所：</w:t>
      </w:r>
      <w:r w:rsidRPr="007759F2">
        <w:rPr>
          <w:rFonts w:asciiTheme="minorEastAsia" w:eastAsiaTheme="minorEastAsia" w:hAnsiTheme="minorEastAsia" w:hint="eastAsia"/>
        </w:rPr>
        <w:t>上海市湖滨路202号普华永道中心11楼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办公地址：</w:t>
      </w:r>
      <w:r w:rsidRPr="007759F2">
        <w:rPr>
          <w:rFonts w:asciiTheme="minorEastAsia" w:eastAsiaTheme="minorEastAsia" w:hAnsiTheme="minorEastAsia" w:hint="eastAsia"/>
        </w:rPr>
        <w:t>上海市湖滨路202号普华永道中心11楼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首席合伙人：李丹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电话：（021）23238888</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传真：（021）23238800</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经办注册会计师：陈熹、周祎</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联系人：</w:t>
      </w:r>
      <w:r w:rsidRPr="007759F2">
        <w:rPr>
          <w:rFonts w:asciiTheme="minorEastAsia" w:eastAsiaTheme="minorEastAsia" w:hAnsiTheme="minorEastAsia" w:hint="eastAsia"/>
        </w:rPr>
        <w:t>周祎</w:t>
      </w: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Cs w:val="21"/>
        </w:rPr>
      </w:pP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Cs w:val="21"/>
        </w:rPr>
      </w:pP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Cs w:val="21"/>
        </w:rPr>
      </w:pP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Cs w:val="21"/>
        </w:rPr>
      </w:pP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Cs w:val="21"/>
        </w:rPr>
      </w:pPr>
    </w:p>
    <w:p w:rsidR="00CD234C" w:rsidRPr="007759F2" w:rsidRDefault="00CD234C" w:rsidP="00CD234C">
      <w:pPr>
        <w:pStyle w:val="21"/>
        <w:snapToGrid w:val="0"/>
        <w:spacing w:before="0" w:beforeAutospacing="0" w:after="0" w:afterAutospacing="0"/>
        <w:ind w:firstLineChars="0" w:firstLine="420"/>
        <w:rPr>
          <w:rFonts w:asciiTheme="minorEastAsia" w:eastAsiaTheme="minorEastAsia" w:hAnsiTheme="minorEastAsia"/>
          <w:sz w:val="30"/>
          <w:szCs w:val="21"/>
        </w:rPr>
      </w:pPr>
    </w:p>
    <w:p w:rsidR="00CD234C" w:rsidRPr="007759F2" w:rsidRDefault="00CD234C" w:rsidP="00CD234C">
      <w:pPr>
        <w:pStyle w:val="1"/>
        <w:pageBreakBefore/>
        <w:snapToGrid w:val="0"/>
        <w:spacing w:before="317" w:after="317" w:line="360" w:lineRule="auto"/>
        <w:ind w:firstLine="640"/>
        <w:rPr>
          <w:rFonts w:asciiTheme="minorEastAsia" w:eastAsiaTheme="minorEastAsia" w:hAnsiTheme="minorEastAsia"/>
          <w:bCs/>
        </w:rPr>
      </w:pPr>
      <w:bookmarkStart w:id="32" w:name="_Toc332373486"/>
      <w:bookmarkStart w:id="33" w:name="_Toc43380851"/>
      <w:r w:rsidRPr="007759F2">
        <w:rPr>
          <w:rFonts w:asciiTheme="minorEastAsia" w:eastAsiaTheme="minorEastAsia" w:hAnsiTheme="minorEastAsia" w:hint="eastAsia"/>
          <w:bCs/>
        </w:rPr>
        <w:lastRenderedPageBreak/>
        <w:t>六、基金的募集</w:t>
      </w:r>
      <w:bookmarkEnd w:id="32"/>
      <w:bookmarkEnd w:id="33"/>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本基金由基金管理人依照《基金法》、《运作办法》、《销售办法》、基金合同的相关规定</w:t>
      </w:r>
      <w:r w:rsidR="007759F2" w:rsidRPr="007759F2">
        <w:rPr>
          <w:rStyle w:val="da"/>
          <w:rFonts w:asciiTheme="minorEastAsia" w:eastAsiaTheme="minorEastAsia" w:hAnsiTheme="minorEastAsia" w:hint="eastAsia"/>
        </w:rPr>
        <w:t>募集，本基金已</w:t>
      </w:r>
      <w:r w:rsidRPr="007759F2">
        <w:rPr>
          <w:rStyle w:val="da"/>
          <w:rFonts w:asciiTheme="minorEastAsia" w:eastAsiaTheme="minorEastAsia" w:hAnsiTheme="minorEastAsia" w:hint="eastAsia"/>
        </w:rPr>
        <w:t>经中国证券监督管理委员会</w:t>
      </w:r>
      <w:r w:rsidR="00683E03" w:rsidRPr="007759F2">
        <w:rPr>
          <w:rStyle w:val="da"/>
          <w:rFonts w:asciiTheme="minorEastAsia" w:eastAsiaTheme="minorEastAsia" w:hAnsiTheme="minorEastAsia" w:hint="eastAsia"/>
        </w:rPr>
        <w:t>2015年5月28日</w:t>
      </w:r>
      <w:r w:rsidRPr="007759F2">
        <w:rPr>
          <w:rStyle w:val="da"/>
          <w:rFonts w:asciiTheme="minorEastAsia" w:eastAsiaTheme="minorEastAsia" w:hAnsiTheme="minorEastAsia" w:hint="eastAsia"/>
        </w:rPr>
        <w:t>《关于准予易方达瑞景灵活配置混合型证券投资基金注册的批复》（证监许可[2015]1022号）注册。</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本基金为契约型开放式混合型基金。基金的存续期为不定期。</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本基金募集期间每份基金份额的初始面值为人民币1.00元。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本基金募集期自2015年6月15日至2015年6月26日。募集对象为符合法律法规规定的可投资于证券投资基金的个人投资者、机构投资者和合格境外机构投资者以及法律法规或中国证监会允许购买证券投资基金的其他投资人。</w:t>
      </w:r>
    </w:p>
    <w:p w:rsidR="00CD234C" w:rsidRPr="007759F2" w:rsidRDefault="00CD234C" w:rsidP="00CD234C">
      <w:pPr>
        <w:snapToGrid w:val="0"/>
        <w:spacing w:line="360" w:lineRule="auto"/>
        <w:ind w:firstLineChars="200" w:firstLine="420"/>
        <w:rPr>
          <w:rFonts w:asciiTheme="minorEastAsia" w:eastAsiaTheme="minorEastAsia" w:hAnsiTheme="minorEastAsia"/>
        </w:rPr>
      </w:pPr>
    </w:p>
    <w:p w:rsidR="00CD234C" w:rsidRPr="007759F2" w:rsidRDefault="00CD234C" w:rsidP="00CD234C">
      <w:pPr>
        <w:snapToGrid w:val="0"/>
        <w:spacing w:line="360" w:lineRule="auto"/>
        <w:ind w:firstLineChars="200" w:firstLine="420"/>
        <w:rPr>
          <w:rFonts w:asciiTheme="minorEastAsia" w:eastAsiaTheme="minorEastAsia" w:hAnsiTheme="minorEastAsia"/>
        </w:rPr>
      </w:pPr>
    </w:p>
    <w:p w:rsidR="00CD234C" w:rsidRPr="007759F2" w:rsidRDefault="00CD234C" w:rsidP="00CD234C">
      <w:pPr>
        <w:pStyle w:val="1"/>
        <w:pageBreakBefore/>
        <w:snapToGrid w:val="0"/>
        <w:spacing w:before="317" w:after="317" w:line="360" w:lineRule="auto"/>
        <w:ind w:firstLine="640"/>
        <w:rPr>
          <w:rFonts w:asciiTheme="minorEastAsia" w:eastAsiaTheme="minorEastAsia" w:hAnsiTheme="minorEastAsia"/>
        </w:rPr>
      </w:pPr>
      <w:bookmarkStart w:id="34" w:name="_Toc332373495"/>
      <w:bookmarkStart w:id="35" w:name="_Toc43380852"/>
      <w:r w:rsidRPr="007759F2">
        <w:rPr>
          <w:rFonts w:asciiTheme="minorEastAsia" w:eastAsiaTheme="minorEastAsia" w:hAnsiTheme="minorEastAsia" w:hint="eastAsia"/>
          <w:bCs/>
        </w:rPr>
        <w:lastRenderedPageBreak/>
        <w:t>七、基金合同的生效</w:t>
      </w:r>
      <w:bookmarkEnd w:id="34"/>
      <w:bookmarkEnd w:id="35"/>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36" w:name="_Toc332373496"/>
      <w:r w:rsidRPr="007759F2">
        <w:rPr>
          <w:rFonts w:asciiTheme="minorEastAsia" w:eastAsiaTheme="minorEastAsia" w:hAnsiTheme="minorEastAsia" w:hint="eastAsia"/>
          <w:szCs w:val="21"/>
        </w:rPr>
        <w:t>（一）基金合同的生效</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本基金基金合同于2015年6月30日正式生效。自基金合同生效日起，本基金管理人正式开始管理本基金。</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（二）基金存续期内的基金份额持有人数量和资产规模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法律法规或基金合同另有规定时，从其规定。</w:t>
      </w:r>
    </w:p>
    <w:bookmarkEnd w:id="36"/>
    <w:p w:rsidR="00CD234C" w:rsidRPr="007759F2" w:rsidRDefault="00CD234C" w:rsidP="00CD234C">
      <w:pPr>
        <w:pStyle w:val="1"/>
        <w:snapToGrid w:val="0"/>
        <w:spacing w:before="317" w:after="317" w:line="360" w:lineRule="auto"/>
        <w:ind w:firstLine="480"/>
        <w:rPr>
          <w:rFonts w:asciiTheme="minorEastAsia" w:eastAsiaTheme="minorEastAsia" w:hAnsiTheme="minorEastAsia"/>
        </w:rPr>
      </w:pPr>
      <w:r w:rsidRPr="007759F2">
        <w:rPr>
          <w:rFonts w:asciiTheme="minorEastAsia" w:eastAsiaTheme="minorEastAsia" w:hAnsiTheme="minorEastAsia" w:hint="eastAsia"/>
          <w:sz w:val="24"/>
        </w:rPr>
        <w:br w:type="column"/>
      </w:r>
      <w:bookmarkStart w:id="37" w:name="_Toc332373499"/>
      <w:bookmarkStart w:id="38" w:name="_Toc43380853"/>
      <w:r w:rsidRPr="007759F2">
        <w:rPr>
          <w:rFonts w:asciiTheme="minorEastAsia" w:eastAsiaTheme="minorEastAsia" w:hAnsiTheme="minorEastAsia" w:hint="eastAsia"/>
        </w:rPr>
        <w:lastRenderedPageBreak/>
        <w:t>八、基金份额的申购、赎回</w:t>
      </w:r>
      <w:bookmarkEnd w:id="37"/>
      <w:bookmarkEnd w:id="38"/>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bookmarkStart w:id="39" w:name="_Toc332373500"/>
      <w:r w:rsidRPr="007759F2">
        <w:rPr>
          <w:rStyle w:val="da"/>
          <w:rFonts w:asciiTheme="minorEastAsia" w:eastAsiaTheme="minorEastAsia" w:hAnsiTheme="minorEastAsia" w:hint="eastAsia"/>
          <w:szCs w:val="21"/>
        </w:rPr>
        <w:t>（一）基金投资人范围</w:t>
      </w:r>
      <w:bookmarkEnd w:id="39"/>
    </w:p>
    <w:p w:rsidR="00CD234C" w:rsidRPr="007759F2" w:rsidRDefault="00CD234C" w:rsidP="00CD234C">
      <w:pPr>
        <w:snapToGrid w:val="0"/>
        <w:spacing w:line="360" w:lineRule="auto"/>
        <w:ind w:firstLineChars="202" w:firstLine="424"/>
        <w:rPr>
          <w:rFonts w:asciiTheme="minorEastAsia" w:eastAsiaTheme="minorEastAsia" w:hAnsiTheme="minorEastAsia"/>
        </w:rPr>
      </w:pPr>
      <w:r w:rsidRPr="007759F2">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40" w:name="_Toc332373501"/>
      <w:r w:rsidRPr="007759F2">
        <w:rPr>
          <w:rStyle w:val="da"/>
          <w:rFonts w:asciiTheme="minorEastAsia" w:eastAsiaTheme="minorEastAsia" w:hAnsiTheme="minorEastAsia" w:hint="eastAsia"/>
          <w:szCs w:val="21"/>
        </w:rPr>
        <w:t>（二）申购与赎回的场所</w:t>
      </w:r>
      <w:bookmarkEnd w:id="40"/>
    </w:p>
    <w:p w:rsidR="00CD234C" w:rsidRPr="007759F2" w:rsidRDefault="00CD234C" w:rsidP="00CD234C">
      <w:pPr>
        <w:snapToGrid w:val="0"/>
        <w:spacing w:line="360" w:lineRule="auto"/>
        <w:ind w:firstLineChars="202" w:firstLine="424"/>
        <w:rPr>
          <w:rFonts w:asciiTheme="minorEastAsia" w:eastAsiaTheme="minorEastAsia" w:hAnsiTheme="minorEastAsia"/>
        </w:rPr>
      </w:pPr>
      <w:r w:rsidRPr="007759F2">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2A1429" w:rsidRPr="007759F2">
        <w:rPr>
          <w:rFonts w:asciiTheme="minorEastAsia" w:eastAsiaTheme="minorEastAsia" w:hAnsiTheme="minorEastAsia" w:hint="eastAsia"/>
          <w:bCs/>
          <w:szCs w:val="21"/>
        </w:rPr>
        <w:t>并在基金管理人网站公示</w:t>
      </w:r>
      <w:r w:rsidRPr="007759F2">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41" w:name="_Toc332373502"/>
      <w:r w:rsidRPr="007759F2">
        <w:rPr>
          <w:rStyle w:val="da"/>
          <w:rFonts w:asciiTheme="minorEastAsia" w:eastAsiaTheme="minorEastAsia" w:hAnsiTheme="minorEastAsia" w:hint="eastAsia"/>
          <w:szCs w:val="21"/>
        </w:rPr>
        <w:t>（三）申购与赎回办理的开放日及时间</w:t>
      </w:r>
      <w:bookmarkEnd w:id="41"/>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1、开放日及开放时间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2、申购、赎回开始日及业务办理时间</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42" w:name="_Toc332373503"/>
      <w:r w:rsidRPr="007759F2">
        <w:rPr>
          <w:rFonts w:asciiTheme="minorEastAsia" w:eastAsiaTheme="minorEastAsia" w:hAnsiTheme="minorEastAsia" w:hint="eastAsia"/>
          <w:szCs w:val="21"/>
        </w:rPr>
        <w:t>本基金已于2015年7月27日开放日常申购、赎回业务。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CD234C" w:rsidRPr="007759F2" w:rsidRDefault="00CD234C" w:rsidP="00CD234C">
      <w:pPr>
        <w:snapToGrid w:val="0"/>
        <w:spacing w:line="360" w:lineRule="auto"/>
        <w:ind w:firstLineChars="200" w:firstLine="420"/>
        <w:rPr>
          <w:rFonts w:asciiTheme="minorEastAsia" w:eastAsiaTheme="minorEastAsia" w:hAnsiTheme="minorEastAsia"/>
          <w:bCs/>
          <w:sz w:val="24"/>
        </w:rPr>
      </w:pPr>
      <w:r w:rsidRPr="007759F2">
        <w:rPr>
          <w:rStyle w:val="da"/>
          <w:rFonts w:asciiTheme="minorEastAsia" w:eastAsiaTheme="minorEastAsia" w:hAnsiTheme="minorEastAsia" w:hint="eastAsia"/>
          <w:szCs w:val="21"/>
        </w:rPr>
        <w:t>（四）申购与赎回的原则</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bookmarkStart w:id="43" w:name="_Toc332373504"/>
      <w:bookmarkEnd w:id="42"/>
      <w:r w:rsidRPr="007759F2">
        <w:rPr>
          <w:rStyle w:val="da"/>
          <w:rFonts w:asciiTheme="minorEastAsia" w:eastAsiaTheme="minorEastAsia" w:hAnsiTheme="minorEastAsia" w:hint="eastAsia"/>
          <w:szCs w:val="21"/>
        </w:rPr>
        <w:t>1、“未知价”原则，即申购、赎回价格以申请当日收市后计算的基金份额净值为基准进行计算；</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2、“金额申购、份额赎回”原则，即申购以金额申请，赎回以份额申请；</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3、当日的申购与赎回申请可以在基金管理人规定的时间以内撤销；</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基金管理人可在不违反法律法规的情况下，对上述原则进行调整。基金管理人必须在新规则开始实施前依照《信息披露办法》的有关规定在指定媒介上公告。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lastRenderedPageBreak/>
        <w:t>（五）申购与赎回的程序</w:t>
      </w:r>
      <w:bookmarkEnd w:id="43"/>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1、申购和赎回的申请方式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投资人必须根据销售机构规定的程序，在开放日的具体业务办理时间内提出申购或赎回的申请。</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投资人在提交申购申请时须按销售机构规定的方式备足申购资金，投资人在提交赎回申请时须持有足够的基金份额余额，否则所提交的申购、赎回申请不成立。</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投资人办理申购、赎回等业务时应提交的文件和办理手续、办理时间、处理规则等在遵守基金合同和本招募说明书规定的前提下，以各销售机构的具体规定为准。</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2、申购和赎回申请的确认</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在不违反法律法规的前提下，登记机构可根据《业务规则》，对上述业务办理时间进行调整，本基金管理人将于开始实施前按照有关规定予以公告。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3、申购和赎回的款项支付</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申购采用全额缴款方式，若申购资金在规定时间内未全额到账则申购不成功。若申购不成功或无效，基金管理人或基金管理人指定的非直销销售机构将投资人已缴付的申购款项本金退还给投资人。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cs="Calibri" w:hint="eastAsia"/>
          <w:szCs w:val="21"/>
        </w:rPr>
        <w:t>基金份额持有人递交赎回申请，赎回成立，赎回是否生效以登记机构确认为准。基金份额持有人赎回申请成功后，基金管理人将在T＋7日（包括该日）内支付赎回款项。如遇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参照基金合同有关条款处理。</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44" w:name="_Toc332373505"/>
      <w:r w:rsidRPr="007759F2">
        <w:rPr>
          <w:rStyle w:val="da"/>
          <w:rFonts w:asciiTheme="minorEastAsia" w:eastAsiaTheme="minorEastAsia" w:hAnsiTheme="minorEastAsia" w:hint="eastAsia"/>
          <w:szCs w:val="21"/>
        </w:rPr>
        <w:t>（六）申购与赎回的数额限制</w:t>
      </w:r>
      <w:bookmarkEnd w:id="44"/>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1、申购金额的限制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通过非直销销售机构或本公司网上交易系统首次申购的单笔最低限额为人民币1元，追加申购单笔最低限额为人民币1元；投资人通过本公司直销中心首次申购的单笔最低限额为人民币50,000元，追加申购单笔最低限额是人民币1,000元。在符合法律法规规定的前提下，各销售机构对申购限额及交易级差有其他规定的，需同时遵循该销售机构的相</w:t>
      </w:r>
      <w:r w:rsidRPr="007759F2">
        <w:rPr>
          <w:rFonts w:asciiTheme="minorEastAsia" w:eastAsiaTheme="minorEastAsia" w:hAnsiTheme="minorEastAsia" w:hint="eastAsia"/>
          <w:szCs w:val="21"/>
        </w:rPr>
        <w:lastRenderedPageBreak/>
        <w:t>关规定。（以上金额均含申购费）。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投资人将当期分配的基金收益转购基金份额或采用定期定额投资计划时，不受最低申购金额的限制。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可多次申购，对单个投资人累计持有份额不设上限限制。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2、赎回份额的限制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投资人可将其全部或部分基金份额赎回。</w:t>
      </w:r>
      <w:r w:rsidRPr="007759F2">
        <w:rPr>
          <w:rFonts w:asciiTheme="minorEastAsia" w:eastAsiaTheme="minorEastAsia" w:hAnsiTheme="minorEastAsia" w:cs="TT64E9BFA0tCID-WinCharSetFFFF-H" w:hint="eastAsia"/>
          <w:kern w:val="0"/>
          <w:szCs w:val="21"/>
        </w:rPr>
        <w:t>基金份额</w:t>
      </w:r>
      <w:r w:rsidRPr="007759F2">
        <w:rPr>
          <w:rFonts w:asciiTheme="minorEastAsia" w:eastAsiaTheme="minorEastAsia" w:hAnsiTheme="minorEastAsia" w:hint="eastAsia"/>
          <w:szCs w:val="21"/>
        </w:rPr>
        <w:t>单笔赎回或转换不得少于1份（如该账户在该销售机构托管的该基金余额不足1份，则必须一次性赎回或转出该基金全部份额）；若某笔赎回将导致投资人在该销售机构托管的该基金余额不足1份时，基金管理人有权将投资人在该销售机构托管的该基金剩余份额一次性全部赎回。在符合法律法规规定的前提下，各销售机构对赎回份额限制有其他规定的，需同时遵循该销售机构的相关规定。</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管理人可以根据市场情况，在不违反法律法规的情况下，调整上述规定申购金额和赎回份额的数量限制，或者新增基金规模控制措施。基金管理人必须在调整前依照《信息披露办法》的有关规定在指定媒介上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45" w:name="_Toc332373506"/>
      <w:r w:rsidRPr="007759F2">
        <w:rPr>
          <w:rStyle w:val="da"/>
          <w:rFonts w:asciiTheme="minorEastAsia" w:eastAsiaTheme="minorEastAsia" w:hAnsiTheme="minorEastAsia" w:hint="eastAsia"/>
          <w:szCs w:val="21"/>
        </w:rPr>
        <w:t>（七）基金的申购费和赎回费</w:t>
      </w:r>
      <w:bookmarkEnd w:id="45"/>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1、</w:t>
      </w:r>
      <w:r w:rsidRPr="007759F2">
        <w:rPr>
          <w:rFonts w:asciiTheme="minorEastAsia" w:eastAsiaTheme="minorEastAsia" w:hAnsiTheme="minorEastAsia" w:hint="eastAsia"/>
          <w:bCs/>
          <w:szCs w:val="21"/>
        </w:rPr>
        <w:t>本基金的申购费用由申购基金份额的投资人承担</w:t>
      </w:r>
      <w:r w:rsidRPr="007759F2">
        <w:rPr>
          <w:rFonts w:asciiTheme="minorEastAsia" w:eastAsiaTheme="minorEastAsia" w:hAnsiTheme="minorEastAsia" w:hint="eastAsia"/>
          <w:szCs w:val="21"/>
        </w:rPr>
        <w:t>，不列入基金财产，主要用于本基金的市场推广、销售、注册登记等各项费用。赎回费用由基金赎回人承担。</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2、申购费率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本基金对通过本公司直销中心申购的</w:t>
      </w:r>
      <w:r w:rsidRPr="007759F2">
        <w:rPr>
          <w:rStyle w:val="da"/>
          <w:rFonts w:asciiTheme="minorEastAsia" w:eastAsiaTheme="minorEastAsia" w:hAnsiTheme="minorEastAsia" w:hint="eastAsia"/>
        </w:rPr>
        <w:t>特定投资群体</w:t>
      </w:r>
      <w:r w:rsidRPr="007759F2">
        <w:rPr>
          <w:rFonts w:asciiTheme="minorEastAsia" w:eastAsiaTheme="minorEastAsia" w:hAnsiTheme="minorEastAsia" w:hint="eastAsia"/>
          <w:szCs w:val="21"/>
        </w:rPr>
        <w:t>与除此之外的其他投资者实施差别的申购费率。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特定投资群体可通过本公司直销中心申购本基金。基金管理人可根据情况变更</w:t>
      </w:r>
      <w:r w:rsidRPr="007759F2">
        <w:rPr>
          <w:rFonts w:asciiTheme="minorEastAsia" w:eastAsiaTheme="minorEastAsia" w:hAnsiTheme="minorEastAsia" w:hint="eastAsia"/>
          <w:bCs/>
          <w:szCs w:val="21"/>
        </w:rPr>
        <w:t>或增减</w:t>
      </w:r>
      <w:r w:rsidRPr="007759F2">
        <w:rPr>
          <w:rFonts w:asciiTheme="minorEastAsia" w:eastAsiaTheme="minorEastAsia" w:hAnsiTheme="minorEastAsia" w:hint="eastAsia"/>
          <w:szCs w:val="21"/>
        </w:rPr>
        <w:t>特定投资群体申购本基金的销售机构，</w:t>
      </w:r>
      <w:r w:rsidR="002A1429" w:rsidRPr="007759F2">
        <w:rPr>
          <w:rFonts w:asciiTheme="minorEastAsia" w:eastAsiaTheme="minorEastAsia" w:hAnsiTheme="minorEastAsia" w:hint="eastAsia"/>
          <w:bCs/>
          <w:szCs w:val="21"/>
        </w:rPr>
        <w:t>并在基金管理人网站公示</w:t>
      </w:r>
      <w:r w:rsidRPr="007759F2">
        <w:rPr>
          <w:rFonts w:asciiTheme="minorEastAsia" w:eastAsiaTheme="minorEastAsia" w:hAnsiTheme="minorEastAsia" w:hint="eastAsia"/>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46" w:name="_Toc332373507"/>
      <w:r w:rsidRPr="007759F2">
        <w:rPr>
          <w:rFonts w:asciiTheme="minorEastAsia" w:eastAsiaTheme="minorEastAsia" w:hAnsiTheme="minorEastAsia" w:hint="eastAsia"/>
          <w:szCs w:val="21"/>
        </w:rPr>
        <w:t>通过基金管理人的直销中心申购本基金的</w:t>
      </w:r>
      <w:r w:rsidRPr="007759F2">
        <w:rPr>
          <w:rFonts w:asciiTheme="minorEastAsia" w:eastAsiaTheme="minorEastAsia" w:hAnsiTheme="minorEastAsia" w:hint="eastAsia"/>
        </w:rPr>
        <w:t>特定投资群体</w:t>
      </w:r>
      <w:r w:rsidRPr="007759F2">
        <w:rPr>
          <w:rFonts w:asciiTheme="minorEastAsia" w:eastAsiaTheme="minorEastAsia" w:hAnsiTheme="minorEastAsia" w:hint="eastAsia"/>
          <w:szCs w:val="21"/>
        </w:rPr>
        <w:t>申购费率见下表：</w:t>
      </w:r>
    </w:p>
    <w:tbl>
      <w:tblPr>
        <w:tblW w:w="7574" w:type="dxa"/>
        <w:jc w:val="center"/>
        <w:tblLook w:val="04A0" w:firstRow="1" w:lastRow="0" w:firstColumn="1" w:lastColumn="0" w:noHBand="0" w:noVBand="1"/>
      </w:tblPr>
      <w:tblGrid>
        <w:gridCol w:w="3794"/>
        <w:gridCol w:w="3780"/>
      </w:tblGrid>
      <w:tr w:rsidR="007759F2" w:rsidRPr="007759F2" w:rsidTr="00CD234C">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申购金额M（元）（含申购费）</w:t>
            </w:r>
          </w:p>
        </w:tc>
        <w:tc>
          <w:tcPr>
            <w:tcW w:w="3780" w:type="dxa"/>
            <w:tcBorders>
              <w:top w:val="single" w:sz="8" w:space="0" w:color="auto"/>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申购费率</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M＜100万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0.15%</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100万≤M＜200万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0.12%</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200万≤M＜500万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ind w:firstLineChars="736" w:firstLine="1546"/>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0.03%</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M≥500万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1,000元/笔</w:t>
            </w:r>
          </w:p>
        </w:tc>
      </w:tr>
    </w:tbl>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rPr>
        <w:t>其他投资者申购本基金的申购费率见下表：</w:t>
      </w:r>
    </w:p>
    <w:tbl>
      <w:tblPr>
        <w:tblW w:w="7574" w:type="dxa"/>
        <w:jc w:val="center"/>
        <w:tblLook w:val="04A0" w:firstRow="1" w:lastRow="0" w:firstColumn="1" w:lastColumn="0" w:noHBand="0" w:noVBand="1"/>
      </w:tblPr>
      <w:tblGrid>
        <w:gridCol w:w="3794"/>
        <w:gridCol w:w="3780"/>
      </w:tblGrid>
      <w:tr w:rsidR="007759F2" w:rsidRPr="007759F2" w:rsidTr="00CD234C">
        <w:trPr>
          <w:trHeight w:val="525"/>
          <w:jc w:val="center"/>
        </w:trPr>
        <w:tc>
          <w:tcPr>
            <w:tcW w:w="3794" w:type="dxa"/>
            <w:tcBorders>
              <w:top w:val="single" w:sz="8" w:space="0" w:color="auto"/>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申购金额M（元）（含申购费）</w:t>
            </w:r>
          </w:p>
        </w:tc>
        <w:tc>
          <w:tcPr>
            <w:tcW w:w="3780" w:type="dxa"/>
            <w:tcBorders>
              <w:top w:val="single" w:sz="8" w:space="0" w:color="auto"/>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申购费率</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M＜100万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1.5%</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100万≤M＜200万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1.2%</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200万≤M＜500万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0.3%</w:t>
            </w:r>
          </w:p>
        </w:tc>
      </w:tr>
      <w:tr w:rsidR="007759F2" w:rsidRPr="007759F2" w:rsidTr="00CD234C">
        <w:trPr>
          <w:trHeight w:val="300"/>
          <w:jc w:val="center"/>
        </w:trPr>
        <w:tc>
          <w:tcPr>
            <w:tcW w:w="3794" w:type="dxa"/>
            <w:tcBorders>
              <w:top w:val="nil"/>
              <w:left w:val="single" w:sz="8" w:space="0" w:color="auto"/>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M≥500万</w:t>
            </w:r>
          </w:p>
        </w:tc>
        <w:tc>
          <w:tcPr>
            <w:tcW w:w="3780" w:type="dxa"/>
            <w:tcBorders>
              <w:top w:val="nil"/>
              <w:left w:val="nil"/>
              <w:bottom w:val="single" w:sz="8" w:space="0" w:color="auto"/>
              <w:right w:val="single" w:sz="8"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1,000元/笔</w:t>
            </w:r>
          </w:p>
        </w:tc>
      </w:tr>
    </w:tbl>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在申购费按金额分档的情况下，如果投资者多次申购，申购费适用单笔申购金额所对应的费率。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3、赎回费率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7759F2" w:rsidRPr="007759F2" w:rsidTr="00CD234C">
        <w:trPr>
          <w:trHeight w:val="462"/>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持有时间（天）</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赎回费率</w:t>
            </w:r>
          </w:p>
        </w:tc>
      </w:tr>
      <w:tr w:rsidR="007759F2" w:rsidRPr="007759F2" w:rsidTr="00CD234C">
        <w:trPr>
          <w:trHeight w:val="462"/>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0-6</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1.5%</w:t>
            </w:r>
          </w:p>
        </w:tc>
      </w:tr>
      <w:tr w:rsidR="007759F2" w:rsidRPr="007759F2" w:rsidTr="00CD234C">
        <w:trPr>
          <w:trHeight w:val="474"/>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7-29</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0.75%</w:t>
            </w:r>
          </w:p>
        </w:tc>
      </w:tr>
      <w:tr w:rsidR="007759F2" w:rsidRPr="007759F2" w:rsidTr="00CD234C">
        <w:trPr>
          <w:trHeight w:val="462"/>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30-89</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0.5%</w:t>
            </w:r>
          </w:p>
        </w:tc>
      </w:tr>
      <w:tr w:rsidR="007759F2" w:rsidRPr="007759F2" w:rsidTr="00CD234C">
        <w:trPr>
          <w:trHeight w:val="462"/>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90-179</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0.5%</w:t>
            </w:r>
          </w:p>
        </w:tc>
      </w:tr>
      <w:tr w:rsidR="007759F2" w:rsidRPr="007759F2" w:rsidTr="00CD234C">
        <w:trPr>
          <w:trHeight w:val="462"/>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180-364</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0.5%</w:t>
            </w:r>
          </w:p>
        </w:tc>
      </w:tr>
      <w:tr w:rsidR="007759F2" w:rsidRPr="007759F2" w:rsidTr="00CD234C">
        <w:trPr>
          <w:trHeight w:val="474"/>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365-729</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0.25%</w:t>
            </w:r>
          </w:p>
        </w:tc>
      </w:tr>
      <w:tr w:rsidR="007759F2" w:rsidRPr="007759F2" w:rsidTr="00CD234C">
        <w:trPr>
          <w:trHeight w:val="474"/>
          <w:jc w:val="center"/>
        </w:trPr>
        <w:tc>
          <w:tcPr>
            <w:tcW w:w="3806"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730及以上</w:t>
            </w:r>
          </w:p>
        </w:tc>
        <w:tc>
          <w:tcPr>
            <w:tcW w:w="3735" w:type="dxa"/>
            <w:tcBorders>
              <w:top w:val="single" w:sz="4" w:space="0" w:color="auto"/>
              <w:left w:val="single" w:sz="4" w:space="0" w:color="auto"/>
              <w:bottom w:val="single" w:sz="4" w:space="0" w:color="auto"/>
              <w:right w:val="single" w:sz="4" w:space="0" w:color="auto"/>
            </w:tcBorders>
            <w:hideMark/>
          </w:tcPr>
          <w:p w:rsidR="00CD234C" w:rsidRPr="007759F2" w:rsidRDefault="00CD234C">
            <w:pPr>
              <w:widowControl/>
              <w:snapToGrid w:val="0"/>
              <w:spacing w:line="360" w:lineRule="auto"/>
              <w:jc w:val="center"/>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0%</w:t>
            </w:r>
          </w:p>
        </w:tc>
      </w:tr>
    </w:tbl>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者可将其持有的全部或部分基金份额赎回。赎回费用由赎回基金份额的基金份额持有人承担，在基金份额持有人赎回基金份额时收取。对持有期少于30天（不含）的基金份额持有人所收取赎回费用全额计入基金财产；对持有期在30天以上（含）且少于90天（不含）的基金份额持有人所收取赎回费用总额的75%计入基金财产；对持有期在90天以上（含）且少于180天（不含）的基金份额持有人所收取赎回费用总额的50%计入基金财产；对持续持有期180天以上（含）的基金份额持有人所收取赎回费用总额的25%计入基金财产；其余用于支付市场推广、注册登记费和其他手续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w:t>
      </w:r>
      <w:r w:rsidRPr="007759F2">
        <w:rPr>
          <w:rFonts w:asciiTheme="minorEastAsia" w:eastAsiaTheme="minorEastAsia" w:hAnsiTheme="minorEastAsia" w:hint="eastAsia"/>
          <w:szCs w:val="21"/>
        </w:rPr>
        <w:lastRenderedPageBreak/>
        <w:t>法》的有关规定在指定媒介上公告。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（八）申购和赎回的数额和价格</w:t>
      </w:r>
      <w:bookmarkEnd w:id="46"/>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1、申购和赎回数额、余额的处理方式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47" w:name="_Toc332373508"/>
      <w:r w:rsidRPr="007759F2">
        <w:rPr>
          <w:rFonts w:asciiTheme="minorEastAsia" w:eastAsiaTheme="minorEastAsia" w:hAnsiTheme="minorEastAsia" w:hint="eastAsia"/>
          <w:szCs w:val="21"/>
        </w:rPr>
        <w:t>2、申购份额的计算</w:t>
      </w:r>
      <w:bookmarkEnd w:id="47"/>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净申购金额=申购金额/（1+申购费率）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（注：对于500万（含）以上适用固定金额申购费的申购，净申购金额＝申购金额－固定申购费金额）</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申购费用=申购金额-净申购金额</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申购份额=净申购金额/T日基金份额净值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例：某投资人（非</w:t>
      </w:r>
      <w:r w:rsidRPr="007759F2">
        <w:rPr>
          <w:rFonts w:asciiTheme="minorEastAsia" w:eastAsiaTheme="minorEastAsia" w:hAnsiTheme="minorEastAsia" w:hint="eastAsia"/>
        </w:rPr>
        <w:t>特定投资群体</w:t>
      </w:r>
      <w:r w:rsidRPr="007759F2">
        <w:rPr>
          <w:rFonts w:asciiTheme="minorEastAsia" w:eastAsiaTheme="minorEastAsia" w:hAnsiTheme="minorEastAsia" w:hint="eastAsia"/>
          <w:szCs w:val="21"/>
        </w:rPr>
        <w:t>）投资100,000元申购本基金，申购费率为1.5%，假设申购当日基金份额净值为1.040元，则其可得到的申购份额为：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净申购金额=100,000/（1+1.5%）=98,522.17元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申购费用=100,000-98,522.17=1,477.83元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申购份额=98,522.17/1.040=94,732.86份</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例：某投资人（</w:t>
      </w:r>
      <w:r w:rsidRPr="007759F2">
        <w:rPr>
          <w:rFonts w:asciiTheme="minorEastAsia" w:eastAsiaTheme="minorEastAsia" w:hAnsiTheme="minorEastAsia" w:hint="eastAsia"/>
        </w:rPr>
        <w:t>特定投资群体</w:t>
      </w:r>
      <w:r w:rsidRPr="007759F2">
        <w:rPr>
          <w:rFonts w:asciiTheme="minorEastAsia" w:eastAsiaTheme="minorEastAsia" w:hAnsiTheme="minorEastAsia" w:hint="eastAsia"/>
          <w:szCs w:val="21"/>
        </w:rPr>
        <w:t>）通过本管理人的直销中心投资100,000元申购本基金，申购费率为0.15%，假设申购当日基金份额净值为1.040元，则其可得到的申购份额为：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净申购金额=100,000/（1+0.15%）=99,850.22元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申购费用=100,000-99,850.22=149.78元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申购份额=99,850.22/1.040=96,009.83份</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3、赎回金额的计算</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赎回金额的计算方法如下：</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赎回费用=赎回份额×T日基金份额净值×赎回费率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赎回金额=赎回份额×T日基金份额净值-赎回费用</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例：某投资人赎回10,000份基金份额，假设该笔份额持有期限为100天，则对应的赎回费率为0.5%，假设赎回当日基金份额净值是1.016元，则其可得到的赎回金额为：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赎回费用=10,000×1.016×0.5%＝50.80元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赎回金额=10,000×1.016-50.80＝10,109.20元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即：投资人赎回本基金10,000份基金份额，假设赎回当日基金份额净值是1.016元，则其可得到的赎回金额为10,109.20元。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48" w:name="_Toc332373509"/>
      <w:r w:rsidRPr="007759F2">
        <w:rPr>
          <w:rFonts w:asciiTheme="minorEastAsia" w:eastAsiaTheme="minorEastAsia" w:hAnsiTheme="minorEastAsia" w:hint="eastAsia"/>
          <w:szCs w:val="21"/>
        </w:rPr>
        <w:t>4、基金份额净值的计算公式</w:t>
      </w:r>
      <w:bookmarkEnd w:id="48"/>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计算日基金份额净值=计算日基金资产净值/计算日基金总份额。</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49" w:name="_Toc332373510"/>
      <w:r w:rsidRPr="007759F2">
        <w:rPr>
          <w:rStyle w:val="da"/>
          <w:rFonts w:asciiTheme="minorEastAsia" w:eastAsiaTheme="minorEastAsia" w:hAnsiTheme="minorEastAsia" w:hint="eastAsia"/>
        </w:rPr>
        <w:t>（九）申购和赎回的登记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正常情况下，投资者T日申购基金成功后，登记机构在T+1日为投资者增加权益并办理登记手续，投资人自T+2日起（含该日）有权赎回该部分基金份额。</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基金份额持有人T日赎回基金成功后，正常情况下，登记机构在T+1日为其办理扣除权益的登记手续。</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Style w:val="da"/>
          <w:rFonts w:asciiTheme="minorEastAsia" w:eastAsiaTheme="minorEastAsia" w:hAnsiTheme="minorEastAsia" w:hint="eastAsia"/>
        </w:rPr>
        <w:t>在不违反法律法规的前提下，登记机构可以对上述登记办理时间进行调整，基金管理人应于开始实施前依照《信息披露办法》的有关规定在指定媒介上公告。</w:t>
      </w:r>
      <w:bookmarkEnd w:id="49"/>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50" w:name="_Toc332373511"/>
      <w:r w:rsidRPr="007759F2">
        <w:rPr>
          <w:rStyle w:val="da"/>
          <w:rFonts w:asciiTheme="minorEastAsia" w:eastAsiaTheme="minorEastAsia" w:hAnsiTheme="minorEastAsia" w:hint="eastAsia"/>
          <w:szCs w:val="21"/>
        </w:rPr>
        <w:t>（十）巨额赎回的认定及处理方式</w:t>
      </w:r>
      <w:bookmarkEnd w:id="50"/>
    </w:p>
    <w:p w:rsidR="00CD234C" w:rsidRPr="007759F2" w:rsidRDefault="00CD234C" w:rsidP="00CD234C">
      <w:pPr>
        <w:snapToGrid w:val="0"/>
        <w:spacing w:line="360" w:lineRule="auto"/>
        <w:ind w:firstLineChars="200" w:firstLine="420"/>
        <w:rPr>
          <w:rFonts w:asciiTheme="minorEastAsia" w:eastAsiaTheme="minorEastAsia" w:hAnsiTheme="minorEastAsia"/>
          <w:bCs/>
        </w:rPr>
      </w:pPr>
      <w:bookmarkStart w:id="51" w:name="_Toc332373514"/>
      <w:r w:rsidRPr="007759F2">
        <w:rPr>
          <w:rFonts w:asciiTheme="minorEastAsia" w:eastAsiaTheme="minorEastAsia" w:hAnsiTheme="minorEastAsia" w:hint="eastAsia"/>
          <w:bCs/>
          <w:szCs w:val="21"/>
        </w:rPr>
        <w:t>1、巨额赎回的认定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2、巨额赎回的处理方式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当基金出现巨额赎回时，基金管理人可以根据基金当时的资产组合状况决定全额赎回或部分延期赎回。</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（1）全额赎回：当基金管理人认为有能力支付投资人的全部赎回申请时，按正常赎回程序执行。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7759F2">
        <w:rPr>
          <w:rFonts w:asciiTheme="minorEastAsia" w:eastAsiaTheme="minorEastAsia" w:hAnsiTheme="minorEastAsia" w:hint="eastAsia"/>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（3）暂停赎回：连续2日以上(含本数)发生巨额赎回，如基金管理人认为有必要，可暂停接受基金的赎回申请；已经接受的赎回申请可以延缓支付赎回款项，但不得超过20个工作日，并应当在指定媒介上进行公告。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3、巨额赎回的公告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当发生上述延期赎回并延期办理时，基金管理人应当通过邮寄、传真或者招募说明书规定的其他方式在3个交易日内通知基金份额持有人，说明有关处理方法，</w:t>
      </w:r>
      <w:r w:rsidR="002A1429" w:rsidRPr="007759F2">
        <w:rPr>
          <w:rFonts w:asciiTheme="minorEastAsia" w:eastAsiaTheme="minorEastAsia" w:hAnsiTheme="minorEastAsia" w:hint="eastAsia"/>
          <w:bCs/>
          <w:szCs w:val="21"/>
        </w:rPr>
        <w:t>并在2日内</w:t>
      </w:r>
      <w:r w:rsidRPr="007759F2">
        <w:rPr>
          <w:rFonts w:asciiTheme="minorEastAsia" w:eastAsiaTheme="minorEastAsia" w:hAnsiTheme="minorEastAsia" w:hint="eastAsia"/>
          <w:bCs/>
          <w:szCs w:val="21"/>
        </w:rPr>
        <w:t>在指定媒介上刊登公告。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（十一）拒绝或暂停申购、暂停赎回</w:t>
      </w:r>
      <w:r w:rsidRPr="007759F2">
        <w:rPr>
          <w:rFonts w:asciiTheme="minorEastAsia" w:eastAsiaTheme="minorEastAsia" w:hAnsiTheme="minorEastAsia" w:hint="eastAsia"/>
          <w:bCs/>
          <w:szCs w:val="21"/>
        </w:rPr>
        <w:t>或延缓支付赎回款项</w:t>
      </w:r>
      <w:r w:rsidRPr="007759F2">
        <w:rPr>
          <w:rStyle w:val="da"/>
          <w:rFonts w:asciiTheme="minorEastAsia" w:eastAsiaTheme="minorEastAsia" w:hAnsiTheme="minorEastAsia" w:hint="eastAsia"/>
          <w:szCs w:val="21"/>
        </w:rPr>
        <w:t>的情形及处理</w:t>
      </w:r>
      <w:bookmarkEnd w:id="51"/>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1、发生下列情况时，基金管理人可拒绝或暂停接受投资人的申购申请：</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（1）因不可抗力导致基金无法正常运作。</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（2）发生基金合同规定的暂停基金资产估值情况时。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（3）本基金投资的证券交易场所临时停止交易。</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（4）基金管理人认为接受某笔或某些申购申请可能会影响或损害现有基金份额持有人利益时。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（5）基金资产规模过大，使基金管理人无法找到合适的投资品种，或其他可能对基金业绩产生负面影响，或基金管理人认定的其他损害现有基金份额持有人利益的情形。</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（6）基金管理人、基金托管人、登记机构、销售机构、支付结算机构等因异常情况导致基金销售系统、基金销售支付结算系统、基金登记系统、基金会计系统等无法正常运行。</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（7）基金管理人接受某笔或者某些申购申请有可能导致单一投资者持有基金份额的比例达到或者超过50%，或者变相规避50%集中度的情形时。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9）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（10）法律法规规定或中国证监会认定的其他情形。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发生上述第（1）、（2）、（3）、（5）、（6）、（8）、（9）、（10）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2、发生下列情形时，基金管理人可暂停接受投资人的赎回申请或延缓支付赎回款项：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（1）因不可抗力导致基金管理人不能支付赎回款项。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（2）发生基金合同规定的暂停基金资产估值情况时。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（3）本基金投资的证券交易场所临时停止交易。</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（4）连续两个或两个以上开放日发生巨额赎回。</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（5）本基金的资产组合中的重要部分发生暂停交易或其他重大事件，继续接受赎回可能会影响或损害基金份额持有人利益时。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（6）基金管理人、基金托管人、登记机构、销售机构、支付结算机构等因异常情况导致基金销售系统、基金销售支付结算系统、基金登记系统、基金会计系统等无法正常运行。</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（7）基金管理人认为继续接受赎回申请将损害现有基金份额持有人利益的情形时，可暂停接受投资人的赎回申请。</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（9）法律法规规定或中国证监会认定的其他情形。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52" w:name="_Toc332373515"/>
      <w:r w:rsidRPr="007759F2">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3、暂停申购或赎回的公告和重新开放申购或赎回的公告</w:t>
      </w:r>
      <w:bookmarkEnd w:id="52"/>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（1）发生上述暂停申购或赎回情况的，基金管理人应在规定期限内在指定媒介上刊登暂停公告。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sz w:val="30"/>
        </w:rPr>
      </w:pPr>
      <w:r w:rsidRPr="007759F2">
        <w:rPr>
          <w:rFonts w:asciiTheme="minorEastAsia" w:eastAsiaTheme="minorEastAsia" w:hAnsiTheme="minorEastAsia" w:hint="eastAsia"/>
          <w:sz w:val="30"/>
        </w:rPr>
        <w:br w:type="column"/>
      </w:r>
      <w:bookmarkStart w:id="53" w:name="_Toc332373516"/>
      <w:bookmarkStart w:id="54" w:name="_Toc43380854"/>
      <w:r w:rsidRPr="007759F2">
        <w:rPr>
          <w:rFonts w:asciiTheme="minorEastAsia" w:eastAsiaTheme="minorEastAsia" w:hAnsiTheme="minorEastAsia" w:hint="eastAsia"/>
          <w:sz w:val="30"/>
        </w:rPr>
        <w:lastRenderedPageBreak/>
        <w:t>九、</w:t>
      </w:r>
      <w:bookmarkEnd w:id="53"/>
      <w:r w:rsidRPr="007759F2">
        <w:rPr>
          <w:rFonts w:asciiTheme="minorEastAsia" w:eastAsiaTheme="minorEastAsia" w:hAnsiTheme="minorEastAsia" w:hint="eastAsia"/>
          <w:sz w:val="30"/>
        </w:rPr>
        <w:t>基金转换和定期定额投资计划</w:t>
      </w:r>
      <w:bookmarkEnd w:id="54"/>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bookmarkStart w:id="55" w:name="_Toc332373517"/>
      <w:r w:rsidRPr="007759F2">
        <w:rPr>
          <w:rStyle w:val="da"/>
          <w:rFonts w:asciiTheme="minorEastAsia" w:eastAsiaTheme="minorEastAsia" w:hAnsiTheme="minorEastAsia" w:hint="eastAsia"/>
          <w:szCs w:val="21"/>
        </w:rPr>
        <w:t>1、基金转换</w:t>
      </w:r>
      <w:r w:rsidRPr="007759F2">
        <w:rPr>
          <w:rFonts w:asciiTheme="minorEastAsia" w:eastAsiaTheme="minorEastAsia" w:hAnsiTheme="minorEastAsia" w:hint="eastAsia"/>
          <w:szCs w:val="21"/>
        </w:rPr>
        <w:t>开始日及时间</w:t>
      </w:r>
    </w:p>
    <w:p w:rsidR="00CD234C" w:rsidRPr="007759F2" w:rsidRDefault="00CD234C" w:rsidP="00CD234C">
      <w:pPr>
        <w:snapToGrid w:val="0"/>
        <w:spacing w:line="360" w:lineRule="auto"/>
        <w:ind w:firstLine="420"/>
        <w:rPr>
          <w:rFonts w:asciiTheme="minorEastAsia" w:eastAsiaTheme="minorEastAsia" w:hAnsiTheme="minorEastAsia" w:cs="Arial"/>
        </w:rPr>
      </w:pPr>
      <w:r w:rsidRPr="007759F2">
        <w:rPr>
          <w:rFonts w:asciiTheme="minorEastAsia" w:eastAsiaTheme="minorEastAsia" w:hAnsiTheme="minorEastAsia" w:hint="eastAsia"/>
          <w:szCs w:val="21"/>
        </w:rPr>
        <w:t>本基金已于2015年7月27日开始办理基金转换业务，</w:t>
      </w:r>
      <w:r w:rsidRPr="007759F2">
        <w:rPr>
          <w:rFonts w:asciiTheme="minorEastAsia" w:eastAsiaTheme="minorEastAsia" w:hAnsiTheme="minorEastAsia" w:cs="Arial" w:hint="eastAsia"/>
          <w:szCs w:val="21"/>
        </w:rPr>
        <w:t>具体实施办法参见相关公告。</w:t>
      </w:r>
    </w:p>
    <w:p w:rsidR="00CD234C" w:rsidRPr="007759F2" w:rsidRDefault="00CD234C" w:rsidP="00CD234C">
      <w:pPr>
        <w:snapToGrid w:val="0"/>
        <w:spacing w:line="360" w:lineRule="auto"/>
        <w:ind w:firstLine="420"/>
        <w:rPr>
          <w:rFonts w:asciiTheme="minorEastAsia" w:eastAsiaTheme="minorEastAsia" w:hAnsiTheme="minorEastAsia" w:cs="Arial"/>
          <w:szCs w:val="21"/>
        </w:rPr>
      </w:pPr>
      <w:r w:rsidRPr="007759F2">
        <w:rPr>
          <w:rFonts w:asciiTheme="minorEastAsia" w:eastAsiaTheme="minorEastAsia" w:hAnsiTheme="minorEastAsia" w:cs="Arial" w:hint="eastAsia"/>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7759F2">
        <w:rPr>
          <w:rFonts w:asciiTheme="minorEastAsia" w:eastAsiaTheme="minorEastAsia" w:hAnsiTheme="minorEastAsia" w:hint="eastAsia"/>
          <w:bCs/>
          <w:szCs w:val="21"/>
        </w:rPr>
        <w:t>若出现新的证券交易市场、证券交易所交易时间变更、其他特殊情况或根据业务需要，基金管理人有权视情况对前述开放日及开放时间进行相应的调整，但应在实施前依照</w:t>
      </w:r>
      <w:r w:rsidRPr="007759F2">
        <w:rPr>
          <w:rFonts w:asciiTheme="minorEastAsia" w:eastAsiaTheme="minorEastAsia" w:hAnsiTheme="minorEastAsia" w:cs="Arial" w:hint="eastAsia"/>
          <w:szCs w:val="21"/>
        </w:rPr>
        <w:t>《信息披露办法》的有关规定在指定媒介上公告。</w:t>
      </w:r>
    </w:p>
    <w:p w:rsidR="00CD234C" w:rsidRPr="007759F2" w:rsidRDefault="00CD234C" w:rsidP="00CD234C">
      <w:pPr>
        <w:snapToGrid w:val="0"/>
        <w:spacing w:line="360" w:lineRule="auto"/>
        <w:ind w:firstLine="420"/>
        <w:rPr>
          <w:rFonts w:asciiTheme="minorEastAsia" w:eastAsiaTheme="minorEastAsia" w:hAnsiTheme="minorEastAsia" w:cs="Arial"/>
          <w:szCs w:val="21"/>
        </w:rPr>
      </w:pPr>
      <w:r w:rsidRPr="007759F2">
        <w:rPr>
          <w:rFonts w:asciiTheme="minorEastAsia" w:eastAsiaTheme="minorEastAsia" w:hAnsiTheme="minorEastAsia" w:cs="Arial" w:hint="eastAsia"/>
          <w:szCs w:val="21"/>
        </w:rPr>
        <w:t>投资者需在转出基金和转入基金均有交易的当日，方可办理基金转换业务。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Style w:val="da"/>
          <w:rFonts w:asciiTheme="minorEastAsia" w:eastAsiaTheme="minorEastAsia" w:hAnsiTheme="minorEastAsia" w:hint="eastAsia"/>
          <w:szCs w:val="21"/>
        </w:rPr>
        <w:t>2、</w:t>
      </w:r>
      <w:r w:rsidRPr="007759F2">
        <w:rPr>
          <w:rFonts w:asciiTheme="minorEastAsia" w:eastAsiaTheme="minorEastAsia" w:hAnsiTheme="minorEastAsia" w:hint="eastAsia"/>
          <w:szCs w:val="21"/>
        </w:rPr>
        <w:t>基金转换的原则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（1）基金转换只能在同一销售机构进行。转换的两只基金必须都是该销售机构销售的同一基金管理人管理的、在同一注册登记机构注册登记的基金。</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（2）基金转换以份额为单位进行申请。投资者可以发起多次基金转换业务，基金转换费用按每笔申请单独计算。转换费用以人民币元为单位，计算结果按照四舍五入方法，保留小数点后两位。</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（3）基金转换采取未知价法，即基金的转换价格以转换申请受理当日各转出、转入基金的份额净值为基准进行计算。</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（4）基金转换后，转入的基金份额的持有期将自转入的基金份额被确认之日起重新开始计算。</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（5）投资者办理基金转换业务时，转出方的基金必须处于可赎回状态，转入方的基金必须处于可申购状态。</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（6）转换业务遵循“先进先出”的业务规则，即份额注册日期在前的先转换出，份额注册日期在后的后转换出，如果转换申请当日，同时有赎回申请的情况下，则遵循先赎回后转换的处理原则。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（7）转入本基金的份额计算结果保留到小数点后两位，小数点后两位以后的部分四舍五入，由此误差产生的损失由基金财产承担，产生的收益归基金财产所有。</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3、基金转换的程序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（1）基金转换的申请方式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基金投资者必须根据基金管理人和基金销售机构规定的手续，在开放日的业务办理时间提出转换的申请。</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提交基金转换申请时，账户中必须有足够可用的转出基金份额余额。</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（2）基金转换申请的确认</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4、基金转换的数额限制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份额持有人可将其全部或部分基金份额转换成另一只基金，本基金基金份额单笔转出申请不得少于1份（如该账户在该销售机构托管的该基金余额不足1份，则必须一次性赎回或转出该基金全部份额）；若某笔转换导致投资者在该销售机构托管的该基金余额不足1份时，基金管理人有权将投资者在该销售机构托管的该基金剩余份额一次性全部赎回。</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5、基金转换费率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6、基金转换份额的计算方式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计算公式：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A＝［B×C×(1-D)/（1+G）+F］/E</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H＝B×C×D</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J＝[B×C×(1-D)/(1+G)]×G</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FF053A" w:rsidRPr="007759F2">
        <w:rPr>
          <w:rFonts w:asciiTheme="minorEastAsia" w:eastAsiaTheme="minorEastAsia" w:hAnsiTheme="minorEastAsia" w:hint="eastAsia"/>
          <w:szCs w:val="21"/>
        </w:rPr>
        <w:t>F为货币市场基金全部转出时注册登记机构已支付的未付收益</w:t>
      </w:r>
      <w:r w:rsidRPr="007759F2">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080739" w:rsidRPr="007759F2">
        <w:rPr>
          <w:rFonts w:asciiTheme="minorEastAsia" w:eastAsiaTheme="minorEastAsia" w:hAnsiTheme="minorEastAsia" w:hint="eastAsia"/>
          <w:szCs w:val="21"/>
        </w:rPr>
        <w:t>、</w:t>
      </w:r>
      <w:r w:rsidRPr="007759F2">
        <w:rPr>
          <w:rFonts w:asciiTheme="minorEastAsia" w:eastAsiaTheme="minorEastAsia" w:hAnsiTheme="minorEastAsia" w:hint="eastAsia"/>
          <w:szCs w:val="21"/>
        </w:rPr>
        <w:t>易方达天天发货币市场基金</w:t>
      </w:r>
      <w:r w:rsidR="00080739" w:rsidRPr="007759F2">
        <w:rPr>
          <w:rFonts w:asciiTheme="minorEastAsia" w:eastAsiaTheme="minorEastAsia" w:hAnsiTheme="minorEastAsia" w:hint="eastAsia"/>
          <w:szCs w:val="21"/>
        </w:rPr>
        <w:t>和易方达易理财货币市场基金</w:t>
      </w:r>
      <w:r w:rsidRPr="007759F2">
        <w:rPr>
          <w:rFonts w:asciiTheme="minorEastAsia" w:eastAsiaTheme="minorEastAsia" w:hAnsiTheme="minorEastAsia" w:hint="eastAsia"/>
          <w:szCs w:val="21"/>
        </w:rPr>
        <w:t>）或者短期理财基金转出时对应的累计未付收益（转出基金为易方达月月利理财债券型基金和易方达掌柜季季盈理财债券型基金）；G为对应的申购补差费率；H为转出基金赎回费；J为申购补差费。</w:t>
      </w:r>
    </w:p>
    <w:p w:rsidR="00FF053A" w:rsidRPr="007759F2" w:rsidRDefault="00FF053A"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w:t>
      </w:r>
      <w:r w:rsidRPr="007759F2">
        <w:rPr>
          <w:rFonts w:asciiTheme="minorEastAsia" w:eastAsiaTheme="minorEastAsia" w:hAnsiTheme="minorEastAsia" w:hint="eastAsia"/>
          <w:szCs w:val="21"/>
        </w:rPr>
        <w:lastRenderedPageBreak/>
        <w:t>注册登记机构的具体规定为准。当投资者在全部转换转出某类货币市场基金份额时，如其未付收益为负，基金份额对应的未付收益与转换转出份额对应的款项一并划转到转换转入的基金。</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说明：</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（1）基金转换费用由转出基金赎回费用及基金申购补差费用两部分构成。</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例：假设某持有人（非特定投资群体）持有本基金10,000份，持有100天，现欲转换为易方达策略成长二号混合型证券投资基金；假设转出基金T日的基金份额净值为1.100元，转入基金易方达策略成长二号混合型证券投资基金T日的基金份额净值为1.020元，则转出基金的赎回费率为0.5%，申购补差费率为0.5%。转换份额计算如下：</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转换金额=转出基金申请份额×转出基金份额净值=10,000×1.100=11,000.00元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转出基金赎回费=转换金额×转出基金赎回费率=11,000.00×0.5%=55元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申购补差费=（转换金额-转出基金赎回费）×申购补差费率÷（1＋申购补差费率）=（11,000.00-55)×0.5%÷(1+0.5%)=54.45元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转换费=转出基金赎回费+申购补差费=55+54.45=109.45元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转入金额=转换金额-转换费=11,000.00-109.45=10,890.55元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转入份额=转入金额÷转入基金份额净值=10,890.55÷1.020=10,677.01份</w:t>
      </w:r>
    </w:p>
    <w:p w:rsidR="00677BF5" w:rsidRPr="007759F2" w:rsidRDefault="00677BF5" w:rsidP="00677BF5">
      <w:pPr>
        <w:adjustRightInd w:val="0"/>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注：本基金转出至易方达平稳增长混合、易方达策略成长混合、易方达上证</w:t>
      </w:r>
      <w:r w:rsidRPr="007759F2">
        <w:rPr>
          <w:rFonts w:asciiTheme="minorEastAsia" w:eastAsiaTheme="minorEastAsia" w:hAnsiTheme="minorEastAsia"/>
        </w:rPr>
        <w:t>50</w:t>
      </w:r>
      <w:r w:rsidRPr="007759F2">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7759F2">
        <w:rPr>
          <w:rFonts w:asciiTheme="minorEastAsia" w:eastAsiaTheme="minorEastAsia" w:hAnsiTheme="minorEastAsia"/>
        </w:rPr>
        <w:t>1</w:t>
      </w:r>
      <w:r w:rsidRPr="007759F2">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7759F2">
        <w:rPr>
          <w:rFonts w:asciiTheme="minorEastAsia" w:eastAsiaTheme="minorEastAsia" w:hAnsiTheme="minorEastAsia"/>
        </w:rPr>
        <w:t>1</w:t>
      </w:r>
      <w:r w:rsidRPr="007759F2">
        <w:rPr>
          <w:rFonts w:asciiTheme="minorEastAsia" w:eastAsiaTheme="minorEastAsia" w:hAnsiTheme="minorEastAsia" w:hint="eastAsia"/>
        </w:rPr>
        <w:t>年定期债券、易方达黄金</w:t>
      </w:r>
      <w:r w:rsidRPr="007759F2">
        <w:rPr>
          <w:rFonts w:asciiTheme="minorEastAsia" w:eastAsiaTheme="minorEastAsia" w:hAnsiTheme="minorEastAsia"/>
        </w:rPr>
        <w:t>ETF</w:t>
      </w:r>
      <w:r w:rsidRPr="007759F2">
        <w:rPr>
          <w:rFonts w:asciiTheme="minorEastAsia" w:eastAsiaTheme="minorEastAsia" w:hAnsiTheme="minorEastAsia" w:hint="eastAsia"/>
        </w:rPr>
        <w:t>联接、易方达易理财货币、易方达新兴成长混合、易方达裕惠定开混合发起式、易方达创新驱动混合、易方达现金增利货币、易方达财富快线货币、易</w:t>
      </w:r>
      <w:r w:rsidRPr="007759F2">
        <w:rPr>
          <w:rFonts w:asciiTheme="minorEastAsia" w:eastAsiaTheme="minorEastAsia" w:hAnsiTheme="minorEastAsia" w:hint="eastAsia"/>
        </w:rPr>
        <w:lastRenderedPageBreak/>
        <w:t>方达天天增利货币、易方达龙宝货币、易方达天天发货币、易方达掌柜季季盈理财债券、易方达沪深</w:t>
      </w:r>
      <w:r w:rsidRPr="007759F2">
        <w:rPr>
          <w:rFonts w:asciiTheme="minorEastAsia" w:eastAsiaTheme="minorEastAsia" w:hAnsiTheme="minorEastAsia"/>
        </w:rPr>
        <w:t>300</w:t>
      </w:r>
      <w:r w:rsidRPr="007759F2">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7759F2">
        <w:rPr>
          <w:rFonts w:asciiTheme="minorEastAsia" w:eastAsiaTheme="minorEastAsia" w:hAnsiTheme="minorEastAsia"/>
        </w:rPr>
        <w:t>300</w:t>
      </w:r>
      <w:r w:rsidRPr="007759F2">
        <w:rPr>
          <w:rFonts w:asciiTheme="minorEastAsia" w:eastAsiaTheme="minorEastAsia" w:hAnsiTheme="minorEastAsia" w:hint="eastAsia"/>
        </w:rPr>
        <w:t>医药</w:t>
      </w:r>
      <w:r w:rsidRPr="007759F2">
        <w:rPr>
          <w:rFonts w:asciiTheme="minorEastAsia" w:eastAsiaTheme="minorEastAsia" w:hAnsiTheme="minorEastAsia"/>
        </w:rPr>
        <w:t>ETF</w:t>
      </w:r>
      <w:r w:rsidRPr="007759F2">
        <w:rPr>
          <w:rFonts w:asciiTheme="minorEastAsia" w:eastAsiaTheme="minorEastAsia" w:hAnsiTheme="minorEastAsia" w:hint="eastAsia"/>
        </w:rPr>
        <w:t>联接、易方达新丝路混合、易方达国企改革混合、易方达瑞享混合、易方达瑞信混合、易方达瑞选混合、易方达国防军工混合、易方达中债</w:t>
      </w:r>
      <w:r w:rsidRPr="007759F2">
        <w:rPr>
          <w:rFonts w:asciiTheme="minorEastAsia" w:eastAsiaTheme="minorEastAsia" w:hAnsiTheme="minorEastAsia"/>
        </w:rPr>
        <w:t>3-5</w:t>
      </w:r>
      <w:r w:rsidRPr="007759F2">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7759F2">
        <w:rPr>
          <w:rFonts w:asciiTheme="minorEastAsia" w:eastAsiaTheme="minorEastAsia" w:hAnsiTheme="minorEastAsia"/>
        </w:rPr>
        <w:t>6</w:t>
      </w:r>
      <w:r w:rsidRPr="007759F2">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7759F2">
        <w:rPr>
          <w:rFonts w:asciiTheme="minorEastAsia" w:eastAsiaTheme="minorEastAsia" w:hAnsiTheme="minorEastAsia"/>
        </w:rPr>
        <w:t>7-10</w:t>
      </w:r>
      <w:r w:rsidRPr="007759F2">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7759F2">
        <w:rPr>
          <w:rFonts w:asciiTheme="minorEastAsia" w:eastAsiaTheme="minorEastAsia" w:hAnsiTheme="minorEastAsia"/>
        </w:rPr>
        <w:t>MSCI</w:t>
      </w:r>
      <w:r w:rsidRPr="007759F2">
        <w:rPr>
          <w:rFonts w:asciiTheme="minorEastAsia" w:eastAsiaTheme="minorEastAsia" w:hAnsiTheme="minorEastAsia" w:hint="eastAsia"/>
        </w:rPr>
        <w:t>中国</w:t>
      </w:r>
      <w:r w:rsidRPr="007759F2">
        <w:rPr>
          <w:rFonts w:asciiTheme="minorEastAsia" w:eastAsiaTheme="minorEastAsia" w:hAnsiTheme="minorEastAsia"/>
        </w:rPr>
        <w:t>A</w:t>
      </w:r>
      <w:r w:rsidRPr="007759F2">
        <w:rPr>
          <w:rFonts w:asciiTheme="minorEastAsia" w:eastAsiaTheme="minorEastAsia" w:hAnsiTheme="minorEastAsia" w:hint="eastAsia"/>
        </w:rPr>
        <w:t>股国际通</w:t>
      </w:r>
      <w:r w:rsidRPr="007759F2">
        <w:rPr>
          <w:rFonts w:asciiTheme="minorEastAsia" w:eastAsiaTheme="minorEastAsia" w:hAnsiTheme="minorEastAsia"/>
        </w:rPr>
        <w:t>ETF</w:t>
      </w:r>
      <w:r w:rsidRPr="007759F2">
        <w:rPr>
          <w:rFonts w:asciiTheme="minorEastAsia" w:eastAsiaTheme="minorEastAsia" w:hAnsiTheme="minorEastAsia" w:hint="eastAsia"/>
        </w:rPr>
        <w:t>联接发起式、易方达中证</w:t>
      </w:r>
      <w:r w:rsidRPr="007759F2">
        <w:rPr>
          <w:rFonts w:asciiTheme="minorEastAsia" w:eastAsiaTheme="minorEastAsia" w:hAnsiTheme="minorEastAsia"/>
        </w:rPr>
        <w:t>500ETF</w:t>
      </w:r>
      <w:r w:rsidRPr="007759F2">
        <w:rPr>
          <w:rFonts w:asciiTheme="minorEastAsia" w:eastAsiaTheme="minorEastAsia" w:hAnsiTheme="minorEastAsia" w:hint="eastAsia"/>
        </w:rPr>
        <w:t>联接发起式、易方达恒利</w:t>
      </w:r>
      <w:r w:rsidRPr="007759F2">
        <w:rPr>
          <w:rFonts w:asciiTheme="minorEastAsia" w:eastAsiaTheme="minorEastAsia" w:hAnsiTheme="minorEastAsia"/>
        </w:rPr>
        <w:t>3</w:t>
      </w:r>
      <w:r w:rsidRPr="007759F2">
        <w:rPr>
          <w:rFonts w:asciiTheme="minorEastAsia" w:eastAsiaTheme="minorEastAsia" w:hAnsiTheme="minorEastAsia" w:hint="eastAsia"/>
        </w:rPr>
        <w:t>个月定开债券发起式、易方达中债</w:t>
      </w:r>
      <w:r w:rsidRPr="007759F2">
        <w:rPr>
          <w:rFonts w:asciiTheme="minorEastAsia" w:eastAsiaTheme="minorEastAsia" w:hAnsiTheme="minorEastAsia"/>
        </w:rPr>
        <w:t>1-3</w:t>
      </w:r>
      <w:r w:rsidRPr="007759F2">
        <w:rPr>
          <w:rFonts w:asciiTheme="minorEastAsia" w:eastAsiaTheme="minorEastAsia" w:hAnsiTheme="minorEastAsia" w:hint="eastAsia"/>
        </w:rPr>
        <w:t>年国开行债券指数、易方达中债</w:t>
      </w:r>
      <w:r w:rsidRPr="007759F2">
        <w:rPr>
          <w:rFonts w:asciiTheme="minorEastAsia" w:eastAsiaTheme="minorEastAsia" w:hAnsiTheme="minorEastAsia"/>
        </w:rPr>
        <w:t>3-5</w:t>
      </w:r>
      <w:r w:rsidRPr="007759F2">
        <w:rPr>
          <w:rFonts w:asciiTheme="minorEastAsia" w:eastAsiaTheme="minorEastAsia" w:hAnsiTheme="minorEastAsia" w:hint="eastAsia"/>
        </w:rPr>
        <w:t>年国开行债券指数、易方达中债</w:t>
      </w:r>
      <w:r w:rsidRPr="007759F2">
        <w:rPr>
          <w:rFonts w:asciiTheme="minorEastAsia" w:eastAsiaTheme="minorEastAsia" w:hAnsiTheme="minorEastAsia"/>
        </w:rPr>
        <w:t>1-3</w:t>
      </w:r>
      <w:r w:rsidRPr="007759F2">
        <w:rPr>
          <w:rFonts w:asciiTheme="minorEastAsia" w:eastAsiaTheme="minorEastAsia" w:hAnsiTheme="minorEastAsia" w:hint="eastAsia"/>
        </w:rPr>
        <w:t>年政金债指数、易方达中债</w:t>
      </w:r>
      <w:r w:rsidRPr="007759F2">
        <w:rPr>
          <w:rFonts w:asciiTheme="minorEastAsia" w:eastAsiaTheme="minorEastAsia" w:hAnsiTheme="minorEastAsia"/>
        </w:rPr>
        <w:t>3-5</w:t>
      </w:r>
      <w:r w:rsidRPr="007759F2">
        <w:rPr>
          <w:rFonts w:asciiTheme="minorEastAsia" w:eastAsiaTheme="minorEastAsia" w:hAnsiTheme="minorEastAsia" w:hint="eastAsia"/>
        </w:rPr>
        <w:t>年政金债指数、易方达上证</w:t>
      </w:r>
      <w:r w:rsidRPr="007759F2">
        <w:rPr>
          <w:rFonts w:asciiTheme="minorEastAsia" w:eastAsiaTheme="minorEastAsia" w:hAnsiTheme="minorEastAsia"/>
        </w:rPr>
        <w:t>50ETF</w:t>
      </w:r>
      <w:r w:rsidRPr="007759F2">
        <w:rPr>
          <w:rFonts w:asciiTheme="minorEastAsia" w:eastAsiaTheme="minorEastAsia" w:hAnsiTheme="minorEastAsia" w:hint="eastAsia"/>
        </w:rPr>
        <w:t>联接发起式、易方达恒兴</w:t>
      </w:r>
      <w:r w:rsidRPr="007759F2">
        <w:rPr>
          <w:rFonts w:asciiTheme="minorEastAsia" w:eastAsiaTheme="minorEastAsia" w:hAnsiTheme="minorEastAsia"/>
        </w:rPr>
        <w:t>3</w:t>
      </w:r>
      <w:r w:rsidRPr="007759F2">
        <w:rPr>
          <w:rFonts w:asciiTheme="minorEastAsia" w:eastAsiaTheme="minorEastAsia" w:hAnsiTheme="minorEastAsia" w:hint="eastAsia"/>
        </w:rPr>
        <w:t>个月定开债券发起式、易方达</w:t>
      </w:r>
      <w:r w:rsidRPr="007759F2">
        <w:rPr>
          <w:rFonts w:asciiTheme="minorEastAsia" w:eastAsiaTheme="minorEastAsia" w:hAnsiTheme="minorEastAsia"/>
        </w:rPr>
        <w:t>ESG</w:t>
      </w:r>
      <w:r w:rsidRPr="007759F2">
        <w:rPr>
          <w:rFonts w:asciiTheme="minorEastAsia" w:eastAsiaTheme="minorEastAsia" w:hAnsiTheme="minorEastAsia" w:hint="eastAsia"/>
        </w:rPr>
        <w:t>责任投资股票发起式、易方达中证国企一带一路</w:t>
      </w:r>
      <w:r w:rsidRPr="007759F2">
        <w:rPr>
          <w:rFonts w:asciiTheme="minorEastAsia" w:eastAsiaTheme="minorEastAsia" w:hAnsiTheme="minorEastAsia"/>
        </w:rPr>
        <w:t>ETF</w:t>
      </w:r>
      <w:r w:rsidRPr="007759F2">
        <w:rPr>
          <w:rFonts w:asciiTheme="minorEastAsia" w:eastAsiaTheme="minorEastAsia" w:hAnsiTheme="minorEastAsia" w:hint="eastAsia"/>
        </w:rPr>
        <w:t>联接、易方达中证</w:t>
      </w:r>
      <w:r w:rsidRPr="007759F2">
        <w:rPr>
          <w:rFonts w:asciiTheme="minorEastAsia" w:eastAsiaTheme="minorEastAsia" w:hAnsiTheme="minorEastAsia"/>
        </w:rPr>
        <w:t>800ETF</w:t>
      </w:r>
      <w:r w:rsidRPr="007759F2">
        <w:rPr>
          <w:rFonts w:asciiTheme="minorEastAsia" w:eastAsiaTheme="minorEastAsia" w:hAnsiTheme="minorEastAsia" w:hint="eastAsia"/>
        </w:rPr>
        <w:t>联接发起式、易方达恒盛</w:t>
      </w:r>
      <w:r w:rsidRPr="007759F2">
        <w:rPr>
          <w:rFonts w:asciiTheme="minorEastAsia" w:eastAsiaTheme="minorEastAsia" w:hAnsiTheme="minorEastAsia"/>
        </w:rPr>
        <w:t>3</w:t>
      </w:r>
      <w:r w:rsidRPr="007759F2">
        <w:rPr>
          <w:rFonts w:asciiTheme="minorEastAsia" w:eastAsiaTheme="minorEastAsia" w:hAnsiTheme="minorEastAsia" w:hint="eastAsia"/>
        </w:rPr>
        <w:t>个月定开混合发起式、易方达研究精选股票、易方达裕富债券、易方达高端制造混合发起式、易方达消费精选股票、</w:t>
      </w:r>
      <w:r w:rsidR="00080739" w:rsidRPr="007759F2">
        <w:rPr>
          <w:rFonts w:asciiTheme="minorEastAsia" w:eastAsiaTheme="minorEastAsia" w:hAnsiTheme="minorEastAsia" w:hint="eastAsia"/>
        </w:rPr>
        <w:t>易方达金融行业股票发起式、</w:t>
      </w:r>
      <w:r w:rsidRPr="007759F2">
        <w:rPr>
          <w:rFonts w:asciiTheme="minorEastAsia" w:eastAsiaTheme="minorEastAsia" w:hAnsiTheme="minorEastAsia" w:hint="eastAsia"/>
        </w:rPr>
        <w:t>易方达价值精选混合、易方达价值成长混合、易方达中小盘混合、易方达科汇灵活配置混合、易方达科翔混合、易方达行业领先混合、易方达增强回报债券、易方达深证</w:t>
      </w:r>
      <w:r w:rsidRPr="007759F2">
        <w:rPr>
          <w:rFonts w:asciiTheme="minorEastAsia" w:eastAsiaTheme="minorEastAsia" w:hAnsiTheme="minorEastAsia"/>
        </w:rPr>
        <w:t>100ETF</w:t>
      </w:r>
      <w:r w:rsidRPr="007759F2">
        <w:rPr>
          <w:rFonts w:asciiTheme="minorEastAsia" w:eastAsiaTheme="minorEastAsia" w:hAnsiTheme="minorEastAsia" w:hint="eastAsia"/>
        </w:rPr>
        <w:t>联接、易方达沪深</w:t>
      </w:r>
      <w:r w:rsidRPr="007759F2">
        <w:rPr>
          <w:rFonts w:asciiTheme="minorEastAsia" w:eastAsiaTheme="minorEastAsia" w:hAnsiTheme="minorEastAsia"/>
        </w:rPr>
        <w:t>300ETF</w:t>
      </w:r>
      <w:r w:rsidRPr="007759F2">
        <w:rPr>
          <w:rFonts w:asciiTheme="minorEastAsia" w:eastAsiaTheme="minorEastAsia" w:hAnsiTheme="minorEastAsia" w:hint="eastAsia"/>
        </w:rPr>
        <w:t>发起式联接、易方达上证中盘</w:t>
      </w:r>
      <w:r w:rsidRPr="007759F2">
        <w:rPr>
          <w:rFonts w:asciiTheme="minorEastAsia" w:eastAsiaTheme="minorEastAsia" w:hAnsiTheme="minorEastAsia"/>
        </w:rPr>
        <w:t>ETF</w:t>
      </w:r>
      <w:r w:rsidRPr="007759F2">
        <w:rPr>
          <w:rFonts w:asciiTheme="minorEastAsia" w:eastAsiaTheme="minorEastAsia" w:hAnsiTheme="minorEastAsia" w:hint="eastAsia"/>
        </w:rPr>
        <w:t>联接、易方达消费行业股票、易方达医疗保健行业混合、易方达资源行业混合、易方达创业板</w:t>
      </w:r>
      <w:r w:rsidRPr="007759F2">
        <w:rPr>
          <w:rFonts w:asciiTheme="minorEastAsia" w:eastAsiaTheme="minorEastAsia" w:hAnsiTheme="minorEastAsia"/>
        </w:rPr>
        <w:t>ETF</w:t>
      </w:r>
      <w:r w:rsidRPr="007759F2">
        <w:rPr>
          <w:rFonts w:asciiTheme="minorEastAsia" w:eastAsiaTheme="minorEastAsia" w:hAnsiTheme="minorEastAsia" w:hint="eastAsia"/>
        </w:rPr>
        <w:t>联接、易方达安心回报债券、易方达科讯混合、易方达沪深</w:t>
      </w:r>
      <w:r w:rsidRPr="007759F2">
        <w:rPr>
          <w:rFonts w:asciiTheme="minorEastAsia" w:eastAsiaTheme="minorEastAsia" w:hAnsiTheme="minorEastAsia"/>
        </w:rPr>
        <w:t>300</w:t>
      </w:r>
      <w:r w:rsidRPr="007759F2">
        <w:rPr>
          <w:rFonts w:asciiTheme="minorEastAsia" w:eastAsiaTheme="minorEastAsia" w:hAnsiTheme="minorEastAsia" w:hint="eastAsia"/>
        </w:rPr>
        <w:t>量化增强、易方达双债增强债券、易方达纯债债券、易方达月月利理财债券、易方达安源中短债债券、易方达策略成长二号混合时，转入份额的计算结果保留到小数点后两位，小数点后两位以后的部分四舍五入，由此误差产生的损失由基金财产承担，产生的收益归基金财产所有。</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7、基金转换的注册登记</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8、基金转换与巨额赎回</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9、拒绝或暂停基金转换的情形</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（1）因不可抗力导致基金无法正常运作或导致基金管理人不能支付转换转出款项。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（2）发生《基金合同》规定的暂停基金资产估值情况时。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（3）本基金投资的证券交易场所临时停止交易。</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（4）基金管理人认为接受某笔或某些转换转入申请可能会影响或损害现有基金份额持有人利益时。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（5）基金资产规模过大，使基金管理人无法找到合适的投资品种，或其他可能对基金业绩产生负面影响，或基金管理人认定的其他损害现有基金份额持有人利益的情形。</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（6）连续两个或两个以上开放日发生巨额赎回。</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（7）本基金的资产组合中的重要部分发生暂停交易或其他重大事件，继续接受转换转出可能会影响或损害基金份额持有人利益时。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（8）基金管理人、基金托管人、登记机构、销售机构、支付结算机构等因异常情况导致基金销售系统、基金销售支付结算系统、基金登记系统、基金会计系统等无法正常运行。</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（9)基金管理人认为继续接受转换转出申请将损害现有基金份额持有人利益的情形时，可暂停接受投资人的转换转出申请。</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（10）基金管理人接受某笔或者某些转换转入申请有可能导致单一投资者持有基金份额的比例达到或者超过50%，或者变相规避50%集中度的情形时。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11）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12）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（13）法律法规规定或中国证监会认定的其他情形。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基金管理人可以根据市场情况在不违反有关法律法规和《基金合同》的规定之前提下调整上述转换的收费方式、费率水平、业务规则及有关限制，但应在调整生效前依照《信息披</w:t>
      </w:r>
      <w:r w:rsidRPr="007759F2">
        <w:rPr>
          <w:rFonts w:asciiTheme="minorEastAsia" w:eastAsiaTheme="minorEastAsia" w:hAnsiTheme="minorEastAsia" w:hint="eastAsia"/>
          <w:szCs w:val="21"/>
        </w:rPr>
        <w:lastRenderedPageBreak/>
        <w:t>露办法》的有关规定在指定媒体上公告。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（二）定期定额投资计划</w:t>
      </w:r>
    </w:p>
    <w:p w:rsidR="00CD234C" w:rsidRPr="007759F2" w:rsidRDefault="00CD234C" w:rsidP="00CD234C">
      <w:pPr>
        <w:snapToGrid w:val="0"/>
        <w:spacing w:line="360" w:lineRule="auto"/>
        <w:ind w:firstLine="420"/>
        <w:rPr>
          <w:rFonts w:asciiTheme="minorEastAsia" w:eastAsiaTheme="minorEastAsia" w:hAnsiTheme="minorEastAsia"/>
          <w:kern w:val="0"/>
          <w:szCs w:val="21"/>
        </w:rPr>
      </w:pPr>
      <w:r w:rsidRPr="007759F2">
        <w:rPr>
          <w:rFonts w:asciiTheme="minorEastAsia" w:eastAsiaTheme="minorEastAsia" w:hAnsiTheme="minorEastAsia" w:hint="eastAsia"/>
          <w:bCs/>
          <w:szCs w:val="21"/>
        </w:rPr>
        <w:t>本基金已于2015年7月27日开始办理定期定额投资计划业务，具体实施办法参见相关公告。</w:t>
      </w:r>
      <w:bookmarkEnd w:id="55"/>
    </w:p>
    <w:p w:rsidR="00CD234C" w:rsidRPr="007759F2" w:rsidRDefault="00CD234C" w:rsidP="00CD234C">
      <w:pPr>
        <w:pStyle w:val="1"/>
        <w:snapToGrid w:val="0"/>
        <w:spacing w:before="317" w:after="317" w:line="360" w:lineRule="auto"/>
        <w:ind w:firstLine="600"/>
        <w:rPr>
          <w:rFonts w:asciiTheme="minorEastAsia" w:eastAsiaTheme="minorEastAsia" w:hAnsiTheme="minorEastAsia"/>
          <w:bCs/>
          <w:kern w:val="44"/>
          <w:sz w:val="28"/>
          <w:szCs w:val="44"/>
        </w:rPr>
      </w:pPr>
      <w:r w:rsidRPr="007759F2">
        <w:rPr>
          <w:rFonts w:asciiTheme="minorEastAsia" w:eastAsiaTheme="minorEastAsia" w:hAnsiTheme="minorEastAsia" w:hint="eastAsia"/>
          <w:sz w:val="30"/>
        </w:rPr>
        <w:br w:type="column"/>
      </w:r>
      <w:bookmarkStart w:id="56" w:name="_Toc332373519"/>
      <w:bookmarkStart w:id="57" w:name="_Toc43380855"/>
      <w:r w:rsidRPr="007759F2">
        <w:rPr>
          <w:rFonts w:asciiTheme="minorEastAsia" w:eastAsiaTheme="minorEastAsia" w:hAnsiTheme="minorEastAsia" w:hint="eastAsia"/>
          <w:sz w:val="30"/>
        </w:rPr>
        <w:lastRenderedPageBreak/>
        <w:t>十、基金的转托管、质押、非交易过户、冻结与解冻</w:t>
      </w:r>
      <w:bookmarkEnd w:id="56"/>
      <w:bookmarkEnd w:id="57"/>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58" w:name="_Toc332373520"/>
      <w:bookmarkStart w:id="59" w:name="_Toc79392621"/>
      <w:r w:rsidRPr="007759F2">
        <w:rPr>
          <w:rStyle w:val="da"/>
          <w:rFonts w:asciiTheme="minorEastAsia" w:eastAsiaTheme="minorEastAsia" w:hAnsiTheme="minorEastAsia" w:hint="eastAsia"/>
        </w:rPr>
        <w:t>（一）基金的转托管</w:t>
      </w:r>
      <w:bookmarkEnd w:id="58"/>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基金份额持有人可办理已持有基金份额在不同销售机构之间的转托管，基金销售机构可以按照规定的标准收取转托管费。具体办理方法参照《业务规则》的有关规定以及各销售机构的业务规则。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（二）基金份额的质押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在条件许可的情况下，基金登记机构可依据相关法律法规及其业务规则，办理基金份额质押业务，并可收取一定的手续费。</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60" w:name="_Toc332373521"/>
      <w:r w:rsidRPr="007759F2">
        <w:rPr>
          <w:rStyle w:val="da"/>
          <w:rFonts w:asciiTheme="minorEastAsia" w:eastAsiaTheme="minorEastAsia" w:hAnsiTheme="minorEastAsia" w:hint="eastAsia"/>
        </w:rPr>
        <w:t>（三）基金的非交易过户</w:t>
      </w:r>
      <w:bookmarkEnd w:id="60"/>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61" w:name="_Toc332373522"/>
      <w:r w:rsidRPr="007759F2">
        <w:rPr>
          <w:rStyle w:val="da"/>
          <w:rFonts w:asciiTheme="minorEastAsia" w:eastAsiaTheme="minorEastAsia" w:hAnsiTheme="minorEastAsia" w:hint="eastAsia"/>
        </w:rPr>
        <w:t>（四）基金的冻结与解冻</w:t>
      </w:r>
      <w:bookmarkEnd w:id="61"/>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59"/>
    <w:p w:rsidR="00CD234C" w:rsidRPr="007759F2" w:rsidRDefault="00CD234C" w:rsidP="00CD234C">
      <w:pPr>
        <w:pStyle w:val="1"/>
        <w:snapToGrid w:val="0"/>
        <w:spacing w:before="317" w:after="317" w:line="360" w:lineRule="auto"/>
        <w:ind w:firstLine="640"/>
        <w:rPr>
          <w:rFonts w:asciiTheme="minorEastAsia" w:eastAsiaTheme="minorEastAsia" w:hAnsiTheme="minorEastAsia"/>
          <w:szCs w:val="21"/>
        </w:rPr>
      </w:pPr>
      <w:r w:rsidRPr="007759F2">
        <w:rPr>
          <w:rFonts w:asciiTheme="minorEastAsia" w:eastAsiaTheme="minorEastAsia" w:hAnsiTheme="minorEastAsia" w:hint="eastAsia"/>
        </w:rPr>
        <w:br w:type="column"/>
      </w:r>
      <w:bookmarkStart w:id="62" w:name="_Toc332373523"/>
      <w:bookmarkStart w:id="63" w:name="_Toc43380856"/>
      <w:r w:rsidRPr="007759F2">
        <w:rPr>
          <w:rFonts w:asciiTheme="minorEastAsia" w:eastAsiaTheme="minorEastAsia" w:hAnsiTheme="minorEastAsia" w:hint="eastAsia"/>
          <w:sz w:val="30"/>
        </w:rPr>
        <w:lastRenderedPageBreak/>
        <w:t>十一、基金的投资</w:t>
      </w:r>
      <w:bookmarkEnd w:id="62"/>
      <w:bookmarkEnd w:id="63"/>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64" w:name="_Toc332373524"/>
      <w:r w:rsidRPr="007759F2">
        <w:rPr>
          <w:rStyle w:val="da"/>
          <w:rFonts w:asciiTheme="minorEastAsia" w:eastAsiaTheme="minorEastAsia" w:hAnsiTheme="minorEastAsia" w:hint="eastAsia"/>
        </w:rPr>
        <w:t>（一）投资目标</w:t>
      </w:r>
      <w:bookmarkEnd w:id="64"/>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65" w:name="_Toc332373525"/>
      <w:r w:rsidRPr="007759F2">
        <w:rPr>
          <w:rFonts w:asciiTheme="minorEastAsia" w:eastAsiaTheme="minorEastAsia" w:hAnsiTheme="minorEastAsia" w:hint="eastAsia"/>
          <w:szCs w:val="21"/>
        </w:rPr>
        <w:t>本基金在控制风险的前提下，追求基金资产的稳健增值。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（二）投资范围</w:t>
      </w:r>
      <w:bookmarkEnd w:id="65"/>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bookmarkStart w:id="66" w:name="_Toc332373526"/>
      <w:r w:rsidRPr="007759F2">
        <w:rPr>
          <w:rFonts w:asciiTheme="minorEastAsia" w:eastAsiaTheme="minorEastAsia" w:hAnsiTheme="minorEastAsia" w:hint="eastAsia"/>
          <w:bCs/>
          <w:szCs w:val="21"/>
        </w:rPr>
        <w:t>本基金的投资范围包括国内依法发行、上市的股票（包括创业板、中小板以及其他经中国证监会核准上市的股票）、债券（包括国债、央行票据、地方政府债、金融债、企业债、公司债、证券公司短期公司债、中小企业私募债、次级债、中期票据、短期融资券、可转换债券、可交换债券等）、资产支持证券、债券回购、银行存款、权证、股指期货、期权及法律法规或中国证监会允许基金投资的其他金融工具。</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如法律法规或监管机构以后允许基金投资其他品种，本基金可将其纳入投资范围。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基金的投资组合比例为：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为混合型基金，股票资产占基金资产的比例为0%-95%，扣除股指期货合约需缴纳的交易保证金后，保持不低于基金资产净值5％的现金或者到期日在一年以内的政府债券，现金不包括结算备付金、存出保证金、应收申购款等</w:t>
      </w:r>
      <w:r w:rsidRPr="007759F2">
        <w:rPr>
          <w:rFonts w:asciiTheme="minorEastAsia" w:eastAsiaTheme="minorEastAsia" w:hAnsiTheme="minorEastAsia" w:hint="eastAsia"/>
          <w:bCs/>
          <w:sz w:val="24"/>
        </w:rPr>
        <w:t>，</w:t>
      </w:r>
      <w:r w:rsidRPr="007759F2">
        <w:rPr>
          <w:rFonts w:asciiTheme="minorEastAsia" w:eastAsiaTheme="minorEastAsia" w:hAnsiTheme="minorEastAsia" w:hint="eastAsia"/>
          <w:bCs/>
          <w:szCs w:val="21"/>
        </w:rPr>
        <w:t>权证、股指期货、期权及其他金融工具的投资比例依照法律法规或监管机构的规定执行。</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（三）投资策略</w:t>
      </w:r>
      <w:bookmarkEnd w:id="66"/>
    </w:p>
    <w:p w:rsidR="00CD234C" w:rsidRPr="007759F2" w:rsidRDefault="00CD234C" w:rsidP="00CD234C">
      <w:pPr>
        <w:snapToGrid w:val="0"/>
        <w:spacing w:line="360" w:lineRule="auto"/>
        <w:ind w:firstLineChars="200" w:firstLine="420"/>
        <w:rPr>
          <w:rFonts w:asciiTheme="minorEastAsia" w:eastAsiaTheme="minorEastAsia" w:hAnsiTheme="minorEastAsia" w:cs="Arial"/>
          <w:bCs/>
        </w:rPr>
      </w:pPr>
      <w:bookmarkStart w:id="67" w:name="_Toc332373530"/>
      <w:bookmarkStart w:id="68" w:name="question3"/>
      <w:r w:rsidRPr="007759F2">
        <w:rPr>
          <w:rFonts w:asciiTheme="minorEastAsia" w:eastAsiaTheme="minorEastAsia" w:hAnsiTheme="minorEastAsia" w:cs="Arial" w:hint="eastAsia"/>
          <w:bCs/>
          <w:szCs w:val="21"/>
        </w:rPr>
        <w:t>1、资产配置策略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本基金基于定量与定性相结合的宏观及市场因素、估值及流动性因素、政策因素等分析，确定组合中股票、债券、货币市场工具等资产类别的配置比例。</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2、股票投资策略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（1）行业配置策略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本基金将通过分析以下因素，对各行业的投资价值进行综合评估，从而确定并动态调整行业配置比例。</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1）行业景气度</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lastRenderedPageBreak/>
        <w:t>2）行业竞争格局</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本基金主要通过密切跟踪行业进入者的数量、行业内各公司的竞争策略及各公司产品或服务的市场份额来判断公司所处行业竞争格局的变化，重点投资于行业竞争格局良好的行业。</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（2）个股投资策略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1）公司基本面分析</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2）估值水平分析</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3）股票组合的构建与调整</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本基金在行业分析、公司基本面分析及估值水平分析的基础上，进行股票组合的构建。当行业、公司的基本面、股票的估值水平出现较大变化时，本基金将对股票组合适时进行动态调整。</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3、债券投资策略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在券种选择上，本基金以长期利率趋势分析为基础，结合经济变化趋势、货币政策及不同债券品种的收益率水平、流动性和信用风险等因素，实施积极主动的债券投资管理。</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（2）证券公司短期公司债券投资策略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保证本基金的流动性。</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lastRenderedPageBreak/>
        <w:t>（3）中小企业私募债投资策略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本基金在控制信用风险的基础上，对中小企业私募债进行投资，主要采取分散化投资策略，控制个债持有比例。同时，紧密跟踪研究发债企业的基本面情况变化，并据此调整投资组合，控制投资风险。</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（4）资产支持证券投资策略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4、衍生产品投资策略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（1）股指期货投资策略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本基金将根据风险管理的原则，主要选择流动性好、交易活跃的股指期货合约进行交易，以对冲投资组合的系统性风险、有效管理现金流量或降低建仓或调仓过程中的冲击成本等。</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（2）期权投资策略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将根据风险管理的原则，选择流动性好、交易活跃的期权合约进行交易，以对冲投资组合的系统性风险、有效管理现金流量或降低建仓或调仓过程中的冲击成本等。基金管理人将根据审慎原则，建立期权交易决策部门或小组，授权特定的管理人员负责期权的投资审批事项，以防范期权投资的风险。</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（3）权证投资策略</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权证为本基金辅助性投资工具。权证的投资原则为有利于基金资产增值、控制下跌风险、实现保值和锁定收益。</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4）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5、</w:t>
      </w:r>
      <w:r w:rsidRPr="007759F2">
        <w:rPr>
          <w:rFonts w:asciiTheme="minorEastAsia" w:eastAsiaTheme="minorEastAsia" w:hAnsiTheme="minorEastAsia" w:cs="Arial" w:hint="eastAsia"/>
          <w:bCs/>
          <w:szCs w:val="21"/>
          <w:lang w:bidi="en-US"/>
        </w:rPr>
        <w:t>未来，随着市场的发展和基金管理运作的需要，基金管理人可以在不改变投资目标的前提下，遵循法律法规的规定，相应调整或更新投资策略，并在招募说明书更新中公告</w:t>
      </w:r>
      <w:r w:rsidRPr="007759F2">
        <w:rPr>
          <w:rFonts w:asciiTheme="minorEastAsia" w:eastAsiaTheme="minorEastAsia" w:hAnsiTheme="minorEastAsia" w:cs="Arial" w:hint="eastAsia"/>
          <w:bCs/>
          <w:szCs w:val="21"/>
        </w:rPr>
        <w:t>。</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（四）业绩比较基准</w:t>
      </w:r>
      <w:bookmarkEnd w:id="67"/>
    </w:p>
    <w:p w:rsidR="00CD234C" w:rsidRPr="007759F2" w:rsidRDefault="00CD234C" w:rsidP="00CD234C">
      <w:pPr>
        <w:snapToGrid w:val="0"/>
        <w:spacing w:line="360" w:lineRule="auto"/>
        <w:ind w:firstLineChars="200" w:firstLine="420"/>
        <w:rPr>
          <w:rFonts w:asciiTheme="minorEastAsia" w:eastAsiaTheme="minorEastAsia" w:hAnsiTheme="minorEastAsia" w:cs="Arial"/>
          <w:bCs/>
        </w:rPr>
      </w:pPr>
      <w:bookmarkStart w:id="69" w:name="_Toc332373531"/>
      <w:bookmarkEnd w:id="68"/>
      <w:r w:rsidRPr="007759F2">
        <w:rPr>
          <w:rFonts w:asciiTheme="minorEastAsia" w:eastAsiaTheme="minorEastAsia" w:hAnsiTheme="minorEastAsia" w:cs="Arial" w:hint="eastAsia"/>
          <w:bCs/>
          <w:szCs w:val="21"/>
        </w:rPr>
        <w:t>一年期人民币定期存款利率（税后）+2%</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本基金力争为投资者获得稳健投资回报。其中，一年期人民币定期存款利率系中国人民银行公布并执行的金融机构一年期人民币整存整取定期存款利率。</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如果法律法规发生变化、或有更适当的、更能为市场普遍接受的业绩比较基准推出、或市场上出现更加适用于本基金的业绩基准时，本基金管理人可以根据本基金的投资范围和投</w:t>
      </w:r>
      <w:r w:rsidRPr="007759F2">
        <w:rPr>
          <w:rFonts w:asciiTheme="minorEastAsia" w:eastAsiaTheme="minorEastAsia" w:hAnsiTheme="minorEastAsia" w:cs="Arial" w:hint="eastAsia"/>
          <w:bCs/>
          <w:szCs w:val="21"/>
        </w:rPr>
        <w:lastRenderedPageBreak/>
        <w:t>资策略，调整基金的业绩比较基准，但应在取得基金托管人同意后报中国证监会备案，并及时公告，无须召开基金份额持有人大会审议。</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（五）风险收益特征</w:t>
      </w:r>
      <w:bookmarkEnd w:id="69"/>
    </w:p>
    <w:p w:rsidR="00CD234C" w:rsidRPr="007759F2" w:rsidRDefault="00CD234C" w:rsidP="00CD234C">
      <w:pPr>
        <w:snapToGrid w:val="0"/>
        <w:spacing w:line="360" w:lineRule="auto"/>
        <w:ind w:firstLineChars="200" w:firstLine="420"/>
        <w:rPr>
          <w:rFonts w:asciiTheme="minorEastAsia" w:eastAsiaTheme="minorEastAsia" w:hAnsiTheme="minorEastAsia" w:cs="Arial"/>
          <w:bCs/>
        </w:rPr>
      </w:pPr>
      <w:bookmarkStart w:id="70" w:name="_Toc332373533"/>
      <w:r w:rsidRPr="007759F2">
        <w:rPr>
          <w:rFonts w:asciiTheme="minorEastAsia" w:eastAsiaTheme="minorEastAsia" w:hAnsiTheme="minorEastAsia" w:cs="Arial" w:hint="eastAsia"/>
          <w:bCs/>
          <w:szCs w:val="21"/>
        </w:rPr>
        <w:t>本基金为混合型基金，理论上其预期风险与预期收益水平低于股票型基金，高于债券型基金和货币市场基金。</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（六）投资禁止行为与限制</w:t>
      </w:r>
    </w:p>
    <w:bookmarkEnd w:id="70"/>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1、禁止行为</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为维护基金份额持有人的合法权益，基金财产不得用于下列投资或者活动：</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（1）承销证券；</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（2）违反规定向他人贷款或者提供担保；</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（3）从事承担无限责任的投资；</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（4）向其基金管理人、基金托管人出资；</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（5）从事内幕交易、操纵证券交易价格及其他不正当的证券交易活动；</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（6）法律、行政法规和中国证监会规定禁止的其他活动。</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2、投资组合限制</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bookmarkStart w:id="71" w:name="_Toc332373535"/>
      <w:r w:rsidRPr="007759F2">
        <w:rPr>
          <w:rFonts w:asciiTheme="minorEastAsia" w:eastAsiaTheme="minorEastAsia" w:hAnsiTheme="minorEastAsia" w:cs="Arial" w:hint="eastAsia"/>
          <w:bCs/>
          <w:szCs w:val="21"/>
        </w:rPr>
        <w:t>基金的投资组合应遵循以下限制：</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（1）本基金股票资产占基金资产的比例为0%-95%；</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（2）扣除股指期货合约需缴纳的交易保证金后，保持不低于基金资产净值5％的现金或者到期日在一年以内的政府债券，现金不包括结算备付金、存出保证金、应收申购款等；</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（3）本基金持有一家公司发行的证券，其市值不得超过基金资产净值的10%；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（4）本基金管理人管理的全部基金持有一家公司发行的证券，不超过该证券的10％；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（5）本基金持有的全部权证，其市值不得超过基金资产净值的3％；</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（6）本基金管理人管理的全部基金持有的同一权证，不得超过该权证的10％；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（7）本基金在任何交易日买入权证的总金额，不得超过上一交易日基金资产净值的0.5％；</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（8）本基金投资于同一原始权益人的各类资产支持证券的比例，不得超过基金资产净值的10％；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（9）本基金持有的全部资产支持证券，其市值不得超过基金资产净值的20％；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（10）本基金持有的同一(指同一信用级别)资产支持证券的比例，不得超过该资产支持证券规模的10％；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（11）本基金管理人管理的全部基金投资于同一原始权益人的各类资产支持证券，不得超过其各类资产支持证券合计规模的10％；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（12）本基金应投资于信用级别评级为BBB以上(含BBB)的资产支持证券。基金持有资产支持证券期间，如果其信用等级下降、不再符合投资标准，应在评级报告发布之日起3</w:t>
      </w:r>
      <w:r w:rsidRPr="007759F2">
        <w:rPr>
          <w:rFonts w:asciiTheme="minorEastAsia" w:eastAsiaTheme="minorEastAsia" w:hAnsiTheme="minorEastAsia" w:cs="Arial" w:hint="eastAsia"/>
          <w:bCs/>
          <w:szCs w:val="21"/>
        </w:rPr>
        <w:lastRenderedPageBreak/>
        <w:t>个月内予以全部卖出；</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（13）基金财产参与股票发行申购，本基金所申报的金额不超过本基金的总资产，本基金所申报的股票数量不超过拟发行股票公司本次发行股票的总量；</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（14）本基金进入全国银行间同业市场进行债券回购的资金余额不得超过基金资产净值的40%；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15）本基金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16）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（17）本基金基金总资产不得超过基金净资产的140%；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（18）本基金投资于单只中小企业私募债的市值，不得超过本基金资产净值的10%；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（20）本基金主动投资于流动性受限资产的市值合计不得超过该基金资产净值的15%。</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因证券市场波动、上市公司股票停牌、基金规模变动等基金管理人之外的因素致使基金不符合前款所规定比例限制的，基金管理人不得主动新增流动性受限资产的投资。</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（21）本基金与私募类证券资管产品及中国证监会认定的其他主体为交易对手开展逆回购交易的，可接受质押品的资质要求应当与基金合同约定的投资范围保持一致。</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（22）法律法规及中国证监会规定的和《基金合同》约定的其他投资限制。</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除上述（2）、（12）、（13）、（20）、（21）以外，因证券市场波动、证券发行人合并、基金规模变动等基金管理人之外的因素致使基金投资比例不符合上述规定投资比例的，基金管理人应当在10个交易日内进行调整，但中国证监会规定的特殊情形除外。</w:t>
      </w:r>
    </w:p>
    <w:p w:rsidR="00CD234C" w:rsidRPr="007759F2" w:rsidRDefault="00CD234C" w:rsidP="00CD234C">
      <w:pPr>
        <w:snapToGrid w:val="0"/>
        <w:spacing w:line="360" w:lineRule="auto"/>
        <w:ind w:firstLineChars="200" w:firstLine="420"/>
        <w:rPr>
          <w:rFonts w:asciiTheme="minorEastAsia" w:eastAsiaTheme="minorEastAsia" w:hAnsiTheme="minorEastAsia" w:cs="Arial"/>
          <w:bCs/>
          <w:szCs w:val="21"/>
        </w:rPr>
      </w:pPr>
      <w:r w:rsidRPr="007759F2">
        <w:rPr>
          <w:rFonts w:asciiTheme="minorEastAsia" w:eastAsiaTheme="minorEastAsia" w:hAnsiTheme="minorEastAsia" w:cs="Arial" w:hint="eastAsia"/>
          <w:bCs/>
          <w:szCs w:val="21"/>
        </w:rPr>
        <w:t>基金管理人应当自基金合同生效之日起6个月内使基金的投资组合比例符合基金合同的有关约定。上述期间，基金的投资范围、投资策略应当符合基金合同的约定。基金托管人</w:t>
      </w:r>
      <w:r w:rsidRPr="007759F2">
        <w:rPr>
          <w:rFonts w:asciiTheme="minorEastAsia" w:eastAsiaTheme="minorEastAsia" w:hAnsiTheme="minorEastAsia" w:cs="Arial" w:hint="eastAsia"/>
          <w:bCs/>
          <w:szCs w:val="21"/>
        </w:rPr>
        <w:lastRenderedPageBreak/>
        <w:t>对基金的投资的监督与检查自基金合同生效之日起开始。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Fonts w:asciiTheme="minorEastAsia" w:eastAsiaTheme="minorEastAsia" w:hAnsiTheme="minorEastAsia" w:hint="eastAsia"/>
          <w:bCs/>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bookmarkStart w:id="72" w:name="_Toc332373536"/>
      <w:bookmarkEnd w:id="71"/>
      <w:r w:rsidRPr="007759F2">
        <w:rPr>
          <w:rStyle w:val="da"/>
          <w:rFonts w:asciiTheme="minorEastAsia" w:eastAsiaTheme="minorEastAsia" w:hAnsiTheme="minorEastAsia" w:hint="eastAsia"/>
          <w:szCs w:val="21"/>
        </w:rPr>
        <w:t>（七</w:t>
      </w:r>
      <w:bookmarkStart w:id="73" w:name="_Toc332373537"/>
      <w:bookmarkEnd w:id="72"/>
      <w:r w:rsidRPr="007759F2">
        <w:rPr>
          <w:rStyle w:val="da"/>
          <w:rFonts w:asciiTheme="minorEastAsia" w:eastAsiaTheme="minorEastAsia" w:hAnsiTheme="minorEastAsia" w:hint="eastAsia"/>
          <w:szCs w:val="21"/>
        </w:rPr>
        <w:t>）基金管理人代表基金行使所投资证券产生权利的处理原则及方法</w:t>
      </w:r>
    </w:p>
    <w:bookmarkEnd w:id="73"/>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szCs w:val="21"/>
        </w:rPr>
        <w:t>1、有利于基金资产的安全与增值。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2、基金管理人按照国家有关规定代表基金独立行使债权人或股东权利，保护基金份额持有人的利益。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3、不通过关联交易为自身、雇员、授权代理人或任何存在利害关系的第三人牟取任何不当利益。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（八）基金投资组合报告（未经审计）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本基金的托管人中国邮政储蓄银行股份有限公司根据本基金合同的规定，复核了本报告的内容，保证复核内容不存在虚假记载、误导性陈述或者重大遗漏。</w:t>
      </w:r>
    </w:p>
    <w:p w:rsidR="00CD234C" w:rsidRPr="007759F2" w:rsidRDefault="00677BF5"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本投资组合报告有关数据的期间为2020年1月1日至2020年3月31日</w:t>
      </w:r>
      <w:r w:rsidR="00CD234C" w:rsidRPr="007759F2">
        <w:rPr>
          <w:rFonts w:asciiTheme="minorEastAsia" w:eastAsiaTheme="minorEastAsia" w:hAnsiTheme="minorEastAsia" w:hint="eastAsia"/>
          <w:szCs w:val="21"/>
        </w:rPr>
        <w:t>。</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1、报告期末基金资产组合情况</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003"/>
        <w:gridCol w:w="2666"/>
        <w:gridCol w:w="1661"/>
      </w:tblGrid>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占基金总资产的比例（%）</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85,416,152.62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13.99</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85,416,152.62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13.99</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510,333,010.92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83.59</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500,256,010.92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81.94</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10,077,000.00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1.65</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3</w:t>
            </w:r>
          </w:p>
        </w:tc>
        <w:tc>
          <w:tcPr>
            <w:tcW w:w="3357" w:type="dxa"/>
            <w:tcBorders>
              <w:top w:val="single" w:sz="4" w:space="0" w:color="auto"/>
              <w:left w:val="single" w:sz="4" w:space="0" w:color="auto"/>
              <w:bottom w:val="single" w:sz="4" w:space="0" w:color="auto"/>
              <w:right w:val="single" w:sz="4" w:space="0" w:color="auto"/>
            </w:tcBorders>
            <w:hideMark/>
          </w:tcPr>
          <w:p w:rsidR="00677BF5" w:rsidRPr="007759F2" w:rsidRDefault="00677BF5">
            <w:pPr>
              <w:spacing w:before="29" w:line="300" w:lineRule="auto"/>
              <w:ind w:leftChars="50" w:left="105"/>
              <w:rPr>
                <w:rFonts w:asciiTheme="minorEastAsia" w:eastAsiaTheme="minorEastAsia" w:hAnsiTheme="minorEastAsia"/>
                <w:kern w:val="0"/>
              </w:rPr>
            </w:pPr>
            <w:r w:rsidRPr="007759F2">
              <w:rPr>
                <w:rFonts w:asciiTheme="minorEastAsia" w:eastAsiaTheme="minorEastAsia" w:hAnsiTheme="minorEastAsia" w:hint="eastAsia"/>
                <w:kern w:val="0"/>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4,704,826.36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0.77</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left"/>
              <w:rPr>
                <w:rFonts w:asciiTheme="minorEastAsia" w:eastAsiaTheme="minorEastAsia" w:hAnsiTheme="minorEastAsia"/>
                <w:kern w:val="0"/>
              </w:rPr>
            </w:pPr>
            <w:r w:rsidRPr="007759F2">
              <w:rPr>
                <w:rFonts w:asciiTheme="minorEastAsia" w:eastAsiaTheme="minorEastAsia" w:hAnsiTheme="minorEastAsia" w:hint="eastAsia"/>
                <w:kern w:val="0"/>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10,056,730.08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1.65</w:t>
            </w:r>
          </w:p>
        </w:tc>
      </w:tr>
      <w:tr w:rsidR="007759F2" w:rsidRPr="007759F2" w:rsidTr="00677BF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left"/>
              <w:rPr>
                <w:rFonts w:asciiTheme="minorEastAsia" w:eastAsiaTheme="minorEastAsia" w:hAnsiTheme="minorEastAsia"/>
                <w:kern w:val="0"/>
              </w:rPr>
            </w:pPr>
            <w:r w:rsidRPr="007759F2">
              <w:rPr>
                <w:rFonts w:asciiTheme="minorEastAsia" w:eastAsiaTheme="minorEastAsia" w:hAnsiTheme="minorEastAsia" w:hint="eastAsia"/>
                <w:kern w:val="0"/>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610,510,719.98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100.00</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2、报告期末按行业分类的股票投资组合</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（1）报告期末按行业分类的境内股票投资组合</w:t>
      </w:r>
    </w:p>
    <w:tbl>
      <w:tblPr>
        <w:tblW w:w="79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8"/>
        <w:gridCol w:w="3222"/>
        <w:gridCol w:w="2705"/>
        <w:gridCol w:w="1420"/>
      </w:tblGrid>
      <w:tr w:rsidR="007759F2" w:rsidRPr="007759F2" w:rsidTr="00677BF5">
        <w:trPr>
          <w:trHeight w:val="3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行业类别</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农、林、牧、渔业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采矿业</w:t>
            </w:r>
          </w:p>
        </w:tc>
        <w:tc>
          <w:tcPr>
            <w:tcW w:w="2977" w:type="dxa"/>
            <w:tcBorders>
              <w:top w:val="single" w:sz="4" w:space="0" w:color="000000"/>
              <w:left w:val="single" w:sz="4" w:space="0" w:color="auto"/>
              <w:bottom w:val="single" w:sz="4" w:space="0" w:color="000000"/>
              <w:right w:val="single" w:sz="4" w:space="0" w:color="000000"/>
            </w:tcBorders>
            <w:vAlign w:val="center"/>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9,131,325.00</w:t>
            </w:r>
          </w:p>
          <w:p w:rsidR="00677BF5" w:rsidRPr="007759F2" w:rsidRDefault="00677BF5">
            <w:pPr>
              <w:spacing w:line="300" w:lineRule="auto"/>
              <w:jc w:val="right"/>
              <w:rPr>
                <w:rFonts w:asciiTheme="minorEastAsia" w:eastAsiaTheme="minorEastAsia" w:hAnsiTheme="minorEastAsia"/>
                <w:kern w:val="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1.83</w:t>
            </w:r>
          </w:p>
          <w:p w:rsidR="00677BF5" w:rsidRPr="007759F2" w:rsidRDefault="00677BF5">
            <w:pPr>
              <w:spacing w:line="300" w:lineRule="auto"/>
              <w:jc w:val="right"/>
              <w:rPr>
                <w:rFonts w:asciiTheme="minorEastAsia" w:eastAsiaTheme="minorEastAsia" w:hAnsiTheme="minorEastAsia"/>
                <w:kern w:val="0"/>
              </w:rPr>
            </w:pP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制造业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24,945,479.87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5.01</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电力、热力、燃气及水生产和供应业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6,294,194.09</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1.26</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建筑业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3,174,121.00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0.64</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批发和零售业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3,126,331.31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0.63</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交通运输、仓储和邮政业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12,396,984.32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2.49</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住宿和餐饮业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信息传输、软件和信息技术服务业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824,391.30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0.17</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金融业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14,533,477.75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2.92</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房地产业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10,972,295.00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2.20</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租赁和商务服务业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科学研究和技术服务业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17,552.98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0.00</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水利、环境和公共设施管理业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居民服务、修理和其他服务业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教育</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卫生和社会工作</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文化、体育和娱乐业</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adjustRightInd w:val="0"/>
              <w:snapToGrid w:val="0"/>
              <w:spacing w:line="300" w:lineRule="auto"/>
              <w:jc w:val="center"/>
              <w:rPr>
                <w:rFonts w:asciiTheme="minorEastAsia" w:eastAsiaTheme="minorEastAsia" w:hAnsiTheme="minorEastAsia"/>
                <w:kern w:val="0"/>
              </w:rPr>
            </w:pPr>
            <w:r w:rsidRPr="007759F2">
              <w:rPr>
                <w:rFonts w:asciiTheme="minorEastAsia" w:eastAsiaTheme="minorEastAsia" w:hAnsiTheme="minorEastAsia" w:hint="eastAsia"/>
                <w:kern w:val="0"/>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综合</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7BF5" w:rsidRPr="007759F2" w:rsidRDefault="00677BF5">
            <w:pPr>
              <w:adjustRightInd w:val="0"/>
              <w:snapToGrid w:val="0"/>
              <w:spacing w:line="300" w:lineRule="auto"/>
              <w:jc w:val="center"/>
              <w:rPr>
                <w:rFonts w:asciiTheme="minorEastAsia" w:eastAsiaTheme="minorEastAsia" w:hAnsiTheme="minorEastAsia"/>
                <w:kern w:val="0"/>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677BF5" w:rsidRPr="007759F2" w:rsidRDefault="00677BF5">
            <w:pPr>
              <w:adjustRightInd w:val="0"/>
              <w:snapToGrid w:val="0"/>
              <w:spacing w:line="300" w:lineRule="auto"/>
              <w:rPr>
                <w:rFonts w:asciiTheme="minorEastAsia" w:eastAsiaTheme="minorEastAsia" w:hAnsiTheme="minorEastAsia"/>
                <w:kern w:val="0"/>
              </w:rPr>
            </w:pPr>
            <w:r w:rsidRPr="007759F2">
              <w:rPr>
                <w:rFonts w:asciiTheme="minorEastAsia" w:eastAsiaTheme="minorEastAsia" w:hAnsiTheme="minorEastAsia" w:hint="eastAsia"/>
                <w:kern w:val="0"/>
              </w:rPr>
              <w:t>合计</w:t>
            </w:r>
          </w:p>
        </w:tc>
        <w:tc>
          <w:tcPr>
            <w:tcW w:w="2977" w:type="dxa"/>
            <w:tcBorders>
              <w:top w:val="single" w:sz="4" w:space="0" w:color="000000"/>
              <w:left w:val="single" w:sz="4" w:space="0" w:color="auto"/>
              <w:bottom w:val="single" w:sz="4" w:space="0" w:color="000000"/>
              <w:right w:val="single" w:sz="4" w:space="0" w:color="000000"/>
            </w:tcBorders>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85,416,152.62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7BF5" w:rsidRPr="007759F2" w:rsidRDefault="00677BF5">
            <w:pPr>
              <w:spacing w:line="300" w:lineRule="auto"/>
              <w:jc w:val="right"/>
              <w:rPr>
                <w:rFonts w:asciiTheme="minorEastAsia" w:eastAsiaTheme="minorEastAsia" w:hAnsiTheme="minorEastAsia"/>
                <w:kern w:val="0"/>
              </w:rPr>
            </w:pPr>
            <w:r w:rsidRPr="007759F2">
              <w:rPr>
                <w:rFonts w:asciiTheme="minorEastAsia" w:eastAsiaTheme="minorEastAsia" w:hAnsiTheme="minorEastAsia" w:hint="eastAsia"/>
                <w:kern w:val="0"/>
              </w:rPr>
              <w:t>17.16</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3、报告期末按公允价值占基金资产净值比例大小排序的前十名股票投资明细</w:t>
      </w:r>
    </w:p>
    <w:tbl>
      <w:tblPr>
        <w:tblW w:w="7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4"/>
        <w:gridCol w:w="1164"/>
        <w:gridCol w:w="1291"/>
        <w:gridCol w:w="1543"/>
        <w:gridCol w:w="1796"/>
        <w:gridCol w:w="1417"/>
      </w:tblGrid>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cstheme="minorBidi"/>
                <w:kern w:val="0"/>
              </w:rPr>
            </w:pPr>
            <w:r w:rsidRPr="007759F2">
              <w:rPr>
                <w:rFonts w:asciiTheme="minorEastAsia" w:eastAsiaTheme="minorEastAsia" w:hAnsiTheme="minorEastAsia" w:hint="eastAsia"/>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股票代码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股票名称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数量（股）</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w:t>
            </w:r>
            <w:r w:rsidRPr="007759F2">
              <w:rPr>
                <w:rFonts w:asciiTheme="minorEastAsia" w:eastAsiaTheme="minorEastAsia" w:hAnsiTheme="minorEastAsia" w:hint="eastAsia"/>
                <w:kern w:val="0"/>
              </w:rPr>
              <w:lastRenderedPageBreak/>
              <w:t>净值比例（％）</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1"/>
              </w:rPr>
            </w:pPr>
            <w:r w:rsidRPr="007759F2">
              <w:rPr>
                <w:rFonts w:asciiTheme="minorEastAsia" w:eastAsiaTheme="minorEastAsia" w:hAnsiTheme="minorEastAsia" w:hint="eastAsia"/>
                <w:kern w:val="0"/>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2"/>
              </w:rPr>
            </w:pPr>
            <w:r w:rsidRPr="007759F2">
              <w:rPr>
                <w:rFonts w:asciiTheme="minorEastAsia" w:eastAsiaTheme="minorEastAsia" w:hAnsiTheme="minorEastAsia" w:hint="eastAsia"/>
                <w:kern w:val="0"/>
              </w:rPr>
              <w:t>601816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京沪高铁</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906,536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5,094,732.32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1.02</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600585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海螺水泥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79,100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4,358,410.00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0.88</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600383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金地集团</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252,500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3,557,725.00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0.71</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601398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工商银行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685,600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3,530,840.00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0.71</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600048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保利地产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232,200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3,452,814.00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0.69</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600066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宇通客车</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241,800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3,310,242.00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0.66</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601088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中国神华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202,700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3,291,848.00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0.66</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长江电力</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189,441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3,275,434.89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0.66</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600377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宁沪高速</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329,800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3,238,636.00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0.65</w:t>
            </w:r>
          </w:p>
        </w:tc>
      </w:tr>
      <w:tr w:rsidR="007759F2" w:rsidRPr="007759F2" w:rsidTr="00677BF5">
        <w:tc>
          <w:tcPr>
            <w:tcW w:w="85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600104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上汽集团</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156,700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3,212,350.00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0.65</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4、报告期末按债券品种分类的债券投资组合</w:t>
      </w:r>
    </w:p>
    <w:tbl>
      <w:tblPr>
        <w:tblStyle w:val="af5"/>
        <w:tblW w:w="7995" w:type="dxa"/>
        <w:jc w:val="center"/>
        <w:tblLayout w:type="fixed"/>
        <w:tblLook w:val="04A0" w:firstRow="1" w:lastRow="0" w:firstColumn="1" w:lastColumn="0" w:noHBand="0" w:noVBand="1"/>
      </w:tblPr>
      <w:tblGrid>
        <w:gridCol w:w="760"/>
        <w:gridCol w:w="2966"/>
        <w:gridCol w:w="2685"/>
        <w:gridCol w:w="1584"/>
      </w:tblGrid>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2,304,140.00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0.46</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22,783,280.00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4.58</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rsidP="007759F2">
            <w:pPr>
              <w:spacing w:before="29" w:line="300" w:lineRule="auto"/>
              <w:ind w:left="17"/>
              <w:jc w:val="center"/>
              <w:rPr>
                <w:rFonts w:asciiTheme="minorEastAsia" w:eastAsiaTheme="minorEastAsia" w:hAnsiTheme="minorEastAsia"/>
                <w:kern w:val="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22,783,280.00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4.58</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107,087,082.00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21.51</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70,273,000.00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14.12</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296,191,000.00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59.50</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1,617,508.92</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0.32</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left"/>
              <w:rPr>
                <w:rFonts w:asciiTheme="minorEastAsia" w:eastAsiaTheme="minorEastAsia" w:hAnsiTheme="minorEastAsia"/>
                <w:kern w:val="0"/>
              </w:rPr>
            </w:pPr>
            <w:r w:rsidRPr="007759F2">
              <w:rPr>
                <w:rFonts w:asciiTheme="minorEastAsia" w:eastAsiaTheme="minorEastAsia" w:hAnsiTheme="minorEastAsia" w:hint="eastAsia"/>
                <w:kern w:val="0"/>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500,256,010.92</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rsidP="007759F2">
            <w:pPr>
              <w:spacing w:before="29" w:line="300" w:lineRule="auto"/>
              <w:ind w:left="17"/>
              <w:jc w:val="right"/>
              <w:rPr>
                <w:rFonts w:asciiTheme="minorEastAsia" w:eastAsiaTheme="minorEastAsia" w:hAnsiTheme="minorEastAsia"/>
                <w:kern w:val="0"/>
              </w:rPr>
            </w:pPr>
            <w:r w:rsidRPr="007759F2">
              <w:rPr>
                <w:rFonts w:asciiTheme="minorEastAsia" w:eastAsiaTheme="minorEastAsia" w:hAnsiTheme="minorEastAsia" w:hint="eastAsia"/>
                <w:kern w:val="0"/>
              </w:rPr>
              <w:t>100.49</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5、报告期末按公允价值占基金资产净值比例大小排序的前五名债券投资明细</w:t>
      </w: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1198"/>
        <w:gridCol w:w="1197"/>
        <w:gridCol w:w="1461"/>
        <w:gridCol w:w="1853"/>
        <w:gridCol w:w="1381"/>
      </w:tblGrid>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cstheme="minorBidi"/>
                <w:kern w:val="0"/>
              </w:rPr>
            </w:pPr>
            <w:r w:rsidRPr="007759F2">
              <w:rPr>
                <w:rFonts w:asciiTheme="minorEastAsia" w:eastAsiaTheme="minorEastAsia" w:hAnsiTheme="minorEastAsia" w:hint="eastAsia"/>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债券代码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债券名称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数量（张）</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1"/>
              </w:rPr>
            </w:pPr>
            <w:r w:rsidRPr="007759F2">
              <w:rPr>
                <w:rFonts w:asciiTheme="minorEastAsia" w:eastAsiaTheme="minorEastAsia" w:hAnsiTheme="minorEastAsia"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2"/>
              </w:rPr>
            </w:pPr>
            <w:r w:rsidRPr="007759F2">
              <w:rPr>
                <w:rFonts w:asciiTheme="minorEastAsia" w:eastAsiaTheme="minorEastAsia" w:hAnsiTheme="minorEastAsia" w:hint="eastAsia"/>
                <w:kern w:val="0"/>
              </w:rPr>
              <w:t>136480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16华能02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239,800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24,720,982.00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4.97</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101900819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19津城建MTN004B</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21,016,000.00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4.22</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101900886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19新建元MTN001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20,562,000.00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4.13</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101900456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19首开MTN001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20,540,000.00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4.13</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101801189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18兖州煤业MTN002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20,538,000.00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4.13</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6、报告期末按公允价值占基金资产净值比例大小排序的前十名资产支持证券投资明细</w:t>
      </w: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1198"/>
        <w:gridCol w:w="1197"/>
        <w:gridCol w:w="1685"/>
        <w:gridCol w:w="1629"/>
        <w:gridCol w:w="1381"/>
      </w:tblGrid>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cstheme="minorBidi"/>
                <w:kern w:val="0"/>
              </w:rPr>
            </w:pPr>
            <w:r w:rsidRPr="007759F2">
              <w:rPr>
                <w:rFonts w:asciiTheme="minorEastAsia" w:eastAsiaTheme="minorEastAsia" w:hAnsiTheme="minorEastAsia" w:hint="eastAsia"/>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证券代码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证券名称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数量（份）</w:t>
            </w:r>
          </w:p>
        </w:tc>
        <w:tc>
          <w:tcPr>
            <w:tcW w:w="174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r>
      <w:tr w:rsidR="007759F2" w:rsidRPr="007759F2" w:rsidTr="00677BF5">
        <w:tc>
          <w:tcPr>
            <w:tcW w:w="95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1"/>
              </w:rPr>
            </w:pPr>
            <w:r w:rsidRPr="007759F2">
              <w:rPr>
                <w:rFonts w:asciiTheme="minorEastAsia" w:eastAsiaTheme="minorEastAsia" w:hAnsiTheme="minorEastAsia"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2"/>
              </w:rPr>
            </w:pPr>
            <w:r w:rsidRPr="007759F2">
              <w:rPr>
                <w:rFonts w:asciiTheme="minorEastAsia" w:eastAsiaTheme="minorEastAsia" w:hAnsiTheme="minorEastAsia" w:hint="eastAsia"/>
                <w:kern w:val="0"/>
              </w:rPr>
              <w:t>139934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永熙优12</w:t>
            </w:r>
          </w:p>
        </w:tc>
        <w:tc>
          <w:tcPr>
            <w:tcW w:w="180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10,077,000.00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2.02</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7、报告期末按公允价值占基金资产净值比例大小排序的前五名贵金属投资明细</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本基金本报告期末未持有贵金属。</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8、报告期末按公允价值占基金资产净值比例大小排序的前五名权证投资明细</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本基金本报告期末未持有权证。</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9、报告期末本基金投资的股指期货交易情况说明</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本基金本报告期末未投资股指期货。</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10、报告期末本基金投资的国债期货交易情况说明</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本基金本报告期末未投资国债期货。</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11、投资组合报告附注</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19首开MTN001（代码：101900456）是易方达瑞景灵活配置混合型证券投资基金的前十大持仓证券。2019年7月2日、7月12日，北京市住建委对北京首都开发股份有限公司的如下违法违规行为作出“责令你单位15日之内改正，对你单位处以警告”的行政处罚决定：北京首都开发股份有限公司在与买受人签订朝阳区西甸路3号院12号楼-1至3层4商品房、朝阳区西甸路3号院15号院-1至3层6商品房、朝阳区西甸路3号院4号楼5层501商品房、朝阳区西甸路3号院9号楼-1至3层1商品房、朝阳区西甸路3号院4号楼2层201商品房、朝阳区西甸路3号院14号楼-1至3层3商品房、朝阳区西甸路3号院3号楼4层401商品房、朝阳区西甸路3号院1号楼4层401商品房、朝阳区西甸路3号院11号楼-1至3层4商品房的《北京市商品房现房买卖合同》前，未按照规定向买受人明示《商品房销售管理办法》。</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本基金投资19首开MTN001的投资决策程序符合公司投资制度的规定。</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除19首开MTN001以外，本基金投资的前十名证券的发行主体本期没有出现被监管部门立案调查，或在报告编制日前一年内受到公开谴责、处罚的情形。</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（2）本基金投资的前十名股票没有超出基金合同规定的备选股票库。</w:t>
      </w:r>
    </w:p>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（3）其他各项资产构成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2298"/>
        <w:gridCol w:w="4535"/>
      </w:tblGrid>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金额（元）</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22,728.28</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1,000,000.00</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8,931,292.41</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102,709.39</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w:t>
            </w:r>
          </w:p>
        </w:tc>
      </w:tr>
      <w:tr w:rsidR="007759F2" w:rsidRPr="007759F2" w:rsidTr="00677BF5">
        <w:tc>
          <w:tcPr>
            <w:tcW w:w="123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center"/>
              <w:rPr>
                <w:rFonts w:asciiTheme="minorEastAsia" w:eastAsiaTheme="minorEastAsia" w:hAnsiTheme="minorEastAsia"/>
                <w:kern w:val="0"/>
              </w:rPr>
            </w:pPr>
            <w:r w:rsidRPr="007759F2">
              <w:rPr>
                <w:rFonts w:asciiTheme="minorEastAsia" w:eastAsiaTheme="minorEastAsia" w:hAnsiTheme="minorEastAsia" w:hint="eastAsia"/>
                <w:kern w:val="0"/>
              </w:rPr>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left"/>
              <w:rPr>
                <w:rFonts w:asciiTheme="minorEastAsia" w:eastAsiaTheme="minorEastAsia" w:hAnsiTheme="minorEastAsia"/>
                <w:kern w:val="0"/>
              </w:rPr>
            </w:pPr>
            <w:r w:rsidRPr="007759F2">
              <w:rPr>
                <w:rFonts w:asciiTheme="minorEastAsia" w:eastAsiaTheme="minorEastAsia" w:hAnsiTheme="minorEastAsia" w:hint="eastAsia"/>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autoSpaceDE w:val="0"/>
              <w:autoSpaceDN w:val="0"/>
              <w:adjustRightInd w:val="0"/>
              <w:spacing w:before="29" w:line="300" w:lineRule="auto"/>
              <w:ind w:left="15"/>
              <w:jc w:val="right"/>
              <w:rPr>
                <w:rFonts w:asciiTheme="minorEastAsia" w:eastAsiaTheme="minorEastAsia" w:hAnsiTheme="minorEastAsia"/>
                <w:kern w:val="0"/>
              </w:rPr>
            </w:pPr>
            <w:r w:rsidRPr="007759F2">
              <w:rPr>
                <w:rFonts w:asciiTheme="minorEastAsia" w:eastAsiaTheme="minorEastAsia" w:hAnsiTheme="minorEastAsia" w:hint="eastAsia"/>
                <w:kern w:val="0"/>
              </w:rPr>
              <w:t>10,056,730.08</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（4）报告期末持有的处于转股期的可转换债券明细</w:t>
      </w:r>
    </w:p>
    <w:tbl>
      <w:tblPr>
        <w:tblW w:w="79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624"/>
        <w:gridCol w:w="1558"/>
        <w:gridCol w:w="1594"/>
        <w:gridCol w:w="1523"/>
      </w:tblGrid>
      <w:tr w:rsidR="007759F2" w:rsidRPr="007759F2" w:rsidTr="00677BF5">
        <w:tc>
          <w:tcPr>
            <w:tcW w:w="1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cstheme="minorBidi"/>
                <w:kern w:val="0"/>
              </w:rPr>
            </w:pPr>
            <w:r w:rsidRPr="007759F2">
              <w:rPr>
                <w:rFonts w:asciiTheme="minorEastAsia" w:eastAsiaTheme="minorEastAsia" w:hAnsiTheme="minorEastAsia" w:hint="eastAsia"/>
                <w:kern w:val="0"/>
              </w:rPr>
              <w:t>序号</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债券代码</w:t>
            </w:r>
          </w:p>
        </w:tc>
        <w:tc>
          <w:tcPr>
            <w:tcW w:w="165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债券名称</w:t>
            </w:r>
          </w:p>
        </w:tc>
        <w:tc>
          <w:tcPr>
            <w:tcW w:w="169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公允价值（元）</w:t>
            </w:r>
          </w:p>
        </w:tc>
        <w:tc>
          <w:tcPr>
            <w:tcW w:w="162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r>
      <w:tr w:rsidR="007759F2" w:rsidRPr="007759F2" w:rsidTr="00677BF5">
        <w:tc>
          <w:tcPr>
            <w:tcW w:w="180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1"/>
              </w:rPr>
            </w:pPr>
            <w:r w:rsidRPr="007759F2">
              <w:rPr>
                <w:rFonts w:asciiTheme="minorEastAsia" w:eastAsiaTheme="minorEastAsia" w:hAnsiTheme="minorEastAsia" w:hint="eastAsia"/>
                <w:kern w:val="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2"/>
              </w:rPr>
            </w:pPr>
            <w:r w:rsidRPr="007759F2">
              <w:rPr>
                <w:rFonts w:asciiTheme="minorEastAsia" w:eastAsiaTheme="minorEastAsia" w:hAnsiTheme="minorEastAsia" w:hint="eastAsia"/>
                <w:kern w:val="0"/>
              </w:rPr>
              <w:t>128075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远东转债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66,091.00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0.01</w:t>
            </w:r>
          </w:p>
        </w:tc>
      </w:tr>
    </w:tbl>
    <w:p w:rsidR="00677BF5" w:rsidRPr="007759F2" w:rsidRDefault="00677BF5" w:rsidP="007759F2">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（5）报告期末前十名股票中存在流通受限情况的说明</w:t>
      </w:r>
    </w:p>
    <w:tbl>
      <w:tblPr>
        <w:tblW w:w="79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225"/>
        <w:gridCol w:w="1223"/>
        <w:gridCol w:w="1690"/>
        <w:gridCol w:w="1551"/>
        <w:gridCol w:w="1284"/>
      </w:tblGrid>
      <w:tr w:rsidR="007759F2" w:rsidRPr="007759F2" w:rsidTr="00677BF5">
        <w:tc>
          <w:tcPr>
            <w:tcW w:w="108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cstheme="minorBidi"/>
                <w:kern w:val="0"/>
              </w:rPr>
            </w:pPr>
            <w:r w:rsidRPr="007759F2">
              <w:rPr>
                <w:rFonts w:asciiTheme="minorEastAsia" w:eastAsiaTheme="minorEastAsia" w:hAnsiTheme="minorEastAsia" w:hint="eastAsia"/>
                <w:kern w:val="0"/>
              </w:rPr>
              <w:t>序号</w:t>
            </w:r>
          </w:p>
        </w:tc>
        <w:tc>
          <w:tcPr>
            <w:tcW w:w="130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股票代码</w:t>
            </w:r>
          </w:p>
        </w:tc>
        <w:tc>
          <w:tcPr>
            <w:tcW w:w="13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股票名称</w:t>
            </w:r>
          </w:p>
        </w:tc>
        <w:tc>
          <w:tcPr>
            <w:tcW w:w="180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流通受限部分的公允价值（元）</w:t>
            </w:r>
          </w:p>
        </w:tc>
        <w:tc>
          <w:tcPr>
            <w:tcW w:w="165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占基金资产净值比例（%）</w:t>
            </w:r>
          </w:p>
        </w:tc>
        <w:tc>
          <w:tcPr>
            <w:tcW w:w="136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before="29" w:line="300" w:lineRule="auto"/>
              <w:ind w:left="17"/>
              <w:jc w:val="center"/>
              <w:rPr>
                <w:rFonts w:asciiTheme="minorEastAsia" w:eastAsiaTheme="minorEastAsia" w:hAnsiTheme="minorEastAsia"/>
                <w:kern w:val="0"/>
              </w:rPr>
            </w:pPr>
            <w:r w:rsidRPr="007759F2">
              <w:rPr>
                <w:rFonts w:asciiTheme="minorEastAsia" w:eastAsiaTheme="minorEastAsia" w:hAnsiTheme="minorEastAsia" w:hint="eastAsia"/>
                <w:kern w:val="0"/>
              </w:rPr>
              <w:t>流通受限情况说明</w:t>
            </w:r>
          </w:p>
        </w:tc>
      </w:tr>
      <w:tr w:rsidR="007759F2" w:rsidRPr="007759F2" w:rsidTr="00677BF5">
        <w:tc>
          <w:tcPr>
            <w:tcW w:w="1083"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1"/>
              </w:rPr>
            </w:pPr>
            <w:r w:rsidRPr="007759F2">
              <w:rPr>
                <w:rFonts w:asciiTheme="minorEastAsia" w:eastAsiaTheme="minorEastAsia" w:hAnsiTheme="minorEastAsia" w:hint="eastAsia"/>
                <w:kern w:val="0"/>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szCs w:val="22"/>
              </w:rPr>
            </w:pPr>
            <w:r w:rsidRPr="007759F2">
              <w:rPr>
                <w:rFonts w:asciiTheme="minorEastAsia" w:eastAsiaTheme="minorEastAsia" w:hAnsiTheme="minorEastAsia" w:hint="eastAsia"/>
                <w:kern w:val="0"/>
              </w:rPr>
              <w:t>601816</w:t>
            </w:r>
          </w:p>
        </w:tc>
        <w:tc>
          <w:tcPr>
            <w:tcW w:w="1301"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center"/>
              <w:rPr>
                <w:rFonts w:asciiTheme="minorEastAsia" w:eastAsiaTheme="minorEastAsia" w:hAnsiTheme="minorEastAsia"/>
              </w:rPr>
            </w:pPr>
            <w:r w:rsidRPr="007759F2">
              <w:rPr>
                <w:rFonts w:asciiTheme="minorEastAsia" w:eastAsiaTheme="minorEastAsia" w:hAnsiTheme="minorEastAsia" w:hint="eastAsia"/>
                <w:kern w:val="0"/>
              </w:rPr>
              <w:t>京沪高铁</w:t>
            </w:r>
          </w:p>
        </w:tc>
        <w:tc>
          <w:tcPr>
            <w:tcW w:w="180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5,094,732.32</w:t>
            </w:r>
          </w:p>
        </w:tc>
        <w:tc>
          <w:tcPr>
            <w:tcW w:w="1655"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rsidR="00677BF5" w:rsidRPr="007759F2" w:rsidRDefault="00677BF5">
            <w:pPr>
              <w:spacing w:line="300" w:lineRule="auto"/>
              <w:jc w:val="right"/>
              <w:rPr>
                <w:rFonts w:asciiTheme="minorEastAsia" w:eastAsiaTheme="minorEastAsia" w:hAnsiTheme="minorEastAsia"/>
              </w:rPr>
            </w:pPr>
            <w:r w:rsidRPr="007759F2">
              <w:rPr>
                <w:rFonts w:asciiTheme="minorEastAsia" w:eastAsiaTheme="minorEastAsia" w:hAnsiTheme="minorEastAsia" w:hint="eastAsia"/>
                <w:kern w:val="0"/>
              </w:rPr>
              <w:t>新股流通受限</w:t>
            </w:r>
          </w:p>
        </w:tc>
      </w:tr>
    </w:tbl>
    <w:p w:rsidR="00677BF5" w:rsidRPr="007759F2" w:rsidRDefault="00677BF5" w:rsidP="00677BF5">
      <w:pPr>
        <w:spacing w:line="300" w:lineRule="auto"/>
        <w:rPr>
          <w:rFonts w:asciiTheme="minorEastAsia" w:eastAsiaTheme="minorEastAsia" w:hAnsiTheme="minorEastAsia" w:cstheme="minorBidi"/>
          <w:szCs w:val="22"/>
        </w:rPr>
      </w:pPr>
    </w:p>
    <w:p w:rsidR="007759F2" w:rsidRPr="007759F2" w:rsidRDefault="007759F2" w:rsidP="00677BF5">
      <w:pPr>
        <w:spacing w:line="300" w:lineRule="auto"/>
        <w:rPr>
          <w:rFonts w:asciiTheme="minorEastAsia" w:eastAsiaTheme="minorEastAsia" w:hAnsiTheme="minorEastAsia" w:cstheme="minorBidi"/>
          <w:szCs w:val="22"/>
        </w:rPr>
        <w:sectPr w:rsidR="007759F2" w:rsidRPr="007759F2">
          <w:pgSz w:w="11906" w:h="16838"/>
          <w:pgMar w:top="1440" w:right="1803" w:bottom="1440" w:left="1803" w:header="851" w:footer="992" w:gutter="0"/>
          <w:pgNumType w:start="1"/>
          <w:cols w:space="720"/>
          <w:docGrid w:type="lines" w:linePitch="317"/>
        </w:sect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sz w:val="30"/>
        </w:rPr>
      </w:pPr>
      <w:bookmarkStart w:id="74" w:name="_Toc437610770"/>
      <w:bookmarkStart w:id="75" w:name="_Toc43380857"/>
      <w:r w:rsidRPr="007759F2">
        <w:rPr>
          <w:rFonts w:asciiTheme="minorEastAsia" w:eastAsiaTheme="minorEastAsia" w:hAnsiTheme="minorEastAsia" w:hint="eastAsia"/>
          <w:sz w:val="30"/>
        </w:rPr>
        <w:lastRenderedPageBreak/>
        <w:t>十二、基金的业绩</w:t>
      </w:r>
      <w:bookmarkEnd w:id="74"/>
      <w:bookmarkEnd w:id="75"/>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本基金合同生效日为2015年6月30日，</w:t>
      </w:r>
      <w:r w:rsidR="00677BF5" w:rsidRPr="007759F2">
        <w:rPr>
          <w:rFonts w:asciiTheme="minorEastAsia" w:eastAsiaTheme="minorEastAsia" w:hAnsiTheme="minorEastAsia" w:hint="eastAsia"/>
          <w:szCs w:val="21"/>
        </w:rPr>
        <w:t>基金合同生效以来（截至2019年12月31日）的投资业绩及与同期基准的比较如下表所示</w:t>
      </w:r>
      <w:r w:rsidRPr="007759F2">
        <w:rPr>
          <w:rFonts w:asciiTheme="minorEastAsia" w:eastAsiaTheme="minorEastAsia" w:hAnsiTheme="minorEastAsia" w:hint="eastAsia"/>
          <w:szCs w:val="21"/>
        </w:rPr>
        <w:t>：</w:t>
      </w: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3"/>
        <w:gridCol w:w="1292"/>
        <w:gridCol w:w="1291"/>
        <w:gridCol w:w="1291"/>
        <w:gridCol w:w="1291"/>
        <w:gridCol w:w="1291"/>
        <w:gridCol w:w="1291"/>
      </w:tblGrid>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阶段</w:t>
            </w:r>
          </w:p>
        </w:tc>
        <w:tc>
          <w:tcPr>
            <w:tcW w:w="1292"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净值增长率</w:t>
            </w:r>
            <w:r w:rsidRPr="007759F2">
              <w:rPr>
                <w:rFonts w:asciiTheme="minorEastAsia" w:eastAsiaTheme="minorEastAsia" w:hAnsiTheme="minorEastAsia" w:cs="宋体" w:hint="eastAsia"/>
                <w:szCs w:val="21"/>
              </w:rPr>
              <w:t>①</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净值增长率标准差</w:t>
            </w:r>
            <w:r w:rsidRPr="007759F2">
              <w:rPr>
                <w:rFonts w:asciiTheme="minorEastAsia" w:eastAsiaTheme="minorEastAsia" w:hAnsiTheme="minorEastAsia" w:cs="宋体" w:hint="eastAsia"/>
                <w:szCs w:val="21"/>
              </w:rPr>
              <w:t>②</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业绩比较基准收益率</w:t>
            </w:r>
            <w:r w:rsidRPr="007759F2">
              <w:rPr>
                <w:rFonts w:asciiTheme="minorEastAsia" w:eastAsiaTheme="minorEastAsia" w:hAnsiTheme="minorEastAsia" w:cs="宋体" w:hint="eastAsia"/>
                <w:szCs w:val="21"/>
              </w:rPr>
              <w:t>③</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业绩比较基准收益率标准差</w:t>
            </w:r>
            <w:r w:rsidRPr="007759F2">
              <w:rPr>
                <w:rFonts w:asciiTheme="minorEastAsia" w:eastAsiaTheme="minorEastAsia" w:hAnsiTheme="minorEastAsia" w:cs="宋体" w:hint="eastAsia"/>
                <w:szCs w:val="21"/>
              </w:rPr>
              <w:t>④</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cs="宋体" w:hint="eastAsia"/>
                <w:szCs w:val="21"/>
              </w:rPr>
              <w:t>①</w:t>
            </w:r>
            <w:r w:rsidRPr="007759F2">
              <w:rPr>
                <w:rFonts w:asciiTheme="minorEastAsia" w:eastAsiaTheme="minorEastAsia" w:hAnsiTheme="minorEastAsia" w:hint="eastAsia"/>
                <w:szCs w:val="21"/>
              </w:rPr>
              <w:t>－</w:t>
            </w:r>
            <w:r w:rsidRPr="007759F2">
              <w:rPr>
                <w:rFonts w:asciiTheme="minorEastAsia" w:eastAsiaTheme="minorEastAsia" w:hAnsiTheme="minorEastAsia" w:cs="宋体" w:hint="eastAsia"/>
                <w:szCs w:val="21"/>
              </w:rPr>
              <w:t>③</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center"/>
              <w:rPr>
                <w:rFonts w:asciiTheme="minorEastAsia" w:eastAsiaTheme="minorEastAsia" w:hAnsiTheme="minorEastAsia"/>
                <w:szCs w:val="21"/>
              </w:rPr>
            </w:pPr>
            <w:r w:rsidRPr="007759F2">
              <w:rPr>
                <w:rFonts w:asciiTheme="minorEastAsia" w:eastAsiaTheme="minorEastAsia" w:hAnsiTheme="minorEastAsia" w:cs="宋体" w:hint="eastAsia"/>
                <w:szCs w:val="21"/>
              </w:rPr>
              <w:t>②</w:t>
            </w:r>
            <w:r w:rsidRPr="007759F2">
              <w:rPr>
                <w:rFonts w:asciiTheme="minorEastAsia" w:eastAsiaTheme="minorEastAsia" w:hAnsiTheme="minorEastAsia" w:hint="eastAsia"/>
                <w:szCs w:val="21"/>
              </w:rPr>
              <w:t>－</w:t>
            </w:r>
            <w:r w:rsidRPr="007759F2">
              <w:rPr>
                <w:rFonts w:asciiTheme="minorEastAsia" w:eastAsiaTheme="minorEastAsia" w:hAnsiTheme="minorEastAsia" w:cs="宋体" w:hint="eastAsia"/>
                <w:szCs w:val="21"/>
              </w:rPr>
              <w:t>④</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hint="eastAsia"/>
                <w:szCs w:val="21"/>
              </w:rPr>
              <w:t>自基金合同生效日至2015年12月31日</w:t>
            </w:r>
          </w:p>
        </w:tc>
        <w:tc>
          <w:tcPr>
            <w:tcW w:w="1292"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-0.70%</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0.08%</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1.92%</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0.01%</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-2.62%</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0.07%</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hint="eastAsia"/>
                <w:szCs w:val="21"/>
              </w:rPr>
              <w:t>2016年1月1日至2016年12月31日</w:t>
            </w:r>
          </w:p>
        </w:tc>
        <w:tc>
          <w:tcPr>
            <w:tcW w:w="1292"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-0.20%</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0.13%</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3.56%</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0.01%</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-3.76%</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hint="eastAsia"/>
                <w:szCs w:val="21"/>
              </w:rPr>
              <w:t>0.12%</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hint="eastAsia"/>
                <w:szCs w:val="21"/>
              </w:rPr>
              <w:t>2017年1月1日至2017年12月31日</w:t>
            </w:r>
          </w:p>
        </w:tc>
        <w:tc>
          <w:tcPr>
            <w:tcW w:w="1292"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17.36%</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0.32%</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3.55%</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0.01%</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13.81%</w:t>
            </w:r>
          </w:p>
        </w:tc>
        <w:tc>
          <w:tcPr>
            <w:tcW w:w="1291" w:type="dxa"/>
            <w:tcBorders>
              <w:top w:val="single" w:sz="4" w:space="0" w:color="auto"/>
              <w:left w:val="single" w:sz="4" w:space="0" w:color="auto"/>
              <w:bottom w:val="single" w:sz="4" w:space="0" w:color="auto"/>
              <w:right w:val="single" w:sz="4" w:space="0" w:color="auto"/>
            </w:tcBorders>
            <w:vAlign w:val="center"/>
            <w:hideMark/>
          </w:tcPr>
          <w:p w:rsidR="00CD234C" w:rsidRPr="007759F2" w:rsidRDefault="00CD234C">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hint="eastAsia"/>
                <w:szCs w:val="21"/>
              </w:rPr>
              <w:t>0.31%</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hideMark/>
          </w:tcPr>
          <w:p w:rsidR="005E06C5" w:rsidRPr="007759F2" w:rsidRDefault="005E06C5" w:rsidP="005E06C5">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hint="eastAsia"/>
                <w:szCs w:val="21"/>
              </w:rPr>
              <w:t>2018年1月1日至2018年12月31日</w:t>
            </w:r>
          </w:p>
        </w:tc>
        <w:tc>
          <w:tcPr>
            <w:tcW w:w="1292"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-0.34%</w:t>
            </w:r>
          </w:p>
        </w:tc>
        <w:tc>
          <w:tcPr>
            <w:tcW w:w="1291"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0.45%</w:t>
            </w:r>
          </w:p>
        </w:tc>
        <w:tc>
          <w:tcPr>
            <w:tcW w:w="1291"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3.55%</w:t>
            </w:r>
          </w:p>
        </w:tc>
        <w:tc>
          <w:tcPr>
            <w:tcW w:w="1291"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0.01%</w:t>
            </w:r>
          </w:p>
        </w:tc>
        <w:tc>
          <w:tcPr>
            <w:tcW w:w="1291"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-3.89%</w:t>
            </w:r>
          </w:p>
        </w:tc>
        <w:tc>
          <w:tcPr>
            <w:tcW w:w="1291" w:type="dxa"/>
            <w:tcBorders>
              <w:top w:val="single" w:sz="4" w:space="0" w:color="auto"/>
              <w:left w:val="single" w:sz="4" w:space="0" w:color="auto"/>
              <w:bottom w:val="single" w:sz="4" w:space="0" w:color="auto"/>
              <w:right w:val="single" w:sz="4" w:space="0" w:color="auto"/>
            </w:tcBorders>
            <w:vAlign w:val="center"/>
          </w:tcPr>
          <w:p w:rsidR="005E06C5" w:rsidRPr="007759F2" w:rsidRDefault="005E06C5" w:rsidP="008B1EB8">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szCs w:val="21"/>
              </w:rPr>
              <w:t>0.44%</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rsidP="00953C4F">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szCs w:val="21"/>
              </w:rPr>
              <w:t>2019年1月1日至2019年12月31日</w:t>
            </w:r>
          </w:p>
        </w:tc>
        <w:tc>
          <w:tcPr>
            <w:tcW w:w="1292"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rsidP="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15.53%</w:t>
            </w:r>
          </w:p>
        </w:tc>
        <w:tc>
          <w:tcPr>
            <w:tcW w:w="1291"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rsidP="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0.37%</w:t>
            </w:r>
          </w:p>
        </w:tc>
        <w:tc>
          <w:tcPr>
            <w:tcW w:w="1291"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3.55%</w:t>
            </w:r>
          </w:p>
        </w:tc>
        <w:tc>
          <w:tcPr>
            <w:tcW w:w="1291"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0.01%</w:t>
            </w:r>
          </w:p>
        </w:tc>
        <w:tc>
          <w:tcPr>
            <w:tcW w:w="1291"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11.98%</w:t>
            </w:r>
          </w:p>
        </w:tc>
        <w:tc>
          <w:tcPr>
            <w:tcW w:w="1291" w:type="dxa"/>
            <w:tcBorders>
              <w:top w:val="single" w:sz="4" w:space="0" w:color="auto"/>
              <w:left w:val="single" w:sz="4" w:space="0" w:color="auto"/>
              <w:bottom w:val="single" w:sz="4" w:space="0" w:color="auto"/>
              <w:right w:val="single" w:sz="4" w:space="0" w:color="auto"/>
            </w:tcBorders>
            <w:vAlign w:val="center"/>
          </w:tcPr>
          <w:p w:rsidR="00953C4F" w:rsidRPr="007759F2" w:rsidRDefault="00677BF5">
            <w:pPr>
              <w:snapToGrid w:val="0"/>
              <w:spacing w:line="360" w:lineRule="auto"/>
              <w:jc w:val="right"/>
              <w:rPr>
                <w:rFonts w:asciiTheme="minorEastAsia" w:eastAsiaTheme="minorEastAsia" w:hAnsiTheme="minorEastAsia"/>
                <w:szCs w:val="21"/>
              </w:rPr>
            </w:pPr>
            <w:r w:rsidRPr="007759F2">
              <w:rPr>
                <w:rFonts w:asciiTheme="minorEastAsia" w:eastAsiaTheme="minorEastAsia" w:hAnsiTheme="minorEastAsia"/>
              </w:rPr>
              <w:t>0.36%</w:t>
            </w:r>
          </w:p>
        </w:tc>
      </w:tr>
      <w:tr w:rsidR="007759F2" w:rsidRPr="007759F2" w:rsidTr="00CD234C">
        <w:tc>
          <w:tcPr>
            <w:tcW w:w="1433"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rsidP="00953C4F">
            <w:pPr>
              <w:snapToGrid w:val="0"/>
              <w:spacing w:line="360" w:lineRule="auto"/>
              <w:jc w:val="left"/>
              <w:rPr>
                <w:rFonts w:asciiTheme="minorEastAsia" w:eastAsiaTheme="minorEastAsia" w:hAnsiTheme="minorEastAsia"/>
                <w:szCs w:val="21"/>
              </w:rPr>
            </w:pPr>
            <w:r w:rsidRPr="007759F2">
              <w:rPr>
                <w:rFonts w:asciiTheme="minorEastAsia" w:eastAsiaTheme="minorEastAsia" w:hAnsiTheme="minorEastAsia" w:hint="eastAsia"/>
                <w:szCs w:val="21"/>
              </w:rPr>
              <w:t>自基金合同生效日至</w:t>
            </w:r>
            <w:r w:rsidRPr="007759F2">
              <w:rPr>
                <w:rFonts w:asciiTheme="minorEastAsia" w:eastAsiaTheme="minorEastAsia" w:hAnsiTheme="minorEastAsia"/>
                <w:szCs w:val="21"/>
              </w:rPr>
              <w:t>2019年12月31日</w:t>
            </w:r>
          </w:p>
        </w:tc>
        <w:tc>
          <w:tcPr>
            <w:tcW w:w="1292"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rsidP="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33.90%</w:t>
            </w:r>
          </w:p>
        </w:tc>
        <w:tc>
          <w:tcPr>
            <w:tcW w:w="1291"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rsidP="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0.32%</w:t>
            </w:r>
          </w:p>
        </w:tc>
        <w:tc>
          <w:tcPr>
            <w:tcW w:w="1291"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16.12%</w:t>
            </w:r>
          </w:p>
        </w:tc>
        <w:tc>
          <w:tcPr>
            <w:tcW w:w="1291"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0.01%</w:t>
            </w:r>
          </w:p>
        </w:tc>
        <w:tc>
          <w:tcPr>
            <w:tcW w:w="1291"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17.78%</w:t>
            </w:r>
          </w:p>
        </w:tc>
        <w:tc>
          <w:tcPr>
            <w:tcW w:w="1291" w:type="dxa"/>
            <w:tcBorders>
              <w:top w:val="single" w:sz="4" w:space="0" w:color="auto"/>
              <w:left w:val="single" w:sz="4" w:space="0" w:color="auto"/>
              <w:bottom w:val="single" w:sz="4" w:space="0" w:color="auto"/>
              <w:right w:val="single" w:sz="4" w:space="0" w:color="auto"/>
            </w:tcBorders>
            <w:vAlign w:val="center"/>
          </w:tcPr>
          <w:p w:rsidR="00677BF5" w:rsidRPr="007759F2" w:rsidRDefault="00677BF5">
            <w:pPr>
              <w:snapToGrid w:val="0"/>
              <w:spacing w:line="360" w:lineRule="auto"/>
              <w:jc w:val="right"/>
              <w:rPr>
                <w:rFonts w:asciiTheme="minorEastAsia" w:eastAsiaTheme="minorEastAsia" w:hAnsiTheme="minorEastAsia"/>
              </w:rPr>
            </w:pPr>
            <w:r w:rsidRPr="007759F2">
              <w:rPr>
                <w:rFonts w:asciiTheme="minorEastAsia" w:eastAsiaTheme="minorEastAsia" w:hAnsiTheme="minorEastAsia"/>
              </w:rPr>
              <w:t>0.31%</w:t>
            </w:r>
          </w:p>
        </w:tc>
      </w:tr>
    </w:tbl>
    <w:p w:rsidR="00CD234C" w:rsidRPr="007759F2" w:rsidRDefault="00CD234C" w:rsidP="00CD234C">
      <w:pPr>
        <w:snapToGrid w:val="0"/>
        <w:spacing w:line="360" w:lineRule="auto"/>
        <w:rPr>
          <w:rFonts w:asciiTheme="minorEastAsia" w:eastAsiaTheme="minorEastAsia" w:hAnsiTheme="minorEastAsia"/>
        </w:rPr>
      </w:pP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p>
    <w:p w:rsidR="00CD234C" w:rsidRPr="007759F2" w:rsidRDefault="00CD234C" w:rsidP="00CD234C">
      <w:pPr>
        <w:pStyle w:val="1"/>
        <w:snapToGrid w:val="0"/>
        <w:spacing w:before="317" w:after="317" w:line="360" w:lineRule="auto"/>
        <w:ind w:firstLine="640"/>
        <w:rPr>
          <w:rFonts w:asciiTheme="minorEastAsia" w:eastAsiaTheme="minorEastAsia" w:hAnsiTheme="minorEastAsia"/>
          <w:szCs w:val="21"/>
        </w:rPr>
      </w:pPr>
      <w:r w:rsidRPr="007759F2">
        <w:rPr>
          <w:rFonts w:asciiTheme="minorEastAsia" w:eastAsiaTheme="minorEastAsia" w:hAnsiTheme="minorEastAsia" w:hint="eastAsia"/>
        </w:rPr>
        <w:br w:type="page"/>
      </w:r>
      <w:bookmarkStart w:id="76" w:name="_Toc43380858"/>
      <w:bookmarkStart w:id="77" w:name="_Toc332373538"/>
      <w:r w:rsidRPr="007759F2">
        <w:rPr>
          <w:rFonts w:asciiTheme="minorEastAsia" w:eastAsiaTheme="minorEastAsia" w:hAnsiTheme="minorEastAsia" w:hint="eastAsia"/>
          <w:sz w:val="30"/>
        </w:rPr>
        <w:lastRenderedPageBreak/>
        <w:t>十三、基金的财产</w:t>
      </w:r>
      <w:bookmarkEnd w:id="76"/>
    </w:p>
    <w:bookmarkEnd w:id="77"/>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（一）基金资产总值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（二）基金资产净值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基金资产净值是指基金资产总值减去基金负债后的价值。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（三）基金财产的账户</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（四）基金财产的保管和处分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CD234C" w:rsidRPr="007759F2" w:rsidRDefault="00CD234C" w:rsidP="00CD234C">
      <w:pPr>
        <w:pStyle w:val="1"/>
        <w:snapToGrid w:val="0"/>
        <w:spacing w:before="317" w:after="317" w:line="360" w:lineRule="auto"/>
        <w:ind w:firstLine="600"/>
        <w:rPr>
          <w:rFonts w:asciiTheme="minorEastAsia" w:eastAsiaTheme="minorEastAsia" w:hAnsiTheme="minorEastAsia"/>
          <w:bCs/>
        </w:rPr>
      </w:pPr>
      <w:r w:rsidRPr="007759F2">
        <w:rPr>
          <w:rFonts w:asciiTheme="minorEastAsia" w:eastAsiaTheme="minorEastAsia" w:hAnsiTheme="minorEastAsia" w:hint="eastAsia"/>
          <w:sz w:val="30"/>
        </w:rPr>
        <w:br w:type="column"/>
      </w:r>
      <w:bookmarkStart w:id="78" w:name="_Toc43380859"/>
      <w:bookmarkStart w:id="79" w:name="_Toc332373543"/>
      <w:r w:rsidRPr="007759F2">
        <w:rPr>
          <w:rFonts w:asciiTheme="minorEastAsia" w:eastAsiaTheme="minorEastAsia" w:hAnsiTheme="minorEastAsia" w:hint="eastAsia"/>
          <w:sz w:val="30"/>
        </w:rPr>
        <w:lastRenderedPageBreak/>
        <w:t>十四、基金资产的估值</w:t>
      </w:r>
      <w:bookmarkEnd w:id="78"/>
    </w:p>
    <w:bookmarkEnd w:id="79"/>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（一）估值日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本基金的估值日为本基金相关的证券交易场所的交易日以及国家法律法规规定需要对外披露基金净值的非交易日。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（二）估值对象</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基金所拥有的股票、债券、衍生工具和银行存款本息、应收款项、其它投资等资产及负债。</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（三）估值方法</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1、证券交易所上市的有价证券的估值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（2）交易所上市交易或挂牌转让的不含权和含权固定收益品种，选取第三方估值机构提供的相应品种当日的估值净价；</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（3）交易所上市交易的可转换债券，选取每日收盘价作为估值全价；</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（4）交易所市场挂牌转让的资产支持证券和私募债券，采用估值技术确定公允价值，在估值技术难以可靠计量公允价值的情况下，按成本估值。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2、处于未上市期间的有价证券应区分如下情况处理：</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（1）送股、转增股、配股和公开增发的新股，按估值日在证券交易所挂牌的同一股票的估值方法估值；该日无交易的，以最近一日的市价（收盘价）估值；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（2）首次公开发行未上市的股票、债券和权证，采用估值技术确定公允价值，在估值技术难以可靠计量公允价值的情况下，按成本估值；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（3）首次公开发行有明确锁定期的股票，同一股票在交易所上市后，按交易所上市的同一股票的估值方法估值；非公开发行有明确锁定期的股票，按监管机构或行业协会有关规定确定公允价值。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3、全国银行间债券市场交易的固定收益品种，采用估值技术确定公允价值。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4、同一债券同时在两个或两个以上市场交易的，按债券所处的市场分别估值。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5、期货合约以估值当日结算价进行估值，估值当日无结算价的，且最近交易日后经济环境未发生重大变化的，采用最近交易日结算价估值。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t>6</w:t>
      </w:r>
      <w:r w:rsidRPr="007759F2">
        <w:rPr>
          <w:rFonts w:asciiTheme="minorEastAsia" w:eastAsiaTheme="minorEastAsia" w:hAnsiTheme="minorEastAsia" w:hint="eastAsia"/>
          <w:bCs/>
          <w:i/>
        </w:rPr>
        <w:t>、</w:t>
      </w:r>
      <w:r w:rsidRPr="007759F2">
        <w:rPr>
          <w:rFonts w:asciiTheme="minorEastAsia" w:eastAsiaTheme="minorEastAsia" w:hAnsiTheme="minorEastAsia" w:hint="eastAsia"/>
          <w:bCs/>
        </w:rPr>
        <w:t>本基金投资期权的，按照相关法律法规和监管部门的规定估值。</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rPr>
        <w:lastRenderedPageBreak/>
        <w:t>7、如有充分理由表明按上述方法进行估值不能客观反映其公允价值的，基金管理人可根据具体情况与基金托管人商定后，按最能反映公允价值的价格估值。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Fonts w:asciiTheme="minorEastAsia" w:eastAsiaTheme="minorEastAsia" w:hAnsiTheme="minorEastAsia" w:hint="eastAsia"/>
          <w:bCs/>
        </w:rPr>
        <w:t>8、相关法律法规以及监管部门有强制规定的，从其规定。如有新增事项，按国家最新规定估值。</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（四）估值程序</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1、基金份额净值是按照每个工作日闭市后，基金资产净值除以当日基金份额的余额数量计算，精确到0.001元，小数点后第4位四舍五入。国家另有规定的，从其规定。</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每个工作日计算基金资产净值及基金份额净值，并按规定公告。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（五）估值错误的处理</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szCs w:val="21"/>
        </w:rPr>
        <w:t>基金管理人和基金托管人将采取必要、适当、合理的措施确保基金资产估值的准确性、及时性。当基金份额净值小数点后3位以内(含第3位)发生差错时，视为估值错误。</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各当事人应按照以下约定处理：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1、估值错误类型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上述估值错误的主要类型包括但不限于：资料申报差错、数据传输差错、数据计算差错、系统故障差错、下达指令差错等。</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2、估值错误处理原则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7759F2">
        <w:rPr>
          <w:rFonts w:asciiTheme="minorEastAsia" w:eastAsiaTheme="minorEastAsia" w:hAnsiTheme="minorEastAsia" w:hint="eastAsia"/>
          <w:bCs/>
          <w:szCs w:val="21"/>
        </w:rPr>
        <w:lastRenderedPageBreak/>
        <w:t>未更正，则其应当承担相应赔偿责任。估值错误责任方应对更正的情况向有关当事人进行确认，确保估值错误已得到更正。</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（2）估值错误的责任方对有关当事人的直接损失负责，不对间接损失负责，并且仅对估值错误的有关直接当事人负责，不对第三方负责。</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（4）估值错误调整采用尽量恢复至假设未发生估值错误的正确情形的方式。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3、估值错误处理程序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估值错误被发现后，有关的当事人应当及时进行处理，处理的程序如下：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（1）查明估值错误发生的原因，列明所有的当事人，并根据估值错误发生的原因确定估值错误的责任方；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（2）根据估值错误处理原则或当事人协商的方法对因估值错误造成的损失进行评估；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（3）根据估值错误处理原则或当事人协商的方法由估值错误的责任方进行更正和赔偿损失；</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（4）根据估值错误处理的方法，需要修改基金登记机构交易数据的，由基金登记机构进行更正，并就估值错误的更正向有关当事人进行确认。</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4、基金份额净值估值错误处理的方法如下：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（1）基金份额净值计算出现错误时，基金管理人应当立即予以纠正，通报基金托管人，并采取合理的措施防止损失进一步扩大。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（2）错误偏差达到基金份额净值的0.25%时，基金管理人应当通报基金托管人；错误偏差达到基金份额净值的0.5%时，基金管理人应当公告，并报中国证监会备案。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（3）前述内容如法律法规或监管机关另有规定的，从其规定处理。</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（六）暂停估值的情形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1、基金投资所涉及的证券交易市场遇法定节假日或因其他原因暂停营业时；</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2、因不可抗力致使基金管理人、基金托管人无法准确评估基金资产价值时；</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3、当前一估值日基金资产净值50%以上的资产出现无可参考的活跃市场价格且采用估值技术仍导致公允价值存在重大不确定性时，经与基金托管人协商一致的；</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4、中国证监会和基金合同认定的其它情形。</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（七）基金净值的确认</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用于基金信息披露的基金资产净值和基金份额净值由基金管理人负责计算，基金托管人</w:t>
      </w:r>
      <w:r w:rsidRPr="007759F2">
        <w:rPr>
          <w:rStyle w:val="da"/>
          <w:rFonts w:asciiTheme="minorEastAsia" w:eastAsiaTheme="minorEastAsia" w:hAnsiTheme="minorEastAsia" w:hint="eastAsia"/>
          <w:szCs w:val="21"/>
        </w:rPr>
        <w:lastRenderedPageBreak/>
        <w:t>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（八）特殊情况的处理</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1、基金管理人或基金托管人按估值方法的第7项进行估值时，所造成的误差不作为基金资产估值错误处理。</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Style w:val="da"/>
          <w:rFonts w:asciiTheme="minorEastAsia" w:eastAsiaTheme="minorEastAsia" w:hAnsiTheme="minorEastAsia" w:hint="eastAsia"/>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CD234C" w:rsidRPr="007759F2" w:rsidRDefault="00CD234C" w:rsidP="00CD234C">
      <w:pPr>
        <w:pStyle w:val="1"/>
        <w:snapToGrid w:val="0"/>
        <w:spacing w:before="317" w:after="317" w:line="360" w:lineRule="auto"/>
        <w:ind w:firstLine="600"/>
        <w:rPr>
          <w:rFonts w:asciiTheme="minorEastAsia" w:eastAsiaTheme="minorEastAsia" w:hAnsiTheme="minorEastAsia"/>
          <w:bCs/>
        </w:rPr>
      </w:pPr>
      <w:r w:rsidRPr="007759F2">
        <w:rPr>
          <w:rFonts w:asciiTheme="minorEastAsia" w:eastAsiaTheme="minorEastAsia" w:hAnsiTheme="minorEastAsia" w:hint="eastAsia"/>
          <w:sz w:val="30"/>
        </w:rPr>
        <w:br w:type="column"/>
      </w:r>
      <w:bookmarkStart w:id="80" w:name="_Toc43380860"/>
      <w:bookmarkStart w:id="81" w:name="_Toc332373553"/>
      <w:r w:rsidRPr="007759F2">
        <w:rPr>
          <w:rFonts w:asciiTheme="minorEastAsia" w:eastAsiaTheme="minorEastAsia" w:hAnsiTheme="minorEastAsia" w:hint="eastAsia"/>
          <w:sz w:val="30"/>
        </w:rPr>
        <w:lastRenderedPageBreak/>
        <w:t>十五、基金的收益分配</w:t>
      </w:r>
      <w:bookmarkEnd w:id="80"/>
    </w:p>
    <w:bookmarkEnd w:id="81"/>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（一）基金利润的构成</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基金利润指基金利息收入、投资收益、公允价值变动收益和其他收入扣除相关费用后的余额，基金已实现收益指基金利润减去公允价值变动收益后的余额。</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（二）基金可供分配利润</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基金可供分配利润指截至收益分配基准日基金未分配利润与未分配利润中已实现收益的孰低数。</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（三）基金收益分配原则</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szCs w:val="21"/>
        </w:rPr>
        <w:t>1、本基金收益分配方式分两种：现金分红与红利再投资，投资者可选择现金红利或将现金红利自动转为基金份额进行再投资；若投资者不选择，本基金默认的收益分配方式是现金分红；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2、基金收益分配后基金份额净值不能低于面值；即基金收益分配基准日的基金份额净值减去每单位基金份额收益分配金额后不能低于面值；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3、同一类别的每一基金份额享有同等分配权；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4、在对基金份额持有人利益无实质不利影响的前提下，基金管理人可调整基金收益的分配原则和支付方式，不需召开基金份额持有人大会审议；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5、法律法规或监管机关另有规定的，从其规定。</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（四）收益分配方案</w:t>
      </w:r>
    </w:p>
    <w:p w:rsidR="00CD234C" w:rsidRPr="007759F2" w:rsidRDefault="00CD234C" w:rsidP="00CD234C">
      <w:pPr>
        <w:snapToGrid w:val="0"/>
        <w:spacing w:line="360" w:lineRule="auto"/>
        <w:ind w:firstLineChars="200" w:firstLine="420"/>
        <w:rPr>
          <w:rFonts w:asciiTheme="minorEastAsia" w:eastAsiaTheme="minorEastAsia" w:hAnsiTheme="minorEastAsia"/>
          <w:bCs/>
        </w:rPr>
      </w:pPr>
      <w:r w:rsidRPr="007759F2">
        <w:rPr>
          <w:rFonts w:asciiTheme="minorEastAsia" w:eastAsiaTheme="minorEastAsia" w:hAnsiTheme="minorEastAsia" w:hint="eastAsia"/>
          <w:bCs/>
          <w:szCs w:val="21"/>
        </w:rPr>
        <w:t>基金收益分配方案中应载明截止收益分配基准日的可供分配利润、基金收益分配对象、分配时间、分配数额及比例、分配方式等内容。</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szCs w:val="21"/>
        </w:rPr>
        <w:t>（五）收益分配方案的确定、公告与实施</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本基金收益分配方案由基金管理人拟定，并由基金托管人复核，在2日内在指定媒介公告。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基金红利发放日距离收益分配基准日（即可供分配利润计算截止日）的时间不得超过15个工作日。</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（六）基金收益分配中发生的费用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szCs w:val="21"/>
        </w:rPr>
      </w:pPr>
      <w:r w:rsidRPr="007759F2">
        <w:rPr>
          <w:rStyle w:val="da"/>
          <w:rFonts w:asciiTheme="minorEastAsia" w:eastAsiaTheme="minorEastAsia" w:hAnsiTheme="minorEastAsia"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CD234C" w:rsidRPr="007759F2" w:rsidRDefault="00CD234C" w:rsidP="00CD234C">
      <w:pPr>
        <w:pStyle w:val="1"/>
        <w:snapToGrid w:val="0"/>
        <w:spacing w:before="317" w:after="317" w:line="360" w:lineRule="auto"/>
        <w:ind w:firstLine="640"/>
        <w:rPr>
          <w:rFonts w:asciiTheme="minorEastAsia" w:eastAsiaTheme="minorEastAsia" w:hAnsiTheme="minorEastAsia"/>
          <w:bCs/>
        </w:rPr>
      </w:pPr>
      <w:r w:rsidRPr="007759F2">
        <w:rPr>
          <w:rFonts w:asciiTheme="minorEastAsia" w:eastAsiaTheme="minorEastAsia" w:hAnsiTheme="minorEastAsia" w:hint="eastAsia"/>
          <w:szCs w:val="21"/>
        </w:rPr>
        <w:br w:type="column"/>
      </w:r>
      <w:bookmarkStart w:id="82" w:name="_Toc43380861"/>
      <w:bookmarkStart w:id="83" w:name="_Toc332373560"/>
      <w:r w:rsidRPr="007759F2">
        <w:rPr>
          <w:rFonts w:asciiTheme="minorEastAsia" w:eastAsiaTheme="minorEastAsia" w:hAnsiTheme="minorEastAsia" w:hint="eastAsia"/>
          <w:sz w:val="30"/>
        </w:rPr>
        <w:lastRenderedPageBreak/>
        <w:t>十六、基金的费用与税收</w:t>
      </w:r>
      <w:bookmarkEnd w:id="82"/>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84" w:name="_Toc332373561"/>
      <w:bookmarkEnd w:id="83"/>
      <w:r w:rsidRPr="007759F2">
        <w:rPr>
          <w:rStyle w:val="da"/>
          <w:rFonts w:asciiTheme="minorEastAsia" w:eastAsiaTheme="minorEastAsia" w:hAnsiTheme="minorEastAsia" w:hint="eastAsia"/>
        </w:rPr>
        <w:t>（一）基金费用的种类</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bookmarkStart w:id="85" w:name="_Toc332373562"/>
      <w:bookmarkEnd w:id="84"/>
      <w:r w:rsidRPr="007759F2">
        <w:rPr>
          <w:rFonts w:asciiTheme="minorEastAsia" w:eastAsiaTheme="minorEastAsia" w:hAnsiTheme="minorEastAsia" w:hint="eastAsia"/>
          <w:bCs/>
          <w:szCs w:val="21"/>
        </w:rPr>
        <w:t>1、基金管理人的管理费；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2、基金托管人的托管费；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3、《基金合同》生效后与基金相关的信息披露费用；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4、《基金合同》生效后与基金相关的会计师费、律师费、诉讼费和仲裁费；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5、基金份额持有人大会费用；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6、基金的证券交易费用；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7、基金的银行汇划费用；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8、证券账户开户费用、银行账户维护费用；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9、按照国家有关规定和《基金合同》约定，可以在基金财产中列支的其他费用。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（二）基金费用计提方法、计提标准和支付方式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bookmarkStart w:id="86" w:name="_Toc332373563"/>
      <w:bookmarkEnd w:id="85"/>
      <w:r w:rsidRPr="007759F2">
        <w:rPr>
          <w:rFonts w:asciiTheme="minorEastAsia" w:eastAsiaTheme="minorEastAsia" w:hAnsiTheme="minorEastAsia" w:hint="eastAsia"/>
          <w:bCs/>
          <w:szCs w:val="21"/>
        </w:rPr>
        <w:t>1、基金管理人的管理费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本基金的管理费按前一日基金资产净值的0.60%年费率计提。管理费的计算方法如下：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H＝E×0.60%÷当年天数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H为每日应计提的基金管理费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E为前一日的基金资产净值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基金管理费每日计提，按月支付。由基金管理人在次月初3个工作日内出具资金划拨指令，基金托管人复核无误后于2个工作日内进行支付。若遇法定节假日、休息日等，支付日期顺延。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2、基金托管人的托管费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本基金的托管费按前一日基金资产净值的0.15%的年费率计提。托管费的计算方法如下：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H＝E×0.15%÷当年天数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H为每日应计提的基金托管费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E为前一日的基金资产净值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基金托管费每日计提，按月支付。由基金管理人在次月初3个工作日内出具资金划拨指令，基金托管人复核无误后于2个工作日内进行支付。若遇法定节假日、休息日等，支付日期顺延。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上述“一、基金费用的种类中第3－9项费用”，根据有关法规及相应协议规定，按费用实际支出金额列入当期费用，由基金托管人从基金财产中支付。</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（三）不列入基金费用的项目</w:t>
      </w:r>
    </w:p>
    <w:bookmarkEnd w:id="86"/>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下列费用不列入基金费用：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bookmarkStart w:id="87" w:name="_Toc332373564"/>
      <w:r w:rsidRPr="007759F2">
        <w:rPr>
          <w:rFonts w:asciiTheme="minorEastAsia" w:eastAsiaTheme="minorEastAsia" w:hAnsiTheme="minorEastAsia" w:hint="eastAsia"/>
          <w:bCs/>
          <w:szCs w:val="21"/>
        </w:rPr>
        <w:lastRenderedPageBreak/>
        <w:t>1、基金管理人和基金托管人因未履行或未完全履行义务导致的费用支出或基金财产的损失；</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2、基金管理人和基金托管人处理与基金运作无关的事项发生的费用；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3、《基金合同》生效前的相关费用；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4、其他根据相关法律法规及中国证监会的有关规定不得列入基金费用的项目。</w:t>
      </w:r>
      <w:bookmarkStart w:id="88" w:name="_Hlt88827255"/>
      <w:bookmarkEnd w:id="88"/>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（四）与基金销售有关的费用</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1、本基金申购费、赎回费和转换费的费率水平、计算公式、收取方式和使用方式请详见本招募说明书“八、基金份额的申购、赎回”中的“</w:t>
      </w:r>
      <w:r w:rsidRPr="007759F2">
        <w:rPr>
          <w:rStyle w:val="da"/>
          <w:rFonts w:asciiTheme="minorEastAsia" w:eastAsiaTheme="minorEastAsia" w:hAnsiTheme="minorEastAsia" w:hint="eastAsia"/>
          <w:szCs w:val="21"/>
        </w:rPr>
        <w:t>（七）基金的申购费和赎回费</w:t>
      </w:r>
      <w:r w:rsidRPr="007759F2">
        <w:rPr>
          <w:rFonts w:asciiTheme="minorEastAsia" w:eastAsiaTheme="minorEastAsia" w:hAnsiTheme="minorEastAsia" w:hint="eastAsia"/>
          <w:szCs w:val="21"/>
        </w:rPr>
        <w:t>”与“</w:t>
      </w:r>
      <w:r w:rsidRPr="007759F2">
        <w:rPr>
          <w:rStyle w:val="da"/>
          <w:rFonts w:asciiTheme="minorEastAsia" w:eastAsiaTheme="minorEastAsia" w:hAnsiTheme="minorEastAsia" w:hint="eastAsia"/>
        </w:rPr>
        <w:t>（八）申购和赎回的数额和价格</w:t>
      </w:r>
      <w:r w:rsidRPr="007759F2">
        <w:rPr>
          <w:rFonts w:asciiTheme="minorEastAsia" w:eastAsiaTheme="minorEastAsia" w:hAnsiTheme="minorEastAsia" w:hint="eastAsia"/>
          <w:szCs w:val="21"/>
        </w:rPr>
        <w:t>”和“九、基金转换和定期定额投资计划”中的“5、基金转换费率”与“6、基金转换份额的计算方式”的相关规定。</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2、投资者通过本公司网上交易系统（www.efunds.com.cn）进行申购、赎回和转换的交易费率，请具体参照我公司网站上的相关说明。</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管理人可以在基金合同规定的范围内调整申购费率、赎回费率和转换费率或变更收费方式。上述费率或收费方式如发生变更，基金管理人最迟应于新的费率或收费方式实施日前依照《信息披露办法》的有关规定在指定媒体上公告。</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（五）费用调整</w:t>
      </w:r>
    </w:p>
    <w:bookmarkEnd w:id="87"/>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基金管理人和基金托管人协商一致后，可按照基金发展情况，并根据法律法规规定和基金合同约定调整基金管理费率、基金托管费率等相关费率。</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bookmarkStart w:id="89" w:name="_Toc332373565"/>
      <w:r w:rsidRPr="007759F2">
        <w:rPr>
          <w:rFonts w:asciiTheme="minorEastAsia" w:eastAsiaTheme="minorEastAsia" w:hAnsiTheme="minorEastAsia" w:hint="eastAsia"/>
          <w:szCs w:val="21"/>
        </w:rPr>
        <w:t>（六）税收</w:t>
      </w:r>
    </w:p>
    <w:bookmarkEnd w:id="89"/>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本基金运作过程中涉及的各纳税主体，其纳税义务按国家税收法律、法规执行。</w:t>
      </w:r>
    </w:p>
    <w:p w:rsidR="00CD234C" w:rsidRPr="007759F2" w:rsidRDefault="00CD234C" w:rsidP="00CD234C">
      <w:pPr>
        <w:pStyle w:val="1"/>
        <w:snapToGrid w:val="0"/>
        <w:spacing w:before="317" w:after="317" w:line="360" w:lineRule="auto"/>
        <w:ind w:firstLine="640"/>
        <w:rPr>
          <w:rFonts w:asciiTheme="minorEastAsia" w:eastAsiaTheme="minorEastAsia" w:hAnsiTheme="minorEastAsia"/>
          <w:bCs/>
        </w:rPr>
      </w:pPr>
      <w:r w:rsidRPr="007759F2">
        <w:rPr>
          <w:rFonts w:asciiTheme="minorEastAsia" w:eastAsiaTheme="minorEastAsia" w:hAnsiTheme="minorEastAsia" w:hint="eastAsia"/>
          <w:szCs w:val="21"/>
        </w:rPr>
        <w:br w:type="page"/>
      </w:r>
      <w:bookmarkStart w:id="90" w:name="_Toc43380862"/>
      <w:bookmarkStart w:id="91" w:name="_Toc332373566"/>
      <w:r w:rsidRPr="007759F2">
        <w:rPr>
          <w:rFonts w:asciiTheme="minorEastAsia" w:eastAsiaTheme="minorEastAsia" w:hAnsiTheme="minorEastAsia" w:hint="eastAsia"/>
          <w:sz w:val="30"/>
        </w:rPr>
        <w:lastRenderedPageBreak/>
        <w:t>十七、基金的会计与审计</w:t>
      </w:r>
      <w:bookmarkEnd w:id="90"/>
    </w:p>
    <w:bookmarkEnd w:id="91"/>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（一）基金会计政策</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1、基金管理人为本基金的基金会计责任方；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2、基金的会计年度为公历年度的1月1日至12月31日；基金首次募集的会计年度按如下原则：如果《基金合同》生效少于2个月，可以并入下一个会计年度；</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3、基金核算以人民币为记账本位币，以人民币元为记账单位；</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4、会计制度执行国家有关会计制度；</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5、本基金独立建账、独立核算；</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6、基金管理人及基金托管人各自保留完整的会计账目、凭证并进行日常的会计核算，按照有关规定编制基金会计报表；</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7、基金托管人每月与基金管理人就基金的会计核算、报表编制等进行核对确认。</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（二）基金的年度审计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1、基金管理人聘请与基金管理人、基金托管人相互独立的具有证券</w:t>
      </w:r>
      <w:r w:rsidR="002A1429" w:rsidRPr="007759F2">
        <w:rPr>
          <w:rFonts w:asciiTheme="minorEastAsia" w:eastAsiaTheme="minorEastAsia" w:hAnsiTheme="minorEastAsia" w:hint="eastAsia"/>
          <w:bCs/>
          <w:szCs w:val="21"/>
        </w:rPr>
        <w:t>、期货相关业务</w:t>
      </w:r>
      <w:r w:rsidRPr="007759F2">
        <w:rPr>
          <w:rFonts w:asciiTheme="minorEastAsia" w:eastAsiaTheme="minorEastAsia" w:hAnsiTheme="minorEastAsia" w:hint="eastAsia"/>
          <w:szCs w:val="21"/>
        </w:rPr>
        <w:t>资格的会计师事务所及其注册会计师对本基金的年度财务报表进行审计。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2、会计师事务所更换经办注册会计师，应事先征得基金管理人同意。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3、基金管理人认为有充足理由更换会计师事务所，须通报基金托管人。更换会计师事务所需在2日内在指定媒介公告。</w:t>
      </w:r>
    </w:p>
    <w:p w:rsidR="00CD234C" w:rsidRPr="007759F2" w:rsidRDefault="00CD234C" w:rsidP="00CD234C">
      <w:pPr>
        <w:snapToGrid w:val="0"/>
        <w:spacing w:line="360" w:lineRule="auto"/>
        <w:ind w:firstLine="480"/>
        <w:rPr>
          <w:rFonts w:asciiTheme="minorEastAsia" w:eastAsiaTheme="minorEastAsia" w:hAnsiTheme="minorEastAsia"/>
        </w:r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rPr>
      </w:pPr>
      <w:r w:rsidRPr="007759F2">
        <w:rPr>
          <w:rFonts w:asciiTheme="minorEastAsia" w:eastAsiaTheme="minorEastAsia" w:hAnsiTheme="minorEastAsia" w:hint="eastAsia"/>
          <w:sz w:val="30"/>
        </w:rPr>
        <w:br w:type="column"/>
      </w:r>
      <w:bookmarkStart w:id="92" w:name="_Toc43380863"/>
      <w:bookmarkStart w:id="93" w:name="_Toc332373569"/>
      <w:r w:rsidRPr="007759F2">
        <w:rPr>
          <w:rFonts w:asciiTheme="minorEastAsia" w:eastAsiaTheme="minorEastAsia" w:hAnsiTheme="minorEastAsia" w:hint="eastAsia"/>
          <w:sz w:val="30"/>
        </w:rPr>
        <w:lastRenderedPageBreak/>
        <w:t>十八、基金的信息披露</w:t>
      </w:r>
      <w:bookmarkEnd w:id="92"/>
    </w:p>
    <w:bookmarkEnd w:id="93"/>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一）本基金的信息披露应符合《基金法》、《运作办法》、《信息披露办法》、《基金合同》及其他有关规定。相关法律法规关于信息披露的披露方式、登载媒介、报备方式等规定发生变化时，本基金从其最新规定。</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（二）信息披露义务人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本基金信息披露义务人包括基金管理人、基金托管人、召集基金份额持有人大会的基金份额持有人等法律</w:t>
      </w:r>
      <w:r w:rsidR="002A1429" w:rsidRPr="007759F2">
        <w:rPr>
          <w:rFonts w:asciiTheme="minorEastAsia" w:eastAsiaTheme="minorEastAsia" w:hAnsiTheme="minorEastAsia" w:hint="eastAsia"/>
          <w:bCs/>
          <w:szCs w:val="21"/>
        </w:rPr>
        <w:t>、行政</w:t>
      </w:r>
      <w:r w:rsidRPr="007759F2">
        <w:rPr>
          <w:rFonts w:asciiTheme="minorEastAsia" w:eastAsiaTheme="minorEastAsia" w:hAnsiTheme="minorEastAsia" w:hint="eastAsia"/>
          <w:bCs/>
          <w:szCs w:val="21"/>
        </w:rPr>
        <w:t>法规和中国证监会规定的自然人、法人和</w:t>
      </w:r>
      <w:r w:rsidR="002A1429" w:rsidRPr="007759F2">
        <w:rPr>
          <w:rFonts w:asciiTheme="minorEastAsia" w:eastAsiaTheme="minorEastAsia" w:hAnsiTheme="minorEastAsia" w:hint="eastAsia"/>
          <w:bCs/>
          <w:szCs w:val="21"/>
        </w:rPr>
        <w:t>非法人</w:t>
      </w:r>
      <w:r w:rsidRPr="007759F2">
        <w:rPr>
          <w:rFonts w:asciiTheme="minorEastAsia" w:eastAsiaTheme="minorEastAsia" w:hAnsiTheme="minorEastAsia" w:hint="eastAsia"/>
          <w:bCs/>
          <w:szCs w:val="21"/>
        </w:rPr>
        <w:t>组织。</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本基金信息披露义务人</w:t>
      </w:r>
      <w:r w:rsidR="002A1429" w:rsidRPr="007759F2">
        <w:rPr>
          <w:rFonts w:asciiTheme="minorEastAsia" w:eastAsiaTheme="minorEastAsia" w:hAnsiTheme="minorEastAsia" w:hint="eastAsia"/>
          <w:bCs/>
          <w:szCs w:val="21"/>
        </w:rPr>
        <w:t>以保护基金份额持有人利益为根本出发点，</w:t>
      </w:r>
      <w:r w:rsidRPr="007759F2">
        <w:rPr>
          <w:rFonts w:asciiTheme="minorEastAsia" w:eastAsiaTheme="minorEastAsia" w:hAnsiTheme="minorEastAsia" w:hint="eastAsia"/>
          <w:bCs/>
          <w:szCs w:val="21"/>
        </w:rPr>
        <w:t>按照法律法规和中国证监会的规定披露基金信息，并保证所披露信息的真实性、准确性</w:t>
      </w:r>
      <w:r w:rsidR="002A1429" w:rsidRPr="007759F2">
        <w:rPr>
          <w:rFonts w:asciiTheme="minorEastAsia" w:eastAsiaTheme="minorEastAsia" w:hAnsiTheme="minorEastAsia" w:hint="eastAsia"/>
          <w:bCs/>
          <w:szCs w:val="21"/>
        </w:rPr>
        <w:t>、</w:t>
      </w:r>
      <w:r w:rsidRPr="007759F2">
        <w:rPr>
          <w:rFonts w:asciiTheme="minorEastAsia" w:eastAsiaTheme="minorEastAsia" w:hAnsiTheme="minorEastAsia" w:hint="eastAsia"/>
          <w:bCs/>
          <w:szCs w:val="21"/>
        </w:rPr>
        <w:t>完整性</w:t>
      </w:r>
      <w:r w:rsidR="002A1429" w:rsidRPr="007759F2">
        <w:rPr>
          <w:rFonts w:asciiTheme="minorEastAsia" w:eastAsiaTheme="minorEastAsia" w:hAnsiTheme="minorEastAsia" w:hint="eastAsia"/>
          <w:bCs/>
          <w:szCs w:val="21"/>
        </w:rPr>
        <w:t>、及时性、简明性和易得性</w:t>
      </w:r>
      <w:r w:rsidRPr="007759F2">
        <w:rPr>
          <w:rFonts w:asciiTheme="minorEastAsia" w:eastAsiaTheme="minorEastAsia" w:hAnsiTheme="minorEastAsia" w:hint="eastAsia"/>
          <w:bCs/>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（三）本基金信息披露义务人承诺公开披露的基金信息，不得有下列行为：</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1、虚假记载、误导性陈述或者重大遗漏；</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2、对证券投资业绩进行预测；</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3、违规承诺收益或者承担损失；</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4、诋毁其他基金管理人、基金托管人或者基金销售机构；</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5、登载任何自然人、法人</w:t>
      </w:r>
      <w:r w:rsidR="002A1429" w:rsidRPr="007759F2">
        <w:rPr>
          <w:rFonts w:asciiTheme="minorEastAsia" w:eastAsiaTheme="minorEastAsia" w:hAnsiTheme="minorEastAsia" w:hint="eastAsia"/>
          <w:bCs/>
          <w:szCs w:val="21"/>
        </w:rPr>
        <w:t>和非法人</w:t>
      </w:r>
      <w:r w:rsidRPr="007759F2">
        <w:rPr>
          <w:rFonts w:asciiTheme="minorEastAsia" w:eastAsiaTheme="minorEastAsia" w:hAnsiTheme="minorEastAsia" w:hint="eastAsia"/>
          <w:szCs w:val="21"/>
        </w:rPr>
        <w:t>组织的祝贺性、恭维性或推荐性的文字；</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6、中国证监会禁止的其他行为。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szCs w:val="21"/>
        </w:rPr>
        <w:t>（四）</w:t>
      </w:r>
      <w:r w:rsidRPr="007759F2">
        <w:rPr>
          <w:rFonts w:asciiTheme="minorEastAsia" w:eastAsiaTheme="minorEastAsia" w:hAnsiTheme="minorEastAsia" w:hint="eastAsia"/>
          <w:bCs/>
          <w:szCs w:val="21"/>
        </w:rPr>
        <w:t>本基金公开披露的信息应采用中文文本。如同时采用外文文本的，基金信息披露义务人应保证</w:t>
      </w:r>
      <w:r w:rsidR="002A1429" w:rsidRPr="007759F2">
        <w:rPr>
          <w:rFonts w:asciiTheme="minorEastAsia" w:eastAsiaTheme="minorEastAsia" w:hAnsiTheme="minorEastAsia" w:hint="eastAsia"/>
          <w:bCs/>
          <w:szCs w:val="21"/>
        </w:rPr>
        <w:t>不同</w:t>
      </w:r>
      <w:r w:rsidRPr="007759F2">
        <w:rPr>
          <w:rFonts w:asciiTheme="minorEastAsia" w:eastAsiaTheme="minorEastAsia" w:hAnsiTheme="minorEastAsia" w:hint="eastAsia"/>
          <w:bCs/>
          <w:szCs w:val="21"/>
        </w:rPr>
        <w:t>文本的内容一致。</w:t>
      </w:r>
      <w:r w:rsidR="002A1429" w:rsidRPr="007759F2">
        <w:rPr>
          <w:rFonts w:asciiTheme="minorEastAsia" w:eastAsiaTheme="minorEastAsia" w:hAnsiTheme="minorEastAsia" w:hint="eastAsia"/>
          <w:bCs/>
          <w:szCs w:val="21"/>
        </w:rPr>
        <w:t>不同</w:t>
      </w:r>
      <w:r w:rsidRPr="007759F2">
        <w:rPr>
          <w:rFonts w:asciiTheme="minorEastAsia" w:eastAsiaTheme="minorEastAsia" w:hAnsiTheme="minorEastAsia" w:hint="eastAsia"/>
          <w:bCs/>
          <w:szCs w:val="21"/>
        </w:rPr>
        <w:t>文本</w:t>
      </w:r>
      <w:r w:rsidR="002A1429" w:rsidRPr="007759F2">
        <w:rPr>
          <w:rFonts w:asciiTheme="minorEastAsia" w:eastAsiaTheme="minorEastAsia" w:hAnsiTheme="minorEastAsia" w:hint="eastAsia"/>
          <w:bCs/>
          <w:szCs w:val="21"/>
        </w:rPr>
        <w:t>之间</w:t>
      </w:r>
      <w:r w:rsidRPr="007759F2">
        <w:rPr>
          <w:rFonts w:asciiTheme="minorEastAsia" w:eastAsiaTheme="minorEastAsia" w:hAnsiTheme="minorEastAsia" w:hint="eastAsia"/>
          <w:bCs/>
          <w:szCs w:val="21"/>
        </w:rPr>
        <w:t>发生歧义的，以中文文本为准。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本基金公开披露的信息采用阿拉伯数字；除特别说明外，货币单位为人民币元。</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（五）公开披露的基金信息</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公开披露的基金信息包括：</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1、基金招募说明书、《基金合同》、基金托管协议</w:t>
      </w:r>
      <w:r w:rsidR="002A1429" w:rsidRPr="007759F2">
        <w:rPr>
          <w:rFonts w:asciiTheme="minorEastAsia" w:eastAsiaTheme="minorEastAsia" w:hAnsiTheme="minorEastAsia" w:hint="eastAsia"/>
          <w:bCs/>
          <w:szCs w:val="21"/>
        </w:rPr>
        <w:t>、基金产品资料概要</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（2）基金招募说明书应当最大限度地披露影响基金投资者决策的全部事项，说明基金认购、申购和赎回安排、基金投资、基金产品特性、风险揭示、信息披露及基金份额持有人服务等内容。</w:t>
      </w:r>
      <w:r w:rsidR="002A1429" w:rsidRPr="007759F2">
        <w:rPr>
          <w:rFonts w:asciiTheme="minorEastAsia" w:eastAsiaTheme="minorEastAsia" w:hAnsiTheme="minorEastAsia" w:hint="eastAsia"/>
          <w:bCs/>
          <w:szCs w:val="21"/>
        </w:rPr>
        <w:t>基金合同生效后，基金招募说明书的信息发生重大变更的，基金管理人应当在</w:t>
      </w:r>
      <w:r w:rsidR="002A1429" w:rsidRPr="007759F2">
        <w:rPr>
          <w:rFonts w:asciiTheme="minorEastAsia" w:eastAsiaTheme="minorEastAsia" w:hAnsiTheme="minorEastAsia" w:hint="eastAsia"/>
          <w:bCs/>
          <w:szCs w:val="21"/>
        </w:rPr>
        <w:lastRenderedPageBreak/>
        <w:t>三个工作日内，更新基金招募说明书并登载在指定网站上；基金招募说明书其他信息发生变更的，基金管理人至少每年更新一次。基金终止运作的，基金管理人不再更新基金招募说明书。</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（3）基金托管协议是界定基金托管人和基金管理人在基金财产保管及基金运作监督等活动中的权利、义务关系的法律文件。</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2、基金份额发售公告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基金管理人应当就基金份额发售的具体事宜编制基金份额发售公告，并在披露招募说明书的当日登载于指定媒介上。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3、《基金合同》生效公告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基金管理人应当在收到中国证监会确认文件的次日在指定媒介上登载《基金合同》生效公告。</w:t>
      </w:r>
    </w:p>
    <w:p w:rsidR="002A1429" w:rsidRPr="007759F2" w:rsidRDefault="00CD234C"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szCs w:val="21"/>
        </w:rPr>
        <w:t>4、</w:t>
      </w:r>
      <w:r w:rsidR="002A1429" w:rsidRPr="007759F2">
        <w:rPr>
          <w:rFonts w:asciiTheme="minorEastAsia" w:eastAsiaTheme="minorEastAsia" w:hAnsiTheme="minorEastAsia"/>
          <w:bCs/>
          <w:szCs w:val="21"/>
        </w:rPr>
        <w:t>基金净值</w:t>
      </w:r>
      <w:r w:rsidR="002A1429" w:rsidRPr="007759F2">
        <w:rPr>
          <w:rFonts w:asciiTheme="minorEastAsia" w:eastAsiaTheme="minorEastAsia" w:hAnsiTheme="minorEastAsia" w:hint="eastAsia"/>
          <w:bCs/>
          <w:szCs w:val="21"/>
        </w:rPr>
        <w:t>信息</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t>《基金合同》生效后，在开始办理基金份额申购或者赎回前，基金管理人应当至少每周</w:t>
      </w:r>
      <w:r w:rsidRPr="007759F2">
        <w:rPr>
          <w:rFonts w:asciiTheme="minorEastAsia" w:eastAsiaTheme="minorEastAsia" w:hAnsiTheme="minorEastAsia" w:hint="eastAsia"/>
          <w:bCs/>
          <w:szCs w:val="21"/>
        </w:rPr>
        <w:t>在指定网站披露一次基金份额净值和基金份额累计净值</w:t>
      </w:r>
      <w:r w:rsidRPr="007759F2">
        <w:rPr>
          <w:rFonts w:asciiTheme="minorEastAsia" w:eastAsiaTheme="minorEastAsia" w:hAnsiTheme="minorEastAsia"/>
          <w:bCs/>
          <w:szCs w:val="21"/>
        </w:rPr>
        <w:t>。</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t>在开始办理基金份额申购或者赎回后，基金管理人应当在</w:t>
      </w:r>
      <w:r w:rsidRPr="007759F2">
        <w:rPr>
          <w:rFonts w:asciiTheme="minorEastAsia" w:eastAsiaTheme="minorEastAsia" w:hAnsiTheme="minorEastAsia" w:hint="eastAsia"/>
          <w:bCs/>
          <w:szCs w:val="21"/>
        </w:rPr>
        <w:t>不晚于</w:t>
      </w:r>
      <w:r w:rsidRPr="007759F2">
        <w:rPr>
          <w:rFonts w:asciiTheme="minorEastAsia" w:eastAsiaTheme="minorEastAsia" w:hAnsiTheme="minorEastAsia"/>
          <w:bCs/>
          <w:szCs w:val="21"/>
        </w:rPr>
        <w:t>每个开放日的次日，通过指定网站、基金</w:t>
      </w:r>
      <w:r w:rsidRPr="007759F2">
        <w:rPr>
          <w:rFonts w:asciiTheme="minorEastAsia" w:eastAsiaTheme="minorEastAsia" w:hAnsiTheme="minorEastAsia" w:hint="eastAsia"/>
          <w:bCs/>
          <w:szCs w:val="21"/>
        </w:rPr>
        <w:t>销售机构网站或者营业网点</w:t>
      </w:r>
      <w:r w:rsidRPr="007759F2">
        <w:rPr>
          <w:rFonts w:asciiTheme="minorEastAsia" w:eastAsiaTheme="minorEastAsia" w:hAnsiTheme="minorEastAsia"/>
          <w:bCs/>
          <w:szCs w:val="21"/>
        </w:rPr>
        <w:t>，披露开放日的基金份额净值和基金份额累计净值。</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t>基金管理人应当</w:t>
      </w:r>
      <w:r w:rsidRPr="007759F2">
        <w:rPr>
          <w:rFonts w:asciiTheme="minorEastAsia" w:eastAsiaTheme="minorEastAsia" w:hAnsiTheme="minorEastAsia" w:hint="eastAsia"/>
          <w:bCs/>
          <w:szCs w:val="21"/>
        </w:rPr>
        <w:t>在不晚于半年度和年度最后一日的次日，在指定网站披露半年度和年度最后一日的基金份额净值和基金份额累计净值</w:t>
      </w:r>
      <w:r w:rsidRPr="007759F2">
        <w:rPr>
          <w:rFonts w:asciiTheme="minorEastAsia" w:eastAsiaTheme="minorEastAsia" w:hAnsiTheme="minorEastAsia"/>
          <w:bCs/>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5、基金份额申购、赎回价格</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基金管理人应当在《基金合同》、招募说明书等信息披露文件上载明基金份额申购、赎回价格的计算方式及有关申购、赎回费率，并保证投资者能够在基金</w:t>
      </w:r>
      <w:r w:rsidR="002A1429" w:rsidRPr="007759F2">
        <w:rPr>
          <w:rFonts w:asciiTheme="minorEastAsia" w:eastAsiaTheme="minorEastAsia" w:hAnsiTheme="minorEastAsia" w:hint="eastAsia"/>
          <w:bCs/>
          <w:szCs w:val="21"/>
        </w:rPr>
        <w:t>销售机构网站或者营业网点</w:t>
      </w:r>
      <w:r w:rsidRPr="007759F2">
        <w:rPr>
          <w:rFonts w:asciiTheme="minorEastAsia" w:eastAsiaTheme="minorEastAsia" w:hAnsiTheme="minorEastAsia" w:hint="eastAsia"/>
          <w:szCs w:val="21"/>
        </w:rPr>
        <w:t>查阅或者复制前述信息资料。</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6、基金定期报告，包括基金年度报告、基金</w:t>
      </w:r>
      <w:r w:rsidR="002A1429" w:rsidRPr="007759F2">
        <w:rPr>
          <w:rFonts w:asciiTheme="minorEastAsia" w:eastAsiaTheme="minorEastAsia" w:hAnsiTheme="minorEastAsia" w:hint="eastAsia"/>
          <w:szCs w:val="21"/>
        </w:rPr>
        <w:t>中期</w:t>
      </w:r>
      <w:r w:rsidRPr="007759F2">
        <w:rPr>
          <w:rFonts w:asciiTheme="minorEastAsia" w:eastAsiaTheme="minorEastAsia" w:hAnsiTheme="minorEastAsia" w:hint="eastAsia"/>
          <w:szCs w:val="21"/>
        </w:rPr>
        <w:t>报告和基金季度报告</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w:t>
      </w:r>
      <w:r w:rsidRPr="007759F2">
        <w:rPr>
          <w:rFonts w:asciiTheme="minorEastAsia" w:eastAsiaTheme="minorEastAsia" w:hAnsiTheme="minorEastAsia" w:hint="eastAsia"/>
          <w:bCs/>
          <w:szCs w:val="21"/>
        </w:rPr>
        <w:lastRenderedPageBreak/>
        <w:t>告应当经过具有证券、期货相关业务资格的会计师事务所审计。</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基金管理人应当在上半年结束之日起两个月内，编制完成基金中期报告，将中期报告登载在指定网站上，并将中期报告提示性公告登载在指定报刊上。</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基金管理人应当在每个季度结束之日起</w:t>
      </w:r>
      <w:r w:rsidRPr="007759F2">
        <w:rPr>
          <w:rFonts w:asciiTheme="minorEastAsia" w:eastAsiaTheme="minorEastAsia" w:hAnsiTheme="minorEastAsia"/>
          <w:bCs/>
          <w:szCs w:val="21"/>
        </w:rPr>
        <w:t>15</w:t>
      </w:r>
      <w:r w:rsidRPr="007759F2">
        <w:rPr>
          <w:rFonts w:asciiTheme="minorEastAsia" w:eastAsiaTheme="minorEastAsia" w:hAnsiTheme="minorEastAsia" w:hint="eastAsia"/>
          <w:bCs/>
          <w:szCs w:val="21"/>
        </w:rPr>
        <w:t>个工作日内，编制完成基金季度报告，将季度报告登载在指定网站上，并将季度报告提示性公告登载在指定报刊上。</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《基金合同》生效不足</w:t>
      </w:r>
      <w:r w:rsidRPr="007759F2">
        <w:rPr>
          <w:rFonts w:asciiTheme="minorEastAsia" w:eastAsiaTheme="minorEastAsia" w:hAnsiTheme="minorEastAsia"/>
          <w:bCs/>
          <w:szCs w:val="21"/>
        </w:rPr>
        <w:t>2</w:t>
      </w:r>
      <w:r w:rsidRPr="007759F2">
        <w:rPr>
          <w:rFonts w:asciiTheme="minorEastAsia" w:eastAsiaTheme="minorEastAsia" w:hAnsiTheme="minorEastAsia" w:hint="eastAsia"/>
          <w:bCs/>
          <w:szCs w:val="21"/>
        </w:rPr>
        <w:t>个月的，基金管理人可以不编制当期季度报告、中期报告或者年度报告。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报告期内出现单一投资者持有基金份额比例达到或超过20%的情形，基金管理人应当在季度报告、</w:t>
      </w:r>
      <w:r w:rsidR="002A1429" w:rsidRPr="007759F2">
        <w:rPr>
          <w:rFonts w:asciiTheme="minorEastAsia" w:eastAsiaTheme="minorEastAsia" w:hAnsiTheme="minorEastAsia" w:hint="eastAsia"/>
          <w:szCs w:val="21"/>
        </w:rPr>
        <w:t>中期</w:t>
      </w:r>
      <w:r w:rsidRPr="007759F2">
        <w:rPr>
          <w:rFonts w:asciiTheme="minorEastAsia" w:eastAsiaTheme="minorEastAsia" w:hAnsiTheme="minorEastAsia" w:hint="eastAsia"/>
          <w:szCs w:val="21"/>
        </w:rPr>
        <w:t>报告、年度报告等定期报告文件中披露该投资者的类别、报告期末持有份额及占比、报告期内持有份额变化情况及产品的特有风险，中国证监会认定的特殊情形除外。</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基金持续运作过程中，基金管理人应当在基金年度报告和</w:t>
      </w:r>
      <w:r w:rsidR="002A1429" w:rsidRPr="007759F2">
        <w:rPr>
          <w:rFonts w:asciiTheme="minorEastAsia" w:eastAsiaTheme="minorEastAsia" w:hAnsiTheme="minorEastAsia" w:hint="eastAsia"/>
          <w:szCs w:val="21"/>
        </w:rPr>
        <w:t>中期</w:t>
      </w:r>
      <w:r w:rsidRPr="007759F2">
        <w:rPr>
          <w:rFonts w:asciiTheme="minorEastAsia" w:eastAsiaTheme="minorEastAsia" w:hAnsiTheme="minorEastAsia" w:hint="eastAsia"/>
          <w:szCs w:val="21"/>
        </w:rPr>
        <w:t>报告中披露基金组合资产情况及其流动性风险分析等。</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7、临时报告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本基金发生重大事件，有关信息披露义务人应当在2日内编制临时报告书，</w:t>
      </w:r>
      <w:r w:rsidR="002A1429" w:rsidRPr="007759F2">
        <w:rPr>
          <w:rFonts w:asciiTheme="minorEastAsia" w:eastAsiaTheme="minorEastAsia" w:hAnsiTheme="minorEastAsia" w:hint="eastAsia"/>
          <w:bCs/>
          <w:szCs w:val="21"/>
        </w:rPr>
        <w:t>并登载在指定报刊和指定网站上</w:t>
      </w:r>
      <w:r w:rsidRPr="007759F2">
        <w:rPr>
          <w:rFonts w:asciiTheme="minorEastAsia" w:eastAsiaTheme="minorEastAsia" w:hAnsiTheme="minorEastAsia" w:hint="eastAsia"/>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前款所称重大事件，是指可能对基金份额持有人权益或者基金份额的价格产生重大影响的下列事件：</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w:t>
      </w:r>
      <w:r w:rsidRPr="007759F2">
        <w:rPr>
          <w:rFonts w:asciiTheme="minorEastAsia" w:eastAsiaTheme="minorEastAsia" w:hAnsiTheme="minorEastAsia"/>
          <w:bCs/>
          <w:szCs w:val="21"/>
        </w:rPr>
        <w:t>1</w:t>
      </w:r>
      <w:r w:rsidRPr="007759F2">
        <w:rPr>
          <w:rFonts w:asciiTheme="minorEastAsia" w:eastAsiaTheme="minorEastAsia" w:hAnsiTheme="minorEastAsia" w:hint="eastAsia"/>
          <w:bCs/>
          <w:szCs w:val="21"/>
        </w:rPr>
        <w:t>）</w:t>
      </w:r>
      <w:r w:rsidRPr="007759F2">
        <w:rPr>
          <w:rFonts w:asciiTheme="minorEastAsia" w:eastAsiaTheme="minorEastAsia" w:hAnsiTheme="minorEastAsia"/>
          <w:bCs/>
          <w:szCs w:val="21"/>
        </w:rPr>
        <w:t>基金份额持有人大会的召开</w:t>
      </w:r>
      <w:r w:rsidRPr="007759F2">
        <w:rPr>
          <w:rFonts w:asciiTheme="minorEastAsia" w:eastAsiaTheme="minorEastAsia" w:hAnsiTheme="minorEastAsia" w:hint="eastAsia"/>
          <w:bCs/>
          <w:szCs w:val="21"/>
        </w:rPr>
        <w:t>及决定的事项</w:t>
      </w:r>
      <w:r w:rsidRPr="007759F2">
        <w:rPr>
          <w:rFonts w:asciiTheme="minorEastAsia" w:eastAsiaTheme="minorEastAsia" w:hAnsiTheme="minorEastAsia"/>
          <w:bCs/>
          <w:szCs w:val="21"/>
        </w:rPr>
        <w:t>；</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（2）基金合同终止、基金清算</w:t>
      </w:r>
      <w:r w:rsidRPr="007759F2">
        <w:rPr>
          <w:rFonts w:asciiTheme="minorEastAsia" w:eastAsiaTheme="minorEastAsia" w:hAnsiTheme="minorEastAsia"/>
          <w:bCs/>
          <w:szCs w:val="21"/>
        </w:rPr>
        <w:t>；</w:t>
      </w:r>
    </w:p>
    <w:p w:rsidR="002A1429" w:rsidRPr="007759F2" w:rsidRDefault="002A1429"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w:t>
      </w:r>
      <w:r w:rsidRPr="007759F2">
        <w:rPr>
          <w:rFonts w:asciiTheme="minorEastAsia" w:eastAsiaTheme="minorEastAsia" w:hAnsiTheme="minorEastAsia"/>
          <w:bCs/>
          <w:szCs w:val="21"/>
        </w:rPr>
        <w:t>转换基金运作方式</w:t>
      </w:r>
      <w:r w:rsidRPr="007759F2">
        <w:rPr>
          <w:rFonts w:asciiTheme="minorEastAsia" w:eastAsiaTheme="minorEastAsia" w:hAnsiTheme="minorEastAsia" w:hint="eastAsia"/>
          <w:bCs/>
          <w:szCs w:val="21"/>
        </w:rPr>
        <w:t>、基金合并</w:t>
      </w:r>
      <w:r w:rsidRPr="007759F2">
        <w:rPr>
          <w:rFonts w:asciiTheme="minorEastAsia" w:eastAsiaTheme="minorEastAsia" w:hAnsiTheme="minorEastAsia"/>
          <w:bCs/>
          <w:szCs w:val="21"/>
        </w:rPr>
        <w:t>；</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w:t>
      </w:r>
      <w:r w:rsidR="002A1429" w:rsidRPr="007759F2">
        <w:rPr>
          <w:rFonts w:asciiTheme="minorEastAsia" w:eastAsiaTheme="minorEastAsia" w:hAnsiTheme="minorEastAsia"/>
          <w:bCs/>
          <w:szCs w:val="21"/>
        </w:rPr>
        <w:t>更换基金管理人、基金托管人</w:t>
      </w:r>
      <w:r w:rsidR="002A1429" w:rsidRPr="007759F2">
        <w:rPr>
          <w:rFonts w:asciiTheme="minorEastAsia" w:eastAsiaTheme="minorEastAsia" w:hAnsiTheme="minorEastAsia" w:hint="eastAsia"/>
          <w:bCs/>
          <w:szCs w:val="21"/>
        </w:rPr>
        <w:t>、基金份额登记机构，基金改聘会计师事务所</w:t>
      </w:r>
      <w:r w:rsidR="002A1429" w:rsidRPr="007759F2">
        <w:rPr>
          <w:rFonts w:asciiTheme="minorEastAsia" w:eastAsiaTheme="minorEastAsia" w:hAnsiTheme="minorEastAsia"/>
          <w:bCs/>
          <w:szCs w:val="21"/>
        </w:rPr>
        <w:t>；</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w:t>
      </w:r>
      <w:r w:rsidR="002A1429" w:rsidRPr="007759F2">
        <w:rPr>
          <w:rFonts w:asciiTheme="minorEastAsia" w:eastAsiaTheme="minorEastAsia" w:hAnsiTheme="minorEastAsia" w:hint="eastAsia"/>
          <w:bCs/>
          <w:szCs w:val="21"/>
        </w:rPr>
        <w:t>基金管理人委托基金服务机构代为办理基金的份额登记、核算、估值等事项，基金托管人委托基金服务机构代为办理基金的核算、估值、复核等事项；</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w:t>
      </w:r>
      <w:r w:rsidR="002A1429" w:rsidRPr="007759F2">
        <w:rPr>
          <w:rFonts w:asciiTheme="minorEastAsia" w:eastAsiaTheme="minorEastAsia" w:hAnsiTheme="minorEastAsia"/>
          <w:bCs/>
          <w:szCs w:val="21"/>
        </w:rPr>
        <w:t>基金管理人、基金托管人的法定名称、住所发生变更；</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w:t>
      </w:r>
      <w:r w:rsidR="002A1429" w:rsidRPr="007759F2">
        <w:rPr>
          <w:rFonts w:asciiTheme="minorEastAsia" w:eastAsiaTheme="minorEastAsia" w:hAnsiTheme="minorEastAsia" w:hint="eastAsia"/>
          <w:bCs/>
          <w:szCs w:val="21"/>
        </w:rPr>
        <w:t>基金管理公司变更持有百分之五以上股权的股东、基金管理人的实际控制人变更；</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w:t>
      </w:r>
      <w:r w:rsidR="002A1429" w:rsidRPr="007759F2">
        <w:rPr>
          <w:rFonts w:asciiTheme="minorEastAsia" w:eastAsiaTheme="minorEastAsia" w:hAnsiTheme="minorEastAsia"/>
          <w:bCs/>
          <w:szCs w:val="21"/>
        </w:rPr>
        <w:t>基金募集期延长</w:t>
      </w:r>
      <w:r w:rsidR="002A1429" w:rsidRPr="007759F2">
        <w:rPr>
          <w:rFonts w:asciiTheme="minorEastAsia" w:eastAsiaTheme="minorEastAsia" w:hAnsiTheme="minorEastAsia" w:hint="eastAsia"/>
          <w:bCs/>
          <w:szCs w:val="21"/>
        </w:rPr>
        <w:t>或提前结束募集</w:t>
      </w:r>
      <w:r w:rsidR="002A1429" w:rsidRPr="007759F2">
        <w:rPr>
          <w:rFonts w:asciiTheme="minorEastAsia" w:eastAsiaTheme="minorEastAsia" w:hAnsiTheme="minorEastAsia"/>
          <w:bCs/>
          <w:szCs w:val="21"/>
        </w:rPr>
        <w:t>；</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w:t>
      </w:r>
      <w:r w:rsidR="002A1429" w:rsidRPr="007759F2">
        <w:rPr>
          <w:rFonts w:asciiTheme="minorEastAsia" w:eastAsiaTheme="minorEastAsia" w:hAnsiTheme="minorEastAsia" w:hint="eastAsia"/>
          <w:bCs/>
          <w:szCs w:val="21"/>
        </w:rPr>
        <w:t>基金管理人的高级管理人员、基金经理和基金托管人专门基金托管部门负责人发生变动；</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w:t>
      </w:r>
      <w:r w:rsidR="002A1429" w:rsidRPr="007759F2">
        <w:rPr>
          <w:rFonts w:asciiTheme="minorEastAsia" w:eastAsiaTheme="minorEastAsia" w:hAnsiTheme="minorEastAsia" w:hint="eastAsia"/>
          <w:bCs/>
          <w:szCs w:val="21"/>
        </w:rPr>
        <w:t>基金管理人的董事在最近12个月内变更超过百分之五十，基金管理人、基金托管人专门基金托管部门的主要业务人员在最近12个月内变动超过百分之三十；</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（11）</w:t>
      </w:r>
      <w:r w:rsidR="002A1429" w:rsidRPr="007759F2">
        <w:rPr>
          <w:rFonts w:asciiTheme="minorEastAsia" w:eastAsiaTheme="minorEastAsia" w:hAnsiTheme="minorEastAsia"/>
          <w:bCs/>
          <w:szCs w:val="21"/>
        </w:rPr>
        <w:t>涉及基金</w:t>
      </w:r>
      <w:r w:rsidR="002A1429" w:rsidRPr="007759F2">
        <w:rPr>
          <w:rFonts w:asciiTheme="minorEastAsia" w:eastAsiaTheme="minorEastAsia" w:hAnsiTheme="minorEastAsia" w:hint="eastAsia"/>
          <w:bCs/>
          <w:szCs w:val="21"/>
        </w:rPr>
        <w:t>财产</w:t>
      </w:r>
      <w:r w:rsidR="002A1429" w:rsidRPr="007759F2">
        <w:rPr>
          <w:rFonts w:asciiTheme="minorEastAsia" w:eastAsiaTheme="minorEastAsia" w:hAnsiTheme="minorEastAsia"/>
          <w:bCs/>
          <w:szCs w:val="21"/>
        </w:rPr>
        <w:t>、基金</w:t>
      </w:r>
      <w:r w:rsidR="002A1429" w:rsidRPr="007759F2">
        <w:rPr>
          <w:rFonts w:asciiTheme="minorEastAsia" w:eastAsiaTheme="minorEastAsia" w:hAnsiTheme="minorEastAsia" w:hint="eastAsia"/>
          <w:bCs/>
          <w:szCs w:val="21"/>
        </w:rPr>
        <w:t>管理业务</w:t>
      </w:r>
      <w:r w:rsidR="002A1429" w:rsidRPr="007759F2">
        <w:rPr>
          <w:rFonts w:asciiTheme="minorEastAsia" w:eastAsiaTheme="minorEastAsia" w:hAnsiTheme="minorEastAsia"/>
          <w:bCs/>
          <w:szCs w:val="21"/>
        </w:rPr>
        <w:t>、基金托管业务的诉讼</w:t>
      </w:r>
      <w:r w:rsidR="002A1429" w:rsidRPr="007759F2">
        <w:rPr>
          <w:rFonts w:asciiTheme="minorEastAsia" w:eastAsiaTheme="minorEastAsia" w:hAnsiTheme="minorEastAsia" w:hint="eastAsia"/>
          <w:bCs/>
          <w:szCs w:val="21"/>
        </w:rPr>
        <w:t>或者仲裁</w:t>
      </w:r>
      <w:r w:rsidR="002A1429" w:rsidRPr="007759F2">
        <w:rPr>
          <w:rFonts w:asciiTheme="minorEastAsia" w:eastAsiaTheme="minorEastAsia" w:hAnsiTheme="minorEastAsia"/>
          <w:bCs/>
          <w:szCs w:val="21"/>
        </w:rPr>
        <w:t>；</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w:t>
      </w:r>
      <w:r w:rsidR="002A1429" w:rsidRPr="007759F2">
        <w:rPr>
          <w:rFonts w:asciiTheme="minorEastAsia" w:eastAsiaTheme="minorEastAsia" w:hAnsiTheme="minorEastAsia"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（13）</w:t>
      </w:r>
      <w:r w:rsidR="002A1429" w:rsidRPr="007759F2">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（14）</w:t>
      </w:r>
      <w:r w:rsidR="002A1429" w:rsidRPr="007759F2">
        <w:rPr>
          <w:rFonts w:asciiTheme="minorEastAsia" w:eastAsiaTheme="minorEastAsia" w:hAnsiTheme="minorEastAsia"/>
          <w:bCs/>
          <w:szCs w:val="21"/>
        </w:rPr>
        <w:t>基金收益分配事项；</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（15）</w:t>
      </w:r>
      <w:r w:rsidR="002A1429" w:rsidRPr="007759F2">
        <w:rPr>
          <w:rFonts w:asciiTheme="minorEastAsia" w:eastAsiaTheme="minorEastAsia" w:hAnsiTheme="minorEastAsia"/>
          <w:bCs/>
          <w:szCs w:val="21"/>
        </w:rPr>
        <w:t>管理费、托管费</w:t>
      </w:r>
      <w:r w:rsidR="002A1429" w:rsidRPr="007759F2">
        <w:rPr>
          <w:rFonts w:asciiTheme="minorEastAsia" w:eastAsiaTheme="minorEastAsia" w:hAnsiTheme="minorEastAsia" w:hint="eastAsia"/>
          <w:bCs/>
          <w:szCs w:val="21"/>
        </w:rPr>
        <w:t>、申购费、赎回费</w:t>
      </w:r>
      <w:r w:rsidR="002A1429" w:rsidRPr="007759F2">
        <w:rPr>
          <w:rFonts w:asciiTheme="minorEastAsia" w:eastAsiaTheme="minorEastAsia" w:hAnsiTheme="minorEastAsia"/>
          <w:bCs/>
          <w:szCs w:val="21"/>
        </w:rPr>
        <w:t>等费用计提标准、计提方式和费率发生变更；</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（16）</w:t>
      </w:r>
      <w:r w:rsidR="002A1429" w:rsidRPr="007759F2">
        <w:rPr>
          <w:rFonts w:asciiTheme="minorEastAsia" w:eastAsiaTheme="minorEastAsia" w:hAnsiTheme="minorEastAsia"/>
          <w:bCs/>
          <w:szCs w:val="21"/>
        </w:rPr>
        <w:t>基金份额净值</w:t>
      </w:r>
      <w:r w:rsidR="002A1429" w:rsidRPr="007759F2">
        <w:rPr>
          <w:rFonts w:asciiTheme="minorEastAsia" w:eastAsiaTheme="minorEastAsia" w:hAnsiTheme="minorEastAsia" w:hint="eastAsia"/>
          <w:bCs/>
          <w:szCs w:val="21"/>
        </w:rPr>
        <w:t>估值</w:t>
      </w:r>
      <w:r w:rsidR="002A1429" w:rsidRPr="007759F2">
        <w:rPr>
          <w:rFonts w:asciiTheme="minorEastAsia" w:eastAsiaTheme="minorEastAsia" w:hAnsiTheme="minorEastAsia"/>
          <w:bCs/>
          <w:szCs w:val="21"/>
        </w:rPr>
        <w:t>错误达基金份额净值百分之零点五；</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（17）</w:t>
      </w:r>
      <w:r w:rsidR="002A1429" w:rsidRPr="007759F2">
        <w:rPr>
          <w:rFonts w:asciiTheme="minorEastAsia" w:eastAsiaTheme="minorEastAsia" w:hAnsiTheme="minorEastAsia"/>
          <w:bCs/>
          <w:szCs w:val="21"/>
        </w:rPr>
        <w:t>本基金开始办理申购、赎回；</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（18）</w:t>
      </w:r>
      <w:r w:rsidR="002A1429" w:rsidRPr="007759F2">
        <w:rPr>
          <w:rFonts w:asciiTheme="minorEastAsia" w:eastAsiaTheme="minorEastAsia" w:hAnsiTheme="minorEastAsia"/>
          <w:bCs/>
          <w:szCs w:val="21"/>
        </w:rPr>
        <w:t>本基金暂停接受申购、赎回申请</w:t>
      </w:r>
      <w:r w:rsidR="002A1429" w:rsidRPr="007759F2">
        <w:rPr>
          <w:rFonts w:asciiTheme="minorEastAsia" w:eastAsiaTheme="minorEastAsia" w:hAnsiTheme="minorEastAsia" w:hint="eastAsia"/>
          <w:bCs/>
          <w:szCs w:val="21"/>
        </w:rPr>
        <w:t>或</w:t>
      </w:r>
      <w:r w:rsidR="002A1429" w:rsidRPr="007759F2">
        <w:rPr>
          <w:rFonts w:asciiTheme="minorEastAsia" w:eastAsiaTheme="minorEastAsia" w:hAnsiTheme="minorEastAsia"/>
          <w:bCs/>
          <w:szCs w:val="21"/>
        </w:rPr>
        <w:t>重新接受申购、赎回</w:t>
      </w:r>
      <w:r w:rsidR="002A1429" w:rsidRPr="007759F2">
        <w:rPr>
          <w:rFonts w:asciiTheme="minorEastAsia" w:eastAsiaTheme="minorEastAsia" w:hAnsiTheme="minorEastAsia" w:hint="eastAsia"/>
          <w:bCs/>
          <w:szCs w:val="21"/>
        </w:rPr>
        <w:t>申请</w:t>
      </w:r>
      <w:r w:rsidR="002A1429" w:rsidRPr="007759F2">
        <w:rPr>
          <w:rFonts w:asciiTheme="minorEastAsia" w:eastAsiaTheme="minorEastAsia" w:hAnsiTheme="minorEastAsia"/>
          <w:bCs/>
          <w:szCs w:val="21"/>
        </w:rPr>
        <w:t>；</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（19）</w:t>
      </w:r>
      <w:r w:rsidR="002A1429" w:rsidRPr="007759F2">
        <w:rPr>
          <w:rFonts w:asciiTheme="minorEastAsia" w:eastAsiaTheme="minorEastAsia" w:hAnsiTheme="minorEastAsia" w:hint="eastAsia"/>
          <w:bCs/>
          <w:szCs w:val="21"/>
        </w:rPr>
        <w:t>调整基金份额类别的设置；</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（20）</w:t>
      </w:r>
      <w:r w:rsidR="002A1429" w:rsidRPr="007759F2">
        <w:rPr>
          <w:rFonts w:asciiTheme="minorEastAsia" w:eastAsiaTheme="minorEastAsia" w:hAnsiTheme="minorEastAsia" w:hint="eastAsia"/>
          <w:bCs/>
          <w:szCs w:val="21"/>
        </w:rPr>
        <w:t>基金推出新业务或服务；</w:t>
      </w:r>
    </w:p>
    <w:p w:rsidR="002A1429" w:rsidRPr="007759F2" w:rsidRDefault="00F84EE3" w:rsidP="002A1429">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（21）</w:t>
      </w:r>
      <w:r w:rsidR="002A1429" w:rsidRPr="007759F2">
        <w:rPr>
          <w:rFonts w:asciiTheme="minorEastAsia" w:eastAsiaTheme="minorEastAsia" w:hAnsiTheme="minorEastAsia" w:hint="eastAsia"/>
          <w:bCs/>
          <w:szCs w:val="21"/>
        </w:rPr>
        <w:t>基金信息披露义务人认为可能对基金份额持有人权益或者基金份额的价格产生重大影响的其他事项或</w:t>
      </w:r>
      <w:r w:rsidR="002A1429" w:rsidRPr="007759F2">
        <w:rPr>
          <w:rFonts w:asciiTheme="minorEastAsia" w:eastAsiaTheme="minorEastAsia" w:hAnsiTheme="minorEastAsia"/>
          <w:bCs/>
          <w:szCs w:val="21"/>
        </w:rPr>
        <w:t>中国证监会规定的其他事项。</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8、澄清公告</w:t>
      </w:r>
    </w:p>
    <w:p w:rsidR="00CD234C" w:rsidRPr="007759F2" w:rsidRDefault="00A71F9A"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在基金合同期限内</w:t>
      </w:r>
      <w:r w:rsidR="00CD234C" w:rsidRPr="007759F2">
        <w:rPr>
          <w:rFonts w:asciiTheme="minorEastAsia" w:eastAsiaTheme="minorEastAsia" w:hAnsiTheme="minorEastAsia" w:hint="eastAsia"/>
          <w:szCs w:val="21"/>
        </w:rPr>
        <w:t>，任何公共媒</w:t>
      </w:r>
      <w:r w:rsidRPr="007759F2">
        <w:rPr>
          <w:rFonts w:asciiTheme="minorEastAsia" w:eastAsiaTheme="minorEastAsia" w:hAnsiTheme="minorEastAsia" w:hint="eastAsia"/>
          <w:szCs w:val="21"/>
        </w:rPr>
        <w:t>体</w:t>
      </w:r>
      <w:r w:rsidR="00CD234C" w:rsidRPr="007759F2">
        <w:rPr>
          <w:rFonts w:asciiTheme="minorEastAsia" w:eastAsiaTheme="minorEastAsia" w:hAnsiTheme="minorEastAsia" w:hint="eastAsia"/>
          <w:szCs w:val="21"/>
        </w:rPr>
        <w:t>中出现的或者在市场上流传的消息可能对基金份额价格产生误导性影响或者引起较大波动，</w:t>
      </w:r>
      <w:r w:rsidRPr="007759F2">
        <w:rPr>
          <w:rFonts w:asciiTheme="minorEastAsia" w:eastAsiaTheme="minorEastAsia" w:hAnsiTheme="minorEastAsia" w:hint="eastAsia"/>
          <w:bCs/>
          <w:szCs w:val="21"/>
        </w:rPr>
        <w:t>以及可能损害基金份额持有人权益的，</w:t>
      </w:r>
      <w:r w:rsidR="00CD234C" w:rsidRPr="007759F2">
        <w:rPr>
          <w:rFonts w:asciiTheme="minorEastAsia" w:eastAsiaTheme="minorEastAsia" w:hAnsiTheme="minorEastAsia" w:hint="eastAsia"/>
          <w:szCs w:val="21"/>
        </w:rPr>
        <w:t>相关信息披露义务人知悉后应当立即对该消息进行公开澄清，并将有关情况立即报告中国证监会。</w:t>
      </w:r>
    </w:p>
    <w:p w:rsidR="00A71F9A" w:rsidRPr="007759F2" w:rsidRDefault="00A71F9A" w:rsidP="00A71F9A">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9、清算报告</w:t>
      </w:r>
    </w:p>
    <w:p w:rsidR="00A71F9A" w:rsidRPr="007759F2" w:rsidRDefault="00A71F9A" w:rsidP="00A71F9A">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CD234C" w:rsidRPr="007759F2" w:rsidRDefault="00A71F9A"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10</w:t>
      </w:r>
      <w:r w:rsidR="00CD234C" w:rsidRPr="007759F2">
        <w:rPr>
          <w:rFonts w:asciiTheme="minorEastAsia" w:eastAsiaTheme="minorEastAsia" w:hAnsiTheme="minorEastAsia" w:hint="eastAsia"/>
          <w:szCs w:val="21"/>
        </w:rPr>
        <w:t>、基金份额持有人大会决议</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基金份额持有人大会决定的事项，应当依法报国务院证券监督管理机构备案，并予以公告。</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w:t>
      </w:r>
      <w:r w:rsidR="00A71F9A" w:rsidRPr="007759F2">
        <w:rPr>
          <w:rFonts w:asciiTheme="minorEastAsia" w:eastAsiaTheme="minorEastAsia" w:hAnsiTheme="minorEastAsia" w:hint="eastAsia"/>
          <w:szCs w:val="21"/>
        </w:rPr>
        <w:t>1</w:t>
      </w:r>
      <w:r w:rsidRPr="007759F2">
        <w:rPr>
          <w:rFonts w:asciiTheme="minorEastAsia" w:eastAsiaTheme="minorEastAsia" w:hAnsiTheme="minorEastAsia" w:hint="eastAsia"/>
          <w:szCs w:val="21"/>
        </w:rPr>
        <w:t>、中国证监会规定的其他信息</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若本基金投资股指期货、证券公司短期公司债券、中小企业私募债券、资产支持证券、期权，基金管理人将按相关法律法规要求进行披露。</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（六）信息披露事务管理</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基金管理人、基金托管人应当建立健全信息披露管理制度，指定</w:t>
      </w:r>
      <w:r w:rsidR="00A71F9A" w:rsidRPr="007759F2">
        <w:rPr>
          <w:rFonts w:asciiTheme="minorEastAsia" w:eastAsiaTheme="minorEastAsia" w:hAnsiTheme="minorEastAsia" w:hint="eastAsia"/>
          <w:bCs/>
          <w:szCs w:val="21"/>
        </w:rPr>
        <w:t>专门部门及高级管理人员</w:t>
      </w:r>
      <w:r w:rsidRPr="007759F2">
        <w:rPr>
          <w:rFonts w:asciiTheme="minorEastAsia" w:eastAsiaTheme="minorEastAsia" w:hAnsiTheme="minorEastAsia" w:hint="eastAsia"/>
          <w:szCs w:val="21"/>
        </w:rPr>
        <w:t>负责管理信息披露事务。</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基金信息披露义务人公开披露基金信息，应当符合中国证监会相关基金信息披露内容与格式准则</w:t>
      </w:r>
      <w:r w:rsidR="00A71F9A" w:rsidRPr="007759F2">
        <w:rPr>
          <w:rFonts w:asciiTheme="minorEastAsia" w:eastAsiaTheme="minorEastAsia" w:hAnsiTheme="minorEastAsia" w:hint="eastAsia"/>
          <w:bCs/>
          <w:szCs w:val="21"/>
        </w:rPr>
        <w:t>等法规</w:t>
      </w:r>
      <w:r w:rsidRPr="007759F2">
        <w:rPr>
          <w:rFonts w:asciiTheme="minorEastAsia" w:eastAsiaTheme="minorEastAsia" w:hAnsiTheme="minorEastAsia" w:hint="eastAsia"/>
          <w:szCs w:val="21"/>
        </w:rPr>
        <w:t>的规定。</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基金托管人应当按照相关法律法规、中国证监会的规定和《基金合同》的约定，对基金管理人编制的基金资产净值、基金份额净值、基金份额申购赎回价格、基金定期报告</w:t>
      </w:r>
      <w:r w:rsidR="00A71F9A" w:rsidRPr="007759F2">
        <w:rPr>
          <w:rFonts w:asciiTheme="minorEastAsia" w:eastAsiaTheme="minorEastAsia" w:hAnsiTheme="minorEastAsia" w:hint="eastAsia"/>
          <w:szCs w:val="21"/>
        </w:rPr>
        <w:t>、</w:t>
      </w:r>
      <w:r w:rsidRPr="007759F2">
        <w:rPr>
          <w:rFonts w:asciiTheme="minorEastAsia" w:eastAsiaTheme="minorEastAsia" w:hAnsiTheme="minorEastAsia" w:hint="eastAsia"/>
          <w:szCs w:val="21"/>
        </w:rPr>
        <w:t>更新的招募说明书</w:t>
      </w:r>
      <w:r w:rsidR="00A71F9A" w:rsidRPr="007759F2">
        <w:rPr>
          <w:rFonts w:asciiTheme="minorEastAsia" w:eastAsiaTheme="minorEastAsia" w:hAnsiTheme="minorEastAsia" w:hint="eastAsia"/>
          <w:szCs w:val="21"/>
        </w:rPr>
        <w:t>、基金产品资料概要、基金清算报告</w:t>
      </w:r>
      <w:r w:rsidRPr="007759F2">
        <w:rPr>
          <w:rFonts w:asciiTheme="minorEastAsia" w:eastAsiaTheme="minorEastAsia" w:hAnsiTheme="minorEastAsia" w:hint="eastAsia"/>
          <w:szCs w:val="21"/>
        </w:rPr>
        <w:t>等公开披露的相关基金信息进行复核、审</w:t>
      </w:r>
      <w:r w:rsidRPr="007759F2">
        <w:rPr>
          <w:rFonts w:asciiTheme="minorEastAsia" w:eastAsiaTheme="minorEastAsia" w:hAnsiTheme="minorEastAsia" w:hint="eastAsia"/>
          <w:szCs w:val="21"/>
        </w:rPr>
        <w:lastRenderedPageBreak/>
        <w:t>查，并向基金管理人</w:t>
      </w:r>
      <w:r w:rsidR="00A71F9A" w:rsidRPr="007759F2">
        <w:rPr>
          <w:rFonts w:asciiTheme="minorEastAsia" w:eastAsiaTheme="minorEastAsia" w:hAnsiTheme="minorEastAsia" w:hint="eastAsia"/>
          <w:bCs/>
          <w:szCs w:val="21"/>
        </w:rPr>
        <w:t>进行</w:t>
      </w:r>
      <w:r w:rsidR="00A71F9A" w:rsidRPr="007759F2">
        <w:rPr>
          <w:rFonts w:asciiTheme="minorEastAsia" w:eastAsiaTheme="minorEastAsia" w:hAnsiTheme="minorEastAsia"/>
          <w:bCs/>
          <w:szCs w:val="21"/>
        </w:rPr>
        <w:t>书面或者</w:t>
      </w:r>
      <w:r w:rsidR="00A71F9A" w:rsidRPr="007759F2">
        <w:rPr>
          <w:rFonts w:asciiTheme="minorEastAsia" w:eastAsiaTheme="minorEastAsia" w:hAnsiTheme="minorEastAsia" w:hint="eastAsia"/>
          <w:bCs/>
          <w:szCs w:val="21"/>
        </w:rPr>
        <w:t>电子</w:t>
      </w:r>
      <w:r w:rsidR="00A71F9A" w:rsidRPr="007759F2">
        <w:rPr>
          <w:rFonts w:asciiTheme="minorEastAsia" w:eastAsiaTheme="minorEastAsia" w:hAnsiTheme="minorEastAsia"/>
          <w:bCs/>
          <w:szCs w:val="21"/>
        </w:rPr>
        <w:t>确认</w:t>
      </w:r>
      <w:r w:rsidRPr="007759F2">
        <w:rPr>
          <w:rFonts w:asciiTheme="minorEastAsia" w:eastAsiaTheme="minorEastAsia" w:hAnsiTheme="minorEastAsia" w:hint="eastAsia"/>
          <w:szCs w:val="21"/>
        </w:rPr>
        <w:t>。</w:t>
      </w:r>
    </w:p>
    <w:p w:rsidR="00CD234C" w:rsidRPr="007759F2" w:rsidRDefault="00A71F9A"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CD234C" w:rsidRPr="007759F2">
        <w:rPr>
          <w:rFonts w:asciiTheme="minorEastAsia" w:eastAsiaTheme="minorEastAsia" w:hAnsiTheme="minorEastAsia"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71F9A" w:rsidRPr="007759F2" w:rsidRDefault="00A71F9A" w:rsidP="00A71F9A">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（七）信息披露文件的存放与查阅</w:t>
      </w:r>
    </w:p>
    <w:p w:rsidR="00CD234C" w:rsidRPr="007759F2" w:rsidRDefault="00A71F9A"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bCs/>
          <w:szCs w:val="21"/>
        </w:rPr>
        <w:t>依法必须披露的信息发布后，基金管理人、基金托管人应当按照相关法律法规规定将信息置备于公司办公场所，供社会公众查阅、复制</w:t>
      </w:r>
      <w:r w:rsidR="00CD234C" w:rsidRPr="007759F2">
        <w:rPr>
          <w:rFonts w:asciiTheme="minorEastAsia" w:eastAsiaTheme="minorEastAsia" w:hAnsiTheme="minorEastAsia" w:hint="eastAsia"/>
          <w:szCs w:val="21"/>
        </w:rPr>
        <w:t>。</w:t>
      </w:r>
    </w:p>
    <w:p w:rsidR="00CD234C" w:rsidRPr="007759F2" w:rsidRDefault="00CD234C" w:rsidP="00CD234C">
      <w:pPr>
        <w:pStyle w:val="1"/>
        <w:snapToGrid w:val="0"/>
        <w:spacing w:before="317" w:after="317" w:line="360" w:lineRule="auto"/>
        <w:ind w:firstLine="600"/>
        <w:rPr>
          <w:rFonts w:asciiTheme="minorEastAsia" w:eastAsiaTheme="minorEastAsia" w:hAnsiTheme="minorEastAsia"/>
        </w:rPr>
      </w:pPr>
      <w:r w:rsidRPr="007759F2">
        <w:rPr>
          <w:rFonts w:asciiTheme="minorEastAsia" w:eastAsiaTheme="minorEastAsia" w:hAnsiTheme="minorEastAsia" w:hint="eastAsia"/>
          <w:sz w:val="30"/>
        </w:rPr>
        <w:br w:type="column"/>
      </w:r>
      <w:bookmarkStart w:id="94" w:name="_Toc43380864"/>
      <w:bookmarkStart w:id="95" w:name="_Toc332373573"/>
      <w:r w:rsidRPr="007759F2">
        <w:rPr>
          <w:rFonts w:asciiTheme="minorEastAsia" w:eastAsiaTheme="minorEastAsia" w:hAnsiTheme="minorEastAsia" w:hint="eastAsia"/>
          <w:sz w:val="30"/>
        </w:rPr>
        <w:lastRenderedPageBreak/>
        <w:t>十九、风险揭示</w:t>
      </w:r>
      <w:bookmarkEnd w:id="94"/>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96" w:name="_Toc332373574"/>
      <w:bookmarkEnd w:id="95"/>
      <w:r w:rsidRPr="007759F2">
        <w:rPr>
          <w:rStyle w:val="da"/>
          <w:rFonts w:asciiTheme="minorEastAsia" w:eastAsiaTheme="minorEastAsia" w:hAnsiTheme="minorEastAsia" w:hint="eastAsia"/>
        </w:rPr>
        <w:t>（一）市场风险</w:t>
      </w:r>
    </w:p>
    <w:bookmarkEnd w:id="96"/>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1、政策风险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因国家宏观政策（如货币政策、财政政策、产业政策、地区发展政策等）发生变化，导致市场价格波动而产生风险。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2、利率风险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利率风险主要是指因金融市场利率的波动而导致证券市场价格和收益率变动的风险。利率直接影响着债券的价格和收益率，影响着企业的融资成本和利润。本</w:t>
      </w:r>
      <w:r w:rsidRPr="007759F2">
        <w:rPr>
          <w:rFonts w:asciiTheme="minorEastAsia" w:eastAsiaTheme="minorEastAsia" w:hAnsiTheme="minorEastAsia" w:hint="eastAsia"/>
        </w:rPr>
        <w:t>基金为混合型基金，可投资于股票和债券，其收益水平可能会受到利率变化的影响。</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3、购买力风险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如果发生通货膨胀，基金投资于证券所获得的收益可能会被通货膨胀抵消，从而影响基金资产的实际收益率。</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4、信用风险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信用风险主要指债券、票据发行主体、存款银行信用状况可能恶化而可能产生的到期不能兑付的风险。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5、公司经营风险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kern w:val="0"/>
          <w:szCs w:val="21"/>
        </w:rPr>
        <w:t>6、</w:t>
      </w:r>
      <w:r w:rsidRPr="007759F2">
        <w:rPr>
          <w:rFonts w:asciiTheme="minorEastAsia" w:eastAsiaTheme="minorEastAsia" w:hAnsiTheme="minorEastAsia" w:hint="eastAsia"/>
        </w:rPr>
        <w:t>经济周期风险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rPr>
        <w:t>随着经济运行的周期性变化，证券市场的收益水平也呈周期性变化，基金投资的收益水平也会随之变化，从而产生风险。</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bookmarkStart w:id="97" w:name="_Toc332373575"/>
      <w:r w:rsidRPr="007759F2">
        <w:rPr>
          <w:rStyle w:val="da"/>
          <w:rFonts w:asciiTheme="minorEastAsia" w:eastAsiaTheme="minorEastAsia" w:hAnsiTheme="minorEastAsia" w:hint="eastAsia"/>
        </w:rPr>
        <w:t>（二）流动性风险</w:t>
      </w:r>
    </w:p>
    <w:bookmarkEnd w:id="97"/>
    <w:p w:rsidR="00CD234C" w:rsidRPr="007759F2" w:rsidRDefault="00CD234C" w:rsidP="00CD234C">
      <w:pPr>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1、流动性风险评估</w:t>
      </w:r>
    </w:p>
    <w:p w:rsidR="00CD234C" w:rsidRPr="007759F2" w:rsidRDefault="00CD234C" w:rsidP="00CD234C">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本基金为混合基金，可投资于股票、债券、货币市场工具等，一般情况下，这些资产市场流动性较好。</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rPr>
        <w:t>但本基金投资于上述资产时，仍存在以下流动性风险：一是基金管理人建仓时或为实现收益而进行组合调整时，可能由于特定投资标的市场流动性相对不足而无法按预期的价格买</w:t>
      </w:r>
      <w:r w:rsidRPr="007759F2">
        <w:rPr>
          <w:rFonts w:asciiTheme="minorEastAsia" w:eastAsiaTheme="minorEastAsia" w:hAnsiTheme="minorEastAsia" w:hint="eastAsia"/>
        </w:rPr>
        <w:lastRenderedPageBreak/>
        <w:t>进或卖出；二是为应付投资者的赎回，基金管理人的现金支付出现困难，被迫在不适当的价格大量抛售股票、债券或其他资产。两者均可能使基金净值受到不利影响。</w:t>
      </w:r>
    </w:p>
    <w:p w:rsidR="00CD234C" w:rsidRPr="007759F2" w:rsidRDefault="00CD234C" w:rsidP="00CD234C">
      <w:pPr>
        <w:spacing w:line="360" w:lineRule="auto"/>
        <w:ind w:firstLineChars="200" w:firstLine="420"/>
        <w:rPr>
          <w:rFonts w:asciiTheme="minorEastAsia" w:eastAsiaTheme="minorEastAsia" w:hAnsiTheme="minorEastAsia"/>
        </w:rPr>
      </w:pPr>
      <w:bookmarkStart w:id="98" w:name="_Toc332373576"/>
      <w:r w:rsidRPr="007759F2">
        <w:rPr>
          <w:rFonts w:asciiTheme="minorEastAsia" w:eastAsiaTheme="minorEastAsia" w:hAnsiTheme="minorEastAsia" w:hint="eastAsia"/>
        </w:rPr>
        <w:t>2、巨额赎回情形下的流动性风险管理措施</w:t>
      </w:r>
    </w:p>
    <w:p w:rsidR="00CD234C" w:rsidRPr="007759F2" w:rsidRDefault="00CD234C" w:rsidP="00CD234C">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CD234C" w:rsidRPr="007759F2" w:rsidRDefault="00CD234C" w:rsidP="00CD234C">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CD234C" w:rsidRPr="007759F2" w:rsidRDefault="00CD234C" w:rsidP="00CD234C">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3、除巨额赎回情形外实施备用的流动性风险管理工具的情形、程序及对投资者的潜在影响</w:t>
      </w:r>
    </w:p>
    <w:p w:rsidR="00CD234C" w:rsidRPr="007759F2" w:rsidRDefault="00CD234C" w:rsidP="00CD234C">
      <w:pPr>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除巨额赎回情形外，本基金备用流动性风险管理工具包括但不限于暂停接受赎回申请、延缓支付赎回款项、收取短期赎回费、暂停基金估值以及证监会认定的其他措施。</w:t>
      </w:r>
    </w:p>
    <w:p w:rsidR="00CD234C" w:rsidRPr="007759F2" w:rsidRDefault="00CD234C" w:rsidP="00CD234C">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szCs w:val="21"/>
        </w:rPr>
        <w:t>暂停接受赎回申请、延缓支付赎回款项等工具的情形、程序见招募说明书“八、基金份额的申购、赎回”之“</w:t>
      </w:r>
      <w:r w:rsidRPr="007759F2">
        <w:rPr>
          <w:rFonts w:asciiTheme="minorEastAsia" w:eastAsiaTheme="minorEastAsia" w:hAnsiTheme="minorEastAsia" w:hint="eastAsia"/>
        </w:rPr>
        <w:t>（十一）拒绝或暂停申购、暂停赎回</w:t>
      </w:r>
      <w:r w:rsidRPr="007759F2">
        <w:rPr>
          <w:rFonts w:asciiTheme="minorEastAsia" w:eastAsiaTheme="minorEastAsia" w:hAnsiTheme="minorEastAsia" w:hint="eastAsia"/>
          <w:szCs w:val="21"/>
        </w:rPr>
        <w:t>或延缓支付赎回款项</w:t>
      </w:r>
      <w:r w:rsidRPr="007759F2">
        <w:rPr>
          <w:rFonts w:asciiTheme="minorEastAsia" w:eastAsiaTheme="minorEastAsia" w:hAnsiTheme="minorEastAsia" w:hint="eastAsia"/>
        </w:rPr>
        <w:t>的情形及处理”的相关规定。</w:t>
      </w:r>
      <w:r w:rsidRPr="007759F2">
        <w:rPr>
          <w:rFonts w:asciiTheme="minorEastAsia" w:eastAsiaTheme="minorEastAsia" w:hAnsiTheme="minorEastAsia" w:hint="eastAsia"/>
          <w:szCs w:val="21"/>
        </w:rPr>
        <w:t>若本基金暂停赎回申请，投</w:t>
      </w:r>
      <w:r w:rsidRPr="007759F2">
        <w:rPr>
          <w:rFonts w:asciiTheme="minorEastAsia" w:eastAsiaTheme="minorEastAsia" w:hAnsiTheme="minorEastAsia" w:hint="eastAsia"/>
        </w:rPr>
        <w:t>资者在暂停赎回期间将无法赎回其持有的基金份额。若</w:t>
      </w:r>
      <w:r w:rsidRPr="007759F2">
        <w:rPr>
          <w:rFonts w:asciiTheme="minorEastAsia" w:eastAsiaTheme="minorEastAsia" w:hAnsiTheme="minorEastAsia" w:hint="eastAsia"/>
          <w:szCs w:val="21"/>
        </w:rPr>
        <w:t>本基金延缓支付赎回款项，赎回款支付时间将后延，可能对投资者的资金安排带来不利影响。</w:t>
      </w:r>
    </w:p>
    <w:p w:rsidR="00CD234C" w:rsidRPr="007759F2" w:rsidRDefault="00CD234C" w:rsidP="00CD234C">
      <w:pPr>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CD234C" w:rsidRPr="007759F2" w:rsidRDefault="00CD234C" w:rsidP="00CD234C">
      <w:pPr>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暂停基金估值的情形、程序见招募说明书“十四、基金资产的估值”之“（六）暂停估值的情形”的相关规定。若本基金暂停基金估值，一方面投资者将无法知晓本基金的基金份额净值，</w:t>
      </w:r>
      <w:r w:rsidR="008B004F" w:rsidRPr="007759F2">
        <w:rPr>
          <w:rFonts w:asciiTheme="minorEastAsia" w:eastAsiaTheme="minorEastAsia" w:hAnsiTheme="minorEastAsia" w:hint="eastAsia"/>
        </w:rPr>
        <w:t>另一方面基金将延缓支付赎回款项或暂停接受基金申购赎回申请，延缓支付赎回款项可能影响投资者的资金安排，暂停接受基金申购赎回申请将导致投资者无法申购或赎回本基金。</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（三）管理风险</w:t>
      </w:r>
    </w:p>
    <w:bookmarkEnd w:id="98"/>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1、在基金管理运作过程中，基金管理人的知识、经验、判断、决策、技能等，会影响其对信息的占有以及对经济形势、证券价格走势的判断，从而影响基金收益水平。</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2、基金管理人的管理手段和管理技术等因素的变化也会影响基金收益水平。</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Style w:val="da"/>
          <w:rFonts w:asciiTheme="minorEastAsia" w:eastAsiaTheme="minorEastAsia" w:hAnsiTheme="minorEastAsia" w:hint="eastAsia"/>
        </w:rPr>
        <w:t>（四）</w:t>
      </w:r>
      <w:r w:rsidRPr="007759F2">
        <w:rPr>
          <w:rFonts w:asciiTheme="minorEastAsia" w:eastAsiaTheme="minorEastAsia" w:hAnsiTheme="minorEastAsia" w:hint="eastAsia"/>
          <w:kern w:val="0"/>
          <w:szCs w:val="21"/>
        </w:rPr>
        <w:t>本基金投资特定品种的特有风险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本基金是灵活配置混合型基金，基金资产主要投资于债券市场和股票市场，其中股票资产占基金资产的比例为0%－95%，当股市或债市上行时，本基金可能过少配置相关资产从而无法获得相应收益；当股市或债市下行时，本基金可能过多配置相关资产从而导致较大损失，股市、债市的变化以及本基金的资产配置情况将影响本基金业绩表现。</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本基金投资范围包括股指期货、期权等金融衍生品，股指期货、期权等金融衍生品投资可能给本基金带来额外风险。投资股指期货的风险包括但不限于杠杆风险、保证金风险、期货价格与基金投资品种价格的相关度降低带来的风险等；投资期权的风险包括但不限于市场风险、流动性风险、交易对手信用风险、操作风险、保证金风险等。由此可能增加本基金净值的波动性。</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科创板股票在发行、上市、交易、退市等方面的规则与其他板块存在差异，基金投资科创板股票的风险包括但不限于：</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w:t>
      </w:r>
      <w:r w:rsidRPr="007759F2">
        <w:rPr>
          <w:rFonts w:asciiTheme="minorEastAsia" w:eastAsiaTheme="minorEastAsia" w:hAnsiTheme="minorEastAsia"/>
          <w:kern w:val="0"/>
          <w:szCs w:val="21"/>
        </w:rPr>
        <w:t>1</w:t>
      </w:r>
      <w:r w:rsidRPr="007759F2">
        <w:rPr>
          <w:rFonts w:asciiTheme="minorEastAsia" w:eastAsiaTheme="minorEastAsia" w:hAnsiTheme="minorEastAsia" w:hint="eastAsia"/>
          <w:kern w:val="0"/>
          <w:szCs w:val="21"/>
        </w:rPr>
        <w:t>）科创板企业退市风险</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w:t>
      </w:r>
      <w:r w:rsidRPr="007759F2">
        <w:rPr>
          <w:rFonts w:asciiTheme="minorEastAsia" w:eastAsiaTheme="minorEastAsia" w:hAnsiTheme="minorEastAsia"/>
          <w:kern w:val="0"/>
          <w:szCs w:val="21"/>
        </w:rPr>
        <w:t>2</w:t>
      </w:r>
      <w:r w:rsidRPr="007759F2">
        <w:rPr>
          <w:rFonts w:asciiTheme="minorEastAsia" w:eastAsiaTheme="minorEastAsia" w:hAnsiTheme="minorEastAsia" w:hint="eastAsia"/>
          <w:kern w:val="0"/>
          <w:szCs w:val="21"/>
        </w:rPr>
        <w:t>）市场风险</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科创板企业相对集中于新一代信息技术、高端装备、新材料、新能源、节能环保及生物医药等高新技术和战略新兴产业领域，大多数企业为初创型公司，上市门槛略低于</w:t>
      </w:r>
      <w:r w:rsidRPr="007759F2">
        <w:rPr>
          <w:rFonts w:asciiTheme="minorEastAsia" w:eastAsiaTheme="minorEastAsia" w:hAnsiTheme="minorEastAsia"/>
          <w:kern w:val="0"/>
          <w:szCs w:val="21"/>
        </w:rPr>
        <w:t>A</w:t>
      </w:r>
      <w:r w:rsidRPr="007759F2">
        <w:rPr>
          <w:rFonts w:asciiTheme="minorEastAsia" w:eastAsiaTheme="minorEastAsia" w:hAnsiTheme="minorEastAsia" w:hint="eastAsia"/>
          <w:kern w:val="0"/>
          <w:szCs w:val="2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7759F2">
        <w:rPr>
          <w:rFonts w:asciiTheme="minorEastAsia" w:eastAsiaTheme="minorEastAsia" w:hAnsiTheme="minorEastAsia"/>
          <w:kern w:val="0"/>
          <w:szCs w:val="21"/>
        </w:rPr>
        <w:t>5</w:t>
      </w:r>
      <w:r w:rsidRPr="007759F2">
        <w:rPr>
          <w:rFonts w:asciiTheme="minorEastAsia" w:eastAsiaTheme="minorEastAsia" w:hAnsiTheme="minorEastAsia" w:hint="eastAsia"/>
          <w:kern w:val="0"/>
          <w:szCs w:val="21"/>
        </w:rPr>
        <w:t>个交易日不设涨跌幅限制，其后涨跌幅限制为</w:t>
      </w:r>
      <w:r w:rsidRPr="007759F2">
        <w:rPr>
          <w:rFonts w:asciiTheme="minorEastAsia" w:eastAsiaTheme="minorEastAsia" w:hAnsiTheme="minorEastAsia"/>
          <w:kern w:val="0"/>
          <w:szCs w:val="21"/>
        </w:rPr>
        <w:t>20%</w:t>
      </w:r>
      <w:r w:rsidRPr="007759F2">
        <w:rPr>
          <w:rFonts w:asciiTheme="minorEastAsia" w:eastAsiaTheme="minorEastAsia" w:hAnsiTheme="minorEastAsia" w:hint="eastAsia"/>
          <w:kern w:val="0"/>
          <w:szCs w:val="21"/>
        </w:rPr>
        <w:t>）、科创板股票上市首日即可作为融资融券标的，可能导致较大的股票价格波动。</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w:t>
      </w:r>
      <w:r w:rsidRPr="007759F2">
        <w:rPr>
          <w:rFonts w:asciiTheme="minorEastAsia" w:eastAsiaTheme="minorEastAsia" w:hAnsiTheme="minorEastAsia"/>
          <w:kern w:val="0"/>
          <w:szCs w:val="21"/>
        </w:rPr>
        <w:t>3</w:t>
      </w:r>
      <w:r w:rsidRPr="007759F2">
        <w:rPr>
          <w:rFonts w:asciiTheme="minorEastAsia" w:eastAsiaTheme="minorEastAsia" w:hAnsiTheme="minorEastAsia" w:hint="eastAsia"/>
          <w:kern w:val="0"/>
          <w:szCs w:val="21"/>
        </w:rPr>
        <w:t>）流动性风险</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科创板投资门槛较高，由此可能导致整体流动性相对较弱。此外，科创板股票网下发行时，获配账户存在被随机抽中设置一定期限限售期的可能，由此可能导致基金面临无法及时</w:t>
      </w:r>
      <w:r w:rsidRPr="007759F2">
        <w:rPr>
          <w:rFonts w:asciiTheme="minorEastAsia" w:eastAsiaTheme="minorEastAsia" w:hAnsiTheme="minorEastAsia" w:hint="eastAsia"/>
          <w:kern w:val="0"/>
          <w:szCs w:val="21"/>
        </w:rPr>
        <w:lastRenderedPageBreak/>
        <w:t>变现及其他相关流动性风险。</w:t>
      </w:r>
    </w:p>
    <w:p w:rsidR="00947C4F" w:rsidRPr="007759F2" w:rsidRDefault="00947C4F" w:rsidP="00947C4F">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w:t>
      </w:r>
      <w:r w:rsidRPr="007759F2">
        <w:rPr>
          <w:rFonts w:asciiTheme="minorEastAsia" w:eastAsiaTheme="minorEastAsia" w:hAnsiTheme="minorEastAsia"/>
          <w:kern w:val="0"/>
          <w:szCs w:val="21"/>
        </w:rPr>
        <w:t>4</w:t>
      </w:r>
      <w:r w:rsidRPr="007759F2">
        <w:rPr>
          <w:rFonts w:asciiTheme="minorEastAsia" w:eastAsiaTheme="minorEastAsia" w:hAnsiTheme="minorEastAsia" w:hint="eastAsia"/>
          <w:kern w:val="0"/>
          <w:szCs w:val="21"/>
        </w:rPr>
        <w:t>）监管规则变化的风险</w:t>
      </w:r>
    </w:p>
    <w:p w:rsidR="00947C4F" w:rsidRPr="007759F2" w:rsidRDefault="00947C4F"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CD234C" w:rsidRPr="007759F2" w:rsidRDefault="00947C4F"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w:t>
      </w:r>
      <w:r w:rsidR="00CD234C" w:rsidRPr="007759F2">
        <w:rPr>
          <w:rFonts w:asciiTheme="minorEastAsia" w:eastAsiaTheme="minorEastAsia" w:hAnsiTheme="minorEastAsia" w:hint="eastAsia"/>
          <w:kern w:val="0"/>
          <w:szCs w:val="21"/>
        </w:rPr>
        <w:t>、本基金的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CD234C" w:rsidRPr="007759F2" w:rsidRDefault="00947C4F"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w:t>
      </w:r>
      <w:r w:rsidR="00CD234C" w:rsidRPr="007759F2">
        <w:rPr>
          <w:rFonts w:asciiTheme="minorEastAsia" w:eastAsiaTheme="minorEastAsia" w:hAnsiTheme="minorEastAsia" w:hint="eastAsia"/>
          <w:kern w:val="0"/>
          <w:szCs w:val="21"/>
        </w:rPr>
        <w:t>、本基金的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0B224B" w:rsidRPr="007759F2" w:rsidRDefault="000B224B" w:rsidP="000B224B">
      <w:pPr>
        <w:spacing w:line="360" w:lineRule="auto"/>
        <w:ind w:firstLineChars="200" w:firstLine="420"/>
        <w:rPr>
          <w:rFonts w:asciiTheme="minorEastAsia" w:eastAsiaTheme="minorEastAsia" w:hAnsiTheme="minorEastAsia"/>
        </w:rPr>
      </w:pPr>
      <w:bookmarkStart w:id="99" w:name="_Toc332373578"/>
      <w:r w:rsidRPr="007759F2">
        <w:rPr>
          <w:rFonts w:asciiTheme="minorEastAsia" w:eastAsiaTheme="minorEastAsia" w:hAnsiTheme="minorEastAsia" w:hint="eastAsia"/>
        </w:rPr>
        <w:t>（五）本基金法律文件中涉及基金风险特征的表述与销售机构对基金的风险评级可能不一致的风险</w:t>
      </w:r>
    </w:p>
    <w:p w:rsidR="000B224B" w:rsidRPr="007759F2" w:rsidRDefault="000B224B" w:rsidP="000B224B">
      <w:pPr>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CD234C" w:rsidRPr="007759F2" w:rsidRDefault="00CD234C" w:rsidP="00CD234C">
      <w:pPr>
        <w:snapToGrid w:val="0"/>
        <w:spacing w:line="360" w:lineRule="auto"/>
        <w:ind w:firstLineChars="200" w:firstLine="420"/>
        <w:rPr>
          <w:rStyle w:val="da"/>
          <w:rFonts w:asciiTheme="minorEastAsia" w:eastAsiaTheme="minorEastAsia" w:hAnsiTheme="minorEastAsia"/>
        </w:rPr>
      </w:pPr>
      <w:r w:rsidRPr="007759F2">
        <w:rPr>
          <w:rStyle w:val="da"/>
          <w:rFonts w:asciiTheme="minorEastAsia" w:eastAsiaTheme="minorEastAsia" w:hAnsiTheme="minorEastAsia" w:hint="eastAsia"/>
        </w:rPr>
        <w:t>（</w:t>
      </w:r>
      <w:r w:rsidR="000B224B" w:rsidRPr="007759F2">
        <w:rPr>
          <w:rStyle w:val="da"/>
          <w:rFonts w:asciiTheme="minorEastAsia" w:eastAsiaTheme="minorEastAsia" w:hAnsiTheme="minorEastAsia" w:hint="eastAsia"/>
        </w:rPr>
        <w:t>六</w:t>
      </w:r>
      <w:r w:rsidRPr="007759F2">
        <w:rPr>
          <w:rStyle w:val="da"/>
          <w:rFonts w:asciiTheme="minorEastAsia" w:eastAsiaTheme="minorEastAsia" w:hAnsiTheme="minorEastAsia" w:hint="eastAsia"/>
        </w:rPr>
        <w:t>）其他风险</w:t>
      </w:r>
    </w:p>
    <w:bookmarkEnd w:id="99"/>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1、因技术因素而产生的风险，如电脑等技术系统的故障或差错产生的风险。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2、因战争、自然灾害等不可抗力导致的基金管理人、基金托管人、基金服务机构等机构无法正常工作，从而影响基金运作的风险。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3、因金融市场危机、代理商违约、基金托管人违约等超出基金管理人自身控制能力的</w:t>
      </w:r>
      <w:r w:rsidRPr="007759F2">
        <w:rPr>
          <w:rFonts w:asciiTheme="minorEastAsia" w:eastAsiaTheme="minorEastAsia" w:hAnsiTheme="minorEastAsia" w:hint="eastAsia"/>
          <w:kern w:val="0"/>
          <w:szCs w:val="21"/>
        </w:rPr>
        <w:lastRenderedPageBreak/>
        <w:t>因素出现，可能导致基金或者基金份额持有人利益受损的风险。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4、因固定收益类金融工具主要在场外市场进行交易，场外市场交易现阶段自动化程度较场内市场低，本基金在投资运作过程中可能面临操作风险。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5、其他意外导致的风险。</w:t>
      </w:r>
    </w:p>
    <w:p w:rsidR="00CD234C" w:rsidRPr="007759F2" w:rsidRDefault="00CD234C" w:rsidP="00CD234C">
      <w:pPr>
        <w:snapToGrid w:val="0"/>
        <w:spacing w:line="360" w:lineRule="auto"/>
        <w:ind w:firstLine="200"/>
        <w:rPr>
          <w:rFonts w:asciiTheme="minorEastAsia" w:eastAsiaTheme="minorEastAsia" w:hAnsiTheme="minorEastAsia"/>
        </w:r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rPr>
      </w:pPr>
      <w:r w:rsidRPr="007759F2">
        <w:rPr>
          <w:rFonts w:asciiTheme="minorEastAsia" w:eastAsiaTheme="minorEastAsia" w:hAnsiTheme="minorEastAsia" w:hint="eastAsia"/>
          <w:sz w:val="30"/>
        </w:rPr>
        <w:br w:type="column"/>
      </w:r>
      <w:bookmarkStart w:id="100" w:name="_Toc43380865"/>
      <w:bookmarkStart w:id="101" w:name="_Toc332373579"/>
      <w:r w:rsidRPr="007759F2">
        <w:rPr>
          <w:rFonts w:asciiTheme="minorEastAsia" w:eastAsiaTheme="minorEastAsia" w:hAnsiTheme="minorEastAsia" w:hint="eastAsia"/>
          <w:sz w:val="30"/>
        </w:rPr>
        <w:lastRenderedPageBreak/>
        <w:t>二十、基金合同的变更、终止与基金财产的清算</w:t>
      </w:r>
      <w:bookmarkEnd w:id="100"/>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bookmarkStart w:id="102" w:name="_Toc79392639"/>
      <w:bookmarkEnd w:id="101"/>
      <w:r w:rsidRPr="007759F2">
        <w:rPr>
          <w:rFonts w:asciiTheme="minorEastAsia" w:eastAsiaTheme="minorEastAsia" w:hAnsiTheme="minorEastAsia" w:hint="eastAsia"/>
          <w:bCs/>
          <w:szCs w:val="21"/>
        </w:rPr>
        <w:t>（一）《基金合同》的变更</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2、关于《基金合同》变更的基金份额持有人大会决议自表决通过之日起生效，自决议生效后两日内在指定媒介公告。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（二）《基金合同》的终止事由</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有下列情形之一的，《基金合同》应当终止：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1、基金份额持有人大会决定终止的；</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2、基金管理人、基金托管人职责终止，在6个月内没有新基金管理人、新基金托管人承接的；</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3、《基金合同》约定的其他情形；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4、相关法律法规和中国证监会规定的其他情况。</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（三）基金财产的清算</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1、基金财产清算小组：自出现《基金合同》终止事由之日起30个工作日内成立清算小组，基金管理人组织基金财产清算小组并在中国证监会的监督下进行基金清算。</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3、基金财产清算小组职责：基金财产清算小组负责基金财产的保管、清理、估价、变现和分配。基金财产清算小组可以依法进行必要的民事活动。</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4、基金财产清算程序：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（1）《基金合同》终止情形出现时，由基金财产清算小组统一接管基金；</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（2）对基金财产和债权债务进行清理和确认；</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（3）对基金财产进行估值和变现；</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（4）制作清算报告；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（5）聘请会计师事务所对清算报告进行外部审计，聘请律师事务所对清算报告出具法律意见书；</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（6）将清算报告报中国证监会备案并公告；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（7）对基金财产进行分配。</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bCs/>
          <w:kern w:val="0"/>
          <w:szCs w:val="21"/>
        </w:rPr>
        <w:t>5、基金财产清算的期限为6个月，但因本基金所持证券的流动性受到限制而不能及时</w:t>
      </w:r>
      <w:r w:rsidRPr="007759F2">
        <w:rPr>
          <w:rFonts w:asciiTheme="minorEastAsia" w:eastAsiaTheme="minorEastAsia" w:hAnsiTheme="minorEastAsia" w:hint="eastAsia"/>
          <w:bCs/>
          <w:kern w:val="0"/>
          <w:szCs w:val="21"/>
        </w:rPr>
        <w:lastRenderedPageBreak/>
        <w:t>变现的，清算期限相应顺延。</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（四）清算费用</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清算费用是指基金财产清算小组在进行基金清算过程中发生的所有合理费用，清算费用由基金财产清算小组优先从基金财产中支付。</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（五）基金财产清算剩余资产的分配</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（六）基金财产清算的公告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（七）基金财产清算账册及文件的保存</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基金财产清算账册及有关文件由基金托管人保存15年以上。</w:t>
      </w:r>
    </w:p>
    <w:bookmarkEnd w:id="102"/>
    <w:p w:rsidR="00CD234C" w:rsidRPr="007759F2" w:rsidRDefault="00CD234C" w:rsidP="00CD234C">
      <w:pPr>
        <w:snapToGrid w:val="0"/>
        <w:spacing w:line="360" w:lineRule="auto"/>
        <w:ind w:firstLineChars="200" w:firstLine="480"/>
        <w:rPr>
          <w:rFonts w:asciiTheme="minorEastAsia" w:eastAsiaTheme="minorEastAsia" w:hAnsiTheme="minorEastAsia"/>
          <w:bCs/>
          <w:sz w:val="24"/>
        </w:rPr>
      </w:pP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kern w:val="44"/>
          <w:sz w:val="28"/>
          <w:szCs w:val="44"/>
        </w:rPr>
      </w:pPr>
      <w:r w:rsidRPr="007759F2">
        <w:rPr>
          <w:rFonts w:asciiTheme="minorEastAsia" w:eastAsiaTheme="minorEastAsia" w:hAnsiTheme="minorEastAsia" w:hint="eastAsia"/>
          <w:sz w:val="30"/>
        </w:rPr>
        <w:br w:type="column"/>
      </w:r>
      <w:bookmarkStart w:id="103" w:name="_Toc43380866"/>
      <w:r w:rsidRPr="007759F2">
        <w:rPr>
          <w:rFonts w:asciiTheme="minorEastAsia" w:eastAsiaTheme="minorEastAsia" w:hAnsiTheme="minorEastAsia" w:hint="eastAsia"/>
          <w:sz w:val="30"/>
        </w:rPr>
        <w:lastRenderedPageBreak/>
        <w:t>二</w:t>
      </w:r>
      <w:bookmarkStart w:id="104" w:name="_Toc332373588"/>
      <w:r w:rsidRPr="007759F2">
        <w:rPr>
          <w:rFonts w:asciiTheme="minorEastAsia" w:eastAsiaTheme="minorEastAsia" w:hAnsiTheme="minorEastAsia" w:hint="eastAsia"/>
          <w:sz w:val="30"/>
        </w:rPr>
        <w:t>十一、基金合同的内容摘要</w:t>
      </w:r>
      <w:bookmarkEnd w:id="103"/>
    </w:p>
    <w:bookmarkEnd w:id="104"/>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（一）基金份额持有人、基金管理人和基金托管人的权利、义务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1、基金份额持有人的权利、义务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（1）根据《基金法》、《运作办法》及其他有关规定，基金份额持有人的权利包括但不限于：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1）分享基金财产收益；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2）参与分配清算后的剩余基金财产；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3）依法申请赎回或转让其持有的基金份额；</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4）按照规定要求召开基金份额持有人大会或者召集基金份额持有人大会；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5）出席或者委派代表出席基金份额持有人大会，对基金份额持有人大会审议事项行使表决权；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6）查阅或者复制公开披露的基金信息资料；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7）监督基金管理人的投资运作；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8）对基金管理人、基金托管人、基金服务机构损害其合法权益的行为依法提起诉讼或仲裁；</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9）法律法规及中国证监会规定的和《基金合同》约定的其他权利。</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（2）根据《基金法》、《运作办法》及其他有关规定，基金份额持有人的义务包括但不限于：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1）认真阅读并遵守《基金合同》、招募说明书等信息披露文件；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2）了解所投资基金产品，了解自身风险承受能力，自主判断基金的投资价值，自主做出投资决策，自行承担投资风险；</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3）关注基金信息披露，及时行使权利和履行义务；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4）缴纳基金认购、申购款项及法律法规和《基金合同》所规定的费用；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5）在其持有的基金份额范围内，承担基金亏损或者《基金合同》终止的有限责任；</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6）不从事任何有损基金及其他《基金合同》当事人合法权益的活动；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7）执行生效的基金份额持有人大会的决定；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8）返还在基金交易过程中因任何原因获得的不当得利；</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9）法律法规及中国证监会规定的和《基金合同》约定的其他义务。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2、基金管理人的权利与义务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（1）根据《基金法》、《运作办法》及其他有关规定，基金管理人的权利包括但不限于：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1）依法募集资金；</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2）自《基金合同》生效之日起，根据法律法规和《基金合同》独立运用并管理基金财</w:t>
      </w:r>
      <w:r w:rsidRPr="007759F2">
        <w:rPr>
          <w:rFonts w:asciiTheme="minorEastAsia" w:eastAsiaTheme="minorEastAsia" w:hAnsiTheme="minorEastAsia" w:hint="eastAsia"/>
          <w:bCs/>
          <w:szCs w:val="21"/>
        </w:rPr>
        <w:lastRenderedPageBreak/>
        <w:t>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3）依照《基金合同》收取基金管理费以及法律法规规定或中国证监会批准的其他费用；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4）销售基金份额；</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5）召集基金份额持有人大会；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7）在基金托管人更换时，提名新的基金托管人；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8）选择、更换基金销售机构，对基金销售机构的相关行为进行监督和处理；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9）担任或委托其他符合条件的机构担任基金登记机构办理基金登记业务并获得《基金合同》规定的费用；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10）依据《基金合同》及有关法律规定决定基金收益的分配方案；</w:t>
      </w:r>
      <w:r w:rsidRPr="007759F2">
        <w:rPr>
          <w:rFonts w:asciiTheme="minorEastAsia" w:eastAsiaTheme="minorEastAsia" w:hAnsiTheme="minorEastAsia" w:hint="eastAsia"/>
          <w:bCs/>
          <w:szCs w:val="21"/>
        </w:rPr>
        <w:tab/>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11）在《基金合同》约定的范围内，拒绝或暂停受理申购、赎回和转换申请；</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12）依照法律法规为基金的利益对被投资公司行使股东权利，为基金的利益行使因基金财产投资于证券所产生的权利；</w:t>
      </w:r>
      <w:r w:rsidRPr="007759F2">
        <w:rPr>
          <w:rFonts w:asciiTheme="minorEastAsia" w:eastAsiaTheme="minorEastAsia" w:hAnsiTheme="minorEastAsia" w:hint="eastAsia"/>
          <w:bCs/>
          <w:szCs w:val="21"/>
        </w:rPr>
        <w:tab/>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13）在法律法规允许的前提下，为基金的利益依法进行融资、融券；</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14）以基金管理人的名义，代表基金份额持有人的利益行使诉讼权利或者实施其他法律行为；</w:t>
      </w:r>
      <w:r w:rsidRPr="007759F2">
        <w:rPr>
          <w:rFonts w:asciiTheme="minorEastAsia" w:eastAsiaTheme="minorEastAsia" w:hAnsiTheme="minorEastAsia" w:hint="eastAsia"/>
          <w:bCs/>
          <w:szCs w:val="21"/>
        </w:rPr>
        <w:tab/>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15）选择、更换律师事务所、会计师事务所、证券经纪商或其他为基金提供服务的外部机构；</w:t>
      </w:r>
      <w:r w:rsidRPr="007759F2">
        <w:rPr>
          <w:rFonts w:asciiTheme="minorEastAsia" w:eastAsiaTheme="minorEastAsia" w:hAnsiTheme="minorEastAsia" w:hint="eastAsia"/>
          <w:bCs/>
          <w:szCs w:val="21"/>
        </w:rPr>
        <w:tab/>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16）在符合有关法律、法规的前提下，制订和调整有关基金认购、申购、赎回、转换、非交易过户、转托管和收益分配等业务规则；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17）法律法规及中国证监会规定的和《基金合同》约定的其他权利。</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（2）根据《基金法》、《运作办法》及其他有关规定，基金管理人的义务包括但不限于：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1）依法募集资金，办理或者委托经中国证监会认定的其他机构办理基金份额的发售、申购、赎回和登记事宜；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2）办理基金备案手续；</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3）自《基金合同》生效之日起,以诚实信用、谨慎勤勉的原则管理和运用基金财产；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4）配备足够的具有专业资格的人员进行基金投资分析、决策，以专业化的经营方式管理和运作基金财产；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5）建立健全内部风险控制、监察与稽核、财务管理及人事管理等制度，保证所管理的基金财产和基金管理人的财产相互独立,对所管理的不同基金分别管理，分别记账，进行证券投资；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6）除依据《基金法》、《基金合同》及其他有关规定外,不得利用基金财产为自己及任何</w:t>
      </w:r>
      <w:r w:rsidRPr="007759F2">
        <w:rPr>
          <w:rFonts w:asciiTheme="minorEastAsia" w:eastAsiaTheme="minorEastAsia" w:hAnsiTheme="minorEastAsia" w:hint="eastAsia"/>
          <w:bCs/>
          <w:szCs w:val="21"/>
        </w:rPr>
        <w:lastRenderedPageBreak/>
        <w:t>第三人谋取利益，不得委托第三人运作基金财产；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7）依法接受基金托管人的监督；</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8）采取适当合理的措施使计算基金份额认购、申购、赎回和注销价格的方法符合《基金合同》等法律文件的规定，按有关规定计算并公告基金净值</w:t>
      </w:r>
      <w:r w:rsidR="0033557C" w:rsidRPr="007759F2">
        <w:rPr>
          <w:rFonts w:asciiTheme="minorEastAsia" w:eastAsiaTheme="minorEastAsia" w:hAnsiTheme="minorEastAsia" w:hint="eastAsia"/>
          <w:bCs/>
          <w:szCs w:val="21"/>
        </w:rPr>
        <w:t>信息</w:t>
      </w:r>
      <w:r w:rsidRPr="007759F2">
        <w:rPr>
          <w:rFonts w:asciiTheme="minorEastAsia" w:eastAsiaTheme="minorEastAsia" w:hAnsiTheme="minorEastAsia" w:hint="eastAsia"/>
          <w:bCs/>
          <w:szCs w:val="21"/>
        </w:rPr>
        <w:t>，确定基金份额申购、赎回的价格；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9）进行基金会计核算并编制基金财务会计报告；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w:t>
      </w:r>
      <w:r w:rsidR="0033557C" w:rsidRPr="007759F2">
        <w:rPr>
          <w:rFonts w:asciiTheme="minorEastAsia" w:eastAsiaTheme="minorEastAsia" w:hAnsiTheme="minorEastAsia"/>
          <w:bCs/>
        </w:rPr>
        <w:t>编制季度</w:t>
      </w:r>
      <w:r w:rsidR="0033557C" w:rsidRPr="007759F2">
        <w:rPr>
          <w:rFonts w:asciiTheme="minorEastAsia" w:eastAsiaTheme="minorEastAsia" w:hAnsiTheme="minorEastAsia" w:hint="eastAsia"/>
          <w:bCs/>
        </w:rPr>
        <w:t>报告</w:t>
      </w:r>
      <w:r w:rsidR="0033557C" w:rsidRPr="007759F2">
        <w:rPr>
          <w:rFonts w:asciiTheme="minorEastAsia" w:eastAsiaTheme="minorEastAsia" w:hAnsiTheme="minorEastAsia"/>
          <w:bCs/>
        </w:rPr>
        <w:t>、</w:t>
      </w:r>
      <w:r w:rsidR="0033557C" w:rsidRPr="007759F2">
        <w:rPr>
          <w:rFonts w:asciiTheme="minorEastAsia" w:eastAsiaTheme="minorEastAsia" w:hAnsiTheme="minorEastAsia" w:hint="eastAsia"/>
          <w:bCs/>
        </w:rPr>
        <w:t>中期报告</w:t>
      </w:r>
      <w:r w:rsidR="0033557C" w:rsidRPr="007759F2">
        <w:rPr>
          <w:rFonts w:asciiTheme="minorEastAsia" w:eastAsiaTheme="minorEastAsia" w:hAnsiTheme="minorEastAsia"/>
          <w:bCs/>
        </w:rPr>
        <w:t>和年度报告</w:t>
      </w:r>
      <w:r w:rsidRPr="007759F2">
        <w:rPr>
          <w:rFonts w:asciiTheme="minorEastAsia" w:eastAsiaTheme="minorEastAsia" w:hAnsiTheme="minorEastAsia" w:hint="eastAsia"/>
          <w:bCs/>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11）严格按照《基金法》、《基金合同》及其他有关规定，履行信息披露及报告义务；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12）保守基金商业秘密，不泄露基金投资计划、投资意向等。除《基金法》、《基金合同》及其他有关规定另有规定外，在基金信息公开披露前应予保密，不向他人泄露；</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13）按《基金合同》的约定确定基金收益分配方案，及时向基金份额持有人分配基金收益；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14）按规定受理申购与赎回申请，及时、足额支付赎回款项；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15）依据《基金法》、《基金合同》及其他有关规定召集基金份额持有人大会或配合基金托管人、基金份额持有人依法召集基金份额持有人大会；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16）按规定保存基金财产管理业务活动的会计账册、报表、记录和其他相关资料15年以上；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18）组织并参加基金财产清算小组,参与基金财产的保管、清理、估价、变现和分配；</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19）面临解散、依法被撤销或者被依法宣告破产时，及时报告中国证监会并通知基金托管人；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20）因违反《基金合同》导致基金财产的损失或损害基金份额持有人合法权益时，应当承担赔偿责任，其赔偿责任不因其退任而免除；</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21）监督基金托管人按法律法规和《基金合同》规定履行自己的义务，基金托管人违反《基金合同》造成基金财产损失时，基金管理人应为基金份额持有人利益向基金托管人追偿；</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22）当基金管理人将其义务委托第三方处理时，应当对第三方处理有关基金事务的行为承担责任；</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23）以基金管理人名义，代表基金份额持有人利益行使诉讼权利或实施其他法律行为；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25）执行生效的基金份额持有人大会的决议；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26）建立并保存基金份额持有人名册；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27）法律法规及中国证监会规定的和《基金合同》约定的其他义务。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3、基金托管人的权利与义务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（1）根据《基金法》、《运作办法》及其他有关规定，基金托管人的权利包括但不限于：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1）自《基金合同》生效之日起，依法律法规和《基金合同》的规定安全保管基金财产；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2）依《基金合同》约定获得基金托管费以及法律法规规定或监管部门批准的其他费用；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4）根据相关市场规则，为基金开设证券账户、为基金办理证券交易资金清算。</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5）提议召开或召集基金份额持有人大会；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6）在基金管理人更换时，提名新的基金管理人；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7）法律法规及中国证监会规定的和《基金合同》约定的其他权利。</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（2）根据《基金法》、《运作办法》及其他有关规定，基金托管人的义务包括但不限于：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1）以诚实信用、勤勉尽责的原则持有并安全保管基金财产；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2）设立专门的基金托管部门，具有符合要求的营业场所，配备足够的、合格的熟悉基金托管业务的专职人员，负责基金财产托管事宜；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4）除依据《基金法》、《基金合同》及其他有关规定外，不得利用基金财产为自己及任何第三人谋取利益，不得委托第三人托管基金财产；</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5）保管由基金管理人代表基金签订的与基金有关的重大合同及有关凭证；</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6）按规定开设基金财产的资金账户和证券账户,按照《基金合同》的约定，根据基金管理人的投资指令，及时办理清算、交割事宜；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7）保守基金商业秘密，除《基金法》、《基金合同》及其他有关规定另有规定外，在基金信息公开披露前予以保密，不得向他人泄露；</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8）复核、审查基金管理人计算的基金资产净值、</w:t>
      </w:r>
      <w:r w:rsidR="0033557C" w:rsidRPr="007759F2">
        <w:rPr>
          <w:rFonts w:asciiTheme="minorEastAsia" w:eastAsiaTheme="minorEastAsia" w:hAnsiTheme="minorEastAsia" w:hint="eastAsia"/>
          <w:bCs/>
          <w:szCs w:val="21"/>
        </w:rPr>
        <w:t>基金份额净值、</w:t>
      </w:r>
      <w:r w:rsidRPr="007759F2">
        <w:rPr>
          <w:rFonts w:asciiTheme="minorEastAsia" w:eastAsiaTheme="minorEastAsia" w:hAnsiTheme="minorEastAsia" w:hint="eastAsia"/>
          <w:bCs/>
          <w:szCs w:val="21"/>
        </w:rPr>
        <w:t>基金份额申购、赎回价格；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9）办理与基金托管业务活动有关的信息披露事项；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10）对基金财务会计报告、</w:t>
      </w:r>
      <w:r w:rsidR="0033557C" w:rsidRPr="007759F2">
        <w:rPr>
          <w:rFonts w:asciiTheme="minorEastAsia" w:eastAsiaTheme="minorEastAsia" w:hAnsiTheme="minorEastAsia" w:hint="eastAsia"/>
          <w:bCs/>
          <w:szCs w:val="21"/>
        </w:rPr>
        <w:t>季度报告、中期报告和年度报告</w:t>
      </w:r>
      <w:r w:rsidRPr="007759F2">
        <w:rPr>
          <w:rFonts w:asciiTheme="minorEastAsia" w:eastAsiaTheme="minorEastAsia" w:hAnsiTheme="minorEastAsia" w:hint="eastAsia"/>
          <w:bCs/>
          <w:szCs w:val="21"/>
        </w:rPr>
        <w:t>出具意见，说明基金管理人在各重要方面的运作是否严格按照《基金合同》的规定进行；如果基金管理人有未执行《基金合同》规定的行为，还应当说明基金托管人是否采取了适当的措施；</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11）保存基金托管业务活动的记录、账册、报表和其他相关资料15年以上；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12）建立并保存基金份额持有人名册；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13）按规定制作相关账册并与基金管理人核对；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14）依据基金管理人的指令或有关规定向基金份额持有人支付基金收益和赎回款项；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15）依据《基金法》、《基金合同》及其他有关规定，召集基金份额持有人大会或配合基金份额持有人依法召集基金份额持有人大会；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16）按照法律法规和《基金合同》的规定监督基金管理人的投资运作；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17）参加基金财产清算小组，参与基金财产的保管、清理、估价、变现和分配；</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18）面临解散、依法被撤销或者被依法宣告破产时，及时报告中国证监会和银行监管机构，并通知基金管理人；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19）因违反《基金合同》导致基金财产损失时，应承担赔偿责任，其赔偿责任不因其退任而免除；</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20）按规定监督基金管理人按法律法规和《基金合同》规定履行自己的义务，基金管理人因违反《基金合同》造成基金财产损失时，应为基金份额持有人利益向基金管理人追偿；</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21）执行生效的基金份额持有人大会的决定；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22）法律法规及中国证监会规定的和《基金合同》约定的其他义务。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（二）基金份额持有人大会召集、议事及表决的程序和规则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本基金份额持有人大会不设日常机构。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1、召开事由</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（1）当出现或需要决定下列事由之一的，应当召开基金份额持有人大会，但法律法规、中国证监会和基金合同另有规定的除外：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1）终止《基金合同》；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2）更换基金管理人；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3）更换基金托管人；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4）转换基金运作方式；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5）提高基金管理人、基金托管人的报酬标准；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6）变更基金类别；</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7）本基金与其他基金的合并；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8）变更基金投资目标、范围或策略；</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9）变更基金份额持有人大会程序；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10）基金管理人或基金托管人要求召开基金份额持有人大会；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11）单独或合计持有本基金总份额10%以上（含10%）基金份额的基金份额持有人（以</w:t>
      </w:r>
      <w:r w:rsidRPr="007759F2">
        <w:rPr>
          <w:rFonts w:asciiTheme="minorEastAsia" w:eastAsiaTheme="minorEastAsia" w:hAnsiTheme="minorEastAsia" w:hint="eastAsia"/>
          <w:bCs/>
          <w:szCs w:val="21"/>
        </w:rPr>
        <w:lastRenderedPageBreak/>
        <w:t>基金管理人收到提议当日的基金份额计算，下同）就同一事项书面要求召开基金份额持有人大会；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12）对基金当事人权利和义务产生重大影响的其他事项；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13）法律法规、《基金合同》或中国证监会规定的其他应当召开基金份额持有人大会的事项。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（2）以下情况可由基金管理人和基金托管人协商后修改，不需召开基金份额持有人大会。法律法规另有约定的除外：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1）调低基金管理费、基金托管费和其他应由基金承担的费用；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2）法律法规要求增加的基金费用的收取；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3）在法律法规和《基金合同》规定的范围内调整本基金的申购费率、调低赎回费率或变更收费方式；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4）因相应的法律法规发生变动而应当对《基金合同》进行修改；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5）对《基金合同》的修改对基金份额持有人利益无实质性不利影响或修改不涉及《基金合同》当事人权利义务关系发生重大变化；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6）基金管理人、基金登记机构、基金销售机构，在法律法规规定或中国证监会许可的范围内调整有关认购、申购、赎回、转换、基金交易、非交易过户、转托管、质押等业务规则；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7）在对基金份额持有人利益无实质不利影响的前提下，在法律法规规定或中国证监会许可的范围内基金推出新业务或服务；</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8）按照法律法规和《基金合同》规定不需召开基金份额持有人大会的其他情形。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2、会议召集人及召集方式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（1）除法律法规规定或《基金合同》另有约定外，基金份额持有人大会由基金管理人召集；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（2）基金管理人未按规定召集或不能召集时，由基金托管人召集；</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w:t>
      </w:r>
      <w:r w:rsidRPr="007759F2">
        <w:rPr>
          <w:rFonts w:asciiTheme="minorEastAsia" w:eastAsiaTheme="minorEastAsia" w:hAnsiTheme="minorEastAsia" w:hint="eastAsia"/>
          <w:bCs/>
          <w:szCs w:val="21"/>
        </w:rPr>
        <w:lastRenderedPageBreak/>
        <w:t>出书面提议。基金托管人应当自收到书面提议之日起10日内决定是否召集，并书面告知提出提议的基金份额持有人代表和基金管理人；基金托管人决定召集的，应当自出具书面决定之日起60日内召开。</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（6）基金份额持有人会议的召集人负责选择确定开会时间、地点、方式和权益登记日。</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3、召开基金份额持有人大会的通知时间、通知内容、通知方式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（1）召开基金份额持有人大会，召集人应于会议召开前30日，在指定媒介公告。基金份额持有人大会通知应至少载明以下内容：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1）会议召开的时间、地点和会议形式；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2）会议拟审议的事项、议事程序和表决方式；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3）有权出席基金份额持有人大会的基金份额持有人的权益登记日；</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4）授权委托证明的内容要求（包括但不限于代理人身份，代理权限和代理有效期限等）、送达时间和地点;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5）会务常设联系人姓名及联系电话；</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6）出席会议者必须准备的文件和必须履行的手续；</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7）召集人需要通知的其他事项。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4、基金份额持有人出席会议的方式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基金份额持有人大会可通过现场开会方式、通讯开会方式及法律法规、中国证监会允许的其他方式召开，会议的召开方式由会议召集人确定。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w:t>
      </w:r>
      <w:r w:rsidRPr="007759F2">
        <w:rPr>
          <w:rFonts w:asciiTheme="minorEastAsia" w:eastAsiaTheme="minorEastAsia" w:hAnsiTheme="minorEastAsia" w:hint="eastAsia"/>
          <w:bCs/>
          <w:szCs w:val="21"/>
        </w:rPr>
        <w:lastRenderedPageBreak/>
        <w:t>份额持有人大会议程：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1）亲自出席会议者持有的有关证明文件、受托出席会议者出示的委托人的代理投票授权委托证明及有关证明文件符合法律法规、《基金合同》和会议通知的规定；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2）经核对，到会者在权益登记日代表的有效的基金份额不少于本基金在权益登记日基金总份额的50%（含50%）。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（2）通讯开会。通讯开会系指基金份额持有人将其对表决事项的投票以书面形式在表决截至日以前送达至召集人指定的地址。通讯开会应以书面方式进行表决。</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在同时符合以下条件时，通讯开会的方式视为有效：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1）会议召集人按《基金合同》约定公布会议通知后，在2个工作日内连续公布相关提示性公告；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3）本人直接出具书面意见或授权他人代表出具书面意见的，基金份额持有人所持有的基金份额不小于在权益登记日基金总份额的50%（含50%）；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（3）重新召集基金份额持有人大会的条件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基金份额持有人大会应当有代表二分之一以上基金份额的持有人参加，方可召开。</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（5）基金份额持有人授权他人代为出席会议并表决的，授权方式可以采用书面、网络、电话、短信或其他方式，具体方式由会议召集人确定并在会议通知中列明。</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5、议事内容与程序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（1）议事内容及提案权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基金份额持有人大会的召集人发出召集会议的通知后，对原有提案的修改应当在基金份额持有人大会召开前及时公告。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基金份额持有人大会不得对未事先公告的议事内容进行表决。</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（2）议事程序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1）现场开会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2）通讯开会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在通讯开会的情况下，首先由召集人提前30日公布提案，在所通知的表决截止日期后2个工作日内在公证机关监督下由召集人统计全部有效表决，在公证机关监督下形成决议。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6、表决</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基金份额持有人所持每份基金份额有一票表决权。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基金份额持有人大会决议分为一般决议和特别决议：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基金份额持有人大会采取记名方式进行投票表决。</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w:t>
      </w:r>
      <w:r w:rsidRPr="007759F2">
        <w:rPr>
          <w:rFonts w:asciiTheme="minorEastAsia" w:eastAsiaTheme="minorEastAsia" w:hAnsiTheme="minorEastAsia" w:hint="eastAsia"/>
          <w:bCs/>
          <w:szCs w:val="21"/>
        </w:rPr>
        <w:lastRenderedPageBreak/>
        <w:t>书面意见的基金份额持有人所代表的基金份额总数。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基金份额持有人大会的各项提案或同一项提案内并列的各项议题应当分开审议、逐项表决。</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7、计票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（1）现场开会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2）监票人应当在基金份额持有人表决后立即进行清点并由大会主持人当场公布计票结果。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4）计票过程应由公证机关予以公证,基金管理人或基金托管人拒不出席大会的，不影响计票的效力。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（2）通讯开会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8、生效与公告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基金份额持有人大会的决议，自表决通过之日起生效。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基金份额持有人大会的决议，召集人应当自通过之日起5日内报中国证监会备案。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基金份额持有人大会决议自生效之日起2日内在指定媒介上公告。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（三）基金收益分配原则、执行方式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1、基金利润的构成</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基金利润指基金利息收入、投资收益、公允价值变动收益和其他收入扣除相关费用后的余额，基金已实现收益指基金利润减去公允价值变动收益后的余额。</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2、基金可供分配利润</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基金可供分配利润指截至收益分配基准日基金未分配利润与未分配利润中已实现收益的孰低数。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3、基金收益分配原则</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（1）本基金收益分配方式分两种：现金分红与红利再投资，投资者可选择现金红利或将现金红利自动转为基金份额进行再投资；若投资者不选择，本基金默认的收益分配方式是现金分红；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（2）基金收益分配后基金份额净值不能低于面值；即基金收益分配基准日的基金份额净值减去每单位基金份额收益分配金额后不能低于面值；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（3）同一类别的每一基金份额享有同等分配权；</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（4）在对基金份额持有人利益无实质不利影响的前提下，基金管理人可调整基金收益的分配原则和支付方式，不需召开基金份额持有人大会审议；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（5）法律法规或监管机关另有规定的，从其规定。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4、收益分配方案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基金收益分配方案中应载明截止收益分配基准日的可供分配利润、基金收益分配对象、分配时间、分配数额及比例、分配方式等内容。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5、收益分配方案的确定、公告与实施</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本基金收益分配方案由基金管理人拟定，并由基金托管人复核，在2日内在指定媒介公告。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基金红利发放日距离收益分配基准日（即可供分配利润计算截止日）的时间不得超过15个工作日。</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6、基金收益分配中发生的费用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（四）与基金财产管理、运用有关费用的提取、支付方式与比例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1、基金费用的种类</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（1）基金管理人的管理费；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（2）基金托管人的托管费；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（3）《基金合同》生效后与基金相关的信息披露费用；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（4）《基金合同》生效后与基金相关的会计师费、律师费、诉讼费和仲裁费；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（5）基金份额持有人大会费用；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（6）基金的证券交易费用；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（7）基金的银行汇划费用；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（8）证券账户开户费用、银行账户维护费用；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（9）按照国家有关规定和《基金合同》约定，可以在基金财产中列支的其他费用。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2、基金费用计提方法、计提标准和支付方式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（1）基金管理人的管理费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本基金的管理费按前一日基金资产净值的0.60%年费率计提。管理费的计算方法如下：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H＝E×0.60%÷当年天数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H为每日应计提的基金管理费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E为前一日的基金资产净值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基金管理费每日计提，按月支付。由基金管理人在次月初3个工作日内出具资金划拨指令，基金托管人复核无误后于2个工作日内进行支付。若遇法定节假日、休息日等，支付日期顺延。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（2）基金托管人的托管费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本基金的托管费按前一日基金资产净值的0.15%的年费率计提。托管费的计算方法如下：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H＝E×0.15%÷当年天数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H为每日应计提的基金托管费</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E为前一日的基金资产净值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基金托管费每日计提，按月支付。由基金管理人在次月初3个工作日内出具资金划拨指令，基金托管人复核无误后于2个工作日内进行支付。若遇法定节假日、休息日等，支付日期顺延。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上述“一、基金费用的种类中第3－9项费用”，根据有关法规及相应协议规定，按费用实际支出金额列入当期费用，由基金托管人从基金财产中支付。</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3、不列入基金费用的项目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下列费用不列入基金费用：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（1）基金管理人和基金托管人因未履行或未完全履行义务导致的费用支出或基金财产的损失；</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（2）基金管理人和基金托管人处理与基金运作无关的事项发生的费用；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（3）《基金合同》生效前的相关费用；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（4）其他根据相关法律法规及中国证监会的有关规定不得列入基金费用的项目。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4、费用调整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基金管理人和基金托管人协商一致后，可按照基金发展情况，并根据法律法规规定和基金合同约定调整基金管理费率、基金托管费率等相关费率。</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5、基金税收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本基金运作过程中涉及的各纳税主体，其纳税义务按国家税收法律、法规执行。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（五）基金财产的投资方向和投资限制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1、投资目标</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本基金在控制风险的前提下，追求基金资产的稳健增值。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2、投资范围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的投资范围包括国内依法发行、上市的股票（包括创业板、中小板以及其他经中国证监会核准上市的股票）、债券（包括国债、央行票据、地方政府债、金融债、企业债、公司债、证券公司短期公司债、中小企业私募债、次级债、中期票据、短期融资券、可转换债券、可交换债券等）、资产支持证券、债券回购、银行存款、权证、股指期货、期权及法律法规或中国证监会允许基金投资的其他金融工具。</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如法律法规或监管机构以后允许基金投资其他品种，本基金可以将其纳入投资范围。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基金的投资组合比例为：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本基金为混合型基金，股票资产占基金资产的比例为0%-95%，扣除股指期货合约需缴纳的交易保证金后，保持不低于基金资产净值5％的现金或者到期日在一年以内的政府债券，现金不包括结算备付金、存出保证金、应收申购款等，权证、股指期货、期权及其他金融工具的投资比例依照法律法规或监管机构的规定执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3、投资限制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（1）组合限制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基金的投资组合应遵循以下限制：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1）本基金股票资产占基金资产的比例为0%-95%；</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2）扣除股指期货合约需缴纳的交易保证金后，保持不低于基金资产净值5％的现金或者到期日在一年以内的政府债券，现金不包括结算备付金、存出保证金、应收申购款等；</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3）本基金持有一家公司发行的证券，其市值不得超过基金资产净值的10%；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4）本基金管理人管理的全部基金持有一家公司发行的证券，不超过该证券的10％；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5）本基金持有的全部权证，其市值不得超过基金资产净值的3％；</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6）本基金管理人管理的全部基金持有的同一权证，不得超过该权证的10％；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7）本基金在任何交易日买入权证的总金额，不得超过上一交易日基金资产净值的0.5％；</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8）本基金投资于同一原始权益人的各类资产支持证券的比例，不得超过基金资产净值的10％；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9）本基金持有的全部资产支持证券，其市值不得超过基金资产净值的20％；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10）本基金持有的同一(指同一信用级别)资产支持证券的比例，不得超过该资产支持证券规模的10％；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11）本基金管理人管理的全部基金投资于同一原始权益人的各类资产支持证券，不得超过其各类资产支持证券合计规模的10％；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12）本基金应投资于信用级别评级为BBB以上(含BBB)的资产支持证券。基金持有资产支持证券期间，如果其信用等级下降、不再符合投资标准，应在评级报告发布之日起3个月内予以全部卖出；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13）基金财产参与股票发行申购，本基金所申报的金额不超过本基金的总资产，本基金所申报的股票数量不超过拟发行股票公司本次发行股票的总量；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14）本基金进入全国银行间同业市场进行债券回购的资金余额不得超过基金资产净值的40%；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15）本基金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16）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17）本基金基金总资产不得超过基金净资产的140%；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18）本基金投资于单只中小企业私募债的市值，不得超过本基金资产净值的10%；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20）本基金主动投资于流动性受限资产的市值合计不得超过该基金资产净值的15%。</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因证券市场波动、上市公司股票停牌、基金规模变动等基金管理人之外的因素致使基金不符合前款所规定比例限制的，基金管理人不得主动新增流动性受限资产的投资。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21）本基金与私募类证券资管产品及中国证监会认定的其他主体为交易对手开展逆回购交易的，可接受质押品的资质要求应当与基金合同约定的投资范围保持一致。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22）法律法规及中国证监会规定的和《基金合同》约定的其他投资限制。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除上述2）、12）、13）、20）、21）以外，因证券市场波动、证券发行人合并、基金规模</w:t>
      </w:r>
      <w:r w:rsidRPr="007759F2">
        <w:rPr>
          <w:rFonts w:asciiTheme="minorEastAsia" w:eastAsiaTheme="minorEastAsia" w:hAnsiTheme="minorEastAsia" w:hint="eastAsia"/>
          <w:bCs/>
          <w:szCs w:val="21"/>
        </w:rPr>
        <w:lastRenderedPageBreak/>
        <w:t>变动等基金管理人之外的因素致使基金投资比例不符合上述规定投资比例的，基金管理人应当在10个交易日内进行调整，但中国证监会规定的特殊情形除外。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（2）禁止行为</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为维护基金份额持有人的合法权益，基金财产不得用于下列投资或者活动：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1）承销证券；</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2）违反规定向他人贷款或者提供担保；</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3）从事承担无限责任的投资；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4）向其基金管理人、基金托管人出资；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5）从事内幕交易、操纵证券交易价格及其他不正当的证券交易活动；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6）法律、行政法规和中国证监会规定禁止的其他活动。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（六）基金资产净值的计算方法和公告方式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1、基金资产总值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基金资产净值是指基金资产总值减去基金负债后的价值。</w:t>
      </w:r>
    </w:p>
    <w:p w:rsidR="00830B12" w:rsidRPr="007759F2" w:rsidRDefault="00CD234C" w:rsidP="00830B12">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w:t>
      </w:r>
      <w:r w:rsidR="00830B12" w:rsidRPr="007759F2">
        <w:rPr>
          <w:rFonts w:asciiTheme="minorEastAsia" w:eastAsiaTheme="minorEastAsia" w:hAnsiTheme="minorEastAsia"/>
          <w:bCs/>
          <w:szCs w:val="21"/>
        </w:rPr>
        <w:t>基金净值</w:t>
      </w:r>
      <w:r w:rsidR="00830B12" w:rsidRPr="007759F2">
        <w:rPr>
          <w:rFonts w:asciiTheme="minorEastAsia" w:eastAsiaTheme="minorEastAsia" w:hAnsiTheme="minorEastAsia" w:hint="eastAsia"/>
          <w:bCs/>
          <w:szCs w:val="21"/>
        </w:rPr>
        <w:t>信息</w:t>
      </w:r>
    </w:p>
    <w:p w:rsidR="00830B12" w:rsidRPr="007759F2" w:rsidRDefault="00830B12" w:rsidP="00830B12">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t>《基金合同》生效后，在开始办理基金份额申购或者赎回前，基金管理人应当至少每周</w:t>
      </w:r>
      <w:r w:rsidRPr="007759F2">
        <w:rPr>
          <w:rFonts w:asciiTheme="minorEastAsia" w:eastAsiaTheme="minorEastAsia" w:hAnsiTheme="minorEastAsia" w:hint="eastAsia"/>
          <w:bCs/>
          <w:szCs w:val="21"/>
        </w:rPr>
        <w:t>在指定网站披露一次基金份额净值和基金份额累计净值</w:t>
      </w:r>
      <w:r w:rsidRPr="007759F2">
        <w:rPr>
          <w:rFonts w:asciiTheme="minorEastAsia" w:eastAsiaTheme="minorEastAsia" w:hAnsiTheme="minorEastAsia"/>
          <w:bCs/>
          <w:szCs w:val="21"/>
        </w:rPr>
        <w:t>。</w:t>
      </w:r>
    </w:p>
    <w:p w:rsidR="00830B12" w:rsidRPr="007759F2" w:rsidRDefault="00830B12" w:rsidP="00830B12">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t>在开始办理基金份额申购或者赎回后，基金管理人应当在</w:t>
      </w:r>
      <w:r w:rsidRPr="007759F2">
        <w:rPr>
          <w:rFonts w:asciiTheme="minorEastAsia" w:eastAsiaTheme="minorEastAsia" w:hAnsiTheme="minorEastAsia" w:hint="eastAsia"/>
          <w:bCs/>
          <w:szCs w:val="21"/>
        </w:rPr>
        <w:t>不晚于</w:t>
      </w:r>
      <w:r w:rsidRPr="007759F2">
        <w:rPr>
          <w:rFonts w:asciiTheme="minorEastAsia" w:eastAsiaTheme="minorEastAsia" w:hAnsiTheme="minorEastAsia"/>
          <w:bCs/>
          <w:szCs w:val="21"/>
        </w:rPr>
        <w:t>每个开放日的次日，通过指定网站、基金</w:t>
      </w:r>
      <w:r w:rsidRPr="007759F2">
        <w:rPr>
          <w:rFonts w:asciiTheme="minorEastAsia" w:eastAsiaTheme="minorEastAsia" w:hAnsiTheme="minorEastAsia" w:hint="eastAsia"/>
          <w:bCs/>
          <w:szCs w:val="21"/>
        </w:rPr>
        <w:t>销售机构网站或者营业网点</w:t>
      </w:r>
      <w:r w:rsidRPr="007759F2">
        <w:rPr>
          <w:rFonts w:asciiTheme="minorEastAsia" w:eastAsiaTheme="minorEastAsia" w:hAnsiTheme="minorEastAsia"/>
          <w:bCs/>
          <w:szCs w:val="21"/>
        </w:rPr>
        <w:t>，披露开放日的基金份额净值和基金份额累计净值。</w:t>
      </w:r>
    </w:p>
    <w:p w:rsidR="00830B12" w:rsidRPr="007759F2" w:rsidRDefault="00830B12" w:rsidP="00830B12">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bCs/>
          <w:szCs w:val="21"/>
        </w:rPr>
        <w:lastRenderedPageBreak/>
        <w:t>基金管理人应当</w:t>
      </w:r>
      <w:r w:rsidRPr="007759F2">
        <w:rPr>
          <w:rFonts w:asciiTheme="minorEastAsia" w:eastAsiaTheme="minorEastAsia" w:hAnsiTheme="minorEastAsia" w:hint="eastAsia"/>
          <w:bCs/>
          <w:szCs w:val="21"/>
        </w:rPr>
        <w:t>在不晚于半年度和年度最后一日的次日，在指定网站披露半年度和年度最后一日的基金份额净值和基金份额累计净值</w:t>
      </w:r>
      <w:r w:rsidRPr="007759F2">
        <w:rPr>
          <w:rFonts w:asciiTheme="minorEastAsia" w:eastAsiaTheme="minorEastAsia" w:hAnsiTheme="minorEastAsia"/>
          <w:bCs/>
          <w:szCs w:val="21"/>
        </w:rPr>
        <w:t>。</w:t>
      </w:r>
    </w:p>
    <w:p w:rsidR="00CD234C" w:rsidRPr="007759F2" w:rsidRDefault="00CD234C">
      <w:pPr>
        <w:snapToGrid w:val="0"/>
        <w:spacing w:line="360" w:lineRule="auto"/>
        <w:ind w:firstLineChars="200" w:firstLine="420"/>
        <w:rPr>
          <w:rFonts w:asciiTheme="minorEastAsia" w:eastAsiaTheme="minorEastAsia" w:hAnsiTheme="minorEastAsia"/>
          <w:bCs/>
          <w:szCs w:val="21"/>
        </w:rPr>
      </w:pP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（七）基金合同解除和终止的事由、程序以及基金财产清算方式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1、《基金合同》的变更</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（2）关于《基金合同》变更的基金份额持有人大会决议自表决通过之日起生效，自决议生效后两日内在指定媒介公告。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2、《基金合同》的终止事由</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有下列情形之一的，《基金合同》应当终止：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（1）基金份额持有人大会决定终止的；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（2）基金管理人、基金托管人职责终止，在6个月内没有新基金管理人、新基金托管人承接的；</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（3）《基金合同》约定的其他情形；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（4）相关法律法规和中国证监会规定的其他情况。</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3、基金财产的清算</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（1）基金财产清算小组：自出现《基金合同》终止事由之日起30个工作日内成立清算小组，基金管理人组织基金财产清算小组并在中国证监会的监督下进行基金清算。</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（3）基金财产清算小组职责：基金财产清算小组负责基金财产的保管、清理、估价、变现和分配。基金财产清算小组可以依法进行必要的民事活动。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（4）基金财产清算程序：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1）《基金合同》终止情形出现时，由基金财产清算小组统一接管基金；</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2）对基金财产和债权债务进行清理和确认；</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3）对基金财产进行估值和变现；</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4）制作清算报告；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5）聘请会计师事务所对清算报告进行外部审计，聘请律师事务所对清算报告出具法律意见书；</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6）将清算报告报中国证监会备案并公告；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7）对基金财产进行分配。</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（5）基金财产清算的期限为6个月，但因本基金所持证券的流动性受到限制而不能及时变现的，清算期限相应顺延。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4、清算费用</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5、基金财产清算剩余资产的分配</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6、基金财产清算的公告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7、基金财产清算账册及文件的保存</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基金财产清算账册及有关文件由基金托管人保存15年以上。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（八）争议解决方式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《基金合同》受中国法律管辖。</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（九）基金合同存放地和投资者取得基金合同的方式</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《基金合同》是约定基金当事人之间、基金与基金当事人之间权利义务关系的法律文件。</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1、《基金合同》经基金管理人、基金托管人双方盖章以及双方法定代表人或授权代表签字或盖章并在募集结束后经基金管理人向中国证监会办理基金备案手续，并经中国证监会书面确认后生效。</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2、《基金合同》的有效期自其生效之日起至基金财产清算结果报中国证监会备案并公告之日止。</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3、《基金合同》自生效之日起对包括基金管理人、基金托管人和基金份额持有人在内的《基金合同》各方当事人具有同等的法律约束力。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t>4、《基金合同》正本一式六份，除上报有关监管机构一式二份外，基金管理人、基金托管人各持有二份，每份具有同等的法律效力。</w:t>
      </w:r>
    </w:p>
    <w:p w:rsidR="00CD234C" w:rsidRPr="007759F2" w:rsidRDefault="00CD234C" w:rsidP="00CD234C">
      <w:pPr>
        <w:snapToGrid w:val="0"/>
        <w:spacing w:line="360" w:lineRule="auto"/>
        <w:ind w:firstLineChars="200" w:firstLine="420"/>
        <w:rPr>
          <w:rFonts w:asciiTheme="minorEastAsia" w:eastAsiaTheme="minorEastAsia" w:hAnsiTheme="minorEastAsia"/>
          <w:bCs/>
          <w:szCs w:val="21"/>
        </w:rPr>
      </w:pPr>
      <w:r w:rsidRPr="007759F2">
        <w:rPr>
          <w:rFonts w:asciiTheme="minorEastAsia" w:eastAsiaTheme="minorEastAsia" w:hAnsiTheme="minorEastAsia" w:hint="eastAsia"/>
          <w:bCs/>
          <w:szCs w:val="21"/>
        </w:rPr>
        <w:lastRenderedPageBreak/>
        <w:t>5、《基金合同》可印制成册，供投资者在基金管理人、基金托管人、销售机构的办公场所和营业场所查阅。</w:t>
      </w:r>
    </w:p>
    <w:p w:rsidR="00CD234C" w:rsidRPr="007759F2" w:rsidRDefault="00CD234C" w:rsidP="00CD234C">
      <w:pPr>
        <w:pStyle w:val="1"/>
        <w:snapToGrid w:val="0"/>
        <w:spacing w:before="317" w:after="317" w:line="360" w:lineRule="auto"/>
        <w:ind w:firstLine="640"/>
        <w:rPr>
          <w:rFonts w:asciiTheme="minorEastAsia" w:eastAsiaTheme="minorEastAsia" w:hAnsiTheme="minorEastAsia"/>
          <w:sz w:val="30"/>
        </w:rPr>
      </w:pPr>
      <w:r w:rsidRPr="007759F2">
        <w:rPr>
          <w:rFonts w:asciiTheme="minorEastAsia" w:eastAsiaTheme="minorEastAsia" w:hAnsiTheme="minorEastAsia" w:hint="eastAsia"/>
          <w:bCs/>
          <w:szCs w:val="21"/>
        </w:rPr>
        <w:br w:type="page"/>
      </w:r>
      <w:bookmarkStart w:id="105" w:name="_Toc332373589"/>
      <w:bookmarkStart w:id="106" w:name="_Toc43380867"/>
      <w:bookmarkStart w:id="107" w:name="_Toc332374170"/>
      <w:bookmarkStart w:id="108" w:name="_Toc332373590"/>
      <w:bookmarkEnd w:id="105"/>
      <w:r w:rsidRPr="007759F2">
        <w:rPr>
          <w:rFonts w:asciiTheme="minorEastAsia" w:eastAsiaTheme="minorEastAsia" w:hAnsiTheme="minorEastAsia" w:hint="eastAsia"/>
          <w:sz w:val="30"/>
        </w:rPr>
        <w:lastRenderedPageBreak/>
        <w:t>二十二、基金托管协议的内容摘要</w:t>
      </w:r>
      <w:bookmarkEnd w:id="106"/>
    </w:p>
    <w:bookmarkEnd w:id="107"/>
    <w:bookmarkEnd w:id="108"/>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（一）托管协议当事人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1、基金管理人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名称：易方达基金管理有限公司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住所：广东省珠海市横琴新区宝华路6号105室－42891（集中办公区）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办公地址：广东省广州市天河区珠江新城珠江东路30号广州银行大厦40-43楼</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邮政编码：510620</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法定代表人：刘晓艳</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成立时间：2001年4月17日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批准设立机关：中国证券监督管理委员会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批准设立文号：证监基金字[2001]4号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组织形式：有限责任公司</w:t>
      </w:r>
    </w:p>
    <w:p w:rsidR="00CD234C" w:rsidRPr="007759F2" w:rsidRDefault="007235C5"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注册资本：13,244.2万元人民币</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存续期间：持续经营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经营范围：公开募集证券投资基金管理、基金销售、特定客户资产管理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名称：中国邮政储蓄银行股份有限公司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住所：北京市西城区金融大街3号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办公地址：北京市西城区金融大街3号A座</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邮政编码：100808</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法定代表人：</w:t>
      </w:r>
      <w:r w:rsidR="00A24A6D" w:rsidRPr="007759F2">
        <w:rPr>
          <w:rFonts w:asciiTheme="minorEastAsia" w:eastAsiaTheme="minorEastAsia" w:hAnsiTheme="minorEastAsia" w:hint="eastAsia"/>
        </w:rPr>
        <w:t>张金良</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成立时间：2007年3月6日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批准设立机关及批准设立文号：中国银监会银监复[2006]484号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基金托管业务批准文号：证监许可[2009]673号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组织形式：股份有限公司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注册资本：</w:t>
      </w:r>
      <w:r w:rsidRPr="007759F2">
        <w:rPr>
          <w:rFonts w:asciiTheme="minorEastAsia" w:eastAsiaTheme="minorEastAsia" w:hAnsiTheme="minorEastAsia" w:hint="eastAsia"/>
          <w:szCs w:val="21"/>
        </w:rPr>
        <w:t>810.31亿元人民币</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存续期间：持续经营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经营范围：</w:t>
      </w:r>
      <w:r w:rsidR="00EA3355" w:rsidRPr="007759F2">
        <w:rPr>
          <w:rFonts w:asciiTheme="minorEastAsia" w:eastAsiaTheme="minorEastAsia" w:hAnsiTheme="minorEastAsia" w:hint="eastAsia"/>
          <w:kern w:val="0"/>
          <w:szCs w:val="21"/>
        </w:rPr>
        <w:t>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（二）基金托管人对基金管理人的业务监督和核查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托管人根据有关法律法规的规定及基金合同的约定，对基金投资范围、投资对象进行监督。基金托管人运用相关技术系统，对基金实际投资是否符合基金合同的约定进行监督，对存在疑义的事项进行核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基金的投资范围包括国内依法发行、上市的股票（包括创业板、中小板以及其他经中国证监会核准上市的股票）、债券（包括国债、央行票据、地方政府债、金融债、企业债、公司债、证券公司短期公司债、中小企业私募债、次级债、中期票据、短期融资券、可转换债券、可交换债券、资产支持证券等）、资产支持证券、债券回购、银行存款、权证、股指期货、期权及法律法规或中国证监会允许基金投资的其他金融工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基金的投资组合比例为：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本基金为混合型基金，股票资产占基金资产的比例为0%-95%，扣除股指期货合约需缴纳的交易保证金后，保持不低于基金资产净值5％的现金或者到期日在一年以内的政府债券,</w:t>
      </w:r>
      <w:r w:rsidRPr="007759F2">
        <w:rPr>
          <w:rFonts w:asciiTheme="minorEastAsia" w:eastAsiaTheme="minorEastAsia" w:hAnsiTheme="minorEastAsia" w:hint="eastAsia"/>
          <w:bCs/>
        </w:rPr>
        <w:t>现金不包括结算备付金、存出保证金、应收申购款等，</w:t>
      </w:r>
      <w:r w:rsidRPr="007759F2">
        <w:rPr>
          <w:rFonts w:asciiTheme="minorEastAsia" w:eastAsiaTheme="minorEastAsia" w:hAnsiTheme="minorEastAsia" w:hint="eastAsia"/>
          <w:kern w:val="0"/>
          <w:szCs w:val="21"/>
        </w:rPr>
        <w:t>权证、股指期货、期权及其他金融工具的投资比例依照法律法规或监管机构的规定执行。</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2、基金托管人根据有关法律法规的规定及基金合同的约定，对基金投资、融资、融券比例进行监督。基金托管人按下述比例和调整期限进行监督：</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（1）本基金股票资产占基金资产的比例为0%-95%；</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（2）扣除股指期货合约需缴纳的交易保证金后，保持不低于基金资产净值5％的现金或者到期日在一年以内的政府债券</w:t>
      </w:r>
      <w:r w:rsidRPr="007759F2">
        <w:rPr>
          <w:rFonts w:asciiTheme="minorEastAsia" w:eastAsiaTheme="minorEastAsia" w:hAnsiTheme="minorEastAsia" w:hint="eastAsia"/>
          <w:bCs/>
        </w:rPr>
        <w:t>，现金不包括结算备付金、存出保证金、应收申购款等</w:t>
      </w:r>
      <w:r w:rsidRPr="007759F2">
        <w:rPr>
          <w:rFonts w:asciiTheme="minorEastAsia" w:eastAsiaTheme="minorEastAsia" w:hAnsiTheme="minorEastAsia" w:hint="eastAsia"/>
          <w:bCs/>
          <w:kern w:val="0"/>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（3）本基金持有一家公司发行的证券，其市值不得超过基金资产净值的10%；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（4）本基金管理人管理的全部基金持有一家公司发行的证券，不超过该证券的10％；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（5）本基金持有的全部权证，其市值不得超过基金资产净值的3％；</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（6）本基金管理人管理的全部基金持有的同一权证，不得超过该权证的10％；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（7）本基金在任何交易日买入权证的总金额，不得超过上一交易日基金资产净值的0.5％；</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（8）本基金投资于同一原始权益人的各类资产支持证券的比例，不得超过基金资产净值的10％；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（9）本基金持有的全部资产支持证券，其市值不得超过基金资产净值的20％；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（10）本基金持有的同一(指同一信用级别)资产支持证券的比例，不得超过该资产支持证券规模的10％；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（11）本基金管理人管理的全部基金投资于同一原始权益人的各类资产支持证券，不得超过其各类资产支持证券合计规模的10％；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（12）本基金应投资于信用级别评级为BBB以上(含BBB)的资产支持证券。基金持有资产支持证券期间，如果其信用等级下降、不再符合投资标准，应在评级报告发布之日起3</w:t>
      </w:r>
      <w:r w:rsidRPr="007759F2">
        <w:rPr>
          <w:rFonts w:asciiTheme="minorEastAsia" w:eastAsiaTheme="minorEastAsia" w:hAnsiTheme="minorEastAsia" w:hint="eastAsia"/>
          <w:bCs/>
          <w:kern w:val="0"/>
          <w:szCs w:val="21"/>
        </w:rPr>
        <w:lastRenderedPageBreak/>
        <w:t>个月内予以全部卖出；</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（13）基金财产参与股票发行申购，本基金所申报的金额不超过本基金的总资产，本基金所申报的股票数量不超过拟发行股票公司本次发行股票的总量；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（14）本基金进入全国银行间同业市场进行债券回购的资金余额不得超过基金资产净值的40%；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15）本基金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16）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（17）本基金基金总资产不得超过基金净资产的140%；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（18）本基金投资于单只中小企业私募债的市值，不得超过本基金资产净值的10%；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（20）本基金主动投资于流动性受限资产的市值合计不得超过该基金资产净值的15%。</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因证券市场波动、上市公司股票停牌、基金规模变动等基金管理人之外的因素致使基金不符合前款所规定比例限制的，基金管理人不得主动新增流动性受限资产的投资。</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（21）本基金与私募类证券资管产品及中国证监会认定的其他主体为交易对手开展逆回购交易的，可接受质押品的资质要求应当与基金合同约定的投资范围保持一致。</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rPr>
        <w:t>（22）</w:t>
      </w:r>
      <w:r w:rsidRPr="007759F2">
        <w:rPr>
          <w:rFonts w:asciiTheme="minorEastAsia" w:eastAsiaTheme="minorEastAsia" w:hAnsiTheme="minorEastAsia" w:hint="eastAsia"/>
          <w:bCs/>
          <w:kern w:val="0"/>
          <w:szCs w:val="21"/>
        </w:rPr>
        <w:t>法律法规及中国证监会规定的和《基金合同》约定的其他投资限制。</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基金管理人应当自基金合同生效之日起六个月内使基金的投资组合比例符合基金合同的约定。上述期间，基金的投资范围、投资策略应当符合基金合同的约定。在符合相关法律法规规定的前提下，</w:t>
      </w:r>
      <w:r w:rsidRPr="007759F2">
        <w:rPr>
          <w:rFonts w:asciiTheme="minorEastAsia" w:eastAsiaTheme="minorEastAsia" w:hAnsiTheme="minorEastAsia" w:hint="eastAsia"/>
          <w:bCs/>
        </w:rPr>
        <w:t>除上述（2）、（12）、（13）、（20）、（21）以外，</w:t>
      </w:r>
      <w:r w:rsidRPr="007759F2">
        <w:rPr>
          <w:rFonts w:asciiTheme="minorEastAsia" w:eastAsiaTheme="minorEastAsia" w:hAnsiTheme="minorEastAsia" w:hint="eastAsia"/>
          <w:kern w:val="0"/>
          <w:szCs w:val="21"/>
        </w:rPr>
        <w:t>因证券市场波动、</w:t>
      </w:r>
      <w:r w:rsidRPr="007759F2">
        <w:rPr>
          <w:rFonts w:asciiTheme="minorEastAsia" w:eastAsiaTheme="minorEastAsia" w:hAnsiTheme="minorEastAsia" w:hint="eastAsia"/>
          <w:bCs/>
          <w:kern w:val="0"/>
          <w:szCs w:val="21"/>
        </w:rPr>
        <w:t>证券发行人合并、</w:t>
      </w:r>
      <w:r w:rsidRPr="007759F2">
        <w:rPr>
          <w:rFonts w:asciiTheme="minorEastAsia" w:eastAsiaTheme="minorEastAsia" w:hAnsiTheme="minorEastAsia" w:hint="eastAsia"/>
          <w:kern w:val="0"/>
          <w:szCs w:val="21"/>
        </w:rPr>
        <w:t>基金规模变动等非本基金管理人的因素致使基金的投资组合不符合上述规定的投资比例的，基金管理人应当在10个交易日内进行调整。</w:t>
      </w:r>
      <w:r w:rsidRPr="007759F2">
        <w:rPr>
          <w:rFonts w:asciiTheme="minorEastAsia" w:eastAsiaTheme="minorEastAsia" w:hAnsiTheme="minorEastAsia" w:hint="eastAsia"/>
          <w:bCs/>
          <w:kern w:val="0"/>
          <w:szCs w:val="21"/>
        </w:rPr>
        <w:t>法律法规另有规定的，从其规定。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w:t>
      </w:r>
      <w:r w:rsidRPr="007759F2">
        <w:rPr>
          <w:rFonts w:asciiTheme="minorEastAsia" w:eastAsiaTheme="minorEastAsia" w:hAnsiTheme="minorEastAsia" w:hint="eastAsia"/>
          <w:bCs/>
          <w:kern w:val="0"/>
          <w:szCs w:val="21"/>
        </w:rPr>
        <w:t>或变更</w:t>
      </w:r>
      <w:r w:rsidRPr="007759F2">
        <w:rPr>
          <w:rFonts w:asciiTheme="minorEastAsia" w:eastAsiaTheme="minorEastAsia" w:hAnsiTheme="minorEastAsia" w:hint="eastAsia"/>
          <w:kern w:val="0"/>
          <w:szCs w:val="21"/>
        </w:rPr>
        <w:t>上述限制的，</w:t>
      </w:r>
      <w:r w:rsidRPr="007759F2">
        <w:rPr>
          <w:rFonts w:asciiTheme="minorEastAsia" w:eastAsiaTheme="minorEastAsia" w:hAnsiTheme="minorEastAsia" w:hint="eastAsia"/>
          <w:bCs/>
          <w:kern w:val="0"/>
          <w:szCs w:val="21"/>
        </w:rPr>
        <w:t>基金可不受上述</w:t>
      </w:r>
      <w:r w:rsidRPr="007759F2">
        <w:rPr>
          <w:rFonts w:asciiTheme="minorEastAsia" w:eastAsiaTheme="minorEastAsia" w:hAnsiTheme="minorEastAsia" w:hint="eastAsia"/>
          <w:kern w:val="0"/>
          <w:szCs w:val="21"/>
        </w:rPr>
        <w:t>限制</w:t>
      </w:r>
      <w:r w:rsidRPr="007759F2">
        <w:rPr>
          <w:rFonts w:asciiTheme="minorEastAsia" w:eastAsiaTheme="minorEastAsia" w:hAnsiTheme="minorEastAsia" w:hint="eastAsia"/>
          <w:bCs/>
          <w:kern w:val="0"/>
          <w:szCs w:val="21"/>
        </w:rPr>
        <w:t>，或以变更的规定为准</w:t>
      </w:r>
      <w:r w:rsidRPr="007759F2">
        <w:rPr>
          <w:rFonts w:asciiTheme="minorEastAsia" w:eastAsiaTheme="minorEastAsia" w:hAnsiTheme="minorEastAsia" w:hint="eastAsia"/>
          <w:kern w:val="0"/>
          <w:szCs w:val="21"/>
        </w:rPr>
        <w:t>。</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对基金投资的监督和检查自基金合同生效之日起开始。基金托管人严格依照法律法规规定及基金合同、托管协议约定的监督程序对基金投资、融资、融券比例进行监督，基金管理人仍违反法律法规规定或基金合同约定的投资、融资、融券比例限制造成基金财产损失的，由基金管理人承担责任，基金托管人不承担任何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3、基金托管人根据有关法律法规的规定及基金合同的约定对下述基金投资禁止行为进行监督。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根据法律法规的规定及基金合同的约定，基金财产不得用于下列投资或者活动：</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（1）承销证券；</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（2）违反规定向他人贷款或者提供担保；</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（3）从事承担无限责任的投资；</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（4）向其基金管理人、基金托管人出资；</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（5）从事内幕交易、操纵证券交易价格及其他不正当的证券交易活动；</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（6）依照法律、行政法规和中国证监会规定禁止的其他活动。</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bCs/>
          <w:kern w:val="0"/>
          <w:szCs w:val="21"/>
        </w:rPr>
        <w:t>法律法规或监管部门取消上述限制，本基金投资可不再受相关限制。</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4、基金托管人依据有关法律法规的规定和基金合同的约定对于基金关联投资进行监督。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5、基金托管人根据有关法律法规的规定及基金合同的约定，对基金管理人参与银行间债券市场进行监督。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（1）基金托管人依据有关法律法规的规定和基金合同的约定对于基金管理人参与银行间市场交易时面临的交易对手资信风险进行监督。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（2）基金托管人对于基金管理人参与银行间市场交易的交易方式的控制</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6、基金托管人根据有关法律法规的规定及基金合同的约定，对基金管理人选择存款银行进行监督。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本基金投资银行存款应符合如下规定：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（1）基金管理人、基金托管人应当与存款银行建立定期对账机制，确保基金银行存款业务账目及核算的真实、准确。</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（2）基金管理人与基金托管人应根据相关规定，就本基金银行存款业务另行签订书面协议，明确双方在相关协议签署、账户开设与管理、投资指令传达与执行、资金划拨、账目</w:t>
      </w:r>
      <w:r w:rsidRPr="007759F2">
        <w:rPr>
          <w:rFonts w:asciiTheme="minorEastAsia" w:eastAsiaTheme="minorEastAsia" w:hAnsiTheme="minorEastAsia" w:hint="eastAsia"/>
          <w:kern w:val="0"/>
          <w:szCs w:val="21"/>
        </w:rPr>
        <w:lastRenderedPageBreak/>
        <w:t>核对、到期兑付、文件保管以及存款证实书的开立、传递、保管等流程中的权利、义务和职责，以确保基金财产的安全，保护基金份额持有人的合法权益。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（3）基金托管人应加强对基金银行存款业务的监督与核查，严格审查、复核相关协议、账户资料、投资指令、存款证实书等有关文件，切实履行托管职责。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（4）基金管理人与基金托管人在开展基金存款业务时，应严格遵守《基金法》、《运作办法》等有关法律法规，以及国家有关账户管理、利率管理、支付结算等的各项规定。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7、基金托管人对基金投资流通受限证券的监督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（1）基金投资流通受限证券，应遵守《关于规范基金投资非公开发行证券行为的紧急通知》、《关于基金投资非公开发行股票等流通受限证券有关问题的通知》等有关法律法规规定。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（5）基金托管人应按照《关于基金投资非公开发行股票等流通受限证券有关问题的通</w:t>
      </w:r>
      <w:r w:rsidRPr="007759F2">
        <w:rPr>
          <w:rFonts w:asciiTheme="minorEastAsia" w:eastAsiaTheme="minorEastAsia" w:hAnsiTheme="minorEastAsia" w:hint="eastAsia"/>
          <w:kern w:val="0"/>
          <w:szCs w:val="21"/>
        </w:rPr>
        <w:lastRenderedPageBreak/>
        <w:t>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8、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如果基金管理人未经基金托管人的审核擅自将不实的业绩表现数据印制在宣传推介材料上，则基金托管人对此不承担任何责任，并将在发现后立即报告中国证监会。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9、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上述规定期限内纠正的，基金托管人有权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基金托管人发现基金管理人依据交易程序已经生效的指令违反法律、行政法规和其他有关规定，或者违反基金合同约定的，应当立即通知基金管理人，并及时向中国证监会报告。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10、对基金托管人按照法规要求需向中国证监会报送基金监督报告的事项，基金管理人应积极配合提供相关数据资料和制度等。</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11、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（三）基金管理人对基金托管人的业务核查</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1、基金管理人对基金托管人履行托管职责情况进行核查，核查事项包括但不限于基金</w:t>
      </w:r>
      <w:r w:rsidRPr="007759F2">
        <w:rPr>
          <w:rFonts w:asciiTheme="minorEastAsia" w:eastAsiaTheme="minorEastAsia" w:hAnsiTheme="minorEastAsia" w:hint="eastAsia"/>
          <w:kern w:val="0"/>
          <w:szCs w:val="21"/>
        </w:rPr>
        <w:lastRenderedPageBreak/>
        <w:t>托管人安全保管基金财产、开设基金财产的资金账户和证券账户、及时、准确复核基金管理人计算的基金资产净值、基金份额净值，根据基金管理人指令办理清算交收且如遇到问题应及时反馈、相关信息披露和监督基金投资运作是否对非公开信息保密等行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（四）基金财产的保管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1、基金财产保管的原则</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（1）基金财产应独立于基金管理人、基金托管人的固有财产。</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（2）基金托管人应安全保管基金财产。未经基金管理人的正当指令，不得自行运用、处分、分配基金的任何财产。如果基金财产在基金托管人保管期间损坏、灭失的，应由该基金托管人承担赔偿责任。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（3）基金托管人按照规定开设基金财产的资金账户和证券账户等投资所需的账户。</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（4）基金托管人对所托管的不同基金财产分别设置账户，与基金托管人的其他业务和其他基金的托管业务实行严格的分账管理，确保基金财产的完整与独立。</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（5）基金托管人根据基金管理人的指令，按照法律法规的规定、基金合同和本协议的约定保管基金财产。</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应予以配合。</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（7）除依据法律法规和基金合同的规定外，基金托管人不得委托第三人托管基金财产。</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2、基金募集期间及募集资金的验资</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相关业务资格的会计师事务所进行验资，出具验资报告，验资报告中需对基金募集的资金进行确认。出具的验资报告由参加验资的2名或2名以上中国注册会计师签字方为有效。</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（3）若基金募集期限届满，未能达到基金合同生效的条件，由基金管理人按规定办理退款等事宜，基金托管人应提供充分协助。</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3、基金银行账户的开立和管理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（1）基金托管人应负责本基金的银行账户的开设和管理。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（3）基金银行账户的开立和使用，限于满足开展本基金业务的需要。基金托管人和基金管理人不得假借本基金的名义开立任何其他银行账户；亦不得使用基金的任何账户进行本基金业务以外的活动。</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（4）基金银行账户的开立和管理应符合相关法律法规的有关规定。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4、基金证券交收账户和结算备付金账户的开立和管理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（1）基金托管人在中国证券登记结算有限责任公司上海分公司、深圳分公司为基金开立基金托管人与本基金联名的证券账户，账户名称以实际开立为准。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（4）基金证券账户的开立和证券账户卡的保管由基金托管人负责，账户资产的管理和</w:t>
      </w:r>
      <w:r w:rsidRPr="007759F2">
        <w:rPr>
          <w:rFonts w:asciiTheme="minorEastAsia" w:eastAsiaTheme="minorEastAsia" w:hAnsiTheme="minorEastAsia" w:hint="eastAsia"/>
          <w:kern w:val="0"/>
          <w:szCs w:val="21"/>
        </w:rPr>
        <w:lastRenderedPageBreak/>
        <w:t>运用由基金管理人负责。</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5、债券托管专户的开设和管理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合同生效后，基金托管人根据中国人民银行、中央国债登记结算有限责任公司的有关规定，在中央国债登记结算有限责任公司、银行间市场清算所股份有限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6、其他账户的开立和管理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（1）因业务发展需要而开立的其他账户，可以根据法律法规和基金合同的规定，在基金管理人和基金托管人商议后由基金托管人负责开立。新账户按有关规则使用并管理。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（2）法律法规等有关规定对相关账户的开立和管理另有规定的，从其规定办理。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7、基金财产投资的有关有价凭证等的保管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8、与基金财产有关的重大合同的保管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（五）基金资产净值计算与复核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1、基金资产净值的计算及复核程序</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（1）基金资产净值</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基金资产净值是指基金资产总值减去负债后的金额。</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基金份额净值是指计算日基金资产净值除以该计算日基金份额余额后的数值。</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基金份额净值的计算，精确到0.001元，小数点后第四位四舍五入，由此产生的误差计入基金财产。国家另有规定的，从其规定。</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基金管理人每工作日计算基金份额净值，经基金托管人复核无误后，按规定公告。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（2）复核程序</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基金管理人每工作日对基金资产进行估值后，将基金份额净值结果发送基金托管人，经基金托管人复核无误后，由基金管理人对外公布。</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2、基金资产估值方法和特殊情形的处理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（1）估值对象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bCs/>
          <w:kern w:val="0"/>
          <w:szCs w:val="21"/>
        </w:rPr>
        <w:t>基金所拥有的股票、债券、衍生工具和银行存款本息、应收款项、其它投资等资产及负债。</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（2）估值方法</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1）证券交易所上市的有价证券的估值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A.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B.交易所上市交易或挂牌转让的不含权和含权固定收益品种，选取第三方估值机构提供的相应品种当日的估值净价；</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C.交易所上市交易的可转换债券，选取每日收盘价作为估值全价；</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D.交易所市场挂牌转让的资产支持证券和私募债券，采用估值技术确定公允价值，在估值技术难以可靠计量公允价值的情况下，按成本估值。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2）处于未上市期间的有价证券应区分如下情况处理：</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A.送股、转增股、配股和公开增发的新股，按估值日在证券交易所挂牌的同一股票的估值方法估值；该日无交易的，以最近一日的市价（收盘价）估值；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B.首次公开发行未上市的股票、债券和权证，采用估值技术确定公允价值，在估值技术难以可靠计量公允价值的情况下，按成本估值；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C.首次公开发行有明确锁定期的股票，同一股票在交易所上市后，按交易所上市的同一股票的估值方法估值；非公开发行有明确锁定期的股票，按监管机构或行业协会有关规定确</w:t>
      </w:r>
      <w:r w:rsidRPr="007759F2">
        <w:rPr>
          <w:rFonts w:asciiTheme="minorEastAsia" w:eastAsiaTheme="minorEastAsia" w:hAnsiTheme="minorEastAsia" w:hint="eastAsia"/>
          <w:bCs/>
          <w:kern w:val="0"/>
          <w:szCs w:val="21"/>
        </w:rPr>
        <w:lastRenderedPageBreak/>
        <w:t>定公允价值。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3）全国银行间债券市场交易的固定收益品种，采用估值技术确定公允价值。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4）同一债券同时在两个或两个以上市场交易的，按债券所处的市场分别估值。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5）期货合约以估值当日结算价进行估值，估值当日无结算价的，且最近交易日后经济环境未发生重大变化的，采用最近交易日结算价估值。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6）本基金投资期权的，按照相关法律法规和监管部门的规定估值。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7）如有充分理由表明按上述方法进行估值不能客观反映其公允价值的，基金管理人可根据具体情况与基金托管人商定后，按最能反映公允价值的价格估值。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8）相关法律法规以及监管部门有强制规定的，从其规定。如有新增事项，按国家最新规定估值。</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（3）特殊情形的处理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基金管理人、基金托管人按第2条第7）款进行估值时，所造成的误差不作为基金份额净值错误处理。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由于不可抗力原因，或由于证券交易所及登记结算公司</w:t>
      </w:r>
      <w:r w:rsidRPr="007759F2">
        <w:rPr>
          <w:rFonts w:asciiTheme="minorEastAsia" w:eastAsiaTheme="minorEastAsia" w:hAnsiTheme="minorEastAsia" w:hint="eastAsia"/>
          <w:bCs/>
          <w:kern w:val="0"/>
          <w:szCs w:val="21"/>
        </w:rPr>
        <w:t>及存款银行等第三方机构</w:t>
      </w:r>
      <w:r w:rsidRPr="007759F2">
        <w:rPr>
          <w:rFonts w:asciiTheme="minorEastAsia" w:eastAsiaTheme="minorEastAsia" w:hAnsiTheme="minorEastAsia" w:hint="eastAsia"/>
          <w:kern w:val="0"/>
          <w:szCs w:val="21"/>
        </w:rPr>
        <w:t>发送的数据错误，</w:t>
      </w:r>
      <w:r w:rsidRPr="007759F2">
        <w:rPr>
          <w:rFonts w:asciiTheme="minorEastAsia" w:eastAsiaTheme="minorEastAsia" w:hAnsiTheme="minorEastAsia" w:hint="eastAsia"/>
          <w:bCs/>
          <w:kern w:val="0"/>
          <w:szCs w:val="21"/>
        </w:rPr>
        <w:t>或国家会计政策变更、市场规则变更等非基金管理人与基金托管人原因，</w:t>
      </w:r>
      <w:r w:rsidRPr="007759F2">
        <w:rPr>
          <w:rFonts w:asciiTheme="minorEastAsia" w:eastAsiaTheme="minorEastAsia" w:hAnsiTheme="minorEastAsia" w:hint="eastAsia"/>
          <w:kern w:val="0"/>
          <w:szCs w:val="21"/>
        </w:rPr>
        <w:t>基金管理人和基金托管人虽然已经采取必要、适当、合理的措施进行检查，但未能发现错误的，由此造成的基金财产估值错误，基金管理人和基金托管人可以免除赔偿责任。但基金管理人、基金托管人应当积极采取必要的措施消除由此造成的影响。</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3、估值错误的处理方式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基金管理人和基金托管人将采取必要、适当、合理的措施确保基金资产估值的准确性、及时性。当基金份额净值小数点后3位以内(含第3位)发生估值差错时，视为估值错误。</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本托管协议的当事人应按照以下约定处理：</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（1）估值错误类型</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lastRenderedPageBreak/>
        <w:t>上述估值错误的主要类型包括但不限于：资料申报差错、数据传输差错、数据计算差错、系统故障差错、下达指令差错等。</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（2）估值错误处理原则</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2）估值错误的责任方对有关当事人的直接损失负责，不对间接损失负责，并且仅对估值错误的有关直接当事人负责，不对第三方负责。</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4）估值错误调整采用尽量恢复至假设未发生估值错误的正确情形的方式。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（3）估值错误处理程序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估值错误被发现后，有关的当事人应当及时进行处理，处理的程序如下：</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1）查明估值错误发生的原因，列明所有的当事人，并根据估值错误发生的原因确定估值错误的责任方；</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2）根据估值错误处理原则或当事人协商的方法对因估值错误造成的损失进行评估；</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3）根据估值错误处理原则或当事人协商的方法由估值错误的责任方进行更正和赔偿损失；</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4）根据估值错误处理的方法，需要修改基金登记机构交易数据的，由基金登记机构进行更正，并就估值错误的更正向有关当事人进行确认。</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（4）基金份额净值估值错误处理的方法如下：</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1）基金份额净值计算出现错误时，基金管理人应当立即予以纠正，通报基金托管人，并采取合理的措施防止损失进一步扩大。</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2）错误偏差达到基金份额净值的0.25%时，基金管理人应当通报基金托管人；错误偏差达到基金份额净值的0.5%时，基金管理人应当公告，并报中国证监会备案。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bCs/>
          <w:kern w:val="0"/>
          <w:szCs w:val="21"/>
        </w:rPr>
        <w:t>3）前述内容如法律法规或监管机关另有规定的，从其规定处理。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4、暂停估值与公告基金份额净值的情形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（1）基金投资所涉及的证券交易市场遇法定节假日或因其他原因暂停营业时；</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（2）因不可抗力致使基金管理人、基金托管人无法准确评估基金资产价值时；</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（3）当前一估值日基金资产净值50%以上的资产出现无可参考的活跃市场价格且采用估值技术仍导致公允价值存在重大不确定性时，经与基金托管人协商一致的；</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（4）中国证监会和基金合同认定的其他情形。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5、基金会计制度</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按国家有关部门规定的会计制度执行。</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6、基金账册的建立</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7、基金财务报表与报告的编制和复核</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（1）财务报表的编制</w:t>
      </w:r>
    </w:p>
    <w:p w:rsidR="00EA3355" w:rsidRPr="007759F2" w:rsidRDefault="00CD234C" w:rsidP="00EA3355">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基金管理人应当及时编制并对外提供真实、完整的基金财务会计报告。月度报表的编制，基金管理人应于每月终了后5工作日内完成；</w:t>
      </w:r>
      <w:r w:rsidR="00EA3355" w:rsidRPr="007759F2">
        <w:rPr>
          <w:rFonts w:asciiTheme="minorEastAsia" w:eastAsiaTheme="minorEastAsia" w:hAnsiTheme="minorEastAsia" w:hint="eastAsia"/>
          <w:bCs/>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EA3355" w:rsidRPr="007759F2">
        <w:rPr>
          <w:rFonts w:asciiTheme="minorEastAsia" w:eastAsiaTheme="minorEastAsia" w:hAnsiTheme="minorEastAsia" w:hint="eastAsia"/>
          <w:kern w:val="0"/>
          <w:szCs w:val="21"/>
        </w:rPr>
        <w:t>季度报告应在季度结束之日起</w:t>
      </w:r>
      <w:r w:rsidR="00EA3355" w:rsidRPr="007759F2">
        <w:rPr>
          <w:rFonts w:asciiTheme="minorEastAsia" w:eastAsiaTheme="minorEastAsia" w:hAnsiTheme="minorEastAsia"/>
          <w:kern w:val="0"/>
          <w:szCs w:val="21"/>
        </w:rPr>
        <w:t>15</w:t>
      </w:r>
      <w:r w:rsidR="00EA3355" w:rsidRPr="007759F2">
        <w:rPr>
          <w:rFonts w:asciiTheme="minorEastAsia" w:eastAsiaTheme="minorEastAsia" w:hAnsiTheme="minorEastAsia" w:hint="eastAsia"/>
          <w:kern w:val="0"/>
          <w:szCs w:val="21"/>
        </w:rPr>
        <w:t>个工作日内完成季度报告编制并予以公告；中期报告在上半年结束之日</w:t>
      </w:r>
      <w:r w:rsidR="00EA3355" w:rsidRPr="007759F2">
        <w:rPr>
          <w:rFonts w:asciiTheme="minorEastAsia" w:eastAsiaTheme="minorEastAsia" w:hAnsiTheme="minorEastAsia"/>
          <w:kern w:val="0"/>
          <w:szCs w:val="21"/>
        </w:rPr>
        <w:t>起</w:t>
      </w:r>
      <w:r w:rsidR="00EA3355" w:rsidRPr="007759F2">
        <w:rPr>
          <w:rFonts w:asciiTheme="minorEastAsia" w:eastAsiaTheme="minorEastAsia" w:hAnsiTheme="minorEastAsia" w:hint="eastAsia"/>
          <w:kern w:val="0"/>
          <w:szCs w:val="21"/>
        </w:rPr>
        <w:t>两个月内完成中期报告编制并予以公告；年度报告在每年结束之日起三个月内完成年度报告编制并予以公告。基金年度报告的财务会计报告应当经过审计。基金合同生效不足</w:t>
      </w:r>
      <w:r w:rsidR="00EA3355" w:rsidRPr="007759F2">
        <w:rPr>
          <w:rFonts w:asciiTheme="minorEastAsia" w:eastAsiaTheme="minorEastAsia" w:hAnsiTheme="minorEastAsia"/>
          <w:kern w:val="0"/>
          <w:szCs w:val="21"/>
        </w:rPr>
        <w:t>2</w:t>
      </w:r>
      <w:r w:rsidR="00EA3355" w:rsidRPr="007759F2">
        <w:rPr>
          <w:rFonts w:asciiTheme="minorEastAsia" w:eastAsiaTheme="minorEastAsia" w:hAnsiTheme="minorEastAsia" w:hint="eastAsia"/>
          <w:kern w:val="0"/>
          <w:szCs w:val="21"/>
        </w:rPr>
        <w:t>个月的，基金管理人可以不编制当期季度报告、中期报告或者年度报告。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（2）报表复核</w:t>
      </w:r>
    </w:p>
    <w:p w:rsidR="00EA3355" w:rsidRPr="007759F2" w:rsidRDefault="00EA3355" w:rsidP="00EA3355">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基金管理人在月度报表完成当日，将报表盖章后提供给基金托管人复核；基金托管人在收到后应在</w:t>
      </w:r>
      <w:r w:rsidRPr="007759F2">
        <w:rPr>
          <w:rFonts w:asciiTheme="minorEastAsia" w:eastAsiaTheme="minorEastAsia" w:hAnsiTheme="minorEastAsia"/>
          <w:kern w:val="0"/>
          <w:szCs w:val="21"/>
        </w:rPr>
        <w:t>3个工作日内进行复核。基金管理人在季度报告完成当日，将有关报告提供给基金托管人复核，基金托管人应在收到后7个工作日内完成复核。基金管理人在中期报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rsidR="00EA3355" w:rsidRPr="007759F2" w:rsidRDefault="00EA3355" w:rsidP="00EA3355">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基金托管人在复核过程中，发现双方的报表存在不符时，基金管理人和基金托管人应共同查明原因，进行调整，调整以双方认可的账务处理方式为准；若双方无法达成一致，以基</w:t>
      </w:r>
      <w:r w:rsidRPr="007759F2">
        <w:rPr>
          <w:rFonts w:asciiTheme="minorEastAsia" w:eastAsiaTheme="minorEastAsia" w:hAnsiTheme="minorEastAsia" w:hint="eastAsia"/>
          <w:kern w:val="0"/>
          <w:szCs w:val="21"/>
        </w:rPr>
        <w:lastRenderedPageBreak/>
        <w:t>金管理人的账务处理为准。核对无误后，基金托管人向基金管理人进行书面或者电子确认。如果基金管理人与基金托管人不能于应当发布公告之日之前就相关报表达成一致，基金管理人有权按照其编制的报表对外发布公告，基金托管人有权就相关情况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8、基金管理人应在编制季度报告、</w:t>
      </w:r>
      <w:r w:rsidR="00EA3355" w:rsidRPr="007759F2">
        <w:rPr>
          <w:rFonts w:asciiTheme="minorEastAsia" w:eastAsiaTheme="minorEastAsia" w:hAnsiTheme="minorEastAsia" w:hint="eastAsia"/>
          <w:kern w:val="0"/>
          <w:szCs w:val="21"/>
        </w:rPr>
        <w:t>中期</w:t>
      </w:r>
      <w:r w:rsidRPr="007759F2">
        <w:rPr>
          <w:rFonts w:asciiTheme="minorEastAsia" w:eastAsiaTheme="minorEastAsia" w:hAnsiTheme="minorEastAsia" w:hint="eastAsia"/>
          <w:kern w:val="0"/>
          <w:szCs w:val="21"/>
        </w:rPr>
        <w:t>报告或者年度报告之前向基金托管人提供基金业绩比较基准的基础数据和编制结果。</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（六）基金份额持有人名册的登记与保管</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基金份额持有人名册由登记机构编制，由基金管理人审核并提交基金托管人保管。基金托管人有权要求基金管理人提供基金份额持有人名册，基金管理人应及时提供，不得拖延或拒绝提供。</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（七）争议解决方式</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争议处理期间，双方当事人应恪守基金管理人和基金托管人职责，各自继续忠实、勤勉、尽责地履行基金合同和本托管协议规定的义务，维护基金份额持有人的合法权益。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本协议适用中华人民共和国法律并从其解释。</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（八）托管协议的修改与终止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1、托管协议的变更程序</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本协议双方当事人经协商一致，可以对协议进行修改。修改后的新协议，其内容不得与基金合同的规定有任何冲突。基金托管协议的变更应报中国证监会备案。</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2、基金托管协议终止的情形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lastRenderedPageBreak/>
        <w:t>（1）基金合同终止；</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（2）基金托管人解散、依法被撤销、破产或由其他基金托管人接管基金资产；</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（3）基金管理人解散、依法被撤销、破产或由其他基金管理人接管基金管理权；</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kern w:val="0"/>
          <w:szCs w:val="21"/>
        </w:rPr>
        <w:t>（4）发生法律法规或基金合同规定的终止事项。</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3、基金财产的清算</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（1）基金财产清算小组：自出现《基金合同》终止事由之日起30个工作日内成立清算小组，基金管理人组织基金财产清算小组并在中国证监会的监督下进行基金清算。</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（3）基金财产清算小组职责：基金财产清算小组负责基金财产的保管、清理、估价、变现和分配。基金财产清算小组可以依法进行必要的民事活动。</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（4）基金财产清算程序：</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1）《基金合同》终止情形出现时，由基金财产清算小组统一接管基金；</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2）对基金财产和债权债务进行清理和确认；</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3）对基金财产进行估值和变现；</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4）制作清算报告；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5）聘请会计师事务所对清算报告进行外部审计，聘请律师事务所对清算报告出具法律意见书；</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6）将清算报告报中国证监会备案并公告；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7）对基金剩余财产进行分配。</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（5）基金财产清算的期限为6个月，但因本基金所持证券的流动性受到限制而不能及时变现的，清算期限相应顺延。</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4、清算费用</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清算费用是指基金财产清算小组在进行基金清算过程中发生的所有合理费用，清算费用由基金财产清算小组优先从基金财产中支付。</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5、基金财产清算剩余资产的分配</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依据基金财产清算的分配方案，将基金财产清算后的全部剩余资产扣除基金财产清算费用、交纳所欠税款并清偿基金债务后，按基金份额持有人持有的基金份额比例进行分配。</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6、基金财产清算的公告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D234C" w:rsidRPr="007759F2" w:rsidRDefault="00CD234C" w:rsidP="00CD234C">
      <w:pPr>
        <w:snapToGrid w:val="0"/>
        <w:spacing w:line="360" w:lineRule="auto"/>
        <w:ind w:firstLineChars="200" w:firstLine="420"/>
        <w:rPr>
          <w:rFonts w:asciiTheme="minorEastAsia" w:eastAsiaTheme="minorEastAsia" w:hAnsiTheme="minorEastAsia"/>
          <w:bCs/>
          <w:kern w:val="0"/>
          <w:szCs w:val="21"/>
        </w:rPr>
      </w:pPr>
      <w:r w:rsidRPr="007759F2">
        <w:rPr>
          <w:rFonts w:asciiTheme="minorEastAsia" w:eastAsiaTheme="minorEastAsia" w:hAnsiTheme="minorEastAsia" w:hint="eastAsia"/>
          <w:bCs/>
          <w:kern w:val="0"/>
          <w:szCs w:val="21"/>
        </w:rPr>
        <w:t>7、基金财产清算账册及文件的保存</w:t>
      </w:r>
    </w:p>
    <w:p w:rsidR="00CD234C" w:rsidRPr="007759F2" w:rsidRDefault="00CD234C" w:rsidP="00CD234C">
      <w:pPr>
        <w:snapToGrid w:val="0"/>
        <w:spacing w:line="360" w:lineRule="auto"/>
        <w:ind w:firstLineChars="200" w:firstLine="420"/>
        <w:rPr>
          <w:rFonts w:asciiTheme="minorEastAsia" w:eastAsiaTheme="minorEastAsia" w:hAnsiTheme="minorEastAsia"/>
          <w:kern w:val="0"/>
          <w:szCs w:val="21"/>
        </w:rPr>
      </w:pPr>
      <w:r w:rsidRPr="007759F2">
        <w:rPr>
          <w:rFonts w:asciiTheme="minorEastAsia" w:eastAsiaTheme="minorEastAsia" w:hAnsiTheme="minorEastAsia" w:hint="eastAsia"/>
          <w:bCs/>
          <w:kern w:val="0"/>
          <w:szCs w:val="21"/>
        </w:rPr>
        <w:lastRenderedPageBreak/>
        <w:t>基金财产清算账册及有关文件由基金托管人保存15年以上。</w:t>
      </w:r>
    </w:p>
    <w:p w:rsidR="00CD234C" w:rsidRPr="007759F2" w:rsidRDefault="00CD234C" w:rsidP="00CD234C">
      <w:pPr>
        <w:pStyle w:val="1"/>
        <w:pageBreakBefore/>
        <w:snapToGrid w:val="0"/>
        <w:spacing w:before="317" w:after="317" w:line="360" w:lineRule="auto"/>
        <w:ind w:firstLine="600"/>
        <w:rPr>
          <w:rFonts w:asciiTheme="minorEastAsia" w:eastAsiaTheme="minorEastAsia" w:hAnsiTheme="minorEastAsia"/>
          <w:bCs/>
        </w:rPr>
      </w:pPr>
      <w:bookmarkStart w:id="109" w:name="_Toc43380868"/>
      <w:bookmarkStart w:id="110" w:name="_Toc332373591"/>
      <w:r w:rsidRPr="007759F2">
        <w:rPr>
          <w:rFonts w:asciiTheme="minorEastAsia" w:eastAsiaTheme="minorEastAsia" w:hAnsiTheme="minorEastAsia" w:hint="eastAsia"/>
          <w:sz w:val="30"/>
        </w:rPr>
        <w:lastRenderedPageBreak/>
        <w:t>二十三、对基金份额持有人的服务</w:t>
      </w:r>
      <w:bookmarkEnd w:id="109"/>
    </w:p>
    <w:bookmarkEnd w:id="110"/>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（一）基金份额持有人投资交易确认服务</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注册登记机构保留基金份额持有人名册上列明的所有基金份额持有人的基金交易记录。</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基金管理人直销网点应根据在基金管理人直销网点进行交易的投资者的要求提供成交确认单。基金非直销销售机构应根据在其销售网点进行交易的投资者的要求提供成交确认单。</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（二）基金份额持有人交易记录查询服务</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本基金份额持有人可通过基金管理人的客户服务中心查询历史交易记录。</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（三）基金份额持有人的对账单服务</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1、基金份额持有人可登录本公司网站</w:t>
      </w:r>
      <w:r w:rsidRPr="007759F2">
        <w:rPr>
          <w:rFonts w:asciiTheme="minorEastAsia" w:eastAsiaTheme="minorEastAsia" w:hAnsiTheme="minorEastAsia" w:hint="eastAsia"/>
          <w:kern w:val="0"/>
          <w:szCs w:val="21"/>
        </w:rPr>
        <w:t>（http://www.efunds.com.cn）</w:t>
      </w:r>
      <w:r w:rsidRPr="007759F2">
        <w:rPr>
          <w:rFonts w:asciiTheme="minorEastAsia" w:eastAsiaTheme="minorEastAsia" w:hAnsiTheme="minorEastAsia" w:hint="eastAsia"/>
        </w:rPr>
        <w:t>查阅对账单。</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2、基金份额持有人也可向本公司定制电子对账单。</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具体查阅和定制账单的方法可参见本公司网站或拨打客服热线咨询。</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（四）定期定额投资计划</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kern w:val="0"/>
        </w:rPr>
        <w:t>基金管理人可利用非直销销售机构网点和本公司网上交易系统为投资者提供定期定额投资的</w:t>
      </w:r>
      <w:r w:rsidRPr="007759F2">
        <w:rPr>
          <w:rFonts w:asciiTheme="minorEastAsia" w:eastAsiaTheme="minorEastAsia" w:hAnsiTheme="minorEastAsia" w:hint="eastAsia"/>
          <w:kern w:val="0"/>
          <w:szCs w:val="21"/>
        </w:rPr>
        <w:t>服务（本公司网上交易系统的定期定额投资服务目前仅对个人投资者开通）。</w:t>
      </w:r>
      <w:r w:rsidRPr="007759F2">
        <w:rPr>
          <w:rFonts w:asciiTheme="minorEastAsia" w:eastAsiaTheme="minorEastAsia" w:hAnsiTheme="minorEastAsia" w:hint="eastAsia"/>
        </w:rPr>
        <w:t>通过定期定额投资计划，投资者可以通过固定的渠道，定期定额申购基金份额，具体实施方法见有关公告。</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（五）资讯服务</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1、客户服务电话</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kern w:val="0"/>
          <w:szCs w:val="21"/>
        </w:rPr>
        <w:t>投资者如果想了解申购与赎回的交易情况、基金账户余额、基金产品与服务等信息，</w:t>
      </w:r>
      <w:r w:rsidRPr="007759F2">
        <w:rPr>
          <w:rFonts w:asciiTheme="minorEastAsia" w:eastAsiaTheme="minorEastAsia" w:hAnsiTheme="minorEastAsia" w:hint="eastAsia"/>
          <w:kern w:val="0"/>
        </w:rPr>
        <w:t>或反馈投资过程中需要投诉与建议的情况</w:t>
      </w:r>
      <w:r w:rsidRPr="007759F2">
        <w:rPr>
          <w:rFonts w:asciiTheme="minorEastAsia" w:eastAsiaTheme="minorEastAsia" w:hAnsiTheme="minorEastAsia" w:hint="eastAsia"/>
        </w:rPr>
        <w:t>，可拨打如下电话：4008818088（免长途话费）。</w:t>
      </w:r>
      <w:r w:rsidRPr="007759F2">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rPr>
        <w:t>2、互联网站及电子信箱</w:t>
      </w:r>
    </w:p>
    <w:p w:rsidR="00CD234C" w:rsidRPr="007759F2" w:rsidRDefault="00CD234C" w:rsidP="00CD234C">
      <w:pPr>
        <w:snapToGrid w:val="0"/>
        <w:spacing w:line="360" w:lineRule="auto"/>
        <w:ind w:firstLineChars="200" w:firstLine="420"/>
        <w:rPr>
          <w:rFonts w:asciiTheme="minorEastAsia" w:eastAsiaTheme="minorEastAsia" w:hAnsiTheme="minorEastAsia"/>
          <w:szCs w:val="21"/>
        </w:rPr>
      </w:pPr>
      <w:r w:rsidRPr="007759F2">
        <w:rPr>
          <w:rFonts w:asciiTheme="minorEastAsia" w:eastAsiaTheme="minorEastAsia" w:hAnsiTheme="minorEastAsia" w:hint="eastAsia"/>
          <w:szCs w:val="21"/>
        </w:rPr>
        <w:t>网址：http://www.efunds.com.cn</w:t>
      </w:r>
    </w:p>
    <w:p w:rsidR="00CD234C" w:rsidRPr="007759F2" w:rsidRDefault="00CD234C" w:rsidP="00CD234C">
      <w:pPr>
        <w:pStyle w:val="ac"/>
        <w:autoSpaceDE w:val="0"/>
        <w:autoSpaceDN w:val="0"/>
        <w:adjustRightInd w:val="0"/>
        <w:snapToGrid w:val="0"/>
        <w:spacing w:after="0" w:line="360" w:lineRule="auto"/>
        <w:ind w:firstLineChars="200"/>
        <w:rPr>
          <w:rFonts w:asciiTheme="minorEastAsia" w:eastAsiaTheme="minorEastAsia" w:hAnsiTheme="minorEastAsia"/>
        </w:rPr>
      </w:pPr>
      <w:r w:rsidRPr="007759F2">
        <w:rPr>
          <w:rFonts w:asciiTheme="minorEastAsia" w:eastAsiaTheme="minorEastAsia" w:hAnsiTheme="minorEastAsia" w:hint="eastAsia"/>
          <w:szCs w:val="21"/>
        </w:rPr>
        <w:t>电子信箱：service@efunds.com.cn</w:t>
      </w:r>
    </w:p>
    <w:p w:rsidR="00CD234C" w:rsidRPr="007759F2" w:rsidRDefault="00CD234C" w:rsidP="00CD234C">
      <w:pPr>
        <w:pStyle w:val="1"/>
        <w:pageBreakBefore/>
        <w:snapToGrid w:val="0"/>
        <w:spacing w:before="317" w:after="317" w:line="360" w:lineRule="auto"/>
        <w:ind w:firstLineChars="850" w:firstLine="2550"/>
        <w:jc w:val="both"/>
        <w:rPr>
          <w:rFonts w:asciiTheme="minorEastAsia" w:eastAsiaTheme="minorEastAsia" w:hAnsiTheme="minorEastAsia"/>
        </w:rPr>
      </w:pPr>
      <w:bookmarkStart w:id="111" w:name="_Toc332373592"/>
      <w:bookmarkStart w:id="112" w:name="_Toc43380869"/>
      <w:r w:rsidRPr="007759F2">
        <w:rPr>
          <w:rFonts w:asciiTheme="minorEastAsia" w:eastAsiaTheme="minorEastAsia" w:hAnsiTheme="minorEastAsia" w:hint="eastAsia"/>
          <w:sz w:val="30"/>
        </w:rPr>
        <w:lastRenderedPageBreak/>
        <w:t>二十四、其他应披露事项</w:t>
      </w:r>
      <w:bookmarkEnd w:id="111"/>
      <w:bookmarkEnd w:id="112"/>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11"/>
      </w:tblGrid>
      <w:tr w:rsidR="007759F2" w:rsidRPr="007759F2" w:rsidTr="005C5135">
        <w:trPr>
          <w:trHeight w:val="765"/>
        </w:trPr>
        <w:tc>
          <w:tcPr>
            <w:tcW w:w="6912" w:type="dxa"/>
            <w:tcBorders>
              <w:top w:val="single" w:sz="4" w:space="0" w:color="auto"/>
              <w:left w:val="single" w:sz="4" w:space="0" w:color="auto"/>
              <w:bottom w:val="single" w:sz="4" w:space="0" w:color="auto"/>
              <w:right w:val="single" w:sz="4" w:space="0" w:color="auto"/>
            </w:tcBorders>
            <w:vAlign w:val="center"/>
            <w:hideMark/>
          </w:tcPr>
          <w:p w:rsidR="00DC3833" w:rsidRPr="007759F2" w:rsidRDefault="00677BF5" w:rsidP="00167E97">
            <w:pPr>
              <w:spacing w:line="360" w:lineRule="auto"/>
              <w:ind w:firstLineChars="200" w:firstLine="420"/>
              <w:jc w:val="center"/>
              <w:rPr>
                <w:rFonts w:asciiTheme="minorEastAsia" w:eastAsiaTheme="minorEastAsia" w:hAnsiTheme="minorEastAsia"/>
                <w:szCs w:val="21"/>
              </w:rPr>
            </w:pPr>
            <w:r w:rsidRPr="007759F2">
              <w:rPr>
                <w:rFonts w:asciiTheme="minorEastAsia" w:eastAsiaTheme="minorEastAsia" w:hAnsiTheme="minorEastAsia" w:hint="eastAsia"/>
                <w:szCs w:val="21"/>
              </w:rPr>
              <w:t>公告事项</w:t>
            </w:r>
          </w:p>
        </w:tc>
        <w:tc>
          <w:tcPr>
            <w:tcW w:w="1511" w:type="dxa"/>
            <w:tcBorders>
              <w:top w:val="single" w:sz="4" w:space="0" w:color="auto"/>
              <w:left w:val="single" w:sz="4" w:space="0" w:color="auto"/>
              <w:bottom w:val="single" w:sz="4" w:space="0" w:color="auto"/>
              <w:right w:val="single" w:sz="4" w:space="0" w:color="auto"/>
            </w:tcBorders>
            <w:vAlign w:val="center"/>
            <w:hideMark/>
          </w:tcPr>
          <w:p w:rsidR="00DC3833" w:rsidRPr="007759F2" w:rsidRDefault="00677BF5" w:rsidP="008B1EB8">
            <w:pPr>
              <w:spacing w:line="360" w:lineRule="auto"/>
              <w:jc w:val="center"/>
              <w:rPr>
                <w:rFonts w:asciiTheme="minorEastAsia" w:eastAsiaTheme="minorEastAsia" w:hAnsiTheme="minorEastAsia"/>
                <w:szCs w:val="21"/>
              </w:rPr>
            </w:pPr>
            <w:r w:rsidRPr="007759F2">
              <w:rPr>
                <w:rFonts w:asciiTheme="minorEastAsia" w:eastAsiaTheme="minorEastAsia" w:hAnsiTheme="minorEastAsia" w:hint="eastAsia"/>
                <w:szCs w:val="21"/>
              </w:rPr>
              <w:t>披露日期</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易方达瑞景灵活配置混合型证券投资基金基金经理变更公告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2019-07-03</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易方达基金管理有限公司关于旗下部分开放式基金参加云南红塔银行费率优惠活动的公告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2019-07-05</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易方达基金管理有限公司关于旗下部分开放式基金增加广发银行为销售机构的公告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2019-07-10</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易方达基金管理有限公司关于旗下部分开放式基金参加安信证券定期定额投资费率优惠活动的公告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2019-07-15</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易方达基金管理有限公司关于易方达瑞景灵活配置混合型证券投资基金在非直销销售机构、网上直销系统暂停大额申购、大额转换转入业务及在直销中心调整申购及转换转入业务金额限制的公告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2019-07-26</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易方达基金管理有限公司关于旗下部分开放式基金参加海通证券费率优惠活动的公告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2019-08-12</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易方达基金管理有限公司关于旗下部分开放式基金参加销售机构申购费率优惠活动的公告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2019-08-13</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易方达基金管理有限公司关于暂停北京中期时代基金销售有限公司办理旗下基金相关销售业务的公告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2019-08-13</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易方达基金管理有限公司关于暂停北京加和基金销售有限公司办理旗下基金相关销售业务的公告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易方达基金管理有限公司关于暂停上海凯石财富基金销售有限公司办理旗下基金相关销售业务的公告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易方达基金管理有限公司关于暂停厦门市鑫鼎盛控股有限公司办理旗下基金相关销售业务的公告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2019-08-14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易方达基金管理有限公司关于旗下部分开放式基金参加潍坊银行费率优惠活动的公告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2019-08-26</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易方达基金管理有限公司旗下部分开放式基金增加微众银行为销售机构、参加微众银行费率优惠活动的公告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2019-09-11</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易方达基金管理有限公司旗下部分开放式基金参加东莞农村商业银行费率优惠活动的公告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2019-09-17</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易方达基金管理有限公司关于延长旗下部分开放式基金在直销中心开展赎回费率优惠活动时间的公告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2019-09-26</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易方达基金管理有限公司旗下基金季度报告提示性公告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2019-10-24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易方达瑞景灵活配置混合型证券投资基金在非直销销售机构、网上直销系统调整大额申购、大额转换转入业务金额限制及在直销中心调整申购及转换转入业务金额限制的公告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2019-10-24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易方达基金管理有限公司关于聘任基金经理助理的公告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2019-10-30</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易方达基金管理有限公司旗下部分开放式基金增加中邮证券为销售机构的公告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2019-11-25</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lastRenderedPageBreak/>
              <w:t>易方达基金管理有限公司旗下部分开放式基金参加中国邮政储蓄银行个人网上银行和手机银行申购费率优惠活动的公告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2019-12-30</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易方达基金管理有限公司关于公司股权变更的公告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2019-12-31</w:t>
            </w:r>
          </w:p>
        </w:tc>
      </w:tr>
      <w:tr w:rsidR="007759F2" w:rsidRPr="007759F2" w:rsidTr="007759F2">
        <w:tc>
          <w:tcPr>
            <w:tcW w:w="6912" w:type="dxa"/>
            <w:vAlign w:val="bottom"/>
          </w:tcPr>
          <w:p w:rsidR="00677BF5" w:rsidRPr="007759F2" w:rsidRDefault="00677BF5" w:rsidP="007759F2">
            <w:pPr>
              <w:autoSpaceDE w:val="0"/>
              <w:autoSpaceDN w:val="0"/>
              <w:adjustRightInd w:val="0"/>
              <w:jc w:val="left"/>
              <w:rPr>
                <w:rFonts w:asciiTheme="minorEastAsia" w:eastAsiaTheme="minorEastAsia" w:hAnsiTheme="minorEastAsia"/>
                <w:szCs w:val="21"/>
              </w:rPr>
            </w:pPr>
            <w:r w:rsidRPr="007759F2">
              <w:rPr>
                <w:rFonts w:asciiTheme="minorEastAsia" w:eastAsiaTheme="minorEastAsia" w:hAnsiTheme="minorEastAsia" w:cs="宋体" w:hint="eastAsia"/>
                <w:kern w:val="0"/>
                <w:szCs w:val="21"/>
              </w:rPr>
              <w:t>易方达基金管理有限公司关于易方达瑞景灵活配置混合型证券投资基金根据《公开募集证券投资基金信息披露管理办法》修订基金合同、托管协议部分条款的公告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2019-12-31</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易方达基金管理有限公司旗下部分开放式基金参加苏州银行费率优惠活动的公告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szCs w:val="21"/>
              </w:rPr>
            </w:pPr>
            <w:r w:rsidRPr="007759F2">
              <w:rPr>
                <w:rFonts w:asciiTheme="minorEastAsia" w:eastAsiaTheme="minorEastAsia" w:hAnsiTheme="minorEastAsia" w:hint="eastAsia"/>
                <w:szCs w:val="21"/>
              </w:rPr>
              <w:t>2019-12-31</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易方达基金管理有限公司旗下基金2019年第4季度报告提示性公告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2020-01-18</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易方达基金管理有限公司旗下部分开放式基金参加泉州银行费率优惠活动的公告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2020-01-23</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易方达基金管理有限公司关于旗下基金2020年1月31日不开放申购、赎回、转换、定期定额投资等业务的提示性公告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2020-01-30</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易方达基金管理有限公司及全资子公司投资旗下基金相关事宜的公告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2020-02-04</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易方达基金管理有限公司旗下部分开放式基金参加中金公司费率优惠活动的公告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2020-03-05</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易方达基金管理有限公司旗下部分开放式基金参加百度百盈费率优惠活动的公告</w:t>
            </w:r>
          </w:p>
        </w:tc>
        <w:tc>
          <w:tcPr>
            <w:tcW w:w="1511" w:type="dxa"/>
            <w:vAlign w:val="center"/>
          </w:tcPr>
          <w:p w:rsidR="00677BF5" w:rsidRPr="007759F2" w:rsidRDefault="00677BF5" w:rsidP="007759F2">
            <w:pPr>
              <w:autoSpaceDE w:val="0"/>
              <w:autoSpaceDN w:val="0"/>
              <w:adjustRightInd w:val="0"/>
              <w:jc w:val="center"/>
              <w:rPr>
                <w:rFonts w:asciiTheme="minorEastAsia" w:eastAsiaTheme="minorEastAsia" w:hAnsiTheme="minorEastAsia"/>
              </w:rPr>
            </w:pPr>
            <w:r w:rsidRPr="007759F2">
              <w:rPr>
                <w:rFonts w:asciiTheme="minorEastAsia" w:eastAsiaTheme="minorEastAsia" w:hAnsiTheme="minorEastAsia" w:cs="宋体"/>
                <w:kern w:val="0"/>
                <w:szCs w:val="21"/>
              </w:rPr>
              <w:t>2020-03-10</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易方达基金管理有限公司旗下部分开放式基金增加华瑞保险销售为销售机构、参加华瑞保险销售费率优惠活动的公告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2020-03-23</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易方达基金管理有限公司关于提醒投资者及时提供或更新身份信息资料的公告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2020-04-10</w:t>
            </w:r>
          </w:p>
        </w:tc>
      </w:tr>
      <w:tr w:rsidR="007759F2" w:rsidRPr="007759F2" w:rsidTr="007759F2">
        <w:tc>
          <w:tcPr>
            <w:tcW w:w="6912" w:type="dxa"/>
            <w:vAlign w:val="bottom"/>
          </w:tcPr>
          <w:p w:rsidR="00677BF5" w:rsidRPr="007759F2" w:rsidRDefault="00677BF5" w:rsidP="007759F2">
            <w:pPr>
              <w:autoSpaceDE w:val="0"/>
              <w:autoSpaceDN w:val="0"/>
              <w:adjustRightInd w:val="0"/>
              <w:jc w:val="left"/>
              <w:rPr>
                <w:rFonts w:asciiTheme="minorEastAsia" w:eastAsiaTheme="minorEastAsia" w:hAnsiTheme="minorEastAsia"/>
              </w:rPr>
            </w:pPr>
            <w:r w:rsidRPr="007759F2">
              <w:rPr>
                <w:rFonts w:asciiTheme="minorEastAsia" w:eastAsiaTheme="minorEastAsia" w:hAnsiTheme="minorEastAsia" w:cs="宋体" w:hint="eastAsia"/>
                <w:kern w:val="0"/>
                <w:szCs w:val="21"/>
              </w:rPr>
              <w:t>易方达基金管理有限公司旗下部分开放式基金参加诺亚正行费率优惠活动的公告</w:t>
            </w:r>
            <w:bookmarkStart w:id="113" w:name="_GoBack"/>
            <w:bookmarkEnd w:id="113"/>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2020-04-17</w:t>
            </w:r>
          </w:p>
        </w:tc>
      </w:tr>
      <w:tr w:rsidR="007759F2" w:rsidRPr="007759F2" w:rsidTr="007759F2">
        <w:tc>
          <w:tcPr>
            <w:tcW w:w="6912" w:type="dxa"/>
            <w:vAlign w:val="bottom"/>
          </w:tcPr>
          <w:p w:rsidR="00677BF5" w:rsidRPr="007759F2" w:rsidRDefault="00677BF5" w:rsidP="00677BF5">
            <w:pPr>
              <w:jc w:val="left"/>
              <w:rPr>
                <w:rFonts w:asciiTheme="minorEastAsia" w:eastAsiaTheme="minorEastAsia" w:hAnsiTheme="minorEastAsia"/>
              </w:rPr>
            </w:pPr>
            <w:r w:rsidRPr="007759F2">
              <w:rPr>
                <w:rFonts w:asciiTheme="minorEastAsia" w:eastAsiaTheme="minorEastAsia" w:hAnsiTheme="minorEastAsia" w:hint="eastAsia"/>
                <w:szCs w:val="21"/>
              </w:rPr>
              <w:t>易方达基金管理有限公司旗下部分开放式基金增加金海九州为销售机构、参加金海九州费率优惠活动的公告</w:t>
            </w:r>
          </w:p>
        </w:tc>
        <w:tc>
          <w:tcPr>
            <w:tcW w:w="1511" w:type="dxa"/>
            <w:vAlign w:val="center"/>
          </w:tcPr>
          <w:p w:rsidR="00677BF5" w:rsidRPr="007759F2" w:rsidRDefault="00677BF5" w:rsidP="007759F2">
            <w:pPr>
              <w:jc w:val="center"/>
              <w:rPr>
                <w:rFonts w:asciiTheme="minorEastAsia" w:eastAsiaTheme="minorEastAsia" w:hAnsiTheme="minorEastAsia"/>
              </w:rPr>
            </w:pPr>
            <w:r w:rsidRPr="007759F2">
              <w:rPr>
                <w:rFonts w:asciiTheme="minorEastAsia" w:eastAsiaTheme="minorEastAsia" w:hAnsiTheme="minorEastAsia" w:hint="eastAsia"/>
                <w:szCs w:val="21"/>
              </w:rPr>
              <w:t>2020-04-28</w:t>
            </w:r>
          </w:p>
        </w:tc>
      </w:tr>
      <w:tr w:rsidR="006E0A15" w:rsidRPr="007759F2" w:rsidTr="006E0A15">
        <w:tc>
          <w:tcPr>
            <w:tcW w:w="6912" w:type="dxa"/>
            <w:vAlign w:val="bottom"/>
          </w:tcPr>
          <w:p w:rsidR="006E0A15" w:rsidRPr="00955816" w:rsidRDefault="006E0A15" w:rsidP="006E0A15">
            <w:pPr>
              <w:jc w:val="left"/>
              <w:rPr>
                <w:rFonts w:asciiTheme="minorEastAsia" w:eastAsiaTheme="minorEastAsia" w:hAnsiTheme="minorEastAsia"/>
                <w:szCs w:val="21"/>
              </w:rPr>
            </w:pPr>
            <w:r w:rsidRPr="002E44BC">
              <w:rPr>
                <w:rFonts w:asciiTheme="minorEastAsia" w:eastAsiaTheme="minorEastAsia" w:hAnsiTheme="minorEastAsia" w:hint="eastAsia"/>
                <w:color w:val="000000"/>
                <w:szCs w:val="21"/>
              </w:rPr>
              <w:t>易方达基金管理有限公司旗下部分开放式基金参加中金公司申购费率优惠活动的公告</w:t>
            </w:r>
          </w:p>
        </w:tc>
        <w:tc>
          <w:tcPr>
            <w:tcW w:w="1511" w:type="dxa"/>
            <w:vAlign w:val="center"/>
          </w:tcPr>
          <w:p w:rsidR="006E0A15" w:rsidRPr="00955816" w:rsidRDefault="006E0A15" w:rsidP="006E0A15">
            <w:pPr>
              <w:jc w:val="center"/>
              <w:rPr>
                <w:rFonts w:asciiTheme="minorEastAsia" w:eastAsiaTheme="minorEastAsia" w:hAnsiTheme="minorEastAsia"/>
                <w:szCs w:val="21"/>
              </w:rPr>
            </w:pPr>
            <w:r w:rsidRPr="006E0A15">
              <w:rPr>
                <w:rFonts w:asciiTheme="minorEastAsia" w:eastAsiaTheme="minorEastAsia" w:hAnsiTheme="minorEastAsia"/>
                <w:szCs w:val="21"/>
              </w:rPr>
              <w:t>2020-05-14</w:t>
            </w:r>
          </w:p>
        </w:tc>
      </w:tr>
    </w:tbl>
    <w:p w:rsidR="00CD234C" w:rsidRPr="007759F2" w:rsidRDefault="00A008FA" w:rsidP="00CD234C">
      <w:pPr>
        <w:snapToGrid w:val="0"/>
        <w:spacing w:line="360" w:lineRule="auto"/>
        <w:rPr>
          <w:rFonts w:asciiTheme="minorEastAsia" w:eastAsiaTheme="minorEastAsia" w:hAnsiTheme="minorEastAsia"/>
          <w:szCs w:val="21"/>
        </w:rPr>
      </w:pPr>
      <w:r w:rsidRPr="007759F2">
        <w:rPr>
          <w:rFonts w:asciiTheme="minorEastAsia" w:eastAsiaTheme="minorEastAsia" w:hAnsiTheme="minorEastAsia" w:hint="eastAsia"/>
          <w:szCs w:val="21"/>
        </w:rPr>
        <w:t>注：以上公告事项披露在指定媒介及基金管理人网站上。</w:t>
      </w:r>
    </w:p>
    <w:p w:rsidR="00CD234C" w:rsidRPr="007759F2" w:rsidRDefault="00CD234C" w:rsidP="00CD234C">
      <w:pPr>
        <w:snapToGrid w:val="0"/>
        <w:spacing w:line="360" w:lineRule="auto"/>
        <w:rPr>
          <w:rFonts w:asciiTheme="minorEastAsia" w:eastAsiaTheme="minorEastAsia" w:hAnsiTheme="minorEastAsia"/>
          <w:szCs w:val="21"/>
        </w:rPr>
      </w:pPr>
    </w:p>
    <w:p w:rsidR="00CD234C" w:rsidRPr="007759F2" w:rsidRDefault="00CD234C" w:rsidP="00CD234C">
      <w:pPr>
        <w:widowControl/>
        <w:spacing w:beforeAutospacing="1" w:afterAutospacing="1" w:line="360" w:lineRule="auto"/>
        <w:jc w:val="left"/>
        <w:rPr>
          <w:rFonts w:asciiTheme="minorEastAsia" w:eastAsiaTheme="minorEastAsia" w:hAnsiTheme="minorEastAsia"/>
          <w:szCs w:val="21"/>
        </w:rPr>
        <w:sectPr w:rsidR="00CD234C" w:rsidRPr="007759F2" w:rsidSect="007759F2">
          <w:pgSz w:w="11906" w:h="16838"/>
          <w:pgMar w:top="1440" w:right="1803" w:bottom="1440" w:left="1803" w:header="851" w:footer="992" w:gutter="0"/>
          <w:cols w:space="720"/>
          <w:docGrid w:type="lines" w:linePitch="317"/>
        </w:sectPr>
      </w:pPr>
    </w:p>
    <w:p w:rsidR="00CD234C" w:rsidRPr="007759F2" w:rsidRDefault="00CD234C" w:rsidP="00CD234C">
      <w:pPr>
        <w:pStyle w:val="1"/>
        <w:snapToGrid w:val="0"/>
        <w:spacing w:before="317" w:after="317" w:line="360" w:lineRule="auto"/>
        <w:ind w:firstLine="600"/>
        <w:rPr>
          <w:rFonts w:asciiTheme="minorEastAsia" w:eastAsiaTheme="minorEastAsia" w:hAnsiTheme="minorEastAsia"/>
          <w:bCs/>
          <w:szCs w:val="20"/>
        </w:rPr>
      </w:pPr>
      <w:bookmarkStart w:id="114" w:name="_Toc43380870"/>
      <w:bookmarkStart w:id="115" w:name="_Toc332373593"/>
      <w:r w:rsidRPr="007759F2">
        <w:rPr>
          <w:rFonts w:asciiTheme="minorEastAsia" w:eastAsiaTheme="minorEastAsia" w:hAnsiTheme="minorEastAsia" w:hint="eastAsia"/>
          <w:sz w:val="30"/>
        </w:rPr>
        <w:lastRenderedPageBreak/>
        <w:t>二十五、招募说明书的存放及查阅方式</w:t>
      </w:r>
      <w:bookmarkEnd w:id="114"/>
    </w:p>
    <w:bookmarkEnd w:id="115"/>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本招募说明书存放在基金管理人、基金托管人及其他基金销售机构处，投资者可在营业时间免费查阅，也可按工本费购买复印件。</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基金管理人和基金托管人保证文本的内容与公告的内容完全一致。</w:t>
      </w: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rPr>
          <w:rFonts w:asciiTheme="minorEastAsia" w:eastAsiaTheme="minorEastAsia" w:hAnsiTheme="minorEastAsia"/>
        </w:rPr>
      </w:pPr>
    </w:p>
    <w:p w:rsidR="00CD234C" w:rsidRPr="007759F2" w:rsidRDefault="00CD234C" w:rsidP="00CD234C">
      <w:pPr>
        <w:jc w:val="center"/>
        <w:rPr>
          <w:rFonts w:asciiTheme="minorEastAsia" w:eastAsiaTheme="minorEastAsia" w:hAnsiTheme="minorEastAsia"/>
        </w:rPr>
      </w:pPr>
    </w:p>
    <w:p w:rsidR="00CD234C" w:rsidRPr="007759F2" w:rsidRDefault="00CD234C" w:rsidP="00CD234C">
      <w:pPr>
        <w:pStyle w:val="1"/>
        <w:snapToGrid w:val="0"/>
        <w:spacing w:before="317" w:after="317" w:line="360" w:lineRule="auto"/>
        <w:ind w:firstLine="640"/>
        <w:rPr>
          <w:rFonts w:asciiTheme="minorEastAsia" w:eastAsiaTheme="minorEastAsia" w:hAnsiTheme="minorEastAsia"/>
          <w:bCs/>
          <w:szCs w:val="20"/>
        </w:rPr>
      </w:pPr>
      <w:r w:rsidRPr="007759F2">
        <w:rPr>
          <w:rFonts w:asciiTheme="minorEastAsia" w:eastAsiaTheme="minorEastAsia" w:hAnsiTheme="minorEastAsia" w:hint="eastAsia"/>
        </w:rPr>
        <w:br w:type="column"/>
      </w:r>
      <w:bookmarkStart w:id="116" w:name="_Toc43380871"/>
      <w:bookmarkStart w:id="117" w:name="_Toc332373594"/>
      <w:r w:rsidRPr="007759F2">
        <w:rPr>
          <w:rFonts w:asciiTheme="minorEastAsia" w:eastAsiaTheme="minorEastAsia" w:hAnsiTheme="minorEastAsia" w:hint="eastAsia"/>
          <w:sz w:val="30"/>
        </w:rPr>
        <w:lastRenderedPageBreak/>
        <w:t>二十六、备查文件</w:t>
      </w:r>
      <w:bookmarkEnd w:id="116"/>
    </w:p>
    <w:bookmarkEnd w:id="117"/>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1、中国证监会准予易方达瑞景灵活配置混合型证券投资基金注册的文件；</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2、《易方达瑞景灵活配置混合型证券投资基金基金合同》；</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3、《易方达瑞景灵活配置混合型证券投资基金托管协议》；</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4、《易方达基金管理有限公司开放式基金业务规则》；</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5、法律意见书；</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6、基金管理人业务资格批件、营业执照；</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7、基金托管人业务资格批件、营业执照。</w:t>
      </w:r>
    </w:p>
    <w:p w:rsidR="00CD234C" w:rsidRPr="007759F2" w:rsidRDefault="00CD234C" w:rsidP="00CD234C">
      <w:pPr>
        <w:snapToGrid w:val="0"/>
        <w:spacing w:line="360" w:lineRule="auto"/>
        <w:ind w:firstLineChars="200" w:firstLine="420"/>
        <w:rPr>
          <w:rFonts w:asciiTheme="minorEastAsia" w:eastAsiaTheme="minorEastAsia" w:hAnsiTheme="minorEastAsia"/>
        </w:rPr>
      </w:pPr>
      <w:r w:rsidRPr="007759F2">
        <w:rPr>
          <w:rFonts w:asciiTheme="minorEastAsia" w:eastAsiaTheme="minorEastAsia" w:hAnsiTheme="minorEastAsia" w:hint="eastAsia"/>
        </w:rPr>
        <w:t>存放地点：基金管理人、基金托管人处</w:t>
      </w:r>
    </w:p>
    <w:p w:rsidR="00CD234C" w:rsidRPr="007759F2" w:rsidRDefault="00CD234C" w:rsidP="00CD234C">
      <w:pPr>
        <w:pStyle w:val="a6"/>
        <w:snapToGrid w:val="0"/>
        <w:spacing w:line="360" w:lineRule="auto"/>
        <w:ind w:firstLine="420"/>
        <w:rPr>
          <w:rFonts w:asciiTheme="minorEastAsia" w:eastAsiaTheme="minorEastAsia" w:hAnsiTheme="minorEastAsia"/>
          <w:sz w:val="21"/>
        </w:rPr>
      </w:pPr>
      <w:r w:rsidRPr="007759F2">
        <w:rPr>
          <w:rFonts w:asciiTheme="minorEastAsia" w:eastAsiaTheme="minorEastAsia" w:hAnsiTheme="minorEastAsia" w:hint="eastAsia"/>
          <w:sz w:val="21"/>
        </w:rPr>
        <w:t>查阅方式：投资者可在营业时间免费查阅，也可按工本费购买复印件。</w:t>
      </w:r>
    </w:p>
    <w:p w:rsidR="00CD234C" w:rsidRPr="007759F2" w:rsidRDefault="00CD234C" w:rsidP="00CD234C">
      <w:pPr>
        <w:pStyle w:val="a6"/>
        <w:snapToGrid w:val="0"/>
        <w:spacing w:line="360" w:lineRule="auto"/>
        <w:ind w:firstLine="420"/>
        <w:rPr>
          <w:rFonts w:asciiTheme="minorEastAsia" w:eastAsiaTheme="minorEastAsia" w:hAnsiTheme="minorEastAsia"/>
          <w:sz w:val="21"/>
        </w:rPr>
      </w:pPr>
    </w:p>
    <w:p w:rsidR="00CD234C" w:rsidRPr="007759F2" w:rsidRDefault="00CD234C" w:rsidP="00CD234C">
      <w:pPr>
        <w:pStyle w:val="a6"/>
        <w:snapToGrid w:val="0"/>
        <w:spacing w:line="360" w:lineRule="auto"/>
        <w:ind w:firstLine="420"/>
        <w:rPr>
          <w:rFonts w:asciiTheme="minorEastAsia" w:eastAsiaTheme="minorEastAsia" w:hAnsiTheme="minorEastAsia"/>
          <w:sz w:val="21"/>
        </w:rPr>
      </w:pPr>
    </w:p>
    <w:p w:rsidR="00CD234C" w:rsidRPr="007759F2" w:rsidRDefault="00CD234C" w:rsidP="00CD234C">
      <w:pPr>
        <w:snapToGrid w:val="0"/>
        <w:spacing w:line="360" w:lineRule="auto"/>
        <w:ind w:firstLineChars="200" w:firstLine="420"/>
        <w:jc w:val="right"/>
        <w:rPr>
          <w:rFonts w:asciiTheme="minorEastAsia" w:eastAsiaTheme="minorEastAsia" w:hAnsiTheme="minorEastAsia"/>
          <w:szCs w:val="21"/>
        </w:rPr>
      </w:pPr>
      <w:r w:rsidRPr="007759F2">
        <w:rPr>
          <w:rFonts w:asciiTheme="minorEastAsia" w:eastAsiaTheme="minorEastAsia" w:hAnsiTheme="minorEastAsia" w:hint="eastAsia"/>
          <w:szCs w:val="21"/>
        </w:rPr>
        <w:t>易方达基金管理有限公司</w:t>
      </w:r>
    </w:p>
    <w:p w:rsidR="00BA4B87" w:rsidRPr="007759F2" w:rsidRDefault="00677BF5" w:rsidP="005C5135">
      <w:pPr>
        <w:jc w:val="right"/>
        <w:rPr>
          <w:rFonts w:asciiTheme="minorEastAsia" w:eastAsiaTheme="minorEastAsia" w:hAnsiTheme="minorEastAsia"/>
        </w:rPr>
      </w:pPr>
      <w:bookmarkStart w:id="118" w:name="_Toc38438350"/>
      <w:bookmarkStart w:id="119" w:name="_Toc38438687"/>
      <w:bookmarkStart w:id="120" w:name="_Toc38439024"/>
      <w:bookmarkStart w:id="121" w:name="_Toc38439361"/>
      <w:bookmarkStart w:id="122" w:name="_Toc38439698"/>
      <w:bookmarkStart w:id="123" w:name="_Toc38440035"/>
      <w:bookmarkStart w:id="124" w:name="_Toc38440372"/>
      <w:bookmarkStart w:id="125" w:name="_Toc38440904"/>
      <w:bookmarkStart w:id="126" w:name="_Toc38441236"/>
      <w:bookmarkStart w:id="127" w:name="_Toc38441568"/>
      <w:bookmarkStart w:id="128" w:name="_Toc38441896"/>
      <w:bookmarkStart w:id="129" w:name="_Toc38442228"/>
      <w:bookmarkStart w:id="130" w:name="_Toc38442560"/>
      <w:bookmarkStart w:id="131" w:name="_Toc38442891"/>
      <w:bookmarkStart w:id="132" w:name="_Toc38443222"/>
      <w:bookmarkStart w:id="133" w:name="_Toc38443553"/>
      <w:bookmarkStart w:id="134" w:name="_Toc38443883"/>
      <w:bookmarkStart w:id="135" w:name="_Toc38438351"/>
      <w:bookmarkStart w:id="136" w:name="_Toc38438688"/>
      <w:bookmarkStart w:id="137" w:name="_Toc38439025"/>
      <w:bookmarkStart w:id="138" w:name="_Toc38439362"/>
      <w:bookmarkStart w:id="139" w:name="_Toc38439699"/>
      <w:bookmarkStart w:id="140" w:name="_Toc38440036"/>
      <w:bookmarkStart w:id="141" w:name="_Toc38440373"/>
      <w:bookmarkStart w:id="142" w:name="_Toc38440905"/>
      <w:bookmarkStart w:id="143" w:name="_Toc38441237"/>
      <w:bookmarkStart w:id="144" w:name="_Toc38441569"/>
      <w:bookmarkStart w:id="145" w:name="_Toc38441897"/>
      <w:bookmarkStart w:id="146" w:name="_Toc38442229"/>
      <w:bookmarkStart w:id="147" w:name="_Toc38442561"/>
      <w:bookmarkStart w:id="148" w:name="_Toc38442892"/>
      <w:bookmarkStart w:id="149" w:name="_Toc38443223"/>
      <w:bookmarkStart w:id="150" w:name="_Toc38443554"/>
      <w:bookmarkStart w:id="151" w:name="_Toc38443884"/>
      <w:bookmarkStart w:id="152" w:name="_Toc38438352"/>
      <w:bookmarkStart w:id="153" w:name="_Toc38438689"/>
      <w:bookmarkStart w:id="154" w:name="_Toc38439026"/>
      <w:bookmarkStart w:id="155" w:name="_Toc38439363"/>
      <w:bookmarkStart w:id="156" w:name="_Toc38439700"/>
      <w:bookmarkStart w:id="157" w:name="_Toc38440037"/>
      <w:bookmarkStart w:id="158" w:name="_Toc38440374"/>
      <w:bookmarkStart w:id="159" w:name="_Toc38440906"/>
      <w:bookmarkStart w:id="160" w:name="_Toc38441238"/>
      <w:bookmarkStart w:id="161" w:name="_Toc38441570"/>
      <w:bookmarkStart w:id="162" w:name="_Toc38441898"/>
      <w:bookmarkStart w:id="163" w:name="_Toc38442230"/>
      <w:bookmarkStart w:id="164" w:name="_Toc38442562"/>
      <w:bookmarkStart w:id="165" w:name="_Toc38442893"/>
      <w:bookmarkStart w:id="166" w:name="_Toc38443224"/>
      <w:bookmarkStart w:id="167" w:name="_Toc38443555"/>
      <w:bookmarkStart w:id="168" w:name="_Toc38443885"/>
      <w:bookmarkStart w:id="169" w:name="_Toc38438353"/>
      <w:bookmarkStart w:id="170" w:name="_Toc38438690"/>
      <w:bookmarkStart w:id="171" w:name="_Toc38439027"/>
      <w:bookmarkStart w:id="172" w:name="_Toc38439364"/>
      <w:bookmarkStart w:id="173" w:name="_Toc38439701"/>
      <w:bookmarkStart w:id="174" w:name="_Toc38440038"/>
      <w:bookmarkStart w:id="175" w:name="_Toc38440375"/>
      <w:bookmarkStart w:id="176" w:name="_Toc38440907"/>
      <w:bookmarkStart w:id="177" w:name="_Toc38441239"/>
      <w:bookmarkStart w:id="178" w:name="_Toc38441571"/>
      <w:bookmarkStart w:id="179" w:name="_Toc38441899"/>
      <w:bookmarkStart w:id="180" w:name="_Toc38442231"/>
      <w:bookmarkStart w:id="181" w:name="_Toc38442563"/>
      <w:bookmarkStart w:id="182" w:name="_Toc38442894"/>
      <w:bookmarkStart w:id="183" w:name="_Toc38443225"/>
      <w:bookmarkStart w:id="184" w:name="_Toc38443556"/>
      <w:bookmarkStart w:id="185" w:name="_Toc38443886"/>
      <w:bookmarkStart w:id="186" w:name="_Toc38438354"/>
      <w:bookmarkStart w:id="187" w:name="_Toc38438691"/>
      <w:bookmarkStart w:id="188" w:name="_Toc38439028"/>
      <w:bookmarkStart w:id="189" w:name="_Toc38439365"/>
      <w:bookmarkStart w:id="190" w:name="_Toc38439702"/>
      <w:bookmarkStart w:id="191" w:name="_Toc38440039"/>
      <w:bookmarkStart w:id="192" w:name="_Toc38440376"/>
      <w:bookmarkStart w:id="193" w:name="_Toc38440908"/>
      <w:bookmarkStart w:id="194" w:name="_Toc38441240"/>
      <w:bookmarkStart w:id="195" w:name="_Toc38441572"/>
      <w:bookmarkStart w:id="196" w:name="_Toc38441900"/>
      <w:bookmarkStart w:id="197" w:name="_Toc38442232"/>
      <w:bookmarkStart w:id="198" w:name="_Toc38442564"/>
      <w:bookmarkStart w:id="199" w:name="_Toc38442895"/>
      <w:bookmarkStart w:id="200" w:name="_Toc38443226"/>
      <w:bookmarkStart w:id="201" w:name="_Toc38443557"/>
      <w:bookmarkStart w:id="202" w:name="_Toc38443887"/>
      <w:bookmarkStart w:id="203" w:name="_Toc38438355"/>
      <w:bookmarkStart w:id="204" w:name="_Toc38438692"/>
      <w:bookmarkStart w:id="205" w:name="_Toc38439029"/>
      <w:bookmarkStart w:id="206" w:name="_Toc38439366"/>
      <w:bookmarkStart w:id="207" w:name="_Toc38439703"/>
      <w:bookmarkStart w:id="208" w:name="_Toc38440040"/>
      <w:bookmarkStart w:id="209" w:name="_Toc38440377"/>
      <w:bookmarkStart w:id="210" w:name="_Toc38440909"/>
      <w:bookmarkStart w:id="211" w:name="_Toc38441241"/>
      <w:bookmarkStart w:id="212" w:name="_Toc38441573"/>
      <w:bookmarkStart w:id="213" w:name="_Toc38441901"/>
      <w:bookmarkStart w:id="214" w:name="_Toc38442233"/>
      <w:bookmarkStart w:id="215" w:name="_Toc38442565"/>
      <w:bookmarkStart w:id="216" w:name="_Toc38442896"/>
      <w:bookmarkStart w:id="217" w:name="_Toc38443227"/>
      <w:bookmarkStart w:id="218" w:name="_Toc38443558"/>
      <w:bookmarkStart w:id="219" w:name="_Toc38443888"/>
      <w:bookmarkStart w:id="220" w:name="_Toc38438356"/>
      <w:bookmarkStart w:id="221" w:name="_Toc38438693"/>
      <w:bookmarkStart w:id="222" w:name="_Toc38439030"/>
      <w:bookmarkStart w:id="223" w:name="_Toc38439367"/>
      <w:bookmarkStart w:id="224" w:name="_Toc38439704"/>
      <w:bookmarkStart w:id="225" w:name="_Toc38440041"/>
      <w:bookmarkStart w:id="226" w:name="_Toc38440378"/>
      <w:bookmarkStart w:id="227" w:name="_Toc38440910"/>
      <w:bookmarkStart w:id="228" w:name="_Toc38441242"/>
      <w:bookmarkStart w:id="229" w:name="_Toc38441574"/>
      <w:bookmarkStart w:id="230" w:name="_Toc38441902"/>
      <w:bookmarkStart w:id="231" w:name="_Toc38442234"/>
      <w:bookmarkStart w:id="232" w:name="_Toc38442566"/>
      <w:bookmarkStart w:id="233" w:name="_Toc38442897"/>
      <w:bookmarkStart w:id="234" w:name="_Toc38443228"/>
      <w:bookmarkStart w:id="235" w:name="_Toc38443559"/>
      <w:bookmarkStart w:id="236" w:name="_Toc38443889"/>
      <w:bookmarkStart w:id="237" w:name="_Toc38438357"/>
      <w:bookmarkStart w:id="238" w:name="_Toc38438694"/>
      <w:bookmarkStart w:id="239" w:name="_Toc38439031"/>
      <w:bookmarkStart w:id="240" w:name="_Toc38439368"/>
      <w:bookmarkStart w:id="241" w:name="_Toc38439705"/>
      <w:bookmarkStart w:id="242" w:name="_Toc38440042"/>
      <w:bookmarkStart w:id="243" w:name="_Toc38440379"/>
      <w:bookmarkStart w:id="244" w:name="_Toc38440911"/>
      <w:bookmarkStart w:id="245" w:name="_Toc38441243"/>
      <w:bookmarkStart w:id="246" w:name="_Toc38441575"/>
      <w:bookmarkStart w:id="247" w:name="_Toc38441903"/>
      <w:bookmarkStart w:id="248" w:name="_Toc38442235"/>
      <w:bookmarkStart w:id="249" w:name="_Toc38442567"/>
      <w:bookmarkStart w:id="250" w:name="_Toc38442898"/>
      <w:bookmarkStart w:id="251" w:name="_Toc38443229"/>
      <w:bookmarkStart w:id="252" w:name="_Toc38443560"/>
      <w:bookmarkStart w:id="253" w:name="_Toc38443890"/>
      <w:bookmarkStart w:id="254" w:name="_Toc38438358"/>
      <w:bookmarkStart w:id="255" w:name="_Toc38438695"/>
      <w:bookmarkStart w:id="256" w:name="_Toc38439032"/>
      <w:bookmarkStart w:id="257" w:name="_Toc38439369"/>
      <w:bookmarkStart w:id="258" w:name="_Toc38439706"/>
      <w:bookmarkStart w:id="259" w:name="_Toc38440043"/>
      <w:bookmarkStart w:id="260" w:name="_Toc38440380"/>
      <w:bookmarkStart w:id="261" w:name="_Toc38440912"/>
      <w:bookmarkStart w:id="262" w:name="_Toc38441244"/>
      <w:bookmarkStart w:id="263" w:name="_Toc38441576"/>
      <w:bookmarkStart w:id="264" w:name="_Toc38441904"/>
      <w:bookmarkStart w:id="265" w:name="_Toc38442236"/>
      <w:bookmarkStart w:id="266" w:name="_Toc38442568"/>
      <w:bookmarkStart w:id="267" w:name="_Toc38442899"/>
      <w:bookmarkStart w:id="268" w:name="_Toc38443230"/>
      <w:bookmarkStart w:id="269" w:name="_Toc38443561"/>
      <w:bookmarkStart w:id="270" w:name="_Toc38443891"/>
      <w:bookmarkStart w:id="271" w:name="_Toc38438359"/>
      <w:bookmarkStart w:id="272" w:name="_Toc38438696"/>
      <w:bookmarkStart w:id="273" w:name="_Toc38439033"/>
      <w:bookmarkStart w:id="274" w:name="_Toc38439370"/>
      <w:bookmarkStart w:id="275" w:name="_Toc38439707"/>
      <w:bookmarkStart w:id="276" w:name="_Toc38440044"/>
      <w:bookmarkStart w:id="277" w:name="_Toc38440381"/>
      <w:bookmarkStart w:id="278" w:name="_Toc38440913"/>
      <w:bookmarkStart w:id="279" w:name="_Toc38441245"/>
      <w:bookmarkStart w:id="280" w:name="_Toc38441577"/>
      <w:bookmarkStart w:id="281" w:name="_Toc38441905"/>
      <w:bookmarkStart w:id="282" w:name="_Toc38442237"/>
      <w:bookmarkStart w:id="283" w:name="_Toc38442569"/>
      <w:bookmarkStart w:id="284" w:name="_Toc38442900"/>
      <w:bookmarkStart w:id="285" w:name="_Toc38443231"/>
      <w:bookmarkStart w:id="286" w:name="_Toc38443562"/>
      <w:bookmarkStart w:id="287" w:name="_Toc38443892"/>
      <w:bookmarkStart w:id="288" w:name="_Toc38438360"/>
      <w:bookmarkStart w:id="289" w:name="_Toc38438697"/>
      <w:bookmarkStart w:id="290" w:name="_Toc38439034"/>
      <w:bookmarkStart w:id="291" w:name="_Toc38439371"/>
      <w:bookmarkStart w:id="292" w:name="_Toc38439708"/>
      <w:bookmarkStart w:id="293" w:name="_Toc38440045"/>
      <w:bookmarkStart w:id="294" w:name="_Toc38440382"/>
      <w:bookmarkStart w:id="295" w:name="_Toc38440914"/>
      <w:bookmarkStart w:id="296" w:name="_Toc38441246"/>
      <w:bookmarkStart w:id="297" w:name="_Toc38441578"/>
      <w:bookmarkStart w:id="298" w:name="_Toc38441906"/>
      <w:bookmarkStart w:id="299" w:name="_Toc38442238"/>
      <w:bookmarkStart w:id="300" w:name="_Toc38442570"/>
      <w:bookmarkStart w:id="301" w:name="_Toc38442901"/>
      <w:bookmarkStart w:id="302" w:name="_Toc38443232"/>
      <w:bookmarkStart w:id="303" w:name="_Toc38443563"/>
      <w:bookmarkStart w:id="304" w:name="_Toc38443893"/>
      <w:bookmarkStart w:id="305" w:name="_Toc38438361"/>
      <w:bookmarkStart w:id="306" w:name="_Toc38438698"/>
      <w:bookmarkStart w:id="307" w:name="_Toc38439035"/>
      <w:bookmarkStart w:id="308" w:name="_Toc38439372"/>
      <w:bookmarkStart w:id="309" w:name="_Toc38439709"/>
      <w:bookmarkStart w:id="310" w:name="_Toc38440046"/>
      <w:bookmarkStart w:id="311" w:name="_Toc38440383"/>
      <w:bookmarkStart w:id="312" w:name="_Toc38440915"/>
      <w:bookmarkStart w:id="313" w:name="_Toc38441247"/>
      <w:bookmarkStart w:id="314" w:name="_Toc38441579"/>
      <w:bookmarkStart w:id="315" w:name="_Toc38441907"/>
      <w:bookmarkStart w:id="316" w:name="_Toc38442239"/>
      <w:bookmarkStart w:id="317" w:name="_Toc38442571"/>
      <w:bookmarkStart w:id="318" w:name="_Toc38442902"/>
      <w:bookmarkStart w:id="319" w:name="_Toc38443233"/>
      <w:bookmarkStart w:id="320" w:name="_Toc38443564"/>
      <w:bookmarkStart w:id="321" w:name="_Toc38443894"/>
      <w:bookmarkStart w:id="322" w:name="_Toc38438362"/>
      <w:bookmarkStart w:id="323" w:name="_Toc38438699"/>
      <w:bookmarkStart w:id="324" w:name="_Toc38439036"/>
      <w:bookmarkStart w:id="325" w:name="_Toc38439373"/>
      <w:bookmarkStart w:id="326" w:name="_Toc38439710"/>
      <w:bookmarkStart w:id="327" w:name="_Toc38440047"/>
      <w:bookmarkStart w:id="328" w:name="_Toc38440384"/>
      <w:bookmarkStart w:id="329" w:name="_Toc38440916"/>
      <w:bookmarkStart w:id="330" w:name="_Toc38441248"/>
      <w:bookmarkStart w:id="331" w:name="_Toc38441580"/>
      <w:bookmarkStart w:id="332" w:name="_Toc38441908"/>
      <w:bookmarkStart w:id="333" w:name="_Toc38442240"/>
      <w:bookmarkStart w:id="334" w:name="_Toc38442572"/>
      <w:bookmarkStart w:id="335" w:name="_Toc38442903"/>
      <w:bookmarkStart w:id="336" w:name="_Toc38443234"/>
      <w:bookmarkStart w:id="337" w:name="_Toc38443565"/>
      <w:bookmarkStart w:id="338" w:name="_Toc38443895"/>
      <w:bookmarkStart w:id="339" w:name="_Toc38438363"/>
      <w:bookmarkStart w:id="340" w:name="_Toc38438700"/>
      <w:bookmarkStart w:id="341" w:name="_Toc38439037"/>
      <w:bookmarkStart w:id="342" w:name="_Toc38439374"/>
      <w:bookmarkStart w:id="343" w:name="_Toc38439711"/>
      <w:bookmarkStart w:id="344" w:name="_Toc38440048"/>
      <w:bookmarkStart w:id="345" w:name="_Toc38440385"/>
      <w:bookmarkStart w:id="346" w:name="_Toc38440917"/>
      <w:bookmarkStart w:id="347" w:name="_Toc38441249"/>
      <w:bookmarkStart w:id="348" w:name="_Toc38441581"/>
      <w:bookmarkStart w:id="349" w:name="_Toc38441909"/>
      <w:bookmarkStart w:id="350" w:name="_Toc38442241"/>
      <w:bookmarkStart w:id="351" w:name="_Toc38442573"/>
      <w:bookmarkStart w:id="352" w:name="_Toc38442904"/>
      <w:bookmarkStart w:id="353" w:name="_Toc38443235"/>
      <w:bookmarkStart w:id="354" w:name="_Toc38443566"/>
      <w:bookmarkStart w:id="355" w:name="_Toc38443896"/>
      <w:bookmarkStart w:id="356" w:name="_Toc38438364"/>
      <w:bookmarkStart w:id="357" w:name="_Toc38438701"/>
      <w:bookmarkStart w:id="358" w:name="_Toc38439038"/>
      <w:bookmarkStart w:id="359" w:name="_Toc38439375"/>
      <w:bookmarkStart w:id="360" w:name="_Toc38439712"/>
      <w:bookmarkStart w:id="361" w:name="_Toc38440049"/>
      <w:bookmarkStart w:id="362" w:name="_Toc38440386"/>
      <w:bookmarkStart w:id="363" w:name="_Toc38440918"/>
      <w:bookmarkStart w:id="364" w:name="_Toc38441250"/>
      <w:bookmarkStart w:id="365" w:name="_Toc38441582"/>
      <w:bookmarkStart w:id="366" w:name="_Toc38441910"/>
      <w:bookmarkStart w:id="367" w:name="_Toc38442242"/>
      <w:bookmarkStart w:id="368" w:name="_Toc38442574"/>
      <w:bookmarkStart w:id="369" w:name="_Toc38442905"/>
      <w:bookmarkStart w:id="370" w:name="_Toc38443236"/>
      <w:bookmarkStart w:id="371" w:name="_Toc38443567"/>
      <w:bookmarkStart w:id="372" w:name="_Toc38443897"/>
      <w:bookmarkStart w:id="373" w:name="_Toc38438365"/>
      <w:bookmarkStart w:id="374" w:name="_Toc38438702"/>
      <w:bookmarkStart w:id="375" w:name="_Toc38439039"/>
      <w:bookmarkStart w:id="376" w:name="_Toc38439376"/>
      <w:bookmarkStart w:id="377" w:name="_Toc38439713"/>
      <w:bookmarkStart w:id="378" w:name="_Toc38440050"/>
      <w:bookmarkStart w:id="379" w:name="_Toc38440387"/>
      <w:bookmarkStart w:id="380" w:name="_Toc38440919"/>
      <w:bookmarkStart w:id="381" w:name="_Toc38441251"/>
      <w:bookmarkStart w:id="382" w:name="_Toc38441583"/>
      <w:bookmarkStart w:id="383" w:name="_Toc38441911"/>
      <w:bookmarkStart w:id="384" w:name="_Toc38442243"/>
      <w:bookmarkStart w:id="385" w:name="_Toc38442575"/>
      <w:bookmarkStart w:id="386" w:name="_Toc38442906"/>
      <w:bookmarkStart w:id="387" w:name="_Toc38443237"/>
      <w:bookmarkStart w:id="388" w:name="_Toc38443568"/>
      <w:bookmarkStart w:id="389" w:name="_Toc38443898"/>
      <w:bookmarkStart w:id="390" w:name="_Toc38438366"/>
      <w:bookmarkStart w:id="391" w:name="_Toc38438703"/>
      <w:bookmarkStart w:id="392" w:name="_Toc38439040"/>
      <w:bookmarkStart w:id="393" w:name="_Toc38439377"/>
      <w:bookmarkStart w:id="394" w:name="_Toc38439714"/>
      <w:bookmarkStart w:id="395" w:name="_Toc38440051"/>
      <w:bookmarkStart w:id="396" w:name="_Toc38440388"/>
      <w:bookmarkStart w:id="397" w:name="_Toc38440920"/>
      <w:bookmarkStart w:id="398" w:name="_Toc38441252"/>
      <w:bookmarkStart w:id="399" w:name="_Toc38441584"/>
      <w:bookmarkStart w:id="400" w:name="_Toc38441912"/>
      <w:bookmarkStart w:id="401" w:name="_Toc38442244"/>
      <w:bookmarkStart w:id="402" w:name="_Toc38442576"/>
      <w:bookmarkStart w:id="403" w:name="_Toc38442907"/>
      <w:bookmarkStart w:id="404" w:name="_Toc38443238"/>
      <w:bookmarkStart w:id="405" w:name="_Toc38443569"/>
      <w:bookmarkStart w:id="406" w:name="_Toc38443899"/>
      <w:bookmarkStart w:id="407" w:name="_Toc38438367"/>
      <w:bookmarkStart w:id="408" w:name="_Toc38438704"/>
      <w:bookmarkStart w:id="409" w:name="_Toc38439041"/>
      <w:bookmarkStart w:id="410" w:name="_Toc38439378"/>
      <w:bookmarkStart w:id="411" w:name="_Toc38439715"/>
      <w:bookmarkStart w:id="412" w:name="_Toc38440052"/>
      <w:bookmarkStart w:id="413" w:name="_Toc38440389"/>
      <w:bookmarkStart w:id="414" w:name="_Toc38440921"/>
      <w:bookmarkStart w:id="415" w:name="_Toc38441253"/>
      <w:bookmarkStart w:id="416" w:name="_Toc38441585"/>
      <w:bookmarkStart w:id="417" w:name="_Toc38441913"/>
      <w:bookmarkStart w:id="418" w:name="_Toc38442245"/>
      <w:bookmarkStart w:id="419" w:name="_Toc38442577"/>
      <w:bookmarkStart w:id="420" w:name="_Toc38442908"/>
      <w:bookmarkStart w:id="421" w:name="_Toc38443239"/>
      <w:bookmarkStart w:id="422" w:name="_Toc38443570"/>
      <w:bookmarkStart w:id="423" w:name="_Toc38443900"/>
      <w:bookmarkStart w:id="424" w:name="_Toc38438368"/>
      <w:bookmarkStart w:id="425" w:name="_Toc38438705"/>
      <w:bookmarkStart w:id="426" w:name="_Toc38439042"/>
      <w:bookmarkStart w:id="427" w:name="_Toc38439379"/>
      <w:bookmarkStart w:id="428" w:name="_Toc38439716"/>
      <w:bookmarkStart w:id="429" w:name="_Toc38440053"/>
      <w:bookmarkStart w:id="430" w:name="_Toc38440390"/>
      <w:bookmarkStart w:id="431" w:name="_Toc38440922"/>
      <w:bookmarkStart w:id="432" w:name="_Toc38441254"/>
      <w:bookmarkStart w:id="433" w:name="_Toc38441586"/>
      <w:bookmarkStart w:id="434" w:name="_Toc38441914"/>
      <w:bookmarkStart w:id="435" w:name="_Toc38442246"/>
      <w:bookmarkStart w:id="436" w:name="_Toc38442578"/>
      <w:bookmarkStart w:id="437" w:name="_Toc38442909"/>
      <w:bookmarkStart w:id="438" w:name="_Toc38443240"/>
      <w:bookmarkStart w:id="439" w:name="_Toc38443571"/>
      <w:bookmarkStart w:id="440" w:name="_Toc38443901"/>
      <w:bookmarkStart w:id="441" w:name="_Toc38438369"/>
      <w:bookmarkStart w:id="442" w:name="_Toc38438706"/>
      <w:bookmarkStart w:id="443" w:name="_Toc38439043"/>
      <w:bookmarkStart w:id="444" w:name="_Toc38439380"/>
      <w:bookmarkStart w:id="445" w:name="_Toc38439717"/>
      <w:bookmarkStart w:id="446" w:name="_Toc38440054"/>
      <w:bookmarkStart w:id="447" w:name="_Toc38440391"/>
      <w:bookmarkStart w:id="448" w:name="_Toc38440923"/>
      <w:bookmarkStart w:id="449" w:name="_Toc38441255"/>
      <w:bookmarkStart w:id="450" w:name="_Toc38441587"/>
      <w:bookmarkStart w:id="451" w:name="_Toc38441915"/>
      <w:bookmarkStart w:id="452" w:name="_Toc38442247"/>
      <w:bookmarkStart w:id="453" w:name="_Toc38442579"/>
      <w:bookmarkStart w:id="454" w:name="_Toc38442910"/>
      <w:bookmarkStart w:id="455" w:name="_Toc38443241"/>
      <w:bookmarkStart w:id="456" w:name="_Toc38443572"/>
      <w:bookmarkStart w:id="457" w:name="_Toc38443902"/>
      <w:bookmarkStart w:id="458" w:name="_Toc38438371"/>
      <w:bookmarkStart w:id="459" w:name="_Toc38438708"/>
      <w:bookmarkStart w:id="460" w:name="_Toc38439045"/>
      <w:bookmarkStart w:id="461" w:name="_Toc38439382"/>
      <w:bookmarkStart w:id="462" w:name="_Toc38439719"/>
      <w:bookmarkStart w:id="463" w:name="_Toc38440056"/>
      <w:bookmarkStart w:id="464" w:name="_Toc38440393"/>
      <w:bookmarkStart w:id="465" w:name="_Toc38440925"/>
      <w:bookmarkStart w:id="466" w:name="_Toc38441257"/>
      <w:bookmarkStart w:id="467" w:name="_Toc38441589"/>
      <w:bookmarkStart w:id="468" w:name="_Toc38441917"/>
      <w:bookmarkStart w:id="469" w:name="_Toc38442249"/>
      <w:bookmarkStart w:id="470" w:name="_Toc38442581"/>
      <w:bookmarkStart w:id="471" w:name="_Toc38442912"/>
      <w:bookmarkStart w:id="472" w:name="_Toc38443243"/>
      <w:bookmarkStart w:id="473" w:name="_Toc38443574"/>
      <w:bookmarkStart w:id="474" w:name="_Toc38443904"/>
      <w:bookmarkStart w:id="475" w:name="_Toc38438372"/>
      <w:bookmarkStart w:id="476" w:name="_Toc38438709"/>
      <w:bookmarkStart w:id="477" w:name="_Toc38439046"/>
      <w:bookmarkStart w:id="478" w:name="_Toc38439383"/>
      <w:bookmarkStart w:id="479" w:name="_Toc38439720"/>
      <w:bookmarkStart w:id="480" w:name="_Toc38440057"/>
      <w:bookmarkStart w:id="481" w:name="_Toc38440394"/>
      <w:bookmarkStart w:id="482" w:name="_Toc38440926"/>
      <w:bookmarkStart w:id="483" w:name="_Toc38441258"/>
      <w:bookmarkStart w:id="484" w:name="_Toc38441590"/>
      <w:bookmarkStart w:id="485" w:name="_Toc38441918"/>
      <w:bookmarkStart w:id="486" w:name="_Toc38442250"/>
      <w:bookmarkStart w:id="487" w:name="_Toc38442582"/>
      <w:bookmarkStart w:id="488" w:name="_Toc38442913"/>
      <w:bookmarkStart w:id="489" w:name="_Toc38443244"/>
      <w:bookmarkStart w:id="490" w:name="_Toc38443575"/>
      <w:bookmarkStart w:id="491" w:name="_Toc38443905"/>
      <w:bookmarkStart w:id="492" w:name="_Toc38438373"/>
      <w:bookmarkStart w:id="493" w:name="_Toc38438710"/>
      <w:bookmarkStart w:id="494" w:name="_Toc38439047"/>
      <w:bookmarkStart w:id="495" w:name="_Toc38439384"/>
      <w:bookmarkStart w:id="496" w:name="_Toc38439721"/>
      <w:bookmarkStart w:id="497" w:name="_Toc38440058"/>
      <w:bookmarkStart w:id="498" w:name="_Toc38440395"/>
      <w:bookmarkStart w:id="499" w:name="_Toc38440927"/>
      <w:bookmarkStart w:id="500" w:name="_Toc38441259"/>
      <w:bookmarkStart w:id="501" w:name="_Toc38441591"/>
      <w:bookmarkStart w:id="502" w:name="_Toc38441919"/>
      <w:bookmarkStart w:id="503" w:name="_Toc38442251"/>
      <w:bookmarkStart w:id="504" w:name="_Toc38442583"/>
      <w:bookmarkStart w:id="505" w:name="_Toc38442914"/>
      <w:bookmarkStart w:id="506" w:name="_Toc38443245"/>
      <w:bookmarkStart w:id="507" w:name="_Toc38443576"/>
      <w:bookmarkStart w:id="508" w:name="_Toc38443906"/>
      <w:bookmarkStart w:id="509" w:name="_Toc38438374"/>
      <w:bookmarkStart w:id="510" w:name="_Toc38438711"/>
      <w:bookmarkStart w:id="511" w:name="_Toc38439048"/>
      <w:bookmarkStart w:id="512" w:name="_Toc38439385"/>
      <w:bookmarkStart w:id="513" w:name="_Toc38439722"/>
      <w:bookmarkStart w:id="514" w:name="_Toc38440059"/>
      <w:bookmarkStart w:id="515" w:name="_Toc38440396"/>
      <w:bookmarkStart w:id="516" w:name="_Toc38440928"/>
      <w:bookmarkStart w:id="517" w:name="_Toc38441260"/>
      <w:bookmarkStart w:id="518" w:name="_Toc38441592"/>
      <w:bookmarkStart w:id="519" w:name="_Toc38441920"/>
      <w:bookmarkStart w:id="520" w:name="_Toc38442252"/>
      <w:bookmarkStart w:id="521" w:name="_Toc38442584"/>
      <w:bookmarkStart w:id="522" w:name="_Toc38442915"/>
      <w:bookmarkStart w:id="523" w:name="_Toc38443246"/>
      <w:bookmarkStart w:id="524" w:name="_Toc38443577"/>
      <w:bookmarkStart w:id="525" w:name="_Toc38443907"/>
      <w:bookmarkStart w:id="526" w:name="_Toc38438375"/>
      <w:bookmarkStart w:id="527" w:name="_Toc38438712"/>
      <w:bookmarkStart w:id="528" w:name="_Toc38439049"/>
      <w:bookmarkStart w:id="529" w:name="_Toc38439386"/>
      <w:bookmarkStart w:id="530" w:name="_Toc38439723"/>
      <w:bookmarkStart w:id="531" w:name="_Toc38440060"/>
      <w:bookmarkStart w:id="532" w:name="_Toc38440397"/>
      <w:bookmarkStart w:id="533" w:name="_Toc38440929"/>
      <w:bookmarkStart w:id="534" w:name="_Toc38441261"/>
      <w:bookmarkStart w:id="535" w:name="_Toc38441593"/>
      <w:bookmarkStart w:id="536" w:name="_Toc38441921"/>
      <w:bookmarkStart w:id="537" w:name="_Toc38442253"/>
      <w:bookmarkStart w:id="538" w:name="_Toc38442585"/>
      <w:bookmarkStart w:id="539" w:name="_Toc38442916"/>
      <w:bookmarkStart w:id="540" w:name="_Toc38443247"/>
      <w:bookmarkStart w:id="541" w:name="_Toc38443578"/>
      <w:bookmarkStart w:id="542" w:name="_Toc38443908"/>
      <w:bookmarkStart w:id="543" w:name="_Toc38438376"/>
      <w:bookmarkStart w:id="544" w:name="_Toc38438713"/>
      <w:bookmarkStart w:id="545" w:name="_Toc38439050"/>
      <w:bookmarkStart w:id="546" w:name="_Toc38439387"/>
      <w:bookmarkStart w:id="547" w:name="_Toc38439724"/>
      <w:bookmarkStart w:id="548" w:name="_Toc38440061"/>
      <w:bookmarkStart w:id="549" w:name="_Toc38440398"/>
      <w:bookmarkStart w:id="550" w:name="_Toc38440930"/>
      <w:bookmarkStart w:id="551" w:name="_Toc38441262"/>
      <w:bookmarkStart w:id="552" w:name="_Toc38441594"/>
      <w:bookmarkStart w:id="553" w:name="_Toc38441922"/>
      <w:bookmarkStart w:id="554" w:name="_Toc38442254"/>
      <w:bookmarkStart w:id="555" w:name="_Toc38442586"/>
      <w:bookmarkStart w:id="556" w:name="_Toc38442917"/>
      <w:bookmarkStart w:id="557" w:name="_Toc38443248"/>
      <w:bookmarkStart w:id="558" w:name="_Toc38443579"/>
      <w:bookmarkStart w:id="559" w:name="_Toc38443909"/>
      <w:bookmarkStart w:id="560" w:name="_Toc38438377"/>
      <w:bookmarkStart w:id="561" w:name="_Toc38438714"/>
      <w:bookmarkStart w:id="562" w:name="_Toc38439051"/>
      <w:bookmarkStart w:id="563" w:name="_Toc38439388"/>
      <w:bookmarkStart w:id="564" w:name="_Toc38439725"/>
      <w:bookmarkStart w:id="565" w:name="_Toc38440062"/>
      <w:bookmarkStart w:id="566" w:name="_Toc38440399"/>
      <w:bookmarkStart w:id="567" w:name="_Toc38440931"/>
      <w:bookmarkStart w:id="568" w:name="_Toc38441263"/>
      <w:bookmarkStart w:id="569" w:name="_Toc38441595"/>
      <w:bookmarkStart w:id="570" w:name="_Toc38441923"/>
      <w:bookmarkStart w:id="571" w:name="_Toc38442255"/>
      <w:bookmarkStart w:id="572" w:name="_Toc38442587"/>
      <w:bookmarkStart w:id="573" w:name="_Toc38442918"/>
      <w:bookmarkStart w:id="574" w:name="_Toc38443249"/>
      <w:bookmarkStart w:id="575" w:name="_Toc38443580"/>
      <w:bookmarkStart w:id="576" w:name="_Toc38443910"/>
      <w:bookmarkStart w:id="577" w:name="_Toc38438378"/>
      <w:bookmarkStart w:id="578" w:name="_Toc38438715"/>
      <w:bookmarkStart w:id="579" w:name="_Toc38439052"/>
      <w:bookmarkStart w:id="580" w:name="_Toc38439389"/>
      <w:bookmarkStart w:id="581" w:name="_Toc38439726"/>
      <w:bookmarkStart w:id="582" w:name="_Toc38440063"/>
      <w:bookmarkStart w:id="583" w:name="_Toc38440400"/>
      <w:bookmarkStart w:id="584" w:name="_Toc38440932"/>
      <w:bookmarkStart w:id="585" w:name="_Toc38441264"/>
      <w:bookmarkStart w:id="586" w:name="_Toc38441596"/>
      <w:bookmarkStart w:id="587" w:name="_Toc38441924"/>
      <w:bookmarkStart w:id="588" w:name="_Toc38442256"/>
      <w:bookmarkStart w:id="589" w:name="_Toc38442588"/>
      <w:bookmarkStart w:id="590" w:name="_Toc38442919"/>
      <w:bookmarkStart w:id="591" w:name="_Toc38443250"/>
      <w:bookmarkStart w:id="592" w:name="_Toc38443581"/>
      <w:bookmarkStart w:id="593" w:name="_Toc38443911"/>
      <w:bookmarkStart w:id="594" w:name="_Toc38438379"/>
      <w:bookmarkStart w:id="595" w:name="_Toc38438716"/>
      <w:bookmarkStart w:id="596" w:name="_Toc38439053"/>
      <w:bookmarkStart w:id="597" w:name="_Toc38439390"/>
      <w:bookmarkStart w:id="598" w:name="_Toc38439727"/>
      <w:bookmarkStart w:id="599" w:name="_Toc38440064"/>
      <w:bookmarkStart w:id="600" w:name="_Toc38440401"/>
      <w:bookmarkStart w:id="601" w:name="_Toc38440933"/>
      <w:bookmarkStart w:id="602" w:name="_Toc38441265"/>
      <w:bookmarkStart w:id="603" w:name="_Toc38441597"/>
      <w:bookmarkStart w:id="604" w:name="_Toc38441925"/>
      <w:bookmarkStart w:id="605" w:name="_Toc38442257"/>
      <w:bookmarkStart w:id="606" w:name="_Toc38442589"/>
      <w:bookmarkStart w:id="607" w:name="_Toc38442920"/>
      <w:bookmarkStart w:id="608" w:name="_Toc38443251"/>
      <w:bookmarkStart w:id="609" w:name="_Toc38443582"/>
      <w:bookmarkStart w:id="610" w:name="_Toc38443912"/>
      <w:bookmarkStart w:id="611" w:name="_Toc38438380"/>
      <w:bookmarkStart w:id="612" w:name="_Toc38438717"/>
      <w:bookmarkStart w:id="613" w:name="_Toc38439054"/>
      <w:bookmarkStart w:id="614" w:name="_Toc38439391"/>
      <w:bookmarkStart w:id="615" w:name="_Toc38439728"/>
      <w:bookmarkStart w:id="616" w:name="_Toc38440065"/>
      <w:bookmarkStart w:id="617" w:name="_Toc38440402"/>
      <w:bookmarkStart w:id="618" w:name="_Toc38440934"/>
      <w:bookmarkStart w:id="619" w:name="_Toc38441266"/>
      <w:bookmarkStart w:id="620" w:name="_Toc38441598"/>
      <w:bookmarkStart w:id="621" w:name="_Toc38441926"/>
      <w:bookmarkStart w:id="622" w:name="_Toc38442258"/>
      <w:bookmarkStart w:id="623" w:name="_Toc38442590"/>
      <w:bookmarkStart w:id="624" w:name="_Toc38442921"/>
      <w:bookmarkStart w:id="625" w:name="_Toc38443252"/>
      <w:bookmarkStart w:id="626" w:name="_Toc38443583"/>
      <w:bookmarkStart w:id="627" w:name="_Toc38443913"/>
      <w:bookmarkStart w:id="628" w:name="_Toc38438381"/>
      <w:bookmarkStart w:id="629" w:name="_Toc38438718"/>
      <w:bookmarkStart w:id="630" w:name="_Toc38439055"/>
      <w:bookmarkStart w:id="631" w:name="_Toc38439392"/>
      <w:bookmarkStart w:id="632" w:name="_Toc38439729"/>
      <w:bookmarkStart w:id="633" w:name="_Toc38440066"/>
      <w:bookmarkStart w:id="634" w:name="_Toc38440403"/>
      <w:bookmarkStart w:id="635" w:name="_Toc38440935"/>
      <w:bookmarkStart w:id="636" w:name="_Toc38441267"/>
      <w:bookmarkStart w:id="637" w:name="_Toc38441599"/>
      <w:bookmarkStart w:id="638" w:name="_Toc38441927"/>
      <w:bookmarkStart w:id="639" w:name="_Toc38442259"/>
      <w:bookmarkStart w:id="640" w:name="_Toc38442591"/>
      <w:bookmarkStart w:id="641" w:name="_Toc38442922"/>
      <w:bookmarkStart w:id="642" w:name="_Toc38443253"/>
      <w:bookmarkStart w:id="643" w:name="_Toc38443584"/>
      <w:bookmarkStart w:id="644" w:name="_Toc38443914"/>
      <w:bookmarkStart w:id="645" w:name="_Toc38438382"/>
      <w:bookmarkStart w:id="646" w:name="_Toc38438719"/>
      <w:bookmarkStart w:id="647" w:name="_Toc38439056"/>
      <w:bookmarkStart w:id="648" w:name="_Toc38439393"/>
      <w:bookmarkStart w:id="649" w:name="_Toc38439730"/>
      <w:bookmarkStart w:id="650" w:name="_Toc38440067"/>
      <w:bookmarkStart w:id="651" w:name="_Toc38440404"/>
      <w:bookmarkStart w:id="652" w:name="_Toc38440936"/>
      <w:bookmarkStart w:id="653" w:name="_Toc38441268"/>
      <w:bookmarkStart w:id="654" w:name="_Toc38441600"/>
      <w:bookmarkStart w:id="655" w:name="_Toc38441928"/>
      <w:bookmarkStart w:id="656" w:name="_Toc38442260"/>
      <w:bookmarkStart w:id="657" w:name="_Toc38442592"/>
      <w:bookmarkStart w:id="658" w:name="_Toc38442923"/>
      <w:bookmarkStart w:id="659" w:name="_Toc38443254"/>
      <w:bookmarkStart w:id="660" w:name="_Toc38443585"/>
      <w:bookmarkStart w:id="661" w:name="_Toc38443915"/>
      <w:bookmarkStart w:id="662" w:name="_Toc38438383"/>
      <w:bookmarkStart w:id="663" w:name="_Toc38438720"/>
      <w:bookmarkStart w:id="664" w:name="_Toc38439057"/>
      <w:bookmarkStart w:id="665" w:name="_Toc38439394"/>
      <w:bookmarkStart w:id="666" w:name="_Toc38439731"/>
      <w:bookmarkStart w:id="667" w:name="_Toc38440068"/>
      <w:bookmarkStart w:id="668" w:name="_Toc38440405"/>
      <w:bookmarkStart w:id="669" w:name="_Toc38440937"/>
      <w:bookmarkStart w:id="670" w:name="_Toc38441269"/>
      <w:bookmarkStart w:id="671" w:name="_Toc38441601"/>
      <w:bookmarkStart w:id="672" w:name="_Toc38441929"/>
      <w:bookmarkStart w:id="673" w:name="_Toc38442261"/>
      <w:bookmarkStart w:id="674" w:name="_Toc38442593"/>
      <w:bookmarkStart w:id="675" w:name="_Toc38442924"/>
      <w:bookmarkStart w:id="676" w:name="_Toc38443255"/>
      <w:bookmarkStart w:id="677" w:name="_Toc38443586"/>
      <w:bookmarkStart w:id="678" w:name="_Toc38443916"/>
      <w:bookmarkStart w:id="679" w:name="_Toc38438384"/>
      <w:bookmarkStart w:id="680" w:name="_Toc38438721"/>
      <w:bookmarkStart w:id="681" w:name="_Toc38439058"/>
      <w:bookmarkStart w:id="682" w:name="_Toc38439395"/>
      <w:bookmarkStart w:id="683" w:name="_Toc38439732"/>
      <w:bookmarkStart w:id="684" w:name="_Toc38440069"/>
      <w:bookmarkStart w:id="685" w:name="_Toc38440406"/>
      <w:bookmarkStart w:id="686" w:name="_Toc38440938"/>
      <w:bookmarkStart w:id="687" w:name="_Toc38441270"/>
      <w:bookmarkStart w:id="688" w:name="_Toc38441602"/>
      <w:bookmarkStart w:id="689" w:name="_Toc38441930"/>
      <w:bookmarkStart w:id="690" w:name="_Toc38442262"/>
      <w:bookmarkStart w:id="691" w:name="_Toc38442594"/>
      <w:bookmarkStart w:id="692" w:name="_Toc38442925"/>
      <w:bookmarkStart w:id="693" w:name="_Toc38443256"/>
      <w:bookmarkStart w:id="694" w:name="_Toc38443587"/>
      <w:bookmarkStart w:id="695" w:name="_Toc38443917"/>
      <w:bookmarkStart w:id="696" w:name="_Toc38438385"/>
      <w:bookmarkStart w:id="697" w:name="_Toc38438722"/>
      <w:bookmarkStart w:id="698" w:name="_Toc38439059"/>
      <w:bookmarkStart w:id="699" w:name="_Toc38439396"/>
      <w:bookmarkStart w:id="700" w:name="_Toc38439733"/>
      <w:bookmarkStart w:id="701" w:name="_Toc38440070"/>
      <w:bookmarkStart w:id="702" w:name="_Toc38440407"/>
      <w:bookmarkStart w:id="703" w:name="_Toc38440939"/>
      <w:bookmarkStart w:id="704" w:name="_Toc38441271"/>
      <w:bookmarkStart w:id="705" w:name="_Toc38441603"/>
      <w:bookmarkStart w:id="706" w:name="_Toc38441931"/>
      <w:bookmarkStart w:id="707" w:name="_Toc38442263"/>
      <w:bookmarkStart w:id="708" w:name="_Toc38442595"/>
      <w:bookmarkStart w:id="709" w:name="_Toc38442926"/>
      <w:bookmarkStart w:id="710" w:name="_Toc38443257"/>
      <w:bookmarkStart w:id="711" w:name="_Toc38443588"/>
      <w:bookmarkStart w:id="712" w:name="_Toc38443918"/>
      <w:bookmarkStart w:id="713" w:name="_Toc38438386"/>
      <w:bookmarkStart w:id="714" w:name="_Toc38438723"/>
      <w:bookmarkStart w:id="715" w:name="_Toc38439060"/>
      <w:bookmarkStart w:id="716" w:name="_Toc38439397"/>
      <w:bookmarkStart w:id="717" w:name="_Toc38439734"/>
      <w:bookmarkStart w:id="718" w:name="_Toc38440071"/>
      <w:bookmarkStart w:id="719" w:name="_Toc38440408"/>
      <w:bookmarkStart w:id="720" w:name="_Toc38440940"/>
      <w:bookmarkStart w:id="721" w:name="_Toc38441272"/>
      <w:bookmarkStart w:id="722" w:name="_Toc38441604"/>
      <w:bookmarkStart w:id="723" w:name="_Toc38441932"/>
      <w:bookmarkStart w:id="724" w:name="_Toc38442264"/>
      <w:bookmarkStart w:id="725" w:name="_Toc38442596"/>
      <w:bookmarkStart w:id="726" w:name="_Toc38442927"/>
      <w:bookmarkStart w:id="727" w:name="_Toc38443258"/>
      <w:bookmarkStart w:id="728" w:name="_Toc38443589"/>
      <w:bookmarkStart w:id="729" w:name="_Toc38443919"/>
      <w:bookmarkStart w:id="730" w:name="_Toc38438387"/>
      <w:bookmarkStart w:id="731" w:name="_Toc38438724"/>
      <w:bookmarkStart w:id="732" w:name="_Toc38439061"/>
      <w:bookmarkStart w:id="733" w:name="_Toc38439398"/>
      <w:bookmarkStart w:id="734" w:name="_Toc38439735"/>
      <w:bookmarkStart w:id="735" w:name="_Toc38440072"/>
      <w:bookmarkStart w:id="736" w:name="_Toc38440409"/>
      <w:bookmarkStart w:id="737" w:name="_Toc38440941"/>
      <w:bookmarkStart w:id="738" w:name="_Toc38441273"/>
      <w:bookmarkStart w:id="739" w:name="_Toc38441605"/>
      <w:bookmarkStart w:id="740" w:name="_Toc38441933"/>
      <w:bookmarkStart w:id="741" w:name="_Toc38442265"/>
      <w:bookmarkStart w:id="742" w:name="_Toc38442597"/>
      <w:bookmarkStart w:id="743" w:name="_Toc38442928"/>
      <w:bookmarkStart w:id="744" w:name="_Toc38443259"/>
      <w:bookmarkStart w:id="745" w:name="_Toc38443590"/>
      <w:bookmarkStart w:id="746" w:name="_Toc38443920"/>
      <w:bookmarkStart w:id="747" w:name="_Toc38438388"/>
      <w:bookmarkStart w:id="748" w:name="_Toc38438725"/>
      <w:bookmarkStart w:id="749" w:name="_Toc38439062"/>
      <w:bookmarkStart w:id="750" w:name="_Toc38439399"/>
      <w:bookmarkStart w:id="751" w:name="_Toc38439736"/>
      <w:bookmarkStart w:id="752" w:name="_Toc38440073"/>
      <w:bookmarkStart w:id="753" w:name="_Toc38440410"/>
      <w:bookmarkStart w:id="754" w:name="_Toc38440942"/>
      <w:bookmarkStart w:id="755" w:name="_Toc38441274"/>
      <w:bookmarkStart w:id="756" w:name="_Toc38441606"/>
      <w:bookmarkStart w:id="757" w:name="_Toc38441934"/>
      <w:bookmarkStart w:id="758" w:name="_Toc38442266"/>
      <w:bookmarkStart w:id="759" w:name="_Toc38442598"/>
      <w:bookmarkStart w:id="760" w:name="_Toc38442929"/>
      <w:bookmarkStart w:id="761" w:name="_Toc38443260"/>
      <w:bookmarkStart w:id="762" w:name="_Toc38443591"/>
      <w:bookmarkStart w:id="763" w:name="_Toc38443921"/>
      <w:bookmarkStart w:id="764" w:name="_Toc38438389"/>
      <w:bookmarkStart w:id="765" w:name="_Toc38438726"/>
      <w:bookmarkStart w:id="766" w:name="_Toc38439063"/>
      <w:bookmarkStart w:id="767" w:name="_Toc38439400"/>
      <w:bookmarkStart w:id="768" w:name="_Toc38439737"/>
      <w:bookmarkStart w:id="769" w:name="_Toc38440074"/>
      <w:bookmarkStart w:id="770" w:name="_Toc38440411"/>
      <w:bookmarkStart w:id="771" w:name="_Toc38440943"/>
      <w:bookmarkStart w:id="772" w:name="_Toc38441275"/>
      <w:bookmarkStart w:id="773" w:name="_Toc38441607"/>
      <w:bookmarkStart w:id="774" w:name="_Toc38441935"/>
      <w:bookmarkStart w:id="775" w:name="_Toc38442267"/>
      <w:bookmarkStart w:id="776" w:name="_Toc38442599"/>
      <w:bookmarkStart w:id="777" w:name="_Toc38442930"/>
      <w:bookmarkStart w:id="778" w:name="_Toc38443261"/>
      <w:bookmarkStart w:id="779" w:name="_Toc38443592"/>
      <w:bookmarkStart w:id="780" w:name="_Toc38443922"/>
      <w:bookmarkStart w:id="781" w:name="_Toc38438390"/>
      <w:bookmarkStart w:id="782" w:name="_Toc38438727"/>
      <w:bookmarkStart w:id="783" w:name="_Toc38439064"/>
      <w:bookmarkStart w:id="784" w:name="_Toc38439401"/>
      <w:bookmarkStart w:id="785" w:name="_Toc38439738"/>
      <w:bookmarkStart w:id="786" w:name="_Toc38440075"/>
      <w:bookmarkStart w:id="787" w:name="_Toc38440412"/>
      <w:bookmarkStart w:id="788" w:name="_Toc38440944"/>
      <w:bookmarkStart w:id="789" w:name="_Toc38441276"/>
      <w:bookmarkStart w:id="790" w:name="_Toc38441608"/>
      <w:bookmarkStart w:id="791" w:name="_Toc38441936"/>
      <w:bookmarkStart w:id="792" w:name="_Toc38442268"/>
      <w:bookmarkStart w:id="793" w:name="_Toc38442600"/>
      <w:bookmarkStart w:id="794" w:name="_Toc38442931"/>
      <w:bookmarkStart w:id="795" w:name="_Toc38443262"/>
      <w:bookmarkStart w:id="796" w:name="_Toc38443593"/>
      <w:bookmarkStart w:id="797" w:name="_Toc38443923"/>
      <w:bookmarkStart w:id="798" w:name="_Toc38438391"/>
      <w:bookmarkStart w:id="799" w:name="_Toc38438728"/>
      <w:bookmarkStart w:id="800" w:name="_Toc38439065"/>
      <w:bookmarkStart w:id="801" w:name="_Toc38439402"/>
      <w:bookmarkStart w:id="802" w:name="_Toc38439739"/>
      <w:bookmarkStart w:id="803" w:name="_Toc38440076"/>
      <w:bookmarkStart w:id="804" w:name="_Toc38440413"/>
      <w:bookmarkStart w:id="805" w:name="_Toc38440945"/>
      <w:bookmarkStart w:id="806" w:name="_Toc38441277"/>
      <w:bookmarkStart w:id="807" w:name="_Toc38441609"/>
      <w:bookmarkStart w:id="808" w:name="_Toc38441937"/>
      <w:bookmarkStart w:id="809" w:name="_Toc38442269"/>
      <w:bookmarkStart w:id="810" w:name="_Toc38442601"/>
      <w:bookmarkStart w:id="811" w:name="_Toc38442932"/>
      <w:bookmarkStart w:id="812" w:name="_Toc38443263"/>
      <w:bookmarkStart w:id="813" w:name="_Toc38443594"/>
      <w:bookmarkStart w:id="814" w:name="_Toc38443924"/>
      <w:bookmarkStart w:id="815" w:name="_Toc38438392"/>
      <w:bookmarkStart w:id="816" w:name="_Toc38438729"/>
      <w:bookmarkStart w:id="817" w:name="_Toc38439066"/>
      <w:bookmarkStart w:id="818" w:name="_Toc38439403"/>
      <w:bookmarkStart w:id="819" w:name="_Toc38439740"/>
      <w:bookmarkStart w:id="820" w:name="_Toc38440077"/>
      <w:bookmarkStart w:id="821" w:name="_Toc38440414"/>
      <w:bookmarkStart w:id="822" w:name="_Toc38440946"/>
      <w:bookmarkStart w:id="823" w:name="_Toc38441278"/>
      <w:bookmarkStart w:id="824" w:name="_Toc38441610"/>
      <w:bookmarkStart w:id="825" w:name="_Toc38441938"/>
      <w:bookmarkStart w:id="826" w:name="_Toc38442270"/>
      <w:bookmarkStart w:id="827" w:name="_Toc38442602"/>
      <w:bookmarkStart w:id="828" w:name="_Toc38442933"/>
      <w:bookmarkStart w:id="829" w:name="_Toc38443264"/>
      <w:bookmarkStart w:id="830" w:name="_Toc38443595"/>
      <w:bookmarkStart w:id="831" w:name="_Toc38443925"/>
      <w:bookmarkStart w:id="832" w:name="_Toc38438393"/>
      <w:bookmarkStart w:id="833" w:name="_Toc38438730"/>
      <w:bookmarkStart w:id="834" w:name="_Toc38439067"/>
      <w:bookmarkStart w:id="835" w:name="_Toc38439404"/>
      <w:bookmarkStart w:id="836" w:name="_Toc38439741"/>
      <w:bookmarkStart w:id="837" w:name="_Toc38440078"/>
      <w:bookmarkStart w:id="838" w:name="_Toc38440415"/>
      <w:bookmarkStart w:id="839" w:name="_Toc38440947"/>
      <w:bookmarkStart w:id="840" w:name="_Toc38441279"/>
      <w:bookmarkStart w:id="841" w:name="_Toc38441611"/>
      <w:bookmarkStart w:id="842" w:name="_Toc38441939"/>
      <w:bookmarkStart w:id="843" w:name="_Toc38442271"/>
      <w:bookmarkStart w:id="844" w:name="_Toc38442603"/>
      <w:bookmarkStart w:id="845" w:name="_Toc38442934"/>
      <w:bookmarkStart w:id="846" w:name="_Toc38443265"/>
      <w:bookmarkStart w:id="847" w:name="_Toc38443596"/>
      <w:bookmarkStart w:id="848" w:name="_Toc38443926"/>
      <w:bookmarkStart w:id="849" w:name="_Toc38438394"/>
      <w:bookmarkStart w:id="850" w:name="_Toc38438731"/>
      <w:bookmarkStart w:id="851" w:name="_Toc38439068"/>
      <w:bookmarkStart w:id="852" w:name="_Toc38439405"/>
      <w:bookmarkStart w:id="853" w:name="_Toc38439742"/>
      <w:bookmarkStart w:id="854" w:name="_Toc38440079"/>
      <w:bookmarkStart w:id="855" w:name="_Toc38440416"/>
      <w:bookmarkStart w:id="856" w:name="_Toc38440948"/>
      <w:bookmarkStart w:id="857" w:name="_Toc38441280"/>
      <w:bookmarkStart w:id="858" w:name="_Toc38441612"/>
      <w:bookmarkStart w:id="859" w:name="_Toc38441940"/>
      <w:bookmarkStart w:id="860" w:name="_Toc38442272"/>
      <w:bookmarkStart w:id="861" w:name="_Toc38442604"/>
      <w:bookmarkStart w:id="862" w:name="_Toc38442935"/>
      <w:bookmarkStart w:id="863" w:name="_Toc38443266"/>
      <w:bookmarkStart w:id="864" w:name="_Toc38443597"/>
      <w:bookmarkStart w:id="865" w:name="_Toc38443927"/>
      <w:bookmarkStart w:id="866" w:name="_Toc38438395"/>
      <w:bookmarkStart w:id="867" w:name="_Toc38438732"/>
      <w:bookmarkStart w:id="868" w:name="_Toc38439069"/>
      <w:bookmarkStart w:id="869" w:name="_Toc38439406"/>
      <w:bookmarkStart w:id="870" w:name="_Toc38439743"/>
      <w:bookmarkStart w:id="871" w:name="_Toc38440080"/>
      <w:bookmarkStart w:id="872" w:name="_Toc38440417"/>
      <w:bookmarkStart w:id="873" w:name="_Toc38440949"/>
      <w:bookmarkStart w:id="874" w:name="_Toc38441281"/>
      <w:bookmarkStart w:id="875" w:name="_Toc38441613"/>
      <w:bookmarkStart w:id="876" w:name="_Toc38441941"/>
      <w:bookmarkStart w:id="877" w:name="_Toc38442273"/>
      <w:bookmarkStart w:id="878" w:name="_Toc38442605"/>
      <w:bookmarkStart w:id="879" w:name="_Toc38442936"/>
      <w:bookmarkStart w:id="880" w:name="_Toc38443267"/>
      <w:bookmarkStart w:id="881" w:name="_Toc38443598"/>
      <w:bookmarkStart w:id="882" w:name="_Toc38443928"/>
      <w:bookmarkStart w:id="883" w:name="_Toc38438396"/>
      <w:bookmarkStart w:id="884" w:name="_Toc38438733"/>
      <w:bookmarkStart w:id="885" w:name="_Toc38439070"/>
      <w:bookmarkStart w:id="886" w:name="_Toc38439407"/>
      <w:bookmarkStart w:id="887" w:name="_Toc38439744"/>
      <w:bookmarkStart w:id="888" w:name="_Toc38440081"/>
      <w:bookmarkStart w:id="889" w:name="_Toc38440418"/>
      <w:bookmarkStart w:id="890" w:name="_Toc38440950"/>
      <w:bookmarkStart w:id="891" w:name="_Toc38441282"/>
      <w:bookmarkStart w:id="892" w:name="_Toc38441614"/>
      <w:bookmarkStart w:id="893" w:name="_Toc38441942"/>
      <w:bookmarkStart w:id="894" w:name="_Toc38442274"/>
      <w:bookmarkStart w:id="895" w:name="_Toc38442606"/>
      <w:bookmarkStart w:id="896" w:name="_Toc38442937"/>
      <w:bookmarkStart w:id="897" w:name="_Toc38443268"/>
      <w:bookmarkStart w:id="898" w:name="_Toc38443599"/>
      <w:bookmarkStart w:id="899" w:name="_Toc38443929"/>
      <w:bookmarkStart w:id="900" w:name="_Toc38438397"/>
      <w:bookmarkStart w:id="901" w:name="_Toc38438734"/>
      <w:bookmarkStart w:id="902" w:name="_Toc38439071"/>
      <w:bookmarkStart w:id="903" w:name="_Toc38439408"/>
      <w:bookmarkStart w:id="904" w:name="_Toc38439745"/>
      <w:bookmarkStart w:id="905" w:name="_Toc38440082"/>
      <w:bookmarkStart w:id="906" w:name="_Toc38440419"/>
      <w:bookmarkStart w:id="907" w:name="_Toc38440951"/>
      <w:bookmarkStart w:id="908" w:name="_Toc38441283"/>
      <w:bookmarkStart w:id="909" w:name="_Toc38441615"/>
      <w:bookmarkStart w:id="910" w:name="_Toc38441943"/>
      <w:bookmarkStart w:id="911" w:name="_Toc38442275"/>
      <w:bookmarkStart w:id="912" w:name="_Toc38442607"/>
      <w:bookmarkStart w:id="913" w:name="_Toc38442938"/>
      <w:bookmarkStart w:id="914" w:name="_Toc38443269"/>
      <w:bookmarkStart w:id="915" w:name="_Toc38443600"/>
      <w:bookmarkStart w:id="916" w:name="_Toc38443930"/>
      <w:bookmarkStart w:id="917" w:name="_Toc38438398"/>
      <w:bookmarkStart w:id="918" w:name="_Toc38438735"/>
      <w:bookmarkStart w:id="919" w:name="_Toc38439072"/>
      <w:bookmarkStart w:id="920" w:name="_Toc38439409"/>
      <w:bookmarkStart w:id="921" w:name="_Toc38439746"/>
      <w:bookmarkStart w:id="922" w:name="_Toc38440083"/>
      <w:bookmarkStart w:id="923" w:name="_Toc38440420"/>
      <w:bookmarkStart w:id="924" w:name="_Toc38440952"/>
      <w:bookmarkStart w:id="925" w:name="_Toc38441284"/>
      <w:bookmarkStart w:id="926" w:name="_Toc38441616"/>
      <w:bookmarkStart w:id="927" w:name="_Toc38441944"/>
      <w:bookmarkStart w:id="928" w:name="_Toc38442276"/>
      <w:bookmarkStart w:id="929" w:name="_Toc38442608"/>
      <w:bookmarkStart w:id="930" w:name="_Toc38442939"/>
      <w:bookmarkStart w:id="931" w:name="_Toc38443270"/>
      <w:bookmarkStart w:id="932" w:name="_Toc38443601"/>
      <w:bookmarkStart w:id="933" w:name="_Toc38443931"/>
      <w:bookmarkStart w:id="934" w:name="_Toc38438400"/>
      <w:bookmarkStart w:id="935" w:name="_Toc38438737"/>
      <w:bookmarkStart w:id="936" w:name="_Toc38439074"/>
      <w:bookmarkStart w:id="937" w:name="_Toc38439411"/>
      <w:bookmarkStart w:id="938" w:name="_Toc38439748"/>
      <w:bookmarkStart w:id="939" w:name="_Toc38440085"/>
      <w:bookmarkStart w:id="940" w:name="_Toc38440422"/>
      <w:bookmarkStart w:id="941" w:name="_Toc38440954"/>
      <w:bookmarkStart w:id="942" w:name="_Toc38441286"/>
      <w:bookmarkStart w:id="943" w:name="_Toc38441618"/>
      <w:bookmarkStart w:id="944" w:name="_Toc38441946"/>
      <w:bookmarkStart w:id="945" w:name="_Toc38442278"/>
      <w:bookmarkStart w:id="946" w:name="_Toc38442610"/>
      <w:bookmarkStart w:id="947" w:name="_Toc38442941"/>
      <w:bookmarkStart w:id="948" w:name="_Toc38443272"/>
      <w:bookmarkStart w:id="949" w:name="_Toc38443603"/>
      <w:bookmarkStart w:id="950" w:name="_Toc38443933"/>
      <w:bookmarkStart w:id="951" w:name="_Toc38438401"/>
      <w:bookmarkStart w:id="952" w:name="_Toc38438738"/>
      <w:bookmarkStart w:id="953" w:name="_Toc38439075"/>
      <w:bookmarkStart w:id="954" w:name="_Toc38439412"/>
      <w:bookmarkStart w:id="955" w:name="_Toc38439749"/>
      <w:bookmarkStart w:id="956" w:name="_Toc38440086"/>
      <w:bookmarkStart w:id="957" w:name="_Toc38440423"/>
      <w:bookmarkStart w:id="958" w:name="_Toc38440955"/>
      <w:bookmarkStart w:id="959" w:name="_Toc38441287"/>
      <w:bookmarkStart w:id="960" w:name="_Toc38441619"/>
      <w:bookmarkStart w:id="961" w:name="_Toc38441947"/>
      <w:bookmarkStart w:id="962" w:name="_Toc38442279"/>
      <w:bookmarkStart w:id="963" w:name="_Toc38442611"/>
      <w:bookmarkStart w:id="964" w:name="_Toc38442942"/>
      <w:bookmarkStart w:id="965" w:name="_Toc38443273"/>
      <w:bookmarkStart w:id="966" w:name="_Toc38443604"/>
      <w:bookmarkStart w:id="967" w:name="_Toc38443934"/>
      <w:bookmarkStart w:id="968" w:name="_Toc38438402"/>
      <w:bookmarkStart w:id="969" w:name="_Toc38438739"/>
      <w:bookmarkStart w:id="970" w:name="_Toc38439076"/>
      <w:bookmarkStart w:id="971" w:name="_Toc38439413"/>
      <w:bookmarkStart w:id="972" w:name="_Toc38439750"/>
      <w:bookmarkStart w:id="973" w:name="_Toc38440087"/>
      <w:bookmarkStart w:id="974" w:name="_Toc38440424"/>
      <w:bookmarkStart w:id="975" w:name="_Toc38440956"/>
      <w:bookmarkStart w:id="976" w:name="_Toc38441288"/>
      <w:bookmarkStart w:id="977" w:name="_Toc38441620"/>
      <w:bookmarkStart w:id="978" w:name="_Toc38441948"/>
      <w:bookmarkStart w:id="979" w:name="_Toc38442280"/>
      <w:bookmarkStart w:id="980" w:name="_Toc38442612"/>
      <w:bookmarkStart w:id="981" w:name="_Toc38442943"/>
      <w:bookmarkStart w:id="982" w:name="_Toc38443274"/>
      <w:bookmarkStart w:id="983" w:name="_Toc38443605"/>
      <w:bookmarkStart w:id="984" w:name="_Toc38443935"/>
      <w:bookmarkStart w:id="985" w:name="_Toc38438404"/>
      <w:bookmarkStart w:id="986" w:name="_Toc38438741"/>
      <w:bookmarkStart w:id="987" w:name="_Toc38439078"/>
      <w:bookmarkStart w:id="988" w:name="_Toc38439415"/>
      <w:bookmarkStart w:id="989" w:name="_Toc38439752"/>
      <w:bookmarkStart w:id="990" w:name="_Toc38440089"/>
      <w:bookmarkStart w:id="991" w:name="_Toc38440426"/>
      <w:bookmarkStart w:id="992" w:name="_Toc38440958"/>
      <w:bookmarkStart w:id="993" w:name="_Toc38441290"/>
      <w:bookmarkStart w:id="994" w:name="_Toc38441622"/>
      <w:bookmarkStart w:id="995" w:name="_Toc38441950"/>
      <w:bookmarkStart w:id="996" w:name="_Toc38442282"/>
      <w:bookmarkStart w:id="997" w:name="_Toc38442614"/>
      <w:bookmarkStart w:id="998" w:name="_Toc38442945"/>
      <w:bookmarkStart w:id="999" w:name="_Toc38443276"/>
      <w:bookmarkStart w:id="1000" w:name="_Toc38443607"/>
      <w:bookmarkStart w:id="1001" w:name="_Toc38443937"/>
      <w:bookmarkStart w:id="1002" w:name="_Toc38438405"/>
      <w:bookmarkStart w:id="1003" w:name="_Toc38438742"/>
      <w:bookmarkStart w:id="1004" w:name="_Toc38439079"/>
      <w:bookmarkStart w:id="1005" w:name="_Toc38439416"/>
      <w:bookmarkStart w:id="1006" w:name="_Toc38439753"/>
      <w:bookmarkStart w:id="1007" w:name="_Toc38440090"/>
      <w:bookmarkStart w:id="1008" w:name="_Toc38440427"/>
      <w:bookmarkStart w:id="1009" w:name="_Toc38440959"/>
      <w:bookmarkStart w:id="1010" w:name="_Toc38441291"/>
      <w:bookmarkStart w:id="1011" w:name="_Toc38441623"/>
      <w:bookmarkStart w:id="1012" w:name="_Toc38441951"/>
      <w:bookmarkStart w:id="1013" w:name="_Toc38442283"/>
      <w:bookmarkStart w:id="1014" w:name="_Toc38442615"/>
      <w:bookmarkStart w:id="1015" w:name="_Toc38442946"/>
      <w:bookmarkStart w:id="1016" w:name="_Toc38443277"/>
      <w:bookmarkStart w:id="1017" w:name="_Toc38443608"/>
      <w:bookmarkStart w:id="1018" w:name="_Toc38443938"/>
      <w:bookmarkStart w:id="1019" w:name="_Toc38438406"/>
      <w:bookmarkStart w:id="1020" w:name="_Toc38438743"/>
      <w:bookmarkStart w:id="1021" w:name="_Toc38439080"/>
      <w:bookmarkStart w:id="1022" w:name="_Toc38439417"/>
      <w:bookmarkStart w:id="1023" w:name="_Toc38439754"/>
      <w:bookmarkStart w:id="1024" w:name="_Toc38440091"/>
      <w:bookmarkStart w:id="1025" w:name="_Toc38440428"/>
      <w:bookmarkStart w:id="1026" w:name="_Toc38440960"/>
      <w:bookmarkStart w:id="1027" w:name="_Toc38441292"/>
      <w:bookmarkStart w:id="1028" w:name="_Toc38441624"/>
      <w:bookmarkStart w:id="1029" w:name="_Toc38441952"/>
      <w:bookmarkStart w:id="1030" w:name="_Toc38442284"/>
      <w:bookmarkStart w:id="1031" w:name="_Toc38442616"/>
      <w:bookmarkStart w:id="1032" w:name="_Toc38442947"/>
      <w:bookmarkStart w:id="1033" w:name="_Toc38443278"/>
      <w:bookmarkStart w:id="1034" w:name="_Toc38443609"/>
      <w:bookmarkStart w:id="1035" w:name="_Toc38443939"/>
      <w:bookmarkStart w:id="1036" w:name="_Toc38438407"/>
      <w:bookmarkStart w:id="1037" w:name="_Toc38438744"/>
      <w:bookmarkStart w:id="1038" w:name="_Toc38439081"/>
      <w:bookmarkStart w:id="1039" w:name="_Toc38439418"/>
      <w:bookmarkStart w:id="1040" w:name="_Toc38439755"/>
      <w:bookmarkStart w:id="1041" w:name="_Toc38440092"/>
      <w:bookmarkStart w:id="1042" w:name="_Toc38440429"/>
      <w:bookmarkStart w:id="1043" w:name="_Toc38440961"/>
      <w:bookmarkStart w:id="1044" w:name="_Toc38441293"/>
      <w:bookmarkStart w:id="1045" w:name="_Toc38441625"/>
      <w:bookmarkStart w:id="1046" w:name="_Toc38441953"/>
      <w:bookmarkStart w:id="1047" w:name="_Toc38442285"/>
      <w:bookmarkStart w:id="1048" w:name="_Toc38442617"/>
      <w:bookmarkStart w:id="1049" w:name="_Toc38442948"/>
      <w:bookmarkStart w:id="1050" w:name="_Toc38443279"/>
      <w:bookmarkStart w:id="1051" w:name="_Toc38443610"/>
      <w:bookmarkStart w:id="1052" w:name="_Toc38443940"/>
      <w:bookmarkStart w:id="1053" w:name="_Toc38438408"/>
      <w:bookmarkStart w:id="1054" w:name="_Toc38438745"/>
      <w:bookmarkStart w:id="1055" w:name="_Toc38439082"/>
      <w:bookmarkStart w:id="1056" w:name="_Toc38439419"/>
      <w:bookmarkStart w:id="1057" w:name="_Toc38439756"/>
      <w:bookmarkStart w:id="1058" w:name="_Toc38440093"/>
      <w:bookmarkStart w:id="1059" w:name="_Toc38440430"/>
      <w:bookmarkStart w:id="1060" w:name="_Toc38440962"/>
      <w:bookmarkStart w:id="1061" w:name="_Toc38441294"/>
      <w:bookmarkStart w:id="1062" w:name="_Toc38441626"/>
      <w:bookmarkStart w:id="1063" w:name="_Toc38441954"/>
      <w:bookmarkStart w:id="1064" w:name="_Toc38442286"/>
      <w:bookmarkStart w:id="1065" w:name="_Toc38442618"/>
      <w:bookmarkStart w:id="1066" w:name="_Toc38442949"/>
      <w:bookmarkStart w:id="1067" w:name="_Toc38443280"/>
      <w:bookmarkStart w:id="1068" w:name="_Toc38443611"/>
      <w:bookmarkStart w:id="1069" w:name="_Toc38443941"/>
      <w:bookmarkStart w:id="1070" w:name="_Toc38438409"/>
      <w:bookmarkStart w:id="1071" w:name="_Toc38438746"/>
      <w:bookmarkStart w:id="1072" w:name="_Toc38439083"/>
      <w:bookmarkStart w:id="1073" w:name="_Toc38439420"/>
      <w:bookmarkStart w:id="1074" w:name="_Toc38439757"/>
      <w:bookmarkStart w:id="1075" w:name="_Toc38440094"/>
      <w:bookmarkStart w:id="1076" w:name="_Toc38440431"/>
      <w:bookmarkStart w:id="1077" w:name="_Toc38440963"/>
      <w:bookmarkStart w:id="1078" w:name="_Toc38441295"/>
      <w:bookmarkStart w:id="1079" w:name="_Toc38441627"/>
      <w:bookmarkStart w:id="1080" w:name="_Toc38441955"/>
      <w:bookmarkStart w:id="1081" w:name="_Toc38442287"/>
      <w:bookmarkStart w:id="1082" w:name="_Toc38442619"/>
      <w:bookmarkStart w:id="1083" w:name="_Toc38442950"/>
      <w:bookmarkStart w:id="1084" w:name="_Toc38443281"/>
      <w:bookmarkStart w:id="1085" w:name="_Toc38443612"/>
      <w:bookmarkStart w:id="1086" w:name="_Toc38443942"/>
      <w:bookmarkStart w:id="1087" w:name="_Toc38438410"/>
      <w:bookmarkStart w:id="1088" w:name="_Toc38438747"/>
      <w:bookmarkStart w:id="1089" w:name="_Toc38439084"/>
      <w:bookmarkStart w:id="1090" w:name="_Toc38439421"/>
      <w:bookmarkStart w:id="1091" w:name="_Toc38439758"/>
      <w:bookmarkStart w:id="1092" w:name="_Toc38440095"/>
      <w:bookmarkStart w:id="1093" w:name="_Toc38440432"/>
      <w:bookmarkStart w:id="1094" w:name="_Toc38440964"/>
      <w:bookmarkStart w:id="1095" w:name="_Toc38441296"/>
      <w:bookmarkStart w:id="1096" w:name="_Toc38441628"/>
      <w:bookmarkStart w:id="1097" w:name="_Toc38441956"/>
      <w:bookmarkStart w:id="1098" w:name="_Toc38442288"/>
      <w:bookmarkStart w:id="1099" w:name="_Toc38442620"/>
      <w:bookmarkStart w:id="1100" w:name="_Toc38442951"/>
      <w:bookmarkStart w:id="1101" w:name="_Toc38443282"/>
      <w:bookmarkStart w:id="1102" w:name="_Toc38443613"/>
      <w:bookmarkStart w:id="1103" w:name="_Toc38443943"/>
      <w:bookmarkStart w:id="1104" w:name="_Toc38438411"/>
      <w:bookmarkStart w:id="1105" w:name="_Toc38438748"/>
      <w:bookmarkStart w:id="1106" w:name="_Toc38439085"/>
      <w:bookmarkStart w:id="1107" w:name="_Toc38439422"/>
      <w:bookmarkStart w:id="1108" w:name="_Toc38439759"/>
      <w:bookmarkStart w:id="1109" w:name="_Toc38440096"/>
      <w:bookmarkStart w:id="1110" w:name="_Toc38440433"/>
      <w:bookmarkStart w:id="1111" w:name="_Toc38440965"/>
      <w:bookmarkStart w:id="1112" w:name="_Toc38441297"/>
      <w:bookmarkStart w:id="1113" w:name="_Toc38441629"/>
      <w:bookmarkStart w:id="1114" w:name="_Toc38441957"/>
      <w:bookmarkStart w:id="1115" w:name="_Toc38442289"/>
      <w:bookmarkStart w:id="1116" w:name="_Toc38442621"/>
      <w:bookmarkStart w:id="1117" w:name="_Toc38442952"/>
      <w:bookmarkStart w:id="1118" w:name="_Toc38443283"/>
      <w:bookmarkStart w:id="1119" w:name="_Toc38443614"/>
      <w:bookmarkStart w:id="1120" w:name="_Toc38443944"/>
      <w:bookmarkStart w:id="1121" w:name="_Toc38438412"/>
      <w:bookmarkStart w:id="1122" w:name="_Toc38438749"/>
      <w:bookmarkStart w:id="1123" w:name="_Toc38439086"/>
      <w:bookmarkStart w:id="1124" w:name="_Toc38439423"/>
      <w:bookmarkStart w:id="1125" w:name="_Toc38439760"/>
      <w:bookmarkStart w:id="1126" w:name="_Toc38440097"/>
      <w:bookmarkStart w:id="1127" w:name="_Toc38440434"/>
      <w:bookmarkStart w:id="1128" w:name="_Toc38440966"/>
      <w:bookmarkStart w:id="1129" w:name="_Toc38441298"/>
      <w:bookmarkStart w:id="1130" w:name="_Toc38441630"/>
      <w:bookmarkStart w:id="1131" w:name="_Toc38441958"/>
      <w:bookmarkStart w:id="1132" w:name="_Toc38442290"/>
      <w:bookmarkStart w:id="1133" w:name="_Toc38442622"/>
      <w:bookmarkStart w:id="1134" w:name="_Toc38442953"/>
      <w:bookmarkStart w:id="1135" w:name="_Toc38443284"/>
      <w:bookmarkStart w:id="1136" w:name="_Toc38443615"/>
      <w:bookmarkStart w:id="1137" w:name="_Toc38443945"/>
      <w:bookmarkStart w:id="1138" w:name="_Toc38438413"/>
      <w:bookmarkStart w:id="1139" w:name="_Toc38438750"/>
      <w:bookmarkStart w:id="1140" w:name="_Toc38439087"/>
      <w:bookmarkStart w:id="1141" w:name="_Toc38439424"/>
      <w:bookmarkStart w:id="1142" w:name="_Toc38439761"/>
      <w:bookmarkStart w:id="1143" w:name="_Toc38440098"/>
      <w:bookmarkStart w:id="1144" w:name="_Toc38440435"/>
      <w:bookmarkStart w:id="1145" w:name="_Toc38440967"/>
      <w:bookmarkStart w:id="1146" w:name="_Toc38441299"/>
      <w:bookmarkStart w:id="1147" w:name="_Toc38441631"/>
      <w:bookmarkStart w:id="1148" w:name="_Toc38441959"/>
      <w:bookmarkStart w:id="1149" w:name="_Toc38442291"/>
      <w:bookmarkStart w:id="1150" w:name="_Toc38442623"/>
      <w:bookmarkStart w:id="1151" w:name="_Toc38442954"/>
      <w:bookmarkStart w:id="1152" w:name="_Toc38443285"/>
      <w:bookmarkStart w:id="1153" w:name="_Toc38443616"/>
      <w:bookmarkStart w:id="1154" w:name="_Toc38443946"/>
      <w:bookmarkStart w:id="1155" w:name="_Toc38438414"/>
      <w:bookmarkStart w:id="1156" w:name="_Toc38438751"/>
      <w:bookmarkStart w:id="1157" w:name="_Toc38439088"/>
      <w:bookmarkStart w:id="1158" w:name="_Toc38439425"/>
      <w:bookmarkStart w:id="1159" w:name="_Toc38439762"/>
      <w:bookmarkStart w:id="1160" w:name="_Toc38440099"/>
      <w:bookmarkStart w:id="1161" w:name="_Toc38440436"/>
      <w:bookmarkStart w:id="1162" w:name="_Toc38440968"/>
      <w:bookmarkStart w:id="1163" w:name="_Toc38441300"/>
      <w:bookmarkStart w:id="1164" w:name="_Toc38441632"/>
      <w:bookmarkStart w:id="1165" w:name="_Toc38441960"/>
      <w:bookmarkStart w:id="1166" w:name="_Toc38442292"/>
      <w:bookmarkStart w:id="1167" w:name="_Toc38442624"/>
      <w:bookmarkStart w:id="1168" w:name="_Toc38442955"/>
      <w:bookmarkStart w:id="1169" w:name="_Toc38443286"/>
      <w:bookmarkStart w:id="1170" w:name="_Toc38443617"/>
      <w:bookmarkStart w:id="1171" w:name="_Toc38443947"/>
      <w:bookmarkStart w:id="1172" w:name="_Toc38438415"/>
      <w:bookmarkStart w:id="1173" w:name="_Toc38438752"/>
      <w:bookmarkStart w:id="1174" w:name="_Toc38439089"/>
      <w:bookmarkStart w:id="1175" w:name="_Toc38439426"/>
      <w:bookmarkStart w:id="1176" w:name="_Toc38439763"/>
      <w:bookmarkStart w:id="1177" w:name="_Toc38440100"/>
      <w:bookmarkStart w:id="1178" w:name="_Toc38440437"/>
      <w:bookmarkStart w:id="1179" w:name="_Toc38440969"/>
      <w:bookmarkStart w:id="1180" w:name="_Toc38441301"/>
      <w:bookmarkStart w:id="1181" w:name="_Toc38441633"/>
      <w:bookmarkStart w:id="1182" w:name="_Toc38441961"/>
      <w:bookmarkStart w:id="1183" w:name="_Toc38442293"/>
      <w:bookmarkStart w:id="1184" w:name="_Toc38442625"/>
      <w:bookmarkStart w:id="1185" w:name="_Toc38442956"/>
      <w:bookmarkStart w:id="1186" w:name="_Toc38443287"/>
      <w:bookmarkStart w:id="1187" w:name="_Toc38443618"/>
      <w:bookmarkStart w:id="1188" w:name="_Toc38443948"/>
      <w:bookmarkStart w:id="1189" w:name="_Toc38438416"/>
      <w:bookmarkStart w:id="1190" w:name="_Toc38438753"/>
      <w:bookmarkStart w:id="1191" w:name="_Toc38439090"/>
      <w:bookmarkStart w:id="1192" w:name="_Toc38439427"/>
      <w:bookmarkStart w:id="1193" w:name="_Toc38439764"/>
      <w:bookmarkStart w:id="1194" w:name="_Toc38440101"/>
      <w:bookmarkStart w:id="1195" w:name="_Toc38440438"/>
      <w:bookmarkStart w:id="1196" w:name="_Toc38440970"/>
      <w:bookmarkStart w:id="1197" w:name="_Toc38441302"/>
      <w:bookmarkStart w:id="1198" w:name="_Toc38441634"/>
      <w:bookmarkStart w:id="1199" w:name="_Toc38441962"/>
      <w:bookmarkStart w:id="1200" w:name="_Toc38442294"/>
      <w:bookmarkStart w:id="1201" w:name="_Toc38442626"/>
      <w:bookmarkStart w:id="1202" w:name="_Toc38442957"/>
      <w:bookmarkStart w:id="1203" w:name="_Toc38443288"/>
      <w:bookmarkStart w:id="1204" w:name="_Toc38443619"/>
      <w:bookmarkStart w:id="1205" w:name="_Toc38443949"/>
      <w:bookmarkStart w:id="1206" w:name="_Toc38438417"/>
      <w:bookmarkStart w:id="1207" w:name="_Toc38438754"/>
      <w:bookmarkStart w:id="1208" w:name="_Toc38439091"/>
      <w:bookmarkStart w:id="1209" w:name="_Toc38439428"/>
      <w:bookmarkStart w:id="1210" w:name="_Toc38439765"/>
      <w:bookmarkStart w:id="1211" w:name="_Toc38440102"/>
      <w:bookmarkStart w:id="1212" w:name="_Toc38440439"/>
      <w:bookmarkStart w:id="1213" w:name="_Toc38440971"/>
      <w:bookmarkStart w:id="1214" w:name="_Toc38441303"/>
      <w:bookmarkStart w:id="1215" w:name="_Toc38441635"/>
      <w:bookmarkStart w:id="1216" w:name="_Toc38441963"/>
      <w:bookmarkStart w:id="1217" w:name="_Toc38442295"/>
      <w:bookmarkStart w:id="1218" w:name="_Toc38442627"/>
      <w:bookmarkStart w:id="1219" w:name="_Toc38442958"/>
      <w:bookmarkStart w:id="1220" w:name="_Toc38443289"/>
      <w:bookmarkStart w:id="1221" w:name="_Toc38443620"/>
      <w:bookmarkStart w:id="1222" w:name="_Toc38443950"/>
      <w:bookmarkStart w:id="1223" w:name="_Toc38438418"/>
      <w:bookmarkStart w:id="1224" w:name="_Toc38438755"/>
      <w:bookmarkStart w:id="1225" w:name="_Toc38439092"/>
      <w:bookmarkStart w:id="1226" w:name="_Toc38439429"/>
      <w:bookmarkStart w:id="1227" w:name="_Toc38439766"/>
      <w:bookmarkStart w:id="1228" w:name="_Toc38440103"/>
      <w:bookmarkStart w:id="1229" w:name="_Toc38440440"/>
      <w:bookmarkStart w:id="1230" w:name="_Toc38440972"/>
      <w:bookmarkStart w:id="1231" w:name="_Toc38441304"/>
      <w:bookmarkStart w:id="1232" w:name="_Toc38441636"/>
      <w:bookmarkStart w:id="1233" w:name="_Toc38441964"/>
      <w:bookmarkStart w:id="1234" w:name="_Toc38442296"/>
      <w:bookmarkStart w:id="1235" w:name="_Toc38442628"/>
      <w:bookmarkStart w:id="1236" w:name="_Toc38442959"/>
      <w:bookmarkStart w:id="1237" w:name="_Toc38443290"/>
      <w:bookmarkStart w:id="1238" w:name="_Toc38443621"/>
      <w:bookmarkStart w:id="1239" w:name="_Toc38443951"/>
      <w:bookmarkStart w:id="1240" w:name="_Toc38438419"/>
      <w:bookmarkStart w:id="1241" w:name="_Toc38438756"/>
      <w:bookmarkStart w:id="1242" w:name="_Toc38439093"/>
      <w:bookmarkStart w:id="1243" w:name="_Toc38439430"/>
      <w:bookmarkStart w:id="1244" w:name="_Toc38439767"/>
      <w:bookmarkStart w:id="1245" w:name="_Toc38440104"/>
      <w:bookmarkStart w:id="1246" w:name="_Toc38440441"/>
      <w:bookmarkStart w:id="1247" w:name="_Toc38440973"/>
      <w:bookmarkStart w:id="1248" w:name="_Toc38441305"/>
      <w:bookmarkStart w:id="1249" w:name="_Toc38441637"/>
      <w:bookmarkStart w:id="1250" w:name="_Toc38441965"/>
      <w:bookmarkStart w:id="1251" w:name="_Toc38442297"/>
      <w:bookmarkStart w:id="1252" w:name="_Toc38442629"/>
      <w:bookmarkStart w:id="1253" w:name="_Toc38442960"/>
      <w:bookmarkStart w:id="1254" w:name="_Toc38443291"/>
      <w:bookmarkStart w:id="1255" w:name="_Toc38443622"/>
      <w:bookmarkStart w:id="1256" w:name="_Toc38443952"/>
      <w:bookmarkStart w:id="1257" w:name="_Toc38438420"/>
      <w:bookmarkStart w:id="1258" w:name="_Toc38438757"/>
      <w:bookmarkStart w:id="1259" w:name="_Toc38439094"/>
      <w:bookmarkStart w:id="1260" w:name="_Toc38439431"/>
      <w:bookmarkStart w:id="1261" w:name="_Toc38439768"/>
      <w:bookmarkStart w:id="1262" w:name="_Toc38440105"/>
      <w:bookmarkStart w:id="1263" w:name="_Toc38440442"/>
      <w:bookmarkStart w:id="1264" w:name="_Toc38440974"/>
      <w:bookmarkStart w:id="1265" w:name="_Toc38441306"/>
      <w:bookmarkStart w:id="1266" w:name="_Toc38441638"/>
      <w:bookmarkStart w:id="1267" w:name="_Toc38441966"/>
      <w:bookmarkStart w:id="1268" w:name="_Toc38442298"/>
      <w:bookmarkStart w:id="1269" w:name="_Toc38442630"/>
      <w:bookmarkStart w:id="1270" w:name="_Toc38442961"/>
      <w:bookmarkStart w:id="1271" w:name="_Toc38443292"/>
      <w:bookmarkStart w:id="1272" w:name="_Toc38443623"/>
      <w:bookmarkStart w:id="1273" w:name="_Toc38443953"/>
      <w:bookmarkStart w:id="1274" w:name="_Toc38438421"/>
      <w:bookmarkStart w:id="1275" w:name="_Toc38438758"/>
      <w:bookmarkStart w:id="1276" w:name="_Toc38439095"/>
      <w:bookmarkStart w:id="1277" w:name="_Toc38439432"/>
      <w:bookmarkStart w:id="1278" w:name="_Toc38439769"/>
      <w:bookmarkStart w:id="1279" w:name="_Toc38440106"/>
      <w:bookmarkStart w:id="1280" w:name="_Toc38440443"/>
      <w:bookmarkStart w:id="1281" w:name="_Toc38440975"/>
      <w:bookmarkStart w:id="1282" w:name="_Toc38441307"/>
      <w:bookmarkStart w:id="1283" w:name="_Toc38441639"/>
      <w:bookmarkStart w:id="1284" w:name="_Toc38441967"/>
      <w:bookmarkStart w:id="1285" w:name="_Toc38442299"/>
      <w:bookmarkStart w:id="1286" w:name="_Toc38442631"/>
      <w:bookmarkStart w:id="1287" w:name="_Toc38442962"/>
      <w:bookmarkStart w:id="1288" w:name="_Toc38443293"/>
      <w:bookmarkStart w:id="1289" w:name="_Toc38443624"/>
      <w:bookmarkStart w:id="1290" w:name="_Toc38443954"/>
      <w:bookmarkStart w:id="1291" w:name="_Toc38438422"/>
      <w:bookmarkStart w:id="1292" w:name="_Toc38438759"/>
      <w:bookmarkStart w:id="1293" w:name="_Toc38439096"/>
      <w:bookmarkStart w:id="1294" w:name="_Toc38439433"/>
      <w:bookmarkStart w:id="1295" w:name="_Toc38439770"/>
      <w:bookmarkStart w:id="1296" w:name="_Toc38440107"/>
      <w:bookmarkStart w:id="1297" w:name="_Toc38440444"/>
      <w:bookmarkStart w:id="1298" w:name="_Toc38440976"/>
      <w:bookmarkStart w:id="1299" w:name="_Toc38441308"/>
      <w:bookmarkStart w:id="1300" w:name="_Toc38441640"/>
      <w:bookmarkStart w:id="1301" w:name="_Toc38441968"/>
      <w:bookmarkStart w:id="1302" w:name="_Toc38442300"/>
      <w:bookmarkStart w:id="1303" w:name="_Toc38442632"/>
      <w:bookmarkStart w:id="1304" w:name="_Toc38442963"/>
      <w:bookmarkStart w:id="1305" w:name="_Toc38443294"/>
      <w:bookmarkStart w:id="1306" w:name="_Toc38443625"/>
      <w:bookmarkStart w:id="1307" w:name="_Toc38443955"/>
      <w:bookmarkStart w:id="1308" w:name="_Toc38438423"/>
      <w:bookmarkStart w:id="1309" w:name="_Toc38438760"/>
      <w:bookmarkStart w:id="1310" w:name="_Toc38439097"/>
      <w:bookmarkStart w:id="1311" w:name="_Toc38439434"/>
      <w:bookmarkStart w:id="1312" w:name="_Toc38439771"/>
      <w:bookmarkStart w:id="1313" w:name="_Toc38440108"/>
      <w:bookmarkStart w:id="1314" w:name="_Toc38440445"/>
      <w:bookmarkStart w:id="1315" w:name="_Toc38440977"/>
      <w:bookmarkStart w:id="1316" w:name="_Toc38441309"/>
      <w:bookmarkStart w:id="1317" w:name="_Toc38441641"/>
      <w:bookmarkStart w:id="1318" w:name="_Toc38441969"/>
      <w:bookmarkStart w:id="1319" w:name="_Toc38442301"/>
      <w:bookmarkStart w:id="1320" w:name="_Toc38442633"/>
      <w:bookmarkStart w:id="1321" w:name="_Toc38442964"/>
      <w:bookmarkStart w:id="1322" w:name="_Toc38443295"/>
      <w:bookmarkStart w:id="1323" w:name="_Toc38443626"/>
      <w:bookmarkStart w:id="1324" w:name="_Toc38443956"/>
      <w:bookmarkStart w:id="1325" w:name="_Toc38438424"/>
      <w:bookmarkStart w:id="1326" w:name="_Toc38438761"/>
      <w:bookmarkStart w:id="1327" w:name="_Toc38439098"/>
      <w:bookmarkStart w:id="1328" w:name="_Toc38439435"/>
      <w:bookmarkStart w:id="1329" w:name="_Toc38439772"/>
      <w:bookmarkStart w:id="1330" w:name="_Toc38440109"/>
      <w:bookmarkStart w:id="1331" w:name="_Toc38440446"/>
      <w:bookmarkStart w:id="1332" w:name="_Toc38440978"/>
      <w:bookmarkStart w:id="1333" w:name="_Toc38441310"/>
      <w:bookmarkStart w:id="1334" w:name="_Toc38441642"/>
      <w:bookmarkStart w:id="1335" w:name="_Toc38441970"/>
      <w:bookmarkStart w:id="1336" w:name="_Toc38442302"/>
      <w:bookmarkStart w:id="1337" w:name="_Toc38442634"/>
      <w:bookmarkStart w:id="1338" w:name="_Toc38442965"/>
      <w:bookmarkStart w:id="1339" w:name="_Toc38443296"/>
      <w:bookmarkStart w:id="1340" w:name="_Toc38443627"/>
      <w:bookmarkStart w:id="1341" w:name="_Toc38443957"/>
      <w:bookmarkStart w:id="1342" w:name="_Toc38438425"/>
      <w:bookmarkStart w:id="1343" w:name="_Toc38438762"/>
      <w:bookmarkStart w:id="1344" w:name="_Toc38439099"/>
      <w:bookmarkStart w:id="1345" w:name="_Toc38439436"/>
      <w:bookmarkStart w:id="1346" w:name="_Toc38439773"/>
      <w:bookmarkStart w:id="1347" w:name="_Toc38440110"/>
      <w:bookmarkStart w:id="1348" w:name="_Toc38440447"/>
      <w:bookmarkStart w:id="1349" w:name="_Toc38440979"/>
      <w:bookmarkStart w:id="1350" w:name="_Toc38441311"/>
      <w:bookmarkStart w:id="1351" w:name="_Toc38441643"/>
      <w:bookmarkStart w:id="1352" w:name="_Toc38441971"/>
      <w:bookmarkStart w:id="1353" w:name="_Toc38442303"/>
      <w:bookmarkStart w:id="1354" w:name="_Toc38442635"/>
      <w:bookmarkStart w:id="1355" w:name="_Toc38442966"/>
      <w:bookmarkStart w:id="1356" w:name="_Toc38443297"/>
      <w:bookmarkStart w:id="1357" w:name="_Toc38443628"/>
      <w:bookmarkStart w:id="1358" w:name="_Toc38443958"/>
      <w:bookmarkStart w:id="1359" w:name="_Toc38438426"/>
      <w:bookmarkStart w:id="1360" w:name="_Toc38438763"/>
      <w:bookmarkStart w:id="1361" w:name="_Toc38439100"/>
      <w:bookmarkStart w:id="1362" w:name="_Toc38439437"/>
      <w:bookmarkStart w:id="1363" w:name="_Toc38439774"/>
      <w:bookmarkStart w:id="1364" w:name="_Toc38440111"/>
      <w:bookmarkStart w:id="1365" w:name="_Toc38440448"/>
      <w:bookmarkStart w:id="1366" w:name="_Toc38440980"/>
      <w:bookmarkStart w:id="1367" w:name="_Toc38441312"/>
      <w:bookmarkStart w:id="1368" w:name="_Toc38441644"/>
      <w:bookmarkStart w:id="1369" w:name="_Toc38441972"/>
      <w:bookmarkStart w:id="1370" w:name="_Toc38442304"/>
      <w:bookmarkStart w:id="1371" w:name="_Toc38442636"/>
      <w:bookmarkStart w:id="1372" w:name="_Toc38442967"/>
      <w:bookmarkStart w:id="1373" w:name="_Toc38443298"/>
      <w:bookmarkStart w:id="1374" w:name="_Toc38443629"/>
      <w:bookmarkStart w:id="1375" w:name="_Toc38443959"/>
      <w:bookmarkStart w:id="1376" w:name="_Toc38438427"/>
      <w:bookmarkStart w:id="1377" w:name="_Toc38438764"/>
      <w:bookmarkStart w:id="1378" w:name="_Toc38439101"/>
      <w:bookmarkStart w:id="1379" w:name="_Toc38439438"/>
      <w:bookmarkStart w:id="1380" w:name="_Toc38439775"/>
      <w:bookmarkStart w:id="1381" w:name="_Toc38440112"/>
      <w:bookmarkStart w:id="1382" w:name="_Toc38440449"/>
      <w:bookmarkStart w:id="1383" w:name="_Toc38440981"/>
      <w:bookmarkStart w:id="1384" w:name="_Toc38441313"/>
      <w:bookmarkStart w:id="1385" w:name="_Toc38441645"/>
      <w:bookmarkStart w:id="1386" w:name="_Toc38441973"/>
      <w:bookmarkStart w:id="1387" w:name="_Toc38442305"/>
      <w:bookmarkStart w:id="1388" w:name="_Toc38442637"/>
      <w:bookmarkStart w:id="1389" w:name="_Toc38442968"/>
      <w:bookmarkStart w:id="1390" w:name="_Toc38443299"/>
      <w:bookmarkStart w:id="1391" w:name="_Toc38443630"/>
      <w:bookmarkStart w:id="1392" w:name="_Toc38443960"/>
      <w:bookmarkStart w:id="1393" w:name="_Toc38438428"/>
      <w:bookmarkStart w:id="1394" w:name="_Toc38438765"/>
      <w:bookmarkStart w:id="1395" w:name="_Toc38439102"/>
      <w:bookmarkStart w:id="1396" w:name="_Toc38439439"/>
      <w:bookmarkStart w:id="1397" w:name="_Toc38439776"/>
      <w:bookmarkStart w:id="1398" w:name="_Toc38440113"/>
      <w:bookmarkStart w:id="1399" w:name="_Toc38440450"/>
      <w:bookmarkStart w:id="1400" w:name="_Toc38440982"/>
      <w:bookmarkStart w:id="1401" w:name="_Toc38441314"/>
      <w:bookmarkStart w:id="1402" w:name="_Toc38441646"/>
      <w:bookmarkStart w:id="1403" w:name="_Toc38441974"/>
      <w:bookmarkStart w:id="1404" w:name="_Toc38442306"/>
      <w:bookmarkStart w:id="1405" w:name="_Toc38442638"/>
      <w:bookmarkStart w:id="1406" w:name="_Toc38442969"/>
      <w:bookmarkStart w:id="1407" w:name="_Toc38443300"/>
      <w:bookmarkStart w:id="1408" w:name="_Toc38443631"/>
      <w:bookmarkStart w:id="1409" w:name="_Toc38443961"/>
      <w:bookmarkStart w:id="1410" w:name="_Toc38438429"/>
      <w:bookmarkStart w:id="1411" w:name="_Toc38438766"/>
      <w:bookmarkStart w:id="1412" w:name="_Toc38439103"/>
      <w:bookmarkStart w:id="1413" w:name="_Toc38439440"/>
      <w:bookmarkStart w:id="1414" w:name="_Toc38439777"/>
      <w:bookmarkStart w:id="1415" w:name="_Toc38440114"/>
      <w:bookmarkStart w:id="1416" w:name="_Toc38440451"/>
      <w:bookmarkStart w:id="1417" w:name="_Toc38440983"/>
      <w:bookmarkStart w:id="1418" w:name="_Toc38441315"/>
      <w:bookmarkStart w:id="1419" w:name="_Toc38441647"/>
      <w:bookmarkStart w:id="1420" w:name="_Toc38441975"/>
      <w:bookmarkStart w:id="1421" w:name="_Toc38442307"/>
      <w:bookmarkStart w:id="1422" w:name="_Toc38442639"/>
      <w:bookmarkStart w:id="1423" w:name="_Toc38442970"/>
      <w:bookmarkStart w:id="1424" w:name="_Toc38443301"/>
      <w:bookmarkStart w:id="1425" w:name="_Toc38443632"/>
      <w:bookmarkStart w:id="1426" w:name="_Toc38443962"/>
      <w:bookmarkStart w:id="1427" w:name="_Toc38438430"/>
      <w:bookmarkStart w:id="1428" w:name="_Toc38438767"/>
      <w:bookmarkStart w:id="1429" w:name="_Toc38439104"/>
      <w:bookmarkStart w:id="1430" w:name="_Toc38439441"/>
      <w:bookmarkStart w:id="1431" w:name="_Toc38439778"/>
      <w:bookmarkStart w:id="1432" w:name="_Toc38440115"/>
      <w:bookmarkStart w:id="1433" w:name="_Toc38440452"/>
      <w:bookmarkStart w:id="1434" w:name="_Toc38440984"/>
      <w:bookmarkStart w:id="1435" w:name="_Toc38441316"/>
      <w:bookmarkStart w:id="1436" w:name="_Toc38441648"/>
      <w:bookmarkStart w:id="1437" w:name="_Toc38441976"/>
      <w:bookmarkStart w:id="1438" w:name="_Toc38442308"/>
      <w:bookmarkStart w:id="1439" w:name="_Toc38442640"/>
      <w:bookmarkStart w:id="1440" w:name="_Toc38442971"/>
      <w:bookmarkStart w:id="1441" w:name="_Toc38443302"/>
      <w:bookmarkStart w:id="1442" w:name="_Toc38443633"/>
      <w:bookmarkStart w:id="1443" w:name="_Toc38443963"/>
      <w:bookmarkStart w:id="1444" w:name="_Toc38438431"/>
      <w:bookmarkStart w:id="1445" w:name="_Toc38438768"/>
      <w:bookmarkStart w:id="1446" w:name="_Toc38439105"/>
      <w:bookmarkStart w:id="1447" w:name="_Toc38439442"/>
      <w:bookmarkStart w:id="1448" w:name="_Toc38439779"/>
      <w:bookmarkStart w:id="1449" w:name="_Toc38440116"/>
      <w:bookmarkStart w:id="1450" w:name="_Toc38440453"/>
      <w:bookmarkStart w:id="1451" w:name="_Toc38440985"/>
      <w:bookmarkStart w:id="1452" w:name="_Toc38441317"/>
      <w:bookmarkStart w:id="1453" w:name="_Toc38441649"/>
      <w:bookmarkStart w:id="1454" w:name="_Toc38441977"/>
      <w:bookmarkStart w:id="1455" w:name="_Toc38442309"/>
      <w:bookmarkStart w:id="1456" w:name="_Toc38442641"/>
      <w:bookmarkStart w:id="1457" w:name="_Toc38442972"/>
      <w:bookmarkStart w:id="1458" w:name="_Toc38443303"/>
      <w:bookmarkStart w:id="1459" w:name="_Toc38443634"/>
      <w:bookmarkStart w:id="1460" w:name="_Toc38443964"/>
      <w:bookmarkStart w:id="1461" w:name="_Toc38438432"/>
      <w:bookmarkStart w:id="1462" w:name="_Toc38438769"/>
      <w:bookmarkStart w:id="1463" w:name="_Toc38439106"/>
      <w:bookmarkStart w:id="1464" w:name="_Toc38439443"/>
      <w:bookmarkStart w:id="1465" w:name="_Toc38439780"/>
      <w:bookmarkStart w:id="1466" w:name="_Toc38440117"/>
      <w:bookmarkStart w:id="1467" w:name="_Toc38440454"/>
      <w:bookmarkStart w:id="1468" w:name="_Toc38440986"/>
      <w:bookmarkStart w:id="1469" w:name="_Toc38441318"/>
      <w:bookmarkStart w:id="1470" w:name="_Toc38441650"/>
      <w:bookmarkStart w:id="1471" w:name="_Toc38441978"/>
      <w:bookmarkStart w:id="1472" w:name="_Toc38442310"/>
      <w:bookmarkStart w:id="1473" w:name="_Toc38442642"/>
      <w:bookmarkStart w:id="1474" w:name="_Toc38442973"/>
      <w:bookmarkStart w:id="1475" w:name="_Toc38443304"/>
      <w:bookmarkStart w:id="1476" w:name="_Toc38443635"/>
      <w:bookmarkStart w:id="1477" w:name="_Toc38443965"/>
      <w:bookmarkStart w:id="1478" w:name="_Toc38438433"/>
      <w:bookmarkStart w:id="1479" w:name="_Toc38438770"/>
      <w:bookmarkStart w:id="1480" w:name="_Toc38439107"/>
      <w:bookmarkStart w:id="1481" w:name="_Toc38439444"/>
      <w:bookmarkStart w:id="1482" w:name="_Toc38439781"/>
      <w:bookmarkStart w:id="1483" w:name="_Toc38440118"/>
      <w:bookmarkStart w:id="1484" w:name="_Toc38440455"/>
      <w:bookmarkStart w:id="1485" w:name="_Toc38440987"/>
      <w:bookmarkStart w:id="1486" w:name="_Toc38441319"/>
      <w:bookmarkStart w:id="1487" w:name="_Toc38441651"/>
      <w:bookmarkStart w:id="1488" w:name="_Toc38441979"/>
      <w:bookmarkStart w:id="1489" w:name="_Toc38442311"/>
      <w:bookmarkStart w:id="1490" w:name="_Toc38442643"/>
      <w:bookmarkStart w:id="1491" w:name="_Toc38442974"/>
      <w:bookmarkStart w:id="1492" w:name="_Toc38443305"/>
      <w:bookmarkStart w:id="1493" w:name="_Toc38443636"/>
      <w:bookmarkStart w:id="1494" w:name="_Toc38443966"/>
      <w:bookmarkStart w:id="1495" w:name="_Toc38438434"/>
      <w:bookmarkStart w:id="1496" w:name="_Toc38438771"/>
      <w:bookmarkStart w:id="1497" w:name="_Toc38439108"/>
      <w:bookmarkStart w:id="1498" w:name="_Toc38439445"/>
      <w:bookmarkStart w:id="1499" w:name="_Toc38439782"/>
      <w:bookmarkStart w:id="1500" w:name="_Toc38440119"/>
      <w:bookmarkStart w:id="1501" w:name="_Toc38440456"/>
      <w:bookmarkStart w:id="1502" w:name="_Toc38440988"/>
      <w:bookmarkStart w:id="1503" w:name="_Toc38441320"/>
      <w:bookmarkStart w:id="1504" w:name="_Toc38441652"/>
      <w:bookmarkStart w:id="1505" w:name="_Toc38441980"/>
      <w:bookmarkStart w:id="1506" w:name="_Toc38442312"/>
      <w:bookmarkStart w:id="1507" w:name="_Toc38442644"/>
      <w:bookmarkStart w:id="1508" w:name="_Toc38442975"/>
      <w:bookmarkStart w:id="1509" w:name="_Toc38443306"/>
      <w:bookmarkStart w:id="1510" w:name="_Toc38443637"/>
      <w:bookmarkStart w:id="1511" w:name="_Toc38443967"/>
      <w:bookmarkStart w:id="1512" w:name="_Toc38438435"/>
      <w:bookmarkStart w:id="1513" w:name="_Toc38438772"/>
      <w:bookmarkStart w:id="1514" w:name="_Toc38439109"/>
      <w:bookmarkStart w:id="1515" w:name="_Toc38439446"/>
      <w:bookmarkStart w:id="1516" w:name="_Toc38439783"/>
      <w:bookmarkStart w:id="1517" w:name="_Toc38440120"/>
      <w:bookmarkStart w:id="1518" w:name="_Toc38440457"/>
      <w:bookmarkStart w:id="1519" w:name="_Toc38440989"/>
      <w:bookmarkStart w:id="1520" w:name="_Toc38441321"/>
      <w:bookmarkStart w:id="1521" w:name="_Toc38441653"/>
      <w:bookmarkStart w:id="1522" w:name="_Toc38441981"/>
      <w:bookmarkStart w:id="1523" w:name="_Toc38442313"/>
      <w:bookmarkStart w:id="1524" w:name="_Toc38442645"/>
      <w:bookmarkStart w:id="1525" w:name="_Toc38442976"/>
      <w:bookmarkStart w:id="1526" w:name="_Toc38443307"/>
      <w:bookmarkStart w:id="1527" w:name="_Toc38443638"/>
      <w:bookmarkStart w:id="1528" w:name="_Toc38443968"/>
      <w:bookmarkStart w:id="1529" w:name="_Toc38438436"/>
      <w:bookmarkStart w:id="1530" w:name="_Toc38438773"/>
      <w:bookmarkStart w:id="1531" w:name="_Toc38439110"/>
      <w:bookmarkStart w:id="1532" w:name="_Toc38439447"/>
      <w:bookmarkStart w:id="1533" w:name="_Toc38439784"/>
      <w:bookmarkStart w:id="1534" w:name="_Toc38440121"/>
      <w:bookmarkStart w:id="1535" w:name="_Toc38440458"/>
      <w:bookmarkStart w:id="1536" w:name="_Toc38440990"/>
      <w:bookmarkStart w:id="1537" w:name="_Toc38441322"/>
      <w:bookmarkStart w:id="1538" w:name="_Toc38441654"/>
      <w:bookmarkStart w:id="1539" w:name="_Toc38441982"/>
      <w:bookmarkStart w:id="1540" w:name="_Toc38442314"/>
      <w:bookmarkStart w:id="1541" w:name="_Toc38442646"/>
      <w:bookmarkStart w:id="1542" w:name="_Toc38442977"/>
      <w:bookmarkStart w:id="1543" w:name="_Toc38443308"/>
      <w:bookmarkStart w:id="1544" w:name="_Toc38443639"/>
      <w:bookmarkStart w:id="1545" w:name="_Toc38443969"/>
      <w:bookmarkStart w:id="1546" w:name="_Toc38438437"/>
      <w:bookmarkStart w:id="1547" w:name="_Toc38438774"/>
      <w:bookmarkStart w:id="1548" w:name="_Toc38439111"/>
      <w:bookmarkStart w:id="1549" w:name="_Toc38439448"/>
      <w:bookmarkStart w:id="1550" w:name="_Toc38439785"/>
      <w:bookmarkStart w:id="1551" w:name="_Toc38440122"/>
      <w:bookmarkStart w:id="1552" w:name="_Toc38440459"/>
      <w:bookmarkStart w:id="1553" w:name="_Toc38440991"/>
      <w:bookmarkStart w:id="1554" w:name="_Toc38441323"/>
      <w:bookmarkStart w:id="1555" w:name="_Toc38441655"/>
      <w:bookmarkStart w:id="1556" w:name="_Toc38441983"/>
      <w:bookmarkStart w:id="1557" w:name="_Toc38442315"/>
      <w:bookmarkStart w:id="1558" w:name="_Toc38442647"/>
      <w:bookmarkStart w:id="1559" w:name="_Toc38442978"/>
      <w:bookmarkStart w:id="1560" w:name="_Toc38443309"/>
      <w:bookmarkStart w:id="1561" w:name="_Toc38443640"/>
      <w:bookmarkStart w:id="1562" w:name="_Toc38443970"/>
      <w:bookmarkStart w:id="1563" w:name="_Toc38438438"/>
      <w:bookmarkStart w:id="1564" w:name="_Toc38438775"/>
      <w:bookmarkStart w:id="1565" w:name="_Toc38439112"/>
      <w:bookmarkStart w:id="1566" w:name="_Toc38439449"/>
      <w:bookmarkStart w:id="1567" w:name="_Toc38439786"/>
      <w:bookmarkStart w:id="1568" w:name="_Toc38440123"/>
      <w:bookmarkStart w:id="1569" w:name="_Toc38440460"/>
      <w:bookmarkStart w:id="1570" w:name="_Toc38440992"/>
      <w:bookmarkStart w:id="1571" w:name="_Toc38441324"/>
      <w:bookmarkStart w:id="1572" w:name="_Toc38441656"/>
      <w:bookmarkStart w:id="1573" w:name="_Toc38441984"/>
      <w:bookmarkStart w:id="1574" w:name="_Toc38442316"/>
      <w:bookmarkStart w:id="1575" w:name="_Toc38442648"/>
      <w:bookmarkStart w:id="1576" w:name="_Toc38442979"/>
      <w:bookmarkStart w:id="1577" w:name="_Toc38443310"/>
      <w:bookmarkStart w:id="1578" w:name="_Toc38443641"/>
      <w:bookmarkStart w:id="1579" w:name="_Toc38443971"/>
      <w:bookmarkStart w:id="1580" w:name="_Toc38438439"/>
      <w:bookmarkStart w:id="1581" w:name="_Toc38438776"/>
      <w:bookmarkStart w:id="1582" w:name="_Toc38439113"/>
      <w:bookmarkStart w:id="1583" w:name="_Toc38439450"/>
      <w:bookmarkStart w:id="1584" w:name="_Toc38439787"/>
      <w:bookmarkStart w:id="1585" w:name="_Toc38440124"/>
      <w:bookmarkStart w:id="1586" w:name="_Toc38440461"/>
      <w:bookmarkStart w:id="1587" w:name="_Toc38440993"/>
      <w:bookmarkStart w:id="1588" w:name="_Toc38441325"/>
      <w:bookmarkStart w:id="1589" w:name="_Toc38441657"/>
      <w:bookmarkStart w:id="1590" w:name="_Toc38441985"/>
      <w:bookmarkStart w:id="1591" w:name="_Toc38442317"/>
      <w:bookmarkStart w:id="1592" w:name="_Toc38442649"/>
      <w:bookmarkStart w:id="1593" w:name="_Toc38442980"/>
      <w:bookmarkStart w:id="1594" w:name="_Toc38443311"/>
      <w:bookmarkStart w:id="1595" w:name="_Toc38443642"/>
      <w:bookmarkStart w:id="1596" w:name="_Toc38443972"/>
      <w:bookmarkStart w:id="1597" w:name="_Toc38438440"/>
      <w:bookmarkStart w:id="1598" w:name="_Toc38438777"/>
      <w:bookmarkStart w:id="1599" w:name="_Toc38439114"/>
      <w:bookmarkStart w:id="1600" w:name="_Toc38439451"/>
      <w:bookmarkStart w:id="1601" w:name="_Toc38439788"/>
      <w:bookmarkStart w:id="1602" w:name="_Toc38440125"/>
      <w:bookmarkStart w:id="1603" w:name="_Toc38440462"/>
      <w:bookmarkStart w:id="1604" w:name="_Toc38440994"/>
      <w:bookmarkStart w:id="1605" w:name="_Toc38441326"/>
      <w:bookmarkStart w:id="1606" w:name="_Toc38441658"/>
      <w:bookmarkStart w:id="1607" w:name="_Toc38441986"/>
      <w:bookmarkStart w:id="1608" w:name="_Toc38442318"/>
      <w:bookmarkStart w:id="1609" w:name="_Toc38442650"/>
      <w:bookmarkStart w:id="1610" w:name="_Toc38442981"/>
      <w:bookmarkStart w:id="1611" w:name="_Toc38443312"/>
      <w:bookmarkStart w:id="1612" w:name="_Toc38443643"/>
      <w:bookmarkStart w:id="1613" w:name="_Toc38443973"/>
      <w:bookmarkStart w:id="1614" w:name="_Toc38438441"/>
      <w:bookmarkStart w:id="1615" w:name="_Toc38438778"/>
      <w:bookmarkStart w:id="1616" w:name="_Toc38439115"/>
      <w:bookmarkStart w:id="1617" w:name="_Toc38439452"/>
      <w:bookmarkStart w:id="1618" w:name="_Toc38439789"/>
      <w:bookmarkStart w:id="1619" w:name="_Toc38440126"/>
      <w:bookmarkStart w:id="1620" w:name="_Toc38440463"/>
      <w:bookmarkStart w:id="1621" w:name="_Toc38440995"/>
      <w:bookmarkStart w:id="1622" w:name="_Toc38441327"/>
      <w:bookmarkStart w:id="1623" w:name="_Toc38441659"/>
      <w:bookmarkStart w:id="1624" w:name="_Toc38441987"/>
      <w:bookmarkStart w:id="1625" w:name="_Toc38442319"/>
      <w:bookmarkStart w:id="1626" w:name="_Toc38442651"/>
      <w:bookmarkStart w:id="1627" w:name="_Toc38442982"/>
      <w:bookmarkStart w:id="1628" w:name="_Toc38443313"/>
      <w:bookmarkStart w:id="1629" w:name="_Toc38443644"/>
      <w:bookmarkStart w:id="1630" w:name="_Toc38443974"/>
      <w:bookmarkStart w:id="1631" w:name="_Toc38438442"/>
      <w:bookmarkStart w:id="1632" w:name="_Toc38438779"/>
      <w:bookmarkStart w:id="1633" w:name="_Toc38439116"/>
      <w:bookmarkStart w:id="1634" w:name="_Toc38439453"/>
      <w:bookmarkStart w:id="1635" w:name="_Toc38439790"/>
      <w:bookmarkStart w:id="1636" w:name="_Toc38440127"/>
      <w:bookmarkStart w:id="1637" w:name="_Toc38440464"/>
      <w:bookmarkStart w:id="1638" w:name="_Toc38440996"/>
      <w:bookmarkStart w:id="1639" w:name="_Toc38441328"/>
      <w:bookmarkStart w:id="1640" w:name="_Toc38441660"/>
      <w:bookmarkStart w:id="1641" w:name="_Toc38441988"/>
      <w:bookmarkStart w:id="1642" w:name="_Toc38442320"/>
      <w:bookmarkStart w:id="1643" w:name="_Toc38442652"/>
      <w:bookmarkStart w:id="1644" w:name="_Toc38442983"/>
      <w:bookmarkStart w:id="1645" w:name="_Toc38443314"/>
      <w:bookmarkStart w:id="1646" w:name="_Toc38443645"/>
      <w:bookmarkStart w:id="1647" w:name="_Toc38443975"/>
      <w:bookmarkStart w:id="1648" w:name="_Toc38438443"/>
      <w:bookmarkStart w:id="1649" w:name="_Toc38438780"/>
      <w:bookmarkStart w:id="1650" w:name="_Toc38439117"/>
      <w:bookmarkStart w:id="1651" w:name="_Toc38439454"/>
      <w:bookmarkStart w:id="1652" w:name="_Toc38439791"/>
      <w:bookmarkStart w:id="1653" w:name="_Toc38440128"/>
      <w:bookmarkStart w:id="1654" w:name="_Toc38440465"/>
      <w:bookmarkStart w:id="1655" w:name="_Toc38440997"/>
      <w:bookmarkStart w:id="1656" w:name="_Toc38441329"/>
      <w:bookmarkStart w:id="1657" w:name="_Toc38441661"/>
      <w:bookmarkStart w:id="1658" w:name="_Toc38441989"/>
      <w:bookmarkStart w:id="1659" w:name="_Toc38442321"/>
      <w:bookmarkStart w:id="1660" w:name="_Toc38442653"/>
      <w:bookmarkStart w:id="1661" w:name="_Toc38442984"/>
      <w:bookmarkStart w:id="1662" w:name="_Toc38443315"/>
      <w:bookmarkStart w:id="1663" w:name="_Toc38443646"/>
      <w:bookmarkStart w:id="1664" w:name="_Toc38443976"/>
      <w:bookmarkStart w:id="1665" w:name="_Toc38438444"/>
      <w:bookmarkStart w:id="1666" w:name="_Toc38438781"/>
      <w:bookmarkStart w:id="1667" w:name="_Toc38439118"/>
      <w:bookmarkStart w:id="1668" w:name="_Toc38439455"/>
      <w:bookmarkStart w:id="1669" w:name="_Toc38439792"/>
      <w:bookmarkStart w:id="1670" w:name="_Toc38440129"/>
      <w:bookmarkStart w:id="1671" w:name="_Toc38440466"/>
      <w:bookmarkStart w:id="1672" w:name="_Toc38440998"/>
      <w:bookmarkStart w:id="1673" w:name="_Toc38441330"/>
      <w:bookmarkStart w:id="1674" w:name="_Toc38441662"/>
      <w:bookmarkStart w:id="1675" w:name="_Toc38441990"/>
      <w:bookmarkStart w:id="1676" w:name="_Toc38442322"/>
      <w:bookmarkStart w:id="1677" w:name="_Toc38442654"/>
      <w:bookmarkStart w:id="1678" w:name="_Toc38442985"/>
      <w:bookmarkStart w:id="1679" w:name="_Toc38443316"/>
      <w:bookmarkStart w:id="1680" w:name="_Toc38443647"/>
      <w:bookmarkStart w:id="1681" w:name="_Toc38443977"/>
      <w:bookmarkStart w:id="1682" w:name="_Toc38438445"/>
      <w:bookmarkStart w:id="1683" w:name="_Toc38438782"/>
      <w:bookmarkStart w:id="1684" w:name="_Toc38439119"/>
      <w:bookmarkStart w:id="1685" w:name="_Toc38439456"/>
      <w:bookmarkStart w:id="1686" w:name="_Toc38439793"/>
      <w:bookmarkStart w:id="1687" w:name="_Toc38440130"/>
      <w:bookmarkStart w:id="1688" w:name="_Toc38440467"/>
      <w:bookmarkStart w:id="1689" w:name="_Toc38440999"/>
      <w:bookmarkStart w:id="1690" w:name="_Toc38441331"/>
      <w:bookmarkStart w:id="1691" w:name="_Toc38441663"/>
      <w:bookmarkStart w:id="1692" w:name="_Toc38441991"/>
      <w:bookmarkStart w:id="1693" w:name="_Toc38442323"/>
      <w:bookmarkStart w:id="1694" w:name="_Toc38442655"/>
      <w:bookmarkStart w:id="1695" w:name="_Toc38442986"/>
      <w:bookmarkStart w:id="1696" w:name="_Toc38443317"/>
      <w:bookmarkStart w:id="1697" w:name="_Toc38443648"/>
      <w:bookmarkStart w:id="1698" w:name="_Toc38443978"/>
      <w:bookmarkStart w:id="1699" w:name="_Toc38438446"/>
      <w:bookmarkStart w:id="1700" w:name="_Toc38438783"/>
      <w:bookmarkStart w:id="1701" w:name="_Toc38439120"/>
      <w:bookmarkStart w:id="1702" w:name="_Toc38439457"/>
      <w:bookmarkStart w:id="1703" w:name="_Toc38439794"/>
      <w:bookmarkStart w:id="1704" w:name="_Toc38440131"/>
      <w:bookmarkStart w:id="1705" w:name="_Toc38440468"/>
      <w:bookmarkStart w:id="1706" w:name="_Toc38441000"/>
      <w:bookmarkStart w:id="1707" w:name="_Toc38441332"/>
      <w:bookmarkStart w:id="1708" w:name="_Toc38441664"/>
      <w:bookmarkStart w:id="1709" w:name="_Toc38441992"/>
      <w:bookmarkStart w:id="1710" w:name="_Toc38442324"/>
      <w:bookmarkStart w:id="1711" w:name="_Toc38442656"/>
      <w:bookmarkStart w:id="1712" w:name="_Toc38442987"/>
      <w:bookmarkStart w:id="1713" w:name="_Toc38443318"/>
      <w:bookmarkStart w:id="1714" w:name="_Toc38443649"/>
      <w:bookmarkStart w:id="1715" w:name="_Toc38443979"/>
      <w:bookmarkStart w:id="1716" w:name="_Toc38438447"/>
      <w:bookmarkStart w:id="1717" w:name="_Toc38438784"/>
      <w:bookmarkStart w:id="1718" w:name="_Toc38439121"/>
      <w:bookmarkStart w:id="1719" w:name="_Toc38439458"/>
      <w:bookmarkStart w:id="1720" w:name="_Toc38439795"/>
      <w:bookmarkStart w:id="1721" w:name="_Toc38440132"/>
      <w:bookmarkStart w:id="1722" w:name="_Toc38440469"/>
      <w:bookmarkStart w:id="1723" w:name="_Toc38441001"/>
      <w:bookmarkStart w:id="1724" w:name="_Toc38441333"/>
      <w:bookmarkStart w:id="1725" w:name="_Toc38441665"/>
      <w:bookmarkStart w:id="1726" w:name="_Toc38441993"/>
      <w:bookmarkStart w:id="1727" w:name="_Toc38442325"/>
      <w:bookmarkStart w:id="1728" w:name="_Toc38442657"/>
      <w:bookmarkStart w:id="1729" w:name="_Toc38442988"/>
      <w:bookmarkStart w:id="1730" w:name="_Toc38443319"/>
      <w:bookmarkStart w:id="1731" w:name="_Toc38443650"/>
      <w:bookmarkStart w:id="1732" w:name="_Toc38443980"/>
      <w:bookmarkStart w:id="1733" w:name="_Toc38438448"/>
      <w:bookmarkStart w:id="1734" w:name="_Toc38438785"/>
      <w:bookmarkStart w:id="1735" w:name="_Toc38439122"/>
      <w:bookmarkStart w:id="1736" w:name="_Toc38439459"/>
      <w:bookmarkStart w:id="1737" w:name="_Toc38439796"/>
      <w:bookmarkStart w:id="1738" w:name="_Toc38440133"/>
      <w:bookmarkStart w:id="1739" w:name="_Toc38440470"/>
      <w:bookmarkStart w:id="1740" w:name="_Toc38441002"/>
      <w:bookmarkStart w:id="1741" w:name="_Toc38441334"/>
      <w:bookmarkStart w:id="1742" w:name="_Toc38441666"/>
      <w:bookmarkStart w:id="1743" w:name="_Toc38441994"/>
      <w:bookmarkStart w:id="1744" w:name="_Toc38442326"/>
      <w:bookmarkStart w:id="1745" w:name="_Toc38442658"/>
      <w:bookmarkStart w:id="1746" w:name="_Toc38442989"/>
      <w:bookmarkStart w:id="1747" w:name="_Toc38443320"/>
      <w:bookmarkStart w:id="1748" w:name="_Toc38443651"/>
      <w:bookmarkStart w:id="1749" w:name="_Toc38443981"/>
      <w:bookmarkStart w:id="1750" w:name="_Toc38438449"/>
      <w:bookmarkStart w:id="1751" w:name="_Toc38438786"/>
      <w:bookmarkStart w:id="1752" w:name="_Toc38439123"/>
      <w:bookmarkStart w:id="1753" w:name="_Toc38439460"/>
      <w:bookmarkStart w:id="1754" w:name="_Toc38439797"/>
      <w:bookmarkStart w:id="1755" w:name="_Toc38440134"/>
      <w:bookmarkStart w:id="1756" w:name="_Toc38440471"/>
      <w:bookmarkStart w:id="1757" w:name="_Toc38441003"/>
      <w:bookmarkStart w:id="1758" w:name="_Toc38441335"/>
      <w:bookmarkStart w:id="1759" w:name="_Toc38441667"/>
      <w:bookmarkStart w:id="1760" w:name="_Toc38441995"/>
      <w:bookmarkStart w:id="1761" w:name="_Toc38442327"/>
      <w:bookmarkStart w:id="1762" w:name="_Toc38442659"/>
      <w:bookmarkStart w:id="1763" w:name="_Toc38442990"/>
      <w:bookmarkStart w:id="1764" w:name="_Toc38443321"/>
      <w:bookmarkStart w:id="1765" w:name="_Toc38443652"/>
      <w:bookmarkStart w:id="1766" w:name="_Toc38443982"/>
      <w:bookmarkStart w:id="1767" w:name="_Toc38438450"/>
      <w:bookmarkStart w:id="1768" w:name="_Toc38438787"/>
      <w:bookmarkStart w:id="1769" w:name="_Toc38439124"/>
      <w:bookmarkStart w:id="1770" w:name="_Toc38439461"/>
      <w:bookmarkStart w:id="1771" w:name="_Toc38439798"/>
      <w:bookmarkStart w:id="1772" w:name="_Toc38440135"/>
      <w:bookmarkStart w:id="1773" w:name="_Toc38440472"/>
      <w:bookmarkStart w:id="1774" w:name="_Toc38441004"/>
      <w:bookmarkStart w:id="1775" w:name="_Toc38441336"/>
      <w:bookmarkStart w:id="1776" w:name="_Toc38441668"/>
      <w:bookmarkStart w:id="1777" w:name="_Toc38441996"/>
      <w:bookmarkStart w:id="1778" w:name="_Toc38442328"/>
      <w:bookmarkStart w:id="1779" w:name="_Toc38442660"/>
      <w:bookmarkStart w:id="1780" w:name="_Toc38442991"/>
      <w:bookmarkStart w:id="1781" w:name="_Toc38443322"/>
      <w:bookmarkStart w:id="1782" w:name="_Toc38443653"/>
      <w:bookmarkStart w:id="1783" w:name="_Toc38443983"/>
      <w:bookmarkStart w:id="1784" w:name="_Toc38438451"/>
      <w:bookmarkStart w:id="1785" w:name="_Toc38438788"/>
      <w:bookmarkStart w:id="1786" w:name="_Toc38439125"/>
      <w:bookmarkStart w:id="1787" w:name="_Toc38439462"/>
      <w:bookmarkStart w:id="1788" w:name="_Toc38439799"/>
      <w:bookmarkStart w:id="1789" w:name="_Toc38440136"/>
      <w:bookmarkStart w:id="1790" w:name="_Toc38440473"/>
      <w:bookmarkStart w:id="1791" w:name="_Toc38441005"/>
      <w:bookmarkStart w:id="1792" w:name="_Toc38441337"/>
      <w:bookmarkStart w:id="1793" w:name="_Toc38441669"/>
      <w:bookmarkStart w:id="1794" w:name="_Toc38441997"/>
      <w:bookmarkStart w:id="1795" w:name="_Toc38442329"/>
      <w:bookmarkStart w:id="1796" w:name="_Toc38442661"/>
      <w:bookmarkStart w:id="1797" w:name="_Toc38442992"/>
      <w:bookmarkStart w:id="1798" w:name="_Toc38443323"/>
      <w:bookmarkStart w:id="1799" w:name="_Toc38443654"/>
      <w:bookmarkStart w:id="1800" w:name="_Toc38443984"/>
      <w:bookmarkStart w:id="1801" w:name="_Toc38438452"/>
      <w:bookmarkStart w:id="1802" w:name="_Toc38438789"/>
      <w:bookmarkStart w:id="1803" w:name="_Toc38439126"/>
      <w:bookmarkStart w:id="1804" w:name="_Toc38439463"/>
      <w:bookmarkStart w:id="1805" w:name="_Toc38439800"/>
      <w:bookmarkStart w:id="1806" w:name="_Toc38440137"/>
      <w:bookmarkStart w:id="1807" w:name="_Toc38440474"/>
      <w:bookmarkStart w:id="1808" w:name="_Toc38441006"/>
      <w:bookmarkStart w:id="1809" w:name="_Toc38441338"/>
      <w:bookmarkStart w:id="1810" w:name="_Toc38441670"/>
      <w:bookmarkStart w:id="1811" w:name="_Toc38441998"/>
      <w:bookmarkStart w:id="1812" w:name="_Toc38442330"/>
      <w:bookmarkStart w:id="1813" w:name="_Toc38442662"/>
      <w:bookmarkStart w:id="1814" w:name="_Toc38442993"/>
      <w:bookmarkStart w:id="1815" w:name="_Toc38443324"/>
      <w:bookmarkStart w:id="1816" w:name="_Toc38443655"/>
      <w:bookmarkStart w:id="1817" w:name="_Toc38443985"/>
      <w:bookmarkStart w:id="1818" w:name="_Toc38438453"/>
      <w:bookmarkStart w:id="1819" w:name="_Toc38438790"/>
      <w:bookmarkStart w:id="1820" w:name="_Toc38439127"/>
      <w:bookmarkStart w:id="1821" w:name="_Toc38439464"/>
      <w:bookmarkStart w:id="1822" w:name="_Toc38439801"/>
      <w:bookmarkStart w:id="1823" w:name="_Toc38440138"/>
      <w:bookmarkStart w:id="1824" w:name="_Toc38440475"/>
      <w:bookmarkStart w:id="1825" w:name="_Toc38441007"/>
      <w:bookmarkStart w:id="1826" w:name="_Toc38441339"/>
      <w:bookmarkStart w:id="1827" w:name="_Toc38441671"/>
      <w:bookmarkStart w:id="1828" w:name="_Toc38441999"/>
      <w:bookmarkStart w:id="1829" w:name="_Toc38442331"/>
      <w:bookmarkStart w:id="1830" w:name="_Toc38442663"/>
      <w:bookmarkStart w:id="1831" w:name="_Toc38442994"/>
      <w:bookmarkStart w:id="1832" w:name="_Toc38443325"/>
      <w:bookmarkStart w:id="1833" w:name="_Toc38443656"/>
      <w:bookmarkStart w:id="1834" w:name="_Toc38443986"/>
      <w:bookmarkStart w:id="1835" w:name="_Toc38438454"/>
      <w:bookmarkStart w:id="1836" w:name="_Toc38438791"/>
      <w:bookmarkStart w:id="1837" w:name="_Toc38439128"/>
      <w:bookmarkStart w:id="1838" w:name="_Toc38439465"/>
      <w:bookmarkStart w:id="1839" w:name="_Toc38439802"/>
      <w:bookmarkStart w:id="1840" w:name="_Toc38440139"/>
      <w:bookmarkStart w:id="1841" w:name="_Toc38440476"/>
      <w:bookmarkStart w:id="1842" w:name="_Toc38441008"/>
      <w:bookmarkStart w:id="1843" w:name="_Toc38441340"/>
      <w:bookmarkStart w:id="1844" w:name="_Toc38441672"/>
      <w:bookmarkStart w:id="1845" w:name="_Toc38442000"/>
      <w:bookmarkStart w:id="1846" w:name="_Toc38442332"/>
      <w:bookmarkStart w:id="1847" w:name="_Toc38442664"/>
      <w:bookmarkStart w:id="1848" w:name="_Toc38442995"/>
      <w:bookmarkStart w:id="1849" w:name="_Toc38443326"/>
      <w:bookmarkStart w:id="1850" w:name="_Toc38443657"/>
      <w:bookmarkStart w:id="1851" w:name="_Toc38443987"/>
      <w:bookmarkStart w:id="1852" w:name="_Toc38438455"/>
      <w:bookmarkStart w:id="1853" w:name="_Toc38438792"/>
      <w:bookmarkStart w:id="1854" w:name="_Toc38439129"/>
      <w:bookmarkStart w:id="1855" w:name="_Toc38439466"/>
      <w:bookmarkStart w:id="1856" w:name="_Toc38439803"/>
      <w:bookmarkStart w:id="1857" w:name="_Toc38440140"/>
      <w:bookmarkStart w:id="1858" w:name="_Toc38440477"/>
      <w:bookmarkStart w:id="1859" w:name="_Toc38441009"/>
      <w:bookmarkStart w:id="1860" w:name="_Toc38441341"/>
      <w:bookmarkStart w:id="1861" w:name="_Toc38441673"/>
      <w:bookmarkStart w:id="1862" w:name="_Toc38442001"/>
      <w:bookmarkStart w:id="1863" w:name="_Toc38442333"/>
      <w:bookmarkStart w:id="1864" w:name="_Toc38442665"/>
      <w:bookmarkStart w:id="1865" w:name="_Toc38442996"/>
      <w:bookmarkStart w:id="1866" w:name="_Toc38443327"/>
      <w:bookmarkStart w:id="1867" w:name="_Toc38443658"/>
      <w:bookmarkStart w:id="1868" w:name="_Toc38443988"/>
      <w:bookmarkStart w:id="1869" w:name="_Toc38438456"/>
      <w:bookmarkStart w:id="1870" w:name="_Toc38438793"/>
      <w:bookmarkStart w:id="1871" w:name="_Toc38439130"/>
      <w:bookmarkStart w:id="1872" w:name="_Toc38439467"/>
      <w:bookmarkStart w:id="1873" w:name="_Toc38439804"/>
      <w:bookmarkStart w:id="1874" w:name="_Toc38440141"/>
      <w:bookmarkStart w:id="1875" w:name="_Toc38440478"/>
      <w:bookmarkStart w:id="1876" w:name="_Toc38441010"/>
      <w:bookmarkStart w:id="1877" w:name="_Toc38441342"/>
      <w:bookmarkStart w:id="1878" w:name="_Toc38441674"/>
      <w:bookmarkStart w:id="1879" w:name="_Toc38442002"/>
      <w:bookmarkStart w:id="1880" w:name="_Toc38442334"/>
      <w:bookmarkStart w:id="1881" w:name="_Toc38442666"/>
      <w:bookmarkStart w:id="1882" w:name="_Toc38442997"/>
      <w:bookmarkStart w:id="1883" w:name="_Toc38443328"/>
      <w:bookmarkStart w:id="1884" w:name="_Toc38443659"/>
      <w:bookmarkStart w:id="1885" w:name="_Toc38443989"/>
      <w:bookmarkStart w:id="1886" w:name="_Toc38438457"/>
      <w:bookmarkStart w:id="1887" w:name="_Toc38438794"/>
      <w:bookmarkStart w:id="1888" w:name="_Toc38439131"/>
      <w:bookmarkStart w:id="1889" w:name="_Toc38439468"/>
      <w:bookmarkStart w:id="1890" w:name="_Toc38439805"/>
      <w:bookmarkStart w:id="1891" w:name="_Toc38440142"/>
      <w:bookmarkStart w:id="1892" w:name="_Toc38440479"/>
      <w:bookmarkStart w:id="1893" w:name="_Toc38441011"/>
      <w:bookmarkStart w:id="1894" w:name="_Toc38441343"/>
      <w:bookmarkStart w:id="1895" w:name="_Toc38441675"/>
      <w:bookmarkStart w:id="1896" w:name="_Toc38442003"/>
      <w:bookmarkStart w:id="1897" w:name="_Toc38442335"/>
      <w:bookmarkStart w:id="1898" w:name="_Toc38442667"/>
      <w:bookmarkStart w:id="1899" w:name="_Toc38442998"/>
      <w:bookmarkStart w:id="1900" w:name="_Toc38443329"/>
      <w:bookmarkStart w:id="1901" w:name="_Toc38443660"/>
      <w:bookmarkStart w:id="1902" w:name="_Toc38443990"/>
      <w:bookmarkStart w:id="1903" w:name="_Toc38438458"/>
      <w:bookmarkStart w:id="1904" w:name="_Toc38438795"/>
      <w:bookmarkStart w:id="1905" w:name="_Toc38439132"/>
      <w:bookmarkStart w:id="1906" w:name="_Toc38439469"/>
      <w:bookmarkStart w:id="1907" w:name="_Toc38439806"/>
      <w:bookmarkStart w:id="1908" w:name="_Toc38440143"/>
      <w:bookmarkStart w:id="1909" w:name="_Toc38440480"/>
      <w:bookmarkStart w:id="1910" w:name="_Toc38441012"/>
      <w:bookmarkStart w:id="1911" w:name="_Toc38441344"/>
      <w:bookmarkStart w:id="1912" w:name="_Toc38441676"/>
      <w:bookmarkStart w:id="1913" w:name="_Toc38442004"/>
      <w:bookmarkStart w:id="1914" w:name="_Toc38442336"/>
      <w:bookmarkStart w:id="1915" w:name="_Toc38442668"/>
      <w:bookmarkStart w:id="1916" w:name="_Toc38442999"/>
      <w:bookmarkStart w:id="1917" w:name="_Toc38443330"/>
      <w:bookmarkStart w:id="1918" w:name="_Toc38443661"/>
      <w:bookmarkStart w:id="1919" w:name="_Toc3844399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7759F2">
        <w:rPr>
          <w:rFonts w:asciiTheme="minorEastAsia" w:eastAsiaTheme="minorEastAsia" w:hAnsiTheme="minorEastAsia"/>
          <w:szCs w:val="21"/>
        </w:rPr>
        <w:t>2020年6月</w:t>
      </w:r>
      <w:r w:rsidR="007759F2" w:rsidRPr="007759F2">
        <w:rPr>
          <w:rFonts w:asciiTheme="minorEastAsia" w:eastAsiaTheme="minorEastAsia" w:hAnsiTheme="minorEastAsia"/>
          <w:szCs w:val="21"/>
        </w:rPr>
        <w:t>19</w:t>
      </w:r>
      <w:r w:rsidRPr="007759F2">
        <w:rPr>
          <w:rFonts w:asciiTheme="minorEastAsia" w:eastAsiaTheme="minorEastAsia" w:hAnsiTheme="minorEastAsia"/>
          <w:szCs w:val="21"/>
        </w:rPr>
        <w:t>日</w:t>
      </w:r>
    </w:p>
    <w:sectPr w:rsidR="00BA4B87" w:rsidRPr="007759F2" w:rsidSect="001B5F3E">
      <w:footerReference w:type="default" r:id="rId18"/>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52" w:rsidRDefault="00093452"/>
    <w:p w:rsidR="00093452" w:rsidRDefault="00093452"/>
  </w:endnote>
  <w:endnote w:type="continuationSeparator" w:id="0">
    <w:p w:rsidR="00093452" w:rsidRDefault="00093452"/>
    <w:p w:rsidR="00093452" w:rsidRDefault="00093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rsidP="008B1EB8">
    <w:pPr>
      <w:pStyle w:val="a9"/>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rsidP="008B1EB8">
    <w:pPr>
      <w:pStyle w:val="a9"/>
      <w:ind w:firstLine="360"/>
      <w:jc w:val="center"/>
    </w:pPr>
    <w:r>
      <w:fldChar w:fldCharType="begin"/>
    </w:r>
    <w:r>
      <w:instrText>PAGE   \* MERGEFORMAT</w:instrText>
    </w:r>
    <w:r>
      <w:fldChar w:fldCharType="separate"/>
    </w:r>
    <w:r w:rsidR="006E0A15" w:rsidRPr="006E0A15">
      <w:rPr>
        <w:noProof/>
        <w:lang w:val="zh-CN"/>
      </w:rPr>
      <w:t>159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rsidP="00AE70B8">
    <w:pPr>
      <w:pStyle w:val="a9"/>
      <w:ind w:firstLine="360"/>
      <w:jc w:val="center"/>
    </w:pPr>
    <w:r>
      <w:fldChar w:fldCharType="begin"/>
    </w:r>
    <w:r>
      <w:instrText xml:space="preserve"> PAGE   \* MERGEFORMAT </w:instrText>
    </w:r>
    <w:r>
      <w:fldChar w:fldCharType="separate"/>
    </w:r>
    <w:r w:rsidR="006E0A15" w:rsidRPr="006E0A15">
      <w:rPr>
        <w:noProof/>
        <w:lang w:val="zh-CN"/>
      </w:rPr>
      <w:t>160</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52" w:rsidRDefault="00093452"/>
    <w:p w:rsidR="00093452" w:rsidRDefault="00093452"/>
  </w:footnote>
  <w:footnote w:type="continuationSeparator" w:id="0">
    <w:p w:rsidR="00093452" w:rsidRDefault="00093452"/>
    <w:p w:rsidR="00093452" w:rsidRDefault="00093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39" w:rsidRDefault="00080739" w:rsidP="007759F2">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CF" w:rsidRDefault="009D7ECF">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2"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2696"/>
    <w:rsid w:val="00002865"/>
    <w:rsid w:val="00002B9F"/>
    <w:rsid w:val="00003C24"/>
    <w:rsid w:val="00005763"/>
    <w:rsid w:val="000059BE"/>
    <w:rsid w:val="000064C6"/>
    <w:rsid w:val="00006C96"/>
    <w:rsid w:val="00010950"/>
    <w:rsid w:val="00010BE3"/>
    <w:rsid w:val="000123D9"/>
    <w:rsid w:val="0001419E"/>
    <w:rsid w:val="00014B86"/>
    <w:rsid w:val="0001561E"/>
    <w:rsid w:val="0001716B"/>
    <w:rsid w:val="000174AA"/>
    <w:rsid w:val="00020907"/>
    <w:rsid w:val="00021D40"/>
    <w:rsid w:val="00021E6B"/>
    <w:rsid w:val="00022523"/>
    <w:rsid w:val="00023038"/>
    <w:rsid w:val="00025C20"/>
    <w:rsid w:val="00025D8B"/>
    <w:rsid w:val="00026705"/>
    <w:rsid w:val="00027992"/>
    <w:rsid w:val="00027D3C"/>
    <w:rsid w:val="00030AA1"/>
    <w:rsid w:val="00030EFE"/>
    <w:rsid w:val="00031D27"/>
    <w:rsid w:val="000335F6"/>
    <w:rsid w:val="00034C47"/>
    <w:rsid w:val="00036C46"/>
    <w:rsid w:val="000375DA"/>
    <w:rsid w:val="00037A8D"/>
    <w:rsid w:val="00040946"/>
    <w:rsid w:val="00042C9F"/>
    <w:rsid w:val="000432F2"/>
    <w:rsid w:val="00043C5D"/>
    <w:rsid w:val="000467C2"/>
    <w:rsid w:val="00046A2F"/>
    <w:rsid w:val="00046AE8"/>
    <w:rsid w:val="00046D6E"/>
    <w:rsid w:val="00047342"/>
    <w:rsid w:val="00047CE2"/>
    <w:rsid w:val="00047F65"/>
    <w:rsid w:val="000512C9"/>
    <w:rsid w:val="0005136C"/>
    <w:rsid w:val="00052320"/>
    <w:rsid w:val="00052C9F"/>
    <w:rsid w:val="00053030"/>
    <w:rsid w:val="00053DBD"/>
    <w:rsid w:val="00053E4C"/>
    <w:rsid w:val="00053FF6"/>
    <w:rsid w:val="0005478E"/>
    <w:rsid w:val="00055032"/>
    <w:rsid w:val="000553C5"/>
    <w:rsid w:val="0005646C"/>
    <w:rsid w:val="000573BB"/>
    <w:rsid w:val="0005759B"/>
    <w:rsid w:val="000579E2"/>
    <w:rsid w:val="00057F5D"/>
    <w:rsid w:val="000602D3"/>
    <w:rsid w:val="000603E7"/>
    <w:rsid w:val="00060771"/>
    <w:rsid w:val="00061A4B"/>
    <w:rsid w:val="00062004"/>
    <w:rsid w:val="0006260C"/>
    <w:rsid w:val="00062629"/>
    <w:rsid w:val="0006533D"/>
    <w:rsid w:val="000658E9"/>
    <w:rsid w:val="0006600C"/>
    <w:rsid w:val="00066D91"/>
    <w:rsid w:val="0006739E"/>
    <w:rsid w:val="00067E66"/>
    <w:rsid w:val="00070309"/>
    <w:rsid w:val="000743BB"/>
    <w:rsid w:val="0007451B"/>
    <w:rsid w:val="000751D7"/>
    <w:rsid w:val="000754B6"/>
    <w:rsid w:val="00076E39"/>
    <w:rsid w:val="00077BD0"/>
    <w:rsid w:val="00080739"/>
    <w:rsid w:val="00080A4A"/>
    <w:rsid w:val="000818DA"/>
    <w:rsid w:val="00082A5F"/>
    <w:rsid w:val="00083FA6"/>
    <w:rsid w:val="0008426E"/>
    <w:rsid w:val="00084A0F"/>
    <w:rsid w:val="00085404"/>
    <w:rsid w:val="00085634"/>
    <w:rsid w:val="000878D9"/>
    <w:rsid w:val="00087C08"/>
    <w:rsid w:val="000900B4"/>
    <w:rsid w:val="00090469"/>
    <w:rsid w:val="00090BF0"/>
    <w:rsid w:val="000913DE"/>
    <w:rsid w:val="00093452"/>
    <w:rsid w:val="00093518"/>
    <w:rsid w:val="0009363C"/>
    <w:rsid w:val="00094E4B"/>
    <w:rsid w:val="000A0C99"/>
    <w:rsid w:val="000A1967"/>
    <w:rsid w:val="000A20AD"/>
    <w:rsid w:val="000A26DC"/>
    <w:rsid w:val="000A34E2"/>
    <w:rsid w:val="000A4424"/>
    <w:rsid w:val="000A53A4"/>
    <w:rsid w:val="000A55CC"/>
    <w:rsid w:val="000A579A"/>
    <w:rsid w:val="000A63A1"/>
    <w:rsid w:val="000A66A1"/>
    <w:rsid w:val="000A6C68"/>
    <w:rsid w:val="000A7C2A"/>
    <w:rsid w:val="000B0B17"/>
    <w:rsid w:val="000B1599"/>
    <w:rsid w:val="000B224B"/>
    <w:rsid w:val="000B2464"/>
    <w:rsid w:val="000B2DD6"/>
    <w:rsid w:val="000B3335"/>
    <w:rsid w:val="000B3479"/>
    <w:rsid w:val="000B35AE"/>
    <w:rsid w:val="000B46DC"/>
    <w:rsid w:val="000B5344"/>
    <w:rsid w:val="000B541F"/>
    <w:rsid w:val="000B6B76"/>
    <w:rsid w:val="000B6BFA"/>
    <w:rsid w:val="000B73F9"/>
    <w:rsid w:val="000C2D98"/>
    <w:rsid w:val="000C2DBC"/>
    <w:rsid w:val="000C32FA"/>
    <w:rsid w:val="000C3945"/>
    <w:rsid w:val="000C481B"/>
    <w:rsid w:val="000C5050"/>
    <w:rsid w:val="000C721F"/>
    <w:rsid w:val="000D1888"/>
    <w:rsid w:val="000D33EA"/>
    <w:rsid w:val="000D3ADE"/>
    <w:rsid w:val="000D3DAB"/>
    <w:rsid w:val="000D4DF8"/>
    <w:rsid w:val="000D5359"/>
    <w:rsid w:val="000D6139"/>
    <w:rsid w:val="000D743D"/>
    <w:rsid w:val="000E06C8"/>
    <w:rsid w:val="000E0FEA"/>
    <w:rsid w:val="000E1148"/>
    <w:rsid w:val="000E1757"/>
    <w:rsid w:val="000E197D"/>
    <w:rsid w:val="000E27C2"/>
    <w:rsid w:val="000E2BA4"/>
    <w:rsid w:val="000E2F9E"/>
    <w:rsid w:val="000E39F0"/>
    <w:rsid w:val="000E46D7"/>
    <w:rsid w:val="000E51B7"/>
    <w:rsid w:val="000E628E"/>
    <w:rsid w:val="000E6D1C"/>
    <w:rsid w:val="000E7413"/>
    <w:rsid w:val="000E77BB"/>
    <w:rsid w:val="000E7F0B"/>
    <w:rsid w:val="000F1063"/>
    <w:rsid w:val="000F1803"/>
    <w:rsid w:val="000F217C"/>
    <w:rsid w:val="000F2807"/>
    <w:rsid w:val="000F33E1"/>
    <w:rsid w:val="000F3DCD"/>
    <w:rsid w:val="000F44F1"/>
    <w:rsid w:val="000F5558"/>
    <w:rsid w:val="000F595F"/>
    <w:rsid w:val="000F6E21"/>
    <w:rsid w:val="000F71D6"/>
    <w:rsid w:val="000F74E9"/>
    <w:rsid w:val="000F79C6"/>
    <w:rsid w:val="00101ABE"/>
    <w:rsid w:val="001029BF"/>
    <w:rsid w:val="00103010"/>
    <w:rsid w:val="00103317"/>
    <w:rsid w:val="00103C99"/>
    <w:rsid w:val="00103D57"/>
    <w:rsid w:val="00104072"/>
    <w:rsid w:val="00104621"/>
    <w:rsid w:val="00105592"/>
    <w:rsid w:val="00105DA3"/>
    <w:rsid w:val="0010655B"/>
    <w:rsid w:val="0010689F"/>
    <w:rsid w:val="00107E28"/>
    <w:rsid w:val="001105B4"/>
    <w:rsid w:val="0011071E"/>
    <w:rsid w:val="0011115D"/>
    <w:rsid w:val="001111DA"/>
    <w:rsid w:val="0011137D"/>
    <w:rsid w:val="00111483"/>
    <w:rsid w:val="00111550"/>
    <w:rsid w:val="00112622"/>
    <w:rsid w:val="00112E59"/>
    <w:rsid w:val="001138AD"/>
    <w:rsid w:val="00114CB9"/>
    <w:rsid w:val="001175C0"/>
    <w:rsid w:val="001176C5"/>
    <w:rsid w:val="00117AF6"/>
    <w:rsid w:val="0012005A"/>
    <w:rsid w:val="00120226"/>
    <w:rsid w:val="00121AB8"/>
    <w:rsid w:val="001260F5"/>
    <w:rsid w:val="0013083E"/>
    <w:rsid w:val="001308D7"/>
    <w:rsid w:val="00130A00"/>
    <w:rsid w:val="00130E9A"/>
    <w:rsid w:val="001318DA"/>
    <w:rsid w:val="00132C86"/>
    <w:rsid w:val="00133009"/>
    <w:rsid w:val="0013422A"/>
    <w:rsid w:val="001347A6"/>
    <w:rsid w:val="001350FE"/>
    <w:rsid w:val="00135E76"/>
    <w:rsid w:val="00135EF2"/>
    <w:rsid w:val="00135F3C"/>
    <w:rsid w:val="00136430"/>
    <w:rsid w:val="001369FA"/>
    <w:rsid w:val="00137C27"/>
    <w:rsid w:val="00137DAD"/>
    <w:rsid w:val="00140387"/>
    <w:rsid w:val="001404C8"/>
    <w:rsid w:val="0014103F"/>
    <w:rsid w:val="00141DBD"/>
    <w:rsid w:val="00142DCB"/>
    <w:rsid w:val="00143612"/>
    <w:rsid w:val="001461B1"/>
    <w:rsid w:val="00146C0A"/>
    <w:rsid w:val="001474BD"/>
    <w:rsid w:val="00147A68"/>
    <w:rsid w:val="0015192A"/>
    <w:rsid w:val="00157F9D"/>
    <w:rsid w:val="001611D1"/>
    <w:rsid w:val="001617AE"/>
    <w:rsid w:val="00161887"/>
    <w:rsid w:val="001618F9"/>
    <w:rsid w:val="00161CFC"/>
    <w:rsid w:val="0016274E"/>
    <w:rsid w:val="00162EEB"/>
    <w:rsid w:val="00163296"/>
    <w:rsid w:val="001634D6"/>
    <w:rsid w:val="00163592"/>
    <w:rsid w:val="0016381A"/>
    <w:rsid w:val="00163C31"/>
    <w:rsid w:val="001642EB"/>
    <w:rsid w:val="00164C1E"/>
    <w:rsid w:val="00164DEB"/>
    <w:rsid w:val="00164EE8"/>
    <w:rsid w:val="00165405"/>
    <w:rsid w:val="001678FB"/>
    <w:rsid w:val="00167E97"/>
    <w:rsid w:val="0017025E"/>
    <w:rsid w:val="001711A1"/>
    <w:rsid w:val="001735E3"/>
    <w:rsid w:val="00174E97"/>
    <w:rsid w:val="00175112"/>
    <w:rsid w:val="00175965"/>
    <w:rsid w:val="001769C4"/>
    <w:rsid w:val="00177EF8"/>
    <w:rsid w:val="00181D5A"/>
    <w:rsid w:val="00184282"/>
    <w:rsid w:val="00184F77"/>
    <w:rsid w:val="001856A1"/>
    <w:rsid w:val="00187C2E"/>
    <w:rsid w:val="0019023A"/>
    <w:rsid w:val="00192A21"/>
    <w:rsid w:val="00192FAC"/>
    <w:rsid w:val="001930AD"/>
    <w:rsid w:val="00193187"/>
    <w:rsid w:val="0019364D"/>
    <w:rsid w:val="00194301"/>
    <w:rsid w:val="00194665"/>
    <w:rsid w:val="0019491D"/>
    <w:rsid w:val="00194A61"/>
    <w:rsid w:val="00194C12"/>
    <w:rsid w:val="001953F1"/>
    <w:rsid w:val="0019543C"/>
    <w:rsid w:val="00196EB2"/>
    <w:rsid w:val="001977D2"/>
    <w:rsid w:val="0019799A"/>
    <w:rsid w:val="001A1688"/>
    <w:rsid w:val="001A23F7"/>
    <w:rsid w:val="001A5992"/>
    <w:rsid w:val="001A599B"/>
    <w:rsid w:val="001A59D1"/>
    <w:rsid w:val="001A6348"/>
    <w:rsid w:val="001A6C00"/>
    <w:rsid w:val="001A7C28"/>
    <w:rsid w:val="001B0851"/>
    <w:rsid w:val="001B18F3"/>
    <w:rsid w:val="001B1C0C"/>
    <w:rsid w:val="001B39DD"/>
    <w:rsid w:val="001B52A6"/>
    <w:rsid w:val="001B52C9"/>
    <w:rsid w:val="001B5D97"/>
    <w:rsid w:val="001B5F3E"/>
    <w:rsid w:val="001B62B0"/>
    <w:rsid w:val="001B6F92"/>
    <w:rsid w:val="001B71AC"/>
    <w:rsid w:val="001B7A7F"/>
    <w:rsid w:val="001C049E"/>
    <w:rsid w:val="001C1088"/>
    <w:rsid w:val="001C175C"/>
    <w:rsid w:val="001C255F"/>
    <w:rsid w:val="001C54CA"/>
    <w:rsid w:val="001C555F"/>
    <w:rsid w:val="001C56D2"/>
    <w:rsid w:val="001C5A87"/>
    <w:rsid w:val="001C5F3E"/>
    <w:rsid w:val="001C626A"/>
    <w:rsid w:val="001C73D0"/>
    <w:rsid w:val="001D03BD"/>
    <w:rsid w:val="001D047F"/>
    <w:rsid w:val="001D10FC"/>
    <w:rsid w:val="001D1B94"/>
    <w:rsid w:val="001D2766"/>
    <w:rsid w:val="001D2A4F"/>
    <w:rsid w:val="001D2AE6"/>
    <w:rsid w:val="001D30BB"/>
    <w:rsid w:val="001D3B8C"/>
    <w:rsid w:val="001D4386"/>
    <w:rsid w:val="001D4770"/>
    <w:rsid w:val="001D4B9C"/>
    <w:rsid w:val="001D506E"/>
    <w:rsid w:val="001D5928"/>
    <w:rsid w:val="001D6852"/>
    <w:rsid w:val="001D71FB"/>
    <w:rsid w:val="001D7542"/>
    <w:rsid w:val="001E2C67"/>
    <w:rsid w:val="001E2E05"/>
    <w:rsid w:val="001E3849"/>
    <w:rsid w:val="001E45B9"/>
    <w:rsid w:val="001E49F5"/>
    <w:rsid w:val="001E4C2E"/>
    <w:rsid w:val="001E4EF1"/>
    <w:rsid w:val="001E5840"/>
    <w:rsid w:val="001E5FFC"/>
    <w:rsid w:val="001E6198"/>
    <w:rsid w:val="001E6AB4"/>
    <w:rsid w:val="001E7E40"/>
    <w:rsid w:val="001F12B2"/>
    <w:rsid w:val="001F1407"/>
    <w:rsid w:val="001F246F"/>
    <w:rsid w:val="001F3C78"/>
    <w:rsid w:val="001F3CB0"/>
    <w:rsid w:val="001F3F96"/>
    <w:rsid w:val="001F51BD"/>
    <w:rsid w:val="001F546C"/>
    <w:rsid w:val="001F59B1"/>
    <w:rsid w:val="00200097"/>
    <w:rsid w:val="002004ED"/>
    <w:rsid w:val="002010A5"/>
    <w:rsid w:val="00201DD9"/>
    <w:rsid w:val="00202CA0"/>
    <w:rsid w:val="002030F5"/>
    <w:rsid w:val="002034E4"/>
    <w:rsid w:val="0020350B"/>
    <w:rsid w:val="002039C9"/>
    <w:rsid w:val="00204E42"/>
    <w:rsid w:val="00205733"/>
    <w:rsid w:val="002057BD"/>
    <w:rsid w:val="00205D7C"/>
    <w:rsid w:val="00206F26"/>
    <w:rsid w:val="002077D1"/>
    <w:rsid w:val="00210543"/>
    <w:rsid w:val="0021171D"/>
    <w:rsid w:val="0021184E"/>
    <w:rsid w:val="0021302E"/>
    <w:rsid w:val="002141F8"/>
    <w:rsid w:val="00214437"/>
    <w:rsid w:val="0021491A"/>
    <w:rsid w:val="00214A68"/>
    <w:rsid w:val="00215990"/>
    <w:rsid w:val="00216C41"/>
    <w:rsid w:val="00220813"/>
    <w:rsid w:val="00220D0C"/>
    <w:rsid w:val="00220FA0"/>
    <w:rsid w:val="002213EA"/>
    <w:rsid w:val="002214F8"/>
    <w:rsid w:val="00221D08"/>
    <w:rsid w:val="002221EE"/>
    <w:rsid w:val="00222A41"/>
    <w:rsid w:val="002233ED"/>
    <w:rsid w:val="00224477"/>
    <w:rsid w:val="0022545D"/>
    <w:rsid w:val="00225B09"/>
    <w:rsid w:val="00225DC8"/>
    <w:rsid w:val="00226D90"/>
    <w:rsid w:val="00230718"/>
    <w:rsid w:val="00232498"/>
    <w:rsid w:val="00232814"/>
    <w:rsid w:val="00232BE8"/>
    <w:rsid w:val="00235E1D"/>
    <w:rsid w:val="00236A36"/>
    <w:rsid w:val="00236C12"/>
    <w:rsid w:val="002429D0"/>
    <w:rsid w:val="00243202"/>
    <w:rsid w:val="0024354F"/>
    <w:rsid w:val="00244BC7"/>
    <w:rsid w:val="00244FEE"/>
    <w:rsid w:val="00246735"/>
    <w:rsid w:val="00247917"/>
    <w:rsid w:val="002522C1"/>
    <w:rsid w:val="002535AB"/>
    <w:rsid w:val="002536D4"/>
    <w:rsid w:val="002540FF"/>
    <w:rsid w:val="0025451A"/>
    <w:rsid w:val="00254F5B"/>
    <w:rsid w:val="002551F0"/>
    <w:rsid w:val="00255427"/>
    <w:rsid w:val="00255E8E"/>
    <w:rsid w:val="002567AE"/>
    <w:rsid w:val="00257225"/>
    <w:rsid w:val="00260637"/>
    <w:rsid w:val="0026173F"/>
    <w:rsid w:val="00262C89"/>
    <w:rsid w:val="0026340B"/>
    <w:rsid w:val="00263C50"/>
    <w:rsid w:val="0026526E"/>
    <w:rsid w:val="00265506"/>
    <w:rsid w:val="0026592C"/>
    <w:rsid w:val="00266197"/>
    <w:rsid w:val="00266EA9"/>
    <w:rsid w:val="00271129"/>
    <w:rsid w:val="00271D2C"/>
    <w:rsid w:val="00271D34"/>
    <w:rsid w:val="0027267D"/>
    <w:rsid w:val="00273DB7"/>
    <w:rsid w:val="00276939"/>
    <w:rsid w:val="0027774D"/>
    <w:rsid w:val="00283786"/>
    <w:rsid w:val="002839AA"/>
    <w:rsid w:val="00283D42"/>
    <w:rsid w:val="00284C03"/>
    <w:rsid w:val="00284E25"/>
    <w:rsid w:val="0028530B"/>
    <w:rsid w:val="00285C23"/>
    <w:rsid w:val="00286378"/>
    <w:rsid w:val="00286732"/>
    <w:rsid w:val="00287884"/>
    <w:rsid w:val="0029195F"/>
    <w:rsid w:val="00294408"/>
    <w:rsid w:val="00294DE8"/>
    <w:rsid w:val="002957A2"/>
    <w:rsid w:val="00295BF8"/>
    <w:rsid w:val="00295BFB"/>
    <w:rsid w:val="00295EFB"/>
    <w:rsid w:val="00296231"/>
    <w:rsid w:val="0029658E"/>
    <w:rsid w:val="002967FD"/>
    <w:rsid w:val="00296B7B"/>
    <w:rsid w:val="00296BBB"/>
    <w:rsid w:val="00297FCF"/>
    <w:rsid w:val="002A002C"/>
    <w:rsid w:val="002A0164"/>
    <w:rsid w:val="002A01E3"/>
    <w:rsid w:val="002A1429"/>
    <w:rsid w:val="002A1A17"/>
    <w:rsid w:val="002A1D23"/>
    <w:rsid w:val="002A2D0D"/>
    <w:rsid w:val="002A31EB"/>
    <w:rsid w:val="002A357C"/>
    <w:rsid w:val="002A42BE"/>
    <w:rsid w:val="002A4882"/>
    <w:rsid w:val="002A4D62"/>
    <w:rsid w:val="002A6A89"/>
    <w:rsid w:val="002A6C6A"/>
    <w:rsid w:val="002A7144"/>
    <w:rsid w:val="002B115A"/>
    <w:rsid w:val="002B19B1"/>
    <w:rsid w:val="002B4F56"/>
    <w:rsid w:val="002B59D7"/>
    <w:rsid w:val="002B6490"/>
    <w:rsid w:val="002B6825"/>
    <w:rsid w:val="002B7567"/>
    <w:rsid w:val="002B7C56"/>
    <w:rsid w:val="002C038C"/>
    <w:rsid w:val="002C0574"/>
    <w:rsid w:val="002C0902"/>
    <w:rsid w:val="002C09AE"/>
    <w:rsid w:val="002C1966"/>
    <w:rsid w:val="002C2A96"/>
    <w:rsid w:val="002C406A"/>
    <w:rsid w:val="002C5753"/>
    <w:rsid w:val="002C6472"/>
    <w:rsid w:val="002C6AE9"/>
    <w:rsid w:val="002D0C0F"/>
    <w:rsid w:val="002D25A2"/>
    <w:rsid w:val="002D3579"/>
    <w:rsid w:val="002D3E6B"/>
    <w:rsid w:val="002D497A"/>
    <w:rsid w:val="002D4D63"/>
    <w:rsid w:val="002D4D6B"/>
    <w:rsid w:val="002D760F"/>
    <w:rsid w:val="002D7B92"/>
    <w:rsid w:val="002E0541"/>
    <w:rsid w:val="002E057B"/>
    <w:rsid w:val="002E0E3F"/>
    <w:rsid w:val="002E1C38"/>
    <w:rsid w:val="002E2804"/>
    <w:rsid w:val="002E2EEC"/>
    <w:rsid w:val="002E37B0"/>
    <w:rsid w:val="002E4490"/>
    <w:rsid w:val="002E44B0"/>
    <w:rsid w:val="002E483A"/>
    <w:rsid w:val="002E4B64"/>
    <w:rsid w:val="002E4E2C"/>
    <w:rsid w:val="002E55B7"/>
    <w:rsid w:val="002E6775"/>
    <w:rsid w:val="002E681B"/>
    <w:rsid w:val="002F0D79"/>
    <w:rsid w:val="002F2C91"/>
    <w:rsid w:val="002F3E13"/>
    <w:rsid w:val="002F4153"/>
    <w:rsid w:val="002F4363"/>
    <w:rsid w:val="002F4A16"/>
    <w:rsid w:val="002F4D82"/>
    <w:rsid w:val="002F54D4"/>
    <w:rsid w:val="002F62DA"/>
    <w:rsid w:val="002F6500"/>
    <w:rsid w:val="002F6B43"/>
    <w:rsid w:val="002F70DA"/>
    <w:rsid w:val="002F7481"/>
    <w:rsid w:val="003008BB"/>
    <w:rsid w:val="00300A25"/>
    <w:rsid w:val="003015CC"/>
    <w:rsid w:val="00301930"/>
    <w:rsid w:val="00301E73"/>
    <w:rsid w:val="003028F5"/>
    <w:rsid w:val="0030404A"/>
    <w:rsid w:val="00305674"/>
    <w:rsid w:val="003059D7"/>
    <w:rsid w:val="00306891"/>
    <w:rsid w:val="00310E26"/>
    <w:rsid w:val="003112AE"/>
    <w:rsid w:val="00311569"/>
    <w:rsid w:val="00311E99"/>
    <w:rsid w:val="003134A5"/>
    <w:rsid w:val="00314376"/>
    <w:rsid w:val="0031498B"/>
    <w:rsid w:val="00316967"/>
    <w:rsid w:val="003173D1"/>
    <w:rsid w:val="00317FD7"/>
    <w:rsid w:val="00320AB5"/>
    <w:rsid w:val="0032452F"/>
    <w:rsid w:val="00324612"/>
    <w:rsid w:val="0032513B"/>
    <w:rsid w:val="00325D29"/>
    <w:rsid w:val="00325E94"/>
    <w:rsid w:val="00325FAF"/>
    <w:rsid w:val="003261CF"/>
    <w:rsid w:val="00326CD2"/>
    <w:rsid w:val="0032700B"/>
    <w:rsid w:val="003273AD"/>
    <w:rsid w:val="00327806"/>
    <w:rsid w:val="00327B53"/>
    <w:rsid w:val="00330CCD"/>
    <w:rsid w:val="00331853"/>
    <w:rsid w:val="00332445"/>
    <w:rsid w:val="00333B02"/>
    <w:rsid w:val="00333C2E"/>
    <w:rsid w:val="00334BD9"/>
    <w:rsid w:val="0033557C"/>
    <w:rsid w:val="00335663"/>
    <w:rsid w:val="00335929"/>
    <w:rsid w:val="00335C6B"/>
    <w:rsid w:val="00336FF7"/>
    <w:rsid w:val="00337CDE"/>
    <w:rsid w:val="00340154"/>
    <w:rsid w:val="00340785"/>
    <w:rsid w:val="00341586"/>
    <w:rsid w:val="003416A9"/>
    <w:rsid w:val="00341D50"/>
    <w:rsid w:val="00341F1D"/>
    <w:rsid w:val="003438A8"/>
    <w:rsid w:val="00346008"/>
    <w:rsid w:val="00346C74"/>
    <w:rsid w:val="003478B3"/>
    <w:rsid w:val="00347E13"/>
    <w:rsid w:val="00350065"/>
    <w:rsid w:val="003513E8"/>
    <w:rsid w:val="00353734"/>
    <w:rsid w:val="0035382B"/>
    <w:rsid w:val="003541F9"/>
    <w:rsid w:val="003542DE"/>
    <w:rsid w:val="0035483B"/>
    <w:rsid w:val="0035575C"/>
    <w:rsid w:val="00355918"/>
    <w:rsid w:val="00356DC1"/>
    <w:rsid w:val="00357E23"/>
    <w:rsid w:val="00360A83"/>
    <w:rsid w:val="003615CA"/>
    <w:rsid w:val="00361ABE"/>
    <w:rsid w:val="003622E0"/>
    <w:rsid w:val="00362EB6"/>
    <w:rsid w:val="003641B1"/>
    <w:rsid w:val="00364B7A"/>
    <w:rsid w:val="00364C92"/>
    <w:rsid w:val="00365187"/>
    <w:rsid w:val="003656D0"/>
    <w:rsid w:val="003657E9"/>
    <w:rsid w:val="0036656D"/>
    <w:rsid w:val="00366CF1"/>
    <w:rsid w:val="0036720D"/>
    <w:rsid w:val="003673DB"/>
    <w:rsid w:val="00367E73"/>
    <w:rsid w:val="003713F0"/>
    <w:rsid w:val="00371919"/>
    <w:rsid w:val="00372583"/>
    <w:rsid w:val="00372A06"/>
    <w:rsid w:val="00373CD1"/>
    <w:rsid w:val="003742E1"/>
    <w:rsid w:val="0037563B"/>
    <w:rsid w:val="003758D9"/>
    <w:rsid w:val="00377E71"/>
    <w:rsid w:val="0038042C"/>
    <w:rsid w:val="00380FD1"/>
    <w:rsid w:val="00381748"/>
    <w:rsid w:val="00381D1E"/>
    <w:rsid w:val="00381E28"/>
    <w:rsid w:val="003829BD"/>
    <w:rsid w:val="00382E9B"/>
    <w:rsid w:val="00383055"/>
    <w:rsid w:val="00384BF7"/>
    <w:rsid w:val="003856F5"/>
    <w:rsid w:val="00385D84"/>
    <w:rsid w:val="00386392"/>
    <w:rsid w:val="00391B65"/>
    <w:rsid w:val="00391B71"/>
    <w:rsid w:val="0039284A"/>
    <w:rsid w:val="0039465D"/>
    <w:rsid w:val="0039579C"/>
    <w:rsid w:val="003957A6"/>
    <w:rsid w:val="00395D5E"/>
    <w:rsid w:val="003A0590"/>
    <w:rsid w:val="003A05AB"/>
    <w:rsid w:val="003A28A8"/>
    <w:rsid w:val="003A33BB"/>
    <w:rsid w:val="003A3697"/>
    <w:rsid w:val="003A38EE"/>
    <w:rsid w:val="003A4373"/>
    <w:rsid w:val="003A4B2B"/>
    <w:rsid w:val="003A4BE5"/>
    <w:rsid w:val="003A5BD2"/>
    <w:rsid w:val="003A5F2C"/>
    <w:rsid w:val="003A65B7"/>
    <w:rsid w:val="003A6899"/>
    <w:rsid w:val="003A6E49"/>
    <w:rsid w:val="003A729D"/>
    <w:rsid w:val="003A7670"/>
    <w:rsid w:val="003B25BA"/>
    <w:rsid w:val="003B2791"/>
    <w:rsid w:val="003B2BFC"/>
    <w:rsid w:val="003B31D8"/>
    <w:rsid w:val="003B3A7E"/>
    <w:rsid w:val="003B477C"/>
    <w:rsid w:val="003B48EE"/>
    <w:rsid w:val="003B4F01"/>
    <w:rsid w:val="003B529B"/>
    <w:rsid w:val="003B592E"/>
    <w:rsid w:val="003B63BF"/>
    <w:rsid w:val="003B6713"/>
    <w:rsid w:val="003B7ACA"/>
    <w:rsid w:val="003B7D5C"/>
    <w:rsid w:val="003B7DEA"/>
    <w:rsid w:val="003C0E10"/>
    <w:rsid w:val="003C0FDA"/>
    <w:rsid w:val="003C1F97"/>
    <w:rsid w:val="003C2000"/>
    <w:rsid w:val="003C209E"/>
    <w:rsid w:val="003C2593"/>
    <w:rsid w:val="003C4417"/>
    <w:rsid w:val="003C4B69"/>
    <w:rsid w:val="003C4F08"/>
    <w:rsid w:val="003D084D"/>
    <w:rsid w:val="003D0D0C"/>
    <w:rsid w:val="003D1511"/>
    <w:rsid w:val="003D2B8D"/>
    <w:rsid w:val="003D2EE8"/>
    <w:rsid w:val="003D35FC"/>
    <w:rsid w:val="003D3BF3"/>
    <w:rsid w:val="003D3FB5"/>
    <w:rsid w:val="003D4589"/>
    <w:rsid w:val="003D5F26"/>
    <w:rsid w:val="003D710C"/>
    <w:rsid w:val="003E0E9A"/>
    <w:rsid w:val="003E1279"/>
    <w:rsid w:val="003E1E40"/>
    <w:rsid w:val="003E1EE2"/>
    <w:rsid w:val="003E4BD9"/>
    <w:rsid w:val="003E682C"/>
    <w:rsid w:val="003E6FE4"/>
    <w:rsid w:val="003E727E"/>
    <w:rsid w:val="003E7EF9"/>
    <w:rsid w:val="003F0109"/>
    <w:rsid w:val="003F08A3"/>
    <w:rsid w:val="003F0C97"/>
    <w:rsid w:val="003F1E3F"/>
    <w:rsid w:val="003F6B42"/>
    <w:rsid w:val="003F7666"/>
    <w:rsid w:val="004007A5"/>
    <w:rsid w:val="00401BBA"/>
    <w:rsid w:val="00401F67"/>
    <w:rsid w:val="00405302"/>
    <w:rsid w:val="004055A7"/>
    <w:rsid w:val="0040645F"/>
    <w:rsid w:val="00406C29"/>
    <w:rsid w:val="00407B32"/>
    <w:rsid w:val="004109BF"/>
    <w:rsid w:val="00411812"/>
    <w:rsid w:val="004136DC"/>
    <w:rsid w:val="004136DF"/>
    <w:rsid w:val="004164CA"/>
    <w:rsid w:val="004168C6"/>
    <w:rsid w:val="004175EE"/>
    <w:rsid w:val="00420948"/>
    <w:rsid w:val="00421AA6"/>
    <w:rsid w:val="004229EF"/>
    <w:rsid w:val="004242AF"/>
    <w:rsid w:val="00424860"/>
    <w:rsid w:val="00424CA9"/>
    <w:rsid w:val="004257E3"/>
    <w:rsid w:val="00425DE7"/>
    <w:rsid w:val="00426A18"/>
    <w:rsid w:val="00427281"/>
    <w:rsid w:val="004314F0"/>
    <w:rsid w:val="00431628"/>
    <w:rsid w:val="004327CF"/>
    <w:rsid w:val="00432863"/>
    <w:rsid w:val="00432D6D"/>
    <w:rsid w:val="00433080"/>
    <w:rsid w:val="00434E81"/>
    <w:rsid w:val="004362AE"/>
    <w:rsid w:val="00436516"/>
    <w:rsid w:val="004376BF"/>
    <w:rsid w:val="00437972"/>
    <w:rsid w:val="00437B7D"/>
    <w:rsid w:val="0044087D"/>
    <w:rsid w:val="00440CFF"/>
    <w:rsid w:val="004411E7"/>
    <w:rsid w:val="00441AD4"/>
    <w:rsid w:val="0044276E"/>
    <w:rsid w:val="004428C2"/>
    <w:rsid w:val="00442D62"/>
    <w:rsid w:val="00443B88"/>
    <w:rsid w:val="004447C9"/>
    <w:rsid w:val="00446B84"/>
    <w:rsid w:val="00450463"/>
    <w:rsid w:val="004514FF"/>
    <w:rsid w:val="00451C03"/>
    <w:rsid w:val="004528A0"/>
    <w:rsid w:val="00453476"/>
    <w:rsid w:val="00456845"/>
    <w:rsid w:val="00457737"/>
    <w:rsid w:val="00457F31"/>
    <w:rsid w:val="00460056"/>
    <w:rsid w:val="00460D6A"/>
    <w:rsid w:val="00460FC3"/>
    <w:rsid w:val="00460FE2"/>
    <w:rsid w:val="004610E5"/>
    <w:rsid w:val="00461201"/>
    <w:rsid w:val="00461A51"/>
    <w:rsid w:val="00461ADF"/>
    <w:rsid w:val="00462FB4"/>
    <w:rsid w:val="004648B1"/>
    <w:rsid w:val="00465843"/>
    <w:rsid w:val="004658A8"/>
    <w:rsid w:val="00466E11"/>
    <w:rsid w:val="0046760E"/>
    <w:rsid w:val="0047093B"/>
    <w:rsid w:val="00473E1C"/>
    <w:rsid w:val="00476562"/>
    <w:rsid w:val="00476CC0"/>
    <w:rsid w:val="0048032C"/>
    <w:rsid w:val="004810C7"/>
    <w:rsid w:val="00481511"/>
    <w:rsid w:val="004815A0"/>
    <w:rsid w:val="0048242D"/>
    <w:rsid w:val="00483B72"/>
    <w:rsid w:val="004845BE"/>
    <w:rsid w:val="004855D6"/>
    <w:rsid w:val="004860FB"/>
    <w:rsid w:val="00486586"/>
    <w:rsid w:val="00486679"/>
    <w:rsid w:val="0048712B"/>
    <w:rsid w:val="004872AA"/>
    <w:rsid w:val="00487A14"/>
    <w:rsid w:val="00487CCF"/>
    <w:rsid w:val="0049014C"/>
    <w:rsid w:val="004918F3"/>
    <w:rsid w:val="00492E97"/>
    <w:rsid w:val="0049377D"/>
    <w:rsid w:val="004941BC"/>
    <w:rsid w:val="00494F1A"/>
    <w:rsid w:val="00495737"/>
    <w:rsid w:val="004961CE"/>
    <w:rsid w:val="0049627A"/>
    <w:rsid w:val="0049633F"/>
    <w:rsid w:val="004A0203"/>
    <w:rsid w:val="004A08B7"/>
    <w:rsid w:val="004A1234"/>
    <w:rsid w:val="004A1381"/>
    <w:rsid w:val="004A2685"/>
    <w:rsid w:val="004A2B98"/>
    <w:rsid w:val="004A355E"/>
    <w:rsid w:val="004A36EA"/>
    <w:rsid w:val="004A37C6"/>
    <w:rsid w:val="004A3E71"/>
    <w:rsid w:val="004A521D"/>
    <w:rsid w:val="004B2078"/>
    <w:rsid w:val="004B24C3"/>
    <w:rsid w:val="004B3B54"/>
    <w:rsid w:val="004B3D9B"/>
    <w:rsid w:val="004B3F2B"/>
    <w:rsid w:val="004B40C3"/>
    <w:rsid w:val="004B4C25"/>
    <w:rsid w:val="004B4DB5"/>
    <w:rsid w:val="004B535A"/>
    <w:rsid w:val="004B5A70"/>
    <w:rsid w:val="004B5AC2"/>
    <w:rsid w:val="004B618C"/>
    <w:rsid w:val="004B6FDB"/>
    <w:rsid w:val="004B79E5"/>
    <w:rsid w:val="004B7BF0"/>
    <w:rsid w:val="004B7FD7"/>
    <w:rsid w:val="004C0F6D"/>
    <w:rsid w:val="004C1EE7"/>
    <w:rsid w:val="004C2117"/>
    <w:rsid w:val="004C2EDE"/>
    <w:rsid w:val="004C381E"/>
    <w:rsid w:val="004C392E"/>
    <w:rsid w:val="004C3BA4"/>
    <w:rsid w:val="004C3F19"/>
    <w:rsid w:val="004C5E64"/>
    <w:rsid w:val="004C5ED1"/>
    <w:rsid w:val="004C6B7E"/>
    <w:rsid w:val="004D0BD7"/>
    <w:rsid w:val="004D0ECE"/>
    <w:rsid w:val="004D2EBF"/>
    <w:rsid w:val="004D37E3"/>
    <w:rsid w:val="004D4C3B"/>
    <w:rsid w:val="004D4E4B"/>
    <w:rsid w:val="004D5608"/>
    <w:rsid w:val="004D5638"/>
    <w:rsid w:val="004D65BD"/>
    <w:rsid w:val="004D7FB2"/>
    <w:rsid w:val="004E01A1"/>
    <w:rsid w:val="004E0625"/>
    <w:rsid w:val="004E1CF6"/>
    <w:rsid w:val="004E1FD5"/>
    <w:rsid w:val="004E2AD4"/>
    <w:rsid w:val="004E3CA7"/>
    <w:rsid w:val="004E5108"/>
    <w:rsid w:val="004E5DA9"/>
    <w:rsid w:val="004E67B3"/>
    <w:rsid w:val="004F103B"/>
    <w:rsid w:val="004F10EA"/>
    <w:rsid w:val="004F1233"/>
    <w:rsid w:val="004F2A90"/>
    <w:rsid w:val="004F36EF"/>
    <w:rsid w:val="004F4413"/>
    <w:rsid w:val="004F5D53"/>
    <w:rsid w:val="004F7BB1"/>
    <w:rsid w:val="00500795"/>
    <w:rsid w:val="0050095F"/>
    <w:rsid w:val="00500A0A"/>
    <w:rsid w:val="00501BC7"/>
    <w:rsid w:val="0050397E"/>
    <w:rsid w:val="0050455E"/>
    <w:rsid w:val="005047AC"/>
    <w:rsid w:val="00505139"/>
    <w:rsid w:val="005054A4"/>
    <w:rsid w:val="005060A4"/>
    <w:rsid w:val="00506633"/>
    <w:rsid w:val="00510390"/>
    <w:rsid w:val="005124FF"/>
    <w:rsid w:val="005125A2"/>
    <w:rsid w:val="00512F9F"/>
    <w:rsid w:val="00515202"/>
    <w:rsid w:val="00515405"/>
    <w:rsid w:val="005158FC"/>
    <w:rsid w:val="00517367"/>
    <w:rsid w:val="005206B8"/>
    <w:rsid w:val="00521972"/>
    <w:rsid w:val="00521ACB"/>
    <w:rsid w:val="005225A1"/>
    <w:rsid w:val="00524616"/>
    <w:rsid w:val="00524AA8"/>
    <w:rsid w:val="00524EB0"/>
    <w:rsid w:val="00525219"/>
    <w:rsid w:val="0052677C"/>
    <w:rsid w:val="00526AAE"/>
    <w:rsid w:val="00531253"/>
    <w:rsid w:val="00532E43"/>
    <w:rsid w:val="00532F60"/>
    <w:rsid w:val="00533272"/>
    <w:rsid w:val="00533D5A"/>
    <w:rsid w:val="00534A8E"/>
    <w:rsid w:val="00534E7C"/>
    <w:rsid w:val="00535AD5"/>
    <w:rsid w:val="00535D28"/>
    <w:rsid w:val="005363F6"/>
    <w:rsid w:val="0053644E"/>
    <w:rsid w:val="0053676A"/>
    <w:rsid w:val="00537805"/>
    <w:rsid w:val="00541082"/>
    <w:rsid w:val="005411F2"/>
    <w:rsid w:val="005415A9"/>
    <w:rsid w:val="00541D63"/>
    <w:rsid w:val="005437CF"/>
    <w:rsid w:val="00545CAE"/>
    <w:rsid w:val="0054622C"/>
    <w:rsid w:val="00546B7B"/>
    <w:rsid w:val="00547441"/>
    <w:rsid w:val="00547620"/>
    <w:rsid w:val="00547CB9"/>
    <w:rsid w:val="0055183F"/>
    <w:rsid w:val="0055340E"/>
    <w:rsid w:val="0055344C"/>
    <w:rsid w:val="005535E2"/>
    <w:rsid w:val="00554E26"/>
    <w:rsid w:val="00555603"/>
    <w:rsid w:val="00555E69"/>
    <w:rsid w:val="00556B9A"/>
    <w:rsid w:val="00557089"/>
    <w:rsid w:val="005570CB"/>
    <w:rsid w:val="005571A6"/>
    <w:rsid w:val="005579B7"/>
    <w:rsid w:val="00557FF4"/>
    <w:rsid w:val="00560B2D"/>
    <w:rsid w:val="00560EC7"/>
    <w:rsid w:val="00562559"/>
    <w:rsid w:val="005626EC"/>
    <w:rsid w:val="005627CF"/>
    <w:rsid w:val="00562EF3"/>
    <w:rsid w:val="0056349F"/>
    <w:rsid w:val="0056427E"/>
    <w:rsid w:val="00564CC1"/>
    <w:rsid w:val="00565195"/>
    <w:rsid w:val="005652ED"/>
    <w:rsid w:val="00565841"/>
    <w:rsid w:val="00566AB1"/>
    <w:rsid w:val="0056736B"/>
    <w:rsid w:val="0057051C"/>
    <w:rsid w:val="005706C9"/>
    <w:rsid w:val="00570FD7"/>
    <w:rsid w:val="00571371"/>
    <w:rsid w:val="00571968"/>
    <w:rsid w:val="00572E89"/>
    <w:rsid w:val="005733CD"/>
    <w:rsid w:val="00574744"/>
    <w:rsid w:val="00575EDB"/>
    <w:rsid w:val="005768FB"/>
    <w:rsid w:val="00576A72"/>
    <w:rsid w:val="00577AF4"/>
    <w:rsid w:val="00577D12"/>
    <w:rsid w:val="005806A9"/>
    <w:rsid w:val="00580F16"/>
    <w:rsid w:val="00580FBB"/>
    <w:rsid w:val="00580FFA"/>
    <w:rsid w:val="005811D7"/>
    <w:rsid w:val="00581897"/>
    <w:rsid w:val="00585AE1"/>
    <w:rsid w:val="00585D1E"/>
    <w:rsid w:val="005867B3"/>
    <w:rsid w:val="00586E1B"/>
    <w:rsid w:val="00587D7B"/>
    <w:rsid w:val="0059174B"/>
    <w:rsid w:val="00591899"/>
    <w:rsid w:val="005921F6"/>
    <w:rsid w:val="005933AA"/>
    <w:rsid w:val="005940DF"/>
    <w:rsid w:val="0059529A"/>
    <w:rsid w:val="005961C6"/>
    <w:rsid w:val="005967A1"/>
    <w:rsid w:val="00596BEE"/>
    <w:rsid w:val="00597FA7"/>
    <w:rsid w:val="005A129F"/>
    <w:rsid w:val="005A1373"/>
    <w:rsid w:val="005A20F2"/>
    <w:rsid w:val="005A4356"/>
    <w:rsid w:val="005A4E18"/>
    <w:rsid w:val="005A5111"/>
    <w:rsid w:val="005A58F3"/>
    <w:rsid w:val="005A66AF"/>
    <w:rsid w:val="005A7E4F"/>
    <w:rsid w:val="005B111C"/>
    <w:rsid w:val="005B427B"/>
    <w:rsid w:val="005B42EA"/>
    <w:rsid w:val="005B5CBD"/>
    <w:rsid w:val="005B5CEB"/>
    <w:rsid w:val="005B63DD"/>
    <w:rsid w:val="005B71B7"/>
    <w:rsid w:val="005B77E1"/>
    <w:rsid w:val="005C015B"/>
    <w:rsid w:val="005C06C9"/>
    <w:rsid w:val="005C23A3"/>
    <w:rsid w:val="005C2DBE"/>
    <w:rsid w:val="005C3F6D"/>
    <w:rsid w:val="005C5135"/>
    <w:rsid w:val="005C666E"/>
    <w:rsid w:val="005C7508"/>
    <w:rsid w:val="005C7A00"/>
    <w:rsid w:val="005C7FED"/>
    <w:rsid w:val="005D0083"/>
    <w:rsid w:val="005D01C8"/>
    <w:rsid w:val="005D028A"/>
    <w:rsid w:val="005D1722"/>
    <w:rsid w:val="005D1A6B"/>
    <w:rsid w:val="005D286E"/>
    <w:rsid w:val="005D3E64"/>
    <w:rsid w:val="005D4205"/>
    <w:rsid w:val="005D444A"/>
    <w:rsid w:val="005D5358"/>
    <w:rsid w:val="005D539E"/>
    <w:rsid w:val="005D5AB3"/>
    <w:rsid w:val="005D65CC"/>
    <w:rsid w:val="005D66CE"/>
    <w:rsid w:val="005D7F94"/>
    <w:rsid w:val="005E00F2"/>
    <w:rsid w:val="005E06C5"/>
    <w:rsid w:val="005E0D81"/>
    <w:rsid w:val="005E1158"/>
    <w:rsid w:val="005E1880"/>
    <w:rsid w:val="005E2DE2"/>
    <w:rsid w:val="005E3769"/>
    <w:rsid w:val="005E6884"/>
    <w:rsid w:val="005E6F6B"/>
    <w:rsid w:val="005E72C9"/>
    <w:rsid w:val="005E7A25"/>
    <w:rsid w:val="005F030C"/>
    <w:rsid w:val="005F08FF"/>
    <w:rsid w:val="005F1331"/>
    <w:rsid w:val="005F1645"/>
    <w:rsid w:val="005F21B1"/>
    <w:rsid w:val="005F2545"/>
    <w:rsid w:val="005F254F"/>
    <w:rsid w:val="005F2D63"/>
    <w:rsid w:val="005F33C0"/>
    <w:rsid w:val="005F4344"/>
    <w:rsid w:val="005F4CF9"/>
    <w:rsid w:val="005F4D13"/>
    <w:rsid w:val="005F5DE4"/>
    <w:rsid w:val="005F7770"/>
    <w:rsid w:val="005F77B9"/>
    <w:rsid w:val="0060014E"/>
    <w:rsid w:val="0060411D"/>
    <w:rsid w:val="00605386"/>
    <w:rsid w:val="00605C8B"/>
    <w:rsid w:val="00605D0A"/>
    <w:rsid w:val="00607C5A"/>
    <w:rsid w:val="00610EEC"/>
    <w:rsid w:val="006113FB"/>
    <w:rsid w:val="00611FE2"/>
    <w:rsid w:val="006129FB"/>
    <w:rsid w:val="00612A6F"/>
    <w:rsid w:val="00612CF4"/>
    <w:rsid w:val="00612D5E"/>
    <w:rsid w:val="0061327E"/>
    <w:rsid w:val="00613A29"/>
    <w:rsid w:val="0061790A"/>
    <w:rsid w:val="006206AD"/>
    <w:rsid w:val="00622577"/>
    <w:rsid w:val="00622BFE"/>
    <w:rsid w:val="006233D0"/>
    <w:rsid w:val="00623CDD"/>
    <w:rsid w:val="00626061"/>
    <w:rsid w:val="0062696C"/>
    <w:rsid w:val="00626A0B"/>
    <w:rsid w:val="00626D44"/>
    <w:rsid w:val="0062746E"/>
    <w:rsid w:val="00627602"/>
    <w:rsid w:val="006277B4"/>
    <w:rsid w:val="00627AC6"/>
    <w:rsid w:val="00630D82"/>
    <w:rsid w:val="00631684"/>
    <w:rsid w:val="006319B4"/>
    <w:rsid w:val="006329B6"/>
    <w:rsid w:val="006335C7"/>
    <w:rsid w:val="00634CBA"/>
    <w:rsid w:val="006352FD"/>
    <w:rsid w:val="00635398"/>
    <w:rsid w:val="00635DC9"/>
    <w:rsid w:val="0063658B"/>
    <w:rsid w:val="006368EA"/>
    <w:rsid w:val="00640B64"/>
    <w:rsid w:val="0064104A"/>
    <w:rsid w:val="00642A0B"/>
    <w:rsid w:val="006444A0"/>
    <w:rsid w:val="00644F84"/>
    <w:rsid w:val="00645E34"/>
    <w:rsid w:val="00646FDD"/>
    <w:rsid w:val="00647BC7"/>
    <w:rsid w:val="006513B0"/>
    <w:rsid w:val="00651B97"/>
    <w:rsid w:val="00653292"/>
    <w:rsid w:val="006536CB"/>
    <w:rsid w:val="006553BF"/>
    <w:rsid w:val="006562C3"/>
    <w:rsid w:val="0066115D"/>
    <w:rsid w:val="00662199"/>
    <w:rsid w:val="00662882"/>
    <w:rsid w:val="00664677"/>
    <w:rsid w:val="00664BD6"/>
    <w:rsid w:val="00666363"/>
    <w:rsid w:val="006708E2"/>
    <w:rsid w:val="00672EED"/>
    <w:rsid w:val="006734EE"/>
    <w:rsid w:val="00674565"/>
    <w:rsid w:val="00674A1C"/>
    <w:rsid w:val="00674B78"/>
    <w:rsid w:val="00674C09"/>
    <w:rsid w:val="006763F9"/>
    <w:rsid w:val="00677BF5"/>
    <w:rsid w:val="00681B57"/>
    <w:rsid w:val="00681DCE"/>
    <w:rsid w:val="00682390"/>
    <w:rsid w:val="00683327"/>
    <w:rsid w:val="00683802"/>
    <w:rsid w:val="00683E03"/>
    <w:rsid w:val="00684B44"/>
    <w:rsid w:val="00685D02"/>
    <w:rsid w:val="00686A4D"/>
    <w:rsid w:val="006872D3"/>
    <w:rsid w:val="0068731F"/>
    <w:rsid w:val="00690EC0"/>
    <w:rsid w:val="00692041"/>
    <w:rsid w:val="0069280D"/>
    <w:rsid w:val="00693D9A"/>
    <w:rsid w:val="006941E2"/>
    <w:rsid w:val="0069527F"/>
    <w:rsid w:val="00695781"/>
    <w:rsid w:val="006973B7"/>
    <w:rsid w:val="0069783F"/>
    <w:rsid w:val="006A0A57"/>
    <w:rsid w:val="006A0B62"/>
    <w:rsid w:val="006A101D"/>
    <w:rsid w:val="006A1A16"/>
    <w:rsid w:val="006A35D0"/>
    <w:rsid w:val="006A39FF"/>
    <w:rsid w:val="006A3A72"/>
    <w:rsid w:val="006A4A3E"/>
    <w:rsid w:val="006A5510"/>
    <w:rsid w:val="006A665D"/>
    <w:rsid w:val="006A6D35"/>
    <w:rsid w:val="006A746D"/>
    <w:rsid w:val="006B03BC"/>
    <w:rsid w:val="006B0442"/>
    <w:rsid w:val="006B0B79"/>
    <w:rsid w:val="006B0BDA"/>
    <w:rsid w:val="006B1EFF"/>
    <w:rsid w:val="006B3241"/>
    <w:rsid w:val="006B5663"/>
    <w:rsid w:val="006B5890"/>
    <w:rsid w:val="006B6A2E"/>
    <w:rsid w:val="006C325B"/>
    <w:rsid w:val="006C3A40"/>
    <w:rsid w:val="006C40E4"/>
    <w:rsid w:val="006D070E"/>
    <w:rsid w:val="006D1EBC"/>
    <w:rsid w:val="006D3DCF"/>
    <w:rsid w:val="006D4355"/>
    <w:rsid w:val="006D4526"/>
    <w:rsid w:val="006D478D"/>
    <w:rsid w:val="006D5284"/>
    <w:rsid w:val="006D5375"/>
    <w:rsid w:val="006D544C"/>
    <w:rsid w:val="006D65A2"/>
    <w:rsid w:val="006D67B3"/>
    <w:rsid w:val="006D70C3"/>
    <w:rsid w:val="006D7F70"/>
    <w:rsid w:val="006E02FF"/>
    <w:rsid w:val="006E0A15"/>
    <w:rsid w:val="006E0D8B"/>
    <w:rsid w:val="006E0F39"/>
    <w:rsid w:val="006E16B3"/>
    <w:rsid w:val="006E1B0A"/>
    <w:rsid w:val="006E2188"/>
    <w:rsid w:val="006E21A4"/>
    <w:rsid w:val="006E2E46"/>
    <w:rsid w:val="006E39BC"/>
    <w:rsid w:val="006E3FDD"/>
    <w:rsid w:val="006E698A"/>
    <w:rsid w:val="006E6E06"/>
    <w:rsid w:val="006E7038"/>
    <w:rsid w:val="006E7B3A"/>
    <w:rsid w:val="006F29DB"/>
    <w:rsid w:val="006F2DCE"/>
    <w:rsid w:val="006F335D"/>
    <w:rsid w:val="006F3D9F"/>
    <w:rsid w:val="006F5A2F"/>
    <w:rsid w:val="006F7634"/>
    <w:rsid w:val="006F7979"/>
    <w:rsid w:val="006F7DE4"/>
    <w:rsid w:val="00700200"/>
    <w:rsid w:val="0070095A"/>
    <w:rsid w:val="007013FE"/>
    <w:rsid w:val="00701811"/>
    <w:rsid w:val="007036A5"/>
    <w:rsid w:val="00704EB8"/>
    <w:rsid w:val="00705012"/>
    <w:rsid w:val="007052AB"/>
    <w:rsid w:val="007067C7"/>
    <w:rsid w:val="00707110"/>
    <w:rsid w:val="00707EC7"/>
    <w:rsid w:val="00710551"/>
    <w:rsid w:val="007117A0"/>
    <w:rsid w:val="0071199C"/>
    <w:rsid w:val="00712A27"/>
    <w:rsid w:val="00712F2A"/>
    <w:rsid w:val="0071332F"/>
    <w:rsid w:val="00714307"/>
    <w:rsid w:val="007154D1"/>
    <w:rsid w:val="007203D0"/>
    <w:rsid w:val="00721260"/>
    <w:rsid w:val="00721A72"/>
    <w:rsid w:val="00721F78"/>
    <w:rsid w:val="00722A2E"/>
    <w:rsid w:val="00722FC3"/>
    <w:rsid w:val="007235C5"/>
    <w:rsid w:val="00723958"/>
    <w:rsid w:val="007256EE"/>
    <w:rsid w:val="00725B06"/>
    <w:rsid w:val="00726179"/>
    <w:rsid w:val="007275CB"/>
    <w:rsid w:val="00730AB8"/>
    <w:rsid w:val="00731D4B"/>
    <w:rsid w:val="007327BE"/>
    <w:rsid w:val="00732F1E"/>
    <w:rsid w:val="0073390E"/>
    <w:rsid w:val="00733912"/>
    <w:rsid w:val="00733C3E"/>
    <w:rsid w:val="0073407F"/>
    <w:rsid w:val="00734095"/>
    <w:rsid w:val="007344DF"/>
    <w:rsid w:val="00734DC3"/>
    <w:rsid w:val="00736476"/>
    <w:rsid w:val="00740093"/>
    <w:rsid w:val="00740AA6"/>
    <w:rsid w:val="00742CE5"/>
    <w:rsid w:val="007445A2"/>
    <w:rsid w:val="00745A7C"/>
    <w:rsid w:val="007462C6"/>
    <w:rsid w:val="007468C0"/>
    <w:rsid w:val="00746A7E"/>
    <w:rsid w:val="00747586"/>
    <w:rsid w:val="0074795F"/>
    <w:rsid w:val="00747B4C"/>
    <w:rsid w:val="00750471"/>
    <w:rsid w:val="0075134B"/>
    <w:rsid w:val="007518BA"/>
    <w:rsid w:val="00751B61"/>
    <w:rsid w:val="00751B97"/>
    <w:rsid w:val="00751D97"/>
    <w:rsid w:val="007520A0"/>
    <w:rsid w:val="0075257C"/>
    <w:rsid w:val="007531AF"/>
    <w:rsid w:val="007537E6"/>
    <w:rsid w:val="00753A5D"/>
    <w:rsid w:val="00754CCD"/>
    <w:rsid w:val="00755A83"/>
    <w:rsid w:val="007564FA"/>
    <w:rsid w:val="00756686"/>
    <w:rsid w:val="00757252"/>
    <w:rsid w:val="007601A2"/>
    <w:rsid w:val="0076074D"/>
    <w:rsid w:val="0076119F"/>
    <w:rsid w:val="00762961"/>
    <w:rsid w:val="00762E69"/>
    <w:rsid w:val="00763463"/>
    <w:rsid w:val="00764385"/>
    <w:rsid w:val="00765978"/>
    <w:rsid w:val="00766320"/>
    <w:rsid w:val="00766ABB"/>
    <w:rsid w:val="00766C1B"/>
    <w:rsid w:val="00767CF5"/>
    <w:rsid w:val="00770225"/>
    <w:rsid w:val="00771213"/>
    <w:rsid w:val="00771EC0"/>
    <w:rsid w:val="0077426F"/>
    <w:rsid w:val="007759F2"/>
    <w:rsid w:val="00775AD9"/>
    <w:rsid w:val="007764EC"/>
    <w:rsid w:val="00780802"/>
    <w:rsid w:val="00780E51"/>
    <w:rsid w:val="007822C3"/>
    <w:rsid w:val="007825F1"/>
    <w:rsid w:val="00782C87"/>
    <w:rsid w:val="00784D1E"/>
    <w:rsid w:val="00785065"/>
    <w:rsid w:val="00785DF9"/>
    <w:rsid w:val="007875FD"/>
    <w:rsid w:val="00787F21"/>
    <w:rsid w:val="007905BD"/>
    <w:rsid w:val="007931CF"/>
    <w:rsid w:val="00794601"/>
    <w:rsid w:val="00795422"/>
    <w:rsid w:val="00795965"/>
    <w:rsid w:val="007959A0"/>
    <w:rsid w:val="00797960"/>
    <w:rsid w:val="0079797C"/>
    <w:rsid w:val="007A0040"/>
    <w:rsid w:val="007A03C7"/>
    <w:rsid w:val="007A1B55"/>
    <w:rsid w:val="007A1F82"/>
    <w:rsid w:val="007A48BA"/>
    <w:rsid w:val="007A48F3"/>
    <w:rsid w:val="007A4AA0"/>
    <w:rsid w:val="007A573E"/>
    <w:rsid w:val="007A72F3"/>
    <w:rsid w:val="007A770C"/>
    <w:rsid w:val="007B1537"/>
    <w:rsid w:val="007B1746"/>
    <w:rsid w:val="007B1750"/>
    <w:rsid w:val="007B1CC7"/>
    <w:rsid w:val="007B2F03"/>
    <w:rsid w:val="007B3539"/>
    <w:rsid w:val="007B3643"/>
    <w:rsid w:val="007B3AB2"/>
    <w:rsid w:val="007B3B69"/>
    <w:rsid w:val="007B4770"/>
    <w:rsid w:val="007B5904"/>
    <w:rsid w:val="007B5938"/>
    <w:rsid w:val="007B7E25"/>
    <w:rsid w:val="007B7F66"/>
    <w:rsid w:val="007C2F0B"/>
    <w:rsid w:val="007C5FFE"/>
    <w:rsid w:val="007C6E23"/>
    <w:rsid w:val="007C7961"/>
    <w:rsid w:val="007C7B89"/>
    <w:rsid w:val="007D0A97"/>
    <w:rsid w:val="007D0E22"/>
    <w:rsid w:val="007D1044"/>
    <w:rsid w:val="007D1EC0"/>
    <w:rsid w:val="007D2998"/>
    <w:rsid w:val="007D2B40"/>
    <w:rsid w:val="007D3A86"/>
    <w:rsid w:val="007D446D"/>
    <w:rsid w:val="007D486B"/>
    <w:rsid w:val="007D4AF5"/>
    <w:rsid w:val="007D56D4"/>
    <w:rsid w:val="007D6164"/>
    <w:rsid w:val="007D6B68"/>
    <w:rsid w:val="007E01D0"/>
    <w:rsid w:val="007E03AA"/>
    <w:rsid w:val="007E06BF"/>
    <w:rsid w:val="007E1ACF"/>
    <w:rsid w:val="007E219B"/>
    <w:rsid w:val="007E3BF8"/>
    <w:rsid w:val="007E4B2B"/>
    <w:rsid w:val="007E5F52"/>
    <w:rsid w:val="007E60E1"/>
    <w:rsid w:val="007E6286"/>
    <w:rsid w:val="007E72DE"/>
    <w:rsid w:val="007E7777"/>
    <w:rsid w:val="007E77CC"/>
    <w:rsid w:val="007F06A5"/>
    <w:rsid w:val="007F0B0E"/>
    <w:rsid w:val="007F14F7"/>
    <w:rsid w:val="007F22C6"/>
    <w:rsid w:val="007F449F"/>
    <w:rsid w:val="007F5262"/>
    <w:rsid w:val="007F5996"/>
    <w:rsid w:val="007F63A3"/>
    <w:rsid w:val="007F7DF5"/>
    <w:rsid w:val="008019C8"/>
    <w:rsid w:val="00802FD0"/>
    <w:rsid w:val="00803CC2"/>
    <w:rsid w:val="008041FA"/>
    <w:rsid w:val="0080512D"/>
    <w:rsid w:val="00805CBA"/>
    <w:rsid w:val="008078F4"/>
    <w:rsid w:val="00810B37"/>
    <w:rsid w:val="00811C8A"/>
    <w:rsid w:val="00812C9A"/>
    <w:rsid w:val="00813C06"/>
    <w:rsid w:val="0081410F"/>
    <w:rsid w:val="0081455A"/>
    <w:rsid w:val="00815F35"/>
    <w:rsid w:val="00815F6A"/>
    <w:rsid w:val="00816B44"/>
    <w:rsid w:val="00817430"/>
    <w:rsid w:val="0082263F"/>
    <w:rsid w:val="008235D6"/>
    <w:rsid w:val="008236FB"/>
    <w:rsid w:val="008250BA"/>
    <w:rsid w:val="0082656C"/>
    <w:rsid w:val="00826DE8"/>
    <w:rsid w:val="00827F37"/>
    <w:rsid w:val="00830B12"/>
    <w:rsid w:val="00831D26"/>
    <w:rsid w:val="0083309A"/>
    <w:rsid w:val="00834F11"/>
    <w:rsid w:val="0083583E"/>
    <w:rsid w:val="008365D3"/>
    <w:rsid w:val="008367FE"/>
    <w:rsid w:val="00836D29"/>
    <w:rsid w:val="008375E9"/>
    <w:rsid w:val="00837D13"/>
    <w:rsid w:val="008411BF"/>
    <w:rsid w:val="008419AE"/>
    <w:rsid w:val="008430FA"/>
    <w:rsid w:val="008432A1"/>
    <w:rsid w:val="00843601"/>
    <w:rsid w:val="00843959"/>
    <w:rsid w:val="00843B55"/>
    <w:rsid w:val="00843FC8"/>
    <w:rsid w:val="008501B1"/>
    <w:rsid w:val="00851364"/>
    <w:rsid w:val="00851558"/>
    <w:rsid w:val="008527CB"/>
    <w:rsid w:val="008534EA"/>
    <w:rsid w:val="00853E43"/>
    <w:rsid w:val="00854C91"/>
    <w:rsid w:val="00855255"/>
    <w:rsid w:val="00856C27"/>
    <w:rsid w:val="00857751"/>
    <w:rsid w:val="00857C6D"/>
    <w:rsid w:val="008600D9"/>
    <w:rsid w:val="008613C7"/>
    <w:rsid w:val="00862436"/>
    <w:rsid w:val="008626D4"/>
    <w:rsid w:val="00862A98"/>
    <w:rsid w:val="00862E67"/>
    <w:rsid w:val="008645B6"/>
    <w:rsid w:val="00864708"/>
    <w:rsid w:val="00864FB3"/>
    <w:rsid w:val="008652BE"/>
    <w:rsid w:val="00865C27"/>
    <w:rsid w:val="00866A0C"/>
    <w:rsid w:val="008727F1"/>
    <w:rsid w:val="008748AC"/>
    <w:rsid w:val="0087511C"/>
    <w:rsid w:val="00875470"/>
    <w:rsid w:val="008777E7"/>
    <w:rsid w:val="00880A01"/>
    <w:rsid w:val="00880F98"/>
    <w:rsid w:val="008828E4"/>
    <w:rsid w:val="00884171"/>
    <w:rsid w:val="00884427"/>
    <w:rsid w:val="008849A6"/>
    <w:rsid w:val="00884C64"/>
    <w:rsid w:val="00886D9A"/>
    <w:rsid w:val="00886EE5"/>
    <w:rsid w:val="008905F2"/>
    <w:rsid w:val="00890A8B"/>
    <w:rsid w:val="00891E93"/>
    <w:rsid w:val="008931AE"/>
    <w:rsid w:val="00893878"/>
    <w:rsid w:val="0089595F"/>
    <w:rsid w:val="008962C3"/>
    <w:rsid w:val="00896814"/>
    <w:rsid w:val="00897003"/>
    <w:rsid w:val="00897B2D"/>
    <w:rsid w:val="008A0A8E"/>
    <w:rsid w:val="008A1372"/>
    <w:rsid w:val="008A14B4"/>
    <w:rsid w:val="008A168E"/>
    <w:rsid w:val="008A34E7"/>
    <w:rsid w:val="008A3633"/>
    <w:rsid w:val="008A4020"/>
    <w:rsid w:val="008A4258"/>
    <w:rsid w:val="008A4E68"/>
    <w:rsid w:val="008A526E"/>
    <w:rsid w:val="008A5715"/>
    <w:rsid w:val="008A585A"/>
    <w:rsid w:val="008A5AF1"/>
    <w:rsid w:val="008A5C04"/>
    <w:rsid w:val="008A7AC4"/>
    <w:rsid w:val="008A7B58"/>
    <w:rsid w:val="008B004F"/>
    <w:rsid w:val="008B01E5"/>
    <w:rsid w:val="008B1EB8"/>
    <w:rsid w:val="008B1EE1"/>
    <w:rsid w:val="008B4EF8"/>
    <w:rsid w:val="008B5311"/>
    <w:rsid w:val="008B654C"/>
    <w:rsid w:val="008B6B0F"/>
    <w:rsid w:val="008B79CA"/>
    <w:rsid w:val="008B7D43"/>
    <w:rsid w:val="008C21D6"/>
    <w:rsid w:val="008C2297"/>
    <w:rsid w:val="008C440B"/>
    <w:rsid w:val="008C5360"/>
    <w:rsid w:val="008C567D"/>
    <w:rsid w:val="008C5D59"/>
    <w:rsid w:val="008C6491"/>
    <w:rsid w:val="008C7114"/>
    <w:rsid w:val="008C787B"/>
    <w:rsid w:val="008D0FF3"/>
    <w:rsid w:val="008D1580"/>
    <w:rsid w:val="008D29A6"/>
    <w:rsid w:val="008D3068"/>
    <w:rsid w:val="008D4032"/>
    <w:rsid w:val="008D4238"/>
    <w:rsid w:val="008D45B0"/>
    <w:rsid w:val="008D4BAE"/>
    <w:rsid w:val="008D4DB5"/>
    <w:rsid w:val="008D515A"/>
    <w:rsid w:val="008D6529"/>
    <w:rsid w:val="008E0DB9"/>
    <w:rsid w:val="008E1C58"/>
    <w:rsid w:val="008E1D78"/>
    <w:rsid w:val="008E1DE9"/>
    <w:rsid w:val="008E2165"/>
    <w:rsid w:val="008E3B17"/>
    <w:rsid w:val="008E4A08"/>
    <w:rsid w:val="008E5275"/>
    <w:rsid w:val="008E5DF4"/>
    <w:rsid w:val="008E625B"/>
    <w:rsid w:val="008E76E9"/>
    <w:rsid w:val="008F05B4"/>
    <w:rsid w:val="008F1D22"/>
    <w:rsid w:val="008F289D"/>
    <w:rsid w:val="008F2942"/>
    <w:rsid w:val="008F2983"/>
    <w:rsid w:val="008F3057"/>
    <w:rsid w:val="008F54F0"/>
    <w:rsid w:val="008F5A3B"/>
    <w:rsid w:val="008F5BB7"/>
    <w:rsid w:val="008F717F"/>
    <w:rsid w:val="009009C3"/>
    <w:rsid w:val="00900C00"/>
    <w:rsid w:val="00900FAB"/>
    <w:rsid w:val="009012CD"/>
    <w:rsid w:val="0090139E"/>
    <w:rsid w:val="00901B1D"/>
    <w:rsid w:val="00902C3A"/>
    <w:rsid w:val="00903553"/>
    <w:rsid w:val="00903C6A"/>
    <w:rsid w:val="00904F8C"/>
    <w:rsid w:val="00905A9E"/>
    <w:rsid w:val="009077DB"/>
    <w:rsid w:val="00907F5F"/>
    <w:rsid w:val="00911D61"/>
    <w:rsid w:val="0091210F"/>
    <w:rsid w:val="00912177"/>
    <w:rsid w:val="00913732"/>
    <w:rsid w:val="009138C8"/>
    <w:rsid w:val="009148C8"/>
    <w:rsid w:val="00914B5B"/>
    <w:rsid w:val="00917AAA"/>
    <w:rsid w:val="0092087D"/>
    <w:rsid w:val="009223F6"/>
    <w:rsid w:val="00922A96"/>
    <w:rsid w:val="009242B7"/>
    <w:rsid w:val="009245A6"/>
    <w:rsid w:val="009255BD"/>
    <w:rsid w:val="00930396"/>
    <w:rsid w:val="009317FF"/>
    <w:rsid w:val="00931EA9"/>
    <w:rsid w:val="0093374D"/>
    <w:rsid w:val="00933C01"/>
    <w:rsid w:val="00933C93"/>
    <w:rsid w:val="00933CDC"/>
    <w:rsid w:val="00933FF7"/>
    <w:rsid w:val="009341CC"/>
    <w:rsid w:val="009347D0"/>
    <w:rsid w:val="0093516B"/>
    <w:rsid w:val="00935489"/>
    <w:rsid w:val="0093574A"/>
    <w:rsid w:val="00935CE5"/>
    <w:rsid w:val="0093626E"/>
    <w:rsid w:val="00940887"/>
    <w:rsid w:val="00940D34"/>
    <w:rsid w:val="009417BA"/>
    <w:rsid w:val="00941D58"/>
    <w:rsid w:val="00942675"/>
    <w:rsid w:val="00946BFF"/>
    <w:rsid w:val="00947C4F"/>
    <w:rsid w:val="00950C2E"/>
    <w:rsid w:val="0095265C"/>
    <w:rsid w:val="00952DB5"/>
    <w:rsid w:val="00953C4F"/>
    <w:rsid w:val="009567F3"/>
    <w:rsid w:val="0095691E"/>
    <w:rsid w:val="00957E4B"/>
    <w:rsid w:val="0096015D"/>
    <w:rsid w:val="00960BC9"/>
    <w:rsid w:val="00961009"/>
    <w:rsid w:val="00961271"/>
    <w:rsid w:val="0096135E"/>
    <w:rsid w:val="0096228B"/>
    <w:rsid w:val="009622BB"/>
    <w:rsid w:val="00963279"/>
    <w:rsid w:val="009648D4"/>
    <w:rsid w:val="00965086"/>
    <w:rsid w:val="00966D63"/>
    <w:rsid w:val="009703AE"/>
    <w:rsid w:val="0097047C"/>
    <w:rsid w:val="00970D86"/>
    <w:rsid w:val="00970FDC"/>
    <w:rsid w:val="0097106B"/>
    <w:rsid w:val="00971B97"/>
    <w:rsid w:val="00971ED8"/>
    <w:rsid w:val="00972780"/>
    <w:rsid w:val="00973C76"/>
    <w:rsid w:val="0097450E"/>
    <w:rsid w:val="00975478"/>
    <w:rsid w:val="0097558F"/>
    <w:rsid w:val="00975C95"/>
    <w:rsid w:val="00976340"/>
    <w:rsid w:val="00976821"/>
    <w:rsid w:val="0097719C"/>
    <w:rsid w:val="009814A8"/>
    <w:rsid w:val="0098318A"/>
    <w:rsid w:val="0098338A"/>
    <w:rsid w:val="00984250"/>
    <w:rsid w:val="009854C2"/>
    <w:rsid w:val="009862EE"/>
    <w:rsid w:val="00986F01"/>
    <w:rsid w:val="009879FA"/>
    <w:rsid w:val="009900DB"/>
    <w:rsid w:val="00990B2F"/>
    <w:rsid w:val="00991385"/>
    <w:rsid w:val="0099181D"/>
    <w:rsid w:val="00992D07"/>
    <w:rsid w:val="00992FE4"/>
    <w:rsid w:val="00993180"/>
    <w:rsid w:val="0099591E"/>
    <w:rsid w:val="00996839"/>
    <w:rsid w:val="00996880"/>
    <w:rsid w:val="00996950"/>
    <w:rsid w:val="009A168D"/>
    <w:rsid w:val="009A2218"/>
    <w:rsid w:val="009A2929"/>
    <w:rsid w:val="009A4116"/>
    <w:rsid w:val="009A418C"/>
    <w:rsid w:val="009A5367"/>
    <w:rsid w:val="009A5A64"/>
    <w:rsid w:val="009A5D43"/>
    <w:rsid w:val="009A69C8"/>
    <w:rsid w:val="009B05BA"/>
    <w:rsid w:val="009B0D13"/>
    <w:rsid w:val="009B0F9A"/>
    <w:rsid w:val="009B2B84"/>
    <w:rsid w:val="009B2E01"/>
    <w:rsid w:val="009B46AD"/>
    <w:rsid w:val="009B50CA"/>
    <w:rsid w:val="009B6C7E"/>
    <w:rsid w:val="009B7482"/>
    <w:rsid w:val="009C0BDD"/>
    <w:rsid w:val="009C2710"/>
    <w:rsid w:val="009C28F0"/>
    <w:rsid w:val="009C2B63"/>
    <w:rsid w:val="009C2CEC"/>
    <w:rsid w:val="009C396E"/>
    <w:rsid w:val="009C4892"/>
    <w:rsid w:val="009C56F4"/>
    <w:rsid w:val="009C58F0"/>
    <w:rsid w:val="009C5B73"/>
    <w:rsid w:val="009C5E74"/>
    <w:rsid w:val="009C609F"/>
    <w:rsid w:val="009C6BF0"/>
    <w:rsid w:val="009D1FBD"/>
    <w:rsid w:val="009D38E0"/>
    <w:rsid w:val="009D5E4B"/>
    <w:rsid w:val="009D7ECF"/>
    <w:rsid w:val="009E0150"/>
    <w:rsid w:val="009E04F7"/>
    <w:rsid w:val="009E13FC"/>
    <w:rsid w:val="009E1D3D"/>
    <w:rsid w:val="009E2804"/>
    <w:rsid w:val="009E2F6B"/>
    <w:rsid w:val="009E3C36"/>
    <w:rsid w:val="009E3C65"/>
    <w:rsid w:val="009E6141"/>
    <w:rsid w:val="009E6BEF"/>
    <w:rsid w:val="009E7116"/>
    <w:rsid w:val="009E7813"/>
    <w:rsid w:val="009E7B3F"/>
    <w:rsid w:val="009F14A0"/>
    <w:rsid w:val="009F1DB8"/>
    <w:rsid w:val="009F24D2"/>
    <w:rsid w:val="009F4197"/>
    <w:rsid w:val="009F626E"/>
    <w:rsid w:val="009F66A5"/>
    <w:rsid w:val="009F6A37"/>
    <w:rsid w:val="009F705C"/>
    <w:rsid w:val="009F71EF"/>
    <w:rsid w:val="009F763A"/>
    <w:rsid w:val="009F7E57"/>
    <w:rsid w:val="00A008FA"/>
    <w:rsid w:val="00A01354"/>
    <w:rsid w:val="00A0157F"/>
    <w:rsid w:val="00A01641"/>
    <w:rsid w:val="00A01C11"/>
    <w:rsid w:val="00A0246E"/>
    <w:rsid w:val="00A035FE"/>
    <w:rsid w:val="00A05E07"/>
    <w:rsid w:val="00A0750D"/>
    <w:rsid w:val="00A102CA"/>
    <w:rsid w:val="00A11F04"/>
    <w:rsid w:val="00A122CB"/>
    <w:rsid w:val="00A123B2"/>
    <w:rsid w:val="00A12617"/>
    <w:rsid w:val="00A12B7E"/>
    <w:rsid w:val="00A13477"/>
    <w:rsid w:val="00A13D6E"/>
    <w:rsid w:val="00A143EE"/>
    <w:rsid w:val="00A146C3"/>
    <w:rsid w:val="00A150CF"/>
    <w:rsid w:val="00A1534A"/>
    <w:rsid w:val="00A1635B"/>
    <w:rsid w:val="00A16CE7"/>
    <w:rsid w:val="00A170EB"/>
    <w:rsid w:val="00A173D2"/>
    <w:rsid w:val="00A20909"/>
    <w:rsid w:val="00A21D42"/>
    <w:rsid w:val="00A21F80"/>
    <w:rsid w:val="00A224F0"/>
    <w:rsid w:val="00A22D7A"/>
    <w:rsid w:val="00A230FA"/>
    <w:rsid w:val="00A23CF2"/>
    <w:rsid w:val="00A24A6D"/>
    <w:rsid w:val="00A24A87"/>
    <w:rsid w:val="00A24B6D"/>
    <w:rsid w:val="00A24C4E"/>
    <w:rsid w:val="00A254BB"/>
    <w:rsid w:val="00A2578B"/>
    <w:rsid w:val="00A25F49"/>
    <w:rsid w:val="00A26107"/>
    <w:rsid w:val="00A263B0"/>
    <w:rsid w:val="00A26BF2"/>
    <w:rsid w:val="00A277EA"/>
    <w:rsid w:val="00A27C89"/>
    <w:rsid w:val="00A3053B"/>
    <w:rsid w:val="00A30592"/>
    <w:rsid w:val="00A30FD1"/>
    <w:rsid w:val="00A33998"/>
    <w:rsid w:val="00A33E8E"/>
    <w:rsid w:val="00A346A1"/>
    <w:rsid w:val="00A35672"/>
    <w:rsid w:val="00A35EDE"/>
    <w:rsid w:val="00A37151"/>
    <w:rsid w:val="00A3721A"/>
    <w:rsid w:val="00A431CF"/>
    <w:rsid w:val="00A435C1"/>
    <w:rsid w:val="00A4490F"/>
    <w:rsid w:val="00A454C0"/>
    <w:rsid w:val="00A45EF6"/>
    <w:rsid w:val="00A46181"/>
    <w:rsid w:val="00A509AA"/>
    <w:rsid w:val="00A51134"/>
    <w:rsid w:val="00A5245C"/>
    <w:rsid w:val="00A53AAA"/>
    <w:rsid w:val="00A53C3D"/>
    <w:rsid w:val="00A53D67"/>
    <w:rsid w:val="00A53E84"/>
    <w:rsid w:val="00A54937"/>
    <w:rsid w:val="00A54CA5"/>
    <w:rsid w:val="00A55981"/>
    <w:rsid w:val="00A56725"/>
    <w:rsid w:val="00A574B0"/>
    <w:rsid w:val="00A57745"/>
    <w:rsid w:val="00A60ADC"/>
    <w:rsid w:val="00A61E61"/>
    <w:rsid w:val="00A62980"/>
    <w:rsid w:val="00A63B97"/>
    <w:rsid w:val="00A64477"/>
    <w:rsid w:val="00A64673"/>
    <w:rsid w:val="00A64800"/>
    <w:rsid w:val="00A65C02"/>
    <w:rsid w:val="00A65CB8"/>
    <w:rsid w:val="00A66C64"/>
    <w:rsid w:val="00A67128"/>
    <w:rsid w:val="00A67953"/>
    <w:rsid w:val="00A67E93"/>
    <w:rsid w:val="00A70BE1"/>
    <w:rsid w:val="00A70EB7"/>
    <w:rsid w:val="00A71F9A"/>
    <w:rsid w:val="00A730F9"/>
    <w:rsid w:val="00A736B3"/>
    <w:rsid w:val="00A739FD"/>
    <w:rsid w:val="00A73F32"/>
    <w:rsid w:val="00A74943"/>
    <w:rsid w:val="00A76236"/>
    <w:rsid w:val="00A76269"/>
    <w:rsid w:val="00A763A1"/>
    <w:rsid w:val="00A832B1"/>
    <w:rsid w:val="00A83904"/>
    <w:rsid w:val="00A83CCE"/>
    <w:rsid w:val="00A84CCF"/>
    <w:rsid w:val="00A84E2C"/>
    <w:rsid w:val="00A85194"/>
    <w:rsid w:val="00A86930"/>
    <w:rsid w:val="00A87053"/>
    <w:rsid w:val="00A9245A"/>
    <w:rsid w:val="00A9291A"/>
    <w:rsid w:val="00A92A48"/>
    <w:rsid w:val="00A93A43"/>
    <w:rsid w:val="00A951DC"/>
    <w:rsid w:val="00A957F4"/>
    <w:rsid w:val="00A95E4A"/>
    <w:rsid w:val="00A96833"/>
    <w:rsid w:val="00A97748"/>
    <w:rsid w:val="00AA0842"/>
    <w:rsid w:val="00AA2EB6"/>
    <w:rsid w:val="00AA40F0"/>
    <w:rsid w:val="00AA50D3"/>
    <w:rsid w:val="00AA5411"/>
    <w:rsid w:val="00AA5417"/>
    <w:rsid w:val="00AA64D6"/>
    <w:rsid w:val="00AA650C"/>
    <w:rsid w:val="00AA7543"/>
    <w:rsid w:val="00AB012C"/>
    <w:rsid w:val="00AB0A12"/>
    <w:rsid w:val="00AB21F7"/>
    <w:rsid w:val="00AB279C"/>
    <w:rsid w:val="00AB357F"/>
    <w:rsid w:val="00AB478E"/>
    <w:rsid w:val="00AB4C62"/>
    <w:rsid w:val="00AB5B52"/>
    <w:rsid w:val="00AB6B8F"/>
    <w:rsid w:val="00AB70EA"/>
    <w:rsid w:val="00AB7D44"/>
    <w:rsid w:val="00AC0A07"/>
    <w:rsid w:val="00AC122C"/>
    <w:rsid w:val="00AC1A64"/>
    <w:rsid w:val="00AC4837"/>
    <w:rsid w:val="00AC6736"/>
    <w:rsid w:val="00AC7E71"/>
    <w:rsid w:val="00AD00B6"/>
    <w:rsid w:val="00AD22DC"/>
    <w:rsid w:val="00AD31AE"/>
    <w:rsid w:val="00AD328B"/>
    <w:rsid w:val="00AD32D9"/>
    <w:rsid w:val="00AD71EF"/>
    <w:rsid w:val="00AD74A9"/>
    <w:rsid w:val="00AD7BB9"/>
    <w:rsid w:val="00AE02D6"/>
    <w:rsid w:val="00AE1D77"/>
    <w:rsid w:val="00AE236C"/>
    <w:rsid w:val="00AE2772"/>
    <w:rsid w:val="00AE2909"/>
    <w:rsid w:val="00AE3058"/>
    <w:rsid w:val="00AE490A"/>
    <w:rsid w:val="00AE4923"/>
    <w:rsid w:val="00AE4EC2"/>
    <w:rsid w:val="00AE536E"/>
    <w:rsid w:val="00AE56F4"/>
    <w:rsid w:val="00AE6407"/>
    <w:rsid w:val="00AE6872"/>
    <w:rsid w:val="00AE70B8"/>
    <w:rsid w:val="00AF0EE6"/>
    <w:rsid w:val="00AF1062"/>
    <w:rsid w:val="00AF1D2C"/>
    <w:rsid w:val="00AF2751"/>
    <w:rsid w:val="00AF3585"/>
    <w:rsid w:val="00AF45A5"/>
    <w:rsid w:val="00AF47E6"/>
    <w:rsid w:val="00AF578F"/>
    <w:rsid w:val="00B002D3"/>
    <w:rsid w:val="00B00421"/>
    <w:rsid w:val="00B00D23"/>
    <w:rsid w:val="00B02F78"/>
    <w:rsid w:val="00B04F4A"/>
    <w:rsid w:val="00B060DF"/>
    <w:rsid w:val="00B06E93"/>
    <w:rsid w:val="00B076E7"/>
    <w:rsid w:val="00B1039B"/>
    <w:rsid w:val="00B11F78"/>
    <w:rsid w:val="00B12243"/>
    <w:rsid w:val="00B12400"/>
    <w:rsid w:val="00B1279E"/>
    <w:rsid w:val="00B13146"/>
    <w:rsid w:val="00B13A36"/>
    <w:rsid w:val="00B13A7A"/>
    <w:rsid w:val="00B13ADC"/>
    <w:rsid w:val="00B1440C"/>
    <w:rsid w:val="00B145E7"/>
    <w:rsid w:val="00B1570B"/>
    <w:rsid w:val="00B17503"/>
    <w:rsid w:val="00B20423"/>
    <w:rsid w:val="00B20935"/>
    <w:rsid w:val="00B20C5E"/>
    <w:rsid w:val="00B21AE8"/>
    <w:rsid w:val="00B221B4"/>
    <w:rsid w:val="00B2255C"/>
    <w:rsid w:val="00B2266C"/>
    <w:rsid w:val="00B226AC"/>
    <w:rsid w:val="00B2398D"/>
    <w:rsid w:val="00B2446B"/>
    <w:rsid w:val="00B248C4"/>
    <w:rsid w:val="00B259B1"/>
    <w:rsid w:val="00B2624E"/>
    <w:rsid w:val="00B26963"/>
    <w:rsid w:val="00B27FCF"/>
    <w:rsid w:val="00B32835"/>
    <w:rsid w:val="00B32D9A"/>
    <w:rsid w:val="00B34632"/>
    <w:rsid w:val="00B3491B"/>
    <w:rsid w:val="00B35D93"/>
    <w:rsid w:val="00B361B2"/>
    <w:rsid w:val="00B36FDE"/>
    <w:rsid w:val="00B370D4"/>
    <w:rsid w:val="00B37B27"/>
    <w:rsid w:val="00B37CAD"/>
    <w:rsid w:val="00B37DF2"/>
    <w:rsid w:val="00B409CB"/>
    <w:rsid w:val="00B41BDE"/>
    <w:rsid w:val="00B43699"/>
    <w:rsid w:val="00B43DA4"/>
    <w:rsid w:val="00B44338"/>
    <w:rsid w:val="00B44918"/>
    <w:rsid w:val="00B46C51"/>
    <w:rsid w:val="00B5028E"/>
    <w:rsid w:val="00B536D4"/>
    <w:rsid w:val="00B54B96"/>
    <w:rsid w:val="00B54E31"/>
    <w:rsid w:val="00B5508E"/>
    <w:rsid w:val="00B55474"/>
    <w:rsid w:val="00B559FF"/>
    <w:rsid w:val="00B57119"/>
    <w:rsid w:val="00B57307"/>
    <w:rsid w:val="00B57968"/>
    <w:rsid w:val="00B57999"/>
    <w:rsid w:val="00B57E2F"/>
    <w:rsid w:val="00B600B6"/>
    <w:rsid w:val="00B62238"/>
    <w:rsid w:val="00B62413"/>
    <w:rsid w:val="00B62CAB"/>
    <w:rsid w:val="00B62D7D"/>
    <w:rsid w:val="00B63FF2"/>
    <w:rsid w:val="00B64274"/>
    <w:rsid w:val="00B655C4"/>
    <w:rsid w:val="00B65C8E"/>
    <w:rsid w:val="00B70B95"/>
    <w:rsid w:val="00B71282"/>
    <w:rsid w:val="00B71643"/>
    <w:rsid w:val="00B723BA"/>
    <w:rsid w:val="00B733FC"/>
    <w:rsid w:val="00B74F93"/>
    <w:rsid w:val="00B754E1"/>
    <w:rsid w:val="00B75BC9"/>
    <w:rsid w:val="00B774E0"/>
    <w:rsid w:val="00B80496"/>
    <w:rsid w:val="00B81C2E"/>
    <w:rsid w:val="00B81D74"/>
    <w:rsid w:val="00B822A7"/>
    <w:rsid w:val="00B828E6"/>
    <w:rsid w:val="00B841C7"/>
    <w:rsid w:val="00B847A7"/>
    <w:rsid w:val="00B858EF"/>
    <w:rsid w:val="00B874C3"/>
    <w:rsid w:val="00B87656"/>
    <w:rsid w:val="00B902A1"/>
    <w:rsid w:val="00B918DA"/>
    <w:rsid w:val="00B91B8D"/>
    <w:rsid w:val="00B91F68"/>
    <w:rsid w:val="00B933DC"/>
    <w:rsid w:val="00B93880"/>
    <w:rsid w:val="00B94751"/>
    <w:rsid w:val="00B94B1B"/>
    <w:rsid w:val="00B95706"/>
    <w:rsid w:val="00B96087"/>
    <w:rsid w:val="00BA1E8F"/>
    <w:rsid w:val="00BA235D"/>
    <w:rsid w:val="00BA42C9"/>
    <w:rsid w:val="00BA430C"/>
    <w:rsid w:val="00BA4726"/>
    <w:rsid w:val="00BA47D5"/>
    <w:rsid w:val="00BA4B00"/>
    <w:rsid w:val="00BA4B87"/>
    <w:rsid w:val="00BA50C2"/>
    <w:rsid w:val="00BA62D7"/>
    <w:rsid w:val="00BA7D18"/>
    <w:rsid w:val="00BB0BAB"/>
    <w:rsid w:val="00BB3DC7"/>
    <w:rsid w:val="00BB44E7"/>
    <w:rsid w:val="00BB4871"/>
    <w:rsid w:val="00BB6298"/>
    <w:rsid w:val="00BB755B"/>
    <w:rsid w:val="00BC021E"/>
    <w:rsid w:val="00BC0856"/>
    <w:rsid w:val="00BC0CD4"/>
    <w:rsid w:val="00BC1BD4"/>
    <w:rsid w:val="00BC2183"/>
    <w:rsid w:val="00BC31EF"/>
    <w:rsid w:val="00BC33F6"/>
    <w:rsid w:val="00BC3783"/>
    <w:rsid w:val="00BC494D"/>
    <w:rsid w:val="00BC6DF5"/>
    <w:rsid w:val="00BD0B80"/>
    <w:rsid w:val="00BD0BDC"/>
    <w:rsid w:val="00BD12B3"/>
    <w:rsid w:val="00BD1ABD"/>
    <w:rsid w:val="00BD3066"/>
    <w:rsid w:val="00BD4DD3"/>
    <w:rsid w:val="00BD53A3"/>
    <w:rsid w:val="00BD5ACD"/>
    <w:rsid w:val="00BD6090"/>
    <w:rsid w:val="00BD6496"/>
    <w:rsid w:val="00BD6AB5"/>
    <w:rsid w:val="00BD6C72"/>
    <w:rsid w:val="00BD737A"/>
    <w:rsid w:val="00BE048A"/>
    <w:rsid w:val="00BE0C61"/>
    <w:rsid w:val="00BE0F80"/>
    <w:rsid w:val="00BE141C"/>
    <w:rsid w:val="00BE29D8"/>
    <w:rsid w:val="00BE2F4E"/>
    <w:rsid w:val="00BE31B8"/>
    <w:rsid w:val="00BE4885"/>
    <w:rsid w:val="00BF0A17"/>
    <w:rsid w:val="00BF0AFC"/>
    <w:rsid w:val="00BF14FF"/>
    <w:rsid w:val="00BF1567"/>
    <w:rsid w:val="00BF1F01"/>
    <w:rsid w:val="00BF3A49"/>
    <w:rsid w:val="00BF4A86"/>
    <w:rsid w:val="00BF50A2"/>
    <w:rsid w:val="00C0063A"/>
    <w:rsid w:val="00C00C4C"/>
    <w:rsid w:val="00C014AA"/>
    <w:rsid w:val="00C01F3D"/>
    <w:rsid w:val="00C04C6B"/>
    <w:rsid w:val="00C0536B"/>
    <w:rsid w:val="00C05517"/>
    <w:rsid w:val="00C05D9D"/>
    <w:rsid w:val="00C065D3"/>
    <w:rsid w:val="00C1098E"/>
    <w:rsid w:val="00C112C9"/>
    <w:rsid w:val="00C121CE"/>
    <w:rsid w:val="00C12A9A"/>
    <w:rsid w:val="00C12AEE"/>
    <w:rsid w:val="00C13548"/>
    <w:rsid w:val="00C15153"/>
    <w:rsid w:val="00C16984"/>
    <w:rsid w:val="00C17547"/>
    <w:rsid w:val="00C2039A"/>
    <w:rsid w:val="00C21398"/>
    <w:rsid w:val="00C21E12"/>
    <w:rsid w:val="00C2218E"/>
    <w:rsid w:val="00C2272A"/>
    <w:rsid w:val="00C24661"/>
    <w:rsid w:val="00C25D92"/>
    <w:rsid w:val="00C26743"/>
    <w:rsid w:val="00C26B9D"/>
    <w:rsid w:val="00C27F92"/>
    <w:rsid w:val="00C302D2"/>
    <w:rsid w:val="00C31BB8"/>
    <w:rsid w:val="00C32253"/>
    <w:rsid w:val="00C33B9B"/>
    <w:rsid w:val="00C35176"/>
    <w:rsid w:val="00C354D6"/>
    <w:rsid w:val="00C355C1"/>
    <w:rsid w:val="00C361B7"/>
    <w:rsid w:val="00C3622F"/>
    <w:rsid w:val="00C36378"/>
    <w:rsid w:val="00C378C5"/>
    <w:rsid w:val="00C37BE8"/>
    <w:rsid w:val="00C41102"/>
    <w:rsid w:val="00C46639"/>
    <w:rsid w:val="00C4672B"/>
    <w:rsid w:val="00C468D4"/>
    <w:rsid w:val="00C46AFD"/>
    <w:rsid w:val="00C47082"/>
    <w:rsid w:val="00C50BE9"/>
    <w:rsid w:val="00C514D3"/>
    <w:rsid w:val="00C534CB"/>
    <w:rsid w:val="00C548AE"/>
    <w:rsid w:val="00C55D92"/>
    <w:rsid w:val="00C575D4"/>
    <w:rsid w:val="00C57BD0"/>
    <w:rsid w:val="00C60CCF"/>
    <w:rsid w:val="00C60D80"/>
    <w:rsid w:val="00C6558D"/>
    <w:rsid w:val="00C66793"/>
    <w:rsid w:val="00C707BF"/>
    <w:rsid w:val="00C70B47"/>
    <w:rsid w:val="00C70BE0"/>
    <w:rsid w:val="00C7157E"/>
    <w:rsid w:val="00C71EA8"/>
    <w:rsid w:val="00C72A72"/>
    <w:rsid w:val="00C72C88"/>
    <w:rsid w:val="00C72D54"/>
    <w:rsid w:val="00C74C72"/>
    <w:rsid w:val="00C74F9C"/>
    <w:rsid w:val="00C75215"/>
    <w:rsid w:val="00C75523"/>
    <w:rsid w:val="00C75765"/>
    <w:rsid w:val="00C7691B"/>
    <w:rsid w:val="00C77072"/>
    <w:rsid w:val="00C77096"/>
    <w:rsid w:val="00C7752D"/>
    <w:rsid w:val="00C775F5"/>
    <w:rsid w:val="00C80ECB"/>
    <w:rsid w:val="00C81B0A"/>
    <w:rsid w:val="00C82DF0"/>
    <w:rsid w:val="00C8451F"/>
    <w:rsid w:val="00C84F37"/>
    <w:rsid w:val="00C8515F"/>
    <w:rsid w:val="00C8680A"/>
    <w:rsid w:val="00C86CE4"/>
    <w:rsid w:val="00C91925"/>
    <w:rsid w:val="00C9385B"/>
    <w:rsid w:val="00C93A9D"/>
    <w:rsid w:val="00C9420F"/>
    <w:rsid w:val="00C94765"/>
    <w:rsid w:val="00C94AA3"/>
    <w:rsid w:val="00C94AF0"/>
    <w:rsid w:val="00C95A62"/>
    <w:rsid w:val="00C95B3A"/>
    <w:rsid w:val="00C961FC"/>
    <w:rsid w:val="00C9636E"/>
    <w:rsid w:val="00C967D8"/>
    <w:rsid w:val="00C970FA"/>
    <w:rsid w:val="00C97793"/>
    <w:rsid w:val="00C97913"/>
    <w:rsid w:val="00CA069E"/>
    <w:rsid w:val="00CA1A6A"/>
    <w:rsid w:val="00CA1B41"/>
    <w:rsid w:val="00CA3866"/>
    <w:rsid w:val="00CA3B2C"/>
    <w:rsid w:val="00CA57BD"/>
    <w:rsid w:val="00CA6DC5"/>
    <w:rsid w:val="00CA798B"/>
    <w:rsid w:val="00CA79B0"/>
    <w:rsid w:val="00CB013C"/>
    <w:rsid w:val="00CB08FF"/>
    <w:rsid w:val="00CB09E3"/>
    <w:rsid w:val="00CB158E"/>
    <w:rsid w:val="00CB1C47"/>
    <w:rsid w:val="00CB260A"/>
    <w:rsid w:val="00CB2696"/>
    <w:rsid w:val="00CB50D7"/>
    <w:rsid w:val="00CB5A82"/>
    <w:rsid w:val="00CB6439"/>
    <w:rsid w:val="00CC014D"/>
    <w:rsid w:val="00CC089F"/>
    <w:rsid w:val="00CC1021"/>
    <w:rsid w:val="00CC367A"/>
    <w:rsid w:val="00CC52E3"/>
    <w:rsid w:val="00CC5330"/>
    <w:rsid w:val="00CC605D"/>
    <w:rsid w:val="00CC6187"/>
    <w:rsid w:val="00CC63DE"/>
    <w:rsid w:val="00CC675C"/>
    <w:rsid w:val="00CC6F54"/>
    <w:rsid w:val="00CD08F6"/>
    <w:rsid w:val="00CD16F4"/>
    <w:rsid w:val="00CD1AE0"/>
    <w:rsid w:val="00CD234C"/>
    <w:rsid w:val="00CD2E5F"/>
    <w:rsid w:val="00CD4FE9"/>
    <w:rsid w:val="00CD5098"/>
    <w:rsid w:val="00CD6A7D"/>
    <w:rsid w:val="00CD7448"/>
    <w:rsid w:val="00CD7876"/>
    <w:rsid w:val="00CD795D"/>
    <w:rsid w:val="00CE0E5C"/>
    <w:rsid w:val="00CE10D4"/>
    <w:rsid w:val="00CE17F7"/>
    <w:rsid w:val="00CE1A8B"/>
    <w:rsid w:val="00CE222E"/>
    <w:rsid w:val="00CE23EB"/>
    <w:rsid w:val="00CE240E"/>
    <w:rsid w:val="00CE4B76"/>
    <w:rsid w:val="00CE51D2"/>
    <w:rsid w:val="00CE612A"/>
    <w:rsid w:val="00CE6A06"/>
    <w:rsid w:val="00CE6AAD"/>
    <w:rsid w:val="00CE7FF2"/>
    <w:rsid w:val="00CF0114"/>
    <w:rsid w:val="00CF055C"/>
    <w:rsid w:val="00CF06F7"/>
    <w:rsid w:val="00CF08C2"/>
    <w:rsid w:val="00CF2865"/>
    <w:rsid w:val="00CF2E74"/>
    <w:rsid w:val="00CF41AB"/>
    <w:rsid w:val="00CF4857"/>
    <w:rsid w:val="00CF535A"/>
    <w:rsid w:val="00CF6A46"/>
    <w:rsid w:val="00CF751B"/>
    <w:rsid w:val="00CF76BF"/>
    <w:rsid w:val="00CF7E2C"/>
    <w:rsid w:val="00D00300"/>
    <w:rsid w:val="00D007A5"/>
    <w:rsid w:val="00D00EC9"/>
    <w:rsid w:val="00D01132"/>
    <w:rsid w:val="00D019DA"/>
    <w:rsid w:val="00D02814"/>
    <w:rsid w:val="00D03623"/>
    <w:rsid w:val="00D04FEF"/>
    <w:rsid w:val="00D05706"/>
    <w:rsid w:val="00D06106"/>
    <w:rsid w:val="00D10907"/>
    <w:rsid w:val="00D10EA8"/>
    <w:rsid w:val="00D11D0C"/>
    <w:rsid w:val="00D11E56"/>
    <w:rsid w:val="00D127C2"/>
    <w:rsid w:val="00D130C6"/>
    <w:rsid w:val="00D136C3"/>
    <w:rsid w:val="00D14269"/>
    <w:rsid w:val="00D15841"/>
    <w:rsid w:val="00D1676E"/>
    <w:rsid w:val="00D178E0"/>
    <w:rsid w:val="00D17EED"/>
    <w:rsid w:val="00D22384"/>
    <w:rsid w:val="00D22DBE"/>
    <w:rsid w:val="00D231C6"/>
    <w:rsid w:val="00D26517"/>
    <w:rsid w:val="00D27BC3"/>
    <w:rsid w:val="00D32C59"/>
    <w:rsid w:val="00D33A6A"/>
    <w:rsid w:val="00D347A8"/>
    <w:rsid w:val="00D3560F"/>
    <w:rsid w:val="00D358B7"/>
    <w:rsid w:val="00D43820"/>
    <w:rsid w:val="00D50332"/>
    <w:rsid w:val="00D51034"/>
    <w:rsid w:val="00D52837"/>
    <w:rsid w:val="00D53AE5"/>
    <w:rsid w:val="00D53F70"/>
    <w:rsid w:val="00D5578C"/>
    <w:rsid w:val="00D55E50"/>
    <w:rsid w:val="00D57165"/>
    <w:rsid w:val="00D574A5"/>
    <w:rsid w:val="00D575DF"/>
    <w:rsid w:val="00D57FF1"/>
    <w:rsid w:val="00D60C58"/>
    <w:rsid w:val="00D62443"/>
    <w:rsid w:val="00D626AB"/>
    <w:rsid w:val="00D6357B"/>
    <w:rsid w:val="00D6504A"/>
    <w:rsid w:val="00D660C9"/>
    <w:rsid w:val="00D66118"/>
    <w:rsid w:val="00D66287"/>
    <w:rsid w:val="00D6728F"/>
    <w:rsid w:val="00D6764A"/>
    <w:rsid w:val="00D6797F"/>
    <w:rsid w:val="00D67DDB"/>
    <w:rsid w:val="00D70DEB"/>
    <w:rsid w:val="00D72491"/>
    <w:rsid w:val="00D72FBD"/>
    <w:rsid w:val="00D74258"/>
    <w:rsid w:val="00D757B2"/>
    <w:rsid w:val="00D75AC1"/>
    <w:rsid w:val="00D75FB9"/>
    <w:rsid w:val="00D768E5"/>
    <w:rsid w:val="00D76CE2"/>
    <w:rsid w:val="00D776E6"/>
    <w:rsid w:val="00D80B32"/>
    <w:rsid w:val="00D80B93"/>
    <w:rsid w:val="00D81322"/>
    <w:rsid w:val="00D839A6"/>
    <w:rsid w:val="00D839C5"/>
    <w:rsid w:val="00D83CEF"/>
    <w:rsid w:val="00D844CF"/>
    <w:rsid w:val="00D86420"/>
    <w:rsid w:val="00D866B4"/>
    <w:rsid w:val="00D869D0"/>
    <w:rsid w:val="00D87D1A"/>
    <w:rsid w:val="00D90451"/>
    <w:rsid w:val="00D92DFE"/>
    <w:rsid w:val="00D93F20"/>
    <w:rsid w:val="00D94556"/>
    <w:rsid w:val="00D952AD"/>
    <w:rsid w:val="00D955F6"/>
    <w:rsid w:val="00D96FF1"/>
    <w:rsid w:val="00D97103"/>
    <w:rsid w:val="00D97EB9"/>
    <w:rsid w:val="00DA1F41"/>
    <w:rsid w:val="00DA2087"/>
    <w:rsid w:val="00DA2FD2"/>
    <w:rsid w:val="00DA5537"/>
    <w:rsid w:val="00DA69D7"/>
    <w:rsid w:val="00DB34CF"/>
    <w:rsid w:val="00DB3E32"/>
    <w:rsid w:val="00DB4390"/>
    <w:rsid w:val="00DB553A"/>
    <w:rsid w:val="00DB6D30"/>
    <w:rsid w:val="00DB7515"/>
    <w:rsid w:val="00DC001E"/>
    <w:rsid w:val="00DC0B3B"/>
    <w:rsid w:val="00DC1D1F"/>
    <w:rsid w:val="00DC3833"/>
    <w:rsid w:val="00DC4075"/>
    <w:rsid w:val="00DC4340"/>
    <w:rsid w:val="00DC4812"/>
    <w:rsid w:val="00DC6B08"/>
    <w:rsid w:val="00DD0646"/>
    <w:rsid w:val="00DD0764"/>
    <w:rsid w:val="00DD1BC8"/>
    <w:rsid w:val="00DD1C52"/>
    <w:rsid w:val="00DD34D1"/>
    <w:rsid w:val="00DD3CB7"/>
    <w:rsid w:val="00DD4317"/>
    <w:rsid w:val="00DD48AB"/>
    <w:rsid w:val="00DD51F1"/>
    <w:rsid w:val="00DD581B"/>
    <w:rsid w:val="00DD5874"/>
    <w:rsid w:val="00DD6813"/>
    <w:rsid w:val="00DE064F"/>
    <w:rsid w:val="00DE07B4"/>
    <w:rsid w:val="00DE1367"/>
    <w:rsid w:val="00DE1B1C"/>
    <w:rsid w:val="00DE1D45"/>
    <w:rsid w:val="00DE4F6E"/>
    <w:rsid w:val="00DE4FD3"/>
    <w:rsid w:val="00DE52BC"/>
    <w:rsid w:val="00DE52E1"/>
    <w:rsid w:val="00DE5830"/>
    <w:rsid w:val="00DE662C"/>
    <w:rsid w:val="00DE6B29"/>
    <w:rsid w:val="00DE6E70"/>
    <w:rsid w:val="00DE6E81"/>
    <w:rsid w:val="00DF0353"/>
    <w:rsid w:val="00DF0F63"/>
    <w:rsid w:val="00DF13B8"/>
    <w:rsid w:val="00DF277C"/>
    <w:rsid w:val="00DF3107"/>
    <w:rsid w:val="00DF3D4F"/>
    <w:rsid w:val="00DF5850"/>
    <w:rsid w:val="00DF695F"/>
    <w:rsid w:val="00DF74DF"/>
    <w:rsid w:val="00E00085"/>
    <w:rsid w:val="00E00713"/>
    <w:rsid w:val="00E00815"/>
    <w:rsid w:val="00E04477"/>
    <w:rsid w:val="00E049ED"/>
    <w:rsid w:val="00E05888"/>
    <w:rsid w:val="00E05B6E"/>
    <w:rsid w:val="00E075EF"/>
    <w:rsid w:val="00E102A0"/>
    <w:rsid w:val="00E12653"/>
    <w:rsid w:val="00E12C22"/>
    <w:rsid w:val="00E132EC"/>
    <w:rsid w:val="00E13F7E"/>
    <w:rsid w:val="00E145B0"/>
    <w:rsid w:val="00E1528F"/>
    <w:rsid w:val="00E157FC"/>
    <w:rsid w:val="00E15800"/>
    <w:rsid w:val="00E1659A"/>
    <w:rsid w:val="00E166E5"/>
    <w:rsid w:val="00E16F9E"/>
    <w:rsid w:val="00E175FB"/>
    <w:rsid w:val="00E208D9"/>
    <w:rsid w:val="00E21057"/>
    <w:rsid w:val="00E21518"/>
    <w:rsid w:val="00E21768"/>
    <w:rsid w:val="00E2196A"/>
    <w:rsid w:val="00E22335"/>
    <w:rsid w:val="00E2545C"/>
    <w:rsid w:val="00E256AA"/>
    <w:rsid w:val="00E25B8C"/>
    <w:rsid w:val="00E25D51"/>
    <w:rsid w:val="00E2614A"/>
    <w:rsid w:val="00E2675F"/>
    <w:rsid w:val="00E26A5A"/>
    <w:rsid w:val="00E27F26"/>
    <w:rsid w:val="00E30552"/>
    <w:rsid w:val="00E31103"/>
    <w:rsid w:val="00E36453"/>
    <w:rsid w:val="00E36A9D"/>
    <w:rsid w:val="00E37822"/>
    <w:rsid w:val="00E37B73"/>
    <w:rsid w:val="00E37D54"/>
    <w:rsid w:val="00E37E60"/>
    <w:rsid w:val="00E40637"/>
    <w:rsid w:val="00E41603"/>
    <w:rsid w:val="00E41611"/>
    <w:rsid w:val="00E41AE6"/>
    <w:rsid w:val="00E426BC"/>
    <w:rsid w:val="00E4382D"/>
    <w:rsid w:val="00E438A9"/>
    <w:rsid w:val="00E43C46"/>
    <w:rsid w:val="00E448A3"/>
    <w:rsid w:val="00E512B1"/>
    <w:rsid w:val="00E5170D"/>
    <w:rsid w:val="00E51843"/>
    <w:rsid w:val="00E51D51"/>
    <w:rsid w:val="00E53A3B"/>
    <w:rsid w:val="00E547DE"/>
    <w:rsid w:val="00E6148C"/>
    <w:rsid w:val="00E615AB"/>
    <w:rsid w:val="00E63669"/>
    <w:rsid w:val="00E63EB3"/>
    <w:rsid w:val="00E66FCB"/>
    <w:rsid w:val="00E67247"/>
    <w:rsid w:val="00E675BC"/>
    <w:rsid w:val="00E67D55"/>
    <w:rsid w:val="00E70E0F"/>
    <w:rsid w:val="00E71573"/>
    <w:rsid w:val="00E717CD"/>
    <w:rsid w:val="00E73991"/>
    <w:rsid w:val="00E75F45"/>
    <w:rsid w:val="00E767A9"/>
    <w:rsid w:val="00E76D64"/>
    <w:rsid w:val="00E77221"/>
    <w:rsid w:val="00E7734E"/>
    <w:rsid w:val="00E804E2"/>
    <w:rsid w:val="00E81627"/>
    <w:rsid w:val="00E81C49"/>
    <w:rsid w:val="00E81E97"/>
    <w:rsid w:val="00E8220E"/>
    <w:rsid w:val="00E83244"/>
    <w:rsid w:val="00E85196"/>
    <w:rsid w:val="00E85F22"/>
    <w:rsid w:val="00E865B8"/>
    <w:rsid w:val="00E86A4A"/>
    <w:rsid w:val="00E87612"/>
    <w:rsid w:val="00E914B5"/>
    <w:rsid w:val="00E92D49"/>
    <w:rsid w:val="00E92F0A"/>
    <w:rsid w:val="00E93231"/>
    <w:rsid w:val="00E93863"/>
    <w:rsid w:val="00E944BC"/>
    <w:rsid w:val="00E95125"/>
    <w:rsid w:val="00E95B25"/>
    <w:rsid w:val="00E96895"/>
    <w:rsid w:val="00E96BD6"/>
    <w:rsid w:val="00E96DFD"/>
    <w:rsid w:val="00E97742"/>
    <w:rsid w:val="00EA00AA"/>
    <w:rsid w:val="00EA17C4"/>
    <w:rsid w:val="00EA23BF"/>
    <w:rsid w:val="00EA23F2"/>
    <w:rsid w:val="00EA2F8A"/>
    <w:rsid w:val="00EA3355"/>
    <w:rsid w:val="00EA34F6"/>
    <w:rsid w:val="00EA3FD8"/>
    <w:rsid w:val="00EA5166"/>
    <w:rsid w:val="00EA7349"/>
    <w:rsid w:val="00EB04EE"/>
    <w:rsid w:val="00EB07BB"/>
    <w:rsid w:val="00EB112C"/>
    <w:rsid w:val="00EB1B58"/>
    <w:rsid w:val="00EB2DEA"/>
    <w:rsid w:val="00EB3137"/>
    <w:rsid w:val="00EB325B"/>
    <w:rsid w:val="00EB45C3"/>
    <w:rsid w:val="00EB5DB8"/>
    <w:rsid w:val="00EB6A26"/>
    <w:rsid w:val="00EB6EFA"/>
    <w:rsid w:val="00EB77B1"/>
    <w:rsid w:val="00EB7EDB"/>
    <w:rsid w:val="00EC12D3"/>
    <w:rsid w:val="00EC2E13"/>
    <w:rsid w:val="00EC3964"/>
    <w:rsid w:val="00EC44DC"/>
    <w:rsid w:val="00EC4A39"/>
    <w:rsid w:val="00EC4D14"/>
    <w:rsid w:val="00EC51BC"/>
    <w:rsid w:val="00EC5B35"/>
    <w:rsid w:val="00EC6CC6"/>
    <w:rsid w:val="00EC6E67"/>
    <w:rsid w:val="00EC7147"/>
    <w:rsid w:val="00EC7888"/>
    <w:rsid w:val="00EC78EA"/>
    <w:rsid w:val="00EC7A7E"/>
    <w:rsid w:val="00ED0377"/>
    <w:rsid w:val="00ED1858"/>
    <w:rsid w:val="00ED24F7"/>
    <w:rsid w:val="00ED3374"/>
    <w:rsid w:val="00ED36B7"/>
    <w:rsid w:val="00ED5B81"/>
    <w:rsid w:val="00ED5D46"/>
    <w:rsid w:val="00ED7685"/>
    <w:rsid w:val="00EE1D26"/>
    <w:rsid w:val="00EE20B8"/>
    <w:rsid w:val="00EE2426"/>
    <w:rsid w:val="00EE2464"/>
    <w:rsid w:val="00EE38C1"/>
    <w:rsid w:val="00EF0BCE"/>
    <w:rsid w:val="00EF13DB"/>
    <w:rsid w:val="00EF1CD4"/>
    <w:rsid w:val="00EF335B"/>
    <w:rsid w:val="00EF3495"/>
    <w:rsid w:val="00EF3C55"/>
    <w:rsid w:val="00EF423E"/>
    <w:rsid w:val="00EF5049"/>
    <w:rsid w:val="00EF58D9"/>
    <w:rsid w:val="00EF5BA2"/>
    <w:rsid w:val="00EF62C8"/>
    <w:rsid w:val="00EF756D"/>
    <w:rsid w:val="00EF7584"/>
    <w:rsid w:val="00F00138"/>
    <w:rsid w:val="00F0107C"/>
    <w:rsid w:val="00F018FC"/>
    <w:rsid w:val="00F01C51"/>
    <w:rsid w:val="00F01E94"/>
    <w:rsid w:val="00F04573"/>
    <w:rsid w:val="00F0509F"/>
    <w:rsid w:val="00F055D1"/>
    <w:rsid w:val="00F057C9"/>
    <w:rsid w:val="00F05F45"/>
    <w:rsid w:val="00F06AC9"/>
    <w:rsid w:val="00F11102"/>
    <w:rsid w:val="00F1187B"/>
    <w:rsid w:val="00F1191E"/>
    <w:rsid w:val="00F12A6E"/>
    <w:rsid w:val="00F12F2B"/>
    <w:rsid w:val="00F14066"/>
    <w:rsid w:val="00F144BB"/>
    <w:rsid w:val="00F159E1"/>
    <w:rsid w:val="00F165AD"/>
    <w:rsid w:val="00F17377"/>
    <w:rsid w:val="00F177B2"/>
    <w:rsid w:val="00F20EBB"/>
    <w:rsid w:val="00F24836"/>
    <w:rsid w:val="00F25201"/>
    <w:rsid w:val="00F25294"/>
    <w:rsid w:val="00F257CB"/>
    <w:rsid w:val="00F25E02"/>
    <w:rsid w:val="00F262AF"/>
    <w:rsid w:val="00F26335"/>
    <w:rsid w:val="00F272F1"/>
    <w:rsid w:val="00F27B88"/>
    <w:rsid w:val="00F301E7"/>
    <w:rsid w:val="00F3081B"/>
    <w:rsid w:val="00F31AB0"/>
    <w:rsid w:val="00F31FA4"/>
    <w:rsid w:val="00F32023"/>
    <w:rsid w:val="00F32A84"/>
    <w:rsid w:val="00F332AB"/>
    <w:rsid w:val="00F334F8"/>
    <w:rsid w:val="00F33779"/>
    <w:rsid w:val="00F33E0D"/>
    <w:rsid w:val="00F3517A"/>
    <w:rsid w:val="00F35829"/>
    <w:rsid w:val="00F35C6E"/>
    <w:rsid w:val="00F36469"/>
    <w:rsid w:val="00F36F75"/>
    <w:rsid w:val="00F37493"/>
    <w:rsid w:val="00F37B1F"/>
    <w:rsid w:val="00F405CA"/>
    <w:rsid w:val="00F4145F"/>
    <w:rsid w:val="00F41A90"/>
    <w:rsid w:val="00F41E85"/>
    <w:rsid w:val="00F42B7B"/>
    <w:rsid w:val="00F43707"/>
    <w:rsid w:val="00F44E11"/>
    <w:rsid w:val="00F45AB7"/>
    <w:rsid w:val="00F46AAC"/>
    <w:rsid w:val="00F474A6"/>
    <w:rsid w:val="00F477A7"/>
    <w:rsid w:val="00F506BE"/>
    <w:rsid w:val="00F50BFE"/>
    <w:rsid w:val="00F50C35"/>
    <w:rsid w:val="00F526EF"/>
    <w:rsid w:val="00F5270A"/>
    <w:rsid w:val="00F52AA9"/>
    <w:rsid w:val="00F52E78"/>
    <w:rsid w:val="00F55A2C"/>
    <w:rsid w:val="00F55DE3"/>
    <w:rsid w:val="00F55EBC"/>
    <w:rsid w:val="00F62F00"/>
    <w:rsid w:val="00F63ADE"/>
    <w:rsid w:val="00F63CAF"/>
    <w:rsid w:val="00F63FE2"/>
    <w:rsid w:val="00F64134"/>
    <w:rsid w:val="00F642F0"/>
    <w:rsid w:val="00F64BF4"/>
    <w:rsid w:val="00F656FE"/>
    <w:rsid w:val="00F67D70"/>
    <w:rsid w:val="00F70B23"/>
    <w:rsid w:val="00F71A49"/>
    <w:rsid w:val="00F72CAB"/>
    <w:rsid w:val="00F7721B"/>
    <w:rsid w:val="00F802EE"/>
    <w:rsid w:val="00F8082D"/>
    <w:rsid w:val="00F810CF"/>
    <w:rsid w:val="00F82517"/>
    <w:rsid w:val="00F84EE3"/>
    <w:rsid w:val="00F84FB1"/>
    <w:rsid w:val="00F85F74"/>
    <w:rsid w:val="00F9083C"/>
    <w:rsid w:val="00F91567"/>
    <w:rsid w:val="00F922DF"/>
    <w:rsid w:val="00F924AC"/>
    <w:rsid w:val="00F924D4"/>
    <w:rsid w:val="00F92961"/>
    <w:rsid w:val="00F96F59"/>
    <w:rsid w:val="00F97A89"/>
    <w:rsid w:val="00FA0770"/>
    <w:rsid w:val="00FA351F"/>
    <w:rsid w:val="00FA3A28"/>
    <w:rsid w:val="00FA3ADE"/>
    <w:rsid w:val="00FA3BFE"/>
    <w:rsid w:val="00FA4482"/>
    <w:rsid w:val="00FA510D"/>
    <w:rsid w:val="00FA5DFE"/>
    <w:rsid w:val="00FA66A0"/>
    <w:rsid w:val="00FA6D82"/>
    <w:rsid w:val="00FB253F"/>
    <w:rsid w:val="00FB3B5A"/>
    <w:rsid w:val="00FB46FE"/>
    <w:rsid w:val="00FB56C8"/>
    <w:rsid w:val="00FB653E"/>
    <w:rsid w:val="00FB7B5D"/>
    <w:rsid w:val="00FC0129"/>
    <w:rsid w:val="00FC2143"/>
    <w:rsid w:val="00FC2CD6"/>
    <w:rsid w:val="00FC54A6"/>
    <w:rsid w:val="00FC5D78"/>
    <w:rsid w:val="00FC6366"/>
    <w:rsid w:val="00FC65FE"/>
    <w:rsid w:val="00FC782E"/>
    <w:rsid w:val="00FC78B2"/>
    <w:rsid w:val="00FD164C"/>
    <w:rsid w:val="00FD27D0"/>
    <w:rsid w:val="00FD2B4A"/>
    <w:rsid w:val="00FD32CC"/>
    <w:rsid w:val="00FD3B2B"/>
    <w:rsid w:val="00FD426E"/>
    <w:rsid w:val="00FD4B16"/>
    <w:rsid w:val="00FD4EA2"/>
    <w:rsid w:val="00FD5A2E"/>
    <w:rsid w:val="00FE1510"/>
    <w:rsid w:val="00FE2345"/>
    <w:rsid w:val="00FE2BBE"/>
    <w:rsid w:val="00FE386C"/>
    <w:rsid w:val="00FE506E"/>
    <w:rsid w:val="00FE5C66"/>
    <w:rsid w:val="00FE62A4"/>
    <w:rsid w:val="00FE67B0"/>
    <w:rsid w:val="00FF0091"/>
    <w:rsid w:val="00FF053A"/>
    <w:rsid w:val="00FF0903"/>
    <w:rsid w:val="00FF0A78"/>
    <w:rsid w:val="00FF160E"/>
    <w:rsid w:val="00FF20F5"/>
    <w:rsid w:val="00FF2D14"/>
    <w:rsid w:val="00FF3005"/>
    <w:rsid w:val="00FF3C6E"/>
    <w:rsid w:val="00FF3FA9"/>
    <w:rsid w:val="00FF5D6A"/>
    <w:rsid w:val="00FF5DDA"/>
    <w:rsid w:val="00FF5E39"/>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938A77-83DE-41B4-AA66-3AB27D5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B69"/>
    <w:pPr>
      <w:widowControl w:val="0"/>
      <w:jc w:val="both"/>
    </w:pPr>
    <w:rPr>
      <w:kern w:val="2"/>
      <w:sz w:val="21"/>
      <w:szCs w:val="24"/>
    </w:rPr>
  </w:style>
  <w:style w:type="paragraph" w:styleId="1">
    <w:name w:val="heading 1"/>
    <w:aliases w:val="Heading 0,H1,PIM 1,Heading 11,level 1,Level 1 Head,h1,123321,Level 1 Topic Heading"/>
    <w:basedOn w:val="a0"/>
    <w:next w:val="a0"/>
    <w:link w:val="1Char"/>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link w:val="2Char"/>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link w:val="3Char"/>
    <w:qFormat/>
    <w:rsid w:val="00BA4B87"/>
    <w:pPr>
      <w:numPr>
        <w:ilvl w:val="2"/>
        <w:numId w:val="3"/>
      </w:numPr>
      <w:spacing w:before="260" w:after="260" w:line="416" w:lineRule="auto"/>
      <w:outlineLvl w:val="2"/>
    </w:pPr>
    <w:rPr>
      <w:rFonts w:ascii="仿宋_GB2312" w:eastAsia="仿宋_GB2312"/>
      <w:sz w:val="24"/>
      <w:szCs w:val="20"/>
    </w:rPr>
  </w:style>
  <w:style w:type="paragraph" w:styleId="4">
    <w:name w:val="heading 4"/>
    <w:basedOn w:val="a0"/>
    <w:next w:val="a0"/>
    <w:link w:val="4Char"/>
    <w:qFormat/>
    <w:rsid w:val="00BA4B87"/>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BA4B87"/>
    <w:pPr>
      <w:keepNext/>
      <w:keepLines/>
      <w:numPr>
        <w:ilvl w:val="4"/>
        <w:numId w:val="2"/>
      </w:numPr>
      <w:spacing w:before="280" w:after="290" w:line="376" w:lineRule="auto"/>
      <w:ind w:firstLineChars="200" w:firstLine="200"/>
      <w:outlineLvl w:val="4"/>
    </w:pPr>
    <w:rPr>
      <w:b/>
      <w:bCs/>
      <w:sz w:val="28"/>
      <w:szCs w:val="28"/>
    </w:rPr>
  </w:style>
  <w:style w:type="paragraph" w:styleId="6">
    <w:name w:val="heading 6"/>
    <w:basedOn w:val="a0"/>
    <w:next w:val="a0"/>
    <w:link w:val="6Char"/>
    <w:qFormat/>
    <w:rsid w:val="00BA4B87"/>
    <w:pPr>
      <w:keepNext/>
      <w:keepLines/>
      <w:numPr>
        <w:ilvl w:val="5"/>
        <w:numId w:val="2"/>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link w:val="7Char"/>
    <w:qFormat/>
    <w:rsid w:val="00BA4B87"/>
    <w:pPr>
      <w:keepNext/>
      <w:keepLines/>
      <w:numPr>
        <w:ilvl w:val="6"/>
        <w:numId w:val="2"/>
      </w:numPr>
      <w:spacing w:before="240" w:after="64" w:line="320" w:lineRule="auto"/>
      <w:ind w:firstLineChars="200" w:firstLine="200"/>
      <w:outlineLvl w:val="6"/>
    </w:pPr>
    <w:rPr>
      <w:b/>
      <w:bCs/>
      <w:sz w:val="24"/>
    </w:rPr>
  </w:style>
  <w:style w:type="paragraph" w:styleId="8">
    <w:name w:val="heading 8"/>
    <w:basedOn w:val="a0"/>
    <w:next w:val="a0"/>
    <w:link w:val="8Char"/>
    <w:qFormat/>
    <w:rsid w:val="00BA4B87"/>
    <w:pPr>
      <w:keepNext/>
      <w:keepLines/>
      <w:numPr>
        <w:ilvl w:val="7"/>
        <w:numId w:val="2"/>
      </w:numPr>
      <w:spacing w:before="240" w:after="64" w:line="320" w:lineRule="auto"/>
      <w:ind w:firstLineChars="200" w:firstLine="200"/>
      <w:outlineLvl w:val="7"/>
    </w:pPr>
    <w:rPr>
      <w:rFonts w:ascii="Arial" w:eastAsia="黑体" w:hAnsi="Arial"/>
      <w:sz w:val="24"/>
    </w:rPr>
  </w:style>
  <w:style w:type="paragraph" w:styleId="9">
    <w:name w:val="heading 9"/>
    <w:basedOn w:val="a0"/>
    <w:next w:val="a0"/>
    <w:link w:val="9Char"/>
    <w:qFormat/>
    <w:rsid w:val="00BA4B87"/>
    <w:pPr>
      <w:keepNext/>
      <w:keepLines/>
      <w:numPr>
        <w:ilvl w:val="8"/>
        <w:numId w:val="2"/>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1"/>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2"/>
      </w:numPr>
      <w:spacing w:beforeLines="100" w:afterLines="100"/>
      <w:outlineLvl w:val="1"/>
    </w:pPr>
    <w:rPr>
      <w:rFonts w:ascii="Arial" w:hAnsi="Arial"/>
      <w:b/>
      <w:bCs/>
      <w:sz w:val="28"/>
      <w:szCs w:val="20"/>
    </w:rPr>
  </w:style>
  <w:style w:type="paragraph" w:styleId="a">
    <w:name w:val="Body Text"/>
    <w:basedOn w:val="a0"/>
    <w:link w:val="Char"/>
    <w:rsid w:val="00BA4B87"/>
    <w:pPr>
      <w:numPr>
        <w:ilvl w:val="1"/>
        <w:numId w:val="4"/>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0"/>
    <w:rsid w:val="00BA4B87"/>
    <w:pPr>
      <w:ind w:firstLineChars="200" w:firstLine="200"/>
    </w:pPr>
    <w:rPr>
      <w:rFonts w:ascii="宋体" w:hAnsi="Courier New"/>
      <w:sz w:val="24"/>
      <w:szCs w:val="21"/>
    </w:rPr>
  </w:style>
  <w:style w:type="paragraph" w:styleId="a7">
    <w:name w:val="header"/>
    <w:basedOn w:val="a0"/>
    <w:link w:val="Char1"/>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2"/>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link w:val="Char3"/>
    <w:semiHidden/>
    <w:rsid w:val="00BA4B87"/>
    <w:pPr>
      <w:ind w:firstLineChars="200" w:firstLine="200"/>
    </w:pPr>
    <w:rPr>
      <w:sz w:val="18"/>
      <w:szCs w:val="18"/>
    </w:rPr>
  </w:style>
  <w:style w:type="paragraph" w:styleId="ac">
    <w:name w:val="Body Text First Indent"/>
    <w:basedOn w:val="a"/>
    <w:link w:val="Char4"/>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5"/>
    <w:rsid w:val="00BA4B87"/>
    <w:pPr>
      <w:jc w:val="left"/>
    </w:pPr>
  </w:style>
  <w:style w:type="character" w:customStyle="1" w:styleId="Char5">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link w:val="Char6"/>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7"/>
    <w:rsid w:val="00685D02"/>
    <w:rPr>
      <w:rFonts w:ascii="宋体"/>
      <w:sz w:val="18"/>
      <w:szCs w:val="18"/>
    </w:rPr>
  </w:style>
  <w:style w:type="character" w:customStyle="1" w:styleId="Char7">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1">
    <w:name w:val="页眉 Char"/>
    <w:basedOn w:val="a1"/>
    <w:link w:val="a7"/>
    <w:uiPriority w:val="99"/>
    <w:rsid w:val="00AE70B8"/>
    <w:rPr>
      <w:rFonts w:eastAsia="仿宋_GB2312"/>
      <w:kern w:val="2"/>
      <w:sz w:val="18"/>
    </w:rPr>
  </w:style>
  <w:style w:type="character" w:customStyle="1" w:styleId="Char2">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0">
    <w:name w:val="纯文本 Char"/>
    <w:basedOn w:val="a1"/>
    <w:link w:val="a6"/>
    <w:locked/>
    <w:rsid w:val="00310E26"/>
    <w:rPr>
      <w:rFonts w:ascii="宋体" w:hAnsi="Courier New"/>
      <w:kern w:val="2"/>
      <w:sz w:val="24"/>
      <w:szCs w:val="21"/>
    </w:rPr>
  </w:style>
  <w:style w:type="character" w:customStyle="1" w:styleId="Char4">
    <w:name w:val="正文首行缩进 Char"/>
    <w:basedOn w:val="a1"/>
    <w:link w:val="ac"/>
    <w:rsid w:val="00AE2909"/>
    <w:rPr>
      <w:kern w:val="2"/>
      <w:sz w:val="21"/>
      <w:szCs w:val="24"/>
    </w:rPr>
  </w:style>
  <w:style w:type="paragraph" w:customStyle="1" w:styleId="af4">
    <w:name w:val="项目"/>
    <w:basedOn w:val="4"/>
    <w:rsid w:val="00FC5D78"/>
    <w:pPr>
      <w:numPr>
        <w:ilvl w:val="0"/>
        <w:numId w:val="0"/>
      </w:numPr>
      <w:snapToGrid w:val="0"/>
      <w:spacing w:before="120" w:after="120" w:line="360" w:lineRule="auto"/>
    </w:pPr>
    <w:rPr>
      <w:rFonts w:ascii="Times New Roman" w:eastAsia="楷体_GB2312" w:hAnsi="Times New Roman"/>
      <w:b w:val="0"/>
      <w:sz w:val="24"/>
      <w:szCs w:val="20"/>
    </w:rPr>
  </w:style>
  <w:style w:type="table" w:styleId="af5">
    <w:name w:val="Table Grid"/>
    <w:basedOn w:val="a2"/>
    <w:qFormat/>
    <w:rsid w:val="007D29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Char"/>
    <w:uiPriority w:val="99"/>
    <w:semiHidden/>
    <w:unhideWhenUsed/>
    <w:rsid w:val="000D5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semiHidden/>
    <w:rsid w:val="000D5359"/>
    <w:rPr>
      <w:rFonts w:ascii="宋体" w:hAnsi="宋体"/>
      <w:sz w:val="24"/>
      <w:szCs w:val="24"/>
    </w:rPr>
  </w:style>
  <w:style w:type="character" w:customStyle="1" w:styleId="Char10">
    <w:name w:val="纯文本 Char1"/>
    <w:basedOn w:val="a1"/>
    <w:semiHidden/>
    <w:locked/>
    <w:rsid w:val="000D5359"/>
    <w:rPr>
      <w:rFonts w:ascii="宋体" w:hAnsi="Courier New" w:cs="Courier New"/>
      <w:kern w:val="2"/>
      <w:sz w:val="21"/>
      <w:szCs w:val="21"/>
    </w:rPr>
  </w:style>
  <w:style w:type="character" w:customStyle="1" w:styleId="1Char">
    <w:name w:val="标题 1 Char"/>
    <w:aliases w:val="Heading 0 Char1,H1 Char1,PIM 1 Char1,Heading 11 Char1,level 1 Char1,Level 1 Head Char1,h1 Char1,123321 Char1,Level 1 Topic Heading Char1"/>
    <w:basedOn w:val="a1"/>
    <w:link w:val="1"/>
    <w:rsid w:val="00CD234C"/>
    <w:rPr>
      <w:rFonts w:ascii="黑体" w:eastAsia="黑体"/>
      <w:kern w:val="2"/>
      <w:sz w:val="32"/>
      <w:szCs w:val="32"/>
    </w:rPr>
  </w:style>
  <w:style w:type="character" w:customStyle="1" w:styleId="2Char">
    <w:name w:val="标题 2 Char"/>
    <w:aliases w:val="H2 Char1,Heading 2 Hidden Char1,Heading 2 CCBS Char1,标题 2 Char Char Char1,2nd level Char1,h2 Char1,2 Char1,Header 2 Char1,PIM2 Char1,l2 Char1,Level 2 Head Char1,proj2 Char1,proj21 Char1,proj22 Char1,proj23 Char1,proj24 Char1,proj25 Char1"/>
    <w:basedOn w:val="a1"/>
    <w:link w:val="2"/>
    <w:rsid w:val="00CD234C"/>
    <w:rPr>
      <w:rFonts w:ascii="Arial" w:hAnsi="Arial"/>
      <w:b/>
      <w:kern w:val="2"/>
      <w:sz w:val="28"/>
      <w:szCs w:val="28"/>
    </w:rPr>
  </w:style>
  <w:style w:type="character" w:customStyle="1" w:styleId="3Char">
    <w:name w:val="标题 3 Char"/>
    <w:basedOn w:val="a1"/>
    <w:link w:val="3"/>
    <w:rsid w:val="00CD234C"/>
    <w:rPr>
      <w:rFonts w:ascii="仿宋_GB2312" w:eastAsia="仿宋_GB2312"/>
      <w:kern w:val="2"/>
      <w:sz w:val="24"/>
    </w:rPr>
  </w:style>
  <w:style w:type="character" w:customStyle="1" w:styleId="4Char">
    <w:name w:val="标题 4 Char"/>
    <w:basedOn w:val="a1"/>
    <w:link w:val="4"/>
    <w:rsid w:val="00CD234C"/>
    <w:rPr>
      <w:rFonts w:ascii="Arial" w:eastAsia="黑体" w:hAnsi="Arial"/>
      <w:b/>
      <w:bCs/>
      <w:kern w:val="2"/>
      <w:sz w:val="28"/>
      <w:szCs w:val="28"/>
    </w:rPr>
  </w:style>
  <w:style w:type="character" w:customStyle="1" w:styleId="5Char">
    <w:name w:val="标题 5 Char"/>
    <w:basedOn w:val="a1"/>
    <w:link w:val="5"/>
    <w:rsid w:val="00CD234C"/>
    <w:rPr>
      <w:b/>
      <w:bCs/>
      <w:kern w:val="2"/>
      <w:sz w:val="28"/>
      <w:szCs w:val="28"/>
    </w:rPr>
  </w:style>
  <w:style w:type="character" w:customStyle="1" w:styleId="6Char">
    <w:name w:val="标题 6 Char"/>
    <w:basedOn w:val="a1"/>
    <w:link w:val="6"/>
    <w:rsid w:val="00CD234C"/>
    <w:rPr>
      <w:rFonts w:ascii="Arial" w:eastAsia="黑体" w:hAnsi="Arial"/>
      <w:b/>
      <w:bCs/>
      <w:kern w:val="2"/>
      <w:sz w:val="24"/>
      <w:szCs w:val="24"/>
    </w:rPr>
  </w:style>
  <w:style w:type="character" w:customStyle="1" w:styleId="7Char">
    <w:name w:val="标题 7 Char"/>
    <w:basedOn w:val="a1"/>
    <w:link w:val="7"/>
    <w:rsid w:val="00CD234C"/>
    <w:rPr>
      <w:b/>
      <w:bCs/>
      <w:kern w:val="2"/>
      <w:sz w:val="24"/>
      <w:szCs w:val="24"/>
    </w:rPr>
  </w:style>
  <w:style w:type="character" w:customStyle="1" w:styleId="8Char">
    <w:name w:val="标题 8 Char"/>
    <w:basedOn w:val="a1"/>
    <w:link w:val="8"/>
    <w:rsid w:val="00CD234C"/>
    <w:rPr>
      <w:rFonts w:ascii="Arial" w:eastAsia="黑体" w:hAnsi="Arial"/>
      <w:kern w:val="2"/>
      <w:sz w:val="24"/>
      <w:szCs w:val="24"/>
    </w:rPr>
  </w:style>
  <w:style w:type="character" w:customStyle="1" w:styleId="9Char">
    <w:name w:val="标题 9 Char"/>
    <w:basedOn w:val="a1"/>
    <w:link w:val="9"/>
    <w:rsid w:val="00CD234C"/>
    <w:rPr>
      <w:rFonts w:ascii="Arial" w:eastAsia="黑体" w:hAnsi="Arial"/>
      <w:kern w:val="2"/>
      <w:sz w:val="24"/>
      <w:szCs w:val="21"/>
    </w:rPr>
  </w:style>
  <w:style w:type="character" w:styleId="af6">
    <w:name w:val="FollowedHyperlink"/>
    <w:basedOn w:val="a1"/>
    <w:uiPriority w:val="99"/>
    <w:semiHidden/>
    <w:unhideWhenUsed/>
    <w:rsid w:val="00CD234C"/>
    <w:rPr>
      <w:color w:val="800080" w:themeColor="followedHyperlink"/>
      <w:u w:val="single"/>
    </w:rPr>
  </w:style>
  <w:style w:type="character" w:customStyle="1" w:styleId="1Char1">
    <w:name w:val="标题 1 Char1"/>
    <w:aliases w:val="Heading 0 Char,H1 Char,PIM 1 Char,Heading 11 Char,level 1 Char,Level 1 Head Char,h1 Char,123321 Char,Level 1 Topic Heading Char"/>
    <w:basedOn w:val="a1"/>
    <w:rsid w:val="00CD234C"/>
    <w:rPr>
      <w:b/>
      <w:bCs/>
      <w:kern w:val="44"/>
      <w:sz w:val="44"/>
      <w:szCs w:val="44"/>
    </w:rPr>
  </w:style>
  <w:style w:type="character" w:customStyle="1" w:styleId="2Char1">
    <w:name w:val="标题 2 Char1"/>
    <w:aliases w:val="H2 Char,Heading 2 Hidden Char,Heading 2 CCBS Char,标题 2 Char Char Char,2nd level Char,h2 Char,2 Char,Header 2 Char,PIM2 Char,l2 Char,Level 2 Head Char,proj2 Char,proj21 Char,proj22 Char,proj23 Char,proj24 Char,proj25 Char,proj26 Char"/>
    <w:basedOn w:val="a1"/>
    <w:semiHidden/>
    <w:rsid w:val="00CD234C"/>
    <w:rPr>
      <w:rFonts w:asciiTheme="majorHAnsi" w:eastAsiaTheme="majorEastAsia" w:hAnsiTheme="majorHAnsi" w:cstheme="majorBidi"/>
      <w:b/>
      <w:bCs/>
      <w:kern w:val="2"/>
      <w:sz w:val="32"/>
      <w:szCs w:val="32"/>
    </w:rPr>
  </w:style>
  <w:style w:type="character" w:customStyle="1" w:styleId="Char">
    <w:name w:val="正文文本 Char"/>
    <w:basedOn w:val="a1"/>
    <w:link w:val="a"/>
    <w:rsid w:val="00CD234C"/>
    <w:rPr>
      <w:rFonts w:ascii="宋体"/>
      <w:sz w:val="24"/>
      <w:szCs w:val="24"/>
    </w:rPr>
  </w:style>
  <w:style w:type="character" w:customStyle="1" w:styleId="Char6">
    <w:name w:val="批注主题 Char"/>
    <w:basedOn w:val="Char5"/>
    <w:link w:val="af0"/>
    <w:semiHidden/>
    <w:rsid w:val="00CD234C"/>
    <w:rPr>
      <w:rFonts w:eastAsia="宋体"/>
      <w:b/>
      <w:bCs/>
      <w:kern w:val="2"/>
      <w:sz w:val="21"/>
      <w:szCs w:val="24"/>
      <w:lang w:val="en-US" w:eastAsia="zh-CN" w:bidi="ar-SA"/>
    </w:rPr>
  </w:style>
  <w:style w:type="character" w:customStyle="1" w:styleId="Char3">
    <w:name w:val="批注框文本 Char"/>
    <w:basedOn w:val="a1"/>
    <w:link w:val="ab"/>
    <w:semiHidden/>
    <w:rsid w:val="00CD23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3">
      <w:bodyDiv w:val="1"/>
      <w:marLeft w:val="0"/>
      <w:marRight w:val="0"/>
      <w:marTop w:val="0"/>
      <w:marBottom w:val="0"/>
      <w:divBdr>
        <w:top w:val="none" w:sz="0" w:space="0" w:color="auto"/>
        <w:left w:val="none" w:sz="0" w:space="0" w:color="auto"/>
        <w:bottom w:val="none" w:sz="0" w:space="0" w:color="auto"/>
        <w:right w:val="none" w:sz="0" w:space="0" w:color="auto"/>
      </w:divBdr>
    </w:div>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54662918">
      <w:bodyDiv w:val="1"/>
      <w:marLeft w:val="0"/>
      <w:marRight w:val="0"/>
      <w:marTop w:val="0"/>
      <w:marBottom w:val="0"/>
      <w:divBdr>
        <w:top w:val="none" w:sz="0" w:space="0" w:color="auto"/>
        <w:left w:val="none" w:sz="0" w:space="0" w:color="auto"/>
        <w:bottom w:val="none" w:sz="0" w:space="0" w:color="auto"/>
        <w:right w:val="none" w:sz="0" w:space="0" w:color="auto"/>
      </w:divBdr>
    </w:div>
    <w:div w:id="66267881">
      <w:bodyDiv w:val="1"/>
      <w:marLeft w:val="0"/>
      <w:marRight w:val="0"/>
      <w:marTop w:val="0"/>
      <w:marBottom w:val="0"/>
      <w:divBdr>
        <w:top w:val="none" w:sz="0" w:space="0" w:color="auto"/>
        <w:left w:val="none" w:sz="0" w:space="0" w:color="auto"/>
        <w:bottom w:val="none" w:sz="0" w:space="0" w:color="auto"/>
        <w:right w:val="none" w:sz="0" w:space="0" w:color="auto"/>
      </w:divBdr>
    </w:div>
    <w:div w:id="101195496">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1536750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67256438">
      <w:bodyDiv w:val="1"/>
      <w:marLeft w:val="0"/>
      <w:marRight w:val="0"/>
      <w:marTop w:val="0"/>
      <w:marBottom w:val="0"/>
      <w:divBdr>
        <w:top w:val="none" w:sz="0" w:space="0" w:color="auto"/>
        <w:left w:val="none" w:sz="0" w:space="0" w:color="auto"/>
        <w:bottom w:val="none" w:sz="0" w:space="0" w:color="auto"/>
        <w:right w:val="none" w:sz="0" w:space="0" w:color="auto"/>
      </w:divBdr>
    </w:div>
    <w:div w:id="211697244">
      <w:bodyDiv w:val="1"/>
      <w:marLeft w:val="0"/>
      <w:marRight w:val="0"/>
      <w:marTop w:val="0"/>
      <w:marBottom w:val="0"/>
      <w:divBdr>
        <w:top w:val="none" w:sz="0" w:space="0" w:color="auto"/>
        <w:left w:val="none" w:sz="0" w:space="0" w:color="auto"/>
        <w:bottom w:val="none" w:sz="0" w:space="0" w:color="auto"/>
        <w:right w:val="none" w:sz="0" w:space="0" w:color="auto"/>
      </w:divBdr>
    </w:div>
    <w:div w:id="233778365">
      <w:bodyDiv w:val="1"/>
      <w:marLeft w:val="0"/>
      <w:marRight w:val="0"/>
      <w:marTop w:val="0"/>
      <w:marBottom w:val="0"/>
      <w:divBdr>
        <w:top w:val="none" w:sz="0" w:space="0" w:color="auto"/>
        <w:left w:val="none" w:sz="0" w:space="0" w:color="auto"/>
        <w:bottom w:val="none" w:sz="0" w:space="0" w:color="auto"/>
        <w:right w:val="none" w:sz="0" w:space="0" w:color="auto"/>
      </w:divBdr>
    </w:div>
    <w:div w:id="237519530">
      <w:bodyDiv w:val="1"/>
      <w:marLeft w:val="0"/>
      <w:marRight w:val="0"/>
      <w:marTop w:val="0"/>
      <w:marBottom w:val="0"/>
      <w:divBdr>
        <w:top w:val="none" w:sz="0" w:space="0" w:color="auto"/>
        <w:left w:val="none" w:sz="0" w:space="0" w:color="auto"/>
        <w:bottom w:val="none" w:sz="0" w:space="0" w:color="auto"/>
        <w:right w:val="none" w:sz="0" w:space="0" w:color="auto"/>
      </w:divBdr>
    </w:div>
    <w:div w:id="248123685">
      <w:bodyDiv w:val="1"/>
      <w:marLeft w:val="0"/>
      <w:marRight w:val="0"/>
      <w:marTop w:val="0"/>
      <w:marBottom w:val="0"/>
      <w:divBdr>
        <w:top w:val="none" w:sz="0" w:space="0" w:color="auto"/>
        <w:left w:val="none" w:sz="0" w:space="0" w:color="auto"/>
        <w:bottom w:val="none" w:sz="0" w:space="0" w:color="auto"/>
        <w:right w:val="none" w:sz="0" w:space="0" w:color="auto"/>
      </w:divBdr>
    </w:div>
    <w:div w:id="255410037">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97095108">
      <w:bodyDiv w:val="1"/>
      <w:marLeft w:val="0"/>
      <w:marRight w:val="0"/>
      <w:marTop w:val="0"/>
      <w:marBottom w:val="0"/>
      <w:divBdr>
        <w:top w:val="none" w:sz="0" w:space="0" w:color="auto"/>
        <w:left w:val="none" w:sz="0" w:space="0" w:color="auto"/>
        <w:bottom w:val="none" w:sz="0" w:space="0" w:color="auto"/>
        <w:right w:val="none" w:sz="0" w:space="0" w:color="auto"/>
      </w:divBdr>
    </w:div>
    <w:div w:id="435053590">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81821501">
      <w:bodyDiv w:val="1"/>
      <w:marLeft w:val="0"/>
      <w:marRight w:val="0"/>
      <w:marTop w:val="0"/>
      <w:marBottom w:val="0"/>
      <w:divBdr>
        <w:top w:val="none" w:sz="0" w:space="0" w:color="auto"/>
        <w:left w:val="none" w:sz="0" w:space="0" w:color="auto"/>
        <w:bottom w:val="none" w:sz="0" w:space="0" w:color="auto"/>
        <w:right w:val="none" w:sz="0" w:space="0" w:color="auto"/>
      </w:divBdr>
    </w:div>
    <w:div w:id="485824245">
      <w:bodyDiv w:val="1"/>
      <w:marLeft w:val="0"/>
      <w:marRight w:val="0"/>
      <w:marTop w:val="0"/>
      <w:marBottom w:val="0"/>
      <w:divBdr>
        <w:top w:val="none" w:sz="0" w:space="0" w:color="auto"/>
        <w:left w:val="none" w:sz="0" w:space="0" w:color="auto"/>
        <w:bottom w:val="none" w:sz="0" w:space="0" w:color="auto"/>
        <w:right w:val="none" w:sz="0" w:space="0" w:color="auto"/>
      </w:divBdr>
    </w:div>
    <w:div w:id="492573429">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34001225">
      <w:bodyDiv w:val="1"/>
      <w:marLeft w:val="0"/>
      <w:marRight w:val="0"/>
      <w:marTop w:val="0"/>
      <w:marBottom w:val="0"/>
      <w:divBdr>
        <w:top w:val="none" w:sz="0" w:space="0" w:color="auto"/>
        <w:left w:val="none" w:sz="0" w:space="0" w:color="auto"/>
        <w:bottom w:val="none" w:sz="0" w:space="0" w:color="auto"/>
        <w:right w:val="none" w:sz="0" w:space="0" w:color="auto"/>
      </w:divBdr>
    </w:div>
    <w:div w:id="549341846">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75167424">
      <w:bodyDiv w:val="1"/>
      <w:marLeft w:val="0"/>
      <w:marRight w:val="0"/>
      <w:marTop w:val="0"/>
      <w:marBottom w:val="0"/>
      <w:divBdr>
        <w:top w:val="none" w:sz="0" w:space="0" w:color="auto"/>
        <w:left w:val="none" w:sz="0" w:space="0" w:color="auto"/>
        <w:bottom w:val="none" w:sz="0" w:space="0" w:color="auto"/>
        <w:right w:val="none" w:sz="0" w:space="0" w:color="auto"/>
      </w:divBdr>
    </w:div>
    <w:div w:id="595872205">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759255957">
      <w:bodyDiv w:val="1"/>
      <w:marLeft w:val="0"/>
      <w:marRight w:val="0"/>
      <w:marTop w:val="0"/>
      <w:marBottom w:val="0"/>
      <w:divBdr>
        <w:top w:val="none" w:sz="0" w:space="0" w:color="auto"/>
        <w:left w:val="none" w:sz="0" w:space="0" w:color="auto"/>
        <w:bottom w:val="none" w:sz="0" w:space="0" w:color="auto"/>
        <w:right w:val="none" w:sz="0" w:space="0" w:color="auto"/>
      </w:divBdr>
    </w:div>
    <w:div w:id="781412764">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07279570">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76695378">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36593540">
      <w:bodyDiv w:val="1"/>
      <w:marLeft w:val="0"/>
      <w:marRight w:val="0"/>
      <w:marTop w:val="0"/>
      <w:marBottom w:val="0"/>
      <w:divBdr>
        <w:top w:val="none" w:sz="0" w:space="0" w:color="auto"/>
        <w:left w:val="none" w:sz="0" w:space="0" w:color="auto"/>
        <w:bottom w:val="none" w:sz="0" w:space="0" w:color="auto"/>
        <w:right w:val="none" w:sz="0" w:space="0" w:color="auto"/>
      </w:divBdr>
    </w:div>
    <w:div w:id="972636388">
      <w:bodyDiv w:val="1"/>
      <w:marLeft w:val="0"/>
      <w:marRight w:val="0"/>
      <w:marTop w:val="0"/>
      <w:marBottom w:val="0"/>
      <w:divBdr>
        <w:top w:val="none" w:sz="0" w:space="0" w:color="auto"/>
        <w:left w:val="none" w:sz="0" w:space="0" w:color="auto"/>
        <w:bottom w:val="none" w:sz="0" w:space="0" w:color="auto"/>
        <w:right w:val="none" w:sz="0" w:space="0" w:color="auto"/>
      </w:divBdr>
    </w:div>
    <w:div w:id="983049397">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1004358167">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35621084">
      <w:bodyDiv w:val="1"/>
      <w:marLeft w:val="0"/>
      <w:marRight w:val="0"/>
      <w:marTop w:val="0"/>
      <w:marBottom w:val="0"/>
      <w:divBdr>
        <w:top w:val="none" w:sz="0" w:space="0" w:color="auto"/>
        <w:left w:val="none" w:sz="0" w:space="0" w:color="auto"/>
        <w:bottom w:val="none" w:sz="0" w:space="0" w:color="auto"/>
        <w:right w:val="none" w:sz="0" w:space="0" w:color="auto"/>
      </w:divBdr>
    </w:div>
    <w:div w:id="1043867683">
      <w:bodyDiv w:val="1"/>
      <w:marLeft w:val="0"/>
      <w:marRight w:val="0"/>
      <w:marTop w:val="0"/>
      <w:marBottom w:val="0"/>
      <w:divBdr>
        <w:top w:val="none" w:sz="0" w:space="0" w:color="auto"/>
        <w:left w:val="none" w:sz="0" w:space="0" w:color="auto"/>
        <w:bottom w:val="none" w:sz="0" w:space="0" w:color="auto"/>
        <w:right w:val="none" w:sz="0" w:space="0" w:color="auto"/>
      </w:divBdr>
    </w:div>
    <w:div w:id="1133207921">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61195928">
      <w:bodyDiv w:val="1"/>
      <w:marLeft w:val="0"/>
      <w:marRight w:val="0"/>
      <w:marTop w:val="0"/>
      <w:marBottom w:val="0"/>
      <w:divBdr>
        <w:top w:val="none" w:sz="0" w:space="0" w:color="auto"/>
        <w:left w:val="none" w:sz="0" w:space="0" w:color="auto"/>
        <w:bottom w:val="none" w:sz="0" w:space="0" w:color="auto"/>
        <w:right w:val="none" w:sz="0" w:space="0" w:color="auto"/>
      </w:divBdr>
    </w:div>
    <w:div w:id="1169710704">
      <w:bodyDiv w:val="1"/>
      <w:marLeft w:val="0"/>
      <w:marRight w:val="0"/>
      <w:marTop w:val="0"/>
      <w:marBottom w:val="0"/>
      <w:divBdr>
        <w:top w:val="none" w:sz="0" w:space="0" w:color="auto"/>
        <w:left w:val="none" w:sz="0" w:space="0" w:color="auto"/>
        <w:bottom w:val="none" w:sz="0" w:space="0" w:color="auto"/>
        <w:right w:val="none" w:sz="0" w:space="0" w:color="auto"/>
      </w:divBdr>
    </w:div>
    <w:div w:id="1174371867">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16509465">
      <w:bodyDiv w:val="1"/>
      <w:marLeft w:val="0"/>
      <w:marRight w:val="0"/>
      <w:marTop w:val="0"/>
      <w:marBottom w:val="0"/>
      <w:divBdr>
        <w:top w:val="none" w:sz="0" w:space="0" w:color="auto"/>
        <w:left w:val="none" w:sz="0" w:space="0" w:color="auto"/>
        <w:bottom w:val="none" w:sz="0" w:space="0" w:color="auto"/>
        <w:right w:val="none" w:sz="0" w:space="0" w:color="auto"/>
      </w:divBdr>
    </w:div>
    <w:div w:id="1238130086">
      <w:bodyDiv w:val="1"/>
      <w:marLeft w:val="0"/>
      <w:marRight w:val="0"/>
      <w:marTop w:val="0"/>
      <w:marBottom w:val="0"/>
      <w:divBdr>
        <w:top w:val="none" w:sz="0" w:space="0" w:color="auto"/>
        <w:left w:val="none" w:sz="0" w:space="0" w:color="auto"/>
        <w:bottom w:val="none" w:sz="0" w:space="0" w:color="auto"/>
        <w:right w:val="none" w:sz="0" w:space="0" w:color="auto"/>
      </w:divBdr>
    </w:div>
    <w:div w:id="1242526409">
      <w:bodyDiv w:val="1"/>
      <w:marLeft w:val="0"/>
      <w:marRight w:val="0"/>
      <w:marTop w:val="0"/>
      <w:marBottom w:val="0"/>
      <w:divBdr>
        <w:top w:val="none" w:sz="0" w:space="0" w:color="auto"/>
        <w:left w:val="none" w:sz="0" w:space="0" w:color="auto"/>
        <w:bottom w:val="none" w:sz="0" w:space="0" w:color="auto"/>
        <w:right w:val="none" w:sz="0" w:space="0" w:color="auto"/>
      </w:divBdr>
    </w:div>
    <w:div w:id="1246376010">
      <w:bodyDiv w:val="1"/>
      <w:marLeft w:val="0"/>
      <w:marRight w:val="0"/>
      <w:marTop w:val="0"/>
      <w:marBottom w:val="0"/>
      <w:divBdr>
        <w:top w:val="none" w:sz="0" w:space="0" w:color="auto"/>
        <w:left w:val="none" w:sz="0" w:space="0" w:color="auto"/>
        <w:bottom w:val="none" w:sz="0" w:space="0" w:color="auto"/>
        <w:right w:val="none" w:sz="0" w:space="0" w:color="auto"/>
      </w:divBdr>
    </w:div>
    <w:div w:id="1308245120">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33475123">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59299243">
      <w:bodyDiv w:val="1"/>
      <w:marLeft w:val="0"/>
      <w:marRight w:val="0"/>
      <w:marTop w:val="0"/>
      <w:marBottom w:val="0"/>
      <w:divBdr>
        <w:top w:val="none" w:sz="0" w:space="0" w:color="auto"/>
        <w:left w:val="none" w:sz="0" w:space="0" w:color="auto"/>
        <w:bottom w:val="none" w:sz="0" w:space="0" w:color="auto"/>
        <w:right w:val="none" w:sz="0" w:space="0" w:color="auto"/>
      </w:divBdr>
    </w:div>
    <w:div w:id="1657689182">
      <w:bodyDiv w:val="1"/>
      <w:marLeft w:val="0"/>
      <w:marRight w:val="0"/>
      <w:marTop w:val="0"/>
      <w:marBottom w:val="0"/>
      <w:divBdr>
        <w:top w:val="none" w:sz="0" w:space="0" w:color="auto"/>
        <w:left w:val="none" w:sz="0" w:space="0" w:color="auto"/>
        <w:bottom w:val="none" w:sz="0" w:space="0" w:color="auto"/>
        <w:right w:val="none" w:sz="0" w:space="0" w:color="auto"/>
      </w:divBdr>
    </w:div>
    <w:div w:id="1690372367">
      <w:bodyDiv w:val="1"/>
      <w:marLeft w:val="0"/>
      <w:marRight w:val="0"/>
      <w:marTop w:val="0"/>
      <w:marBottom w:val="0"/>
      <w:divBdr>
        <w:top w:val="none" w:sz="0" w:space="0" w:color="auto"/>
        <w:left w:val="none" w:sz="0" w:space="0" w:color="auto"/>
        <w:bottom w:val="none" w:sz="0" w:space="0" w:color="auto"/>
        <w:right w:val="none" w:sz="0" w:space="0" w:color="auto"/>
      </w:divBdr>
    </w:div>
    <w:div w:id="1725787960">
      <w:bodyDiv w:val="1"/>
      <w:marLeft w:val="0"/>
      <w:marRight w:val="0"/>
      <w:marTop w:val="0"/>
      <w:marBottom w:val="0"/>
      <w:divBdr>
        <w:top w:val="none" w:sz="0" w:space="0" w:color="auto"/>
        <w:left w:val="none" w:sz="0" w:space="0" w:color="auto"/>
        <w:bottom w:val="none" w:sz="0" w:space="0" w:color="auto"/>
        <w:right w:val="none" w:sz="0" w:space="0" w:color="auto"/>
      </w:divBdr>
    </w:div>
    <w:div w:id="1757093486">
      <w:bodyDiv w:val="1"/>
      <w:marLeft w:val="0"/>
      <w:marRight w:val="0"/>
      <w:marTop w:val="0"/>
      <w:marBottom w:val="0"/>
      <w:divBdr>
        <w:top w:val="none" w:sz="0" w:space="0" w:color="auto"/>
        <w:left w:val="none" w:sz="0" w:space="0" w:color="auto"/>
        <w:bottom w:val="none" w:sz="0" w:space="0" w:color="auto"/>
        <w:right w:val="none" w:sz="0" w:space="0" w:color="auto"/>
      </w:divBdr>
    </w:div>
    <w:div w:id="1781412822">
      <w:bodyDiv w:val="1"/>
      <w:marLeft w:val="0"/>
      <w:marRight w:val="0"/>
      <w:marTop w:val="0"/>
      <w:marBottom w:val="0"/>
      <w:divBdr>
        <w:top w:val="none" w:sz="0" w:space="0" w:color="auto"/>
        <w:left w:val="none" w:sz="0" w:space="0" w:color="auto"/>
        <w:bottom w:val="none" w:sz="0" w:space="0" w:color="auto"/>
        <w:right w:val="none" w:sz="0" w:space="0" w:color="auto"/>
      </w:divBdr>
    </w:div>
    <w:div w:id="1827167413">
      <w:bodyDiv w:val="1"/>
      <w:marLeft w:val="0"/>
      <w:marRight w:val="0"/>
      <w:marTop w:val="0"/>
      <w:marBottom w:val="0"/>
      <w:divBdr>
        <w:top w:val="none" w:sz="0" w:space="0" w:color="auto"/>
        <w:left w:val="none" w:sz="0" w:space="0" w:color="auto"/>
        <w:bottom w:val="none" w:sz="0" w:space="0" w:color="auto"/>
        <w:right w:val="none" w:sz="0" w:space="0" w:color="auto"/>
      </w:divBdr>
    </w:div>
    <w:div w:id="1831600200">
      <w:bodyDiv w:val="1"/>
      <w:marLeft w:val="0"/>
      <w:marRight w:val="0"/>
      <w:marTop w:val="0"/>
      <w:marBottom w:val="0"/>
      <w:divBdr>
        <w:top w:val="none" w:sz="0" w:space="0" w:color="auto"/>
        <w:left w:val="none" w:sz="0" w:space="0" w:color="auto"/>
        <w:bottom w:val="none" w:sz="0" w:space="0" w:color="auto"/>
        <w:right w:val="none" w:sz="0" w:space="0" w:color="auto"/>
      </w:divBdr>
    </w:div>
    <w:div w:id="1901205820">
      <w:bodyDiv w:val="1"/>
      <w:marLeft w:val="0"/>
      <w:marRight w:val="0"/>
      <w:marTop w:val="0"/>
      <w:marBottom w:val="0"/>
      <w:divBdr>
        <w:top w:val="none" w:sz="0" w:space="0" w:color="auto"/>
        <w:left w:val="none" w:sz="0" w:space="0" w:color="auto"/>
        <w:bottom w:val="none" w:sz="0" w:space="0" w:color="auto"/>
        <w:right w:val="none" w:sz="0" w:space="0" w:color="auto"/>
      </w:divBdr>
    </w:div>
    <w:div w:id="1914732015">
      <w:bodyDiv w:val="1"/>
      <w:marLeft w:val="0"/>
      <w:marRight w:val="0"/>
      <w:marTop w:val="0"/>
      <w:marBottom w:val="0"/>
      <w:divBdr>
        <w:top w:val="none" w:sz="0" w:space="0" w:color="auto"/>
        <w:left w:val="none" w:sz="0" w:space="0" w:color="auto"/>
        <w:bottom w:val="none" w:sz="0" w:space="0" w:color="auto"/>
        <w:right w:val="none" w:sz="0" w:space="0" w:color="auto"/>
      </w:divBdr>
    </w:div>
    <w:div w:id="1925139940">
      <w:bodyDiv w:val="1"/>
      <w:marLeft w:val="0"/>
      <w:marRight w:val="0"/>
      <w:marTop w:val="0"/>
      <w:marBottom w:val="0"/>
      <w:divBdr>
        <w:top w:val="none" w:sz="0" w:space="0" w:color="auto"/>
        <w:left w:val="none" w:sz="0" w:space="0" w:color="auto"/>
        <w:bottom w:val="none" w:sz="0" w:space="0" w:color="auto"/>
        <w:right w:val="none" w:sz="0" w:space="0" w:color="auto"/>
      </w:divBdr>
    </w:div>
    <w:div w:id="1928878137">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2011135990">
      <w:bodyDiv w:val="1"/>
      <w:marLeft w:val="0"/>
      <w:marRight w:val="0"/>
      <w:marTop w:val="0"/>
      <w:marBottom w:val="0"/>
      <w:divBdr>
        <w:top w:val="none" w:sz="0" w:space="0" w:color="auto"/>
        <w:left w:val="none" w:sz="0" w:space="0" w:color="auto"/>
        <w:bottom w:val="none" w:sz="0" w:space="0" w:color="auto"/>
        <w:right w:val="none" w:sz="0" w:space="0" w:color="auto"/>
      </w:divBdr>
    </w:div>
    <w:div w:id="2078938043">
      <w:bodyDiv w:val="1"/>
      <w:marLeft w:val="0"/>
      <w:marRight w:val="0"/>
      <w:marTop w:val="0"/>
      <w:marBottom w:val="0"/>
      <w:divBdr>
        <w:top w:val="none" w:sz="0" w:space="0" w:color="auto"/>
        <w:left w:val="none" w:sz="0" w:space="0" w:color="auto"/>
        <w:bottom w:val="none" w:sz="0" w:space="0" w:color="auto"/>
        <w:right w:val="none" w:sz="0" w:space="0" w:color="auto"/>
      </w:divBdr>
    </w:div>
    <w:div w:id="2093744728">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 w:id="2111389577">
      <w:bodyDiv w:val="1"/>
      <w:marLeft w:val="0"/>
      <w:marRight w:val="0"/>
      <w:marTop w:val="0"/>
      <w:marBottom w:val="0"/>
      <w:divBdr>
        <w:top w:val="none" w:sz="0" w:space="0" w:color="auto"/>
        <w:left w:val="none" w:sz="0" w:space="0" w:color="auto"/>
        <w:bottom w:val="none" w:sz="0" w:space="0" w:color="auto"/>
        <w:right w:val="none" w:sz="0" w:space="0" w:color="auto"/>
      </w:divBdr>
    </w:div>
    <w:div w:id="2111394591">
      <w:bodyDiv w:val="1"/>
      <w:marLeft w:val="0"/>
      <w:marRight w:val="0"/>
      <w:marTop w:val="0"/>
      <w:marBottom w:val="0"/>
      <w:divBdr>
        <w:top w:val="none" w:sz="0" w:space="0" w:color="auto"/>
        <w:left w:val="none" w:sz="0" w:space="0" w:color="auto"/>
        <w:bottom w:val="none" w:sz="0" w:space="0" w:color="auto"/>
        <w:right w:val="none" w:sz="0" w:space="0" w:color="auto"/>
      </w:divBdr>
    </w:div>
    <w:div w:id="21309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funds.com.cn" TargetMode="External"/><Relationship Id="rId2" Type="http://schemas.openxmlformats.org/officeDocument/2006/relationships/customXml" Target="../customXml/item1.xml"/><Relationship Id="rId16" Type="http://schemas.openxmlformats.org/officeDocument/2006/relationships/hyperlink" Target="https://www.qcc.com/firm_54813a9d966ad1869761c8afeaa0002e.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FDDB3-5E84-4432-B731-02615886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19236</Words>
  <Characters>109651</Characters>
  <Application>Microsoft Office Word</Application>
  <DocSecurity>0</DocSecurity>
  <Lines>913</Lines>
  <Paragraphs>257</Paragraphs>
  <ScaleCrop>false</ScaleCrop>
  <Company>E FUND</Company>
  <LinksUpToDate>false</LinksUpToDate>
  <CharactersWithSpaces>128630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5</cp:revision>
  <cp:lastPrinted>2015-04-02T03:10:00Z</cp:lastPrinted>
  <dcterms:created xsi:type="dcterms:W3CDTF">2020-06-12T07:36:00Z</dcterms:created>
  <dcterms:modified xsi:type="dcterms:W3CDTF">2020-06-18T07:42:00Z</dcterms:modified>
</cp:coreProperties>
</file>