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99" w:rsidRDefault="00DE5199">
      <w:pPr>
        <w:spacing w:before="960" w:line="320" w:lineRule="exact"/>
        <w:jc w:val="center"/>
        <w:outlineLvl w:val="2"/>
        <w:rPr>
          <w:b/>
          <w:w w:val="200"/>
        </w:rPr>
      </w:pPr>
      <w:bookmarkStart w:id="0" w:name="_GoBack"/>
      <w:bookmarkEnd w:id="0"/>
    </w:p>
    <w:p w:rsidR="00DE5199" w:rsidRDefault="00DE5199">
      <w:pPr>
        <w:spacing w:before="960" w:line="320" w:lineRule="exact"/>
        <w:jc w:val="center"/>
        <w:outlineLvl w:val="2"/>
        <w:rPr>
          <w:b/>
          <w:w w:val="200"/>
        </w:rPr>
      </w:pPr>
    </w:p>
    <w:p w:rsidR="00DE5199" w:rsidRDefault="009B690D">
      <w:pPr>
        <w:spacing w:beforeLines="50" w:before="156" w:afterLines="50" w:after="156"/>
        <w:jc w:val="center"/>
        <w:rPr>
          <w:b/>
          <w:sz w:val="48"/>
          <w:szCs w:val="20"/>
        </w:rPr>
      </w:pPr>
      <w:r>
        <w:rPr>
          <w:b/>
          <w:sz w:val="48"/>
          <w:szCs w:val="20"/>
        </w:rPr>
        <w:t>国泰央企改革股票型证券投资基金</w:t>
      </w:r>
    </w:p>
    <w:p w:rsidR="00DE5199" w:rsidRDefault="009B690D">
      <w:pPr>
        <w:spacing w:beforeLines="50" w:before="156" w:afterLines="50" w:after="156"/>
        <w:jc w:val="center"/>
        <w:rPr>
          <w:b/>
          <w:sz w:val="48"/>
          <w:szCs w:val="20"/>
        </w:rPr>
      </w:pPr>
      <w:r>
        <w:rPr>
          <w:b/>
          <w:sz w:val="48"/>
          <w:szCs w:val="20"/>
        </w:rPr>
        <w:t>托管协议</w:t>
      </w:r>
    </w:p>
    <w:p w:rsidR="00DE5199" w:rsidRDefault="00DE5199">
      <w:pPr>
        <w:spacing w:before="960" w:line="620" w:lineRule="exact"/>
        <w:jc w:val="center"/>
        <w:outlineLvl w:val="2"/>
        <w:rPr>
          <w:b/>
          <w:sz w:val="44"/>
        </w:rPr>
      </w:pPr>
    </w:p>
    <w:p w:rsidR="00DE5199" w:rsidRDefault="00DE5199">
      <w:pPr>
        <w:spacing w:before="960" w:line="620" w:lineRule="exact"/>
        <w:jc w:val="center"/>
        <w:outlineLvl w:val="2"/>
        <w:rPr>
          <w:b/>
          <w:sz w:val="44"/>
        </w:rPr>
      </w:pPr>
    </w:p>
    <w:p w:rsidR="00DE5199" w:rsidRDefault="00DE5199">
      <w:pPr>
        <w:spacing w:before="960" w:line="620" w:lineRule="exact"/>
        <w:jc w:val="center"/>
        <w:outlineLvl w:val="2"/>
        <w:rPr>
          <w:b/>
          <w:sz w:val="44"/>
        </w:rPr>
      </w:pPr>
    </w:p>
    <w:p w:rsidR="00DE5199" w:rsidRDefault="009B690D">
      <w:pPr>
        <w:ind w:firstLineChars="400" w:firstLine="1446"/>
        <w:rPr>
          <w:b/>
          <w:sz w:val="36"/>
          <w:szCs w:val="20"/>
        </w:rPr>
      </w:pPr>
      <w:r>
        <w:rPr>
          <w:b/>
          <w:sz w:val="36"/>
          <w:szCs w:val="20"/>
        </w:rPr>
        <w:t>基金管理人：国泰基金管理有限公司</w:t>
      </w:r>
    </w:p>
    <w:p w:rsidR="00DE5199" w:rsidRDefault="009B690D">
      <w:pPr>
        <w:ind w:firstLineChars="400" w:firstLine="1446"/>
        <w:rPr>
          <w:b/>
          <w:sz w:val="36"/>
          <w:szCs w:val="20"/>
        </w:rPr>
      </w:pPr>
      <w:r>
        <w:rPr>
          <w:b/>
          <w:sz w:val="36"/>
          <w:szCs w:val="20"/>
        </w:rPr>
        <w:t>基金托管人：中国银行股份有限公司</w:t>
      </w:r>
    </w:p>
    <w:p w:rsidR="00DE5199" w:rsidRDefault="00DE5199">
      <w:pPr>
        <w:spacing w:line="320" w:lineRule="exact"/>
        <w:ind w:right="26"/>
        <w:rPr>
          <w:sz w:val="28"/>
          <w:szCs w:val="28"/>
        </w:rPr>
      </w:pPr>
    </w:p>
    <w:p w:rsidR="00DE5199" w:rsidRDefault="00DE5199">
      <w:pPr>
        <w:spacing w:line="320" w:lineRule="exact"/>
        <w:ind w:right="26"/>
        <w:rPr>
          <w:sz w:val="28"/>
          <w:szCs w:val="28"/>
        </w:rPr>
      </w:pPr>
    </w:p>
    <w:p w:rsidR="00DE5199" w:rsidRDefault="00DE5199">
      <w:pPr>
        <w:spacing w:line="320" w:lineRule="exact"/>
        <w:ind w:right="26"/>
        <w:jc w:val="center"/>
        <w:rPr>
          <w:sz w:val="28"/>
          <w:szCs w:val="28"/>
        </w:rPr>
      </w:pPr>
    </w:p>
    <w:p w:rsidR="00DE5199" w:rsidRDefault="00DE5199">
      <w:pPr>
        <w:spacing w:line="320" w:lineRule="exact"/>
        <w:ind w:right="26"/>
        <w:jc w:val="center"/>
        <w:rPr>
          <w:sz w:val="28"/>
          <w:szCs w:val="28"/>
        </w:rPr>
      </w:pPr>
    </w:p>
    <w:p w:rsidR="00DE5199" w:rsidRDefault="009B690D">
      <w:pPr>
        <w:jc w:val="center"/>
        <w:rPr>
          <w:b/>
          <w:bCs/>
          <w:sz w:val="30"/>
          <w:szCs w:val="20"/>
        </w:rPr>
      </w:pPr>
      <w:r>
        <w:rPr>
          <w:b/>
          <w:bCs/>
          <w:sz w:val="30"/>
          <w:szCs w:val="20"/>
        </w:rPr>
        <w:t>二零</w:t>
      </w:r>
      <w:r w:rsidR="00AE5608">
        <w:rPr>
          <w:rFonts w:hint="eastAsia"/>
          <w:b/>
          <w:bCs/>
          <w:sz w:val="30"/>
          <w:szCs w:val="20"/>
        </w:rPr>
        <w:t>二零</w:t>
      </w:r>
      <w:r>
        <w:rPr>
          <w:b/>
          <w:bCs/>
          <w:sz w:val="30"/>
          <w:szCs w:val="20"/>
        </w:rPr>
        <w:t>年</w:t>
      </w:r>
      <w:r>
        <w:rPr>
          <w:rFonts w:hint="eastAsia"/>
          <w:b/>
          <w:bCs/>
          <w:sz w:val="30"/>
          <w:szCs w:val="20"/>
        </w:rPr>
        <w:t>十</w:t>
      </w:r>
      <w:r>
        <w:rPr>
          <w:b/>
          <w:bCs/>
          <w:sz w:val="30"/>
          <w:szCs w:val="20"/>
        </w:rPr>
        <w:t>月</w:t>
      </w:r>
    </w:p>
    <w:p w:rsidR="00DE5199" w:rsidRDefault="009B690D">
      <w:pPr>
        <w:tabs>
          <w:tab w:val="left" w:pos="0"/>
        </w:tabs>
        <w:spacing w:line="360" w:lineRule="auto"/>
        <w:ind w:firstLineChars="200" w:firstLine="422"/>
        <w:outlineLvl w:val="0"/>
        <w:rPr>
          <w:szCs w:val="21"/>
        </w:rPr>
      </w:pPr>
      <w:r>
        <w:rPr>
          <w:b/>
        </w:rPr>
        <w:br w:type="page"/>
      </w:r>
      <w:r>
        <w:rPr>
          <w:szCs w:val="21"/>
        </w:rPr>
        <w:lastRenderedPageBreak/>
        <w:t>鉴于国泰基金管理有限公司是一家依照中国法律合法成立并有效存续的有限责任公司，按照相关法律法规的规定具备担任基金管理人的资格和能力；</w:t>
      </w:r>
    </w:p>
    <w:p w:rsidR="00DE5199" w:rsidRDefault="009B690D">
      <w:pPr>
        <w:pStyle w:val="a7"/>
        <w:spacing w:line="360" w:lineRule="auto"/>
        <w:ind w:firstLineChars="200" w:firstLine="420"/>
        <w:rPr>
          <w:rFonts w:ascii="Times New Roman" w:hAnsi="Times New Roman"/>
        </w:rPr>
      </w:pPr>
      <w:r>
        <w:rPr>
          <w:rFonts w:ascii="Times New Roman" w:hAnsi="Times New Roman"/>
        </w:rPr>
        <w:t>鉴于中国银行股份有限公司是一家依照中国法律合法成立并有效存续的银行，按照相关法律法规的规定具备担任基金托管人的资格和能力；</w:t>
      </w:r>
    </w:p>
    <w:p w:rsidR="00DE5199" w:rsidRDefault="009B690D">
      <w:pPr>
        <w:pStyle w:val="a7"/>
        <w:spacing w:line="360" w:lineRule="auto"/>
        <w:ind w:firstLineChars="200" w:firstLine="420"/>
        <w:rPr>
          <w:rFonts w:ascii="Times New Roman" w:hAnsi="Times New Roman"/>
        </w:rPr>
      </w:pPr>
      <w:r>
        <w:rPr>
          <w:rFonts w:ascii="Times New Roman" w:hAnsi="Times New Roman"/>
        </w:rPr>
        <w:t>鉴于国泰基金管理有限公司拟担任国泰央企改革股票型证券投资基金的基金管理人，中国银行股份有限公司拟担任国泰央企改革股票型证券投资基金的基金托管人；</w:t>
      </w:r>
    </w:p>
    <w:p w:rsidR="00DE5199" w:rsidRDefault="009B690D">
      <w:pPr>
        <w:pStyle w:val="a7"/>
        <w:spacing w:line="360" w:lineRule="auto"/>
        <w:ind w:firstLineChars="200" w:firstLine="420"/>
        <w:rPr>
          <w:rFonts w:ascii="Times New Roman" w:hAnsi="Times New Roman"/>
        </w:rPr>
      </w:pPr>
      <w:r>
        <w:rPr>
          <w:rFonts w:ascii="Times New Roman" w:hAnsi="Times New Roman"/>
        </w:rPr>
        <w:t>为明确国泰央企改革股票型证券投资基金基金管理人和基金托管人之间的权利义务关系，特制订本协议。</w:t>
      </w:r>
      <w:bookmarkStart w:id="1" w:name="_Toc30230313"/>
    </w:p>
    <w:p w:rsidR="00DE5199" w:rsidRDefault="00DE5199">
      <w:pPr>
        <w:pStyle w:val="a7"/>
        <w:spacing w:line="360" w:lineRule="auto"/>
        <w:ind w:firstLine="200"/>
        <w:rPr>
          <w:rFonts w:ascii="Times New Roman" w:hAnsi="Times New Roman"/>
        </w:rPr>
      </w:pPr>
    </w:p>
    <w:p w:rsidR="00DE5199" w:rsidRDefault="009B690D">
      <w:pPr>
        <w:pStyle w:val="1"/>
        <w:spacing w:before="0" w:after="0" w:line="360" w:lineRule="auto"/>
        <w:ind w:firstLineChars="200" w:firstLine="422"/>
        <w:rPr>
          <w:sz w:val="21"/>
          <w:szCs w:val="21"/>
        </w:rPr>
      </w:pPr>
      <w:bookmarkStart w:id="2" w:name="_Toc116900096"/>
      <w:r>
        <w:rPr>
          <w:sz w:val="21"/>
          <w:szCs w:val="21"/>
        </w:rPr>
        <w:t>一、托管协议当事人</w:t>
      </w:r>
      <w:bookmarkEnd w:id="1"/>
      <w:bookmarkEnd w:id="2"/>
    </w:p>
    <w:p w:rsidR="00DE5199" w:rsidRDefault="009B690D">
      <w:pPr>
        <w:pStyle w:val="a7"/>
        <w:spacing w:line="360" w:lineRule="auto"/>
        <w:ind w:firstLineChars="200" w:firstLine="420"/>
        <w:rPr>
          <w:rFonts w:ascii="Times New Roman" w:hAnsi="Times New Roman"/>
        </w:rPr>
      </w:pPr>
      <w:r>
        <w:rPr>
          <w:rFonts w:ascii="Times New Roman" w:hAnsi="Times New Roman"/>
        </w:rPr>
        <w:t>（一）基金管理人（或简称</w:t>
      </w:r>
      <w:r>
        <w:rPr>
          <w:rFonts w:ascii="Times New Roman" w:hAnsi="Times New Roman"/>
        </w:rPr>
        <w:t>“</w:t>
      </w:r>
      <w:r>
        <w:rPr>
          <w:rFonts w:ascii="Times New Roman" w:hAnsi="Times New Roman"/>
        </w:rPr>
        <w:t>管理人</w:t>
      </w:r>
      <w:r>
        <w:rPr>
          <w:rFonts w:ascii="Times New Roman" w:hAnsi="Times New Roman"/>
        </w:rPr>
        <w:t>”</w:t>
      </w:r>
      <w:r>
        <w:rPr>
          <w:rFonts w:ascii="Times New Roman" w:hAnsi="Times New Roman"/>
        </w:rPr>
        <w:t>）</w:t>
      </w:r>
    </w:p>
    <w:p w:rsidR="00DE5199" w:rsidRDefault="009B690D">
      <w:pPr>
        <w:pStyle w:val="a7"/>
        <w:spacing w:line="360" w:lineRule="auto"/>
        <w:ind w:firstLineChars="200" w:firstLine="420"/>
        <w:rPr>
          <w:rFonts w:ascii="Times New Roman" w:hAnsi="Times New Roman"/>
        </w:rPr>
      </w:pPr>
      <w:r>
        <w:rPr>
          <w:rFonts w:ascii="Times New Roman" w:hAnsi="Times New Roman"/>
        </w:rPr>
        <w:t>名称：国泰基金管理有限公司</w:t>
      </w:r>
    </w:p>
    <w:p w:rsidR="00DE5199" w:rsidRDefault="009B690D">
      <w:pPr>
        <w:pStyle w:val="a7"/>
        <w:spacing w:line="360" w:lineRule="auto"/>
        <w:ind w:firstLineChars="200" w:firstLine="420"/>
        <w:rPr>
          <w:rFonts w:ascii="Times New Roman" w:hAnsi="Times New Roman"/>
        </w:rPr>
      </w:pPr>
      <w:r>
        <w:rPr>
          <w:rFonts w:ascii="Times New Roman" w:hAnsi="Times New Roman"/>
        </w:rPr>
        <w:t>住所：</w:t>
      </w:r>
      <w:r w:rsidR="00B95F32" w:rsidRPr="00B95F32">
        <w:rPr>
          <w:rFonts w:ascii="Times New Roman" w:hAnsi="Times New Roman" w:hint="eastAsia"/>
        </w:rPr>
        <w:t>中国（上海）自由贸易试验区浦东大道</w:t>
      </w:r>
      <w:r w:rsidR="00B95F32" w:rsidRPr="00B95F32">
        <w:rPr>
          <w:rFonts w:ascii="Times New Roman" w:hAnsi="Times New Roman" w:hint="eastAsia"/>
        </w:rPr>
        <w:t>1200</w:t>
      </w:r>
      <w:r w:rsidR="00B95F32" w:rsidRPr="00B95F32">
        <w:rPr>
          <w:rFonts w:ascii="Times New Roman" w:hAnsi="Times New Roman" w:hint="eastAsia"/>
        </w:rPr>
        <w:t>号</w:t>
      </w:r>
      <w:r w:rsidR="00B95F32" w:rsidRPr="00B95F32">
        <w:rPr>
          <w:rFonts w:ascii="Times New Roman" w:hAnsi="Times New Roman" w:hint="eastAsia"/>
        </w:rPr>
        <w:t>2</w:t>
      </w:r>
      <w:r w:rsidR="00B95F32" w:rsidRPr="00B95F32">
        <w:rPr>
          <w:rFonts w:ascii="Times New Roman" w:hAnsi="Times New Roman" w:hint="eastAsia"/>
        </w:rPr>
        <w:t>层</w:t>
      </w:r>
      <w:r w:rsidR="00B95F32" w:rsidRPr="00B95F32">
        <w:rPr>
          <w:rFonts w:ascii="Times New Roman" w:hAnsi="Times New Roman" w:hint="eastAsia"/>
        </w:rPr>
        <w:t>225</w:t>
      </w:r>
      <w:r w:rsidR="00B95F32" w:rsidRPr="00B95F32">
        <w:rPr>
          <w:rFonts w:ascii="Times New Roman" w:hAnsi="Times New Roman" w:hint="eastAsia"/>
        </w:rPr>
        <w:t>室</w:t>
      </w:r>
    </w:p>
    <w:p w:rsidR="00DE5199" w:rsidRDefault="009B690D">
      <w:pPr>
        <w:pStyle w:val="a7"/>
        <w:spacing w:line="360" w:lineRule="auto"/>
        <w:ind w:firstLineChars="200" w:firstLine="420"/>
        <w:rPr>
          <w:rFonts w:ascii="Times New Roman" w:hAnsi="Times New Roman"/>
        </w:rPr>
      </w:pPr>
      <w:r>
        <w:rPr>
          <w:rFonts w:ascii="Times New Roman" w:hAnsi="Times New Roman"/>
        </w:rPr>
        <w:t>法定代表人：陈勇胜</w:t>
      </w:r>
    </w:p>
    <w:p w:rsidR="00DE5199" w:rsidRDefault="009B690D">
      <w:pPr>
        <w:pStyle w:val="a7"/>
        <w:spacing w:line="360" w:lineRule="auto"/>
        <w:ind w:firstLineChars="200" w:firstLine="420"/>
        <w:rPr>
          <w:rFonts w:ascii="Times New Roman" w:hAnsi="Times New Roman"/>
        </w:rPr>
      </w:pPr>
      <w:r>
        <w:rPr>
          <w:rFonts w:ascii="Times New Roman" w:hAnsi="Times New Roman"/>
        </w:rPr>
        <w:t>成立时间：</w:t>
      </w:r>
      <w:r>
        <w:rPr>
          <w:rFonts w:ascii="Times New Roman" w:hAnsi="Times New Roman"/>
        </w:rPr>
        <w:t>1998</w:t>
      </w:r>
      <w:r>
        <w:rPr>
          <w:rFonts w:ascii="Times New Roman" w:hAnsi="Times New Roman"/>
        </w:rPr>
        <w:t>年</w:t>
      </w:r>
      <w:r>
        <w:rPr>
          <w:rFonts w:ascii="Times New Roman" w:hAnsi="Times New Roman"/>
        </w:rPr>
        <w:t>3</w:t>
      </w:r>
      <w:r>
        <w:rPr>
          <w:rFonts w:ascii="Times New Roman" w:hAnsi="Times New Roman"/>
        </w:rPr>
        <w:t>月</w:t>
      </w:r>
      <w:r>
        <w:rPr>
          <w:rFonts w:ascii="Times New Roman" w:hAnsi="Times New Roman"/>
        </w:rPr>
        <w:t>5</w:t>
      </w:r>
      <w:r>
        <w:rPr>
          <w:rFonts w:ascii="Times New Roman" w:hAnsi="Times New Roman"/>
        </w:rPr>
        <w:t>日</w:t>
      </w:r>
    </w:p>
    <w:p w:rsidR="00DE5199" w:rsidRDefault="009B690D">
      <w:pPr>
        <w:pStyle w:val="a7"/>
        <w:spacing w:line="360" w:lineRule="auto"/>
        <w:ind w:firstLineChars="200" w:firstLine="420"/>
        <w:rPr>
          <w:rFonts w:ascii="Times New Roman" w:hAnsi="Times New Roman"/>
        </w:rPr>
      </w:pPr>
      <w:r>
        <w:rPr>
          <w:rFonts w:ascii="Times New Roman" w:hAnsi="Times New Roman"/>
        </w:rPr>
        <w:t>批准设立机关：中国证券监督管理委员会</w:t>
      </w:r>
    </w:p>
    <w:p w:rsidR="00DE5199" w:rsidRDefault="009B690D">
      <w:pPr>
        <w:pStyle w:val="a7"/>
        <w:spacing w:line="360" w:lineRule="auto"/>
        <w:ind w:firstLineChars="200" w:firstLine="420"/>
        <w:rPr>
          <w:rFonts w:ascii="Times New Roman" w:hAnsi="Times New Roman"/>
        </w:rPr>
      </w:pPr>
      <w:r>
        <w:rPr>
          <w:rFonts w:ascii="Times New Roman" w:hAnsi="Times New Roman"/>
        </w:rPr>
        <w:t>批准设立文号：中国证监会证监基字【</w:t>
      </w:r>
      <w:r>
        <w:rPr>
          <w:rFonts w:ascii="Times New Roman" w:hAnsi="Times New Roman"/>
        </w:rPr>
        <w:t>1998</w:t>
      </w:r>
      <w:r>
        <w:rPr>
          <w:rFonts w:ascii="Times New Roman" w:hAnsi="Times New Roman"/>
        </w:rPr>
        <w:t>】</w:t>
      </w:r>
      <w:r>
        <w:rPr>
          <w:rFonts w:ascii="Times New Roman" w:hAnsi="Times New Roman"/>
        </w:rPr>
        <w:t>5</w:t>
      </w:r>
      <w:r>
        <w:rPr>
          <w:rFonts w:ascii="Times New Roman" w:hAnsi="Times New Roman"/>
        </w:rPr>
        <w:t>号</w:t>
      </w:r>
    </w:p>
    <w:p w:rsidR="00DE5199" w:rsidRDefault="009B690D">
      <w:pPr>
        <w:pStyle w:val="a7"/>
        <w:spacing w:line="360" w:lineRule="auto"/>
        <w:ind w:firstLineChars="200" w:firstLine="420"/>
        <w:rPr>
          <w:rFonts w:ascii="Times New Roman" w:hAnsi="Times New Roman"/>
        </w:rPr>
      </w:pPr>
      <w:r>
        <w:rPr>
          <w:rFonts w:ascii="Times New Roman" w:hAnsi="Times New Roman"/>
        </w:rPr>
        <w:t>组织形式：有限责任公司</w:t>
      </w:r>
    </w:p>
    <w:p w:rsidR="00DE5199" w:rsidRDefault="009B690D">
      <w:pPr>
        <w:pStyle w:val="a7"/>
        <w:spacing w:line="360" w:lineRule="auto"/>
        <w:ind w:firstLineChars="200" w:firstLine="420"/>
        <w:rPr>
          <w:rFonts w:ascii="Times New Roman" w:hAnsi="Times New Roman"/>
        </w:rPr>
      </w:pPr>
      <w:r>
        <w:rPr>
          <w:rFonts w:ascii="Times New Roman" w:hAnsi="Times New Roman"/>
        </w:rPr>
        <w:t>注册资本：壹亿壹仟万元人民币</w:t>
      </w:r>
    </w:p>
    <w:p w:rsidR="00DE5199" w:rsidRDefault="009B690D">
      <w:pPr>
        <w:pStyle w:val="a7"/>
        <w:spacing w:line="360" w:lineRule="auto"/>
        <w:ind w:firstLineChars="200" w:firstLine="420"/>
        <w:rPr>
          <w:rFonts w:ascii="Times New Roman" w:hAnsi="Times New Roman"/>
        </w:rPr>
      </w:pPr>
      <w:r>
        <w:rPr>
          <w:rFonts w:ascii="Times New Roman" w:hAnsi="Times New Roman"/>
        </w:rPr>
        <w:t>经营范围：基金设立、基金业务管理及中国证监会批准的其他业务</w:t>
      </w:r>
    </w:p>
    <w:p w:rsidR="00DE5199" w:rsidRDefault="009B690D">
      <w:pPr>
        <w:pStyle w:val="a7"/>
        <w:spacing w:line="360" w:lineRule="auto"/>
        <w:ind w:firstLineChars="200" w:firstLine="420"/>
        <w:rPr>
          <w:rFonts w:ascii="Times New Roman" w:hAnsi="Times New Roman"/>
        </w:rPr>
      </w:pPr>
      <w:r>
        <w:rPr>
          <w:rFonts w:ascii="Times New Roman" w:hAnsi="Times New Roman"/>
        </w:rPr>
        <w:t>存续期间：持续经营</w:t>
      </w:r>
    </w:p>
    <w:p w:rsidR="00DE5199" w:rsidRDefault="009B690D">
      <w:pPr>
        <w:pStyle w:val="a7"/>
        <w:spacing w:line="360" w:lineRule="auto"/>
        <w:ind w:firstLineChars="200" w:firstLine="420"/>
        <w:rPr>
          <w:rFonts w:ascii="Times New Roman" w:hAnsi="Times New Roman"/>
        </w:rPr>
      </w:pPr>
      <w:r>
        <w:rPr>
          <w:rFonts w:ascii="Times New Roman" w:hAnsi="Times New Roman"/>
        </w:rPr>
        <w:t>（二）基金托管人（或简称</w:t>
      </w:r>
      <w:r>
        <w:rPr>
          <w:rFonts w:ascii="Times New Roman" w:hAnsi="Times New Roman"/>
        </w:rPr>
        <w:t>“</w:t>
      </w:r>
      <w:r>
        <w:rPr>
          <w:rFonts w:ascii="Times New Roman" w:hAnsi="Times New Roman"/>
        </w:rPr>
        <w:t>托管人</w:t>
      </w:r>
      <w:r>
        <w:rPr>
          <w:rFonts w:ascii="Times New Roman" w:hAnsi="Times New Roman"/>
        </w:rPr>
        <w:t>”</w:t>
      </w:r>
      <w:r>
        <w:rPr>
          <w:rFonts w:ascii="Times New Roman" w:hAnsi="Times New Roman"/>
        </w:rPr>
        <w:t>）</w:t>
      </w:r>
    </w:p>
    <w:p w:rsidR="00DE5199" w:rsidRDefault="009B690D">
      <w:pPr>
        <w:spacing w:line="360" w:lineRule="auto"/>
        <w:ind w:firstLineChars="200" w:firstLine="420"/>
        <w:rPr>
          <w:szCs w:val="21"/>
        </w:rPr>
      </w:pPr>
      <w:r>
        <w:rPr>
          <w:szCs w:val="21"/>
        </w:rPr>
        <w:t>名称：中国银行股份有限公司</w:t>
      </w:r>
    </w:p>
    <w:p w:rsidR="00DE5199" w:rsidRDefault="009B690D">
      <w:pPr>
        <w:spacing w:line="360" w:lineRule="auto"/>
        <w:ind w:firstLineChars="200" w:firstLine="420"/>
        <w:rPr>
          <w:szCs w:val="21"/>
        </w:rPr>
      </w:pPr>
      <w:r>
        <w:rPr>
          <w:szCs w:val="21"/>
        </w:rPr>
        <w:t>住所：北京市西城区复兴门内大街</w:t>
      </w:r>
      <w:r>
        <w:rPr>
          <w:szCs w:val="21"/>
        </w:rPr>
        <w:t>1</w:t>
      </w:r>
      <w:r>
        <w:rPr>
          <w:szCs w:val="21"/>
        </w:rPr>
        <w:t>号</w:t>
      </w:r>
    </w:p>
    <w:p w:rsidR="00DE5199" w:rsidRDefault="009B690D">
      <w:pPr>
        <w:spacing w:line="360" w:lineRule="auto"/>
        <w:ind w:firstLineChars="200" w:firstLine="420"/>
        <w:rPr>
          <w:szCs w:val="21"/>
        </w:rPr>
      </w:pPr>
      <w:r>
        <w:rPr>
          <w:szCs w:val="21"/>
        </w:rPr>
        <w:t>法定代表人：</w:t>
      </w:r>
      <w:r w:rsidR="00736005" w:rsidRPr="00736005">
        <w:rPr>
          <w:rFonts w:hint="eastAsia"/>
          <w:szCs w:val="21"/>
        </w:rPr>
        <w:t>刘连舸</w:t>
      </w:r>
    </w:p>
    <w:p w:rsidR="00DE5199" w:rsidRDefault="009B690D">
      <w:pPr>
        <w:spacing w:line="360" w:lineRule="auto"/>
        <w:ind w:firstLineChars="200" w:firstLine="420"/>
        <w:rPr>
          <w:kern w:val="0"/>
          <w:szCs w:val="21"/>
        </w:rPr>
      </w:pPr>
      <w:r>
        <w:rPr>
          <w:szCs w:val="21"/>
        </w:rPr>
        <w:t>成立时间：</w:t>
      </w:r>
      <w:r>
        <w:rPr>
          <w:szCs w:val="21"/>
        </w:rPr>
        <w:t>1983</w:t>
      </w:r>
      <w:r>
        <w:rPr>
          <w:szCs w:val="21"/>
        </w:rPr>
        <w:t>年</w:t>
      </w:r>
      <w:r>
        <w:rPr>
          <w:szCs w:val="21"/>
        </w:rPr>
        <w:t>10</w:t>
      </w:r>
      <w:r>
        <w:rPr>
          <w:szCs w:val="21"/>
        </w:rPr>
        <w:t>月</w:t>
      </w:r>
      <w:r>
        <w:rPr>
          <w:szCs w:val="21"/>
        </w:rPr>
        <w:t>31</w:t>
      </w:r>
      <w:r>
        <w:rPr>
          <w:szCs w:val="21"/>
        </w:rPr>
        <w:t>日</w:t>
      </w:r>
    </w:p>
    <w:p w:rsidR="00DE5199" w:rsidRDefault="009B690D">
      <w:pPr>
        <w:spacing w:line="360" w:lineRule="auto"/>
        <w:ind w:firstLineChars="200" w:firstLine="420"/>
        <w:rPr>
          <w:szCs w:val="21"/>
        </w:rPr>
      </w:pPr>
      <w:r>
        <w:rPr>
          <w:kern w:val="0"/>
          <w:szCs w:val="21"/>
        </w:rPr>
        <w:t>基金托管业务批准文号：中国证监会证监基字【</w:t>
      </w:r>
      <w:r>
        <w:rPr>
          <w:kern w:val="0"/>
          <w:szCs w:val="21"/>
        </w:rPr>
        <w:t>1998</w:t>
      </w:r>
      <w:r>
        <w:rPr>
          <w:kern w:val="0"/>
          <w:szCs w:val="21"/>
        </w:rPr>
        <w:t>】</w:t>
      </w:r>
      <w:r>
        <w:rPr>
          <w:kern w:val="0"/>
          <w:szCs w:val="21"/>
        </w:rPr>
        <w:t>24</w:t>
      </w:r>
      <w:r>
        <w:rPr>
          <w:kern w:val="0"/>
          <w:szCs w:val="21"/>
        </w:rPr>
        <w:t>号</w:t>
      </w:r>
    </w:p>
    <w:p w:rsidR="00DE5199" w:rsidRDefault="009B690D">
      <w:pPr>
        <w:tabs>
          <w:tab w:val="left" w:pos="1110"/>
        </w:tabs>
        <w:spacing w:line="360" w:lineRule="auto"/>
        <w:ind w:firstLineChars="200" w:firstLine="420"/>
        <w:rPr>
          <w:szCs w:val="21"/>
        </w:rPr>
      </w:pPr>
      <w:r>
        <w:rPr>
          <w:szCs w:val="21"/>
        </w:rPr>
        <w:t>组织形式：股份有限公司</w:t>
      </w:r>
    </w:p>
    <w:p w:rsidR="00DE5199" w:rsidRDefault="009B690D">
      <w:pPr>
        <w:tabs>
          <w:tab w:val="left" w:pos="1110"/>
        </w:tabs>
        <w:spacing w:line="360" w:lineRule="auto"/>
        <w:ind w:firstLineChars="200" w:firstLine="420"/>
        <w:rPr>
          <w:szCs w:val="21"/>
        </w:rPr>
      </w:pPr>
      <w:r>
        <w:rPr>
          <w:szCs w:val="21"/>
        </w:rPr>
        <w:t>注册资本：</w:t>
      </w:r>
      <w:r w:rsidR="00736005" w:rsidRPr="00736005">
        <w:rPr>
          <w:rFonts w:hint="eastAsia"/>
          <w:szCs w:val="21"/>
        </w:rPr>
        <w:t>人民币贰仟玖佰肆拾叁亿捌仟柒佰柒拾玖万壹仟贰佰肆拾壹元整</w:t>
      </w:r>
    </w:p>
    <w:p w:rsidR="00DE5199" w:rsidRDefault="009B690D">
      <w:pPr>
        <w:tabs>
          <w:tab w:val="left" w:pos="1110"/>
        </w:tabs>
        <w:spacing w:line="360" w:lineRule="auto"/>
        <w:ind w:firstLineChars="200" w:firstLine="420"/>
        <w:rPr>
          <w:szCs w:val="21"/>
        </w:rPr>
      </w:pPr>
      <w:r>
        <w:rPr>
          <w:szCs w:val="21"/>
        </w:rPr>
        <w:t>经营范围：吸收人民币存款；发放短期、中期和长期贷款；办理结算；办理票据贴现；</w:t>
      </w:r>
      <w:r>
        <w:rPr>
          <w:szCs w:val="21"/>
        </w:rPr>
        <w:lastRenderedPageBreak/>
        <w:t>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DE5199" w:rsidRDefault="009B690D">
      <w:pPr>
        <w:tabs>
          <w:tab w:val="left" w:pos="1110"/>
        </w:tabs>
        <w:spacing w:line="360" w:lineRule="auto"/>
        <w:ind w:firstLineChars="200" w:firstLine="420"/>
        <w:rPr>
          <w:szCs w:val="21"/>
        </w:rPr>
      </w:pPr>
      <w:r>
        <w:rPr>
          <w:szCs w:val="21"/>
        </w:rPr>
        <w:t>存续期间：持续经营</w:t>
      </w:r>
    </w:p>
    <w:p w:rsidR="00DE5199" w:rsidRDefault="00DE5199">
      <w:pPr>
        <w:spacing w:line="360" w:lineRule="auto"/>
        <w:ind w:firstLine="200"/>
        <w:rPr>
          <w:szCs w:val="21"/>
        </w:rPr>
      </w:pPr>
    </w:p>
    <w:p w:rsidR="00DE5199" w:rsidRDefault="009B690D">
      <w:pPr>
        <w:pStyle w:val="1"/>
        <w:spacing w:before="0" w:after="0" w:line="360" w:lineRule="auto"/>
        <w:ind w:firstLineChars="200" w:firstLine="422"/>
        <w:rPr>
          <w:sz w:val="21"/>
          <w:szCs w:val="21"/>
        </w:rPr>
      </w:pPr>
      <w:bookmarkStart w:id="3" w:name="_Toc116900097"/>
      <w:r>
        <w:rPr>
          <w:sz w:val="21"/>
          <w:szCs w:val="21"/>
        </w:rPr>
        <w:t>二、托管协议的依据、目的、原则和解释</w:t>
      </w:r>
      <w:bookmarkEnd w:id="3"/>
    </w:p>
    <w:p w:rsidR="00DE5199" w:rsidRDefault="009B690D">
      <w:pPr>
        <w:spacing w:line="360" w:lineRule="auto"/>
        <w:ind w:firstLineChars="200" w:firstLine="420"/>
        <w:rPr>
          <w:szCs w:val="21"/>
        </w:rPr>
      </w:pPr>
      <w:r>
        <w:rPr>
          <w:szCs w:val="21"/>
        </w:rPr>
        <w:t>（一）依据</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本协议依据《中华人民共和国合同法》、《中华人民共和国证券投资基金法》（以下简称</w:t>
      </w:r>
      <w:r>
        <w:rPr>
          <w:rFonts w:ascii="Times New Roman" w:eastAsia="宋体" w:hAnsi="Times New Roman"/>
          <w:color w:val="auto"/>
          <w:sz w:val="21"/>
          <w:szCs w:val="21"/>
        </w:rPr>
        <w:t>“</w:t>
      </w:r>
      <w:r>
        <w:rPr>
          <w:rFonts w:ascii="Times New Roman" w:eastAsia="宋体" w:hAnsi="Times New Roman"/>
          <w:color w:val="auto"/>
          <w:sz w:val="21"/>
          <w:szCs w:val="21"/>
        </w:rPr>
        <w:t>《基金法》</w:t>
      </w:r>
      <w:r>
        <w:rPr>
          <w:rFonts w:ascii="Times New Roman" w:eastAsia="宋体" w:hAnsi="Times New Roman"/>
          <w:color w:val="auto"/>
          <w:sz w:val="21"/>
          <w:szCs w:val="21"/>
        </w:rPr>
        <w:t>”</w:t>
      </w:r>
      <w:r>
        <w:rPr>
          <w:rFonts w:ascii="Times New Roman" w:eastAsia="宋体" w:hAnsi="Times New Roman"/>
          <w:color w:val="auto"/>
          <w:sz w:val="21"/>
          <w:szCs w:val="21"/>
        </w:rPr>
        <w:t>）、《公开募集证券投资基金运作管理办法》（以下简称</w:t>
      </w:r>
      <w:r>
        <w:rPr>
          <w:rFonts w:ascii="Times New Roman" w:eastAsia="宋体" w:hAnsi="Times New Roman"/>
          <w:color w:val="auto"/>
          <w:sz w:val="21"/>
          <w:szCs w:val="21"/>
        </w:rPr>
        <w:t>“</w:t>
      </w:r>
      <w:r>
        <w:rPr>
          <w:rFonts w:ascii="Times New Roman" w:eastAsia="宋体" w:hAnsi="Times New Roman"/>
          <w:color w:val="auto"/>
          <w:sz w:val="21"/>
          <w:szCs w:val="21"/>
        </w:rPr>
        <w:t>《运作办法》</w:t>
      </w:r>
      <w:r>
        <w:rPr>
          <w:rFonts w:ascii="Times New Roman" w:eastAsia="宋体" w:hAnsi="Times New Roman"/>
          <w:color w:val="auto"/>
          <w:sz w:val="21"/>
          <w:szCs w:val="21"/>
        </w:rPr>
        <w:t>”</w:t>
      </w:r>
      <w:r>
        <w:rPr>
          <w:rFonts w:ascii="Times New Roman" w:eastAsia="宋体" w:hAnsi="Times New Roman"/>
          <w:color w:val="auto"/>
          <w:sz w:val="21"/>
          <w:szCs w:val="21"/>
        </w:rPr>
        <w:t>）、《</w:t>
      </w:r>
      <w:r>
        <w:rPr>
          <w:rFonts w:ascii="Times New Roman" w:eastAsia="宋体" w:hAnsi="Times New Roman" w:hint="eastAsia"/>
          <w:color w:val="auto"/>
          <w:sz w:val="21"/>
          <w:szCs w:val="21"/>
        </w:rPr>
        <w:t>公开募集</w:t>
      </w:r>
      <w:r>
        <w:rPr>
          <w:rFonts w:ascii="Times New Roman" w:eastAsia="宋体" w:hAnsi="Times New Roman"/>
          <w:color w:val="auto"/>
          <w:sz w:val="21"/>
          <w:szCs w:val="21"/>
        </w:rPr>
        <w:t>证券投资基金信息披露管理办法》（以下简称</w:t>
      </w:r>
      <w:r>
        <w:rPr>
          <w:rFonts w:ascii="Times New Roman" w:eastAsia="宋体" w:hAnsi="Times New Roman"/>
          <w:color w:val="auto"/>
          <w:sz w:val="21"/>
          <w:szCs w:val="21"/>
        </w:rPr>
        <w:t>“</w:t>
      </w:r>
      <w:r>
        <w:rPr>
          <w:rFonts w:ascii="Times New Roman" w:eastAsia="宋体" w:hAnsi="Times New Roman"/>
          <w:color w:val="auto"/>
          <w:sz w:val="21"/>
          <w:szCs w:val="21"/>
        </w:rPr>
        <w:t>《信息披露办法》</w:t>
      </w:r>
      <w:r>
        <w:rPr>
          <w:rFonts w:ascii="Times New Roman" w:eastAsia="宋体" w:hAnsi="Times New Roman"/>
          <w:color w:val="auto"/>
          <w:sz w:val="21"/>
          <w:szCs w:val="21"/>
        </w:rPr>
        <w:t>”</w:t>
      </w:r>
      <w:r>
        <w:rPr>
          <w:rFonts w:ascii="Times New Roman" w:eastAsia="宋体" w:hAnsi="Times New Roman"/>
          <w:color w:val="auto"/>
          <w:sz w:val="21"/>
          <w:szCs w:val="21"/>
        </w:rPr>
        <w:t>）</w:t>
      </w:r>
      <w:r>
        <w:rPr>
          <w:rFonts w:ascii="Times New Roman" w:eastAsia="宋体" w:hAnsi="Times New Roman" w:hint="eastAsia"/>
          <w:color w:val="auto"/>
          <w:sz w:val="21"/>
          <w:szCs w:val="21"/>
        </w:rPr>
        <w:t>、《公开募集开放式证券投资基金流动性风险管理规定》（以下简称“《流动性风险管理规定》”）</w:t>
      </w:r>
      <w:r>
        <w:rPr>
          <w:rFonts w:ascii="Times New Roman" w:eastAsia="宋体" w:hAnsi="Times New Roman"/>
          <w:color w:val="auto"/>
          <w:sz w:val="21"/>
          <w:szCs w:val="21"/>
        </w:rPr>
        <w:t>及其他有关法律法规与《国泰央企改革股票型证券投资基金基金合同》（以下简称</w:t>
      </w:r>
      <w:r>
        <w:rPr>
          <w:rFonts w:ascii="Times New Roman" w:eastAsia="宋体" w:hAnsi="Times New Roman"/>
          <w:color w:val="auto"/>
          <w:sz w:val="21"/>
          <w:szCs w:val="21"/>
        </w:rPr>
        <w:t>“</w:t>
      </w:r>
      <w:r>
        <w:rPr>
          <w:rFonts w:ascii="Times New Roman" w:eastAsia="宋体" w:hAnsi="Times New Roman"/>
          <w:color w:val="auto"/>
          <w:sz w:val="21"/>
          <w:szCs w:val="21"/>
        </w:rPr>
        <w:t>《基金合同》</w:t>
      </w:r>
      <w:r>
        <w:rPr>
          <w:rFonts w:ascii="Times New Roman" w:eastAsia="宋体" w:hAnsi="Times New Roman"/>
          <w:color w:val="auto"/>
          <w:sz w:val="21"/>
          <w:szCs w:val="21"/>
        </w:rPr>
        <w:t>”</w:t>
      </w:r>
      <w:r>
        <w:rPr>
          <w:rFonts w:ascii="Times New Roman" w:eastAsia="宋体" w:hAnsi="Times New Roman"/>
          <w:color w:val="auto"/>
          <w:sz w:val="21"/>
          <w:szCs w:val="21"/>
        </w:rPr>
        <w:t>）订立。</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（二）目的</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订立本协议的目的是明确国泰央企改革股票型证券投资基金基金托管人和国泰央企改革股票型证券投资基金基金管理人之间在基金财产的保管、投资运作、净值计算、收益分配、信息披露及相互监督等相关事宜中的权利、义务及职责，确保基金财产的安全，保护基金份额持有人的合法权益。</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（三）原则</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基金管理人和基金托管人本着平等自愿、诚实信用的原则，经协商一致，签订本协议。</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（四）解释</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除非文义另有所指，本协议的所有术语与</w:t>
      </w:r>
      <w:bookmarkStart w:id="4" w:name="OLE_LINK3"/>
      <w:r>
        <w:rPr>
          <w:rFonts w:ascii="Times New Roman" w:eastAsia="宋体" w:hAnsi="Times New Roman"/>
          <w:color w:val="auto"/>
          <w:sz w:val="21"/>
          <w:szCs w:val="21"/>
        </w:rPr>
        <w:t>《基金合同》</w:t>
      </w:r>
      <w:bookmarkEnd w:id="4"/>
      <w:r>
        <w:rPr>
          <w:rFonts w:ascii="Times New Roman" w:eastAsia="宋体" w:hAnsi="Times New Roman"/>
          <w:color w:val="auto"/>
          <w:sz w:val="21"/>
          <w:szCs w:val="21"/>
        </w:rPr>
        <w:t>的相应术语具有相同含义。</w:t>
      </w:r>
    </w:p>
    <w:p w:rsidR="00DE5199" w:rsidRDefault="00DE5199">
      <w:pPr>
        <w:pStyle w:val="a6"/>
        <w:spacing w:line="360" w:lineRule="auto"/>
        <w:ind w:firstLine="403"/>
        <w:rPr>
          <w:rFonts w:ascii="Times New Roman" w:eastAsia="宋体" w:hAnsi="Times New Roman"/>
          <w:color w:val="auto"/>
          <w:sz w:val="21"/>
          <w:szCs w:val="21"/>
        </w:rPr>
      </w:pPr>
    </w:p>
    <w:p w:rsidR="00DE5199" w:rsidRDefault="009B690D">
      <w:pPr>
        <w:pStyle w:val="1"/>
        <w:spacing w:before="0" w:after="0" w:line="360" w:lineRule="auto"/>
        <w:ind w:firstLineChars="200" w:firstLine="422"/>
        <w:rPr>
          <w:sz w:val="21"/>
          <w:szCs w:val="21"/>
        </w:rPr>
      </w:pPr>
      <w:bookmarkStart w:id="5" w:name="_Toc116900098"/>
      <w:r>
        <w:rPr>
          <w:sz w:val="21"/>
          <w:szCs w:val="21"/>
        </w:rPr>
        <w:t>三、基金托管人对基金管理人的业务监督和核查</w:t>
      </w:r>
      <w:bookmarkEnd w:id="5"/>
    </w:p>
    <w:p w:rsidR="00DE5199" w:rsidRDefault="009B690D">
      <w:pPr>
        <w:spacing w:line="360" w:lineRule="auto"/>
        <w:ind w:firstLineChars="200" w:firstLine="420"/>
        <w:rPr>
          <w:szCs w:val="21"/>
        </w:rPr>
      </w:pPr>
      <w:r>
        <w:rPr>
          <w:szCs w:val="21"/>
        </w:rPr>
        <w:t>（一）基金托管人根据有关法律法规的规定对基金管理人的下列投资运作进行监督：</w:t>
      </w:r>
    </w:p>
    <w:p w:rsidR="00DE5199" w:rsidRDefault="009B690D">
      <w:pPr>
        <w:spacing w:line="360" w:lineRule="auto"/>
        <w:ind w:firstLineChars="200" w:firstLine="420"/>
        <w:rPr>
          <w:szCs w:val="21"/>
        </w:rPr>
      </w:pPr>
      <w:r>
        <w:rPr>
          <w:szCs w:val="21"/>
        </w:rPr>
        <w:t>1</w:t>
      </w:r>
      <w:r>
        <w:rPr>
          <w:szCs w:val="21"/>
        </w:rPr>
        <w:t>、对基金的投资范围、投资对象进行监督。基金管理人应将拟投资的股票库、债券库</w:t>
      </w:r>
      <w:r>
        <w:rPr>
          <w:szCs w:val="21"/>
        </w:rPr>
        <w:lastRenderedPageBreak/>
        <w:t>等各投资品种的具体范围及时提供给基金托管人。基金</w:t>
      </w:r>
      <w:r>
        <w:rPr>
          <w:color w:val="000000"/>
          <w:szCs w:val="21"/>
        </w:rPr>
        <w:t>管理人可以根据实际情况的变化，对各投资品种的具体范围予以更新和调整，并及时通知基金托管人。基金托管人根据上述投资范围对基金的投资进行监督；</w:t>
      </w:r>
    </w:p>
    <w:p w:rsidR="00DE5199" w:rsidRDefault="009B690D">
      <w:pPr>
        <w:spacing w:line="360" w:lineRule="auto"/>
        <w:ind w:firstLineChars="200" w:firstLine="420"/>
        <w:rPr>
          <w:szCs w:val="21"/>
        </w:rPr>
      </w:pPr>
      <w:r>
        <w:rPr>
          <w:szCs w:val="21"/>
        </w:rPr>
        <w:t>2</w:t>
      </w:r>
      <w:r>
        <w:rPr>
          <w:szCs w:val="21"/>
        </w:rPr>
        <w:t>、对基金投融资比例进行监督；</w:t>
      </w:r>
    </w:p>
    <w:p w:rsidR="00DE5199" w:rsidRDefault="009B690D">
      <w:pPr>
        <w:spacing w:line="360" w:lineRule="auto"/>
        <w:ind w:firstLineChars="200" w:firstLine="420"/>
        <w:rPr>
          <w:bCs/>
          <w:szCs w:val="21"/>
        </w:rPr>
      </w:pPr>
      <w:r>
        <w:rPr>
          <w:bCs/>
          <w:szCs w:val="21"/>
        </w:rPr>
        <w:t>（</w:t>
      </w:r>
      <w:r>
        <w:rPr>
          <w:bCs/>
          <w:szCs w:val="21"/>
        </w:rPr>
        <w:t>1</w:t>
      </w:r>
      <w:r>
        <w:rPr>
          <w:bCs/>
          <w:szCs w:val="21"/>
        </w:rPr>
        <w:t>）本基金投资于股票资产</w:t>
      </w:r>
      <w:r w:rsidR="00FF1272" w:rsidRPr="00FF1272">
        <w:rPr>
          <w:rFonts w:hint="eastAsia"/>
          <w:bCs/>
          <w:szCs w:val="21"/>
        </w:rPr>
        <w:t>（含存托凭证）</w:t>
      </w:r>
      <w:r>
        <w:rPr>
          <w:bCs/>
          <w:szCs w:val="21"/>
        </w:rPr>
        <w:t>的比例不低于基金资产的</w:t>
      </w:r>
      <w:r>
        <w:rPr>
          <w:bCs/>
          <w:szCs w:val="21"/>
        </w:rPr>
        <w:t>80%</w:t>
      </w:r>
      <w:r>
        <w:rPr>
          <w:bCs/>
          <w:szCs w:val="21"/>
        </w:rPr>
        <w:t>，投资于基金合同界定的央企改革主题受益证券资产</w:t>
      </w:r>
      <w:r w:rsidR="00AD5EAE" w:rsidRPr="00AD5EAE">
        <w:rPr>
          <w:rFonts w:hint="eastAsia"/>
          <w:bCs/>
          <w:szCs w:val="21"/>
        </w:rPr>
        <w:t>（含存托凭证）</w:t>
      </w:r>
      <w:r>
        <w:rPr>
          <w:bCs/>
          <w:szCs w:val="21"/>
        </w:rPr>
        <w:t>占非现金资产的比例不低于</w:t>
      </w:r>
      <w:r>
        <w:rPr>
          <w:bCs/>
          <w:szCs w:val="21"/>
        </w:rPr>
        <w:t>80%</w:t>
      </w:r>
      <w:r>
        <w:rPr>
          <w:bCs/>
          <w:szCs w:val="21"/>
        </w:rPr>
        <w:t>；</w:t>
      </w:r>
    </w:p>
    <w:p w:rsidR="00DE5199" w:rsidRDefault="009B690D">
      <w:pPr>
        <w:spacing w:line="360" w:lineRule="auto"/>
        <w:ind w:firstLineChars="200" w:firstLine="420"/>
        <w:rPr>
          <w:bCs/>
          <w:szCs w:val="21"/>
        </w:rPr>
      </w:pPr>
      <w:r>
        <w:rPr>
          <w:bCs/>
          <w:szCs w:val="21"/>
        </w:rPr>
        <w:t>（</w:t>
      </w:r>
      <w:r>
        <w:rPr>
          <w:bCs/>
          <w:szCs w:val="21"/>
        </w:rPr>
        <w:t>2</w:t>
      </w:r>
      <w:r>
        <w:rPr>
          <w:bCs/>
          <w:szCs w:val="21"/>
        </w:rPr>
        <w:t>）每个交易日日终在扣除股指期货合约需缴纳的交易保证金后，保持不低于基金资产净值</w:t>
      </w:r>
      <w:r>
        <w:rPr>
          <w:bCs/>
          <w:szCs w:val="21"/>
        </w:rPr>
        <w:t>5%</w:t>
      </w:r>
      <w:r>
        <w:rPr>
          <w:bCs/>
          <w:szCs w:val="21"/>
        </w:rPr>
        <w:t>的现金或者到期日在一年以内的政府债券</w:t>
      </w:r>
      <w:r>
        <w:rPr>
          <w:rFonts w:hint="eastAsia"/>
          <w:bCs/>
          <w:szCs w:val="21"/>
        </w:rPr>
        <w:t>。其中，现金不包括结算备付金、存出保证金和应收申购款等</w:t>
      </w:r>
      <w:r>
        <w:rPr>
          <w:bCs/>
          <w:szCs w:val="21"/>
        </w:rPr>
        <w:t>；</w:t>
      </w:r>
    </w:p>
    <w:p w:rsidR="00DE5199" w:rsidRDefault="009B690D">
      <w:pPr>
        <w:spacing w:line="360" w:lineRule="auto"/>
        <w:ind w:firstLineChars="200" w:firstLine="420"/>
        <w:rPr>
          <w:bCs/>
          <w:szCs w:val="21"/>
        </w:rPr>
      </w:pPr>
      <w:r>
        <w:rPr>
          <w:bCs/>
          <w:szCs w:val="21"/>
        </w:rPr>
        <w:t>（</w:t>
      </w:r>
      <w:r>
        <w:rPr>
          <w:bCs/>
          <w:szCs w:val="21"/>
        </w:rPr>
        <w:t>3</w:t>
      </w:r>
      <w:r>
        <w:rPr>
          <w:bCs/>
          <w:szCs w:val="21"/>
        </w:rPr>
        <w:t>）本基金持有一家公司发行的证券</w:t>
      </w:r>
      <w:r w:rsidR="00FF1272" w:rsidRPr="00FF1272">
        <w:rPr>
          <w:rFonts w:hint="eastAsia"/>
          <w:bCs/>
          <w:szCs w:val="21"/>
        </w:rPr>
        <w:t>（含存托凭证）</w:t>
      </w:r>
      <w:r>
        <w:rPr>
          <w:bCs/>
          <w:szCs w:val="21"/>
        </w:rPr>
        <w:t>，其市值不超过基金资产净值的</w:t>
      </w:r>
      <w:r>
        <w:rPr>
          <w:bCs/>
          <w:szCs w:val="21"/>
        </w:rPr>
        <w:t>10%</w:t>
      </w:r>
      <w:r>
        <w:rPr>
          <w:bCs/>
          <w:szCs w:val="21"/>
        </w:rPr>
        <w:t>；</w:t>
      </w:r>
    </w:p>
    <w:p w:rsidR="00DE5199" w:rsidRDefault="009B690D">
      <w:pPr>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）本基金管理人管理的且由本基金托管人托管的全部开放式基金（包括开放式基金以及处于开放期的定期开放基金）持有一家上市公司发行的可流通股票，不得超过该上市公司可流通股票的</w:t>
      </w:r>
      <w:r>
        <w:rPr>
          <w:rFonts w:hint="eastAsia"/>
          <w:bCs/>
          <w:szCs w:val="21"/>
        </w:rPr>
        <w:t>15%</w:t>
      </w:r>
      <w:r>
        <w:rPr>
          <w:rFonts w:hint="eastAsia"/>
          <w:bCs/>
          <w:szCs w:val="21"/>
        </w:rPr>
        <w:t>；本基金管理人管理的且由本基金托管人托管的全部投资组合持有一家上市公司发行的可流通股票，不得超过该上市公司可流通股票的</w:t>
      </w:r>
      <w:r>
        <w:rPr>
          <w:rFonts w:hint="eastAsia"/>
          <w:bCs/>
          <w:szCs w:val="21"/>
        </w:rPr>
        <w:t>30%</w:t>
      </w:r>
      <w:r>
        <w:rPr>
          <w:rFonts w:hint="eastAsia"/>
          <w:bCs/>
          <w:szCs w:val="21"/>
        </w:rPr>
        <w:t>；</w:t>
      </w:r>
    </w:p>
    <w:p w:rsidR="00DE5199" w:rsidRDefault="009B690D">
      <w:pPr>
        <w:spacing w:line="360" w:lineRule="auto"/>
        <w:ind w:firstLineChars="200" w:firstLine="420"/>
        <w:rPr>
          <w:bCs/>
          <w:szCs w:val="21"/>
        </w:rPr>
      </w:pPr>
      <w:r>
        <w:rPr>
          <w:bCs/>
          <w:szCs w:val="21"/>
        </w:rPr>
        <w:t>（</w:t>
      </w:r>
      <w:r>
        <w:rPr>
          <w:bCs/>
          <w:szCs w:val="21"/>
        </w:rPr>
        <w:t>5</w:t>
      </w:r>
      <w:r>
        <w:rPr>
          <w:bCs/>
          <w:szCs w:val="21"/>
        </w:rPr>
        <w:t>）本基金投资于权证的投资限制如下：</w:t>
      </w:r>
    </w:p>
    <w:p w:rsidR="00DE5199" w:rsidRDefault="009B690D">
      <w:pPr>
        <w:spacing w:line="360" w:lineRule="auto"/>
        <w:ind w:firstLineChars="200" w:firstLine="420"/>
        <w:rPr>
          <w:bCs/>
          <w:szCs w:val="21"/>
        </w:rPr>
      </w:pPr>
      <w:r>
        <w:rPr>
          <w:bCs/>
          <w:szCs w:val="21"/>
        </w:rPr>
        <w:t>1</w:t>
      </w:r>
      <w:r>
        <w:rPr>
          <w:bCs/>
          <w:szCs w:val="21"/>
        </w:rPr>
        <w:t>）本基金持有的全部权证，其市值不得超过基金资产净值的</w:t>
      </w:r>
      <w:r>
        <w:rPr>
          <w:bCs/>
          <w:szCs w:val="21"/>
        </w:rPr>
        <w:t>3%</w:t>
      </w:r>
      <w:r>
        <w:rPr>
          <w:bCs/>
          <w:szCs w:val="21"/>
        </w:rPr>
        <w:t>；</w:t>
      </w:r>
    </w:p>
    <w:p w:rsidR="00DE5199" w:rsidRDefault="009B690D">
      <w:pPr>
        <w:spacing w:line="360" w:lineRule="auto"/>
        <w:ind w:firstLineChars="200" w:firstLine="420"/>
        <w:rPr>
          <w:bCs/>
          <w:szCs w:val="21"/>
        </w:rPr>
      </w:pPr>
      <w:r>
        <w:rPr>
          <w:bCs/>
          <w:szCs w:val="21"/>
        </w:rPr>
        <w:t>2</w:t>
      </w:r>
      <w:r>
        <w:rPr>
          <w:bCs/>
          <w:szCs w:val="21"/>
        </w:rPr>
        <w:t>）本基金在任何交易日买入权证的总金额，不得超过上一交易日基金资产净值的</w:t>
      </w:r>
      <w:r>
        <w:rPr>
          <w:bCs/>
          <w:szCs w:val="21"/>
        </w:rPr>
        <w:t>0.5%</w:t>
      </w:r>
      <w:r>
        <w:rPr>
          <w:bCs/>
          <w:szCs w:val="21"/>
        </w:rPr>
        <w:t>；</w:t>
      </w:r>
    </w:p>
    <w:p w:rsidR="00DE5199" w:rsidRDefault="009B690D">
      <w:pPr>
        <w:spacing w:line="360" w:lineRule="auto"/>
        <w:ind w:firstLineChars="200" w:firstLine="420"/>
        <w:rPr>
          <w:bCs/>
          <w:szCs w:val="21"/>
        </w:rPr>
      </w:pPr>
      <w:r>
        <w:rPr>
          <w:bCs/>
          <w:szCs w:val="21"/>
        </w:rPr>
        <w:t>（</w:t>
      </w:r>
      <w:r>
        <w:rPr>
          <w:bCs/>
          <w:szCs w:val="21"/>
        </w:rPr>
        <w:t>6</w:t>
      </w:r>
      <w:r>
        <w:rPr>
          <w:bCs/>
          <w:szCs w:val="21"/>
        </w:rPr>
        <w:t>）本基金投资于资产支持证券的投资限制如下：</w:t>
      </w:r>
    </w:p>
    <w:p w:rsidR="00DE5199" w:rsidRDefault="009B690D">
      <w:pPr>
        <w:spacing w:line="360" w:lineRule="auto"/>
        <w:ind w:firstLineChars="200" w:firstLine="420"/>
        <w:rPr>
          <w:bCs/>
          <w:szCs w:val="21"/>
        </w:rPr>
      </w:pPr>
      <w:r>
        <w:rPr>
          <w:bCs/>
          <w:szCs w:val="21"/>
        </w:rPr>
        <w:t>1</w:t>
      </w:r>
      <w:r>
        <w:rPr>
          <w:bCs/>
          <w:szCs w:val="21"/>
        </w:rPr>
        <w:t>）本基金投资于同一原始权益人的各类资产支持证券的比例，不得超过基金资产净值的</w:t>
      </w:r>
      <w:r>
        <w:rPr>
          <w:bCs/>
          <w:szCs w:val="21"/>
        </w:rPr>
        <w:t>10%</w:t>
      </w:r>
      <w:r>
        <w:rPr>
          <w:bCs/>
          <w:szCs w:val="21"/>
        </w:rPr>
        <w:t>；</w:t>
      </w:r>
    </w:p>
    <w:p w:rsidR="00DE5199" w:rsidRDefault="009B690D">
      <w:pPr>
        <w:spacing w:line="360" w:lineRule="auto"/>
        <w:ind w:firstLineChars="200" w:firstLine="420"/>
        <w:rPr>
          <w:bCs/>
          <w:szCs w:val="21"/>
        </w:rPr>
      </w:pPr>
      <w:r>
        <w:rPr>
          <w:bCs/>
          <w:szCs w:val="21"/>
        </w:rPr>
        <w:t>2</w:t>
      </w:r>
      <w:r>
        <w:rPr>
          <w:bCs/>
          <w:szCs w:val="21"/>
        </w:rPr>
        <w:t>）本基金持有的全部资产支持证券，其市值不得超过基金资产净值的</w:t>
      </w:r>
      <w:r>
        <w:rPr>
          <w:bCs/>
          <w:szCs w:val="21"/>
        </w:rPr>
        <w:t>20%</w:t>
      </w:r>
      <w:r>
        <w:rPr>
          <w:bCs/>
          <w:szCs w:val="21"/>
        </w:rPr>
        <w:t>；</w:t>
      </w:r>
    </w:p>
    <w:p w:rsidR="00DE5199" w:rsidRDefault="009B690D">
      <w:pPr>
        <w:spacing w:line="360" w:lineRule="auto"/>
        <w:ind w:firstLineChars="200" w:firstLine="420"/>
        <w:rPr>
          <w:bCs/>
          <w:szCs w:val="21"/>
        </w:rPr>
      </w:pPr>
      <w:r>
        <w:rPr>
          <w:bCs/>
          <w:szCs w:val="21"/>
        </w:rPr>
        <w:t>3</w:t>
      </w:r>
      <w:r>
        <w:rPr>
          <w:bCs/>
          <w:szCs w:val="21"/>
        </w:rPr>
        <w:t>）本基金持有的同一（指同一信用级别）资产支持证券的比例，不得超过该资产支持证券规模的</w:t>
      </w:r>
      <w:r>
        <w:rPr>
          <w:bCs/>
          <w:szCs w:val="21"/>
        </w:rPr>
        <w:t>10%</w:t>
      </w:r>
      <w:r>
        <w:rPr>
          <w:bCs/>
          <w:szCs w:val="21"/>
        </w:rPr>
        <w:t>；</w:t>
      </w:r>
    </w:p>
    <w:p w:rsidR="00DE5199" w:rsidRDefault="009B690D">
      <w:pPr>
        <w:spacing w:line="360" w:lineRule="auto"/>
        <w:ind w:firstLineChars="200" w:firstLine="420"/>
        <w:rPr>
          <w:bCs/>
          <w:szCs w:val="21"/>
        </w:rPr>
      </w:pPr>
      <w:r>
        <w:rPr>
          <w:bCs/>
          <w:szCs w:val="21"/>
        </w:rPr>
        <w:t>4</w:t>
      </w:r>
      <w:r>
        <w:rPr>
          <w:bCs/>
          <w:szCs w:val="21"/>
        </w:rPr>
        <w:t>）本基金应投资于信用级别评级为</w:t>
      </w:r>
      <w:r>
        <w:rPr>
          <w:bCs/>
          <w:szCs w:val="21"/>
        </w:rPr>
        <w:t>BBB</w:t>
      </w:r>
      <w:r>
        <w:rPr>
          <w:bCs/>
          <w:szCs w:val="21"/>
        </w:rPr>
        <w:t>以上（含</w:t>
      </w:r>
      <w:r>
        <w:rPr>
          <w:bCs/>
          <w:szCs w:val="21"/>
        </w:rPr>
        <w:t>BBB</w:t>
      </w:r>
      <w:r>
        <w:rPr>
          <w:bCs/>
          <w:szCs w:val="21"/>
        </w:rPr>
        <w:t>）的资产支持证券。基金持有资产支持证券期间，如果其信用等级下降、不再符合投资标准，应在评级报告发布之日起</w:t>
      </w:r>
      <w:r>
        <w:rPr>
          <w:bCs/>
          <w:szCs w:val="21"/>
        </w:rPr>
        <w:t>3</w:t>
      </w:r>
      <w:r>
        <w:rPr>
          <w:bCs/>
          <w:szCs w:val="21"/>
        </w:rPr>
        <w:t>个月内予以全部卖出；</w:t>
      </w:r>
    </w:p>
    <w:p w:rsidR="00DE5199" w:rsidRDefault="009B690D">
      <w:pPr>
        <w:spacing w:line="360" w:lineRule="auto"/>
        <w:ind w:firstLineChars="200" w:firstLine="420"/>
        <w:rPr>
          <w:bCs/>
          <w:szCs w:val="21"/>
        </w:rPr>
      </w:pPr>
      <w:r>
        <w:rPr>
          <w:bCs/>
          <w:szCs w:val="21"/>
        </w:rPr>
        <w:t>（</w:t>
      </w:r>
      <w:r>
        <w:rPr>
          <w:bCs/>
          <w:szCs w:val="21"/>
        </w:rPr>
        <w:t>7</w:t>
      </w:r>
      <w:r>
        <w:rPr>
          <w:bCs/>
          <w:szCs w:val="21"/>
        </w:rPr>
        <w:t>）基金财产参与股票发行申购，本基金所申报的金额不超过本基金的总资产，本基金所申报的股票数量不超过拟发行股票公司本次发行股票的总量；</w:t>
      </w:r>
    </w:p>
    <w:p w:rsidR="00DE5199" w:rsidRDefault="009B690D">
      <w:pPr>
        <w:spacing w:line="360" w:lineRule="auto"/>
        <w:ind w:firstLineChars="200" w:firstLine="420"/>
        <w:rPr>
          <w:bCs/>
          <w:szCs w:val="21"/>
        </w:rPr>
      </w:pPr>
      <w:r>
        <w:rPr>
          <w:bCs/>
          <w:szCs w:val="21"/>
        </w:rPr>
        <w:t>（</w:t>
      </w:r>
      <w:r>
        <w:rPr>
          <w:bCs/>
          <w:szCs w:val="21"/>
        </w:rPr>
        <w:t>8</w:t>
      </w:r>
      <w:r>
        <w:rPr>
          <w:bCs/>
          <w:szCs w:val="21"/>
        </w:rPr>
        <w:t>）本基金进入全国银行间同业市场进行债券回购的资金余额不得超过基金资产净值</w:t>
      </w:r>
      <w:r>
        <w:rPr>
          <w:bCs/>
          <w:szCs w:val="21"/>
        </w:rPr>
        <w:lastRenderedPageBreak/>
        <w:t>的</w:t>
      </w:r>
      <w:r>
        <w:rPr>
          <w:bCs/>
          <w:szCs w:val="21"/>
        </w:rPr>
        <w:t>40%</w:t>
      </w:r>
      <w:r>
        <w:rPr>
          <w:bCs/>
          <w:szCs w:val="21"/>
        </w:rPr>
        <w:t>，本基金在全国银行间同业市场中的债券回购最长期限为</w:t>
      </w:r>
      <w:r>
        <w:rPr>
          <w:bCs/>
          <w:szCs w:val="21"/>
        </w:rPr>
        <w:t>1</w:t>
      </w:r>
      <w:r>
        <w:rPr>
          <w:bCs/>
          <w:szCs w:val="21"/>
        </w:rPr>
        <w:t>年，债券回购到期后不得展期；</w:t>
      </w:r>
    </w:p>
    <w:p w:rsidR="00DE5199" w:rsidRDefault="009B690D">
      <w:pPr>
        <w:spacing w:line="360" w:lineRule="auto"/>
        <w:ind w:firstLineChars="200" w:firstLine="420"/>
        <w:rPr>
          <w:bCs/>
          <w:szCs w:val="21"/>
        </w:rPr>
      </w:pPr>
      <w:r>
        <w:rPr>
          <w:bCs/>
          <w:szCs w:val="21"/>
        </w:rPr>
        <w:t>（</w:t>
      </w:r>
      <w:r>
        <w:rPr>
          <w:bCs/>
          <w:szCs w:val="21"/>
        </w:rPr>
        <w:t>9</w:t>
      </w:r>
      <w:r>
        <w:rPr>
          <w:bCs/>
          <w:szCs w:val="21"/>
        </w:rPr>
        <w:t>）本基金投资于中小企业私募债的比例不超过基金资产净值的</w:t>
      </w:r>
      <w:r>
        <w:rPr>
          <w:bCs/>
          <w:szCs w:val="21"/>
        </w:rPr>
        <w:t>20%</w:t>
      </w:r>
      <w:r>
        <w:rPr>
          <w:bCs/>
          <w:szCs w:val="21"/>
        </w:rPr>
        <w:t>，本基金持有单只中小企业私募债券，其市值不得超过基金资产净值的</w:t>
      </w:r>
      <w:r>
        <w:rPr>
          <w:bCs/>
          <w:szCs w:val="21"/>
        </w:rPr>
        <w:t>10%</w:t>
      </w:r>
      <w:r>
        <w:rPr>
          <w:bCs/>
          <w:szCs w:val="21"/>
        </w:rPr>
        <w:t>；</w:t>
      </w:r>
    </w:p>
    <w:p w:rsidR="00DE5199" w:rsidRDefault="009B690D">
      <w:pPr>
        <w:spacing w:line="360" w:lineRule="auto"/>
        <w:ind w:firstLineChars="200" w:firstLine="420"/>
        <w:rPr>
          <w:bCs/>
          <w:szCs w:val="21"/>
        </w:rPr>
      </w:pPr>
      <w:r>
        <w:rPr>
          <w:bCs/>
          <w:szCs w:val="21"/>
        </w:rPr>
        <w:t>（</w:t>
      </w:r>
      <w:r>
        <w:rPr>
          <w:bCs/>
          <w:szCs w:val="21"/>
        </w:rPr>
        <w:t>10</w:t>
      </w:r>
      <w:r>
        <w:rPr>
          <w:bCs/>
          <w:szCs w:val="21"/>
        </w:rPr>
        <w:t>）本基金如投资于股指期货，相关投资比例如下：</w:t>
      </w:r>
    </w:p>
    <w:p w:rsidR="00DE5199" w:rsidRDefault="009B690D">
      <w:pPr>
        <w:spacing w:line="360" w:lineRule="auto"/>
        <w:ind w:firstLineChars="200" w:firstLine="420"/>
        <w:rPr>
          <w:bCs/>
          <w:szCs w:val="21"/>
        </w:rPr>
      </w:pPr>
      <w:r>
        <w:rPr>
          <w:bCs/>
          <w:szCs w:val="21"/>
        </w:rPr>
        <w:t>1</w:t>
      </w:r>
      <w:r>
        <w:rPr>
          <w:bCs/>
          <w:szCs w:val="21"/>
        </w:rPr>
        <w:t>）本基金在任何交易日日终，持有的买入股指期货合约价值，不得超过基金资产净值的</w:t>
      </w:r>
      <w:r>
        <w:rPr>
          <w:bCs/>
          <w:szCs w:val="21"/>
        </w:rPr>
        <w:t>10%</w:t>
      </w:r>
      <w:r>
        <w:rPr>
          <w:bCs/>
          <w:szCs w:val="21"/>
        </w:rPr>
        <w:t>；在任何交易日日终，持有的买入股指期货合约价值与有价证券市值之和，不得超</w:t>
      </w:r>
    </w:p>
    <w:p w:rsidR="00DE5199" w:rsidRDefault="009B690D">
      <w:pPr>
        <w:spacing w:line="360" w:lineRule="auto"/>
        <w:ind w:firstLine="200"/>
        <w:rPr>
          <w:bCs/>
          <w:szCs w:val="21"/>
        </w:rPr>
      </w:pPr>
      <w:r>
        <w:rPr>
          <w:bCs/>
          <w:szCs w:val="21"/>
        </w:rPr>
        <w:t>过基金资产净值的</w:t>
      </w:r>
      <w:r>
        <w:rPr>
          <w:bCs/>
          <w:szCs w:val="21"/>
        </w:rPr>
        <w:t>95%</w:t>
      </w:r>
      <w:r>
        <w:rPr>
          <w:bCs/>
          <w:szCs w:val="21"/>
        </w:rPr>
        <w:t>，其中，有价证券指股票、债券（不含到期日在一年以内的政府债券）、权证、资产支持证券、买入返售金融资产（不含质押式回购）等；</w:t>
      </w:r>
    </w:p>
    <w:p w:rsidR="00DE5199" w:rsidRDefault="009B690D">
      <w:pPr>
        <w:spacing w:line="360" w:lineRule="auto"/>
        <w:ind w:firstLineChars="200" w:firstLine="420"/>
        <w:rPr>
          <w:bCs/>
          <w:szCs w:val="21"/>
        </w:rPr>
      </w:pPr>
      <w:r>
        <w:rPr>
          <w:bCs/>
          <w:szCs w:val="21"/>
        </w:rPr>
        <w:t>2</w:t>
      </w:r>
      <w:r>
        <w:rPr>
          <w:bCs/>
          <w:szCs w:val="21"/>
        </w:rPr>
        <w:t>）本基金在任何交易日日终，持有的卖出股指期货合约价值不得超过基金持有的股票总市值的</w:t>
      </w:r>
      <w:r>
        <w:rPr>
          <w:bCs/>
          <w:szCs w:val="21"/>
        </w:rPr>
        <w:t>20%</w:t>
      </w:r>
      <w:r>
        <w:rPr>
          <w:bCs/>
          <w:szCs w:val="21"/>
        </w:rPr>
        <w:t>；</w:t>
      </w:r>
    </w:p>
    <w:p w:rsidR="00DE5199" w:rsidRDefault="009B690D">
      <w:pPr>
        <w:spacing w:line="360" w:lineRule="auto"/>
        <w:ind w:firstLineChars="200" w:firstLine="420"/>
        <w:rPr>
          <w:bCs/>
          <w:szCs w:val="21"/>
        </w:rPr>
      </w:pPr>
      <w:r>
        <w:rPr>
          <w:bCs/>
          <w:szCs w:val="21"/>
        </w:rPr>
        <w:t>3</w:t>
      </w:r>
      <w:r>
        <w:rPr>
          <w:bCs/>
          <w:szCs w:val="21"/>
        </w:rPr>
        <w:t>）本基金所持有的股票市值和买入、卖出股指期货合约价值，合计（轧差计算）应当符合基金合同关于股票投资比例的有关约定；</w:t>
      </w:r>
    </w:p>
    <w:p w:rsidR="00DE5199" w:rsidRDefault="009B690D">
      <w:pPr>
        <w:spacing w:line="360" w:lineRule="auto"/>
        <w:ind w:firstLineChars="200" w:firstLine="420"/>
        <w:rPr>
          <w:bCs/>
          <w:szCs w:val="21"/>
        </w:rPr>
      </w:pPr>
      <w:r>
        <w:rPr>
          <w:bCs/>
          <w:szCs w:val="21"/>
        </w:rPr>
        <w:t>4</w:t>
      </w:r>
      <w:r>
        <w:rPr>
          <w:bCs/>
          <w:szCs w:val="21"/>
        </w:rPr>
        <w:t>）本基金在任何交易日内交易（不包括平仓）的股指期货合约的成交金额不得超过上一交易日基金资产净值的</w:t>
      </w:r>
      <w:r>
        <w:rPr>
          <w:bCs/>
          <w:szCs w:val="21"/>
        </w:rPr>
        <w:t>20%</w:t>
      </w:r>
      <w:r>
        <w:rPr>
          <w:bCs/>
          <w:szCs w:val="21"/>
        </w:rPr>
        <w:t>；</w:t>
      </w:r>
    </w:p>
    <w:p w:rsidR="00DE5199" w:rsidRDefault="009B690D">
      <w:pPr>
        <w:spacing w:line="360" w:lineRule="auto"/>
        <w:ind w:firstLineChars="200" w:firstLine="420"/>
        <w:rPr>
          <w:bCs/>
          <w:szCs w:val="21"/>
        </w:rPr>
      </w:pPr>
      <w:r>
        <w:rPr>
          <w:bCs/>
          <w:szCs w:val="21"/>
        </w:rPr>
        <w:t>（</w:t>
      </w:r>
      <w:r>
        <w:rPr>
          <w:bCs/>
          <w:szCs w:val="21"/>
        </w:rPr>
        <w:t>11</w:t>
      </w:r>
      <w:r>
        <w:rPr>
          <w:bCs/>
          <w:szCs w:val="21"/>
        </w:rPr>
        <w:t>）本基金资产总值不超过基金资产净值的</w:t>
      </w:r>
      <w:r>
        <w:rPr>
          <w:bCs/>
          <w:szCs w:val="21"/>
        </w:rPr>
        <w:t>140%</w:t>
      </w:r>
      <w:r>
        <w:rPr>
          <w:bCs/>
          <w:szCs w:val="21"/>
        </w:rPr>
        <w:t>；</w:t>
      </w:r>
    </w:p>
    <w:p w:rsidR="00DE5199" w:rsidRDefault="009B690D">
      <w:pPr>
        <w:spacing w:line="360" w:lineRule="auto"/>
        <w:ind w:firstLineChars="200" w:firstLine="420"/>
        <w:rPr>
          <w:bCs/>
          <w:szCs w:val="21"/>
        </w:rPr>
      </w:pPr>
      <w:r>
        <w:rPr>
          <w:rFonts w:hint="eastAsia"/>
          <w:bCs/>
          <w:szCs w:val="21"/>
        </w:rPr>
        <w:t>（</w:t>
      </w:r>
      <w:r>
        <w:rPr>
          <w:rFonts w:hint="eastAsia"/>
          <w:bCs/>
          <w:szCs w:val="21"/>
        </w:rPr>
        <w:t>1</w:t>
      </w:r>
      <w:r>
        <w:rPr>
          <w:bCs/>
          <w:szCs w:val="21"/>
        </w:rPr>
        <w:t>2</w:t>
      </w:r>
      <w:r>
        <w:rPr>
          <w:rFonts w:hint="eastAsia"/>
          <w:bCs/>
          <w:szCs w:val="21"/>
        </w:rPr>
        <w:t>）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基金合同约定的投资范围保持一致，并承担由于不一致所导致的风险或损失；</w:t>
      </w:r>
    </w:p>
    <w:p w:rsidR="00DE5199" w:rsidRDefault="009B690D">
      <w:pPr>
        <w:spacing w:line="360" w:lineRule="auto"/>
        <w:ind w:firstLineChars="200" w:firstLine="420"/>
        <w:rPr>
          <w:bCs/>
          <w:szCs w:val="21"/>
        </w:rPr>
      </w:pPr>
      <w:r>
        <w:rPr>
          <w:rFonts w:hint="eastAsia"/>
          <w:bCs/>
          <w:szCs w:val="21"/>
        </w:rPr>
        <w:t>（</w:t>
      </w:r>
      <w:r>
        <w:rPr>
          <w:rFonts w:hint="eastAsia"/>
          <w:bCs/>
          <w:szCs w:val="21"/>
        </w:rPr>
        <w:t>1</w:t>
      </w:r>
      <w:r>
        <w:rPr>
          <w:bCs/>
          <w:szCs w:val="21"/>
        </w:rPr>
        <w:t>3</w:t>
      </w:r>
      <w:r>
        <w:rPr>
          <w:rFonts w:hint="eastAsia"/>
          <w:bCs/>
          <w:szCs w:val="21"/>
        </w:rPr>
        <w:t>）本基金主动投资于流动性受限资产的市值合计不得超过基金资产净值的</w:t>
      </w:r>
      <w:r>
        <w:rPr>
          <w:rFonts w:hint="eastAsia"/>
          <w:bCs/>
          <w:szCs w:val="21"/>
        </w:rPr>
        <w:t>15%</w:t>
      </w:r>
      <w:r>
        <w:rPr>
          <w:rFonts w:hint="eastAsia"/>
          <w:bCs/>
          <w:szCs w:val="21"/>
        </w:rPr>
        <w:t>；因证券市场波动、上市公司股票停牌、基金规模变动等基金管理人之外的因素致使基金不符合该比例限制的，基金管理人不得主动新增流动性受限资产的投资；</w:t>
      </w:r>
    </w:p>
    <w:p w:rsidR="00FF1272" w:rsidRDefault="00FF1272">
      <w:pPr>
        <w:spacing w:line="360" w:lineRule="auto"/>
        <w:ind w:firstLineChars="200" w:firstLine="420"/>
        <w:rPr>
          <w:bCs/>
          <w:szCs w:val="21"/>
        </w:rPr>
      </w:pPr>
      <w:r w:rsidRPr="00FF1272">
        <w:rPr>
          <w:rFonts w:hint="eastAsia"/>
          <w:bCs/>
          <w:szCs w:val="21"/>
        </w:rPr>
        <w:t>（</w:t>
      </w:r>
      <w:r>
        <w:rPr>
          <w:rFonts w:hint="eastAsia"/>
          <w:bCs/>
          <w:szCs w:val="21"/>
        </w:rPr>
        <w:t>1</w:t>
      </w:r>
      <w:r>
        <w:rPr>
          <w:bCs/>
          <w:szCs w:val="21"/>
        </w:rPr>
        <w:t>4</w:t>
      </w:r>
      <w:r w:rsidRPr="00FF1272">
        <w:rPr>
          <w:rFonts w:hint="eastAsia"/>
          <w:bCs/>
          <w:szCs w:val="21"/>
        </w:rPr>
        <w:t>）本基金投资存托凭证的比例限制依照境内上市交易的股票执行，与境内上市交易的股票合并计算；</w:t>
      </w:r>
    </w:p>
    <w:p w:rsidR="00DE5199" w:rsidRDefault="009B690D">
      <w:pPr>
        <w:spacing w:line="360" w:lineRule="auto"/>
        <w:ind w:firstLineChars="200" w:firstLine="420"/>
        <w:rPr>
          <w:bCs/>
          <w:szCs w:val="21"/>
        </w:rPr>
      </w:pPr>
      <w:r>
        <w:rPr>
          <w:bCs/>
          <w:szCs w:val="21"/>
        </w:rPr>
        <w:t>（</w:t>
      </w:r>
      <w:r>
        <w:rPr>
          <w:bCs/>
          <w:szCs w:val="21"/>
        </w:rPr>
        <w:t>1</w:t>
      </w:r>
      <w:r w:rsidR="00FF1272">
        <w:rPr>
          <w:bCs/>
          <w:szCs w:val="21"/>
        </w:rPr>
        <w:t>5</w:t>
      </w:r>
      <w:r>
        <w:rPr>
          <w:bCs/>
          <w:szCs w:val="21"/>
        </w:rPr>
        <w:t>）法律法规及中国证监会规定的和《基金合同》约定的其他投资</w:t>
      </w:r>
      <w:r>
        <w:rPr>
          <w:rFonts w:hint="eastAsia"/>
          <w:bCs/>
          <w:szCs w:val="21"/>
        </w:rPr>
        <w:t>比例</w:t>
      </w:r>
      <w:r>
        <w:rPr>
          <w:bCs/>
          <w:szCs w:val="21"/>
        </w:rPr>
        <w:t>限制。</w:t>
      </w:r>
    </w:p>
    <w:p w:rsidR="00DE5199" w:rsidRDefault="009B690D">
      <w:pPr>
        <w:spacing w:line="360" w:lineRule="auto"/>
        <w:ind w:firstLineChars="200" w:firstLine="420"/>
        <w:rPr>
          <w:bCs/>
          <w:szCs w:val="21"/>
        </w:rPr>
      </w:pPr>
      <w:r>
        <w:rPr>
          <w:rFonts w:hint="eastAsia"/>
          <w:bCs/>
          <w:szCs w:val="21"/>
        </w:rPr>
        <w:t>除上述第（</w:t>
      </w:r>
      <w:r>
        <w:rPr>
          <w:rFonts w:hint="eastAsia"/>
          <w:bCs/>
          <w:szCs w:val="21"/>
        </w:rPr>
        <w:t>2</w:t>
      </w:r>
      <w:r>
        <w:rPr>
          <w:rFonts w:hint="eastAsia"/>
          <w:bCs/>
          <w:szCs w:val="21"/>
        </w:rPr>
        <w:t>）、（</w:t>
      </w:r>
      <w:r>
        <w:rPr>
          <w:rFonts w:hint="eastAsia"/>
          <w:bCs/>
          <w:szCs w:val="21"/>
        </w:rPr>
        <w:t>1</w:t>
      </w:r>
      <w:r>
        <w:rPr>
          <w:bCs/>
          <w:szCs w:val="21"/>
        </w:rPr>
        <w:t>2</w:t>
      </w:r>
      <w:r>
        <w:rPr>
          <w:rFonts w:hint="eastAsia"/>
          <w:bCs/>
          <w:szCs w:val="21"/>
        </w:rPr>
        <w:t>）、（</w:t>
      </w:r>
      <w:r>
        <w:rPr>
          <w:rFonts w:hint="eastAsia"/>
          <w:bCs/>
          <w:szCs w:val="21"/>
        </w:rPr>
        <w:t>1</w:t>
      </w:r>
      <w:r>
        <w:rPr>
          <w:bCs/>
          <w:szCs w:val="21"/>
        </w:rPr>
        <w:t>3</w:t>
      </w:r>
      <w:r>
        <w:rPr>
          <w:rFonts w:hint="eastAsia"/>
          <w:bCs/>
          <w:szCs w:val="21"/>
        </w:rPr>
        <w:t>）项和第（</w:t>
      </w:r>
      <w:r>
        <w:rPr>
          <w:bCs/>
          <w:szCs w:val="21"/>
        </w:rPr>
        <w:t>6</w:t>
      </w:r>
      <w:r>
        <w:rPr>
          <w:rFonts w:hint="eastAsia"/>
          <w:bCs/>
          <w:szCs w:val="21"/>
        </w:rPr>
        <w:t>）项第</w:t>
      </w:r>
      <w:r>
        <w:rPr>
          <w:bCs/>
          <w:szCs w:val="21"/>
        </w:rPr>
        <w:t>4</w:t>
      </w:r>
      <w:r>
        <w:rPr>
          <w:rFonts w:hint="eastAsia"/>
          <w:bCs/>
          <w:szCs w:val="21"/>
        </w:rPr>
        <w:t>）目另有约定外，</w:t>
      </w:r>
      <w:r>
        <w:rPr>
          <w:bCs/>
          <w:szCs w:val="21"/>
        </w:rPr>
        <w:t>因证券</w:t>
      </w:r>
      <w:r>
        <w:rPr>
          <w:bCs/>
          <w:szCs w:val="21"/>
        </w:rPr>
        <w:t>/</w:t>
      </w:r>
      <w:r>
        <w:rPr>
          <w:bCs/>
          <w:szCs w:val="21"/>
        </w:rPr>
        <w:t>期货市场波动、证券发行人合并、基金规模变动等基金管理人之外的因素致使基金投资比例不符合上述规定投资比例的，基金管理人应当在相关证券可交易的</w:t>
      </w:r>
      <w:r>
        <w:rPr>
          <w:bCs/>
          <w:szCs w:val="21"/>
        </w:rPr>
        <w:t>10</w:t>
      </w:r>
      <w:r>
        <w:rPr>
          <w:bCs/>
          <w:szCs w:val="21"/>
        </w:rPr>
        <w:t>个交易日内进行调整，但中国证监会</w:t>
      </w:r>
      <w:r>
        <w:rPr>
          <w:bCs/>
          <w:szCs w:val="21"/>
        </w:rPr>
        <w:lastRenderedPageBreak/>
        <w:t>规定的特殊情形除外。法律法规另有规定的从其规定。</w:t>
      </w:r>
    </w:p>
    <w:p w:rsidR="00DE5199" w:rsidRDefault="009B690D">
      <w:pPr>
        <w:spacing w:line="360" w:lineRule="auto"/>
        <w:ind w:firstLineChars="200" w:firstLine="420"/>
        <w:rPr>
          <w:bCs/>
          <w:szCs w:val="21"/>
        </w:rPr>
      </w:pPr>
      <w:r>
        <w:rPr>
          <w:bCs/>
          <w:szCs w:val="21"/>
        </w:rPr>
        <w:t>基金管理人应当自基金合同生效之日起</w:t>
      </w:r>
      <w:r>
        <w:rPr>
          <w:bCs/>
          <w:szCs w:val="21"/>
        </w:rPr>
        <w:t>6</w:t>
      </w:r>
      <w:r>
        <w:rPr>
          <w:bCs/>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rsidR="00DE5199" w:rsidRDefault="009B690D">
      <w:pPr>
        <w:spacing w:line="360" w:lineRule="auto"/>
        <w:ind w:firstLineChars="200" w:firstLine="420"/>
        <w:rPr>
          <w:bCs/>
          <w:szCs w:val="21"/>
        </w:rPr>
      </w:pPr>
      <w:r>
        <w:rPr>
          <w:bCs/>
          <w:szCs w:val="21"/>
        </w:rPr>
        <w:t>法律法规或监管部门取消或变更上述限制，如适用于本基金，基金管理人在履行适当程序后，则本基金投资不再受相关限制或以变更后的规定为准，无需召开基金份额持有人大会审议。</w:t>
      </w:r>
    </w:p>
    <w:p w:rsidR="00DE5199" w:rsidRDefault="009B690D">
      <w:pPr>
        <w:spacing w:line="360" w:lineRule="auto"/>
        <w:ind w:firstLineChars="200" w:firstLine="420"/>
        <w:rPr>
          <w:szCs w:val="21"/>
        </w:rPr>
      </w:pPr>
      <w:r>
        <w:rPr>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w:t>
      </w:r>
    </w:p>
    <w:p w:rsidR="00DE5199" w:rsidRDefault="009B690D">
      <w:pPr>
        <w:spacing w:line="360" w:lineRule="auto"/>
        <w:ind w:firstLineChars="200" w:firstLine="420"/>
        <w:rPr>
          <w:szCs w:val="21"/>
        </w:rPr>
      </w:pPr>
      <w:r>
        <w:rPr>
          <w:szCs w:val="21"/>
        </w:rPr>
        <w:t>（三）基金托管人在上述第（一）、（二）款的监督和核查中发现基金管理人违反上述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DE5199" w:rsidRDefault="009B690D">
      <w:pPr>
        <w:spacing w:line="360" w:lineRule="auto"/>
        <w:ind w:firstLineChars="200" w:firstLine="420"/>
        <w:rPr>
          <w:szCs w:val="21"/>
        </w:rPr>
      </w:pPr>
      <w:r>
        <w:rPr>
          <w:szCs w:val="21"/>
        </w:rPr>
        <w:t>（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w:t>
      </w:r>
    </w:p>
    <w:p w:rsidR="00DE5199" w:rsidRDefault="009B690D">
      <w:pPr>
        <w:spacing w:line="360" w:lineRule="auto"/>
        <w:ind w:firstLineChars="200" w:firstLine="420"/>
        <w:rPr>
          <w:szCs w:val="21"/>
        </w:rPr>
      </w:pPr>
      <w:r>
        <w:rPr>
          <w:szCs w:val="21"/>
        </w:rPr>
        <w:t>（五）基金管理人应积极配合和协助基金托管人的监督和核查，包括但不限于：在规定时间内答复基金托管人并改正，就基金托管人的疑义进行解释或举证，提供相关数据资料和制度等。</w:t>
      </w:r>
    </w:p>
    <w:p w:rsidR="00DE5199" w:rsidRDefault="00DE5199">
      <w:pPr>
        <w:spacing w:line="360" w:lineRule="auto"/>
        <w:ind w:firstLineChars="200" w:firstLine="420"/>
        <w:rPr>
          <w:szCs w:val="21"/>
        </w:rPr>
      </w:pPr>
    </w:p>
    <w:p w:rsidR="00DE5199" w:rsidRDefault="009B690D">
      <w:pPr>
        <w:pStyle w:val="1"/>
        <w:spacing w:before="0" w:after="0" w:line="360" w:lineRule="auto"/>
        <w:ind w:firstLineChars="200" w:firstLine="422"/>
        <w:rPr>
          <w:sz w:val="21"/>
          <w:szCs w:val="21"/>
        </w:rPr>
      </w:pPr>
      <w:r>
        <w:rPr>
          <w:sz w:val="21"/>
          <w:szCs w:val="21"/>
        </w:rPr>
        <w:t>四、基金管理人对基金托管人的业务核查</w:t>
      </w:r>
    </w:p>
    <w:p w:rsidR="00DE5199" w:rsidRDefault="009B690D">
      <w:pPr>
        <w:spacing w:line="360" w:lineRule="auto"/>
        <w:ind w:firstLineChars="200" w:firstLine="420"/>
        <w:rPr>
          <w:szCs w:val="21"/>
        </w:rPr>
      </w:pPr>
      <w:r>
        <w:rPr>
          <w:szCs w:val="21"/>
        </w:rPr>
        <w:t>1</w:t>
      </w:r>
      <w:r>
        <w:rPr>
          <w:szCs w:val="21"/>
        </w:rPr>
        <w:t>、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DE5199" w:rsidRDefault="009B690D">
      <w:pPr>
        <w:spacing w:line="360" w:lineRule="auto"/>
        <w:ind w:firstLineChars="200" w:firstLine="420"/>
        <w:rPr>
          <w:szCs w:val="21"/>
        </w:rPr>
      </w:pPr>
      <w:r>
        <w:rPr>
          <w:szCs w:val="21"/>
        </w:rPr>
        <w:t>2</w:t>
      </w:r>
      <w:r>
        <w:rPr>
          <w:szCs w:val="21"/>
        </w:rPr>
        <w:t>、基金管理人发现基金托管人擅自挪用基金财产、未对基金财产实行分账管理、无正当理由未执行或延迟执行基金管理人资金划拨指令、泄露基金投资信息等违反法律法规、《基</w:t>
      </w:r>
      <w:r>
        <w:rPr>
          <w:szCs w:val="21"/>
        </w:rPr>
        <w:lastRenderedPageBreak/>
        <w:t>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rsidR="00DE5199" w:rsidRDefault="009B690D">
      <w:pPr>
        <w:spacing w:line="360" w:lineRule="auto"/>
        <w:ind w:firstLineChars="200" w:firstLine="420"/>
        <w:rPr>
          <w:szCs w:val="21"/>
        </w:rPr>
      </w:pPr>
      <w:r>
        <w:rPr>
          <w:szCs w:val="21"/>
        </w:rPr>
        <w:t>3</w:t>
      </w:r>
      <w:r>
        <w:rPr>
          <w:szCs w:val="21"/>
        </w:rPr>
        <w:t>、基金托管人应积极配合基金管理人的核查行为，包括但不限于：提交相关资料以供基金管理人核查托管财产的完整性和真实性，在规定时间内答复基金管理人并改正。</w:t>
      </w:r>
    </w:p>
    <w:p w:rsidR="00DE5199" w:rsidRDefault="00DE5199">
      <w:pPr>
        <w:spacing w:line="360" w:lineRule="auto"/>
        <w:ind w:firstLineChars="200" w:firstLine="420"/>
        <w:rPr>
          <w:szCs w:val="21"/>
        </w:rPr>
      </w:pPr>
    </w:p>
    <w:p w:rsidR="00DE5199" w:rsidRDefault="009B690D">
      <w:pPr>
        <w:pStyle w:val="1"/>
        <w:spacing w:before="0" w:after="0" w:line="360" w:lineRule="auto"/>
        <w:ind w:firstLineChars="200" w:firstLine="422"/>
        <w:rPr>
          <w:sz w:val="21"/>
          <w:szCs w:val="21"/>
        </w:rPr>
      </w:pPr>
      <w:bookmarkStart w:id="6" w:name="_Toc116900099"/>
      <w:r>
        <w:rPr>
          <w:sz w:val="21"/>
          <w:szCs w:val="21"/>
        </w:rPr>
        <w:t>五、基金财产的保管</w:t>
      </w:r>
      <w:bookmarkEnd w:id="6"/>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（一）基金财产保管的原则</w:t>
      </w:r>
    </w:p>
    <w:p w:rsidR="00DE5199" w:rsidRDefault="009B690D">
      <w:pPr>
        <w:spacing w:line="360" w:lineRule="auto"/>
        <w:ind w:firstLineChars="200" w:firstLine="420"/>
        <w:rPr>
          <w:szCs w:val="21"/>
        </w:rPr>
      </w:pPr>
      <w:r>
        <w:rPr>
          <w:szCs w:val="21"/>
        </w:rPr>
        <w:t>1</w:t>
      </w:r>
      <w:r>
        <w:rPr>
          <w:szCs w:val="21"/>
        </w:rPr>
        <w:t>、基金财产应独立于基金管理人、基金托管人的固有财产。</w:t>
      </w:r>
    </w:p>
    <w:p w:rsidR="00DE5199" w:rsidRDefault="009B690D">
      <w:pPr>
        <w:spacing w:line="360" w:lineRule="auto"/>
        <w:ind w:firstLineChars="200" w:firstLine="420"/>
        <w:rPr>
          <w:szCs w:val="21"/>
        </w:rPr>
      </w:pPr>
      <w:r>
        <w:rPr>
          <w:szCs w:val="21"/>
        </w:rPr>
        <w:t>2</w:t>
      </w:r>
      <w:r>
        <w:rPr>
          <w:szCs w:val="21"/>
        </w:rPr>
        <w:t>、基金托管人应安全保管基金财产，未经基金管理人的合法合规指令或法律法规、《基金合同》及本协议另有规定，不得自行运用、处分、分配基金的任何财产。</w:t>
      </w:r>
    </w:p>
    <w:p w:rsidR="00DE5199" w:rsidRDefault="009B690D">
      <w:pPr>
        <w:spacing w:line="360" w:lineRule="auto"/>
        <w:ind w:firstLineChars="200" w:firstLine="420"/>
        <w:rPr>
          <w:color w:val="FF0000"/>
          <w:szCs w:val="21"/>
        </w:rPr>
      </w:pPr>
      <w:r>
        <w:rPr>
          <w:szCs w:val="21"/>
        </w:rPr>
        <w:t>3</w:t>
      </w:r>
      <w:r>
        <w:rPr>
          <w:szCs w:val="21"/>
        </w:rPr>
        <w:t>、基金托管人按照规定开设基金财产的资金账户、证券账户及投资所需的其他账户。</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sz w:val="21"/>
          <w:szCs w:val="21"/>
        </w:rPr>
        <w:t>4</w:t>
      </w:r>
      <w:r>
        <w:rPr>
          <w:rFonts w:ascii="Times New Roman" w:eastAsia="宋体" w:hAnsi="Times New Roman"/>
          <w:sz w:val="21"/>
          <w:szCs w:val="21"/>
        </w:rPr>
        <w:t>、基金托管人对所托管的不同基金财产分别设置账户，与基金托管人的其他业务和其他基金的托管业务实行严格的分账管理，确保基金财产的完整与独立。</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5</w:t>
      </w:r>
      <w:r>
        <w:rPr>
          <w:rFonts w:ascii="Times New Roman" w:eastAsia="宋体" w:hAnsi="Times New Roman"/>
          <w:color w:val="auto"/>
          <w:sz w:val="21"/>
          <w:szCs w:val="21"/>
        </w:rPr>
        <w:t>、除依据《基金法》、《运作办法》、《基金合同》及其他有关法律法规规定外，基金托管人不得委托第三人托管基金财产。</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（二）基金合同生效前募集资金的验资和入账</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1</w:t>
      </w:r>
      <w:r>
        <w:rPr>
          <w:rFonts w:ascii="Times New Roman" w:eastAsia="宋体" w:hAnsi="Times New Roman"/>
          <w:color w:val="auto"/>
          <w:sz w:val="21"/>
          <w:szCs w:val="21"/>
        </w:rPr>
        <w:t>、基金募集期满或基金管理人宣布停止募集时，</w:t>
      </w:r>
      <w:r>
        <w:rPr>
          <w:rFonts w:ascii="Times New Roman" w:eastAsia="宋体" w:hAnsi="Times New Roman"/>
          <w:sz w:val="21"/>
          <w:szCs w:val="21"/>
        </w:rPr>
        <w:t>募集的基金份额总额、基金募集金额、基金份额持有人人数符合《基金法》、《运作办法》等有关规定的，</w:t>
      </w:r>
      <w:r>
        <w:rPr>
          <w:rFonts w:ascii="Times New Roman" w:eastAsia="宋体" w:hAnsi="Times New Roman"/>
          <w:color w:val="auto"/>
          <w:sz w:val="21"/>
          <w:szCs w:val="21"/>
        </w:rPr>
        <w:t>由基金管理人在法定期限内聘请具有从事相关业务资格的会计师事务所对基金进行验资，并出具验资报告，出具的验资报告应由参加验资的</w:t>
      </w:r>
      <w:r>
        <w:rPr>
          <w:rFonts w:ascii="Times New Roman" w:eastAsia="宋体" w:hAnsi="Times New Roman"/>
          <w:color w:val="auto"/>
          <w:sz w:val="21"/>
          <w:szCs w:val="21"/>
        </w:rPr>
        <w:t>2</w:t>
      </w:r>
      <w:r>
        <w:rPr>
          <w:rFonts w:ascii="Times New Roman" w:eastAsia="宋体" w:hAnsi="Times New Roman"/>
          <w:color w:val="auto"/>
          <w:sz w:val="21"/>
          <w:szCs w:val="21"/>
        </w:rPr>
        <w:t>名以上（含</w:t>
      </w:r>
      <w:r>
        <w:rPr>
          <w:rFonts w:ascii="Times New Roman" w:eastAsia="宋体" w:hAnsi="Times New Roman"/>
          <w:color w:val="auto"/>
          <w:sz w:val="21"/>
          <w:szCs w:val="21"/>
        </w:rPr>
        <w:t>2</w:t>
      </w:r>
      <w:r>
        <w:rPr>
          <w:rFonts w:ascii="Times New Roman" w:eastAsia="宋体" w:hAnsi="Times New Roman"/>
          <w:color w:val="auto"/>
          <w:sz w:val="21"/>
          <w:szCs w:val="21"/>
        </w:rPr>
        <w:t>名）中国注册会计师签字方为有效。</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sz w:val="21"/>
          <w:szCs w:val="21"/>
        </w:rPr>
        <w:t>2</w:t>
      </w:r>
      <w:r>
        <w:rPr>
          <w:rFonts w:ascii="Times New Roman" w:eastAsia="宋体" w:hAnsi="Times New Roman"/>
          <w:sz w:val="21"/>
          <w:szCs w:val="21"/>
        </w:rPr>
        <w:t>、基金管理人应将属于本基金财产的全部资金划入在基金托管人处为本基金开立的基金银行账户中，并确保划入的资金与验资确认金额相一致。</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（三）基金的银行账户的开设和管理</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1</w:t>
      </w:r>
      <w:r>
        <w:rPr>
          <w:rFonts w:ascii="Times New Roman" w:eastAsia="宋体" w:hAnsi="Times New Roman"/>
          <w:color w:val="auto"/>
          <w:sz w:val="21"/>
          <w:szCs w:val="21"/>
        </w:rPr>
        <w:t>、基金托管人应负责本基金的银行账户的开设和管理。</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2</w:t>
      </w:r>
      <w:r>
        <w:rPr>
          <w:rFonts w:ascii="Times New Roman" w:eastAsia="宋体" w:hAnsi="Times New Roman"/>
          <w:color w:val="auto"/>
          <w:sz w:val="21"/>
          <w:szCs w:val="21"/>
        </w:rPr>
        <w:t>、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3</w:t>
      </w:r>
      <w:r>
        <w:rPr>
          <w:rFonts w:ascii="Times New Roman" w:eastAsia="宋体" w:hAnsi="Times New Roman"/>
          <w:color w:val="auto"/>
          <w:sz w:val="21"/>
          <w:szCs w:val="21"/>
        </w:rPr>
        <w:t>、本基金银行账户的开立和使用，限于满足开展本基金业务的需要。基金托管人和基</w:t>
      </w:r>
      <w:r>
        <w:rPr>
          <w:rFonts w:ascii="Times New Roman" w:eastAsia="宋体" w:hAnsi="Times New Roman"/>
          <w:color w:val="auto"/>
          <w:sz w:val="21"/>
          <w:szCs w:val="21"/>
        </w:rPr>
        <w:lastRenderedPageBreak/>
        <w:t>金管理人不得假借本基金的名义开立其他任何银行账户；亦不得使用本基金的银行账户进行本基金业务以外的活动。</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4</w:t>
      </w:r>
      <w:r>
        <w:rPr>
          <w:rFonts w:ascii="Times New Roman" w:eastAsia="宋体" w:hAnsi="Times New Roman"/>
          <w:color w:val="auto"/>
          <w:sz w:val="21"/>
          <w:szCs w:val="21"/>
        </w:rPr>
        <w:t>、基金银行账户的管理应符合法律法规的有关规定。</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（四）基金进行定期存款投资的账户开设和管理</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（五）基金证券账户、结算备付金账户及其他投资账户的开设和管理</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1</w:t>
      </w:r>
      <w:r>
        <w:rPr>
          <w:rFonts w:ascii="Times New Roman" w:eastAsia="宋体" w:hAnsi="Times New Roman"/>
          <w:color w:val="auto"/>
          <w:sz w:val="21"/>
          <w:szCs w:val="21"/>
        </w:rPr>
        <w:t>、基金托管人应当代表本基金，以基金托管人和本基金联名的方式在中国证券登记结算有限责任公司开设证券账户。</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2</w:t>
      </w:r>
      <w:r>
        <w:rPr>
          <w:rFonts w:ascii="Times New Roman" w:eastAsia="宋体" w:hAnsi="Times New Roman"/>
          <w:color w:val="auto"/>
          <w:sz w:val="21"/>
          <w:szCs w:val="21"/>
        </w:rPr>
        <w:t>、本基金证券账户的开立和使用，限于满足开展本基金业务的需要。基金托管人和基金管理人不得出借或转让本基金的证券账户，亦不得使用本基金的证券账户进行本基金业务以外的活动。</w:t>
      </w:r>
    </w:p>
    <w:p w:rsidR="00DE5199" w:rsidRDefault="009B690D">
      <w:pPr>
        <w:pStyle w:val="a6"/>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3</w:t>
      </w:r>
      <w:r>
        <w:rPr>
          <w:rFonts w:ascii="Times New Roman" w:eastAsia="宋体" w:hAnsi="Times New Roman"/>
          <w:sz w:val="21"/>
          <w:szCs w:val="21"/>
        </w:rPr>
        <w:t>、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sz w:val="21"/>
          <w:szCs w:val="21"/>
        </w:rPr>
        <w:t>4</w:t>
      </w:r>
      <w:r>
        <w:rPr>
          <w:rFonts w:ascii="Times New Roman" w:eastAsia="宋体" w:hAnsi="Times New Roman"/>
          <w:sz w:val="21"/>
          <w:szCs w:val="21"/>
        </w:rPr>
        <w:t>、</w:t>
      </w:r>
      <w:r>
        <w:rPr>
          <w:rFonts w:ascii="Times New Roman" w:eastAsia="宋体" w:hAnsi="Times New Roman"/>
          <w:color w:val="auto"/>
          <w:sz w:val="21"/>
          <w:szCs w:val="21"/>
        </w:rPr>
        <w:t>在本托管协议生效日之后，本基金被允许从事其他投资品种的投资业务的，涉及相关账户的开设、使用的，若无相关规定，则基金托管人应当比照并遵守上述关于账户开设、使用的规定。</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（六）债券托管专户的开设和管理</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代表基金进行银行间债券市场债券和资金的清算。</w:t>
      </w:r>
      <w:r>
        <w:rPr>
          <w:rFonts w:ascii="Times New Roman" w:eastAsia="宋体" w:hAnsi="Times New Roman"/>
          <w:sz w:val="21"/>
          <w:szCs w:val="21"/>
        </w:rPr>
        <w:t>在上述手续办理完毕之后，由基金托管人负责向中国人民银行报备。</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（七）基金财产投资的有关有价凭证的保管</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基金财产投资的实物证券、银行定期存款存单等有价凭证由基金托管人负责妥善保管。基金托管人对其以外机构实际有效控制的有价凭证不承担责任。</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（八）与基金财产有关的重大合同及有关凭证的保管</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基金托管人按照法律法规保管由基金管理人代表基金签署的与基金有关的重大合同及有关凭证。基金管理人代表基金签署有关重大合同后应在收到合同正本后</w:t>
      </w:r>
      <w:r>
        <w:rPr>
          <w:rFonts w:ascii="Times New Roman" w:eastAsia="宋体" w:hAnsi="Times New Roman"/>
          <w:color w:val="auto"/>
          <w:sz w:val="21"/>
          <w:szCs w:val="21"/>
        </w:rPr>
        <w:t>30</w:t>
      </w:r>
      <w:r>
        <w:rPr>
          <w:rFonts w:ascii="Times New Roman" w:eastAsia="宋体" w:hAnsi="Times New Roman"/>
          <w:color w:val="auto"/>
          <w:sz w:val="21"/>
          <w:szCs w:val="21"/>
        </w:rPr>
        <w:t>日内将一份正</w:t>
      </w:r>
      <w:r>
        <w:rPr>
          <w:rFonts w:ascii="Times New Roman" w:eastAsia="宋体" w:hAnsi="Times New Roman"/>
          <w:color w:val="auto"/>
          <w:sz w:val="21"/>
          <w:szCs w:val="21"/>
        </w:rPr>
        <w:lastRenderedPageBreak/>
        <w:t>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w:t>
      </w:r>
      <w:r>
        <w:rPr>
          <w:rFonts w:ascii="Times New Roman" w:eastAsia="宋体" w:hAnsi="Times New Roman"/>
          <w:color w:val="auto"/>
          <w:sz w:val="21"/>
          <w:szCs w:val="21"/>
        </w:rPr>
        <w:t>15</w:t>
      </w:r>
      <w:r>
        <w:rPr>
          <w:rFonts w:ascii="Times New Roman" w:eastAsia="宋体" w:hAnsi="Times New Roman"/>
          <w:color w:val="auto"/>
          <w:sz w:val="21"/>
          <w:szCs w:val="21"/>
        </w:rPr>
        <w:t>年。</w:t>
      </w:r>
    </w:p>
    <w:p w:rsidR="00DE5199" w:rsidRDefault="00DE5199">
      <w:pPr>
        <w:pStyle w:val="a6"/>
        <w:spacing w:line="360" w:lineRule="auto"/>
        <w:ind w:firstLine="403"/>
        <w:rPr>
          <w:rFonts w:ascii="Times New Roman" w:eastAsia="宋体" w:hAnsi="Times New Roman"/>
          <w:color w:val="auto"/>
          <w:sz w:val="21"/>
          <w:szCs w:val="21"/>
        </w:rPr>
      </w:pPr>
    </w:p>
    <w:p w:rsidR="00DE5199" w:rsidRDefault="009B690D">
      <w:pPr>
        <w:pStyle w:val="1"/>
        <w:spacing w:before="0" w:after="0" w:line="360" w:lineRule="auto"/>
        <w:ind w:firstLineChars="200" w:firstLine="422"/>
        <w:rPr>
          <w:sz w:val="21"/>
          <w:szCs w:val="21"/>
        </w:rPr>
      </w:pPr>
      <w:bookmarkStart w:id="7" w:name="_Toc116900100"/>
      <w:r>
        <w:rPr>
          <w:sz w:val="21"/>
          <w:szCs w:val="21"/>
        </w:rPr>
        <w:t>六、指令的发送、确认及执行</w:t>
      </w:r>
      <w:bookmarkEnd w:id="7"/>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（一）基金管理人对发送指令人员的书面授权</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1</w:t>
      </w:r>
      <w:r>
        <w:rPr>
          <w:rFonts w:ascii="Times New Roman" w:eastAsia="宋体" w:hAnsi="Times New Roman"/>
          <w:color w:val="auto"/>
          <w:sz w:val="21"/>
          <w:szCs w:val="21"/>
        </w:rPr>
        <w:t>、基金管理人应当事先向基金托管人发出书面通知（以下称</w:t>
      </w:r>
      <w:r>
        <w:rPr>
          <w:rFonts w:ascii="Times New Roman" w:eastAsia="宋体" w:hAnsi="Times New Roman"/>
          <w:color w:val="auto"/>
          <w:sz w:val="21"/>
          <w:szCs w:val="21"/>
        </w:rPr>
        <w:t>“</w:t>
      </w:r>
      <w:r>
        <w:rPr>
          <w:rFonts w:ascii="Times New Roman" w:eastAsia="宋体" w:hAnsi="Times New Roman"/>
          <w:color w:val="auto"/>
          <w:sz w:val="21"/>
          <w:szCs w:val="21"/>
        </w:rPr>
        <w:t>授权通知</w:t>
      </w:r>
      <w:r>
        <w:rPr>
          <w:rFonts w:ascii="Times New Roman" w:eastAsia="宋体" w:hAnsi="Times New Roman"/>
          <w:color w:val="auto"/>
          <w:sz w:val="21"/>
          <w:szCs w:val="21"/>
        </w:rPr>
        <w:t>”</w:t>
      </w:r>
      <w:r>
        <w:rPr>
          <w:rFonts w:ascii="Times New Roman" w:eastAsia="宋体" w:hAnsi="Times New Roman"/>
          <w:color w:val="auto"/>
          <w:sz w:val="21"/>
          <w:szCs w:val="21"/>
        </w:rPr>
        <w:t>），载明基金管理人有权发送指令的人员名单（以下称</w:t>
      </w:r>
      <w:r>
        <w:rPr>
          <w:rFonts w:ascii="Times New Roman" w:eastAsia="宋体" w:hAnsi="Times New Roman"/>
          <w:color w:val="auto"/>
          <w:sz w:val="21"/>
          <w:szCs w:val="21"/>
        </w:rPr>
        <w:t>“</w:t>
      </w:r>
      <w:r>
        <w:rPr>
          <w:rFonts w:ascii="Times New Roman" w:eastAsia="宋体" w:hAnsi="Times New Roman"/>
          <w:color w:val="auto"/>
          <w:sz w:val="21"/>
          <w:szCs w:val="21"/>
        </w:rPr>
        <w:t>指令发送人员</w:t>
      </w:r>
      <w:r>
        <w:rPr>
          <w:rFonts w:ascii="Times New Roman" w:eastAsia="宋体" w:hAnsi="Times New Roman"/>
          <w:color w:val="auto"/>
          <w:sz w:val="21"/>
          <w:szCs w:val="21"/>
        </w:rPr>
        <w:t>”</w:t>
      </w:r>
      <w:r>
        <w:rPr>
          <w:rFonts w:ascii="Times New Roman" w:eastAsia="宋体" w:hAnsi="Times New Roman"/>
          <w:color w:val="auto"/>
          <w:sz w:val="21"/>
          <w:szCs w:val="21"/>
        </w:rPr>
        <w:t>）及各个人员的权限范围。基金管理人应向基金托管人提供指令发送人员的人名印鉴的预留印鉴样本和签字样本。</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2</w:t>
      </w:r>
      <w:r>
        <w:rPr>
          <w:rFonts w:ascii="Times New Roman" w:eastAsia="宋体" w:hAnsi="Times New Roman"/>
          <w:color w:val="auto"/>
          <w:sz w:val="21"/>
          <w:szCs w:val="21"/>
        </w:rPr>
        <w:t>、基金管理人向基金托管人发出的授权通知应加盖公章并由法定代表人或其授权签字人签署，若由授权签字人签署，还应附上法定代表人的授权书。基金托管人在收到授权通知后以电话确认。</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3</w:t>
      </w:r>
      <w:r>
        <w:rPr>
          <w:rFonts w:ascii="Times New Roman" w:eastAsia="宋体" w:hAnsi="Times New Roman"/>
          <w:color w:val="auto"/>
          <w:sz w:val="21"/>
          <w:szCs w:val="21"/>
        </w:rPr>
        <w:t>、基金管理人和基金托管人对授权通知及其更改负有保密义务，其内容不得向指令发送人员及相关操作人员以外的任何人披露、泄露。</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（二）指令的内容</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指令是基金管理人在运作基金财产时，向基金托管人发出的资金划拨及投资指令。相关登记结算公司向基金托管人发送的结算通知视为基金管理人向基金托管人发出的指令。</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（三）指令的发送、确认和执行</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1</w:t>
      </w:r>
      <w:r>
        <w:rPr>
          <w:rFonts w:ascii="Times New Roman" w:eastAsia="宋体" w:hAnsi="Times New Roman"/>
          <w:color w:val="auto"/>
          <w:sz w:val="21"/>
          <w:szCs w:val="21"/>
        </w:rPr>
        <w:t>、指令由</w:t>
      </w:r>
      <w:r>
        <w:rPr>
          <w:rFonts w:ascii="Times New Roman" w:eastAsia="宋体" w:hAnsi="Times New Roman"/>
          <w:color w:val="auto"/>
          <w:sz w:val="21"/>
          <w:szCs w:val="21"/>
        </w:rPr>
        <w:t>“</w:t>
      </w:r>
      <w:r>
        <w:rPr>
          <w:rFonts w:ascii="Times New Roman" w:eastAsia="宋体" w:hAnsi="Times New Roman"/>
          <w:color w:val="auto"/>
          <w:sz w:val="21"/>
          <w:szCs w:val="21"/>
        </w:rPr>
        <w:t>授权通知</w:t>
      </w:r>
      <w:r>
        <w:rPr>
          <w:rFonts w:ascii="Times New Roman" w:eastAsia="宋体" w:hAnsi="Times New Roman"/>
          <w:color w:val="auto"/>
          <w:sz w:val="21"/>
          <w:szCs w:val="21"/>
        </w:rPr>
        <w:t>”</w:t>
      </w:r>
      <w:r>
        <w:rPr>
          <w:rFonts w:ascii="Times New Roman" w:eastAsia="宋体" w:hAnsi="Times New Roman"/>
          <w:color w:val="auto"/>
          <w:sz w:val="21"/>
          <w:szCs w:val="21"/>
        </w:rPr>
        <w:t>确定的指令发送人员代表基金管理人用加密传真的方式或其他双方确认的方式向基金托管人发送。对于指令发送人员发出的指令，基金管理人不得否认其效力。但如果基金管理人已经撤销或更改对指令发送人员的授权，并且基金托管人已收到该通知，则对于此后该指令发送人员无权发送的指令，或超权限发送的指令，基金管理人不承担责任。</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2</w:t>
      </w:r>
      <w:r>
        <w:rPr>
          <w:rFonts w:ascii="Times New Roman" w:eastAsia="宋体" w:hAnsi="Times New Roman"/>
          <w:color w:val="auto"/>
          <w:sz w:val="21"/>
          <w:szCs w:val="21"/>
        </w:rPr>
        <w:t>、基金管理人应按照《基金法》、《运作办法》、《基金合同》和有关法律法规的规定，在其合法的经营权限和交易权限内，并依据相关业务规则发送指令。指令发出后，基金管理人应及时电话通知基金托管人。</w:t>
      </w:r>
      <w:r>
        <w:rPr>
          <w:rFonts w:ascii="Times New Roman" w:eastAsia="宋体" w:hAnsi="Times New Roman"/>
          <w:color w:val="auto"/>
          <w:sz w:val="21"/>
          <w:szCs w:val="21"/>
        </w:rPr>
        <w:t xml:space="preserve">    </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3</w:t>
      </w:r>
      <w:r>
        <w:rPr>
          <w:rFonts w:ascii="Times New Roman" w:eastAsia="宋体" w:hAnsi="Times New Roman"/>
          <w:color w:val="auto"/>
          <w:sz w:val="21"/>
          <w:szCs w:val="21"/>
        </w:rPr>
        <w:t>、基金托管人在接受指令时，应对指令的要素是否齐全、印鉴是否与授权通知相符等进行表面真实性的检查，对合法合规的指令，基金托管人应在规定期限内执行，不得</w:t>
      </w:r>
      <w:r>
        <w:rPr>
          <w:rFonts w:ascii="Times New Roman" w:eastAsia="宋体" w:hAnsi="Times New Roman"/>
          <w:sz w:val="21"/>
          <w:szCs w:val="21"/>
        </w:rPr>
        <w:t>不合理</w:t>
      </w:r>
      <w:r>
        <w:rPr>
          <w:rFonts w:ascii="Times New Roman" w:eastAsia="宋体" w:hAnsi="Times New Roman"/>
          <w:color w:val="auto"/>
          <w:sz w:val="21"/>
          <w:szCs w:val="21"/>
        </w:rPr>
        <w:t>延误。</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4</w:t>
      </w:r>
      <w:r>
        <w:rPr>
          <w:rFonts w:ascii="Times New Roman" w:eastAsia="宋体" w:hAnsi="Times New Roman"/>
          <w:color w:val="auto"/>
          <w:sz w:val="21"/>
          <w:szCs w:val="21"/>
        </w:rPr>
        <w:t>、基金管理人应在交易结束后将银行间同业市场债券交易成交单</w:t>
      </w:r>
      <w:r>
        <w:rPr>
          <w:rFonts w:ascii="Times New Roman" w:eastAsia="宋体" w:hAnsi="Times New Roman"/>
          <w:sz w:val="21"/>
          <w:szCs w:val="21"/>
        </w:rPr>
        <w:t>经有权人员签字并</w:t>
      </w:r>
      <w:r>
        <w:rPr>
          <w:rFonts w:ascii="Times New Roman" w:eastAsia="宋体" w:hAnsi="Times New Roman"/>
          <w:color w:val="auto"/>
          <w:sz w:val="21"/>
          <w:szCs w:val="21"/>
        </w:rPr>
        <w:t>加</w:t>
      </w:r>
      <w:r>
        <w:rPr>
          <w:rFonts w:ascii="Times New Roman" w:eastAsia="宋体" w:hAnsi="Times New Roman"/>
          <w:color w:val="auto"/>
          <w:sz w:val="21"/>
          <w:szCs w:val="21"/>
        </w:rPr>
        <w:lastRenderedPageBreak/>
        <w:t>盖印章后及时传真给基金托管人。</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5</w:t>
      </w:r>
      <w:r>
        <w:rPr>
          <w:rFonts w:ascii="Times New Roman" w:eastAsia="宋体" w:hAnsi="Times New Roman"/>
          <w:color w:val="auto"/>
          <w:sz w:val="21"/>
          <w:szCs w:val="21"/>
        </w:rPr>
        <w:t>、基金管理人在发送指令时，应为基金托管人执行指令留出执行指令时所必需的时间。</w:t>
      </w:r>
      <w:bookmarkStart w:id="8" w:name="OLE_LINK1"/>
      <w:bookmarkStart w:id="9" w:name="OLE_LINK2"/>
      <w:r>
        <w:rPr>
          <w:rFonts w:ascii="Times New Roman" w:eastAsia="宋体" w:hAnsi="Times New Roman"/>
          <w:color w:val="auto"/>
          <w:sz w:val="21"/>
          <w:szCs w:val="21"/>
        </w:rPr>
        <w:t>指令传输不及时未能留出足够的执行时间，致使指令未能及时执行所造成的损失由基金管理人承担。</w:t>
      </w:r>
      <w:bookmarkEnd w:id="8"/>
      <w:bookmarkEnd w:id="9"/>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（四）基金管理人发送错误指令的情形和处理程序</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基金管理人发送错误指令的情形主要包括：指令要素错误、无投资行为的指令、预留印鉴错误等情形。</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基金托管人发现基金管理人的指令错误时，有权拒绝执行，并及时通知基金管理人改正。对基金管理人更正并重新发送后的指令经基金托管人核对确认后方能执行。</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（五）基金托管人依照法律法规暂缓、拒绝执行指令的情形和处理程序</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基金托管人发现基金管理人的指令违反法律法规规定或者《基金合同》约定，应当不予执行，并立即书面通知基金管理人要求其变更或撤销相关指令，若基金管理人在基金托管人发出上述通知后仍未变更或撤销相关指令，基金托管人应当拒绝执行，并向中国证监会报告。</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基金管理人向基金托管人下达指令时，应确保基金的银行存款账户有足够的资金余额，确保基金的证券账户有足够的证券余额。对超头寸的指令，以及超过证券账户证券余额的指令，基金托管人可不予执行，但应立即通知基金管理人，由此造成的损失，由基金管理人承担。</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（六）基金托管人未按照基金管理人指令执行的处理方法</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基金托管人因未正确执行基金管理人合法合规的指令，致使本基金的利益受到损害，基金托管人应承担相应的责任。除此之外，基金托管人对执行基金管理人的合法合规指令对基金造成的损失不承担任何责任。</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（七）被授权人员及授权权限的变更</w:t>
      </w:r>
      <w:r>
        <w:rPr>
          <w:rFonts w:ascii="Times New Roman" w:eastAsia="宋体" w:hAnsi="Times New Roman"/>
          <w:color w:val="auto"/>
          <w:sz w:val="21"/>
          <w:szCs w:val="21"/>
        </w:rPr>
        <w:tab/>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基金管理人若对授权通知的内容进行修改（包括但不限于指令发送人员的名单的修改，及</w:t>
      </w:r>
      <w:r>
        <w:rPr>
          <w:rFonts w:ascii="Times New Roman" w:eastAsia="宋体" w:hAnsi="Times New Roman"/>
          <w:color w:val="auto"/>
          <w:sz w:val="21"/>
          <w:szCs w:val="21"/>
        </w:rPr>
        <w:t>/</w:t>
      </w:r>
      <w:r>
        <w:rPr>
          <w:rFonts w:ascii="Times New Roman" w:eastAsia="宋体" w:hAnsi="Times New Roman"/>
          <w:color w:val="auto"/>
          <w:sz w:val="21"/>
          <w:szCs w:val="21"/>
        </w:rPr>
        <w:t>或权限的修改），应当至少提前</w:t>
      </w:r>
      <w:r>
        <w:rPr>
          <w:rFonts w:ascii="Times New Roman" w:eastAsia="宋体" w:hAnsi="Times New Roman"/>
          <w:color w:val="auto"/>
          <w:sz w:val="21"/>
          <w:szCs w:val="21"/>
        </w:rPr>
        <w:t>1</w:t>
      </w:r>
      <w:r>
        <w:rPr>
          <w:rFonts w:ascii="Times New Roman" w:eastAsia="宋体" w:hAnsi="Times New Roman"/>
          <w:color w:val="auto"/>
          <w:sz w:val="21"/>
          <w:szCs w:val="21"/>
        </w:rPr>
        <w:t>个工作日通知基金托管人；修改授权通知的文件应由基金管理人加盖公章并由法定代表人或其授权签字人签署，若由授权签字人签署，还应附上法定代表人的授权书。基金管理人对授权通知的修改应当以加密传真的形式发送给基金托管人，同时电话通知基金托管人，基金托管人收到变更通知后应向基金管理人电话确认。基金管理人对授权通知的内容的修改自基金托管人电话确认后于通知载明的生效时间起生效。基金管理人在此后</w:t>
      </w:r>
      <w:r>
        <w:rPr>
          <w:rFonts w:ascii="Times New Roman" w:eastAsia="宋体" w:hAnsi="Times New Roman"/>
          <w:color w:val="auto"/>
          <w:sz w:val="21"/>
          <w:szCs w:val="21"/>
        </w:rPr>
        <w:t>3</w:t>
      </w:r>
      <w:r>
        <w:rPr>
          <w:rFonts w:ascii="Times New Roman" w:eastAsia="宋体" w:hAnsi="Times New Roman"/>
          <w:color w:val="auto"/>
          <w:sz w:val="21"/>
          <w:szCs w:val="21"/>
        </w:rPr>
        <w:t>个工作日内将对授权通知修改的文件原件送交基金托管人。</w:t>
      </w:r>
    </w:p>
    <w:p w:rsidR="00DE5199" w:rsidRDefault="00DE5199">
      <w:pPr>
        <w:pStyle w:val="a6"/>
        <w:spacing w:line="360" w:lineRule="auto"/>
        <w:ind w:firstLine="403"/>
        <w:rPr>
          <w:rFonts w:ascii="Times New Roman" w:eastAsia="宋体" w:hAnsi="Times New Roman"/>
          <w:color w:val="auto"/>
          <w:sz w:val="21"/>
          <w:szCs w:val="21"/>
        </w:rPr>
      </w:pPr>
    </w:p>
    <w:p w:rsidR="00DE5199" w:rsidRDefault="009B690D">
      <w:pPr>
        <w:pStyle w:val="1"/>
        <w:spacing w:before="0" w:after="0" w:line="360" w:lineRule="auto"/>
        <w:ind w:firstLineChars="200" w:firstLine="422"/>
        <w:rPr>
          <w:sz w:val="21"/>
          <w:szCs w:val="21"/>
        </w:rPr>
      </w:pPr>
      <w:bookmarkStart w:id="10" w:name="_Toc116900101"/>
      <w:r>
        <w:rPr>
          <w:sz w:val="21"/>
          <w:szCs w:val="21"/>
        </w:rPr>
        <w:lastRenderedPageBreak/>
        <w:t>七、交易及清算交收安排</w:t>
      </w:r>
      <w:bookmarkEnd w:id="10"/>
    </w:p>
    <w:p w:rsidR="00DE5199" w:rsidRDefault="009B690D">
      <w:pPr>
        <w:pStyle w:val="30"/>
        <w:spacing w:line="360" w:lineRule="auto"/>
        <w:ind w:left="0" w:firstLineChars="200" w:firstLine="420"/>
        <w:rPr>
          <w:rFonts w:eastAsia="宋体"/>
          <w:b/>
          <w:sz w:val="21"/>
          <w:szCs w:val="21"/>
        </w:rPr>
      </w:pPr>
      <w:r>
        <w:rPr>
          <w:rFonts w:eastAsia="宋体"/>
          <w:sz w:val="21"/>
          <w:szCs w:val="21"/>
        </w:rPr>
        <w:t>（一）基金管理人负责选择代理本基金证券买卖的证券经营机构。</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1</w:t>
      </w:r>
      <w:r>
        <w:rPr>
          <w:rFonts w:ascii="Times New Roman" w:eastAsia="宋体" w:hAnsi="Times New Roman"/>
          <w:color w:val="auto"/>
          <w:sz w:val="21"/>
          <w:szCs w:val="21"/>
        </w:rPr>
        <w:t>、选择代理证券买卖的证券经营机构的标准：</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w:t>
      </w:r>
      <w:r>
        <w:rPr>
          <w:rFonts w:ascii="Times New Roman" w:eastAsia="宋体" w:hAnsi="Times New Roman"/>
          <w:color w:val="auto"/>
          <w:sz w:val="21"/>
          <w:szCs w:val="21"/>
        </w:rPr>
        <w:t>1</w:t>
      </w:r>
      <w:r>
        <w:rPr>
          <w:rFonts w:ascii="Times New Roman" w:eastAsia="宋体" w:hAnsi="Times New Roman"/>
          <w:color w:val="auto"/>
          <w:sz w:val="21"/>
          <w:szCs w:val="21"/>
        </w:rPr>
        <w:t>）资金雄厚，信誉良好。</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w:t>
      </w:r>
      <w:r>
        <w:rPr>
          <w:rFonts w:ascii="Times New Roman" w:eastAsia="宋体" w:hAnsi="Times New Roman"/>
          <w:color w:val="auto"/>
          <w:sz w:val="21"/>
          <w:szCs w:val="21"/>
        </w:rPr>
        <w:t>2</w:t>
      </w:r>
      <w:r>
        <w:rPr>
          <w:rFonts w:ascii="Times New Roman" w:eastAsia="宋体" w:hAnsi="Times New Roman"/>
          <w:color w:val="auto"/>
          <w:sz w:val="21"/>
          <w:szCs w:val="21"/>
        </w:rPr>
        <w:t>）财务状况良好，经营行为规范，最近一年未因重大违规行为而受到有关管理机关的处罚。</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w:t>
      </w:r>
      <w:r>
        <w:rPr>
          <w:rFonts w:ascii="Times New Roman" w:eastAsia="宋体" w:hAnsi="Times New Roman"/>
          <w:color w:val="auto"/>
          <w:sz w:val="21"/>
          <w:szCs w:val="21"/>
        </w:rPr>
        <w:t>3</w:t>
      </w:r>
      <w:r>
        <w:rPr>
          <w:rFonts w:ascii="Times New Roman" w:eastAsia="宋体" w:hAnsi="Times New Roman"/>
          <w:color w:val="auto"/>
          <w:sz w:val="21"/>
          <w:szCs w:val="21"/>
        </w:rPr>
        <w:t>）内部管理规范、严格，具备健全的内控制度，并能满足本基金运作高度保密的要求。</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w:t>
      </w:r>
      <w:r>
        <w:rPr>
          <w:rFonts w:ascii="Times New Roman" w:eastAsia="宋体" w:hAnsi="Times New Roman"/>
          <w:color w:val="auto"/>
          <w:sz w:val="21"/>
          <w:szCs w:val="21"/>
        </w:rPr>
        <w:t>4</w:t>
      </w:r>
      <w:r>
        <w:rPr>
          <w:rFonts w:ascii="Times New Roman" w:eastAsia="宋体" w:hAnsi="Times New Roman"/>
          <w:color w:val="auto"/>
          <w:sz w:val="21"/>
          <w:szCs w:val="21"/>
        </w:rPr>
        <w:t>）具备基金运作所需的高效、安全的通讯条件，交易设施符合代理基金进行证券交易的需要，并能为基金提供全面的信息服务。</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w:t>
      </w:r>
      <w:r>
        <w:rPr>
          <w:rFonts w:ascii="Times New Roman" w:eastAsia="宋体" w:hAnsi="Times New Roman"/>
          <w:color w:val="auto"/>
          <w:sz w:val="21"/>
          <w:szCs w:val="21"/>
        </w:rPr>
        <w:t>5</w:t>
      </w:r>
      <w:r>
        <w:rPr>
          <w:rFonts w:ascii="Times New Roman" w:eastAsia="宋体" w:hAnsi="Times New Roman"/>
          <w:color w:val="auto"/>
          <w:sz w:val="21"/>
          <w:szCs w:val="21"/>
        </w:rPr>
        <w:t>）研究实力较强，有固定的研究机构和专门研究人员，能及时、定期、全面地为基金提供宏观经济、行业情况、市场走向、股票分析的研究报告及周到的信息服务，并能根据基金投资的特定要求，提供专题研究报告。</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2</w:t>
      </w:r>
      <w:r>
        <w:rPr>
          <w:rFonts w:ascii="Times New Roman" w:eastAsia="宋体" w:hAnsi="Times New Roman"/>
          <w:color w:val="auto"/>
          <w:sz w:val="21"/>
          <w:szCs w:val="21"/>
        </w:rPr>
        <w:t>、选择代理证券买卖的证券经营机构的程序</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基金管理人根据以上标准进行考察后确定证券经营机构的选择。基金管理人与被选择的证券经营机构签订委托协议，并按照法律法规的规定向中国证监会报告。基金管理人应将委托协议（或交易单元租用协议）的原件及时送交基金托管人。</w:t>
      </w:r>
    </w:p>
    <w:p w:rsidR="00DE5199" w:rsidRDefault="009B690D">
      <w:pPr>
        <w:pStyle w:val="a6"/>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3</w:t>
      </w:r>
      <w:r>
        <w:rPr>
          <w:rFonts w:ascii="Times New Roman" w:eastAsia="宋体" w:hAnsi="Times New Roman"/>
          <w:sz w:val="21"/>
          <w:szCs w:val="21"/>
        </w:rPr>
        <w:t>、相关信息的通知</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基金管理人应及时以书面形式通知基金托管人基金交易单元的号码、券商名称、佣金费率等基金基本信息以及变更情况，其中交易单元租用应至少在首次进行交易的</w:t>
      </w:r>
      <w:r>
        <w:rPr>
          <w:rFonts w:ascii="Times New Roman" w:eastAsia="宋体" w:hAnsi="Times New Roman"/>
          <w:color w:val="auto"/>
          <w:sz w:val="21"/>
          <w:szCs w:val="21"/>
        </w:rPr>
        <w:t>10</w:t>
      </w:r>
      <w:r>
        <w:rPr>
          <w:rFonts w:ascii="Times New Roman" w:eastAsia="宋体" w:hAnsi="Times New Roman"/>
          <w:color w:val="auto"/>
          <w:sz w:val="21"/>
          <w:szCs w:val="21"/>
        </w:rPr>
        <w:t>个工作日前通知基金托管人，交易单元退租应在次日内通知到基金托管人。</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（二）基金清算交收</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1</w:t>
      </w:r>
      <w:r>
        <w:rPr>
          <w:rFonts w:ascii="Times New Roman" w:eastAsia="宋体" w:hAnsi="Times New Roman"/>
          <w:color w:val="auto"/>
          <w:sz w:val="21"/>
          <w:szCs w:val="21"/>
        </w:rPr>
        <w:t>、因本基金投资于证券发生的所有场内、场外交易的清算交收，由基金托管人负责根据相关登记结算公司的结算规则办理。</w:t>
      </w:r>
    </w:p>
    <w:p w:rsidR="00DE5199" w:rsidRDefault="009B690D">
      <w:pPr>
        <w:pStyle w:val="a6"/>
        <w:spacing w:line="360" w:lineRule="auto"/>
        <w:ind w:firstLineChars="200" w:firstLine="420"/>
        <w:rPr>
          <w:rFonts w:ascii="Times New Roman" w:eastAsia="宋体" w:hAnsi="Times New Roman"/>
          <w:sz w:val="21"/>
          <w:szCs w:val="21"/>
        </w:rPr>
      </w:pPr>
      <w:r>
        <w:rPr>
          <w:rFonts w:ascii="Times New Roman" w:eastAsia="宋体" w:hAnsi="Times New Roman"/>
          <w:color w:val="auto"/>
          <w:sz w:val="21"/>
          <w:szCs w:val="21"/>
        </w:rPr>
        <w:t>2</w:t>
      </w:r>
      <w:r>
        <w:rPr>
          <w:rFonts w:ascii="Times New Roman" w:eastAsia="宋体" w:hAnsi="Times New Roman"/>
          <w:color w:val="auto"/>
          <w:sz w:val="21"/>
          <w:szCs w:val="21"/>
        </w:rPr>
        <w:t>、由于基金管理人或基金托管人原因导致基金资金透支、超买或超卖等情形的，由责任方承担相应的责任。基金管理人同意在发生以上情形时，</w:t>
      </w:r>
      <w:r>
        <w:rPr>
          <w:rFonts w:ascii="Times New Roman" w:eastAsia="宋体" w:hAnsi="Times New Roman"/>
          <w:sz w:val="21"/>
          <w:szCs w:val="21"/>
        </w:rPr>
        <w:t>基金托管人应按照中国证券登记结算有限责任公司的有关规定办理。</w:t>
      </w:r>
    </w:p>
    <w:p w:rsidR="00DE5199" w:rsidRDefault="009B690D">
      <w:pPr>
        <w:pStyle w:val="a6"/>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3</w:t>
      </w:r>
      <w:r>
        <w:rPr>
          <w:rFonts w:ascii="Times New Roman" w:eastAsia="宋体" w:hAnsi="Times New Roman"/>
          <w:sz w:val="21"/>
          <w:szCs w:val="21"/>
        </w:rPr>
        <w:t>、</w:t>
      </w:r>
      <w:r>
        <w:rPr>
          <w:rFonts w:ascii="Times New Roman" w:eastAsia="宋体" w:hAnsi="Times New Roman"/>
          <w:color w:val="auto"/>
          <w:sz w:val="21"/>
          <w:szCs w:val="21"/>
        </w:rPr>
        <w:t>由于基金管理人或基金托管人原因导致</w:t>
      </w:r>
      <w:r>
        <w:rPr>
          <w:rFonts w:ascii="Times New Roman" w:eastAsia="宋体" w:hAnsi="Times New Roman"/>
          <w:sz w:val="21"/>
          <w:szCs w:val="21"/>
        </w:rPr>
        <w:t>基金无法按时支付清算款时，责任方应对由此给基金财产造成的损失承担相应的赔偿责任。</w:t>
      </w:r>
    </w:p>
    <w:p w:rsidR="00DE5199" w:rsidRDefault="009B690D">
      <w:pPr>
        <w:pStyle w:val="a6"/>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4</w:t>
      </w:r>
      <w:r>
        <w:rPr>
          <w:rFonts w:ascii="Times New Roman" w:eastAsia="宋体" w:hAnsi="Times New Roman"/>
          <w:sz w:val="21"/>
          <w:szCs w:val="21"/>
        </w:rPr>
        <w:t>、基金管理人应保证在交收日（</w:t>
      </w:r>
      <w:r>
        <w:rPr>
          <w:rFonts w:ascii="Times New Roman" w:eastAsia="宋体" w:hAnsi="Times New Roman"/>
          <w:sz w:val="21"/>
          <w:szCs w:val="21"/>
        </w:rPr>
        <w:t>T+1</w:t>
      </w:r>
      <w:r>
        <w:rPr>
          <w:rFonts w:ascii="Times New Roman" w:eastAsia="宋体" w:hAnsi="Times New Roman"/>
          <w:sz w:val="21"/>
          <w:szCs w:val="21"/>
        </w:rPr>
        <w:t>日）</w:t>
      </w:r>
      <w:r>
        <w:rPr>
          <w:rFonts w:ascii="Times New Roman" w:eastAsia="宋体" w:hAnsi="Times New Roman"/>
          <w:sz w:val="21"/>
          <w:szCs w:val="21"/>
        </w:rPr>
        <w:t>10</w:t>
      </w:r>
      <w:r>
        <w:rPr>
          <w:rFonts w:ascii="Times New Roman" w:eastAsia="宋体" w:hAnsi="Times New Roman"/>
          <w:sz w:val="21"/>
          <w:szCs w:val="21"/>
        </w:rPr>
        <w:t>：</w:t>
      </w:r>
      <w:r>
        <w:rPr>
          <w:rFonts w:ascii="Times New Roman" w:eastAsia="宋体" w:hAnsi="Times New Roman"/>
          <w:sz w:val="21"/>
          <w:szCs w:val="21"/>
        </w:rPr>
        <w:t>00</w:t>
      </w:r>
      <w:r>
        <w:rPr>
          <w:rFonts w:ascii="Times New Roman" w:eastAsia="宋体" w:hAnsi="Times New Roman"/>
          <w:sz w:val="21"/>
          <w:szCs w:val="21"/>
        </w:rPr>
        <w:t>前基金银行账户有足够的资金用于交</w:t>
      </w:r>
      <w:r>
        <w:rPr>
          <w:rFonts w:ascii="Times New Roman" w:eastAsia="宋体" w:hAnsi="Times New Roman"/>
          <w:sz w:val="21"/>
          <w:szCs w:val="21"/>
        </w:rPr>
        <w:lastRenderedPageBreak/>
        <w:t>易所的证券交易资金清算，如基金的资金头寸不足则基金托管人应按照中国证券登记结算有限责任公司的有关规定办理。</w:t>
      </w:r>
    </w:p>
    <w:p w:rsidR="00DE5199" w:rsidRDefault="009B690D">
      <w:pPr>
        <w:pStyle w:val="a6"/>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5</w:t>
      </w:r>
      <w:r>
        <w:rPr>
          <w:rFonts w:ascii="Times New Roman" w:eastAsia="宋体" w:hAnsi="Times New Roman"/>
          <w:sz w:val="21"/>
          <w:szCs w:val="21"/>
        </w:rPr>
        <w:t>、基金管理人应保证基金托管人在执行基金管理人发送的划款指令时，基金银行账户或资金交收账户上有充足的资金。基金的资金头寸不足时，基金托管人有权拒绝基金管理人发送的划款指令，由此造成的损失，由基金管理人负责赔偿。基金管理人在发送划款指令时应充分考虑基金托管人的划款处理时间。对于要求当天到帐的指令，应在当天</w:t>
      </w:r>
      <w:r>
        <w:rPr>
          <w:rFonts w:ascii="Times New Roman" w:eastAsia="宋体" w:hAnsi="Times New Roman"/>
          <w:sz w:val="21"/>
          <w:szCs w:val="21"/>
        </w:rPr>
        <w:t>15</w:t>
      </w:r>
      <w:r>
        <w:rPr>
          <w:rFonts w:ascii="Times New Roman" w:eastAsia="宋体" w:hAnsi="Times New Roman"/>
          <w:sz w:val="21"/>
          <w:szCs w:val="21"/>
        </w:rPr>
        <w:t>：</w:t>
      </w:r>
      <w:r>
        <w:rPr>
          <w:rFonts w:ascii="Times New Roman" w:eastAsia="宋体" w:hAnsi="Times New Roman"/>
          <w:sz w:val="21"/>
          <w:szCs w:val="21"/>
        </w:rPr>
        <w:t>00</w:t>
      </w:r>
      <w:r>
        <w:rPr>
          <w:rFonts w:ascii="Times New Roman" w:eastAsia="宋体" w:hAnsi="Times New Roman"/>
          <w:sz w:val="21"/>
          <w:szCs w:val="21"/>
        </w:rPr>
        <w:t>前发送；对于要求当天某一时点到账，则指令需提前</w:t>
      </w:r>
      <w:r>
        <w:rPr>
          <w:rFonts w:ascii="Times New Roman" w:eastAsia="宋体" w:hAnsi="Times New Roman"/>
          <w:sz w:val="21"/>
          <w:szCs w:val="21"/>
        </w:rPr>
        <w:t>2</w:t>
      </w:r>
      <w:r>
        <w:rPr>
          <w:rFonts w:ascii="Times New Roman" w:eastAsia="宋体" w:hAnsi="Times New Roman"/>
          <w:sz w:val="21"/>
          <w:szCs w:val="21"/>
        </w:rPr>
        <w:t>个工作小时发送，并相关付款条件已经具备。对于新股申购网下公开发行业务，基金管理人应在网下申购缴款日（</w:t>
      </w:r>
      <w:r>
        <w:rPr>
          <w:rFonts w:ascii="Times New Roman" w:eastAsia="宋体" w:hAnsi="Times New Roman"/>
          <w:sz w:val="21"/>
          <w:szCs w:val="21"/>
        </w:rPr>
        <w:t>T</w:t>
      </w:r>
      <w:r>
        <w:rPr>
          <w:rFonts w:ascii="Times New Roman" w:eastAsia="宋体" w:hAnsi="Times New Roman"/>
          <w:sz w:val="21"/>
          <w:szCs w:val="21"/>
        </w:rPr>
        <w:t>日）的前一日下班前将新股申购指令发送给托管人，指令发送时间最迟不应晚于</w:t>
      </w:r>
      <w:r>
        <w:rPr>
          <w:rFonts w:ascii="Times New Roman" w:eastAsia="宋体" w:hAnsi="Times New Roman"/>
          <w:sz w:val="21"/>
          <w:szCs w:val="21"/>
        </w:rPr>
        <w:t>T</w:t>
      </w:r>
      <w:r>
        <w:rPr>
          <w:rFonts w:ascii="Times New Roman" w:eastAsia="宋体" w:hAnsi="Times New Roman"/>
          <w:sz w:val="21"/>
          <w:szCs w:val="21"/>
        </w:rPr>
        <w:t>日上午</w:t>
      </w:r>
      <w:r>
        <w:rPr>
          <w:rFonts w:ascii="Times New Roman" w:eastAsia="宋体" w:hAnsi="Times New Roman"/>
          <w:sz w:val="21"/>
          <w:szCs w:val="21"/>
        </w:rPr>
        <w:t>10</w:t>
      </w:r>
      <w:r>
        <w:rPr>
          <w:rFonts w:ascii="Times New Roman" w:eastAsia="宋体" w:hAnsi="Times New Roman"/>
          <w:sz w:val="21"/>
          <w:szCs w:val="21"/>
        </w:rPr>
        <w:t>：</w:t>
      </w:r>
      <w:r>
        <w:rPr>
          <w:rFonts w:ascii="Times New Roman" w:eastAsia="宋体" w:hAnsi="Times New Roman"/>
          <w:sz w:val="21"/>
          <w:szCs w:val="21"/>
        </w:rPr>
        <w:t>00</w:t>
      </w:r>
      <w:r>
        <w:rPr>
          <w:rFonts w:ascii="Times New Roman" w:eastAsia="宋体" w:hAnsi="Times New Roman"/>
          <w:sz w:val="21"/>
          <w:szCs w:val="21"/>
        </w:rPr>
        <w:t>时。</w:t>
      </w:r>
    </w:p>
    <w:p w:rsidR="00DE5199" w:rsidRDefault="009B690D">
      <w:pPr>
        <w:pStyle w:val="a6"/>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对上海证券交易所认购权证行权交易，基金管理人应于行权日</w:t>
      </w:r>
      <w:r>
        <w:rPr>
          <w:rFonts w:ascii="Times New Roman" w:eastAsia="宋体" w:hAnsi="Times New Roman"/>
          <w:sz w:val="21"/>
          <w:szCs w:val="21"/>
        </w:rPr>
        <w:t>15</w:t>
      </w:r>
      <w:r>
        <w:rPr>
          <w:rFonts w:ascii="Times New Roman" w:eastAsia="宋体" w:hAnsi="Times New Roman"/>
          <w:sz w:val="21"/>
          <w:szCs w:val="21"/>
        </w:rPr>
        <w:t>：</w:t>
      </w:r>
      <w:r>
        <w:rPr>
          <w:rFonts w:ascii="Times New Roman" w:eastAsia="宋体" w:hAnsi="Times New Roman"/>
          <w:sz w:val="21"/>
          <w:szCs w:val="21"/>
        </w:rPr>
        <w:t>00</w:t>
      </w:r>
      <w:r>
        <w:rPr>
          <w:rFonts w:ascii="Times New Roman" w:eastAsia="宋体" w:hAnsi="Times New Roman"/>
          <w:sz w:val="21"/>
          <w:szCs w:val="21"/>
        </w:rPr>
        <w:t>前将需要交付的行权金额及费用书面通知托管人，托管人在</w:t>
      </w:r>
      <w:r>
        <w:rPr>
          <w:rFonts w:ascii="Times New Roman" w:eastAsia="宋体" w:hAnsi="Times New Roman"/>
          <w:sz w:val="21"/>
          <w:szCs w:val="21"/>
        </w:rPr>
        <w:t>16</w:t>
      </w:r>
      <w:r>
        <w:rPr>
          <w:rFonts w:ascii="Times New Roman" w:eastAsia="宋体" w:hAnsi="Times New Roman"/>
          <w:sz w:val="21"/>
          <w:szCs w:val="21"/>
        </w:rPr>
        <w:t>：</w:t>
      </w:r>
      <w:r>
        <w:rPr>
          <w:rFonts w:ascii="Times New Roman" w:eastAsia="宋体" w:hAnsi="Times New Roman"/>
          <w:sz w:val="21"/>
          <w:szCs w:val="21"/>
        </w:rPr>
        <w:t>00</w:t>
      </w:r>
      <w:r>
        <w:rPr>
          <w:rFonts w:ascii="Times New Roman" w:eastAsia="宋体" w:hAnsi="Times New Roman"/>
          <w:sz w:val="21"/>
          <w:szCs w:val="21"/>
        </w:rPr>
        <w:t>前支付至登记结算公司指定账户。</w:t>
      </w:r>
    </w:p>
    <w:p w:rsidR="00DE5199" w:rsidRDefault="009B690D">
      <w:pPr>
        <w:pStyle w:val="a6"/>
        <w:spacing w:line="360" w:lineRule="auto"/>
        <w:ind w:firstLineChars="200" w:firstLine="420"/>
        <w:rPr>
          <w:rFonts w:ascii="Times New Roman" w:hAnsi="Times New Roman"/>
          <w:szCs w:val="21"/>
        </w:rPr>
      </w:pPr>
      <w:r>
        <w:rPr>
          <w:rFonts w:ascii="Times New Roman" w:eastAsia="宋体" w:hAnsi="Times New Roman"/>
          <w:sz w:val="21"/>
          <w:szCs w:val="21"/>
        </w:rPr>
        <w:t>对于中国证券登记结算有限责任公司实行</w:t>
      </w:r>
      <w:r>
        <w:rPr>
          <w:rFonts w:ascii="Times New Roman" w:eastAsia="宋体" w:hAnsi="Times New Roman"/>
          <w:sz w:val="21"/>
          <w:szCs w:val="21"/>
        </w:rPr>
        <w:t>T+0</w:t>
      </w:r>
      <w:r>
        <w:rPr>
          <w:rFonts w:ascii="Times New Roman" w:eastAsia="宋体" w:hAnsi="Times New Roman"/>
          <w:sz w:val="21"/>
          <w:szCs w:val="21"/>
        </w:rPr>
        <w:t>非担保交收的业务，资产管理人应在交易日</w:t>
      </w:r>
      <w:r>
        <w:rPr>
          <w:rFonts w:ascii="Times New Roman" w:eastAsia="宋体" w:hAnsi="Times New Roman"/>
          <w:sz w:val="21"/>
          <w:szCs w:val="21"/>
        </w:rPr>
        <w:t>14</w:t>
      </w:r>
      <w:r>
        <w:rPr>
          <w:rFonts w:ascii="Times New Roman" w:eastAsia="宋体" w:hAnsi="Times New Roman"/>
          <w:sz w:val="21"/>
          <w:szCs w:val="21"/>
        </w:rPr>
        <w:t>：</w:t>
      </w:r>
      <w:r>
        <w:rPr>
          <w:rFonts w:ascii="Times New Roman" w:eastAsia="宋体" w:hAnsi="Times New Roman"/>
          <w:sz w:val="21"/>
          <w:szCs w:val="21"/>
        </w:rPr>
        <w:t>00</w:t>
      </w:r>
      <w:r>
        <w:rPr>
          <w:rFonts w:ascii="Times New Roman" w:eastAsia="宋体" w:hAnsi="Times New Roman"/>
          <w:sz w:val="21"/>
          <w:szCs w:val="21"/>
        </w:rPr>
        <w:t>将划款指令发送至托管人。</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sz w:val="21"/>
          <w:szCs w:val="21"/>
        </w:rPr>
        <w:t>因资产管理人指令传输不及时，致使资金未能及时划入中登公司所造成的损失由资产管理人承担，包括赔偿在深圳市场引起其他托管客户交易失败、赔偿因占用中登深圳公司最低备付金带来的利息损失。在基金资金头寸充足的情况下，基金托管人对基金管理人符合法律法规、《基金合同》、本协议的指令不得不合理拖延或拒绝执行。</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（三）资金、证券账目和交易记录核对</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基金管理人和基金托管人应对本基金的资金、证券账目及交易记录进行核对。</w:t>
      </w:r>
    </w:p>
    <w:p w:rsidR="00DE5199" w:rsidRDefault="009B690D">
      <w:pPr>
        <w:pStyle w:val="30"/>
        <w:spacing w:line="360" w:lineRule="auto"/>
        <w:ind w:left="0" w:firstLineChars="200" w:firstLine="420"/>
        <w:rPr>
          <w:rFonts w:eastAsia="宋体"/>
          <w:sz w:val="21"/>
          <w:szCs w:val="21"/>
        </w:rPr>
      </w:pPr>
      <w:r>
        <w:rPr>
          <w:rFonts w:eastAsia="宋体"/>
          <w:sz w:val="21"/>
          <w:szCs w:val="21"/>
        </w:rPr>
        <w:t>（四）申购、赎回和基金转换的资金清算</w:t>
      </w:r>
    </w:p>
    <w:p w:rsidR="00DE5199" w:rsidRDefault="009B690D">
      <w:pPr>
        <w:pStyle w:val="30"/>
        <w:spacing w:line="360" w:lineRule="auto"/>
        <w:ind w:left="0" w:firstLineChars="200" w:firstLine="420"/>
        <w:rPr>
          <w:rFonts w:eastAsia="宋体"/>
          <w:color w:val="000000"/>
          <w:sz w:val="21"/>
          <w:szCs w:val="21"/>
        </w:rPr>
      </w:pPr>
      <w:r>
        <w:rPr>
          <w:rFonts w:eastAsia="宋体"/>
          <w:color w:val="000000"/>
          <w:sz w:val="21"/>
          <w:szCs w:val="21"/>
        </w:rPr>
        <w:t>1</w:t>
      </w:r>
      <w:r>
        <w:rPr>
          <w:rFonts w:eastAsia="宋体"/>
          <w:color w:val="000000"/>
          <w:sz w:val="21"/>
          <w:szCs w:val="21"/>
        </w:rPr>
        <w:t>、</w:t>
      </w:r>
      <w:r>
        <w:rPr>
          <w:rFonts w:eastAsia="宋体"/>
          <w:color w:val="000000"/>
          <w:sz w:val="21"/>
          <w:szCs w:val="21"/>
        </w:rPr>
        <w:t>T</w:t>
      </w:r>
      <w:r>
        <w:rPr>
          <w:rFonts w:eastAsia="宋体"/>
          <w:color w:val="000000"/>
          <w:sz w:val="21"/>
          <w:szCs w:val="21"/>
        </w:rPr>
        <w:t>日，投资者进行基金申购、赎回和转换申请，基金管理人和基金托管人分别计算基金资产净值，并进行核对；基金管理人将双方盖章确认的或基金管理人决定采用的基金份额净值以基金份额净值公告的形式传真至相关信息披露媒介。</w:t>
      </w:r>
    </w:p>
    <w:p w:rsidR="00DE5199" w:rsidRDefault="009B690D">
      <w:pPr>
        <w:pStyle w:val="30"/>
        <w:spacing w:line="360" w:lineRule="auto"/>
        <w:ind w:left="0" w:firstLineChars="200" w:firstLine="420"/>
        <w:rPr>
          <w:rFonts w:eastAsia="宋体"/>
          <w:color w:val="000000"/>
          <w:sz w:val="21"/>
          <w:szCs w:val="21"/>
        </w:rPr>
      </w:pPr>
      <w:r>
        <w:rPr>
          <w:rFonts w:eastAsia="宋体"/>
          <w:color w:val="000000"/>
          <w:sz w:val="21"/>
          <w:szCs w:val="21"/>
        </w:rPr>
        <w:t>2</w:t>
      </w:r>
      <w:r>
        <w:rPr>
          <w:rFonts w:eastAsia="宋体"/>
          <w:color w:val="000000"/>
          <w:sz w:val="21"/>
          <w:szCs w:val="21"/>
        </w:rPr>
        <w:t>、</w:t>
      </w:r>
      <w:r>
        <w:rPr>
          <w:rFonts w:eastAsia="宋体"/>
          <w:color w:val="000000"/>
          <w:sz w:val="21"/>
          <w:szCs w:val="21"/>
        </w:rPr>
        <w:t>T+1</w:t>
      </w:r>
      <w:r>
        <w:rPr>
          <w:rFonts w:eastAsia="宋体"/>
          <w:color w:val="000000"/>
          <w:sz w:val="21"/>
          <w:szCs w:val="21"/>
        </w:rPr>
        <w:t>日，</w:t>
      </w:r>
      <w:r>
        <w:rPr>
          <w:rFonts w:eastAsia="宋体"/>
          <w:color w:val="000000"/>
          <w:sz w:val="21"/>
          <w:szCs w:val="21"/>
        </w:rPr>
        <w:t xml:space="preserve"> </w:t>
      </w:r>
      <w:r>
        <w:rPr>
          <w:rFonts w:eastAsia="宋体"/>
          <w:color w:val="000000"/>
          <w:sz w:val="21"/>
          <w:szCs w:val="21"/>
        </w:rPr>
        <w:t>注册登记机构根据</w:t>
      </w:r>
      <w:r>
        <w:rPr>
          <w:rFonts w:eastAsia="宋体"/>
          <w:color w:val="000000"/>
          <w:sz w:val="21"/>
          <w:szCs w:val="21"/>
        </w:rPr>
        <w:t>T</w:t>
      </w:r>
      <w:r>
        <w:rPr>
          <w:rFonts w:eastAsia="宋体"/>
          <w:color w:val="000000"/>
          <w:sz w:val="21"/>
          <w:szCs w:val="21"/>
        </w:rPr>
        <w:t>日基金份额净值计算申购份额、赎回金额及转换份额，更新基金份额持有人数据库；并将确认的申购、赎回及转换数据向基金托管人、基金管理人传送。基金管理人、基金托管人根据确认数据进行账务处理。</w:t>
      </w:r>
    </w:p>
    <w:p w:rsidR="00DE5199" w:rsidRDefault="009B690D">
      <w:pPr>
        <w:pStyle w:val="30"/>
        <w:spacing w:line="360" w:lineRule="auto"/>
        <w:ind w:left="0" w:firstLineChars="200" w:firstLine="420"/>
        <w:rPr>
          <w:color w:val="000000"/>
          <w:sz w:val="21"/>
          <w:szCs w:val="21"/>
        </w:rPr>
      </w:pPr>
      <w:r>
        <w:rPr>
          <w:rFonts w:eastAsia="宋体"/>
          <w:color w:val="000000"/>
          <w:sz w:val="21"/>
          <w:szCs w:val="21"/>
        </w:rPr>
        <w:t>3</w:t>
      </w:r>
      <w:r>
        <w:rPr>
          <w:rFonts w:eastAsia="宋体"/>
          <w:color w:val="000000"/>
          <w:sz w:val="21"/>
          <w:szCs w:val="21"/>
        </w:rPr>
        <w:t>、基金托管账户与</w:t>
      </w:r>
      <w:r>
        <w:rPr>
          <w:rFonts w:eastAsia="宋体"/>
          <w:color w:val="000000"/>
          <w:sz w:val="21"/>
          <w:szCs w:val="21"/>
        </w:rPr>
        <w:t>“</w:t>
      </w:r>
      <w:r>
        <w:rPr>
          <w:rFonts w:eastAsia="宋体"/>
          <w:color w:val="000000"/>
          <w:sz w:val="21"/>
          <w:szCs w:val="21"/>
        </w:rPr>
        <w:t>基金清算账户</w:t>
      </w:r>
      <w:r>
        <w:rPr>
          <w:rFonts w:eastAsia="宋体"/>
          <w:color w:val="000000"/>
          <w:sz w:val="21"/>
          <w:szCs w:val="21"/>
        </w:rPr>
        <w:t>”</w:t>
      </w:r>
      <w:r>
        <w:rPr>
          <w:rFonts w:eastAsia="宋体"/>
          <w:color w:val="000000"/>
          <w:sz w:val="21"/>
          <w:szCs w:val="21"/>
        </w:rPr>
        <w:t>间实行轧差交收的结算方式，</w:t>
      </w:r>
      <w:r>
        <w:rPr>
          <w:rFonts w:eastAsia="宋体"/>
          <w:color w:val="000000"/>
          <w:sz w:val="21"/>
          <w:szCs w:val="21"/>
        </w:rPr>
        <w:t>T</w:t>
      </w:r>
      <w:r>
        <w:rPr>
          <w:rFonts w:eastAsia="宋体"/>
          <w:color w:val="000000"/>
          <w:sz w:val="21"/>
          <w:szCs w:val="21"/>
        </w:rPr>
        <w:t>日基金申购款交收日为</w:t>
      </w:r>
      <w:r>
        <w:rPr>
          <w:rFonts w:eastAsia="宋体"/>
          <w:color w:val="000000"/>
          <w:sz w:val="21"/>
          <w:szCs w:val="21"/>
        </w:rPr>
        <w:t>T+2</w:t>
      </w:r>
      <w:r>
        <w:rPr>
          <w:rFonts w:eastAsia="宋体"/>
          <w:color w:val="000000"/>
          <w:sz w:val="21"/>
          <w:szCs w:val="21"/>
        </w:rPr>
        <w:t>日，赎回款交收日为</w:t>
      </w:r>
      <w:r>
        <w:rPr>
          <w:rFonts w:eastAsia="宋体"/>
          <w:color w:val="000000"/>
          <w:sz w:val="21"/>
          <w:szCs w:val="21"/>
        </w:rPr>
        <w:t>T+3</w:t>
      </w:r>
      <w:r>
        <w:rPr>
          <w:rFonts w:eastAsia="宋体"/>
          <w:color w:val="000000"/>
          <w:sz w:val="21"/>
          <w:szCs w:val="21"/>
        </w:rPr>
        <w:t>日，基金转换款交收日为</w:t>
      </w:r>
      <w:r>
        <w:rPr>
          <w:rFonts w:eastAsia="宋体"/>
          <w:color w:val="000000"/>
          <w:sz w:val="21"/>
          <w:szCs w:val="21"/>
        </w:rPr>
        <w:t>T+3</w:t>
      </w:r>
      <w:r>
        <w:rPr>
          <w:rFonts w:eastAsia="宋体"/>
          <w:color w:val="000000"/>
          <w:sz w:val="21"/>
          <w:szCs w:val="21"/>
        </w:rPr>
        <w:t>日。</w:t>
      </w:r>
    </w:p>
    <w:p w:rsidR="00DE5199" w:rsidRDefault="009B690D">
      <w:pPr>
        <w:pStyle w:val="30"/>
        <w:spacing w:line="360" w:lineRule="auto"/>
        <w:ind w:left="0" w:firstLineChars="200" w:firstLine="420"/>
        <w:rPr>
          <w:rFonts w:eastAsia="宋体"/>
          <w:color w:val="000000"/>
          <w:sz w:val="21"/>
          <w:szCs w:val="21"/>
        </w:rPr>
      </w:pPr>
      <w:r>
        <w:rPr>
          <w:rFonts w:eastAsia="宋体"/>
          <w:color w:val="000000"/>
          <w:sz w:val="21"/>
          <w:szCs w:val="21"/>
        </w:rPr>
        <w:t>4</w:t>
      </w:r>
      <w:r>
        <w:rPr>
          <w:rFonts w:eastAsia="宋体"/>
          <w:color w:val="000000"/>
          <w:sz w:val="21"/>
          <w:szCs w:val="21"/>
        </w:rPr>
        <w:t>、基金托管账户与</w:t>
      </w:r>
      <w:r>
        <w:rPr>
          <w:rFonts w:eastAsia="宋体"/>
          <w:color w:val="000000"/>
          <w:sz w:val="21"/>
          <w:szCs w:val="21"/>
        </w:rPr>
        <w:t>“</w:t>
      </w:r>
      <w:r>
        <w:rPr>
          <w:rFonts w:eastAsia="宋体"/>
          <w:color w:val="000000"/>
          <w:sz w:val="21"/>
          <w:szCs w:val="21"/>
        </w:rPr>
        <w:t>基金清算账户</w:t>
      </w:r>
      <w:r>
        <w:rPr>
          <w:rFonts w:eastAsia="宋体"/>
          <w:color w:val="000000"/>
          <w:sz w:val="21"/>
          <w:szCs w:val="21"/>
        </w:rPr>
        <w:t>”</w:t>
      </w:r>
      <w:r>
        <w:rPr>
          <w:rFonts w:eastAsia="宋体"/>
          <w:color w:val="000000"/>
          <w:sz w:val="21"/>
          <w:szCs w:val="21"/>
        </w:rPr>
        <w:t>间的资金清算遵循</w:t>
      </w:r>
      <w:r>
        <w:rPr>
          <w:rFonts w:eastAsia="宋体"/>
          <w:color w:val="000000"/>
          <w:sz w:val="21"/>
          <w:szCs w:val="21"/>
        </w:rPr>
        <w:t>“</w:t>
      </w:r>
      <w:r>
        <w:rPr>
          <w:rFonts w:eastAsia="宋体"/>
          <w:color w:val="000000"/>
          <w:sz w:val="21"/>
          <w:szCs w:val="21"/>
        </w:rPr>
        <w:t>净额清算、净额交收</w:t>
      </w:r>
      <w:r>
        <w:rPr>
          <w:rFonts w:eastAsia="宋体"/>
          <w:color w:val="000000"/>
          <w:sz w:val="21"/>
          <w:szCs w:val="21"/>
        </w:rPr>
        <w:t>”</w:t>
      </w:r>
      <w:r>
        <w:rPr>
          <w:rFonts w:eastAsia="宋体"/>
          <w:color w:val="000000"/>
          <w:sz w:val="21"/>
          <w:szCs w:val="21"/>
        </w:rPr>
        <w:t>的原则，即按照托管账户当日应收资金（包括申购资金及基金转换转入款）与托管账户应付额（含赎</w:t>
      </w:r>
      <w:r>
        <w:rPr>
          <w:rFonts w:eastAsia="宋体"/>
          <w:color w:val="000000"/>
          <w:sz w:val="21"/>
          <w:szCs w:val="21"/>
        </w:rPr>
        <w:lastRenderedPageBreak/>
        <w:t>回资金、赎回费、基金转换转出款及转换费）的差额来确定托管账户净应收额或净应付额，以此确定资金交收额。当存在托管账户净应收额时，基金管理人负责将托管账户净应收额在</w:t>
      </w:r>
      <w:r>
        <w:rPr>
          <w:rFonts w:eastAsia="宋体"/>
          <w:color w:val="000000"/>
          <w:sz w:val="21"/>
          <w:szCs w:val="21"/>
        </w:rPr>
        <w:t>16</w:t>
      </w:r>
      <w:r>
        <w:rPr>
          <w:rFonts w:eastAsia="宋体"/>
          <w:color w:val="000000"/>
          <w:sz w:val="21"/>
          <w:szCs w:val="21"/>
        </w:rPr>
        <w:t>：</w:t>
      </w:r>
      <w:r>
        <w:rPr>
          <w:rFonts w:eastAsia="宋体"/>
          <w:color w:val="000000"/>
          <w:sz w:val="21"/>
          <w:szCs w:val="21"/>
        </w:rPr>
        <w:t>00</w:t>
      </w:r>
      <w:r>
        <w:rPr>
          <w:rFonts w:eastAsia="宋体"/>
          <w:color w:val="000000"/>
          <w:sz w:val="21"/>
          <w:szCs w:val="21"/>
        </w:rPr>
        <w:t>前从</w:t>
      </w:r>
      <w:r>
        <w:rPr>
          <w:rFonts w:eastAsia="宋体"/>
          <w:color w:val="000000"/>
          <w:sz w:val="21"/>
          <w:szCs w:val="21"/>
        </w:rPr>
        <w:t>“</w:t>
      </w:r>
      <w:r>
        <w:rPr>
          <w:rFonts w:eastAsia="宋体"/>
          <w:color w:val="000000"/>
          <w:sz w:val="21"/>
          <w:szCs w:val="21"/>
        </w:rPr>
        <w:t>基金清算账户</w:t>
      </w:r>
      <w:r>
        <w:rPr>
          <w:rFonts w:eastAsia="宋体"/>
          <w:color w:val="000000"/>
          <w:sz w:val="21"/>
          <w:szCs w:val="21"/>
        </w:rPr>
        <w:t>”</w:t>
      </w:r>
      <w:r>
        <w:rPr>
          <w:rFonts w:eastAsia="宋体"/>
          <w:color w:val="000000"/>
          <w:sz w:val="21"/>
          <w:szCs w:val="21"/>
        </w:rPr>
        <w:t>划到基金托管账户；当存在托管账户净应付额时，基金托管行按管理人的划款指令将托管账户净应付额在</w:t>
      </w:r>
      <w:r>
        <w:rPr>
          <w:rFonts w:eastAsia="宋体"/>
          <w:color w:val="000000"/>
          <w:sz w:val="21"/>
          <w:szCs w:val="21"/>
        </w:rPr>
        <w:t>12</w:t>
      </w:r>
      <w:r>
        <w:rPr>
          <w:rFonts w:eastAsia="宋体"/>
          <w:color w:val="000000"/>
          <w:sz w:val="21"/>
          <w:szCs w:val="21"/>
        </w:rPr>
        <w:t>：</w:t>
      </w:r>
      <w:r>
        <w:rPr>
          <w:rFonts w:eastAsia="宋体"/>
          <w:color w:val="000000"/>
          <w:sz w:val="21"/>
          <w:szCs w:val="21"/>
        </w:rPr>
        <w:t>00</w:t>
      </w:r>
      <w:r>
        <w:rPr>
          <w:rFonts w:eastAsia="宋体"/>
          <w:color w:val="000000"/>
          <w:sz w:val="21"/>
          <w:szCs w:val="21"/>
        </w:rPr>
        <w:t>前划到</w:t>
      </w:r>
      <w:r>
        <w:rPr>
          <w:rFonts w:eastAsia="宋体"/>
          <w:color w:val="000000"/>
          <w:sz w:val="21"/>
          <w:szCs w:val="21"/>
        </w:rPr>
        <w:t>“</w:t>
      </w:r>
      <w:r>
        <w:rPr>
          <w:rFonts w:eastAsia="宋体"/>
          <w:color w:val="000000"/>
          <w:sz w:val="21"/>
          <w:szCs w:val="21"/>
        </w:rPr>
        <w:t>基金清算账户</w:t>
      </w:r>
      <w:r>
        <w:rPr>
          <w:rFonts w:eastAsia="宋体"/>
          <w:color w:val="000000"/>
          <w:sz w:val="21"/>
          <w:szCs w:val="21"/>
        </w:rPr>
        <w:t>”</w:t>
      </w:r>
      <w:r>
        <w:rPr>
          <w:rFonts w:eastAsia="宋体"/>
          <w:color w:val="000000"/>
          <w:sz w:val="21"/>
          <w:szCs w:val="21"/>
        </w:rPr>
        <w:t>。</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sz w:val="21"/>
          <w:szCs w:val="21"/>
        </w:rPr>
        <w:t>5</w:t>
      </w:r>
      <w:r>
        <w:rPr>
          <w:rFonts w:ascii="Times New Roman" w:eastAsia="宋体" w:hAnsi="Times New Roman"/>
          <w:sz w:val="21"/>
          <w:szCs w:val="21"/>
        </w:rPr>
        <w:t>、</w:t>
      </w:r>
      <w:r>
        <w:rPr>
          <w:rFonts w:ascii="Times New Roman" w:eastAsia="宋体" w:hAnsi="Times New Roman"/>
          <w:color w:val="auto"/>
          <w:sz w:val="21"/>
          <w:szCs w:val="21"/>
        </w:rPr>
        <w:t>基金管理人未能按上款约定将托管账户净应收额全额、及时汇至基金托管账户，由此产生的责任应由该基金管理人承担；基金托管人未能按上款约定将托管账户净应付额全额、及时汇至</w:t>
      </w:r>
      <w:r>
        <w:rPr>
          <w:rFonts w:ascii="Times New Roman" w:eastAsia="宋体" w:hAnsi="Times New Roman"/>
          <w:color w:val="auto"/>
          <w:sz w:val="21"/>
          <w:szCs w:val="21"/>
        </w:rPr>
        <w:t>“</w:t>
      </w:r>
      <w:r>
        <w:rPr>
          <w:rFonts w:ascii="Times New Roman" w:eastAsia="宋体" w:hAnsi="Times New Roman"/>
          <w:color w:val="auto"/>
          <w:sz w:val="21"/>
          <w:szCs w:val="21"/>
        </w:rPr>
        <w:t>基金清算账户</w:t>
      </w:r>
      <w:r>
        <w:rPr>
          <w:rFonts w:ascii="Times New Roman" w:eastAsia="宋体" w:hAnsi="Times New Roman"/>
          <w:color w:val="auto"/>
          <w:sz w:val="21"/>
          <w:szCs w:val="21"/>
        </w:rPr>
        <w:t>”</w:t>
      </w:r>
      <w:r>
        <w:rPr>
          <w:rFonts w:ascii="Times New Roman" w:eastAsia="宋体" w:hAnsi="Times New Roman"/>
          <w:color w:val="auto"/>
          <w:sz w:val="21"/>
          <w:szCs w:val="21"/>
        </w:rPr>
        <w:t>，由此产生的责任应由基金托管人承担。</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6</w:t>
      </w:r>
      <w:r>
        <w:rPr>
          <w:rFonts w:ascii="Times New Roman" w:eastAsia="宋体" w:hAnsi="Times New Roman"/>
          <w:color w:val="auto"/>
          <w:sz w:val="21"/>
          <w:szCs w:val="21"/>
        </w:rPr>
        <w:t>、基金管理人应将每个开放日的申购、赎回、转换开放式基金的数据传送给基金托管人。基金管理人应对传递的申购、赎回、转换开放式基金的数据真实性负责。基金托管人应及时查收申购资金的到账情况并根据基金管理人指令及时划付赎回款项。</w:t>
      </w:r>
    </w:p>
    <w:p w:rsidR="00DE5199" w:rsidRDefault="00DE5199">
      <w:pPr>
        <w:pStyle w:val="a6"/>
        <w:spacing w:line="360" w:lineRule="auto"/>
        <w:ind w:firstLine="403"/>
        <w:rPr>
          <w:rFonts w:ascii="Times New Roman" w:eastAsia="宋体" w:hAnsi="Times New Roman"/>
          <w:color w:val="auto"/>
          <w:sz w:val="21"/>
          <w:szCs w:val="21"/>
        </w:rPr>
      </w:pPr>
    </w:p>
    <w:p w:rsidR="00DE5199" w:rsidRDefault="009B690D">
      <w:pPr>
        <w:pStyle w:val="1"/>
        <w:spacing w:before="0" w:after="0" w:line="360" w:lineRule="auto"/>
        <w:ind w:firstLineChars="200" w:firstLine="422"/>
        <w:rPr>
          <w:sz w:val="21"/>
          <w:szCs w:val="21"/>
        </w:rPr>
      </w:pPr>
      <w:bookmarkStart w:id="11" w:name="_Toc116900103"/>
      <w:r>
        <w:rPr>
          <w:sz w:val="21"/>
          <w:szCs w:val="21"/>
        </w:rPr>
        <w:t>八、基金资产净值计算和会计核算</w:t>
      </w:r>
      <w:bookmarkEnd w:id="11"/>
    </w:p>
    <w:p w:rsidR="00DE5199" w:rsidRDefault="009B690D">
      <w:pPr>
        <w:pStyle w:val="30"/>
        <w:spacing w:line="360" w:lineRule="auto"/>
        <w:ind w:left="0" w:firstLineChars="200" w:firstLine="420"/>
        <w:rPr>
          <w:rFonts w:eastAsia="宋体"/>
          <w:sz w:val="21"/>
          <w:szCs w:val="21"/>
        </w:rPr>
      </w:pPr>
      <w:r>
        <w:rPr>
          <w:rFonts w:eastAsia="宋体"/>
          <w:sz w:val="21"/>
          <w:szCs w:val="21"/>
        </w:rPr>
        <w:t>（一）基金资产净值的计算和复核</w:t>
      </w:r>
    </w:p>
    <w:p w:rsidR="00DE5199" w:rsidRDefault="009B690D">
      <w:pPr>
        <w:pStyle w:val="30"/>
        <w:spacing w:line="360" w:lineRule="auto"/>
        <w:ind w:left="0" w:firstLineChars="200" w:firstLine="420"/>
        <w:rPr>
          <w:rFonts w:eastAsia="宋体"/>
          <w:sz w:val="21"/>
          <w:szCs w:val="21"/>
        </w:rPr>
      </w:pPr>
      <w:r>
        <w:rPr>
          <w:rFonts w:eastAsia="宋体"/>
          <w:sz w:val="21"/>
          <w:szCs w:val="21"/>
        </w:rPr>
        <w:t>1</w:t>
      </w:r>
      <w:r>
        <w:rPr>
          <w:rFonts w:eastAsia="宋体"/>
          <w:sz w:val="21"/>
          <w:szCs w:val="21"/>
        </w:rPr>
        <w:t>、基金资产净值是指基金资产总值减去负债后的价值。基金份额净值是指计算日基金资产净值除以计算日该基金份额总数后的价值。</w:t>
      </w:r>
    </w:p>
    <w:p w:rsidR="00DE5199" w:rsidRDefault="009B690D">
      <w:pPr>
        <w:spacing w:line="360" w:lineRule="auto"/>
        <w:ind w:firstLineChars="200" w:firstLine="420"/>
        <w:rPr>
          <w:kern w:val="0"/>
          <w:szCs w:val="21"/>
        </w:rPr>
      </w:pPr>
      <w:r>
        <w:rPr>
          <w:szCs w:val="21"/>
        </w:rPr>
        <w:t>2</w:t>
      </w:r>
      <w:r>
        <w:rPr>
          <w:szCs w:val="21"/>
        </w:rPr>
        <w:t>、基金管理人应每个开放日对基金财产估值。但基金管理人根据法律法规或《基金合同》的规定暂停估值时除外。估值原则应符合</w:t>
      </w:r>
      <w:bookmarkStart w:id="12" w:name="OLE_LINK7"/>
      <w:bookmarkStart w:id="13" w:name="OLE_LINK6"/>
      <w:r>
        <w:rPr>
          <w:szCs w:val="21"/>
        </w:rPr>
        <w:t>《基金合同》</w:t>
      </w:r>
      <w:bookmarkEnd w:id="12"/>
      <w:bookmarkEnd w:id="13"/>
      <w:r>
        <w:rPr>
          <w:szCs w:val="21"/>
        </w:rPr>
        <w:t>、《证券投资基金会计核算业务指引》及其他法律法规的规定。用于基金信息披露的基金净值</w:t>
      </w:r>
      <w:r>
        <w:rPr>
          <w:rFonts w:hint="eastAsia"/>
          <w:szCs w:val="21"/>
        </w:rPr>
        <w:t>信息</w:t>
      </w:r>
      <w:r>
        <w:rPr>
          <w:szCs w:val="21"/>
        </w:rPr>
        <w:t>由基金管理人负责计算，基金托管人复核。基金管理人应于每个开放日结束后计算得出当日的该基金份额净值，并在盖章后以双方约定的方式发送给基金托管人。基金托管人应对净值计算结果进行复核，并以双方约定的方式将复核结果传送给基金管理人</w:t>
      </w:r>
      <w:r>
        <w:rPr>
          <w:kern w:val="0"/>
          <w:szCs w:val="21"/>
        </w:rPr>
        <w:t>，由基金管理人对外公布。月末、年中和年末估值复核与基金会计账目的核对同时进行。</w:t>
      </w:r>
    </w:p>
    <w:p w:rsidR="00DE5199" w:rsidRDefault="009B690D">
      <w:pPr>
        <w:pStyle w:val="30"/>
        <w:spacing w:line="360" w:lineRule="auto"/>
        <w:ind w:left="0" w:firstLineChars="200" w:firstLine="420"/>
        <w:rPr>
          <w:rFonts w:eastAsia="宋体"/>
          <w:sz w:val="21"/>
          <w:szCs w:val="21"/>
        </w:rPr>
      </w:pPr>
      <w:r>
        <w:rPr>
          <w:rFonts w:eastAsia="宋体"/>
          <w:sz w:val="21"/>
          <w:szCs w:val="21"/>
        </w:rPr>
        <w:t>3</w:t>
      </w:r>
      <w:r>
        <w:rPr>
          <w:rFonts w:eastAsia="宋体"/>
          <w:sz w:val="21"/>
          <w:szCs w:val="21"/>
        </w:rPr>
        <w:t>、当相关法律法规或《基金合同》规定的估值方法不能客观反映基金财产公允价值时，基金管理人可根据具体情况，并与基金托管人商定后，按最能反映公允价值的价格估值。</w:t>
      </w:r>
    </w:p>
    <w:p w:rsidR="00DE5199" w:rsidRDefault="009B690D">
      <w:pPr>
        <w:pStyle w:val="30"/>
        <w:spacing w:line="360" w:lineRule="auto"/>
        <w:ind w:left="0" w:firstLineChars="200" w:firstLine="420"/>
        <w:rPr>
          <w:rFonts w:eastAsia="宋体"/>
          <w:sz w:val="21"/>
          <w:szCs w:val="21"/>
        </w:rPr>
      </w:pPr>
      <w:r>
        <w:rPr>
          <w:rFonts w:eastAsia="宋体"/>
          <w:sz w:val="21"/>
          <w:szCs w:val="21"/>
        </w:rPr>
        <w:t>4</w:t>
      </w:r>
      <w:r>
        <w:rPr>
          <w:rFonts w:eastAsia="宋体"/>
          <w:sz w:val="21"/>
          <w:szCs w:val="21"/>
        </w:rPr>
        <w:t>、基金管理人、基金托管人发现基金估值违反《基金合同》订明的估值方法、程序以及相关法律法规的规定或者未能充分维护基金份额持有人利益时，双方应及时进行协商和纠正。</w:t>
      </w:r>
    </w:p>
    <w:p w:rsidR="00DE5199" w:rsidRDefault="009B690D">
      <w:pPr>
        <w:spacing w:line="360" w:lineRule="auto"/>
        <w:ind w:firstLineChars="200" w:firstLine="420"/>
        <w:rPr>
          <w:szCs w:val="21"/>
        </w:rPr>
      </w:pPr>
      <w:r>
        <w:rPr>
          <w:szCs w:val="21"/>
        </w:rPr>
        <w:t>5</w:t>
      </w:r>
      <w:r>
        <w:rPr>
          <w:szCs w:val="21"/>
        </w:rPr>
        <w:t>、当基金资产的估值导致基金份额净值小数点后三位内（含第三位）发生差错时，视为基金份额净值估值错误。当基金份额净值出现错误时，基金管理人应当立即予以纠正，并采取合理的措施防止损失进一步扩大；当计价错误达到基金份额净值的</w:t>
      </w:r>
      <w:r>
        <w:rPr>
          <w:szCs w:val="21"/>
        </w:rPr>
        <w:t>0.25%</w:t>
      </w:r>
      <w:r>
        <w:rPr>
          <w:szCs w:val="21"/>
        </w:rPr>
        <w:t>时，基金管理</w:t>
      </w:r>
      <w:r>
        <w:rPr>
          <w:szCs w:val="21"/>
        </w:rPr>
        <w:lastRenderedPageBreak/>
        <w:t>人应当报中国证监会备案；当计价错误达到基金份额净值的</w:t>
      </w:r>
      <w:r>
        <w:rPr>
          <w:szCs w:val="21"/>
        </w:rPr>
        <w:t>0.5%</w:t>
      </w:r>
      <w:r>
        <w:rPr>
          <w:szCs w:val="21"/>
        </w:rPr>
        <w:t>时，基金管理人应当在报中国证监会备案的同时并及时进行公告。如法律法规或监管机关对前述内容另有规定的，按其规定处理。</w:t>
      </w:r>
    </w:p>
    <w:p w:rsidR="00DE5199" w:rsidRDefault="009B690D">
      <w:pPr>
        <w:pStyle w:val="30"/>
        <w:spacing w:line="360" w:lineRule="auto"/>
        <w:ind w:left="0" w:firstLineChars="200" w:firstLine="420"/>
        <w:rPr>
          <w:rFonts w:eastAsia="宋体"/>
          <w:sz w:val="21"/>
          <w:szCs w:val="21"/>
        </w:rPr>
      </w:pPr>
      <w:r>
        <w:rPr>
          <w:rFonts w:eastAsia="宋体"/>
          <w:sz w:val="21"/>
          <w:szCs w:val="21"/>
        </w:rPr>
        <w:t>6</w:t>
      </w:r>
      <w:r>
        <w:rPr>
          <w:rFonts w:eastAsia="宋体"/>
          <w:sz w:val="21"/>
          <w:szCs w:val="21"/>
        </w:rPr>
        <w:t>、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DE5199" w:rsidRDefault="009B690D">
      <w:pPr>
        <w:pStyle w:val="30"/>
        <w:spacing w:line="360" w:lineRule="auto"/>
        <w:ind w:left="0" w:firstLineChars="200" w:firstLine="420"/>
        <w:rPr>
          <w:rFonts w:eastAsia="宋体"/>
          <w:sz w:val="21"/>
          <w:szCs w:val="21"/>
        </w:rPr>
      </w:pPr>
      <w:r>
        <w:rPr>
          <w:rFonts w:eastAsia="宋体"/>
          <w:sz w:val="21"/>
          <w:szCs w:val="21"/>
        </w:rPr>
        <w:t>7</w:t>
      </w:r>
      <w:r>
        <w:rPr>
          <w:rFonts w:eastAsia="宋体"/>
          <w:sz w:val="21"/>
          <w:szCs w:val="21"/>
        </w:rPr>
        <w:t>、</w:t>
      </w:r>
      <w:r>
        <w:rPr>
          <w:rFonts w:eastAsia="宋体"/>
          <w:kern w:val="0"/>
          <w:sz w:val="21"/>
          <w:szCs w:val="21"/>
        </w:rPr>
        <w:t>由于证券</w:t>
      </w:r>
      <w:r>
        <w:rPr>
          <w:rFonts w:eastAsia="宋体"/>
          <w:kern w:val="0"/>
          <w:sz w:val="21"/>
          <w:szCs w:val="21"/>
        </w:rPr>
        <w:t>/</w:t>
      </w:r>
      <w:r>
        <w:rPr>
          <w:rFonts w:eastAsia="宋体"/>
          <w:kern w:val="0"/>
          <w:sz w:val="21"/>
          <w:szCs w:val="21"/>
        </w:rPr>
        <w:t>期货交易所及其登记结算公司等第三方机构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DE5199" w:rsidRDefault="009B690D">
      <w:pPr>
        <w:pStyle w:val="30"/>
        <w:spacing w:line="360" w:lineRule="auto"/>
        <w:ind w:left="0" w:firstLineChars="200" w:firstLine="420"/>
        <w:rPr>
          <w:rFonts w:eastAsia="宋体"/>
          <w:sz w:val="21"/>
          <w:szCs w:val="21"/>
        </w:rPr>
      </w:pPr>
      <w:r>
        <w:rPr>
          <w:rFonts w:eastAsia="宋体"/>
          <w:sz w:val="21"/>
          <w:szCs w:val="21"/>
        </w:rPr>
        <w:t>8</w:t>
      </w:r>
      <w:r>
        <w:rPr>
          <w:rFonts w:eastAsia="宋体"/>
          <w:sz w:val="21"/>
          <w:szCs w:val="21"/>
        </w:rPr>
        <w:t>、如果基金托管人的复核结果与基金管理人的计算结果存在差异，且双方经协商未能达成一致，基金管理人可以按照其对基金份额净值的计算结果对外予以公布，基金托管人可以将相关情况报中国证监会备案。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DE5199" w:rsidRDefault="009B690D">
      <w:pPr>
        <w:pStyle w:val="30"/>
        <w:spacing w:line="360" w:lineRule="auto"/>
        <w:ind w:left="0" w:firstLineChars="200" w:firstLine="420"/>
        <w:rPr>
          <w:rFonts w:eastAsia="宋体"/>
          <w:sz w:val="21"/>
          <w:szCs w:val="21"/>
        </w:rPr>
      </w:pPr>
      <w:r>
        <w:rPr>
          <w:rFonts w:eastAsia="宋体"/>
          <w:sz w:val="21"/>
          <w:szCs w:val="21"/>
        </w:rPr>
        <w:t>（二）基金会计核算</w:t>
      </w:r>
    </w:p>
    <w:p w:rsidR="00DE5199" w:rsidRDefault="009B690D">
      <w:pPr>
        <w:pStyle w:val="30"/>
        <w:spacing w:line="360" w:lineRule="auto"/>
        <w:ind w:left="0" w:firstLineChars="200" w:firstLine="420"/>
        <w:rPr>
          <w:rFonts w:eastAsia="宋体"/>
          <w:sz w:val="21"/>
          <w:szCs w:val="21"/>
        </w:rPr>
      </w:pPr>
      <w:r>
        <w:rPr>
          <w:rFonts w:eastAsia="宋体"/>
          <w:sz w:val="21"/>
          <w:szCs w:val="21"/>
        </w:rPr>
        <w:t>1</w:t>
      </w:r>
      <w:r>
        <w:rPr>
          <w:rFonts w:eastAsia="宋体"/>
          <w:sz w:val="21"/>
          <w:szCs w:val="21"/>
        </w:rPr>
        <w:t>、基金账册的建立</w:t>
      </w:r>
    </w:p>
    <w:p w:rsidR="00DE5199" w:rsidRDefault="009B690D">
      <w:pPr>
        <w:pStyle w:val="30"/>
        <w:spacing w:line="360" w:lineRule="auto"/>
        <w:ind w:left="0" w:firstLineChars="200" w:firstLine="420"/>
        <w:rPr>
          <w:rFonts w:eastAsia="宋体"/>
          <w:sz w:val="21"/>
          <w:szCs w:val="21"/>
        </w:rPr>
      </w:pPr>
      <w:r>
        <w:rPr>
          <w:rFonts w:eastAsia="宋体"/>
          <w:sz w:val="21"/>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DE5199" w:rsidRDefault="009B690D">
      <w:pPr>
        <w:pStyle w:val="30"/>
        <w:spacing w:line="360" w:lineRule="auto"/>
        <w:ind w:left="0" w:firstLineChars="200" w:firstLine="420"/>
        <w:rPr>
          <w:rFonts w:eastAsia="宋体"/>
          <w:sz w:val="21"/>
          <w:szCs w:val="21"/>
        </w:rPr>
      </w:pPr>
      <w:r>
        <w:rPr>
          <w:rFonts w:eastAsia="宋体"/>
          <w:sz w:val="21"/>
          <w:szCs w:val="21"/>
        </w:rPr>
        <w:t>2</w:t>
      </w:r>
      <w:r>
        <w:rPr>
          <w:rFonts w:eastAsia="宋体"/>
          <w:sz w:val="21"/>
          <w:szCs w:val="21"/>
        </w:rPr>
        <w:t>、会计数据和财务指标的核对</w:t>
      </w:r>
    </w:p>
    <w:p w:rsidR="00DE5199" w:rsidRDefault="009B690D">
      <w:pPr>
        <w:pStyle w:val="30"/>
        <w:spacing w:line="360" w:lineRule="auto"/>
        <w:ind w:left="0" w:firstLineChars="200" w:firstLine="420"/>
        <w:rPr>
          <w:rFonts w:eastAsia="宋体"/>
          <w:sz w:val="21"/>
          <w:szCs w:val="21"/>
        </w:rPr>
      </w:pPr>
      <w:r>
        <w:rPr>
          <w:rFonts w:eastAsia="宋体"/>
          <w:sz w:val="21"/>
          <w:szCs w:val="21"/>
        </w:rPr>
        <w:t>基金管理人和基金托管人应定期就会计数据和财务指标进行核对。如发现存在不符，双方应及时查明原因并纠正。</w:t>
      </w:r>
    </w:p>
    <w:p w:rsidR="00DE5199" w:rsidRDefault="009B690D">
      <w:pPr>
        <w:pStyle w:val="30"/>
        <w:spacing w:line="360" w:lineRule="auto"/>
        <w:ind w:left="0" w:firstLineChars="200" w:firstLine="420"/>
        <w:rPr>
          <w:rFonts w:eastAsia="宋体"/>
          <w:sz w:val="21"/>
          <w:szCs w:val="21"/>
        </w:rPr>
      </w:pPr>
      <w:r>
        <w:rPr>
          <w:rFonts w:eastAsia="宋体"/>
          <w:sz w:val="21"/>
          <w:szCs w:val="21"/>
        </w:rPr>
        <w:t>3</w:t>
      </w:r>
      <w:r>
        <w:rPr>
          <w:rFonts w:eastAsia="宋体"/>
          <w:sz w:val="21"/>
          <w:szCs w:val="21"/>
        </w:rPr>
        <w:t>、基金财务报表和定期报告的编制和复核</w:t>
      </w:r>
    </w:p>
    <w:p w:rsidR="00DE5199" w:rsidRDefault="009B690D">
      <w:pPr>
        <w:pStyle w:val="30"/>
        <w:spacing w:line="360" w:lineRule="auto"/>
        <w:ind w:left="0" w:firstLineChars="200" w:firstLine="420"/>
        <w:rPr>
          <w:rFonts w:eastAsia="宋体"/>
          <w:sz w:val="21"/>
          <w:szCs w:val="21"/>
        </w:rPr>
      </w:pPr>
      <w:r>
        <w:rPr>
          <w:rFonts w:eastAsia="宋体"/>
          <w:sz w:val="21"/>
          <w:szCs w:val="21"/>
        </w:rPr>
        <w:t>基金财务报表由基金管理人和基金托管人每月分别独立编制。月度报表的编制，应于每月终了后</w:t>
      </w:r>
      <w:r>
        <w:rPr>
          <w:rFonts w:eastAsia="宋体"/>
          <w:sz w:val="21"/>
          <w:szCs w:val="21"/>
        </w:rPr>
        <w:t>5</w:t>
      </w:r>
      <w:r>
        <w:rPr>
          <w:rFonts w:eastAsia="宋体"/>
          <w:sz w:val="21"/>
          <w:szCs w:val="21"/>
        </w:rPr>
        <w:t>个工作日内完成；</w:t>
      </w:r>
      <w:r>
        <w:rPr>
          <w:rFonts w:eastAsia="宋体" w:hint="eastAsia"/>
          <w:sz w:val="21"/>
          <w:szCs w:val="21"/>
        </w:rPr>
        <w:t>《基金合同》生效后，招募说明书的信息发生重大变更的，基金管理人应当在三个工作日内，更新招募说明书并登载在指定网站上。招募说明书其他信息</w:t>
      </w:r>
      <w:r>
        <w:rPr>
          <w:rFonts w:eastAsia="宋体" w:hint="eastAsia"/>
          <w:sz w:val="21"/>
          <w:szCs w:val="21"/>
        </w:rPr>
        <w:lastRenderedPageBreak/>
        <w:t>发生变更的，基金管理人至少每年更新一次；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招募说明书和基金产品资料概要。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w:t>
      </w:r>
      <w:r>
        <w:rPr>
          <w:rFonts w:eastAsia="宋体" w:hint="eastAsia"/>
          <w:sz w:val="21"/>
          <w:szCs w:val="21"/>
        </w:rPr>
        <w:t>15</w:t>
      </w:r>
      <w:r>
        <w:rPr>
          <w:rFonts w:eastAsia="宋体" w:hint="eastAsia"/>
          <w:sz w:val="21"/>
          <w:szCs w:val="21"/>
        </w:rPr>
        <w:t>个工作日内，编制完成基金季度报告，将季度报告登载在指定网站上，并将季度报告提示性公告登载在指定报刊上。基金合同生效不足两个月的，基金管理人可以不编制当期季度报告、中期报告或者年度报告。</w:t>
      </w:r>
    </w:p>
    <w:p w:rsidR="00DE5199" w:rsidRDefault="009B690D">
      <w:pPr>
        <w:pStyle w:val="30"/>
        <w:spacing w:line="360" w:lineRule="auto"/>
        <w:ind w:left="0" w:firstLineChars="200" w:firstLine="420"/>
        <w:rPr>
          <w:rFonts w:eastAsia="宋体"/>
          <w:sz w:val="21"/>
          <w:szCs w:val="21"/>
        </w:rPr>
      </w:pPr>
      <w:r>
        <w:rPr>
          <w:rFonts w:eastAsia="宋体"/>
          <w:sz w:val="21"/>
          <w:szCs w:val="21"/>
        </w:rPr>
        <w:t>基金管理人在月度报表完成当日，将报表盖章后提供给基金托管人复核；基金托管人在收到后应</w:t>
      </w:r>
      <w:r>
        <w:rPr>
          <w:rFonts w:eastAsia="宋体"/>
          <w:sz w:val="21"/>
          <w:szCs w:val="21"/>
        </w:rPr>
        <w:t>3</w:t>
      </w:r>
      <w:r>
        <w:rPr>
          <w:rFonts w:eastAsia="宋体"/>
          <w:sz w:val="21"/>
          <w:szCs w:val="21"/>
        </w:rPr>
        <w:t>个工作日内进行复核，并将复核结果书面通知基金管理人。基金管理人在季度报告完成当日，将有关报告提供给基金托管人复核，基金托管人应在收到后</w:t>
      </w:r>
      <w:r>
        <w:rPr>
          <w:rFonts w:eastAsia="宋体"/>
          <w:sz w:val="21"/>
          <w:szCs w:val="21"/>
        </w:rPr>
        <w:t>5</w:t>
      </w:r>
      <w:r>
        <w:rPr>
          <w:rFonts w:eastAsia="宋体"/>
          <w:sz w:val="21"/>
          <w:szCs w:val="21"/>
        </w:rPr>
        <w:t>个工作日内完成复核，并将复核结果书面通知基金管理人。基金管理人在</w:t>
      </w:r>
      <w:r>
        <w:rPr>
          <w:rFonts w:eastAsia="宋体" w:hint="eastAsia"/>
          <w:sz w:val="21"/>
          <w:szCs w:val="21"/>
        </w:rPr>
        <w:t>中期报告</w:t>
      </w:r>
      <w:r>
        <w:rPr>
          <w:rFonts w:eastAsia="宋体"/>
          <w:sz w:val="21"/>
          <w:szCs w:val="21"/>
        </w:rPr>
        <w:t>完成当日，将有关报告提供给基金托管人复核，基金托管人应在收到后</w:t>
      </w:r>
      <w:r>
        <w:rPr>
          <w:rFonts w:eastAsia="宋体"/>
          <w:sz w:val="21"/>
          <w:szCs w:val="21"/>
        </w:rPr>
        <w:t>10</w:t>
      </w:r>
      <w:r>
        <w:rPr>
          <w:rFonts w:eastAsia="宋体"/>
          <w:sz w:val="21"/>
          <w:szCs w:val="21"/>
        </w:rPr>
        <w:t>个工作日内完成复核，并将复核结果书面通知基金管理人。基金管理人在年度报告完成当日，将有关报告提供基金托管人复核，基金托管人应在收到后</w:t>
      </w:r>
      <w:r>
        <w:rPr>
          <w:rFonts w:eastAsia="宋体"/>
          <w:sz w:val="21"/>
          <w:szCs w:val="21"/>
        </w:rPr>
        <w:t>15</w:t>
      </w:r>
      <w:r>
        <w:rPr>
          <w:rFonts w:eastAsia="宋体"/>
          <w:sz w:val="21"/>
          <w:szCs w:val="21"/>
        </w:rPr>
        <w:t>个工作日内完成复核，并将复核结果书面通知基金管理人。基金管理人和基金托管人之间的上述文件往来均以加密传真的方式或双方商定的其他方式进行。</w:t>
      </w:r>
    </w:p>
    <w:p w:rsidR="00DE5199" w:rsidRDefault="009B690D">
      <w:pPr>
        <w:pStyle w:val="30"/>
        <w:spacing w:line="360" w:lineRule="auto"/>
        <w:ind w:left="0" w:firstLineChars="200" w:firstLine="420"/>
        <w:rPr>
          <w:rFonts w:eastAsia="宋体"/>
          <w:sz w:val="21"/>
          <w:szCs w:val="21"/>
        </w:rPr>
      </w:pPr>
      <w:r>
        <w:rPr>
          <w:rFonts w:eastAsia="宋体"/>
          <w:sz w:val="21"/>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w:t>
      </w:r>
      <w:r>
        <w:rPr>
          <w:rFonts w:eastAsia="宋体" w:hint="eastAsia"/>
          <w:sz w:val="21"/>
          <w:szCs w:val="21"/>
        </w:rPr>
        <w:t>或进行电子确认</w:t>
      </w:r>
      <w:r>
        <w:rPr>
          <w:rFonts w:eastAsia="宋体"/>
          <w:sz w:val="21"/>
          <w:szCs w:val="21"/>
        </w:rPr>
        <w:t>，双方各自留存一份。如果基金管理人与基金托管人不能于应当发布公告之日之前就相关报表达成一致，基金管理人有权按照其编制的报表对外发布公告，基金托管人有权就相关情况报证监会备案。</w:t>
      </w:r>
    </w:p>
    <w:p w:rsidR="00DE5199" w:rsidRDefault="00DE5199">
      <w:pPr>
        <w:pStyle w:val="30"/>
        <w:spacing w:line="360" w:lineRule="auto"/>
        <w:ind w:left="0" w:firstLine="200"/>
        <w:rPr>
          <w:rFonts w:eastAsia="宋体"/>
          <w:sz w:val="21"/>
          <w:szCs w:val="21"/>
        </w:rPr>
      </w:pPr>
    </w:p>
    <w:p w:rsidR="00DE5199" w:rsidRDefault="009B690D">
      <w:pPr>
        <w:pStyle w:val="1"/>
        <w:spacing w:before="0" w:after="0" w:line="360" w:lineRule="auto"/>
        <w:ind w:firstLineChars="200" w:firstLine="422"/>
        <w:rPr>
          <w:sz w:val="21"/>
          <w:szCs w:val="21"/>
        </w:rPr>
      </w:pPr>
      <w:bookmarkStart w:id="14" w:name="_Toc116900104"/>
      <w:r>
        <w:rPr>
          <w:sz w:val="21"/>
          <w:szCs w:val="21"/>
        </w:rPr>
        <w:t>九、基金收益分配</w:t>
      </w:r>
      <w:bookmarkEnd w:id="14"/>
    </w:p>
    <w:p w:rsidR="00DE5199" w:rsidRDefault="009B690D">
      <w:pPr>
        <w:pStyle w:val="30"/>
        <w:spacing w:line="360" w:lineRule="auto"/>
        <w:ind w:left="0" w:firstLineChars="200" w:firstLine="420"/>
        <w:rPr>
          <w:rFonts w:eastAsia="宋体"/>
          <w:sz w:val="21"/>
          <w:szCs w:val="21"/>
        </w:rPr>
      </w:pPr>
      <w:r>
        <w:rPr>
          <w:rFonts w:eastAsia="宋体"/>
          <w:sz w:val="21"/>
          <w:szCs w:val="21"/>
        </w:rPr>
        <w:t>（一）基金收益分配的依据</w:t>
      </w:r>
    </w:p>
    <w:p w:rsidR="00DE5199" w:rsidRDefault="009B690D">
      <w:pPr>
        <w:pStyle w:val="30"/>
        <w:spacing w:line="360" w:lineRule="auto"/>
        <w:ind w:left="0" w:firstLineChars="200" w:firstLine="420"/>
        <w:rPr>
          <w:rFonts w:eastAsia="宋体"/>
          <w:sz w:val="21"/>
          <w:szCs w:val="21"/>
        </w:rPr>
      </w:pPr>
      <w:r>
        <w:rPr>
          <w:rFonts w:eastAsia="宋体"/>
          <w:sz w:val="21"/>
          <w:szCs w:val="21"/>
        </w:rPr>
        <w:t>1</w:t>
      </w:r>
      <w:r>
        <w:rPr>
          <w:rFonts w:eastAsia="宋体"/>
          <w:sz w:val="21"/>
          <w:szCs w:val="21"/>
        </w:rPr>
        <w:t>、基金收益分配是指将该基金期末可供分配利润根据持有该基金份额的数量按比例向该基金份额持有人进行分配。期末可供分配利润采用期末资产负债表中未分配利润与未分配利润中已实现部分的孰低数。</w:t>
      </w:r>
    </w:p>
    <w:p w:rsidR="00DE5199" w:rsidRDefault="009B690D">
      <w:pPr>
        <w:pStyle w:val="30"/>
        <w:spacing w:line="360" w:lineRule="auto"/>
        <w:ind w:left="0" w:firstLineChars="200" w:firstLine="420"/>
        <w:rPr>
          <w:rFonts w:eastAsia="宋体"/>
          <w:sz w:val="21"/>
          <w:szCs w:val="21"/>
        </w:rPr>
      </w:pPr>
      <w:r>
        <w:rPr>
          <w:rFonts w:eastAsia="宋体"/>
          <w:sz w:val="21"/>
          <w:szCs w:val="21"/>
        </w:rPr>
        <w:lastRenderedPageBreak/>
        <w:t>2</w:t>
      </w:r>
      <w:r>
        <w:rPr>
          <w:rFonts w:eastAsia="宋体"/>
          <w:sz w:val="21"/>
          <w:szCs w:val="21"/>
        </w:rPr>
        <w:t>、收益分配应该符合《基金合同》关于收益分配原则的规定。</w:t>
      </w:r>
    </w:p>
    <w:p w:rsidR="00DE5199" w:rsidRDefault="009B690D">
      <w:pPr>
        <w:pStyle w:val="30"/>
        <w:spacing w:line="360" w:lineRule="auto"/>
        <w:ind w:left="0" w:firstLineChars="200" w:firstLine="420"/>
        <w:rPr>
          <w:rFonts w:eastAsia="宋体"/>
          <w:sz w:val="21"/>
          <w:szCs w:val="21"/>
        </w:rPr>
      </w:pPr>
      <w:r>
        <w:rPr>
          <w:rFonts w:eastAsia="宋体"/>
          <w:sz w:val="21"/>
          <w:szCs w:val="21"/>
        </w:rPr>
        <w:t>（二）基金收益分配的时间和程序</w:t>
      </w:r>
    </w:p>
    <w:p w:rsidR="00DE5199" w:rsidRDefault="009B690D">
      <w:pPr>
        <w:pStyle w:val="30"/>
        <w:spacing w:line="360" w:lineRule="auto"/>
        <w:ind w:left="0" w:firstLineChars="200" w:firstLine="420"/>
        <w:rPr>
          <w:rFonts w:eastAsia="宋体"/>
          <w:sz w:val="21"/>
          <w:szCs w:val="21"/>
        </w:rPr>
      </w:pPr>
      <w:r>
        <w:rPr>
          <w:rFonts w:eastAsia="宋体"/>
          <w:sz w:val="21"/>
          <w:szCs w:val="21"/>
        </w:rPr>
        <w:t>1</w:t>
      </w:r>
      <w:r>
        <w:rPr>
          <w:rFonts w:eastAsia="宋体"/>
          <w:sz w:val="21"/>
          <w:szCs w:val="21"/>
        </w:rPr>
        <w:t>、基金收益分配方案由基金管理人根据《基金合同》的相关规定制定。</w:t>
      </w:r>
    </w:p>
    <w:p w:rsidR="00DE5199" w:rsidRDefault="009B690D">
      <w:pPr>
        <w:pStyle w:val="30"/>
        <w:spacing w:line="360" w:lineRule="auto"/>
        <w:ind w:left="0" w:firstLineChars="200" w:firstLine="420"/>
        <w:rPr>
          <w:rFonts w:eastAsia="宋体"/>
          <w:sz w:val="21"/>
          <w:szCs w:val="21"/>
        </w:rPr>
      </w:pPr>
      <w:r>
        <w:rPr>
          <w:rFonts w:eastAsia="宋体"/>
          <w:sz w:val="21"/>
          <w:szCs w:val="21"/>
        </w:rPr>
        <w:t>2</w:t>
      </w:r>
      <w:r>
        <w:rPr>
          <w:rFonts w:eastAsia="宋体"/>
          <w:sz w:val="21"/>
          <w:szCs w:val="21"/>
        </w:rPr>
        <w:t>、基金管理人应于收益分配日之前将其制定的收益分配方案提交基金托管人复核，基金托管人应于收到收益分配方案后完成对收益分配方案的复核，并将复核意见书面通知基金管理人，复核通过后基金管理人应当将收益分配方案报中国证监会和基金管理人主要办公场所所在地中国证监会派出机构备案，并及时公告；如果基金管理人与基金托管人不能于收益分配日之前就收益分配方案达成一致，基金托管人有义务将收益分配方案及相关情况的说明提交中国证监会备案并书面通知基金管理人，在上述文件提交完毕之日起基金管理人有权利对外公告其拟订的收益分配方案，且基金托管人有义务协助基金管理人实施该收益分配方案，但有证据证明该方案违反法律法规及《基金合同》的除外。</w:t>
      </w:r>
    </w:p>
    <w:p w:rsidR="00DE5199" w:rsidRDefault="009B690D">
      <w:pPr>
        <w:pStyle w:val="30"/>
        <w:spacing w:line="360" w:lineRule="auto"/>
        <w:ind w:left="0" w:firstLineChars="200" w:firstLine="420"/>
        <w:rPr>
          <w:rFonts w:eastAsia="宋体"/>
          <w:sz w:val="21"/>
          <w:szCs w:val="21"/>
        </w:rPr>
      </w:pPr>
      <w:r>
        <w:rPr>
          <w:rFonts w:eastAsia="宋体"/>
          <w:sz w:val="21"/>
          <w:szCs w:val="21"/>
        </w:rPr>
        <w:t>3</w:t>
      </w:r>
      <w:r>
        <w:rPr>
          <w:rFonts w:eastAsia="宋体"/>
          <w:sz w:val="21"/>
          <w:szCs w:val="21"/>
        </w:rPr>
        <w:t>、基金收益分配可采用现金红利的方式，或者将现金红利按除权日除权后的该基金份额净值自动转为基金份额进行再投资的方式（下称</w:t>
      </w:r>
      <w:r>
        <w:rPr>
          <w:rFonts w:eastAsia="宋体"/>
          <w:sz w:val="21"/>
          <w:szCs w:val="21"/>
        </w:rPr>
        <w:t>“</w:t>
      </w:r>
      <w:r>
        <w:rPr>
          <w:rFonts w:eastAsia="宋体"/>
          <w:sz w:val="21"/>
          <w:szCs w:val="21"/>
        </w:rPr>
        <w:t>再投资方式</w:t>
      </w:r>
      <w:r>
        <w:rPr>
          <w:rFonts w:eastAsia="宋体"/>
          <w:sz w:val="21"/>
          <w:szCs w:val="21"/>
        </w:rPr>
        <w:t>”</w:t>
      </w:r>
      <w:r>
        <w:rPr>
          <w:rFonts w:eastAsia="宋体"/>
          <w:sz w:val="21"/>
          <w:szCs w:val="21"/>
        </w:rPr>
        <w:t>），投资者可以选择两种方式中的一种；如果投资者没有明示选择，则视为选择现金红利的方式处理。</w:t>
      </w:r>
    </w:p>
    <w:p w:rsidR="00DE5199" w:rsidRDefault="009B690D">
      <w:pPr>
        <w:pStyle w:val="30"/>
        <w:spacing w:line="360" w:lineRule="auto"/>
        <w:ind w:left="0" w:firstLineChars="200" w:firstLine="420"/>
        <w:rPr>
          <w:rFonts w:eastAsia="宋体"/>
          <w:sz w:val="21"/>
          <w:szCs w:val="21"/>
        </w:rPr>
      </w:pPr>
      <w:r>
        <w:rPr>
          <w:rFonts w:eastAsia="宋体"/>
          <w:sz w:val="21"/>
          <w:szCs w:val="21"/>
        </w:rPr>
        <w:t>4</w:t>
      </w:r>
      <w:r>
        <w:rPr>
          <w:rFonts w:eastAsia="宋体"/>
          <w:sz w:val="21"/>
          <w:szCs w:val="21"/>
        </w:rPr>
        <w:t>、基金托管人根据基金管理人的收益分配方案和提供的现金红利金额的数据，在红利发放日将分红资金划入基金管理人指定账户。如果投资者选择转购基金份额，基金管理人和基金托管人则应当进行红利再投资的账务处理。</w:t>
      </w:r>
    </w:p>
    <w:p w:rsidR="00DE5199" w:rsidRDefault="00DE5199">
      <w:pPr>
        <w:pStyle w:val="30"/>
        <w:spacing w:line="360" w:lineRule="auto"/>
        <w:ind w:left="0" w:firstLine="200"/>
        <w:rPr>
          <w:rFonts w:eastAsia="宋体"/>
          <w:sz w:val="21"/>
          <w:szCs w:val="21"/>
        </w:rPr>
      </w:pPr>
    </w:p>
    <w:p w:rsidR="00DE5199" w:rsidRDefault="009B690D">
      <w:pPr>
        <w:pStyle w:val="1"/>
        <w:spacing w:before="0" w:after="0" w:line="360" w:lineRule="auto"/>
        <w:ind w:firstLineChars="200" w:firstLine="422"/>
        <w:rPr>
          <w:sz w:val="21"/>
          <w:szCs w:val="21"/>
        </w:rPr>
      </w:pPr>
      <w:bookmarkStart w:id="15" w:name="_Toc116900105"/>
      <w:r>
        <w:rPr>
          <w:sz w:val="21"/>
          <w:szCs w:val="21"/>
        </w:rPr>
        <w:t>十、基金信息披露</w:t>
      </w:r>
      <w:bookmarkEnd w:id="15"/>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（一）保密义务</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基金管理人和基金托管人除为履行法律法规、《基金合同》及本协议规定的义务所必要之外，不得为其他目的使用、利用其所知悉的基金的信息，并且应当将基金的信息限制在为履行前述义务而需要了解该信息的职员范围之内。但是，如下情况不应视为基金管理人或基金托管人违反保密义务：</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1</w:t>
      </w:r>
      <w:r>
        <w:rPr>
          <w:rFonts w:ascii="Times New Roman" w:eastAsia="宋体" w:hAnsi="Times New Roman"/>
          <w:color w:val="auto"/>
          <w:sz w:val="21"/>
          <w:szCs w:val="21"/>
        </w:rPr>
        <w:t>、非因基金管理人和基金托管人的原因导致保密信息被披露、泄露或公开；</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2</w:t>
      </w:r>
      <w:r>
        <w:rPr>
          <w:rFonts w:ascii="Times New Roman" w:eastAsia="宋体" w:hAnsi="Times New Roman"/>
          <w:color w:val="auto"/>
          <w:sz w:val="21"/>
          <w:szCs w:val="21"/>
        </w:rPr>
        <w:t>、基金管理人和基金托管人为遵守和服从法院判决、仲裁裁决或中国证监会等监管机构的命令、决定所做出的信息披露或公开。</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（二）基金管理人和基金托管人在信息披露中的职责和信息披露程序</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1</w:t>
      </w:r>
      <w:r>
        <w:rPr>
          <w:rFonts w:ascii="Times New Roman" w:eastAsia="宋体" w:hAnsi="Times New Roman"/>
          <w:color w:val="auto"/>
          <w:sz w:val="21"/>
          <w:szCs w:val="21"/>
        </w:rPr>
        <w:t>、基金管理人和基金托管人应根据相关法律法规、《基金合同》的规定各自承担相应的信息披露职责。基金管理人和基金托管人负有积极配合、互相督促、彼此监督，保证其履行</w:t>
      </w:r>
      <w:r>
        <w:rPr>
          <w:rFonts w:ascii="Times New Roman" w:eastAsia="宋体" w:hAnsi="Times New Roman"/>
          <w:color w:val="auto"/>
          <w:sz w:val="21"/>
          <w:szCs w:val="21"/>
        </w:rPr>
        <w:lastRenderedPageBreak/>
        <w:t>按照法定方式和时限披露的义务。</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2</w:t>
      </w:r>
      <w:r>
        <w:rPr>
          <w:rFonts w:ascii="Times New Roman" w:eastAsia="宋体" w:hAnsi="Times New Roman"/>
          <w:color w:val="auto"/>
          <w:sz w:val="21"/>
          <w:szCs w:val="21"/>
        </w:rPr>
        <w:t>、本基金信息披露的所有文件，包括《基金合同》和本协议规定的定期报告、临时报告、基金净值</w:t>
      </w:r>
      <w:r>
        <w:rPr>
          <w:rFonts w:ascii="Times New Roman" w:eastAsia="宋体" w:hAnsi="Times New Roman" w:hint="eastAsia"/>
          <w:color w:val="auto"/>
          <w:sz w:val="21"/>
          <w:szCs w:val="21"/>
        </w:rPr>
        <w:t>信息</w:t>
      </w:r>
      <w:r>
        <w:rPr>
          <w:rFonts w:ascii="Times New Roman" w:eastAsia="宋体" w:hAnsi="Times New Roman"/>
          <w:color w:val="auto"/>
          <w:sz w:val="21"/>
          <w:szCs w:val="21"/>
        </w:rPr>
        <w:t>及其他必要的公告文件，由基金管理人和基金托管人按照有关法律法规的规定予以公布。</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3</w:t>
      </w:r>
      <w:r>
        <w:rPr>
          <w:rFonts w:ascii="Times New Roman" w:eastAsia="宋体" w:hAnsi="Times New Roman"/>
          <w:color w:val="auto"/>
          <w:sz w:val="21"/>
          <w:szCs w:val="21"/>
        </w:rPr>
        <w:t>、基金年度报告中的财务会计报告必须经具有从事证券</w:t>
      </w:r>
      <w:r>
        <w:rPr>
          <w:rFonts w:ascii="Times New Roman" w:eastAsia="宋体" w:hAnsi="Times New Roman" w:hint="eastAsia"/>
          <w:color w:val="auto"/>
          <w:sz w:val="21"/>
          <w:szCs w:val="21"/>
        </w:rPr>
        <w:t>、</w:t>
      </w:r>
      <w:r>
        <w:rPr>
          <w:rFonts w:ascii="Times New Roman" w:eastAsia="宋体" w:hAnsi="Times New Roman"/>
          <w:color w:val="auto"/>
          <w:sz w:val="21"/>
          <w:szCs w:val="21"/>
        </w:rPr>
        <w:t>期货相关业务资格的会计师事务所审计。</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4</w:t>
      </w:r>
      <w:r>
        <w:rPr>
          <w:rFonts w:ascii="Times New Roman" w:eastAsia="宋体" w:hAnsi="Times New Roman"/>
          <w:color w:val="auto"/>
          <w:sz w:val="21"/>
          <w:szCs w:val="21"/>
        </w:rPr>
        <w:t>、本基金的信息披露，应通过中国证监会指定媒介进行；基金管理人、基金托管人可以根据需要在其他公共媒介披露信息，但是其他公共媒介不得早于指定</w:t>
      </w:r>
      <w:r>
        <w:rPr>
          <w:rFonts w:ascii="Times New Roman" w:eastAsia="宋体" w:hAnsi="Times New Roman" w:hint="eastAsia"/>
          <w:color w:val="auto"/>
          <w:sz w:val="21"/>
          <w:szCs w:val="21"/>
        </w:rPr>
        <w:t>媒介</w:t>
      </w:r>
      <w:r>
        <w:rPr>
          <w:rFonts w:ascii="Times New Roman" w:eastAsia="宋体" w:hAnsi="Times New Roman"/>
          <w:color w:val="auto"/>
          <w:sz w:val="21"/>
          <w:szCs w:val="21"/>
        </w:rPr>
        <w:t>和网站披露信息，并且在不同媒介上披露同一信息的内容应当一致。</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5</w:t>
      </w:r>
      <w:r>
        <w:rPr>
          <w:rFonts w:ascii="Times New Roman" w:eastAsia="宋体" w:hAnsi="Times New Roman"/>
          <w:color w:val="auto"/>
          <w:sz w:val="21"/>
          <w:szCs w:val="21"/>
        </w:rPr>
        <w:t>、信息文本的存放与备查</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hint="eastAsia"/>
          <w:color w:val="auto"/>
          <w:sz w:val="21"/>
          <w:szCs w:val="21"/>
        </w:rPr>
        <w:t>依法必须</w:t>
      </w:r>
      <w:r>
        <w:rPr>
          <w:rFonts w:ascii="Times New Roman" w:eastAsia="宋体" w:hAnsi="Times New Roman"/>
          <w:color w:val="auto"/>
          <w:sz w:val="21"/>
          <w:szCs w:val="21"/>
        </w:rPr>
        <w:t>披露的信息发布后，基金管理人、基金托管人应当按照相关法律法规</w:t>
      </w:r>
      <w:r>
        <w:rPr>
          <w:rFonts w:ascii="Times New Roman" w:eastAsia="宋体" w:hAnsi="Times New Roman" w:hint="eastAsia"/>
          <w:color w:val="auto"/>
          <w:sz w:val="21"/>
          <w:szCs w:val="21"/>
        </w:rPr>
        <w:t>规定</w:t>
      </w:r>
      <w:r>
        <w:rPr>
          <w:rFonts w:ascii="Times New Roman" w:eastAsia="宋体" w:hAnsi="Times New Roman"/>
          <w:color w:val="auto"/>
          <w:sz w:val="21"/>
          <w:szCs w:val="21"/>
        </w:rPr>
        <w:t>将信息</w:t>
      </w:r>
      <w:r>
        <w:rPr>
          <w:rFonts w:ascii="Times New Roman" w:eastAsia="宋体" w:hAnsi="Times New Roman" w:hint="eastAsia"/>
          <w:color w:val="auto"/>
          <w:sz w:val="21"/>
          <w:szCs w:val="21"/>
        </w:rPr>
        <w:t>置备于公司</w:t>
      </w:r>
      <w:r>
        <w:rPr>
          <w:rFonts w:ascii="Times New Roman" w:eastAsia="宋体" w:hAnsi="Times New Roman"/>
          <w:color w:val="auto"/>
          <w:sz w:val="21"/>
          <w:szCs w:val="21"/>
        </w:rPr>
        <w:t>住所，供社会公众查阅、复制。</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基金管理人和基金托管人应保证文本的内容与所公告的内容完全一致。</w:t>
      </w:r>
    </w:p>
    <w:p w:rsidR="00DE5199" w:rsidRDefault="009B690D">
      <w:pPr>
        <w:spacing w:line="360" w:lineRule="auto"/>
        <w:ind w:firstLineChars="200" w:firstLine="420"/>
        <w:rPr>
          <w:szCs w:val="21"/>
        </w:rPr>
      </w:pPr>
      <w:r>
        <w:rPr>
          <w:szCs w:val="21"/>
        </w:rPr>
        <w:t>6</w:t>
      </w:r>
      <w:r>
        <w:rPr>
          <w:szCs w:val="21"/>
        </w:rPr>
        <w:t>、对于因不可抗力等原因导致基金信息的暂停或延迟披露的（如暂停披露基金净值</w:t>
      </w:r>
      <w:r>
        <w:rPr>
          <w:rFonts w:hint="eastAsia"/>
          <w:szCs w:val="21"/>
        </w:rPr>
        <w:t>信息</w:t>
      </w:r>
      <w:r>
        <w:rPr>
          <w:szCs w:val="21"/>
        </w:rPr>
        <w:t>），基金管理人应及时向中国证监会报告，并与基金托管人协商采取补救措施。不可抗力等情形消失后，基金管理人和基金托管人应及时恢复办理信息披露。</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（三）基金托管人报告</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基金托管人应按《基金法》、《运作办法》、《信息披露办法》和其他有关法律法规的规定于每个上半年度结束后</w:t>
      </w:r>
      <w:r>
        <w:rPr>
          <w:rFonts w:ascii="Times New Roman" w:eastAsia="宋体" w:hAnsi="Times New Roman" w:hint="eastAsia"/>
          <w:color w:val="auto"/>
          <w:sz w:val="21"/>
          <w:szCs w:val="21"/>
        </w:rPr>
        <w:t>两个月</w:t>
      </w:r>
      <w:r>
        <w:rPr>
          <w:rFonts w:ascii="Times New Roman" w:eastAsia="宋体" w:hAnsi="Times New Roman"/>
          <w:color w:val="auto"/>
          <w:sz w:val="21"/>
          <w:szCs w:val="21"/>
        </w:rPr>
        <w:t>内、每个会计年度结束后</w:t>
      </w:r>
      <w:r>
        <w:rPr>
          <w:rFonts w:ascii="Times New Roman" w:eastAsia="宋体" w:hAnsi="Times New Roman" w:hint="eastAsia"/>
          <w:color w:val="auto"/>
          <w:sz w:val="21"/>
          <w:szCs w:val="21"/>
        </w:rPr>
        <w:t>三个月</w:t>
      </w:r>
      <w:r>
        <w:rPr>
          <w:rFonts w:ascii="Times New Roman" w:eastAsia="宋体" w:hAnsi="Times New Roman"/>
          <w:color w:val="auto"/>
          <w:sz w:val="21"/>
          <w:szCs w:val="21"/>
        </w:rPr>
        <w:t>内在基金</w:t>
      </w:r>
      <w:r>
        <w:rPr>
          <w:rFonts w:ascii="Times New Roman" w:eastAsia="宋体" w:hAnsi="Times New Roman" w:hint="eastAsia"/>
          <w:color w:val="auto"/>
          <w:sz w:val="21"/>
          <w:szCs w:val="21"/>
        </w:rPr>
        <w:t>中期</w:t>
      </w:r>
      <w:r>
        <w:rPr>
          <w:rFonts w:ascii="Times New Roman" w:eastAsia="宋体" w:hAnsi="Times New Roman"/>
          <w:color w:val="auto"/>
          <w:sz w:val="21"/>
          <w:szCs w:val="21"/>
        </w:rPr>
        <w:t>报告及年度报告中分别出具托管人报告。</w:t>
      </w:r>
    </w:p>
    <w:p w:rsidR="00DE5199" w:rsidRDefault="00DE5199">
      <w:pPr>
        <w:pStyle w:val="a6"/>
        <w:spacing w:line="360" w:lineRule="auto"/>
        <w:ind w:firstLineChars="200" w:firstLine="420"/>
        <w:rPr>
          <w:rFonts w:ascii="Times New Roman" w:eastAsia="宋体" w:hAnsi="Times New Roman"/>
          <w:color w:val="auto"/>
          <w:sz w:val="21"/>
          <w:szCs w:val="21"/>
        </w:rPr>
      </w:pPr>
    </w:p>
    <w:p w:rsidR="00DE5199" w:rsidRDefault="009B690D">
      <w:pPr>
        <w:pStyle w:val="1"/>
        <w:spacing w:before="0" w:after="0" w:line="360" w:lineRule="auto"/>
        <w:ind w:firstLineChars="200" w:firstLine="422"/>
        <w:rPr>
          <w:sz w:val="21"/>
          <w:szCs w:val="21"/>
        </w:rPr>
      </w:pPr>
      <w:bookmarkStart w:id="16" w:name="_Toc116900106"/>
      <w:r>
        <w:rPr>
          <w:sz w:val="21"/>
          <w:szCs w:val="21"/>
        </w:rPr>
        <w:t>十一、基金费用</w:t>
      </w:r>
    </w:p>
    <w:p w:rsidR="00DE5199" w:rsidRDefault="009B690D">
      <w:pPr>
        <w:spacing w:line="360" w:lineRule="auto"/>
        <w:ind w:firstLineChars="200" w:firstLine="420"/>
        <w:rPr>
          <w:szCs w:val="21"/>
        </w:rPr>
      </w:pPr>
      <w:r>
        <w:rPr>
          <w:szCs w:val="21"/>
        </w:rPr>
        <w:t>（一）基金管理人的管理费</w:t>
      </w:r>
    </w:p>
    <w:p w:rsidR="00DE5199" w:rsidRDefault="009B690D">
      <w:pPr>
        <w:spacing w:line="360" w:lineRule="auto"/>
        <w:ind w:firstLineChars="200" w:firstLine="420"/>
        <w:rPr>
          <w:szCs w:val="21"/>
        </w:rPr>
      </w:pPr>
      <w:r>
        <w:rPr>
          <w:szCs w:val="21"/>
        </w:rPr>
        <w:t>在通常情况下，基金管理费按前一日基金资产净值的</w:t>
      </w:r>
      <w:r>
        <w:rPr>
          <w:szCs w:val="21"/>
        </w:rPr>
        <w:t>1.50%</w:t>
      </w:r>
      <w:r>
        <w:rPr>
          <w:szCs w:val="21"/>
        </w:rPr>
        <w:t>年费率计提。计算方法如下：</w:t>
      </w:r>
    </w:p>
    <w:p w:rsidR="00DE5199" w:rsidRDefault="009B690D">
      <w:pPr>
        <w:spacing w:line="360" w:lineRule="auto"/>
        <w:ind w:firstLineChars="200" w:firstLine="420"/>
        <w:rPr>
          <w:szCs w:val="21"/>
        </w:rPr>
      </w:pPr>
      <w:r>
        <w:rPr>
          <w:szCs w:val="21"/>
        </w:rPr>
        <w:t>H</w:t>
      </w:r>
      <w:r>
        <w:rPr>
          <w:szCs w:val="21"/>
        </w:rPr>
        <w:t>＝</w:t>
      </w:r>
      <w:r>
        <w:rPr>
          <w:szCs w:val="21"/>
        </w:rPr>
        <w:t>E×1.50%÷</w:t>
      </w:r>
      <w:r>
        <w:rPr>
          <w:szCs w:val="21"/>
        </w:rPr>
        <w:t>当年天数</w:t>
      </w:r>
    </w:p>
    <w:p w:rsidR="00DE5199" w:rsidRDefault="009B690D">
      <w:pPr>
        <w:spacing w:line="360" w:lineRule="auto"/>
        <w:ind w:firstLineChars="200" w:firstLine="420"/>
        <w:rPr>
          <w:szCs w:val="21"/>
        </w:rPr>
      </w:pPr>
      <w:r>
        <w:rPr>
          <w:szCs w:val="21"/>
        </w:rPr>
        <w:t>H</w:t>
      </w:r>
      <w:r>
        <w:rPr>
          <w:szCs w:val="21"/>
        </w:rPr>
        <w:t>为每日应计提的基金管理费</w:t>
      </w:r>
    </w:p>
    <w:p w:rsidR="00DE5199" w:rsidRDefault="009B690D">
      <w:pPr>
        <w:spacing w:line="360" w:lineRule="auto"/>
        <w:ind w:firstLineChars="200" w:firstLine="420"/>
        <w:rPr>
          <w:szCs w:val="21"/>
        </w:rPr>
      </w:pPr>
      <w:r>
        <w:rPr>
          <w:szCs w:val="21"/>
        </w:rPr>
        <w:t>E</w:t>
      </w:r>
      <w:r>
        <w:rPr>
          <w:szCs w:val="21"/>
        </w:rPr>
        <w:t>为前一日基金资产净值</w:t>
      </w:r>
    </w:p>
    <w:p w:rsidR="00DE5199" w:rsidRDefault="009B690D">
      <w:pPr>
        <w:spacing w:line="360" w:lineRule="auto"/>
        <w:ind w:firstLineChars="200" w:firstLine="420"/>
        <w:rPr>
          <w:szCs w:val="21"/>
        </w:rPr>
      </w:pPr>
      <w:r>
        <w:rPr>
          <w:rFonts w:hint="eastAsia"/>
          <w:szCs w:val="21"/>
        </w:rPr>
        <w:t>基金管理费每日计提，逐日累计至每个月月末，按月支付。经基金管理人与基金托管人核对一致后，由基金托管人于次月首日起</w:t>
      </w:r>
      <w:r>
        <w:rPr>
          <w:rFonts w:hint="eastAsia"/>
          <w:szCs w:val="21"/>
        </w:rPr>
        <w:t>2-5</w:t>
      </w:r>
      <w:r>
        <w:rPr>
          <w:rFonts w:hint="eastAsia"/>
          <w:szCs w:val="21"/>
        </w:rPr>
        <w:t>个工作日内从基金财产中一次性支付给基金管理人。</w:t>
      </w:r>
    </w:p>
    <w:p w:rsidR="00DE5199" w:rsidRDefault="009B690D">
      <w:pPr>
        <w:autoSpaceDE w:val="0"/>
        <w:autoSpaceDN w:val="0"/>
        <w:spacing w:line="360" w:lineRule="auto"/>
        <w:ind w:firstLineChars="200" w:firstLine="420"/>
        <w:textAlignment w:val="bottom"/>
        <w:rPr>
          <w:color w:val="000000"/>
          <w:szCs w:val="21"/>
        </w:rPr>
      </w:pPr>
      <w:r>
        <w:rPr>
          <w:color w:val="000000"/>
          <w:szCs w:val="21"/>
        </w:rPr>
        <w:lastRenderedPageBreak/>
        <w:t>在首期支付基金管理费前，基金管理人应向托管人出具正式函件指定基金管理费的收款账户。基金管理人如需要变更此账户，应提前</w:t>
      </w:r>
      <w:r>
        <w:rPr>
          <w:color w:val="000000"/>
          <w:szCs w:val="21"/>
        </w:rPr>
        <w:t>10</w:t>
      </w:r>
      <w:r>
        <w:rPr>
          <w:color w:val="000000"/>
          <w:szCs w:val="21"/>
        </w:rPr>
        <w:t>个工作日向托管人出具书面的收款账户变更通知。</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（二）基金托管人的托管费</w:t>
      </w:r>
    </w:p>
    <w:p w:rsidR="00DE5199" w:rsidRDefault="009B690D">
      <w:pPr>
        <w:spacing w:line="360" w:lineRule="auto"/>
        <w:ind w:firstLineChars="200" w:firstLine="420"/>
        <w:rPr>
          <w:szCs w:val="21"/>
        </w:rPr>
      </w:pPr>
      <w:r>
        <w:rPr>
          <w:szCs w:val="21"/>
        </w:rPr>
        <w:t>在通常情况下，基金托管费按前一日基金资产净值的</w:t>
      </w:r>
      <w:r>
        <w:rPr>
          <w:szCs w:val="21"/>
        </w:rPr>
        <w:t>0.25%</w:t>
      </w:r>
      <w:r>
        <w:rPr>
          <w:szCs w:val="21"/>
        </w:rPr>
        <w:t>年费率计提。计算方法如下：</w:t>
      </w:r>
    </w:p>
    <w:p w:rsidR="00DE5199" w:rsidRDefault="009B690D">
      <w:pPr>
        <w:spacing w:line="360" w:lineRule="auto"/>
        <w:ind w:firstLineChars="200" w:firstLine="420"/>
        <w:rPr>
          <w:szCs w:val="21"/>
        </w:rPr>
      </w:pPr>
      <w:r>
        <w:rPr>
          <w:szCs w:val="21"/>
        </w:rPr>
        <w:t>H=E×0.25%÷</w:t>
      </w:r>
      <w:r>
        <w:rPr>
          <w:szCs w:val="21"/>
        </w:rPr>
        <w:t>当年天数</w:t>
      </w:r>
    </w:p>
    <w:p w:rsidR="00DE5199" w:rsidRDefault="009B690D">
      <w:pPr>
        <w:spacing w:line="360" w:lineRule="auto"/>
        <w:ind w:firstLineChars="200" w:firstLine="420"/>
        <w:rPr>
          <w:szCs w:val="21"/>
        </w:rPr>
      </w:pPr>
      <w:r>
        <w:rPr>
          <w:szCs w:val="21"/>
        </w:rPr>
        <w:t>H</w:t>
      </w:r>
      <w:r>
        <w:rPr>
          <w:szCs w:val="21"/>
        </w:rPr>
        <w:t>为每日应计提的基金托管费</w:t>
      </w:r>
    </w:p>
    <w:p w:rsidR="00DE5199" w:rsidRDefault="009B690D">
      <w:pPr>
        <w:spacing w:line="360" w:lineRule="auto"/>
        <w:ind w:firstLineChars="200" w:firstLine="420"/>
        <w:rPr>
          <w:szCs w:val="21"/>
        </w:rPr>
      </w:pPr>
      <w:r>
        <w:rPr>
          <w:szCs w:val="21"/>
        </w:rPr>
        <w:t>E</w:t>
      </w:r>
      <w:r>
        <w:rPr>
          <w:szCs w:val="21"/>
        </w:rPr>
        <w:t>为前一日的基金资产净值</w:t>
      </w:r>
    </w:p>
    <w:p w:rsidR="00DE5199" w:rsidRDefault="009B690D">
      <w:pPr>
        <w:spacing w:line="360" w:lineRule="auto"/>
        <w:ind w:firstLineChars="200" w:firstLine="420"/>
        <w:rPr>
          <w:szCs w:val="21"/>
        </w:rPr>
      </w:pPr>
      <w:r>
        <w:rPr>
          <w:rFonts w:hint="eastAsia"/>
          <w:szCs w:val="21"/>
        </w:rPr>
        <w:t>基金托管费每日计提，逐日累计至每个月月末，按月支付。经基金管理人与基金托管人核对一致后，由基金托管人于次月首日起</w:t>
      </w:r>
      <w:r>
        <w:rPr>
          <w:rFonts w:hint="eastAsia"/>
          <w:szCs w:val="21"/>
        </w:rPr>
        <w:t>2-5</w:t>
      </w:r>
      <w:r>
        <w:rPr>
          <w:rFonts w:hint="eastAsia"/>
          <w:szCs w:val="21"/>
        </w:rPr>
        <w:t>个工作日内从基金财产中一次性支付给基金托管人。</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（三）经双方当事人协商一致，基金管理人或基金托管人可酌情调低该基金管理费和</w:t>
      </w:r>
      <w:r>
        <w:rPr>
          <w:rFonts w:ascii="Times New Roman" w:eastAsia="宋体" w:hAnsi="Times New Roman"/>
          <w:color w:val="auto"/>
          <w:sz w:val="21"/>
          <w:szCs w:val="21"/>
        </w:rPr>
        <w:t>/</w:t>
      </w:r>
      <w:r>
        <w:rPr>
          <w:rFonts w:ascii="Times New Roman" w:eastAsia="宋体" w:hAnsi="Times New Roman"/>
          <w:color w:val="auto"/>
          <w:sz w:val="21"/>
          <w:szCs w:val="21"/>
        </w:rPr>
        <w:t>或托管费。</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（四）从基金财产中列支基金管理人的管理费、基金托管人的托管费之外的其他基金费用，应当依据有关法律法规、《基金合同》的规定执行。</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（五）对于</w:t>
      </w:r>
      <w:r>
        <w:rPr>
          <w:rFonts w:ascii="Times New Roman" w:eastAsia="宋体" w:hAnsi="Times New Roman"/>
          <w:sz w:val="21"/>
          <w:szCs w:val="21"/>
        </w:rPr>
        <w:t>违反法律法规、</w:t>
      </w:r>
      <w:r>
        <w:rPr>
          <w:rFonts w:ascii="Times New Roman" w:eastAsia="宋体" w:hAnsi="Times New Roman"/>
          <w:color w:val="auto"/>
          <w:sz w:val="21"/>
          <w:szCs w:val="21"/>
        </w:rPr>
        <w:t>《基金合同》</w:t>
      </w:r>
      <w:r>
        <w:rPr>
          <w:rFonts w:ascii="Times New Roman" w:eastAsia="宋体" w:hAnsi="Times New Roman"/>
          <w:sz w:val="21"/>
          <w:szCs w:val="21"/>
        </w:rPr>
        <w:t>、本协议及其他有关规定</w:t>
      </w:r>
      <w:r>
        <w:rPr>
          <w:rFonts w:ascii="Times New Roman" w:eastAsia="宋体" w:hAnsi="Times New Roman"/>
          <w:color w:val="auto"/>
          <w:sz w:val="21"/>
          <w:szCs w:val="21"/>
        </w:rPr>
        <w:t>（包括基金费用的计提方法、计提标准、支付方式等）的基金费用，不得从任何基金财产中列支。</w:t>
      </w:r>
    </w:p>
    <w:p w:rsidR="00DE5199" w:rsidRDefault="00DE5199">
      <w:pPr>
        <w:pStyle w:val="a6"/>
        <w:spacing w:line="360" w:lineRule="auto"/>
        <w:ind w:firstLine="403"/>
        <w:rPr>
          <w:rFonts w:ascii="Times New Roman" w:eastAsia="宋体" w:hAnsi="Times New Roman"/>
          <w:color w:val="auto"/>
          <w:sz w:val="21"/>
          <w:szCs w:val="21"/>
        </w:rPr>
      </w:pPr>
    </w:p>
    <w:p w:rsidR="00DE5199" w:rsidRDefault="009B690D">
      <w:pPr>
        <w:pStyle w:val="1"/>
        <w:spacing w:before="0" w:after="0" w:line="360" w:lineRule="auto"/>
        <w:ind w:firstLineChars="200" w:firstLine="422"/>
        <w:rPr>
          <w:sz w:val="21"/>
          <w:szCs w:val="21"/>
        </w:rPr>
      </w:pPr>
      <w:bookmarkStart w:id="17" w:name="_Toc116900107"/>
      <w:bookmarkEnd w:id="16"/>
      <w:r>
        <w:rPr>
          <w:sz w:val="21"/>
          <w:szCs w:val="21"/>
        </w:rPr>
        <w:t>十二、基金份额持有人名册的保管</w:t>
      </w:r>
    </w:p>
    <w:p w:rsidR="00DE5199" w:rsidRDefault="009B690D">
      <w:pPr>
        <w:pStyle w:val="a6"/>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（一）基金份额持有人名册的内容</w:t>
      </w:r>
    </w:p>
    <w:p w:rsidR="00DE5199" w:rsidRDefault="009B690D">
      <w:pPr>
        <w:pStyle w:val="a6"/>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基金份额持有人名册的内容包括但不限于基金份额持有人的名称和持有的基金份额。</w:t>
      </w:r>
    </w:p>
    <w:p w:rsidR="00DE5199" w:rsidRDefault="009B690D">
      <w:pPr>
        <w:pStyle w:val="a6"/>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基金份额持有人名册包括以下几类：</w:t>
      </w:r>
    </w:p>
    <w:p w:rsidR="00DE5199" w:rsidRDefault="009B690D">
      <w:pPr>
        <w:pStyle w:val="a6"/>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1</w:t>
      </w:r>
      <w:r>
        <w:rPr>
          <w:rFonts w:ascii="Times New Roman" w:eastAsia="宋体" w:hAnsi="Times New Roman"/>
          <w:sz w:val="21"/>
          <w:szCs w:val="21"/>
        </w:rPr>
        <w:t>、基金募集期结束时的基金份额持有人名册；</w:t>
      </w:r>
    </w:p>
    <w:p w:rsidR="00DE5199" w:rsidRDefault="009B690D">
      <w:pPr>
        <w:pStyle w:val="a6"/>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2</w:t>
      </w:r>
      <w:r>
        <w:rPr>
          <w:rFonts w:ascii="Times New Roman" w:eastAsia="宋体" w:hAnsi="Times New Roman"/>
          <w:sz w:val="21"/>
          <w:szCs w:val="21"/>
        </w:rPr>
        <w:t>、基金权益登记日的基金份额持有人名册；</w:t>
      </w:r>
    </w:p>
    <w:p w:rsidR="00DE5199" w:rsidRDefault="009B690D">
      <w:pPr>
        <w:pStyle w:val="a6"/>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3</w:t>
      </w:r>
      <w:r>
        <w:rPr>
          <w:rFonts w:ascii="Times New Roman" w:eastAsia="宋体" w:hAnsi="Times New Roman"/>
          <w:sz w:val="21"/>
          <w:szCs w:val="21"/>
        </w:rPr>
        <w:t>、基金份额持有人大会登记日的基金份额持有人名册；</w:t>
      </w:r>
    </w:p>
    <w:p w:rsidR="00DE5199" w:rsidRDefault="009B690D">
      <w:pPr>
        <w:pStyle w:val="a6"/>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4</w:t>
      </w:r>
      <w:r>
        <w:rPr>
          <w:rFonts w:ascii="Times New Roman" w:eastAsia="宋体" w:hAnsi="Times New Roman"/>
          <w:sz w:val="21"/>
          <w:szCs w:val="21"/>
        </w:rPr>
        <w:t>、每半年度最后一个交易日的基金份额持有人名册。</w:t>
      </w:r>
    </w:p>
    <w:p w:rsidR="00DE5199" w:rsidRDefault="009B690D">
      <w:pPr>
        <w:pStyle w:val="a6"/>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（二）基金份额持有人名册的提供</w:t>
      </w:r>
    </w:p>
    <w:p w:rsidR="00DE5199" w:rsidRDefault="009B690D">
      <w:pPr>
        <w:pStyle w:val="a6"/>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对于每半年度最后一个交易日的基金份额持有人名册，基金管理人应在每半年度结束后</w:t>
      </w:r>
      <w:r>
        <w:rPr>
          <w:rFonts w:ascii="Times New Roman" w:eastAsia="宋体" w:hAnsi="Times New Roman"/>
          <w:sz w:val="21"/>
          <w:szCs w:val="21"/>
        </w:rPr>
        <w:t>5</w:t>
      </w:r>
      <w:r>
        <w:rPr>
          <w:rFonts w:ascii="Times New Roman" w:eastAsia="宋体" w:hAnsi="Times New Roman"/>
          <w:sz w:val="21"/>
          <w:szCs w:val="21"/>
        </w:rPr>
        <w:t>个工作日内定期向基金托管人提供。对于基金募集期结束时的基金份额持有人名册、基金权益登记日的基金份额持有人名册以及基金份额持有人大会登记日的基金份额持有人名册，</w:t>
      </w:r>
      <w:r>
        <w:rPr>
          <w:rFonts w:ascii="Times New Roman" w:eastAsia="宋体" w:hAnsi="Times New Roman"/>
          <w:sz w:val="21"/>
          <w:szCs w:val="21"/>
        </w:rPr>
        <w:lastRenderedPageBreak/>
        <w:t>基金管理人应在相关的名册生成后</w:t>
      </w:r>
      <w:r>
        <w:rPr>
          <w:rFonts w:ascii="Times New Roman" w:eastAsia="宋体" w:hAnsi="Times New Roman"/>
          <w:sz w:val="21"/>
          <w:szCs w:val="21"/>
        </w:rPr>
        <w:t>5</w:t>
      </w:r>
      <w:r>
        <w:rPr>
          <w:rFonts w:ascii="Times New Roman" w:eastAsia="宋体" w:hAnsi="Times New Roman"/>
          <w:sz w:val="21"/>
          <w:szCs w:val="21"/>
        </w:rPr>
        <w:t>个工作日内向基金托管人提供。</w:t>
      </w:r>
    </w:p>
    <w:p w:rsidR="00DE5199" w:rsidRDefault="009B690D">
      <w:pPr>
        <w:pStyle w:val="a6"/>
        <w:spacing w:line="360" w:lineRule="auto"/>
        <w:ind w:firstLineChars="200" w:firstLine="420"/>
        <w:rPr>
          <w:rFonts w:ascii="Times New Roman" w:eastAsia="宋体" w:hAnsi="Times New Roman"/>
          <w:sz w:val="21"/>
          <w:szCs w:val="21"/>
        </w:rPr>
      </w:pPr>
      <w:r>
        <w:rPr>
          <w:rFonts w:ascii="Times New Roman" w:eastAsia="宋体" w:hAnsi="Times New Roman"/>
          <w:sz w:val="21"/>
          <w:szCs w:val="21"/>
        </w:rPr>
        <w:t>（三）基金份额持有人名册的保管</w:t>
      </w:r>
    </w:p>
    <w:p w:rsidR="00DE5199" w:rsidRDefault="009B690D">
      <w:pPr>
        <w:spacing w:line="360" w:lineRule="auto"/>
        <w:ind w:firstLineChars="200" w:firstLine="420"/>
        <w:rPr>
          <w:szCs w:val="21"/>
        </w:rPr>
      </w:pPr>
      <w:r>
        <w:rPr>
          <w:color w:val="000000"/>
          <w:szCs w:val="21"/>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DE5199" w:rsidRDefault="00DE5199">
      <w:pPr>
        <w:spacing w:line="360" w:lineRule="auto"/>
        <w:ind w:firstLine="200"/>
        <w:rPr>
          <w:color w:val="FF0000"/>
          <w:szCs w:val="21"/>
        </w:rPr>
      </w:pPr>
    </w:p>
    <w:p w:rsidR="00DE5199" w:rsidRDefault="009B690D">
      <w:pPr>
        <w:pStyle w:val="1"/>
        <w:spacing w:before="0" w:after="0" w:line="360" w:lineRule="auto"/>
        <w:ind w:firstLineChars="200" w:firstLine="422"/>
        <w:rPr>
          <w:sz w:val="21"/>
          <w:szCs w:val="21"/>
        </w:rPr>
      </w:pPr>
      <w:r>
        <w:rPr>
          <w:sz w:val="21"/>
          <w:szCs w:val="21"/>
        </w:rPr>
        <w:t>十三、基金有关文件档案的保存</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（一）</w:t>
      </w:r>
      <w:r>
        <w:rPr>
          <w:rFonts w:ascii="Times New Roman" w:eastAsia="宋体" w:hAnsi="Times New Roman"/>
          <w:sz w:val="21"/>
          <w:szCs w:val="21"/>
        </w:rPr>
        <w:t>基金管理人应保存基金财产管理业务活动的记录、账册、报表和其他相关资料，基金托管人应保存基金托管业务活动的记录、账册、报表和其他相关资料，保存期限为</w:t>
      </w:r>
      <w:r>
        <w:rPr>
          <w:rFonts w:ascii="Times New Roman" w:eastAsia="宋体" w:hAnsi="Times New Roman"/>
          <w:sz w:val="21"/>
          <w:szCs w:val="21"/>
        </w:rPr>
        <w:t>15</w:t>
      </w:r>
      <w:r>
        <w:rPr>
          <w:rFonts w:ascii="Times New Roman" w:eastAsia="宋体" w:hAnsi="Times New Roman"/>
          <w:sz w:val="21"/>
          <w:szCs w:val="21"/>
        </w:rPr>
        <w:t>年。</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（二）基金管理人和基金托管人应按本协议第十条的约定对各自保存的文件和档案履行保密义务。</w:t>
      </w:r>
    </w:p>
    <w:p w:rsidR="00DE5199" w:rsidRDefault="00DE5199">
      <w:pPr>
        <w:spacing w:line="360" w:lineRule="auto"/>
        <w:ind w:firstLine="200"/>
        <w:rPr>
          <w:szCs w:val="21"/>
        </w:rPr>
      </w:pPr>
    </w:p>
    <w:p w:rsidR="00DE5199" w:rsidRDefault="009B690D">
      <w:pPr>
        <w:pStyle w:val="1"/>
        <w:spacing w:before="0" w:after="0" w:line="360" w:lineRule="auto"/>
        <w:ind w:firstLineChars="200" w:firstLine="422"/>
        <w:rPr>
          <w:sz w:val="21"/>
          <w:szCs w:val="21"/>
        </w:rPr>
      </w:pPr>
      <w:r>
        <w:rPr>
          <w:sz w:val="21"/>
          <w:szCs w:val="21"/>
        </w:rPr>
        <w:t>十四、</w:t>
      </w:r>
      <w:bookmarkStart w:id="18" w:name="_Toc116900108"/>
      <w:bookmarkEnd w:id="17"/>
      <w:r>
        <w:rPr>
          <w:sz w:val="21"/>
          <w:szCs w:val="21"/>
        </w:rPr>
        <w:t>基金托管人和基金管理人的更换</w:t>
      </w:r>
      <w:bookmarkEnd w:id="18"/>
      <w:r>
        <w:rPr>
          <w:sz w:val="21"/>
          <w:szCs w:val="21"/>
        </w:rPr>
        <w:t xml:space="preserve"> </w:t>
      </w:r>
    </w:p>
    <w:p w:rsidR="00DE5199" w:rsidRDefault="009B690D">
      <w:pPr>
        <w:spacing w:line="360" w:lineRule="auto"/>
        <w:ind w:firstLineChars="200" w:firstLine="420"/>
        <w:rPr>
          <w:kern w:val="0"/>
          <w:szCs w:val="21"/>
        </w:rPr>
      </w:pPr>
      <w:r>
        <w:rPr>
          <w:szCs w:val="21"/>
        </w:rPr>
        <w:t>（一）</w:t>
      </w:r>
      <w:r>
        <w:rPr>
          <w:kern w:val="0"/>
          <w:szCs w:val="21"/>
        </w:rPr>
        <w:t>基金管理人职责终止后，仍应妥善保管基金管理业务资料，并与新任基金管理人或临时基金管理人及时办理基金管理业务的移交手续。基金托管人应给予积极配合，并与新任基金管理人或临时基金管理人核对基金资产总值和净值。</w:t>
      </w:r>
    </w:p>
    <w:p w:rsidR="00DE5199" w:rsidRDefault="009B690D">
      <w:pPr>
        <w:spacing w:line="360" w:lineRule="auto"/>
        <w:ind w:firstLineChars="200" w:firstLine="420"/>
        <w:rPr>
          <w:kern w:val="0"/>
          <w:szCs w:val="21"/>
        </w:rPr>
      </w:pPr>
      <w:r>
        <w:rPr>
          <w:szCs w:val="21"/>
        </w:rPr>
        <w:t>（二）</w:t>
      </w:r>
      <w:r>
        <w:rPr>
          <w:kern w:val="0"/>
          <w:szCs w:val="21"/>
        </w:rPr>
        <w:t>基金托管人职责终止后，仍应妥善保管基金财产和基金托管业务资料，并与新任基金托管人或临时基金托管人及时办理基金财产和基金托管业务的移交手续。基金管理人应给予积极配合，并与新任基金托管人或临时基金托管人核对基金资产总值和净值。</w:t>
      </w:r>
    </w:p>
    <w:p w:rsidR="00DE5199" w:rsidRDefault="009B690D">
      <w:pPr>
        <w:spacing w:line="360" w:lineRule="auto"/>
        <w:ind w:firstLineChars="200" w:firstLine="420"/>
        <w:rPr>
          <w:kern w:val="0"/>
          <w:szCs w:val="21"/>
        </w:rPr>
      </w:pPr>
      <w:r>
        <w:rPr>
          <w:kern w:val="0"/>
          <w:szCs w:val="21"/>
        </w:rPr>
        <w:t>（三）其他事宜见《基金合同》的相关约定。</w:t>
      </w:r>
    </w:p>
    <w:p w:rsidR="00DE5199" w:rsidRDefault="00DE5199">
      <w:pPr>
        <w:spacing w:line="360" w:lineRule="auto"/>
        <w:ind w:firstLine="200"/>
        <w:rPr>
          <w:szCs w:val="21"/>
        </w:rPr>
      </w:pPr>
    </w:p>
    <w:p w:rsidR="00DE5199" w:rsidRDefault="009B690D">
      <w:pPr>
        <w:pStyle w:val="1"/>
        <w:spacing w:before="0" w:after="0" w:line="360" w:lineRule="auto"/>
        <w:ind w:firstLineChars="200" w:firstLine="422"/>
        <w:rPr>
          <w:sz w:val="21"/>
          <w:szCs w:val="21"/>
        </w:rPr>
      </w:pPr>
      <w:bookmarkStart w:id="19" w:name="_Toc116900110"/>
      <w:r>
        <w:rPr>
          <w:sz w:val="21"/>
          <w:szCs w:val="21"/>
        </w:rPr>
        <w:t>十五、禁止行为</w:t>
      </w:r>
      <w:bookmarkEnd w:id="19"/>
    </w:p>
    <w:p w:rsidR="00DE5199" w:rsidRDefault="009B690D">
      <w:pPr>
        <w:spacing w:line="360" w:lineRule="auto"/>
        <w:ind w:firstLineChars="200" w:firstLine="420"/>
        <w:rPr>
          <w:szCs w:val="21"/>
        </w:rPr>
      </w:pPr>
      <w:r>
        <w:rPr>
          <w:szCs w:val="21"/>
        </w:rPr>
        <w:t>（一）《基金法》第二十一条、第三十九条禁止的行为。</w:t>
      </w:r>
    </w:p>
    <w:p w:rsidR="00DE5199" w:rsidRDefault="009B690D">
      <w:pPr>
        <w:spacing w:line="360" w:lineRule="auto"/>
        <w:ind w:firstLineChars="200" w:firstLine="420"/>
        <w:rPr>
          <w:szCs w:val="21"/>
        </w:rPr>
      </w:pPr>
      <w:r>
        <w:rPr>
          <w:szCs w:val="21"/>
        </w:rPr>
        <w:t>（二）《基金法》第七十四条禁止的投资或活动。</w:t>
      </w:r>
    </w:p>
    <w:p w:rsidR="00DE5199" w:rsidRDefault="009B690D">
      <w:pPr>
        <w:spacing w:line="360" w:lineRule="auto"/>
        <w:ind w:firstLineChars="200" w:firstLine="420"/>
        <w:rPr>
          <w:szCs w:val="21"/>
        </w:rPr>
      </w:pPr>
      <w:r>
        <w:rPr>
          <w:szCs w:val="21"/>
        </w:rPr>
        <w:t>（三）除根据基金管理人的指令或《基金合同》、本协议另有规定外，基金托管人不得动用或处分基金财产。</w:t>
      </w:r>
    </w:p>
    <w:p w:rsidR="00DE5199" w:rsidRDefault="009B690D">
      <w:pPr>
        <w:spacing w:line="360" w:lineRule="auto"/>
        <w:ind w:firstLineChars="200" w:firstLine="420"/>
        <w:rPr>
          <w:szCs w:val="21"/>
        </w:rPr>
      </w:pPr>
      <w:r>
        <w:rPr>
          <w:szCs w:val="21"/>
        </w:rPr>
        <w:t>（四）基金管理人、基金托管人的高级管理人员和其他从业人员不得相互兼职。</w:t>
      </w:r>
    </w:p>
    <w:p w:rsidR="00DE5199" w:rsidRDefault="009B690D">
      <w:pPr>
        <w:pStyle w:val="a6"/>
        <w:spacing w:line="360" w:lineRule="auto"/>
        <w:ind w:firstLine="403"/>
        <w:rPr>
          <w:rFonts w:ascii="Times New Roman" w:eastAsia="宋体" w:hAnsi="Times New Roman"/>
          <w:color w:val="auto"/>
          <w:sz w:val="21"/>
          <w:szCs w:val="21"/>
        </w:rPr>
      </w:pPr>
      <w:r>
        <w:rPr>
          <w:rFonts w:ascii="Times New Roman" w:eastAsia="宋体" w:hAnsi="Times New Roman"/>
          <w:color w:val="auto"/>
          <w:sz w:val="21"/>
          <w:szCs w:val="21"/>
        </w:rPr>
        <w:t>（五）法律法规、《基金合同》和本协议禁止的其他行为。</w:t>
      </w:r>
    </w:p>
    <w:p w:rsidR="00DE5199" w:rsidRDefault="00DE5199">
      <w:pPr>
        <w:pStyle w:val="a6"/>
        <w:spacing w:line="360" w:lineRule="auto"/>
        <w:ind w:firstLine="403"/>
        <w:rPr>
          <w:rFonts w:ascii="Times New Roman" w:eastAsia="宋体" w:hAnsi="Times New Roman"/>
          <w:color w:val="auto"/>
          <w:sz w:val="21"/>
          <w:szCs w:val="21"/>
        </w:rPr>
      </w:pPr>
    </w:p>
    <w:p w:rsidR="00DE5199" w:rsidRDefault="009B690D">
      <w:pPr>
        <w:pStyle w:val="1"/>
        <w:spacing w:before="0" w:after="0" w:line="360" w:lineRule="auto"/>
        <w:ind w:firstLineChars="200" w:firstLine="422"/>
        <w:rPr>
          <w:sz w:val="21"/>
          <w:szCs w:val="21"/>
        </w:rPr>
      </w:pPr>
      <w:bookmarkStart w:id="20" w:name="_Toc116900111"/>
      <w:r>
        <w:rPr>
          <w:sz w:val="21"/>
          <w:szCs w:val="21"/>
        </w:rPr>
        <w:lastRenderedPageBreak/>
        <w:t>十六、托管协议的变更、终止与基金财产的清算</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（一）托管协议的变更</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本协议双方当事人经协商一致，可以对协议进行变更。变更后的新协议，其内容不得与《基金合同》的规定有任何冲突。变更后的新协议应当报中国证监会备案。</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（二）托管协议的终止</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发生以下情况，本托管协议应当终止：</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1</w:t>
      </w:r>
      <w:r>
        <w:rPr>
          <w:rFonts w:ascii="Times New Roman" w:eastAsia="宋体" w:hAnsi="Times New Roman"/>
          <w:color w:val="auto"/>
          <w:sz w:val="21"/>
          <w:szCs w:val="21"/>
        </w:rPr>
        <w:t>、《基金合同》终止；</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2</w:t>
      </w:r>
      <w:r>
        <w:rPr>
          <w:rFonts w:ascii="Times New Roman" w:eastAsia="宋体" w:hAnsi="Times New Roman"/>
          <w:color w:val="auto"/>
          <w:sz w:val="21"/>
          <w:szCs w:val="21"/>
        </w:rPr>
        <w:t>、本基金更换基金托管人；</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3</w:t>
      </w:r>
      <w:r>
        <w:rPr>
          <w:rFonts w:ascii="Times New Roman" w:eastAsia="宋体" w:hAnsi="Times New Roman"/>
          <w:color w:val="auto"/>
          <w:sz w:val="21"/>
          <w:szCs w:val="21"/>
        </w:rPr>
        <w:t>、本基金更换基金管理人；</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4</w:t>
      </w:r>
      <w:r>
        <w:rPr>
          <w:rFonts w:ascii="Times New Roman" w:eastAsia="宋体" w:hAnsi="Times New Roman"/>
          <w:color w:val="auto"/>
          <w:sz w:val="21"/>
          <w:szCs w:val="21"/>
        </w:rPr>
        <w:t>、发生《基金法》、《运作办法》或其他法律法规规定的终止事项。</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（三）基金财产的清算</w:t>
      </w:r>
    </w:p>
    <w:p w:rsidR="00DE5199" w:rsidRDefault="009B690D">
      <w:pPr>
        <w:spacing w:line="360" w:lineRule="auto"/>
        <w:ind w:firstLineChars="200" w:firstLine="420"/>
        <w:rPr>
          <w:color w:val="000000"/>
          <w:kern w:val="0"/>
          <w:szCs w:val="21"/>
        </w:rPr>
      </w:pPr>
      <w:r>
        <w:rPr>
          <w:color w:val="000000"/>
          <w:kern w:val="0"/>
          <w:szCs w:val="21"/>
        </w:rPr>
        <w:t>基金管理人和基金托管人应按照《基金合同》及有关法律法规的规定对本基金的财产进行清算。</w:t>
      </w:r>
    </w:p>
    <w:p w:rsidR="00DE5199" w:rsidRDefault="00DE5199">
      <w:pPr>
        <w:spacing w:line="360" w:lineRule="auto"/>
        <w:ind w:firstLineChars="214" w:firstLine="449"/>
        <w:rPr>
          <w:szCs w:val="21"/>
        </w:rPr>
      </w:pPr>
    </w:p>
    <w:p w:rsidR="00DE5199" w:rsidRDefault="009B690D">
      <w:pPr>
        <w:pStyle w:val="1"/>
        <w:spacing w:before="0" w:after="0" w:line="360" w:lineRule="auto"/>
        <w:ind w:firstLineChars="200" w:firstLine="422"/>
        <w:rPr>
          <w:sz w:val="21"/>
          <w:szCs w:val="21"/>
        </w:rPr>
      </w:pPr>
      <w:r>
        <w:rPr>
          <w:sz w:val="21"/>
          <w:szCs w:val="21"/>
        </w:rPr>
        <w:t>十七、违约责任和责任划分</w:t>
      </w:r>
      <w:bookmarkEnd w:id="20"/>
    </w:p>
    <w:p w:rsidR="00DE5199" w:rsidRDefault="009B690D">
      <w:pPr>
        <w:spacing w:line="360" w:lineRule="auto"/>
        <w:ind w:firstLineChars="200" w:firstLine="420"/>
        <w:rPr>
          <w:szCs w:val="21"/>
        </w:rPr>
      </w:pPr>
      <w:r>
        <w:rPr>
          <w:szCs w:val="21"/>
        </w:rPr>
        <w:t>（一）本协议当事人不履行本协议或履行本协议不符合约定的，应当承担违约责任。</w:t>
      </w:r>
    </w:p>
    <w:p w:rsidR="00DE5199" w:rsidRDefault="009B690D">
      <w:pPr>
        <w:spacing w:line="360" w:lineRule="auto"/>
        <w:ind w:firstLineChars="200" w:firstLine="420"/>
        <w:rPr>
          <w:szCs w:val="21"/>
        </w:rPr>
      </w:pPr>
      <w:r>
        <w:rPr>
          <w:szCs w:val="21"/>
        </w:rPr>
        <w:t>（二）因本协议当事人违约给基金财产或者基金份额持有人造成损害的，应当分别对各自的行为依法承担赔偿责任，因共同行为给基金财产或者基金份额持有人造成损害的，应当承担连带赔偿责任。对损失的赔偿，仅限于直接损失。但是发生下列情况，当事人免责：</w:t>
      </w:r>
    </w:p>
    <w:p w:rsidR="00DE5199" w:rsidRDefault="009B690D">
      <w:pPr>
        <w:spacing w:line="360" w:lineRule="auto"/>
        <w:ind w:firstLineChars="200" w:firstLine="420"/>
        <w:rPr>
          <w:szCs w:val="21"/>
        </w:rPr>
      </w:pPr>
      <w:r>
        <w:rPr>
          <w:szCs w:val="21"/>
        </w:rPr>
        <w:t>1</w:t>
      </w:r>
      <w:r>
        <w:rPr>
          <w:szCs w:val="21"/>
        </w:rPr>
        <w:t>、基金管理人及基金托管人按照当时有效的法律法规或中国证监会的规定作为或不作为而造成的损失等；</w:t>
      </w:r>
    </w:p>
    <w:p w:rsidR="00DE5199" w:rsidRDefault="009B690D">
      <w:pPr>
        <w:spacing w:line="360" w:lineRule="auto"/>
        <w:ind w:firstLineChars="200" w:firstLine="420"/>
        <w:rPr>
          <w:szCs w:val="21"/>
        </w:rPr>
      </w:pPr>
      <w:r>
        <w:rPr>
          <w:szCs w:val="21"/>
        </w:rPr>
        <w:t>2</w:t>
      </w:r>
      <w:r>
        <w:rPr>
          <w:szCs w:val="21"/>
        </w:rPr>
        <w:t>、基金管理人由于按照《基金合同》规定的投资原则而行使或不行使其投资权而造成的损失等；</w:t>
      </w:r>
    </w:p>
    <w:p w:rsidR="00DE5199" w:rsidRDefault="009B690D">
      <w:pPr>
        <w:spacing w:line="360" w:lineRule="auto"/>
        <w:ind w:firstLineChars="200" w:firstLine="420"/>
        <w:rPr>
          <w:szCs w:val="21"/>
        </w:rPr>
      </w:pPr>
      <w:r>
        <w:rPr>
          <w:szCs w:val="21"/>
        </w:rPr>
        <w:t>3</w:t>
      </w:r>
      <w:r>
        <w:rPr>
          <w:szCs w:val="21"/>
        </w:rPr>
        <w:t>、不可抗力；</w:t>
      </w:r>
    </w:p>
    <w:p w:rsidR="00DE5199" w:rsidRDefault="009B690D">
      <w:pPr>
        <w:spacing w:line="360" w:lineRule="auto"/>
        <w:ind w:firstLineChars="200" w:firstLine="420"/>
        <w:rPr>
          <w:szCs w:val="21"/>
        </w:rPr>
      </w:pPr>
      <w:r>
        <w:rPr>
          <w:szCs w:val="21"/>
        </w:rPr>
        <w:t>4</w:t>
      </w:r>
      <w:r>
        <w:rPr>
          <w:szCs w:val="21"/>
        </w:rPr>
        <w:t>、计算机系统故障、网络故障、通讯故障、电力故障、计算机病毒攻击及其他非基金管理人、基金托管人过错造成的意外事故。</w:t>
      </w:r>
    </w:p>
    <w:p w:rsidR="00DE5199" w:rsidRDefault="009B690D">
      <w:pPr>
        <w:pStyle w:val="a6"/>
        <w:spacing w:line="360" w:lineRule="auto"/>
        <w:ind w:firstLine="403"/>
        <w:rPr>
          <w:rFonts w:ascii="Times New Roman" w:eastAsia="宋体" w:hAnsi="Times New Roman"/>
          <w:color w:val="auto"/>
          <w:sz w:val="21"/>
          <w:szCs w:val="21"/>
        </w:rPr>
      </w:pPr>
      <w:r>
        <w:rPr>
          <w:rFonts w:ascii="Times New Roman" w:eastAsia="宋体" w:hAnsi="Times New Roman"/>
          <w:color w:val="auto"/>
          <w:sz w:val="21"/>
          <w:szCs w:val="21"/>
        </w:rPr>
        <w:t>（三）一方当事人违反本协议，给另一方当事人造成损失的，应承担赔偿责任。</w:t>
      </w:r>
    </w:p>
    <w:p w:rsidR="00DE5199" w:rsidRDefault="009B690D">
      <w:pPr>
        <w:spacing w:line="360" w:lineRule="auto"/>
        <w:ind w:firstLineChars="200" w:firstLine="420"/>
        <w:rPr>
          <w:szCs w:val="21"/>
        </w:rPr>
      </w:pPr>
      <w:r>
        <w:rPr>
          <w:szCs w:val="21"/>
        </w:rPr>
        <w:t>（四）因不可抗力不能履行本协议的，根据不可抗力的影响，违约方部分或全部免除责任，但法律另有规定的除外。当事人迟延履行后发生不可抗力的，不能免除责任。</w:t>
      </w:r>
    </w:p>
    <w:p w:rsidR="00DE5199" w:rsidRDefault="009B690D">
      <w:pPr>
        <w:pStyle w:val="a6"/>
        <w:spacing w:line="360" w:lineRule="auto"/>
        <w:ind w:firstLine="403"/>
        <w:rPr>
          <w:rFonts w:ascii="Times New Roman" w:eastAsia="宋体" w:hAnsi="Times New Roman"/>
          <w:color w:val="auto"/>
          <w:sz w:val="21"/>
          <w:szCs w:val="21"/>
        </w:rPr>
      </w:pPr>
      <w:r>
        <w:rPr>
          <w:rFonts w:ascii="Times New Roman" w:eastAsia="宋体" w:hAnsi="Times New Roman"/>
          <w:color w:val="auto"/>
          <w:sz w:val="21"/>
          <w:szCs w:val="21"/>
        </w:rPr>
        <w:t>（五）当事人一方违约，另一方在职责范围内有义务及时采取必要的措施，尽力防止损</w:t>
      </w:r>
      <w:r>
        <w:rPr>
          <w:rFonts w:ascii="Times New Roman" w:eastAsia="宋体" w:hAnsi="Times New Roman"/>
          <w:color w:val="auto"/>
          <w:sz w:val="21"/>
          <w:szCs w:val="21"/>
        </w:rPr>
        <w:lastRenderedPageBreak/>
        <w:t>失的扩大。</w:t>
      </w:r>
    </w:p>
    <w:p w:rsidR="00DE5199" w:rsidRDefault="009B690D">
      <w:pPr>
        <w:pStyle w:val="a6"/>
        <w:spacing w:line="360" w:lineRule="auto"/>
        <w:ind w:firstLine="403"/>
        <w:rPr>
          <w:rFonts w:ascii="Times New Roman" w:eastAsia="宋体" w:hAnsi="Times New Roman"/>
          <w:color w:val="auto"/>
          <w:sz w:val="21"/>
          <w:szCs w:val="21"/>
        </w:rPr>
      </w:pPr>
      <w:r>
        <w:rPr>
          <w:rFonts w:ascii="Times New Roman" w:eastAsia="宋体" w:hAnsi="Times New Roman"/>
          <w:color w:val="auto"/>
          <w:sz w:val="21"/>
          <w:szCs w:val="21"/>
        </w:rPr>
        <w:t>（六）违约行为虽已发生，但本协议能够继续履行的，在最大限度地保护基金份额持有人利益的前提下，基金管理人和基金托管人应当继续履行本协议。</w:t>
      </w:r>
    </w:p>
    <w:p w:rsidR="00DE5199" w:rsidRDefault="009B690D">
      <w:pPr>
        <w:pStyle w:val="a6"/>
        <w:spacing w:line="360" w:lineRule="auto"/>
        <w:ind w:firstLine="403"/>
        <w:rPr>
          <w:rFonts w:ascii="Times New Roman" w:eastAsia="宋体" w:hAnsi="Times New Roman"/>
          <w:color w:val="auto"/>
          <w:sz w:val="21"/>
          <w:szCs w:val="21"/>
        </w:rPr>
      </w:pPr>
      <w:r>
        <w:rPr>
          <w:rFonts w:ascii="Times New Roman" w:eastAsia="宋体" w:hAnsi="Times New Roman"/>
          <w:color w:val="auto"/>
          <w:sz w:val="21"/>
          <w:szCs w:val="21"/>
        </w:rPr>
        <w:t>（七）为明确责任，在不影响本协议本条其他规定的普遍适用性的前提下，基金管理人和基金托管人对由于如下行为造成的损失的责任承担问题，明确如下：</w:t>
      </w:r>
    </w:p>
    <w:p w:rsidR="00DE5199" w:rsidRDefault="009B690D">
      <w:pPr>
        <w:pStyle w:val="a6"/>
        <w:spacing w:line="360" w:lineRule="auto"/>
        <w:ind w:firstLine="403"/>
        <w:rPr>
          <w:rFonts w:ascii="Times New Roman" w:eastAsia="宋体" w:hAnsi="Times New Roman"/>
          <w:color w:val="auto"/>
          <w:sz w:val="21"/>
          <w:szCs w:val="21"/>
        </w:rPr>
      </w:pPr>
      <w:r>
        <w:rPr>
          <w:rFonts w:ascii="Times New Roman" w:eastAsia="宋体" w:hAnsi="Times New Roman"/>
          <w:color w:val="auto"/>
          <w:sz w:val="21"/>
          <w:szCs w:val="21"/>
        </w:rPr>
        <w:t>1</w:t>
      </w:r>
      <w:r>
        <w:rPr>
          <w:rFonts w:ascii="Times New Roman" w:eastAsia="宋体" w:hAnsi="Times New Roman"/>
          <w:color w:val="auto"/>
          <w:sz w:val="21"/>
          <w:szCs w:val="21"/>
        </w:rPr>
        <w:t>、由于下达违法、违规的指令所导致的责任，由基金管理人承担；</w:t>
      </w:r>
    </w:p>
    <w:p w:rsidR="00DE5199" w:rsidRDefault="009B690D">
      <w:pPr>
        <w:pStyle w:val="a6"/>
        <w:spacing w:line="360" w:lineRule="auto"/>
        <w:ind w:firstLine="403"/>
        <w:rPr>
          <w:rFonts w:ascii="Times New Roman" w:eastAsia="宋体" w:hAnsi="Times New Roman"/>
          <w:color w:val="auto"/>
          <w:sz w:val="21"/>
          <w:szCs w:val="21"/>
        </w:rPr>
      </w:pPr>
      <w:r>
        <w:rPr>
          <w:rFonts w:ascii="Times New Roman" w:eastAsia="宋体" w:hAnsi="Times New Roman"/>
          <w:color w:val="auto"/>
          <w:sz w:val="21"/>
          <w:szCs w:val="21"/>
        </w:rPr>
        <w:t>2</w:t>
      </w:r>
      <w:r>
        <w:rPr>
          <w:rFonts w:ascii="Times New Roman" w:eastAsia="宋体" w:hAnsi="Times New Roman"/>
          <w:color w:val="auto"/>
          <w:sz w:val="21"/>
          <w:szCs w:val="21"/>
        </w:rPr>
        <w:t>、指令下达人员在授权通知载明的权限范围内下达的指令所导致的责任，由基金管理人承担，即使该人员下达指令并没有获得基金管理人的实际授权（例如基金管理人在撤销或变更授权权限后未能及时通知基金托管人）；</w:t>
      </w:r>
      <w:r>
        <w:rPr>
          <w:rFonts w:ascii="Times New Roman" w:eastAsia="宋体" w:hAnsi="Times New Roman"/>
          <w:color w:val="auto"/>
          <w:sz w:val="21"/>
          <w:szCs w:val="21"/>
        </w:rPr>
        <w:t xml:space="preserve"> </w:t>
      </w:r>
    </w:p>
    <w:p w:rsidR="00DE5199" w:rsidRDefault="009B690D">
      <w:pPr>
        <w:pStyle w:val="a6"/>
        <w:spacing w:line="360" w:lineRule="auto"/>
        <w:ind w:firstLine="403"/>
        <w:rPr>
          <w:rFonts w:ascii="Times New Roman" w:eastAsia="宋体" w:hAnsi="Times New Roman"/>
          <w:color w:val="auto"/>
          <w:sz w:val="21"/>
          <w:szCs w:val="21"/>
        </w:rPr>
      </w:pPr>
      <w:r>
        <w:rPr>
          <w:rFonts w:ascii="Times New Roman" w:eastAsia="宋体" w:hAnsi="Times New Roman"/>
          <w:color w:val="auto"/>
          <w:sz w:val="21"/>
          <w:szCs w:val="21"/>
        </w:rPr>
        <w:t>3</w:t>
      </w:r>
      <w:r>
        <w:rPr>
          <w:rFonts w:ascii="Times New Roman" w:eastAsia="宋体" w:hAnsi="Times New Roman"/>
          <w:color w:val="auto"/>
          <w:sz w:val="21"/>
          <w:szCs w:val="21"/>
        </w:rPr>
        <w:t>、基金托管人未对指令上签名和印鉴与预留签字样本和预留印鉴进行表面真实性审核，导致基金托管人执行了应当无效的指令，基金管理人与基金托管人根据各自的过错程度承担相应责任；</w:t>
      </w:r>
    </w:p>
    <w:p w:rsidR="00DE5199" w:rsidRDefault="009B690D">
      <w:pPr>
        <w:pStyle w:val="a6"/>
        <w:spacing w:line="360" w:lineRule="auto"/>
        <w:ind w:firstLine="403"/>
        <w:rPr>
          <w:rFonts w:ascii="Times New Roman" w:eastAsia="宋体" w:hAnsi="Times New Roman"/>
          <w:color w:val="auto"/>
          <w:sz w:val="21"/>
          <w:szCs w:val="21"/>
        </w:rPr>
      </w:pPr>
      <w:r>
        <w:rPr>
          <w:rFonts w:ascii="Times New Roman" w:eastAsia="宋体" w:hAnsi="Times New Roman"/>
          <w:color w:val="auto"/>
          <w:sz w:val="21"/>
          <w:szCs w:val="21"/>
        </w:rPr>
        <w:t>4</w:t>
      </w:r>
      <w:r>
        <w:rPr>
          <w:rFonts w:ascii="Times New Roman" w:eastAsia="宋体" w:hAnsi="Times New Roman"/>
          <w:color w:val="auto"/>
          <w:sz w:val="21"/>
          <w:szCs w:val="21"/>
        </w:rPr>
        <w:t>、属于基金托管人实际有效控制下的基金财产（包括实物证券）在基金托管人保管期间的损坏、灭失，由此产生的责任应由该基金托管人承担；</w:t>
      </w:r>
    </w:p>
    <w:p w:rsidR="00DE5199" w:rsidRDefault="009B690D">
      <w:pPr>
        <w:pStyle w:val="a6"/>
        <w:spacing w:line="360" w:lineRule="auto"/>
        <w:ind w:firstLine="403"/>
        <w:rPr>
          <w:rFonts w:ascii="Times New Roman" w:eastAsia="宋体" w:hAnsi="Times New Roman"/>
          <w:color w:val="auto"/>
          <w:sz w:val="21"/>
          <w:szCs w:val="21"/>
        </w:rPr>
      </w:pPr>
      <w:r>
        <w:rPr>
          <w:rFonts w:ascii="Times New Roman" w:eastAsia="宋体" w:hAnsi="Times New Roman"/>
          <w:color w:val="auto"/>
          <w:sz w:val="21"/>
          <w:szCs w:val="21"/>
        </w:rPr>
        <w:t>5</w:t>
      </w:r>
      <w:r>
        <w:rPr>
          <w:rFonts w:ascii="Times New Roman" w:eastAsia="宋体" w:hAnsi="Times New Roman"/>
          <w:color w:val="auto"/>
          <w:sz w:val="21"/>
          <w:szCs w:val="21"/>
        </w:rPr>
        <w:t>、基金管理人应承担对其应收取的管理费数额计算错误的责任。如果基金托管人复核后同意基金管理人的计算结果，则基金托管人也应承担未正确履行复核义务的相应责任；</w:t>
      </w:r>
    </w:p>
    <w:p w:rsidR="00DE5199" w:rsidRDefault="009B690D">
      <w:pPr>
        <w:pStyle w:val="a6"/>
        <w:spacing w:line="360" w:lineRule="auto"/>
        <w:ind w:firstLine="403"/>
        <w:rPr>
          <w:rFonts w:ascii="Times New Roman" w:eastAsia="宋体" w:hAnsi="Times New Roman"/>
          <w:color w:val="auto"/>
          <w:sz w:val="21"/>
          <w:szCs w:val="21"/>
        </w:rPr>
      </w:pPr>
      <w:r>
        <w:rPr>
          <w:rFonts w:ascii="Times New Roman" w:eastAsia="宋体" w:hAnsi="Times New Roman"/>
          <w:color w:val="auto"/>
          <w:sz w:val="21"/>
          <w:szCs w:val="21"/>
        </w:rPr>
        <w:t>6</w:t>
      </w:r>
      <w:r>
        <w:rPr>
          <w:rFonts w:ascii="Times New Roman" w:eastAsia="宋体" w:hAnsi="Times New Roman"/>
          <w:color w:val="auto"/>
          <w:sz w:val="21"/>
          <w:szCs w:val="21"/>
        </w:rPr>
        <w:t>、基金管理人应承担对基金托管人应收取的托管费数额计算错误的责任。如果基金托管人复核后同意基金管理人的计算结果，则基金托管人也应承担未正确履行复核义务的相应责任；</w:t>
      </w:r>
    </w:p>
    <w:p w:rsidR="00DE5199" w:rsidRDefault="009B690D">
      <w:pPr>
        <w:pStyle w:val="a6"/>
        <w:spacing w:line="360" w:lineRule="auto"/>
        <w:ind w:firstLine="403"/>
        <w:rPr>
          <w:rFonts w:ascii="Times New Roman" w:eastAsia="宋体" w:hAnsi="Times New Roman"/>
          <w:color w:val="auto"/>
          <w:sz w:val="21"/>
          <w:szCs w:val="21"/>
        </w:rPr>
      </w:pPr>
      <w:r>
        <w:rPr>
          <w:rFonts w:ascii="Times New Roman" w:eastAsia="宋体" w:hAnsi="Times New Roman"/>
          <w:color w:val="auto"/>
          <w:sz w:val="21"/>
          <w:szCs w:val="21"/>
        </w:rPr>
        <w:t>7</w:t>
      </w:r>
      <w:r>
        <w:rPr>
          <w:rFonts w:ascii="Times New Roman" w:eastAsia="宋体" w:hAnsi="Times New Roman"/>
          <w:color w:val="auto"/>
          <w:sz w:val="21"/>
          <w:szCs w:val="21"/>
        </w:rPr>
        <w:t>、由于基金管理人或托管人原因导致本基金不能依据中国证券登记结算有限责任公司的业务规则及时清算的，由责任方承担由此给基金财产、基金份额持有人及受损害方造成的直接损失，若由于双方原因导致本基金不能依据中国证券登记结算有限责任公司的业务规则及时清算的，双方应按照各自的过错程度对造成的直接损失合理分担责任；</w:t>
      </w:r>
    </w:p>
    <w:p w:rsidR="00DE5199" w:rsidRDefault="009B690D">
      <w:pPr>
        <w:pStyle w:val="a6"/>
        <w:spacing w:line="360" w:lineRule="auto"/>
        <w:ind w:firstLine="403"/>
        <w:rPr>
          <w:rFonts w:ascii="Times New Roman" w:eastAsia="宋体" w:hAnsi="Times New Roman"/>
          <w:color w:val="auto"/>
          <w:sz w:val="21"/>
          <w:szCs w:val="21"/>
        </w:rPr>
      </w:pPr>
      <w:r>
        <w:rPr>
          <w:rFonts w:ascii="Times New Roman" w:eastAsia="宋体" w:hAnsi="Times New Roman"/>
          <w:color w:val="auto"/>
          <w:sz w:val="21"/>
          <w:szCs w:val="21"/>
        </w:rPr>
        <w:t>8</w:t>
      </w:r>
      <w:r>
        <w:rPr>
          <w:rFonts w:ascii="Times New Roman" w:eastAsia="宋体" w:hAnsi="Times New Roman"/>
          <w:color w:val="auto"/>
          <w:sz w:val="21"/>
          <w:szCs w:val="21"/>
        </w:rPr>
        <w:t>、在资金交收日，基金资金账户资金首先用于除新股申购以外的其他资金交收义务，交收完成后资金余额方可用于新股申购。如果因此资金不足造成新股申购失败或者新股申购不足，基金托管人不承担任何责任。如基金份额持有人因此提出赔偿要求，相关法律责任和损失由基金管理人承担。</w:t>
      </w:r>
    </w:p>
    <w:p w:rsidR="00DE5199" w:rsidRDefault="00DE5199">
      <w:pPr>
        <w:pStyle w:val="a6"/>
        <w:spacing w:line="360" w:lineRule="auto"/>
        <w:ind w:firstLine="403"/>
        <w:rPr>
          <w:rFonts w:ascii="Times New Roman" w:eastAsia="宋体" w:hAnsi="Times New Roman"/>
          <w:color w:val="auto"/>
          <w:sz w:val="21"/>
          <w:szCs w:val="21"/>
        </w:rPr>
      </w:pPr>
    </w:p>
    <w:p w:rsidR="00DE5199" w:rsidRDefault="009B690D">
      <w:pPr>
        <w:pStyle w:val="1"/>
        <w:spacing w:before="0" w:after="0" w:line="360" w:lineRule="auto"/>
        <w:ind w:firstLineChars="200" w:firstLine="422"/>
        <w:rPr>
          <w:sz w:val="21"/>
          <w:szCs w:val="21"/>
        </w:rPr>
      </w:pPr>
      <w:bookmarkStart w:id="21" w:name="_Toc116900112"/>
      <w:r>
        <w:rPr>
          <w:sz w:val="21"/>
          <w:szCs w:val="21"/>
        </w:rPr>
        <w:t>十八、适用法律与争议解决</w:t>
      </w:r>
      <w:bookmarkEnd w:id="21"/>
      <w:r>
        <w:rPr>
          <w:sz w:val="21"/>
          <w:szCs w:val="21"/>
        </w:rPr>
        <w:t>方式</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（一）本协议适用中华人民共和国法律并从其解释。</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lastRenderedPageBreak/>
        <w:t>（二）基金管理人与基金托管人之间因本协议产生的或与本协议有关的争议可通过友好协商解决。但若自一方书面提出协商解决争议之日起</w:t>
      </w:r>
      <w:r>
        <w:rPr>
          <w:rFonts w:ascii="Times New Roman" w:eastAsia="宋体" w:hAnsi="Times New Roman"/>
          <w:color w:val="auto"/>
          <w:sz w:val="21"/>
          <w:szCs w:val="21"/>
        </w:rPr>
        <w:t>60</w:t>
      </w:r>
      <w:r>
        <w:rPr>
          <w:rFonts w:ascii="Times New Roman" w:eastAsia="宋体" w:hAnsi="Times New Roman"/>
          <w:color w:val="auto"/>
          <w:sz w:val="21"/>
          <w:szCs w:val="21"/>
        </w:rPr>
        <w:t>日内争议未能以协商方式解决的，则任何一方有权将争议提交位于北京的中国国际经济贸易仲裁委员会，并按其时有效的仲裁规则进行仲裁。仲裁裁决是终局的，对仲裁各方当事人均具有约束力。</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（三）除争议所涉的内容之外，本协议的当事人仍应履行本协议的其他规定。</w:t>
      </w:r>
    </w:p>
    <w:p w:rsidR="00DE5199" w:rsidRDefault="00DE5199">
      <w:pPr>
        <w:pStyle w:val="a6"/>
        <w:spacing w:line="360" w:lineRule="auto"/>
        <w:ind w:firstLine="403"/>
        <w:rPr>
          <w:rFonts w:ascii="Times New Roman" w:eastAsia="宋体" w:hAnsi="Times New Roman"/>
          <w:color w:val="auto"/>
          <w:sz w:val="21"/>
          <w:szCs w:val="21"/>
        </w:rPr>
      </w:pPr>
    </w:p>
    <w:p w:rsidR="00DE5199" w:rsidRDefault="009B690D">
      <w:pPr>
        <w:pStyle w:val="1"/>
        <w:spacing w:before="0" w:after="0" w:line="360" w:lineRule="auto"/>
        <w:ind w:firstLineChars="200" w:firstLine="422"/>
        <w:rPr>
          <w:sz w:val="21"/>
          <w:szCs w:val="21"/>
        </w:rPr>
      </w:pPr>
      <w:bookmarkStart w:id="22" w:name="_Toc116900113"/>
      <w:r>
        <w:rPr>
          <w:sz w:val="21"/>
          <w:szCs w:val="21"/>
        </w:rPr>
        <w:t>十九、托管协议的效力</w:t>
      </w:r>
      <w:bookmarkEnd w:id="22"/>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一）基金管理人在向中国证监会申请发售基金份额时提交的基金托管协议草案，应经托管协议双方当事人的法定代表人或授权签字人签字或签章，并加盖公章，协议当事人双方根据中国证监会的意见修改托管协议草案。托管协议以中国证监会注册的文本为正式文本。</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（二）本协议自双方签署之日起成立，自基金合同生效之日起生效。本协议的有效期自其生效之日起至基金财产清算结果报中国证监会备案并公告之日止。</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（三）本协议自生效之日起对双方当事人具有同等的法律约束力。</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（四）本协议正本一式陆份，协议双方各执贰份，上报中国证监会和中国银监会各壹份，每份具有同等法律效力。</w:t>
      </w:r>
    </w:p>
    <w:p w:rsidR="00DE5199" w:rsidRDefault="00DE5199">
      <w:pPr>
        <w:pStyle w:val="a6"/>
        <w:spacing w:line="360" w:lineRule="auto"/>
        <w:ind w:firstLineChars="200" w:firstLine="420"/>
        <w:rPr>
          <w:rFonts w:ascii="Times New Roman" w:eastAsia="宋体" w:hAnsi="Times New Roman"/>
          <w:color w:val="auto"/>
          <w:sz w:val="21"/>
          <w:szCs w:val="21"/>
        </w:rPr>
      </w:pPr>
      <w:bookmarkStart w:id="23" w:name="_Toc116900116"/>
    </w:p>
    <w:p w:rsidR="00DE5199" w:rsidRDefault="009B690D">
      <w:pPr>
        <w:pStyle w:val="1"/>
        <w:spacing w:before="0" w:after="0" w:line="360" w:lineRule="auto"/>
        <w:ind w:firstLineChars="200" w:firstLine="422"/>
        <w:rPr>
          <w:sz w:val="21"/>
          <w:szCs w:val="21"/>
        </w:rPr>
      </w:pPr>
      <w:r>
        <w:rPr>
          <w:sz w:val="21"/>
          <w:szCs w:val="21"/>
        </w:rPr>
        <w:t>二十、托管协议</w:t>
      </w:r>
      <w:bookmarkEnd w:id="23"/>
      <w:r>
        <w:rPr>
          <w:sz w:val="21"/>
          <w:szCs w:val="21"/>
        </w:rPr>
        <w:t>的签订</w:t>
      </w: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见签署页。</w:t>
      </w:r>
    </w:p>
    <w:p w:rsidR="00DE5199" w:rsidRDefault="00DE5199">
      <w:pPr>
        <w:pStyle w:val="a6"/>
        <w:spacing w:line="360" w:lineRule="auto"/>
        <w:ind w:firstLineChars="200" w:firstLine="420"/>
        <w:rPr>
          <w:rFonts w:ascii="Times New Roman" w:eastAsia="宋体" w:hAnsi="Times New Roman"/>
          <w:color w:val="auto"/>
          <w:sz w:val="21"/>
          <w:szCs w:val="21"/>
        </w:rPr>
      </w:pPr>
    </w:p>
    <w:p w:rsidR="00DE5199" w:rsidRDefault="009B690D">
      <w:pPr>
        <w:pStyle w:val="a6"/>
        <w:spacing w:line="360" w:lineRule="auto"/>
        <w:ind w:firstLineChars="200" w:firstLine="420"/>
        <w:rPr>
          <w:rFonts w:ascii="Times New Roman" w:eastAsia="宋体" w:hAnsi="Times New Roman"/>
          <w:color w:val="auto"/>
          <w:sz w:val="21"/>
          <w:szCs w:val="21"/>
        </w:rPr>
      </w:pPr>
      <w:r>
        <w:rPr>
          <w:rFonts w:ascii="Times New Roman" w:eastAsia="宋体" w:hAnsi="Times New Roman"/>
          <w:color w:val="auto"/>
          <w:sz w:val="21"/>
          <w:szCs w:val="21"/>
        </w:rPr>
        <w:t>（以下无正文）</w:t>
      </w:r>
    </w:p>
    <w:p w:rsidR="00DE5199" w:rsidRDefault="009B690D">
      <w:pPr>
        <w:pStyle w:val="a6"/>
        <w:spacing w:line="360" w:lineRule="auto"/>
        <w:ind w:firstLine="403"/>
        <w:rPr>
          <w:rFonts w:ascii="Times New Roman" w:eastAsia="宋体" w:hAnsi="Times New Roman"/>
          <w:sz w:val="21"/>
          <w:szCs w:val="21"/>
        </w:rPr>
      </w:pPr>
      <w:r>
        <w:rPr>
          <w:rFonts w:ascii="Times New Roman" w:eastAsia="宋体" w:hAnsi="Times New Roman"/>
          <w:sz w:val="21"/>
          <w:szCs w:val="21"/>
        </w:rPr>
        <w:br w:type="page"/>
      </w:r>
      <w:r>
        <w:rPr>
          <w:rFonts w:ascii="Times New Roman" w:eastAsia="宋体" w:hAnsi="Times New Roman"/>
          <w:sz w:val="21"/>
          <w:szCs w:val="21"/>
        </w:rPr>
        <w:lastRenderedPageBreak/>
        <w:t>（本页为《国泰央企改革股票型证券投资基金托管协议》签署页，无正文）</w:t>
      </w:r>
    </w:p>
    <w:p w:rsidR="00DE5199" w:rsidRDefault="009B690D">
      <w:pPr>
        <w:pStyle w:val="Web"/>
        <w:spacing w:line="360" w:lineRule="auto"/>
        <w:rPr>
          <w:rFonts w:ascii="Times New Roman" w:hAnsi="Times New Roman"/>
          <w:color w:val="000000"/>
          <w:kern w:val="2"/>
          <w:sz w:val="21"/>
          <w:szCs w:val="21"/>
        </w:rPr>
      </w:pPr>
      <w:r>
        <w:rPr>
          <w:rFonts w:ascii="Times New Roman" w:hAnsi="Times New Roman"/>
          <w:color w:val="000000"/>
          <w:kern w:val="2"/>
          <w:sz w:val="21"/>
          <w:szCs w:val="21"/>
        </w:rPr>
        <w:t xml:space="preserve">　　</w:t>
      </w:r>
    </w:p>
    <w:p w:rsidR="00DE5199" w:rsidRDefault="009B690D">
      <w:pPr>
        <w:pStyle w:val="Web"/>
        <w:spacing w:line="360" w:lineRule="auto"/>
        <w:ind w:firstLine="403"/>
        <w:rPr>
          <w:rFonts w:ascii="Times New Roman" w:hAnsi="Times New Roman"/>
          <w:b/>
        </w:rPr>
      </w:pPr>
      <w:r>
        <w:rPr>
          <w:rFonts w:ascii="Times New Roman" w:hAnsi="Times New Roman"/>
          <w:b/>
        </w:rPr>
        <w:t>基金托管人：中国银行股份有限公司</w:t>
      </w:r>
    </w:p>
    <w:p w:rsidR="00DE5199" w:rsidRDefault="00DE5199">
      <w:pPr>
        <w:pStyle w:val="Web"/>
        <w:spacing w:line="360" w:lineRule="auto"/>
        <w:ind w:firstLine="403"/>
        <w:rPr>
          <w:rFonts w:ascii="Times New Roman" w:hAnsi="Times New Roman"/>
          <w:b/>
        </w:rPr>
      </w:pPr>
    </w:p>
    <w:p w:rsidR="00DE5199" w:rsidRDefault="009B690D">
      <w:pPr>
        <w:pStyle w:val="Web"/>
        <w:spacing w:line="360" w:lineRule="auto"/>
        <w:ind w:firstLine="403"/>
        <w:rPr>
          <w:rFonts w:ascii="Times New Roman" w:hAnsi="Times New Roman"/>
          <w:b/>
        </w:rPr>
      </w:pPr>
      <w:r>
        <w:rPr>
          <w:rFonts w:ascii="Times New Roman" w:hAnsi="Times New Roman"/>
          <w:b/>
        </w:rPr>
        <w:t>法定代表人或授权签字人：</w:t>
      </w:r>
    </w:p>
    <w:p w:rsidR="00DE5199" w:rsidRDefault="00DE5199">
      <w:pPr>
        <w:pStyle w:val="Web"/>
        <w:spacing w:line="360" w:lineRule="auto"/>
        <w:ind w:firstLine="420"/>
        <w:rPr>
          <w:rFonts w:ascii="Times New Roman" w:hAnsi="Times New Roman"/>
          <w:b/>
        </w:rPr>
      </w:pPr>
    </w:p>
    <w:p w:rsidR="00DE5199" w:rsidRDefault="00DE5199">
      <w:pPr>
        <w:pStyle w:val="Web"/>
        <w:spacing w:line="360" w:lineRule="auto"/>
        <w:ind w:firstLine="420"/>
        <w:rPr>
          <w:rFonts w:ascii="Times New Roman" w:hAnsi="Times New Roman"/>
          <w:b/>
        </w:rPr>
      </w:pPr>
    </w:p>
    <w:p w:rsidR="00DE5199" w:rsidRDefault="009B690D">
      <w:pPr>
        <w:pStyle w:val="Web"/>
        <w:spacing w:line="360" w:lineRule="auto"/>
        <w:ind w:firstLine="403"/>
        <w:rPr>
          <w:rFonts w:ascii="Times New Roman" w:hAnsi="Times New Roman"/>
          <w:b/>
        </w:rPr>
      </w:pPr>
      <w:r>
        <w:rPr>
          <w:rFonts w:ascii="Times New Roman" w:hAnsi="Times New Roman"/>
          <w:b/>
        </w:rPr>
        <w:t>签订日：</w:t>
      </w:r>
      <w:r>
        <w:rPr>
          <w:rFonts w:ascii="Times New Roman" w:hAnsi="Times New Roman"/>
          <w:b/>
        </w:rPr>
        <w:tab/>
      </w:r>
    </w:p>
    <w:p w:rsidR="00DE5199" w:rsidRDefault="009B690D">
      <w:pPr>
        <w:pStyle w:val="Web"/>
        <w:spacing w:line="360" w:lineRule="auto"/>
        <w:ind w:firstLine="420"/>
        <w:rPr>
          <w:rFonts w:ascii="Times New Roman" w:hAnsi="Times New Roman"/>
          <w:b/>
        </w:rPr>
      </w:pPr>
      <w:r>
        <w:rPr>
          <w:rFonts w:ascii="Times New Roman" w:hAnsi="Times New Roman"/>
          <w:b/>
        </w:rPr>
        <w:t xml:space="preserve">签订地：　</w:t>
      </w:r>
    </w:p>
    <w:p w:rsidR="00DE5199" w:rsidRDefault="00DE5199">
      <w:pPr>
        <w:pStyle w:val="Web"/>
        <w:spacing w:line="360" w:lineRule="auto"/>
        <w:ind w:firstLine="540"/>
        <w:rPr>
          <w:rFonts w:ascii="Times New Roman" w:hAnsi="Times New Roman"/>
          <w:b/>
        </w:rPr>
      </w:pPr>
    </w:p>
    <w:p w:rsidR="00DE5199" w:rsidRDefault="00DE5199">
      <w:pPr>
        <w:pStyle w:val="Web"/>
        <w:spacing w:line="360" w:lineRule="auto"/>
        <w:rPr>
          <w:rFonts w:ascii="Times New Roman" w:hAnsi="Times New Roman"/>
          <w:b/>
        </w:rPr>
      </w:pPr>
    </w:p>
    <w:p w:rsidR="00DE5199" w:rsidRDefault="009B690D">
      <w:pPr>
        <w:spacing w:before="100" w:beforeAutospacing="1" w:after="100" w:afterAutospacing="1" w:line="360" w:lineRule="auto"/>
        <w:ind w:firstLine="403"/>
        <w:rPr>
          <w:b/>
          <w:sz w:val="24"/>
        </w:rPr>
      </w:pPr>
      <w:r>
        <w:rPr>
          <w:b/>
          <w:sz w:val="24"/>
        </w:rPr>
        <w:t>基金管理人：国泰基金管理有限公司</w:t>
      </w:r>
    </w:p>
    <w:p w:rsidR="00DE5199" w:rsidRDefault="00DE5199">
      <w:pPr>
        <w:pStyle w:val="Web"/>
        <w:spacing w:line="360" w:lineRule="auto"/>
        <w:rPr>
          <w:rFonts w:ascii="Times New Roman" w:hAnsi="Times New Roman"/>
          <w:b/>
        </w:rPr>
      </w:pPr>
    </w:p>
    <w:p w:rsidR="00DE5199" w:rsidRDefault="009B690D">
      <w:pPr>
        <w:pStyle w:val="Web"/>
        <w:spacing w:line="360" w:lineRule="auto"/>
        <w:ind w:firstLine="403"/>
        <w:rPr>
          <w:rFonts w:ascii="Times New Roman" w:hAnsi="Times New Roman"/>
          <w:b/>
        </w:rPr>
      </w:pPr>
      <w:r>
        <w:rPr>
          <w:rFonts w:ascii="Times New Roman" w:hAnsi="Times New Roman"/>
          <w:b/>
        </w:rPr>
        <w:t>法定代表人或授权签字人：</w:t>
      </w:r>
      <w:r>
        <w:rPr>
          <w:rFonts w:ascii="Times New Roman" w:hAnsi="Times New Roman"/>
          <w:b/>
        </w:rPr>
        <w:t xml:space="preserve"> </w:t>
      </w:r>
    </w:p>
    <w:p w:rsidR="00DE5199" w:rsidRDefault="00DE5199">
      <w:pPr>
        <w:pStyle w:val="Web"/>
        <w:spacing w:line="360" w:lineRule="auto"/>
        <w:ind w:firstLine="420"/>
        <w:rPr>
          <w:rFonts w:ascii="Times New Roman" w:hAnsi="Times New Roman"/>
          <w:b/>
        </w:rPr>
      </w:pPr>
    </w:p>
    <w:p w:rsidR="00DE5199" w:rsidRDefault="00DE5199">
      <w:pPr>
        <w:pStyle w:val="Web"/>
        <w:spacing w:line="360" w:lineRule="auto"/>
        <w:rPr>
          <w:rFonts w:ascii="Times New Roman" w:hAnsi="Times New Roman"/>
          <w:b/>
        </w:rPr>
      </w:pPr>
    </w:p>
    <w:p w:rsidR="00DE5199" w:rsidRDefault="009B690D">
      <w:pPr>
        <w:pStyle w:val="Web"/>
        <w:spacing w:line="360" w:lineRule="auto"/>
        <w:ind w:firstLine="420"/>
        <w:rPr>
          <w:rFonts w:ascii="Times New Roman" w:hAnsi="Times New Roman"/>
          <w:b/>
        </w:rPr>
      </w:pPr>
      <w:r>
        <w:rPr>
          <w:rFonts w:ascii="Times New Roman" w:hAnsi="Times New Roman"/>
          <w:b/>
        </w:rPr>
        <w:t>签订日：</w:t>
      </w:r>
    </w:p>
    <w:p w:rsidR="00DE5199" w:rsidRDefault="009B690D">
      <w:pPr>
        <w:pStyle w:val="Web"/>
        <w:spacing w:line="360" w:lineRule="auto"/>
        <w:ind w:firstLine="403"/>
        <w:rPr>
          <w:rFonts w:ascii="Times New Roman" w:hAnsi="Times New Roman"/>
          <w:b/>
        </w:rPr>
      </w:pPr>
      <w:r>
        <w:rPr>
          <w:rFonts w:ascii="Times New Roman" w:hAnsi="Times New Roman"/>
          <w:b/>
        </w:rPr>
        <w:t xml:space="preserve">签订地：　</w:t>
      </w:r>
      <w:r>
        <w:rPr>
          <w:rFonts w:ascii="Times New Roman" w:hAnsi="Times New Roman"/>
          <w:b/>
        </w:rPr>
        <w:tab/>
      </w:r>
    </w:p>
    <w:p w:rsidR="00DE5199" w:rsidRDefault="00DE5199">
      <w:pPr>
        <w:pStyle w:val="a6"/>
        <w:spacing w:before="100" w:beforeAutospacing="1" w:after="100" w:afterAutospacing="1" w:line="360" w:lineRule="auto"/>
        <w:ind w:firstLine="463"/>
        <w:rPr>
          <w:rFonts w:ascii="Times New Roman" w:eastAsia="宋体" w:hAnsi="Times New Roman"/>
          <w:b/>
          <w:color w:val="auto"/>
          <w:sz w:val="24"/>
        </w:rPr>
      </w:pPr>
    </w:p>
    <w:sectPr w:rsidR="00DE5199">
      <w:headerReference w:type="default" r:id="rId8"/>
      <w:footerReference w:type="even" r:id="rId9"/>
      <w:footerReference w:type="default" r:id="rId10"/>
      <w:type w:val="continuous"/>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01" w:rsidRDefault="00FF5701">
      <w:r>
        <w:separator/>
      </w:r>
    </w:p>
  </w:endnote>
  <w:endnote w:type="continuationSeparator" w:id="0">
    <w:p w:rsidR="00FF5701" w:rsidRDefault="00FF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长城仿宋">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99" w:rsidRDefault="009B690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E5199" w:rsidRDefault="00DE519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06888"/>
    </w:sdtPr>
    <w:sdtEndPr/>
    <w:sdtContent>
      <w:p w:rsidR="00DE5199" w:rsidRDefault="009B690D">
        <w:pPr>
          <w:pStyle w:val="a9"/>
          <w:jc w:val="center"/>
        </w:pPr>
        <w:r>
          <w:fldChar w:fldCharType="begin"/>
        </w:r>
        <w:r>
          <w:instrText xml:space="preserve"> PAGE   \* MERGEFORMAT </w:instrText>
        </w:r>
        <w:r>
          <w:fldChar w:fldCharType="separate"/>
        </w:r>
        <w:r w:rsidR="00AC345F" w:rsidRPr="00AC345F">
          <w:rPr>
            <w:noProof/>
            <w:lang w:val="zh-CN"/>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01" w:rsidRDefault="00FF5701">
      <w:r>
        <w:separator/>
      </w:r>
    </w:p>
  </w:footnote>
  <w:footnote w:type="continuationSeparator" w:id="0">
    <w:p w:rsidR="00FF5701" w:rsidRDefault="00FF5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99" w:rsidRDefault="009B690D">
    <w:pPr>
      <w:pStyle w:val="aa"/>
    </w:pPr>
    <w:r>
      <w:ptab w:relativeTo="margin" w:alignment="center" w:leader="none"/>
    </w:r>
    <w:r>
      <w:ptab w:relativeTo="margin" w:alignment="right" w:leader="none"/>
    </w:r>
    <w:r>
      <w:rPr>
        <w:rFonts w:hint="eastAsia"/>
      </w:rPr>
      <w:t>托管协议</w: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封帆:">
    <w15:presenceInfo w15:providerId="None" w15:userId="封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420"/>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F76BE"/>
    <w:rsid w:val="00004D8F"/>
    <w:rsid w:val="000154B1"/>
    <w:rsid w:val="000173BD"/>
    <w:rsid w:val="000223B0"/>
    <w:rsid w:val="00024F9F"/>
    <w:rsid w:val="00025EE5"/>
    <w:rsid w:val="00027A8B"/>
    <w:rsid w:val="00031BE4"/>
    <w:rsid w:val="000373C8"/>
    <w:rsid w:val="00040A2B"/>
    <w:rsid w:val="00044443"/>
    <w:rsid w:val="00045293"/>
    <w:rsid w:val="00053D35"/>
    <w:rsid w:val="00056250"/>
    <w:rsid w:val="0006445C"/>
    <w:rsid w:val="000650FF"/>
    <w:rsid w:val="00070560"/>
    <w:rsid w:val="00070854"/>
    <w:rsid w:val="00072204"/>
    <w:rsid w:val="000730D5"/>
    <w:rsid w:val="000754AE"/>
    <w:rsid w:val="00077FE5"/>
    <w:rsid w:val="00081420"/>
    <w:rsid w:val="00081477"/>
    <w:rsid w:val="0008188D"/>
    <w:rsid w:val="00085508"/>
    <w:rsid w:val="00092552"/>
    <w:rsid w:val="00094F60"/>
    <w:rsid w:val="00097DC5"/>
    <w:rsid w:val="000A13CA"/>
    <w:rsid w:val="000B0297"/>
    <w:rsid w:val="000B58A7"/>
    <w:rsid w:val="000B59B6"/>
    <w:rsid w:val="000B6A0B"/>
    <w:rsid w:val="000B6AA2"/>
    <w:rsid w:val="000C25C5"/>
    <w:rsid w:val="000C7AD1"/>
    <w:rsid w:val="000D10A2"/>
    <w:rsid w:val="000D15B1"/>
    <w:rsid w:val="000D53BE"/>
    <w:rsid w:val="000D5F49"/>
    <w:rsid w:val="000F5377"/>
    <w:rsid w:val="001029EE"/>
    <w:rsid w:val="00104752"/>
    <w:rsid w:val="001104D9"/>
    <w:rsid w:val="0011685E"/>
    <w:rsid w:val="00117C8D"/>
    <w:rsid w:val="00117FC5"/>
    <w:rsid w:val="00121EF0"/>
    <w:rsid w:val="00130D5E"/>
    <w:rsid w:val="00134E02"/>
    <w:rsid w:val="00136AF2"/>
    <w:rsid w:val="00136D62"/>
    <w:rsid w:val="001400FE"/>
    <w:rsid w:val="00140367"/>
    <w:rsid w:val="00143859"/>
    <w:rsid w:val="00150188"/>
    <w:rsid w:val="00150901"/>
    <w:rsid w:val="00151241"/>
    <w:rsid w:val="00151BB2"/>
    <w:rsid w:val="001526D1"/>
    <w:rsid w:val="001542EE"/>
    <w:rsid w:val="00154B1C"/>
    <w:rsid w:val="00156130"/>
    <w:rsid w:val="0016648D"/>
    <w:rsid w:val="00170620"/>
    <w:rsid w:val="00173DEE"/>
    <w:rsid w:val="001741D0"/>
    <w:rsid w:val="001919B0"/>
    <w:rsid w:val="001A2E28"/>
    <w:rsid w:val="001A5108"/>
    <w:rsid w:val="001B454C"/>
    <w:rsid w:val="001C0C1E"/>
    <w:rsid w:val="001C27A7"/>
    <w:rsid w:val="001C27DE"/>
    <w:rsid w:val="001C55DC"/>
    <w:rsid w:val="001D0D38"/>
    <w:rsid w:val="001D2CDE"/>
    <w:rsid w:val="001D6057"/>
    <w:rsid w:val="001E0A08"/>
    <w:rsid w:val="001E133D"/>
    <w:rsid w:val="001E592E"/>
    <w:rsid w:val="001F4C7C"/>
    <w:rsid w:val="001F60D9"/>
    <w:rsid w:val="001F6BA5"/>
    <w:rsid w:val="001F7F00"/>
    <w:rsid w:val="00202069"/>
    <w:rsid w:val="002024CB"/>
    <w:rsid w:val="00206998"/>
    <w:rsid w:val="00206A8A"/>
    <w:rsid w:val="0020778B"/>
    <w:rsid w:val="00210D7D"/>
    <w:rsid w:val="002169F9"/>
    <w:rsid w:val="002212AE"/>
    <w:rsid w:val="0022137C"/>
    <w:rsid w:val="00222F93"/>
    <w:rsid w:val="00223047"/>
    <w:rsid w:val="00227C20"/>
    <w:rsid w:val="00230BA1"/>
    <w:rsid w:val="002313EF"/>
    <w:rsid w:val="00237371"/>
    <w:rsid w:val="00237FC5"/>
    <w:rsid w:val="00243C92"/>
    <w:rsid w:val="002468D5"/>
    <w:rsid w:val="0025577A"/>
    <w:rsid w:val="00262182"/>
    <w:rsid w:val="00262F72"/>
    <w:rsid w:val="00265FDC"/>
    <w:rsid w:val="00273992"/>
    <w:rsid w:val="0027505F"/>
    <w:rsid w:val="00277AC0"/>
    <w:rsid w:val="0028046F"/>
    <w:rsid w:val="00281354"/>
    <w:rsid w:val="002813E3"/>
    <w:rsid w:val="002819F4"/>
    <w:rsid w:val="002842F2"/>
    <w:rsid w:val="002845F1"/>
    <w:rsid w:val="002853AE"/>
    <w:rsid w:val="00286871"/>
    <w:rsid w:val="002877DB"/>
    <w:rsid w:val="00287AE1"/>
    <w:rsid w:val="002947CB"/>
    <w:rsid w:val="002968B4"/>
    <w:rsid w:val="00296AAD"/>
    <w:rsid w:val="002A1FFD"/>
    <w:rsid w:val="002A392E"/>
    <w:rsid w:val="002B1780"/>
    <w:rsid w:val="002B655F"/>
    <w:rsid w:val="002C328E"/>
    <w:rsid w:val="002C4BC8"/>
    <w:rsid w:val="002C5760"/>
    <w:rsid w:val="002C6D14"/>
    <w:rsid w:val="002C7975"/>
    <w:rsid w:val="002C7A50"/>
    <w:rsid w:val="002D5685"/>
    <w:rsid w:val="002E08AB"/>
    <w:rsid w:val="002E18D2"/>
    <w:rsid w:val="002E3393"/>
    <w:rsid w:val="002E41B5"/>
    <w:rsid w:val="002E53CC"/>
    <w:rsid w:val="002F0B44"/>
    <w:rsid w:val="002F40E3"/>
    <w:rsid w:val="00306DA8"/>
    <w:rsid w:val="00310E46"/>
    <w:rsid w:val="00312010"/>
    <w:rsid w:val="00312DC1"/>
    <w:rsid w:val="00316331"/>
    <w:rsid w:val="00321A40"/>
    <w:rsid w:val="00321B00"/>
    <w:rsid w:val="0032409B"/>
    <w:rsid w:val="003247B7"/>
    <w:rsid w:val="003263AE"/>
    <w:rsid w:val="00327E44"/>
    <w:rsid w:val="0033063E"/>
    <w:rsid w:val="00330997"/>
    <w:rsid w:val="0033282F"/>
    <w:rsid w:val="0033302B"/>
    <w:rsid w:val="003350B3"/>
    <w:rsid w:val="0033514F"/>
    <w:rsid w:val="00336293"/>
    <w:rsid w:val="0033739D"/>
    <w:rsid w:val="00337800"/>
    <w:rsid w:val="0034410E"/>
    <w:rsid w:val="003478EE"/>
    <w:rsid w:val="00347AD9"/>
    <w:rsid w:val="00350619"/>
    <w:rsid w:val="00351E29"/>
    <w:rsid w:val="0035240A"/>
    <w:rsid w:val="00354938"/>
    <w:rsid w:val="003564F7"/>
    <w:rsid w:val="0035711B"/>
    <w:rsid w:val="003572B7"/>
    <w:rsid w:val="00360A72"/>
    <w:rsid w:val="00362C2B"/>
    <w:rsid w:val="003710C4"/>
    <w:rsid w:val="00372309"/>
    <w:rsid w:val="00373DEF"/>
    <w:rsid w:val="0037482B"/>
    <w:rsid w:val="003801E2"/>
    <w:rsid w:val="00381A18"/>
    <w:rsid w:val="00382C99"/>
    <w:rsid w:val="00387AB9"/>
    <w:rsid w:val="00391678"/>
    <w:rsid w:val="003A2461"/>
    <w:rsid w:val="003A2ED7"/>
    <w:rsid w:val="003B0F97"/>
    <w:rsid w:val="003B1593"/>
    <w:rsid w:val="003B3D67"/>
    <w:rsid w:val="003B5538"/>
    <w:rsid w:val="003C2482"/>
    <w:rsid w:val="003C4481"/>
    <w:rsid w:val="003C7D7B"/>
    <w:rsid w:val="003D033F"/>
    <w:rsid w:val="003D329A"/>
    <w:rsid w:val="003D3F84"/>
    <w:rsid w:val="003D45F8"/>
    <w:rsid w:val="003D6254"/>
    <w:rsid w:val="003D6A79"/>
    <w:rsid w:val="003E0B40"/>
    <w:rsid w:val="003E3208"/>
    <w:rsid w:val="003E5136"/>
    <w:rsid w:val="003E7A82"/>
    <w:rsid w:val="003F16CB"/>
    <w:rsid w:val="003F506E"/>
    <w:rsid w:val="003F76BE"/>
    <w:rsid w:val="0040191F"/>
    <w:rsid w:val="00407C37"/>
    <w:rsid w:val="0041327F"/>
    <w:rsid w:val="0041455F"/>
    <w:rsid w:val="00420578"/>
    <w:rsid w:val="00421990"/>
    <w:rsid w:val="00422F0D"/>
    <w:rsid w:val="004265D0"/>
    <w:rsid w:val="004312D2"/>
    <w:rsid w:val="00437BCC"/>
    <w:rsid w:val="0044418A"/>
    <w:rsid w:val="004441B8"/>
    <w:rsid w:val="00447CA1"/>
    <w:rsid w:val="00447E25"/>
    <w:rsid w:val="00451623"/>
    <w:rsid w:val="00451CC7"/>
    <w:rsid w:val="004574F6"/>
    <w:rsid w:val="004577D6"/>
    <w:rsid w:val="00461180"/>
    <w:rsid w:val="00471518"/>
    <w:rsid w:val="00472029"/>
    <w:rsid w:val="00473489"/>
    <w:rsid w:val="004776F5"/>
    <w:rsid w:val="004777E0"/>
    <w:rsid w:val="00480715"/>
    <w:rsid w:val="00483FC4"/>
    <w:rsid w:val="00484D0E"/>
    <w:rsid w:val="00494C86"/>
    <w:rsid w:val="004953C4"/>
    <w:rsid w:val="004A336A"/>
    <w:rsid w:val="004B05D4"/>
    <w:rsid w:val="004B082B"/>
    <w:rsid w:val="004B1997"/>
    <w:rsid w:val="004B5D49"/>
    <w:rsid w:val="004C0771"/>
    <w:rsid w:val="004C26DB"/>
    <w:rsid w:val="004C5725"/>
    <w:rsid w:val="004D1E0C"/>
    <w:rsid w:val="004E1CEE"/>
    <w:rsid w:val="004E293F"/>
    <w:rsid w:val="004E45A3"/>
    <w:rsid w:val="004E5518"/>
    <w:rsid w:val="004F1396"/>
    <w:rsid w:val="004F13E7"/>
    <w:rsid w:val="004F4214"/>
    <w:rsid w:val="004F4338"/>
    <w:rsid w:val="00500461"/>
    <w:rsid w:val="00500A25"/>
    <w:rsid w:val="005059DE"/>
    <w:rsid w:val="005131E8"/>
    <w:rsid w:val="00513E25"/>
    <w:rsid w:val="00517A8A"/>
    <w:rsid w:val="00526501"/>
    <w:rsid w:val="005318BA"/>
    <w:rsid w:val="00533ED9"/>
    <w:rsid w:val="005428AF"/>
    <w:rsid w:val="00545BEC"/>
    <w:rsid w:val="00545CA2"/>
    <w:rsid w:val="00546A60"/>
    <w:rsid w:val="00550D41"/>
    <w:rsid w:val="00557771"/>
    <w:rsid w:val="00561D33"/>
    <w:rsid w:val="00562FD2"/>
    <w:rsid w:val="00565045"/>
    <w:rsid w:val="00566037"/>
    <w:rsid w:val="00567836"/>
    <w:rsid w:val="00573C2F"/>
    <w:rsid w:val="005801D8"/>
    <w:rsid w:val="0058032A"/>
    <w:rsid w:val="00583E7F"/>
    <w:rsid w:val="00587E55"/>
    <w:rsid w:val="00592B54"/>
    <w:rsid w:val="0059429C"/>
    <w:rsid w:val="005A11C5"/>
    <w:rsid w:val="005A1608"/>
    <w:rsid w:val="005A2A8D"/>
    <w:rsid w:val="005A3AB3"/>
    <w:rsid w:val="005B1431"/>
    <w:rsid w:val="005B5FB7"/>
    <w:rsid w:val="005C0A67"/>
    <w:rsid w:val="005C0C33"/>
    <w:rsid w:val="005C5CFB"/>
    <w:rsid w:val="005D266C"/>
    <w:rsid w:val="005D3A53"/>
    <w:rsid w:val="005D4815"/>
    <w:rsid w:val="005D5A84"/>
    <w:rsid w:val="005D5E11"/>
    <w:rsid w:val="005D70F7"/>
    <w:rsid w:val="005D74CD"/>
    <w:rsid w:val="005E0815"/>
    <w:rsid w:val="005E1F75"/>
    <w:rsid w:val="005E5DF5"/>
    <w:rsid w:val="005E67A0"/>
    <w:rsid w:val="005F1CC3"/>
    <w:rsid w:val="005F272C"/>
    <w:rsid w:val="005F5915"/>
    <w:rsid w:val="00601F3C"/>
    <w:rsid w:val="006023E5"/>
    <w:rsid w:val="00602C6B"/>
    <w:rsid w:val="00604155"/>
    <w:rsid w:val="00605E5B"/>
    <w:rsid w:val="0060600F"/>
    <w:rsid w:val="00606510"/>
    <w:rsid w:val="00606DDF"/>
    <w:rsid w:val="006121E6"/>
    <w:rsid w:val="0061251F"/>
    <w:rsid w:val="00612D20"/>
    <w:rsid w:val="00613050"/>
    <w:rsid w:val="00615976"/>
    <w:rsid w:val="00616F86"/>
    <w:rsid w:val="0061782D"/>
    <w:rsid w:val="00620624"/>
    <w:rsid w:val="00621B60"/>
    <w:rsid w:val="00623B30"/>
    <w:rsid w:val="0062453D"/>
    <w:rsid w:val="0062708F"/>
    <w:rsid w:val="006300E1"/>
    <w:rsid w:val="0063039D"/>
    <w:rsid w:val="00630B5D"/>
    <w:rsid w:val="0063139E"/>
    <w:rsid w:val="00634BFB"/>
    <w:rsid w:val="00637EE8"/>
    <w:rsid w:val="00640B39"/>
    <w:rsid w:val="006425E0"/>
    <w:rsid w:val="006458E6"/>
    <w:rsid w:val="00647510"/>
    <w:rsid w:val="006513A6"/>
    <w:rsid w:val="0065529F"/>
    <w:rsid w:val="00655FDB"/>
    <w:rsid w:val="0066110D"/>
    <w:rsid w:val="006611E5"/>
    <w:rsid w:val="00663A8C"/>
    <w:rsid w:val="00663B08"/>
    <w:rsid w:val="00671805"/>
    <w:rsid w:val="00683044"/>
    <w:rsid w:val="00683DAD"/>
    <w:rsid w:val="00686799"/>
    <w:rsid w:val="00686DCE"/>
    <w:rsid w:val="00693D68"/>
    <w:rsid w:val="006A094B"/>
    <w:rsid w:val="006A1FBE"/>
    <w:rsid w:val="006B0778"/>
    <w:rsid w:val="006B25FB"/>
    <w:rsid w:val="006C2FE1"/>
    <w:rsid w:val="006C53E1"/>
    <w:rsid w:val="006C75C3"/>
    <w:rsid w:val="006C7C4B"/>
    <w:rsid w:val="006D5042"/>
    <w:rsid w:val="006D686B"/>
    <w:rsid w:val="006E0BD4"/>
    <w:rsid w:val="006E0EB2"/>
    <w:rsid w:val="006E42A6"/>
    <w:rsid w:val="006E5412"/>
    <w:rsid w:val="006E5E72"/>
    <w:rsid w:val="006E79EC"/>
    <w:rsid w:val="006F150B"/>
    <w:rsid w:val="006F336A"/>
    <w:rsid w:val="006F6181"/>
    <w:rsid w:val="006F76D3"/>
    <w:rsid w:val="007022A0"/>
    <w:rsid w:val="00702E40"/>
    <w:rsid w:val="0070465C"/>
    <w:rsid w:val="00705EE4"/>
    <w:rsid w:val="00706418"/>
    <w:rsid w:val="0070778E"/>
    <w:rsid w:val="00712069"/>
    <w:rsid w:val="00713AA8"/>
    <w:rsid w:val="007140BB"/>
    <w:rsid w:val="007219B0"/>
    <w:rsid w:val="00723E33"/>
    <w:rsid w:val="00730F0D"/>
    <w:rsid w:val="007310B9"/>
    <w:rsid w:val="00736005"/>
    <w:rsid w:val="00736A68"/>
    <w:rsid w:val="00741835"/>
    <w:rsid w:val="00742619"/>
    <w:rsid w:val="00744FCC"/>
    <w:rsid w:val="00747146"/>
    <w:rsid w:val="007501C9"/>
    <w:rsid w:val="0075238A"/>
    <w:rsid w:val="007544C1"/>
    <w:rsid w:val="00760028"/>
    <w:rsid w:val="007605B8"/>
    <w:rsid w:val="0076068D"/>
    <w:rsid w:val="00765E78"/>
    <w:rsid w:val="0077005B"/>
    <w:rsid w:val="00770AB2"/>
    <w:rsid w:val="00770D75"/>
    <w:rsid w:val="00773411"/>
    <w:rsid w:val="00774E94"/>
    <w:rsid w:val="00776945"/>
    <w:rsid w:val="00776A2C"/>
    <w:rsid w:val="007815EA"/>
    <w:rsid w:val="00787095"/>
    <w:rsid w:val="007908A5"/>
    <w:rsid w:val="00791330"/>
    <w:rsid w:val="00793717"/>
    <w:rsid w:val="00795AE7"/>
    <w:rsid w:val="00795F63"/>
    <w:rsid w:val="00797671"/>
    <w:rsid w:val="007B29E8"/>
    <w:rsid w:val="007B33F3"/>
    <w:rsid w:val="007C1E3C"/>
    <w:rsid w:val="007D5292"/>
    <w:rsid w:val="007D7751"/>
    <w:rsid w:val="007E0C1F"/>
    <w:rsid w:val="00803057"/>
    <w:rsid w:val="0080341C"/>
    <w:rsid w:val="0080626E"/>
    <w:rsid w:val="00810E68"/>
    <w:rsid w:val="0081307D"/>
    <w:rsid w:val="0081450E"/>
    <w:rsid w:val="008318D3"/>
    <w:rsid w:val="00841BD0"/>
    <w:rsid w:val="00851394"/>
    <w:rsid w:val="008522CE"/>
    <w:rsid w:val="008559D5"/>
    <w:rsid w:val="00861143"/>
    <w:rsid w:val="00863252"/>
    <w:rsid w:val="00870CF4"/>
    <w:rsid w:val="0087507D"/>
    <w:rsid w:val="00880E99"/>
    <w:rsid w:val="00881B6E"/>
    <w:rsid w:val="0088223F"/>
    <w:rsid w:val="00886986"/>
    <w:rsid w:val="00887BB0"/>
    <w:rsid w:val="00890B8D"/>
    <w:rsid w:val="008916D1"/>
    <w:rsid w:val="008944C7"/>
    <w:rsid w:val="0089669B"/>
    <w:rsid w:val="00896FA6"/>
    <w:rsid w:val="008A1CDD"/>
    <w:rsid w:val="008A1DB5"/>
    <w:rsid w:val="008A404B"/>
    <w:rsid w:val="008A5569"/>
    <w:rsid w:val="008A5F3F"/>
    <w:rsid w:val="008B168A"/>
    <w:rsid w:val="008B2CE7"/>
    <w:rsid w:val="008B38F5"/>
    <w:rsid w:val="008C10E7"/>
    <w:rsid w:val="008C1110"/>
    <w:rsid w:val="008D0D07"/>
    <w:rsid w:val="008D29B5"/>
    <w:rsid w:val="008D46CB"/>
    <w:rsid w:val="008D5BFD"/>
    <w:rsid w:val="008D6F89"/>
    <w:rsid w:val="008D75B9"/>
    <w:rsid w:val="008E3210"/>
    <w:rsid w:val="008E35E4"/>
    <w:rsid w:val="008E3D73"/>
    <w:rsid w:val="008E7AA7"/>
    <w:rsid w:val="008F00EC"/>
    <w:rsid w:val="008F00FC"/>
    <w:rsid w:val="008F283C"/>
    <w:rsid w:val="008F33C7"/>
    <w:rsid w:val="008F350B"/>
    <w:rsid w:val="008F4F84"/>
    <w:rsid w:val="008F5E0C"/>
    <w:rsid w:val="008F75D1"/>
    <w:rsid w:val="0090065F"/>
    <w:rsid w:val="00900FD1"/>
    <w:rsid w:val="00913DEC"/>
    <w:rsid w:val="00916782"/>
    <w:rsid w:val="00923C26"/>
    <w:rsid w:val="00924178"/>
    <w:rsid w:val="0092749F"/>
    <w:rsid w:val="00933830"/>
    <w:rsid w:val="00933FE7"/>
    <w:rsid w:val="00935556"/>
    <w:rsid w:val="009357DA"/>
    <w:rsid w:val="00943AC1"/>
    <w:rsid w:val="00950242"/>
    <w:rsid w:val="00951358"/>
    <w:rsid w:val="00957DEB"/>
    <w:rsid w:val="009630B5"/>
    <w:rsid w:val="0096367D"/>
    <w:rsid w:val="009640A9"/>
    <w:rsid w:val="00971E12"/>
    <w:rsid w:val="00973CFA"/>
    <w:rsid w:val="00987AF5"/>
    <w:rsid w:val="00990602"/>
    <w:rsid w:val="0099756D"/>
    <w:rsid w:val="009A14FC"/>
    <w:rsid w:val="009A22F8"/>
    <w:rsid w:val="009A2718"/>
    <w:rsid w:val="009A4259"/>
    <w:rsid w:val="009A6F8B"/>
    <w:rsid w:val="009B2051"/>
    <w:rsid w:val="009B2749"/>
    <w:rsid w:val="009B2B56"/>
    <w:rsid w:val="009B3A14"/>
    <w:rsid w:val="009B5BE0"/>
    <w:rsid w:val="009B6343"/>
    <w:rsid w:val="009B65DC"/>
    <w:rsid w:val="009B690D"/>
    <w:rsid w:val="009B7A1C"/>
    <w:rsid w:val="009C249F"/>
    <w:rsid w:val="009C395D"/>
    <w:rsid w:val="009C543F"/>
    <w:rsid w:val="009C6225"/>
    <w:rsid w:val="009C69EB"/>
    <w:rsid w:val="009D7BE1"/>
    <w:rsid w:val="009E059E"/>
    <w:rsid w:val="009E149C"/>
    <w:rsid w:val="009E2B06"/>
    <w:rsid w:val="009F101B"/>
    <w:rsid w:val="009F6EE6"/>
    <w:rsid w:val="00A009CA"/>
    <w:rsid w:val="00A01661"/>
    <w:rsid w:val="00A02926"/>
    <w:rsid w:val="00A06573"/>
    <w:rsid w:val="00A07079"/>
    <w:rsid w:val="00A108A9"/>
    <w:rsid w:val="00A114B9"/>
    <w:rsid w:val="00A11D0E"/>
    <w:rsid w:val="00A11D15"/>
    <w:rsid w:val="00A2283C"/>
    <w:rsid w:val="00A23810"/>
    <w:rsid w:val="00A25363"/>
    <w:rsid w:val="00A27B4D"/>
    <w:rsid w:val="00A310AC"/>
    <w:rsid w:val="00A32619"/>
    <w:rsid w:val="00A347A9"/>
    <w:rsid w:val="00A352EA"/>
    <w:rsid w:val="00A35EE7"/>
    <w:rsid w:val="00A37BB3"/>
    <w:rsid w:val="00A569F2"/>
    <w:rsid w:val="00A56EDD"/>
    <w:rsid w:val="00A5724D"/>
    <w:rsid w:val="00A60690"/>
    <w:rsid w:val="00A61478"/>
    <w:rsid w:val="00A6657E"/>
    <w:rsid w:val="00A70C67"/>
    <w:rsid w:val="00A723C5"/>
    <w:rsid w:val="00A741D6"/>
    <w:rsid w:val="00A813DA"/>
    <w:rsid w:val="00A81DBC"/>
    <w:rsid w:val="00A85408"/>
    <w:rsid w:val="00A858CF"/>
    <w:rsid w:val="00A930DD"/>
    <w:rsid w:val="00A9549E"/>
    <w:rsid w:val="00A95EB8"/>
    <w:rsid w:val="00A968CF"/>
    <w:rsid w:val="00A97CDB"/>
    <w:rsid w:val="00AA08BA"/>
    <w:rsid w:val="00AA59F3"/>
    <w:rsid w:val="00AB1761"/>
    <w:rsid w:val="00AB37AD"/>
    <w:rsid w:val="00AB5F3C"/>
    <w:rsid w:val="00AC345F"/>
    <w:rsid w:val="00AC72B7"/>
    <w:rsid w:val="00AD17A9"/>
    <w:rsid w:val="00AD2ED5"/>
    <w:rsid w:val="00AD5EAE"/>
    <w:rsid w:val="00AE1B33"/>
    <w:rsid w:val="00AE33EC"/>
    <w:rsid w:val="00AE5608"/>
    <w:rsid w:val="00AF69C3"/>
    <w:rsid w:val="00B03564"/>
    <w:rsid w:val="00B04F81"/>
    <w:rsid w:val="00B10167"/>
    <w:rsid w:val="00B10179"/>
    <w:rsid w:val="00B1280D"/>
    <w:rsid w:val="00B12D6B"/>
    <w:rsid w:val="00B137FE"/>
    <w:rsid w:val="00B14D82"/>
    <w:rsid w:val="00B16204"/>
    <w:rsid w:val="00B16D18"/>
    <w:rsid w:val="00B2430B"/>
    <w:rsid w:val="00B25BA2"/>
    <w:rsid w:val="00B27C70"/>
    <w:rsid w:val="00B412FA"/>
    <w:rsid w:val="00B44E5B"/>
    <w:rsid w:val="00B4536A"/>
    <w:rsid w:val="00B52186"/>
    <w:rsid w:val="00B53C57"/>
    <w:rsid w:val="00B55710"/>
    <w:rsid w:val="00B56179"/>
    <w:rsid w:val="00B57850"/>
    <w:rsid w:val="00B611A1"/>
    <w:rsid w:val="00B61DD8"/>
    <w:rsid w:val="00B679AF"/>
    <w:rsid w:val="00B8017C"/>
    <w:rsid w:val="00B80F49"/>
    <w:rsid w:val="00B815AC"/>
    <w:rsid w:val="00B82F2F"/>
    <w:rsid w:val="00B859D1"/>
    <w:rsid w:val="00B95F32"/>
    <w:rsid w:val="00B96942"/>
    <w:rsid w:val="00B97E65"/>
    <w:rsid w:val="00BA0D33"/>
    <w:rsid w:val="00BA2D56"/>
    <w:rsid w:val="00BA3051"/>
    <w:rsid w:val="00BA6182"/>
    <w:rsid w:val="00BD1893"/>
    <w:rsid w:val="00BD22AB"/>
    <w:rsid w:val="00BD2E56"/>
    <w:rsid w:val="00BD7C96"/>
    <w:rsid w:val="00BE0A23"/>
    <w:rsid w:val="00BE0F15"/>
    <w:rsid w:val="00BF0DF5"/>
    <w:rsid w:val="00BF0EB9"/>
    <w:rsid w:val="00BF170A"/>
    <w:rsid w:val="00C00BE8"/>
    <w:rsid w:val="00C0714E"/>
    <w:rsid w:val="00C138B1"/>
    <w:rsid w:val="00C14EF3"/>
    <w:rsid w:val="00C1538A"/>
    <w:rsid w:val="00C21E76"/>
    <w:rsid w:val="00C229F4"/>
    <w:rsid w:val="00C24D23"/>
    <w:rsid w:val="00C2567D"/>
    <w:rsid w:val="00C25719"/>
    <w:rsid w:val="00C27160"/>
    <w:rsid w:val="00C36308"/>
    <w:rsid w:val="00C40982"/>
    <w:rsid w:val="00C500DE"/>
    <w:rsid w:val="00C5315B"/>
    <w:rsid w:val="00C53470"/>
    <w:rsid w:val="00C56904"/>
    <w:rsid w:val="00C613B1"/>
    <w:rsid w:val="00C718FE"/>
    <w:rsid w:val="00C72C65"/>
    <w:rsid w:val="00C73C41"/>
    <w:rsid w:val="00C764CF"/>
    <w:rsid w:val="00C805EB"/>
    <w:rsid w:val="00C80AC2"/>
    <w:rsid w:val="00C80D34"/>
    <w:rsid w:val="00C81513"/>
    <w:rsid w:val="00C816B1"/>
    <w:rsid w:val="00C83B89"/>
    <w:rsid w:val="00C84305"/>
    <w:rsid w:val="00C84674"/>
    <w:rsid w:val="00C86597"/>
    <w:rsid w:val="00C9178C"/>
    <w:rsid w:val="00C921D5"/>
    <w:rsid w:val="00CA0A74"/>
    <w:rsid w:val="00CA17FA"/>
    <w:rsid w:val="00CA1DC5"/>
    <w:rsid w:val="00CA73D9"/>
    <w:rsid w:val="00CA7AB0"/>
    <w:rsid w:val="00CB0E26"/>
    <w:rsid w:val="00CB0FCF"/>
    <w:rsid w:val="00CB5675"/>
    <w:rsid w:val="00CB5A22"/>
    <w:rsid w:val="00CC636E"/>
    <w:rsid w:val="00CD0DAB"/>
    <w:rsid w:val="00CD75D3"/>
    <w:rsid w:val="00CE0138"/>
    <w:rsid w:val="00CE0B0E"/>
    <w:rsid w:val="00CE10BD"/>
    <w:rsid w:val="00CE2E90"/>
    <w:rsid w:val="00CE6082"/>
    <w:rsid w:val="00CE7223"/>
    <w:rsid w:val="00CE7C68"/>
    <w:rsid w:val="00CF07E3"/>
    <w:rsid w:val="00CF13E9"/>
    <w:rsid w:val="00CF286B"/>
    <w:rsid w:val="00CF3864"/>
    <w:rsid w:val="00CF6585"/>
    <w:rsid w:val="00D05193"/>
    <w:rsid w:val="00D054F3"/>
    <w:rsid w:val="00D101CB"/>
    <w:rsid w:val="00D11020"/>
    <w:rsid w:val="00D13229"/>
    <w:rsid w:val="00D20AEA"/>
    <w:rsid w:val="00D20B16"/>
    <w:rsid w:val="00D20E6B"/>
    <w:rsid w:val="00D25E86"/>
    <w:rsid w:val="00D32806"/>
    <w:rsid w:val="00D34A6D"/>
    <w:rsid w:val="00D377D2"/>
    <w:rsid w:val="00D40112"/>
    <w:rsid w:val="00D402BC"/>
    <w:rsid w:val="00D41172"/>
    <w:rsid w:val="00D427B4"/>
    <w:rsid w:val="00D55F93"/>
    <w:rsid w:val="00D578B2"/>
    <w:rsid w:val="00D66AC0"/>
    <w:rsid w:val="00D67354"/>
    <w:rsid w:val="00D70171"/>
    <w:rsid w:val="00D732D1"/>
    <w:rsid w:val="00D751CD"/>
    <w:rsid w:val="00D823F3"/>
    <w:rsid w:val="00D879D7"/>
    <w:rsid w:val="00D93350"/>
    <w:rsid w:val="00D9435A"/>
    <w:rsid w:val="00D974E1"/>
    <w:rsid w:val="00DA3426"/>
    <w:rsid w:val="00DA3C45"/>
    <w:rsid w:val="00DA7246"/>
    <w:rsid w:val="00DB011D"/>
    <w:rsid w:val="00DB5596"/>
    <w:rsid w:val="00DC0146"/>
    <w:rsid w:val="00DC100F"/>
    <w:rsid w:val="00DC2D81"/>
    <w:rsid w:val="00DC482B"/>
    <w:rsid w:val="00DC5890"/>
    <w:rsid w:val="00DC747A"/>
    <w:rsid w:val="00DC7724"/>
    <w:rsid w:val="00DD0F7E"/>
    <w:rsid w:val="00DD4D7B"/>
    <w:rsid w:val="00DE5199"/>
    <w:rsid w:val="00DE6334"/>
    <w:rsid w:val="00DF09AB"/>
    <w:rsid w:val="00DF0B77"/>
    <w:rsid w:val="00DF1FA6"/>
    <w:rsid w:val="00DF4CC3"/>
    <w:rsid w:val="00DF7195"/>
    <w:rsid w:val="00E03263"/>
    <w:rsid w:val="00E03BA5"/>
    <w:rsid w:val="00E056DB"/>
    <w:rsid w:val="00E0700A"/>
    <w:rsid w:val="00E07CA9"/>
    <w:rsid w:val="00E1497B"/>
    <w:rsid w:val="00E14EC7"/>
    <w:rsid w:val="00E16401"/>
    <w:rsid w:val="00E2101D"/>
    <w:rsid w:val="00E2482A"/>
    <w:rsid w:val="00E30028"/>
    <w:rsid w:val="00E302A8"/>
    <w:rsid w:val="00E32376"/>
    <w:rsid w:val="00E33002"/>
    <w:rsid w:val="00E33996"/>
    <w:rsid w:val="00E34125"/>
    <w:rsid w:val="00E40576"/>
    <w:rsid w:val="00E40D74"/>
    <w:rsid w:val="00E41D25"/>
    <w:rsid w:val="00E47223"/>
    <w:rsid w:val="00E533AE"/>
    <w:rsid w:val="00E567E9"/>
    <w:rsid w:val="00E56E98"/>
    <w:rsid w:val="00E63506"/>
    <w:rsid w:val="00E67191"/>
    <w:rsid w:val="00E72060"/>
    <w:rsid w:val="00E76C85"/>
    <w:rsid w:val="00E84159"/>
    <w:rsid w:val="00E84A8B"/>
    <w:rsid w:val="00E8652A"/>
    <w:rsid w:val="00E90DBC"/>
    <w:rsid w:val="00E9116A"/>
    <w:rsid w:val="00E96D66"/>
    <w:rsid w:val="00E974DE"/>
    <w:rsid w:val="00EA15CF"/>
    <w:rsid w:val="00EA1808"/>
    <w:rsid w:val="00EA2783"/>
    <w:rsid w:val="00EA27D0"/>
    <w:rsid w:val="00EA6A13"/>
    <w:rsid w:val="00EA6BDD"/>
    <w:rsid w:val="00EB15F2"/>
    <w:rsid w:val="00EB385A"/>
    <w:rsid w:val="00EB3D20"/>
    <w:rsid w:val="00EB7103"/>
    <w:rsid w:val="00EC3FB4"/>
    <w:rsid w:val="00EC4166"/>
    <w:rsid w:val="00EC57BC"/>
    <w:rsid w:val="00EC7A58"/>
    <w:rsid w:val="00ED2950"/>
    <w:rsid w:val="00ED2C3A"/>
    <w:rsid w:val="00ED3A81"/>
    <w:rsid w:val="00ED5946"/>
    <w:rsid w:val="00ED7A74"/>
    <w:rsid w:val="00EE30C6"/>
    <w:rsid w:val="00EE35C9"/>
    <w:rsid w:val="00EE545F"/>
    <w:rsid w:val="00EE5834"/>
    <w:rsid w:val="00EE7AA6"/>
    <w:rsid w:val="00EF015B"/>
    <w:rsid w:val="00EF1205"/>
    <w:rsid w:val="00EF2A1F"/>
    <w:rsid w:val="00EF360C"/>
    <w:rsid w:val="00EF48A1"/>
    <w:rsid w:val="00EF4A1E"/>
    <w:rsid w:val="00EF5006"/>
    <w:rsid w:val="00EF5D1C"/>
    <w:rsid w:val="00F00DBC"/>
    <w:rsid w:val="00F018A4"/>
    <w:rsid w:val="00F16467"/>
    <w:rsid w:val="00F16C61"/>
    <w:rsid w:val="00F16EDD"/>
    <w:rsid w:val="00F171A9"/>
    <w:rsid w:val="00F173EF"/>
    <w:rsid w:val="00F17E64"/>
    <w:rsid w:val="00F24438"/>
    <w:rsid w:val="00F273D4"/>
    <w:rsid w:val="00F3016C"/>
    <w:rsid w:val="00F30408"/>
    <w:rsid w:val="00F336BB"/>
    <w:rsid w:val="00F353C3"/>
    <w:rsid w:val="00F44DDF"/>
    <w:rsid w:val="00F45CB9"/>
    <w:rsid w:val="00F4767C"/>
    <w:rsid w:val="00F56EA4"/>
    <w:rsid w:val="00F65E26"/>
    <w:rsid w:val="00F66299"/>
    <w:rsid w:val="00F72660"/>
    <w:rsid w:val="00F73514"/>
    <w:rsid w:val="00F737AE"/>
    <w:rsid w:val="00F7535C"/>
    <w:rsid w:val="00F769C4"/>
    <w:rsid w:val="00F80195"/>
    <w:rsid w:val="00F80720"/>
    <w:rsid w:val="00F82674"/>
    <w:rsid w:val="00F86784"/>
    <w:rsid w:val="00F93B79"/>
    <w:rsid w:val="00F951C2"/>
    <w:rsid w:val="00F96803"/>
    <w:rsid w:val="00F97D37"/>
    <w:rsid w:val="00FA0287"/>
    <w:rsid w:val="00FA5025"/>
    <w:rsid w:val="00FA7E2B"/>
    <w:rsid w:val="00FB1E9E"/>
    <w:rsid w:val="00FC2C7F"/>
    <w:rsid w:val="00FC55AC"/>
    <w:rsid w:val="00FD0134"/>
    <w:rsid w:val="00FD1818"/>
    <w:rsid w:val="00FD5BFA"/>
    <w:rsid w:val="00FE5AAF"/>
    <w:rsid w:val="00FF1272"/>
    <w:rsid w:val="00FF214F"/>
    <w:rsid w:val="00FF3F72"/>
    <w:rsid w:val="00FF4B3C"/>
    <w:rsid w:val="00FF5701"/>
    <w:rsid w:val="6BED4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qFormat="1"/>
    <w:lsdException w:name="toc 3" w:qFormat="1"/>
    <w:lsdException w:name="toc 4" w:semiHidden="0" w:qFormat="1"/>
    <w:lsdException w:name="toc 5" w:qFormat="1"/>
    <w:lsdException w:name="toc 7" w:qFormat="1"/>
    <w:lsdException w:name="toc 9" w:qFormat="1"/>
    <w:lsdException w:name="Normal Indent" w:semiHidden="0"/>
    <w:lsdException w:name="footnote text" w:unhideWhenUsed="1"/>
    <w:lsdException w:name="annotation text" w:semiHidden="0"/>
    <w:lsdException w:name="header" w:semiHidden="0"/>
    <w:lsdException w:name="footer" w:semiHidden="0" w:uiPriority="99"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semiHidden="0"/>
    <w:lsdException w:name="Body Text 3" w:unhideWhenUsed="1"/>
    <w:lsdException w:name="Body Text Indent 2" w:semiHidden="0"/>
    <w:lsdException w:name="Body Text Indent 3" w:semiHidden="0"/>
    <w:lsdException w:name="Block Text" w:unhideWhenUsed="1"/>
    <w:lsdException w:name="Hyperlink" w:semiHidden="0" w:qFormat="1"/>
    <w:lsdException w:name="FollowedHyperlink" w:unhideWhenUsed="1"/>
    <w:lsdException w:name="Strong" w:semiHidden="0" w:qFormat="1"/>
    <w:lsdException w:name="Emphasis" w:semiHidden="0" w:qFormat="1"/>
    <w:lsdException w:name="Document Map" w:qFormat="1"/>
    <w:lsdException w:name="Plain Text" w:semiHidden="0"/>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pPr>
      <w:ind w:leftChars="1200" w:left="2520"/>
    </w:pPr>
  </w:style>
  <w:style w:type="paragraph" w:styleId="a3">
    <w:name w:val="Normal Indent"/>
    <w:basedOn w:val="a"/>
    <w:pPr>
      <w:ind w:firstLine="420"/>
    </w:pPr>
    <w:rPr>
      <w:szCs w:val="20"/>
    </w:rPr>
  </w:style>
  <w:style w:type="paragraph" w:styleId="a4">
    <w:name w:val="Document Map"/>
    <w:basedOn w:val="a"/>
    <w:semiHidden/>
    <w:qFormat/>
    <w:pPr>
      <w:shd w:val="clear" w:color="auto" w:fill="000080"/>
    </w:pPr>
  </w:style>
  <w:style w:type="paragraph" w:styleId="a5">
    <w:name w:val="annotation text"/>
    <w:basedOn w:val="a"/>
    <w:link w:val="Char"/>
    <w:pPr>
      <w:jc w:val="left"/>
    </w:pPr>
  </w:style>
  <w:style w:type="paragraph" w:styleId="a6">
    <w:name w:val="Body Text Indent"/>
    <w:basedOn w:val="a"/>
    <w:pPr>
      <w:spacing w:line="400" w:lineRule="exact"/>
      <w:ind w:firstLineChars="192" w:firstLine="538"/>
    </w:pPr>
    <w:rPr>
      <w:rFonts w:ascii="仿宋_GB2312" w:eastAsia="仿宋_GB2312" w:hAnsi="宋体"/>
      <w:color w:val="000000"/>
      <w:sz w:val="28"/>
    </w:rPr>
  </w:style>
  <w:style w:type="paragraph" w:styleId="5">
    <w:name w:val="toc 5"/>
    <w:basedOn w:val="a"/>
    <w:next w:val="a"/>
    <w:semiHidden/>
    <w:qFormat/>
    <w:pPr>
      <w:ind w:leftChars="800" w:left="1680"/>
    </w:pPr>
  </w:style>
  <w:style w:type="paragraph" w:styleId="3">
    <w:name w:val="toc 3"/>
    <w:basedOn w:val="a"/>
    <w:next w:val="a"/>
    <w:semiHidden/>
    <w:qFormat/>
    <w:pPr>
      <w:ind w:leftChars="400" w:left="840"/>
    </w:pPr>
  </w:style>
  <w:style w:type="paragraph" w:styleId="a7">
    <w:name w:val="Plain Text"/>
    <w:basedOn w:val="a"/>
    <w:rPr>
      <w:rFonts w:ascii="宋体" w:hAnsi="Courier New"/>
      <w:szCs w:val="21"/>
    </w:rPr>
  </w:style>
  <w:style w:type="paragraph" w:styleId="8">
    <w:name w:val="toc 8"/>
    <w:basedOn w:val="a"/>
    <w:next w:val="a"/>
    <w:semiHidden/>
    <w:pPr>
      <w:ind w:leftChars="1400" w:left="2940"/>
    </w:pPr>
  </w:style>
  <w:style w:type="paragraph" w:styleId="2">
    <w:name w:val="Body Text Indent 2"/>
    <w:basedOn w:val="a"/>
    <w:pPr>
      <w:tabs>
        <w:tab w:val="left" w:pos="540"/>
      </w:tabs>
      <w:ind w:left="540" w:firstLine="540"/>
    </w:pPr>
    <w:rPr>
      <w:rFonts w:eastAsia="长城仿宋"/>
      <w:sz w:val="24"/>
      <w:szCs w:val="20"/>
    </w:rPr>
  </w:style>
  <w:style w:type="paragraph" w:styleId="a8">
    <w:name w:val="Balloon Text"/>
    <w:basedOn w:val="a"/>
    <w:semiHidden/>
    <w:qFormat/>
    <w:rPr>
      <w:sz w:val="18"/>
      <w:szCs w:val="18"/>
    </w:rPr>
  </w:style>
  <w:style w:type="paragraph" w:styleId="a9">
    <w:name w:val="footer"/>
    <w:basedOn w:val="a"/>
    <w:link w:val="Char0"/>
    <w:uiPriority w:val="99"/>
    <w:qFormat/>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style>
  <w:style w:type="paragraph" w:styleId="4">
    <w:name w:val="toc 4"/>
    <w:basedOn w:val="a"/>
    <w:next w:val="a"/>
    <w:qFormat/>
    <w:pPr>
      <w:ind w:leftChars="600" w:left="1260"/>
    </w:pPr>
  </w:style>
  <w:style w:type="paragraph" w:styleId="6">
    <w:name w:val="toc 6"/>
    <w:basedOn w:val="a"/>
    <w:next w:val="a"/>
    <w:semiHidden/>
    <w:pPr>
      <w:ind w:leftChars="1000" w:left="2100"/>
    </w:pPr>
  </w:style>
  <w:style w:type="paragraph" w:styleId="30">
    <w:name w:val="Body Text Indent 3"/>
    <w:basedOn w:val="a"/>
    <w:pPr>
      <w:ind w:left="360" w:firstLine="540"/>
    </w:pPr>
    <w:rPr>
      <w:rFonts w:eastAsia="长城仿宋"/>
      <w:sz w:val="24"/>
      <w:szCs w:val="20"/>
    </w:rPr>
  </w:style>
  <w:style w:type="paragraph" w:styleId="20">
    <w:name w:val="toc 2"/>
    <w:basedOn w:val="a"/>
    <w:next w:val="a"/>
    <w:semiHidden/>
    <w:qFormat/>
    <w:pPr>
      <w:ind w:leftChars="200" w:left="420"/>
    </w:pPr>
  </w:style>
  <w:style w:type="paragraph" w:styleId="9">
    <w:name w:val="toc 9"/>
    <w:basedOn w:val="a"/>
    <w:next w:val="a"/>
    <w:semiHidden/>
    <w:qFormat/>
    <w:pPr>
      <w:ind w:leftChars="1600" w:left="3360"/>
    </w:pPr>
  </w:style>
  <w:style w:type="paragraph" w:styleId="21">
    <w:name w:val="Body Text 2"/>
    <w:basedOn w:val="a"/>
    <w:pPr>
      <w:spacing w:after="120" w:line="480" w:lineRule="auto"/>
    </w:pPr>
  </w:style>
  <w:style w:type="character" w:styleId="ab">
    <w:name w:val="page number"/>
    <w:basedOn w:val="a0"/>
    <w:qFormat/>
  </w:style>
  <w:style w:type="character" w:styleId="ac">
    <w:name w:val="Hyperlink"/>
    <w:qFormat/>
    <w:rPr>
      <w:color w:val="0000FF"/>
      <w:u w:val="single"/>
    </w:rPr>
  </w:style>
  <w:style w:type="character" w:styleId="ad">
    <w:name w:val="annotation reference"/>
    <w:basedOn w:val="a0"/>
    <w:qFormat/>
    <w:rPr>
      <w:sz w:val="21"/>
      <w:szCs w:val="21"/>
    </w:rPr>
  </w:style>
  <w:style w:type="paragraph" w:customStyle="1" w:styleId="Web">
    <w:name w:val="普通 (Web)"/>
    <w:basedOn w:val="a"/>
    <w:pPr>
      <w:widowControl/>
      <w:spacing w:before="100" w:beforeAutospacing="1" w:after="100" w:afterAutospacing="1"/>
      <w:jc w:val="left"/>
    </w:pPr>
    <w:rPr>
      <w:rFonts w:ascii="宋体" w:hAnsi="宋体"/>
      <w:kern w:val="0"/>
      <w:sz w:val="24"/>
    </w:rPr>
  </w:style>
  <w:style w:type="paragraph" w:customStyle="1" w:styleId="Char1">
    <w:name w:val="Char"/>
    <w:basedOn w:val="a"/>
    <w:qFormat/>
  </w:style>
  <w:style w:type="paragraph" w:customStyle="1" w:styleId="11">
    <w:name w:val="修订1"/>
    <w:hidden/>
    <w:uiPriority w:val="99"/>
    <w:semiHidden/>
    <w:qFormat/>
    <w:rPr>
      <w:kern w:val="2"/>
      <w:sz w:val="21"/>
      <w:szCs w:val="24"/>
    </w:rPr>
  </w:style>
  <w:style w:type="paragraph" w:customStyle="1" w:styleId="CharChar">
    <w:name w:val="Char Char"/>
    <w:basedOn w:val="a"/>
    <w:qFormat/>
    <w:rPr>
      <w:szCs w:val="20"/>
    </w:rPr>
  </w:style>
  <w:style w:type="character" w:customStyle="1" w:styleId="Char">
    <w:name w:val="批注文字 Char"/>
    <w:basedOn w:val="a0"/>
    <w:link w:val="a5"/>
    <w:qFormat/>
    <w:rPr>
      <w:kern w:val="2"/>
      <w:sz w:val="21"/>
      <w:szCs w:val="24"/>
    </w:rPr>
  </w:style>
  <w:style w:type="character" w:customStyle="1" w:styleId="Char0">
    <w:name w:val="页脚 Char"/>
    <w:basedOn w:val="a0"/>
    <w:link w:val="a9"/>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2768</Words>
  <Characters>15784</Characters>
  <Application>Microsoft Office Word</Application>
  <DocSecurity>0</DocSecurity>
  <Lines>131</Lines>
  <Paragraphs>37</Paragraphs>
  <ScaleCrop>false</ScaleCrop>
  <Company>EastHome</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金鹰成份股优选证券投资基金托管协议</dc:title>
  <dc:creator>user</dc:creator>
  <cp:lastModifiedBy>侯旭1012</cp:lastModifiedBy>
  <cp:revision>74</cp:revision>
  <cp:lastPrinted>2013-01-24T06:57:00Z</cp:lastPrinted>
  <dcterms:created xsi:type="dcterms:W3CDTF">2015-04-24T08:41:00Z</dcterms:created>
  <dcterms:modified xsi:type="dcterms:W3CDTF">2020-10-13T12:32:00Z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