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60" w:rsidRPr="00D03060" w:rsidRDefault="00D03060" w:rsidP="00D03060">
      <w:pPr>
        <w:widowControl/>
        <w:shd w:val="clear" w:color="auto" w:fill="FFFFFF"/>
        <w:spacing w:line="720" w:lineRule="atLeast"/>
        <w:jc w:val="center"/>
        <w:outlineLvl w:val="1"/>
        <w:rPr>
          <w:rFonts w:ascii="微软雅黑" w:eastAsia="微软雅黑" w:hAnsi="微软雅黑" w:cs="宋体"/>
          <w:color w:val="0B65AA"/>
          <w:kern w:val="36"/>
          <w:sz w:val="36"/>
          <w:szCs w:val="36"/>
        </w:rPr>
      </w:pPr>
      <w:bookmarkStart w:id="0" w:name="_GoBack"/>
      <w:r w:rsidRPr="00D03060">
        <w:rPr>
          <w:rFonts w:ascii="微软雅黑" w:eastAsia="微软雅黑" w:hAnsi="微软雅黑" w:cs="宋体" w:hint="eastAsia"/>
          <w:color w:val="0B65AA"/>
          <w:kern w:val="36"/>
          <w:sz w:val="36"/>
          <w:szCs w:val="36"/>
        </w:rPr>
        <w:t>REITs系列-REITs在国内的发展与现状</w:t>
      </w:r>
    </w:p>
    <w:bookmarkEnd w:id="0"/>
    <w:p w:rsidR="00D03060" w:rsidRPr="00D03060" w:rsidRDefault="00D03060" w:rsidP="00D03060">
      <w:pPr>
        <w:widowControl/>
        <w:shd w:val="clear" w:color="auto" w:fill="FFFFFF"/>
        <w:spacing w:line="450" w:lineRule="atLeast"/>
        <w:jc w:val="center"/>
        <w:rPr>
          <w:rFonts w:ascii="微软雅黑" w:eastAsia="微软雅黑" w:hAnsi="微软雅黑" w:cs="宋体" w:hint="eastAsia"/>
          <w:color w:val="959595"/>
          <w:kern w:val="0"/>
          <w:sz w:val="18"/>
          <w:szCs w:val="18"/>
        </w:rPr>
      </w:pPr>
      <w:r w:rsidRPr="00D03060">
        <w:rPr>
          <w:rFonts w:ascii="微软雅黑" w:eastAsia="微软雅黑" w:hAnsi="微软雅黑" w:cs="宋体" w:hint="eastAsia"/>
          <w:color w:val="959595"/>
          <w:kern w:val="0"/>
          <w:sz w:val="18"/>
          <w:szCs w:val="18"/>
        </w:rPr>
        <w:t>公布时间： 2021-03-05</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早期阶段</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与美国、澳洲、新加坡等REITs已经较为成熟的国家相比，国内REITs还处于起步阶段。2002年国内信托业务开展后，国家层面不断发布了很多REITs相关的鼓励性政策，但REITs整体发展还是较为缓慢的。2005年，“越秀房地产投资信托基金”在香港上市，是首个以中国内地物业为底层资产的标准化公墓REITs产品。2007年央行、银监会和证监会联合成立“房地产投资基金专题研究领导小组”，后因美国金融危机，REITs推动工作停滞。2014年，“中信启航专项资产管理计划”上市，创设了“私募基金+专项管理计划”的双SPV结构，成为国内第一支上市的类REITs产品。2015年“鹏华前海万科REITs”作为中国首支公募REITs在深交所上市，正式拉开了国内公募REITs的序幕。此后，</w:t>
      </w:r>
      <w:proofErr w:type="gramStart"/>
      <w:r w:rsidRPr="00D03060">
        <w:rPr>
          <w:rFonts w:ascii="宋体" w:eastAsia="宋体" w:hAnsi="宋体" w:cs="宋体" w:hint="eastAsia"/>
          <w:color w:val="000000"/>
          <w:kern w:val="0"/>
          <w:szCs w:val="21"/>
          <w:bdr w:val="none" w:sz="0" w:space="0" w:color="auto" w:frame="1"/>
        </w:rPr>
        <w:t>国内类</w:t>
      </w:r>
      <w:proofErr w:type="gramEnd"/>
      <w:r w:rsidRPr="00D03060">
        <w:rPr>
          <w:rFonts w:ascii="宋体" w:eastAsia="宋体" w:hAnsi="宋体" w:cs="宋体" w:hint="eastAsia"/>
          <w:color w:val="000000"/>
          <w:kern w:val="0"/>
          <w:szCs w:val="21"/>
          <w:bdr w:val="none" w:sz="0" w:space="0" w:color="auto" w:frame="1"/>
        </w:rPr>
        <w:t>REITs债券发债数量不断上升，公募REITs试点的相关政策也在逐步增加，稳步推进。</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 </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试点阶段</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2020年4月30日，证监会</w:t>
      </w:r>
      <w:proofErr w:type="gramStart"/>
      <w:r w:rsidRPr="00D03060">
        <w:rPr>
          <w:rFonts w:ascii="宋体" w:eastAsia="宋体" w:hAnsi="宋体" w:cs="宋体" w:hint="eastAsia"/>
          <w:color w:val="000000"/>
          <w:kern w:val="0"/>
          <w:szCs w:val="21"/>
          <w:bdr w:val="none" w:sz="0" w:space="0" w:color="auto" w:frame="1"/>
        </w:rPr>
        <w:t>与发改委</w:t>
      </w:r>
      <w:proofErr w:type="gramEnd"/>
      <w:r w:rsidRPr="00D03060">
        <w:rPr>
          <w:rFonts w:ascii="宋体" w:eastAsia="宋体" w:hAnsi="宋体" w:cs="宋体" w:hint="eastAsia"/>
          <w:color w:val="000000"/>
          <w:kern w:val="0"/>
          <w:szCs w:val="21"/>
          <w:bdr w:val="none" w:sz="0" w:space="0" w:color="auto" w:frame="1"/>
        </w:rPr>
        <w:t>联合发布《关于推进基础设施领域不动产投资信托基金（REITs）试点相关工作的通知》（以下简称《通知》），证监会同步就《公开募集基础设施证券投资基金指引（试行）》公开征求意见，标志着境内基础设施领域公募REITs试点正式起步。</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2020年8月6日证监会正式发布《公开募集基础设施证券投资基金指引（试行）》。随后，2021年各项配套自律规则相继发布，不断推进基础设施公募REITs试点工作进展。2021年1月29日，上交所发布基础设施证券投资基金(REITs)三项主要业务规则，分别为《公开募集基础设施证券投资基金(REITs)业务办法（试行）》、《公开募集基础设施证券投资基金(REITs)规则适用指引第1号——审核关注事项（试行）》、《公开募集基础设施证券投资基金(REITs)规则适用指引第2号——发售业务（试行）》；同日，深交所发布《深圳证券交易所公开募集基础设施证券投资基金业务办法（试行）》和《深圳证券交易所公开募集基础设施证券投资基金业务指引第1号—审核关注事项（试行）》、《深圳证券交易所公开募集基础设施证券投资基金业务指引第2号—发售业务（试行）》；2月8日，基金业协会发布《公开募集基础设施证券投资基金尽职调查工作指引（试行）》和《公开募集基础设施证券投资基金运营操作指引（试行）》。2月24日深交所发布公告，基础设施公募REITs技术系统正式上线，审核业务系统、信息公开网站和网下发售系统于3月1日起启用。2月25日基金业协会发布《关于开展公募基础设施证券投资基金的基金经理注册登记的通知》，对公</w:t>
      </w:r>
      <w:proofErr w:type="gramStart"/>
      <w:r w:rsidRPr="00D03060">
        <w:rPr>
          <w:rFonts w:ascii="宋体" w:eastAsia="宋体" w:hAnsi="宋体" w:cs="宋体" w:hint="eastAsia"/>
          <w:color w:val="000000"/>
          <w:kern w:val="0"/>
          <w:szCs w:val="21"/>
          <w:bdr w:val="none" w:sz="0" w:space="0" w:color="auto" w:frame="1"/>
        </w:rPr>
        <w:t>募</w:t>
      </w:r>
      <w:proofErr w:type="gramEnd"/>
      <w:r w:rsidRPr="00D03060">
        <w:rPr>
          <w:rFonts w:ascii="宋体" w:eastAsia="宋体" w:hAnsi="宋体" w:cs="宋体" w:hint="eastAsia"/>
          <w:color w:val="000000"/>
          <w:kern w:val="0"/>
          <w:szCs w:val="21"/>
          <w:bdr w:val="none" w:sz="0" w:space="0" w:color="auto" w:frame="1"/>
        </w:rPr>
        <w:t>基础设施REITs基金经理任职条件和注册登记流程做出规定。</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 </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市场现状</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目前市场上RIETs中，公募REITs较少，主要以类REITs为主，偏向于固定收益型的债券投资，更注重其融资工具的作用。</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发行方式上，目前市场上主要以私募为主，流动性相对较差，个人投资者参与门槛较高。2020年8月证监会发布《公开募集基础设施证券投资基金指引（试行）》，规定公</w:t>
      </w:r>
      <w:proofErr w:type="gramStart"/>
      <w:r w:rsidRPr="00D03060">
        <w:rPr>
          <w:rFonts w:ascii="宋体" w:eastAsia="宋体" w:hAnsi="宋体" w:cs="宋体" w:hint="eastAsia"/>
          <w:color w:val="000000"/>
          <w:kern w:val="0"/>
          <w:szCs w:val="21"/>
          <w:bdr w:val="none" w:sz="0" w:space="0" w:color="auto" w:frame="1"/>
        </w:rPr>
        <w:t>募基础</w:t>
      </w:r>
      <w:proofErr w:type="gramEnd"/>
      <w:r w:rsidRPr="00D03060">
        <w:rPr>
          <w:rFonts w:ascii="宋体" w:eastAsia="宋体" w:hAnsi="宋体" w:cs="宋体" w:hint="eastAsia"/>
          <w:color w:val="000000"/>
          <w:kern w:val="0"/>
          <w:szCs w:val="21"/>
          <w:bdr w:val="none" w:sz="0" w:space="0" w:color="auto" w:frame="1"/>
        </w:rPr>
        <w:t>设施REITs可以在证券交易所上市交易，提升了基础设施REITs流动性差，同时降低投资门槛。随着REITs的试点工作不断推进，未来其他类型的REITs的流动性也将不断改善，有望成为个人投资者重要的投资工具之一。</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从组织结构上来看，国内公募REITs采用“公募基金 + ABS”的结构，与美国主流的公司型REITs不同，其结构也更为复杂（公募REITs和类REITs结构如下图所示）。</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before="225" w:after="225" w:line="300" w:lineRule="atLeast"/>
        <w:ind w:firstLine="360"/>
        <w:jc w:val="left"/>
        <w:rPr>
          <w:rFonts w:ascii="宋体" w:eastAsia="宋体" w:hAnsi="宋体" w:cs="宋体" w:hint="eastAsia"/>
          <w:color w:val="000000"/>
          <w:kern w:val="0"/>
          <w:szCs w:val="21"/>
        </w:rPr>
      </w:pPr>
      <w:r>
        <w:rPr>
          <w:rFonts w:ascii="宋体" w:eastAsia="宋体" w:hAnsi="宋体" w:cs="宋体"/>
          <w:noProof/>
          <w:color w:val="000000"/>
          <w:kern w:val="0"/>
          <w:szCs w:val="21"/>
        </w:rPr>
        <w:lastRenderedPageBreak/>
        <w:drawing>
          <wp:inline distT="0" distB="0" distL="0" distR="0">
            <wp:extent cx="5076825" cy="2876550"/>
            <wp:effectExtent l="0" t="0" r="9525" b="0"/>
            <wp:docPr id="2" name="图片 2" descr="https://www.sac.net.cn/tzzyd/tzabc/nwwd/202103/W020210305364590719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c.net.cn/tzzyd/tzabc/nwwd/202103/W0202103053645907199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2876550"/>
                    </a:xfrm>
                    <a:prstGeom prst="rect">
                      <a:avLst/>
                    </a:prstGeom>
                    <a:noFill/>
                    <a:ln>
                      <a:noFill/>
                    </a:ln>
                  </pic:spPr>
                </pic:pic>
              </a:graphicData>
            </a:graphic>
          </wp:inline>
        </w:drawing>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公募REITs结构（公募 + ABS）</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 </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before="225" w:after="225" w:line="300" w:lineRule="atLeast"/>
        <w:ind w:firstLine="360"/>
        <w:jc w:val="left"/>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5591175" cy="2838450"/>
            <wp:effectExtent l="0" t="0" r="9525" b="0"/>
            <wp:docPr id="1" name="图片 1" descr="https://www.sac.net.cn/tzzyd/tzabc/nwwd/202103/W02021030536459071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c.net.cn/tzzyd/tzabc/nwwd/202103/W0202103053645907111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2838450"/>
                    </a:xfrm>
                    <a:prstGeom prst="rect">
                      <a:avLst/>
                    </a:prstGeom>
                    <a:noFill/>
                    <a:ln>
                      <a:noFill/>
                    </a:ln>
                  </pic:spPr>
                </pic:pic>
              </a:graphicData>
            </a:graphic>
          </wp:inline>
        </w:drawing>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类REITs结构</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 </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底层资产方面，国内REITs底层基础资产主要以购物中心和写字楼为主，公寓、酒店、物流类地产都有所涉及，主要分布于</w:t>
      </w:r>
      <w:proofErr w:type="gramStart"/>
      <w:r w:rsidRPr="00D03060">
        <w:rPr>
          <w:rFonts w:ascii="宋体" w:eastAsia="宋体" w:hAnsi="宋体" w:cs="宋体" w:hint="eastAsia"/>
          <w:color w:val="000000"/>
          <w:kern w:val="0"/>
          <w:szCs w:val="21"/>
          <w:bdr w:val="none" w:sz="0" w:space="0" w:color="auto" w:frame="1"/>
        </w:rPr>
        <w:t>一</w:t>
      </w:r>
      <w:proofErr w:type="gramEnd"/>
      <w:r w:rsidRPr="00D03060">
        <w:rPr>
          <w:rFonts w:ascii="宋体" w:eastAsia="宋体" w:hAnsi="宋体" w:cs="宋体" w:hint="eastAsia"/>
          <w:color w:val="000000"/>
          <w:kern w:val="0"/>
          <w:szCs w:val="21"/>
          <w:bdr w:val="none" w:sz="0" w:space="0" w:color="auto" w:frame="1"/>
        </w:rPr>
        <w:t>二线城市居多。由于国内许多物业资产租售比较低，过去境内REITs一直面临租金回报低的问题。但随着近年来我国经济结构优化升级，科技、金融等第三产业快速发展，写字楼需求上升，租金收益逐步改善。除写字楼外，目前也有许多具有良好前景的房地产类型，例如物流地产。得益于电商的快速发展，物流地产成为近年发展最快、收益质量最高的物业地产之一，具有规模较大，租金收益率较高的特点。物</w:t>
      </w:r>
      <w:r w:rsidRPr="00D03060">
        <w:rPr>
          <w:rFonts w:ascii="宋体" w:eastAsia="宋体" w:hAnsi="宋体" w:cs="宋体" w:hint="eastAsia"/>
          <w:color w:val="000000"/>
          <w:kern w:val="0"/>
          <w:szCs w:val="21"/>
          <w:bdr w:val="none" w:sz="0" w:space="0" w:color="auto" w:frame="1"/>
        </w:rPr>
        <w:lastRenderedPageBreak/>
        <w:t>流地产也符合当前的政策引导，属于证监会</w:t>
      </w:r>
      <w:proofErr w:type="gramStart"/>
      <w:r w:rsidRPr="00D03060">
        <w:rPr>
          <w:rFonts w:ascii="宋体" w:eastAsia="宋体" w:hAnsi="宋体" w:cs="宋体" w:hint="eastAsia"/>
          <w:color w:val="000000"/>
          <w:kern w:val="0"/>
          <w:szCs w:val="21"/>
          <w:bdr w:val="none" w:sz="0" w:space="0" w:color="auto" w:frame="1"/>
        </w:rPr>
        <w:t>和发改委</w:t>
      </w:r>
      <w:proofErr w:type="gramEnd"/>
      <w:r w:rsidRPr="00D03060">
        <w:rPr>
          <w:rFonts w:ascii="宋体" w:eastAsia="宋体" w:hAnsi="宋体" w:cs="宋体" w:hint="eastAsia"/>
          <w:color w:val="000000"/>
          <w:kern w:val="0"/>
          <w:szCs w:val="21"/>
          <w:bdr w:val="none" w:sz="0" w:space="0" w:color="auto" w:frame="1"/>
        </w:rPr>
        <w:t>联合发布的《通知》当中试点的基础设施类地产之一。其余试点的基础设施类房地产还包括收费公路、机场港口等交通设施，水电气热等市政设施，城镇污水垃圾处理、固</w:t>
      </w:r>
      <w:proofErr w:type="gramStart"/>
      <w:r w:rsidRPr="00D03060">
        <w:rPr>
          <w:rFonts w:ascii="宋体" w:eastAsia="宋体" w:hAnsi="宋体" w:cs="宋体" w:hint="eastAsia"/>
          <w:color w:val="000000"/>
          <w:kern w:val="0"/>
          <w:szCs w:val="21"/>
          <w:bdr w:val="none" w:sz="0" w:space="0" w:color="auto" w:frame="1"/>
        </w:rPr>
        <w:t>废危废处理</w:t>
      </w:r>
      <w:proofErr w:type="gramEnd"/>
      <w:r w:rsidRPr="00D03060">
        <w:rPr>
          <w:rFonts w:ascii="宋体" w:eastAsia="宋体" w:hAnsi="宋体" w:cs="宋体" w:hint="eastAsia"/>
          <w:color w:val="000000"/>
          <w:kern w:val="0"/>
          <w:szCs w:val="21"/>
          <w:bdr w:val="none" w:sz="0" w:space="0" w:color="auto" w:frame="1"/>
        </w:rPr>
        <w:t>等污染治理项目，产业园区等。</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 </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 </w:t>
      </w:r>
      <w:r w:rsidRPr="00D03060">
        <w:rPr>
          <w:rFonts w:ascii="宋体" w:eastAsia="宋体" w:hAnsi="宋体" w:cs="宋体" w:hint="eastAsia"/>
          <w:color w:val="000000"/>
          <w:kern w:val="0"/>
          <w:szCs w:val="21"/>
        </w:rPr>
        <w:t> </w:t>
      </w:r>
    </w:p>
    <w:p w:rsidR="00D03060" w:rsidRPr="00D03060" w:rsidRDefault="00D03060" w:rsidP="00D03060">
      <w:pPr>
        <w:widowControl/>
        <w:shd w:val="clear" w:color="auto" w:fill="FFFFFF"/>
        <w:spacing w:line="300" w:lineRule="atLeast"/>
        <w:ind w:firstLine="360"/>
        <w:jc w:val="left"/>
        <w:rPr>
          <w:rFonts w:ascii="宋体" w:eastAsia="宋体" w:hAnsi="宋体" w:cs="宋体" w:hint="eastAsia"/>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免责声明：</w:t>
      </w:r>
      <w:r w:rsidRPr="00D03060">
        <w:rPr>
          <w:rFonts w:ascii="宋体" w:eastAsia="宋体" w:hAnsi="宋体" w:cs="宋体" w:hint="eastAsia"/>
          <w:color w:val="000000"/>
          <w:kern w:val="0"/>
          <w:szCs w:val="21"/>
        </w:rPr>
        <w:t> </w:t>
      </w:r>
    </w:p>
    <w:p w:rsidR="000F14F9" w:rsidRPr="00D03060" w:rsidRDefault="00D03060" w:rsidP="00D03060">
      <w:pPr>
        <w:widowControl/>
        <w:shd w:val="clear" w:color="auto" w:fill="FFFFFF"/>
        <w:spacing w:line="300" w:lineRule="atLeast"/>
        <w:ind w:firstLine="360"/>
        <w:jc w:val="left"/>
        <w:rPr>
          <w:rFonts w:ascii="宋体" w:eastAsia="宋体" w:hAnsi="宋体" w:cs="宋体"/>
          <w:color w:val="000000"/>
          <w:kern w:val="0"/>
          <w:szCs w:val="21"/>
        </w:rPr>
      </w:pPr>
      <w:r w:rsidRPr="00D03060">
        <w:rPr>
          <w:rFonts w:ascii="宋体" w:eastAsia="宋体" w:hAnsi="宋体" w:cs="宋体" w:hint="eastAsia"/>
          <w:color w:val="000000"/>
          <w:kern w:val="0"/>
          <w:szCs w:val="21"/>
        </w:rPr>
        <w:t xml:space="preserve">　　</w:t>
      </w:r>
      <w:r w:rsidRPr="00D03060">
        <w:rPr>
          <w:rFonts w:ascii="宋体" w:eastAsia="宋体" w:hAnsi="宋体" w:cs="宋体" w:hint="eastAsia"/>
          <w:color w:val="000000"/>
          <w:kern w:val="0"/>
          <w:szCs w:val="21"/>
          <w:bdr w:val="none" w:sz="0" w:space="0" w:color="auto" w:frame="1"/>
        </w:rPr>
        <w:t>本栏目刊载的信息仅用于投资者教育之目的，不构成对投资者的任何投资建议，投资者不应当以该等信息取代其独立判断或仅根据该等信息做出决策。本栏目信息力求准确可靠，但对这些信息的准确性或完整性不作保证，亦不对因使用该等信息而引发或可能引发的损失承担任何责任。</w:t>
      </w:r>
      <w:r w:rsidRPr="00D03060">
        <w:rPr>
          <w:rFonts w:ascii="宋体" w:eastAsia="宋体" w:hAnsi="宋体" w:cs="宋体" w:hint="eastAsia"/>
          <w:color w:val="000000"/>
          <w:kern w:val="0"/>
          <w:szCs w:val="21"/>
        </w:rPr>
        <w:t> </w:t>
      </w:r>
    </w:p>
    <w:sectPr w:rsidR="000F14F9" w:rsidRPr="00D030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3F"/>
    <w:rsid w:val="000F14F9"/>
    <w:rsid w:val="006D443F"/>
    <w:rsid w:val="00D03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00745">
      <w:bodyDiv w:val="1"/>
      <w:marLeft w:val="0"/>
      <w:marRight w:val="0"/>
      <w:marTop w:val="0"/>
      <w:marBottom w:val="0"/>
      <w:divBdr>
        <w:top w:val="none" w:sz="0" w:space="0" w:color="auto"/>
        <w:left w:val="none" w:sz="0" w:space="0" w:color="auto"/>
        <w:bottom w:val="none" w:sz="0" w:space="0" w:color="auto"/>
        <w:right w:val="none" w:sz="0" w:space="0" w:color="auto"/>
      </w:divBdr>
      <w:divsChild>
        <w:div w:id="1704213681">
          <w:marLeft w:val="0"/>
          <w:marRight w:val="0"/>
          <w:marTop w:val="0"/>
          <w:marBottom w:val="0"/>
          <w:divBdr>
            <w:top w:val="none" w:sz="0" w:space="0" w:color="auto"/>
            <w:left w:val="none" w:sz="0" w:space="0" w:color="auto"/>
            <w:bottom w:val="none" w:sz="0" w:space="0" w:color="auto"/>
            <w:right w:val="none" w:sz="0" w:space="0" w:color="auto"/>
          </w:divBdr>
          <w:divsChild>
            <w:div w:id="367995095">
              <w:marLeft w:val="0"/>
              <w:marRight w:val="0"/>
              <w:marTop w:val="0"/>
              <w:marBottom w:val="0"/>
              <w:divBdr>
                <w:top w:val="none" w:sz="0" w:space="0" w:color="auto"/>
                <w:left w:val="none" w:sz="0" w:space="0" w:color="auto"/>
                <w:bottom w:val="none" w:sz="0" w:space="0" w:color="auto"/>
                <w:right w:val="none" w:sz="0" w:space="0" w:color="auto"/>
              </w:divBdr>
              <w:divsChild>
                <w:div w:id="1413621046">
                  <w:marLeft w:val="0"/>
                  <w:marRight w:val="0"/>
                  <w:marTop w:val="0"/>
                  <w:marBottom w:val="150"/>
                  <w:divBdr>
                    <w:top w:val="none" w:sz="0" w:space="0" w:color="auto"/>
                    <w:left w:val="none" w:sz="0" w:space="0" w:color="auto"/>
                    <w:bottom w:val="none" w:sz="0" w:space="0" w:color="auto"/>
                    <w:right w:val="none" w:sz="0" w:space="0" w:color="auto"/>
                  </w:divBdr>
                </w:div>
                <w:div w:id="1556894956">
                  <w:marLeft w:val="0"/>
                  <w:marRight w:val="0"/>
                  <w:marTop w:val="0"/>
                  <w:marBottom w:val="0"/>
                  <w:divBdr>
                    <w:top w:val="single" w:sz="6" w:space="11" w:color="F5F5F5"/>
                    <w:left w:val="none" w:sz="0" w:space="0" w:color="auto"/>
                    <w:bottom w:val="none" w:sz="0" w:space="0" w:color="auto"/>
                    <w:right w:val="none" w:sz="0" w:space="0" w:color="auto"/>
                  </w:divBdr>
                  <w:divsChild>
                    <w:div w:id="816798095">
                      <w:marLeft w:val="0"/>
                      <w:marRight w:val="0"/>
                      <w:marTop w:val="0"/>
                      <w:marBottom w:val="0"/>
                      <w:divBdr>
                        <w:top w:val="none" w:sz="0" w:space="0" w:color="auto"/>
                        <w:left w:val="none" w:sz="0" w:space="0" w:color="auto"/>
                        <w:bottom w:val="none" w:sz="0" w:space="0" w:color="auto"/>
                        <w:right w:val="none" w:sz="0" w:space="0" w:color="auto"/>
                      </w:divBdr>
                      <w:divsChild>
                        <w:div w:id="3024635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HP Inc.</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wuj003</dc:creator>
  <cp:keywords/>
  <dc:description/>
  <cp:lastModifiedBy>wuj003</cp:lastModifiedBy>
  <cp:revision>3</cp:revision>
  <dcterms:created xsi:type="dcterms:W3CDTF">2021-07-19T11:35:00Z</dcterms:created>
  <dcterms:modified xsi:type="dcterms:W3CDTF">2021-07-19T11:35:00Z</dcterms:modified>
</cp:coreProperties>
</file>