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4B" w:rsidRDefault="007F484B" w:rsidP="007F484B">
      <w:pPr>
        <w:widowControl/>
        <w:jc w:val="center"/>
        <w:rPr>
          <w:rFonts w:ascii="黑体" w:eastAsia="黑体" w:hAnsi="黑体" w:cs="宋体"/>
          <w:b/>
          <w:bCs/>
          <w:color w:val="FF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嘉</w:t>
      </w:r>
      <w:proofErr w:type="gramStart"/>
      <w:r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实基金</w:t>
      </w:r>
      <w:proofErr w:type="gramEnd"/>
      <w:r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管理有限公司</w:t>
      </w:r>
    </w:p>
    <w:p w:rsidR="007F484B" w:rsidRPr="00623496" w:rsidRDefault="007F484B" w:rsidP="007F484B">
      <w:pPr>
        <w:widowControl/>
        <w:jc w:val="center"/>
        <w:rPr>
          <w:rFonts w:ascii="黑体" w:eastAsia="黑体" w:hAnsi="黑体" w:cs="宋体"/>
          <w:b/>
          <w:bCs/>
          <w:color w:val="FF0000"/>
          <w:kern w:val="0"/>
          <w:sz w:val="32"/>
          <w:szCs w:val="32"/>
        </w:rPr>
      </w:pPr>
      <w:r w:rsidRPr="00623496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关于直销平台调整部分基金费率的公告</w:t>
      </w:r>
    </w:p>
    <w:p w:rsidR="007F484B" w:rsidRPr="00623496" w:rsidRDefault="007F484B" w:rsidP="007F484B">
      <w:pPr>
        <w:widowControl/>
        <w:spacing w:before="120" w:after="120" w:line="360" w:lineRule="auto"/>
        <w:ind w:firstLineChars="200" w:firstLine="480"/>
        <w:rPr>
          <w:rFonts w:asciiTheme="minorEastAsia" w:hAnsiTheme="minorEastAsia" w:cs="Tahoma"/>
          <w:color w:val="000000"/>
          <w:kern w:val="0"/>
          <w:sz w:val="24"/>
          <w:szCs w:val="24"/>
        </w:rPr>
      </w:pPr>
      <w:r w:rsidRPr="00623496">
        <w:rPr>
          <w:rFonts w:asciiTheme="minorEastAsia" w:hAnsiTheme="minorEastAsia" w:cs="Tahoma" w:hint="eastAsia"/>
          <w:color w:val="000000" w:themeColor="text1"/>
          <w:kern w:val="0"/>
          <w:sz w:val="24"/>
          <w:szCs w:val="24"/>
        </w:rPr>
        <w:t>嘉</w:t>
      </w:r>
      <w:proofErr w:type="gramStart"/>
      <w:r w:rsidRPr="00623496">
        <w:rPr>
          <w:rFonts w:asciiTheme="minorEastAsia" w:hAnsiTheme="minorEastAsia" w:cs="Tahoma" w:hint="eastAsia"/>
          <w:color w:val="000000" w:themeColor="text1"/>
          <w:kern w:val="0"/>
          <w:sz w:val="24"/>
          <w:szCs w:val="24"/>
        </w:rPr>
        <w:t>实基金</w:t>
      </w:r>
      <w:proofErr w:type="gramEnd"/>
      <w:r w:rsidRPr="00623496">
        <w:rPr>
          <w:rFonts w:asciiTheme="minorEastAsia" w:hAnsiTheme="minorEastAsia" w:cs="Tahoma" w:hint="eastAsia"/>
          <w:color w:val="000000" w:themeColor="text1"/>
          <w:kern w:val="0"/>
          <w:sz w:val="24"/>
          <w:szCs w:val="24"/>
        </w:rPr>
        <w:t>管理有限公司（以下简称为</w:t>
      </w:r>
      <w:r w:rsidRPr="00623496">
        <w:rPr>
          <w:rFonts w:asciiTheme="minorEastAsia" w:hAnsiTheme="minorEastAsia" w:cs="Tahoma"/>
          <w:color w:val="000000" w:themeColor="text1"/>
          <w:kern w:val="0"/>
          <w:sz w:val="24"/>
          <w:szCs w:val="24"/>
        </w:rPr>
        <w:t>“</w:t>
      </w:r>
      <w:r w:rsidRPr="00623496">
        <w:rPr>
          <w:rFonts w:asciiTheme="minorEastAsia" w:hAnsiTheme="minorEastAsia" w:cs="Tahoma" w:hint="eastAsia"/>
          <w:color w:val="000000" w:themeColor="text1"/>
          <w:kern w:val="0"/>
          <w:sz w:val="24"/>
          <w:szCs w:val="24"/>
        </w:rPr>
        <w:t>本公司</w:t>
      </w:r>
      <w:r w:rsidRPr="00623496">
        <w:rPr>
          <w:rFonts w:asciiTheme="minorEastAsia" w:hAnsiTheme="minorEastAsia" w:cs="Tahoma"/>
          <w:color w:val="000000" w:themeColor="text1"/>
          <w:kern w:val="0"/>
          <w:sz w:val="24"/>
          <w:szCs w:val="24"/>
        </w:rPr>
        <w:t>”</w:t>
      </w:r>
      <w:r w:rsidRPr="00623496">
        <w:rPr>
          <w:rFonts w:asciiTheme="minorEastAsia" w:hAnsiTheme="minorEastAsia" w:cs="Tahoma" w:hint="eastAsia"/>
          <w:color w:val="000000" w:themeColor="text1"/>
          <w:kern w:val="0"/>
          <w:sz w:val="24"/>
          <w:szCs w:val="24"/>
        </w:rPr>
        <w:t>）</w:t>
      </w:r>
      <w:r>
        <w:rPr>
          <w:rFonts w:asciiTheme="minorEastAsia" w:hAnsiTheme="minorEastAsia" w:cs="Tahoma" w:hint="eastAsia"/>
          <w:color w:val="000000" w:themeColor="text1"/>
          <w:kern w:val="0"/>
          <w:sz w:val="24"/>
          <w:szCs w:val="24"/>
        </w:rPr>
        <w:t>决定</w:t>
      </w:r>
      <w:r w:rsidRPr="00623496">
        <w:rPr>
          <w:rFonts w:asciiTheme="minorEastAsia" w:hAnsiTheme="minorEastAsia" w:cs="Tahoma" w:hint="eastAsia"/>
          <w:color w:val="000000" w:themeColor="text1"/>
          <w:kern w:val="0"/>
          <w:sz w:val="24"/>
          <w:szCs w:val="24"/>
        </w:rPr>
        <w:t>调整在</w:t>
      </w:r>
      <w:r>
        <w:rPr>
          <w:rFonts w:asciiTheme="minorEastAsia" w:hAnsiTheme="minorEastAsia" w:cs="Tahoma" w:hint="eastAsia"/>
          <w:color w:val="000000" w:themeColor="text1"/>
          <w:kern w:val="0"/>
          <w:sz w:val="24"/>
          <w:szCs w:val="24"/>
        </w:rPr>
        <w:t>直销平台</w:t>
      </w:r>
      <w:r w:rsidRPr="00623496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（含网上交易、理财嘉、</w:t>
      </w:r>
      <w:proofErr w:type="gramStart"/>
      <w:r w:rsidRPr="00623496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微信平台</w:t>
      </w:r>
      <w:proofErr w:type="gramEnd"/>
      <w:r w:rsidRPr="00623496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）</w:t>
      </w:r>
      <w:r>
        <w:rPr>
          <w:rFonts w:asciiTheme="minorEastAsia" w:hAnsiTheme="minorEastAsia" w:cs="宋体" w:hint="eastAsia"/>
          <w:bCs/>
          <w:color w:val="000000" w:themeColor="text1"/>
          <w:kern w:val="0"/>
          <w:sz w:val="24"/>
          <w:szCs w:val="24"/>
        </w:rPr>
        <w:t>认购</w:t>
      </w:r>
      <w:r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嘉实</w:t>
      </w:r>
      <w:r w:rsidR="002F1107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安康稳健养老</w:t>
      </w:r>
      <w:r w:rsidR="004A63E2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目标</w:t>
      </w:r>
      <w:r w:rsidR="002F1107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一年持有期混合（FOF）</w:t>
      </w:r>
      <w:r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基金的相关</w:t>
      </w:r>
      <w:r w:rsidRPr="00623496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费率</w:t>
      </w:r>
      <w:r w:rsidRPr="00623496">
        <w:rPr>
          <w:rFonts w:asciiTheme="minorEastAsia" w:hAnsiTheme="minorEastAsia" w:cs="Tahoma" w:hint="eastAsia"/>
          <w:color w:val="000000" w:themeColor="text1"/>
          <w:kern w:val="0"/>
          <w:sz w:val="24"/>
          <w:szCs w:val="24"/>
        </w:rPr>
        <w:t>。</w:t>
      </w:r>
      <w:r w:rsidRPr="00623496">
        <w:rPr>
          <w:rFonts w:asciiTheme="minorEastAsia" w:hAnsiTheme="minorEastAsia" w:cs="Tahoma"/>
          <w:color w:val="000000"/>
          <w:kern w:val="0"/>
          <w:sz w:val="24"/>
          <w:szCs w:val="24"/>
        </w:rPr>
        <w:t> </w:t>
      </w:r>
    </w:p>
    <w:p w:rsidR="007F484B" w:rsidRPr="00623496" w:rsidRDefault="007F484B" w:rsidP="007F484B">
      <w:pPr>
        <w:widowControl/>
        <w:spacing w:before="120" w:after="120" w:line="360" w:lineRule="auto"/>
        <w:ind w:firstLineChars="200" w:firstLine="480"/>
        <w:rPr>
          <w:rFonts w:asciiTheme="minorEastAsia" w:hAnsiTheme="minorEastAsia" w:cs="Tahoma"/>
          <w:color w:val="000000"/>
          <w:kern w:val="0"/>
          <w:sz w:val="24"/>
          <w:szCs w:val="24"/>
        </w:rPr>
      </w:pPr>
      <w:r w:rsidRPr="00623496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投资者在嘉</w:t>
      </w:r>
      <w:proofErr w:type="gramStart"/>
      <w:r w:rsidRPr="00623496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实基金</w:t>
      </w:r>
      <w:proofErr w:type="gramEnd"/>
      <w:r w:rsidRPr="00623496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直销平台认购本公司</w:t>
      </w:r>
      <w:r w:rsidR="002F1107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嘉实安康稳健养老</w:t>
      </w:r>
      <w:r w:rsidR="004A63E2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目标</w:t>
      </w:r>
      <w:r w:rsidR="002F1107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一年持有期</w:t>
      </w:r>
      <w:bookmarkStart w:id="0" w:name="_GoBack"/>
      <w:bookmarkEnd w:id="0"/>
      <w:r w:rsidR="002F1107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混合（FOF）基金</w:t>
      </w:r>
      <w:r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（基金代码：</w:t>
      </w:r>
      <w:r w:rsidR="002F1107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012508</w:t>
      </w:r>
      <w:r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）</w:t>
      </w:r>
      <w:r w:rsidRPr="00623496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时，按照</w:t>
      </w:r>
      <w:r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该</w:t>
      </w:r>
      <w:r w:rsidRPr="00623496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基金标准费率执行，不执行20</w:t>
      </w:r>
      <w:r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20</w:t>
      </w:r>
      <w:r w:rsidRPr="00623496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年</w:t>
      </w:r>
      <w:r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9</w:t>
      </w:r>
      <w:r w:rsidRPr="00623496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月</w:t>
      </w:r>
      <w:r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28</w:t>
      </w:r>
      <w:r w:rsidRPr="00623496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 xml:space="preserve">日《关于继续在网上直销开展基金认购、申购、转换费率优惠活动的公告》中声明的认购手续费优惠。 </w:t>
      </w:r>
    </w:p>
    <w:p w:rsidR="007F484B" w:rsidRPr="00623496" w:rsidRDefault="007F484B" w:rsidP="007F484B">
      <w:pPr>
        <w:widowControl/>
        <w:spacing w:before="120" w:after="120" w:line="360" w:lineRule="auto"/>
        <w:ind w:firstLineChars="200" w:firstLine="480"/>
        <w:rPr>
          <w:rFonts w:asciiTheme="minorEastAsia" w:hAnsiTheme="minorEastAsia" w:cs="Tahoma"/>
          <w:color w:val="000000"/>
          <w:kern w:val="0"/>
          <w:sz w:val="24"/>
          <w:szCs w:val="24"/>
        </w:rPr>
      </w:pPr>
      <w:r w:rsidRPr="00623496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投资者应认真阅读拟投资基金的《基金合同》、《招募说明书》等法律文件，了解所投资基金的风险收益特征，并根据自身情况购买与本人风险承受能力相匹配的产品。</w:t>
      </w:r>
    </w:p>
    <w:p w:rsidR="007F484B" w:rsidRDefault="007F484B" w:rsidP="007F484B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Tahoma"/>
          <w:color w:val="000000"/>
          <w:kern w:val="0"/>
          <w:sz w:val="24"/>
          <w:szCs w:val="24"/>
        </w:rPr>
      </w:pPr>
      <w:r w:rsidRPr="00623496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投资者可登陆本公司网站(www.jsfund.cn）或拨打客户服务电话400-600-8800咨询有关信息。上述业务的解释权归本公司所有。</w:t>
      </w:r>
    </w:p>
    <w:p w:rsidR="007F484B" w:rsidRDefault="007F484B" w:rsidP="007F484B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Tahoma"/>
          <w:color w:val="000000"/>
          <w:kern w:val="0"/>
          <w:sz w:val="24"/>
          <w:szCs w:val="24"/>
        </w:rPr>
      </w:pPr>
      <w:r w:rsidRPr="0084412B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特此公告。</w:t>
      </w:r>
    </w:p>
    <w:p w:rsidR="007F484B" w:rsidRPr="0084412B" w:rsidRDefault="007F484B" w:rsidP="007F484B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Tahoma"/>
          <w:color w:val="000000"/>
          <w:kern w:val="0"/>
          <w:sz w:val="24"/>
          <w:szCs w:val="24"/>
        </w:rPr>
      </w:pPr>
    </w:p>
    <w:p w:rsidR="007F484B" w:rsidRPr="00623496" w:rsidRDefault="007F484B" w:rsidP="007F484B">
      <w:pPr>
        <w:pStyle w:val="a8"/>
        <w:widowControl/>
        <w:spacing w:line="360" w:lineRule="auto"/>
        <w:ind w:left="420" w:firstLineChars="0" w:firstLine="0"/>
        <w:jc w:val="right"/>
        <w:rPr>
          <w:rFonts w:asciiTheme="minorEastAsia" w:hAnsiTheme="minorEastAsia" w:cs="Tahoma"/>
          <w:color w:val="000000"/>
          <w:kern w:val="0"/>
          <w:sz w:val="24"/>
          <w:szCs w:val="24"/>
        </w:rPr>
      </w:pPr>
      <w:r w:rsidRPr="00623496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嘉</w:t>
      </w:r>
      <w:proofErr w:type="gramStart"/>
      <w:r w:rsidRPr="00623496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实基金</w:t>
      </w:r>
      <w:proofErr w:type="gramEnd"/>
      <w:r w:rsidRPr="00623496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管理有限公司</w:t>
      </w:r>
    </w:p>
    <w:p w:rsidR="007F484B" w:rsidRPr="00623496" w:rsidRDefault="007F484B" w:rsidP="007F484B">
      <w:pPr>
        <w:pStyle w:val="a8"/>
        <w:widowControl/>
        <w:wordWrap w:val="0"/>
        <w:spacing w:line="360" w:lineRule="auto"/>
        <w:ind w:left="420" w:firstLineChars="0" w:firstLine="0"/>
        <w:jc w:val="right"/>
        <w:rPr>
          <w:rFonts w:asciiTheme="minorEastAsia" w:hAnsiTheme="minorEastAsia"/>
          <w:sz w:val="24"/>
          <w:szCs w:val="24"/>
        </w:rPr>
      </w:pPr>
      <w:r w:rsidRPr="00623496">
        <w:rPr>
          <w:rFonts w:asciiTheme="minorEastAsia" w:hAnsiTheme="minorEastAsia" w:cs="Tahoma" w:hint="eastAsia"/>
          <w:kern w:val="0"/>
          <w:sz w:val="24"/>
          <w:szCs w:val="24"/>
        </w:rPr>
        <w:t>20</w:t>
      </w:r>
      <w:r>
        <w:rPr>
          <w:rFonts w:asciiTheme="minorEastAsia" w:hAnsiTheme="minorEastAsia" w:cs="Tahoma" w:hint="eastAsia"/>
          <w:kern w:val="0"/>
          <w:sz w:val="24"/>
          <w:szCs w:val="24"/>
        </w:rPr>
        <w:t>21</w:t>
      </w:r>
      <w:r w:rsidRPr="00623496">
        <w:rPr>
          <w:rFonts w:asciiTheme="minorEastAsia" w:hAnsiTheme="minorEastAsia" w:cs="Tahoma" w:hint="eastAsia"/>
          <w:kern w:val="0"/>
          <w:sz w:val="24"/>
          <w:szCs w:val="24"/>
        </w:rPr>
        <w:t>年</w:t>
      </w:r>
      <w:r w:rsidR="0064525F">
        <w:rPr>
          <w:rFonts w:asciiTheme="minorEastAsia" w:hAnsiTheme="minorEastAsia" w:cs="Tahoma" w:hint="eastAsia"/>
          <w:kern w:val="0"/>
          <w:sz w:val="24"/>
          <w:szCs w:val="24"/>
        </w:rPr>
        <w:t>9</w:t>
      </w:r>
      <w:r w:rsidRPr="00623496">
        <w:rPr>
          <w:rFonts w:asciiTheme="minorEastAsia" w:hAnsiTheme="minorEastAsia" w:cs="Tahoma" w:hint="eastAsia"/>
          <w:kern w:val="0"/>
          <w:sz w:val="24"/>
          <w:szCs w:val="24"/>
        </w:rPr>
        <w:t>月</w:t>
      </w:r>
      <w:r w:rsidR="002F1107">
        <w:rPr>
          <w:rFonts w:asciiTheme="minorEastAsia" w:hAnsiTheme="minorEastAsia" w:cs="Tahoma" w:hint="eastAsia"/>
          <w:kern w:val="0"/>
          <w:sz w:val="24"/>
          <w:szCs w:val="24"/>
        </w:rPr>
        <w:t>10</w:t>
      </w:r>
      <w:r w:rsidRPr="00623496">
        <w:rPr>
          <w:rFonts w:asciiTheme="minorEastAsia" w:hAnsiTheme="minorEastAsia" w:cs="Tahoma" w:hint="eastAsia"/>
          <w:kern w:val="0"/>
          <w:sz w:val="24"/>
          <w:szCs w:val="24"/>
        </w:rPr>
        <w:t>日</w:t>
      </w:r>
      <w:r>
        <w:rPr>
          <w:rFonts w:asciiTheme="minorEastAsia" w:hAnsiTheme="minorEastAsia" w:cs="Tahoma" w:hint="eastAsia"/>
          <w:kern w:val="0"/>
          <w:sz w:val="24"/>
          <w:szCs w:val="24"/>
        </w:rPr>
        <w:t xml:space="preserve">    </w:t>
      </w:r>
    </w:p>
    <w:p w:rsidR="00D119A2" w:rsidRPr="00623496" w:rsidRDefault="0084412B" w:rsidP="0084412B">
      <w:pPr>
        <w:pStyle w:val="a8"/>
        <w:widowControl/>
        <w:wordWrap w:val="0"/>
        <w:spacing w:line="360" w:lineRule="auto"/>
        <w:ind w:left="420" w:firstLineChars="0" w:firstLine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Tahoma" w:hint="eastAsia"/>
          <w:kern w:val="0"/>
          <w:sz w:val="24"/>
          <w:szCs w:val="24"/>
        </w:rPr>
        <w:t xml:space="preserve"> </w:t>
      </w:r>
    </w:p>
    <w:sectPr w:rsidR="00D119A2" w:rsidRPr="006234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D4" w:rsidRDefault="00136DD4" w:rsidP="001634D4">
      <w:r>
        <w:separator/>
      </w:r>
    </w:p>
  </w:endnote>
  <w:endnote w:type="continuationSeparator" w:id="0">
    <w:p w:rsidR="00136DD4" w:rsidRDefault="00136DD4" w:rsidP="0016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D4" w:rsidRDefault="00136DD4" w:rsidP="001634D4">
      <w:r>
        <w:separator/>
      </w:r>
    </w:p>
  </w:footnote>
  <w:footnote w:type="continuationSeparator" w:id="0">
    <w:p w:rsidR="00136DD4" w:rsidRDefault="00136DD4" w:rsidP="00163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8D2"/>
    <w:multiLevelType w:val="hybridMultilevel"/>
    <w:tmpl w:val="E600524A"/>
    <w:lvl w:ilvl="0" w:tplc="C3DC501E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5EC6455"/>
    <w:multiLevelType w:val="hybridMultilevel"/>
    <w:tmpl w:val="C3B47932"/>
    <w:lvl w:ilvl="0" w:tplc="19D206C2">
      <w:start w:val="1"/>
      <w:numFmt w:val="japaneseCounting"/>
      <w:lvlText w:val="%1、"/>
      <w:lvlJc w:val="left"/>
      <w:pPr>
        <w:ind w:left="0" w:hanging="48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360" w:hanging="420"/>
      </w:pPr>
    </w:lvl>
    <w:lvl w:ilvl="2" w:tplc="0409001B" w:tentative="1">
      <w:start w:val="1"/>
      <w:numFmt w:val="lowerRoman"/>
      <w:lvlText w:val="%3."/>
      <w:lvlJc w:val="right"/>
      <w:pPr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ind w:left="1200" w:hanging="420"/>
      </w:pPr>
    </w:lvl>
    <w:lvl w:ilvl="4" w:tplc="04090019" w:tentative="1">
      <w:start w:val="1"/>
      <w:numFmt w:val="lowerLetter"/>
      <w:lvlText w:val="%5)"/>
      <w:lvlJc w:val="left"/>
      <w:pPr>
        <w:ind w:left="1620" w:hanging="420"/>
      </w:pPr>
    </w:lvl>
    <w:lvl w:ilvl="5" w:tplc="0409001B" w:tentative="1">
      <w:start w:val="1"/>
      <w:numFmt w:val="lowerRoman"/>
      <w:lvlText w:val="%6."/>
      <w:lvlJc w:val="right"/>
      <w:pPr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ind w:left="2460" w:hanging="420"/>
      </w:pPr>
    </w:lvl>
    <w:lvl w:ilvl="7" w:tplc="04090019" w:tentative="1">
      <w:start w:val="1"/>
      <w:numFmt w:val="lowerLetter"/>
      <w:lvlText w:val="%8)"/>
      <w:lvlJc w:val="left"/>
      <w:pPr>
        <w:ind w:left="2880" w:hanging="420"/>
      </w:pPr>
    </w:lvl>
    <w:lvl w:ilvl="8" w:tplc="0409001B" w:tentative="1">
      <w:start w:val="1"/>
      <w:numFmt w:val="lowerRoman"/>
      <w:lvlText w:val="%9."/>
      <w:lvlJc w:val="right"/>
      <w:pPr>
        <w:ind w:left="3300" w:hanging="420"/>
      </w:pPr>
    </w:lvl>
  </w:abstractNum>
  <w:abstractNum w:abstractNumId="2">
    <w:nsid w:val="186F12BD"/>
    <w:multiLevelType w:val="hybridMultilevel"/>
    <w:tmpl w:val="83BADBB8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A0157D8"/>
    <w:multiLevelType w:val="hybridMultilevel"/>
    <w:tmpl w:val="4F70EEE2"/>
    <w:lvl w:ilvl="0" w:tplc="72AA4F22">
      <w:start w:val="1"/>
      <w:numFmt w:val="decimal"/>
      <w:lvlText w:val="%1、"/>
      <w:lvlJc w:val="left"/>
      <w:pPr>
        <w:ind w:left="795" w:hanging="375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B2A4961"/>
    <w:multiLevelType w:val="hybridMultilevel"/>
    <w:tmpl w:val="5ED2239C"/>
    <w:lvl w:ilvl="0" w:tplc="14321888">
      <w:start w:val="1"/>
      <w:numFmt w:val="decimal"/>
      <w:lvlText w:val="%1、"/>
      <w:lvlJc w:val="left"/>
      <w:pPr>
        <w:ind w:left="795" w:hanging="375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A33646B"/>
    <w:multiLevelType w:val="hybridMultilevel"/>
    <w:tmpl w:val="8B98E1B4"/>
    <w:lvl w:ilvl="0" w:tplc="64184F66">
      <w:start w:val="1"/>
      <w:numFmt w:val="decimal"/>
      <w:lvlText w:val="%1、"/>
      <w:lvlJc w:val="left"/>
      <w:pPr>
        <w:ind w:left="795" w:hanging="375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F6C4BB6"/>
    <w:multiLevelType w:val="hybridMultilevel"/>
    <w:tmpl w:val="0EFE6DDA"/>
    <w:lvl w:ilvl="0" w:tplc="B89481B2">
      <w:start w:val="1"/>
      <w:numFmt w:val="chineseCountingThousand"/>
      <w:lvlText w:val="%1、"/>
      <w:lvlJc w:val="left"/>
      <w:pPr>
        <w:ind w:left="420" w:hanging="420"/>
      </w:pPr>
      <w:rPr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D8"/>
    <w:rsid w:val="00012895"/>
    <w:rsid w:val="00030CDF"/>
    <w:rsid w:val="00040370"/>
    <w:rsid w:val="00040B13"/>
    <w:rsid w:val="00040CB6"/>
    <w:rsid w:val="00040CE6"/>
    <w:rsid w:val="0004788D"/>
    <w:rsid w:val="00056778"/>
    <w:rsid w:val="00065943"/>
    <w:rsid w:val="0008107E"/>
    <w:rsid w:val="00093209"/>
    <w:rsid w:val="00095371"/>
    <w:rsid w:val="000A275A"/>
    <w:rsid w:val="000A5E34"/>
    <w:rsid w:val="000A764C"/>
    <w:rsid w:val="000A7AA4"/>
    <w:rsid w:val="000C07A8"/>
    <w:rsid w:val="000C0F85"/>
    <w:rsid w:val="000D4C14"/>
    <w:rsid w:val="000D796F"/>
    <w:rsid w:val="000E4A68"/>
    <w:rsid w:val="000F10A4"/>
    <w:rsid w:val="000F359D"/>
    <w:rsid w:val="000F78C5"/>
    <w:rsid w:val="00117CC9"/>
    <w:rsid w:val="00130CC0"/>
    <w:rsid w:val="001356F6"/>
    <w:rsid w:val="00136DD4"/>
    <w:rsid w:val="001634D4"/>
    <w:rsid w:val="001660D8"/>
    <w:rsid w:val="00166F36"/>
    <w:rsid w:val="0016726C"/>
    <w:rsid w:val="0017335C"/>
    <w:rsid w:val="001863EB"/>
    <w:rsid w:val="001909B5"/>
    <w:rsid w:val="0019787E"/>
    <w:rsid w:val="00197A4A"/>
    <w:rsid w:val="001A0D4E"/>
    <w:rsid w:val="001C72F1"/>
    <w:rsid w:val="001D554D"/>
    <w:rsid w:val="001E3347"/>
    <w:rsid w:val="001E3BD7"/>
    <w:rsid w:val="001F7436"/>
    <w:rsid w:val="002012A8"/>
    <w:rsid w:val="00212A3B"/>
    <w:rsid w:val="00213DD5"/>
    <w:rsid w:val="00223578"/>
    <w:rsid w:val="00224ABF"/>
    <w:rsid w:val="00231E8E"/>
    <w:rsid w:val="002328A4"/>
    <w:rsid w:val="00232AC6"/>
    <w:rsid w:val="0023403E"/>
    <w:rsid w:val="002576F9"/>
    <w:rsid w:val="00260ECD"/>
    <w:rsid w:val="0026162A"/>
    <w:rsid w:val="00276E52"/>
    <w:rsid w:val="00277720"/>
    <w:rsid w:val="002863AF"/>
    <w:rsid w:val="002A2DCE"/>
    <w:rsid w:val="002A6B2A"/>
    <w:rsid w:val="002D26DF"/>
    <w:rsid w:val="002D75BD"/>
    <w:rsid w:val="002E5AD8"/>
    <w:rsid w:val="002E6BB3"/>
    <w:rsid w:val="002F1107"/>
    <w:rsid w:val="002F4C83"/>
    <w:rsid w:val="002F5ACA"/>
    <w:rsid w:val="00322A0D"/>
    <w:rsid w:val="00324D10"/>
    <w:rsid w:val="00345D6A"/>
    <w:rsid w:val="00350F0E"/>
    <w:rsid w:val="00354D6B"/>
    <w:rsid w:val="003617DD"/>
    <w:rsid w:val="003646D7"/>
    <w:rsid w:val="003672C0"/>
    <w:rsid w:val="00375866"/>
    <w:rsid w:val="00381B1F"/>
    <w:rsid w:val="003857C4"/>
    <w:rsid w:val="00392C07"/>
    <w:rsid w:val="00392EE7"/>
    <w:rsid w:val="003A3676"/>
    <w:rsid w:val="003A435F"/>
    <w:rsid w:val="003C227F"/>
    <w:rsid w:val="003C5E70"/>
    <w:rsid w:val="003D5611"/>
    <w:rsid w:val="003D6F30"/>
    <w:rsid w:val="003E2E92"/>
    <w:rsid w:val="00400D70"/>
    <w:rsid w:val="00414A7A"/>
    <w:rsid w:val="00424C9E"/>
    <w:rsid w:val="004267DC"/>
    <w:rsid w:val="004274CF"/>
    <w:rsid w:val="004371B7"/>
    <w:rsid w:val="00453248"/>
    <w:rsid w:val="00455554"/>
    <w:rsid w:val="00461A48"/>
    <w:rsid w:val="00471F8A"/>
    <w:rsid w:val="00473D52"/>
    <w:rsid w:val="00475618"/>
    <w:rsid w:val="00480851"/>
    <w:rsid w:val="004817F5"/>
    <w:rsid w:val="00486C8D"/>
    <w:rsid w:val="00495956"/>
    <w:rsid w:val="004A6332"/>
    <w:rsid w:val="004A63E2"/>
    <w:rsid w:val="004B7848"/>
    <w:rsid w:val="004C12A9"/>
    <w:rsid w:val="004C4B91"/>
    <w:rsid w:val="004D593C"/>
    <w:rsid w:val="004D75CB"/>
    <w:rsid w:val="004E52B8"/>
    <w:rsid w:val="004E7CCD"/>
    <w:rsid w:val="004F102D"/>
    <w:rsid w:val="004F2F15"/>
    <w:rsid w:val="004F5D8B"/>
    <w:rsid w:val="00514190"/>
    <w:rsid w:val="00514F9F"/>
    <w:rsid w:val="00531364"/>
    <w:rsid w:val="00550CF6"/>
    <w:rsid w:val="00567A4B"/>
    <w:rsid w:val="00572449"/>
    <w:rsid w:val="00573234"/>
    <w:rsid w:val="00576DBF"/>
    <w:rsid w:val="00583AC9"/>
    <w:rsid w:val="005847E9"/>
    <w:rsid w:val="005934C2"/>
    <w:rsid w:val="005B5A3D"/>
    <w:rsid w:val="005B6D25"/>
    <w:rsid w:val="005B6E25"/>
    <w:rsid w:val="005C1140"/>
    <w:rsid w:val="005C158E"/>
    <w:rsid w:val="005D55C5"/>
    <w:rsid w:val="005E0124"/>
    <w:rsid w:val="005E0E22"/>
    <w:rsid w:val="005F6A59"/>
    <w:rsid w:val="005F7933"/>
    <w:rsid w:val="006001D0"/>
    <w:rsid w:val="00623496"/>
    <w:rsid w:val="00624314"/>
    <w:rsid w:val="0062531C"/>
    <w:rsid w:val="006328DE"/>
    <w:rsid w:val="006363F7"/>
    <w:rsid w:val="00637720"/>
    <w:rsid w:val="006419A5"/>
    <w:rsid w:val="00643566"/>
    <w:rsid w:val="0064525F"/>
    <w:rsid w:val="00646F90"/>
    <w:rsid w:val="00646FAD"/>
    <w:rsid w:val="006501B6"/>
    <w:rsid w:val="006622C5"/>
    <w:rsid w:val="006675F9"/>
    <w:rsid w:val="00672F30"/>
    <w:rsid w:val="00673A5F"/>
    <w:rsid w:val="00690168"/>
    <w:rsid w:val="006B429B"/>
    <w:rsid w:val="006B79A1"/>
    <w:rsid w:val="006C37A8"/>
    <w:rsid w:val="006D0673"/>
    <w:rsid w:val="006D3B80"/>
    <w:rsid w:val="006D4D1E"/>
    <w:rsid w:val="006E05E9"/>
    <w:rsid w:val="006E500F"/>
    <w:rsid w:val="006E5C9C"/>
    <w:rsid w:val="006E6DF7"/>
    <w:rsid w:val="007022EB"/>
    <w:rsid w:val="00706487"/>
    <w:rsid w:val="00706C09"/>
    <w:rsid w:val="0071376C"/>
    <w:rsid w:val="007177D2"/>
    <w:rsid w:val="00722F22"/>
    <w:rsid w:val="0072625F"/>
    <w:rsid w:val="00732C22"/>
    <w:rsid w:val="00740FC1"/>
    <w:rsid w:val="0074603E"/>
    <w:rsid w:val="0078036B"/>
    <w:rsid w:val="00785522"/>
    <w:rsid w:val="00790BC2"/>
    <w:rsid w:val="0079456B"/>
    <w:rsid w:val="007A2272"/>
    <w:rsid w:val="007A3B61"/>
    <w:rsid w:val="007A5263"/>
    <w:rsid w:val="007A74BE"/>
    <w:rsid w:val="007D0768"/>
    <w:rsid w:val="007D5C40"/>
    <w:rsid w:val="007E45A1"/>
    <w:rsid w:val="007E603D"/>
    <w:rsid w:val="007F484B"/>
    <w:rsid w:val="007F5883"/>
    <w:rsid w:val="007F7D67"/>
    <w:rsid w:val="00807775"/>
    <w:rsid w:val="00834B18"/>
    <w:rsid w:val="008436FA"/>
    <w:rsid w:val="0084412B"/>
    <w:rsid w:val="00850198"/>
    <w:rsid w:val="008536D3"/>
    <w:rsid w:val="0086615B"/>
    <w:rsid w:val="00871772"/>
    <w:rsid w:val="008743A0"/>
    <w:rsid w:val="0087744E"/>
    <w:rsid w:val="00880BFB"/>
    <w:rsid w:val="008855F3"/>
    <w:rsid w:val="00887E20"/>
    <w:rsid w:val="00891A5B"/>
    <w:rsid w:val="0089547A"/>
    <w:rsid w:val="008A037C"/>
    <w:rsid w:val="008B54D0"/>
    <w:rsid w:val="008B6CEA"/>
    <w:rsid w:val="008C5C72"/>
    <w:rsid w:val="008C611E"/>
    <w:rsid w:val="008D473E"/>
    <w:rsid w:val="008E19DE"/>
    <w:rsid w:val="008E3CE2"/>
    <w:rsid w:val="00923CE7"/>
    <w:rsid w:val="00925D8D"/>
    <w:rsid w:val="0092657F"/>
    <w:rsid w:val="00926D3B"/>
    <w:rsid w:val="00957D71"/>
    <w:rsid w:val="009619BA"/>
    <w:rsid w:val="00977286"/>
    <w:rsid w:val="0098231E"/>
    <w:rsid w:val="00985AF7"/>
    <w:rsid w:val="00997690"/>
    <w:rsid w:val="009A1C56"/>
    <w:rsid w:val="009B3B01"/>
    <w:rsid w:val="009C64F5"/>
    <w:rsid w:val="009E0D5E"/>
    <w:rsid w:val="009E2DB2"/>
    <w:rsid w:val="009E3105"/>
    <w:rsid w:val="009E3B0D"/>
    <w:rsid w:val="009E6128"/>
    <w:rsid w:val="009E6441"/>
    <w:rsid w:val="009E7374"/>
    <w:rsid w:val="00A010D3"/>
    <w:rsid w:val="00A437FB"/>
    <w:rsid w:val="00A614F4"/>
    <w:rsid w:val="00A630C1"/>
    <w:rsid w:val="00A67685"/>
    <w:rsid w:val="00A70B3F"/>
    <w:rsid w:val="00A71E51"/>
    <w:rsid w:val="00A840CA"/>
    <w:rsid w:val="00A915E0"/>
    <w:rsid w:val="00A91C85"/>
    <w:rsid w:val="00AA31A8"/>
    <w:rsid w:val="00AC5601"/>
    <w:rsid w:val="00AC5E71"/>
    <w:rsid w:val="00AD0274"/>
    <w:rsid w:val="00AD6037"/>
    <w:rsid w:val="00AF25BF"/>
    <w:rsid w:val="00B113EC"/>
    <w:rsid w:val="00B14823"/>
    <w:rsid w:val="00B2211A"/>
    <w:rsid w:val="00B252C9"/>
    <w:rsid w:val="00B26B3A"/>
    <w:rsid w:val="00B34512"/>
    <w:rsid w:val="00B3715E"/>
    <w:rsid w:val="00B3772D"/>
    <w:rsid w:val="00B40337"/>
    <w:rsid w:val="00B42FD1"/>
    <w:rsid w:val="00B5351D"/>
    <w:rsid w:val="00B624AD"/>
    <w:rsid w:val="00B66715"/>
    <w:rsid w:val="00B748F1"/>
    <w:rsid w:val="00BA5A8A"/>
    <w:rsid w:val="00BB3B01"/>
    <w:rsid w:val="00BC2F04"/>
    <w:rsid w:val="00BC4C05"/>
    <w:rsid w:val="00BD15CE"/>
    <w:rsid w:val="00BD2D55"/>
    <w:rsid w:val="00BE3C12"/>
    <w:rsid w:val="00BF2373"/>
    <w:rsid w:val="00C13606"/>
    <w:rsid w:val="00C3394D"/>
    <w:rsid w:val="00C41FFE"/>
    <w:rsid w:val="00C45DFC"/>
    <w:rsid w:val="00C614E6"/>
    <w:rsid w:val="00C64CAE"/>
    <w:rsid w:val="00C71C8B"/>
    <w:rsid w:val="00C8388D"/>
    <w:rsid w:val="00C93A95"/>
    <w:rsid w:val="00C953B4"/>
    <w:rsid w:val="00CA4BA3"/>
    <w:rsid w:val="00CA62AF"/>
    <w:rsid w:val="00CA76F0"/>
    <w:rsid w:val="00CB0833"/>
    <w:rsid w:val="00CB1AD2"/>
    <w:rsid w:val="00CB773B"/>
    <w:rsid w:val="00CB7EBC"/>
    <w:rsid w:val="00CC1E75"/>
    <w:rsid w:val="00CC3771"/>
    <w:rsid w:val="00CD14EE"/>
    <w:rsid w:val="00CE457A"/>
    <w:rsid w:val="00CE674C"/>
    <w:rsid w:val="00D00CCA"/>
    <w:rsid w:val="00D01027"/>
    <w:rsid w:val="00D05AD2"/>
    <w:rsid w:val="00D1598E"/>
    <w:rsid w:val="00D2261F"/>
    <w:rsid w:val="00D26BEE"/>
    <w:rsid w:val="00D31FDB"/>
    <w:rsid w:val="00D94188"/>
    <w:rsid w:val="00DA03B9"/>
    <w:rsid w:val="00DA326A"/>
    <w:rsid w:val="00DA347D"/>
    <w:rsid w:val="00DA39E8"/>
    <w:rsid w:val="00DA6987"/>
    <w:rsid w:val="00DB7AC6"/>
    <w:rsid w:val="00DC570D"/>
    <w:rsid w:val="00DD66E1"/>
    <w:rsid w:val="00DE53B8"/>
    <w:rsid w:val="00E039F5"/>
    <w:rsid w:val="00E13974"/>
    <w:rsid w:val="00E15141"/>
    <w:rsid w:val="00E23011"/>
    <w:rsid w:val="00E26B73"/>
    <w:rsid w:val="00E40BAD"/>
    <w:rsid w:val="00E41D78"/>
    <w:rsid w:val="00E4413C"/>
    <w:rsid w:val="00E46647"/>
    <w:rsid w:val="00E533B1"/>
    <w:rsid w:val="00E678F8"/>
    <w:rsid w:val="00E83145"/>
    <w:rsid w:val="00E86F5F"/>
    <w:rsid w:val="00EA28A8"/>
    <w:rsid w:val="00EA3001"/>
    <w:rsid w:val="00EB1E2D"/>
    <w:rsid w:val="00EB55E6"/>
    <w:rsid w:val="00EE6813"/>
    <w:rsid w:val="00EF566D"/>
    <w:rsid w:val="00EF637F"/>
    <w:rsid w:val="00F00FA2"/>
    <w:rsid w:val="00F031B9"/>
    <w:rsid w:val="00F034FD"/>
    <w:rsid w:val="00F05162"/>
    <w:rsid w:val="00F0653F"/>
    <w:rsid w:val="00F10D73"/>
    <w:rsid w:val="00F16887"/>
    <w:rsid w:val="00F27D2A"/>
    <w:rsid w:val="00F30B8D"/>
    <w:rsid w:val="00F33A80"/>
    <w:rsid w:val="00F3587D"/>
    <w:rsid w:val="00F36378"/>
    <w:rsid w:val="00F371C4"/>
    <w:rsid w:val="00F440C2"/>
    <w:rsid w:val="00F510C6"/>
    <w:rsid w:val="00F62082"/>
    <w:rsid w:val="00F834FF"/>
    <w:rsid w:val="00FA5473"/>
    <w:rsid w:val="00FA78A1"/>
    <w:rsid w:val="00FB72BA"/>
    <w:rsid w:val="00FC1696"/>
    <w:rsid w:val="00FC27FF"/>
    <w:rsid w:val="00FC637E"/>
    <w:rsid w:val="00FD303E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4B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660D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660D8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660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60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660D8"/>
    <w:rPr>
      <w:b/>
      <w:bCs/>
    </w:rPr>
  </w:style>
  <w:style w:type="paragraph" w:styleId="a6">
    <w:name w:val="header"/>
    <w:basedOn w:val="a"/>
    <w:link w:val="Char"/>
    <w:uiPriority w:val="99"/>
    <w:unhideWhenUsed/>
    <w:rsid w:val="00163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634D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63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634D4"/>
    <w:rPr>
      <w:sz w:val="18"/>
      <w:szCs w:val="18"/>
    </w:rPr>
  </w:style>
  <w:style w:type="paragraph" w:styleId="a8">
    <w:name w:val="List Paragraph"/>
    <w:basedOn w:val="a"/>
    <w:uiPriority w:val="34"/>
    <w:qFormat/>
    <w:rsid w:val="001634D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4B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660D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660D8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660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60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660D8"/>
    <w:rPr>
      <w:b/>
      <w:bCs/>
    </w:rPr>
  </w:style>
  <w:style w:type="paragraph" w:styleId="a6">
    <w:name w:val="header"/>
    <w:basedOn w:val="a"/>
    <w:link w:val="Char"/>
    <w:uiPriority w:val="99"/>
    <w:unhideWhenUsed/>
    <w:rsid w:val="00163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634D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63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634D4"/>
    <w:rPr>
      <w:sz w:val="18"/>
      <w:szCs w:val="18"/>
    </w:rPr>
  </w:style>
  <w:style w:type="paragraph" w:styleId="a8">
    <w:name w:val="List Paragraph"/>
    <w:basedOn w:val="a"/>
    <w:uiPriority w:val="34"/>
    <w:qFormat/>
    <w:rsid w:val="001634D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6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6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4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9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李海东</dc:creator>
  <cp:lastModifiedBy>李忆程</cp:lastModifiedBy>
  <cp:revision>68</cp:revision>
  <dcterms:created xsi:type="dcterms:W3CDTF">2018-03-13T01:58:00Z</dcterms:created>
  <dcterms:modified xsi:type="dcterms:W3CDTF">2021-09-09T09:38:00Z</dcterms:modified>
</cp:coreProperties>
</file>