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gbicc="http://www.gbicc.net" mc:Ignorable="w14 wp14">
  <w:body>
    <w:p w14:paraId="10E020FF" w14:textId="77777777" w:rsidR="00E206C7" w:rsidRDefault="00BA5AE0">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博时荣丰回报三年封闭运作灵活配置混合型证券投资基金（博时荣丰回报三年封闭混合A）基金产品资料概要更新</w:t>
      </w:r>
    </w:p>
    <w:p w14:paraId="015E9FD9" w14:textId="77777777" w:rsidR="00E206C7" w:rsidRDefault="00BA5AE0">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Pr>
          <w:rFonts w:ascii="方正仿宋简体" w:eastAsia="方正仿宋简体" w:hAnsi="方正仿宋简体" w:cs="方正仿宋简体" w:hint="eastAsia"/>
          <w:iCs/>
          <w:sz w:val="24"/>
          <w:szCs w:val="24"/>
        </w:rPr>
        <w:t>2021年9月9日</w:t>
      </w:r>
    </w:p>
    <w:p w14:paraId="2626E6B4" w14:textId="77777777" w:rsidR="00E206C7" w:rsidRDefault="00BA5AE0">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Pr>
          <w:rFonts w:ascii="方正仿宋简体" w:eastAsia="方正仿宋简体" w:hAnsi="方正仿宋简体" w:cs="方正仿宋简体" w:hint="eastAsia"/>
          <w:iCs/>
          <w:sz w:val="24"/>
          <w:szCs w:val="24"/>
        </w:rPr>
        <w:t>2021年9月10日</w:t>
      </w:r>
    </w:p>
    <w:p w14:paraId="3D6D5AF0" w14:textId="77777777" w:rsidR="00E206C7" w:rsidRPr="00560FDA" w:rsidRDefault="00BA5AE0" w:rsidP="00560FDA">
      <w:pPr>
        <w:autoSpaceDE w:val="0"/>
        <w:autoSpaceDN w:val="0"/>
        <w:adjustRightInd w:val="0"/>
        <w:spacing w:line="440" w:lineRule="exact"/>
        <w:jc w:val="center"/>
        <w:rPr>
          <w:rFonts w:ascii="方正黑体简体" w:eastAsia="方正黑体简体" w:cs="黑体"/>
          <w:kern w:val="0"/>
          <w:sz w:val="28"/>
          <w:szCs w:val="28"/>
        </w:rPr>
      </w:pPr>
      <w:r w:rsidRPr="00560FDA">
        <w:rPr>
          <w:rFonts w:ascii="方正黑体简体" w:eastAsia="方正黑体简体" w:cs="黑体" w:hint="eastAsia"/>
          <w:kern w:val="0"/>
          <w:sz w:val="28"/>
          <w:szCs w:val="28"/>
        </w:rPr>
        <w:t>本概要提供本基金的重要信息，是招募说明书的一部分。</w:t>
      </w:r>
    </w:p>
    <w:p w14:paraId="27467C79" w14:textId="77777777" w:rsidR="00E206C7" w:rsidRPr="00560FDA" w:rsidRDefault="00BA5AE0" w:rsidP="00560FDA">
      <w:pPr>
        <w:autoSpaceDE w:val="0"/>
        <w:autoSpaceDN w:val="0"/>
        <w:adjustRightInd w:val="0"/>
        <w:spacing w:line="440" w:lineRule="exact"/>
        <w:jc w:val="center"/>
        <w:rPr>
          <w:rFonts w:ascii="方正黑体简体" w:eastAsia="方正黑体简体" w:cs="黑体"/>
          <w:kern w:val="0"/>
          <w:sz w:val="28"/>
          <w:szCs w:val="28"/>
        </w:rPr>
      </w:pPr>
      <w:proofErr w:type="gramStart"/>
      <w:r w:rsidRPr="00560FDA">
        <w:rPr>
          <w:rFonts w:ascii="方正黑体简体" w:eastAsia="方正黑体简体" w:cs="黑体" w:hint="eastAsia"/>
          <w:kern w:val="0"/>
          <w:sz w:val="28"/>
          <w:szCs w:val="28"/>
        </w:rPr>
        <w:t>作出</w:t>
      </w:r>
      <w:proofErr w:type="gramEnd"/>
      <w:r w:rsidRPr="00560FDA">
        <w:rPr>
          <w:rFonts w:ascii="方正黑体简体" w:eastAsia="方正黑体简体" w:cs="黑体" w:hint="eastAsia"/>
          <w:kern w:val="0"/>
          <w:sz w:val="28"/>
          <w:szCs w:val="28"/>
        </w:rPr>
        <w:t>投资决定前，请阅读完整的招募说明书等销售文件。</w:t>
      </w:r>
    </w:p>
    <w:p w14:paraId="5621F07E" w14:textId="77777777" w:rsidR="00E206C7" w:rsidRDefault="00BA5AE0" w:rsidP="00560FDA">
      <w:pPr gbicc:listString="一、" gbicc:numText="%1、" gbicc:numFmt="C" gbicc:numVal="1"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init-cell-address="true">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E206C7" w14:paraId="1993689E" w14:textId="77777777" w:rsidTr="00584DC5">
        <w:trPr>
          <w:trHeight w:val="454"/>
        </w:trPr>
        <w:tc>
          <w:tcPr>
            <w:tcW w:w="1145" w:type="pct"/>
            <w:vMerge w:val="restart"/>
            <w:vAlign w:val="center"/>
          </w:tcPr>
          <w:p w14:paraId="6F13F700"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6BF7A40C"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博时荣丰回报三年封闭混合</w:t>
            </w:r>
          </w:p>
        </w:tc>
        <w:tc>
          <w:tcPr>
            <w:tcW w:w="999" w:type="pct"/>
            <w:vMerge w:val="restart"/>
            <w:vAlign w:val="center"/>
          </w:tcPr>
          <w:p w14:paraId="165D53AD"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55FDC4E" w14:textId="77777777" w:rsidR="00E206C7" w:rsidRDefault="00884C59" w:rsidP="00671C54">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009217</w:t>
            </w:r>
          </w:p>
        </w:tc>
      </w:tr>
      <w:tr w:rsidR="00E206C7" w14:paraId="4FE22EC3" w14:textId="77777777" w:rsidTr="00584DC5">
        <w:trPr>
          <w:trHeight w:val="150"/>
        </w:trPr>
        <w:tc>
          <w:tcPr>
            <w:tcW w:w="1145" w:type="pct"/>
            <w:vMerge w:val="restart"/>
            <w:vAlign w:val="center"/>
          </w:tcPr>
          <w:p w14:paraId="5CCFB06D"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下属基金简称</w:t>
            </w:r>
          </w:p>
        </w:tc>
        <w:tc>
          <w:tcPr>
            <w:tcW w:w="1413" w:type="pct"/>
            <w:vMerge w:val="restart"/>
            <w:tcBorders>
              <w:top w:val="dashSmallGap" w:sz="4" w:space="0" w:color="A6A6A6" w:themeColor="background1" w:themeShade="A6"/>
            </w:tcBorders>
            <w:vAlign w:val="center"/>
          </w:tcPr>
          <w:p w14:paraId="26B03F35"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博时荣丰回报三年封闭混合A</w:t>
            </w:r>
          </w:p>
        </w:tc>
        <w:tc>
          <w:tcPr>
            <w:tcW w:w="999" w:type="pct"/>
            <w:vMerge w:val="restart"/>
            <w:vAlign w:val="center"/>
          </w:tcPr>
          <w:p w14:paraId="5275A686"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下属基金代码</w:t>
            </w:r>
          </w:p>
        </w:tc>
        <w:tc>
          <w:tcPr>
            <w:tcW w:w="1443" w:type="pct"/>
            <w:tcBorders>
              <w:top w:val="dashSmallGap" w:sz="4" w:space="0" w:color="A6A6A6" w:themeColor="background1" w:themeShade="A6"/>
              <w:bottom w:val="nil"/>
            </w:tcBorders>
            <w:vAlign w:val="center"/>
          </w:tcPr>
          <w:p w14:paraId="06824D75" w14:textId="77777777" w:rsidR="00E206C7" w:rsidRDefault="00884C59" w:rsidP="00671C54">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009217</w:t>
            </w:r>
          </w:p>
        </w:tc>
      </w:tr>
      <w:tr w:rsidR="00E206C7" w14:paraId="6DD758FA" w14:textId="77777777" w:rsidTr="005F360D">
        <w:trPr>
          <w:trHeight w:val="454"/>
        </w:trPr>
        <w:tc>
          <w:tcPr>
            <w:tcW w:w="1145" w:type="pct"/>
            <w:vAlign w:val="center"/>
          </w:tcPr>
          <w:p w14:paraId="42141042"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16C093D0"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74F35240"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35A74A3A" w14:textId="77777777" w:rsidR="00E206C7" w:rsidRDefault="00884C59" w:rsidP="00671C54">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中国建设银行股份有限公司</w:t>
            </w:r>
            <w:r w:rsidR="00BA5AE0">
              <w:rPr>
                <w:rFonts w:ascii="方正仿宋简体" w:eastAsia="方正仿宋简体" w:hAnsiTheme="minorEastAsia" w:cs="方正仿宋简体" w:hint="eastAsia"/>
                <w:iCs/>
              </w:rPr>
              <w:t xml:space="preserve"> </w:t>
            </w:r>
          </w:p>
        </w:tc>
      </w:tr>
      <w:tr w:rsidR="00E206C7" w14:paraId="5F057289" w14:textId="77777777" w:rsidTr="005F360D">
        <w:trPr>
          <w:trHeight w:val="454"/>
        </w:trPr>
        <w:tc>
          <w:tcPr>
            <w:tcW w:w="1145" w:type="pct"/>
            <w:vMerge w:val="restart"/>
            <w:vAlign w:val="center"/>
          </w:tcPr>
          <w:p w14:paraId="540493D4"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4EA8124B"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2020-05-07</w:t>
            </w:r>
          </w:p>
        </w:tc>
        <w:tc>
          <w:tcPr>
            <w:tcW w:w="999" w:type="pct"/>
            <w:vMerge w:val="restart"/>
            <w:vAlign w:val="center"/>
          </w:tcPr>
          <w:p w14:paraId="20D29EC4"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
            </w:r>
          </w:p>
        </w:tc>
        <w:tc>
          <w:tcPr>
            <w:tcW w:w="1443" w:type="pct"/>
            <w:tcBorders>
              <w:top w:val="dashSmallGap" w:sz="4" w:space="0" w:color="A6A6A6" w:themeColor="background1" w:themeShade="A6"/>
              <w:bottom w:val="nil"/>
            </w:tcBorders>
            <w:vAlign w:val="center"/>
          </w:tcPr>
          <w:p w14:paraId="4B217EAC" w14:textId="77777777" w:rsidR="00E206C7" w:rsidRDefault="00884C59" w:rsidP="00671C54">
            <w:pPr>
              <w:spacing w:line="320" w:lineRule="exact"/>
              <w:rPr>
                <w:rFonts w:ascii="方正仿宋简体" w:eastAsia="方正仿宋简体" w:hAnsiTheme="minorEastAsia" w:cs="方正仿宋简体"/>
                <w:iCs/>
              </w:rPr>
            </w:pPr>
            <w:r w:rsidR="00BA5AE0">
              <w:rPr>
                <w:rFonts w:hint="eastAsia"/>
                <w:color w:val="333399"/>
              </w:rPr>
              <w:t/>
            </w:r>
            <w:r w:rsidR="00BA5AE0">
              <w:rPr>
                <w:rFonts w:ascii="方正仿宋简体" w:eastAsia="方正仿宋简体" w:hAnsiTheme="minorEastAsia" w:cs="方正仿宋简体" w:hint="eastAsia"/>
                <w:iCs/>
              </w:rPr>
              <w:t xml:space="preserve"> </w:t>
            </w:r>
            <w:r w:rsidR="00BA5AE0">
              <w:rPr>
                <w:rFonts w:hint="eastAsia"/>
                <w:color w:val="333399"/>
              </w:rPr>
              <w:t/>
            </w:r>
          </w:p>
        </w:tc>
      </w:tr>
      <w:tr w:rsidR="00E206C7" w14:paraId="4D2D0400" w14:textId="77777777" w:rsidTr="005F360D">
        <w:trPr>
          <w:trHeight w:val="454"/>
        </w:trPr>
        <w:tc>
          <w:tcPr>
            <w:tcW w:w="1145" w:type="pct"/>
            <w:vAlign w:val="center"/>
          </w:tcPr>
          <w:p w14:paraId="7A7186F1"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7052B293"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2F99A851"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34DAE918" w14:textId="77777777" w:rsidR="00E206C7" w:rsidRDefault="00884C59" w:rsidP="00671C54">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人民币</w:t>
            </w:r>
            <w:r w:rsidR="00BA5AE0">
              <w:rPr>
                <w:rFonts w:hint="eastAsia"/>
                <w:color w:val="333399"/>
              </w:rPr>
              <w:t/>
            </w:r>
            <w:r w:rsidR="00BA5AE0">
              <w:rPr>
                <w:rFonts w:hint="eastAsia"/>
                <w:color w:val="333399"/>
              </w:rPr>
              <w:t/>
            </w:r>
            <w:r w:rsidR="00BA5AE0">
              <w:rPr>
                <w:rFonts w:hint="eastAsia"/>
                <w:color w:val="333399"/>
              </w:rPr>
              <w:t/>
            </w:r>
            <w:r w:rsidR="00BA5AE0">
              <w:rPr>
                <w:rFonts w:hint="eastAsia"/>
                <w:color w:val="333399"/>
              </w:rPr>
              <w:t/>
            </w:r>
          </w:p>
        </w:tc>
      </w:tr>
      <w:tr w:rsidR="00E206C7" w14:paraId="6F5791CF" w14:textId="77777777" w:rsidTr="005F360D">
        <w:trPr>
          <w:trHeight w:val="454"/>
        </w:trPr>
        <w:tc>
          <w:tcPr>
            <w:tcW w:w="1145" w:type="pct"/>
            <w:vAlign w:val="center"/>
          </w:tcPr>
          <w:p w14:paraId="52FF5C60"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2987A9B1"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其它开放式</w:t>
            </w:r>
          </w:p>
        </w:tc>
        <w:tc>
          <w:tcPr>
            <w:tcW w:w="999" w:type="pct"/>
            <w:vAlign w:val="center"/>
          </w:tcPr>
          <w:p w14:paraId="5485A478"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26038023"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生效后前三年不开放申购、赎回，封闭期届满后每个开放日开放申购、赎回</w:t>
            </w:r>
          </w:p>
        </w:tc>
      </w:tr>
      <w:tr w:rsidR="00E206C7" w14:paraId="100CF2E4" w14:textId="77777777" w:rsidTr="005F360D">
        <w:trPr>
          <w:trHeight w:val="454"/>
        </w:trPr>
        <w:tc>
          <w:tcPr>
            <w:tcW w:w="1145" w:type="pct"/>
            <w:vMerge w:val="restart"/>
            <w:vAlign w:val="center"/>
          </w:tcPr>
          <w:p w14:paraId="0D819CE7"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406CF035"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黄继晨</w:t>
            </w:r>
          </w:p>
        </w:tc>
        <w:tc>
          <w:tcPr>
            <w:tcW w:w="999" w:type="pct"/>
            <w:vAlign w:val="center"/>
          </w:tcPr>
          <w:p w14:paraId="2E47F420"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w:t>
            </w:r>
            <w:proofErr w:type="gramStart"/>
            <w:r>
              <w:rPr>
                <w:rFonts w:ascii="方正仿宋简体" w:eastAsia="方正仿宋简体" w:hAnsiTheme="minorEastAsia" w:cs="方正仿宋简体" w:hint="eastAsia"/>
                <w:b/>
                <w:iCs/>
              </w:rPr>
              <w:t>基金基金</w:t>
            </w:r>
            <w:proofErr w:type="gramEnd"/>
            <w:r>
              <w:rPr>
                <w:rFonts w:ascii="方正仿宋简体" w:eastAsia="方正仿宋简体" w:hAnsiTheme="minorEastAsia" w:cs="方正仿宋简体" w:hint="eastAsia"/>
                <w:b/>
                <w:iCs/>
              </w:rPr>
              <w:t>经理的日期</w:t>
            </w:r>
          </w:p>
        </w:tc>
        <w:tc>
          <w:tcPr>
            <w:tcW w:w="1443" w:type="pct"/>
            <w:vAlign w:val="center"/>
          </w:tcPr>
          <w:p w14:paraId="196D456C"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2021-09-07</w:t>
            </w:r>
          </w:p>
        </w:tc>
      </w:tr>
      <w:tr w:rsidR="00E206C7" w14:paraId="7BA25C86" w14:textId="77777777" w:rsidTr="005F360D">
        <w:trPr>
          <w:trHeight w:val="454"/>
        </w:trPr>
        <w:tc>
          <w:tcPr>
            <w:tcW w:w="1145" w:type="pct"/>
            <w:vMerge/>
            <w:vAlign w:val="center"/>
          </w:tcPr>
          <w:p w14:paraId="5BCEC036" w14:textId="77777777" w:rsidR="00E206C7" w:rsidRDefault="00E206C7" w:rsidP="00671C54">
            <w:pPr>
              <w:spacing w:line="320" w:lineRule="exact"/>
              <w:rPr>
                <w:rFonts w:ascii="方正仿宋简体" w:eastAsia="方正仿宋简体" w:hAnsiTheme="minorEastAsia" w:cs="方正仿宋简体"/>
                <w:b/>
                <w:iCs/>
              </w:rPr>
            </w:pPr>
          </w:p>
        </w:tc>
        <w:tc>
          <w:tcPr>
            <w:tcW w:w="1413" w:type="pct"/>
            <w:vMerge/>
            <w:vAlign w:val="center"/>
          </w:tcPr>
          <w:p w14:paraId="25B0B7FA" w14:textId="77777777" w:rsidR="00E206C7" w:rsidRDefault="00E206C7" w:rsidP="00671C54">
            <w:pPr>
              <w:spacing w:line="320" w:lineRule="exact"/>
              <w:rPr>
                <w:rFonts w:ascii="方正仿宋简体" w:eastAsia="方正仿宋简体" w:hAnsiTheme="minorEastAsia" w:cs="方正仿宋简体"/>
                <w:b/>
                <w:iCs/>
              </w:rPr>
            </w:pPr>
          </w:p>
        </w:tc>
        <w:tc>
          <w:tcPr>
            <w:tcW w:w="999" w:type="pct"/>
            <w:vAlign w:val="center"/>
          </w:tcPr>
          <w:p w14:paraId="078EBBEE"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09CC3F3A"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2012-08-01</w:t>
            </w:r>
          </w:p>
        </w:tc>
      </w:tr>
      <w:tr w:rsidR="00E206C7" w14:paraId="2C1F79DA" w14:textId="77777777" w:rsidTr="005F360D">
        <w:trPr>
          <w:trHeight w:val="454"/>
        </w:trPr>
        <w:tc>
          <w:tcPr>
            <w:tcW w:w="1145" w:type="pct"/>
            <w:vAlign w:val="center"/>
          </w:tcPr>
          <w:p w14:paraId="1EC47353"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其他概况说明</w:t>
            </w:r>
          </w:p>
        </w:tc>
        <w:tc>
          <w:tcPr>
            <w:tcW w:w="3855" w:type="pct"/>
            <w:gridSpan w:val="3"/>
            <w:vAlign w:val="center"/>
          </w:tcPr>
          <w:p w14:paraId="7188E754"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本基金基金合同生效后，前三年封闭运作。封闭期届满后，本基金转为开放式运作，基金名称变更为“博时荣丰回报灵活配置混合型证券投资基金”。除此之外，本基金的基金费率，基金的投资范围等均不变。</w:t>
            </w:r>
          </w:p>
        </w:tc>
      </w:tr>
    </w:tbl>
    <w:p w14:paraId="62C28F90" w14:textId="77777777" w:rsidR="00E206C7" w:rsidRDefault="00E206C7">
      <w:pPr>
        <w:spacing w:line="280" w:lineRule="exact"/>
        <w:rPr>
          <w:rFonts w:ascii="方正仿宋简体" w:eastAsia="方正仿宋简体" w:hAnsiTheme="minorEastAsia" w:cs="仿宋_GB2312"/>
          <w:b/>
          <w:kern w:val="0"/>
          <w:szCs w:val="24"/>
        </w:rPr>
      </w:pPr>
    </w:p>
    <w:p w14:paraId="5D0A72AF" w14:textId="77777777" w:rsidR="00E206C7" w:rsidRDefault="00BA5AE0" w:rsidP="00560FDA" gbicc:emptyAbove="1">
      <w:pPr gbicc:listString="二、" gbicc:numText="%1、" gbicc:numFmt="C" gbicc:numVal="2"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74DE8893" w14:textId="77777777" w:rsidR="00E206C7" w:rsidRDefault="00BA5AE0" w:rsidP="00671C54">
      <w:pPr gbicc:listString="(一)" gbicc:numText="(%1)" gbicc:numFmt="C" gbicc:numVal="1" gbicc:numId="15">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182A69EA" w14:textId="77777777" w:rsidR="00E206C7" w:rsidRDefault="00884C59" w:rsidP="00671C54">
      <w:pPr>
        <w:spacing w:line="320" w:lineRule="exact"/>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敬请投资者阅读《招募说明书》第九章了解详细情况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E206C7" w14:paraId="2A921C1C" w14:textId="77777777" w:rsidTr="0074096A">
        <w:trPr>
          <w:trHeight w:val="454"/>
        </w:trPr>
        <w:tc>
          <w:tcPr>
            <w:tcW w:w="1228" w:type="pct"/>
            <w:vAlign w:val="center"/>
          </w:tcPr>
          <w:p w14:paraId="2E2DE8E3"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324C0CC1"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本基金坚持价值投资理念，充分发挥专业研究与精选个股能力，力争组合资产实现长期稳健的增值。</w:t>
            </w:r>
          </w:p>
        </w:tc>
      </w:tr>
      <w:tr w:rsidR="00E206C7" w14:paraId="406A158D" w14:textId="77777777" w:rsidTr="0074096A">
        <w:trPr>
          <w:trHeight w:val="454"/>
        </w:trPr>
        <w:tc>
          <w:tcPr>
            <w:tcW w:w="1228" w:type="pct"/>
            <w:vAlign w:val="center"/>
          </w:tcPr>
          <w:p w14:paraId="424D2966"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253A15FB"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的投资范围为具有良好流动性的金融工具，包括国内依法发行上市的股票（包括中小板、创业板及其他经中国证监会核准或注册上市的股票、存托凭证）、内地与香港股票市场交易互联互通机制下允许投资的香港联合交易所上市的股票（以下简称“港股通标的股票”）、债券（包括国债、金融债、地方政府债、政府支持机构债券、企业债、公司债、央行票据、中期票据、短期融资券、可转换债券（含可分离交易可转换债券）、可交换债、次级债等）、货币市场工具、同业存单、债券回购、股指期货、国债期货、资产支持证券、银行存款以及法律法规或中国证监会允许基金投资的其他金融工具（但须符合中国证监会的相关规定）。</w:t>
            </w:r>
          </w:p>
          <w:p w14:paraId="253A15FB"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如法律法规或中国证监会以后允许基金投资其他品种，本基金管理人在履行适当程序后，可以将其纳入本基金的投资范围。</w:t>
            </w:r>
          </w:p>
          <w:p w14:paraId="253A15FB"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的投资组合比例为：在封闭运作期内，投资股票资产（含存托凭证）占基金资产的比例为10%—100%，港股通标的股票的投资比例为股票资产的0%-50%；投资于同业存单的比例不超过基金资产的20%；每个交易日日终在扣除股指期货合约、国债期货合约需缴纳的交易保证金后，应当保持不低于交易保证金一倍的现金；前述现金不包括结算备付金、存出保证金、应收申购款等。</w:t>
            </w:r>
          </w:p>
          <w:p w14:paraId="253A15FB"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封闭期届满转为开放式运作后，本基金的股票资产（含存托凭证）占基金资产的10%-95%，港股通标的股票的投资比例为股票资产的0%-50%；投资于同业存单的比例不超过基金资产的20%；每个交易日日终在扣除股指期货合约、国债期货合约所需缴纳的交易保证金后，现金或到期日在一年以内的政府债券不低于基金资产净值的5%。前述现金不包括结算备付金、存出保证金、应收申购款等。</w:t>
            </w:r>
          </w:p>
          <w:p w14:paraId="253A15FB"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若法律法规的相关规定发生变更或监管机构允许，本基金管理人在履行适当程序后，可对上述资产配置比例进行调整。</w:t>
            </w:r>
          </w:p>
        </w:tc>
      </w:tr>
      <w:tr w:rsidR="00E206C7" w14:paraId="23200D07" w14:textId="77777777" w:rsidTr="0074096A">
        <w:trPr>
          <w:trHeight w:val="454"/>
        </w:trPr>
        <w:tc>
          <w:tcPr>
            <w:tcW w:w="1228" w:type="pct"/>
            <w:vAlign w:val="center"/>
          </w:tcPr>
          <w:p w14:paraId="40C9941F"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10443132"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灵活配置混合型基金。投资策略主要包括资产配置策略、股票投资策略、其他资产投资策略三个部分内容。其中，资产配置策略主要是通过对宏观经济周期运行规律的研究，动态调整大类资产配置比例，以争取规避系统性风险。其次，股票投资策略包括行业选择和个股选择，在行业选择层面，主要是结合宏观和政策环境判断，形成行业配置思路。在个股投资层面，本基金将坚持估值与成长相结合，对企业基本面和长期竞争力进行严格评判。其他资产投资策略有债券投资策略、股指期货、国债期货投资策略和资产支持证券投资策略。</w:t>
            </w:r>
          </w:p>
        </w:tc>
      </w:tr>
      <w:tr w:rsidR="00E206C7" w14:paraId="0F257BBD" w14:textId="77777777" w:rsidTr="0074096A">
        <w:trPr>
          <w:trHeight w:val="454"/>
        </w:trPr>
        <w:tc>
          <w:tcPr>
            <w:tcW w:w="1228" w:type="pct"/>
            <w:vAlign w:val="center"/>
          </w:tcPr>
          <w:p w14:paraId="1FA0926C"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6E1DFAA5"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沪深300指数收益率×50%+恒生综合指数收益率×10%+中债综合财富(总值)指数收益率×40%</w:t>
            </w:r>
          </w:p>
        </w:tc>
      </w:tr>
      <w:tr w:rsidR="00E206C7" w14:paraId="639C43EA" w14:textId="77777777" w:rsidTr="0074096A">
        <w:trPr>
          <w:trHeight w:val="454"/>
        </w:trPr>
        <w:tc>
          <w:tcPr>
            <w:tcW w:w="1228" w:type="pct"/>
            <w:vAlign w:val="center"/>
          </w:tcPr>
          <w:p w14:paraId="2C08B570"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652550DE"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
            </w:r>
          </w:p>
          <w:p w14:paraId="652550DE"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是混合型证券投资基金，其预期收益和预期风险水平高于债券型基金产品和货币市场基金，低于股票型基金，属于中高预期风险、中高预期收益的基金产品。本基金如果投资港股通标的股票，需承担汇率风险以及境外市场的风险。</w:t>
            </w:r>
          </w:p>
        </w:tc>
      </w:tr>
    </w:tbl>
    <w:p w14:paraId="2CB4A2C0" w14:textId="77777777" w:rsidR="00E206C7" w:rsidRDefault="00884C59" w:rsidP="00671C54">
      <w:pPr>
        <w:spacing w:line="320" w:lineRule="exact"/>
        <w:rPr>
          <w:rFonts w:ascii="方正仿宋简体" w:eastAsia="方正仿宋简体" w:hAnsiTheme="minorEastAsia" w:cs="仿宋_GB2312"/>
          <w:kern w:val="0"/>
          <w:szCs w:val="24"/>
        </w:rPr>
      </w:pPr>
    </w:p>
    <w:p w14:paraId="28D4661C" w14:textId="77777777" w:rsidR="00E206C7" w:rsidRDefault="00BA5AE0" w:rsidP="00671C54" gbicc:emptyAbove="1">
      <w:pPr gbicc:listString="(二)" gbicc:numText="(%1)" gbicc:numFmt="C" gbicc:numVal="2" gbicc:numId="15">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775E0926" w14:textId="77777777" w:rsidR="00E206C7" w:rsidRDefault="00BA5AE0" w:rsidP="00671C54">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6D91F3DC" w14:textId="77777777" w:rsidR="00E206C7" w:rsidRDefault="00BA5AE0">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sz w:val="24"/>
          <w:szCs w:val="24"/>
        </w:rPr>
        <w:drawing>
          <wp:inline distT="0" distB="0" distL="0" distR="0" wp14:anchorId="3E301A94" wp14:editId="56787A5A">
            <wp:extent cx="5994000" cy="3497075"/>
            <wp:effectExtent l="0" t="0" r="6985" b="6350"/>
            <wp:docPr id="2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50000_009217_FA010080_20210005_1jpg">
                      <a:extLst>
                        <a:ext uri="{28A0092B-C50C-407E-A947-70E740481C1C}">
                          <a14:useLocalDpi xmlns:a14="http://schemas.microsoft.com/office/drawing/2010/main" val="0"/>
                        </a:ext>
                      </a:extLst>
                    </a:blip>
                    <a:srcRect/>
                    <a:stretch>
                      <a:fillRect/>
                    </a:stretch>
                  </pic:blipFill>
                  <pic:spPr bwMode="auto">
                    <a:xfrm>
                      <a:off x="0" y="0"/>
                      <a:ext cx="5994000" cy="3497075"/>
                    </a:xfrm>
                    <a:prstGeom prst="rect">
                      <a:avLst/>
                    </a:prstGeom>
                    <a:noFill/>
                    <a:ln>
                      <a:noFill/>
                    </a:ln>
                  </pic:spPr>
                </pic:pic>
              </a:graphicData>
            </a:graphic>
          </wp:inline>
        </w:drawing>
      </w:r>
    </w:p>
    <w:p w14:paraId="016F5B3C" w14:textId="77777777" w:rsidR="00E206C7" w:rsidRDefault="00BA5AE0" w:rsidP="00671C54">
      <w:pPr gbicc:listString="(三)" gbicc:numText="(%1)" gbicc:numFmt="C" gbicc:numVal="3" gbicc:numId="15">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PH-->
    <w:p w14:paraId="0647565F" w14:textId="77777777" w:rsidR="00E206C7" w:rsidRDefault="00BA5AE0">
      <w:pPr>
        <w:jc w:val="center"/>
        <w:rPr>
          <w:rFonts w:ascii="方正仿宋简体" w:eastAsia="方正仿宋简体" w:hAnsiTheme="minorEastAsia"/>
        </w:rPr>
      </w:pPr>
      <w:r>
        <w:rPr>
          <w:rFonts w:ascii="方正仿宋简体" w:eastAsia="方正仿宋简体" w:hAnsiTheme="minorEastAsia" w:hint="eastAsia"/>
        </w:rPr>
        <w:drawing>
          <wp:inline distT="0" distB="0" distL="0" distR="0" wp14:anchorId="77F8D313" wp14:editId="1FC67D42">
            <wp:extent cx="5994000" cy="3505142"/>
            <wp:effectExtent l="0" t="0" r="6985" b="635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CN_50050000_009217_FA010080_20210005_3jpg">
                      <a:extLst>
                        <a:ext uri="{28A0092B-C50C-407E-A947-70E740481C1C}">
                          <a14:useLocalDpi xmlns:a14="http://schemas.microsoft.com/office/drawing/2010/main" val="0"/>
                        </a:ext>
                      </a:extLst>
                    </a:blip>
                    <a:srcRect/>
                    <a:stretch>
                      <a:fillRect/>
                    </a:stretch>
                  </pic:blipFill>
                  <pic:spPr bwMode="auto">
                    <a:xfrm>
                      <a:off x="0" y="0"/>
                      <a:ext cx="5994000" cy="3505142"/>
                    </a:xfrm>
                    <a:prstGeom prst="rect">
                      <a:avLst/>
                    </a:prstGeom>
                    <a:noFill/>
                    <a:ln>
                      <a:noFill/>
                    </a:ln>
                  </pic:spPr>
                </pic:pic>
              </a:graphicData>
            </a:graphic>
          </wp:inline>
        </w:drawing>
      </w:r>
    </w:p>
    <w:p w14:paraId="35329D61" w14:textId="77777777" w:rsidR="00E206C7" w:rsidRDefault="00884C59" gbicc:emptyAbove="2">
      <w:pPr>
        <w:autoSpaceDE w:val="0"/>
        <w:autoSpaceDN w:val="0"/>
        <w:adjustRightInd w:val="0"/>
        <w:spacing w:line="280" w:lineRule="exact"/>
        <w:jc w:val="left"/>
        <w:rPr>
          <w:rFonts w:ascii="方正仿宋简体" w:eastAsia="方正仿宋简体" w:hAnsiTheme="minorEastAsia"/>
          <w:color w:val="000000" w:themeColor="text1"/>
        </w:rPr>
      </w:pPr>
      <w:r w:rsidR="00BA5AE0">
        <w:rPr>
          <w:rFonts w:ascii="方正仿宋简体" w:eastAsia="方正仿宋简体" w:hAnsiTheme="minorEastAsia" w:hint="eastAsia"/>
          <w:color w:val="000000" w:themeColor="text1"/>
        </w:rPr>
        <w:t>注：基金的过往业绩不代表未来表现。本基金的基金合同于2020年05月07日生效，合同生效当年按实际存续期计算，不按整个自然年度进行折算。</w:t>
      </w:r>
    </w:p>
    <w:p w14:paraId="7C232E43" w14:textId="77777777" w:rsidR="00E206C7" w:rsidRDefault="00BA5AE0" w:rsidP="00560FDA">
      <w:pPr gbicc:listString="三、" gbicc:numText="%1、" gbicc:numFmt="C" gbicc:numVal="3"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6CB2BEE4" w14:textId="77777777" w:rsidR="00E206C7" w:rsidRDefault="00BA5AE0" w:rsidP="00671C54">
      <w:pPr gbicc:listString="（一）" gbicc:numText="（%1）" gbicc:numFmt="J" gbicc:numVal="1" gbicc:numId="25">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36BC4573" w14:textId="77777777" w:rsidR="00E206C7" w:rsidRDefault="00BA5AE0" w:rsidP="00671C54">
      <w:pPr>
        <w:autoSpaceDE w:val="0"/>
        <w:autoSpaceDN w:val="0"/>
        <w:adjustRightInd w:val="0"/>
        <w:spacing w:line="320" w:lineRule="exact"/>
        <w:jc w:val="left"/>
        <w:rPr>
          <w:rFonts w:ascii="方正仿宋简体" w:eastAsia="方正仿宋简体"/>
        </w:rPr>
      </w:pPr>
      <w:r>
        <w:rPr>
          <w:rFonts w:ascii="方正仿宋简体" w:eastAsia="方正仿宋简体" w:hAnsi="方正仿宋简体" w:cs="方正仿宋简体" w:hint="eastAsia"/>
          <w:iCs/>
        </w:rPr>
        <w:t>以下费用在认购/申购/赎回基金过程中收取：</w:t>
      </w:r>
    </w:p>
    <!--PH-->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75"/>
        <w:gridCol w:w="4088"/>
        <w:gridCol w:w="2489"/>
        <w:gridCol w:w="1130"/>
      </w:tblGrid>
      <w:tr w:rsidR="00E206C7" w14:paraId="7C659190" w14:textId="77777777" w:rsidTr="0074096A">
        <w:trPr>
          <w:trHeight w:val="454"/>
        </w:trPr>
        <w:tc>
          <w:tcPr>
            <w:tcW w:w="1392" w:type="pct"/>
            <w:vAlign w:val="center"/>
          </w:tcPr>
          <w:p w14:paraId="5DE8249B"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13" w:type="pct"/>
            <w:vAlign w:val="center"/>
          </w:tcPr>
          <w:p w14:paraId="2DD13CD4"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4F1767C8"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5" w:type="pct"/>
            <w:vAlign w:val="center"/>
          </w:tcPr>
          <w:p w14:paraId="4FF54A88"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29" w:type="pct"/>
            <w:vAlign w:val="center"/>
          </w:tcPr>
          <w:p w14:paraId="10392C4F"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E206C7" w14:paraId="19E939FC" w14:textId="77777777" w:rsidTr="0074096A">
        <w:trPr>
          <w:trHeight w:val="454"/>
        </w:trPr>
        <w:tc>
          <w:tcPr>
            <w:tcW w:w="1392" w:type="pct"/>
            <w:vAlign w:val="center"/>
            <w:vMerge w:val="restart"/>
          </w:tcPr>
          <w:p w14:paraId="6568F9E0"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0746EE01"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int="eastAsia"/>
                <w:color w:val="333399"/>
              </w:rPr>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M</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&lt;</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50万元</w:t>
            </w:r>
          </w:p>
        </w:tc>
        <w:tc>
          <w:tcPr>
            <w:tcW w:w="1165" w:type="pct"/>
            <w:vAlign w:val="center"/>
          </w:tcPr>
          <w:p w14:paraId="472557DB"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1.20%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w:r>
          </w:p>
        </w:tc>
        <w:tc>
          <w:tcPr>
            <w:tcW w:w="529" w:type="pct"/>
            <w:vAlign w:val="center"/>
          </w:tcPr>
          <w:p w14:paraId="7EA84EF0"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int="eastAsia"/>
                <w:color w:val="333399"/>
              </w:rPr>
              <w:t/>
            </w:r>
          </w:p>
        </w:tc>
      </w:tr>
      <w:tr w:rsidR="00E206C7" w14:paraId="19E939FC" w14:textId="77777777" w:rsidTr="0074096A">
        <w:trPr>
          <w:trHeight w:val="454"/>
        </w:trPr>
        <w:tc>
          <w:tcPr>
            <w:tcW w:w="1392" w:type="pct"/>
            <w:vAlign w:val="center"/>
            <w:vMerge/>
          </w:tcPr>
          <w:p w14:paraId="6568F9E0"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0746EE01"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50万元</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M</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&lt;</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100万元</w:t>
            </w:r>
          </w:p>
        </w:tc>
        <w:tc>
          <w:tcPr>
            <w:tcW w:w="1165" w:type="pct"/>
            <w:vAlign w:val="center"/>
          </w:tcPr>
          <w:p w14:paraId="472557DB"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0.80%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p>
        </w:tc>
        <w:tc>
          <w:tcPr>
            <w:tcW w:w="529" w:type="pct"/>
            <w:vAlign w:val="center"/>
          </w:tcPr>
          <w:p w14:paraId="7EA84EF0"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int="eastAsia"/>
                <w:color w:val="333399"/>
              </w:rPr>
              <w:t xml:space="preserve"/>
            </w:r>
          </w:p>
        </w:tc>
      </w:tr>
      <w:tr w:rsidR="00E206C7" w14:paraId="19E939FC" w14:textId="77777777" w:rsidTr="0074096A">
        <w:trPr>
          <w:trHeight w:val="454"/>
        </w:trPr>
        <w:tc>
          <w:tcPr>
            <w:tcW w:w="1392" w:type="pct"/>
            <w:vAlign w:val="center"/>
            <w:vMerge/>
          </w:tcPr>
          <w:p w14:paraId="6568F9E0"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0746EE01"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100万元</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M</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&lt;</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500万元</w:t>
            </w:r>
          </w:p>
        </w:tc>
        <w:tc>
          <w:tcPr>
            <w:tcW w:w="1165" w:type="pct"/>
            <w:vAlign w:val="center"/>
          </w:tcPr>
          <w:p w14:paraId="472557DB"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0.60%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p>
        </w:tc>
        <w:tc>
          <w:tcPr>
            <w:tcW w:w="529" w:type="pct"/>
            <w:vAlign w:val="center"/>
          </w:tcPr>
          <w:p w14:paraId="7EA84EF0"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int="eastAsia"/>
                <w:color w:val="333399"/>
              </w:rPr>
              <w:t xml:space="preserve"/>
            </w:r>
          </w:p>
        </w:tc>
      </w:tr>
      <w:tr w:rsidR="00E206C7" w14:paraId="19E939FC" w14:textId="77777777" w:rsidTr="0074096A">
        <w:trPr>
          <w:trHeight w:val="454"/>
        </w:trPr>
        <w:tc>
          <w:tcPr>
            <w:tcW w:w="1392" w:type="pct"/>
            <w:vAlign w:val="center"/>
            <w:vMerge/>
          </w:tcPr>
          <w:p w14:paraId="6568F9E0"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0746EE01"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M</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500万元</w:t>
            </w:r>
          </w:p>
        </w:tc>
        <w:tc>
          <w:tcPr>
            <w:tcW w:w="1165" w:type="pct"/>
            <w:vAlign w:val="center"/>
          </w:tcPr>
          <w:p w14:paraId="472557DB"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1000元/笔</w:t>
            </w:r>
          </w:p>
        </w:tc>
        <w:tc>
          <w:tcPr>
            <w:tcW w:w="529" w:type="pct"/>
            <w:vAlign w:val="center"/>
          </w:tcPr>
          <w:p w14:paraId="7EA84EF0"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int="eastAsia"/>
                <w:color w:val="333399"/>
              </w:rPr>
              <w:t xml:space="preserve"/>
            </w:r>
          </w:p>
        </w:tc>
      </w:tr>
      <w:tr w:rsidR="00E206C7" w14:paraId="058B5636" w14:textId="77777777" w:rsidTr="0074096A">
        <w:trPr>
          <w:trHeight w:val="454"/>
        </w:trPr>
        <w:tc>
          <w:tcPr>
            <w:tcW w:w="1392" w:type="pct"/>
            <w:vAlign w:val="center"/>
            <w:vMerge w:val="restart"/>
          </w:tcPr>
          <w:p w14:paraId="3ABDB83E"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1B51E67C"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int="eastAsia"/>
                <w:color w:val="333399"/>
              </w:rPr>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N</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&lt;</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7天</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w:r>
          </w:p>
        </w:tc>
        <w:tc>
          <w:tcPr>
            <w:tcW w:w="1165" w:type="pct"/>
            <w:vAlign w:val="center"/>
          </w:tcPr>
          <w:p w14:paraId="3003F339"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1.50%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w:r>
          </w:p>
        </w:tc>
        <w:tc>
          <w:tcPr>
            <w:tcW w:w="529" w:type="pct"/>
            <w:vAlign w:val="center"/>
          </w:tcPr>
          <w:p w14:paraId="229692D2"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100%计入资产</w:t>
            </w:r>
          </w:p>
        </w:tc>
      </w:tr>
      <w:tr w:rsidR="00E206C7" w14:paraId="058B5636" w14:textId="77777777" w:rsidTr="0074096A">
        <w:trPr>
          <w:trHeight w:val="454"/>
        </w:trPr>
        <w:tc>
          <w:tcPr>
            <w:tcW w:w="1392" w:type="pct"/>
            <w:vAlign w:val="center"/>
            <w:vMerge/>
          </w:tcPr>
          <w:p w14:paraId="3ABDB83E"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1B51E67C"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7天</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N</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&lt;</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30天</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r>
          </w:p>
        </w:tc>
        <w:tc>
          <w:tcPr>
            <w:tcW w:w="1165" w:type="pct"/>
            <w:vAlign w:val="center"/>
          </w:tcPr>
          <w:p w14:paraId="3003F339"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0.75%</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p>
        </w:tc>
        <w:tc>
          <w:tcPr>
            <w:tcW w:w="529" w:type="pct"/>
            <w:vAlign w:val="center"/>
          </w:tcPr>
          <w:p w14:paraId="229692D2"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100%计入资产</w:t>
            </w:r>
          </w:p>
        </w:tc>
      </w:tr>
      <w:tr w:rsidR="00E206C7" w14:paraId="058B5636" w14:textId="77777777" w:rsidTr="0074096A">
        <w:trPr>
          <w:trHeight w:val="454"/>
        </w:trPr>
        <w:tc>
          <w:tcPr>
            <w:tcW w:w="1392" w:type="pct"/>
            <w:vAlign w:val="center"/>
            <w:vMerge/>
          </w:tcPr>
          <w:p w14:paraId="3ABDB83E"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1B51E67C"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30天</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N</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&lt;</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90天</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r>
          </w:p>
        </w:tc>
        <w:tc>
          <w:tcPr>
            <w:tcW w:w="1165" w:type="pct"/>
            <w:vAlign w:val="center"/>
          </w:tcPr>
          <w:p w14:paraId="3003F339"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0.50%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p>
        </w:tc>
        <w:tc>
          <w:tcPr>
            <w:tcW w:w="529" w:type="pct"/>
            <w:vAlign w:val="center"/>
          </w:tcPr>
          <w:p w14:paraId="229692D2"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至少75%计入资产</w:t>
            </w:r>
          </w:p>
        </w:tc>
      </w:tr>
      <w:tr w:rsidR="00E206C7" w14:paraId="058B5636" w14:textId="77777777" w:rsidTr="0074096A">
        <w:trPr>
          <w:trHeight w:val="454"/>
        </w:trPr>
        <w:tc>
          <w:tcPr>
            <w:tcW w:w="1392" w:type="pct"/>
            <w:vAlign w:val="center"/>
            <w:vMerge/>
          </w:tcPr>
          <w:p w14:paraId="3ABDB83E"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1B51E67C"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90天</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N</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&lt;</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180天</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r>
          </w:p>
        </w:tc>
        <w:tc>
          <w:tcPr>
            <w:tcW w:w="1165" w:type="pct"/>
            <w:vAlign w:val="center"/>
          </w:tcPr>
          <w:p w14:paraId="3003F339"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0.50%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p>
        </w:tc>
        <w:tc>
          <w:tcPr>
            <w:tcW w:w="529" w:type="pct"/>
            <w:vAlign w:val="center"/>
          </w:tcPr>
          <w:p w14:paraId="229692D2"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至少50%计入资产</w:t>
            </w:r>
          </w:p>
        </w:tc>
      </w:tr>
      <w:tr w:rsidR="00E206C7" w14:paraId="058B5636" w14:textId="77777777" w:rsidTr="0074096A">
        <w:trPr>
          <w:trHeight w:val="454"/>
        </w:trPr>
        <w:tc>
          <w:tcPr>
            <w:tcW w:w="1392" w:type="pct"/>
            <w:vAlign w:val="center"/>
            <w:vMerge/>
          </w:tcPr>
          <w:p w14:paraId="3ABDB83E"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1B51E67C"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N</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180天</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r>
          </w:p>
        </w:tc>
        <w:tc>
          <w:tcPr>
            <w:tcW w:w="1165" w:type="pct"/>
            <w:vAlign w:val="center"/>
          </w:tcPr>
          <w:p w14:paraId="3003F339"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0.00%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p>
        </w:tc>
        <w:tc>
          <w:tcPr>
            <w:tcW w:w="529" w:type="pct"/>
            <w:vAlign w:val="center"/>
          </w:tcPr>
          <w:p w14:paraId="229692D2"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w:r>
          </w:p>
        </w:tc>
      </w:tr>
    </w:tbl>
    <w:p w14:paraId="4D7719E0" w14:textId="77777777" w:rsidR="00E206C7" w:rsidRDefault="00884C59" w:rsidP="00671C54">
      <w:pPr>
        <w:autoSpaceDE w:val="0"/>
        <w:autoSpaceDN w:val="0"/>
        <w:adjustRightInd w:val="0"/>
        <w:spacing w:line="320" w:lineRule="exact"/>
        <w:jc w:val="left"/>
        <w:rPr>
          <w:rFonts w:ascii="方正仿宋简体" w:eastAsia="方正仿宋简体" w:hAnsi="方正仿宋简体" w:cs="方正仿宋简体"/>
          <w:iCs/>
        </w:rPr>
      </w:pPr>
      <w:r w:rsidR="00BA5AE0">
        <w:rPr>
          <w:rFonts w:ascii="方正仿宋简体" w:eastAsia="方正仿宋简体" w:hAnsi="方正仿宋简体" w:cs="方正仿宋简体" w:hint="eastAsia"/>
          <w:iCs/>
        </w:rPr>
        <w:t>注：</w:t>
      </w:r>
      <w:r w:rsidR="00BA5AE0">
        <w:rPr>
          <w:rFonts w:ascii="方正仿宋简体" w:eastAsia="方正仿宋简体" w:hAnsi="方正仿宋简体" w:cs="方正仿宋简体" w:hint="eastAsia"/>
          <w:iCs/>
        </w:rPr>
        <w:t>对于通过基金管理人直销渠道申购的养老金客户，享受申购费率1折优惠。对于通过基金管理人直销渠道赎回的养老金客户，将不计入基金资产部分的赎回费免除。</w:t>
      </w:r>
    </w:p>
    <w:p w14:paraId="61D14FE8" w14:textId="77777777" w:rsidR="00E206C7" w:rsidRDefault="00E206C7" w:rsidP="00671C54">
      <w:pPr>
        <w:spacing w:line="320" w:lineRule="exact"/>
        <w:rPr>
          <w:rFonts w:ascii="方正仿宋简体" w:eastAsia="方正仿宋简体" w:hAnsiTheme="minorEastAsia" w:cs="方正仿宋简体"/>
          <w:b/>
          <w:iCs/>
          <w:sz w:val="24"/>
          <w:szCs w:val="24"/>
        </w:rPr>
      </w:pPr>
    </w:p>
    <w:p w14:paraId="35F35611" w14:textId="77777777" w:rsidR="00E206C7" w:rsidRDefault="00BA5AE0" w:rsidP="00671C54" gbicc:emptyAbove="1">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53399B66" w14:textId="77777777" w:rsidR="00E206C7" w:rsidRDefault="00BA5AE0" w:rsidP="00671C54">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E206C7" w14:paraId="6274885C" w14:textId="77777777" w:rsidTr="00A1474F">
        <w:trPr>
          <w:trHeight w:val="454"/>
        </w:trPr>
        <w:tc>
          <w:tcPr>
            <w:tcW w:w="1477" w:type="pct"/>
            <w:vAlign w:val="center"/>
          </w:tcPr>
          <w:p w14:paraId="640B6DFF" w14:textId="77777777" w:rsidR="00E206C7" w:rsidRDefault="00BA5AE0" w:rsidP="00671C54">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2587B697"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E206C7" w14:paraId="3D78FAE0" w14:textId="77777777" w:rsidTr="00A1474F">
        <w:trPr>
          <w:trHeight w:val="454"/>
        </w:trPr>
        <w:tc>
          <w:tcPr>
            <w:tcW w:w="1477" w:type="pct"/>
            <w:vAlign w:val="center"/>
          </w:tcPr>
          <w:p w14:paraId="2BA01288" w14:textId="77777777" w:rsidR="00E206C7" w:rsidRDefault="00BA5AE0" w:rsidP="00671C54">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36F3AE78" w14:textId="77777777" w:rsidR="00E206C7" w:rsidRDefault="00884C59" w:rsidP="00671C54">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固定比例</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1.50%</w:t>
            </w:r>
          </w:p>
        </w:tc>
      </w:tr>
      <w:tr w:rsidR="00E206C7" w14:paraId="17F6DDD8" w14:textId="77777777" w:rsidTr="00A1474F">
        <w:trPr>
          <w:trHeight w:val="454"/>
        </w:trPr>
        <w:tc>
          <w:tcPr>
            <w:tcW w:w="1477" w:type="pct"/>
            <w:vAlign w:val="center"/>
          </w:tcPr>
          <w:p w14:paraId="584660D8" w14:textId="77777777" w:rsidR="00E206C7" w:rsidRDefault="00BA5AE0" w:rsidP="00671C54">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1EFE2C51" w14:textId="77777777" w:rsidR="00E206C7" w:rsidRDefault="00884C59" w:rsidP="00671C54">
            <w:pPr>
              <w:spacing w:line="320" w:lineRule="exact"/>
              <w:jc w:val="center"/>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固定比例</w:t>
            </w:r>
            <w:r w:rsidR="00BA5AE0">
              <w:rPr>
                <w:rFonts w:ascii="方正仿宋简体" w:eastAsia="方正仿宋简体" w:hAnsiTheme="minorEastAsia" w:cs="方正仿宋简体" w:hint="eastAsia"/>
                <w:bCs/>
                <w:iCs/>
              </w:rPr>
              <w:t xml:space="preserve"> </w:t>
            </w:r>
            <w:r w:rsidR="00BA5AE0">
              <w:rPr>
                <w:rFonts w:ascii="方正仿宋简体" w:eastAsia="方正仿宋简体" w:hAnsiTheme="minorEastAsia" w:cs="方正仿宋简体" w:hint="eastAsia"/>
                <w:bCs/>
                <w:iCs/>
              </w:rPr>
              <w:t>0.25%</w:t>
            </w:r>
          </w:p>
        </w:tc>
      </w:tr>
      <w:tr w:rsidR="00E206C7" w14:paraId="523D8590" w14:textId="77777777" w:rsidTr="00A1474F">
        <w:trPr>
          <w:trHeight w:val="454"/>
        </w:trPr>
        <w:tc>
          <w:tcPr>
            <w:tcW w:w="1477" w:type="pct"/>
            <w:vAlign w:val="center"/>
          </w:tcPr>
          <w:p w14:paraId="5C3F8D99" w14:textId="77777777" w:rsidR="00E206C7" w:rsidRDefault="00BA5AE0" w:rsidP="00671C54">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0D27FDBA" w14:textId="77777777" w:rsidR="00E206C7" w:rsidRDefault="00884C59" w:rsidP="00671C54">
            <w:pPr>
              <w:spacing w:line="320" w:lineRule="exact"/>
              <w:jc w:val="center"/>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 xml:space="preserve">《基金合同》生效后与基金相关的信息披露费用；《基金合同》生效后与基金相关的会计师费、律师费、诉讼费和仲裁费；基金份额持有人大会费用；基金的证券、期货交易费用；基金的银行汇划费用；账户开户费用、账户维护费用；因投资港股通标的股票而产生的各项合理费用等。</w:t>
            </w:r>
            <w:r w:rsidR="00BA5AE0">
              <w:rPr>
                <w:rFonts w:ascii="方正仿宋简体" w:eastAsia="方正仿宋简体" w:hint="eastAsia"/>
              </w:rPr>
              <w:t/>
            </w:r>
          </w:p>
        </w:tc>
      </w:tr>
    </w:tbl>
    <w:p w14:paraId="1D39B99C" w14:textId="77777777" w:rsidR="00E206C7" w:rsidRDefault="00884C59" w:rsidP="00671C54">
      <w:pPr>
        <w:autoSpaceDE w:val="0"/>
        <w:autoSpaceDN w:val="0"/>
        <w:adjustRightInd w:val="0"/>
        <w:spacing w:line="320" w:lineRule="exact"/>
        <w:jc w:val="left"/>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注：</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本基金交易证券等产生的费用和税负，按实际发生额从基金资产扣除。</w:t>
      </w:r>
    </w:p>
    <w:p w14:paraId="4A925669" w14:textId="77777777" w:rsidR="00E206C7" w:rsidRDefault="00E206C7">
      <w:pPr>
        <w:autoSpaceDE w:val="0"/>
        <w:autoSpaceDN w:val="0"/>
        <w:adjustRightInd w:val="0"/>
        <w:spacing w:line="280" w:lineRule="exact"/>
        <w:jc w:val="left"/>
        <w:rPr>
          <w:rFonts w:ascii="方正仿宋简体" w:eastAsia="方正仿宋简体" w:hAnsiTheme="minorEastAsia" w:cs="仿宋_GB2312"/>
          <w:kern w:val="0"/>
          <w:szCs w:val="24"/>
        </w:rPr>
      </w:pPr>
    </w:p>
    <w:p w14:paraId="6B09D195" w14:textId="77777777" w:rsidR="00E206C7" w:rsidRDefault="00BA5AE0" w:rsidP="00560FDA" gbicc:emptyAbove="1">
      <w:pPr gbicc:listString="四、" gbicc:numText="%1、" gbicc:numFmt="C" gbicc:numVal="4"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72BA405B" w14:textId="1ABA3004" w:rsidR="00E206C7" w:rsidRPr="00560FDA" w:rsidRDefault="00BA5AE0" w:rsidP="00671C54">
      <w:pPr gbicc:listString="（一）" gbicc:numText="（%1）" gbicc:numFmt="J" gbicc:numVal="1" gbicc:numId="26">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sidRPr="00560FDA">
        <w:rPr>
          <w:rFonts w:ascii="方正仿宋简体" w:eastAsia="方正仿宋简体" w:hAnsi="方正仿宋简体" w:cs="方正仿宋简体" w:hint="eastAsia"/>
          <w:b/>
          <w:bCs/>
          <w:iCs/>
          <w:sz w:val="24"/>
          <w:szCs w:val="24"/>
        </w:rPr>
        <w:t>风险揭示</w:t>
      </w:r>
    </w:p>
    <w:p w14:paraId="60CEFE07" w14:textId="77777777" w:rsidR="00560FDA" w:rsidRPr="00560FDA" w:rsidRDefault="00560FDA" w:rsidP="00671C54">
      <w:pPr>
        <w:spacing w:line="320" w:lineRule="exact"/>
        <w:ind w:firstLine="420"/>
        <w:rPr>
          <w:rFonts w:ascii="方正仿宋简体" w:eastAsia="方正仿宋简体" w:hAnsi="方正仿宋简体" w:cs="方正仿宋简体"/>
          <w:iCs/>
        </w:rPr>
      </w:pPr>
      <w:r w:rsidRPr="00560FDA">
        <w:rPr>
          <w:rFonts w:ascii="方正仿宋简体" w:eastAsia="方正仿宋简体" w:hAnsi="方正仿宋简体" w:cs="方正仿宋简体" w:hint="eastAsia"/>
          <w:iCs/>
        </w:rPr>
        <w:t>本基金不提供任何保证。投资者可能损失投资本金。</w:t>
      </w:r>
    </w:p>
    <w:p w14:paraId="0BE99307" w14:textId="007508CB" w:rsidR="00560FDA" w:rsidRPr="00560FDA" w:rsidRDefault="00560FDA" w:rsidP="00671C54">
      <w:pPr>
        <w:spacing w:line="320" w:lineRule="exact"/>
        <w:ind w:firstLine="420"/>
        <w:rPr>
          <w:rFonts w:ascii="方正仿宋简体" w:eastAsia="方正仿宋简体" w:hAnsi="方正仿宋简体" w:cs="方正仿宋简体"/>
          <w:iCs/>
        </w:rPr>
      </w:pPr>
      <w:r w:rsidRPr="00560FDA">
        <w:rPr>
          <w:rFonts w:ascii="方正仿宋简体" w:eastAsia="方正仿宋简体" w:hAnsi="方正仿宋简体" w:cs="方正仿宋简体" w:hint="eastAsia"/>
          <w:iCs/>
        </w:rPr>
        <w:t>投资有风险，投资者购买基金时应认真阅读本基金的《招募说明书》等销售文件。</w:t>
      </w:r>
    </w:p>
    <!--PH-->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PH-->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1、本基金特有风险</w:t>
      </w:r>
    </w:p>
    <!--PH-->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（1）港股通机制下，港股投资风险</w:t>
      </w:r>
    </w:p>
    <!--PH-->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投资范围为具有良好流动性的金融工具，包括沪港通机制下允许投资的香港联合交易所（以下简称：“香港联交所”或“联交所”）上市的股票，除与其他投资于内地市场股票的基金所面临的共同风险外，本基金还面临港股通机制下因投资环境、投资者结构、投资标的构成、市场制度以及交易规则等差异所带来的特有风险。</w:t>
      </w:r>
    </w:p>
    <!--PH-->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（2）股指期货、国债期货投资风险</w:t>
      </w:r>
    </w:p>
    <!--PH-->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PH-->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投资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PH-->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（3）资产支持证券（ABS）的风险</w:t>
      </w:r>
    </w:p>
    <!--PH-->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PH-->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合同生效后三年之内（含三年）为封闭期。在封闭期内，本基金不接受基金份额的申购和赎回，也不上市交易。本基金封闭期届满转为开放式运作后，投资人方可在本基金的开放日办理基金份额的申购和赎回。</w:t>
      </w:r>
    </w:p>
    <!--PH-->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（5）投资于存托凭证的风险</w:t>
      </w:r>
    </w:p>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PH-->
    <!--PH-->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本基金普通风险：市场风险（政策风险、经济周期风险、收益波动风险、利率风险、通货膨胀风险、再投资风险等）、管理风险（决策风险、操作风险、技术风险、估值风险等）、信用风险、流动性风险、合规风险和其他风险。</w:t>
      </w:r>
    </w:p>
    <w:p w14:paraId="3A2AF8DA" w14:textId="77777777" w:rsidR="00E206C7" w:rsidRDefault="00BA5AE0" w:rsidP="00671C54">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PH-->
    <!--PH-->
    <w:p w14:paraId="1D998B5B"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中国证监会对本基金募集的注册，并不表明其对本基金的价值和收益作出实质性判断或保证，也不表明投资于本基金没有风险。</w:t>
      </w:r>
    </w:p>
    <!--PH-->
    <!--PH-->
    <w:p w14:paraId="1D998B5B"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基金管理人依照恪尽职守、诚实信用、谨慎勤勉的原则管理和运用基金财产，但不保证基金一定盈利，也不保证最低收益。</w:t>
      </w:r>
    </w:p>
    <!--PH-->
    <!--PH-->
    <w:p w14:paraId="1D998B5B"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基金投资者自依基金合同取得基金份额，即成为基金份额持有人和基金合同的当事人。</w:t>
      </w:r>
    </w:p>
    <!--PH-->
    <!--PH-->
    <w:p w14:paraId="1D998B5B"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PH-->
    <w:p w14:paraId="2683D277" w14:textId="77777777" w:rsidR="00E206C7" w:rsidRDefault="00E206C7">
      <w:pPr>
        <w:autoSpaceDE w:val="0"/>
        <w:autoSpaceDN w:val="0"/>
        <w:adjustRightInd w:val="0"/>
        <w:spacing w:line="280" w:lineRule="exact"/>
        <w:jc w:val="left"/>
        <w:rPr>
          <w:rFonts w:ascii="方正仿宋简体" w:eastAsia="方正仿宋简体"/>
        </w:rPr>
      </w:pPr>
    </w:p>
    <w:p w14:paraId="2A2DDFBF" w14:textId="77777777" w:rsidR="00E206C7" w:rsidRDefault="00BA5AE0" w:rsidP="00560FDA" gbicc:emptyAbove="1">
      <w:pPr gbicc:listString="五、" gbicc:numText="%1、" gbicc:numFmt="C" gbicc:numVal="5"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PH-->
    <!--PH-->
    <w:p w14:paraId="3CED64EC"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以下资料详见基金管理人网站[网址：www.bosera.com][客服电话：95105568]</w:t>
      </w:r>
    </w:p>
    <!--PH-->
    <!--PH-->
    <w:p w14:paraId="3CED64EC"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(1)基金合同、托管协议、招募说明书</w:t>
      </w:r>
    </w:p>
    <!--PH-->
    <!--PH-->
    <w:p w14:paraId="3CED64EC"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(2)定期报告，包括基金季度报告、中期报告和年度报告</w:t>
      </w:r>
    </w:p>
    <!--PH-->
    <!--PH-->
    <w:p w14:paraId="3CED64EC"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(3)基金份额净值</w:t>
      </w:r>
    </w:p>
    <!--PH-->
    <!--PH-->
    <w:p w14:paraId="3CED64EC"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(4)基金销售机构及联系方式</w:t>
      </w:r>
    </w:p>
    <!--PH-->
    <!--PH-->
    <w:p w14:paraId="3CED64EC"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(5)其他重要资料</w:t>
      </w:r>
    </w:p>
    <!--PH-->
    <w:p w14:paraId="7A4596F6" w14:textId="77777777" w:rsidR="00E206C7" w:rsidRDefault="00E206C7">
      <w:pPr>
        <w:autoSpaceDE w:val="0"/>
        <w:autoSpaceDN w:val="0"/>
        <w:adjustRightInd w:val="0"/>
        <w:spacing w:line="280" w:lineRule="exact"/>
        <w:jc w:val="left"/>
        <w:rPr>
          <w:rFonts w:ascii="方正仿宋简体" w:eastAsia="方正仿宋简体"/>
        </w:rPr>
      </w:pPr>
    </w:p>
    <w:p w14:paraId="5ABD446A" w14:textId="77777777" w:rsidR="00E206C7" w:rsidRDefault="00BA5AE0" w:rsidP="00560FDA" gbicc:emptyAbove="1">
      <w:pPr gbicc:listString="六、" gbicc:numText="%1、" gbicc:numFmt="C" gbicc:numVal="6"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PH-->
    <!--PH-->
    <w:p w14:paraId="29F689D3" w14:textId="77777777" w:rsidR="00E206C7" w:rsidRPr="00F235EF" w:rsidRDefault="00884C59" w:rsidP="00671C54">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争议解决方式：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w:t>
      </w:r>
    </w:p>
    <w:p w14:paraId="29F689D3" w14:textId="77777777" w:rsidR="00E206C7" w:rsidRPr="00F235EF" w:rsidRDefault="00884C59" w:rsidP="00671C54">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29F689D3" w14:textId="77777777" w:rsidR="00E206C7" w:rsidRPr="00F235EF" w:rsidRDefault="00884C59" w:rsidP="00671C54">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29F689D3" w14:textId="77777777" w:rsidR="00E206C7" w:rsidRPr="00F235EF" w:rsidRDefault="00884C59" w:rsidP="00671C54">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29F689D3" w14:textId="77777777" w:rsidR="00E206C7" w:rsidRPr="00F235EF" w:rsidRDefault="00884C59" w:rsidP="00671C54">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72122C08" w14:textId="77777777" w:rsidR="00E206C7" w:rsidRDefault="00884C59">
      <w:pPr>
        <w:autoSpaceDE w:val="0"/>
        <w:autoSpaceDN w:val="0"/>
        <w:adjustRightInd w:val="0"/>
        <w:spacing w:line="280" w:lineRule="exact"/>
        <w:jc w:val="left"/>
      </w:pPr>
    </w:p>
    <w:sectPr w:rsidR="00E206C7" w:rsidSect="00560FDA">
      <w:footerReference w:type="default" r:id="rId2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4C77" w14:textId="77777777" w:rsidR="00884C59" w:rsidRDefault="00884C59" w:rsidP="0092395F">
      <w:r>
        <w:separator/>
      </w:r>
    </w:p>
  </w:endnote>
  <w:endnote w:type="continuationSeparator" w:id="0">
    <w:p w14:paraId="451D9ED5" w14:textId="77777777" w:rsidR="00884C59" w:rsidRDefault="00884C59"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1BEEE94B" w14:textId="77777777" w:rsidR="005C64D0" w:rsidRDefault="005C64D0" w:rsidP="0025315A">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36E7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36E77">
              <w:rPr>
                <w:b/>
                <w:bCs/>
                <w:noProof/>
              </w:rPr>
              <w:t>17</w:t>
            </w:r>
            <w:r>
              <w:rPr>
                <w:b/>
                <w:bCs/>
                <w:sz w:val="24"/>
                <w:szCs w:val="24"/>
              </w:rPr>
              <w:fldChar w:fldCharType="end"/>
            </w:r>
          </w:p>
        </w:sdtContent>
      </w:sdt>
    </w:sdtContent>
  </w:sdt>
  <w:p w14:paraId="37789114" w14:textId="77777777" w:rsidR="005C64D0" w:rsidRDefault="005C64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CCC0" w14:textId="77777777" w:rsidR="00884C59" w:rsidRDefault="00884C59" w:rsidP="0092395F">
      <w:r>
        <w:separator/>
      </w:r>
    </w:p>
  </w:footnote>
  <w:footnote w:type="continuationSeparator" w:id="0">
    <w:p w14:paraId="5627AB0A" w14:textId="77777777" w:rsidR="00884C59" w:rsidRDefault="00884C59" w:rsidP="0092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3" w15:restartNumberingAfterBreak="0">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C21FE0E"/>
    <w:multiLevelType w:val="singleLevel"/>
    <w:tmpl w:val="5C21FE0E"/>
    <w:lvl w:ilvl="0">
      <w:start w:val="2"/>
      <w:numFmt w:val="chineseCounting"/>
      <w:suff w:val="nothing"/>
      <w:lvlText w:val="（%1）"/>
      <w:lvlJc w:val="left"/>
    </w:lvl>
  </w:abstractNum>
  <w:abstractNum w:abstractNumId="15" w15:restartNumberingAfterBreak="0">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3CF2AFA"/>
    <w:multiLevelType w:val="hybridMultilevel"/>
    <w:tmpl w:val="AC466814"/>
    <w:lvl w:ilvl="0" w:tplc="252094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17"/>
  </w:num>
  <w:num w:numId="7">
    <w:abstractNumId w:val="7"/>
  </w:num>
  <w:num w:numId="8">
    <w:abstractNumId w:val="13"/>
  </w:num>
  <w:num w:numId="9">
    <w:abstractNumId w:val="20"/>
  </w:num>
  <w:num w:numId="10">
    <w:abstractNumId w:val="12"/>
  </w:num>
  <w:num w:numId="11">
    <w:abstractNumId w:val="14"/>
  </w:num>
  <w:num w:numId="12">
    <w:abstractNumId w:val="0"/>
  </w:num>
  <w:num w:numId="13">
    <w:abstractNumId w:val="3"/>
  </w:num>
  <w:num w:numId="14">
    <w:abstractNumId w:val="4"/>
  </w:num>
  <w:num w:numId="15">
    <w:abstractNumId w:val="21"/>
  </w:num>
  <w:num w:numId="16">
    <w:abstractNumId w:val="6"/>
  </w:num>
  <w:num w:numId="17">
    <w:abstractNumId w:val="15"/>
  </w:num>
  <w:num w:numId="18">
    <w:abstractNumId w:val="8"/>
  </w:num>
  <w:num w:numId="19">
    <w:abstractNumId w:val="11"/>
  </w:num>
  <w:num w:numId="20">
    <w:abstractNumId w:val="1"/>
  </w:num>
  <w:num w:numId="21">
    <w:abstractNumId w:val="5"/>
  </w:num>
  <w:num w:numId="22">
    <w:abstractNumId w:val="10"/>
  </w:num>
  <w:num w:numId="23">
    <w:abstractNumId w:val="16"/>
  </w:num>
  <w:num w:numId="24">
    <w:abstractNumId w:val="19"/>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54AF"/>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6E77"/>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0FDA"/>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1C5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59"/>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12C"/>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15B"/>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5AE0"/>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0B32"/>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4E7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173DD"/>
    <w:rsid w:val="00E20489"/>
    <w:rsid w:val="00E206C7"/>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5EF"/>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AB3E2"/>
  <w15:docId w15:val="{EE6565D1-9A37-4526-A7F9-C3DF9AA1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B037CB"/>
    <w:pPr>
      <w:widowControl w:val="0"/>
      <w:jc w:val="both"/>
    </w:pPr>
  </w:style>
  <w:style w:type="paragraph" w:styleId="1">
    <w:name w:val="heading 1"/>
    <w:basedOn w:val="a4"/>
    <w:next w:val="a4"/>
    <w:link w:val="10"/>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ab"/>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5"/>
    <w:link w:val="aa"/>
    <w:uiPriority w:val="99"/>
    <w:rsid w:val="0092395F"/>
    <w:rPr>
      <w:sz w:val="18"/>
      <w:szCs w:val="18"/>
    </w:rPr>
  </w:style>
  <w:style w:type="paragraph" w:styleId="ac">
    <w:name w:val="footer"/>
    <w:basedOn w:val="a4"/>
    <w:link w:val="ad"/>
    <w:uiPriority w:val="99"/>
    <w:unhideWhenUsed/>
    <w:rsid w:val="0092395F"/>
    <w:pPr>
      <w:tabs>
        <w:tab w:val="center" w:pos="4153"/>
        <w:tab w:val="right" w:pos="8306"/>
      </w:tabs>
      <w:snapToGrid w:val="0"/>
      <w:jc w:val="left"/>
    </w:pPr>
    <w:rPr>
      <w:sz w:val="18"/>
      <w:szCs w:val="18"/>
    </w:rPr>
  </w:style>
  <w:style w:type="character" w:customStyle="1" w:styleId="ad">
    <w:name w:val="页脚 字符"/>
    <w:basedOn w:val="a5"/>
    <w:link w:val="ac"/>
    <w:uiPriority w:val="99"/>
    <w:rsid w:val="0092395F"/>
    <w:rPr>
      <w:sz w:val="18"/>
      <w:szCs w:val="18"/>
    </w:rPr>
  </w:style>
  <w:style w:type="paragraph" w:styleId="ae">
    <w:name w:val="Balloon Text"/>
    <w:basedOn w:val="a4"/>
    <w:link w:val="af"/>
    <w:uiPriority w:val="99"/>
    <w:semiHidden/>
    <w:unhideWhenUsed/>
    <w:rsid w:val="000676AA"/>
    <w:rPr>
      <w:sz w:val="18"/>
      <w:szCs w:val="18"/>
    </w:rPr>
  </w:style>
  <w:style w:type="character" w:customStyle="1" w:styleId="af">
    <w:name w:val="批注框文本 字符"/>
    <w:basedOn w:val="a5"/>
    <w:link w:val="ae"/>
    <w:uiPriority w:val="99"/>
    <w:semiHidden/>
    <w:rsid w:val="000676AA"/>
    <w:rPr>
      <w:sz w:val="18"/>
      <w:szCs w:val="18"/>
    </w:rPr>
  </w:style>
  <w:style w:type="character" w:styleId="af0">
    <w:name w:val="Placeholder Text"/>
    <w:basedOn w:val="a5"/>
    <w:uiPriority w:val="99"/>
    <w:semiHidden/>
    <w:rsid w:val="008B7E39"/>
    <w:rPr>
      <w:color w:val="808080"/>
    </w:rPr>
  </w:style>
  <w:style w:type="character" w:styleId="af1">
    <w:name w:val="footnote reference"/>
    <w:unhideWhenUsed/>
    <w:qFormat/>
    <w:rsid w:val="00CC22C3"/>
    <w:rPr>
      <w:rFonts w:ascii="Times New Roman" w:eastAsia="宋体" w:hAnsi="Times New Roman" w:cs="Times New Roman"/>
      <w:vertAlign w:val="superscript"/>
    </w:rPr>
  </w:style>
  <w:style w:type="paragraph" w:styleId="af2">
    <w:name w:val="footnote text"/>
    <w:basedOn w:val="a4"/>
    <w:link w:val="af3"/>
    <w:unhideWhenUsed/>
    <w:qFormat/>
    <w:rsid w:val="00CC22C3"/>
    <w:pPr>
      <w:snapToGrid w:val="0"/>
      <w:jc w:val="left"/>
    </w:pPr>
    <w:rPr>
      <w:rFonts w:ascii="Calibri" w:eastAsia="宋体" w:hAnsi="Calibri" w:cs="Times New Roman"/>
      <w:sz w:val="18"/>
      <w:szCs w:val="24"/>
    </w:rPr>
  </w:style>
  <w:style w:type="character" w:customStyle="1" w:styleId="af3">
    <w:name w:val="脚注文本 字符"/>
    <w:basedOn w:val="a5"/>
    <w:link w:val="af2"/>
    <w:qFormat/>
    <w:rsid w:val="00CC22C3"/>
    <w:rPr>
      <w:rFonts w:ascii="Calibri" w:eastAsia="宋体" w:hAnsi="Calibri" w:cs="Times New Roman"/>
      <w:sz w:val="18"/>
      <w:szCs w:val="24"/>
    </w:rPr>
  </w:style>
  <w:style w:type="character" w:customStyle="1" w:styleId="10">
    <w:name w:val="标题 1 字符"/>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no"?>
<Relationships xmlns="http://schemas.openxmlformats.org/package/2006/relationships">
<Relationship Id="rIDCN_50050000_009217_FA010080_20210005_1jpg" Target="media/CN_50050000_009217_FA010080_20210005_1.jpg" Type="http://schemas.openxmlformats.org/officeDocument/2006/relationships/image"/>
<Relationship Id="rIDCN_50050000_009217_FA010080_20210005_3jpg" Target="media/CN_50050000_009217_FA010080_20210005_3.jpg" Type="http://schemas.openxmlformats.org/officeDocument/2006/relationships/image"/>
<Relationship Id="rId1" Target="../customXml/item1.xml" Type="http://schemas.openxmlformats.org/officeDocument/2006/relationships/customXml"/>
<Relationship Id="rId10" Target="media/image1.png" Type="http://schemas.openxmlformats.org/officeDocument/2006/relationships/image"/>
<Relationship Id="rId11" Target="charts/chart1.xml" Type="http://schemas.openxmlformats.org/officeDocument/2006/relationships/chart"/>
<Relationship Id="rId12" Target="charts/chart2.xml" Type="http://schemas.openxmlformats.org/officeDocument/2006/relationships/chart"/>
<Relationship Id="rId13" Target="charts/chart3.xml" Type="http://schemas.openxmlformats.org/officeDocument/2006/relationships/chart"/>
<Relationship Id="rId14" Target="charts/chart4.xml" Type="http://schemas.openxmlformats.org/officeDocument/2006/relationships/chart"/>
<Relationship Id="rId15" Target="charts/chart5.xml" Type="http://schemas.openxmlformats.org/officeDocument/2006/relationships/chart"/>
<Relationship Id="rId16" Target="charts/chart6.xml" Type="http://schemas.openxmlformats.org/officeDocument/2006/relationships/chart"/>
<Relationship Id="rId17" Target="charts/chart7.xml" Type="http://schemas.openxmlformats.org/officeDocument/2006/relationships/chart"/>
<Relationship Id="rId18" Target="charts/chart8.xml" Type="http://schemas.openxmlformats.org/officeDocument/2006/relationships/chart"/>
<Relationship Id="rId19" Target="charts/chart9.xml" Type="http://schemas.openxmlformats.org/officeDocument/2006/relationships/chart"/>
<Relationship Id="rId20" Target="charts/chart10.xml" Type="http://schemas.openxmlformats.org/officeDocument/2006/relationships/chart"/>
<Relationship Id="rId21" Target="charts/chart11.xml" Type="http://schemas.openxmlformats.org/officeDocument/2006/relationships/chart"/>
<Relationship Id="rId22" Target="charts/chart12.xml" Type="http://schemas.openxmlformats.org/officeDocument/2006/relationships/chart"/>
<Relationship Id="rId23" Target="footer1.xml" Type="http://schemas.openxmlformats.org/officeDocument/2006/relationships/footer"/>
<Relationship Id="rId24" Target="fontTable.xml" Type="http://schemas.openxmlformats.org/officeDocument/2006/relationships/fontTable"/>
<Relationship Id="rId25" Target="glossary/document.xml" Type="http://schemas.openxmlformats.org/officeDocument/2006/relationships/glossaryDocument"/>
<Relationship Id="rId26" Target="theme/theme1.xml" Type="http://schemas.openxmlformats.org/officeDocument/2006/relationships/theme"/>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settings.xml.rels><?xml version="1.0" encoding="UTF-8" standalone="no"?>
<Relationships xmlns="http://schemas.openxmlformats.org/package/2006/relationships">
<Relationship Id="rId1" Target="file:///C:/Users/Ryuutou/AppData/Roaming/Microsoft/Templates/Normal.dotm" TargetMode="External" Type="http://schemas.openxmlformats.org/officeDocument/2006/relationships/attachedTemplate"/>
</Relationships>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33333333333333333333333333333"/>
        <w:category>
          <w:name w:val="常规"/>
          <w:gallery w:val="placeholder"/>
        </w:category>
        <w:types>
          <w:type w:val="bbPlcHdr"/>
        </w:types>
        <w:behaviors>
          <w:behavior w:val="content"/>
        </w:behaviors>
        <w:guid w:val="{334BEF10-E26F-4DFA-AA01-87668B57AD08}"/>
      </w:docPartPr>
      <w:docPartBody>
        <w:p w:rsidR="00D6090D" w:rsidRDefault="00331623">
          <w:r w:rsidRPr="003F6076">
            <w:rPr>
              <w:rStyle w:val="a3"/>
              <w:rFonts w:hint="eastAsia"/>
            </w:rPr>
            <w:t>（空）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220AC"/>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067A7"/>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27F58"/>
    <w:rsid w:val="00F5276A"/>
    <w:rsid w:val="00F745F4"/>
    <w:rsid w:val="00F81BE9"/>
    <w:rsid w:val="00F85B99"/>
    <w:rsid w:val="00FB1058"/>
    <w:rsid w:val="00FC68AE"/>
    <w:rsid w:val="00FD0A2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A8DA-7644-4022-83E7-9E91F5FD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634</Words>
  <Characters>3620</Characters>
  <Application>Microsoft Office Word</Application>
  <DocSecurity>0</DocSecurity>
  <Lines>30</Lines>
  <Paragraphs>8</Paragraphs>
  <ScaleCrop>false</ScaleCrop>
  <Company>shenduxitong</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2020-08-28T09:28:00Z</dcterms:created>
  <dc:creator>Donghm</dc:creator>
  <cp:lastModifiedBy>Liu Tao</cp:lastModifiedBy>
  <dcterms:modified xsi:type="dcterms:W3CDTF">2021-08-18T01:32:00Z</dcterms:modified>
  <cp:revision>8</cp:revision>
</cp:coreProperties>
</file>