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020FF" w14:textId="77777777" w:rsidR="00E206C7" w:rsidRDefault="00BA5AE0">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博时荣华灵活配置混合型证券投资基金（博时荣华混合A）基金产品资料概要更新</w:t>
      </w:r>
    </w:p>
    <w:p w14:paraId="015E9FD9" w14:textId="77777777" w:rsidR="00E206C7" w:rsidRDefault="00BA5AE0">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编制日期：2021年9月9日</w:t>
      </w:r>
    </w:p>
    <w:p w14:paraId="2626E6B4" w14:textId="77777777" w:rsidR="00E206C7" w:rsidRDefault="00BA5AE0">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送出日期：2021年9月10日</w:t>
      </w:r>
    </w:p>
    <w:p w14:paraId="3D6D5AF0" w14:textId="77777777" w:rsidR="00E206C7" w:rsidRPr="00560FDA" w:rsidRDefault="00BA5AE0" w:rsidP="00560FDA">
      <w:pPr>
        <w:autoSpaceDE w:val="0"/>
        <w:autoSpaceDN w:val="0"/>
        <w:adjustRightInd w:val="0"/>
        <w:spacing w:line="440" w:lineRule="exact"/>
        <w:jc w:val="center"/>
        <w:rPr>
          <w:rFonts w:ascii="方正黑体简体" w:eastAsia="方正黑体简体" w:cs="黑体"/>
          <w:kern w:val="0"/>
          <w:sz w:val="28"/>
          <w:szCs w:val="28"/>
        </w:rPr>
      </w:pPr>
      <w:r w:rsidRPr="00560FDA">
        <w:rPr>
          <w:rFonts w:ascii="方正黑体简体" w:eastAsia="方正黑体简体" w:cs="黑体" w:hint="eastAsia"/>
          <w:kern w:val="0"/>
          <w:sz w:val="28"/>
          <w:szCs w:val="28"/>
        </w:rPr>
        <w:t>本概要提供本基金的重要信息，是招募说明书的一部分。</w:t>
      </w:r>
    </w:p>
    <w:p w14:paraId="27467C79" w14:textId="77777777" w:rsidR="00E206C7" w:rsidRPr="00560FDA" w:rsidRDefault="00BA5AE0" w:rsidP="00560FDA">
      <w:pPr>
        <w:autoSpaceDE w:val="0"/>
        <w:autoSpaceDN w:val="0"/>
        <w:adjustRightInd w:val="0"/>
        <w:spacing w:line="440" w:lineRule="exact"/>
        <w:jc w:val="center"/>
        <w:rPr>
          <w:rFonts w:ascii="方正黑体简体" w:eastAsia="方正黑体简体" w:cs="黑体"/>
          <w:kern w:val="0"/>
          <w:sz w:val="28"/>
          <w:szCs w:val="28"/>
        </w:rPr>
      </w:pPr>
      <w:r w:rsidRPr="00560FDA">
        <w:rPr>
          <w:rFonts w:ascii="方正黑体简体" w:eastAsia="方正黑体简体" w:cs="黑体" w:hint="eastAsia"/>
          <w:kern w:val="0"/>
          <w:sz w:val="28"/>
          <w:szCs w:val="28"/>
        </w:rPr>
        <w:t>作出投资决定前，请阅读完整的招募说明书等销售文件。</w:t>
      </w:r>
    </w:p>
    <w:p w14:paraId="5621F07E" w14:textId="77777777" w:rsidR="00E206C7" w:rsidRDefault="00BA5AE0" w:rsidP="00560FDA">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E206C7" w14:paraId="1993689E" w14:textId="77777777" w:rsidTr="00584DC5">
        <w:trPr>
          <w:trHeight w:val="454"/>
        </w:trPr>
        <w:tc>
          <w:tcPr>
            <w:tcW w:w="1145" w:type="pct"/>
            <w:vMerge w:val="restart"/>
            <w:vAlign w:val="center"/>
          </w:tcPr>
          <w:p w14:paraId="6F13F70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BF7A40C"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博时荣华混合</w:t>
            </w:r>
          </w:p>
        </w:tc>
        <w:tc>
          <w:tcPr>
            <w:tcW w:w="999" w:type="pct"/>
            <w:vMerge w:val="restart"/>
            <w:vAlign w:val="center"/>
          </w:tcPr>
          <w:p w14:paraId="165D53AD"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55FDC4E"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010328</w:t>
            </w:r>
          </w:p>
        </w:tc>
      </w:tr>
      <w:tr w:rsidR="00E206C7" w14:paraId="4FE22EC3" w14:textId="77777777" w:rsidTr="00584DC5">
        <w:trPr>
          <w:trHeight w:val="150"/>
        </w:trPr>
        <w:tc>
          <w:tcPr>
            <w:tcW w:w="1145" w:type="pct"/>
            <w:vMerge w:val="restart"/>
            <w:vAlign w:val="center"/>
          </w:tcPr>
          <w:p w14:paraId="5CCFB06D"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dashSmallGap" w:sz="4" w:space="0" w:color="A6A6A6" w:themeColor="background1" w:themeShade="A6"/>
            </w:tcBorders>
            <w:vAlign w:val="center"/>
          </w:tcPr>
          <w:p w14:paraId="26B03F35"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博时荣华混合A</w:t>
            </w:r>
          </w:p>
        </w:tc>
        <w:tc>
          <w:tcPr>
            <w:tcW w:w="999" w:type="pct"/>
            <w:vMerge w:val="restart"/>
            <w:vAlign w:val="center"/>
          </w:tcPr>
          <w:p w14:paraId="5275A686"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dashSmallGap" w:sz="4" w:space="0" w:color="A6A6A6" w:themeColor="background1" w:themeShade="A6"/>
              <w:bottom w:val="nil"/>
            </w:tcBorders>
            <w:vAlign w:val="center"/>
          </w:tcPr>
          <w:p w14:paraId="06824D75"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010328</w:t>
            </w:r>
          </w:p>
        </w:tc>
      </w:tr>
      <w:tr w:rsidR="00E206C7" w14:paraId="6DD758FA" w14:textId="77777777" w:rsidTr="005F360D">
        <w:trPr>
          <w:trHeight w:val="454"/>
        </w:trPr>
        <w:tc>
          <w:tcPr>
            <w:tcW w:w="1145" w:type="pct"/>
            <w:vAlign w:val="center"/>
          </w:tcPr>
          <w:p w14:paraId="42141042"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16C093D0"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74F3524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35A74A3A"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中国工商银行股份有限公司 </w:t>
            </w:r>
          </w:p>
        </w:tc>
      </w:tr>
      <w:tr w:rsidR="00E206C7" w14:paraId="5F057289" w14:textId="77777777" w:rsidTr="005F360D">
        <w:trPr>
          <w:trHeight w:val="454"/>
        </w:trPr>
        <w:tc>
          <w:tcPr>
            <w:tcW w:w="1145" w:type="pct"/>
            <w:vMerge w:val="restart"/>
            <w:vAlign w:val="center"/>
          </w:tcPr>
          <w:p w14:paraId="540493D4"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4EA8124B"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2020-11-10</w:t>
            </w:r>
          </w:p>
        </w:tc>
        <w:tc>
          <w:tcPr>
            <w:tcW w:w="999" w:type="pct"/>
            <w:vMerge w:val="restart"/>
            <w:vAlign w:val="center"/>
          </w:tcPr>
          <w:p w14:paraId="20D29EC4" w14:textId="77777777" w:rsidR="00E206C7" w:rsidRDefault="00E206C7" w:rsidP="00671C54">
            <w:pPr>
              <w:spacing w:line="320" w:lineRule="exact"/>
              <w:rPr>
                <w:rFonts w:ascii="方正仿宋简体" w:eastAsia="方正仿宋简体" w:hAnsiTheme="minorEastAsia" w:cs="方正仿宋简体"/>
                <w:b/>
                <w:iCs/>
              </w:rPr>
            </w:pPr>
          </w:p>
        </w:tc>
        <w:tc>
          <w:tcPr>
            <w:tcW w:w="1443" w:type="pct"/>
            <w:tcBorders>
              <w:top w:val="dashSmallGap" w:sz="4" w:space="0" w:color="A6A6A6" w:themeColor="background1" w:themeShade="A6"/>
              <w:bottom w:val="nil"/>
            </w:tcBorders>
            <w:vAlign w:val="center"/>
          </w:tcPr>
          <w:p w14:paraId="4B217EAC"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 </w:t>
            </w:r>
          </w:p>
        </w:tc>
      </w:tr>
      <w:tr w:rsidR="00E206C7" w14:paraId="4D2D0400" w14:textId="77777777" w:rsidTr="005F360D">
        <w:trPr>
          <w:trHeight w:val="454"/>
        </w:trPr>
        <w:tc>
          <w:tcPr>
            <w:tcW w:w="1145" w:type="pct"/>
            <w:vAlign w:val="center"/>
          </w:tcPr>
          <w:p w14:paraId="7A7186F1"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7052B293"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2F99A851"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34DAE918"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人民币</w:t>
            </w:r>
          </w:p>
        </w:tc>
      </w:tr>
      <w:tr w:rsidR="00E206C7" w14:paraId="6F5791CF" w14:textId="77777777" w:rsidTr="005F360D">
        <w:trPr>
          <w:trHeight w:val="454"/>
        </w:trPr>
        <w:tc>
          <w:tcPr>
            <w:tcW w:w="1145" w:type="pct"/>
            <w:vAlign w:val="center"/>
          </w:tcPr>
          <w:p w14:paraId="52FF5C6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2987A9B1"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普通开放式</w:t>
            </w:r>
          </w:p>
        </w:tc>
        <w:tc>
          <w:tcPr>
            <w:tcW w:w="999" w:type="pct"/>
            <w:vAlign w:val="center"/>
          </w:tcPr>
          <w:p w14:paraId="5485A478"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26038023"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w:t>
            </w:r>
          </w:p>
        </w:tc>
      </w:tr>
      <w:tr w:rsidR="00E206C7" w14:paraId="100CF2E4" w14:textId="77777777" w:rsidTr="005F360D">
        <w:trPr>
          <w:trHeight w:val="454"/>
        </w:trPr>
        <w:tc>
          <w:tcPr>
            <w:tcW w:w="1145" w:type="pct"/>
            <w:vMerge w:val="restart"/>
            <w:vAlign w:val="center"/>
          </w:tcPr>
          <w:p w14:paraId="0D819CE7"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406CF035"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金晟哲</w:t>
            </w:r>
          </w:p>
        </w:tc>
        <w:tc>
          <w:tcPr>
            <w:tcW w:w="999" w:type="pct"/>
            <w:vAlign w:val="center"/>
          </w:tcPr>
          <w:p w14:paraId="2E47F420"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196D456C"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2021-09-07</w:t>
            </w:r>
          </w:p>
        </w:tc>
      </w:tr>
      <w:tr w:rsidR="00E206C7" w14:paraId="7BA25C86" w14:textId="77777777" w:rsidTr="005F360D">
        <w:trPr>
          <w:trHeight w:val="454"/>
        </w:trPr>
        <w:tc>
          <w:tcPr>
            <w:tcW w:w="1145" w:type="pct"/>
            <w:vMerge/>
            <w:vAlign w:val="center"/>
          </w:tcPr>
          <w:p w14:paraId="5BCEC036" w14:textId="77777777" w:rsidR="00E206C7" w:rsidRDefault="00E206C7" w:rsidP="00671C54">
            <w:pPr>
              <w:spacing w:line="320" w:lineRule="exact"/>
              <w:rPr>
                <w:rFonts w:ascii="方正仿宋简体" w:eastAsia="方正仿宋简体" w:hAnsiTheme="minorEastAsia" w:cs="方正仿宋简体"/>
                <w:b/>
                <w:iCs/>
              </w:rPr>
            </w:pPr>
          </w:p>
        </w:tc>
        <w:tc>
          <w:tcPr>
            <w:tcW w:w="1413" w:type="pct"/>
            <w:vMerge/>
            <w:vAlign w:val="center"/>
          </w:tcPr>
          <w:p w14:paraId="25B0B7FA" w14:textId="77777777" w:rsidR="00E206C7" w:rsidRDefault="00E206C7" w:rsidP="00671C54">
            <w:pPr>
              <w:spacing w:line="320" w:lineRule="exact"/>
              <w:rPr>
                <w:rFonts w:ascii="方正仿宋简体" w:eastAsia="方正仿宋简体" w:hAnsiTheme="minorEastAsia" w:cs="方正仿宋简体"/>
                <w:b/>
                <w:iCs/>
              </w:rPr>
            </w:pPr>
          </w:p>
        </w:tc>
        <w:tc>
          <w:tcPr>
            <w:tcW w:w="999" w:type="pct"/>
            <w:vAlign w:val="center"/>
          </w:tcPr>
          <w:p w14:paraId="078EBBEE" w14:textId="77777777" w:rsidR="00E206C7" w:rsidRDefault="00BA5AE0" w:rsidP="00671C54">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9CC3F3A"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2012-07-13</w:t>
            </w:r>
          </w:p>
        </w:tc>
      </w:tr>
      <w:tr w:rsidR="00E206C7" w14:paraId="2C1F79DA" w14:textId="77777777" w:rsidTr="005F360D">
        <w:trPr>
          <w:trHeight w:val="454"/>
        </w:trPr>
        <w:tc>
          <w:tcPr>
            <w:tcW w:w="1145" w:type="pct"/>
            <w:vAlign w:val="center"/>
          </w:tcPr>
          <w:p w14:paraId="1EC47353"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w:t>
            </w:r>
          </w:p>
        </w:tc>
        <w:tc>
          <w:tcPr>
            <w:tcW w:w="3855" w:type="pct"/>
            <w:gridSpan w:val="3"/>
            <w:vAlign w:val="center"/>
          </w:tcPr>
          <w:p w14:paraId="7188E754" w14:textId="77777777" w:rsidR="00E206C7" w:rsidRDefault="00BA5AE0" w:rsidP="00671C54">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基金合同生效后，连续二十个工作日出现基金份额持有人数量不满二百人或者基金资产净值低于五千万元情形的，基金管理人应当在定期报告中予以披露；连续五十个工作日出现前述情形的，基金合同终止，不需召开基金份额持有人大会。</w:t>
            </w:r>
          </w:p>
        </w:tc>
      </w:tr>
    </w:tbl>
    <w:p w14:paraId="62C28F90" w14:textId="77777777" w:rsidR="00E206C7" w:rsidRDefault="00E206C7">
      <w:pPr>
        <w:spacing w:line="280" w:lineRule="exact"/>
        <w:rPr>
          <w:rFonts w:ascii="方正仿宋简体" w:eastAsia="方正仿宋简体" w:hAnsiTheme="minorEastAsia" w:cs="仿宋_GB2312"/>
          <w:b/>
          <w:kern w:val="0"/>
          <w:szCs w:val="24"/>
        </w:rPr>
      </w:pPr>
    </w:p>
    <w:p w14:paraId="5D0A72AF" w14:textId="77777777" w:rsidR="00E206C7" w:rsidRDefault="00BA5AE0" w:rsidP="00560FDA">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74DE8893" w14:textId="77777777" w:rsidR="00E206C7" w:rsidRDefault="00BA5AE0" w:rsidP="00671C54">
      <w:pPr>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182A69EA" w14:textId="77777777" w:rsidR="00E206C7" w:rsidRDefault="00BA5AE0" w:rsidP="00671C54">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敬请投资者阅读《招募说明书》第九章了解详细情况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E206C7" w14:paraId="2A921C1C" w14:textId="77777777" w:rsidTr="0074096A">
        <w:trPr>
          <w:trHeight w:val="454"/>
        </w:trPr>
        <w:tc>
          <w:tcPr>
            <w:tcW w:w="1228" w:type="pct"/>
            <w:vAlign w:val="center"/>
          </w:tcPr>
          <w:p w14:paraId="2E2DE8E3"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324C0CC1"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本基金坚持价值投资理念，充分发挥专业研究与精选个股能力，力争组合资产实现长期稳健的增值。</w:t>
            </w:r>
          </w:p>
        </w:tc>
      </w:tr>
      <w:tr w:rsidR="00E206C7" w14:paraId="406A158D" w14:textId="77777777" w:rsidTr="0074096A">
        <w:trPr>
          <w:trHeight w:val="454"/>
        </w:trPr>
        <w:tc>
          <w:tcPr>
            <w:tcW w:w="1228" w:type="pct"/>
            <w:vAlign w:val="center"/>
          </w:tcPr>
          <w:p w14:paraId="424D2966"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253A15FB"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范围为具有良好流动性的金融工具，包括国内依法发行上市的股票（包括中小板、创业板及其他经中国证监会核准或注册上市的股票）、沪/深港股票市场交易互联互通机制下允许投资的香港联合交易所上市的股票（以下简称“港股通标的股票”）、债券（包括国债、金融债、地方政府债、政府支持机构债券、企业债、公司债、央行票据、中期票据、短期融资券、可转换债券（含可分离交易可转换债券）、可交换债、次级债等）、货币市场工具、同业存单、银行存款、债券回购、股指期货、国债期货、资产支持证券以及法律法规或中国证监会允许基金投资的其他金融工具（但须符合中国证监会的相关规定）。</w:t>
            </w:r>
          </w:p>
          <w:p w14:paraId="61760D2C"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如法律法规或中国证监会以后允许基金投资其他品种，本基金管理人在履行适当程序后，可以将其纳入本基金的投资范围。</w:t>
            </w:r>
          </w:p>
          <w:p w14:paraId="08E42CED"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本基金的投资组合比例为：本基金的股票资产占基金资产的15%-95%，港股通标的股票的投资比例为股票资产的0%-50%；每个交易日日终在扣除股指期货合约、国债期</w:t>
            </w:r>
            <w:r>
              <w:rPr>
                <w:rFonts w:ascii="方正仿宋简体" w:eastAsia="方正仿宋简体" w:hAnsiTheme="minorEastAsia" w:cs="仿宋_GB2312" w:hint="eastAsia"/>
                <w:kern w:val="0"/>
                <w:szCs w:val="24"/>
              </w:rPr>
              <w:lastRenderedPageBreak/>
              <w:t>货合约所需缴纳的交易保证金后，现金或到期日在一年以内的政府债券不低于基金资产净值的5%。前述现金不包括结算备付金、存出保证金、应收申购款等。</w:t>
            </w:r>
          </w:p>
          <w:p w14:paraId="349C2EB4"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若法律法规的相关规定发生变更或监管机构允许，本基金管理人在履行适当程序后，可对上述资产配置比例进行调整。</w:t>
            </w:r>
          </w:p>
        </w:tc>
      </w:tr>
      <w:tr w:rsidR="00E206C7" w14:paraId="23200D07" w14:textId="77777777" w:rsidTr="0074096A">
        <w:trPr>
          <w:trHeight w:val="454"/>
        </w:trPr>
        <w:tc>
          <w:tcPr>
            <w:tcW w:w="1228" w:type="pct"/>
            <w:vAlign w:val="center"/>
          </w:tcPr>
          <w:p w14:paraId="40C9941F"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lastRenderedPageBreak/>
              <w:t>主要投资策略</w:t>
            </w:r>
          </w:p>
        </w:tc>
        <w:tc>
          <w:tcPr>
            <w:tcW w:w="3772" w:type="pct"/>
            <w:vAlign w:val="center"/>
          </w:tcPr>
          <w:p w14:paraId="10443132"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灵活配置混合型基金。投资策略主要包括资产配置策略、股票投资策略、其他资产投资策略三个部分内容。其中，资产配置策略主要是通过对宏观经济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股指期货、国债期货投资策略和资产支持证券投资策略。</w:t>
            </w:r>
          </w:p>
        </w:tc>
      </w:tr>
      <w:tr w:rsidR="00E206C7" w14:paraId="0F257BBD" w14:textId="77777777" w:rsidTr="0074096A">
        <w:trPr>
          <w:trHeight w:val="454"/>
        </w:trPr>
        <w:tc>
          <w:tcPr>
            <w:tcW w:w="1228" w:type="pct"/>
            <w:vAlign w:val="center"/>
          </w:tcPr>
          <w:p w14:paraId="1FA0926C"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6E1DFAA5"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沪深300指数收益率×45%+恒生综合指数收益率×15%+中债综合财富(总值)指数收益率×40%</w:t>
            </w:r>
          </w:p>
        </w:tc>
      </w:tr>
      <w:tr w:rsidR="00E206C7" w14:paraId="639C43EA" w14:textId="77777777" w:rsidTr="0074096A">
        <w:trPr>
          <w:trHeight w:val="454"/>
        </w:trPr>
        <w:tc>
          <w:tcPr>
            <w:tcW w:w="1228" w:type="pct"/>
            <w:vAlign w:val="center"/>
          </w:tcPr>
          <w:p w14:paraId="2C08B570"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652550DE" w14:textId="77777777" w:rsidR="00E206C7" w:rsidRDefault="00BA5AE0" w:rsidP="00671C54">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本基金是混合型证券投资基金，其预期收益和预期风险水平高于债券型基金产品和货币市场基金，低于股票型基金。本基金如果投资港股通标的股票，需承担汇率风险以及境外市场的风险。</w:t>
            </w:r>
          </w:p>
        </w:tc>
      </w:tr>
    </w:tbl>
    <w:p w14:paraId="2CB4A2C0" w14:textId="77777777" w:rsidR="00E206C7" w:rsidRDefault="00E206C7" w:rsidP="00671C54">
      <w:pPr>
        <w:spacing w:line="320" w:lineRule="exact"/>
        <w:rPr>
          <w:rFonts w:ascii="方正仿宋简体" w:eastAsia="方正仿宋简体" w:hAnsiTheme="minorEastAsia" w:cs="仿宋_GB2312"/>
          <w:kern w:val="0"/>
          <w:szCs w:val="24"/>
        </w:rPr>
      </w:pPr>
    </w:p>
    <w:p w14:paraId="28D4661C" w14:textId="77777777" w:rsidR="00E206C7" w:rsidRDefault="00BA5AE0" w:rsidP="00671C54">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775E0926" w14:textId="77777777" w:rsidR="00E206C7" w:rsidRDefault="00BA5AE0" w:rsidP="00671C54">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6D91F3DC" w14:textId="77777777" w:rsidR="00E206C7" w:rsidRDefault="00BA5AE0">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noProof/>
          <w:sz w:val="24"/>
          <w:szCs w:val="24"/>
        </w:rPr>
        <w:drawing>
          <wp:inline distT="0" distB="0" distL="0" distR="0" wp14:anchorId="3E301A94" wp14:editId="56787A5A">
            <wp:extent cx="5994000" cy="3497075"/>
            <wp:effectExtent l="0" t="0" r="6985" b="6350"/>
            <wp:docPr id="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000" cy="3497075"/>
                    </a:xfrm>
                    <a:prstGeom prst="rect">
                      <a:avLst/>
                    </a:prstGeom>
                    <a:noFill/>
                    <a:ln>
                      <a:noFill/>
                    </a:ln>
                  </pic:spPr>
                </pic:pic>
              </a:graphicData>
            </a:graphic>
          </wp:inline>
        </w:drawing>
      </w:r>
    </w:p>
    <w:p w14:paraId="016F5B3C" w14:textId="1E2D22C2" w:rsidR="00E206C7" w:rsidRDefault="00BA5AE0" w:rsidP="00671C54">
      <w:pPr>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449B2FE9" w14:textId="2CD58FBB" w:rsidR="007D725C" w:rsidRPr="007D725C" w:rsidRDefault="007D725C" w:rsidP="007D725C">
      <w:pPr>
        <w:pStyle w:val="a8"/>
        <w:spacing w:line="320" w:lineRule="exact"/>
        <w:ind w:left="284" w:firstLineChars="0" w:firstLine="0"/>
        <w:outlineLvl w:val="1"/>
        <w:rPr>
          <w:rFonts w:ascii="方正仿宋简体" w:eastAsia="方正仿宋简体" w:hAnsi="方正仿宋简体" w:cs="方正仿宋简体"/>
          <w:iCs/>
          <w:sz w:val="24"/>
          <w:szCs w:val="24"/>
        </w:rPr>
      </w:pPr>
      <w:bookmarkStart w:id="0" w:name="_GoBack"/>
      <w:r w:rsidRPr="007D725C">
        <w:rPr>
          <w:rFonts w:ascii="方正仿宋简体" w:eastAsia="方正仿宋简体" w:hAnsi="方正仿宋简体" w:cs="方正仿宋简体" w:hint="eastAsia"/>
          <w:iCs/>
          <w:sz w:val="24"/>
          <w:szCs w:val="24"/>
        </w:rPr>
        <w:t>无</w:t>
      </w:r>
    </w:p>
    <w:bookmarkEnd w:id="0"/>
    <w:p w14:paraId="7C232E43" w14:textId="77777777" w:rsidR="00E206C7" w:rsidRDefault="00BA5AE0" w:rsidP="00560FDA">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6CB2BEE4" w14:textId="77777777" w:rsidR="00E206C7" w:rsidRDefault="00BA5AE0" w:rsidP="00671C54">
      <w:pPr>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36BC4573" w14:textId="77777777" w:rsidR="00E206C7" w:rsidRDefault="00BA5AE0" w:rsidP="00671C54">
      <w:pPr>
        <w:autoSpaceDE w:val="0"/>
        <w:autoSpaceDN w:val="0"/>
        <w:adjustRightInd w:val="0"/>
        <w:spacing w:line="320" w:lineRule="exact"/>
        <w:jc w:val="left"/>
        <w:rPr>
          <w:rFonts w:ascii="方正仿宋简体" w:eastAsia="方正仿宋简体"/>
        </w:rPr>
      </w:pPr>
      <w:r>
        <w:rPr>
          <w:rFonts w:ascii="方正仿宋简体" w:eastAsia="方正仿宋简体" w:hAnsi="方正仿宋简体" w:cs="方正仿宋简体" w:hint="eastAsia"/>
          <w:iCs/>
        </w:rPr>
        <w:t>以下费用在认购/申购/赎回基金过程中收取：</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75"/>
        <w:gridCol w:w="4088"/>
        <w:gridCol w:w="2489"/>
        <w:gridCol w:w="1130"/>
      </w:tblGrid>
      <w:tr w:rsidR="00E206C7" w14:paraId="7C659190" w14:textId="77777777" w:rsidTr="0074096A">
        <w:trPr>
          <w:trHeight w:val="454"/>
        </w:trPr>
        <w:tc>
          <w:tcPr>
            <w:tcW w:w="1392" w:type="pct"/>
            <w:vAlign w:val="center"/>
          </w:tcPr>
          <w:p w14:paraId="5DE8249B"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13" w:type="pct"/>
            <w:vAlign w:val="center"/>
          </w:tcPr>
          <w:p w14:paraId="2DD13CD4"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4F1767C8"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5" w:type="pct"/>
            <w:vAlign w:val="center"/>
          </w:tcPr>
          <w:p w14:paraId="4FF54A88"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29" w:type="pct"/>
            <w:vAlign w:val="center"/>
          </w:tcPr>
          <w:p w14:paraId="10392C4F"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E206C7" w14:paraId="19E939FC" w14:textId="77777777" w:rsidTr="0074096A">
        <w:trPr>
          <w:trHeight w:val="454"/>
        </w:trPr>
        <w:tc>
          <w:tcPr>
            <w:tcW w:w="1392" w:type="pct"/>
            <w:vMerge w:val="restart"/>
            <w:vAlign w:val="center"/>
          </w:tcPr>
          <w:p w14:paraId="6568F9E0"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0746EE01"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M &lt; 100万元</w:t>
            </w:r>
          </w:p>
        </w:tc>
        <w:tc>
          <w:tcPr>
            <w:tcW w:w="1165" w:type="pct"/>
            <w:vAlign w:val="center"/>
          </w:tcPr>
          <w:p w14:paraId="472557DB"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1.50%  </w:t>
            </w:r>
          </w:p>
        </w:tc>
        <w:tc>
          <w:tcPr>
            <w:tcW w:w="529" w:type="pct"/>
            <w:vAlign w:val="center"/>
          </w:tcPr>
          <w:p w14:paraId="7EA84EF0" w14:textId="77777777" w:rsidR="00E206C7" w:rsidRDefault="00E206C7" w:rsidP="00671C54">
            <w:pPr>
              <w:spacing w:line="320" w:lineRule="exact"/>
              <w:jc w:val="center"/>
              <w:rPr>
                <w:rFonts w:ascii="方正仿宋简体" w:eastAsia="方正仿宋简体" w:hAnsi="方正仿宋简体" w:cs="方正仿宋简体"/>
                <w:bCs/>
                <w:iCs/>
              </w:rPr>
            </w:pPr>
          </w:p>
        </w:tc>
      </w:tr>
      <w:tr w:rsidR="00E206C7" w14:paraId="46CAAB53" w14:textId="77777777" w:rsidTr="0074096A">
        <w:trPr>
          <w:trHeight w:val="454"/>
        </w:trPr>
        <w:tc>
          <w:tcPr>
            <w:tcW w:w="1392" w:type="pct"/>
            <w:vMerge/>
            <w:vAlign w:val="center"/>
          </w:tcPr>
          <w:p w14:paraId="66B8887A"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lastRenderedPageBreak/>
              <w:t>申购费（前收费）</w:t>
            </w:r>
          </w:p>
        </w:tc>
        <w:tc>
          <w:tcPr>
            <w:tcW w:w="1913" w:type="pct"/>
            <w:vAlign w:val="center"/>
          </w:tcPr>
          <w:p w14:paraId="5058AF66"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100万元 ≤ M &lt; 300万元</w:t>
            </w:r>
          </w:p>
        </w:tc>
        <w:tc>
          <w:tcPr>
            <w:tcW w:w="1165" w:type="pct"/>
            <w:vAlign w:val="center"/>
          </w:tcPr>
          <w:p w14:paraId="754DB84A"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1.00%  </w:t>
            </w:r>
          </w:p>
        </w:tc>
        <w:tc>
          <w:tcPr>
            <w:tcW w:w="529" w:type="pct"/>
            <w:vAlign w:val="center"/>
          </w:tcPr>
          <w:p w14:paraId="41A3DFBA" w14:textId="77777777" w:rsidR="00E206C7" w:rsidRDefault="00E206C7" w:rsidP="00671C54">
            <w:pPr>
              <w:spacing w:line="320" w:lineRule="exact"/>
              <w:jc w:val="center"/>
              <w:rPr>
                <w:rFonts w:ascii="方正仿宋简体" w:eastAsia="方正仿宋简体" w:hAnsi="方正仿宋简体" w:cs="方正仿宋简体"/>
                <w:bCs/>
                <w:iCs/>
              </w:rPr>
            </w:pPr>
          </w:p>
        </w:tc>
      </w:tr>
      <w:tr w:rsidR="00E206C7" w14:paraId="06B3F303" w14:textId="77777777" w:rsidTr="0074096A">
        <w:trPr>
          <w:trHeight w:val="454"/>
        </w:trPr>
        <w:tc>
          <w:tcPr>
            <w:tcW w:w="1392" w:type="pct"/>
            <w:vMerge/>
            <w:vAlign w:val="center"/>
          </w:tcPr>
          <w:p w14:paraId="681B774D"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00BCB140"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300万元 ≤ M &lt; 500万元</w:t>
            </w:r>
          </w:p>
        </w:tc>
        <w:tc>
          <w:tcPr>
            <w:tcW w:w="1165" w:type="pct"/>
            <w:vAlign w:val="center"/>
          </w:tcPr>
          <w:p w14:paraId="61E8836B"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0.60%  </w:t>
            </w:r>
          </w:p>
        </w:tc>
        <w:tc>
          <w:tcPr>
            <w:tcW w:w="529" w:type="pct"/>
            <w:vAlign w:val="center"/>
          </w:tcPr>
          <w:p w14:paraId="30068F4B" w14:textId="77777777" w:rsidR="00E206C7" w:rsidRDefault="00E206C7" w:rsidP="00671C54">
            <w:pPr>
              <w:spacing w:line="320" w:lineRule="exact"/>
              <w:jc w:val="center"/>
              <w:rPr>
                <w:rFonts w:ascii="方正仿宋简体" w:eastAsia="方正仿宋简体" w:hAnsi="方正仿宋简体" w:cs="方正仿宋简体"/>
                <w:bCs/>
                <w:iCs/>
              </w:rPr>
            </w:pPr>
          </w:p>
        </w:tc>
      </w:tr>
      <w:tr w:rsidR="00E206C7" w14:paraId="1F5CF444" w14:textId="77777777" w:rsidTr="0074096A">
        <w:trPr>
          <w:trHeight w:val="454"/>
        </w:trPr>
        <w:tc>
          <w:tcPr>
            <w:tcW w:w="1392" w:type="pct"/>
            <w:vMerge/>
            <w:vAlign w:val="center"/>
          </w:tcPr>
          <w:p w14:paraId="407E677F"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4C554FD3"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M ≥ 500万元</w:t>
            </w:r>
          </w:p>
        </w:tc>
        <w:tc>
          <w:tcPr>
            <w:tcW w:w="1165" w:type="pct"/>
            <w:vAlign w:val="center"/>
          </w:tcPr>
          <w:p w14:paraId="7FE41F93"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1000元/笔</w:t>
            </w:r>
          </w:p>
        </w:tc>
        <w:tc>
          <w:tcPr>
            <w:tcW w:w="529" w:type="pct"/>
            <w:vAlign w:val="center"/>
          </w:tcPr>
          <w:p w14:paraId="6D9C4701" w14:textId="77777777" w:rsidR="00E206C7" w:rsidRDefault="00E206C7" w:rsidP="00671C54">
            <w:pPr>
              <w:spacing w:line="320" w:lineRule="exact"/>
              <w:jc w:val="center"/>
              <w:rPr>
                <w:rFonts w:ascii="方正仿宋简体" w:eastAsia="方正仿宋简体" w:hAnsi="方正仿宋简体" w:cs="方正仿宋简体"/>
                <w:bCs/>
                <w:iCs/>
              </w:rPr>
            </w:pPr>
          </w:p>
        </w:tc>
      </w:tr>
      <w:tr w:rsidR="00E206C7" w14:paraId="058B5636" w14:textId="77777777" w:rsidTr="0074096A">
        <w:trPr>
          <w:trHeight w:val="454"/>
        </w:trPr>
        <w:tc>
          <w:tcPr>
            <w:tcW w:w="1392" w:type="pct"/>
            <w:vMerge w:val="restart"/>
            <w:vAlign w:val="center"/>
          </w:tcPr>
          <w:p w14:paraId="3ABDB83E"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B51E67C"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&lt; 7天 </w:t>
            </w:r>
          </w:p>
        </w:tc>
        <w:tc>
          <w:tcPr>
            <w:tcW w:w="1165" w:type="pct"/>
            <w:vAlign w:val="center"/>
          </w:tcPr>
          <w:p w14:paraId="3003F339"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1.50%  </w:t>
            </w:r>
          </w:p>
        </w:tc>
        <w:tc>
          <w:tcPr>
            <w:tcW w:w="529" w:type="pct"/>
            <w:vAlign w:val="center"/>
          </w:tcPr>
          <w:p w14:paraId="229692D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E206C7" w14:paraId="5E5E543E" w14:textId="77777777" w:rsidTr="0074096A">
        <w:trPr>
          <w:trHeight w:val="454"/>
        </w:trPr>
        <w:tc>
          <w:tcPr>
            <w:tcW w:w="1392" w:type="pct"/>
            <w:vMerge/>
            <w:vAlign w:val="center"/>
          </w:tcPr>
          <w:p w14:paraId="4C1394C4"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263F08A8"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7天 ≤ N &lt; 30天 </w:t>
            </w:r>
          </w:p>
        </w:tc>
        <w:tc>
          <w:tcPr>
            <w:tcW w:w="1165" w:type="pct"/>
            <w:vAlign w:val="center"/>
          </w:tcPr>
          <w:p w14:paraId="5B3BEC9F"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0.75%  </w:t>
            </w:r>
          </w:p>
        </w:tc>
        <w:tc>
          <w:tcPr>
            <w:tcW w:w="529" w:type="pct"/>
            <w:vAlign w:val="center"/>
          </w:tcPr>
          <w:p w14:paraId="24F17691"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100%计入资产</w:t>
            </w:r>
          </w:p>
        </w:tc>
      </w:tr>
      <w:tr w:rsidR="00E206C7" w14:paraId="2F3B5302" w14:textId="77777777" w:rsidTr="0074096A">
        <w:trPr>
          <w:trHeight w:val="454"/>
        </w:trPr>
        <w:tc>
          <w:tcPr>
            <w:tcW w:w="1392" w:type="pct"/>
            <w:vMerge/>
            <w:vAlign w:val="center"/>
          </w:tcPr>
          <w:p w14:paraId="63D2B7DF"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25E4CEB0"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30天 ≤ N &lt; 90天 </w:t>
            </w:r>
          </w:p>
        </w:tc>
        <w:tc>
          <w:tcPr>
            <w:tcW w:w="1165" w:type="pct"/>
            <w:vAlign w:val="center"/>
          </w:tcPr>
          <w:p w14:paraId="55DA064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0.50%  </w:t>
            </w:r>
          </w:p>
        </w:tc>
        <w:tc>
          <w:tcPr>
            <w:tcW w:w="529" w:type="pct"/>
            <w:vAlign w:val="center"/>
          </w:tcPr>
          <w:p w14:paraId="282F0764"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至少75%计入资产</w:t>
            </w:r>
          </w:p>
        </w:tc>
      </w:tr>
      <w:tr w:rsidR="00E206C7" w14:paraId="356B187F" w14:textId="77777777" w:rsidTr="0074096A">
        <w:trPr>
          <w:trHeight w:val="454"/>
        </w:trPr>
        <w:tc>
          <w:tcPr>
            <w:tcW w:w="1392" w:type="pct"/>
            <w:vMerge/>
            <w:vAlign w:val="center"/>
          </w:tcPr>
          <w:p w14:paraId="11EC38BD"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2E49694D"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90天 ≤ N &lt; 180天 </w:t>
            </w:r>
          </w:p>
        </w:tc>
        <w:tc>
          <w:tcPr>
            <w:tcW w:w="1165" w:type="pct"/>
            <w:vAlign w:val="center"/>
          </w:tcPr>
          <w:p w14:paraId="5159831E"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0.50%  </w:t>
            </w:r>
          </w:p>
        </w:tc>
        <w:tc>
          <w:tcPr>
            <w:tcW w:w="529" w:type="pct"/>
            <w:vAlign w:val="center"/>
          </w:tcPr>
          <w:p w14:paraId="7207EF0F"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至少50%计入资产</w:t>
            </w:r>
          </w:p>
        </w:tc>
      </w:tr>
      <w:tr w:rsidR="00E206C7" w14:paraId="1D7A17AF" w14:textId="77777777" w:rsidTr="0074096A">
        <w:trPr>
          <w:trHeight w:val="454"/>
        </w:trPr>
        <w:tc>
          <w:tcPr>
            <w:tcW w:w="1392" w:type="pct"/>
            <w:vMerge/>
            <w:vAlign w:val="center"/>
          </w:tcPr>
          <w:p w14:paraId="68979853"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13" w:type="pct"/>
            <w:vAlign w:val="center"/>
          </w:tcPr>
          <w:p w14:paraId="1ABBA057"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　 　 N ≥ 180天 </w:t>
            </w:r>
          </w:p>
        </w:tc>
        <w:tc>
          <w:tcPr>
            <w:tcW w:w="1165" w:type="pct"/>
            <w:vAlign w:val="center"/>
          </w:tcPr>
          <w:p w14:paraId="2B02EA92"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 xml:space="preserve">0.00%  </w:t>
            </w:r>
          </w:p>
        </w:tc>
        <w:tc>
          <w:tcPr>
            <w:tcW w:w="529" w:type="pct"/>
            <w:vAlign w:val="center"/>
          </w:tcPr>
          <w:p w14:paraId="29EDA906" w14:textId="77777777" w:rsidR="00E206C7" w:rsidRDefault="00E206C7" w:rsidP="00671C54">
            <w:pPr>
              <w:spacing w:line="320" w:lineRule="exact"/>
              <w:jc w:val="center"/>
              <w:rPr>
                <w:rFonts w:ascii="方正仿宋简体" w:eastAsia="方正仿宋简体" w:hAnsi="方正仿宋简体" w:cs="方正仿宋简体"/>
                <w:bCs/>
                <w:iCs/>
              </w:rPr>
            </w:pPr>
          </w:p>
        </w:tc>
      </w:tr>
    </w:tbl>
    <w:p w14:paraId="4D7719E0" w14:textId="77777777" w:rsidR="00E206C7" w:rsidRDefault="00BA5AE0" w:rsidP="00671C54">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Ansi="方正仿宋简体" w:cs="方正仿宋简体" w:hint="eastAsia"/>
          <w:iCs/>
        </w:rPr>
        <w:t>注：对于通过基金管理人直销渠道申购的养老金客户，享受申购费率1折优惠。对于通过基金管理人直销渠道赎回的养老金客户，将不计入基金资产部分的赎回费免除。</w:t>
      </w:r>
    </w:p>
    <w:p w14:paraId="61D14FE8" w14:textId="77777777" w:rsidR="00E206C7" w:rsidRDefault="00E206C7" w:rsidP="00671C54">
      <w:pPr>
        <w:spacing w:line="320" w:lineRule="exact"/>
        <w:rPr>
          <w:rFonts w:ascii="方正仿宋简体" w:eastAsia="方正仿宋简体" w:hAnsiTheme="minorEastAsia" w:cs="方正仿宋简体"/>
          <w:b/>
          <w:iCs/>
          <w:sz w:val="24"/>
          <w:szCs w:val="24"/>
        </w:rPr>
      </w:pPr>
    </w:p>
    <w:p w14:paraId="35F35611" w14:textId="77777777" w:rsidR="00E206C7" w:rsidRDefault="00BA5AE0" w:rsidP="00671C54">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53399B66" w14:textId="77777777" w:rsidR="00E206C7" w:rsidRDefault="00BA5AE0" w:rsidP="00671C54">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E206C7" w14:paraId="6274885C" w14:textId="77777777" w:rsidTr="00A1474F">
        <w:trPr>
          <w:trHeight w:val="454"/>
        </w:trPr>
        <w:tc>
          <w:tcPr>
            <w:tcW w:w="1477" w:type="pct"/>
            <w:vAlign w:val="center"/>
          </w:tcPr>
          <w:p w14:paraId="640B6DFF" w14:textId="77777777" w:rsidR="00E206C7" w:rsidRDefault="00BA5AE0" w:rsidP="00671C54">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2587B697" w14:textId="77777777" w:rsidR="00E206C7" w:rsidRDefault="00BA5AE0" w:rsidP="00671C54">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206C7" w14:paraId="3D78FAE0" w14:textId="77777777" w:rsidTr="00A1474F">
        <w:trPr>
          <w:trHeight w:val="454"/>
        </w:trPr>
        <w:tc>
          <w:tcPr>
            <w:tcW w:w="1477" w:type="pct"/>
            <w:vAlign w:val="center"/>
          </w:tcPr>
          <w:p w14:paraId="2BA01288" w14:textId="77777777" w:rsidR="00E206C7" w:rsidRDefault="00BA5AE0" w:rsidP="00671C54">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36F3AE78" w14:textId="77777777" w:rsidR="00E206C7" w:rsidRDefault="00BA5AE0" w:rsidP="00671C54">
            <w:pPr>
              <w:spacing w:line="320" w:lineRule="exact"/>
              <w:jc w:val="center"/>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固定比例 1.50%</w:t>
            </w:r>
          </w:p>
        </w:tc>
      </w:tr>
      <w:tr w:rsidR="00E206C7" w14:paraId="17F6DDD8" w14:textId="77777777" w:rsidTr="00A1474F">
        <w:trPr>
          <w:trHeight w:val="454"/>
        </w:trPr>
        <w:tc>
          <w:tcPr>
            <w:tcW w:w="1477" w:type="pct"/>
            <w:vAlign w:val="center"/>
          </w:tcPr>
          <w:p w14:paraId="584660D8" w14:textId="77777777" w:rsidR="00E206C7" w:rsidRDefault="00BA5AE0" w:rsidP="00671C54">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1EFE2C51" w14:textId="77777777" w:rsidR="00E206C7" w:rsidRDefault="00BA5AE0" w:rsidP="00671C54">
            <w:pPr>
              <w:spacing w:line="320" w:lineRule="exact"/>
              <w:jc w:val="center"/>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固定比例 0.25%</w:t>
            </w:r>
          </w:p>
        </w:tc>
      </w:tr>
    </w:tbl>
    <w:p w14:paraId="1D39B99C" w14:textId="77777777" w:rsidR="00E206C7" w:rsidRDefault="00BA5AE0" w:rsidP="00671C54">
      <w:pPr>
        <w:autoSpaceDE w:val="0"/>
        <w:autoSpaceDN w:val="0"/>
        <w:adjustRightInd w:val="0"/>
        <w:spacing w:line="320" w:lineRule="exact"/>
        <w:jc w:val="lef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注： 本基金交易证券等产生的费用和税负，按实际发生额从基金资产扣除。</w:t>
      </w:r>
    </w:p>
    <w:p w14:paraId="4A925669" w14:textId="77777777" w:rsidR="00E206C7" w:rsidRDefault="00E206C7">
      <w:pPr>
        <w:autoSpaceDE w:val="0"/>
        <w:autoSpaceDN w:val="0"/>
        <w:adjustRightInd w:val="0"/>
        <w:spacing w:line="280" w:lineRule="exact"/>
        <w:jc w:val="left"/>
        <w:rPr>
          <w:rFonts w:ascii="方正仿宋简体" w:eastAsia="方正仿宋简体" w:hAnsiTheme="minorEastAsia" w:cs="仿宋_GB2312"/>
          <w:kern w:val="0"/>
          <w:szCs w:val="24"/>
        </w:rPr>
      </w:pPr>
    </w:p>
    <w:p w14:paraId="6B09D195" w14:textId="77777777" w:rsidR="00E206C7" w:rsidRDefault="00BA5AE0" w:rsidP="00560FDA">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72BA405B" w14:textId="1ABA3004" w:rsidR="00E206C7" w:rsidRPr="00560FDA" w:rsidRDefault="00BA5AE0" w:rsidP="00671C54">
      <w:pPr>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sidRPr="00560FDA">
        <w:rPr>
          <w:rFonts w:ascii="方正仿宋简体" w:eastAsia="方正仿宋简体" w:hAnsi="方正仿宋简体" w:cs="方正仿宋简体" w:hint="eastAsia"/>
          <w:b/>
          <w:bCs/>
          <w:iCs/>
          <w:sz w:val="24"/>
          <w:szCs w:val="24"/>
        </w:rPr>
        <w:t>风险揭示</w:t>
      </w:r>
    </w:p>
    <w:p w14:paraId="60CEFE07" w14:textId="77777777" w:rsidR="00560FDA" w:rsidRPr="00560FDA" w:rsidRDefault="00560FDA" w:rsidP="00671C54">
      <w:pPr>
        <w:spacing w:line="320" w:lineRule="exact"/>
        <w:ind w:firstLine="420"/>
        <w:rPr>
          <w:rFonts w:ascii="方正仿宋简体" w:eastAsia="方正仿宋简体" w:hAnsi="方正仿宋简体" w:cs="方正仿宋简体"/>
          <w:iCs/>
        </w:rPr>
      </w:pPr>
      <w:r w:rsidRPr="00560FDA">
        <w:rPr>
          <w:rFonts w:ascii="方正仿宋简体" w:eastAsia="方正仿宋简体" w:hAnsi="方正仿宋简体" w:cs="方正仿宋简体" w:hint="eastAsia"/>
          <w:iCs/>
        </w:rPr>
        <w:t>本基金不提供任何保证。投资者可能损失投资本金。</w:t>
      </w:r>
    </w:p>
    <w:p w14:paraId="0BE99307" w14:textId="007508CB" w:rsidR="00560FDA" w:rsidRPr="00560FDA" w:rsidRDefault="00560FDA" w:rsidP="00671C54">
      <w:pPr>
        <w:spacing w:line="320" w:lineRule="exact"/>
        <w:ind w:firstLine="420"/>
        <w:rPr>
          <w:rFonts w:ascii="方正仿宋简体" w:eastAsia="方正仿宋简体" w:hAnsi="方正仿宋简体" w:cs="方正仿宋简体"/>
          <w:iCs/>
        </w:rPr>
      </w:pPr>
      <w:r w:rsidRPr="00560FDA">
        <w:rPr>
          <w:rFonts w:ascii="方正仿宋简体" w:eastAsia="方正仿宋简体" w:hAnsi="方正仿宋简体" w:cs="方正仿宋简体" w:hint="eastAsia"/>
          <w:iCs/>
        </w:rPr>
        <w:t>投资有风险，投资者购买基金时应认真阅读本基金的《招募说明书》等销售文件。</w:t>
      </w:r>
    </w:p>
    <w:p w14:paraId="6E43CD6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6FEB598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1、本基金特有风险揭示</w:t>
      </w:r>
    </w:p>
    <w:p w14:paraId="32D5AE43"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（1）港股通机制下，港股投资风险</w:t>
      </w:r>
    </w:p>
    <w:p w14:paraId="4A8B18AE"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本基金投资范围为具有良好流动性的金融工具，包括沪/深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w:t>
      </w:r>
    </w:p>
    <w:p w14:paraId="553EAAF8"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（2）股指期货、国债期货等金融衍生品投资风险</w:t>
      </w:r>
    </w:p>
    <w:p w14:paraId="6031CB2D"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714C6A7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股指期货、国债期货采用保证金交易制度，由于保证金交易具有杠杆性，当出现不利行情时，股价、指数微小</w:t>
      </w:r>
      <w:r>
        <w:rPr>
          <w:rFonts w:ascii="方正仿宋简体" w:eastAsia="方正仿宋简体" w:hAnsi="方正仿宋简体" w:cs="方正仿宋简体" w:hint="eastAsia"/>
          <w:iCs/>
        </w:rPr>
        <w:lastRenderedPageBreak/>
        <w:t>的变动就可能会使投资者权益遭受较大损失。股指期货、国债期货采用每日无负债结算制度，如果没有在规定的时间内补足保证金，按规定将被强制平仓，可能给投资带来重大损失。</w:t>
      </w:r>
    </w:p>
    <w:p w14:paraId="1B9C5CE0"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（3）基金投资资产支持证券的风险</w:t>
      </w:r>
    </w:p>
    <w:p w14:paraId="58A3BF89"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1CF7D386"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（4）自动清算风险</w:t>
      </w:r>
    </w:p>
    <w:p w14:paraId="6A7A6C9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基金合同生效后，连续五十个工作日出现基金份额持有人数量不满二百人或者基金资产净值低于五千万元情形的，基金合同终止，不需召开基金份额持有人大会。因此本基金有面临自动清算的风险。</w:t>
      </w:r>
    </w:p>
    <w:p w14:paraId="75A56799"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本基金普通风险：市场风险（政策风险、经济周期风险、利率风险、通货膨胀风险、再投资风险等）、信用风险、流动性风险、操作风险、技术风险、管理风险、合规风险、启用侧袋机制的风险和其他风险等。</w:t>
      </w:r>
    </w:p>
    <w:p w14:paraId="3A2AF8DA" w14:textId="77777777" w:rsidR="00E206C7" w:rsidRDefault="00BA5AE0" w:rsidP="00671C54">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1D998B5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中国证监会对本基金募集的注册，并不表明其对本基金的价值和收益作出实质性判断或保证，也不表明投资于本基金没有风险。</w:t>
      </w:r>
    </w:p>
    <w:p w14:paraId="65844AFF"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基金管理人依照恪尽职守、诚实信用、谨慎勤勉的原则管理和运用基金财产，但不保证基金一定盈利，也不保证最低收益。</w:t>
      </w:r>
    </w:p>
    <w:p w14:paraId="1F3E0091"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基金投资者自依基金合同取得基金份额，即成为基金份额持有人和基金合同的当事人。</w:t>
      </w:r>
    </w:p>
    <w:p w14:paraId="28A86BAE"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683D277" w14:textId="77777777" w:rsidR="00E206C7" w:rsidRDefault="00E206C7">
      <w:pPr>
        <w:autoSpaceDE w:val="0"/>
        <w:autoSpaceDN w:val="0"/>
        <w:adjustRightInd w:val="0"/>
        <w:spacing w:line="280" w:lineRule="exact"/>
        <w:jc w:val="left"/>
        <w:rPr>
          <w:rFonts w:ascii="方正仿宋简体" w:eastAsia="方正仿宋简体"/>
        </w:rPr>
      </w:pPr>
    </w:p>
    <w:p w14:paraId="2A2DDFBF" w14:textId="77777777" w:rsidR="00E206C7" w:rsidRDefault="00BA5AE0" w:rsidP="00560FDA">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3CED64EC"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以下资料详见基金管理人网站[网址：www.bosera.com][客服电话：95105568]</w:t>
      </w:r>
    </w:p>
    <w:p w14:paraId="6037C41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（1）基金合同、托管协议、招募说明书</w:t>
      </w:r>
    </w:p>
    <w:p w14:paraId="566B2E1A"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（2）定期报告，包括基金季度报告、中期报告和年度报告</w:t>
      </w:r>
    </w:p>
    <w:p w14:paraId="68D483AB"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（3）基金份额净值</w:t>
      </w:r>
    </w:p>
    <w:p w14:paraId="3BCC2A5D"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（4）基金销售机构及联系方式</w:t>
      </w:r>
    </w:p>
    <w:p w14:paraId="2281F333" w14:textId="77777777" w:rsidR="00E206C7" w:rsidRDefault="00884C59" w:rsidP="00671C54">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（5）其他重要资料</w:t>
      </w:r>
    </w:p>
    <w:p w14:paraId="7A4596F6" w14:textId="77777777" w:rsidR="00E206C7" w:rsidRDefault="00E206C7">
      <w:pPr>
        <w:autoSpaceDE w:val="0"/>
        <w:autoSpaceDN w:val="0"/>
        <w:adjustRightInd w:val="0"/>
        <w:spacing w:line="280" w:lineRule="exact"/>
        <w:jc w:val="left"/>
        <w:rPr>
          <w:rFonts w:ascii="方正仿宋简体" w:eastAsia="方正仿宋简体"/>
        </w:rPr>
      </w:pPr>
    </w:p>
    <w:p w14:paraId="5ABD446A" w14:textId="77777777" w:rsidR="00E206C7" w:rsidRDefault="00BA5AE0" w:rsidP="00560FDA">
      <w:pPr>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29F689D3" w14:textId="77777777" w:rsidR="00E206C7" w:rsidRPr="00F235EF" w:rsidRDefault="00884C59" w:rsidP="00671C54">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w:t>
      </w:r>
    </w:p>
    <w:p w14:paraId="6E5BB4F4" w14:textId="77777777" w:rsidR="00E206C7" w:rsidRPr="00F235EF" w:rsidRDefault="00884C59" w:rsidP="00671C54">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争议处理期间，基金合同当事人应恪守各自的职责，继续忠实、勤勉、尽责地履行基金合同规定的义务，维护基金份额持有人的合法权益。</w:t>
      </w:r>
    </w:p>
    <w:p w14:paraId="72122C08" w14:textId="77777777" w:rsidR="00E206C7" w:rsidRDefault="00E206C7">
      <w:pPr>
        <w:autoSpaceDE w:val="0"/>
        <w:autoSpaceDN w:val="0"/>
        <w:adjustRightInd w:val="0"/>
        <w:spacing w:line="280" w:lineRule="exact"/>
        <w:jc w:val="left"/>
      </w:pPr>
    </w:p>
    <w:sectPr w:rsidR="00E206C7" w:rsidSect="00560FDA">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F66FC" w14:textId="77777777" w:rsidR="001210EC" w:rsidRDefault="001210EC" w:rsidP="0092395F">
      <w:r>
        <w:separator/>
      </w:r>
    </w:p>
  </w:endnote>
  <w:endnote w:type="continuationSeparator" w:id="0">
    <w:p w14:paraId="5BAEECEA" w14:textId="77777777" w:rsidR="001210EC" w:rsidRDefault="001210EC"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1BEEE94B" w14:textId="493E467B" w:rsidR="005C64D0" w:rsidRDefault="005C64D0" w:rsidP="0025315A">
            <w:pPr>
              <w:pStyle w:val="ac"/>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D725C">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D725C">
              <w:rPr>
                <w:b/>
                <w:bCs/>
                <w:noProof/>
              </w:rPr>
              <w:t>4</w:t>
            </w:r>
            <w:r>
              <w:rPr>
                <w:b/>
                <w:bCs/>
                <w:sz w:val="24"/>
                <w:szCs w:val="24"/>
              </w:rPr>
              <w:fldChar w:fldCharType="end"/>
            </w:r>
          </w:p>
        </w:sdtContent>
      </w:sdt>
    </w:sdtContent>
  </w:sdt>
  <w:p w14:paraId="37789114" w14:textId="77777777" w:rsidR="005C64D0" w:rsidRDefault="005C64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F617" w14:textId="77777777" w:rsidR="001210EC" w:rsidRDefault="001210EC" w:rsidP="0092395F">
      <w:r>
        <w:separator/>
      </w:r>
    </w:p>
  </w:footnote>
  <w:footnote w:type="continuationSeparator" w:id="0">
    <w:p w14:paraId="33EEE230" w14:textId="77777777" w:rsidR="001210EC" w:rsidRDefault="001210EC" w:rsidP="00923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15:restartNumberingAfterBreak="0">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C21FE0E"/>
    <w:multiLevelType w:val="singleLevel"/>
    <w:tmpl w:val="5C21FE0E"/>
    <w:lvl w:ilvl="0">
      <w:start w:val="2"/>
      <w:numFmt w:val="chineseCounting"/>
      <w:suff w:val="nothing"/>
      <w:lvlText w:val="（%1）"/>
      <w:lvlJc w:val="left"/>
    </w:lvl>
  </w:abstractNum>
  <w:abstractNum w:abstractNumId="15" w15:restartNumberingAfterBreak="0">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CF2AFA"/>
    <w:multiLevelType w:val="hybridMultilevel"/>
    <w:tmpl w:val="AC466814"/>
    <w:lvl w:ilvl="0" w:tplc="252094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7"/>
  </w:num>
  <w:num w:numId="8">
    <w:abstractNumId w:val="13"/>
  </w:num>
  <w:num w:numId="9">
    <w:abstractNumId w:val="20"/>
  </w:num>
  <w:num w:numId="10">
    <w:abstractNumId w:val="12"/>
  </w:num>
  <w:num w:numId="11">
    <w:abstractNumId w:val="14"/>
  </w:num>
  <w:num w:numId="12">
    <w:abstractNumId w:val="0"/>
  </w:num>
  <w:num w:numId="13">
    <w:abstractNumId w:val="3"/>
  </w:num>
  <w:num w:numId="14">
    <w:abstractNumId w:val="4"/>
  </w:num>
  <w:num w:numId="15">
    <w:abstractNumId w:val="21"/>
  </w:num>
  <w:num w:numId="16">
    <w:abstractNumId w:val="6"/>
  </w:num>
  <w:num w:numId="17">
    <w:abstractNumId w:val="15"/>
  </w:num>
  <w:num w:numId="18">
    <w:abstractNumId w:val="8"/>
  </w:num>
  <w:num w:numId="19">
    <w:abstractNumId w:val="11"/>
  </w:num>
  <w:num w:numId="20">
    <w:abstractNumId w:val="1"/>
  </w:num>
  <w:num w:numId="21">
    <w:abstractNumId w:val="5"/>
  </w:num>
  <w:num w:numId="22">
    <w:abstractNumId w:val="10"/>
  </w:num>
  <w:num w:numId="23">
    <w:abstractNumId w:val="16"/>
  </w:num>
  <w:num w:numId="24">
    <w:abstractNumId w:val="19"/>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0EC"/>
    <w:rsid w:val="0012116F"/>
    <w:rsid w:val="00124437"/>
    <w:rsid w:val="0012454F"/>
    <w:rsid w:val="001302B4"/>
    <w:rsid w:val="0013061B"/>
    <w:rsid w:val="00130F4D"/>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0FDA"/>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1C5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D725C"/>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59"/>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A00479"/>
    <w:rsid w:val="00A004B0"/>
    <w:rsid w:val="00A009A7"/>
    <w:rsid w:val="00A01C85"/>
    <w:rsid w:val="00A02FB3"/>
    <w:rsid w:val="00A0312C"/>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5EF"/>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AB3E2"/>
  <w15:docId w15:val="{EE6565D1-9A37-4526-A7F9-C3DF9AA1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037CB"/>
    <w:pPr>
      <w:widowControl w:val="0"/>
      <w:jc w:val="both"/>
    </w:pPr>
  </w:style>
  <w:style w:type="paragraph" w:styleId="1">
    <w:name w:val="heading 1"/>
    <w:basedOn w:val="a4"/>
    <w:next w:val="a4"/>
    <w:link w:val="10"/>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ab"/>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5"/>
    <w:link w:val="aa"/>
    <w:uiPriority w:val="99"/>
    <w:rsid w:val="0092395F"/>
    <w:rPr>
      <w:sz w:val="18"/>
      <w:szCs w:val="18"/>
    </w:rPr>
  </w:style>
  <w:style w:type="paragraph" w:styleId="ac">
    <w:name w:val="footer"/>
    <w:basedOn w:val="a4"/>
    <w:link w:val="ad"/>
    <w:uiPriority w:val="99"/>
    <w:unhideWhenUsed/>
    <w:rsid w:val="0092395F"/>
    <w:pPr>
      <w:tabs>
        <w:tab w:val="center" w:pos="4153"/>
        <w:tab w:val="right" w:pos="8306"/>
      </w:tabs>
      <w:snapToGrid w:val="0"/>
      <w:jc w:val="left"/>
    </w:pPr>
    <w:rPr>
      <w:sz w:val="18"/>
      <w:szCs w:val="18"/>
    </w:rPr>
  </w:style>
  <w:style w:type="character" w:customStyle="1" w:styleId="ad">
    <w:name w:val="页脚 字符"/>
    <w:basedOn w:val="a5"/>
    <w:link w:val="ac"/>
    <w:uiPriority w:val="99"/>
    <w:rsid w:val="0092395F"/>
    <w:rPr>
      <w:sz w:val="18"/>
      <w:szCs w:val="18"/>
    </w:rPr>
  </w:style>
  <w:style w:type="paragraph" w:styleId="ae">
    <w:name w:val="Balloon Text"/>
    <w:basedOn w:val="a4"/>
    <w:link w:val="af"/>
    <w:uiPriority w:val="99"/>
    <w:semiHidden/>
    <w:unhideWhenUsed/>
    <w:rsid w:val="000676AA"/>
    <w:rPr>
      <w:sz w:val="18"/>
      <w:szCs w:val="18"/>
    </w:rPr>
  </w:style>
  <w:style w:type="character" w:customStyle="1" w:styleId="af">
    <w:name w:val="批注框文本 字符"/>
    <w:basedOn w:val="a5"/>
    <w:link w:val="ae"/>
    <w:uiPriority w:val="99"/>
    <w:semiHidden/>
    <w:rsid w:val="000676AA"/>
    <w:rPr>
      <w:sz w:val="18"/>
      <w:szCs w:val="18"/>
    </w:rPr>
  </w:style>
  <w:style w:type="character" w:styleId="af0">
    <w:name w:val="Placeholder Text"/>
    <w:basedOn w:val="a5"/>
    <w:uiPriority w:val="99"/>
    <w:semiHidden/>
    <w:rsid w:val="008B7E39"/>
    <w:rPr>
      <w:color w:val="808080"/>
    </w:rPr>
  </w:style>
  <w:style w:type="character" w:styleId="af1">
    <w:name w:val="footnote reference"/>
    <w:unhideWhenUsed/>
    <w:qFormat/>
    <w:rsid w:val="00CC22C3"/>
    <w:rPr>
      <w:rFonts w:ascii="Times New Roman" w:eastAsia="宋体" w:hAnsi="Times New Roman" w:cs="Times New Roman"/>
      <w:vertAlign w:val="superscript"/>
    </w:rPr>
  </w:style>
  <w:style w:type="paragraph" w:styleId="af2">
    <w:name w:val="footnote text"/>
    <w:basedOn w:val="a4"/>
    <w:link w:val="af3"/>
    <w:unhideWhenUsed/>
    <w:qFormat/>
    <w:rsid w:val="00CC22C3"/>
    <w:pPr>
      <w:snapToGrid w:val="0"/>
      <w:jc w:val="left"/>
    </w:pPr>
    <w:rPr>
      <w:rFonts w:ascii="Calibri" w:eastAsia="宋体" w:hAnsi="Calibri" w:cs="Times New Roman"/>
      <w:sz w:val="18"/>
      <w:szCs w:val="24"/>
    </w:rPr>
  </w:style>
  <w:style w:type="character" w:customStyle="1" w:styleId="af3">
    <w:name w:val="脚注文本 字符"/>
    <w:basedOn w:val="a5"/>
    <w:link w:val="af2"/>
    <w:qFormat/>
    <w:rsid w:val="00CC22C3"/>
    <w:rPr>
      <w:rFonts w:ascii="Calibri" w:eastAsia="宋体" w:hAnsi="Calibri" w:cs="Times New Roman"/>
      <w:sz w:val="18"/>
      <w:szCs w:val="24"/>
    </w:rPr>
  </w:style>
  <w:style w:type="character" w:customStyle="1" w:styleId="10">
    <w:name w:val="标题 1 字符"/>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220AC"/>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067A7"/>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35167"/>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27F58"/>
    <w:rsid w:val="00F5276A"/>
    <w:rsid w:val="00F745F4"/>
    <w:rsid w:val="00F81BE9"/>
    <w:rsid w:val="00F85B99"/>
    <w:rsid w:val="00FB1058"/>
    <w:rsid w:val="00FC68AE"/>
    <w:rsid w:val="00FD0A2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20C2-91FA-4E8F-8730-89933259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589</Words>
  <Characters>3360</Characters>
  <Application>Microsoft Office Word</Application>
  <DocSecurity>0</DocSecurity>
  <Lines>28</Lines>
  <Paragraphs>7</Paragraphs>
  <ScaleCrop>false</ScaleCrop>
  <Company>shenduxitong</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Donghm</dc:creator>
  <cp:lastModifiedBy>汤玲</cp:lastModifiedBy>
  <cp:revision>9</cp:revision>
  <dcterms:created xsi:type="dcterms:W3CDTF">2020-08-28T09:28:00Z</dcterms:created>
  <dcterms:modified xsi:type="dcterms:W3CDTF">2021-09-09T03:42:00Z</dcterms:modified>
</cp:coreProperties>
</file>