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42" w:rsidRPr="002848DB" w:rsidRDefault="00BF0942" w:rsidP="00BF0942">
      <w:pPr>
        <w:pStyle w:val="a7"/>
        <w:shd w:val="clear" w:color="auto" w:fill="FFFFFF"/>
        <w:spacing w:before="0" w:beforeAutospacing="0" w:after="0" w:afterAutospacing="0"/>
        <w:jc w:val="center"/>
        <w:rPr>
          <w:rFonts w:asciiTheme="minorEastAsia" w:eastAsiaTheme="minorEastAsia" w:hAnsiTheme="minorEastAsia"/>
          <w:b/>
          <w:bCs/>
          <w:color w:val="333333"/>
          <w:sz w:val="29"/>
          <w:szCs w:val="29"/>
        </w:rPr>
      </w:pPr>
      <w:r w:rsidRPr="002848DB">
        <w:rPr>
          <w:rFonts w:asciiTheme="minorEastAsia" w:eastAsiaTheme="minorEastAsia" w:hAnsiTheme="minorEastAsia" w:hint="eastAsia"/>
          <w:b/>
          <w:bCs/>
          <w:color w:val="333333"/>
          <w:sz w:val="29"/>
          <w:szCs w:val="29"/>
        </w:rPr>
        <w:t>广发基金管理有限公司</w:t>
      </w:r>
    </w:p>
    <w:p w:rsidR="00BF0942" w:rsidRPr="002848DB" w:rsidRDefault="00BF0942" w:rsidP="002C3D04">
      <w:pPr>
        <w:pStyle w:val="a7"/>
        <w:shd w:val="clear" w:color="auto" w:fill="FFFFFF"/>
        <w:spacing w:before="0" w:beforeAutospacing="0"/>
        <w:jc w:val="center"/>
        <w:rPr>
          <w:rFonts w:asciiTheme="minorEastAsia" w:eastAsiaTheme="minorEastAsia" w:hAnsiTheme="minorEastAsia"/>
          <w:b/>
          <w:bCs/>
          <w:color w:val="333333"/>
          <w:sz w:val="29"/>
          <w:szCs w:val="29"/>
        </w:rPr>
      </w:pPr>
      <w:r w:rsidRPr="002848DB">
        <w:rPr>
          <w:rFonts w:asciiTheme="minorEastAsia" w:eastAsiaTheme="minorEastAsia" w:hAnsiTheme="minorEastAsia" w:hint="eastAsia"/>
          <w:b/>
          <w:bCs/>
          <w:color w:val="333333"/>
          <w:sz w:val="29"/>
          <w:szCs w:val="29"/>
        </w:rPr>
        <w:t>关于</w:t>
      </w:r>
      <w:r w:rsidR="00295FE4">
        <w:rPr>
          <w:rFonts w:asciiTheme="minorEastAsia" w:eastAsiaTheme="minorEastAsia" w:hAnsiTheme="minorEastAsia" w:hint="eastAsia"/>
          <w:b/>
          <w:bCs/>
          <w:color w:val="333333"/>
          <w:sz w:val="29"/>
          <w:szCs w:val="29"/>
        </w:rPr>
        <w:t>广发瑞锦一年定期开放混合型证券投资基金</w:t>
      </w:r>
      <w:r w:rsidR="00C633A3" w:rsidRPr="00C633A3">
        <w:rPr>
          <w:rFonts w:asciiTheme="minorEastAsia" w:eastAsiaTheme="minorEastAsia" w:hAnsiTheme="minorEastAsia" w:hint="eastAsia"/>
          <w:b/>
          <w:bCs/>
          <w:color w:val="333333"/>
          <w:sz w:val="29"/>
          <w:szCs w:val="29"/>
        </w:rPr>
        <w:t>调整募集期</w:t>
      </w:r>
      <w:r w:rsidR="002C3D04" w:rsidRPr="002848DB">
        <w:rPr>
          <w:rFonts w:asciiTheme="minorEastAsia" w:eastAsiaTheme="minorEastAsia" w:hAnsiTheme="minorEastAsia" w:hint="eastAsia"/>
          <w:b/>
          <w:bCs/>
          <w:color w:val="333333"/>
          <w:sz w:val="29"/>
          <w:szCs w:val="29"/>
        </w:rPr>
        <w:t>的公告</w:t>
      </w:r>
    </w:p>
    <w:p w:rsidR="002C3D04" w:rsidRPr="002141E1" w:rsidRDefault="00295FE4" w:rsidP="004E17CA">
      <w:pPr>
        <w:widowControl/>
        <w:shd w:val="clear" w:color="auto" w:fill="FFFFFF"/>
        <w:spacing w:line="420" w:lineRule="atLeast"/>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广发瑞锦一年定期开放混合型证券投资基金</w:t>
      </w:r>
      <w:r>
        <w:rPr>
          <w:rFonts w:ascii="宋体" w:hAnsi="宋体" w:hint="eastAsia"/>
          <w:bCs/>
          <w:sz w:val="24"/>
        </w:rPr>
        <w:t>（以下简称“本基金”，基金代码：</w:t>
      </w:r>
      <w:r w:rsidRPr="00294CC1">
        <w:rPr>
          <w:rFonts w:ascii="宋体" w:hAnsi="宋体"/>
          <w:color w:val="000000"/>
          <w:kern w:val="0"/>
          <w:sz w:val="24"/>
        </w:rPr>
        <w:t>011481</w:t>
      </w:r>
      <w:r>
        <w:rPr>
          <w:rFonts w:ascii="宋体" w:hAnsi="宋体" w:hint="eastAsia"/>
          <w:bCs/>
          <w:sz w:val="24"/>
        </w:rPr>
        <w:t>）</w:t>
      </w:r>
      <w:r w:rsidR="002C3D04" w:rsidRPr="002848DB">
        <w:rPr>
          <w:rFonts w:ascii="宋体" w:eastAsia="宋体" w:hAnsi="宋体" w:cs="宋体" w:hint="eastAsia"/>
          <w:color w:val="333333"/>
          <w:kern w:val="0"/>
          <w:sz w:val="24"/>
          <w:szCs w:val="24"/>
        </w:rPr>
        <w:t>自</w:t>
      </w:r>
      <w:r w:rsidR="008A5499" w:rsidRPr="008A5499">
        <w:rPr>
          <w:rFonts w:ascii="宋体" w:eastAsia="宋体" w:hAnsi="宋体" w:cs="宋体" w:hint="eastAsia"/>
          <w:color w:val="333333"/>
          <w:kern w:val="0"/>
          <w:sz w:val="24"/>
          <w:szCs w:val="24"/>
        </w:rPr>
        <w:t>2021年</w:t>
      </w:r>
      <w:r>
        <w:rPr>
          <w:rFonts w:ascii="宋体" w:eastAsia="宋体" w:hAnsi="宋体" w:cs="宋体"/>
          <w:color w:val="333333"/>
          <w:kern w:val="0"/>
          <w:sz w:val="24"/>
          <w:szCs w:val="24"/>
        </w:rPr>
        <w:t>7</w:t>
      </w:r>
      <w:r w:rsidR="008A5499" w:rsidRPr="008A5499">
        <w:rPr>
          <w:rFonts w:ascii="宋体" w:eastAsia="宋体" w:hAnsi="宋体" w:cs="宋体" w:hint="eastAsia"/>
          <w:color w:val="333333"/>
          <w:kern w:val="0"/>
          <w:sz w:val="24"/>
          <w:szCs w:val="24"/>
        </w:rPr>
        <w:t>月2</w:t>
      </w:r>
      <w:r>
        <w:rPr>
          <w:rFonts w:ascii="宋体" w:eastAsia="宋体" w:hAnsi="宋体" w:cs="宋体"/>
          <w:color w:val="333333"/>
          <w:kern w:val="0"/>
          <w:sz w:val="24"/>
          <w:szCs w:val="24"/>
        </w:rPr>
        <w:t>2</w:t>
      </w:r>
      <w:r w:rsidR="008A5499" w:rsidRPr="008A5499">
        <w:rPr>
          <w:rFonts w:ascii="宋体" w:eastAsia="宋体" w:hAnsi="宋体" w:cs="宋体" w:hint="eastAsia"/>
          <w:color w:val="333333"/>
          <w:kern w:val="0"/>
          <w:sz w:val="24"/>
          <w:szCs w:val="24"/>
        </w:rPr>
        <w:t>日</w:t>
      </w:r>
      <w:r w:rsidR="002C3D04" w:rsidRPr="002848DB">
        <w:rPr>
          <w:rFonts w:ascii="宋体" w:eastAsia="宋体" w:hAnsi="宋体" w:cs="宋体" w:hint="eastAsia"/>
          <w:color w:val="333333"/>
          <w:kern w:val="0"/>
          <w:sz w:val="24"/>
          <w:szCs w:val="24"/>
        </w:rPr>
        <w:t>开始募集，原定募集截止日为</w:t>
      </w:r>
      <w:r w:rsidR="008A5499" w:rsidRPr="008A5499">
        <w:rPr>
          <w:rFonts w:ascii="宋体" w:eastAsia="宋体" w:hAnsi="宋体" w:cs="宋体" w:hint="eastAsia"/>
          <w:color w:val="333333"/>
          <w:kern w:val="0"/>
          <w:sz w:val="24"/>
          <w:szCs w:val="24"/>
        </w:rPr>
        <w:t>2021年</w:t>
      </w:r>
      <w:r>
        <w:rPr>
          <w:rFonts w:ascii="宋体" w:eastAsia="宋体" w:hAnsi="宋体" w:cs="宋体"/>
          <w:color w:val="333333"/>
          <w:kern w:val="0"/>
          <w:sz w:val="24"/>
          <w:szCs w:val="24"/>
        </w:rPr>
        <w:t>10</w:t>
      </w:r>
      <w:r w:rsidR="008A5499" w:rsidRPr="008A5499">
        <w:rPr>
          <w:rFonts w:ascii="宋体" w:eastAsia="宋体" w:hAnsi="宋体" w:cs="宋体" w:hint="eastAsia"/>
          <w:color w:val="333333"/>
          <w:kern w:val="0"/>
          <w:sz w:val="24"/>
          <w:szCs w:val="24"/>
        </w:rPr>
        <w:t>月</w:t>
      </w:r>
      <w:r>
        <w:rPr>
          <w:rFonts w:ascii="宋体" w:eastAsia="宋体" w:hAnsi="宋体" w:cs="宋体"/>
          <w:color w:val="333333"/>
          <w:kern w:val="0"/>
          <w:sz w:val="24"/>
          <w:szCs w:val="24"/>
        </w:rPr>
        <w:t>21</w:t>
      </w:r>
      <w:r w:rsidR="008A5499" w:rsidRPr="008A5499">
        <w:rPr>
          <w:rFonts w:ascii="宋体" w:eastAsia="宋体" w:hAnsi="宋体" w:cs="宋体" w:hint="eastAsia"/>
          <w:color w:val="333333"/>
          <w:kern w:val="0"/>
          <w:sz w:val="24"/>
          <w:szCs w:val="24"/>
        </w:rPr>
        <w:t>日</w:t>
      </w:r>
      <w:r w:rsidR="002C3D04" w:rsidRPr="002848DB">
        <w:rPr>
          <w:rFonts w:ascii="宋体" w:eastAsia="宋体" w:hAnsi="宋体" w:cs="宋体" w:hint="eastAsia"/>
          <w:color w:val="333333"/>
          <w:kern w:val="0"/>
          <w:sz w:val="24"/>
          <w:szCs w:val="24"/>
        </w:rPr>
        <w:t>。根据《</w:t>
      </w:r>
      <w:r>
        <w:rPr>
          <w:rFonts w:ascii="宋体" w:eastAsia="宋体" w:hAnsi="宋体" w:cs="宋体" w:hint="eastAsia"/>
          <w:color w:val="333333"/>
          <w:kern w:val="0"/>
          <w:sz w:val="24"/>
          <w:szCs w:val="24"/>
        </w:rPr>
        <w:t>广发瑞锦一年定期开放混合型证券投资基金</w:t>
      </w:r>
      <w:r w:rsidR="002C3D04" w:rsidRPr="002848DB">
        <w:rPr>
          <w:rFonts w:ascii="宋体" w:eastAsia="宋体" w:hAnsi="宋体" w:cs="宋体" w:hint="eastAsia"/>
          <w:color w:val="333333"/>
          <w:kern w:val="0"/>
          <w:sz w:val="24"/>
          <w:szCs w:val="24"/>
        </w:rPr>
        <w:t>招募说明书》和《</w:t>
      </w:r>
      <w:r>
        <w:rPr>
          <w:rFonts w:ascii="宋体" w:eastAsia="宋体" w:hAnsi="宋体" w:cs="宋体" w:hint="eastAsia"/>
          <w:color w:val="333333"/>
          <w:kern w:val="0"/>
          <w:sz w:val="24"/>
          <w:szCs w:val="24"/>
        </w:rPr>
        <w:t>广发瑞锦一年定期开放混合型证券投资基金</w:t>
      </w:r>
      <w:r w:rsidR="00C633A3">
        <w:rPr>
          <w:rFonts w:ascii="宋体" w:eastAsia="宋体" w:hAnsi="宋体" w:cs="宋体" w:hint="eastAsia"/>
          <w:color w:val="333333"/>
          <w:kern w:val="0"/>
          <w:sz w:val="24"/>
          <w:szCs w:val="24"/>
        </w:rPr>
        <w:t>基金份额发售公告》的有关规定，本基金管理人</w:t>
      </w:r>
      <w:r w:rsidR="00C633A3">
        <w:rPr>
          <w:rFonts w:ascii="宋体" w:hAnsi="宋体" w:hint="eastAsia"/>
          <w:bCs/>
          <w:sz w:val="24"/>
        </w:rPr>
        <w:t>决定</w:t>
      </w:r>
      <w:r w:rsidR="00C633A3" w:rsidRPr="00951AE1">
        <w:rPr>
          <w:rFonts w:ascii="宋体" w:hAnsi="宋体" w:hint="eastAsia"/>
          <w:bCs/>
          <w:sz w:val="24"/>
        </w:rPr>
        <w:t>将本基金募集期最后一日调整至2021年9月</w:t>
      </w:r>
      <w:r w:rsidR="00C633A3">
        <w:rPr>
          <w:rFonts w:ascii="宋体" w:hAnsi="宋体"/>
          <w:bCs/>
          <w:sz w:val="24"/>
        </w:rPr>
        <w:t>13</w:t>
      </w:r>
      <w:r w:rsidR="00C633A3" w:rsidRPr="00951AE1">
        <w:rPr>
          <w:rFonts w:ascii="宋体" w:hAnsi="宋体" w:hint="eastAsia"/>
          <w:bCs/>
          <w:sz w:val="24"/>
        </w:rPr>
        <w:t>日，即2021年9月1</w:t>
      </w:r>
      <w:r w:rsidR="00C633A3">
        <w:rPr>
          <w:rFonts w:ascii="宋体" w:hAnsi="宋体"/>
          <w:bCs/>
          <w:sz w:val="24"/>
        </w:rPr>
        <w:t>3</w:t>
      </w:r>
      <w:r w:rsidR="00C633A3" w:rsidRPr="00951AE1">
        <w:rPr>
          <w:rFonts w:ascii="宋体" w:hAnsi="宋体" w:hint="eastAsia"/>
          <w:bCs/>
          <w:sz w:val="24"/>
        </w:rPr>
        <w:t>日为本基金的最后一个募集日，自2021年9月</w:t>
      </w:r>
      <w:r w:rsidR="00C633A3">
        <w:rPr>
          <w:rFonts w:ascii="宋体" w:hAnsi="宋体"/>
          <w:bCs/>
          <w:sz w:val="24"/>
        </w:rPr>
        <w:t>14</w:t>
      </w:r>
      <w:r w:rsidR="00C633A3" w:rsidRPr="00951AE1">
        <w:rPr>
          <w:rFonts w:ascii="宋体" w:hAnsi="宋体" w:hint="eastAsia"/>
          <w:bCs/>
          <w:sz w:val="24"/>
        </w:rPr>
        <w:t>日起，本基金不再接受投资者的认购申请</w:t>
      </w:r>
      <w:r w:rsidR="002C3D04" w:rsidRPr="002141E1">
        <w:rPr>
          <w:rFonts w:ascii="宋体" w:eastAsia="宋体" w:hAnsi="宋体" w:cs="宋体" w:hint="eastAsia"/>
          <w:color w:val="333333"/>
          <w:kern w:val="0"/>
          <w:sz w:val="24"/>
          <w:szCs w:val="24"/>
        </w:rPr>
        <w:t>。</w:t>
      </w:r>
    </w:p>
    <w:p w:rsidR="00C633A3" w:rsidRDefault="00C633A3" w:rsidP="00C633A3">
      <w:pPr>
        <w:spacing w:line="360" w:lineRule="auto"/>
        <w:ind w:firstLineChars="200" w:firstLine="480"/>
        <w:jc w:val="left"/>
        <w:rPr>
          <w:rFonts w:ascii="宋体" w:hAnsi="宋体"/>
          <w:bCs/>
          <w:sz w:val="24"/>
        </w:rPr>
      </w:pPr>
    </w:p>
    <w:p w:rsidR="00C633A3" w:rsidRDefault="00C633A3" w:rsidP="00C633A3">
      <w:pPr>
        <w:spacing w:line="360" w:lineRule="auto"/>
        <w:ind w:firstLineChars="200" w:firstLine="480"/>
        <w:jc w:val="left"/>
        <w:rPr>
          <w:rFonts w:ascii="宋体" w:hAnsi="宋体"/>
          <w:bCs/>
          <w:sz w:val="24"/>
        </w:rPr>
      </w:pPr>
      <w:r>
        <w:rPr>
          <w:rFonts w:ascii="宋体" w:hAnsi="宋体"/>
          <w:bCs/>
          <w:sz w:val="24"/>
        </w:rPr>
        <w:t>重要提示</w:t>
      </w:r>
      <w:r>
        <w:rPr>
          <w:rFonts w:ascii="宋体" w:hAnsi="宋体" w:hint="eastAsia"/>
          <w:bCs/>
          <w:sz w:val="24"/>
        </w:rPr>
        <w:t>：</w:t>
      </w:r>
    </w:p>
    <w:p w:rsidR="00C633A3" w:rsidRPr="008A3186" w:rsidRDefault="00C633A3" w:rsidP="00C633A3">
      <w:pPr>
        <w:spacing w:line="360" w:lineRule="auto"/>
        <w:ind w:firstLineChars="200" w:firstLine="480"/>
        <w:rPr>
          <w:rFonts w:ascii="宋体" w:hAnsi="宋体"/>
          <w:color w:val="000000"/>
          <w:sz w:val="24"/>
        </w:rPr>
      </w:pPr>
      <w:r>
        <w:rPr>
          <w:rFonts w:ascii="宋体" w:hAnsi="宋体" w:hint="eastAsia"/>
          <w:bCs/>
          <w:sz w:val="24"/>
        </w:rPr>
        <w:t>1、</w:t>
      </w:r>
      <w:r w:rsidRPr="008A3186">
        <w:rPr>
          <w:rFonts w:ascii="宋体" w:hAnsi="宋体" w:hint="eastAsia"/>
          <w:color w:val="000000"/>
          <w:sz w:val="24"/>
        </w:rPr>
        <w:t>本基金首次募集规模上限为</w:t>
      </w:r>
      <w:r>
        <w:rPr>
          <w:rFonts w:ascii="宋体" w:hAnsi="宋体"/>
          <w:color w:val="000000"/>
          <w:sz w:val="24"/>
        </w:rPr>
        <w:t>20</w:t>
      </w:r>
      <w:r w:rsidRPr="008A3186">
        <w:rPr>
          <w:rFonts w:ascii="宋体" w:hAnsi="宋体" w:hint="eastAsia"/>
          <w:color w:val="000000"/>
          <w:sz w:val="24"/>
        </w:rPr>
        <w:t>亿元人民币（不包括募集期利息</w:t>
      </w:r>
      <w:r>
        <w:rPr>
          <w:rFonts w:ascii="宋体" w:hAnsi="宋体" w:hint="eastAsia"/>
          <w:color w:val="000000"/>
          <w:sz w:val="24"/>
        </w:rPr>
        <w:t>，下同</w:t>
      </w:r>
      <w:r w:rsidRPr="008A3186">
        <w:rPr>
          <w:rFonts w:ascii="宋体" w:hAnsi="宋体" w:hint="eastAsia"/>
          <w:color w:val="000000"/>
          <w:sz w:val="24"/>
        </w:rPr>
        <w:t>）。</w:t>
      </w:r>
    </w:p>
    <w:p w:rsidR="00C633A3" w:rsidRPr="00AC3735" w:rsidRDefault="00C633A3" w:rsidP="00C633A3">
      <w:pPr>
        <w:spacing w:line="360" w:lineRule="auto"/>
        <w:ind w:firstLineChars="200" w:firstLine="480"/>
        <w:rPr>
          <w:rFonts w:ascii="宋体" w:hAnsi="宋体"/>
          <w:color w:val="000000"/>
          <w:sz w:val="24"/>
        </w:rPr>
      </w:pPr>
      <w:r w:rsidRPr="00AC3735">
        <w:rPr>
          <w:rFonts w:ascii="宋体" w:hAnsi="宋体" w:hint="eastAsia"/>
          <w:color w:val="000000"/>
          <w:sz w:val="24"/>
        </w:rPr>
        <w:t>基金管理人根据认购的情况可适当调整募集时间，并及时公告，但最长不超过法定募集期限。</w:t>
      </w:r>
    </w:p>
    <w:p w:rsidR="00C633A3" w:rsidRPr="00AC3735" w:rsidRDefault="00C633A3" w:rsidP="00C633A3">
      <w:pPr>
        <w:spacing w:line="360" w:lineRule="auto"/>
        <w:ind w:firstLineChars="200" w:firstLine="480"/>
        <w:rPr>
          <w:rFonts w:ascii="宋体" w:hAnsi="宋体"/>
          <w:color w:val="000000"/>
          <w:sz w:val="24"/>
        </w:rPr>
      </w:pPr>
      <w:r w:rsidRPr="00AC3735">
        <w:rPr>
          <w:rFonts w:ascii="宋体" w:hAnsi="宋体" w:hint="eastAsia"/>
          <w:color w:val="000000"/>
          <w:sz w:val="24"/>
        </w:rPr>
        <w:t>在募集期内任何一天（含第一天）当日募集截止时间后认购申请金额超过</w:t>
      </w:r>
      <w:r>
        <w:rPr>
          <w:rFonts w:ascii="宋体" w:hAnsi="宋体"/>
          <w:color w:val="000000"/>
          <w:sz w:val="24"/>
        </w:rPr>
        <w:t>20</w:t>
      </w:r>
      <w:r w:rsidRPr="00AC3735">
        <w:rPr>
          <w:rFonts w:ascii="宋体" w:hAnsi="宋体" w:hint="eastAsia"/>
          <w:color w:val="000000"/>
          <w:sz w:val="24"/>
        </w:rPr>
        <w:t>亿元人民币，基金管理人将采取末日比例确认的方式实现规模的有效控制。当发生末日比例确认时，基金管理人将及时公告比例确认情况与结果。未确认部分的认购款项将在募集期结束后退还给投资者，由此产生的损失由投资人自行承担。</w:t>
      </w:r>
    </w:p>
    <w:p w:rsidR="00C633A3" w:rsidRPr="00AC3735" w:rsidRDefault="00C633A3" w:rsidP="00C633A3">
      <w:pPr>
        <w:spacing w:line="360" w:lineRule="auto"/>
        <w:ind w:firstLineChars="200" w:firstLine="480"/>
        <w:rPr>
          <w:rFonts w:ascii="宋体" w:hAnsi="宋体"/>
          <w:color w:val="000000"/>
          <w:sz w:val="24"/>
        </w:rPr>
      </w:pPr>
      <w:r w:rsidRPr="00AC3735">
        <w:rPr>
          <w:rFonts w:ascii="宋体" w:hAnsi="宋体" w:hint="eastAsia"/>
          <w:color w:val="000000"/>
          <w:sz w:val="24"/>
        </w:rPr>
        <w:t>末日认购申请确认比例的计算方法如下：</w:t>
      </w:r>
    </w:p>
    <w:p w:rsidR="00C633A3" w:rsidRPr="00AC3735" w:rsidRDefault="00C633A3" w:rsidP="00C633A3">
      <w:pPr>
        <w:spacing w:line="360" w:lineRule="auto"/>
        <w:ind w:firstLineChars="200" w:firstLine="480"/>
        <w:rPr>
          <w:rFonts w:ascii="宋体" w:hAnsi="宋体"/>
          <w:color w:val="000000"/>
          <w:sz w:val="24"/>
        </w:rPr>
      </w:pPr>
      <w:r w:rsidRPr="00AC3735">
        <w:rPr>
          <w:rFonts w:ascii="宋体" w:hAnsi="宋体" w:hint="eastAsia"/>
          <w:color w:val="000000"/>
          <w:sz w:val="24"/>
        </w:rPr>
        <w:t>末日认购申请确认比例＝（</w:t>
      </w:r>
      <w:r>
        <w:rPr>
          <w:rFonts w:ascii="宋体" w:hAnsi="宋体"/>
          <w:color w:val="000000"/>
          <w:sz w:val="24"/>
        </w:rPr>
        <w:t>20</w:t>
      </w:r>
      <w:r w:rsidRPr="00AC3735">
        <w:rPr>
          <w:rFonts w:ascii="宋体" w:hAnsi="宋体" w:hint="eastAsia"/>
          <w:color w:val="000000"/>
          <w:sz w:val="24"/>
        </w:rPr>
        <w:t>亿元－末日之前有效认购申请金额）/末日有效认购申请金额</w:t>
      </w:r>
    </w:p>
    <w:p w:rsidR="00C633A3" w:rsidRPr="00AC3735" w:rsidRDefault="00C633A3" w:rsidP="00C633A3">
      <w:pPr>
        <w:spacing w:line="360" w:lineRule="auto"/>
        <w:ind w:firstLineChars="200" w:firstLine="480"/>
        <w:rPr>
          <w:rFonts w:ascii="宋体" w:hAnsi="宋体"/>
          <w:color w:val="000000"/>
          <w:sz w:val="24"/>
        </w:rPr>
      </w:pPr>
      <w:r w:rsidRPr="00AC3735">
        <w:rPr>
          <w:rFonts w:ascii="宋体" w:hAnsi="宋体" w:hint="eastAsia"/>
          <w:color w:val="000000"/>
          <w:sz w:val="24"/>
        </w:rPr>
        <w:t>投资者认购申请确认金额=末日提交的有效认购申请金额×末日认购申请确认比例</w:t>
      </w:r>
    </w:p>
    <w:p w:rsidR="00C633A3" w:rsidRPr="00B21030" w:rsidRDefault="00C633A3" w:rsidP="00C633A3">
      <w:pPr>
        <w:spacing w:line="360" w:lineRule="auto"/>
        <w:ind w:firstLineChars="200" w:firstLine="480"/>
        <w:rPr>
          <w:bCs/>
          <w:sz w:val="24"/>
        </w:rPr>
      </w:pPr>
      <w:r w:rsidRPr="00AC3735">
        <w:rPr>
          <w:rFonts w:ascii="宋体" w:hAnsi="宋体" w:hint="eastAsia"/>
          <w:color w:val="000000"/>
          <w:sz w:val="24"/>
        </w:rPr>
        <w:t>当发生部分确认时，投资者认购费率按照认购申请确认金额所对应的费率计算，认购申请确认金额不受认购最低限额的限制。最终认购申请确认结果以本基金登记结算机构的计算并确认的结果为准。</w:t>
      </w:r>
    </w:p>
    <w:p w:rsidR="00C633A3" w:rsidRDefault="00C633A3" w:rsidP="00C633A3">
      <w:pPr>
        <w:spacing w:line="360" w:lineRule="auto"/>
        <w:ind w:firstLineChars="200" w:firstLine="480"/>
        <w:jc w:val="left"/>
        <w:rPr>
          <w:rFonts w:ascii="宋体" w:hAnsi="宋体"/>
          <w:bCs/>
          <w:sz w:val="24"/>
        </w:rPr>
      </w:pPr>
      <w:r>
        <w:rPr>
          <w:rFonts w:ascii="宋体" w:hAnsi="宋体"/>
          <w:bCs/>
          <w:sz w:val="24"/>
        </w:rPr>
        <w:t>2</w:t>
      </w:r>
      <w:r>
        <w:rPr>
          <w:rFonts w:ascii="宋体" w:hAnsi="宋体" w:hint="eastAsia"/>
          <w:bCs/>
          <w:sz w:val="24"/>
        </w:rPr>
        <w:t>、投资者欲了解本基金的详细情况，请详细阅读20</w:t>
      </w:r>
      <w:r>
        <w:rPr>
          <w:rFonts w:ascii="宋体" w:hAnsi="宋体"/>
          <w:bCs/>
          <w:sz w:val="24"/>
        </w:rPr>
        <w:t>21</w:t>
      </w:r>
      <w:r>
        <w:rPr>
          <w:rFonts w:ascii="宋体" w:hAnsi="宋体" w:hint="eastAsia"/>
          <w:bCs/>
          <w:sz w:val="24"/>
        </w:rPr>
        <w:t>年</w:t>
      </w:r>
      <w:r>
        <w:rPr>
          <w:rFonts w:ascii="宋体" w:hAnsi="宋体"/>
          <w:bCs/>
          <w:sz w:val="24"/>
        </w:rPr>
        <w:t>7</w:t>
      </w:r>
      <w:r>
        <w:rPr>
          <w:rFonts w:ascii="宋体" w:hAnsi="宋体" w:hint="eastAsia"/>
          <w:bCs/>
          <w:sz w:val="24"/>
        </w:rPr>
        <w:t>月</w:t>
      </w:r>
      <w:r>
        <w:rPr>
          <w:rFonts w:ascii="宋体" w:hAnsi="宋体"/>
          <w:bCs/>
          <w:sz w:val="24"/>
        </w:rPr>
        <w:t>16</w:t>
      </w:r>
      <w:r>
        <w:rPr>
          <w:rFonts w:ascii="宋体" w:hAnsi="宋体" w:hint="eastAsia"/>
          <w:bCs/>
          <w:sz w:val="24"/>
        </w:rPr>
        <w:t>日刊登在本公司网站等规定网站上的《</w:t>
      </w:r>
      <w:r>
        <w:rPr>
          <w:rFonts w:ascii="宋体" w:eastAsia="宋体" w:hAnsi="宋体" w:cs="宋体" w:hint="eastAsia"/>
          <w:color w:val="333333"/>
          <w:kern w:val="0"/>
          <w:sz w:val="24"/>
          <w:szCs w:val="24"/>
        </w:rPr>
        <w:t>广发瑞锦一年定期开放混合型证券投资基金</w:t>
      </w:r>
      <w:r>
        <w:rPr>
          <w:rFonts w:ascii="宋体" w:hAnsi="宋体" w:hint="eastAsia"/>
          <w:bCs/>
          <w:sz w:val="24"/>
        </w:rPr>
        <w:t>招募</w:t>
      </w:r>
      <w:r>
        <w:rPr>
          <w:rFonts w:ascii="宋体" w:hAnsi="宋体" w:hint="eastAsia"/>
          <w:bCs/>
          <w:sz w:val="24"/>
        </w:rPr>
        <w:lastRenderedPageBreak/>
        <w:t>说明书》等法律文件。投资者也可通过本公司客服电话：95105828或020-83936999，或登录本公司网站（</w:t>
      </w:r>
      <w:r>
        <w:rPr>
          <w:rFonts w:ascii="宋体" w:hAnsi="宋体"/>
          <w:bCs/>
          <w:sz w:val="24"/>
        </w:rPr>
        <w:t>www.gffunds.com.cn</w:t>
      </w:r>
      <w:r>
        <w:rPr>
          <w:rFonts w:ascii="宋体" w:hAnsi="宋体" w:hint="eastAsia"/>
          <w:bCs/>
          <w:sz w:val="24"/>
        </w:rPr>
        <w:t>）获取相关信息。</w:t>
      </w:r>
    </w:p>
    <w:p w:rsidR="00C633A3" w:rsidRDefault="00C633A3" w:rsidP="002C3D04">
      <w:pPr>
        <w:spacing w:line="360" w:lineRule="auto"/>
        <w:ind w:firstLineChars="200" w:firstLine="480"/>
        <w:rPr>
          <w:sz w:val="24"/>
          <w:szCs w:val="24"/>
        </w:rPr>
      </w:pPr>
    </w:p>
    <w:p w:rsidR="002C3D04" w:rsidRPr="002848DB" w:rsidRDefault="002C3D04" w:rsidP="002C3D04">
      <w:pPr>
        <w:spacing w:line="360" w:lineRule="auto"/>
        <w:ind w:firstLineChars="200" w:firstLine="480"/>
        <w:rPr>
          <w:sz w:val="24"/>
          <w:szCs w:val="24"/>
        </w:rPr>
      </w:pPr>
      <w:r w:rsidRPr="002848DB">
        <w:rPr>
          <w:rFonts w:hint="eastAsia"/>
          <w:sz w:val="24"/>
          <w:szCs w:val="24"/>
        </w:rPr>
        <w:t>风险提示：</w:t>
      </w:r>
      <w:r w:rsidRPr="002848DB">
        <w:rPr>
          <w:sz w:val="24"/>
          <w:szCs w:val="24"/>
        </w:rPr>
        <w:t>本公司承诺以诚实信用、勤勉尽责的原则管理和运用基金资产，但不保证旗下基金一定盈利，也不保证最低收益。本公司提醒投资</w:t>
      </w:r>
      <w:r w:rsidR="007D1AAA" w:rsidRPr="002848DB">
        <w:rPr>
          <w:rFonts w:hint="eastAsia"/>
          <w:sz w:val="24"/>
          <w:szCs w:val="24"/>
        </w:rPr>
        <w:t>者</w:t>
      </w:r>
      <w:r w:rsidRPr="002848DB">
        <w:rPr>
          <w:sz w:val="24"/>
          <w:szCs w:val="24"/>
        </w:rPr>
        <w:t>在做出投资决策后，基金运营状况与基金净值变化引致的投资风险，由投资</w:t>
      </w:r>
      <w:r w:rsidR="007D1AAA" w:rsidRPr="002848DB">
        <w:rPr>
          <w:rFonts w:hint="eastAsia"/>
          <w:sz w:val="24"/>
          <w:szCs w:val="24"/>
        </w:rPr>
        <w:t>者</w:t>
      </w:r>
      <w:r w:rsidRPr="002848DB">
        <w:rPr>
          <w:sz w:val="24"/>
          <w:szCs w:val="24"/>
        </w:rPr>
        <w:t>自行负担。投资者投资基金时应认真阅读基金的《基金合同》、《招募说明书》等文件。</w:t>
      </w:r>
    </w:p>
    <w:p w:rsidR="002C3D04" w:rsidRPr="002848DB" w:rsidRDefault="002C3D04" w:rsidP="002C3D04">
      <w:pPr>
        <w:widowControl/>
        <w:shd w:val="clear" w:color="auto" w:fill="FFFFFF"/>
        <w:spacing w:line="420" w:lineRule="atLeast"/>
        <w:ind w:firstLineChars="200" w:firstLine="480"/>
        <w:jc w:val="left"/>
        <w:rPr>
          <w:rFonts w:ascii="宋体" w:eastAsia="宋体" w:hAnsi="宋体" w:cs="宋体"/>
          <w:color w:val="333333"/>
          <w:kern w:val="0"/>
          <w:sz w:val="24"/>
          <w:szCs w:val="24"/>
        </w:rPr>
      </w:pPr>
      <w:r w:rsidRPr="002848DB">
        <w:rPr>
          <w:rFonts w:ascii="宋体" w:eastAsia="宋体" w:hAnsi="宋体" w:cs="宋体" w:hint="eastAsia"/>
          <w:color w:val="333333"/>
          <w:kern w:val="0"/>
          <w:sz w:val="24"/>
          <w:szCs w:val="24"/>
        </w:rPr>
        <w:t>特此公告。</w:t>
      </w:r>
    </w:p>
    <w:p w:rsidR="002C3D04" w:rsidRPr="002848DB" w:rsidRDefault="002C3D04" w:rsidP="002C3D04">
      <w:pPr>
        <w:widowControl/>
        <w:shd w:val="clear" w:color="auto" w:fill="FFFFFF"/>
        <w:spacing w:before="675" w:line="420" w:lineRule="atLeast"/>
        <w:jc w:val="right"/>
        <w:rPr>
          <w:rFonts w:asciiTheme="minorEastAsia" w:hAnsiTheme="minorEastAsia" w:cs="宋体"/>
          <w:color w:val="333333"/>
          <w:kern w:val="0"/>
          <w:sz w:val="24"/>
          <w:szCs w:val="24"/>
        </w:rPr>
      </w:pPr>
      <w:r w:rsidRPr="002848DB">
        <w:rPr>
          <w:rFonts w:asciiTheme="minorEastAsia" w:hAnsiTheme="minorEastAsia" w:cs="宋体" w:hint="eastAsia"/>
          <w:color w:val="333333"/>
          <w:kern w:val="0"/>
          <w:sz w:val="24"/>
          <w:szCs w:val="24"/>
        </w:rPr>
        <w:t>广发基金管理有限公司</w:t>
      </w:r>
    </w:p>
    <w:p w:rsidR="00501FF9" w:rsidRPr="002C3D04" w:rsidRDefault="002C3D04" w:rsidP="002C3D04">
      <w:pPr>
        <w:widowControl/>
        <w:shd w:val="clear" w:color="auto" w:fill="FFFFFF"/>
        <w:spacing w:line="420" w:lineRule="atLeast"/>
        <w:jc w:val="right"/>
        <w:rPr>
          <w:rFonts w:ascii="宋体" w:eastAsia="宋体" w:hAnsi="宋体" w:cs="宋体"/>
          <w:color w:val="333333"/>
          <w:kern w:val="0"/>
          <w:sz w:val="24"/>
          <w:szCs w:val="24"/>
        </w:rPr>
      </w:pPr>
      <w:r w:rsidRPr="002848DB">
        <w:rPr>
          <w:rFonts w:ascii="宋体" w:eastAsia="宋体" w:hAnsi="宋体" w:cs="宋体" w:hint="eastAsia"/>
          <w:color w:val="333333"/>
          <w:kern w:val="0"/>
          <w:sz w:val="24"/>
          <w:szCs w:val="24"/>
        </w:rPr>
        <w:t>202</w:t>
      </w:r>
      <w:r w:rsidR="00295308" w:rsidRPr="002848DB">
        <w:rPr>
          <w:rFonts w:ascii="宋体" w:eastAsia="宋体" w:hAnsi="宋体" w:cs="宋体"/>
          <w:color w:val="333333"/>
          <w:kern w:val="0"/>
          <w:sz w:val="24"/>
          <w:szCs w:val="24"/>
        </w:rPr>
        <w:t>1</w:t>
      </w:r>
      <w:r w:rsidRPr="002141E1">
        <w:rPr>
          <w:rFonts w:ascii="宋体" w:eastAsia="宋体" w:hAnsi="宋体" w:cs="宋体" w:hint="eastAsia"/>
          <w:color w:val="333333"/>
          <w:kern w:val="0"/>
          <w:sz w:val="24"/>
          <w:szCs w:val="24"/>
        </w:rPr>
        <w:t>年</w:t>
      </w:r>
      <w:r w:rsidR="00295FE4">
        <w:rPr>
          <w:rFonts w:ascii="宋体" w:eastAsia="宋体" w:hAnsi="宋体" w:cs="宋体"/>
          <w:color w:val="333333"/>
          <w:kern w:val="0"/>
          <w:sz w:val="24"/>
          <w:szCs w:val="24"/>
        </w:rPr>
        <w:t>9</w:t>
      </w:r>
      <w:r w:rsidRPr="002141E1">
        <w:rPr>
          <w:rFonts w:ascii="宋体" w:eastAsia="宋体" w:hAnsi="宋体" w:cs="宋体" w:hint="eastAsia"/>
          <w:color w:val="333333"/>
          <w:kern w:val="0"/>
          <w:sz w:val="24"/>
          <w:szCs w:val="24"/>
        </w:rPr>
        <w:t>月</w:t>
      </w:r>
      <w:r w:rsidR="00362EDD">
        <w:rPr>
          <w:rFonts w:ascii="宋体" w:eastAsia="宋体" w:hAnsi="宋体" w:cs="宋体"/>
          <w:color w:val="333333"/>
          <w:kern w:val="0"/>
          <w:sz w:val="24"/>
          <w:szCs w:val="24"/>
        </w:rPr>
        <w:t>7</w:t>
      </w:r>
      <w:bookmarkStart w:id="0" w:name="_GoBack"/>
      <w:bookmarkEnd w:id="0"/>
      <w:r w:rsidRPr="002141E1">
        <w:rPr>
          <w:rFonts w:ascii="宋体" w:eastAsia="宋体" w:hAnsi="宋体" w:cs="宋体" w:hint="eastAsia"/>
          <w:color w:val="333333"/>
          <w:kern w:val="0"/>
          <w:sz w:val="24"/>
          <w:szCs w:val="24"/>
        </w:rPr>
        <w:t>日</w:t>
      </w:r>
    </w:p>
    <w:sectPr w:rsidR="00501FF9" w:rsidRPr="002C3D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335" w:rsidRDefault="000A7335" w:rsidP="00BF0942">
      <w:r>
        <w:separator/>
      </w:r>
    </w:p>
  </w:endnote>
  <w:endnote w:type="continuationSeparator" w:id="0">
    <w:p w:rsidR="000A7335" w:rsidRDefault="000A7335" w:rsidP="00BF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335" w:rsidRDefault="000A7335" w:rsidP="00BF0942">
      <w:r>
        <w:separator/>
      </w:r>
    </w:p>
  </w:footnote>
  <w:footnote w:type="continuationSeparator" w:id="0">
    <w:p w:rsidR="000A7335" w:rsidRDefault="000A7335" w:rsidP="00BF0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55"/>
    <w:rsid w:val="00002EAC"/>
    <w:rsid w:val="00025C68"/>
    <w:rsid w:val="000305D8"/>
    <w:rsid w:val="0006268F"/>
    <w:rsid w:val="000A7335"/>
    <w:rsid w:val="000B0698"/>
    <w:rsid w:val="00114D1E"/>
    <w:rsid w:val="002141E1"/>
    <w:rsid w:val="00262BB3"/>
    <w:rsid w:val="00266E48"/>
    <w:rsid w:val="002848DB"/>
    <w:rsid w:val="00295308"/>
    <w:rsid w:val="00295FE4"/>
    <w:rsid w:val="002C3D04"/>
    <w:rsid w:val="00314DD0"/>
    <w:rsid w:val="00362902"/>
    <w:rsid w:val="00362EDD"/>
    <w:rsid w:val="00395463"/>
    <w:rsid w:val="003A7BAC"/>
    <w:rsid w:val="003D4E61"/>
    <w:rsid w:val="003E5988"/>
    <w:rsid w:val="00403127"/>
    <w:rsid w:val="00484172"/>
    <w:rsid w:val="004948A2"/>
    <w:rsid w:val="00497ABF"/>
    <w:rsid w:val="004E17CA"/>
    <w:rsid w:val="00501FF9"/>
    <w:rsid w:val="00504585"/>
    <w:rsid w:val="0054688A"/>
    <w:rsid w:val="00583C1E"/>
    <w:rsid w:val="005861A2"/>
    <w:rsid w:val="005960FE"/>
    <w:rsid w:val="005B4EB9"/>
    <w:rsid w:val="005F5D15"/>
    <w:rsid w:val="00625985"/>
    <w:rsid w:val="006C6AC0"/>
    <w:rsid w:val="006F6EFB"/>
    <w:rsid w:val="00722454"/>
    <w:rsid w:val="007A50AA"/>
    <w:rsid w:val="007D1AAA"/>
    <w:rsid w:val="007F0B5E"/>
    <w:rsid w:val="00886002"/>
    <w:rsid w:val="00895D8F"/>
    <w:rsid w:val="008A3C97"/>
    <w:rsid w:val="008A5499"/>
    <w:rsid w:val="0091350C"/>
    <w:rsid w:val="00A178E8"/>
    <w:rsid w:val="00AE4704"/>
    <w:rsid w:val="00AF5F28"/>
    <w:rsid w:val="00AF61E6"/>
    <w:rsid w:val="00BC3214"/>
    <w:rsid w:val="00BC694D"/>
    <w:rsid w:val="00BE45CE"/>
    <w:rsid w:val="00BF0942"/>
    <w:rsid w:val="00C17E4E"/>
    <w:rsid w:val="00C428AF"/>
    <w:rsid w:val="00C577B8"/>
    <w:rsid w:val="00C633A3"/>
    <w:rsid w:val="00C71707"/>
    <w:rsid w:val="00CE7D16"/>
    <w:rsid w:val="00DD5CAA"/>
    <w:rsid w:val="00E01555"/>
    <w:rsid w:val="00E25CC5"/>
    <w:rsid w:val="00E42D84"/>
    <w:rsid w:val="00E7763C"/>
    <w:rsid w:val="00EC5F90"/>
    <w:rsid w:val="00ED32FE"/>
    <w:rsid w:val="00EE42AC"/>
    <w:rsid w:val="00EF308B"/>
    <w:rsid w:val="00F22392"/>
    <w:rsid w:val="00F24EE7"/>
    <w:rsid w:val="00F34649"/>
    <w:rsid w:val="00F44E00"/>
    <w:rsid w:val="00F83AE0"/>
    <w:rsid w:val="00F87006"/>
    <w:rsid w:val="00FC2F3C"/>
    <w:rsid w:val="00FE3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087D"/>
  <w15:chartTrackingRefBased/>
  <w15:docId w15:val="{9520CBC2-1AD4-4011-95F6-32236900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9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0942"/>
    <w:rPr>
      <w:sz w:val="18"/>
      <w:szCs w:val="18"/>
    </w:rPr>
  </w:style>
  <w:style w:type="paragraph" w:styleId="a5">
    <w:name w:val="footer"/>
    <w:basedOn w:val="a"/>
    <w:link w:val="a6"/>
    <w:uiPriority w:val="99"/>
    <w:unhideWhenUsed/>
    <w:rsid w:val="00BF0942"/>
    <w:pPr>
      <w:tabs>
        <w:tab w:val="center" w:pos="4153"/>
        <w:tab w:val="right" w:pos="8306"/>
      </w:tabs>
      <w:snapToGrid w:val="0"/>
      <w:jc w:val="left"/>
    </w:pPr>
    <w:rPr>
      <w:sz w:val="18"/>
      <w:szCs w:val="18"/>
    </w:rPr>
  </w:style>
  <w:style w:type="character" w:customStyle="1" w:styleId="a6">
    <w:name w:val="页脚 字符"/>
    <w:basedOn w:val="a0"/>
    <w:link w:val="a5"/>
    <w:uiPriority w:val="99"/>
    <w:rsid w:val="00BF0942"/>
    <w:rPr>
      <w:sz w:val="18"/>
      <w:szCs w:val="18"/>
    </w:rPr>
  </w:style>
  <w:style w:type="paragraph" w:styleId="a7">
    <w:name w:val="Normal (Web)"/>
    <w:basedOn w:val="a"/>
    <w:uiPriority w:val="99"/>
    <w:unhideWhenUsed/>
    <w:rsid w:val="00BF0942"/>
    <w:pPr>
      <w:widowControl/>
      <w:spacing w:before="100" w:beforeAutospacing="1" w:after="100" w:afterAutospacing="1"/>
      <w:jc w:val="left"/>
    </w:pPr>
    <w:rPr>
      <w:rFonts w:ascii="宋体" w:eastAsia="宋体" w:hAnsi="宋体" w:cs="宋体"/>
      <w:kern w:val="0"/>
      <w:sz w:val="24"/>
      <w:szCs w:val="24"/>
    </w:rPr>
  </w:style>
  <w:style w:type="character" w:customStyle="1" w:styleId="srcardmorelink">
    <w:name w:val="sr_card_more_link"/>
    <w:basedOn w:val="a0"/>
    <w:rsid w:val="00BF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8473">
      <w:bodyDiv w:val="1"/>
      <w:marLeft w:val="0"/>
      <w:marRight w:val="0"/>
      <w:marTop w:val="0"/>
      <w:marBottom w:val="0"/>
      <w:divBdr>
        <w:top w:val="none" w:sz="0" w:space="0" w:color="auto"/>
        <w:left w:val="none" w:sz="0" w:space="0" w:color="auto"/>
        <w:bottom w:val="none" w:sz="0" w:space="0" w:color="auto"/>
        <w:right w:val="none" w:sz="0" w:space="0" w:color="auto"/>
      </w:divBdr>
    </w:div>
    <w:div w:id="862475838">
      <w:bodyDiv w:val="1"/>
      <w:marLeft w:val="0"/>
      <w:marRight w:val="0"/>
      <w:marTop w:val="0"/>
      <w:marBottom w:val="0"/>
      <w:divBdr>
        <w:top w:val="none" w:sz="0" w:space="0" w:color="auto"/>
        <w:left w:val="none" w:sz="0" w:space="0" w:color="auto"/>
        <w:bottom w:val="none" w:sz="0" w:space="0" w:color="auto"/>
        <w:right w:val="none" w:sz="0" w:space="0" w:color="auto"/>
      </w:divBdr>
    </w:div>
    <w:div w:id="1968465529">
      <w:bodyDiv w:val="1"/>
      <w:marLeft w:val="0"/>
      <w:marRight w:val="0"/>
      <w:marTop w:val="0"/>
      <w:marBottom w:val="0"/>
      <w:divBdr>
        <w:top w:val="none" w:sz="0" w:space="0" w:color="auto"/>
        <w:left w:val="none" w:sz="0" w:space="0" w:color="auto"/>
        <w:bottom w:val="none" w:sz="0" w:space="0" w:color="auto"/>
        <w:right w:val="none" w:sz="0" w:space="0" w:color="auto"/>
      </w:divBdr>
      <w:divsChild>
        <w:div w:id="100420893">
          <w:marLeft w:val="0"/>
          <w:marRight w:val="0"/>
          <w:marTop w:val="0"/>
          <w:marBottom w:val="0"/>
          <w:divBdr>
            <w:top w:val="none" w:sz="0" w:space="0" w:color="auto"/>
            <w:left w:val="none" w:sz="0" w:space="0" w:color="auto"/>
            <w:bottom w:val="none" w:sz="0" w:space="0" w:color="auto"/>
            <w:right w:val="none" w:sz="0" w:space="0" w:color="auto"/>
          </w:divBdr>
          <w:divsChild>
            <w:div w:id="2013214307">
              <w:marLeft w:val="0"/>
              <w:marRight w:val="0"/>
              <w:marTop w:val="0"/>
              <w:marBottom w:val="150"/>
              <w:divBdr>
                <w:top w:val="none" w:sz="0" w:space="0" w:color="auto"/>
                <w:left w:val="none" w:sz="0" w:space="0" w:color="auto"/>
                <w:bottom w:val="none" w:sz="0" w:space="0" w:color="auto"/>
                <w:right w:val="none" w:sz="0" w:space="0" w:color="auto"/>
              </w:divBdr>
              <w:divsChild>
                <w:div w:id="1219248950">
                  <w:marLeft w:val="0"/>
                  <w:marRight w:val="0"/>
                  <w:marTop w:val="0"/>
                  <w:marBottom w:val="0"/>
                  <w:divBdr>
                    <w:top w:val="none" w:sz="0" w:space="0" w:color="auto"/>
                    <w:left w:val="none" w:sz="0" w:space="0" w:color="auto"/>
                    <w:bottom w:val="none" w:sz="0" w:space="0" w:color="auto"/>
                    <w:right w:val="none" w:sz="0" w:space="0" w:color="auto"/>
                  </w:divBdr>
                  <w:divsChild>
                    <w:div w:id="1573194084">
                      <w:marLeft w:val="0"/>
                      <w:marRight w:val="0"/>
                      <w:marTop w:val="0"/>
                      <w:marBottom w:val="0"/>
                      <w:divBdr>
                        <w:top w:val="none" w:sz="0" w:space="0" w:color="auto"/>
                        <w:left w:val="none" w:sz="0" w:space="0" w:color="auto"/>
                        <w:bottom w:val="none" w:sz="0" w:space="0" w:color="auto"/>
                        <w:right w:val="none" w:sz="0" w:space="0" w:color="auto"/>
                      </w:divBdr>
                      <w:divsChild>
                        <w:div w:id="9963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4287">
          <w:marLeft w:val="0"/>
          <w:marRight w:val="0"/>
          <w:marTop w:val="0"/>
          <w:marBottom w:val="0"/>
          <w:divBdr>
            <w:top w:val="none" w:sz="0" w:space="0" w:color="auto"/>
            <w:left w:val="none" w:sz="0" w:space="0" w:color="auto"/>
            <w:bottom w:val="none" w:sz="0" w:space="0" w:color="auto"/>
            <w:right w:val="none" w:sz="0" w:space="0" w:color="auto"/>
          </w:divBdr>
          <w:divsChild>
            <w:div w:id="292442258">
              <w:marLeft w:val="0"/>
              <w:marRight w:val="0"/>
              <w:marTop w:val="0"/>
              <w:marBottom w:val="0"/>
              <w:divBdr>
                <w:top w:val="none" w:sz="0" w:space="0" w:color="auto"/>
                <w:left w:val="none" w:sz="0" w:space="0" w:color="auto"/>
                <w:bottom w:val="none" w:sz="0" w:space="0" w:color="auto"/>
                <w:right w:val="none" w:sz="0" w:space="0" w:color="auto"/>
              </w:divBdr>
              <w:divsChild>
                <w:div w:id="1483035289">
                  <w:marLeft w:val="0"/>
                  <w:marRight w:val="0"/>
                  <w:marTop w:val="0"/>
                  <w:marBottom w:val="150"/>
                  <w:divBdr>
                    <w:top w:val="none" w:sz="0" w:space="0" w:color="auto"/>
                    <w:left w:val="none" w:sz="0" w:space="0" w:color="auto"/>
                    <w:bottom w:val="none" w:sz="0" w:space="0" w:color="auto"/>
                    <w:right w:val="none" w:sz="0" w:space="0" w:color="auto"/>
                  </w:divBdr>
                  <w:divsChild>
                    <w:div w:id="1586763900">
                      <w:marLeft w:val="0"/>
                      <w:marRight w:val="0"/>
                      <w:marTop w:val="0"/>
                      <w:marBottom w:val="0"/>
                      <w:divBdr>
                        <w:top w:val="none" w:sz="0" w:space="0" w:color="auto"/>
                        <w:left w:val="none" w:sz="0" w:space="0" w:color="auto"/>
                        <w:bottom w:val="none" w:sz="0" w:space="0" w:color="auto"/>
                        <w:right w:val="none" w:sz="0" w:space="0" w:color="auto"/>
                      </w:divBdr>
                      <w:divsChild>
                        <w:div w:id="216861813">
                          <w:marLeft w:val="0"/>
                          <w:marRight w:val="0"/>
                          <w:marTop w:val="0"/>
                          <w:marBottom w:val="150"/>
                          <w:divBdr>
                            <w:top w:val="none" w:sz="0" w:space="0" w:color="auto"/>
                            <w:left w:val="none" w:sz="0" w:space="0" w:color="auto"/>
                            <w:bottom w:val="none" w:sz="0" w:space="0" w:color="auto"/>
                            <w:right w:val="none" w:sz="0" w:space="0" w:color="auto"/>
                          </w:divBdr>
                          <w:divsChild>
                            <w:div w:id="1924534954">
                              <w:marLeft w:val="0"/>
                              <w:marRight w:val="0"/>
                              <w:marTop w:val="0"/>
                              <w:marBottom w:val="0"/>
                              <w:divBdr>
                                <w:top w:val="none" w:sz="0" w:space="0" w:color="auto"/>
                                <w:left w:val="none" w:sz="0" w:space="0" w:color="auto"/>
                                <w:bottom w:val="none" w:sz="0" w:space="0" w:color="auto"/>
                                <w:right w:val="none" w:sz="0" w:space="0" w:color="auto"/>
                              </w:divBdr>
                              <w:divsChild>
                                <w:div w:id="1844935942">
                                  <w:marLeft w:val="0"/>
                                  <w:marRight w:val="0"/>
                                  <w:marTop w:val="0"/>
                                  <w:marBottom w:val="0"/>
                                  <w:divBdr>
                                    <w:top w:val="none" w:sz="0" w:space="0" w:color="auto"/>
                                    <w:left w:val="none" w:sz="0" w:space="0" w:color="auto"/>
                                    <w:bottom w:val="none" w:sz="0" w:space="0" w:color="auto"/>
                                    <w:right w:val="none" w:sz="0" w:space="0" w:color="auto"/>
                                  </w:divBdr>
                                </w:div>
                              </w:divsChild>
                            </w:div>
                            <w:div w:id="780799568">
                              <w:marLeft w:val="0"/>
                              <w:marRight w:val="0"/>
                              <w:marTop w:val="0"/>
                              <w:marBottom w:val="0"/>
                              <w:divBdr>
                                <w:top w:val="none" w:sz="0" w:space="0" w:color="auto"/>
                                <w:left w:val="none" w:sz="0" w:space="0" w:color="auto"/>
                                <w:bottom w:val="none" w:sz="0" w:space="0" w:color="auto"/>
                                <w:right w:val="none" w:sz="0" w:space="0" w:color="auto"/>
                              </w:divBdr>
                              <w:divsChild>
                                <w:div w:id="305353895">
                                  <w:marLeft w:val="0"/>
                                  <w:marRight w:val="0"/>
                                  <w:marTop w:val="0"/>
                                  <w:marBottom w:val="0"/>
                                  <w:divBdr>
                                    <w:top w:val="none" w:sz="0" w:space="0" w:color="auto"/>
                                    <w:left w:val="none" w:sz="0" w:space="0" w:color="auto"/>
                                    <w:bottom w:val="none" w:sz="0" w:space="0" w:color="auto"/>
                                    <w:right w:val="none" w:sz="0" w:space="0" w:color="auto"/>
                                  </w:divBdr>
                                  <w:divsChild>
                                    <w:div w:id="1097284676">
                                      <w:marLeft w:val="0"/>
                                      <w:marRight w:val="225"/>
                                      <w:marTop w:val="0"/>
                                      <w:marBottom w:val="0"/>
                                      <w:divBdr>
                                        <w:top w:val="none" w:sz="0" w:space="0" w:color="auto"/>
                                        <w:left w:val="none" w:sz="0" w:space="0" w:color="auto"/>
                                        <w:bottom w:val="none" w:sz="0" w:space="0" w:color="auto"/>
                                        <w:right w:val="none" w:sz="0" w:space="0" w:color="auto"/>
                                      </w:divBdr>
                                      <w:divsChild>
                                        <w:div w:id="362832301">
                                          <w:marLeft w:val="0"/>
                                          <w:marRight w:val="0"/>
                                          <w:marTop w:val="0"/>
                                          <w:marBottom w:val="0"/>
                                          <w:divBdr>
                                            <w:top w:val="single" w:sz="6" w:space="0" w:color="FFFFFF"/>
                                            <w:left w:val="single" w:sz="6" w:space="0" w:color="FFFFFF"/>
                                            <w:bottom w:val="single" w:sz="6" w:space="0" w:color="FFFFFF"/>
                                            <w:right w:val="single" w:sz="6" w:space="0" w:color="FFFFFF"/>
                                          </w:divBdr>
                                        </w:div>
                                        <w:div w:id="113706812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527376691">
                  <w:marLeft w:val="0"/>
                  <w:marRight w:val="0"/>
                  <w:marTop w:val="0"/>
                  <w:marBottom w:val="150"/>
                  <w:divBdr>
                    <w:top w:val="none" w:sz="0" w:space="0" w:color="auto"/>
                    <w:left w:val="none" w:sz="0" w:space="0" w:color="auto"/>
                    <w:bottom w:val="none" w:sz="0" w:space="0" w:color="auto"/>
                    <w:right w:val="none" w:sz="0" w:space="0" w:color="auto"/>
                  </w:divBdr>
                  <w:divsChild>
                    <w:div w:id="939722206">
                      <w:marLeft w:val="0"/>
                      <w:marRight w:val="0"/>
                      <w:marTop w:val="0"/>
                      <w:marBottom w:val="0"/>
                      <w:divBdr>
                        <w:top w:val="none" w:sz="0" w:space="0" w:color="auto"/>
                        <w:left w:val="none" w:sz="0" w:space="0" w:color="auto"/>
                        <w:bottom w:val="none" w:sz="0" w:space="0" w:color="auto"/>
                        <w:right w:val="none" w:sz="0" w:space="0" w:color="auto"/>
                      </w:divBdr>
                      <w:divsChild>
                        <w:div w:id="1608661451">
                          <w:marLeft w:val="0"/>
                          <w:marRight w:val="0"/>
                          <w:marTop w:val="0"/>
                          <w:marBottom w:val="150"/>
                          <w:divBdr>
                            <w:top w:val="none" w:sz="0" w:space="0" w:color="auto"/>
                            <w:left w:val="none" w:sz="0" w:space="0" w:color="auto"/>
                            <w:bottom w:val="none" w:sz="0" w:space="0" w:color="auto"/>
                            <w:right w:val="none" w:sz="0" w:space="0" w:color="auto"/>
                          </w:divBdr>
                          <w:divsChild>
                            <w:div w:id="1962298057">
                              <w:marLeft w:val="0"/>
                              <w:marRight w:val="0"/>
                              <w:marTop w:val="0"/>
                              <w:marBottom w:val="0"/>
                              <w:divBdr>
                                <w:top w:val="none" w:sz="0" w:space="0" w:color="auto"/>
                                <w:left w:val="none" w:sz="0" w:space="0" w:color="auto"/>
                                <w:bottom w:val="none" w:sz="0" w:space="0" w:color="auto"/>
                                <w:right w:val="none" w:sz="0" w:space="0" w:color="auto"/>
                              </w:divBdr>
                              <w:divsChild>
                                <w:div w:id="1750419844">
                                  <w:marLeft w:val="0"/>
                                  <w:marRight w:val="0"/>
                                  <w:marTop w:val="0"/>
                                  <w:marBottom w:val="0"/>
                                  <w:divBdr>
                                    <w:top w:val="none" w:sz="0" w:space="0" w:color="auto"/>
                                    <w:left w:val="none" w:sz="0" w:space="0" w:color="auto"/>
                                    <w:bottom w:val="none" w:sz="0" w:space="0" w:color="auto"/>
                                    <w:right w:val="none" w:sz="0" w:space="0" w:color="auto"/>
                                  </w:divBdr>
                                </w:div>
                              </w:divsChild>
                            </w:div>
                            <w:div w:id="245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6299">
                  <w:marLeft w:val="0"/>
                  <w:marRight w:val="0"/>
                  <w:marTop w:val="0"/>
                  <w:marBottom w:val="150"/>
                  <w:divBdr>
                    <w:top w:val="none" w:sz="0" w:space="0" w:color="auto"/>
                    <w:left w:val="none" w:sz="0" w:space="0" w:color="auto"/>
                    <w:bottom w:val="none" w:sz="0" w:space="0" w:color="auto"/>
                    <w:right w:val="none" w:sz="0" w:space="0" w:color="auto"/>
                  </w:divBdr>
                  <w:divsChild>
                    <w:div w:id="1394742623">
                      <w:marLeft w:val="0"/>
                      <w:marRight w:val="0"/>
                      <w:marTop w:val="0"/>
                      <w:marBottom w:val="0"/>
                      <w:divBdr>
                        <w:top w:val="none" w:sz="0" w:space="0" w:color="auto"/>
                        <w:left w:val="none" w:sz="0" w:space="0" w:color="auto"/>
                        <w:bottom w:val="none" w:sz="0" w:space="0" w:color="auto"/>
                        <w:right w:val="none" w:sz="0" w:space="0" w:color="auto"/>
                      </w:divBdr>
                      <w:divsChild>
                        <w:div w:id="1003700874">
                          <w:marLeft w:val="0"/>
                          <w:marRight w:val="0"/>
                          <w:marTop w:val="0"/>
                          <w:marBottom w:val="150"/>
                          <w:divBdr>
                            <w:top w:val="none" w:sz="0" w:space="0" w:color="auto"/>
                            <w:left w:val="none" w:sz="0" w:space="0" w:color="auto"/>
                            <w:bottom w:val="none" w:sz="0" w:space="0" w:color="auto"/>
                            <w:right w:val="none" w:sz="0" w:space="0" w:color="auto"/>
                          </w:divBdr>
                          <w:divsChild>
                            <w:div w:id="1423723428">
                              <w:marLeft w:val="0"/>
                              <w:marRight w:val="0"/>
                              <w:marTop w:val="0"/>
                              <w:marBottom w:val="0"/>
                              <w:divBdr>
                                <w:top w:val="none" w:sz="0" w:space="0" w:color="auto"/>
                                <w:left w:val="none" w:sz="0" w:space="0" w:color="auto"/>
                                <w:bottom w:val="none" w:sz="0" w:space="0" w:color="auto"/>
                                <w:right w:val="none" w:sz="0" w:space="0" w:color="auto"/>
                              </w:divBdr>
                              <w:divsChild>
                                <w:div w:id="797794051">
                                  <w:marLeft w:val="0"/>
                                  <w:marRight w:val="0"/>
                                  <w:marTop w:val="0"/>
                                  <w:marBottom w:val="0"/>
                                  <w:divBdr>
                                    <w:top w:val="none" w:sz="0" w:space="0" w:color="auto"/>
                                    <w:left w:val="none" w:sz="0" w:space="0" w:color="auto"/>
                                    <w:bottom w:val="none" w:sz="0" w:space="0" w:color="auto"/>
                                    <w:right w:val="none" w:sz="0" w:space="0" w:color="auto"/>
                                  </w:divBdr>
                                </w:div>
                                <w:div w:id="1485584714">
                                  <w:marLeft w:val="0"/>
                                  <w:marRight w:val="0"/>
                                  <w:marTop w:val="0"/>
                                  <w:marBottom w:val="0"/>
                                  <w:divBdr>
                                    <w:top w:val="none" w:sz="0" w:space="0" w:color="auto"/>
                                    <w:left w:val="none" w:sz="0" w:space="0" w:color="auto"/>
                                    <w:bottom w:val="none" w:sz="0" w:space="0" w:color="auto"/>
                                    <w:right w:val="none" w:sz="0" w:space="0" w:color="auto"/>
                                  </w:divBdr>
                                  <w:divsChild>
                                    <w:div w:id="1971469048">
                                      <w:marLeft w:val="0"/>
                                      <w:marRight w:val="0"/>
                                      <w:marTop w:val="0"/>
                                      <w:marBottom w:val="0"/>
                                      <w:divBdr>
                                        <w:top w:val="none" w:sz="0" w:space="0" w:color="auto"/>
                                        <w:left w:val="none" w:sz="0" w:space="0" w:color="auto"/>
                                        <w:bottom w:val="none" w:sz="0" w:space="0" w:color="auto"/>
                                        <w:right w:val="none" w:sz="0" w:space="0" w:color="auto"/>
                                      </w:divBdr>
                                      <w:divsChild>
                                        <w:div w:id="5926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晁梦婷</dc:creator>
  <cp:keywords/>
  <dc:description/>
  <cp:lastModifiedBy>晁梦婷</cp:lastModifiedBy>
  <cp:revision>37</cp:revision>
  <dcterms:created xsi:type="dcterms:W3CDTF">2020-07-28T09:44:00Z</dcterms:created>
  <dcterms:modified xsi:type="dcterms:W3CDTF">2021-09-06T07:43:00Z</dcterms:modified>
</cp:coreProperties>
</file>