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CD6F5B" w:rsidRDefault="008F2942" w:rsidP="00CC1421">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CD6F5B" w:rsidRDefault="00BA4B87" w:rsidP="00CC1421">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CD6F5B" w:rsidRDefault="00BA4B87"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CD6F5B" w:rsidRDefault="00BA4B87"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CD6F5B" w:rsidRDefault="00BA4B87"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CD6F5B" w:rsidRDefault="00DC7AB5" w:rsidP="00E9191D">
      <w:pPr>
        <w:snapToGrid w:val="0"/>
        <w:spacing w:line="360" w:lineRule="auto"/>
        <w:jc w:val="center"/>
        <w:rPr>
          <w:rFonts w:asciiTheme="minorEastAsia" w:eastAsiaTheme="minorEastAsia" w:hAnsiTheme="minorEastAsia"/>
          <w:color w:val="000000" w:themeColor="text1"/>
          <w:sz w:val="30"/>
          <w:szCs w:val="30"/>
        </w:rPr>
      </w:pPr>
      <w:r w:rsidRPr="00CD6F5B">
        <w:rPr>
          <w:rFonts w:asciiTheme="minorEastAsia" w:eastAsiaTheme="minorEastAsia" w:hAnsiTheme="minorEastAsia" w:hint="eastAsia"/>
          <w:b/>
          <w:color w:val="000000" w:themeColor="text1"/>
          <w:sz w:val="44"/>
          <w:szCs w:val="44"/>
        </w:rPr>
        <w:t>易方达裕祥回报债券型证券投资基金更新的招募说明书</w:t>
      </w:r>
    </w:p>
    <w:p w:rsidR="00992FE4" w:rsidRPr="00CD6F5B" w:rsidRDefault="00992FE4" w:rsidP="00CC1421">
      <w:pPr>
        <w:snapToGrid w:val="0"/>
        <w:spacing w:line="360" w:lineRule="auto"/>
        <w:ind w:leftChars="800" w:left="1680" w:firstLine="181"/>
        <w:rPr>
          <w:rFonts w:asciiTheme="minorEastAsia" w:eastAsiaTheme="minorEastAsia" w:hAnsiTheme="minorEastAsia"/>
          <w:color w:val="000000" w:themeColor="text1"/>
          <w:sz w:val="30"/>
          <w:szCs w:val="30"/>
        </w:rPr>
      </w:pPr>
    </w:p>
    <w:p w:rsidR="00BA4B87" w:rsidRPr="00CD6F5B" w:rsidRDefault="00BA4B87" w:rsidP="00CC1421">
      <w:pPr>
        <w:snapToGrid w:val="0"/>
        <w:spacing w:line="360" w:lineRule="auto"/>
        <w:ind w:leftChars="800" w:left="1680"/>
        <w:rPr>
          <w:rFonts w:asciiTheme="minorEastAsia" w:eastAsiaTheme="minorEastAsia" w:hAnsiTheme="minorEastAsia"/>
          <w:color w:val="000000" w:themeColor="text1"/>
          <w:sz w:val="30"/>
          <w:szCs w:val="30"/>
        </w:rPr>
      </w:pPr>
    </w:p>
    <w:p w:rsidR="00BA4B87" w:rsidRPr="00CD6F5B" w:rsidRDefault="00BA4B87" w:rsidP="00CC1421">
      <w:pPr>
        <w:snapToGrid w:val="0"/>
        <w:spacing w:line="360" w:lineRule="auto"/>
        <w:ind w:leftChars="800" w:left="1680"/>
        <w:rPr>
          <w:rFonts w:asciiTheme="minorEastAsia" w:eastAsiaTheme="minorEastAsia" w:hAnsiTheme="minorEastAsia"/>
          <w:color w:val="000000" w:themeColor="text1"/>
          <w:sz w:val="30"/>
          <w:szCs w:val="30"/>
        </w:rPr>
      </w:pPr>
    </w:p>
    <w:p w:rsidR="00BA4B87" w:rsidRPr="00CD6F5B" w:rsidRDefault="00BA4B87" w:rsidP="00CC1421">
      <w:pPr>
        <w:snapToGrid w:val="0"/>
        <w:spacing w:line="360" w:lineRule="auto"/>
        <w:ind w:leftChars="800" w:left="1680"/>
        <w:rPr>
          <w:rFonts w:asciiTheme="minorEastAsia" w:eastAsiaTheme="minorEastAsia" w:hAnsiTheme="minorEastAsia"/>
          <w:color w:val="000000" w:themeColor="text1"/>
          <w:sz w:val="30"/>
          <w:szCs w:val="30"/>
        </w:rPr>
      </w:pPr>
    </w:p>
    <w:p w:rsidR="00BA4B87" w:rsidRPr="00CD6F5B" w:rsidRDefault="00BA4B87" w:rsidP="00CC1421">
      <w:pPr>
        <w:snapToGrid w:val="0"/>
        <w:spacing w:line="360" w:lineRule="auto"/>
        <w:ind w:leftChars="800" w:left="1680"/>
        <w:rPr>
          <w:rFonts w:asciiTheme="minorEastAsia" w:eastAsiaTheme="minorEastAsia" w:hAnsiTheme="minorEastAsia"/>
          <w:color w:val="000000" w:themeColor="text1"/>
          <w:sz w:val="30"/>
          <w:szCs w:val="30"/>
        </w:rPr>
      </w:pPr>
    </w:p>
    <w:p w:rsidR="00CC1421" w:rsidRPr="00CD6F5B" w:rsidRDefault="00CC1421" w:rsidP="00CC1421">
      <w:pPr>
        <w:snapToGrid w:val="0"/>
        <w:spacing w:line="360" w:lineRule="auto"/>
        <w:ind w:leftChars="800" w:left="1680"/>
        <w:rPr>
          <w:rFonts w:asciiTheme="minorEastAsia" w:eastAsiaTheme="minorEastAsia" w:hAnsiTheme="minorEastAsia"/>
          <w:color w:val="000000" w:themeColor="text1"/>
          <w:sz w:val="30"/>
          <w:szCs w:val="30"/>
        </w:rPr>
      </w:pPr>
    </w:p>
    <w:p w:rsidR="00CC1421" w:rsidRPr="00CD6F5B" w:rsidRDefault="00CC1421" w:rsidP="00CC1421">
      <w:pPr>
        <w:snapToGrid w:val="0"/>
        <w:spacing w:line="360" w:lineRule="auto"/>
        <w:ind w:leftChars="800" w:left="1680"/>
        <w:rPr>
          <w:rFonts w:asciiTheme="minorEastAsia" w:eastAsiaTheme="minorEastAsia" w:hAnsiTheme="minorEastAsia"/>
          <w:color w:val="000000" w:themeColor="text1"/>
          <w:sz w:val="30"/>
          <w:szCs w:val="30"/>
        </w:rPr>
      </w:pPr>
    </w:p>
    <w:p w:rsidR="00E33B92" w:rsidRPr="00CD6F5B" w:rsidRDefault="00E33B92" w:rsidP="00CC1421">
      <w:pPr>
        <w:snapToGrid w:val="0"/>
        <w:spacing w:line="360" w:lineRule="auto"/>
        <w:ind w:leftChars="800" w:left="1680"/>
        <w:rPr>
          <w:rFonts w:asciiTheme="minorEastAsia" w:eastAsiaTheme="minorEastAsia" w:hAnsiTheme="minorEastAsia"/>
          <w:color w:val="000000" w:themeColor="text1"/>
          <w:sz w:val="30"/>
          <w:szCs w:val="30"/>
        </w:rPr>
      </w:pPr>
    </w:p>
    <w:p w:rsidR="00BA4B87" w:rsidRPr="00CD6F5B" w:rsidRDefault="00BA4B87" w:rsidP="00CC1421">
      <w:pPr>
        <w:snapToGrid w:val="0"/>
        <w:spacing w:line="360" w:lineRule="auto"/>
        <w:ind w:leftChars="686" w:left="1679" w:hangingChars="74" w:hanging="238"/>
        <w:rPr>
          <w:rFonts w:asciiTheme="minorEastAsia" w:eastAsiaTheme="minorEastAsia" w:hAnsiTheme="minorEastAsia"/>
          <w:b/>
          <w:color w:val="000000" w:themeColor="text1"/>
          <w:sz w:val="32"/>
          <w:szCs w:val="32"/>
        </w:rPr>
      </w:pPr>
      <w:r w:rsidRPr="00CD6F5B">
        <w:rPr>
          <w:rFonts w:asciiTheme="minorEastAsia" w:eastAsiaTheme="minorEastAsia" w:hAnsiTheme="minorEastAsia" w:hint="eastAsia"/>
          <w:b/>
          <w:color w:val="000000" w:themeColor="text1"/>
          <w:sz w:val="32"/>
          <w:szCs w:val="32"/>
        </w:rPr>
        <w:t>基金管理人：</w:t>
      </w:r>
      <w:r w:rsidR="00E9191D" w:rsidRPr="00CD6F5B">
        <w:rPr>
          <w:rFonts w:asciiTheme="minorEastAsia" w:eastAsiaTheme="minorEastAsia" w:hAnsiTheme="minorEastAsia" w:hint="eastAsia"/>
          <w:b/>
          <w:bCs/>
          <w:color w:val="000000" w:themeColor="text1"/>
          <w:sz w:val="28"/>
        </w:rPr>
        <w:t>易方达基金管理有限公司</w:t>
      </w:r>
    </w:p>
    <w:p w:rsidR="00BA4B87" w:rsidRPr="00CD6F5B" w:rsidRDefault="00BA4B87" w:rsidP="00CC1421">
      <w:pPr>
        <w:snapToGrid w:val="0"/>
        <w:spacing w:line="360" w:lineRule="auto"/>
        <w:ind w:leftChars="685" w:left="1438"/>
        <w:rPr>
          <w:rFonts w:asciiTheme="minorEastAsia" w:eastAsiaTheme="minorEastAsia" w:hAnsiTheme="minorEastAsia"/>
          <w:b/>
          <w:color w:val="000000" w:themeColor="text1"/>
          <w:sz w:val="32"/>
          <w:szCs w:val="32"/>
        </w:rPr>
      </w:pPr>
      <w:r w:rsidRPr="00CD6F5B">
        <w:rPr>
          <w:rFonts w:asciiTheme="minorEastAsia" w:eastAsiaTheme="minorEastAsia" w:hAnsiTheme="minorEastAsia" w:hint="eastAsia"/>
          <w:b/>
          <w:color w:val="000000" w:themeColor="text1"/>
          <w:sz w:val="32"/>
          <w:szCs w:val="32"/>
        </w:rPr>
        <w:t>基金托管人：</w:t>
      </w:r>
      <w:r w:rsidR="00E9191D" w:rsidRPr="00CD6F5B">
        <w:rPr>
          <w:rFonts w:asciiTheme="minorEastAsia" w:eastAsiaTheme="minorEastAsia" w:hAnsiTheme="minorEastAsia" w:hint="eastAsia"/>
          <w:b/>
          <w:bCs/>
          <w:color w:val="000000" w:themeColor="text1"/>
          <w:sz w:val="28"/>
        </w:rPr>
        <w:t>上海浦东发展银行股份有限公司</w:t>
      </w:r>
    </w:p>
    <w:p w:rsidR="00BA4B87" w:rsidRPr="00CD6F5B" w:rsidRDefault="00BA4B87" w:rsidP="00CC1421">
      <w:pPr>
        <w:snapToGrid w:val="0"/>
        <w:spacing w:line="360" w:lineRule="auto"/>
        <w:ind w:firstLine="561"/>
        <w:rPr>
          <w:rFonts w:asciiTheme="minorEastAsia" w:eastAsiaTheme="minorEastAsia" w:hAnsiTheme="minorEastAsia"/>
          <w:b/>
          <w:color w:val="000000" w:themeColor="text1"/>
          <w:sz w:val="24"/>
        </w:rPr>
      </w:pPr>
    </w:p>
    <w:p w:rsidR="0014139C" w:rsidRPr="00CD6F5B" w:rsidRDefault="0014139C" w:rsidP="009C68F1">
      <w:pPr>
        <w:widowControl/>
        <w:jc w:val="center"/>
        <w:rPr>
          <w:rFonts w:asciiTheme="minorEastAsia" w:eastAsiaTheme="minorEastAsia" w:hAnsiTheme="minorEastAsia"/>
          <w:b/>
          <w:bCs/>
          <w:color w:val="000000" w:themeColor="text1"/>
          <w:sz w:val="28"/>
        </w:rPr>
      </w:pPr>
      <w:r w:rsidRPr="00CD6F5B">
        <w:rPr>
          <w:rFonts w:asciiTheme="minorEastAsia" w:eastAsiaTheme="minorEastAsia" w:hAnsiTheme="minorEastAsia" w:hint="eastAsia"/>
          <w:b/>
          <w:bCs/>
          <w:color w:val="000000" w:themeColor="text1"/>
          <w:sz w:val="28"/>
        </w:rPr>
        <w:t>二○二</w:t>
      </w:r>
      <w:r w:rsidR="00D04174" w:rsidRPr="00CD6F5B">
        <w:rPr>
          <w:rFonts w:asciiTheme="minorEastAsia" w:eastAsiaTheme="minorEastAsia" w:hAnsiTheme="minorEastAsia"/>
          <w:b/>
          <w:bCs/>
          <w:color w:val="000000" w:themeColor="text1"/>
          <w:sz w:val="28"/>
        </w:rPr>
        <w:t>一</w:t>
      </w:r>
      <w:r w:rsidRPr="00CD6F5B">
        <w:rPr>
          <w:rFonts w:asciiTheme="minorEastAsia" w:eastAsiaTheme="minorEastAsia" w:hAnsiTheme="minorEastAsia" w:hint="eastAsia"/>
          <w:b/>
          <w:bCs/>
          <w:color w:val="000000" w:themeColor="text1"/>
          <w:sz w:val="28"/>
        </w:rPr>
        <w:t>年</w:t>
      </w:r>
      <w:r w:rsidR="00D04174" w:rsidRPr="00CD6F5B">
        <w:rPr>
          <w:rFonts w:asciiTheme="minorEastAsia" w:eastAsiaTheme="minorEastAsia" w:hAnsiTheme="minorEastAsia"/>
          <w:b/>
          <w:bCs/>
          <w:color w:val="000000" w:themeColor="text1"/>
          <w:sz w:val="28"/>
        </w:rPr>
        <w:t>九</w:t>
      </w:r>
      <w:r w:rsidRPr="00CD6F5B">
        <w:rPr>
          <w:rFonts w:asciiTheme="minorEastAsia" w:eastAsiaTheme="minorEastAsia" w:hAnsiTheme="minorEastAsia" w:hint="eastAsia"/>
          <w:b/>
          <w:bCs/>
          <w:color w:val="000000" w:themeColor="text1"/>
          <w:sz w:val="28"/>
        </w:rPr>
        <w:t>月</w:t>
      </w:r>
    </w:p>
    <w:p w:rsidR="00034824" w:rsidRPr="00CD6F5B" w:rsidRDefault="00034824">
      <w:pPr>
        <w:widowControl/>
        <w:jc w:val="left"/>
        <w:rPr>
          <w:rFonts w:asciiTheme="minorEastAsia" w:eastAsiaTheme="minorEastAsia" w:hAnsiTheme="minorEastAsia"/>
          <w:b/>
          <w:bCs/>
          <w:color w:val="000000" w:themeColor="text1"/>
          <w:sz w:val="28"/>
        </w:rPr>
      </w:pPr>
      <w:r w:rsidRPr="00CD6F5B">
        <w:rPr>
          <w:rFonts w:asciiTheme="minorEastAsia" w:eastAsiaTheme="minorEastAsia" w:hAnsiTheme="minorEastAsia"/>
          <w:b/>
          <w:bCs/>
          <w:color w:val="000000" w:themeColor="text1"/>
          <w:sz w:val="28"/>
        </w:rPr>
        <w:br w:type="page"/>
      </w:r>
    </w:p>
    <w:p w:rsidR="00BA4B87" w:rsidRPr="00CD6F5B" w:rsidRDefault="00BA4B87" w:rsidP="00CC1421">
      <w:pPr>
        <w:snapToGrid w:val="0"/>
        <w:spacing w:line="360" w:lineRule="auto"/>
        <w:jc w:val="center"/>
        <w:rPr>
          <w:rFonts w:asciiTheme="minorEastAsia" w:eastAsiaTheme="minorEastAsia" w:hAnsiTheme="minorEastAsia"/>
          <w:b/>
          <w:color w:val="000000" w:themeColor="text1"/>
          <w:sz w:val="28"/>
          <w:szCs w:val="28"/>
        </w:rPr>
      </w:pPr>
      <w:r w:rsidRPr="00CD6F5B">
        <w:rPr>
          <w:rFonts w:asciiTheme="minorEastAsia" w:eastAsiaTheme="minorEastAsia" w:hAnsiTheme="minorEastAsia"/>
          <w:b/>
          <w:color w:val="000000" w:themeColor="text1"/>
          <w:sz w:val="28"/>
          <w:szCs w:val="28"/>
        </w:rPr>
        <w:lastRenderedPageBreak/>
        <w:t>重要提示</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本基金根据2016年1月5日中国证券监督管理委员会《关于准予易方达裕祥回报债券型证券投资基金注册的批复》（证监许可[2016]13号）进行募集。本基金基金合同于2016年1月22日正式生效。</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保证《招募说明书》的内容真实、准确、完整。本基金经中国证监会注册，但中国证监会对本基金募集的注册，并不表明其对本基金的投资价值、市场前景和收益作出实质性判断或保证，也不表明投资于本基金没有风险。</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基金管理人依照恪尽职守、诚实信用、谨慎勤勉的原则管理和运用基金财产，但不保证基金一定盈利，也不保证最低收益。</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本基金投资于证券市场，基金净值会因为证券市场波动等因素产生波动。投资有风险，投资者在投资本基金前，</w:t>
      </w:r>
      <w:r w:rsidR="00745B1C" w:rsidRPr="00CD6F5B">
        <w:rPr>
          <w:rFonts w:asciiTheme="minorEastAsia" w:eastAsiaTheme="minorEastAsia" w:hAnsiTheme="minorEastAsia" w:hint="eastAsia"/>
          <w:color w:val="000000" w:themeColor="text1"/>
        </w:rPr>
        <w:t>请认真阅读本基金的招募说明书、基金合同和基金产品资料概要等信息披露文件</w:t>
      </w:r>
      <w:r w:rsidRPr="00CD6F5B">
        <w:rPr>
          <w:rFonts w:asciiTheme="minorEastAsia" w:eastAsiaTheme="minorEastAsia" w:hAnsiTheme="minorEastAsia"/>
          <w:color w:val="000000" w:themeColor="text1"/>
        </w:rPr>
        <w:t>，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风险包括：证券市场整体环境引发的系统性风险；个别证券特有的非系统性风险；流动性风险</w:t>
      </w:r>
      <w:r w:rsidR="00747B5D" w:rsidRPr="00CD6F5B">
        <w:rPr>
          <w:rFonts w:asciiTheme="minorEastAsia" w:eastAsiaTheme="minorEastAsia" w:hAnsiTheme="minorEastAsia" w:hint="eastAsia"/>
          <w:color w:val="000000" w:themeColor="text1"/>
        </w:rPr>
        <w:t>（包括但不限于特定投资标的流动性较差风险、巨额赎回风险、启用摆动定价或侧袋机制等流动性风险管理工具带来的风险等）</w:t>
      </w:r>
      <w:r w:rsidRPr="00CD6F5B">
        <w:rPr>
          <w:rFonts w:asciiTheme="minorEastAsia" w:eastAsiaTheme="minorEastAsia" w:hAnsiTheme="minorEastAsia"/>
          <w:color w:val="000000" w:themeColor="text1"/>
        </w:rPr>
        <w:t>；</w:t>
      </w:r>
      <w:r w:rsidR="00FA443A" w:rsidRPr="00CD6F5B">
        <w:rPr>
          <w:rFonts w:asciiTheme="minorEastAsia" w:eastAsiaTheme="minorEastAsia" w:hAnsiTheme="minorEastAsia" w:hint="eastAsia"/>
          <w:color w:val="000000" w:themeColor="text1"/>
        </w:rPr>
        <w:t>本基金法律文件中涉及基金风险特征的表述与销售机构对基金的风险评级可能不一致的风险</w:t>
      </w:r>
      <w:r w:rsidR="00470183" w:rsidRPr="00CD6F5B">
        <w:rPr>
          <w:rFonts w:asciiTheme="minorEastAsia" w:eastAsiaTheme="minorEastAsia" w:hAnsiTheme="minorEastAsia"/>
          <w:color w:val="000000" w:themeColor="text1"/>
        </w:rPr>
        <w:t>；</w:t>
      </w:r>
      <w:r w:rsidRPr="00CD6F5B">
        <w:rPr>
          <w:rFonts w:asciiTheme="minorEastAsia" w:eastAsiaTheme="minorEastAsia" w:hAnsiTheme="minorEastAsia"/>
          <w:color w:val="000000" w:themeColor="text1"/>
        </w:rPr>
        <w:t>基金投资过程中产生的操作风险；因交收违约和投资债券引发的信用风险；本基金投资范围包括</w:t>
      </w:r>
      <w:r w:rsidR="0067715B" w:rsidRPr="00CD6F5B">
        <w:rPr>
          <w:rFonts w:asciiTheme="minorEastAsia" w:eastAsiaTheme="minorEastAsia" w:hAnsiTheme="minorEastAsia" w:hint="eastAsia"/>
          <w:color w:val="000000" w:themeColor="text1"/>
        </w:rPr>
        <w:t>科创板股票、</w:t>
      </w:r>
      <w:r w:rsidRPr="00CD6F5B">
        <w:rPr>
          <w:rFonts w:asciiTheme="minorEastAsia" w:eastAsiaTheme="minorEastAsia" w:hAnsiTheme="minorEastAsia"/>
          <w:color w:val="000000" w:themeColor="text1"/>
        </w:rPr>
        <w:t>中小企业私募债、证券公司短期公司债券</w:t>
      </w:r>
      <w:r w:rsidR="009A5D65" w:rsidRPr="00CD6F5B">
        <w:rPr>
          <w:rFonts w:asciiTheme="minorEastAsia" w:eastAsiaTheme="minorEastAsia" w:hAnsiTheme="minorEastAsia"/>
          <w:color w:val="000000" w:themeColor="text1"/>
        </w:rPr>
        <w:t>、</w:t>
      </w:r>
      <w:r w:rsidR="009A5D65" w:rsidRPr="00CD6F5B">
        <w:rPr>
          <w:rFonts w:asciiTheme="minorEastAsia" w:eastAsiaTheme="minorEastAsia" w:hAnsiTheme="minorEastAsia" w:hint="eastAsia"/>
          <w:color w:val="000000" w:themeColor="text1"/>
        </w:rPr>
        <w:t>存托凭证</w:t>
      </w:r>
      <w:r w:rsidRPr="00CD6F5B">
        <w:rPr>
          <w:rFonts w:asciiTheme="minorEastAsia" w:eastAsiaTheme="minorEastAsia" w:hAnsiTheme="minorEastAsia"/>
          <w:color w:val="000000" w:themeColor="text1"/>
        </w:rPr>
        <w:t>等品种，可能给本基金带来额外风险；债券市场系统性风险；股票市场风险等。本基金的具体运作特点详见基金合同和招募说明书的约定。本基金的一般风险及特有风险详见本招募说明书的“风险揭示”部分。</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本基金为债券型基金，理论上其预期风险收益水平低于股票型基金、混合型基金，高于货币市场基金。</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提醒投资者基金投资的“买者自负”原则，在投资者作出投资决策后，基金运营状况与基金净值变化引致的投资风险，由投资者自行负责。此外，本基金以1元初始面值进行募集，在市场波动等因素的影响下，存在单位份额净值跌破1元初始面值的风险。</w:t>
      </w:r>
    </w:p>
    <w:p w:rsidR="0048496B" w:rsidRPr="00CD6F5B" w:rsidRDefault="004A0413">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基金不同于银行储蓄，基金投资人有可能获得较高的收益，也有可能损失本金。投资有风险，投资人在进行投资决策前，请仔细阅读本基金的《招募说明书》及《基金合同》。</w:t>
      </w:r>
    </w:p>
    <w:p w:rsidR="008860D6" w:rsidRPr="00CD6F5B" w:rsidRDefault="00B94B06" w:rsidP="00AC4485">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基金的过往业绩并不预示其未来表现，基金管理人管理的其他基金的业绩并不构成对本基金表现的保证。</w:t>
      </w:r>
    </w:p>
    <w:p w:rsidR="008E1252" w:rsidRPr="00CD6F5B" w:rsidRDefault="00D04174" w:rsidP="008E1252">
      <w:pPr>
        <w:adjustRightInd w:val="0"/>
        <w:snapToGrid w:val="0"/>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本基金本次更新招募说明书对基金经理及基金管理人章节相关信息进行更新，相关信息更新截止日为2021年9月8日。</w:t>
      </w:r>
      <w:r w:rsidR="0014139C" w:rsidRPr="00CD6F5B">
        <w:rPr>
          <w:rFonts w:asciiTheme="minorEastAsia" w:eastAsiaTheme="minorEastAsia" w:hAnsiTheme="minorEastAsia" w:hint="eastAsia"/>
          <w:color w:val="000000" w:themeColor="text1"/>
        </w:rPr>
        <w:t>本基金基金合同及托管协议修订更新截止日为2020年12月18日。除非另有说明，本招募说明书其他所载内容截止日为</w:t>
      </w:r>
      <w:r w:rsidR="009F629F" w:rsidRPr="00CD6F5B">
        <w:rPr>
          <w:rFonts w:asciiTheme="minorEastAsia" w:eastAsiaTheme="minorEastAsia" w:hAnsiTheme="minorEastAsia" w:hint="eastAsia"/>
          <w:color w:val="000000" w:themeColor="text1"/>
        </w:rPr>
        <w:t>2020年10月17日</w:t>
      </w:r>
      <w:r w:rsidR="006307BC" w:rsidRPr="00CD6F5B">
        <w:rPr>
          <w:rFonts w:asciiTheme="minorEastAsia" w:eastAsiaTheme="minorEastAsia" w:hAnsiTheme="minorEastAsia" w:hint="eastAsia"/>
          <w:color w:val="000000" w:themeColor="text1"/>
        </w:rPr>
        <w:t>，</w:t>
      </w:r>
      <w:r w:rsidR="009F629F" w:rsidRPr="00CD6F5B">
        <w:rPr>
          <w:rFonts w:asciiTheme="minorEastAsia" w:eastAsiaTheme="minorEastAsia" w:hAnsiTheme="minorEastAsia" w:hint="eastAsia"/>
          <w:color w:val="000000" w:themeColor="text1"/>
        </w:rPr>
        <w:t>有关财</w:t>
      </w:r>
      <w:r w:rsidR="009F629F" w:rsidRPr="00CD6F5B">
        <w:rPr>
          <w:rFonts w:asciiTheme="minorEastAsia" w:eastAsiaTheme="minorEastAsia" w:hAnsiTheme="minorEastAsia" w:hint="eastAsia"/>
          <w:color w:val="000000" w:themeColor="text1"/>
        </w:rPr>
        <w:lastRenderedPageBreak/>
        <w:t>务数据截止日为2020年6月30日</w:t>
      </w:r>
      <w:r w:rsidR="006307BC" w:rsidRPr="00CD6F5B">
        <w:rPr>
          <w:rFonts w:asciiTheme="minorEastAsia" w:eastAsiaTheme="minorEastAsia" w:hAnsiTheme="minorEastAsia" w:hint="eastAsia"/>
          <w:color w:val="000000" w:themeColor="text1"/>
        </w:rPr>
        <w:t>，</w:t>
      </w:r>
      <w:r w:rsidR="009F629F" w:rsidRPr="00CD6F5B">
        <w:rPr>
          <w:rFonts w:asciiTheme="minorEastAsia" w:eastAsiaTheme="minorEastAsia" w:hAnsiTheme="minorEastAsia" w:hint="eastAsia"/>
          <w:color w:val="000000" w:themeColor="text1"/>
        </w:rPr>
        <w:t>净值表现截止日为</w:t>
      </w:r>
      <w:r w:rsidR="002A31B3" w:rsidRPr="00CD6F5B">
        <w:rPr>
          <w:rFonts w:asciiTheme="minorEastAsia" w:eastAsiaTheme="minorEastAsia" w:hAnsiTheme="minorEastAsia" w:hint="eastAsia"/>
          <w:color w:val="000000" w:themeColor="text1"/>
        </w:rPr>
        <w:t>2019年12月31日</w:t>
      </w:r>
      <w:r w:rsidR="006307BC" w:rsidRPr="00CD6F5B">
        <w:rPr>
          <w:rFonts w:asciiTheme="minorEastAsia" w:eastAsiaTheme="minorEastAsia" w:hAnsiTheme="minorEastAsia" w:hint="eastAsia"/>
          <w:color w:val="000000" w:themeColor="text1"/>
        </w:rPr>
        <w:t>。（本报告中财务数据未经审计）</w:t>
      </w:r>
    </w:p>
    <w:p w:rsidR="00B17F70" w:rsidRPr="00CD6F5B" w:rsidRDefault="00B17F70" w:rsidP="00CC1421">
      <w:pPr>
        <w:adjustRightInd w:val="0"/>
        <w:snapToGrid w:val="0"/>
        <w:spacing w:line="360" w:lineRule="auto"/>
        <w:jc w:val="center"/>
        <w:rPr>
          <w:rFonts w:asciiTheme="minorEastAsia" w:eastAsiaTheme="minorEastAsia" w:hAnsiTheme="minorEastAsia"/>
          <w:color w:val="000000" w:themeColor="text1"/>
          <w:sz w:val="30"/>
        </w:rPr>
        <w:sectPr w:rsidR="00B17F70" w:rsidRPr="00CD6F5B" w:rsidSect="009E408C">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851" w:footer="992" w:gutter="0"/>
          <w:pgNumType w:fmt="upperRoman" w:start="1"/>
          <w:cols w:space="720"/>
          <w:docGrid w:type="lines" w:linePitch="317"/>
        </w:sectPr>
      </w:pPr>
    </w:p>
    <w:p w:rsidR="00BA4B87" w:rsidRPr="00CD6F5B" w:rsidRDefault="00BA4B87" w:rsidP="00CC1421">
      <w:pPr>
        <w:adjustRightInd w:val="0"/>
        <w:snapToGrid w:val="0"/>
        <w:spacing w:line="360" w:lineRule="auto"/>
        <w:jc w:val="center"/>
        <w:rPr>
          <w:rFonts w:asciiTheme="minorEastAsia" w:eastAsiaTheme="minorEastAsia" w:hAnsiTheme="minorEastAsia"/>
          <w:color w:val="000000" w:themeColor="text1"/>
          <w:sz w:val="30"/>
        </w:rPr>
      </w:pPr>
      <w:r w:rsidRPr="00CD6F5B">
        <w:rPr>
          <w:rFonts w:asciiTheme="minorEastAsia" w:eastAsiaTheme="minorEastAsia" w:hAnsiTheme="minorEastAsia" w:hint="eastAsia"/>
          <w:color w:val="000000" w:themeColor="text1"/>
          <w:sz w:val="30"/>
        </w:rPr>
        <w:lastRenderedPageBreak/>
        <w:t>目录</w:t>
      </w:r>
    </w:p>
    <w:p w:rsidR="00BA4B87" w:rsidRPr="00CD6F5B" w:rsidRDefault="00BA4B87" w:rsidP="00CC1421">
      <w:pPr>
        <w:adjustRightInd w:val="0"/>
        <w:snapToGrid w:val="0"/>
        <w:spacing w:line="360" w:lineRule="auto"/>
        <w:ind w:firstLine="480"/>
        <w:jc w:val="center"/>
        <w:rPr>
          <w:rFonts w:asciiTheme="minorEastAsia" w:eastAsiaTheme="minorEastAsia" w:hAnsiTheme="minorEastAsia"/>
          <w:b/>
          <w:color w:val="000000" w:themeColor="text1"/>
        </w:rPr>
      </w:pPr>
    </w:p>
    <w:p w:rsidR="0021754D" w:rsidRDefault="005777D1">
      <w:pPr>
        <w:pStyle w:val="10"/>
        <w:rPr>
          <w:rFonts w:asciiTheme="minorHAnsi" w:eastAsiaTheme="minorEastAsia" w:hAnsiTheme="minorHAnsi" w:cstheme="minorBidi"/>
          <w:caps w:val="0"/>
          <w:color w:val="auto"/>
          <w:sz w:val="21"/>
          <w:szCs w:val="22"/>
        </w:rPr>
      </w:pPr>
      <w:r w:rsidRPr="00CD6F5B">
        <w:rPr>
          <w:rFonts w:asciiTheme="minorEastAsia" w:eastAsiaTheme="minorEastAsia" w:hAnsiTheme="minorEastAsia"/>
          <w:b/>
          <w:caps w:val="0"/>
          <w:color w:val="000000" w:themeColor="text1"/>
        </w:rPr>
        <w:fldChar w:fldCharType="begin"/>
      </w:r>
      <w:r w:rsidR="00BA1E8F" w:rsidRPr="00CD6F5B">
        <w:rPr>
          <w:rFonts w:asciiTheme="minorEastAsia" w:eastAsiaTheme="minorEastAsia" w:hAnsiTheme="minorEastAsia"/>
          <w:b/>
          <w:caps w:val="0"/>
          <w:color w:val="000000" w:themeColor="text1"/>
        </w:rPr>
        <w:instrText xml:space="preserve"> TOC \o "1-1" \h \z \u </w:instrText>
      </w:r>
      <w:r w:rsidRPr="00CD6F5B">
        <w:rPr>
          <w:rFonts w:asciiTheme="minorEastAsia" w:eastAsiaTheme="minorEastAsia" w:hAnsiTheme="minorEastAsia"/>
          <w:b/>
          <w:caps w:val="0"/>
          <w:color w:val="000000" w:themeColor="text1"/>
        </w:rPr>
        <w:fldChar w:fldCharType="separate"/>
      </w:r>
      <w:hyperlink w:anchor="_Toc82186580" w:history="1">
        <w:r w:rsidR="0021754D" w:rsidRPr="00AB4CA1">
          <w:rPr>
            <w:rStyle w:val="a5"/>
            <w:rFonts w:asciiTheme="minorEastAsia" w:hAnsiTheme="minorEastAsia" w:hint="eastAsia"/>
          </w:rPr>
          <w:t>一、绪言</w:t>
        </w:r>
        <w:r w:rsidR="0021754D">
          <w:rPr>
            <w:webHidden/>
          </w:rPr>
          <w:tab/>
        </w:r>
        <w:r w:rsidR="0021754D">
          <w:rPr>
            <w:webHidden/>
          </w:rPr>
          <w:fldChar w:fldCharType="begin"/>
        </w:r>
        <w:r w:rsidR="0021754D">
          <w:rPr>
            <w:webHidden/>
          </w:rPr>
          <w:instrText xml:space="preserve"> PAGEREF _Toc82186580 \h </w:instrText>
        </w:r>
        <w:r w:rsidR="0021754D">
          <w:rPr>
            <w:webHidden/>
          </w:rPr>
        </w:r>
        <w:r w:rsidR="0021754D">
          <w:rPr>
            <w:webHidden/>
          </w:rPr>
          <w:fldChar w:fldCharType="separate"/>
        </w:r>
        <w:r w:rsidR="0021754D">
          <w:rPr>
            <w:webHidden/>
          </w:rPr>
          <w:t>1</w:t>
        </w:r>
        <w:r w:rsidR="0021754D">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1" w:history="1">
        <w:r w:rsidRPr="00AB4CA1">
          <w:rPr>
            <w:rStyle w:val="a5"/>
            <w:rFonts w:asciiTheme="minorEastAsia" w:hAnsiTheme="minorEastAsia" w:hint="eastAsia"/>
          </w:rPr>
          <w:t>二、释义</w:t>
        </w:r>
        <w:r>
          <w:rPr>
            <w:webHidden/>
          </w:rPr>
          <w:tab/>
        </w:r>
        <w:r>
          <w:rPr>
            <w:webHidden/>
          </w:rPr>
          <w:fldChar w:fldCharType="begin"/>
        </w:r>
        <w:r>
          <w:rPr>
            <w:webHidden/>
          </w:rPr>
          <w:instrText xml:space="preserve"> PAGEREF _Toc82186581 \h </w:instrText>
        </w:r>
        <w:r>
          <w:rPr>
            <w:webHidden/>
          </w:rPr>
        </w:r>
        <w:r>
          <w:rPr>
            <w:webHidden/>
          </w:rPr>
          <w:fldChar w:fldCharType="separate"/>
        </w:r>
        <w:r>
          <w:rPr>
            <w:webHidden/>
          </w:rPr>
          <w:t>2</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2" w:history="1">
        <w:r w:rsidRPr="00AB4CA1">
          <w:rPr>
            <w:rStyle w:val="a5"/>
            <w:rFonts w:asciiTheme="minorEastAsia" w:hAnsiTheme="minorEastAsia" w:hint="eastAsia"/>
          </w:rPr>
          <w:t>三、基金管理人</w:t>
        </w:r>
        <w:r>
          <w:rPr>
            <w:webHidden/>
          </w:rPr>
          <w:tab/>
        </w:r>
        <w:r>
          <w:rPr>
            <w:webHidden/>
          </w:rPr>
          <w:fldChar w:fldCharType="begin"/>
        </w:r>
        <w:r>
          <w:rPr>
            <w:webHidden/>
          </w:rPr>
          <w:instrText xml:space="preserve"> PAGEREF _Toc82186582 \h </w:instrText>
        </w:r>
        <w:r>
          <w:rPr>
            <w:webHidden/>
          </w:rPr>
        </w:r>
        <w:r>
          <w:rPr>
            <w:webHidden/>
          </w:rPr>
          <w:fldChar w:fldCharType="separate"/>
        </w:r>
        <w:r>
          <w:rPr>
            <w:webHidden/>
          </w:rPr>
          <w:t>6</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3" w:history="1">
        <w:r w:rsidRPr="00AB4CA1">
          <w:rPr>
            <w:rStyle w:val="a5"/>
            <w:rFonts w:asciiTheme="minorEastAsia" w:hAnsiTheme="minorEastAsia" w:hint="eastAsia"/>
          </w:rPr>
          <w:t>四、基金托管人</w:t>
        </w:r>
        <w:r>
          <w:rPr>
            <w:webHidden/>
          </w:rPr>
          <w:tab/>
        </w:r>
        <w:r>
          <w:rPr>
            <w:webHidden/>
          </w:rPr>
          <w:fldChar w:fldCharType="begin"/>
        </w:r>
        <w:r>
          <w:rPr>
            <w:webHidden/>
          </w:rPr>
          <w:instrText xml:space="preserve"> PAGEREF _Toc82186583 \h </w:instrText>
        </w:r>
        <w:r>
          <w:rPr>
            <w:webHidden/>
          </w:rPr>
        </w:r>
        <w:r>
          <w:rPr>
            <w:webHidden/>
          </w:rPr>
          <w:fldChar w:fldCharType="separate"/>
        </w:r>
        <w:r>
          <w:rPr>
            <w:webHidden/>
          </w:rPr>
          <w:t>20</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4" w:history="1">
        <w:r w:rsidRPr="00AB4CA1">
          <w:rPr>
            <w:rStyle w:val="a5"/>
            <w:rFonts w:asciiTheme="minorEastAsia" w:hAnsiTheme="minorEastAsia" w:hint="eastAsia"/>
          </w:rPr>
          <w:t>五、相关服务机构</w:t>
        </w:r>
        <w:r>
          <w:rPr>
            <w:webHidden/>
          </w:rPr>
          <w:tab/>
        </w:r>
        <w:r>
          <w:rPr>
            <w:webHidden/>
          </w:rPr>
          <w:fldChar w:fldCharType="begin"/>
        </w:r>
        <w:r>
          <w:rPr>
            <w:webHidden/>
          </w:rPr>
          <w:instrText xml:space="preserve"> PAGEREF _Toc82186584 \h </w:instrText>
        </w:r>
        <w:r>
          <w:rPr>
            <w:webHidden/>
          </w:rPr>
        </w:r>
        <w:r>
          <w:rPr>
            <w:webHidden/>
          </w:rPr>
          <w:fldChar w:fldCharType="separate"/>
        </w:r>
        <w:r>
          <w:rPr>
            <w:webHidden/>
          </w:rPr>
          <w:t>28</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5" w:history="1">
        <w:r w:rsidRPr="00AB4CA1">
          <w:rPr>
            <w:rStyle w:val="a5"/>
            <w:rFonts w:asciiTheme="minorEastAsia" w:hAnsiTheme="minorEastAsia" w:hint="eastAsia"/>
            <w:bCs/>
          </w:rPr>
          <w:t>六、基金的募集</w:t>
        </w:r>
        <w:r>
          <w:rPr>
            <w:webHidden/>
          </w:rPr>
          <w:tab/>
        </w:r>
        <w:r>
          <w:rPr>
            <w:webHidden/>
          </w:rPr>
          <w:fldChar w:fldCharType="begin"/>
        </w:r>
        <w:r>
          <w:rPr>
            <w:webHidden/>
          </w:rPr>
          <w:instrText xml:space="preserve"> PAGEREF _Toc82186585 \h </w:instrText>
        </w:r>
        <w:r>
          <w:rPr>
            <w:webHidden/>
          </w:rPr>
        </w:r>
        <w:r>
          <w:rPr>
            <w:webHidden/>
          </w:rPr>
          <w:fldChar w:fldCharType="separate"/>
        </w:r>
        <w:r>
          <w:rPr>
            <w:webHidden/>
          </w:rPr>
          <w:t>35</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6" w:history="1">
        <w:r w:rsidRPr="00AB4CA1">
          <w:rPr>
            <w:rStyle w:val="a5"/>
            <w:rFonts w:asciiTheme="minorEastAsia" w:hAnsiTheme="minorEastAsia" w:hint="eastAsia"/>
            <w:bCs/>
          </w:rPr>
          <w:t>七、基金合同的生效</w:t>
        </w:r>
        <w:r>
          <w:rPr>
            <w:webHidden/>
          </w:rPr>
          <w:tab/>
        </w:r>
        <w:r>
          <w:rPr>
            <w:webHidden/>
          </w:rPr>
          <w:fldChar w:fldCharType="begin"/>
        </w:r>
        <w:r>
          <w:rPr>
            <w:webHidden/>
          </w:rPr>
          <w:instrText xml:space="preserve"> PAGEREF _Toc82186586 \h </w:instrText>
        </w:r>
        <w:r>
          <w:rPr>
            <w:webHidden/>
          </w:rPr>
        </w:r>
        <w:r>
          <w:rPr>
            <w:webHidden/>
          </w:rPr>
          <w:fldChar w:fldCharType="separate"/>
        </w:r>
        <w:r>
          <w:rPr>
            <w:webHidden/>
          </w:rPr>
          <w:t>36</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7" w:history="1">
        <w:r w:rsidRPr="00AB4CA1">
          <w:rPr>
            <w:rStyle w:val="a5"/>
            <w:rFonts w:asciiTheme="minorEastAsia" w:hAnsiTheme="minorEastAsia" w:hint="eastAsia"/>
          </w:rPr>
          <w:t>八、基金份额的申购、赎回</w:t>
        </w:r>
        <w:r>
          <w:rPr>
            <w:webHidden/>
          </w:rPr>
          <w:tab/>
        </w:r>
        <w:r>
          <w:rPr>
            <w:webHidden/>
          </w:rPr>
          <w:fldChar w:fldCharType="begin"/>
        </w:r>
        <w:r>
          <w:rPr>
            <w:webHidden/>
          </w:rPr>
          <w:instrText xml:space="preserve"> PAGEREF _Toc82186587 \h </w:instrText>
        </w:r>
        <w:r>
          <w:rPr>
            <w:webHidden/>
          </w:rPr>
        </w:r>
        <w:r>
          <w:rPr>
            <w:webHidden/>
          </w:rPr>
          <w:fldChar w:fldCharType="separate"/>
        </w:r>
        <w:r>
          <w:rPr>
            <w:webHidden/>
          </w:rPr>
          <w:t>37</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8" w:history="1">
        <w:r w:rsidRPr="00AB4CA1">
          <w:rPr>
            <w:rStyle w:val="a5"/>
            <w:rFonts w:asciiTheme="minorEastAsia" w:hAnsiTheme="minorEastAsia" w:hint="eastAsia"/>
          </w:rPr>
          <w:t>九、基金转换和定期定额投资计划</w:t>
        </w:r>
        <w:r>
          <w:rPr>
            <w:webHidden/>
          </w:rPr>
          <w:tab/>
        </w:r>
        <w:r>
          <w:rPr>
            <w:webHidden/>
          </w:rPr>
          <w:fldChar w:fldCharType="begin"/>
        </w:r>
        <w:r>
          <w:rPr>
            <w:webHidden/>
          </w:rPr>
          <w:instrText xml:space="preserve"> PAGEREF _Toc82186588 \h </w:instrText>
        </w:r>
        <w:r>
          <w:rPr>
            <w:webHidden/>
          </w:rPr>
        </w:r>
        <w:r>
          <w:rPr>
            <w:webHidden/>
          </w:rPr>
          <w:fldChar w:fldCharType="separate"/>
        </w:r>
        <w:r>
          <w:rPr>
            <w:webHidden/>
          </w:rPr>
          <w:t>46</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89" w:history="1">
        <w:r w:rsidRPr="00AB4CA1">
          <w:rPr>
            <w:rStyle w:val="a5"/>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_Toc82186589 \h </w:instrText>
        </w:r>
        <w:r>
          <w:rPr>
            <w:webHidden/>
          </w:rPr>
        </w:r>
        <w:r>
          <w:rPr>
            <w:webHidden/>
          </w:rPr>
          <w:fldChar w:fldCharType="separate"/>
        </w:r>
        <w:r>
          <w:rPr>
            <w:webHidden/>
          </w:rPr>
          <w:t>51</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0" w:history="1">
        <w:r w:rsidRPr="00AB4CA1">
          <w:rPr>
            <w:rStyle w:val="a5"/>
            <w:rFonts w:asciiTheme="minorEastAsia" w:hAnsiTheme="minorEastAsia" w:hint="eastAsia"/>
          </w:rPr>
          <w:t>十一、基金的投资</w:t>
        </w:r>
        <w:r>
          <w:rPr>
            <w:webHidden/>
          </w:rPr>
          <w:tab/>
        </w:r>
        <w:r>
          <w:rPr>
            <w:webHidden/>
          </w:rPr>
          <w:fldChar w:fldCharType="begin"/>
        </w:r>
        <w:r>
          <w:rPr>
            <w:webHidden/>
          </w:rPr>
          <w:instrText xml:space="preserve"> PAGEREF _Toc82186590 \h </w:instrText>
        </w:r>
        <w:r>
          <w:rPr>
            <w:webHidden/>
          </w:rPr>
        </w:r>
        <w:r>
          <w:rPr>
            <w:webHidden/>
          </w:rPr>
          <w:fldChar w:fldCharType="separate"/>
        </w:r>
        <w:r>
          <w:rPr>
            <w:webHidden/>
          </w:rPr>
          <w:t>52</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1" w:history="1">
        <w:r w:rsidRPr="00AB4CA1">
          <w:rPr>
            <w:rStyle w:val="a5"/>
            <w:rFonts w:asciiTheme="minorEastAsia" w:hAnsiTheme="minorEastAsia" w:hint="eastAsia"/>
          </w:rPr>
          <w:t>十二、基金的业绩</w:t>
        </w:r>
        <w:r>
          <w:rPr>
            <w:webHidden/>
          </w:rPr>
          <w:tab/>
        </w:r>
        <w:r>
          <w:rPr>
            <w:webHidden/>
          </w:rPr>
          <w:fldChar w:fldCharType="begin"/>
        </w:r>
        <w:r>
          <w:rPr>
            <w:webHidden/>
          </w:rPr>
          <w:instrText xml:space="preserve"> PAGEREF _Toc82186591 \h </w:instrText>
        </w:r>
        <w:r>
          <w:rPr>
            <w:webHidden/>
          </w:rPr>
        </w:r>
        <w:r>
          <w:rPr>
            <w:webHidden/>
          </w:rPr>
          <w:fldChar w:fldCharType="separate"/>
        </w:r>
        <w:r>
          <w:rPr>
            <w:webHidden/>
          </w:rPr>
          <w:t>65</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2" w:history="1">
        <w:r w:rsidRPr="00AB4CA1">
          <w:rPr>
            <w:rStyle w:val="a5"/>
            <w:rFonts w:asciiTheme="minorEastAsia" w:hAnsiTheme="minorEastAsia" w:hint="eastAsia"/>
          </w:rPr>
          <w:t>十三、基金的财产</w:t>
        </w:r>
        <w:r>
          <w:rPr>
            <w:webHidden/>
          </w:rPr>
          <w:tab/>
        </w:r>
        <w:r>
          <w:rPr>
            <w:webHidden/>
          </w:rPr>
          <w:fldChar w:fldCharType="begin"/>
        </w:r>
        <w:r>
          <w:rPr>
            <w:webHidden/>
          </w:rPr>
          <w:instrText xml:space="preserve"> PAGEREF _Toc82186592 \h </w:instrText>
        </w:r>
        <w:r>
          <w:rPr>
            <w:webHidden/>
          </w:rPr>
        </w:r>
        <w:r>
          <w:rPr>
            <w:webHidden/>
          </w:rPr>
          <w:fldChar w:fldCharType="separate"/>
        </w:r>
        <w:r>
          <w:rPr>
            <w:webHidden/>
          </w:rPr>
          <w:t>66</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3" w:history="1">
        <w:r w:rsidRPr="00AB4CA1">
          <w:rPr>
            <w:rStyle w:val="a5"/>
            <w:rFonts w:asciiTheme="minorEastAsia" w:hAnsiTheme="minorEastAsia" w:hint="eastAsia"/>
          </w:rPr>
          <w:t>十四、基金资产的估值</w:t>
        </w:r>
        <w:r>
          <w:rPr>
            <w:webHidden/>
          </w:rPr>
          <w:tab/>
        </w:r>
        <w:r>
          <w:rPr>
            <w:webHidden/>
          </w:rPr>
          <w:fldChar w:fldCharType="begin"/>
        </w:r>
        <w:r>
          <w:rPr>
            <w:webHidden/>
          </w:rPr>
          <w:instrText xml:space="preserve"> PAGEREF _Toc82186593 \h </w:instrText>
        </w:r>
        <w:r>
          <w:rPr>
            <w:webHidden/>
          </w:rPr>
        </w:r>
        <w:r>
          <w:rPr>
            <w:webHidden/>
          </w:rPr>
          <w:fldChar w:fldCharType="separate"/>
        </w:r>
        <w:r>
          <w:rPr>
            <w:webHidden/>
          </w:rPr>
          <w:t>67</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4" w:history="1">
        <w:r w:rsidRPr="00AB4CA1">
          <w:rPr>
            <w:rStyle w:val="a5"/>
            <w:rFonts w:asciiTheme="minorEastAsia" w:hAnsiTheme="minorEastAsia" w:hint="eastAsia"/>
          </w:rPr>
          <w:t>十五、基金的收益分配</w:t>
        </w:r>
        <w:r>
          <w:rPr>
            <w:webHidden/>
          </w:rPr>
          <w:tab/>
        </w:r>
        <w:r>
          <w:rPr>
            <w:webHidden/>
          </w:rPr>
          <w:fldChar w:fldCharType="begin"/>
        </w:r>
        <w:r>
          <w:rPr>
            <w:webHidden/>
          </w:rPr>
          <w:instrText xml:space="preserve"> PAGEREF _Toc82186594 \h </w:instrText>
        </w:r>
        <w:r>
          <w:rPr>
            <w:webHidden/>
          </w:rPr>
        </w:r>
        <w:r>
          <w:rPr>
            <w:webHidden/>
          </w:rPr>
          <w:fldChar w:fldCharType="separate"/>
        </w:r>
        <w:r>
          <w:rPr>
            <w:webHidden/>
          </w:rPr>
          <w:t>71</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5" w:history="1">
        <w:r w:rsidRPr="00AB4CA1">
          <w:rPr>
            <w:rStyle w:val="a5"/>
            <w:rFonts w:asciiTheme="minorEastAsia" w:hAnsiTheme="minorEastAsia" w:hint="eastAsia"/>
          </w:rPr>
          <w:t>十六、基金的费用与税收</w:t>
        </w:r>
        <w:r>
          <w:rPr>
            <w:webHidden/>
          </w:rPr>
          <w:tab/>
        </w:r>
        <w:r>
          <w:rPr>
            <w:webHidden/>
          </w:rPr>
          <w:fldChar w:fldCharType="begin"/>
        </w:r>
        <w:r>
          <w:rPr>
            <w:webHidden/>
          </w:rPr>
          <w:instrText xml:space="preserve"> PAGEREF _Toc82186595 \h </w:instrText>
        </w:r>
        <w:r>
          <w:rPr>
            <w:webHidden/>
          </w:rPr>
        </w:r>
        <w:r>
          <w:rPr>
            <w:webHidden/>
          </w:rPr>
          <w:fldChar w:fldCharType="separate"/>
        </w:r>
        <w:r>
          <w:rPr>
            <w:webHidden/>
          </w:rPr>
          <w:t>73</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6" w:history="1">
        <w:r w:rsidRPr="00AB4CA1">
          <w:rPr>
            <w:rStyle w:val="a5"/>
            <w:rFonts w:asciiTheme="minorEastAsia" w:hAnsiTheme="minorEastAsia" w:hint="eastAsia"/>
          </w:rPr>
          <w:t>十七、基金的会计与审计</w:t>
        </w:r>
        <w:r>
          <w:rPr>
            <w:webHidden/>
          </w:rPr>
          <w:tab/>
        </w:r>
        <w:r>
          <w:rPr>
            <w:webHidden/>
          </w:rPr>
          <w:fldChar w:fldCharType="begin"/>
        </w:r>
        <w:r>
          <w:rPr>
            <w:webHidden/>
          </w:rPr>
          <w:instrText xml:space="preserve"> PAGEREF _Toc82186596 \h </w:instrText>
        </w:r>
        <w:r>
          <w:rPr>
            <w:webHidden/>
          </w:rPr>
        </w:r>
        <w:r>
          <w:rPr>
            <w:webHidden/>
          </w:rPr>
          <w:fldChar w:fldCharType="separate"/>
        </w:r>
        <w:r>
          <w:rPr>
            <w:webHidden/>
          </w:rPr>
          <w:t>76</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7" w:history="1">
        <w:r w:rsidRPr="00AB4CA1">
          <w:rPr>
            <w:rStyle w:val="a5"/>
            <w:rFonts w:asciiTheme="minorEastAsia" w:hAnsiTheme="minorEastAsia" w:hint="eastAsia"/>
          </w:rPr>
          <w:t>十八、基金的信息披露</w:t>
        </w:r>
        <w:r>
          <w:rPr>
            <w:webHidden/>
          </w:rPr>
          <w:tab/>
        </w:r>
        <w:r>
          <w:rPr>
            <w:webHidden/>
          </w:rPr>
          <w:fldChar w:fldCharType="begin"/>
        </w:r>
        <w:r>
          <w:rPr>
            <w:webHidden/>
          </w:rPr>
          <w:instrText xml:space="preserve"> PAGEREF _Toc82186597 \h </w:instrText>
        </w:r>
        <w:r>
          <w:rPr>
            <w:webHidden/>
          </w:rPr>
        </w:r>
        <w:r>
          <w:rPr>
            <w:webHidden/>
          </w:rPr>
          <w:fldChar w:fldCharType="separate"/>
        </w:r>
        <w:r>
          <w:rPr>
            <w:webHidden/>
          </w:rPr>
          <w:t>77</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8" w:history="1">
        <w:r w:rsidRPr="00AB4CA1">
          <w:rPr>
            <w:rStyle w:val="a5"/>
            <w:rFonts w:asciiTheme="minorEastAsia" w:hAnsiTheme="minorEastAsia" w:hint="eastAsia"/>
          </w:rPr>
          <w:t>十九、侧袋机制</w:t>
        </w:r>
        <w:r>
          <w:rPr>
            <w:webHidden/>
          </w:rPr>
          <w:tab/>
        </w:r>
        <w:r>
          <w:rPr>
            <w:webHidden/>
          </w:rPr>
          <w:fldChar w:fldCharType="begin"/>
        </w:r>
        <w:r>
          <w:rPr>
            <w:webHidden/>
          </w:rPr>
          <w:instrText xml:space="preserve"> PAGEREF _Toc82186598 \h </w:instrText>
        </w:r>
        <w:r>
          <w:rPr>
            <w:webHidden/>
          </w:rPr>
        </w:r>
        <w:r>
          <w:rPr>
            <w:webHidden/>
          </w:rPr>
          <w:fldChar w:fldCharType="separate"/>
        </w:r>
        <w:r>
          <w:rPr>
            <w:webHidden/>
          </w:rPr>
          <w:t>83</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599" w:history="1">
        <w:r w:rsidRPr="00AB4CA1">
          <w:rPr>
            <w:rStyle w:val="a5"/>
            <w:rFonts w:asciiTheme="minorEastAsia" w:hAnsiTheme="minorEastAsia" w:hint="eastAsia"/>
          </w:rPr>
          <w:t>二十、风险揭示</w:t>
        </w:r>
        <w:r>
          <w:rPr>
            <w:webHidden/>
          </w:rPr>
          <w:tab/>
        </w:r>
        <w:r>
          <w:rPr>
            <w:webHidden/>
          </w:rPr>
          <w:fldChar w:fldCharType="begin"/>
        </w:r>
        <w:r>
          <w:rPr>
            <w:webHidden/>
          </w:rPr>
          <w:instrText xml:space="preserve"> PAGEREF _Toc82186599 \h </w:instrText>
        </w:r>
        <w:r>
          <w:rPr>
            <w:webHidden/>
          </w:rPr>
        </w:r>
        <w:r>
          <w:rPr>
            <w:webHidden/>
          </w:rPr>
          <w:fldChar w:fldCharType="separate"/>
        </w:r>
        <w:r>
          <w:rPr>
            <w:webHidden/>
          </w:rPr>
          <w:t>85</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0" w:history="1">
        <w:r w:rsidRPr="00AB4CA1">
          <w:rPr>
            <w:rStyle w:val="a5"/>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_Toc82186600 \h </w:instrText>
        </w:r>
        <w:r>
          <w:rPr>
            <w:webHidden/>
          </w:rPr>
        </w:r>
        <w:r>
          <w:rPr>
            <w:webHidden/>
          </w:rPr>
          <w:fldChar w:fldCharType="separate"/>
        </w:r>
        <w:r>
          <w:rPr>
            <w:webHidden/>
          </w:rPr>
          <w:t>91</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1" w:history="1">
        <w:r w:rsidRPr="00AB4CA1">
          <w:rPr>
            <w:rStyle w:val="a5"/>
            <w:rFonts w:asciiTheme="minorEastAsia" w:hAnsiTheme="minorEastAsia" w:hint="eastAsia"/>
          </w:rPr>
          <w:t>二十二、基金合同的内容摘要</w:t>
        </w:r>
        <w:r>
          <w:rPr>
            <w:webHidden/>
          </w:rPr>
          <w:tab/>
        </w:r>
        <w:r>
          <w:rPr>
            <w:webHidden/>
          </w:rPr>
          <w:fldChar w:fldCharType="begin"/>
        </w:r>
        <w:r>
          <w:rPr>
            <w:webHidden/>
          </w:rPr>
          <w:instrText xml:space="preserve"> PAGEREF _Toc82186601 \h </w:instrText>
        </w:r>
        <w:r>
          <w:rPr>
            <w:webHidden/>
          </w:rPr>
        </w:r>
        <w:r>
          <w:rPr>
            <w:webHidden/>
          </w:rPr>
          <w:fldChar w:fldCharType="separate"/>
        </w:r>
        <w:r>
          <w:rPr>
            <w:webHidden/>
          </w:rPr>
          <w:t>93</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2" w:history="1">
        <w:r w:rsidRPr="00AB4CA1">
          <w:rPr>
            <w:rStyle w:val="a5"/>
            <w:rFonts w:asciiTheme="minorEastAsia" w:hAnsiTheme="minorEastAsia" w:hint="eastAsia"/>
          </w:rPr>
          <w:t>二十三、基金托管协议的内容摘要</w:t>
        </w:r>
        <w:r>
          <w:rPr>
            <w:webHidden/>
          </w:rPr>
          <w:tab/>
        </w:r>
        <w:r>
          <w:rPr>
            <w:webHidden/>
          </w:rPr>
          <w:fldChar w:fldCharType="begin"/>
        </w:r>
        <w:r>
          <w:rPr>
            <w:webHidden/>
          </w:rPr>
          <w:instrText xml:space="preserve"> PAGEREF _Toc82186602 \h </w:instrText>
        </w:r>
        <w:r>
          <w:rPr>
            <w:webHidden/>
          </w:rPr>
        </w:r>
        <w:r>
          <w:rPr>
            <w:webHidden/>
          </w:rPr>
          <w:fldChar w:fldCharType="separate"/>
        </w:r>
        <w:r>
          <w:rPr>
            <w:webHidden/>
          </w:rPr>
          <w:t>109</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3" w:history="1">
        <w:r w:rsidRPr="00AB4CA1">
          <w:rPr>
            <w:rStyle w:val="a5"/>
            <w:rFonts w:asciiTheme="minorEastAsia" w:hAnsiTheme="minorEastAsia" w:hint="eastAsia"/>
          </w:rPr>
          <w:t>二十四、对基金份额持有人的服务</w:t>
        </w:r>
        <w:r>
          <w:rPr>
            <w:webHidden/>
          </w:rPr>
          <w:tab/>
        </w:r>
        <w:r>
          <w:rPr>
            <w:webHidden/>
          </w:rPr>
          <w:fldChar w:fldCharType="begin"/>
        </w:r>
        <w:r>
          <w:rPr>
            <w:webHidden/>
          </w:rPr>
          <w:instrText xml:space="preserve"> PAGEREF _Toc82186603 \h </w:instrText>
        </w:r>
        <w:r>
          <w:rPr>
            <w:webHidden/>
          </w:rPr>
        </w:r>
        <w:r>
          <w:rPr>
            <w:webHidden/>
          </w:rPr>
          <w:fldChar w:fldCharType="separate"/>
        </w:r>
        <w:r>
          <w:rPr>
            <w:webHidden/>
          </w:rPr>
          <w:t>127</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4" w:history="1">
        <w:r w:rsidRPr="00AB4CA1">
          <w:rPr>
            <w:rStyle w:val="a5"/>
            <w:rFonts w:asciiTheme="minorEastAsia" w:hAnsiTheme="minorEastAsia" w:hint="eastAsia"/>
          </w:rPr>
          <w:t>二十五、其他应披露事项</w:t>
        </w:r>
        <w:r>
          <w:rPr>
            <w:webHidden/>
          </w:rPr>
          <w:tab/>
        </w:r>
        <w:r>
          <w:rPr>
            <w:webHidden/>
          </w:rPr>
          <w:fldChar w:fldCharType="begin"/>
        </w:r>
        <w:r>
          <w:rPr>
            <w:webHidden/>
          </w:rPr>
          <w:instrText xml:space="preserve"> PAGEREF _Toc82186604 \h </w:instrText>
        </w:r>
        <w:r>
          <w:rPr>
            <w:webHidden/>
          </w:rPr>
        </w:r>
        <w:r>
          <w:rPr>
            <w:webHidden/>
          </w:rPr>
          <w:fldChar w:fldCharType="separate"/>
        </w:r>
        <w:r>
          <w:rPr>
            <w:webHidden/>
          </w:rPr>
          <w:t>128</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5" w:history="1">
        <w:r w:rsidRPr="00AB4CA1">
          <w:rPr>
            <w:rStyle w:val="a5"/>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_Toc82186605 \h </w:instrText>
        </w:r>
        <w:r>
          <w:rPr>
            <w:webHidden/>
          </w:rPr>
        </w:r>
        <w:r>
          <w:rPr>
            <w:webHidden/>
          </w:rPr>
          <w:fldChar w:fldCharType="separate"/>
        </w:r>
        <w:r>
          <w:rPr>
            <w:webHidden/>
          </w:rPr>
          <w:t>129</w:t>
        </w:r>
        <w:r>
          <w:rPr>
            <w:webHidden/>
          </w:rPr>
          <w:fldChar w:fldCharType="end"/>
        </w:r>
      </w:hyperlink>
    </w:p>
    <w:p w:rsidR="0021754D" w:rsidRDefault="0021754D">
      <w:pPr>
        <w:pStyle w:val="10"/>
        <w:rPr>
          <w:rFonts w:asciiTheme="minorHAnsi" w:eastAsiaTheme="minorEastAsia" w:hAnsiTheme="minorHAnsi" w:cstheme="minorBidi"/>
          <w:caps w:val="0"/>
          <w:color w:val="auto"/>
          <w:sz w:val="21"/>
          <w:szCs w:val="22"/>
        </w:rPr>
      </w:pPr>
      <w:hyperlink w:anchor="_Toc82186606" w:history="1">
        <w:r w:rsidRPr="00AB4CA1">
          <w:rPr>
            <w:rStyle w:val="a5"/>
            <w:rFonts w:asciiTheme="minorEastAsia" w:hAnsiTheme="minorEastAsia" w:hint="eastAsia"/>
          </w:rPr>
          <w:t>二十七、备查文</w:t>
        </w:r>
        <w:r w:rsidRPr="00AB4CA1">
          <w:rPr>
            <w:rStyle w:val="a5"/>
            <w:rFonts w:asciiTheme="minorEastAsia" w:hAnsiTheme="minorEastAsia" w:hint="eastAsia"/>
          </w:rPr>
          <w:t>件</w:t>
        </w:r>
        <w:r>
          <w:rPr>
            <w:webHidden/>
          </w:rPr>
          <w:tab/>
        </w:r>
        <w:r>
          <w:rPr>
            <w:webHidden/>
          </w:rPr>
          <w:fldChar w:fldCharType="begin"/>
        </w:r>
        <w:r>
          <w:rPr>
            <w:webHidden/>
          </w:rPr>
          <w:instrText xml:space="preserve"> PAGEREF _Toc82186606 \h </w:instrText>
        </w:r>
        <w:r>
          <w:rPr>
            <w:webHidden/>
          </w:rPr>
        </w:r>
        <w:r>
          <w:rPr>
            <w:webHidden/>
          </w:rPr>
          <w:fldChar w:fldCharType="separate"/>
        </w:r>
        <w:r>
          <w:rPr>
            <w:webHidden/>
          </w:rPr>
          <w:t>130</w:t>
        </w:r>
        <w:r>
          <w:rPr>
            <w:webHidden/>
          </w:rPr>
          <w:fldChar w:fldCharType="end"/>
        </w:r>
      </w:hyperlink>
    </w:p>
    <w:p w:rsidR="00AE70B8" w:rsidRPr="00CD6F5B" w:rsidRDefault="005777D1" w:rsidP="00CC1421">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CD6F5B">
        <w:rPr>
          <w:rFonts w:asciiTheme="minorEastAsia" w:eastAsiaTheme="minorEastAsia" w:hAnsiTheme="minorEastAsia"/>
          <w:b/>
          <w:caps/>
          <w:noProof/>
          <w:color w:val="000000" w:themeColor="text1"/>
          <w:sz w:val="24"/>
          <w:szCs w:val="28"/>
        </w:rPr>
        <w:fldChar w:fldCharType="end"/>
      </w:r>
    </w:p>
    <w:p w:rsidR="00723D30" w:rsidRPr="00CD6F5B" w:rsidRDefault="00723D30" w:rsidP="00723D30">
      <w:pPr>
        <w:snapToGrid w:val="0"/>
        <w:spacing w:line="360" w:lineRule="auto"/>
        <w:ind w:firstLine="560"/>
        <w:rPr>
          <w:rFonts w:asciiTheme="minorEastAsia" w:eastAsiaTheme="minorEastAsia" w:hAnsiTheme="minorEastAsia"/>
          <w:b/>
          <w:caps/>
          <w:noProof/>
          <w:color w:val="000000" w:themeColor="text1"/>
          <w:sz w:val="24"/>
          <w:szCs w:val="28"/>
        </w:rPr>
        <w:sectPr w:rsidR="00723D30" w:rsidRPr="00CD6F5B" w:rsidSect="009E408C">
          <w:footerReference w:type="default" r:id="rId15"/>
          <w:pgSz w:w="11906" w:h="16838" w:code="9"/>
          <w:pgMar w:top="1440" w:right="1800" w:bottom="1440" w:left="1800" w:header="851" w:footer="992" w:gutter="0"/>
          <w:pgNumType w:fmt="upperRoman" w:start="1"/>
          <w:cols w:space="720"/>
          <w:docGrid w:type="lines" w:linePitch="317"/>
        </w:sectPr>
      </w:pPr>
    </w:p>
    <w:p w:rsidR="00BA4B87" w:rsidRPr="00CD6F5B" w:rsidRDefault="00BA4B87" w:rsidP="00CC1421">
      <w:pPr>
        <w:pStyle w:val="11"/>
        <w:snapToGrid w:val="0"/>
        <w:spacing w:beforeLines="0" w:afterLines="0" w:line="360" w:lineRule="auto"/>
        <w:ind w:firstLine="600"/>
        <w:rPr>
          <w:rFonts w:asciiTheme="minorEastAsia" w:eastAsiaTheme="minorEastAsia" w:hAnsiTheme="minorEastAsia"/>
          <w:b w:val="0"/>
          <w:color w:val="000000" w:themeColor="text1"/>
          <w:sz w:val="30"/>
        </w:rPr>
      </w:pPr>
      <w:bookmarkStart w:id="0" w:name="_Toc332373444"/>
      <w:bookmarkStart w:id="1" w:name="_Toc82186580"/>
      <w:r w:rsidRPr="00CD6F5B">
        <w:rPr>
          <w:rFonts w:asciiTheme="minorEastAsia" w:eastAsiaTheme="minorEastAsia" w:hAnsiTheme="minorEastAsia"/>
          <w:b w:val="0"/>
          <w:color w:val="000000" w:themeColor="text1"/>
          <w:sz w:val="30"/>
        </w:rPr>
        <w:lastRenderedPageBreak/>
        <w:t>一、</w:t>
      </w:r>
      <w:r w:rsidRPr="00CD6F5B">
        <w:rPr>
          <w:rFonts w:asciiTheme="minorEastAsia" w:eastAsiaTheme="minorEastAsia" w:hAnsiTheme="minorEastAsia"/>
          <w:b w:val="0"/>
          <w:color w:val="000000" w:themeColor="text1"/>
        </w:rPr>
        <w:t>绪言</w:t>
      </w:r>
      <w:bookmarkEnd w:id="0"/>
      <w:bookmarkEnd w:id="1"/>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本招募说明书依据《中华人民共和国证券投资基金法》（以下简称《基金法》）、《公开募集证券投资基金运作管理办法》（以下简称《运作办法》）</w:t>
      </w:r>
      <w:r w:rsidR="00F362C1" w:rsidRPr="00CD6F5B">
        <w:rPr>
          <w:rFonts w:asciiTheme="minorEastAsia" w:eastAsiaTheme="minorEastAsia" w:hAnsiTheme="minorEastAsia" w:hint="eastAsia"/>
          <w:color w:val="000000" w:themeColor="text1"/>
        </w:rPr>
        <w:t>、《公开募集开放式证券投资基金流动性风险管理规定》（以下简称“《管理规定》”）</w:t>
      </w:r>
      <w:r w:rsidRPr="00CD6F5B">
        <w:rPr>
          <w:rFonts w:asciiTheme="minorEastAsia" w:eastAsiaTheme="minorEastAsia" w:hAnsiTheme="minorEastAsia"/>
          <w:color w:val="000000" w:themeColor="text1"/>
        </w:rPr>
        <w:t>、《证券投资基金销售管理办法》（以下简称《销售办法》）、《</w:t>
      </w:r>
      <w:r w:rsidR="00CF1071" w:rsidRPr="00CD6F5B">
        <w:rPr>
          <w:rFonts w:asciiTheme="minorEastAsia" w:eastAsiaTheme="minorEastAsia" w:hAnsiTheme="minorEastAsia" w:hint="eastAsia"/>
          <w:color w:val="000000" w:themeColor="text1"/>
        </w:rPr>
        <w:t>公开募集</w:t>
      </w:r>
      <w:r w:rsidRPr="00CD6F5B">
        <w:rPr>
          <w:rFonts w:asciiTheme="minorEastAsia" w:eastAsiaTheme="minorEastAsia" w:hAnsiTheme="minorEastAsia"/>
          <w:color w:val="000000" w:themeColor="text1"/>
        </w:rPr>
        <w:t>证券投资基金信息披露管理办法》（以下简称《信息披露办法》）、《证券投资基金信息披露内容与格式准则第5号&lt;招募说明书的内容与格式&gt;》、《易方达裕祥回报债券型证券投资基金基金合同》（以下简称基金合同）及其它有关规定等编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860D6" w:rsidRPr="00CD6F5B" w:rsidRDefault="00B94B0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008860D6" w:rsidRPr="00CD6F5B">
        <w:rPr>
          <w:rFonts w:asciiTheme="minorEastAsia" w:eastAsiaTheme="minorEastAsia" w:hAnsiTheme="minorEastAsia"/>
          <w:color w:val="000000" w:themeColor="text1"/>
        </w:rPr>
        <w:br w:type="page"/>
      </w:r>
    </w:p>
    <w:p w:rsidR="00BA4B87" w:rsidRPr="00CD6F5B" w:rsidRDefault="00BA4B87" w:rsidP="00CC1421">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2" w:name="_Toc332373445"/>
      <w:bookmarkStart w:id="3" w:name="_Toc82186581"/>
      <w:r w:rsidRPr="00CD6F5B">
        <w:rPr>
          <w:rFonts w:asciiTheme="minorEastAsia" w:eastAsiaTheme="minorEastAsia" w:hAnsiTheme="minorEastAsia"/>
          <w:color w:val="000000" w:themeColor="text1"/>
          <w:sz w:val="30"/>
        </w:rPr>
        <w:lastRenderedPageBreak/>
        <w:t>二、释义</w:t>
      </w:r>
      <w:bookmarkEnd w:id="2"/>
      <w:bookmarkEnd w:id="3"/>
    </w:p>
    <w:p w:rsidR="00610B28" w:rsidRPr="00CD6F5B" w:rsidRDefault="00610B28" w:rsidP="00610B28">
      <w:pPr>
        <w:spacing w:line="360" w:lineRule="auto"/>
        <w:ind w:firstLineChars="200" w:firstLine="420"/>
        <w:rPr>
          <w:rStyle w:val="da"/>
          <w:rFonts w:asciiTheme="minorEastAsia" w:eastAsiaTheme="minorEastAsia" w:hAnsiTheme="minorEastAsia"/>
          <w:color w:val="000000" w:themeColor="text1"/>
          <w:szCs w:val="21"/>
        </w:rPr>
      </w:pPr>
      <w:r w:rsidRPr="00CD6F5B">
        <w:rPr>
          <w:rStyle w:val="da"/>
          <w:rFonts w:asciiTheme="minorEastAsia" w:eastAsiaTheme="minorEastAsia" w:hAnsiTheme="minorEastAsia" w:hint="eastAsia"/>
          <w:color w:val="000000" w:themeColor="text1"/>
          <w:szCs w:val="21"/>
        </w:rPr>
        <w:t>本招募说明书中除非文意另有所指，下列词语有如下含义：</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1、基金或本基金：指易方达裕祥回报债券型证券投资基金</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2、基金管理人：指易方达基金管理有限公司</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3、基金托管人：指上海浦东发展银行股份有限公司</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4、基金合同或本基金合同：指《易方达裕祥回报债券型证券投资基金基金合同》及对本基金合同的任何有效修订和补充</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5、托管协议：指基金管理人与基金托管人就本基金签订之《易方达裕祥回报债券型证券投资基金托管协议》及对该托管协议的任何有效修订和补充</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6、招募说明书：指《易方达裕祥回报债券型证券投资基金招募说明书》及其更新</w:t>
      </w:r>
    </w:p>
    <w:p w:rsidR="00CF1071" w:rsidRPr="00CD6F5B" w:rsidRDefault="00CF107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7、基金产品资料概要：指《易方达裕祥回报债券型证券投资基金基金产品资料概要》及其更新</w:t>
      </w:r>
    </w:p>
    <w:p w:rsidR="00610B28" w:rsidRPr="00CD6F5B" w:rsidRDefault="00CF107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8</w:t>
      </w:r>
      <w:r w:rsidR="00610B28" w:rsidRPr="00CD6F5B">
        <w:rPr>
          <w:rFonts w:asciiTheme="minorEastAsia" w:eastAsiaTheme="minorEastAsia" w:hAnsiTheme="minorEastAsia" w:hint="eastAsia"/>
          <w:bCs/>
          <w:color w:val="000000" w:themeColor="text1"/>
          <w:szCs w:val="21"/>
        </w:rPr>
        <w:t>、基金份额发售公告：指《易方达裕祥回报债券型证券投资基金基金份额发售公告》</w:t>
      </w:r>
    </w:p>
    <w:p w:rsidR="00610B28" w:rsidRPr="00CD6F5B" w:rsidRDefault="00CF107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9</w:t>
      </w:r>
      <w:r w:rsidR="00610B28" w:rsidRPr="00CD6F5B">
        <w:rPr>
          <w:rFonts w:asciiTheme="minorEastAsia" w:eastAsiaTheme="minorEastAsia" w:hAnsiTheme="minorEastAsia" w:hint="eastAsia"/>
          <w:bCs/>
          <w:color w:val="000000" w:themeColor="text1"/>
          <w:szCs w:val="21"/>
        </w:rPr>
        <w:t>、法律法规：指中国现行有效并公布实施的法律、行政法规、规范性文件、司法解释、行政规章以及其他对基金合同当事人有约束力的决定、决议、通知等</w:t>
      </w:r>
    </w:p>
    <w:p w:rsidR="00610B28" w:rsidRPr="00CD6F5B" w:rsidRDefault="00CF107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10</w:t>
      </w:r>
      <w:r w:rsidR="00610B28" w:rsidRPr="00CD6F5B">
        <w:rPr>
          <w:rFonts w:asciiTheme="minorEastAsia" w:eastAsiaTheme="minorEastAsia" w:hAnsiTheme="minorEastAsia" w:hint="eastAsia"/>
          <w:bCs/>
          <w:color w:val="000000" w:themeColor="text1"/>
          <w:szCs w:val="21"/>
        </w:rPr>
        <w:t>、《基金法》：指2012年12月28日经第十一届全国人民代表大会常务委员会第三十次会议通过，自2013年6月1日起实施的《中华人民共和国证券投资基金法》及颁布机关对其不时做出的修订</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CF1071" w:rsidRPr="00CD6F5B">
        <w:rPr>
          <w:rFonts w:asciiTheme="minorEastAsia" w:eastAsiaTheme="minorEastAsia" w:hAnsiTheme="minorEastAsia" w:hint="eastAsia"/>
          <w:bCs/>
          <w:color w:val="000000" w:themeColor="text1"/>
          <w:szCs w:val="21"/>
        </w:rPr>
        <w:t>1</w:t>
      </w:r>
      <w:r w:rsidRPr="00CD6F5B">
        <w:rPr>
          <w:rFonts w:asciiTheme="minorEastAsia" w:eastAsiaTheme="minorEastAsia" w:hAnsiTheme="minorEastAsia" w:hint="eastAsia"/>
          <w:bCs/>
          <w:color w:val="000000" w:themeColor="text1"/>
          <w:szCs w:val="21"/>
        </w:rPr>
        <w:t>、《销售办法》：指中国证监会2013年3月15日颁布、同年6月1日实施的《证券投资基金销售管理办法》及颁布机关对其不时做出的修订</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CF1071" w:rsidRPr="00CD6F5B">
        <w:rPr>
          <w:rFonts w:asciiTheme="minorEastAsia" w:eastAsiaTheme="minorEastAsia" w:hAnsiTheme="minorEastAsia" w:hint="eastAsia"/>
          <w:bCs/>
          <w:color w:val="000000" w:themeColor="text1"/>
          <w:szCs w:val="21"/>
        </w:rPr>
        <w:t>2</w:t>
      </w:r>
      <w:r w:rsidRPr="00CD6F5B">
        <w:rPr>
          <w:rFonts w:asciiTheme="minorEastAsia" w:eastAsiaTheme="minorEastAsia" w:hAnsiTheme="minorEastAsia" w:hint="eastAsia"/>
          <w:bCs/>
          <w:color w:val="000000" w:themeColor="text1"/>
          <w:szCs w:val="21"/>
        </w:rPr>
        <w:t>、《信息披露办法》：指中国证监会</w:t>
      </w:r>
      <w:r w:rsidR="00CF1071" w:rsidRPr="00CD6F5B">
        <w:rPr>
          <w:rFonts w:asciiTheme="minorEastAsia" w:eastAsiaTheme="minorEastAsia" w:hAnsiTheme="minorEastAsia" w:hint="eastAsia"/>
          <w:bCs/>
          <w:color w:val="000000" w:themeColor="text1"/>
          <w:szCs w:val="21"/>
        </w:rPr>
        <w:t>2019</w:t>
      </w:r>
      <w:r w:rsidRPr="00CD6F5B">
        <w:rPr>
          <w:rFonts w:asciiTheme="minorEastAsia" w:eastAsiaTheme="minorEastAsia" w:hAnsiTheme="minorEastAsia" w:hint="eastAsia"/>
          <w:bCs/>
          <w:color w:val="000000" w:themeColor="text1"/>
          <w:szCs w:val="21"/>
        </w:rPr>
        <w:t>年</w:t>
      </w:r>
      <w:r w:rsidR="00CF1071" w:rsidRPr="00CD6F5B">
        <w:rPr>
          <w:rFonts w:asciiTheme="minorEastAsia" w:eastAsiaTheme="minorEastAsia" w:hAnsiTheme="minorEastAsia" w:hint="eastAsia"/>
          <w:bCs/>
          <w:color w:val="000000" w:themeColor="text1"/>
          <w:szCs w:val="21"/>
        </w:rPr>
        <w:t>7</w:t>
      </w:r>
      <w:r w:rsidRPr="00CD6F5B">
        <w:rPr>
          <w:rFonts w:asciiTheme="minorEastAsia" w:eastAsiaTheme="minorEastAsia" w:hAnsiTheme="minorEastAsia" w:hint="eastAsia"/>
          <w:bCs/>
          <w:color w:val="000000" w:themeColor="text1"/>
          <w:szCs w:val="21"/>
        </w:rPr>
        <w:t>月</w:t>
      </w:r>
      <w:r w:rsidR="00CF1071" w:rsidRPr="00CD6F5B">
        <w:rPr>
          <w:rFonts w:asciiTheme="minorEastAsia" w:eastAsiaTheme="minorEastAsia" w:hAnsiTheme="minorEastAsia" w:hint="eastAsia"/>
          <w:bCs/>
          <w:color w:val="000000" w:themeColor="text1"/>
          <w:szCs w:val="21"/>
        </w:rPr>
        <w:t>26</w:t>
      </w:r>
      <w:r w:rsidRPr="00CD6F5B">
        <w:rPr>
          <w:rFonts w:asciiTheme="minorEastAsia" w:eastAsiaTheme="minorEastAsia" w:hAnsiTheme="minorEastAsia" w:hint="eastAsia"/>
          <w:bCs/>
          <w:color w:val="000000" w:themeColor="text1"/>
          <w:szCs w:val="21"/>
        </w:rPr>
        <w:t>日颁布、同年</w:t>
      </w:r>
      <w:r w:rsidR="00CF1071" w:rsidRPr="00CD6F5B">
        <w:rPr>
          <w:rFonts w:asciiTheme="minorEastAsia" w:eastAsiaTheme="minorEastAsia" w:hAnsiTheme="minorEastAsia" w:hint="eastAsia"/>
          <w:bCs/>
          <w:color w:val="000000" w:themeColor="text1"/>
          <w:szCs w:val="21"/>
        </w:rPr>
        <w:t>9</w:t>
      </w:r>
      <w:r w:rsidRPr="00CD6F5B">
        <w:rPr>
          <w:rFonts w:asciiTheme="minorEastAsia" w:eastAsiaTheme="minorEastAsia" w:hAnsiTheme="minorEastAsia" w:hint="eastAsia"/>
          <w:bCs/>
          <w:color w:val="000000" w:themeColor="text1"/>
          <w:szCs w:val="21"/>
        </w:rPr>
        <w:t>月1日实施的《</w:t>
      </w:r>
      <w:r w:rsidR="00CF1071" w:rsidRPr="00CD6F5B">
        <w:rPr>
          <w:rFonts w:asciiTheme="minorEastAsia" w:eastAsiaTheme="minorEastAsia" w:hAnsiTheme="minorEastAsia" w:hint="eastAsia"/>
          <w:bCs/>
          <w:color w:val="000000" w:themeColor="text1"/>
          <w:szCs w:val="21"/>
        </w:rPr>
        <w:t>公开募集</w:t>
      </w:r>
      <w:r w:rsidRPr="00CD6F5B">
        <w:rPr>
          <w:rFonts w:asciiTheme="minorEastAsia" w:eastAsiaTheme="minorEastAsia" w:hAnsiTheme="minorEastAsia" w:hint="eastAsia"/>
          <w:bCs/>
          <w:color w:val="000000" w:themeColor="text1"/>
          <w:szCs w:val="21"/>
        </w:rPr>
        <w:t>证券投资基金信息披露管理办法》及颁布机关对其不时做出的修订</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hint="eastAsia"/>
          <w:bCs/>
          <w:color w:val="000000" w:themeColor="text1"/>
          <w:szCs w:val="21"/>
        </w:rPr>
        <w:t>3</w:t>
      </w:r>
      <w:r w:rsidRPr="00CD6F5B">
        <w:rPr>
          <w:rFonts w:asciiTheme="minorEastAsia" w:eastAsiaTheme="minorEastAsia" w:hAnsiTheme="minorEastAsia" w:hint="eastAsia"/>
          <w:bCs/>
          <w:color w:val="000000" w:themeColor="text1"/>
          <w:szCs w:val="21"/>
        </w:rPr>
        <w:t>、《运作办法》：指中国证监会2014年7月7日颁布、同年8月8日实施的《公开募集证券投资基金运作管理办法》及颁布机关对其不时做出的修订</w:t>
      </w:r>
    </w:p>
    <w:p w:rsidR="00F362C1"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hint="eastAsia"/>
          <w:bCs/>
          <w:color w:val="000000" w:themeColor="text1"/>
          <w:szCs w:val="21"/>
        </w:rPr>
        <w:t>4</w:t>
      </w:r>
      <w:r w:rsidRPr="00CD6F5B">
        <w:rPr>
          <w:rFonts w:asciiTheme="minorEastAsia" w:eastAsiaTheme="minorEastAsia" w:hAnsiTheme="minorEastAsia" w:hint="eastAsia"/>
          <w:bCs/>
          <w:color w:val="000000" w:themeColor="text1"/>
          <w:szCs w:val="21"/>
        </w:rPr>
        <w:t>、</w:t>
      </w:r>
      <w:r w:rsidR="00F362C1" w:rsidRPr="00CD6F5B">
        <w:rPr>
          <w:rFonts w:asciiTheme="minorEastAsia" w:eastAsiaTheme="minorEastAsia" w:hAnsiTheme="minorEastAsia" w:hint="eastAsia"/>
          <w:bCs/>
          <w:color w:val="000000" w:themeColor="text1"/>
          <w:szCs w:val="21"/>
        </w:rPr>
        <w:t>《管理规定》：指中国证监会2017年8月31日颁布、同年10月1日实施的《公开募集开放式证券投资基金流动性风险管理规定》及颁布机关对其不时做出的修订</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hint="eastAsia"/>
          <w:bCs/>
          <w:color w:val="000000" w:themeColor="text1"/>
          <w:szCs w:val="21"/>
        </w:rPr>
        <w:t>5</w:t>
      </w:r>
      <w:r w:rsidRPr="00CD6F5B">
        <w:rPr>
          <w:rFonts w:asciiTheme="minorEastAsia" w:eastAsiaTheme="minorEastAsia" w:hAnsiTheme="minorEastAsia" w:hint="eastAsia"/>
          <w:bCs/>
          <w:color w:val="000000" w:themeColor="text1"/>
          <w:szCs w:val="21"/>
        </w:rPr>
        <w:t>、</w:t>
      </w:r>
      <w:r w:rsidR="00610B28" w:rsidRPr="00CD6F5B">
        <w:rPr>
          <w:rFonts w:asciiTheme="minorEastAsia" w:eastAsiaTheme="minorEastAsia" w:hAnsiTheme="minorEastAsia" w:hint="eastAsia"/>
          <w:bCs/>
          <w:color w:val="000000" w:themeColor="text1"/>
          <w:szCs w:val="21"/>
        </w:rPr>
        <w:t>中国证监会：指中国证券监督管理委员会</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bCs/>
          <w:color w:val="000000" w:themeColor="text1"/>
          <w:szCs w:val="21"/>
        </w:rPr>
        <w:t>6</w:t>
      </w:r>
      <w:r w:rsidRPr="00CD6F5B">
        <w:rPr>
          <w:rFonts w:asciiTheme="minorEastAsia" w:eastAsiaTheme="minorEastAsia" w:hAnsiTheme="minorEastAsia" w:hint="eastAsia"/>
          <w:bCs/>
          <w:color w:val="000000" w:themeColor="text1"/>
          <w:szCs w:val="21"/>
        </w:rPr>
        <w:t>、银行业监督管理机构：指中国人民银行和/或中国银行</w:t>
      </w:r>
      <w:r w:rsidR="00F868A7" w:rsidRPr="00CD6F5B">
        <w:rPr>
          <w:rFonts w:asciiTheme="minorEastAsia" w:eastAsiaTheme="minorEastAsia" w:hAnsiTheme="minorEastAsia" w:hint="eastAsia"/>
          <w:bCs/>
          <w:color w:val="000000" w:themeColor="text1"/>
          <w:szCs w:val="21"/>
        </w:rPr>
        <w:t>保险</w:t>
      </w:r>
      <w:r w:rsidRPr="00CD6F5B">
        <w:rPr>
          <w:rFonts w:asciiTheme="minorEastAsia" w:eastAsiaTheme="minorEastAsia" w:hAnsiTheme="minorEastAsia" w:hint="eastAsia"/>
          <w:bCs/>
          <w:color w:val="000000" w:themeColor="text1"/>
          <w:szCs w:val="21"/>
        </w:rPr>
        <w:t>监督管理委员会</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bCs/>
          <w:color w:val="000000" w:themeColor="text1"/>
          <w:szCs w:val="21"/>
        </w:rPr>
        <w:t>7</w:t>
      </w:r>
      <w:r w:rsidRPr="00CD6F5B">
        <w:rPr>
          <w:rFonts w:asciiTheme="minorEastAsia" w:eastAsiaTheme="minorEastAsia" w:hAnsiTheme="minorEastAsia" w:hint="eastAsia"/>
          <w:bCs/>
          <w:color w:val="000000" w:themeColor="text1"/>
          <w:szCs w:val="21"/>
        </w:rPr>
        <w:t>、基金合同当事人：指受基金合同约束，根据基金合同享有权利并承担义务的法律</w:t>
      </w:r>
      <w:r w:rsidRPr="00CD6F5B">
        <w:rPr>
          <w:rFonts w:asciiTheme="minorEastAsia" w:eastAsiaTheme="minorEastAsia" w:hAnsiTheme="minorEastAsia" w:hint="eastAsia"/>
          <w:bCs/>
          <w:color w:val="000000" w:themeColor="text1"/>
          <w:szCs w:val="21"/>
        </w:rPr>
        <w:lastRenderedPageBreak/>
        <w:t>主体，包括基金管理人、基金托管人和基金份额持有人</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bCs/>
          <w:color w:val="000000" w:themeColor="text1"/>
          <w:szCs w:val="21"/>
        </w:rPr>
        <w:t>8</w:t>
      </w:r>
      <w:r w:rsidRPr="00CD6F5B">
        <w:rPr>
          <w:rFonts w:asciiTheme="minorEastAsia" w:eastAsiaTheme="minorEastAsia" w:hAnsiTheme="minorEastAsia" w:hint="eastAsia"/>
          <w:bCs/>
          <w:color w:val="000000" w:themeColor="text1"/>
          <w:szCs w:val="21"/>
        </w:rPr>
        <w:t>、个人投资者：指依据有关法律法规规定可投资于证券投资基金的自然人</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1</w:t>
      </w:r>
      <w:r w:rsidR="0031344C" w:rsidRPr="00CD6F5B">
        <w:rPr>
          <w:rFonts w:asciiTheme="minorEastAsia" w:eastAsiaTheme="minorEastAsia" w:hAnsiTheme="minorEastAsia"/>
          <w:bCs/>
          <w:color w:val="000000" w:themeColor="text1"/>
          <w:szCs w:val="21"/>
        </w:rPr>
        <w:t>9</w:t>
      </w:r>
      <w:r w:rsidRPr="00CD6F5B">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610B28" w:rsidRPr="00CD6F5B" w:rsidRDefault="0031344C"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20</w:t>
      </w:r>
      <w:r w:rsidR="00610B28" w:rsidRPr="00CD6F5B">
        <w:rPr>
          <w:rFonts w:asciiTheme="minorEastAsia" w:eastAsiaTheme="minorEastAsia" w:hAnsiTheme="minorEastAsia" w:hint="eastAsia"/>
          <w:bCs/>
          <w:color w:val="000000" w:themeColor="text1"/>
          <w:szCs w:val="21"/>
        </w:rPr>
        <w:t>、合格境外机构投资者：指符合相关法律法规规定可以投资于在中国境内依法募集的证券投资基金的中国境外的机构投资者</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2</w:t>
      </w:r>
      <w:r w:rsidR="0031344C" w:rsidRPr="00CD6F5B">
        <w:rPr>
          <w:rFonts w:asciiTheme="minorEastAsia" w:eastAsiaTheme="minorEastAsia" w:hAnsiTheme="minorEastAsia"/>
          <w:bCs/>
          <w:color w:val="000000" w:themeColor="text1"/>
          <w:szCs w:val="21"/>
        </w:rPr>
        <w:t>1</w:t>
      </w:r>
      <w:r w:rsidR="00610B28" w:rsidRPr="00CD6F5B">
        <w:rPr>
          <w:rFonts w:asciiTheme="minorEastAsia" w:eastAsiaTheme="minorEastAsia" w:hAnsiTheme="minorEastAsia" w:hint="eastAsia"/>
          <w:bCs/>
          <w:color w:val="000000" w:themeColor="text1"/>
          <w:szCs w:val="21"/>
        </w:rPr>
        <w:t>、投资人：指个人投资者、机构投资者和合格境外机构投资者以及法律法规或中国证监会允许购买证券投资基金的其他投资人的合称</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hint="eastAsia"/>
          <w:bCs/>
          <w:color w:val="000000" w:themeColor="text1"/>
          <w:szCs w:val="21"/>
        </w:rPr>
        <w:t>2</w:t>
      </w:r>
      <w:r w:rsidRPr="00CD6F5B">
        <w:rPr>
          <w:rFonts w:asciiTheme="minorEastAsia" w:eastAsiaTheme="minorEastAsia" w:hAnsiTheme="minorEastAsia" w:hint="eastAsia"/>
          <w:bCs/>
          <w:color w:val="000000" w:themeColor="text1"/>
          <w:szCs w:val="21"/>
        </w:rPr>
        <w:t>、基金份额持有人：指依基金合同和招募说明书合法取得基金份额的投资人</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hint="eastAsia"/>
          <w:bCs/>
          <w:color w:val="000000" w:themeColor="text1"/>
          <w:szCs w:val="21"/>
        </w:rPr>
        <w:t>3</w:t>
      </w:r>
      <w:r w:rsidRPr="00CD6F5B">
        <w:rPr>
          <w:rFonts w:asciiTheme="minorEastAsia" w:eastAsiaTheme="minorEastAsia" w:hAnsiTheme="minorEastAsia" w:hint="eastAsia"/>
          <w:bCs/>
          <w:color w:val="000000" w:themeColor="text1"/>
          <w:szCs w:val="21"/>
        </w:rPr>
        <w:t>、基金销售业务：指基金管理人或销售机构宣传推介基金，发售基金份额，办理基金份额的申购、赎回、转换、非交易过户、转托管及定期定额投资等业务。</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bCs/>
          <w:color w:val="000000" w:themeColor="text1"/>
          <w:szCs w:val="21"/>
        </w:rPr>
        <w:t>4</w:t>
      </w:r>
      <w:r w:rsidRPr="00CD6F5B">
        <w:rPr>
          <w:rFonts w:asciiTheme="minorEastAsia" w:eastAsiaTheme="minorEastAsia" w:hAnsiTheme="minorEastAsia" w:hint="eastAsia"/>
          <w:bCs/>
          <w:color w:val="000000" w:themeColor="text1"/>
          <w:szCs w:val="21"/>
        </w:rPr>
        <w:t>、销售机构：指易方达基金管理有限公司以及符合《销售办法》和中国证监会规定的其他条件，取得基金销售业务资格并与基金管理人签订了基金销售服务协议，办理基金销售业务的机构</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hint="eastAsia"/>
          <w:bCs/>
          <w:color w:val="000000" w:themeColor="text1"/>
          <w:szCs w:val="21"/>
        </w:rPr>
        <w:t>5</w:t>
      </w:r>
      <w:r w:rsidRPr="00CD6F5B">
        <w:rPr>
          <w:rFonts w:asciiTheme="minorEastAsia" w:eastAsiaTheme="minorEastAsia" w:hAnsiTheme="minorEastAsia" w:hint="eastAsia"/>
          <w:bCs/>
          <w:color w:val="000000" w:themeColor="text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hint="eastAsia"/>
          <w:bCs/>
          <w:color w:val="000000" w:themeColor="text1"/>
          <w:szCs w:val="21"/>
        </w:rPr>
        <w:t>6</w:t>
      </w:r>
      <w:r w:rsidRPr="00CD6F5B">
        <w:rPr>
          <w:rFonts w:asciiTheme="minorEastAsia" w:eastAsiaTheme="minorEastAsia" w:hAnsiTheme="minorEastAsia" w:hint="eastAsia"/>
          <w:bCs/>
          <w:color w:val="000000" w:themeColor="text1"/>
          <w:szCs w:val="21"/>
        </w:rPr>
        <w:t>、登记机构：指办理登记业务的机构。基金的登记机构为易方达基金管理有限公司或接受易方达基金管理有限公司委托代为办理登记业务的机构</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bCs/>
          <w:color w:val="000000" w:themeColor="text1"/>
          <w:szCs w:val="21"/>
        </w:rPr>
        <w:t>7</w:t>
      </w:r>
      <w:r w:rsidRPr="00CD6F5B">
        <w:rPr>
          <w:rFonts w:asciiTheme="minorEastAsia" w:eastAsiaTheme="minorEastAsia" w:hAnsiTheme="minorEastAsia" w:hint="eastAsia"/>
          <w:bCs/>
          <w:color w:val="000000" w:themeColor="text1"/>
          <w:szCs w:val="21"/>
        </w:rPr>
        <w:t>、基金账户：指登记机构为投资人开立的、记录其持有的、基金管理人所管理的基金份额余额及其变动情况的账户</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bCs/>
          <w:color w:val="000000" w:themeColor="text1"/>
          <w:szCs w:val="21"/>
        </w:rPr>
        <w:t>8</w:t>
      </w:r>
      <w:r w:rsidRPr="00CD6F5B">
        <w:rPr>
          <w:rFonts w:asciiTheme="minorEastAsia" w:eastAsiaTheme="minorEastAsia" w:hAnsiTheme="minorEastAsia" w:hint="eastAsia"/>
          <w:bCs/>
          <w:color w:val="000000" w:themeColor="text1"/>
          <w:szCs w:val="21"/>
        </w:rPr>
        <w:t>、基金交易账户：指销售机构为投资人开立的、记录投资人通过该销售机构买卖基金的基金份额变动及结余情况的账户</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2</w:t>
      </w:r>
      <w:r w:rsidR="0031344C" w:rsidRPr="00CD6F5B">
        <w:rPr>
          <w:rFonts w:asciiTheme="minorEastAsia" w:eastAsiaTheme="minorEastAsia" w:hAnsiTheme="minorEastAsia"/>
          <w:bCs/>
          <w:color w:val="000000" w:themeColor="text1"/>
          <w:szCs w:val="21"/>
        </w:rPr>
        <w:t>9</w:t>
      </w:r>
      <w:r w:rsidRPr="00CD6F5B">
        <w:rPr>
          <w:rFonts w:asciiTheme="minorEastAsia" w:eastAsiaTheme="minorEastAsia" w:hAnsiTheme="minorEastAsia" w:hint="eastAsia"/>
          <w:bCs/>
          <w:color w:val="000000" w:themeColor="text1"/>
          <w:szCs w:val="21"/>
        </w:rPr>
        <w:t>、基金合同生效日：指基金募集达到法律法规规定及基金合同规定的条件，基金管理人向中国证监会办理基金备案手续完毕，并获得中国证监会书面确认的日期</w:t>
      </w:r>
    </w:p>
    <w:p w:rsidR="00610B28" w:rsidRPr="00CD6F5B" w:rsidRDefault="0031344C"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30</w:t>
      </w:r>
      <w:r w:rsidR="00610B28" w:rsidRPr="00CD6F5B">
        <w:rPr>
          <w:rFonts w:asciiTheme="minorEastAsia" w:eastAsiaTheme="minorEastAsia" w:hAnsiTheme="minorEastAsia" w:hint="eastAsia"/>
          <w:bCs/>
          <w:color w:val="000000" w:themeColor="text1"/>
          <w:szCs w:val="21"/>
        </w:rPr>
        <w:t>、基金合同终止日：指基金合同规定的基金合同终止事由出现后，基金财产清算完毕，清算结果报中国证监会备案并予以公告的日期</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3</w:t>
      </w:r>
      <w:r w:rsidR="0031344C" w:rsidRPr="00CD6F5B">
        <w:rPr>
          <w:rFonts w:asciiTheme="minorEastAsia" w:eastAsiaTheme="minorEastAsia" w:hAnsiTheme="minorEastAsia"/>
          <w:bCs/>
          <w:color w:val="000000" w:themeColor="text1"/>
          <w:szCs w:val="21"/>
        </w:rPr>
        <w:t>1</w:t>
      </w:r>
      <w:r w:rsidR="00610B28" w:rsidRPr="00CD6F5B">
        <w:rPr>
          <w:rFonts w:asciiTheme="minorEastAsia" w:eastAsiaTheme="minorEastAsia" w:hAnsiTheme="minorEastAsia" w:hint="eastAsia"/>
          <w:bCs/>
          <w:color w:val="000000" w:themeColor="text1"/>
          <w:szCs w:val="21"/>
        </w:rPr>
        <w:t>、基金募集期：指自基金份额发售之日起至发售结束之日止的期间，最长不得超过3个月</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2</w:t>
      </w:r>
      <w:r w:rsidRPr="00CD6F5B">
        <w:rPr>
          <w:rFonts w:asciiTheme="minorEastAsia" w:eastAsiaTheme="minorEastAsia" w:hAnsiTheme="minorEastAsia" w:hint="eastAsia"/>
          <w:bCs/>
          <w:color w:val="000000" w:themeColor="text1"/>
          <w:szCs w:val="21"/>
        </w:rPr>
        <w:t>、存续期：指基金合同生效至终止之间的不定期期限</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lastRenderedPageBreak/>
        <w:t>3</w:t>
      </w:r>
      <w:r w:rsidR="0031344C" w:rsidRPr="00CD6F5B">
        <w:rPr>
          <w:rFonts w:asciiTheme="minorEastAsia" w:eastAsiaTheme="minorEastAsia" w:hAnsiTheme="minorEastAsia"/>
          <w:bCs/>
          <w:color w:val="000000" w:themeColor="text1"/>
          <w:szCs w:val="21"/>
        </w:rPr>
        <w:t>3</w:t>
      </w:r>
      <w:r w:rsidRPr="00CD6F5B">
        <w:rPr>
          <w:rFonts w:asciiTheme="minorEastAsia" w:eastAsiaTheme="minorEastAsia" w:hAnsiTheme="minorEastAsia" w:hint="eastAsia"/>
          <w:bCs/>
          <w:color w:val="000000" w:themeColor="text1"/>
          <w:szCs w:val="21"/>
        </w:rPr>
        <w:t>、工作日：指上海证券交易所、深圳证券交易所的正常交易日</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4</w:t>
      </w:r>
      <w:r w:rsidRPr="00CD6F5B">
        <w:rPr>
          <w:rFonts w:asciiTheme="minorEastAsia" w:eastAsiaTheme="minorEastAsia" w:hAnsiTheme="minorEastAsia" w:hint="eastAsia"/>
          <w:bCs/>
          <w:color w:val="000000" w:themeColor="text1"/>
          <w:szCs w:val="21"/>
        </w:rPr>
        <w:t>、T日：指销售机构在规定时间受理投资人申购、赎回或其他业务申请的开放日</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5</w:t>
      </w:r>
      <w:r w:rsidRPr="00CD6F5B">
        <w:rPr>
          <w:rFonts w:asciiTheme="minorEastAsia" w:eastAsiaTheme="minorEastAsia" w:hAnsiTheme="minorEastAsia" w:hint="eastAsia"/>
          <w:bCs/>
          <w:color w:val="000000" w:themeColor="text1"/>
          <w:szCs w:val="21"/>
        </w:rPr>
        <w:t>、T+n日：指自T日起第n个工作日（不包含T日），n为自然数</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6</w:t>
      </w:r>
      <w:r w:rsidRPr="00CD6F5B">
        <w:rPr>
          <w:rFonts w:asciiTheme="minorEastAsia" w:eastAsiaTheme="minorEastAsia" w:hAnsiTheme="minorEastAsia" w:hint="eastAsia"/>
          <w:bCs/>
          <w:color w:val="000000" w:themeColor="text1"/>
          <w:szCs w:val="21"/>
        </w:rPr>
        <w:t>、开放日：指为投资人办理基金份额申购、赎回或其他业务的工作日</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7</w:t>
      </w:r>
      <w:r w:rsidRPr="00CD6F5B">
        <w:rPr>
          <w:rFonts w:asciiTheme="minorEastAsia" w:eastAsiaTheme="minorEastAsia" w:hAnsiTheme="minorEastAsia" w:hint="eastAsia"/>
          <w:bCs/>
          <w:color w:val="000000" w:themeColor="text1"/>
          <w:szCs w:val="21"/>
        </w:rPr>
        <w:t>、开放时间：指开放日基金接受申购、赎回或其他交易的时间段</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8</w:t>
      </w:r>
      <w:r w:rsidRPr="00CD6F5B">
        <w:rPr>
          <w:rFonts w:asciiTheme="minorEastAsia" w:eastAsiaTheme="minorEastAsia" w:hAnsiTheme="minorEastAsia" w:hint="eastAsia"/>
          <w:bCs/>
          <w:color w:val="000000" w:themeColor="text1"/>
          <w:szCs w:val="21"/>
        </w:rPr>
        <w:t>、《业务规则》：指《易方达基金管理有限公司开放式基金业务规则》，是规范基金管理人所管理的开放式证券投资基金登记方面的业务规则，由基金管理人和投资人共同遵守</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3</w:t>
      </w:r>
      <w:r w:rsidR="0031344C" w:rsidRPr="00CD6F5B">
        <w:rPr>
          <w:rFonts w:asciiTheme="minorEastAsia" w:eastAsiaTheme="minorEastAsia" w:hAnsiTheme="minorEastAsia"/>
          <w:bCs/>
          <w:color w:val="000000" w:themeColor="text1"/>
          <w:szCs w:val="21"/>
        </w:rPr>
        <w:t>9</w:t>
      </w:r>
      <w:r w:rsidRPr="00CD6F5B">
        <w:rPr>
          <w:rFonts w:asciiTheme="minorEastAsia" w:eastAsiaTheme="minorEastAsia" w:hAnsiTheme="minorEastAsia" w:hint="eastAsia"/>
          <w:bCs/>
          <w:color w:val="000000" w:themeColor="text1"/>
          <w:szCs w:val="21"/>
        </w:rPr>
        <w:t>、认购：指在基金募集期内，投资人申请购买基金份额的行为</w:t>
      </w:r>
    </w:p>
    <w:p w:rsidR="00610B28" w:rsidRPr="00CD6F5B" w:rsidRDefault="0031344C"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40</w:t>
      </w:r>
      <w:r w:rsidR="00610B28" w:rsidRPr="00CD6F5B">
        <w:rPr>
          <w:rFonts w:asciiTheme="minorEastAsia" w:eastAsiaTheme="minorEastAsia" w:hAnsiTheme="minorEastAsia" w:hint="eastAsia"/>
          <w:bCs/>
          <w:color w:val="000000" w:themeColor="text1"/>
          <w:szCs w:val="21"/>
        </w:rPr>
        <w:t>、申购：指基金合同生效后，投资人根据基金合同和招募说明书的规定申请购买基金份额的行为</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4</w:t>
      </w:r>
      <w:r w:rsidR="0031344C" w:rsidRPr="00CD6F5B">
        <w:rPr>
          <w:rFonts w:asciiTheme="minorEastAsia" w:eastAsiaTheme="minorEastAsia" w:hAnsiTheme="minorEastAsia"/>
          <w:bCs/>
          <w:color w:val="000000" w:themeColor="text1"/>
          <w:szCs w:val="21"/>
        </w:rPr>
        <w:t>1</w:t>
      </w:r>
      <w:r w:rsidR="00610B28" w:rsidRPr="00CD6F5B">
        <w:rPr>
          <w:rFonts w:asciiTheme="minorEastAsia" w:eastAsiaTheme="minorEastAsia" w:hAnsiTheme="minorEastAsia" w:hint="eastAsia"/>
          <w:bCs/>
          <w:color w:val="000000" w:themeColor="text1"/>
          <w:szCs w:val="21"/>
        </w:rPr>
        <w:t>、赎回：指基金合同生效后，基金份额持有人按基金合同规定的条件要求将基金份额兑换为现金的行为</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2</w:t>
      </w:r>
      <w:r w:rsidRPr="00CD6F5B">
        <w:rPr>
          <w:rFonts w:asciiTheme="minorEastAsia" w:eastAsiaTheme="minorEastAsia" w:hAnsiTheme="minorEastAsia" w:hint="eastAsia"/>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3</w:t>
      </w:r>
      <w:r w:rsidRPr="00CD6F5B">
        <w:rPr>
          <w:rFonts w:asciiTheme="minorEastAsia" w:eastAsiaTheme="minorEastAsia" w:hAnsiTheme="minorEastAsia" w:hint="eastAsia"/>
          <w:bCs/>
          <w:color w:val="000000" w:themeColor="text1"/>
          <w:szCs w:val="21"/>
        </w:rPr>
        <w:t>、转托管：指基金份额持有人在本基金的不同销售机构之间实施的变更所持基金份额销售机构的操作</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4</w:t>
      </w:r>
      <w:r w:rsidRPr="00CD6F5B">
        <w:rPr>
          <w:rFonts w:asciiTheme="minorEastAsia" w:eastAsiaTheme="minorEastAsia" w:hAnsiTheme="minorEastAsia" w:hint="eastAsia"/>
          <w:bCs/>
          <w:color w:val="000000" w:themeColor="text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5</w:t>
      </w:r>
      <w:r w:rsidRPr="00CD6F5B">
        <w:rPr>
          <w:rFonts w:asciiTheme="minorEastAsia" w:eastAsiaTheme="minorEastAsia" w:hAnsiTheme="minorEastAsia" w:hint="eastAsia"/>
          <w:bCs/>
          <w:color w:val="000000" w:themeColor="text1"/>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6</w:t>
      </w:r>
      <w:r w:rsidRPr="00CD6F5B">
        <w:rPr>
          <w:rFonts w:asciiTheme="minorEastAsia" w:eastAsiaTheme="minorEastAsia" w:hAnsiTheme="minorEastAsia" w:hint="eastAsia"/>
          <w:bCs/>
          <w:color w:val="000000" w:themeColor="text1"/>
          <w:szCs w:val="21"/>
        </w:rPr>
        <w:t>、元：指人民币元</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7</w:t>
      </w:r>
      <w:r w:rsidRPr="00CD6F5B">
        <w:rPr>
          <w:rFonts w:asciiTheme="minorEastAsia" w:eastAsiaTheme="minorEastAsia" w:hAnsiTheme="minorEastAsia" w:hint="eastAsia"/>
          <w:bCs/>
          <w:color w:val="000000" w:themeColor="text1"/>
          <w:szCs w:val="21"/>
        </w:rPr>
        <w:t>、基金收益：指基金投资所得红利、股息、债券利息、买卖证券价差、银行存款利息、已实现的其他合法收入及因运用基金财产带来的成本和费用的节约</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8</w:t>
      </w:r>
      <w:r w:rsidRPr="00CD6F5B">
        <w:rPr>
          <w:rFonts w:asciiTheme="minorEastAsia" w:eastAsiaTheme="minorEastAsia" w:hAnsiTheme="minorEastAsia" w:hint="eastAsia"/>
          <w:bCs/>
          <w:color w:val="000000" w:themeColor="text1"/>
          <w:szCs w:val="21"/>
        </w:rPr>
        <w:t>、基金资产总值：指基金拥有的各类有价证券、银行存款本息、基金应收申购款及其他资产的价值总和</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4</w:t>
      </w:r>
      <w:r w:rsidR="0031344C" w:rsidRPr="00CD6F5B">
        <w:rPr>
          <w:rFonts w:asciiTheme="minorEastAsia" w:eastAsiaTheme="minorEastAsia" w:hAnsiTheme="minorEastAsia"/>
          <w:bCs/>
          <w:color w:val="000000" w:themeColor="text1"/>
          <w:szCs w:val="21"/>
        </w:rPr>
        <w:t>9</w:t>
      </w:r>
      <w:r w:rsidRPr="00CD6F5B">
        <w:rPr>
          <w:rFonts w:asciiTheme="minorEastAsia" w:eastAsiaTheme="minorEastAsia" w:hAnsiTheme="minorEastAsia" w:hint="eastAsia"/>
          <w:bCs/>
          <w:color w:val="000000" w:themeColor="text1"/>
          <w:szCs w:val="21"/>
        </w:rPr>
        <w:t>、基金资产净值：指基金资产总值减去基金负债后的价值</w:t>
      </w:r>
    </w:p>
    <w:p w:rsidR="00610B28" w:rsidRPr="00CD6F5B" w:rsidRDefault="0031344C"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50</w:t>
      </w:r>
      <w:r w:rsidR="00610B28" w:rsidRPr="00CD6F5B">
        <w:rPr>
          <w:rFonts w:asciiTheme="minorEastAsia" w:eastAsiaTheme="minorEastAsia" w:hAnsiTheme="minorEastAsia" w:hint="eastAsia"/>
          <w:bCs/>
          <w:color w:val="000000" w:themeColor="text1"/>
          <w:szCs w:val="21"/>
        </w:rPr>
        <w:t>、基金份额净值：指计算日基金资产净值除以计算日基金份额总数</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lastRenderedPageBreak/>
        <w:t>5</w:t>
      </w:r>
      <w:r w:rsidR="0031344C" w:rsidRPr="00CD6F5B">
        <w:rPr>
          <w:rFonts w:asciiTheme="minorEastAsia" w:eastAsiaTheme="minorEastAsia" w:hAnsiTheme="minorEastAsia"/>
          <w:bCs/>
          <w:color w:val="000000" w:themeColor="text1"/>
          <w:szCs w:val="21"/>
        </w:rPr>
        <w:t>1</w:t>
      </w:r>
      <w:r w:rsidR="00610B28" w:rsidRPr="00CD6F5B">
        <w:rPr>
          <w:rFonts w:asciiTheme="minorEastAsia" w:eastAsiaTheme="minorEastAsia" w:hAnsiTheme="minorEastAsia" w:hint="eastAsia"/>
          <w:bCs/>
          <w:color w:val="000000" w:themeColor="text1"/>
          <w:szCs w:val="21"/>
        </w:rPr>
        <w:t>、基金资产估值：指计算评估基金资产和负债的价值，以确定基金资产净值和基金份额净值的过程</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w:t>
      </w:r>
      <w:r w:rsidR="0031344C" w:rsidRPr="00CD6F5B">
        <w:rPr>
          <w:rFonts w:asciiTheme="minorEastAsia" w:eastAsiaTheme="minorEastAsia" w:hAnsiTheme="minorEastAsia"/>
          <w:bCs/>
          <w:color w:val="000000" w:themeColor="text1"/>
          <w:szCs w:val="21"/>
        </w:rPr>
        <w:t>2</w:t>
      </w:r>
      <w:r w:rsidRPr="00CD6F5B">
        <w:rPr>
          <w:rFonts w:asciiTheme="minorEastAsia" w:eastAsiaTheme="minorEastAsia" w:hAnsiTheme="minorEastAsia" w:hint="eastAsia"/>
          <w:bCs/>
          <w:color w:val="000000" w:themeColor="text1"/>
          <w:szCs w:val="21"/>
        </w:rPr>
        <w:t>、指定媒介：</w:t>
      </w:r>
      <w:r w:rsidR="00CF1071" w:rsidRPr="00CD6F5B">
        <w:rPr>
          <w:rFonts w:asciiTheme="minorEastAsia" w:eastAsiaTheme="minorEastAsia" w:hAnsiTheme="minorEastAsia" w:hint="eastAsia"/>
          <w:bCs/>
          <w:color w:val="000000" w:themeColor="text1"/>
          <w:szCs w:val="21"/>
        </w:rPr>
        <w:t>指中国证监会指定的用以进行信息披露的全国性报刊及指定互联网网站（包括基金管理人网站、基金托管人网站、中国证监会基金电子披露网站）等媒介</w:t>
      </w:r>
    </w:p>
    <w:p w:rsidR="00610B28"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w:t>
      </w:r>
      <w:r w:rsidR="0031344C" w:rsidRPr="00CD6F5B">
        <w:rPr>
          <w:rFonts w:asciiTheme="minorEastAsia" w:eastAsiaTheme="minorEastAsia" w:hAnsiTheme="minorEastAsia"/>
          <w:bCs/>
          <w:color w:val="000000" w:themeColor="text1"/>
          <w:szCs w:val="21"/>
        </w:rPr>
        <w:t>3</w:t>
      </w:r>
      <w:r w:rsidRPr="00CD6F5B">
        <w:rPr>
          <w:rFonts w:asciiTheme="minorEastAsia" w:eastAsiaTheme="minorEastAsia" w:hAnsiTheme="minorEastAsia" w:hint="eastAsia"/>
          <w:bCs/>
          <w:color w:val="000000" w:themeColor="text1"/>
          <w:szCs w:val="21"/>
        </w:rPr>
        <w:t>、基金份额折算：指基金管理人根据基金运作的需要，在基金资产净值不变的前提下，按照一定比例调整基金份额总额及基金份额净值</w:t>
      </w:r>
    </w:p>
    <w:p w:rsidR="00F362C1" w:rsidRPr="00CD6F5B" w:rsidRDefault="00610B28"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w:t>
      </w:r>
      <w:r w:rsidR="0031344C" w:rsidRPr="00CD6F5B">
        <w:rPr>
          <w:rFonts w:asciiTheme="minorEastAsia" w:eastAsiaTheme="minorEastAsia" w:hAnsiTheme="minorEastAsia"/>
          <w:bCs/>
          <w:color w:val="000000" w:themeColor="text1"/>
          <w:szCs w:val="21"/>
        </w:rPr>
        <w:t>4</w:t>
      </w:r>
      <w:r w:rsidRPr="00CD6F5B">
        <w:rPr>
          <w:rFonts w:asciiTheme="minorEastAsia" w:eastAsiaTheme="minorEastAsia" w:hAnsiTheme="minorEastAsia" w:hint="eastAsia"/>
          <w:bCs/>
          <w:color w:val="000000" w:themeColor="text1"/>
          <w:szCs w:val="21"/>
        </w:rPr>
        <w:t>、不可抗力：指本合同当事人不能预见、不能避免且不能克服的客观事件</w:t>
      </w:r>
    </w:p>
    <w:p w:rsidR="00610B28" w:rsidRPr="00CD6F5B" w:rsidRDefault="00F362C1" w:rsidP="00610B28">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5</w:t>
      </w:r>
      <w:r w:rsidR="0031344C" w:rsidRPr="00CD6F5B">
        <w:rPr>
          <w:rFonts w:asciiTheme="minorEastAsia" w:eastAsiaTheme="minorEastAsia" w:hAnsiTheme="minorEastAsia" w:hint="eastAsia"/>
          <w:bCs/>
          <w:color w:val="000000" w:themeColor="text1"/>
          <w:szCs w:val="21"/>
        </w:rPr>
        <w:t>5</w:t>
      </w:r>
      <w:r w:rsidRPr="00CD6F5B">
        <w:rPr>
          <w:rFonts w:asciiTheme="minorEastAsia" w:eastAsiaTheme="minorEastAsia" w:hAnsiTheme="minorEastAsia" w:hint="eastAsia"/>
          <w:bCs/>
          <w:color w:val="000000" w:themeColor="text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A70C6" w:rsidRPr="00CD6F5B" w:rsidRDefault="009A70C6" w:rsidP="009A70C6">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56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A70C6" w:rsidRPr="00CD6F5B" w:rsidRDefault="009A70C6" w:rsidP="009A70C6">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57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20E53" w:rsidRPr="00CD6F5B" w:rsidRDefault="00C20E53" w:rsidP="00CC1421">
      <w:pPr>
        <w:snapToGrid w:val="0"/>
        <w:spacing w:line="360" w:lineRule="auto"/>
        <w:ind w:firstLineChars="200" w:firstLine="420"/>
        <w:rPr>
          <w:rStyle w:val="da"/>
          <w:rFonts w:asciiTheme="minorEastAsia" w:eastAsiaTheme="minorEastAsia" w:hAnsiTheme="minorEastAsia"/>
          <w:color w:val="000000" w:themeColor="text1"/>
        </w:rPr>
      </w:pPr>
    </w:p>
    <w:p w:rsidR="00C20E53" w:rsidRPr="00CD6F5B" w:rsidRDefault="00C20E53">
      <w:pPr>
        <w:widowControl/>
        <w:jc w:val="left"/>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br w:type="page"/>
      </w:r>
    </w:p>
    <w:p w:rsidR="00BA4B87" w:rsidRPr="00CD6F5B" w:rsidRDefault="00BA4B87" w:rsidP="00C20E53">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4" w:name="_Toc332373446"/>
      <w:bookmarkStart w:id="5" w:name="_Toc82186582"/>
      <w:r w:rsidRPr="00CD6F5B">
        <w:rPr>
          <w:rFonts w:asciiTheme="minorEastAsia" w:eastAsiaTheme="minorEastAsia" w:hAnsiTheme="minorEastAsia"/>
          <w:color w:val="000000" w:themeColor="text1"/>
          <w:sz w:val="30"/>
        </w:rPr>
        <w:lastRenderedPageBreak/>
        <w:t>三、基金管理人</w:t>
      </w:r>
      <w:bookmarkEnd w:id="4"/>
      <w:bookmarkEnd w:id="5"/>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6" w:name="_Toc332373447"/>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基金管理人基本情况</w:t>
      </w:r>
      <w:bookmarkEnd w:id="6"/>
    </w:p>
    <w:p w:rsidR="00DC4340" w:rsidRPr="00CD6F5B" w:rsidRDefault="00DC4340" w:rsidP="009612F6">
      <w:pPr>
        <w:spacing w:line="360" w:lineRule="auto"/>
        <w:ind w:firstLineChars="200" w:firstLine="420"/>
        <w:rPr>
          <w:rFonts w:asciiTheme="minorEastAsia" w:eastAsiaTheme="minorEastAsia" w:hAnsiTheme="minorEastAsia"/>
          <w:color w:val="000000" w:themeColor="text1"/>
        </w:rPr>
      </w:pPr>
      <w:bookmarkStart w:id="7" w:name="_Toc332373448"/>
      <w:r w:rsidRPr="00CD6F5B">
        <w:rPr>
          <w:rFonts w:asciiTheme="minorEastAsia" w:eastAsiaTheme="minorEastAsia" w:hAnsiTheme="minorEastAsia"/>
          <w:color w:val="000000" w:themeColor="text1"/>
        </w:rPr>
        <w:t>1、基金管理人：</w:t>
      </w:r>
      <w:r w:rsidR="00B94B06" w:rsidRPr="00CD6F5B">
        <w:rPr>
          <w:rFonts w:asciiTheme="minorEastAsia" w:eastAsiaTheme="minorEastAsia" w:hAnsiTheme="minorEastAsia"/>
          <w:color w:val="000000" w:themeColor="text1"/>
        </w:rPr>
        <w:t>易方达基金管理有限公司</w:t>
      </w:r>
    </w:p>
    <w:p w:rsidR="008E1252"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注册地址：</w:t>
      </w:r>
      <w:r w:rsidR="006307BC" w:rsidRPr="00CD6F5B">
        <w:rPr>
          <w:rFonts w:asciiTheme="minorEastAsia" w:eastAsiaTheme="minorEastAsia" w:hAnsiTheme="minorEastAsia" w:hint="eastAsia"/>
          <w:color w:val="000000" w:themeColor="text1"/>
        </w:rPr>
        <w:t>广东省珠海市横琴新区宝华路</w:t>
      </w:r>
      <w:r w:rsidR="006307BC" w:rsidRPr="00CD6F5B">
        <w:rPr>
          <w:rFonts w:asciiTheme="minorEastAsia" w:eastAsiaTheme="minorEastAsia" w:hAnsiTheme="minorEastAsia"/>
          <w:color w:val="000000" w:themeColor="text1"/>
        </w:rPr>
        <w:t>6</w:t>
      </w:r>
      <w:r w:rsidR="006307BC" w:rsidRPr="00CD6F5B">
        <w:rPr>
          <w:rFonts w:asciiTheme="minorEastAsia" w:eastAsiaTheme="minorEastAsia" w:hAnsiTheme="minorEastAsia" w:hint="eastAsia"/>
          <w:color w:val="000000" w:themeColor="text1"/>
        </w:rPr>
        <w:t>号</w:t>
      </w:r>
      <w:r w:rsidR="006307BC" w:rsidRPr="00CD6F5B">
        <w:rPr>
          <w:rFonts w:asciiTheme="minorEastAsia" w:eastAsiaTheme="minorEastAsia" w:hAnsiTheme="minorEastAsia"/>
          <w:color w:val="000000" w:themeColor="text1"/>
        </w:rPr>
        <w:t>105</w:t>
      </w:r>
      <w:r w:rsidR="006307BC" w:rsidRPr="00CD6F5B">
        <w:rPr>
          <w:rFonts w:asciiTheme="minorEastAsia" w:eastAsiaTheme="minorEastAsia" w:hAnsiTheme="minorEastAsia" w:hint="eastAsia"/>
          <w:color w:val="000000" w:themeColor="text1"/>
        </w:rPr>
        <w:t>室－</w:t>
      </w:r>
      <w:r w:rsidR="006307BC" w:rsidRPr="00CD6F5B">
        <w:rPr>
          <w:rFonts w:asciiTheme="minorEastAsia" w:eastAsiaTheme="minorEastAsia" w:hAnsiTheme="minorEastAsia"/>
          <w:color w:val="000000" w:themeColor="text1"/>
        </w:rPr>
        <w:t>42891</w:t>
      </w:r>
      <w:r w:rsidR="006307BC" w:rsidRPr="00CD6F5B">
        <w:rPr>
          <w:rFonts w:asciiTheme="minorEastAsia" w:eastAsiaTheme="minorEastAsia" w:hAnsiTheme="minorEastAsia" w:hint="eastAsia"/>
          <w:color w:val="000000" w:themeColor="text1"/>
        </w:rPr>
        <w:t>（集中办公区）</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办公地址：</w:t>
      </w:r>
      <w:r w:rsidR="00B94B06" w:rsidRPr="00CD6F5B">
        <w:rPr>
          <w:rFonts w:asciiTheme="minorEastAsia" w:eastAsiaTheme="minorEastAsia" w:hAnsiTheme="minorEastAsia"/>
          <w:color w:val="000000" w:themeColor="text1"/>
        </w:rPr>
        <w:t>广州市天河区珠江新城珠江东路30号广州银行大厦40-43楼</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设立日期：</w:t>
      </w:r>
      <w:r w:rsidR="00B94B06" w:rsidRPr="00CD6F5B">
        <w:rPr>
          <w:rFonts w:asciiTheme="minorEastAsia" w:eastAsiaTheme="minorEastAsia" w:hAnsiTheme="minorEastAsia"/>
          <w:color w:val="000000" w:themeColor="text1"/>
        </w:rPr>
        <w:t>2001年4月17日</w:t>
      </w:r>
    </w:p>
    <w:p w:rsidR="00B95FC7"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法定代表人：</w:t>
      </w:r>
      <w:r w:rsidR="00B94B06" w:rsidRPr="00CD6F5B">
        <w:rPr>
          <w:rFonts w:asciiTheme="minorEastAsia" w:eastAsiaTheme="minorEastAsia" w:hAnsiTheme="minorEastAsia"/>
          <w:color w:val="000000" w:themeColor="text1"/>
        </w:rPr>
        <w:t>刘晓艳</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联系电话：</w:t>
      </w:r>
      <w:r w:rsidR="00B94B06" w:rsidRPr="00CD6F5B">
        <w:rPr>
          <w:rFonts w:asciiTheme="minorEastAsia" w:eastAsiaTheme="minorEastAsia" w:hAnsiTheme="minorEastAsia"/>
          <w:color w:val="000000" w:themeColor="text1"/>
        </w:rPr>
        <w:t>4008818088</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AA59F9" w:rsidRPr="00CD6F5B">
        <w:rPr>
          <w:rFonts w:asciiTheme="minorEastAsia" w:eastAsiaTheme="minorEastAsia" w:hAnsiTheme="minorEastAsia"/>
          <w:color w:val="000000" w:themeColor="text1"/>
        </w:rPr>
        <w:t>李红枫</w:t>
      </w:r>
    </w:p>
    <w:p w:rsidR="00E1511F" w:rsidRPr="00CD6F5B" w:rsidRDefault="00494F6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注册资本：13,244.2万元人民币</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批准设立机关及文号：</w:t>
      </w:r>
      <w:r w:rsidR="00B94B06" w:rsidRPr="00CD6F5B">
        <w:rPr>
          <w:rFonts w:asciiTheme="minorEastAsia" w:eastAsiaTheme="minorEastAsia" w:hAnsiTheme="minorEastAsia"/>
          <w:color w:val="000000" w:themeColor="text1"/>
        </w:rPr>
        <w:t>中国证券监督管理委员会</w:t>
      </w:r>
      <w:r w:rsidRPr="00CD6F5B">
        <w:rPr>
          <w:rFonts w:asciiTheme="minorEastAsia" w:eastAsiaTheme="minorEastAsia" w:hAnsiTheme="minorEastAsia"/>
          <w:color w:val="000000" w:themeColor="text1"/>
        </w:rPr>
        <w:t>，</w:t>
      </w:r>
      <w:r w:rsidR="00B94B06" w:rsidRPr="00CD6F5B">
        <w:rPr>
          <w:rFonts w:asciiTheme="minorEastAsia" w:eastAsiaTheme="minorEastAsia" w:hAnsiTheme="minorEastAsia"/>
          <w:color w:val="000000" w:themeColor="text1"/>
        </w:rPr>
        <w:t>证监基金字[2001]4号</w:t>
      </w:r>
    </w:p>
    <w:p w:rsidR="00E1511F" w:rsidRPr="00CD6F5B" w:rsidRDefault="00E151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经营范围：</w:t>
      </w:r>
      <w:r w:rsidR="008E1252" w:rsidRPr="00CD6F5B">
        <w:rPr>
          <w:rFonts w:asciiTheme="minorEastAsia" w:eastAsiaTheme="minorEastAsia" w:hAnsiTheme="minorEastAsia" w:hint="eastAsia"/>
          <w:color w:val="000000" w:themeColor="text1"/>
        </w:rPr>
        <w:t>公开募集证券投资基金管理、基金销售、特定客户资产管理</w:t>
      </w:r>
    </w:p>
    <w:p w:rsidR="00DC4340" w:rsidRPr="00CD6F5B" w:rsidRDefault="00DC434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2、股权结构：</w:t>
      </w:r>
    </w:p>
    <w:tbl>
      <w:tblPr>
        <w:tblW w:w="4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2828"/>
      </w:tblGrid>
      <w:tr w:rsidR="00CD6F5B" w:rsidRPr="00CD6F5B" w:rsidTr="0011696C">
        <w:trPr>
          <w:jc w:val="center"/>
        </w:trPr>
        <w:tc>
          <w:tcPr>
            <w:tcW w:w="3152" w:type="pct"/>
            <w:vAlign w:val="center"/>
          </w:tcPr>
          <w:p w:rsidR="00DC4340" w:rsidRPr="00CD6F5B" w:rsidRDefault="00DC4340" w:rsidP="00CC1421">
            <w:pPr>
              <w:snapToGrid w:val="0"/>
              <w:spacing w:line="360" w:lineRule="auto"/>
              <w:ind w:firstLine="420"/>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股东名称</w:t>
            </w:r>
          </w:p>
        </w:tc>
        <w:tc>
          <w:tcPr>
            <w:tcW w:w="1848" w:type="pct"/>
            <w:vAlign w:val="center"/>
          </w:tcPr>
          <w:p w:rsidR="00DC4340" w:rsidRPr="00CD6F5B" w:rsidRDefault="00DC4340" w:rsidP="00CC1421">
            <w:pPr>
              <w:snapToGrid w:val="0"/>
              <w:spacing w:line="360" w:lineRule="auto"/>
              <w:ind w:firstLine="420"/>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出资比例</w:t>
            </w:r>
          </w:p>
        </w:tc>
      </w:tr>
      <w:tr w:rsidR="00CD6F5B" w:rsidRPr="00CD6F5B" w:rsidTr="0011696C">
        <w:trPr>
          <w:jc w:val="center"/>
        </w:trPr>
        <w:tc>
          <w:tcPr>
            <w:tcW w:w="3152" w:type="pct"/>
            <w:vAlign w:val="center"/>
          </w:tcPr>
          <w:p w:rsidR="0048496B"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广东粤财信托有限公司</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22.6514％</w:t>
            </w:r>
          </w:p>
        </w:tc>
      </w:tr>
      <w:tr w:rsidR="00CD6F5B" w:rsidRPr="00CD6F5B" w:rsidTr="0011696C">
        <w:trPr>
          <w:jc w:val="center"/>
        </w:trPr>
        <w:tc>
          <w:tcPr>
            <w:tcW w:w="3152" w:type="pct"/>
            <w:vAlign w:val="center"/>
          </w:tcPr>
          <w:p w:rsidR="0048496B"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广发证券股份有限公司</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22.6514％</w:t>
            </w:r>
          </w:p>
        </w:tc>
      </w:tr>
      <w:tr w:rsidR="00CD6F5B" w:rsidRPr="00CD6F5B" w:rsidTr="0011696C">
        <w:trPr>
          <w:jc w:val="center"/>
        </w:trPr>
        <w:tc>
          <w:tcPr>
            <w:tcW w:w="3152" w:type="pct"/>
            <w:vAlign w:val="center"/>
          </w:tcPr>
          <w:p w:rsidR="0048496B"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盈峰集团有限公司</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22.6514％</w:t>
            </w:r>
          </w:p>
        </w:tc>
      </w:tr>
      <w:tr w:rsidR="00CD6F5B" w:rsidRPr="00CD6F5B" w:rsidTr="0011696C">
        <w:trPr>
          <w:jc w:val="center"/>
        </w:trPr>
        <w:tc>
          <w:tcPr>
            <w:tcW w:w="3152" w:type="pct"/>
            <w:vAlign w:val="center"/>
          </w:tcPr>
          <w:p w:rsidR="0048496B" w:rsidRPr="00CD6F5B" w:rsidRDefault="00D0417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广东省广晟控股集团有限公司</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15.1010％</w:t>
            </w:r>
          </w:p>
        </w:tc>
      </w:tr>
      <w:tr w:rsidR="00CD6F5B" w:rsidRPr="00CD6F5B" w:rsidTr="0011696C">
        <w:trPr>
          <w:jc w:val="center"/>
        </w:trPr>
        <w:tc>
          <w:tcPr>
            <w:tcW w:w="3152" w:type="pct"/>
            <w:vAlign w:val="center"/>
          </w:tcPr>
          <w:p w:rsidR="0048496B"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广州市广永国有资产经营有限公司</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7.5505％</w:t>
            </w:r>
          </w:p>
        </w:tc>
      </w:tr>
      <w:tr w:rsidR="00CD6F5B" w:rsidRPr="00CD6F5B" w:rsidTr="0011696C">
        <w:trPr>
          <w:jc w:val="center"/>
        </w:trPr>
        <w:tc>
          <w:tcPr>
            <w:tcW w:w="3152" w:type="pct"/>
            <w:vAlign w:val="center"/>
          </w:tcPr>
          <w:p w:rsidR="0048496B"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珠海祺荣宝股权投资合伙企业（有限合伙）</w:t>
            </w:r>
          </w:p>
        </w:tc>
        <w:tc>
          <w:tcPr>
            <w:tcW w:w="1848" w:type="pct"/>
            <w:vAlign w:val="center"/>
          </w:tcPr>
          <w:p w:rsidR="0048496B"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1.5087％</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珠海祺泰宝股权投资合伙企业（有限合伙）</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1.6205％</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珠海祺丰宝股权投资合伙企业（有限合伙）</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1.5309％</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珠海聚莱康股权投资合伙企业（有限合伙）</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1.7558％</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珠海聚宁康股权投资合伙企业（有限合伙）</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1.4396％</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珠海聚弘康股权投资合伙企业（有限合伙）</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1.5388％</w:t>
            </w:r>
          </w:p>
        </w:tc>
      </w:tr>
      <w:tr w:rsidR="00CD6F5B" w:rsidRPr="00CD6F5B" w:rsidTr="0011696C">
        <w:trPr>
          <w:jc w:val="center"/>
        </w:trPr>
        <w:tc>
          <w:tcPr>
            <w:tcW w:w="3152" w:type="pct"/>
            <w:vAlign w:val="center"/>
          </w:tcPr>
          <w:p w:rsidR="00494F64" w:rsidRPr="00CD6F5B" w:rsidRDefault="00494F64">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总</w:t>
            </w:r>
            <w:r w:rsidRPr="00CD6F5B">
              <w:rPr>
                <w:rFonts w:asciiTheme="minorEastAsia" w:eastAsiaTheme="minorEastAsia" w:hAnsiTheme="minorEastAsia"/>
                <w:color w:val="000000" w:themeColor="text1"/>
              </w:rPr>
              <w:t>计</w:t>
            </w:r>
          </w:p>
        </w:tc>
        <w:tc>
          <w:tcPr>
            <w:tcW w:w="1848" w:type="pct"/>
            <w:vAlign w:val="center"/>
          </w:tcPr>
          <w:p w:rsidR="00494F64" w:rsidRPr="00CD6F5B" w:rsidRDefault="00494F64">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100％</w:t>
            </w:r>
          </w:p>
        </w:tc>
      </w:tr>
    </w:tbl>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8D4032"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主要人员情况</w:t>
      </w:r>
      <w:bookmarkEnd w:id="7"/>
    </w:p>
    <w:p w:rsidR="001544E7" w:rsidRPr="00CD6F5B" w:rsidRDefault="00BA4B87" w:rsidP="001544E7">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1、董事、监事及高级管理人员</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w:t>
      </w:r>
      <w:r w:rsidRPr="00CD6F5B">
        <w:rPr>
          <w:rFonts w:asciiTheme="minorEastAsia" w:eastAsiaTheme="minorEastAsia" w:hAnsiTheme="minorEastAsia" w:hint="eastAsia"/>
          <w:color w:val="000000" w:themeColor="text1"/>
        </w:rPr>
        <w:lastRenderedPageBreak/>
        <w:t>部主任、证券投资部主任。</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刘晓艳女士，经济学博士。现任易方达基金管理有限公司副董事长、总裁，易方达国际控股有限公司董事。曾任广发证券有限责任公司投资理财部副经理、基金经理、基金投资理财部副总经理，易方达基金管理有限公司督察员、监察部总经理、市场部总经理、总裁助理、副总裁、常务副总裁，易方达资产管理有限公司董事，易方达资产管理（香港）有限公司董事长。</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秦力先生，经济学博士。现任易方达基金管理有限公司董事，广发证券股份有限公司执行董事、公司总监，广发控股（香港）有限公司董事长。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曾任中富证券有限责任公司投行部经理，鸿商产业控股集团有限公司产业投资部执行董事，名力中国成长基金合伙人，复星能源环境与智能装备集团总裁。</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潘文皓先生，经济学硕士。现任易方达基金管理有限公司董事，广东省广晟控股集团有限公司资本运营部副部长（主持工作），广东南粤银行股份有限公司董事，澳大利亚泛澳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w:t>
      </w:r>
      <w:r w:rsidRPr="00CD6F5B">
        <w:rPr>
          <w:rFonts w:asciiTheme="minorEastAsia" w:eastAsiaTheme="minorEastAsia" w:hAnsiTheme="minorEastAsia" w:hint="eastAsia"/>
          <w:color w:val="000000" w:themeColor="text1"/>
        </w:rPr>
        <w:lastRenderedPageBreak/>
        <w:t>州大学助理教授，香港科技大学副教授，中欧国际工商学院教授，瑞士洛桑管理学院教授。</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谭劲松先生，管理学博士（会计学）。现任易方达基金管理有限公司独立董事，中山大学管理学院教授，中远海运特种运输股份有限公司独立董事，上海莱士血液制品股份有限公司独立董事，广州恒运企业集团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曾任邵阳市财会学校教师，中山大学管理学院助教、讲师、副教授。</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曾任美国天普大学法学院访问副教授。</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w:t>
      </w:r>
      <w:r w:rsidRPr="00CD6F5B">
        <w:rPr>
          <w:rFonts w:asciiTheme="minorEastAsia" w:eastAsiaTheme="minorEastAsia" w:hAnsiTheme="minorEastAsia" w:hint="eastAsia"/>
          <w:color w:val="000000" w:themeColor="text1"/>
        </w:rPr>
        <w:lastRenderedPageBreak/>
        <w:t>易方达基金管理有限公司综合管理部副总经理、人力资源部副总经理、市场部总经理、互联网金融部总经理、综合管理部总经理。</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刘炜先生，工商管理硕士（</w:t>
      </w:r>
      <w:r w:rsidRPr="00CD6F5B">
        <w:rPr>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马骏先生，工商管理硕士（</w:t>
      </w:r>
      <w:r w:rsidRPr="00CD6F5B">
        <w:rPr>
          <w:rFonts w:asciiTheme="minorEastAsia" w:eastAsiaTheme="minorEastAsia" w:hAnsiTheme="minorEastAsia"/>
          <w:color w:val="000000" w:themeColor="text1"/>
        </w:rPr>
        <w:t>EMBA）。现任易方达基金管理有限公司常务副总裁、固定收益投资决策委员会委员，易方达资产管理（香港）有限公司董事长、人民币合格境外投资者（RQFII</w:t>
      </w:r>
      <w:r w:rsidRPr="00CD6F5B">
        <w:rPr>
          <w:rFonts w:asciiTheme="minorEastAsia" w:eastAsiaTheme="minorEastAsia" w:hAnsiTheme="minorEastAsia" w:hint="eastAsia"/>
          <w:color w:val="000000" w:themeColor="text1"/>
        </w:rPr>
        <w:t>）业务负责人、证券交易负责人员（</w:t>
      </w:r>
      <w:r w:rsidRPr="00CD6F5B">
        <w:rPr>
          <w:rFonts w:asciiTheme="minorEastAsia" w:eastAsiaTheme="minorEastAsia" w:hAnsiTheme="minorEastAsia"/>
          <w:color w:val="000000" w:themeColor="text1"/>
        </w:rPr>
        <w:t>RO</w:t>
      </w:r>
      <w:r w:rsidRPr="00CD6F5B">
        <w:rPr>
          <w:rFonts w:asciiTheme="minorEastAsia" w:eastAsiaTheme="minorEastAsia" w:hAnsiTheme="minorEastAsia" w:hint="eastAsia"/>
          <w:color w:val="000000" w:themeColor="text1"/>
        </w:rPr>
        <w:t>）、就证券提供意见负责人员（</w:t>
      </w:r>
      <w:r w:rsidRPr="00CD6F5B">
        <w:rPr>
          <w:rFonts w:asciiTheme="minorEastAsia" w:eastAsiaTheme="minorEastAsia" w:hAnsiTheme="minorEastAsia"/>
          <w:color w:val="000000" w:themeColor="text1"/>
        </w:rPr>
        <w:t>RO</w:t>
      </w:r>
      <w:r w:rsidRPr="00CD6F5B">
        <w:rPr>
          <w:rFonts w:asciiTheme="minorEastAsia" w:eastAsiaTheme="minorEastAsia" w:hAnsiTheme="minorEastAsia" w:hint="eastAsia"/>
          <w:color w:val="000000" w:themeColor="text1"/>
        </w:rPr>
        <w:t>）、提供资产管理负责人员（</w:t>
      </w:r>
      <w:r w:rsidRPr="00CD6F5B">
        <w:rPr>
          <w:rFonts w:asciiTheme="minorEastAsia" w:eastAsiaTheme="minorEastAsia" w:hAnsiTheme="minorEastAsia"/>
          <w:color w:val="000000" w:themeColor="text1"/>
        </w:rPr>
        <w:t>RO</w:t>
      </w:r>
      <w:r w:rsidRPr="00CD6F5B">
        <w:rPr>
          <w:rFonts w:asciiTheme="minorEastAsia" w:eastAsiaTheme="minorEastAsia" w:hAnsiTheme="minorEastAsia" w:hint="eastAsia"/>
          <w:color w:val="000000" w:themeColor="text1"/>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w:t>
      </w:r>
      <w:r w:rsidRPr="00CD6F5B">
        <w:rPr>
          <w:rFonts w:asciiTheme="minorEastAsia" w:eastAsiaTheme="minorEastAsia" w:hAnsiTheme="minorEastAsia" w:hint="eastAsia"/>
          <w:color w:val="000000" w:themeColor="text1"/>
        </w:rPr>
        <w:lastRenderedPageBreak/>
        <w:t>部总监，易方达资产管理（香港）有限公司董事。</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高松凡先生，工商管理硕士（</w:t>
      </w:r>
      <w:r w:rsidRPr="00CD6F5B">
        <w:rPr>
          <w:rFonts w:asciiTheme="minorEastAsia" w:eastAsiaTheme="minorEastAsia" w:hAnsiTheme="minorEastAsia"/>
          <w:color w:val="000000" w:themeColor="text1"/>
        </w:rPr>
        <w:t>EMBA</w:t>
      </w:r>
      <w:r w:rsidRPr="00CD6F5B">
        <w:rPr>
          <w:rFonts w:asciiTheme="minorEastAsia" w:eastAsiaTheme="minorEastAsia" w:hAnsiTheme="minorEastAsia" w:hint="eastAsia"/>
          <w:color w:val="000000" w:themeColor="text1"/>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关秀霞女士，工商管理硕士、金融学硕士。现任易方达基金管理有限公司副总经理级高级管理人员。曾任中国银行（香港）有限公司分析员，</w:t>
      </w:r>
      <w:r w:rsidRPr="00CD6F5B">
        <w:rPr>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CD6F5B">
        <w:rPr>
          <w:rFonts w:asciiTheme="minorEastAsia" w:eastAsiaTheme="minorEastAsia" w:hAnsiTheme="minorEastAsia" w:hint="eastAsia"/>
          <w:color w:val="000000" w:themeColor="text1"/>
        </w:rPr>
        <w:t>董事总经理、大中华地区高级副总裁、中国区行长。</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海外投资（深圳）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D04174" w:rsidRPr="00CD6F5B" w:rsidRDefault="00D04174"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娄利舟女士，工商管理硕士（</w:t>
      </w:r>
      <w:r w:rsidRPr="00CD6F5B">
        <w:rPr>
          <w:rFonts w:asciiTheme="minorEastAsia" w:eastAsiaTheme="minorEastAsia" w:hAnsiTheme="minorEastAsia"/>
          <w:color w:val="000000" w:themeColor="text1"/>
        </w:rPr>
        <w:t>EMBA）</w:t>
      </w:r>
      <w:r w:rsidRPr="00CD6F5B">
        <w:rPr>
          <w:rFonts w:asciiTheme="minorEastAsia" w:eastAsiaTheme="minorEastAsia" w:hAnsiTheme="minorEastAsia" w:hint="eastAsia"/>
          <w:color w:val="000000" w:themeColor="text1"/>
        </w:rPr>
        <w:t>、经济学硕士。现任易方达基金管理有限公司副总经理级高级管理人员、</w:t>
      </w:r>
      <w:r w:rsidRPr="00CD6F5B">
        <w:rPr>
          <w:rFonts w:asciiTheme="minorEastAsia" w:eastAsiaTheme="minorEastAsia" w:hAnsiTheme="minorEastAsia"/>
          <w:color w:val="000000" w:themeColor="text1"/>
        </w:rPr>
        <w:t>FOF</w:t>
      </w:r>
      <w:r w:rsidRPr="00CD6F5B">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管勇先生，理学硕士。现任易方达基金管理有限公司首席信息官、数据平台研发中心总经理、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9B076C" w:rsidRPr="00CD6F5B" w:rsidRDefault="009B076C" w:rsidP="00877C30">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林森先生，经济学硕士、工商管理硕士，本基金的基金经理。</w:t>
      </w:r>
      <w:r w:rsidR="00C64EEB" w:rsidRPr="00CD6F5B">
        <w:rPr>
          <w:rFonts w:asciiTheme="minorEastAsia" w:eastAsiaTheme="minorEastAsia" w:hAnsiTheme="minorEastAsia" w:hint="eastAsia"/>
          <w:color w:val="000000" w:themeColor="text1"/>
        </w:rPr>
        <w:t>现任易方达基金管理有限公司固定收益全策略投资部联席总经理、投资经理、易方达安心回馈混合型证券投资基金基金经理（自2015年11月28日起任职）、易方达瑞程灵活配置混合型证券投资基金基金经理（自2017年1月26日起任职）、易方达瑞通灵活配置混合型证券投资基金基金经理（自2017年3月7日起任职）、易方达瑞弘灵活配置混合型证券投资基金基金经理（自2017年3月7日起任职）、易方达裕祥回报债券型证券投资基金基金经理（自2017年7月28</w:t>
      </w:r>
      <w:r w:rsidR="00C64EEB" w:rsidRPr="00CD6F5B">
        <w:rPr>
          <w:rFonts w:asciiTheme="minorEastAsia" w:eastAsiaTheme="minorEastAsia" w:hAnsiTheme="minorEastAsia" w:hint="eastAsia"/>
          <w:color w:val="000000" w:themeColor="text1"/>
        </w:rPr>
        <w:lastRenderedPageBreak/>
        <w:t>日起任职）、易方达裕景添利6个月定期开放债券型证券投资基金基金经理（自2018年2月10日起任职）、易方达高等级信用债债券型证券投资基金基金经理（自2018年3月24日起任职）。曾任道富银行风险管理部风险管理经理、外汇利率交易部利率交易员，太平洋资产管理公司（PIMCO）基金管理部基金经理，易方达基金管理有限公司固定收益投资部总经理助理、易方达新收益灵活配置混合型证券投资基金基金经理（自2017年12月30日至2019年1月7日）、易方达新益灵活配置混合型证券投资基金基金经理（自2016年3月15日至2019年9月27日）、易方达瑞选灵活配置混合型证券投资基金基金经理（自2017年12月30日至2020年3月20日）、易方达安心回馈混合型证券投资基金基金经理助理、易方达瑞通灵活配置混合型证券投资基金基金经理助理、易方达裕祥回报债券型证券投资基金基金经理助理、易方达新收益灵活配置混合型证券投资基金基金经理助理、易方达瑞选灵活配置混合型证券投资基金基金经理助理、易方达裕景添利6个月定期开放债券型证券投资基金基金经理助理、易方达高等级信用债债券型证券投资基金基金经理助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林虎先生，经济学博士，本基金的基金经理。</w:t>
      </w:r>
      <w:r w:rsidR="00C64EEB" w:rsidRPr="00CD6F5B">
        <w:rPr>
          <w:rFonts w:asciiTheme="minorEastAsia" w:eastAsiaTheme="minorEastAsia" w:hAnsiTheme="minorEastAsia" w:hint="eastAsia"/>
          <w:color w:val="000000" w:themeColor="text1"/>
        </w:rPr>
        <w:t>现任易方达基金管理有限公司易方达安心回馈混合型证券投资基金基金经理（自2021年9月8日起任职）、易方达裕祥回报债券型证券投资基金基金经理（自2021年9月8日起任职）、易方达裕富债券型证券投资基金基金经理助理、易方达招易一年持有期混合型证券投资基金基金经理助理、易方达磐恒九个月持有期混合型证券投资基金基金经理助理、易方达磐泰一年持有期混合型证券投资基金基金经理助理、易方达磐固六个月持有期混合型证券投资基金基金经理助理、易方达悦兴一年持有期混合型证券投资基金基金经理助理、易方达悦享一年持有期混合型证券投资基金基金经理助理、易方达悦通一年持有期混合型证券投资基金基金经理助理、易方达悦盈一年持有期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悦夏一年持有期混合型证券投资基金基金经理助理。曾任宏源证券研究所固定收益分析师，国信证券研究所宏观分析师，易方达基金管理有限公司易方达保本一号混合型证券投资基金基金经理助理、易方达裕祥回报债券型证券投资基金基金经理助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胡文伯先生，金融数学硕士，本基金的基金经理助理。</w:t>
      </w:r>
      <w:r w:rsidR="00C64EEB" w:rsidRPr="00CD6F5B">
        <w:rPr>
          <w:rFonts w:asciiTheme="minorEastAsia" w:eastAsiaTheme="minorEastAsia" w:hAnsiTheme="minorEastAsia" w:hint="eastAsia"/>
          <w:color w:val="000000" w:themeColor="text1"/>
        </w:rPr>
        <w:t>现任易方达基金管理有限公司易方达双债增强债券型证券投资基金基金经理（自2020年10月16日起任职）、易方达稳健收益债券型证券投资基金基金经理助理、易方达裕惠回报定期开放式混合型发起式证券</w:t>
      </w:r>
      <w:r w:rsidR="00C64EEB" w:rsidRPr="00CD6F5B">
        <w:rPr>
          <w:rFonts w:asciiTheme="minorEastAsia" w:eastAsiaTheme="minorEastAsia" w:hAnsiTheme="minorEastAsia" w:hint="eastAsia"/>
          <w:color w:val="000000" w:themeColor="text1"/>
        </w:rPr>
        <w:lastRenderedPageBreak/>
        <w:t>投资基金基金经理助理、易方达裕如灵活配置混合型证券投资基金基金经理助理、易方达瑞财灵活配置混合型证券投资基金基金经理助理、易方达永旭添利定期开放债券型证券投资基金基金经理助理、易方达中债新综合债券指数发起式证券投资基金（LOF）基金经理助理、易方达信用债债券型证券投资基金基金经理助理、易方达纯债1年定期开放债券型证券投资基金基金经理助理、易方达高等级信用债债券型证券投资基金基金经理助理、易方达富惠纯债债券型证券投资基金基金经理助理、易方达恒益定期开放债券型发起式证券投资基金基金经理助理、易方达恒信定期开放债券型发起式证券投资基金基金经理助理、易方达恒惠定期开放债券型发起式证券投资基金基金经理助理、易方达恒利3个月定期开放债券型发起式证券投资基金基金经理助理、易方达安源中短债债券型证券投资基金基金经理助理、易方达年年恒夏纯债一年定期开放债券型发起式证券投资基金基金经理助理、易方达裕景添利6个月定期开放债券型证券投资基金基金经理助理、易方达裕祥回报债券型证券投资基金基金经理助理、易方达年年恒秋纯债一年定期开放债券型发起式证券投资基金基金经理助理、易方达增强回报债券型证券投资基金基金经理助理、易方达恒盛3个月定期开放混合型发起式证券投资基金基金经理助理。曾任易方达基金管理有限公司固定收益研究员、易方达鑫转增利混合型证券投资基金基金经理助理、易方达鑫转招利混合型证券投资基金基金经理助理、易方达新利灵活配置混合型证券投资基金基金经理助理、易方达新享灵活配置混合型证券投资基金基金经理助理、易方达瑞景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聚盈分级债券型发起式证券投资基金基金经理助理、易方达丰惠混合型证券投资基金基金经理助理、易方达双债增强债券型证券投资基金基金经理助理、易方达鑫转添利混合型证券投资基金基金经理助理、易方达安盈回报混合型证券投资基金基金经理助理、易方达瑞和灵活配置混合型证券投资基金基金经理助理、易方达瑞信灵活配置混合型证券投资基金基金经理助理、易方达瑞富灵活配置混合型证券投资基金基金经理助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张凯頔先生，经济学硕士，本基金的基金经理助理。</w:t>
      </w:r>
      <w:r w:rsidR="00C64EEB" w:rsidRPr="00CD6F5B">
        <w:rPr>
          <w:rFonts w:asciiTheme="minorEastAsia" w:eastAsiaTheme="minorEastAsia" w:hAnsiTheme="minorEastAsia" w:hint="eastAsia"/>
          <w:color w:val="000000" w:themeColor="text1"/>
        </w:rPr>
        <w:t>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w:t>
      </w:r>
      <w:r w:rsidR="00C64EEB" w:rsidRPr="00CD6F5B">
        <w:rPr>
          <w:rFonts w:asciiTheme="minorEastAsia" w:eastAsiaTheme="minorEastAsia" w:hAnsiTheme="minorEastAsia" w:hint="eastAsia"/>
          <w:color w:val="000000" w:themeColor="text1"/>
        </w:rPr>
        <w:lastRenderedPageBreak/>
        <w:t>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高等级信用债债券型证券投资基金基金经理助理、易方达裕鑫债券型证券投资基金基金经理助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本基金历任基金经理情况：张雅君，管理时间为2016年6月2日至2017年7月27日；张清华，管理时间为2016年1月22日至2021年9月7日。</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3、固定收益投资决策委员会成员</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马骏先生，同上。</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胡剑先生，同上。</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张清华先生，同上。</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袁方女士，易方达基金管理有限公司多资产养老金投资部总经理。</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刘朝阳女士，易方达基金管理有限公司现金管理部总经理、基金经理。</w:t>
      </w:r>
    </w:p>
    <w:p w:rsidR="00D04174" w:rsidRPr="00CD6F5B" w:rsidRDefault="00D04174" w:rsidP="00877C30">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祁广东先生，易方达基金管理有限公司国际投资部总经理、基金经理，易方达资产管理（香港）有限公司首席投资官（国际固定收益）、就证券提供意见负责人员（RO）、提供资产管理负责人员（RO）、投资决策委员会委员。</w:t>
      </w:r>
    </w:p>
    <w:p w:rsidR="00877C30" w:rsidRPr="00CD6F5B" w:rsidRDefault="00877C30" w:rsidP="00877C30">
      <w:pPr>
        <w:spacing w:line="360" w:lineRule="auto"/>
        <w:ind w:firstLineChars="200" w:firstLine="420"/>
        <w:rPr>
          <w:rFonts w:asciiTheme="minorEastAsia" w:eastAsiaTheme="minorEastAsia" w:hAnsiTheme="minorEastAsia"/>
          <w:color w:val="000000" w:themeColor="text1"/>
        </w:rPr>
      </w:pPr>
      <w:bookmarkStart w:id="8" w:name="_Toc332373451"/>
      <w:r w:rsidRPr="00CD6F5B">
        <w:rPr>
          <w:rFonts w:asciiTheme="minorEastAsia" w:eastAsiaTheme="minorEastAsia" w:hAnsiTheme="minorEastAsia"/>
          <w:color w:val="000000" w:themeColor="text1"/>
        </w:rPr>
        <w:t>4、上述人员之间均不存在近亲属关系。</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w:t>
      </w:r>
      <w:r w:rsidR="00BA4B87"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基金管理人的职责</w:t>
      </w:r>
      <w:bookmarkEnd w:id="8"/>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1、依法募集资金，办理基金份额的发售和登记事宜；</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2、办理基金备案手续；</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3、对所管理的不同基金财产分别管理、分别记账，进行证券投资；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4、按照基金合同的约定及时向基金份额持有人分配收益；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5、进行基金会计核算并编制基金财务会计报告；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6、编制季度</w:t>
      </w:r>
      <w:r w:rsidR="0031344C" w:rsidRPr="00CD6F5B">
        <w:rPr>
          <w:rFonts w:asciiTheme="minorEastAsia" w:eastAsiaTheme="minorEastAsia" w:hAnsiTheme="minorEastAsia"/>
          <w:color w:val="000000" w:themeColor="text1"/>
        </w:rPr>
        <w:t>报告</w:t>
      </w:r>
      <w:r w:rsidRPr="00CD6F5B">
        <w:rPr>
          <w:rFonts w:asciiTheme="minorEastAsia" w:eastAsiaTheme="minorEastAsia" w:hAnsiTheme="minorEastAsia"/>
          <w:color w:val="000000" w:themeColor="text1"/>
        </w:rPr>
        <w:t>、</w:t>
      </w:r>
      <w:r w:rsidR="0031344C" w:rsidRPr="00CD6F5B">
        <w:rPr>
          <w:rFonts w:asciiTheme="minorEastAsia" w:eastAsiaTheme="minorEastAsia" w:hAnsiTheme="minorEastAsia"/>
          <w:color w:val="000000" w:themeColor="text1"/>
        </w:rPr>
        <w:t>中期报告</w:t>
      </w:r>
      <w:r w:rsidRPr="00CD6F5B">
        <w:rPr>
          <w:rFonts w:asciiTheme="minorEastAsia" w:eastAsiaTheme="minorEastAsia" w:hAnsiTheme="minorEastAsia"/>
          <w:color w:val="000000" w:themeColor="text1"/>
        </w:rPr>
        <w:t>和年度报告；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7、计算并公告基金净值</w:t>
      </w:r>
      <w:r w:rsidR="0031344C" w:rsidRPr="00CD6F5B">
        <w:rPr>
          <w:rFonts w:asciiTheme="minorEastAsia" w:eastAsiaTheme="minorEastAsia" w:hAnsiTheme="minorEastAsia"/>
          <w:color w:val="000000" w:themeColor="text1"/>
        </w:rPr>
        <w:t>信息</w:t>
      </w:r>
      <w:r w:rsidRPr="00CD6F5B">
        <w:rPr>
          <w:rFonts w:asciiTheme="minorEastAsia" w:eastAsiaTheme="minorEastAsia" w:hAnsiTheme="minorEastAsia"/>
          <w:color w:val="000000" w:themeColor="text1"/>
        </w:rPr>
        <w:t>，确定基金份额申购、赎回价格；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8、办理与基金财产管理业务活动有关的信息披露事项；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9、按照规定召集基金份额持有人大会；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10、保存基金财产管理业务活动的记录、账册、报表和其他相关资料；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11、以基金管理人名义，代表基金份额持有人利益行使诉讼权利或者实施其他法律行为；</w:t>
      </w:r>
    </w:p>
    <w:p w:rsidR="003059D7" w:rsidRPr="00CD6F5B" w:rsidRDefault="00AA6F13" w:rsidP="009612F6">
      <w:pPr>
        <w:spacing w:line="360" w:lineRule="auto"/>
        <w:ind w:firstLineChars="200" w:firstLine="420"/>
        <w:rPr>
          <w:rFonts w:asciiTheme="minorEastAsia" w:eastAsiaTheme="minorEastAsia" w:hAnsiTheme="minorEastAsia"/>
          <w:color w:val="000000" w:themeColor="text1"/>
        </w:rPr>
      </w:pPr>
      <w:bookmarkStart w:id="9" w:name="_Toc332373455"/>
      <w:r w:rsidRPr="00CD6F5B">
        <w:rPr>
          <w:rFonts w:asciiTheme="minorEastAsia" w:eastAsiaTheme="minorEastAsia" w:hAnsiTheme="minorEastAsia"/>
          <w:color w:val="000000" w:themeColor="text1"/>
        </w:rPr>
        <w:t>12、中国证监会规定的其他职责。</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基金管理人的承诺</w:t>
      </w:r>
      <w:bookmarkEnd w:id="9"/>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2、本基金管理人承诺严格遵守《证券法》、《基金法》及有关法律法规，建立健全内部控制制度，采取有效措施，防止下列行为发生：</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（1）将其固有财产或者他人财产混同于基金财产从事证券投资；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（2）不公平地对待其管理的不同基金财产；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（3）利用基金财产为基金份额持有人以外的第三人谋取利益；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（4）向基金份额持有人违规承诺收益或者承担损失；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（5）侵占、挪用基金财产；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（6）泄漏因职务便利获取的未公开信息、利用该信息从事或者明示、暗示他人从事相关的交易活动；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（7）玩忽职守，不按照规定履行职责；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（8）法律、行政法规和中国证监会禁止的其他行为。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3、本基金管理人承诺加强人员管理，强化职业操守，督促和约束员工遵守国家有关法</w:t>
      </w:r>
      <w:r w:rsidRPr="00CD6F5B">
        <w:rPr>
          <w:rFonts w:asciiTheme="minorEastAsia" w:eastAsiaTheme="minorEastAsia" w:hAnsiTheme="minorEastAsia"/>
          <w:color w:val="000000" w:themeColor="text1"/>
        </w:rPr>
        <w:lastRenderedPageBreak/>
        <w:t>律、法规及行业规范，诚实信用、勤勉尽责，不从事以下活动：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（1）越权或违规经营；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（2）违反基金合同或托管协议；</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（3）故意损害基金份额持有人或其他基金相关机构的合法利益；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（4）在向中国证监会报送的资料中弄虚作假；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（5）拒绝、干扰、阻挠或严重影响中国证监会依法监管；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（6）玩忽职守、滥用职权；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（7）违反现行有效的有关法律、法规、规章、基金合同和中国证监会的有关规定，泄漏在任职期间知悉的有关证券、基金的商业秘密，尚未依法公开的基金投资内容、基金投资计划等信息；</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（8）违反证券交易场所业务规则，利用对敲、倒仓等手段操纵市场价格，扰乱市场秩序；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（9）贬损同行，以抬高自己；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（10）以不正当手段谋求业务发展；</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（11）有悖社会公德，损害证券投资基金人员形象；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（12）在公开信息披露和广告中故意含有虚假、误导、欺诈成分；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（13）其他法律、行政法规以及中国证监会禁止的行为。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4、基金经理承诺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（1）依照有关法律、法规和基金合同的规定，本着谨慎的原则为基金份额持有人谋取最大利益；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（2）不利用职务之便为自己及其代理人、受雇人或任何第三人谋取利益；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CD6F5B" w:rsidRDefault="00AA6F1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（4）不从事损害基金财产和基金份额持有人利益的证券交易及其他活动。</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10" w:name="_Toc332373462"/>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基金管理人的内部控制制度</w:t>
      </w:r>
      <w:bookmarkEnd w:id="10"/>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1</w:t>
      </w:r>
      <w:r w:rsidRPr="00CD6F5B">
        <w:rPr>
          <w:rFonts w:asciiTheme="minorEastAsia" w:eastAsiaTheme="minorEastAsia" w:hAnsiTheme="minorEastAsia" w:hint="eastAsia"/>
          <w:color w:val="000000" w:themeColor="text1"/>
          <w:szCs w:val="21"/>
        </w:rPr>
        <w:t>、公司内部控制的总体目标</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lastRenderedPageBreak/>
        <w:t>（</w:t>
      </w:r>
      <w:r w:rsidRPr="00CD6F5B">
        <w:rPr>
          <w:rFonts w:asciiTheme="minorEastAsia" w:eastAsiaTheme="minorEastAsia" w:hAnsiTheme="minorEastAsia"/>
          <w:color w:val="000000" w:themeColor="text1"/>
          <w:szCs w:val="21"/>
        </w:rPr>
        <w:t>1</w:t>
      </w:r>
      <w:r w:rsidRPr="00CD6F5B">
        <w:rPr>
          <w:rFonts w:asciiTheme="minorEastAsia" w:eastAsiaTheme="minorEastAsia" w:hAnsiTheme="minorEastAsia" w:hint="eastAsia"/>
          <w:color w:val="000000" w:themeColor="text1"/>
          <w:szCs w:val="21"/>
        </w:rPr>
        <w:t>）保证公司经营管理活动的合法合规性；</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2</w:t>
      </w:r>
      <w:r w:rsidRPr="00CD6F5B">
        <w:rPr>
          <w:rFonts w:asciiTheme="minorEastAsia" w:eastAsiaTheme="minorEastAsia" w:hAnsiTheme="minorEastAsia" w:hint="eastAsia"/>
          <w:color w:val="000000" w:themeColor="text1"/>
          <w:szCs w:val="21"/>
        </w:rPr>
        <w:t>）保证各类基金份额持有人及委托人的合法权益不受侵犯；</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3</w:t>
      </w:r>
      <w:r w:rsidRPr="00CD6F5B">
        <w:rPr>
          <w:rFonts w:asciiTheme="minorEastAsia" w:eastAsiaTheme="minorEastAsia" w:hAnsiTheme="minorEastAsia" w:hint="eastAsia"/>
          <w:color w:val="000000" w:themeColor="text1"/>
          <w:szCs w:val="21"/>
        </w:rPr>
        <w:t>）防范和化解经营风险，提高经营管理效率，确保业务稳健经营运行和受托资产安全完整，实现公司的持续、健康发展，促进公司实现发展战略；</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4</w:t>
      </w:r>
      <w:r w:rsidRPr="00CD6F5B">
        <w:rPr>
          <w:rFonts w:asciiTheme="minorEastAsia" w:eastAsiaTheme="minorEastAsia" w:hAnsiTheme="minorEastAsia" w:hint="eastAsia"/>
          <w:color w:val="000000" w:themeColor="text1"/>
          <w:szCs w:val="21"/>
        </w:rPr>
        <w:t>）督促公司全体员工恪守职业操守，正直诚信，廉洁自律，勤勉尽责；</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5</w:t>
      </w:r>
      <w:r w:rsidRPr="00CD6F5B">
        <w:rPr>
          <w:rFonts w:asciiTheme="minorEastAsia" w:eastAsiaTheme="minorEastAsia" w:hAnsiTheme="minorEastAsia" w:hint="eastAsia"/>
          <w:color w:val="000000" w:themeColor="text1"/>
          <w:szCs w:val="21"/>
        </w:rPr>
        <w:t>）维护公司的声誉，保持公司的良好形象。</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w:t>
      </w:r>
      <w:r w:rsidRPr="00CD6F5B">
        <w:rPr>
          <w:rFonts w:asciiTheme="minorEastAsia" w:eastAsiaTheme="minorEastAsia" w:hAnsiTheme="minorEastAsia" w:hint="eastAsia"/>
          <w:color w:val="000000" w:themeColor="text1"/>
          <w:szCs w:val="21"/>
        </w:rPr>
        <w:t>、公司内部控制遵循的原则</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1</w:t>
      </w:r>
      <w:r w:rsidRPr="00CD6F5B">
        <w:rPr>
          <w:rFonts w:asciiTheme="minorEastAsia" w:eastAsiaTheme="minorEastAsia" w:hAnsiTheme="minorEastAsia" w:hint="eastAsia"/>
          <w:color w:val="000000" w:themeColor="text1"/>
          <w:szCs w:val="21"/>
        </w:rPr>
        <w:t>）健全性原则。内部控制应当包括公司的各项业务、各个部门或机构和各级人员</w:t>
      </w:r>
      <w:r w:rsidRPr="00CD6F5B">
        <w:rPr>
          <w:rFonts w:asciiTheme="minorEastAsia" w:eastAsiaTheme="minorEastAsia" w:hAnsiTheme="minorEastAsia"/>
          <w:color w:val="000000" w:themeColor="text1"/>
          <w:szCs w:val="21"/>
        </w:rPr>
        <w:t>,</w:t>
      </w:r>
      <w:r w:rsidRPr="00CD6F5B">
        <w:rPr>
          <w:rFonts w:asciiTheme="minorEastAsia" w:eastAsiaTheme="minorEastAsia" w:hAnsiTheme="minorEastAsia" w:hint="eastAsia"/>
          <w:color w:val="000000" w:themeColor="text1"/>
          <w:szCs w:val="21"/>
        </w:rPr>
        <w:t>并涵盖到决策、执行、监督、反馈等各个环节。</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2</w:t>
      </w:r>
      <w:r w:rsidRPr="00CD6F5B">
        <w:rPr>
          <w:rFonts w:asciiTheme="minorEastAsia" w:eastAsiaTheme="minorEastAsia" w:hAnsiTheme="minorEastAsia" w:hint="eastAsia"/>
          <w:color w:val="000000" w:themeColor="text1"/>
          <w:szCs w:val="21"/>
        </w:rPr>
        <w:t>）有效性原则。通过科学的内控手段和方法，建立合理的内控程序，维护内控制度的有效执行。</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3</w:t>
      </w:r>
      <w:r w:rsidRPr="00CD6F5B">
        <w:rPr>
          <w:rFonts w:asciiTheme="minorEastAsia" w:eastAsiaTheme="minorEastAsia" w:hAnsiTheme="minorEastAsia" w:hint="eastAsia"/>
          <w:color w:val="000000" w:themeColor="text1"/>
          <w:szCs w:val="21"/>
        </w:rPr>
        <w:t>）独立性原则。公司机构、部门和岗位职责应当保持相对独立，除非法律法规另有规定，公司基金资产、自有资产、其他资产的运作应当分离。</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4</w:t>
      </w:r>
      <w:r w:rsidRPr="00CD6F5B">
        <w:rPr>
          <w:rFonts w:asciiTheme="minorEastAsia" w:eastAsiaTheme="minorEastAsia" w:hAnsiTheme="minorEastAsia" w:hint="eastAsia"/>
          <w:color w:val="000000" w:themeColor="text1"/>
          <w:szCs w:val="21"/>
        </w:rPr>
        <w:t>）相互制约原则。公司内部部门和岗位的设置应当体现权责分明、相互制衡。</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5</w:t>
      </w:r>
      <w:r w:rsidRPr="00CD6F5B">
        <w:rPr>
          <w:rFonts w:asciiTheme="minorEastAsia" w:eastAsiaTheme="minorEastAsia" w:hAnsiTheme="minorEastAsia" w:hint="eastAsia"/>
          <w:color w:val="000000" w:themeColor="text1"/>
          <w:szCs w:val="21"/>
        </w:rPr>
        <w:t>）成本效益原则。公司运用科学化的经营管理方法降低运作成本，提高经济效益，力争以合理的控制成本达到最佳的内部控制效果。</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3</w:t>
      </w:r>
      <w:r w:rsidRPr="00CD6F5B">
        <w:rPr>
          <w:rFonts w:asciiTheme="minorEastAsia" w:eastAsiaTheme="minorEastAsia" w:hAnsiTheme="minorEastAsia" w:hint="eastAsia"/>
          <w:color w:val="000000" w:themeColor="text1"/>
          <w:szCs w:val="21"/>
        </w:rPr>
        <w:t>、内部控制的制度体系</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4、关于授权、研究、投资、交易等方面的控制点</w:t>
      </w:r>
    </w:p>
    <w:p w:rsidR="00D04174" w:rsidRPr="00CD6F5B" w:rsidRDefault="00D04174" w:rsidP="00D04174">
      <w:pPr>
        <w:pStyle w:val="aa"/>
        <w:autoSpaceDE w:val="0"/>
        <w:autoSpaceDN w:val="0"/>
        <w:adjustRightInd w:val="0"/>
        <w:spacing w:line="360" w:lineRule="auto"/>
        <w:ind w:firstLineChars="200"/>
        <w:rPr>
          <w:rFonts w:asciiTheme="minorEastAsia" w:eastAsiaTheme="minorEastAsia" w:hAnsiTheme="minorEastAsia"/>
          <w:color w:val="000000" w:themeColor="text1"/>
        </w:rPr>
      </w:pPr>
      <w:bookmarkStart w:id="11" w:name="_Toc332373470"/>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1</w:t>
      </w:r>
      <w:r w:rsidRPr="00CD6F5B">
        <w:rPr>
          <w:rFonts w:asciiTheme="minorEastAsia" w:eastAsiaTheme="minorEastAsia" w:hAnsiTheme="minorEastAsia" w:hint="eastAsia"/>
          <w:color w:val="000000" w:themeColor="text1"/>
          <w:szCs w:val="21"/>
        </w:rPr>
        <w:t>）授权制度</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w:t>
      </w:r>
      <w:r w:rsidRPr="00CD6F5B">
        <w:rPr>
          <w:rFonts w:asciiTheme="minorEastAsia" w:eastAsiaTheme="minorEastAsia" w:hAnsiTheme="minorEastAsia" w:hint="eastAsia"/>
          <w:color w:val="000000" w:themeColor="text1"/>
          <w:szCs w:val="21"/>
        </w:rPr>
        <w:lastRenderedPageBreak/>
        <w:t>权应适当，对已获授权的部门和人员应建立有效的评价和反馈机制，对已不适用的授权应及时修改或取消授权。</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2</w:t>
      </w:r>
      <w:r w:rsidRPr="00CD6F5B">
        <w:rPr>
          <w:rFonts w:asciiTheme="minorEastAsia" w:eastAsiaTheme="minorEastAsia" w:hAnsiTheme="minorEastAsia" w:hint="eastAsia"/>
          <w:color w:val="000000" w:themeColor="text1"/>
          <w:szCs w:val="21"/>
        </w:rPr>
        <w:t>）公司研究业务</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3</w:t>
      </w:r>
      <w:r w:rsidRPr="00CD6F5B">
        <w:rPr>
          <w:rFonts w:asciiTheme="minorEastAsia" w:eastAsiaTheme="minorEastAsia" w:hAnsiTheme="minorEastAsia" w:hint="eastAsia"/>
          <w:color w:val="000000" w:themeColor="text1"/>
          <w:szCs w:val="21"/>
        </w:rPr>
        <w:t>）基金投资业务</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4</w:t>
      </w:r>
      <w:r w:rsidRPr="00CD6F5B">
        <w:rPr>
          <w:rFonts w:asciiTheme="minorEastAsia" w:eastAsiaTheme="minorEastAsia" w:hAnsiTheme="minorEastAsia" w:hint="eastAsia"/>
          <w:color w:val="000000" w:themeColor="text1"/>
          <w:szCs w:val="21"/>
        </w:rPr>
        <w:t>）交易业务</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5</w:t>
      </w:r>
      <w:r w:rsidRPr="00CD6F5B">
        <w:rPr>
          <w:rFonts w:asciiTheme="minorEastAsia" w:eastAsiaTheme="minorEastAsia" w:hAnsiTheme="minorEastAsia" w:hint="eastAsia"/>
          <w:color w:val="000000" w:themeColor="text1"/>
          <w:szCs w:val="21"/>
        </w:rPr>
        <w:t>）基金会计核算</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6</w:t>
      </w:r>
      <w:r w:rsidRPr="00CD6F5B">
        <w:rPr>
          <w:rFonts w:asciiTheme="minorEastAsia" w:eastAsiaTheme="minorEastAsia" w:hAnsiTheme="minorEastAsia" w:hint="eastAsia"/>
          <w:color w:val="000000" w:themeColor="text1"/>
          <w:szCs w:val="21"/>
        </w:rPr>
        <w:t>）信息披露</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公司建立了完备的信息披露制度，指定了信息披露负责人，并建立了相应的制度流程规范相关信息的收集、组织、审核和发布，努力确保公开披露的信息真实、准确、完整、及时。</w:t>
      </w:r>
    </w:p>
    <w:p w:rsidR="00D04174" w:rsidRPr="00CD6F5B" w:rsidRDefault="00D04174" w:rsidP="00D04174">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w:t>
      </w:r>
      <w:r w:rsidRPr="00CD6F5B">
        <w:rPr>
          <w:rFonts w:asciiTheme="minorEastAsia" w:eastAsiaTheme="minorEastAsia" w:hAnsiTheme="minorEastAsia"/>
          <w:color w:val="000000" w:themeColor="text1"/>
          <w:szCs w:val="21"/>
        </w:rPr>
        <w:t>7</w:t>
      </w:r>
      <w:r w:rsidRPr="00CD6F5B">
        <w:rPr>
          <w:rFonts w:asciiTheme="minorEastAsia" w:eastAsiaTheme="minorEastAsia" w:hAnsiTheme="minorEastAsia" w:hint="eastAsia"/>
          <w:color w:val="000000" w:themeColor="text1"/>
          <w:szCs w:val="21"/>
        </w:rPr>
        <w:t>）监察与合规管理</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szCs w:val="21"/>
        </w:rPr>
        <w:t>公司设立督察长，由董事会聘任，向董事会负责。根据公司监察与合规管理工作的需要和董事会授权，督察长可以列席公司相关会议，调阅公司相关档案资料，就内部控制制</w:t>
      </w:r>
      <w:r w:rsidRPr="00CD6F5B">
        <w:rPr>
          <w:rFonts w:asciiTheme="minorEastAsia" w:eastAsiaTheme="minorEastAsia" w:hAnsiTheme="minorEastAsia" w:hint="eastAsia"/>
          <w:color w:val="000000" w:themeColor="text1"/>
          <w:szCs w:val="21"/>
        </w:rPr>
        <w:lastRenderedPageBreak/>
        <w:t>度的执</w:t>
      </w:r>
      <w:r w:rsidRPr="00CD6F5B">
        <w:rPr>
          <w:rStyle w:val="da"/>
          <w:rFonts w:asciiTheme="minorEastAsia" w:eastAsiaTheme="minorEastAsia" w:hAnsiTheme="minorEastAsia" w:hint="eastAsia"/>
          <w:color w:val="000000" w:themeColor="text1"/>
        </w:rPr>
        <w:t>行情况独立地履行检查、评价、报告、建议职能。督察长定期和不定期向董事会报告公司内部控制执行情况，董事会对督察长的报告进行审议。</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公司设立监察合规管理部门，并保障其独立性。监察合规管理部门按照公司规定和督察长的安排履行监察与合规管理职责。</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监察合规管理部门通过定期或不定期检查内部控制制度的执行情况，督促公司和旗下基金的管理运作规范进行。</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公司董事会和管理层充分重视和支持监察与合规管理工作，对违反法律、法规和公司内部控制制度的，追究有关部门和人员的责任。</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5</w:t>
      </w:r>
      <w:r w:rsidRPr="00CD6F5B">
        <w:rPr>
          <w:rStyle w:val="da"/>
          <w:rFonts w:asciiTheme="minorEastAsia" w:eastAsiaTheme="minorEastAsia" w:hAnsiTheme="minorEastAsia" w:hint="eastAsia"/>
          <w:color w:val="000000" w:themeColor="text1"/>
        </w:rPr>
        <w:t>、基金管理人关于内部控制制度声明书</w:t>
      </w:r>
    </w:p>
    <w:p w:rsidR="00D04174" w:rsidRPr="00CD6F5B" w:rsidRDefault="00D04174" w:rsidP="00D04174">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）本公司承诺以上关于内部控制制度的披露真实、准确；</w:t>
      </w:r>
    </w:p>
    <w:p w:rsidR="00D04174" w:rsidRPr="00CD6F5B" w:rsidRDefault="00D04174" w:rsidP="00CD6F5B">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）本公司承诺根据市场变化和公司业务发展不断完善内部控制制度。</w:t>
      </w:r>
      <w:bookmarkStart w:id="12" w:name="_Toc323051000"/>
      <w:bookmarkStart w:id="13" w:name="_Toc308697488"/>
      <w:bookmarkStart w:id="14" w:name="_Toc309286010"/>
      <w:bookmarkStart w:id="15" w:name="_Toc323051008"/>
      <w:bookmarkStart w:id="16" w:name="_Toc308697497"/>
      <w:bookmarkStart w:id="17" w:name="_Toc309286019"/>
      <w:bookmarkStart w:id="18" w:name="_Toc308697498"/>
      <w:bookmarkStart w:id="19" w:name="_Toc309286020"/>
      <w:bookmarkStart w:id="20" w:name="_Toc308697499"/>
      <w:bookmarkStart w:id="21" w:name="_Toc309286021"/>
      <w:bookmarkStart w:id="22" w:name="_Toc308697500"/>
      <w:bookmarkStart w:id="23" w:name="_Toc309286022"/>
      <w:bookmarkStart w:id="24" w:name="_Toc308697501"/>
      <w:bookmarkStart w:id="25" w:name="_Toc309286023"/>
      <w:bookmarkStart w:id="26" w:name="_Toc308697502"/>
      <w:bookmarkStart w:id="27" w:name="_Toc309286024"/>
      <w:bookmarkStart w:id="28" w:name="_Toc308697503"/>
      <w:bookmarkStart w:id="29" w:name="_Toc309286025"/>
      <w:bookmarkStart w:id="30" w:name="_Toc308697504"/>
      <w:bookmarkStart w:id="31" w:name="_Toc309286026"/>
      <w:bookmarkStart w:id="32" w:name="_Toc308697505"/>
      <w:bookmarkStart w:id="33" w:name="_Toc309286027"/>
      <w:bookmarkStart w:id="34" w:name="_Toc308697506"/>
      <w:bookmarkStart w:id="35" w:name="_Toc309286028"/>
      <w:bookmarkStart w:id="36" w:name="_Toc308697507"/>
      <w:bookmarkStart w:id="37" w:name="_Toc309286029"/>
      <w:bookmarkStart w:id="38" w:name="_Toc308697508"/>
      <w:bookmarkStart w:id="39" w:name="_Toc309286030"/>
      <w:bookmarkStart w:id="40" w:name="_Toc308697509"/>
      <w:bookmarkStart w:id="41" w:name="_Toc309286031"/>
      <w:bookmarkStart w:id="42" w:name="_Toc308697510"/>
      <w:bookmarkStart w:id="43" w:name="_Toc309286032"/>
      <w:bookmarkStart w:id="44" w:name="_Toc308697511"/>
      <w:bookmarkStart w:id="45" w:name="_Toc309286033"/>
      <w:bookmarkStart w:id="46" w:name="_Toc308697512"/>
      <w:bookmarkStart w:id="47" w:name="_Toc309286034"/>
      <w:bookmarkStart w:id="48" w:name="_Toc308697513"/>
      <w:bookmarkStart w:id="49" w:name="_Toc309286035"/>
      <w:bookmarkStart w:id="50" w:name="_Hlt70481650"/>
      <w:bookmarkStart w:id="51" w:name="_Toc308697516"/>
      <w:bookmarkStart w:id="52" w:name="_Toc309286038"/>
      <w:bookmarkStart w:id="53" w:name="_Toc308697517"/>
      <w:bookmarkStart w:id="54" w:name="_Toc309286039"/>
      <w:bookmarkStart w:id="55" w:name="_Hlt88827255"/>
      <w:bookmarkStart w:id="56" w:name="_Toc308697541"/>
      <w:bookmarkStart w:id="57" w:name="_Toc309286063"/>
      <w:bookmarkStart w:id="58" w:name="_Toc308697542"/>
      <w:bookmarkStart w:id="59" w:name="_Toc309286064"/>
      <w:bookmarkStart w:id="60" w:name="_Toc308697543"/>
      <w:bookmarkStart w:id="61" w:name="_Toc309286065"/>
      <w:bookmarkStart w:id="62" w:name="_Toc310512463"/>
      <w:bookmarkStart w:id="63" w:name="_Toc310512627"/>
      <w:bookmarkStart w:id="64" w:name="_Toc310512780"/>
      <w:bookmarkStart w:id="65" w:name="_Toc310512933"/>
      <w:bookmarkStart w:id="66" w:name="_Toc310513073"/>
      <w:bookmarkStart w:id="67" w:name="_Toc310513212"/>
      <w:bookmarkStart w:id="68" w:name="_Toc310513348"/>
      <w:bookmarkStart w:id="69" w:name="_Toc323051024"/>
      <w:bookmarkStart w:id="70" w:name="_Toc310512464"/>
      <w:bookmarkStart w:id="71" w:name="_Toc310512628"/>
      <w:bookmarkStart w:id="72" w:name="_Toc310512781"/>
      <w:bookmarkStart w:id="73" w:name="_Toc310512934"/>
      <w:bookmarkStart w:id="74" w:name="_Toc310513074"/>
      <w:bookmarkStart w:id="75" w:name="_Toc310513213"/>
      <w:bookmarkStart w:id="76" w:name="_Toc310513349"/>
      <w:bookmarkStart w:id="77" w:name="_Toc323051025"/>
      <w:bookmarkStart w:id="78" w:name="_Toc310512465"/>
      <w:bookmarkStart w:id="79" w:name="_Toc310512629"/>
      <w:bookmarkStart w:id="80" w:name="_Toc310512782"/>
      <w:bookmarkStart w:id="81" w:name="_Toc310512935"/>
      <w:bookmarkStart w:id="82" w:name="_Toc310513075"/>
      <w:bookmarkStart w:id="83" w:name="_Toc310513214"/>
      <w:bookmarkStart w:id="84" w:name="_Toc310513350"/>
      <w:bookmarkStart w:id="85" w:name="_Toc323051026"/>
      <w:bookmarkStart w:id="86" w:name="_Hlt88841837"/>
      <w:bookmarkStart w:id="87" w:name="_Hlt88900062"/>
      <w:bookmarkStart w:id="88" w:name="_Toc308697560"/>
      <w:bookmarkStart w:id="89" w:name="_Toc309286082"/>
      <w:bookmarkStart w:id="90" w:name="_Toc308697561"/>
      <w:bookmarkStart w:id="91" w:name="_Toc309286083"/>
      <w:bookmarkStart w:id="92" w:name="_Toc308697562"/>
      <w:bookmarkStart w:id="93" w:name="_Toc309286084"/>
      <w:bookmarkStart w:id="94" w:name="_Hlt80958353"/>
      <w:bookmarkStart w:id="95" w:name="_Toc323051053"/>
      <w:bookmarkStart w:id="96" w:name="_Toc323051054"/>
      <w:bookmarkStart w:id="97" w:name="_Toc323051055"/>
      <w:bookmarkStart w:id="98" w:name="_Toc308697583"/>
      <w:bookmarkStart w:id="99" w:name="_Toc309286105"/>
      <w:bookmarkStart w:id="100" w:name="_Toc308697584"/>
      <w:bookmarkStart w:id="101" w:name="_Toc309286106"/>
      <w:bookmarkStart w:id="102" w:name="_Toc308697585"/>
      <w:bookmarkStart w:id="103" w:name="_Toc309286107"/>
      <w:bookmarkStart w:id="104" w:name="_Toc308697586"/>
      <w:bookmarkStart w:id="105" w:name="_Toc309286108"/>
      <w:bookmarkStart w:id="106" w:name="_Toc308697587"/>
      <w:bookmarkStart w:id="107" w:name="_Toc309286109"/>
      <w:bookmarkStart w:id="108" w:name="_Toc308697588"/>
      <w:bookmarkStart w:id="109" w:name="_Toc309286110"/>
      <w:bookmarkStart w:id="110" w:name="_Toc308697589"/>
      <w:bookmarkStart w:id="111" w:name="_Toc309286111"/>
      <w:bookmarkStart w:id="112" w:name="_Toc308697590"/>
      <w:bookmarkStart w:id="113" w:name="_Toc309286112"/>
      <w:bookmarkStart w:id="114" w:name="_Toc308697591"/>
      <w:bookmarkStart w:id="115" w:name="_Toc309286113"/>
      <w:bookmarkStart w:id="116" w:name="_Toc308697592"/>
      <w:bookmarkStart w:id="117" w:name="_Toc309286114"/>
      <w:bookmarkStart w:id="118" w:name="_Toc308697593"/>
      <w:bookmarkStart w:id="119" w:name="_Toc309286115"/>
      <w:bookmarkStart w:id="120" w:name="_Toc308697594"/>
      <w:bookmarkStart w:id="121" w:name="_Toc309286116"/>
      <w:bookmarkStart w:id="122" w:name="_Toc308697595"/>
      <w:bookmarkStart w:id="123" w:name="_Toc309286117"/>
      <w:bookmarkStart w:id="124" w:name="_Toc308697596"/>
      <w:bookmarkStart w:id="125" w:name="_Toc309286118"/>
      <w:bookmarkStart w:id="126" w:name="_Toc308697597"/>
      <w:bookmarkStart w:id="127" w:name="_Toc309286119"/>
      <w:bookmarkStart w:id="128" w:name="_Toc308697598"/>
      <w:bookmarkStart w:id="129" w:name="_Toc309286120"/>
      <w:bookmarkStart w:id="130" w:name="_Toc308697599"/>
      <w:bookmarkStart w:id="131" w:name="_Toc309286121"/>
      <w:bookmarkStart w:id="132" w:name="_Toc308697600"/>
      <w:bookmarkStart w:id="133" w:name="_Toc309286122"/>
      <w:bookmarkStart w:id="134" w:name="_Toc308697601"/>
      <w:bookmarkStart w:id="135" w:name="_Toc309286123"/>
      <w:bookmarkStart w:id="136" w:name="_Toc308697602"/>
      <w:bookmarkStart w:id="137" w:name="_Toc309286124"/>
      <w:bookmarkStart w:id="138" w:name="_Toc308697603"/>
      <w:bookmarkStart w:id="139" w:name="_Toc309286125"/>
      <w:bookmarkStart w:id="140" w:name="_Toc308697604"/>
      <w:bookmarkStart w:id="141" w:name="_Toc309286126"/>
      <w:bookmarkStart w:id="142" w:name="_Toc308697605"/>
      <w:bookmarkStart w:id="143" w:name="_Toc309286127"/>
      <w:bookmarkStart w:id="144" w:name="_Toc308697606"/>
      <w:bookmarkStart w:id="145" w:name="_Toc309286128"/>
      <w:bookmarkStart w:id="146" w:name="_Toc308697607"/>
      <w:bookmarkStart w:id="147" w:name="_Toc309286129"/>
      <w:bookmarkStart w:id="148" w:name="_Toc308697608"/>
      <w:bookmarkStart w:id="149" w:name="_Toc309286130"/>
      <w:bookmarkStart w:id="150" w:name="_Toc308697609"/>
      <w:bookmarkStart w:id="151" w:name="_Toc309286131"/>
      <w:bookmarkStart w:id="152" w:name="_Toc308697610"/>
      <w:bookmarkStart w:id="153" w:name="_Toc309286132"/>
      <w:bookmarkStart w:id="154" w:name="_Toc308697611"/>
      <w:bookmarkStart w:id="155" w:name="_Toc309286133"/>
      <w:bookmarkStart w:id="156" w:name="_Toc308697612"/>
      <w:bookmarkStart w:id="157" w:name="_Toc309286134"/>
      <w:bookmarkStart w:id="158" w:name="_Toc308697613"/>
      <w:bookmarkStart w:id="159" w:name="_Toc309286135"/>
      <w:bookmarkStart w:id="160" w:name="_Toc308697614"/>
      <w:bookmarkStart w:id="161" w:name="_Toc309286136"/>
      <w:bookmarkStart w:id="162" w:name="_Toc308697615"/>
      <w:bookmarkStart w:id="163" w:name="_Toc309286137"/>
      <w:bookmarkStart w:id="164" w:name="_Toc308697616"/>
      <w:bookmarkStart w:id="165" w:name="_Toc309286138"/>
      <w:bookmarkStart w:id="166" w:name="_Toc308697617"/>
      <w:bookmarkStart w:id="167" w:name="_Toc309286139"/>
      <w:bookmarkStart w:id="168" w:name="_Toc308697618"/>
      <w:bookmarkStart w:id="169" w:name="_Toc309286140"/>
      <w:bookmarkStart w:id="170" w:name="_Toc308697619"/>
      <w:bookmarkStart w:id="171" w:name="_Toc309286141"/>
      <w:bookmarkStart w:id="172" w:name="_Toc308697620"/>
      <w:bookmarkStart w:id="173" w:name="_Toc309286142"/>
      <w:bookmarkStart w:id="174" w:name="_Toc308697621"/>
      <w:bookmarkStart w:id="175" w:name="_Toc309286143"/>
      <w:bookmarkStart w:id="176" w:name="_Toc308697622"/>
      <w:bookmarkStart w:id="177" w:name="_Toc309286144"/>
      <w:bookmarkStart w:id="178" w:name="_Toc308697623"/>
      <w:bookmarkStart w:id="179" w:name="_Toc309286145"/>
      <w:bookmarkStart w:id="180" w:name="_Toc308697624"/>
      <w:bookmarkStart w:id="181" w:name="_Toc309286146"/>
      <w:bookmarkStart w:id="182" w:name="_Toc308697625"/>
      <w:bookmarkStart w:id="183" w:name="_Toc309286147"/>
      <w:bookmarkStart w:id="184" w:name="_Toc308697626"/>
      <w:bookmarkStart w:id="185" w:name="_Toc309286148"/>
      <w:bookmarkStart w:id="186" w:name="_Toc308697627"/>
      <w:bookmarkStart w:id="187" w:name="_Toc309286149"/>
      <w:bookmarkStart w:id="188" w:name="_Toc308697628"/>
      <w:bookmarkStart w:id="189" w:name="_Toc309286150"/>
      <w:bookmarkStart w:id="190" w:name="_Toc308697629"/>
      <w:bookmarkStart w:id="191" w:name="_Toc309286151"/>
      <w:bookmarkStart w:id="192" w:name="_Toc308697630"/>
      <w:bookmarkStart w:id="193" w:name="_Toc309286152"/>
      <w:bookmarkStart w:id="194" w:name="_Toc308697631"/>
      <w:bookmarkStart w:id="195" w:name="_Toc309286153"/>
      <w:bookmarkStart w:id="196" w:name="_Toc308697632"/>
      <w:bookmarkStart w:id="197" w:name="_Toc309286154"/>
      <w:bookmarkStart w:id="198" w:name="_Toc308697633"/>
      <w:bookmarkStart w:id="199" w:name="_Toc309286155"/>
      <w:bookmarkStart w:id="200" w:name="_Toc308697634"/>
      <w:bookmarkStart w:id="201" w:name="_Toc309286156"/>
      <w:bookmarkStart w:id="202" w:name="_Toc308697635"/>
      <w:bookmarkStart w:id="203" w:name="_Toc309286157"/>
      <w:bookmarkStart w:id="204" w:name="_Toc308697636"/>
      <w:bookmarkStart w:id="205" w:name="_Toc309286158"/>
      <w:bookmarkStart w:id="206" w:name="_Toc308697637"/>
      <w:bookmarkStart w:id="207" w:name="_Toc309286159"/>
      <w:bookmarkStart w:id="208" w:name="_Toc308697638"/>
      <w:bookmarkStart w:id="209" w:name="_Toc309286160"/>
      <w:bookmarkStart w:id="210" w:name="_Toc308697639"/>
      <w:bookmarkStart w:id="211" w:name="_Toc309286161"/>
      <w:bookmarkStart w:id="212" w:name="_Toc308697640"/>
      <w:bookmarkStart w:id="213" w:name="_Toc309286162"/>
      <w:bookmarkStart w:id="214" w:name="_Toc308697641"/>
      <w:bookmarkStart w:id="215" w:name="_Toc309286163"/>
      <w:bookmarkStart w:id="216" w:name="_Toc308697642"/>
      <w:bookmarkStart w:id="217" w:name="_Toc309286164"/>
      <w:bookmarkStart w:id="218" w:name="_Toc308697643"/>
      <w:bookmarkStart w:id="219" w:name="_Toc309286165"/>
      <w:bookmarkStart w:id="220" w:name="_Toc308697644"/>
      <w:bookmarkStart w:id="221" w:name="_Toc309286166"/>
      <w:bookmarkStart w:id="222" w:name="_Toc308697645"/>
      <w:bookmarkStart w:id="223" w:name="_Toc309286167"/>
      <w:bookmarkStart w:id="224" w:name="_Toc308697646"/>
      <w:bookmarkStart w:id="225" w:name="_Toc309286168"/>
      <w:bookmarkStart w:id="226" w:name="_Toc308697647"/>
      <w:bookmarkStart w:id="227" w:name="_Toc309286169"/>
      <w:bookmarkStart w:id="228" w:name="_Toc308697648"/>
      <w:bookmarkStart w:id="229" w:name="_Toc309286170"/>
      <w:bookmarkStart w:id="230" w:name="_Toc308697649"/>
      <w:bookmarkStart w:id="231" w:name="_Toc309286171"/>
      <w:bookmarkStart w:id="232" w:name="_Toc308697650"/>
      <w:bookmarkStart w:id="233" w:name="_Toc309286172"/>
      <w:bookmarkStart w:id="234" w:name="_Toc308697651"/>
      <w:bookmarkStart w:id="235" w:name="_Toc309286173"/>
      <w:bookmarkStart w:id="236" w:name="_Toc308697652"/>
      <w:bookmarkStart w:id="237" w:name="_Toc309286174"/>
      <w:bookmarkStart w:id="238" w:name="_Toc308697653"/>
      <w:bookmarkStart w:id="239" w:name="_Toc309286175"/>
      <w:bookmarkStart w:id="240" w:name="_Toc308697654"/>
      <w:bookmarkStart w:id="241" w:name="_Toc309286176"/>
      <w:bookmarkStart w:id="242" w:name="_Toc308697655"/>
      <w:bookmarkStart w:id="243" w:name="_Toc309286177"/>
      <w:bookmarkStart w:id="244" w:name="_Toc308697656"/>
      <w:bookmarkStart w:id="245" w:name="_Toc309286178"/>
      <w:bookmarkStart w:id="246" w:name="_Toc308697657"/>
      <w:bookmarkStart w:id="247" w:name="_Toc309286179"/>
      <w:bookmarkStart w:id="248" w:name="_Toc308697658"/>
      <w:bookmarkStart w:id="249" w:name="_Toc309286180"/>
      <w:bookmarkStart w:id="250" w:name="_Toc308697659"/>
      <w:bookmarkStart w:id="251" w:name="_Toc309286181"/>
      <w:bookmarkStart w:id="252" w:name="_Toc308697660"/>
      <w:bookmarkStart w:id="253" w:name="_Toc309286182"/>
      <w:bookmarkStart w:id="254" w:name="_Toc308697661"/>
      <w:bookmarkStart w:id="255" w:name="_Toc309286183"/>
      <w:bookmarkStart w:id="256" w:name="_Toc308697662"/>
      <w:bookmarkStart w:id="257" w:name="_Toc309286184"/>
      <w:bookmarkStart w:id="258" w:name="_Toc308697663"/>
      <w:bookmarkStart w:id="259" w:name="_Toc309286185"/>
      <w:bookmarkStart w:id="260" w:name="_Toc308697664"/>
      <w:bookmarkStart w:id="261" w:name="_Toc309286186"/>
      <w:bookmarkStart w:id="262" w:name="_Toc308697665"/>
      <w:bookmarkStart w:id="263" w:name="_Toc309286187"/>
      <w:bookmarkStart w:id="264" w:name="_Toc308697666"/>
      <w:bookmarkStart w:id="265" w:name="_Toc309286188"/>
      <w:bookmarkStart w:id="266" w:name="_Toc308697667"/>
      <w:bookmarkStart w:id="267" w:name="_Toc309286189"/>
      <w:bookmarkStart w:id="268" w:name="_Toc308697668"/>
      <w:bookmarkStart w:id="269" w:name="_Toc309286190"/>
      <w:bookmarkStart w:id="270" w:name="_Toc308697669"/>
      <w:bookmarkStart w:id="271" w:name="_Toc309286191"/>
      <w:bookmarkStart w:id="272" w:name="_Toc308697670"/>
      <w:bookmarkStart w:id="273" w:name="_Toc309286192"/>
      <w:bookmarkStart w:id="274" w:name="_Toc308697671"/>
      <w:bookmarkStart w:id="275" w:name="_Toc309286193"/>
      <w:bookmarkStart w:id="276" w:name="_Toc308697672"/>
      <w:bookmarkStart w:id="277" w:name="_Toc309286194"/>
      <w:bookmarkStart w:id="278" w:name="_Toc308697673"/>
      <w:bookmarkStart w:id="279" w:name="_Toc309286195"/>
      <w:bookmarkStart w:id="280" w:name="_Toc308697674"/>
      <w:bookmarkStart w:id="281" w:name="_Toc309286196"/>
      <w:bookmarkStart w:id="282" w:name="_Toc308697675"/>
      <w:bookmarkStart w:id="283" w:name="_Toc309286197"/>
      <w:bookmarkStart w:id="284" w:name="_Toc308697676"/>
      <w:bookmarkStart w:id="285" w:name="_Toc309286198"/>
      <w:bookmarkStart w:id="286" w:name="_Toc308697677"/>
      <w:bookmarkStart w:id="287" w:name="_Toc309286199"/>
      <w:bookmarkStart w:id="288" w:name="_Toc308697678"/>
      <w:bookmarkStart w:id="289" w:name="_Toc309286200"/>
      <w:bookmarkStart w:id="290" w:name="_Toc308697679"/>
      <w:bookmarkStart w:id="291" w:name="_Toc309286201"/>
      <w:bookmarkStart w:id="292" w:name="_Toc308697680"/>
      <w:bookmarkStart w:id="293" w:name="_Toc309286202"/>
      <w:bookmarkStart w:id="294" w:name="_Toc308697681"/>
      <w:bookmarkStart w:id="295" w:name="_Toc309286203"/>
      <w:bookmarkStart w:id="296" w:name="_Toc308697682"/>
      <w:bookmarkStart w:id="297" w:name="_Toc309286204"/>
      <w:bookmarkStart w:id="298" w:name="_Toc308697683"/>
      <w:bookmarkStart w:id="299" w:name="_Toc309286205"/>
      <w:bookmarkStart w:id="300" w:name="_Toc308697684"/>
      <w:bookmarkStart w:id="301" w:name="_Toc309286206"/>
      <w:bookmarkStart w:id="302" w:name="_Toc308697685"/>
      <w:bookmarkStart w:id="303" w:name="_Toc309286207"/>
      <w:bookmarkStart w:id="304" w:name="_Toc308697698"/>
      <w:bookmarkStart w:id="305" w:name="_Toc309286220"/>
      <w:bookmarkStart w:id="306" w:name="_Toc308697699"/>
      <w:bookmarkStart w:id="307" w:name="_Toc309286221"/>
      <w:bookmarkStart w:id="308" w:name="_Toc308697700"/>
      <w:bookmarkStart w:id="309" w:name="_Toc309286222"/>
      <w:bookmarkStart w:id="310" w:name="_Toc308697701"/>
      <w:bookmarkStart w:id="311" w:name="_Toc309286223"/>
      <w:bookmarkStart w:id="312" w:name="_Toc308697702"/>
      <w:bookmarkStart w:id="313" w:name="_Toc309286224"/>
      <w:bookmarkStart w:id="314" w:name="_Toc308697703"/>
      <w:bookmarkStart w:id="315" w:name="_Toc309286225"/>
      <w:bookmarkStart w:id="316" w:name="_Toc308697704"/>
      <w:bookmarkStart w:id="317" w:name="_Toc309286226"/>
      <w:bookmarkStart w:id="318" w:name="_Toc308697705"/>
      <w:bookmarkStart w:id="319" w:name="_Toc309286227"/>
      <w:bookmarkStart w:id="320" w:name="_Toc308697706"/>
      <w:bookmarkStart w:id="321" w:name="_Toc309286228"/>
      <w:bookmarkStart w:id="322" w:name="_Hlt88825574"/>
      <w:bookmarkStart w:id="323" w:name="_Hlt88897298"/>
      <w:bookmarkStart w:id="324" w:name="_Hlt88820702"/>
      <w:bookmarkStart w:id="325" w:name="_Toc308697714"/>
      <w:bookmarkStart w:id="326" w:name="_Toc309286236"/>
      <w:bookmarkStart w:id="327" w:name="_Toc308697716"/>
      <w:bookmarkStart w:id="328" w:name="_Toc309286238"/>
      <w:bookmarkStart w:id="329" w:name="_Toc308697717"/>
      <w:bookmarkStart w:id="330" w:name="_Toc309286239"/>
      <w:bookmarkStart w:id="331" w:name="_Toc308697718"/>
      <w:bookmarkStart w:id="332" w:name="_Toc309286240"/>
      <w:bookmarkStart w:id="333" w:name="_Toc308697719"/>
      <w:bookmarkStart w:id="334" w:name="_Toc309286241"/>
      <w:bookmarkStart w:id="335" w:name="_Toc308697720"/>
      <w:bookmarkStart w:id="336" w:name="_Toc309286242"/>
      <w:bookmarkStart w:id="337" w:name="_Toc308697721"/>
      <w:bookmarkStart w:id="338" w:name="_Toc309286243"/>
      <w:bookmarkStart w:id="339" w:name="_Toc308697722"/>
      <w:bookmarkStart w:id="340" w:name="_Toc309286244"/>
      <w:bookmarkStart w:id="341" w:name="_Toc308697723"/>
      <w:bookmarkStart w:id="342" w:name="_Toc30928624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D04174" w:rsidRPr="00CD6F5B" w:rsidRDefault="00D04174" w:rsidP="00D04174">
      <w:pPr>
        <w:pStyle w:val="aa"/>
        <w:autoSpaceDE w:val="0"/>
        <w:autoSpaceDN w:val="0"/>
        <w:adjustRightInd w:val="0"/>
        <w:spacing w:line="360" w:lineRule="auto"/>
        <w:ind w:firstLine="0"/>
        <w:rPr>
          <w:rFonts w:asciiTheme="minorEastAsia" w:eastAsiaTheme="minorEastAsia" w:hAnsiTheme="minorEastAsia"/>
          <w:color w:val="000000" w:themeColor="text1"/>
          <w:szCs w:val="21"/>
        </w:rPr>
        <w:sectPr w:rsidR="00D04174" w:rsidRPr="00CD6F5B" w:rsidSect="00C94A23">
          <w:footerReference w:type="default" r:id="rId16"/>
          <w:pgSz w:w="11906" w:h="16838" w:code="9"/>
          <w:pgMar w:top="1440" w:right="1800" w:bottom="1440" w:left="1800" w:header="851" w:footer="992" w:gutter="0"/>
          <w:pgNumType w:start="1"/>
          <w:cols w:space="425"/>
          <w:docGrid w:type="linesAndChars" w:linePitch="312"/>
        </w:sectPr>
      </w:pPr>
    </w:p>
    <w:p w:rsidR="00BA4B87" w:rsidRPr="00CD6F5B" w:rsidRDefault="00BA4B87" w:rsidP="00CC1421">
      <w:pPr>
        <w:pStyle w:val="1"/>
        <w:snapToGrid w:val="0"/>
        <w:spacing w:beforeLines="0" w:afterLines="0" w:line="360" w:lineRule="auto"/>
        <w:ind w:firstLine="640"/>
        <w:rPr>
          <w:rFonts w:asciiTheme="minorEastAsia" w:eastAsiaTheme="minorEastAsia" w:hAnsiTheme="minorEastAsia"/>
          <w:color w:val="000000" w:themeColor="text1"/>
        </w:rPr>
      </w:pPr>
      <w:bookmarkStart w:id="343" w:name="_Toc332373471"/>
      <w:bookmarkStart w:id="344" w:name="_Toc82186583"/>
      <w:r w:rsidRPr="00CD6F5B">
        <w:rPr>
          <w:rFonts w:asciiTheme="minorEastAsia" w:eastAsiaTheme="minorEastAsia" w:hAnsiTheme="minorEastAsia"/>
          <w:color w:val="000000" w:themeColor="text1"/>
        </w:rPr>
        <w:lastRenderedPageBreak/>
        <w:t>四、基金托管人</w:t>
      </w:r>
      <w:bookmarkEnd w:id="343"/>
      <w:bookmarkEnd w:id="344"/>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（一）基金托管人概况</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本基金托管人为上海浦东发展银行股份有限公司，基本信息如下：</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名称：</w:t>
      </w:r>
      <w:r w:rsidRPr="00CD6F5B">
        <w:rPr>
          <w:rStyle w:val="da"/>
          <w:rFonts w:asciiTheme="minorEastAsia" w:eastAsiaTheme="minorEastAsia" w:hAnsiTheme="minorEastAsia"/>
          <w:color w:val="000000" w:themeColor="text1"/>
        </w:rPr>
        <w:t xml:space="preserve"> </w:t>
      </w:r>
      <w:r w:rsidRPr="00CD6F5B">
        <w:rPr>
          <w:rStyle w:val="da"/>
          <w:rFonts w:asciiTheme="minorEastAsia" w:eastAsiaTheme="minorEastAsia" w:hAnsiTheme="minorEastAsia" w:hint="eastAsia"/>
          <w:color w:val="000000" w:themeColor="text1"/>
        </w:rPr>
        <w:t>上海浦东发展银行股份有限公司</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注册地址：上海市中山东一路</w:t>
      </w:r>
      <w:r w:rsidRPr="00CD6F5B">
        <w:rPr>
          <w:rStyle w:val="da"/>
          <w:rFonts w:asciiTheme="minorEastAsia" w:eastAsiaTheme="minorEastAsia" w:hAnsiTheme="minorEastAsia"/>
          <w:color w:val="000000" w:themeColor="text1"/>
        </w:rPr>
        <w:t>12</w:t>
      </w:r>
      <w:r w:rsidRPr="00CD6F5B">
        <w:rPr>
          <w:rStyle w:val="da"/>
          <w:rFonts w:asciiTheme="minorEastAsia" w:eastAsiaTheme="minorEastAsia" w:hAnsiTheme="minorEastAsia" w:hint="eastAsia"/>
          <w:color w:val="000000" w:themeColor="text1"/>
        </w:rPr>
        <w:t>号</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办公地址：上海市中山东一路</w:t>
      </w:r>
      <w:r w:rsidRPr="00CD6F5B">
        <w:rPr>
          <w:rStyle w:val="da"/>
          <w:rFonts w:asciiTheme="minorEastAsia" w:eastAsiaTheme="minorEastAsia" w:hAnsiTheme="minorEastAsia"/>
          <w:color w:val="000000" w:themeColor="text1"/>
        </w:rPr>
        <w:t>12</w:t>
      </w:r>
      <w:r w:rsidRPr="00CD6F5B">
        <w:rPr>
          <w:rStyle w:val="da"/>
          <w:rFonts w:asciiTheme="minorEastAsia" w:eastAsiaTheme="minorEastAsia" w:hAnsiTheme="minorEastAsia" w:hint="eastAsia"/>
          <w:color w:val="000000" w:themeColor="text1"/>
        </w:rPr>
        <w:t>号</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法定代表人：郑杨</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成立时间：</w:t>
      </w:r>
      <w:r w:rsidRPr="00CD6F5B">
        <w:rPr>
          <w:rStyle w:val="da"/>
          <w:rFonts w:asciiTheme="minorEastAsia" w:eastAsiaTheme="minorEastAsia" w:hAnsiTheme="minorEastAsia"/>
          <w:color w:val="000000" w:themeColor="text1"/>
        </w:rPr>
        <w:t xml:space="preserve"> 1992</w:t>
      </w:r>
      <w:r w:rsidRPr="00CD6F5B">
        <w:rPr>
          <w:rStyle w:val="da"/>
          <w:rFonts w:asciiTheme="minorEastAsia" w:eastAsiaTheme="minorEastAsia" w:hAnsiTheme="minorEastAsia" w:hint="eastAsia"/>
          <w:color w:val="000000" w:themeColor="text1"/>
        </w:rPr>
        <w:t>年</w:t>
      </w:r>
      <w:r w:rsidRPr="00CD6F5B">
        <w:rPr>
          <w:rStyle w:val="da"/>
          <w:rFonts w:asciiTheme="minorEastAsia" w:eastAsiaTheme="minorEastAsia" w:hAnsiTheme="minorEastAsia"/>
          <w:color w:val="000000" w:themeColor="text1"/>
        </w:rPr>
        <w:t>10</w:t>
      </w:r>
      <w:r w:rsidRPr="00CD6F5B">
        <w:rPr>
          <w:rStyle w:val="da"/>
          <w:rFonts w:asciiTheme="minorEastAsia" w:eastAsiaTheme="minorEastAsia" w:hAnsiTheme="minorEastAsia" w:hint="eastAsia"/>
          <w:color w:val="000000" w:themeColor="text1"/>
        </w:rPr>
        <w:t>月</w:t>
      </w:r>
      <w:r w:rsidRPr="00CD6F5B">
        <w:rPr>
          <w:rStyle w:val="da"/>
          <w:rFonts w:asciiTheme="minorEastAsia" w:eastAsiaTheme="minorEastAsia" w:hAnsiTheme="minorEastAsia"/>
          <w:color w:val="000000" w:themeColor="text1"/>
        </w:rPr>
        <w:t>19</w:t>
      </w:r>
      <w:r w:rsidRPr="00CD6F5B">
        <w:rPr>
          <w:rStyle w:val="da"/>
          <w:rFonts w:asciiTheme="minorEastAsia" w:eastAsiaTheme="minorEastAsia" w:hAnsiTheme="minorEastAsia" w:hint="eastAsia"/>
          <w:color w:val="000000" w:themeColor="text1"/>
        </w:rPr>
        <w:t>日</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组织形式：</w:t>
      </w:r>
      <w:r w:rsidRPr="00CD6F5B">
        <w:rPr>
          <w:rStyle w:val="da"/>
          <w:rFonts w:asciiTheme="minorEastAsia" w:eastAsiaTheme="minorEastAsia" w:hAnsiTheme="minorEastAsia"/>
          <w:color w:val="000000" w:themeColor="text1"/>
        </w:rPr>
        <w:t xml:space="preserve"> </w:t>
      </w:r>
      <w:r w:rsidRPr="00CD6F5B">
        <w:rPr>
          <w:rStyle w:val="da"/>
          <w:rFonts w:asciiTheme="minorEastAsia" w:eastAsiaTheme="minorEastAsia" w:hAnsiTheme="minorEastAsia" w:hint="eastAsia"/>
          <w:color w:val="000000" w:themeColor="text1"/>
        </w:rPr>
        <w:t>股份有限公司</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注册资本：</w:t>
      </w:r>
      <w:r w:rsidRPr="00CD6F5B">
        <w:rPr>
          <w:rStyle w:val="da"/>
          <w:rFonts w:asciiTheme="minorEastAsia" w:eastAsiaTheme="minorEastAsia" w:hAnsiTheme="minorEastAsia"/>
          <w:color w:val="000000" w:themeColor="text1"/>
        </w:rPr>
        <w:t xml:space="preserve"> 293.52</w:t>
      </w:r>
      <w:r w:rsidRPr="00CD6F5B">
        <w:rPr>
          <w:rStyle w:val="da"/>
          <w:rFonts w:asciiTheme="minorEastAsia" w:eastAsiaTheme="minorEastAsia" w:hAnsiTheme="minorEastAsia" w:hint="eastAsia"/>
          <w:color w:val="000000" w:themeColor="text1"/>
        </w:rPr>
        <w:t>亿元人民币</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存续期间：</w:t>
      </w:r>
      <w:r w:rsidRPr="00CD6F5B">
        <w:rPr>
          <w:rStyle w:val="da"/>
          <w:rFonts w:asciiTheme="minorEastAsia" w:eastAsiaTheme="minorEastAsia" w:hAnsiTheme="minorEastAsia"/>
          <w:color w:val="000000" w:themeColor="text1"/>
        </w:rPr>
        <w:t xml:space="preserve"> </w:t>
      </w:r>
      <w:r w:rsidRPr="00CD6F5B">
        <w:rPr>
          <w:rStyle w:val="da"/>
          <w:rFonts w:asciiTheme="minorEastAsia" w:eastAsiaTheme="minorEastAsia" w:hAnsiTheme="minorEastAsia" w:hint="eastAsia"/>
          <w:color w:val="000000" w:themeColor="text1"/>
        </w:rPr>
        <w:t>持续经营</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基金托管资格批文及文号：中国证监会证监基金字</w:t>
      </w:r>
      <w:r w:rsidRPr="00CD6F5B">
        <w:rPr>
          <w:rStyle w:val="da"/>
          <w:rFonts w:asciiTheme="minorEastAsia" w:eastAsiaTheme="minorEastAsia" w:hAnsiTheme="minorEastAsia"/>
          <w:color w:val="000000" w:themeColor="text1"/>
        </w:rPr>
        <w:t>[2003]105</w:t>
      </w:r>
      <w:r w:rsidRPr="00CD6F5B">
        <w:rPr>
          <w:rStyle w:val="da"/>
          <w:rFonts w:asciiTheme="minorEastAsia" w:eastAsiaTheme="minorEastAsia" w:hAnsiTheme="minorEastAsia" w:hint="eastAsia"/>
          <w:color w:val="000000" w:themeColor="text1"/>
        </w:rPr>
        <w:t>号</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联系人：胡波</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联系电话：（</w:t>
      </w:r>
      <w:r w:rsidRPr="00CD6F5B">
        <w:rPr>
          <w:rStyle w:val="da"/>
          <w:rFonts w:asciiTheme="minorEastAsia" w:eastAsiaTheme="minorEastAsia" w:hAnsiTheme="minorEastAsia"/>
          <w:color w:val="000000" w:themeColor="text1"/>
        </w:rPr>
        <w:t>021</w:t>
      </w: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61618888</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上海浦东发展银行自</w:t>
      </w:r>
      <w:r w:rsidRPr="00CD6F5B">
        <w:rPr>
          <w:rStyle w:val="da"/>
          <w:rFonts w:asciiTheme="minorEastAsia" w:eastAsiaTheme="minorEastAsia" w:hAnsiTheme="minorEastAsia"/>
          <w:color w:val="000000" w:themeColor="text1"/>
        </w:rPr>
        <w:t>2003</w:t>
      </w:r>
      <w:r w:rsidRPr="00CD6F5B">
        <w:rPr>
          <w:rStyle w:val="da"/>
          <w:rFonts w:asciiTheme="minorEastAsia" w:eastAsiaTheme="minorEastAsia" w:hAnsiTheme="minorEastAsia" w:hint="eastAsia"/>
          <w:color w:val="000000" w:themeColor="text1"/>
        </w:rPr>
        <w:t>年开展资产托管业务，是较早开展银行资产托管服务的股份制商业银行之一。经过二十年来的稳健经营和业务开拓，各项业务发展一直保持较快增长，各项经营指标在股份制商业银行中处于较好水平。</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上海浦东发展银行总行于</w:t>
      </w:r>
      <w:r w:rsidRPr="00CD6F5B">
        <w:rPr>
          <w:rStyle w:val="da"/>
          <w:rFonts w:asciiTheme="minorEastAsia" w:eastAsiaTheme="minorEastAsia" w:hAnsiTheme="minorEastAsia"/>
          <w:color w:val="000000" w:themeColor="text1"/>
        </w:rPr>
        <w:t>2003</w:t>
      </w:r>
      <w:r w:rsidRPr="00CD6F5B">
        <w:rPr>
          <w:rStyle w:val="da"/>
          <w:rFonts w:asciiTheme="minorEastAsia" w:eastAsiaTheme="minorEastAsia" w:hAnsiTheme="minorEastAsia" w:hint="eastAsia"/>
          <w:color w:val="000000" w:themeColor="text1"/>
        </w:rPr>
        <w:t>年设立基金托管部，</w:t>
      </w:r>
      <w:r w:rsidRPr="00CD6F5B">
        <w:rPr>
          <w:rStyle w:val="da"/>
          <w:rFonts w:asciiTheme="minorEastAsia" w:eastAsiaTheme="minorEastAsia" w:hAnsiTheme="minorEastAsia"/>
          <w:color w:val="000000" w:themeColor="text1"/>
        </w:rPr>
        <w:t>2005</w:t>
      </w:r>
      <w:r w:rsidRPr="00CD6F5B">
        <w:rPr>
          <w:rStyle w:val="da"/>
          <w:rFonts w:asciiTheme="minorEastAsia" w:eastAsiaTheme="minorEastAsia" w:hAnsiTheme="minorEastAsia" w:hint="eastAsia"/>
          <w:color w:val="000000" w:themeColor="text1"/>
        </w:rPr>
        <w:t>年更名为资产托管部，</w:t>
      </w:r>
      <w:r w:rsidRPr="00CD6F5B">
        <w:rPr>
          <w:rStyle w:val="da"/>
          <w:rFonts w:asciiTheme="minorEastAsia" w:eastAsiaTheme="minorEastAsia" w:hAnsiTheme="minorEastAsia"/>
          <w:color w:val="000000" w:themeColor="text1"/>
        </w:rPr>
        <w:t>2013</w:t>
      </w:r>
      <w:r w:rsidRPr="00CD6F5B">
        <w:rPr>
          <w:rStyle w:val="da"/>
          <w:rFonts w:asciiTheme="minorEastAsia" w:eastAsiaTheme="minorEastAsia" w:hAnsiTheme="minorEastAsia" w:hint="eastAsia"/>
          <w:color w:val="000000" w:themeColor="text1"/>
        </w:rPr>
        <w:t>年更名为资产托管与养老金业务部，</w:t>
      </w:r>
      <w:r w:rsidRPr="00CD6F5B">
        <w:rPr>
          <w:rStyle w:val="da"/>
          <w:rFonts w:asciiTheme="minorEastAsia" w:eastAsiaTheme="minorEastAsia" w:hAnsiTheme="minorEastAsia"/>
          <w:color w:val="000000" w:themeColor="text1"/>
        </w:rPr>
        <w:t>2016</w:t>
      </w:r>
      <w:r w:rsidRPr="00CD6F5B">
        <w:rPr>
          <w:rStyle w:val="da"/>
          <w:rFonts w:asciiTheme="minorEastAsia" w:eastAsiaTheme="minorEastAsia" w:hAnsiTheme="minorEastAsia" w:hint="eastAsia"/>
          <w:color w:val="000000" w:themeColor="text1"/>
        </w:rPr>
        <w:t>年进行组织架构优化调整，并更名为资产托管部，目前下设证券托管处、客户资产托管处、内控管理处、业务保障处、总行资产托管运营中心（含合肥分中心）五个职能处室。</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lastRenderedPageBreak/>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（二）主要人员情况</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郑杨，男，</w:t>
      </w:r>
      <w:r w:rsidRPr="00CD6F5B">
        <w:rPr>
          <w:rStyle w:val="da"/>
          <w:rFonts w:asciiTheme="minorEastAsia" w:eastAsiaTheme="minorEastAsia" w:hAnsiTheme="minorEastAsia"/>
          <w:color w:val="000000" w:themeColor="text1"/>
        </w:rPr>
        <w:t>1966</w:t>
      </w:r>
      <w:r w:rsidRPr="00CD6F5B">
        <w:rPr>
          <w:rStyle w:val="da"/>
          <w:rFonts w:asciiTheme="minorEastAsia" w:eastAsiaTheme="minorEastAsia" w:hAnsiTheme="minorEastAsia" w:hint="eastAsia"/>
          <w:color w:val="000000" w:themeColor="text1"/>
        </w:rPr>
        <w:t>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潘卫东，男，</w:t>
      </w:r>
      <w:r w:rsidRPr="00CD6F5B">
        <w:rPr>
          <w:rStyle w:val="da"/>
          <w:rFonts w:asciiTheme="minorEastAsia" w:eastAsiaTheme="minorEastAsia" w:hAnsiTheme="minorEastAsia"/>
          <w:color w:val="000000" w:themeColor="text1"/>
        </w:rPr>
        <w:t>1966</w:t>
      </w:r>
      <w:r w:rsidRPr="00CD6F5B">
        <w:rPr>
          <w:rStyle w:val="da"/>
          <w:rFonts w:asciiTheme="minorEastAsia" w:eastAsiaTheme="minorEastAsia" w:hAnsiTheme="minorEastAsia" w:hint="eastAsia"/>
          <w:color w:val="000000" w:themeColor="text1"/>
        </w:rPr>
        <w:t>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孔建，男，</w:t>
      </w:r>
      <w:r w:rsidRPr="00CD6F5B">
        <w:rPr>
          <w:rStyle w:val="da"/>
          <w:rFonts w:asciiTheme="minorEastAsia" w:eastAsiaTheme="minorEastAsia" w:hAnsiTheme="minorEastAsia"/>
          <w:color w:val="000000" w:themeColor="text1"/>
        </w:rPr>
        <w:t>1968</w:t>
      </w:r>
      <w:r w:rsidRPr="00CD6F5B">
        <w:rPr>
          <w:rStyle w:val="da"/>
          <w:rFonts w:asciiTheme="minorEastAsia" w:eastAsiaTheme="minorEastAsia" w:hAnsiTheme="minorEastAsia" w:hint="eastAsia"/>
          <w:color w:val="000000" w:themeColor="text1"/>
        </w:rPr>
        <w:t>年出生，博士研究生。历任工商银行山东省分行资金营运处副处长，上海浦东发展银行济南分行信管处总经理，上海浦东发展银行济南分行行长助理、副行长、党委书记、行长。现任上海浦东发展银行总行金融市场业务工作党委委员，资产托管部总经理。</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（三）基金托管业务经营情况</w:t>
      </w:r>
    </w:p>
    <w:p w:rsidR="00B6506A" w:rsidRPr="00CD6F5B" w:rsidRDefault="00B6506A"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截止2020年9月30日，上海浦东发展银行证券投资基金托管规模为9066.66亿元，比去年末增加50.53%。托管证券投资基金共二百六十一只，分别为国泰金龙行业精选基金、国泰金龙债券基金、天治财富增长基金、广发小盘成长基金、汇添富货币基金、长信金利趋势基金、嘉实优质企业基金、国联安货币基金、长信利众债券基金（LOF）、博时安丰18个月基金（LOF）、易方达裕丰回报基金、鹏华丰泰定期开放基金、汇添富双利增强债券基金、</w:t>
      </w:r>
      <w:r w:rsidRPr="00CD6F5B">
        <w:rPr>
          <w:rStyle w:val="da"/>
          <w:rFonts w:asciiTheme="minorEastAsia" w:eastAsiaTheme="minorEastAsia" w:hAnsiTheme="minorEastAsia" w:hint="eastAsia"/>
          <w:color w:val="000000" w:themeColor="text1"/>
        </w:rPr>
        <w:lastRenderedPageBreak/>
        <w:t>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18个月定开债券基金、中信建投稳裕定开债券基金、招商招怡纯债债券基金、中加丰享纯债债券基金、长安泓泽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300指数增强型证券投资基金、汇安丰恒混合基金、景顺长城中证500指数基金、鹏华丰康债券基金、兴业安润货币基金、兴业瑞丰6个月定开债券基金、兴业裕丰债券基金、易方达瑞弘混合基金、长安鑫富领先混合基金、万家现金增利货币基金、上银慧增利货币市场基金、易方达瑞富灵活配置证券投资基金、博时富腾纯债债券型证券投资基金、安信工业4.0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3个月定期开放债券型发起式证券投资基金、富国颐利纯债债券型证券投资基金、华安安浦债</w:t>
      </w:r>
      <w:r w:rsidRPr="00CD6F5B">
        <w:rPr>
          <w:rStyle w:val="da"/>
          <w:rFonts w:asciiTheme="minorEastAsia" w:eastAsiaTheme="minorEastAsia" w:hAnsiTheme="minorEastAsia" w:hint="eastAsia"/>
          <w:color w:val="000000" w:themeColor="text1"/>
        </w:rPr>
        <w:lastRenderedPageBreak/>
        <w:t>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3-5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广发景智纯债债券型证券投资基金、东兴品牌精选灵活配置混合型证券投资基金、广发中债1-3年国开行债券指数证券投资基金、融通通捷债券型证券投资基金、华富恒盛纯债债券型证券投资基金、建信中证1000指数增强型发起式证券投资基金、汇安嘉鑫纯债债券型证券投资基金、国寿安保安丰纯债债券型证券投资基金、博时中债1-3年政策性金融债指数证券投资基金、银河家盈纯债债券型证券投资基金、博时富永纯债3个月定期开放债券型发起式证券投资基金、南方畅利定期开放债券型发起式证券投资基金、中加瑞利纯债债券型证券投资基金、华富中证5年恒定久期国开债指数型证券投资基金、永赢合益债券型证券投资基金、嘉实中债1-3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1-3年农发行债券指数证券投资基金、南方旭元债券型发起式证券投资基金、大成中债3-5年国开行债券指数基金、永赢众利债券型证券投资基金、华夏中债3-5年政策性金融债指数证券投资基金、中证长三角一体化发展主题交易型开放式指数证券投资基金、新疆前海联合科技先锋混合型证券投资基金、银华尊尚稳健养老目标一年持有期混合型发起式基金中基金（FOF）、博时颐泽平衡养老目标三年持有期混合型发起式基金中基金（FOF）、农银养老目标日期2035三年持有期混合型发起式基金中基金(FOF)、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39个月定期开放债券型证券投资基金、中融睿享86个月定期开放债券型基金、南方梦元短债债券型证券投资基金、鹏扬淳开债券型证券投资基金、华宝宝惠纯债39个月定</w:t>
      </w:r>
      <w:r w:rsidRPr="00CD6F5B">
        <w:rPr>
          <w:rStyle w:val="da"/>
          <w:rFonts w:asciiTheme="minorEastAsia" w:eastAsiaTheme="minorEastAsia" w:hAnsiTheme="minorEastAsia" w:hint="eastAsia"/>
          <w:color w:val="000000" w:themeColor="text1"/>
        </w:rPr>
        <w:lastRenderedPageBreak/>
        <w:t>期开放债券型证券投资基金、建信MSCI中国A股指数增强型证券投资基金、农银汇理金益债券型证券投资基金、博时稳欣39个月定期开放债券型证券投资基金、同泰慧择混合型证券投资基金、招商中证红利交易型开放式指数证券投资基金、嘉实致禄3个月定期开放纯债债券型发起式证券投资基金、永赢久利债券型证券投资基金、嘉实安元39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100交易型开放式指数证券投资基金、鹏华0-5年利率债债券型发起式证券投资基金、景顺长城弘利39个月定期开放债券型证券投资基金、工银瑞信泰颐三年定期开放债券型证券投资基金、华安鑫浦87个月定期开放债券型证券投资基金、汇安嘉盛纯债债券型证券投资基金、东方红安鑫甄选一年持有期混合型证券投资基金、西藏东财中证通信技术主题指数型发起式证券投资基金、财通裕惠63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39个月定期开放债券型证券投资基金、国泰中证新能源汽车交易型开放式指数证券投资基金、广发恒隆一年持有期混合型证券投资基金、安信中证信用主体50债券指数证券投资基金、大成彭博巴克莱政策性银行债券3-5年指数证券投资基金、国泰中证全指家用电器交易型开放式指数证券投资基金发起式联接基金、国泰中证新能源汽车交易型开放式指数证券投资基金发起式联接基金、海富通富泽混合型证券投资基金、华富中债-0-5年中高等级信用债收益平衡指数证券投资基金、汇添富稳健增益一年持有期混合型证券投资基金、南方誉慧一年持有期混合型证券投资基金、农银汇理永乐3个月持有期混合型基金中基金（FOF）、鹏扬景恒六个月持有期混合型证券投资基金、平安合兴1年定期开放债券型发起式证券投资基金、融通中债1-3年国开行债券指数基金、太平中债1-3年政策性金融债指数证券投资基金、天弘永裕稳健养老目标一年持有期混合型基金中基金（FOF）、中欧真益稳健一年持有期混合型证券投资基金、南华中证杭州湾区交易型开放式指数证券投资基金联接基金、金信核心竞争力灵活配置混合型证券投资基金、华泰紫金中债1-5年国开行债券指数证券投资基金、博时价值臻选两年持有期灵活配置混合型证券投资基金、东方红益丰纯债债券型证券投资基金、东方红鑫泰66个月定期开放债券型证券投资基金、东方红鼎元3个月定期开放混合型发起式证券投资基金、富国上海金</w:t>
      </w:r>
      <w:r w:rsidRPr="00CD6F5B">
        <w:rPr>
          <w:rStyle w:val="da"/>
          <w:rFonts w:asciiTheme="minorEastAsia" w:eastAsiaTheme="minorEastAsia" w:hAnsiTheme="minorEastAsia" w:hint="eastAsia"/>
          <w:color w:val="000000" w:themeColor="text1"/>
        </w:rPr>
        <w:lastRenderedPageBreak/>
        <w:t>交易型开放式证券投资基金、富国上海金交易型开放式证券投资基金联接基金、工银瑞信深证100交易型开放式指数证券投资基金联接基金、广发汇浦三年定期开放债券型证券投资基金、国联安增泰一年定期开放纯债债券型发起式证券投资基金、海富通惠增多策略一年定期开放灵活配置混合型证券投资基金、华安中债1-5年国开行债券指数证券投资基金、华宝中债1-3年国开行债券指数证券投资基金、景顺长城安鑫回报一年持有期混合型证券投资基金、景顺长城电子信息产业股票型证券投资基金、景顺长城中债3-5年政策性金融债指数证券投资基金、民生加银瑞鑫一年定期开放债券型发起式证券投资基金、鹏华锦润86个月定期开放债券型证券投资基金、鹏华创新未来18个月封闭运作混合型证券投资基金、鹏扬淳安66个月定期开放债券型证券投资基金、融通通恒63个月定期开放债券型证券投资基金、上银聚远盈42个月定期开放债券型证券投资基金、新疆前海联合淳丰纯债87个月定期开放债券型证券投资基金、兴业稳泰66个月定期开放债券型证券投资基金、兴业睿进混合型证券投资基金、易方达悦享一年持有期混合型基金、易方达创新未来18个月封闭运作混合型基金、银华汇益一年持有期混合型基金、永赢瑞宁87个月定期开放债券型证券投资基金、长信浦瑞87个月定期开放债券型证券投资基金、招商添盛78个月定期开放债券型证券投资基金、中信建投稳丰63个月定期开放债券型证券投资基金、中信保诚景裕中短债债券型证券投资基金、泰达宏利中证申万绩优策略指数增强型证券投资基金、泰达宏利乐盈66个月定期开放债券型证券投资基金、创金合信泰博66个月定期开放债券型证券投资基金、淳厚安裕87个月定期开放债券型证券投资基金、西部利得尊泰86个月定期开放债券型证券投资基金、西部利得聚禾灵活配置混合型基金、德邦锐泽86个月定期开放债券型证券投资基金、德邦惠利混合型证券投资基金、光大保德信尊合87个月定期开放债券型证券投资基金、蜂巢添禧87个月定期开放债券型证券投资基金、国金惠丰39个月定期开放债券型证券投资基金、九泰科新优享灵活配置混合型证券投资基金、华泰保兴久盈63个月定期开放债券型证券投资基金等。</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（四）基金托管人的内部控制制度</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、本行内部控制组织架构为：总行法律合规部是全行内部控制的牵头管理部门，指导</w:t>
      </w:r>
      <w:r w:rsidRPr="00CD6F5B">
        <w:rPr>
          <w:rStyle w:val="da"/>
          <w:rFonts w:asciiTheme="minorEastAsia" w:eastAsiaTheme="minorEastAsia" w:hAnsiTheme="minorEastAsia" w:hint="eastAsia"/>
          <w:color w:val="000000" w:themeColor="text1"/>
        </w:rPr>
        <w:lastRenderedPageBreak/>
        <w:t>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3</w:t>
      </w:r>
      <w:r w:rsidRPr="00CD6F5B">
        <w:rPr>
          <w:rStyle w:val="da"/>
          <w:rFonts w:asciiTheme="minorEastAsia" w:eastAsiaTheme="minorEastAsia" w:hAnsiTheme="minorEastAsia" w:hint="eastAsia"/>
          <w:color w:val="000000" w:themeColor="text1"/>
        </w:rPr>
        <w:t>、内部控制制度及措施</w:t>
      </w:r>
      <w:r w:rsidRPr="00CD6F5B">
        <w:rPr>
          <w:rStyle w:val="da"/>
          <w:rFonts w:asciiTheme="minorEastAsia" w:eastAsiaTheme="minorEastAsia" w:hAnsiTheme="minorEastAsia"/>
          <w:color w:val="000000" w:themeColor="text1"/>
        </w:rPr>
        <w:t xml:space="preserve">: </w:t>
      </w:r>
      <w:r w:rsidRPr="00CD6F5B">
        <w:rPr>
          <w:rStyle w:val="da"/>
          <w:rFonts w:asciiTheme="minorEastAsia" w:eastAsiaTheme="minorEastAsia" w:hAnsiTheme="minorEastAsia" w:hint="eastAsia"/>
          <w:color w:val="000000" w:themeColor="text1"/>
        </w:rPr>
        <w:t>本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w:t>
      </w:r>
      <w:r w:rsidRPr="00CD6F5B">
        <w:rPr>
          <w:rStyle w:val="da"/>
          <w:rFonts w:asciiTheme="minorEastAsia" w:eastAsiaTheme="minorEastAsia" w:hAnsiTheme="minorEastAsia"/>
          <w:color w:val="000000" w:themeColor="text1"/>
        </w:rPr>
        <w:t>/</w:t>
      </w:r>
      <w:r w:rsidRPr="00CD6F5B">
        <w:rPr>
          <w:rStyle w:val="da"/>
          <w:rFonts w:asciiTheme="minorEastAsia" w:eastAsiaTheme="minorEastAsia" w:hAnsiTheme="minorEastAsia" w:hint="eastAsia"/>
          <w:color w:val="000000" w:themeColor="text1"/>
        </w:rPr>
        <w:t>全面审计等措施实施业务监控，排查风险隐患。</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（五）托管人对管理人运作基金进行监督的方法和程序</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、监督依据</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托管人严格按照有关政策法规、以及基金合同、托管协议等进行监督。监督依据具体包括：</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）《中华人民共和国证券法》；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）《中华人民共和国证券投资基金法》；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3</w:t>
      </w:r>
      <w:r w:rsidRPr="00CD6F5B">
        <w:rPr>
          <w:rStyle w:val="da"/>
          <w:rFonts w:asciiTheme="minorEastAsia" w:eastAsiaTheme="minorEastAsia" w:hAnsiTheme="minorEastAsia" w:hint="eastAsia"/>
          <w:color w:val="000000" w:themeColor="text1"/>
        </w:rPr>
        <w:t>）《公开募集证券投资基金运作管理办法》；；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4</w:t>
      </w:r>
      <w:r w:rsidRPr="00CD6F5B">
        <w:rPr>
          <w:rStyle w:val="da"/>
          <w:rFonts w:asciiTheme="minorEastAsia" w:eastAsiaTheme="minorEastAsia" w:hAnsiTheme="minorEastAsia" w:hint="eastAsia"/>
          <w:color w:val="000000" w:themeColor="text1"/>
        </w:rPr>
        <w:t>）《证券投资基金销售管理办法》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5</w:t>
      </w:r>
      <w:r w:rsidRPr="00CD6F5B">
        <w:rPr>
          <w:rStyle w:val="da"/>
          <w:rFonts w:asciiTheme="minorEastAsia" w:eastAsiaTheme="minorEastAsia" w:hAnsiTheme="minorEastAsia" w:hint="eastAsia"/>
          <w:color w:val="000000" w:themeColor="text1"/>
        </w:rPr>
        <w:t>）《基金合同》、《基金托管协议》；</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6</w:t>
      </w:r>
      <w:r w:rsidRPr="00CD6F5B">
        <w:rPr>
          <w:rStyle w:val="da"/>
          <w:rFonts w:asciiTheme="minorEastAsia" w:eastAsiaTheme="minorEastAsia" w:hAnsiTheme="minorEastAsia" w:hint="eastAsia"/>
          <w:color w:val="000000" w:themeColor="text1"/>
        </w:rPr>
        <w:t>）法律、法规、政策的其他规定。</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、监督内容</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我行根据基金合同及托管协议约定，对基金合同生效之后所托管基金的投资范围、投资</w:t>
      </w:r>
      <w:r w:rsidRPr="00CD6F5B">
        <w:rPr>
          <w:rStyle w:val="da"/>
          <w:rFonts w:asciiTheme="minorEastAsia" w:eastAsiaTheme="minorEastAsia" w:hAnsiTheme="minorEastAsia" w:hint="eastAsia"/>
          <w:color w:val="000000" w:themeColor="text1"/>
        </w:rPr>
        <w:lastRenderedPageBreak/>
        <w:t>比例、投资限制等进行严格监督，及时提示基金管理人违规风险。</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3</w:t>
      </w:r>
      <w:r w:rsidRPr="00CD6F5B">
        <w:rPr>
          <w:rStyle w:val="da"/>
          <w:rFonts w:asciiTheme="minorEastAsia" w:eastAsiaTheme="minorEastAsia" w:hAnsiTheme="minorEastAsia" w:hint="eastAsia"/>
          <w:color w:val="000000" w:themeColor="text1"/>
        </w:rPr>
        <w:t>、监督方法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）资产托管部设置核算监督岗位，配备相应的业务人员，在授权范围内独立行使对基金管理人投资交易行为的监督职责，规范基金运作，维护基金投资人的合法权益，不受任何外界力量的干预；</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）在日常运作中，凡可量化的监督指标，由核算监督岗通过托管业务的自动处理程序进行监督，实现系统的自动跟踪和预警；</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3</w:t>
      </w:r>
      <w:r w:rsidRPr="00CD6F5B">
        <w:rPr>
          <w:rStyle w:val="da"/>
          <w:rFonts w:asciiTheme="minorEastAsia" w:eastAsiaTheme="minorEastAsia" w:hAnsiTheme="minorEastAsia" w:hint="eastAsia"/>
          <w:color w:val="000000" w:themeColor="text1"/>
        </w:rPr>
        <w:t>）对非量化指标、投资指令、管理人提供的各种报表和报告等，采取人工监督的方法。</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color w:val="000000" w:themeColor="text1"/>
        </w:rPr>
        <w:t>4</w:t>
      </w:r>
      <w:r w:rsidRPr="00CD6F5B">
        <w:rPr>
          <w:rStyle w:val="da"/>
          <w:rFonts w:asciiTheme="minorEastAsia" w:eastAsiaTheme="minorEastAsia" w:hAnsiTheme="minorEastAsia" w:hint="eastAsia"/>
          <w:color w:val="000000" w:themeColor="text1"/>
        </w:rPr>
        <w:t>、监督结果的处理方式</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1</w:t>
      </w:r>
      <w:r w:rsidRPr="00CD6F5B">
        <w:rPr>
          <w:rStyle w:val="da"/>
          <w:rFonts w:asciiTheme="minorEastAsia" w:eastAsiaTheme="minorEastAsia" w:hAnsiTheme="minorEastAsia" w:hint="eastAsia"/>
          <w:color w:val="000000" w:themeColor="text1"/>
        </w:rPr>
        <w:t>）基金托管人对基金管理人的投资运作监督结果，采取定期和不定期报告形式向基金管理人和中国证监会报告。定期报告包括基金监控周报等。不定期报告包括提示函、临时日报、其他临时报告等；</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2</w:t>
      </w:r>
      <w:r w:rsidRPr="00CD6F5B">
        <w:rPr>
          <w:rStyle w:val="da"/>
          <w:rFonts w:asciiTheme="minorEastAsia" w:eastAsiaTheme="minorEastAsia" w:hAnsiTheme="minorEastAsia" w:hint="eastAsia"/>
          <w:color w:val="000000" w:themeColor="text1"/>
        </w:rPr>
        <w:t>）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9F629F" w:rsidRPr="00CD6F5B" w:rsidRDefault="009F629F" w:rsidP="009F629F">
      <w:pPr>
        <w:spacing w:line="360" w:lineRule="auto"/>
        <w:ind w:firstLineChars="200" w:firstLine="420"/>
        <w:rPr>
          <w:rStyle w:val="da"/>
          <w:rFonts w:asciiTheme="minorEastAsia" w:eastAsiaTheme="minorEastAsia" w:hAnsiTheme="minorEastAsia"/>
          <w:color w:val="000000" w:themeColor="text1"/>
        </w:rPr>
      </w:pPr>
      <w:r w:rsidRPr="00CD6F5B">
        <w:rPr>
          <w:rStyle w:val="da"/>
          <w:rFonts w:asciiTheme="minorEastAsia" w:eastAsiaTheme="minorEastAsia" w:hAnsiTheme="minorEastAsia" w:hint="eastAsia"/>
          <w:color w:val="000000" w:themeColor="text1"/>
        </w:rPr>
        <w:t>（</w:t>
      </w:r>
      <w:r w:rsidRPr="00CD6F5B">
        <w:rPr>
          <w:rStyle w:val="da"/>
          <w:rFonts w:asciiTheme="minorEastAsia" w:eastAsiaTheme="minorEastAsia" w:hAnsiTheme="minorEastAsia"/>
          <w:color w:val="000000" w:themeColor="text1"/>
        </w:rPr>
        <w:t>3</w:t>
      </w:r>
      <w:r w:rsidRPr="00CD6F5B">
        <w:rPr>
          <w:rStyle w:val="da"/>
          <w:rFonts w:asciiTheme="minorEastAsia" w:eastAsiaTheme="minorEastAsia" w:hAnsiTheme="minorEastAsia" w:hint="eastAsia"/>
          <w:color w:val="000000" w:themeColor="text1"/>
        </w:rPr>
        <w:t>）针对中国证监会、中国人民银行对基金投资运作监督情况的检查，应及时提供有关情况和资料。</w:t>
      </w:r>
    </w:p>
    <w:p w:rsidR="009F629F" w:rsidRPr="00CD6F5B" w:rsidRDefault="009F629F" w:rsidP="009F629F">
      <w:pPr>
        <w:rPr>
          <w:rFonts w:asciiTheme="minorEastAsia" w:eastAsiaTheme="minorEastAsia" w:hAnsiTheme="minorEastAsia" w:cstheme="minorBidi"/>
          <w:color w:val="000000" w:themeColor="text1"/>
          <w:szCs w:val="21"/>
        </w:rPr>
      </w:pPr>
    </w:p>
    <w:p w:rsidR="00BA4B87" w:rsidRPr="00CD6F5B" w:rsidRDefault="00BA4B87" w:rsidP="00CC1421">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345" w:name="_Toc332373481"/>
      <w:bookmarkStart w:id="346" w:name="_Toc82186584"/>
      <w:r w:rsidRPr="00CD6F5B">
        <w:rPr>
          <w:rFonts w:asciiTheme="minorEastAsia" w:eastAsiaTheme="minorEastAsia" w:hAnsiTheme="minorEastAsia"/>
          <w:color w:val="000000" w:themeColor="text1"/>
          <w:szCs w:val="21"/>
        </w:rPr>
        <w:lastRenderedPageBreak/>
        <w:t>五、相关服务机构</w:t>
      </w:r>
      <w:bookmarkEnd w:id="345"/>
      <w:bookmarkEnd w:id="346"/>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47" w:name="_Toc332373482"/>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基金份额</w:t>
      </w:r>
      <w:r w:rsidR="00D95F5B" w:rsidRPr="00CD6F5B">
        <w:rPr>
          <w:rFonts w:asciiTheme="minorEastAsia" w:eastAsiaTheme="minorEastAsia" w:hAnsiTheme="minorEastAsia"/>
          <w:color w:val="000000" w:themeColor="text1"/>
        </w:rPr>
        <w:t>销售</w:t>
      </w:r>
      <w:r w:rsidR="00BA4B87" w:rsidRPr="00CD6F5B">
        <w:rPr>
          <w:rFonts w:asciiTheme="minorEastAsia" w:eastAsiaTheme="minorEastAsia" w:hAnsiTheme="minorEastAsia"/>
          <w:color w:val="000000" w:themeColor="text1"/>
        </w:rPr>
        <w:t>机构</w:t>
      </w:r>
      <w:bookmarkEnd w:id="347"/>
    </w:p>
    <w:p w:rsidR="0021008F" w:rsidRPr="00CD6F5B" w:rsidRDefault="00BA4B87"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w:t>
      </w:r>
      <w:r w:rsidR="0021008F" w:rsidRPr="00CD6F5B">
        <w:rPr>
          <w:rFonts w:asciiTheme="minorEastAsia" w:eastAsiaTheme="minorEastAsia" w:hAnsiTheme="minorEastAsia" w:hint="eastAsia"/>
          <w:color w:val="000000" w:themeColor="text1"/>
        </w:rPr>
        <w:t>直销机构：</w:t>
      </w:r>
      <w:r w:rsidR="0021008F" w:rsidRPr="00CD6F5B">
        <w:rPr>
          <w:rFonts w:asciiTheme="minorEastAsia" w:eastAsiaTheme="minorEastAsia" w:hAnsiTheme="minorEastAsia"/>
          <w:color w:val="000000" w:themeColor="text1"/>
        </w:rPr>
        <w:t>易方达基金管理有限公司</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w:t>
      </w:r>
      <w:r w:rsidR="003A3C86" w:rsidRPr="00CD6F5B">
        <w:rPr>
          <w:rFonts w:asciiTheme="minorEastAsia" w:eastAsiaTheme="minorEastAsia" w:hAnsiTheme="minorEastAsia"/>
          <w:color w:val="000000" w:themeColor="text1"/>
        </w:rPr>
        <w:t>广东省珠海市横琴新区宝华路6号105室－42891（集中办公区）</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w:t>
      </w:r>
      <w:r w:rsidRPr="00CD6F5B">
        <w:rPr>
          <w:rFonts w:asciiTheme="minorEastAsia" w:eastAsiaTheme="minorEastAsia" w:hAnsiTheme="minorEastAsia"/>
          <w:color w:val="000000" w:themeColor="text1"/>
        </w:rPr>
        <w:t>广州市天河区珠江新城珠江东路30号广州银行大厦40-43楼</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w:t>
      </w:r>
      <w:r w:rsidRPr="00CD6F5B">
        <w:rPr>
          <w:rFonts w:asciiTheme="minorEastAsia" w:eastAsiaTheme="minorEastAsia" w:hAnsiTheme="minorEastAsia"/>
          <w:color w:val="000000" w:themeColor="text1"/>
        </w:rPr>
        <w:t>刘晓艳</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电话：</w:t>
      </w:r>
      <w:r w:rsidRPr="00CD6F5B">
        <w:rPr>
          <w:rFonts w:asciiTheme="minorEastAsia" w:eastAsiaTheme="minorEastAsia" w:hAnsiTheme="minorEastAsia"/>
          <w:color w:val="000000" w:themeColor="text1"/>
        </w:rPr>
        <w:t>020-85102506</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w:t>
      </w:r>
      <w:r w:rsidRPr="00CD6F5B">
        <w:rPr>
          <w:rFonts w:asciiTheme="minorEastAsia" w:eastAsiaTheme="minorEastAsia" w:hAnsiTheme="minorEastAsia"/>
          <w:color w:val="000000" w:themeColor="text1"/>
        </w:rPr>
        <w:t>4008818099</w:t>
      </w:r>
    </w:p>
    <w:p w:rsidR="0021008F"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w:t>
      </w:r>
      <w:r w:rsidR="00AF3168" w:rsidRPr="00CD6F5B">
        <w:rPr>
          <w:rFonts w:asciiTheme="minorEastAsia" w:eastAsiaTheme="minorEastAsia" w:hAnsiTheme="minorEastAsia" w:hint="eastAsia"/>
          <w:color w:val="000000" w:themeColor="text1"/>
        </w:rPr>
        <w:t>王峰</w:t>
      </w:r>
    </w:p>
    <w:p w:rsidR="00A765E4" w:rsidRPr="00CD6F5B" w:rsidRDefault="0021008F" w:rsidP="0021008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t>
      </w:r>
      <w:r w:rsidRPr="00CD6F5B">
        <w:rPr>
          <w:rFonts w:asciiTheme="minorEastAsia" w:eastAsiaTheme="minorEastAsia" w:hAnsiTheme="minorEastAsia"/>
          <w:color w:val="000000" w:themeColor="text1"/>
        </w:rPr>
        <w:t>www.efunds.com.cn</w:t>
      </w:r>
    </w:p>
    <w:p w:rsidR="00E47D74" w:rsidRPr="00CD6F5B" w:rsidRDefault="00E47D7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直销机构网点信息：</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（1）易方达基金管理有限公司广州直销中心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办公地址：广州市天河区珠江新城珠江东路30号广州银行大厦40楼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电话：020-85102506</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传真：4008818099</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AF3168" w:rsidRPr="00CD6F5B">
        <w:rPr>
          <w:rFonts w:asciiTheme="minorEastAsia" w:eastAsiaTheme="minorEastAsia" w:hAnsiTheme="minorEastAsia" w:hint="eastAsia"/>
          <w:color w:val="000000" w:themeColor="text1"/>
        </w:rPr>
        <w:t>王峰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（2）易方达基金管理有限公司北京直销中心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办公地址：</w:t>
      </w:r>
      <w:r w:rsidR="00B76AF6" w:rsidRPr="00CD6F5B">
        <w:rPr>
          <w:rFonts w:asciiTheme="minorEastAsia" w:eastAsiaTheme="minorEastAsia" w:hAnsiTheme="minorEastAsia"/>
          <w:color w:val="000000" w:themeColor="text1"/>
        </w:rPr>
        <w:t>北京市西城区武定侯街2号泰康国际大厦18层</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电话：010-63213377</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传真：4008818099</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联系人：刘蕾</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（3）易方达基金管理有限公司上海直销中心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办公地址：上海市浦东新区世纪大道88号金茂大厦46楼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电话：021-50476668</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传真：4008818099</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CA6F5B" w:rsidRPr="00CD6F5B">
        <w:rPr>
          <w:rFonts w:asciiTheme="minorEastAsia" w:eastAsiaTheme="minorEastAsia" w:hAnsiTheme="minorEastAsia" w:hint="eastAsia"/>
          <w:color w:val="000000" w:themeColor="text1"/>
        </w:rPr>
        <w:t>王程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（4）易方达基金管理有限公司网上交易系统</w:t>
      </w:r>
    </w:p>
    <w:p w:rsidR="00E47D74" w:rsidRPr="00CD6F5B" w:rsidRDefault="00E47D7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网址：www.efunds.com.cn</w:t>
      </w:r>
    </w:p>
    <w:p w:rsidR="009A3303" w:rsidRPr="00CD6F5B" w:rsidRDefault="00E47D74" w:rsidP="009A330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2、非直销销售机构</w:t>
      </w:r>
      <w:bookmarkStart w:id="348" w:name="_Toc332373483"/>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(1) 中信银行股份有限公司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注册地址：北京市朝阳区光华路10号院1号楼6-30层、32-42层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办公地址：北京市朝阳区光华路10号院1号楼6-30层、32-42层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法定代表人：李庆萍</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联系人：王晓琳</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客户服务电话：95558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传真：010-85230049</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网址：bank.ecitic.com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 西安银行股份有限公司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注册地址：西安市高新路60号</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办公地址：西安市高新路60号</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法定代表人：郭军</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联系人：白智</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联系电话：029-88992881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客户服务电话：40086-96779（全国）、96779（陕西）</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网址：www.xacbank.com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 广发证券股份有限公司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注册地址：广东省广州市黄埔区中新广州知识城腾飞一街2号618室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办公地址：广州市天河区马场路26号广发证券大厦</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法定代表人：孙树明</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联系人：黄岚</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客户服务电话：95575或02095575</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网址：www.gf.com.cn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 中信证券股份有限公司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注册地址：广东省深圳市福田区中心三路8号卓越时代广场（二期）北座</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办公地址：北京市朝阳区亮马桥路48号中信证券大厦</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法定代表人：张佑君</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 xml:space="preserve">联系人：王一通 </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联系电话：010-60838888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客户服务电话：95548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传真：010-60836029</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网址：www.cs.ecitic.com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 中信证券华南股份有限公司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注册地址：广州市天河区珠江西路5号501房</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办公地址：广州市天河区珠江西路5号广州国际金融中心主塔19层、20层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法定代表人：胡伏云</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联系人：陈靖</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联系电话：020-88836999</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客户服务电话：95548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传真：020-88836984</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网址：www.gzs.com.cn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 中信证券（山东）有限责任公司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注册地址：青岛市崂山区深圳路222号1号楼2001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办公地址：青岛市市南区东海西路28号龙翔广场东座5层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法定代表人：姜晓林</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联系人：焦刚</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联系电话：0531-89606166</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客户服务电话：95548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传真：0532-85022605</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网址：http://sd.citics.com/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 北京蛋卷基金销售有限公司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注册地址：北京市朝阳区创远路34号院6号楼15层1501室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办公地址：北京市朝阳区创远路34号院融新科技中心C座17层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法定代表人：钟斐斐</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联系人：侯芳芳</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联系电话：010-61840688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客户服务电话：400-159-9288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网址：https://danjuanapp.com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(8) 北京汇成基金销售有限公司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注册地址：北京市西城区西直门外大街1号院2号楼17层19C13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办公地址：北京市西城区西直门外大街1号院2号楼19层19C13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法定代表人：王伟刚</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联系人：王骁骁</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联系电话：010-56251471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客户服务电话：400-619-9059</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网址：www.hcfunds.com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 京东肯特瑞基金销售有限公司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注册地址：北京市海淀区西三旗建材城中路12号17号平房157</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办公地址：北京市通州区亦庄经济技术开发区科创十一街18号院京东集团总部A座17层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法定代表人：王苏宁</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联系人：邢锦超</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客户服务电话：95118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网址：kenterui.jd.com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(10) 蚂蚁（杭州）基金销售有限公司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注册地址：浙江省杭州市余杭区五常街道文一西路969号3幢5层599室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办公地址：浙江省杭州市西湖区万塘路18号黄龙时代广场B座6F</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法定代表人：祖国明</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联系人：韩爱彬</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联系电话：0571-26888888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客户服务电话：4000-766-123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网址：http://www.fund123.cn/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(11) 民商基金销售（上海）有限公司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注册地址：上海市黄浦区北京东路666号H区（东座）6楼A31室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 xml:space="preserve">办公地址：上海市浦东新区张杨路707号生命人寿大厦32楼 </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法定代表人：贲惠琴</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联系人：林志枫</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联系电话：021-50206003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客户服务电话：021-50206003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传真：021-50206001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网址：http://www.msftec.com/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(12) 上海天天基金销售有限公司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注册地址：上海市徐汇区龙田路190号2号楼2层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办公地址：上海市徐汇区宛平南路88号东方财富大厦</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法定代表人：其实</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联系人：屠彦洋</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联系电话：021-54509977</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客户服务电话：95021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传真：021-64385308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网址：www.1234567.com.cn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(13) 浙江同花顺基金销售有限公司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注册地址：浙江省杭州市文二西路1号903室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办公地址：杭州市余杭区五常街道同顺街18号同花顺大楼4层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法定代表人：吴强</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联系人：吴强</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联系电话：0571-88911818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客户服务电话：952555</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传真：0571-86800423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网址：www.5ifund.com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(14) 上海万得基金销售有限公司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注册地址：中国（上海）自由贸易试验区福山路33号11楼B座</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办公地址：上海市浦东新区浦明路1500号万得大厦11楼</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法定代表人：黄祎</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联系人：徐亚丹</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联系电话：021-50712782</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客户服务电话：400-799-1888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网址：www.520fund.com.cn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(15) 珠海盈米基金销售有限公司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注册地址：珠海市横琴新区宝华路6号105室-3491（集中办公区）</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办公地址：广州市海珠区琶洲大道东路1号保利国际广场南塔1201-1203室</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法定代表人：肖雯</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联系人：邱湘湘</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联系电话：020-89629099</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客户服务电话：020-89629066</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传真：020-89629011</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网址：www.yingmi.cn</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(16) 北京植信基金销售有限公司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注册地址：北京市密云区兴盛南路8号院2号楼106室-67</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办公地址：北京市朝阳区盛世龙源国食苑10号楼</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法人代表：王军辉</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联系人：吴鹏</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联系电话：010-56075718</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客户服务电话：4006-802-123</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网址：www.zhixin-inv.com</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(17) 中信期货有限公司</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注册地址：广东省深圳市福田区中心三路8号卓越时代广场（二期）北座13层1301-1305室、14层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办公地址：深圳市福田区中心三路8号卓越时代广场（二期）北座13层1301-1305室、14层</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法定代表人：张皓</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联系人：刘宏莹</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联系电话：010-6083 3754</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客户服务电话：400-990-8826</w:t>
      </w:r>
    </w:p>
    <w:p w:rsidR="00F6117E" w:rsidRPr="00CD6F5B" w:rsidRDefault="00F6117E" w:rsidP="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传真：021-60819988</w:t>
      </w:r>
    </w:p>
    <w:p w:rsidR="009F629F" w:rsidRPr="00CD6F5B" w:rsidRDefault="00F6117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网址：www.citicsf.com</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w:t>
      </w:r>
      <w:r w:rsidR="00BA4B87"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w:t>
      </w:r>
      <w:bookmarkEnd w:id="348"/>
      <w:r w:rsidR="006F2DCE" w:rsidRPr="00CD6F5B">
        <w:rPr>
          <w:rFonts w:asciiTheme="minorEastAsia" w:eastAsiaTheme="minorEastAsia" w:hAnsiTheme="minorEastAsia"/>
          <w:color w:val="000000" w:themeColor="text1"/>
        </w:rPr>
        <w:t>登记机构</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名称：</w:t>
      </w:r>
      <w:r w:rsidR="00D86EFA" w:rsidRPr="00CD6F5B">
        <w:rPr>
          <w:rFonts w:asciiTheme="minorEastAsia" w:eastAsiaTheme="minorEastAsia" w:hAnsiTheme="minorEastAsia"/>
          <w:color w:val="000000" w:themeColor="text1"/>
        </w:rPr>
        <w:t>易方达基金管理有限公司</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注册地址：</w:t>
      </w:r>
      <w:r w:rsidR="003A3C86" w:rsidRPr="00CD6F5B">
        <w:rPr>
          <w:rFonts w:asciiTheme="minorEastAsia" w:eastAsiaTheme="minorEastAsia" w:hAnsiTheme="minorEastAsia"/>
          <w:color w:val="000000" w:themeColor="text1"/>
        </w:rPr>
        <w:t>广东省珠海市横琴新区宝华路6号105室－42891（集中办公区）</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办公地址：</w:t>
      </w:r>
      <w:r w:rsidR="00D86EFA" w:rsidRPr="00CD6F5B">
        <w:rPr>
          <w:rFonts w:asciiTheme="minorEastAsia" w:eastAsiaTheme="minorEastAsia" w:hAnsiTheme="minorEastAsia"/>
          <w:color w:val="000000" w:themeColor="text1"/>
        </w:rPr>
        <w:t>广州市天河区珠江新城珠江东路30号广州银行大厦40-43楼</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法定代表人：</w:t>
      </w:r>
      <w:r w:rsidR="00D86EFA" w:rsidRPr="00CD6F5B">
        <w:rPr>
          <w:rFonts w:asciiTheme="minorEastAsia" w:eastAsiaTheme="minorEastAsia" w:hAnsiTheme="minorEastAsia"/>
          <w:color w:val="000000" w:themeColor="text1"/>
        </w:rPr>
        <w:t>刘晓艳</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w:t>
      </w:r>
      <w:r w:rsidR="00D86EFA" w:rsidRPr="00CD6F5B">
        <w:rPr>
          <w:rFonts w:asciiTheme="minorEastAsia" w:eastAsiaTheme="minorEastAsia" w:hAnsiTheme="minorEastAsia"/>
          <w:color w:val="000000" w:themeColor="text1"/>
        </w:rPr>
        <w:t>4008818088</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w:t>
      </w:r>
      <w:r w:rsidR="00D86EFA" w:rsidRPr="00CD6F5B">
        <w:rPr>
          <w:rFonts w:asciiTheme="minorEastAsia" w:eastAsiaTheme="minorEastAsia" w:hAnsiTheme="minorEastAsia"/>
          <w:color w:val="000000" w:themeColor="text1"/>
        </w:rPr>
        <w:t>020-38799249</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D86EFA" w:rsidRPr="00CD6F5B">
        <w:rPr>
          <w:rFonts w:asciiTheme="minorEastAsia" w:eastAsiaTheme="minorEastAsia" w:hAnsiTheme="minorEastAsia"/>
          <w:color w:val="000000" w:themeColor="text1"/>
        </w:rPr>
        <w:t>余贤高</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49" w:name="_Toc332373484"/>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律师事务所和经办律师</w:t>
      </w:r>
      <w:bookmarkEnd w:id="349"/>
    </w:p>
    <w:p w:rsidR="0045046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律师事务所：</w:t>
      </w:r>
      <w:r w:rsidR="00C95FFE" w:rsidRPr="00CD6F5B">
        <w:rPr>
          <w:rFonts w:asciiTheme="minorEastAsia" w:eastAsiaTheme="minorEastAsia" w:hAnsiTheme="minorEastAsia"/>
          <w:color w:val="000000" w:themeColor="text1"/>
        </w:rPr>
        <w:t>国浩律师(广州)事务所</w:t>
      </w:r>
    </w:p>
    <w:p w:rsidR="008B64F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地址：</w:t>
      </w:r>
      <w:r w:rsidR="001B4912" w:rsidRPr="00CD6F5B">
        <w:rPr>
          <w:rFonts w:asciiTheme="minorEastAsia" w:eastAsiaTheme="minorEastAsia" w:hAnsiTheme="minorEastAsia"/>
          <w:color w:val="000000" w:themeColor="text1"/>
        </w:rPr>
        <w:t>广州市天河区珠江东路28号越秀金融大厦38层</w:t>
      </w:r>
    </w:p>
    <w:p w:rsidR="0045046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负责人：</w:t>
      </w:r>
      <w:r w:rsidR="00C95FFE" w:rsidRPr="00CD6F5B">
        <w:rPr>
          <w:rFonts w:asciiTheme="minorEastAsia" w:eastAsiaTheme="minorEastAsia" w:hAnsiTheme="minorEastAsia"/>
          <w:color w:val="000000" w:themeColor="text1"/>
        </w:rPr>
        <w:t>程秉</w:t>
      </w:r>
    </w:p>
    <w:p w:rsidR="0045046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w:t>
      </w:r>
      <w:r w:rsidR="00C95FFE" w:rsidRPr="00CD6F5B">
        <w:rPr>
          <w:rFonts w:asciiTheme="minorEastAsia" w:eastAsiaTheme="minorEastAsia" w:hAnsiTheme="minorEastAsia"/>
          <w:color w:val="000000" w:themeColor="text1"/>
        </w:rPr>
        <w:t>020-38799345</w:t>
      </w:r>
    </w:p>
    <w:p w:rsidR="0045046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w:t>
      </w:r>
      <w:r w:rsidR="00C95FFE" w:rsidRPr="00CD6F5B">
        <w:rPr>
          <w:rFonts w:asciiTheme="minorEastAsia" w:eastAsiaTheme="minorEastAsia" w:hAnsiTheme="minorEastAsia"/>
          <w:color w:val="000000" w:themeColor="text1"/>
        </w:rPr>
        <w:t>020-38799345-200</w:t>
      </w:r>
    </w:p>
    <w:p w:rsidR="00A12B7E"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经办律师：</w:t>
      </w:r>
      <w:r w:rsidR="00C95FFE" w:rsidRPr="00CD6F5B">
        <w:rPr>
          <w:rFonts w:asciiTheme="minorEastAsia" w:eastAsiaTheme="minorEastAsia" w:hAnsiTheme="minorEastAsia"/>
          <w:color w:val="000000" w:themeColor="text1"/>
        </w:rPr>
        <w:t>黄贞、陈桂华</w:t>
      </w:r>
    </w:p>
    <w:p w:rsidR="00450463" w:rsidRPr="00CD6F5B" w:rsidRDefault="004504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58761D" w:rsidRPr="00CD6F5B">
        <w:rPr>
          <w:rFonts w:asciiTheme="minorEastAsia" w:eastAsiaTheme="minorEastAsia" w:hAnsiTheme="minorEastAsia"/>
          <w:color w:val="000000" w:themeColor="text1"/>
        </w:rPr>
        <w:t>黄贞</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50" w:name="_Toc332373485"/>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会计师事务所和经办注册会计师</w:t>
      </w:r>
      <w:bookmarkEnd w:id="350"/>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会计师事务所：安永华明会计师事务所（特殊普通合伙）</w:t>
      </w:r>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主要经营场所：北京市东城区东长安街1号东方广场安永大楼17层01-12室</w:t>
      </w:r>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执行事务合伙人：TonyMao毛鞍宁</w:t>
      </w:r>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电话：010-58153000</w:t>
      </w:r>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传真：010-85188298</w:t>
      </w:r>
    </w:p>
    <w:p w:rsidR="008D3E82"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经办注册会计师：</w:t>
      </w:r>
      <w:r w:rsidR="009F629F" w:rsidRPr="00CD6F5B">
        <w:rPr>
          <w:rFonts w:asciiTheme="minorEastAsia" w:eastAsiaTheme="minorEastAsia" w:hAnsiTheme="minorEastAsia"/>
          <w:color w:val="000000" w:themeColor="text1"/>
        </w:rPr>
        <w:t>昌华、马婧</w:t>
      </w:r>
    </w:p>
    <w:p w:rsidR="00BA4B87" w:rsidRPr="00CD6F5B" w:rsidRDefault="008D3E82" w:rsidP="008D3E82">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联系人：</w:t>
      </w:r>
      <w:r w:rsidR="00627843" w:rsidRPr="00CD6F5B">
        <w:rPr>
          <w:rFonts w:asciiTheme="minorEastAsia" w:eastAsiaTheme="minorEastAsia" w:hAnsiTheme="minorEastAsia"/>
          <w:color w:val="000000" w:themeColor="text1"/>
        </w:rPr>
        <w:t>昌华</w:t>
      </w:r>
    </w:p>
    <w:p w:rsidR="00BA4B87" w:rsidRPr="00CD6F5B" w:rsidRDefault="00BA4B87" w:rsidP="00CC1421">
      <w:pPr>
        <w:pStyle w:val="1"/>
        <w:pageBreakBefore/>
        <w:snapToGrid w:val="0"/>
        <w:spacing w:beforeLines="0" w:afterLines="0" w:line="360" w:lineRule="auto"/>
        <w:ind w:firstLine="640"/>
        <w:rPr>
          <w:rFonts w:asciiTheme="minorEastAsia" w:eastAsiaTheme="minorEastAsia" w:hAnsiTheme="minorEastAsia"/>
          <w:bCs/>
          <w:color w:val="000000" w:themeColor="text1"/>
        </w:rPr>
      </w:pPr>
      <w:bookmarkStart w:id="351" w:name="_Toc332373486"/>
      <w:bookmarkStart w:id="352" w:name="_Toc82186585"/>
      <w:r w:rsidRPr="00CD6F5B">
        <w:rPr>
          <w:rFonts w:asciiTheme="minorEastAsia" w:eastAsiaTheme="minorEastAsia" w:hAnsiTheme="minorEastAsia"/>
          <w:bCs/>
          <w:color w:val="000000" w:themeColor="text1"/>
        </w:rPr>
        <w:lastRenderedPageBreak/>
        <w:t>六、基金的募集</w:t>
      </w:r>
      <w:bookmarkEnd w:id="351"/>
      <w:bookmarkEnd w:id="352"/>
    </w:p>
    <w:p w:rsidR="005D66CE" w:rsidRPr="00CD6F5B" w:rsidRDefault="00685D2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本基金由基金管理人依照《基金法》、《运作办法》、《销售办法》、基金合同的相关规定</w:t>
      </w:r>
      <w:r w:rsidR="00CA6F5B" w:rsidRPr="00CD6F5B">
        <w:rPr>
          <w:rFonts w:asciiTheme="minorEastAsia" w:eastAsiaTheme="minorEastAsia" w:hAnsiTheme="minorEastAsia"/>
          <w:color w:val="000000" w:themeColor="text1"/>
        </w:rPr>
        <w:t>募集</w:t>
      </w:r>
      <w:r w:rsidR="00CA6F5B" w:rsidRPr="00CD6F5B">
        <w:rPr>
          <w:rFonts w:asciiTheme="minorEastAsia" w:eastAsiaTheme="minorEastAsia" w:hAnsiTheme="minorEastAsia" w:hint="eastAsia"/>
          <w:color w:val="000000" w:themeColor="text1"/>
        </w:rPr>
        <w:t>，</w:t>
      </w:r>
      <w:r w:rsidR="00CA6F5B" w:rsidRPr="00CD6F5B">
        <w:rPr>
          <w:rFonts w:asciiTheme="minorEastAsia" w:eastAsiaTheme="minorEastAsia" w:hAnsiTheme="minorEastAsia"/>
          <w:color w:val="000000" w:themeColor="text1"/>
        </w:rPr>
        <w:t>本基金已经</w:t>
      </w:r>
      <w:r w:rsidRPr="00CD6F5B">
        <w:rPr>
          <w:rFonts w:asciiTheme="minorEastAsia" w:eastAsiaTheme="minorEastAsia" w:hAnsiTheme="minorEastAsia"/>
          <w:color w:val="000000" w:themeColor="text1"/>
        </w:rPr>
        <w:t>中国证券监督管理委员会</w:t>
      </w:r>
      <w:r w:rsidR="00CA6F5B" w:rsidRPr="00CD6F5B">
        <w:rPr>
          <w:rFonts w:asciiTheme="minorEastAsia" w:eastAsiaTheme="minorEastAsia" w:hAnsiTheme="minorEastAsia" w:hint="eastAsia"/>
          <w:color w:val="000000" w:themeColor="text1"/>
        </w:rPr>
        <w:t>2016年1月5日</w:t>
      </w:r>
      <w:r w:rsidRPr="00CD6F5B">
        <w:rPr>
          <w:rFonts w:asciiTheme="minorEastAsia" w:eastAsiaTheme="minorEastAsia" w:hAnsiTheme="minorEastAsia"/>
          <w:color w:val="000000" w:themeColor="text1"/>
        </w:rPr>
        <w:t>《关于准予易方达裕祥回报债券型证券投资基金注册的批复》（证监许可[2016]13号）注册。</w:t>
      </w:r>
    </w:p>
    <w:p w:rsidR="00441FDD" w:rsidRPr="00CD6F5B" w:rsidRDefault="003D128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本基金为</w:t>
      </w:r>
      <w:r w:rsidRPr="00CD6F5B">
        <w:rPr>
          <w:rFonts w:asciiTheme="minorEastAsia" w:eastAsiaTheme="minorEastAsia" w:hAnsiTheme="minorEastAsia"/>
          <w:color w:val="000000" w:themeColor="text1"/>
        </w:rPr>
        <w:t>契约型开放式债券型证券投资基金</w:t>
      </w:r>
      <w:r w:rsidRPr="00CD6F5B">
        <w:rPr>
          <w:rFonts w:asciiTheme="minorEastAsia" w:eastAsiaTheme="minorEastAsia" w:hAnsiTheme="minorEastAsia" w:hint="eastAsia"/>
          <w:color w:val="000000" w:themeColor="text1"/>
        </w:rPr>
        <w:t>。</w:t>
      </w:r>
    </w:p>
    <w:p w:rsidR="003D128C" w:rsidRPr="00CD6F5B" w:rsidRDefault="003D128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基金的存续期为不定期。</w:t>
      </w:r>
    </w:p>
    <w:p w:rsidR="003D128C" w:rsidRPr="00CD6F5B" w:rsidRDefault="003D128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本基金募集期间每份基金份额的初始面值为1.00元人民币。</w:t>
      </w:r>
    </w:p>
    <w:p w:rsidR="003D128C" w:rsidRPr="00CD6F5B" w:rsidRDefault="003D128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本基金募集期自2016年1月19日至2016年1月20日。</w:t>
      </w:r>
      <w:r w:rsidRPr="00CD6F5B">
        <w:rPr>
          <w:rFonts w:asciiTheme="minorEastAsia" w:eastAsiaTheme="minorEastAsia" w:hAnsiTheme="minorEastAsia"/>
          <w:color w:val="000000" w:themeColor="text1"/>
        </w:rPr>
        <w:t>募集对象为符合法律法规规定的可投资于证券投资基金的个人投资者、机构投资者和合格境外机构投资者以及法律法规或中国证监会允许购买证券投资基金的其他投资人。</w:t>
      </w:r>
    </w:p>
    <w:p w:rsidR="00BA4B87" w:rsidRPr="00CD6F5B" w:rsidRDefault="00BA4B87" w:rsidP="00CC1421">
      <w:pPr>
        <w:pStyle w:val="1"/>
        <w:pageBreakBefore/>
        <w:snapToGrid w:val="0"/>
        <w:spacing w:beforeLines="0" w:afterLines="0" w:line="360" w:lineRule="auto"/>
        <w:ind w:firstLine="640"/>
        <w:rPr>
          <w:rFonts w:asciiTheme="minorEastAsia" w:eastAsiaTheme="minorEastAsia" w:hAnsiTheme="minorEastAsia"/>
          <w:color w:val="000000" w:themeColor="text1"/>
        </w:rPr>
      </w:pPr>
      <w:bookmarkStart w:id="353" w:name="_Toc332373495"/>
      <w:bookmarkStart w:id="354" w:name="_Toc82186586"/>
      <w:r w:rsidRPr="00CD6F5B">
        <w:rPr>
          <w:rFonts w:asciiTheme="minorEastAsia" w:eastAsiaTheme="minorEastAsia" w:hAnsiTheme="minorEastAsia"/>
          <w:bCs/>
          <w:color w:val="000000" w:themeColor="text1"/>
        </w:rPr>
        <w:lastRenderedPageBreak/>
        <w:t>七、基金合同的生效</w:t>
      </w:r>
      <w:bookmarkEnd w:id="353"/>
      <w:bookmarkEnd w:id="354"/>
    </w:p>
    <w:p w:rsidR="00E77641" w:rsidRPr="00CD6F5B" w:rsidRDefault="00E77641" w:rsidP="009612F6">
      <w:pPr>
        <w:spacing w:line="360" w:lineRule="auto"/>
        <w:ind w:firstLineChars="200" w:firstLine="420"/>
        <w:rPr>
          <w:rFonts w:asciiTheme="minorEastAsia" w:eastAsiaTheme="minorEastAsia" w:hAnsiTheme="minorEastAsia"/>
          <w:color w:val="000000" w:themeColor="text1"/>
        </w:rPr>
      </w:pPr>
      <w:bookmarkStart w:id="355" w:name="_Toc332373496"/>
      <w:r w:rsidRPr="00CD6F5B">
        <w:rPr>
          <w:rFonts w:asciiTheme="minorEastAsia" w:eastAsiaTheme="minorEastAsia" w:hAnsiTheme="minorEastAsia"/>
          <w:color w:val="000000" w:themeColor="text1"/>
        </w:rPr>
        <w:t>（一）基金合同的生效</w:t>
      </w:r>
    </w:p>
    <w:p w:rsidR="00EC39D4" w:rsidRPr="00CD6F5B" w:rsidRDefault="00EC39D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本基金基金合同于2016年1月22日正式生效。自基金合同生效日起，本基金管理人正式开始管理本基金。</w:t>
      </w:r>
    </w:p>
    <w:p w:rsidR="00220FA0" w:rsidRPr="00CD6F5B" w:rsidRDefault="00DB6D3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w:t>
      </w:r>
      <w:r w:rsidR="00326CD2" w:rsidRPr="00CD6F5B">
        <w:rPr>
          <w:rFonts w:asciiTheme="minorEastAsia" w:eastAsiaTheme="minorEastAsia" w:hAnsiTheme="minorEastAsia"/>
          <w:color w:val="000000" w:themeColor="text1"/>
        </w:rPr>
        <w:t>基金存续期内的基金份额持有人数量和资产规模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C20E53" w:rsidRPr="00CD6F5B" w:rsidRDefault="000C5135"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法律法规或《基金合同》另有规定时，从其规定。</w:t>
      </w:r>
    </w:p>
    <w:p w:rsidR="00C20E53" w:rsidRPr="00CD6F5B" w:rsidRDefault="00C20E53">
      <w:pPr>
        <w:widowControl/>
        <w:jc w:val="lef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br w:type="page"/>
      </w:r>
    </w:p>
    <w:p w:rsidR="00BA4B87" w:rsidRPr="00CD6F5B" w:rsidRDefault="00BA4B87" w:rsidP="00C20E53">
      <w:pPr>
        <w:pStyle w:val="1"/>
        <w:snapToGrid w:val="0"/>
        <w:spacing w:beforeLines="0" w:afterLines="0" w:line="360" w:lineRule="auto"/>
        <w:ind w:firstLine="640"/>
        <w:rPr>
          <w:rFonts w:asciiTheme="minorEastAsia" w:eastAsiaTheme="minorEastAsia" w:hAnsiTheme="minorEastAsia"/>
          <w:color w:val="000000" w:themeColor="text1"/>
        </w:rPr>
      </w:pPr>
      <w:bookmarkStart w:id="356" w:name="_Toc332373499"/>
      <w:bookmarkStart w:id="357" w:name="_Toc82186587"/>
      <w:bookmarkEnd w:id="355"/>
      <w:r w:rsidRPr="00CD6F5B">
        <w:rPr>
          <w:rFonts w:asciiTheme="minorEastAsia" w:eastAsiaTheme="minorEastAsia" w:hAnsiTheme="minorEastAsia"/>
          <w:color w:val="000000" w:themeColor="text1"/>
        </w:rPr>
        <w:lastRenderedPageBreak/>
        <w:t>八、基金份额的申购、赎回</w:t>
      </w:r>
      <w:bookmarkEnd w:id="356"/>
      <w:bookmarkEnd w:id="357"/>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58" w:name="_Toc332373500"/>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w:t>
      </w:r>
      <w:r w:rsidR="008D4032" w:rsidRPr="00CD6F5B">
        <w:rPr>
          <w:rFonts w:asciiTheme="minorEastAsia" w:eastAsiaTheme="minorEastAsia" w:hAnsiTheme="minorEastAsia"/>
          <w:color w:val="000000" w:themeColor="text1"/>
        </w:rPr>
        <w:t>投资人</w:t>
      </w:r>
      <w:r w:rsidR="00BA4B87" w:rsidRPr="00CD6F5B">
        <w:rPr>
          <w:rFonts w:asciiTheme="minorEastAsia" w:eastAsiaTheme="minorEastAsia" w:hAnsiTheme="minorEastAsia"/>
          <w:color w:val="000000" w:themeColor="text1"/>
        </w:rPr>
        <w:t>范围</w:t>
      </w:r>
      <w:bookmarkEnd w:id="358"/>
    </w:p>
    <w:p w:rsidR="00BA4B87" w:rsidRPr="00CD6F5B" w:rsidRDefault="00031E7D" w:rsidP="00254B5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59" w:name="_Toc332373501"/>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申购与赎回的场所</w:t>
      </w:r>
      <w:bookmarkEnd w:id="359"/>
    </w:p>
    <w:p w:rsidR="001E6708" w:rsidRPr="00CD6F5B" w:rsidRDefault="001E6708" w:rsidP="00974B01">
      <w:pPr>
        <w:spacing w:line="360" w:lineRule="auto"/>
        <w:ind w:firstLineChars="200" w:firstLine="420"/>
        <w:rPr>
          <w:rFonts w:asciiTheme="minorEastAsia" w:eastAsiaTheme="minorEastAsia" w:hAnsiTheme="minorEastAsia"/>
          <w:color w:val="000000" w:themeColor="text1"/>
        </w:rPr>
      </w:pPr>
      <w:bookmarkStart w:id="360" w:name="_Toc332373502"/>
      <w:r w:rsidRPr="00CD6F5B">
        <w:rPr>
          <w:rFonts w:asciiTheme="minorEastAsia" w:eastAsiaTheme="minorEastAsia" w:hAnsiTheme="minorEastAsia"/>
          <w:color w:val="000000" w:themeColor="text1"/>
        </w:rPr>
        <w:t>本基金的申购与赎回将通过销售机构进行。具体的销售机构将由基金管理人在招募说明书或其他相关公告中列明。基金管理人可根据情况变更或增减销售机构，</w:t>
      </w:r>
      <w:r w:rsidR="0031344C" w:rsidRPr="00CD6F5B">
        <w:rPr>
          <w:rFonts w:asciiTheme="minorEastAsia" w:eastAsiaTheme="minorEastAsia" w:hAnsiTheme="minorEastAsia" w:hint="eastAsia"/>
          <w:color w:val="000000" w:themeColor="text1"/>
        </w:rPr>
        <w:t>并在基金管理人网站公示</w:t>
      </w:r>
      <w:r w:rsidRPr="00CD6F5B">
        <w:rPr>
          <w:rFonts w:asciiTheme="minorEastAsia" w:eastAsiaTheme="minorEastAsia" w:hAnsiTheme="minorEastAsia"/>
          <w:color w:val="000000" w:themeColor="text1"/>
        </w:rPr>
        <w:t>。基金投资者应当在销售机构办理基金销售业务的营业场所或按销售机构提供的其他方式办理基金份额的申购与赎回。</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申购与赎回办理的开放日及时间</w:t>
      </w:r>
      <w:bookmarkEnd w:id="360"/>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1、开放日及开放时间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2、申购、赎回开始日及业务办理时间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本基金已于2016年2月24日开始办理日常申购和赎回业务。</w:t>
      </w:r>
    </w:p>
    <w:p w:rsidR="00F474C7" w:rsidRPr="00CD6F5B" w:rsidRDefault="00F474C7" w:rsidP="00974B01">
      <w:pPr>
        <w:spacing w:line="360" w:lineRule="auto"/>
        <w:ind w:firstLineChars="200" w:firstLine="420"/>
        <w:rPr>
          <w:rFonts w:asciiTheme="minorEastAsia" w:eastAsiaTheme="minorEastAsia" w:hAnsiTheme="minorEastAsia"/>
          <w:color w:val="000000" w:themeColor="text1"/>
        </w:rPr>
      </w:pPr>
      <w:bookmarkStart w:id="361" w:name="_Toc332373503"/>
      <w:r w:rsidRPr="00CD6F5B">
        <w:rPr>
          <w:rFonts w:asciiTheme="minorEastAsia" w:eastAsiaTheme="minorEastAsia" w:hAnsiTheme="minorEastAsia"/>
          <w:color w:val="000000" w:themeColor="text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8D4032"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4E0625" w:rsidRPr="00CD6F5B">
        <w:rPr>
          <w:rFonts w:asciiTheme="minorEastAsia" w:eastAsiaTheme="minorEastAsia" w:hAnsiTheme="minorEastAsia"/>
          <w:color w:val="000000" w:themeColor="text1"/>
        </w:rPr>
        <w:t>申购与赎回的原则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1、“未知价”原则，即申购、赎回价格以申请当日收市后计算的基金份额净值为基准进行计算；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2、“金额申购、份额赎回”原则，即申购以金额申请，赎回以份额申请；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3、当日的申购与赎回申请可以在基金管理人规定的时间以内撤销；</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4、基金份额持有人赎回时，除指定赎回外，基金管理人按先进先出的原则，对该持有人账户在该销售机构托管的基金份额进行处理，即先确认的份额先赎回，后确认的份额后赎</w:t>
      </w:r>
      <w:r w:rsidRPr="00CD6F5B">
        <w:rPr>
          <w:rFonts w:asciiTheme="minorEastAsia" w:eastAsiaTheme="minorEastAsia" w:hAnsiTheme="minorEastAsia"/>
          <w:color w:val="000000" w:themeColor="text1"/>
        </w:rPr>
        <w:lastRenderedPageBreak/>
        <w:t>回，以确定所适用的赎回费率。</w:t>
      </w:r>
    </w:p>
    <w:p w:rsidR="00AD22C1" w:rsidRPr="00CD6F5B" w:rsidRDefault="00AD22C1" w:rsidP="00974B01">
      <w:pPr>
        <w:spacing w:line="360" w:lineRule="auto"/>
        <w:ind w:firstLineChars="200" w:firstLine="420"/>
        <w:rPr>
          <w:rFonts w:asciiTheme="minorEastAsia" w:eastAsiaTheme="minorEastAsia" w:hAnsiTheme="minorEastAsia"/>
          <w:color w:val="000000" w:themeColor="text1"/>
        </w:rPr>
      </w:pPr>
      <w:bookmarkStart w:id="362" w:name="_Toc332373504"/>
      <w:bookmarkEnd w:id="361"/>
      <w:r w:rsidRPr="00CD6F5B">
        <w:rPr>
          <w:rFonts w:asciiTheme="minorEastAsia" w:eastAsiaTheme="minorEastAsia" w:hAnsiTheme="minorEastAsia"/>
          <w:color w:val="000000" w:themeColor="text1"/>
        </w:rPr>
        <w:t>基金管理人可在不违反法律法规的情况下，对上述原则进行调整。基金管理人必须在新规则开始实施前依照《信息披露办法》的有关规定在指定媒介上公告。</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8D4032"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申购与赎回的程序</w:t>
      </w:r>
      <w:bookmarkEnd w:id="362"/>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1、申购和赎回的申请方式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投资人必须根据销售机构规定的程序，在开放日的具体业务办理时间内提出申购或赎回的申请。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投资人在提交申购申请时须按销售机构规定的方式备足申购资金，投资人在提交赎回申请时须持有足够的基金份额余额，否则所提交的申购、赎回申请不成立。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投资人办理申购、赎回等业务时应提交的文件和办理手续、办理时间、处理规则等在遵守基金合同和本招募说明书规定的前提下，以各销售机构的具体规定为准。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2、申购和赎回申请的确认</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在不违反法律法规的前提下，登记机构可根据《业务规则》，对上述业务办理时间进行调整，本基金管理人将于开始实施前按照有关规定予以公告。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3、申购和赎回的款项支付</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投资人申购基金份额时，必须全额交付申购款项，投资人交付申购款项，申购成立；基金份额登记机构确认基金份额时，申购生效。</w:t>
      </w:r>
    </w:p>
    <w:p w:rsidR="0050604C" w:rsidRPr="00CD6F5B" w:rsidRDefault="0050604C" w:rsidP="0050604C">
      <w:pPr>
        <w:spacing w:line="360" w:lineRule="auto"/>
        <w:ind w:firstLineChars="200" w:firstLine="420"/>
        <w:rPr>
          <w:rFonts w:asciiTheme="minorEastAsia" w:eastAsiaTheme="minorEastAsia" w:hAnsiTheme="minorEastAsia"/>
          <w:color w:val="000000" w:themeColor="text1"/>
        </w:rPr>
      </w:pPr>
      <w:bookmarkStart w:id="363" w:name="_Toc332373505"/>
      <w:r w:rsidRPr="00CD6F5B">
        <w:rPr>
          <w:rFonts w:asciiTheme="minorEastAsia" w:eastAsiaTheme="minorEastAsia" w:hAnsiTheme="minorEastAsia"/>
          <w:color w:val="000000" w:themeColor="text1"/>
        </w:rPr>
        <w:t>基金份额持有人递交赎回申请，赎回成立，赎回是否生效以登记机构确认为准。基金份额持有人赎回申请成功后，基金管理人将在T＋7日（包括该日）内支付赎回款项。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w:t>
      </w:r>
      <w:r w:rsidRPr="00CD6F5B">
        <w:rPr>
          <w:rFonts w:asciiTheme="minorEastAsia" w:eastAsiaTheme="minorEastAsia" w:hAnsiTheme="minorEastAsia"/>
          <w:color w:val="000000" w:themeColor="text1"/>
        </w:rPr>
        <w:lastRenderedPageBreak/>
        <w:t>法参照本基金合同有关条款处理。</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214A68" w:rsidRPr="00CD6F5B">
        <w:rPr>
          <w:rFonts w:asciiTheme="minorEastAsia" w:eastAsiaTheme="minorEastAsia" w:hAnsiTheme="minorEastAsia"/>
          <w:color w:val="000000" w:themeColor="text1"/>
        </w:rPr>
        <w:t>六</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申购与赎回的数额限制</w:t>
      </w:r>
      <w:bookmarkEnd w:id="363"/>
    </w:p>
    <w:p w:rsidR="006B49CD" w:rsidRPr="00CD6F5B" w:rsidRDefault="006B49C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1、申购金额的限制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通过非直销销售机构或本公司网上交易系统首次申购的单笔最低限额为人民币1元，追加申购单笔最低限额为人民币1元；投资人通过本公司直销中心首次申购的单笔最低限额为人民币50,000元，追加申购单笔最低限额是人民币1,000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在符合法律法规规定的前提下，各销售机构对申购限额及交易级差有其他规定的，需同时遵循该销售机构的相关规定。（以上金额均含申购费）。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投资人将当期分配的基金收益转购基金份额或采用定期定额投资计划时，不受最低申购金额的限制。</w:t>
      </w:r>
    </w:p>
    <w:p w:rsidR="006B49CD" w:rsidRPr="00CD6F5B" w:rsidRDefault="006B49C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投资人可多次申购，对单个投资人累计持有份额不设上限限制。</w:t>
      </w:r>
      <w:r w:rsidR="00F362C1" w:rsidRPr="00CD6F5B">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CD6F5B">
        <w:rPr>
          <w:rFonts w:asciiTheme="minorEastAsia" w:eastAsiaTheme="minorEastAsia" w:hAnsiTheme="minorEastAsia"/>
          <w:color w:val="000000" w:themeColor="text1"/>
        </w:rPr>
        <w:t>法律法规、中国证监会另有规定的除外。</w:t>
      </w:r>
    </w:p>
    <w:p w:rsidR="006B49CD" w:rsidRPr="00CD6F5B" w:rsidRDefault="006B49C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2、赎回份额的限制</w:t>
      </w:r>
    </w:p>
    <w:p w:rsidR="006B49CD" w:rsidRPr="00CD6F5B" w:rsidRDefault="006B49C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投资人可将其全部或部分基金份额赎回。基金份额单笔赎回或转换不得少于1份（如该账户在该销售机构托管的该基金余额不足1份，则必须一次性赎回或转出</w:t>
      </w:r>
      <w:r w:rsidR="00E101C7" w:rsidRPr="00CD6F5B">
        <w:rPr>
          <w:rFonts w:asciiTheme="minorEastAsia" w:eastAsiaTheme="minorEastAsia" w:hAnsiTheme="minorEastAsia" w:hint="eastAsia"/>
          <w:color w:val="000000" w:themeColor="text1"/>
        </w:rPr>
        <w:t>该</w:t>
      </w:r>
      <w:r w:rsidRPr="00CD6F5B">
        <w:rPr>
          <w:rFonts w:asciiTheme="minorEastAsia" w:eastAsiaTheme="minorEastAsia" w:hAnsiTheme="minorEastAsia"/>
          <w:color w:val="000000" w:themeColor="text1"/>
        </w:rPr>
        <w:t>基金全部份额）；若某笔赎回将导致投资人在该销售机构托管的该基金余额不足1份时，基金管理人有权将投资人在该销售机构托管的该基金剩余份额一次性全部赎回。在符合法律法规规定的前提下，各销售机构对赎回份额限制有其他规定的，需同时遵循该销售机构的相关规定。</w:t>
      </w:r>
    </w:p>
    <w:p w:rsidR="00BA4B87" w:rsidRPr="00CD6F5B" w:rsidRDefault="006B49C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w:t>
      </w:r>
      <w:r w:rsidRPr="00CD6F5B">
        <w:rPr>
          <w:rFonts w:asciiTheme="minorEastAsia" w:eastAsiaTheme="minorEastAsia" w:hAnsiTheme="minorEastAsia"/>
          <w:color w:val="000000" w:themeColor="text1"/>
        </w:rPr>
        <w:t>基金管理人可以根据市场情况，在不违反法律法规的情况下，调整上述规定申购金额和赎回份额的数量限制</w:t>
      </w:r>
      <w:r w:rsidR="00F362C1" w:rsidRPr="00CD6F5B">
        <w:rPr>
          <w:rFonts w:asciiTheme="minorEastAsia" w:eastAsiaTheme="minorEastAsia" w:hAnsiTheme="minorEastAsia" w:hint="eastAsia"/>
          <w:color w:val="000000" w:themeColor="text1"/>
        </w:rPr>
        <w:t>，或者新增基金规模控制措施</w:t>
      </w:r>
      <w:r w:rsidRPr="00CD6F5B">
        <w:rPr>
          <w:rFonts w:asciiTheme="minorEastAsia" w:eastAsiaTheme="minorEastAsia" w:hAnsiTheme="minorEastAsia"/>
          <w:color w:val="000000" w:themeColor="text1"/>
        </w:rPr>
        <w:t>。基金管理人必须在调整前依照《信息披露办法》的有关规定在指定媒介上公告。</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64" w:name="_Toc332373506"/>
      <w:r w:rsidRPr="00CD6F5B">
        <w:rPr>
          <w:rFonts w:asciiTheme="minorEastAsia" w:eastAsiaTheme="minorEastAsia" w:hAnsiTheme="minorEastAsia"/>
          <w:color w:val="000000" w:themeColor="text1"/>
        </w:rPr>
        <w:t>（</w:t>
      </w:r>
      <w:r w:rsidR="00214A68" w:rsidRPr="00CD6F5B">
        <w:rPr>
          <w:rFonts w:asciiTheme="minorEastAsia" w:eastAsiaTheme="minorEastAsia" w:hAnsiTheme="minorEastAsia"/>
          <w:color w:val="000000" w:themeColor="text1"/>
        </w:rPr>
        <w:t>七</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基金的申购费和赎回费</w:t>
      </w:r>
      <w:bookmarkEnd w:id="364"/>
    </w:p>
    <w:p w:rsidR="00294E59" w:rsidRPr="00CD6F5B" w:rsidRDefault="00294E59" w:rsidP="00974B0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color w:val="000000" w:themeColor="text1"/>
        </w:rPr>
        <w:t>本基金的申购费用由申购基金份额的投资人承担，不列入基金财产，主要用于本基金的市场推广、销售、注册登记等各项费用。赎回费用由基金赎回人承担。</w:t>
      </w:r>
    </w:p>
    <w:p w:rsidR="00294E59" w:rsidRPr="00CD6F5B" w:rsidRDefault="00294E5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w:t>
      </w:r>
      <w:r w:rsidRPr="00CD6F5B">
        <w:rPr>
          <w:rFonts w:asciiTheme="minorEastAsia" w:eastAsiaTheme="minorEastAsia" w:hAnsiTheme="minorEastAsia" w:hint="eastAsia"/>
          <w:color w:val="000000" w:themeColor="text1"/>
        </w:rPr>
        <w:t>申购费率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本基金对通过直销中心申购的特定投资群体与除此之外的其他投资者实施差别的申购费率。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311114" w:rsidRPr="00CD6F5B" w:rsidRDefault="0031111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特定投资群体可通过本公司直销中心申购本基金。基金管理人可根据情况变更或增减特定投资群体申购本基金的销售机构，</w:t>
      </w:r>
      <w:r w:rsidR="0031344C" w:rsidRPr="00CD6F5B">
        <w:rPr>
          <w:rFonts w:asciiTheme="minorEastAsia" w:eastAsiaTheme="minorEastAsia" w:hAnsiTheme="minorEastAsia" w:hint="eastAsia"/>
          <w:color w:val="000000" w:themeColor="text1"/>
        </w:rPr>
        <w:t>并在基金管理人网站公示</w:t>
      </w:r>
      <w:r w:rsidRPr="00CD6F5B">
        <w:rPr>
          <w:rFonts w:asciiTheme="minorEastAsia" w:eastAsiaTheme="minorEastAsia" w:hAnsiTheme="minorEastAsia"/>
          <w:color w:val="000000" w:themeColor="text1"/>
        </w:rPr>
        <w:t>。</w:t>
      </w:r>
    </w:p>
    <w:p w:rsidR="00034445" w:rsidRPr="00CD6F5B" w:rsidRDefault="003E1B6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通过基金管理人的直销中心申购本基金的特定投资群体申购费率见下表：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D6F5B" w:rsidRPr="00CD6F5B" w:rsidTr="001D76FC">
        <w:trPr>
          <w:trHeight w:val="462"/>
          <w:jc w:val="center"/>
        </w:trPr>
        <w:tc>
          <w:tcPr>
            <w:tcW w:w="3806" w:type="dxa"/>
          </w:tcPr>
          <w:p w:rsidR="00034445" w:rsidRPr="00CD6F5B" w:rsidRDefault="00034445" w:rsidP="001D76FC">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bCs/>
                <w:color w:val="000000" w:themeColor="text1"/>
                <w:kern w:val="0"/>
                <w:szCs w:val="21"/>
              </w:rPr>
              <w:t>申购金额M（元）（含申购费）</w:t>
            </w:r>
          </w:p>
        </w:tc>
        <w:tc>
          <w:tcPr>
            <w:tcW w:w="3735" w:type="dxa"/>
          </w:tcPr>
          <w:p w:rsidR="00034445" w:rsidRPr="00CD6F5B" w:rsidRDefault="00034445" w:rsidP="001D76FC">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bCs/>
                <w:color w:val="000000" w:themeColor="text1"/>
                <w:kern w:val="0"/>
                <w:szCs w:val="21"/>
              </w:rPr>
              <w:t>申购费率</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M＜100万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0.10%</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100万≤M＜200万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0.08%</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200万≤M＜500万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0.04%</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M≥500万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1,000元/笔</w:t>
            </w:r>
          </w:p>
        </w:tc>
      </w:tr>
    </w:tbl>
    <w:p w:rsidR="00034445" w:rsidRPr="00CD6F5B" w:rsidRDefault="00E21DB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其他投资者申购本基金的申购费率见下表：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D6F5B" w:rsidRPr="00CD6F5B" w:rsidTr="001D76FC">
        <w:trPr>
          <w:trHeight w:val="462"/>
          <w:jc w:val="center"/>
        </w:trPr>
        <w:tc>
          <w:tcPr>
            <w:tcW w:w="3806" w:type="dxa"/>
          </w:tcPr>
          <w:p w:rsidR="00034445" w:rsidRPr="00CD6F5B" w:rsidRDefault="00034445" w:rsidP="001D76FC">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bCs/>
                <w:color w:val="000000" w:themeColor="text1"/>
                <w:kern w:val="0"/>
                <w:szCs w:val="21"/>
              </w:rPr>
              <w:t>申购金额M（元）（含申购费）</w:t>
            </w:r>
          </w:p>
        </w:tc>
        <w:tc>
          <w:tcPr>
            <w:tcW w:w="3735" w:type="dxa"/>
          </w:tcPr>
          <w:p w:rsidR="00034445" w:rsidRPr="00CD6F5B" w:rsidRDefault="00034445" w:rsidP="001D76FC">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bCs/>
                <w:color w:val="000000" w:themeColor="text1"/>
                <w:kern w:val="0"/>
                <w:szCs w:val="21"/>
              </w:rPr>
              <w:t>申购费率</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M＜100万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100万≤M＜200万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0.8%</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200万≤M＜500万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0.4%</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M≥500万</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1,000元/笔</w:t>
            </w:r>
          </w:p>
        </w:tc>
      </w:tr>
    </w:tbl>
    <w:p w:rsidR="005B6C18" w:rsidRPr="00CD6F5B" w:rsidRDefault="00E21DBD" w:rsidP="00341654">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在申购费按金额分档的情况下，如果投资者多次申购，申购费适用单笔申购金额所对应的费率。</w:t>
      </w:r>
    </w:p>
    <w:p w:rsidR="00BA4B87" w:rsidRPr="00CD6F5B" w:rsidRDefault="00A832B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w:t>
      </w:r>
      <w:r w:rsidR="00BA4B87" w:rsidRPr="00CD6F5B">
        <w:rPr>
          <w:rFonts w:asciiTheme="minorEastAsia" w:eastAsiaTheme="minorEastAsia" w:hAnsiTheme="minorEastAsia"/>
          <w:color w:val="000000" w:themeColor="text1"/>
        </w:rPr>
        <w:t>、赎回费率</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D6F5B" w:rsidRPr="00CD6F5B" w:rsidTr="00A832B1">
        <w:trPr>
          <w:trHeight w:val="462"/>
          <w:jc w:val="center"/>
        </w:trPr>
        <w:tc>
          <w:tcPr>
            <w:tcW w:w="3806" w:type="dxa"/>
          </w:tcPr>
          <w:p w:rsidR="00BA4B87" w:rsidRPr="00CD6F5B" w:rsidRDefault="00BA4B87" w:rsidP="00CC1421">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t>持有时间</w:t>
            </w:r>
            <w:r w:rsidR="002E1C38" w:rsidRPr="00CD6F5B">
              <w:rPr>
                <w:rFonts w:asciiTheme="minorEastAsia" w:eastAsiaTheme="minorEastAsia" w:hAnsiTheme="minorEastAsia"/>
                <w:color w:val="000000" w:themeColor="text1"/>
                <w:kern w:val="0"/>
                <w:szCs w:val="21"/>
              </w:rPr>
              <w:t>（</w:t>
            </w:r>
            <w:r w:rsidRPr="00CD6F5B">
              <w:rPr>
                <w:rFonts w:asciiTheme="minorEastAsia" w:eastAsiaTheme="minorEastAsia" w:hAnsiTheme="minorEastAsia"/>
                <w:color w:val="000000" w:themeColor="text1"/>
                <w:kern w:val="0"/>
                <w:szCs w:val="21"/>
              </w:rPr>
              <w:t>天</w:t>
            </w:r>
            <w:r w:rsidR="002E1C38" w:rsidRPr="00CD6F5B">
              <w:rPr>
                <w:rFonts w:asciiTheme="minorEastAsia" w:eastAsiaTheme="minorEastAsia" w:hAnsiTheme="minorEastAsia"/>
                <w:color w:val="000000" w:themeColor="text1"/>
                <w:kern w:val="0"/>
                <w:szCs w:val="21"/>
              </w:rPr>
              <w:t>）</w:t>
            </w:r>
          </w:p>
        </w:tc>
        <w:tc>
          <w:tcPr>
            <w:tcW w:w="3735" w:type="dxa"/>
          </w:tcPr>
          <w:p w:rsidR="00BA4B87" w:rsidRPr="00CD6F5B" w:rsidRDefault="00BA4B87" w:rsidP="00CC1421">
            <w:pPr>
              <w:widowControl/>
              <w:snapToGrid w:val="0"/>
              <w:spacing w:line="360" w:lineRule="auto"/>
              <w:jc w:val="center"/>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t>赎回费率</w:t>
            </w:r>
          </w:p>
        </w:tc>
      </w:tr>
      <w:tr w:rsidR="00CD6F5B" w:rsidRPr="00CD6F5B" w:rsidTr="0075579D">
        <w:trPr>
          <w:trHeight w:val="135"/>
          <w:jc w:val="center"/>
        </w:trPr>
        <w:tc>
          <w:tcPr>
            <w:tcW w:w="3806" w:type="dxa"/>
          </w:tcPr>
          <w:p w:rsidR="008F27BB" w:rsidRPr="00CD6F5B" w:rsidRDefault="005777D1" w:rsidP="0075579D">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0-6</w:t>
            </w:r>
          </w:p>
        </w:tc>
        <w:tc>
          <w:tcPr>
            <w:tcW w:w="3735" w:type="dxa"/>
          </w:tcPr>
          <w:p w:rsidR="008F27BB" w:rsidRPr="00CD6F5B" w:rsidRDefault="005777D1" w:rsidP="0075579D">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1.50%</w:t>
            </w:r>
          </w:p>
        </w:tc>
      </w:tr>
      <w:tr w:rsidR="00CD6F5B" w:rsidRPr="00CD6F5B">
        <w:trPr>
          <w:jc w:val="center"/>
        </w:trPr>
        <w:tc>
          <w:tcPr>
            <w:tcW w:w="3806" w:type="dxa"/>
            <w:vAlign w:val="center"/>
          </w:tcPr>
          <w:p w:rsidR="0048496B" w:rsidRPr="00CD6F5B" w:rsidRDefault="00F362C1">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w:t>
            </w:r>
            <w:r w:rsidR="004A0413" w:rsidRPr="00CD6F5B">
              <w:rPr>
                <w:rFonts w:asciiTheme="minorEastAsia" w:eastAsiaTheme="minorEastAsia" w:hAnsiTheme="minorEastAsia"/>
                <w:color w:val="000000" w:themeColor="text1"/>
              </w:rPr>
              <w:t>-29</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0.75%</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30-364</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0.10%</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365-729</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0.08%</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730-1094</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0.06%</w:t>
            </w:r>
          </w:p>
        </w:tc>
      </w:tr>
      <w:tr w:rsidR="00CD6F5B" w:rsidRPr="00CD6F5B">
        <w:trPr>
          <w:jc w:val="center"/>
        </w:trPr>
        <w:tc>
          <w:tcPr>
            <w:tcW w:w="3806"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1095及以上</w:t>
            </w:r>
          </w:p>
        </w:tc>
        <w:tc>
          <w:tcPr>
            <w:tcW w:w="3735" w:type="dxa"/>
            <w:vAlign w:val="center"/>
          </w:tcPr>
          <w:p w:rsidR="0048496B" w:rsidRPr="00CD6F5B" w:rsidRDefault="004A0413">
            <w:pPr>
              <w:jc w:val="center"/>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w:t>
            </w:r>
            <w:r w:rsidR="005B5292" w:rsidRPr="00CD6F5B">
              <w:rPr>
                <w:rFonts w:asciiTheme="minorEastAsia" w:eastAsiaTheme="minorEastAsia" w:hAnsiTheme="minorEastAsia"/>
                <w:color w:val="000000" w:themeColor="text1"/>
              </w:rPr>
              <w:t>%</w:t>
            </w:r>
          </w:p>
        </w:tc>
      </w:tr>
    </w:tbl>
    <w:p w:rsidR="00A832B1" w:rsidRPr="00CD6F5B" w:rsidRDefault="002350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投资者可将其持有的全部或部分基金份额赎回。赎回费用由赎回基金份额的基金份额持</w:t>
      </w:r>
      <w:r w:rsidRPr="00CD6F5B">
        <w:rPr>
          <w:rFonts w:asciiTheme="minorEastAsia" w:eastAsiaTheme="minorEastAsia" w:hAnsiTheme="minorEastAsia" w:hint="eastAsia"/>
          <w:color w:val="000000" w:themeColor="text1"/>
        </w:rPr>
        <w:lastRenderedPageBreak/>
        <w:t>有人承担，在基金份额持有人赎回基金份额时收取。所收取的赎回费全额计入基金财产。</w:t>
      </w:r>
    </w:p>
    <w:p w:rsidR="008B64F3" w:rsidRPr="00CD6F5B" w:rsidRDefault="00A832B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w:t>
      </w:r>
      <w:r w:rsidR="00BA4B87" w:rsidRPr="00CD6F5B">
        <w:rPr>
          <w:rFonts w:asciiTheme="minorEastAsia" w:eastAsiaTheme="minorEastAsia" w:hAnsiTheme="minorEastAsia"/>
          <w:color w:val="000000" w:themeColor="text1"/>
        </w:rPr>
        <w:t>、</w:t>
      </w:r>
      <w:r w:rsidR="00406BA8" w:rsidRPr="00CD6F5B">
        <w:rPr>
          <w:rFonts w:asciiTheme="minorEastAsia" w:eastAsiaTheme="minorEastAsia" w:hAnsiTheme="minorEastAsia" w:hint="eastAsia"/>
          <w:color w:val="000000" w:themeColor="text1"/>
        </w:rPr>
        <w:t>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指定媒介上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65" w:name="_Toc332373507"/>
      <w:r w:rsidRPr="00CD6F5B">
        <w:rPr>
          <w:rFonts w:asciiTheme="minorEastAsia" w:eastAsiaTheme="minorEastAsia" w:hAnsiTheme="minorEastAsia"/>
          <w:color w:val="000000" w:themeColor="text1"/>
        </w:rPr>
        <w:t>（</w:t>
      </w:r>
      <w:r w:rsidR="00214A68" w:rsidRPr="00CD6F5B">
        <w:rPr>
          <w:rFonts w:asciiTheme="minorEastAsia" w:eastAsiaTheme="minorEastAsia" w:hAnsiTheme="minorEastAsia"/>
          <w:color w:val="000000" w:themeColor="text1"/>
        </w:rPr>
        <w:t>八</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申购和赎回的数额和价格</w:t>
      </w:r>
      <w:bookmarkEnd w:id="365"/>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1、申购和赎回数额、余额的处理方式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CD6F5B" w:rsidRDefault="006C21F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bookmarkStart w:id="366" w:name="_Toc332373508"/>
      <w:r w:rsidRPr="00CD6F5B">
        <w:rPr>
          <w:rFonts w:asciiTheme="minorEastAsia" w:eastAsiaTheme="minorEastAsia" w:hAnsiTheme="minorEastAsia"/>
          <w:color w:val="000000" w:themeColor="text1"/>
        </w:rPr>
        <w:t>2、申购份额的计算</w:t>
      </w:r>
      <w:bookmarkEnd w:id="366"/>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净申购金额=申购金额/（1+申购费率）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（注：对于500万（含）以上适用固定金额申购费的申购，净申购金额＝申购金额－固定申购费金额）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申购费用=申购金额-净申购金额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申购份额=净申购金额/T日基金份额净值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例：某投资人（非特定投资群体）投资100,000元申购本基金，申购费率为1.0%，假设申购当日基金份额净值为1.040元，则其可得到的申购份额为：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净申购金额=100,000/（1+1.0%）=99,009.90元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申购费用=100,000-99,009.90=990.10元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申购份额=99,009.90/1.040=95,201.83份</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例：某投资人（特定投资群体）通过本管理人的直销中心投资100,000元申购本基金，申购费率为0.10%，假设申购当日基金份额净值为1.040元，则其可得到的申购份额为：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净申购金额=100,000/（1+0.10%）=99,900.10元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申购费用=100,000-99,900.10=99.90元</w:t>
      </w:r>
    </w:p>
    <w:p w:rsidR="00EB2CB5" w:rsidRPr="00CD6F5B" w:rsidRDefault="006C21F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申购份额=99,900.10/1.040=96,057.79份</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3、赎回金额的计算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赎回金额的计算方法如下：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赎回费用=赎回份额×T日基金份额净值×赎回费率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赎回金额=赎回份额×T日基金份额净值-赎回费用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例：某投资人赎回10,000份基金份额，假设该笔份额持有期限为100天，则对应的赎回费率为0.10%，假设赎回当日基金份额净值是1.016元，则其可得到的赎回金额为：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赎回费用=10,000×1.016×0.10%＝10.16元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赎回金额=10,000×1.016-10.16＝10,149.84元</w:t>
      </w:r>
    </w:p>
    <w:p w:rsidR="00D108B5" w:rsidRPr="00CD6F5B" w:rsidRDefault="00CD6F3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即：投资人赎回本基金10,000份基金份额，假设赎回当日基金份额净值是1.016元，则其可得到的赎回金额为10,149.84元。</w:t>
      </w:r>
    </w:p>
    <w:p w:rsidR="00BA4B87" w:rsidRPr="00CD6F5B" w:rsidRDefault="00BA4B87" w:rsidP="009612F6">
      <w:pPr>
        <w:spacing w:line="360" w:lineRule="auto"/>
        <w:ind w:firstLineChars="200" w:firstLine="420"/>
        <w:rPr>
          <w:rFonts w:asciiTheme="minorEastAsia" w:eastAsiaTheme="minorEastAsia" w:hAnsiTheme="minorEastAsia"/>
          <w:color w:val="000000" w:themeColor="text1"/>
        </w:rPr>
      </w:pPr>
      <w:bookmarkStart w:id="367" w:name="_Toc332373509"/>
      <w:r w:rsidRPr="00CD6F5B">
        <w:rPr>
          <w:rFonts w:asciiTheme="minorEastAsia" w:eastAsiaTheme="minorEastAsia" w:hAnsiTheme="minorEastAsia"/>
          <w:color w:val="000000" w:themeColor="text1"/>
        </w:rPr>
        <w:t>4、基金份额净值的计算公式</w:t>
      </w:r>
      <w:bookmarkEnd w:id="367"/>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计算日基金份额净值=计算日基金资产净值/计算日基金总份额。</w:t>
      </w:r>
    </w:p>
    <w:p w:rsidR="001F3F96" w:rsidRPr="00CD6F5B" w:rsidRDefault="00E048F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份额净值的计算，保留到小数点后三位，小数点后第四位四舍五入，由此产生的收益或损失由基金财产承担。T日的基金份额净值在当天收市后计算，并在T+1日内公告。遇特殊情况，基金份额净值可以适当延迟计算或公告。</w:t>
      </w:r>
    </w:p>
    <w:p w:rsidR="00D136C3"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68" w:name="_Toc332373510"/>
      <w:r w:rsidRPr="00CD6F5B">
        <w:rPr>
          <w:rFonts w:asciiTheme="minorEastAsia" w:eastAsiaTheme="minorEastAsia" w:hAnsiTheme="minorEastAsia"/>
          <w:color w:val="000000" w:themeColor="text1"/>
        </w:rPr>
        <w:t>（</w:t>
      </w:r>
      <w:r w:rsidR="00214A68" w:rsidRPr="00CD6F5B">
        <w:rPr>
          <w:rFonts w:asciiTheme="minorEastAsia" w:eastAsiaTheme="minorEastAsia" w:hAnsiTheme="minorEastAsia"/>
          <w:color w:val="000000" w:themeColor="text1"/>
        </w:rPr>
        <w:t>九</w:t>
      </w:r>
      <w:r w:rsidRPr="00CD6F5B">
        <w:rPr>
          <w:rFonts w:asciiTheme="minorEastAsia" w:eastAsiaTheme="minorEastAsia" w:hAnsiTheme="minorEastAsia"/>
          <w:color w:val="000000" w:themeColor="text1"/>
        </w:rPr>
        <w:t>）</w:t>
      </w:r>
      <w:r w:rsidR="00D136C3" w:rsidRPr="00CD6F5B">
        <w:rPr>
          <w:rFonts w:asciiTheme="minorEastAsia" w:eastAsiaTheme="minorEastAsia" w:hAnsiTheme="minorEastAsia"/>
          <w:color w:val="000000" w:themeColor="text1"/>
        </w:rPr>
        <w:t>申购和赎回的登记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正常情况下，投资者T日申购基金成功后，登记机构在T+1日为投资者增加权益并办理登记手续，投资人自T+2日起（含该日）有权赎回该部分基金份额。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基金份额持有人T日赎回基金成功后，正常情况下，登记机构在T+1日为其办理扣除权益的登记手续。</w:t>
      </w:r>
    </w:p>
    <w:bookmarkEnd w:id="368"/>
    <w:p w:rsidR="00BA4B87" w:rsidRPr="00CD6F5B" w:rsidRDefault="00E048F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在不违反法律法规的前提下，登记机构可以对上述登记办理时间进行调整，基金管理人应于开始实施前依照《信息披露办法》的有关规定在指定媒介上公告。</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69" w:name="_Toc332373511"/>
      <w:r w:rsidRPr="00CD6F5B">
        <w:rPr>
          <w:rFonts w:asciiTheme="minorEastAsia" w:eastAsiaTheme="minorEastAsia" w:hAnsiTheme="minorEastAsia"/>
          <w:color w:val="000000" w:themeColor="text1"/>
        </w:rPr>
        <w:t>（</w:t>
      </w:r>
      <w:r w:rsidR="00214A68" w:rsidRPr="00CD6F5B">
        <w:rPr>
          <w:rFonts w:asciiTheme="minorEastAsia" w:eastAsiaTheme="minorEastAsia" w:hAnsiTheme="minorEastAsia"/>
          <w:color w:val="000000" w:themeColor="text1"/>
        </w:rPr>
        <w:t>十</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巨额赎回的认定及处理方式</w:t>
      </w:r>
      <w:bookmarkEnd w:id="369"/>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1、巨额赎回的认定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2、巨额赎回的处理方式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当基金出现巨额赎回时，基金管理人可以根据基金当时的资产组合状况决定全额赎回或部分延期赎回。</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（1）全额赎回：当基金管理人认为有能力支付投资人的全部赎回申请时，按正常赎回程序执行。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362C1" w:rsidRPr="00CD6F5B" w:rsidRDefault="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（3）暂停赎回：连续2日以上(含本数)发生巨额赎回，如基金管理人认为有必要，可暂停接受基金的赎回申请；已经接受的赎回申请可以延缓支付赎回款项，但不得超过20个工作日，并应当在指定媒介上进行公告。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3、巨额赎回的公告</w:t>
      </w:r>
    </w:p>
    <w:p w:rsidR="00294DE8" w:rsidRPr="00CD6F5B" w:rsidRDefault="00AB1388" w:rsidP="009612F6">
      <w:pPr>
        <w:spacing w:line="360" w:lineRule="auto"/>
        <w:ind w:firstLineChars="200" w:firstLine="420"/>
        <w:rPr>
          <w:rFonts w:asciiTheme="minorEastAsia" w:eastAsiaTheme="minorEastAsia" w:hAnsiTheme="minorEastAsia"/>
          <w:color w:val="000000" w:themeColor="text1"/>
        </w:rPr>
      </w:pPr>
      <w:bookmarkStart w:id="370" w:name="_Toc332373514"/>
      <w:r w:rsidRPr="00CD6F5B">
        <w:rPr>
          <w:rFonts w:asciiTheme="minorEastAsia" w:eastAsiaTheme="minorEastAsia" w:hAnsiTheme="minorEastAsia"/>
          <w:color w:val="000000" w:themeColor="text1"/>
        </w:rPr>
        <w:t>当发生上述延期赎回并延期办理时，基金管理人应当通过邮寄、传真或者招募说明书规定的其他方式在3个交易日内通知基金份额持有人，说明有关处理方法，</w:t>
      </w:r>
      <w:r w:rsidR="0031344C" w:rsidRPr="00CD6F5B">
        <w:rPr>
          <w:rFonts w:asciiTheme="minorEastAsia" w:eastAsiaTheme="minorEastAsia" w:hAnsiTheme="minorEastAsia" w:hint="eastAsia"/>
          <w:color w:val="000000" w:themeColor="text1"/>
        </w:rPr>
        <w:t>并在2日内</w:t>
      </w:r>
      <w:r w:rsidRPr="00CD6F5B">
        <w:rPr>
          <w:rFonts w:asciiTheme="minorEastAsia" w:eastAsiaTheme="minorEastAsia" w:hAnsiTheme="minorEastAsia"/>
          <w:color w:val="000000" w:themeColor="text1"/>
        </w:rPr>
        <w:t>在指定媒介上刊登公告。</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十</w:t>
      </w:r>
      <w:r w:rsidR="00090469"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拒绝或暂停申购、暂停赎回</w:t>
      </w:r>
      <w:r w:rsidR="000D3DAB" w:rsidRPr="00CD6F5B">
        <w:rPr>
          <w:rFonts w:asciiTheme="minorEastAsia" w:eastAsiaTheme="minorEastAsia" w:hAnsiTheme="minorEastAsia"/>
          <w:color w:val="000000" w:themeColor="text1"/>
        </w:rPr>
        <w:t>或延缓支付赎回款项</w:t>
      </w:r>
      <w:r w:rsidR="00BA4B87" w:rsidRPr="00CD6F5B">
        <w:rPr>
          <w:rFonts w:asciiTheme="minorEastAsia" w:eastAsiaTheme="minorEastAsia" w:hAnsiTheme="minorEastAsia"/>
          <w:color w:val="000000" w:themeColor="text1"/>
        </w:rPr>
        <w:t>的情形及处理</w:t>
      </w:r>
      <w:bookmarkEnd w:id="370"/>
    </w:p>
    <w:p w:rsidR="00672239" w:rsidRPr="00CD6F5B" w:rsidRDefault="006722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1、发生下列情况时，基金管理人可拒绝或暂停接受投资人的申购申请：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(1)因不可抗力导致基金无法正常运作。</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(2)发生基金合同规定的暂停基金资产估值情况时。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(3)本基金投资的证券交易场所临时停止交易。</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(4)基金管理人认为接受某笔或某些申购申请可能会影响或损害现有基金份额持有人利益时。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(5)基金资产规模过大，使基金管理人无法找到合适的投资品种，或其他可能对基金业绩产生负面影响，或基金管理人认定的其他损害现有基金份额持有人利益的情形。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F362C1" w:rsidRPr="00CD6F5B" w:rsidRDefault="004A0413"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w:t>
      </w:r>
      <w:r w:rsidR="00F362C1" w:rsidRPr="00CD6F5B">
        <w:rPr>
          <w:rFonts w:asciiTheme="minorEastAsia" w:eastAsiaTheme="minorEastAsia" w:hAnsiTheme="minorEastAsia" w:hint="eastAsia"/>
          <w:color w:val="000000" w:themeColor="text1"/>
        </w:rPr>
        <w:t>基金管理人接受某笔或者某些申购申请有可能导致单一投资者持有基金份额的比例达到或者超过50%，或者变相规避50%集中度的情形时。</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w:t>
      </w:r>
      <w:r w:rsidRPr="00CD6F5B">
        <w:rPr>
          <w:rFonts w:asciiTheme="minorEastAsia" w:eastAsiaTheme="minorEastAsia" w:hAnsiTheme="minorEastAsia"/>
          <w:color w:val="000000" w:themeColor="text1"/>
        </w:rPr>
        <w:t>）</w:t>
      </w:r>
      <w:r w:rsidRPr="00CD6F5B">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48496B"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color w:val="000000" w:themeColor="text1"/>
        </w:rPr>
        <w:t>0）</w:t>
      </w:r>
      <w:r w:rsidR="004A0413" w:rsidRPr="00CD6F5B">
        <w:rPr>
          <w:rFonts w:asciiTheme="minorEastAsia" w:eastAsiaTheme="minorEastAsia" w:hAnsiTheme="minorEastAsia"/>
          <w:color w:val="000000" w:themeColor="text1"/>
        </w:rPr>
        <w:t>法律法规规定或中国证监会认定的其他情形。</w:t>
      </w:r>
    </w:p>
    <w:p w:rsidR="00A22008" w:rsidRPr="00CD6F5B" w:rsidRDefault="00A2200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发生上述第（1）、（2）、（3）、（5）、（6）、（</w:t>
      </w:r>
      <w:r w:rsidR="00F362C1" w:rsidRPr="00CD6F5B">
        <w:rPr>
          <w:rFonts w:asciiTheme="minorEastAsia" w:eastAsiaTheme="minorEastAsia" w:hAnsiTheme="minorEastAsia"/>
          <w:color w:val="000000" w:themeColor="text1"/>
        </w:rPr>
        <w:t>8</w:t>
      </w:r>
      <w:r w:rsidRPr="00CD6F5B">
        <w:rPr>
          <w:rFonts w:asciiTheme="minorEastAsia" w:eastAsiaTheme="minorEastAsia" w:hAnsiTheme="minorEastAsia"/>
          <w:color w:val="000000" w:themeColor="text1"/>
        </w:rPr>
        <w:t>）</w:t>
      </w:r>
      <w:r w:rsidR="00F362C1" w:rsidRPr="00CD6F5B">
        <w:rPr>
          <w:rFonts w:asciiTheme="minorEastAsia" w:eastAsiaTheme="minorEastAsia" w:hAnsiTheme="minorEastAsia" w:hint="eastAsia"/>
          <w:color w:val="000000" w:themeColor="text1"/>
        </w:rPr>
        <w:t>、</w:t>
      </w:r>
      <w:r w:rsidR="00F362C1" w:rsidRPr="00CD6F5B">
        <w:rPr>
          <w:rFonts w:asciiTheme="minorEastAsia" w:eastAsiaTheme="minorEastAsia" w:hAnsiTheme="minorEastAsia"/>
          <w:color w:val="000000" w:themeColor="text1"/>
        </w:rPr>
        <w:t>（</w:t>
      </w:r>
      <w:r w:rsidR="00F362C1" w:rsidRPr="00CD6F5B">
        <w:rPr>
          <w:rFonts w:asciiTheme="minorEastAsia" w:eastAsiaTheme="minorEastAsia" w:hAnsiTheme="minorEastAsia" w:hint="eastAsia"/>
          <w:color w:val="000000" w:themeColor="text1"/>
        </w:rPr>
        <w:t>9</w:t>
      </w:r>
      <w:r w:rsidR="00F362C1" w:rsidRPr="00CD6F5B">
        <w:rPr>
          <w:rFonts w:asciiTheme="minorEastAsia" w:eastAsiaTheme="minorEastAsia" w:hAnsiTheme="minorEastAsia"/>
          <w:color w:val="000000" w:themeColor="text1"/>
        </w:rPr>
        <w:t>）</w:t>
      </w:r>
      <w:r w:rsidR="00F362C1" w:rsidRPr="00CD6F5B">
        <w:rPr>
          <w:rFonts w:asciiTheme="minorEastAsia" w:eastAsiaTheme="minorEastAsia" w:hAnsiTheme="minorEastAsia" w:hint="eastAsia"/>
          <w:color w:val="000000" w:themeColor="text1"/>
        </w:rPr>
        <w:t>、</w:t>
      </w:r>
      <w:r w:rsidR="00F362C1" w:rsidRPr="00CD6F5B">
        <w:rPr>
          <w:rFonts w:asciiTheme="minorEastAsia" w:eastAsiaTheme="minorEastAsia" w:hAnsiTheme="minorEastAsia"/>
          <w:color w:val="000000" w:themeColor="text1"/>
        </w:rPr>
        <w:t>（</w:t>
      </w:r>
      <w:r w:rsidR="00F362C1" w:rsidRPr="00CD6F5B">
        <w:rPr>
          <w:rFonts w:asciiTheme="minorEastAsia" w:eastAsiaTheme="minorEastAsia" w:hAnsiTheme="minorEastAsia" w:hint="eastAsia"/>
          <w:color w:val="000000" w:themeColor="text1"/>
        </w:rPr>
        <w:t>1</w:t>
      </w:r>
      <w:r w:rsidR="00F362C1" w:rsidRPr="00CD6F5B">
        <w:rPr>
          <w:rFonts w:asciiTheme="minorEastAsia" w:eastAsiaTheme="minorEastAsia" w:hAnsiTheme="minorEastAsia"/>
          <w:color w:val="000000" w:themeColor="text1"/>
        </w:rPr>
        <w:t>0）</w:t>
      </w:r>
      <w:r w:rsidRPr="00CD6F5B">
        <w:rPr>
          <w:rFonts w:asciiTheme="minorEastAsia" w:eastAsiaTheme="minorEastAsia" w:hAnsiTheme="minorEastAsia"/>
          <w:color w:val="000000" w:themeColor="text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672239" w:rsidRPr="00CD6F5B" w:rsidRDefault="006722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2、发生下列情形时，基金管理人可暂停接受投资人的赎回申请或延缓支付赎回款项：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（1）因不可抗力导致基金管理人不能支付赎回款项。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（2）发生基金合同规定的暂停基金资产估值情况时。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（3）本基金投资的证券交易场所临时停止交易。</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（4）连续两个或两个以上开放日发生巨额赎回。</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（5）本基金的资产组合中的重要部分发生暂停交易或其他重大事件，继续接受赎回可</w:t>
      </w:r>
      <w:r w:rsidRPr="00CD6F5B">
        <w:rPr>
          <w:rFonts w:asciiTheme="minorEastAsia" w:eastAsiaTheme="minorEastAsia" w:hAnsiTheme="minorEastAsia"/>
          <w:color w:val="000000" w:themeColor="text1"/>
        </w:rPr>
        <w:lastRenderedPageBreak/>
        <w:t>能会影响或损害基金份额持有人利益时。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（7）基金管理人认为继续接受赎回申请将损害现有基金份额持有人利益的情形时，可暂停接受投资人的赎回申请。</w:t>
      </w:r>
    </w:p>
    <w:p w:rsidR="00F362C1"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w:t>
      </w:r>
      <w:r w:rsidR="00F362C1" w:rsidRPr="00CD6F5B">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48496B" w:rsidRPr="00CD6F5B" w:rsidRDefault="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w:t>
      </w:r>
      <w:r w:rsidRPr="00CD6F5B">
        <w:rPr>
          <w:rFonts w:asciiTheme="minorEastAsia" w:eastAsiaTheme="minorEastAsia" w:hAnsiTheme="minorEastAsia"/>
          <w:color w:val="000000" w:themeColor="text1"/>
        </w:rPr>
        <w:t>）</w:t>
      </w:r>
      <w:r w:rsidR="004A0413" w:rsidRPr="00CD6F5B">
        <w:rPr>
          <w:rFonts w:asciiTheme="minorEastAsia" w:eastAsiaTheme="minorEastAsia" w:hAnsiTheme="minorEastAsia"/>
          <w:color w:val="000000" w:themeColor="text1"/>
        </w:rPr>
        <w:t>法律法规规定或中国证监会认定的其他情形。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3、暂停申购或赎回的公告和重新开放申购或赎回的公告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（1）发生上述暂停申购或赎回情况的，基金管理人应在规定期限内在指定媒介上刊登暂停公告。</w:t>
      </w:r>
    </w:p>
    <w:p w:rsidR="009A70C6" w:rsidRPr="00CD6F5B" w:rsidRDefault="00A2200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（十二）实施侧袋机制期间本基金的申购与赎回</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本基金实施侧袋机制的，本基金的申购和赎回安排详见本招募说明书“侧袋机制”部分的规定或相关公告。</w:t>
      </w:r>
    </w:p>
    <w:p w:rsidR="009612F6" w:rsidRPr="00CD6F5B" w:rsidRDefault="009612F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br w:type="page"/>
      </w:r>
    </w:p>
    <w:p w:rsidR="00BA4B87" w:rsidRPr="00CD6F5B" w:rsidRDefault="00BA4B87" w:rsidP="00CC1421">
      <w:pPr>
        <w:pStyle w:val="1"/>
        <w:snapToGrid w:val="0"/>
        <w:spacing w:beforeLines="0" w:afterLines="0" w:line="360" w:lineRule="auto"/>
        <w:ind w:firstLine="600"/>
        <w:rPr>
          <w:rFonts w:asciiTheme="minorEastAsia" w:eastAsiaTheme="minorEastAsia" w:hAnsiTheme="minorEastAsia"/>
          <w:color w:val="000000" w:themeColor="text1"/>
          <w:sz w:val="30"/>
        </w:rPr>
      </w:pPr>
      <w:bookmarkStart w:id="371" w:name="_Toc332373516"/>
      <w:bookmarkStart w:id="372" w:name="_Toc82186588"/>
      <w:r w:rsidRPr="00CD6F5B">
        <w:rPr>
          <w:rFonts w:asciiTheme="minorEastAsia" w:eastAsiaTheme="minorEastAsia" w:hAnsiTheme="minorEastAsia"/>
          <w:color w:val="000000" w:themeColor="text1"/>
          <w:sz w:val="30"/>
        </w:rPr>
        <w:lastRenderedPageBreak/>
        <w:t>九、</w:t>
      </w:r>
      <w:bookmarkEnd w:id="371"/>
      <w:r w:rsidR="006B5663" w:rsidRPr="00CD6F5B">
        <w:rPr>
          <w:rFonts w:asciiTheme="minorEastAsia" w:eastAsiaTheme="minorEastAsia" w:hAnsiTheme="minorEastAsia"/>
          <w:color w:val="000000" w:themeColor="text1"/>
          <w:sz w:val="30"/>
        </w:rPr>
        <w:t>基金转换</w:t>
      </w:r>
      <w:r w:rsidR="00A64477" w:rsidRPr="00CD6F5B">
        <w:rPr>
          <w:rFonts w:asciiTheme="minorEastAsia" w:eastAsiaTheme="minorEastAsia" w:hAnsiTheme="minorEastAsia"/>
          <w:color w:val="000000" w:themeColor="text1"/>
          <w:sz w:val="30"/>
        </w:rPr>
        <w:t>和</w:t>
      </w:r>
      <w:r w:rsidR="006B5663" w:rsidRPr="00CD6F5B">
        <w:rPr>
          <w:rFonts w:asciiTheme="minorEastAsia" w:eastAsiaTheme="minorEastAsia" w:hAnsiTheme="minorEastAsia"/>
          <w:color w:val="000000" w:themeColor="text1"/>
          <w:sz w:val="30"/>
        </w:rPr>
        <w:t>定期定额投资计划</w:t>
      </w:r>
      <w:bookmarkEnd w:id="372"/>
    </w:p>
    <w:p w:rsidR="003875A4" w:rsidRPr="00CD6F5B" w:rsidRDefault="003875A4" w:rsidP="009612F6">
      <w:pPr>
        <w:spacing w:line="360" w:lineRule="auto"/>
        <w:ind w:firstLineChars="200" w:firstLine="420"/>
        <w:rPr>
          <w:rFonts w:asciiTheme="minorEastAsia" w:eastAsiaTheme="minorEastAsia" w:hAnsiTheme="minorEastAsia"/>
          <w:color w:val="000000" w:themeColor="text1"/>
        </w:rPr>
      </w:pPr>
      <w:bookmarkStart w:id="373" w:name="_Toc332373517"/>
      <w:r w:rsidRPr="00CD6F5B">
        <w:rPr>
          <w:rFonts w:asciiTheme="minorEastAsia" w:eastAsiaTheme="minorEastAsia" w:hAnsiTheme="minorEastAsia"/>
          <w:color w:val="000000" w:themeColor="text1"/>
        </w:rPr>
        <w:t>（一）基金转换</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1、基金转换开始日及时间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本基金已于2016年2月24日开始办理基金转换业务，具体实施办法参见相关公告。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577F8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投资者需在转出基金和转入基金均有交易的当日，方可办理基金转换业务。</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2、基金转换的原则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（1）基金转换只能在同一销售机构进行。转换的两只基金必须都是该销售机构销售的同一基金管理人管理的、在同一注册登记机构注册登记的基金。</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（2）基金转换以份额为单位进行申请。投资者可以发起多次基金转换业务，基金转换费用按每笔申请单独计算。转换费用以人民币元为单位，计算结果按照四舍五入方法，保留小数点后两位。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（3）基金转换采取未知价法，即基金的转换价格以转换申请受理当日各转出、转入基金的份额净值为基准进行计算。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（4）基金转换后，转入的基金份额的持有期将自转入的基金份额被确认之日起重新开始计算。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（5）投资者办理基金转换业务时，转出方的基金必须处于可赎回状态，转入方的基金必须处于可申购状态。</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（6）转换业务遵循“先进先出”的业务规则，即份额注册日期在前的先转换出，份额注册日期在后的后转换出，如果转换申请当日，同时有赎回申请的情况下，则遵循先赎回后转换的处理原则。</w:t>
      </w:r>
    </w:p>
    <w:p w:rsidR="00577F8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（7）转入本基金的份额计算结果保留到小数点后两位，小数点后两位以后的部分四舍五入，由此误差产生的损失由基金财产承担，产生的收益归基金财产所有。</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3、基金转换的程序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（1）基金转换的申请方式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基金投资者必须根据基金管理人和基金销售机构规定的手续，在开放日的业务办理时间提出转换的申请。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提交基金转换申请时，账户中必须有足够可用的转出基金份额余额。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（2）基金转换申请的确认</w:t>
      </w:r>
    </w:p>
    <w:p w:rsidR="0073266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4、基金转换的数额限制</w:t>
      </w:r>
    </w:p>
    <w:p w:rsidR="0073266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份额持有人可将其全部或部分基金份额转换成另一只基金，本基金单笔转出申请不得少于1份（如该账户在该销售机构托管的该基金余额不足1份，则必须一次性赎回或转出该基金全部份额）；若某笔转换导致投资者在该销售机构托管的该基金余额不足1份时，基金管理人有权将投资者在该销售机构托管的该基金剩余份额一次性全部赎回。</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5、基金转换费率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基金转换费由基金份额持有人承担，由转出基金赎回费用及基金申购补差费用构成，其中赎回费用按照</w:t>
      </w:r>
      <w:r w:rsidR="00D81CBC" w:rsidRPr="00CD6F5B">
        <w:rPr>
          <w:rFonts w:asciiTheme="minorEastAsia" w:eastAsiaTheme="minorEastAsia" w:hAnsiTheme="minorEastAsia" w:hint="eastAsia"/>
          <w:color w:val="000000" w:themeColor="text1"/>
        </w:rPr>
        <w:t>各</w:t>
      </w:r>
      <w:r w:rsidR="00D81CBC" w:rsidRPr="00CD6F5B">
        <w:rPr>
          <w:rFonts w:asciiTheme="minorEastAsia" w:eastAsiaTheme="minorEastAsia" w:hAnsiTheme="minorEastAsia"/>
          <w:color w:val="000000" w:themeColor="text1"/>
        </w:rPr>
        <w:t>基金的</w:t>
      </w:r>
      <w:r w:rsidRPr="00CD6F5B">
        <w:rPr>
          <w:rFonts w:asciiTheme="minorEastAsia" w:eastAsiaTheme="minorEastAsia" w:hAnsiTheme="minorEastAsia"/>
          <w:color w:val="000000" w:themeColor="text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77F8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6、基金转换份额的计算方式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计算公式：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A＝［B×C×(1-D)/（1+G）+F］/E</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H＝B×C×D</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J＝[B×C×(1-D)/(1+G)]×G</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其中，A为转入的基金份额；B为转出的基金份额；C为转换申请当日转出基金的基金份额净值；D为转出基金的对应赎回费率；E为转换申请当日转入基金的基金份额净值；</w:t>
      </w:r>
      <w:r w:rsidR="006C3986" w:rsidRPr="00CD6F5B">
        <w:rPr>
          <w:rFonts w:asciiTheme="minorEastAsia" w:eastAsiaTheme="minorEastAsia" w:hAnsiTheme="minorEastAsia" w:hint="eastAsia"/>
          <w:color w:val="000000" w:themeColor="text1"/>
        </w:rPr>
        <w:t>F</w:t>
      </w:r>
      <w:r w:rsidR="006C3986" w:rsidRPr="00CD6F5B">
        <w:rPr>
          <w:rFonts w:asciiTheme="minorEastAsia" w:eastAsiaTheme="minorEastAsia" w:hAnsiTheme="minorEastAsia" w:hint="eastAsia"/>
          <w:color w:val="000000" w:themeColor="text1"/>
        </w:rPr>
        <w:lastRenderedPageBreak/>
        <w:t>为货币市场基金全部转出时注册登记机构已支付的未付收益</w:t>
      </w:r>
      <w:r w:rsidRPr="00CD6F5B">
        <w:rPr>
          <w:rFonts w:asciiTheme="minorEastAsia" w:eastAsiaTheme="minorEastAsia" w:hAnsiTheme="minorEastAsia"/>
          <w:color w:val="000000" w:themeColor="text1"/>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5B35DF" w:rsidRPr="00CD6F5B">
        <w:rPr>
          <w:rFonts w:asciiTheme="minorEastAsia" w:eastAsiaTheme="minorEastAsia" w:hAnsiTheme="minorEastAsia"/>
          <w:color w:val="000000" w:themeColor="text1"/>
        </w:rPr>
        <w:t>、</w:t>
      </w:r>
      <w:r w:rsidRPr="00CD6F5B">
        <w:rPr>
          <w:rFonts w:asciiTheme="minorEastAsia" w:eastAsiaTheme="minorEastAsia" w:hAnsiTheme="minorEastAsia"/>
          <w:color w:val="000000" w:themeColor="text1"/>
        </w:rPr>
        <w:t>易方达天天发货币市场基金</w:t>
      </w:r>
      <w:r w:rsidR="005B35DF" w:rsidRPr="00CD6F5B">
        <w:rPr>
          <w:rFonts w:asciiTheme="minorEastAsia" w:eastAsiaTheme="minorEastAsia" w:hAnsiTheme="minorEastAsia" w:hint="eastAsia"/>
          <w:color w:val="000000" w:themeColor="text1"/>
        </w:rPr>
        <w:t>和易方达易理财货币市场基金</w:t>
      </w:r>
      <w:r w:rsidRPr="00CD6F5B">
        <w:rPr>
          <w:rFonts w:asciiTheme="minorEastAsia" w:eastAsiaTheme="minorEastAsia" w:hAnsiTheme="minorEastAsia"/>
          <w:color w:val="000000" w:themeColor="text1"/>
        </w:rPr>
        <w:t>）或者短期理财基金转出时对应的累计未付收益（转出基金为易方达月月利理财债券型基金和易方达掌柜季季盈理财债券型基金）；G为对应的申购补差费率；H为转出基金赎回费；J为申购补差费。</w:t>
      </w:r>
    </w:p>
    <w:p w:rsidR="006C3986" w:rsidRPr="00CD6F5B" w:rsidRDefault="006C398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说明：</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（1）基金转换费用由转出基金赎回费用及基金申购补差费用两部分构成。</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（4）投资者可以发起多次基金转换业务，基金转换费用按每笔申请单独计算。转换费用以人民币元为单位，计算结果按照四舍五入方法，保留小数点后两位。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例：假设某持有人（非特定投资群体）持有本基金10,000份，持有100天，现欲转换为易方达策略成长二号混合型证券投资基金；假设转出基金T日的基金份额净值为1.100元，转入基金易方达策略成长二号混合型证券投资基金T日的基金份额净值为1.020元，则转出基金的赎回费率为0.1%，申购补差费率为1%。转换份额计算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转换金额=转出基金申请份额×转出基金份额净值=10,000×1.100=11,000.00元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转出基金赎回费=转换金额×转出基金赎回费率=11,000.00×0.1%=11元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申购补差费=（转换金额-转出基金赎回费）×申购补差费率÷（1＋申购补差费率）=（11,000.00-11)×1%÷(1+1%)=108.80元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转换费=转出基金赎回费+申购补差费=11+108.80=119.80元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转入金额=转换金额-转换费=11,000.00-119.80=10,880.20元</w:t>
      </w:r>
    </w:p>
    <w:p w:rsidR="00732661" w:rsidRPr="00CD6F5B" w:rsidRDefault="00577F8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转入份额=转入金额÷转入基金份额净值=10,880.20÷1.020=10,666.86份</w:t>
      </w:r>
    </w:p>
    <w:p w:rsidR="009F629F" w:rsidRPr="00CD6F5B" w:rsidRDefault="009F629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7、基金转换的注册登记</w:t>
      </w:r>
    </w:p>
    <w:p w:rsidR="00E64DDC" w:rsidRPr="00CD6F5B" w:rsidRDefault="00E64DD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投资者T日申请基金转换成功后，注册登记机构将在T＋1工作日为投资者办理减少转出基金份额、增加转入基金份额的权益登记手续，一般情况下，投资者自T＋2工作日起有权赎回转入部分的基金份额。</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8、基金转换与巨额赎回</w:t>
      </w:r>
    </w:p>
    <w:p w:rsidR="00F72C46" w:rsidRPr="00CD6F5B" w:rsidRDefault="00F72C4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32661" w:rsidRPr="00CD6F5B" w:rsidRDefault="0073266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9、拒绝或暂停基金转换的情形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（1）因不可抗力导致基金无法正常运作或导致基金管理人不能支付转换转出款项。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（2）发生《基金合同》规定的暂停基金资产估值情况时。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（3）本基金投资的证券交易场所临时停止交易。</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（4）基金管理人认为接受某笔或某些转换转入申请可能会影响或损害现有基金份额持有人利益时。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（5）基金资产规模过大，使基金管理人无法找到合适的投资品种，或其他可能对基金业绩产生负面影响，或基金管理人认定的其他损害现有基金份额持有人利益的情形。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（7）连续两个或两个以上开放日发生巨额赎回。</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（8）本基金的资产组合中的重要部分发生暂停交易或其他重大事件，继续接受转换转出可能会影响或损害基金份额持有人利益时。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（9)基金管理人认为继续接受转换转出申请将损害现有基金份额持有人利益的情形时，可暂停接受投资人的转换转出申请。</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color w:val="000000" w:themeColor="text1"/>
        </w:rPr>
        <w:t>0</w:t>
      </w:r>
      <w:r w:rsidRPr="00CD6F5B">
        <w:rPr>
          <w:rFonts w:asciiTheme="minorEastAsia" w:eastAsiaTheme="minorEastAsia" w:hAnsiTheme="minorEastAsia" w:hint="eastAsia"/>
          <w:color w:val="000000" w:themeColor="text1"/>
        </w:rPr>
        <w:t>）基金管理人接受某笔或者某些转换转入申请有可能导致单一投资者持有基金份额的比例达到或者超过50%，或者变相规避50%集中度的情形时。</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color w:val="000000" w:themeColor="text1"/>
        </w:rPr>
        <w:t>1）</w:t>
      </w:r>
      <w:r w:rsidRPr="00CD6F5B">
        <w:rPr>
          <w:rFonts w:asciiTheme="minorEastAsia" w:eastAsiaTheme="minorEastAsia" w:hAnsiTheme="minorEastAsia" w:hint="eastAsia"/>
          <w:color w:val="000000" w:themeColor="text1"/>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color w:val="000000" w:themeColor="text1"/>
        </w:rPr>
        <w:t>2）</w:t>
      </w:r>
      <w:r w:rsidRPr="00CD6F5B">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F362C1" w:rsidRPr="00CD6F5B">
        <w:rPr>
          <w:rFonts w:asciiTheme="minorEastAsia" w:eastAsiaTheme="minorEastAsia" w:hAnsiTheme="minorEastAsia"/>
          <w:color w:val="000000" w:themeColor="text1"/>
        </w:rPr>
        <w:t>13</w:t>
      </w:r>
      <w:r w:rsidRPr="00CD6F5B">
        <w:rPr>
          <w:rFonts w:asciiTheme="minorEastAsia" w:eastAsiaTheme="minorEastAsia" w:hAnsiTheme="minorEastAsia"/>
          <w:color w:val="000000" w:themeColor="text1"/>
        </w:rPr>
        <w:t>）法律法规规定或中国证监会认定的其他情形。</w:t>
      </w:r>
    </w:p>
    <w:p w:rsidR="00732661" w:rsidRPr="00CD6F5B" w:rsidRDefault="007D6D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基金管理人可以根据市场情况在不违反有关法律法规和《基金合同》的规定之前提下调整上述转换的收费方式、费率水平、业务规则及有关限制，但应在调整生效前依照《信息披露办法》的有关规定在指定媒</w:t>
      </w:r>
      <w:r w:rsidR="00FC58CB" w:rsidRPr="00CD6F5B">
        <w:rPr>
          <w:rFonts w:asciiTheme="minorEastAsia" w:eastAsiaTheme="minorEastAsia" w:hAnsiTheme="minorEastAsia"/>
          <w:color w:val="000000" w:themeColor="text1"/>
        </w:rPr>
        <w:t>介</w:t>
      </w:r>
      <w:r w:rsidRPr="00CD6F5B">
        <w:rPr>
          <w:rFonts w:asciiTheme="minorEastAsia" w:eastAsiaTheme="minorEastAsia" w:hAnsiTheme="minorEastAsia"/>
          <w:color w:val="000000" w:themeColor="text1"/>
        </w:rPr>
        <w:t>上公告。</w:t>
      </w:r>
    </w:p>
    <w:bookmarkEnd w:id="373"/>
    <w:p w:rsidR="0057741F" w:rsidRPr="00CD6F5B" w:rsidRDefault="0057741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Pr="00CD6F5B">
        <w:rPr>
          <w:rFonts w:asciiTheme="minorEastAsia" w:eastAsiaTheme="minorEastAsia" w:hAnsiTheme="minorEastAsia" w:hint="eastAsia"/>
          <w:color w:val="000000" w:themeColor="text1"/>
        </w:rPr>
        <w:t>二</w:t>
      </w:r>
      <w:r w:rsidRPr="00CD6F5B">
        <w:rPr>
          <w:rFonts w:asciiTheme="minorEastAsia" w:eastAsiaTheme="minorEastAsia" w:hAnsiTheme="minorEastAsia"/>
          <w:color w:val="000000" w:themeColor="text1"/>
        </w:rPr>
        <w:t>）</w:t>
      </w:r>
      <w:r w:rsidRPr="00CD6F5B">
        <w:rPr>
          <w:rFonts w:asciiTheme="minorEastAsia" w:eastAsiaTheme="minorEastAsia" w:hAnsiTheme="minorEastAsia" w:hint="eastAsia"/>
          <w:color w:val="000000" w:themeColor="text1"/>
        </w:rPr>
        <w:t>定期定额投资计划</w:t>
      </w:r>
    </w:p>
    <w:p w:rsidR="00C20E53" w:rsidRPr="00CD6F5B" w:rsidRDefault="0057741F" w:rsidP="009612F6">
      <w:pPr>
        <w:spacing w:line="360" w:lineRule="auto"/>
        <w:ind w:firstLineChars="200" w:firstLine="420"/>
        <w:rPr>
          <w:rStyle w:val="da"/>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本基金已于2016年2月24日开始办理定期定额投资计划业务，具体实施办法参见相关公告。</w:t>
      </w:r>
      <w:r w:rsidR="00C20E53" w:rsidRPr="00CD6F5B">
        <w:rPr>
          <w:rStyle w:val="da"/>
          <w:rFonts w:asciiTheme="minorEastAsia" w:eastAsiaTheme="minorEastAsia" w:hAnsiTheme="minorEastAsia"/>
          <w:color w:val="000000" w:themeColor="text1"/>
        </w:rPr>
        <w:br w:type="page"/>
      </w:r>
    </w:p>
    <w:p w:rsidR="00BA4B87" w:rsidRPr="00CD6F5B" w:rsidRDefault="00BA4B87" w:rsidP="008502BE">
      <w:pPr>
        <w:pStyle w:val="1"/>
        <w:snapToGrid w:val="0"/>
        <w:spacing w:beforeLines="0" w:afterLines="0" w:line="360" w:lineRule="auto"/>
        <w:ind w:firstLine="600"/>
        <w:rPr>
          <w:rFonts w:asciiTheme="minorEastAsia" w:eastAsiaTheme="minorEastAsia" w:hAnsiTheme="minorEastAsia"/>
          <w:bCs/>
          <w:color w:val="000000" w:themeColor="text1"/>
          <w:kern w:val="44"/>
          <w:sz w:val="28"/>
          <w:szCs w:val="44"/>
        </w:rPr>
      </w:pPr>
      <w:bookmarkStart w:id="374" w:name="_Toc332373519"/>
      <w:bookmarkStart w:id="375" w:name="_Toc82186589"/>
      <w:r w:rsidRPr="00CD6F5B">
        <w:rPr>
          <w:rFonts w:asciiTheme="minorEastAsia" w:eastAsiaTheme="minorEastAsia" w:hAnsiTheme="minorEastAsia"/>
          <w:color w:val="000000" w:themeColor="text1"/>
          <w:sz w:val="30"/>
        </w:rPr>
        <w:lastRenderedPageBreak/>
        <w:t>十、基金的转托管、</w:t>
      </w:r>
      <w:r w:rsidR="0059529A" w:rsidRPr="00CD6F5B">
        <w:rPr>
          <w:rFonts w:asciiTheme="minorEastAsia" w:eastAsiaTheme="minorEastAsia" w:hAnsiTheme="minorEastAsia"/>
          <w:color w:val="000000" w:themeColor="text1"/>
          <w:sz w:val="30"/>
        </w:rPr>
        <w:t>质押、</w:t>
      </w:r>
      <w:r w:rsidRPr="00CD6F5B">
        <w:rPr>
          <w:rFonts w:asciiTheme="minorEastAsia" w:eastAsiaTheme="minorEastAsia" w:hAnsiTheme="minorEastAsia"/>
          <w:color w:val="000000" w:themeColor="text1"/>
          <w:sz w:val="30"/>
        </w:rPr>
        <w:t>非交易过户、冻结与解冻</w:t>
      </w:r>
      <w:bookmarkEnd w:id="374"/>
      <w:bookmarkEnd w:id="375"/>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76" w:name="_Toc332373520"/>
      <w:bookmarkStart w:id="377" w:name="_Toc79392621"/>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401F67" w:rsidRPr="00CD6F5B">
        <w:rPr>
          <w:rFonts w:asciiTheme="minorEastAsia" w:eastAsiaTheme="minorEastAsia" w:hAnsiTheme="minorEastAsia"/>
          <w:color w:val="000000" w:themeColor="text1"/>
        </w:rPr>
        <w:t>基金的</w:t>
      </w:r>
      <w:r w:rsidR="00BA4B87" w:rsidRPr="00CD6F5B">
        <w:rPr>
          <w:rFonts w:asciiTheme="minorEastAsia" w:eastAsiaTheme="minorEastAsia" w:hAnsiTheme="minorEastAsia"/>
          <w:color w:val="000000" w:themeColor="text1"/>
        </w:rPr>
        <w:t>转托管</w:t>
      </w:r>
      <w:bookmarkEnd w:id="376"/>
    </w:p>
    <w:p w:rsidR="00527DC7" w:rsidRPr="00CD6F5B" w:rsidRDefault="00527DC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基金份额持有人可办理已持有基金份额在不同销售机构之间的转托管，基金销售机构可以按照规定的标准收取转托管费。具体办理方法参照《业务规则》的有关规定以及各销售机构的业务规则。</w:t>
      </w:r>
    </w:p>
    <w:p w:rsidR="00856C27" w:rsidRPr="00CD6F5B" w:rsidRDefault="00856C2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（二）基金份额的质押</w:t>
      </w:r>
    </w:p>
    <w:p w:rsidR="0048242D" w:rsidRPr="00CD6F5B" w:rsidRDefault="00527DC7"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在条件许可的情况下，基金登记机构可依据相关法律法规及其业务规则，办理基金份额质押业务，并可收取一定的手续费。</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78" w:name="_Toc332373521"/>
      <w:r w:rsidRPr="00CD6F5B">
        <w:rPr>
          <w:rFonts w:asciiTheme="minorEastAsia" w:eastAsiaTheme="minorEastAsia" w:hAnsiTheme="minorEastAsia"/>
          <w:color w:val="000000" w:themeColor="text1"/>
        </w:rPr>
        <w:t>（</w:t>
      </w:r>
      <w:r w:rsidR="00856C27"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基金的非交易过户</w:t>
      </w:r>
      <w:bookmarkEnd w:id="378"/>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CD6F5B" w:rsidRDefault="0083702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79" w:name="_Toc332373522"/>
      <w:r w:rsidRPr="00CD6F5B">
        <w:rPr>
          <w:rFonts w:asciiTheme="minorEastAsia" w:eastAsiaTheme="minorEastAsia" w:hAnsiTheme="minorEastAsia"/>
          <w:color w:val="000000" w:themeColor="text1"/>
        </w:rPr>
        <w:t>（</w:t>
      </w:r>
      <w:r w:rsidR="00856C27"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基金的冻结与解冻</w:t>
      </w:r>
      <w:bookmarkEnd w:id="379"/>
    </w:p>
    <w:p w:rsidR="00911231" w:rsidRPr="00CD6F5B" w:rsidRDefault="007413B0" w:rsidP="009612F6">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rPr>
        <w:t>基金登记机构只受理国家有权机关依法要求的基金份额的冻结与解冻，以及登记机构认可、符合法律法规的其他情况下的冻结与解冻。</w:t>
      </w:r>
      <w:r w:rsidR="00911231" w:rsidRPr="00CD6F5B">
        <w:rPr>
          <w:rFonts w:asciiTheme="minorEastAsia" w:eastAsiaTheme="minorEastAsia" w:hAnsiTheme="minorEastAsia"/>
          <w:color w:val="000000" w:themeColor="text1"/>
          <w:szCs w:val="21"/>
        </w:rPr>
        <w:br w:type="page"/>
      </w:r>
    </w:p>
    <w:p w:rsidR="00BA4B87" w:rsidRPr="00CD6F5B" w:rsidRDefault="00BA4B87" w:rsidP="00911231">
      <w:pPr>
        <w:pStyle w:val="1"/>
        <w:snapToGrid w:val="0"/>
        <w:spacing w:beforeLines="0" w:afterLines="0" w:line="360" w:lineRule="auto"/>
        <w:ind w:firstLine="600"/>
        <w:rPr>
          <w:rFonts w:asciiTheme="minorEastAsia" w:eastAsiaTheme="minorEastAsia" w:hAnsiTheme="minorEastAsia"/>
          <w:color w:val="000000" w:themeColor="text1"/>
          <w:szCs w:val="21"/>
        </w:rPr>
      </w:pPr>
      <w:bookmarkStart w:id="380" w:name="_Toc332373523"/>
      <w:bookmarkStart w:id="381" w:name="_Toc82186590"/>
      <w:bookmarkEnd w:id="377"/>
      <w:r w:rsidRPr="00CD6F5B">
        <w:rPr>
          <w:rFonts w:asciiTheme="minorEastAsia" w:eastAsiaTheme="minorEastAsia" w:hAnsiTheme="minorEastAsia"/>
          <w:color w:val="000000" w:themeColor="text1"/>
          <w:sz w:val="30"/>
        </w:rPr>
        <w:lastRenderedPageBreak/>
        <w:t>十一、基金的投资</w:t>
      </w:r>
      <w:bookmarkEnd w:id="380"/>
      <w:bookmarkEnd w:id="381"/>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382" w:name="_Toc332373524"/>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投资目标</w:t>
      </w:r>
      <w:bookmarkEnd w:id="382"/>
    </w:p>
    <w:p w:rsidR="00A76643"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83" w:name="_Toc332373525"/>
      <w:r w:rsidRPr="00CD6F5B">
        <w:rPr>
          <w:rFonts w:asciiTheme="minorEastAsia" w:eastAsiaTheme="minorEastAsia" w:hAnsiTheme="minorEastAsia"/>
          <w:color w:val="000000" w:themeColor="text1"/>
        </w:rPr>
        <w:t>本基金主要投资于债券资产，严格管理权益类品种的投资比例，在控制基金资产净值波动的基础上，力争实现基金资产的长期稳健增值。</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9648D4"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投资范围</w:t>
      </w:r>
      <w:bookmarkEnd w:id="383"/>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的投资范围为具有良好流动性的金融工具，包括国债、央行票据、地方政府债、金融债、次级债、企业债、短期融资券、中期票据、公司债、可转换债券（含可分离型可转换债券）、可交换债券、证券公司短期公司债券、中小企业私募债、资产支持证券、债券回购、银行存款等债券资产，股票（含中小板、创业板及其他依法上市的股票</w:t>
      </w:r>
      <w:r w:rsidR="009A70C6" w:rsidRPr="00CD6F5B">
        <w:rPr>
          <w:rFonts w:asciiTheme="minorEastAsia" w:eastAsiaTheme="minorEastAsia" w:hAnsiTheme="minorEastAsia" w:hint="eastAsia"/>
          <w:color w:val="000000" w:themeColor="text1"/>
        </w:rPr>
        <w:t>、存托凭证</w:t>
      </w:r>
      <w:r w:rsidRPr="00CD6F5B">
        <w:rPr>
          <w:rFonts w:asciiTheme="minorEastAsia" w:eastAsiaTheme="minorEastAsia" w:hAnsiTheme="minorEastAsia"/>
          <w:color w:val="000000" w:themeColor="text1"/>
        </w:rPr>
        <w:t>）、权证等权益类品种以及法律法规或中国证监会允许基金投资的其他金融工具，但须符合中国证监会相关规定。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如法律法规或监管机构以后允许基金投资其他品种，本基金可以将其纳入投资范围。</w:t>
      </w:r>
    </w:p>
    <w:p w:rsidR="00A74943"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84" w:name="_Toc332373526"/>
      <w:r w:rsidRPr="00CD6F5B">
        <w:rPr>
          <w:rFonts w:asciiTheme="minorEastAsia" w:eastAsiaTheme="minorEastAsia" w:hAnsiTheme="minorEastAsia"/>
          <w:color w:val="000000" w:themeColor="text1"/>
        </w:rPr>
        <w:t>本基金各类资产的投资比例为：本基金投资于债券资产不低于基金资产的80%；投资于股票资产不高于基金资产的20%；现金或到期日在一年以内的政府债券的比例合计不低于基金资产净值的5%</w:t>
      </w:r>
      <w:r w:rsidR="00F362C1" w:rsidRPr="00CD6F5B">
        <w:rPr>
          <w:rFonts w:asciiTheme="minorEastAsia" w:eastAsiaTheme="minorEastAsia" w:hAnsiTheme="minorEastAsia" w:hint="eastAsia"/>
          <w:color w:val="000000" w:themeColor="text1"/>
        </w:rPr>
        <w:t>，现金不包括结算备付金、存出保证金、应收申购款等</w:t>
      </w:r>
      <w:r w:rsidRPr="00CD6F5B">
        <w:rPr>
          <w:rFonts w:asciiTheme="minorEastAsia" w:eastAsiaTheme="minorEastAsia" w:hAnsiTheme="minorEastAsia"/>
          <w:color w:val="000000" w:themeColor="text1"/>
        </w:rPr>
        <w:t>。</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090469"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投资策略</w:t>
      </w:r>
      <w:bookmarkEnd w:id="384"/>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1、资产配置策略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将密切关注宏观经济走势，深入分析货币和财政政策、国家产业政策以及资本市场资金环境、证券市场走势等，综合考量各类资产的市场容量、市场流动性和风险收益特征等因素，在股票、债券和银行存款等资产类别之间进行动态配置，确定资产的最优配置比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2、债券资产投资策略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（1）债券投资策略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本基金在债券投资上主要通过久期配置、类属配置、期限结构配置和个券选择四个层次进行投资管理。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①在久期配置方面，本基金将对宏观经济走势、经济周期所处阶段和宏观经济政策动向等进行研究，预测未来收益率曲线变动趋势，并据此积极调整债券组合的平均久期，提高债券组合的总投资收益。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②在类属配置方面，本基金将对宏观经济周期、市场利率走势、资金供求变化，以及信用债券的信用风险等因素进行分析，根据各债券类属的风险收益特征，定期对债券类属资产</w:t>
      </w:r>
      <w:r w:rsidRPr="00CD6F5B">
        <w:rPr>
          <w:rFonts w:asciiTheme="minorEastAsia" w:eastAsiaTheme="minorEastAsia" w:hAnsiTheme="minorEastAsia"/>
          <w:color w:val="000000" w:themeColor="text1"/>
        </w:rPr>
        <w:lastRenderedPageBreak/>
        <w:t>进行优化配置和调整，确定债券类属资产的最优权重。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③在期限结构配置方面，本基金将对市场收益率曲线变动情况进行研判，在长期、中期和短期债券之间进行配置，适时采用子弹型、哑铃型或梯型策略构建投资组合，以期在收益率曲线调整的过程中获得较好收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④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⑤证券公司短期公司债券投资策略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⑥中小企业私募债投资策略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本基金在控制信用风险的基础上，对中小企业私募债进行投资，主要采取分散化投资策略，控制个债持有比例。同时，紧密跟踪研究发债企业的基本面情况变化，并据此调整投资组合，控制投资风险。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（2）可转换债券及可交换债券投资策略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（3）杠杆投资策略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本基金将对资金面进行综合分析的基础上，比较债券收益率、存款利率和融资成本，判断利差空间，力争通过杠杆操作放大组合收益。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（4）银行存款投资策略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本基金根据宏观经济指标分析各类资产的预期收益率水平，并据此制定和调整资产配置策略。当银行存款投资具有较高投资价值时，本基金将提高银行存款投资比例。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3、股票投资策略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将适度参与股票资产投资。本基金股票投资部分主要采取“自下而上”的投资策略，精选优质企业进行投资。本基金将结合对宏观经济状况、行业成长空间、行业集中度、公司竞争优势等因素的判断，对公司的盈利能力、偿债能力、营运能力、成长性、估值水平、公司战略、治理结构和商业模式等方面进行定量和定性的分析，追求股票投资组合的长期稳健增值。</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4、存托凭证投资策略</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本基金可投资存托凭证，本基金将结合对宏观经济状况、行业景气度、公司竞争优势、公司治理结构、估值水平等因素的分析判断，选择投资价值高的存托凭证进行投资。</w:t>
      </w:r>
    </w:p>
    <w:p w:rsidR="0048496B" w:rsidRPr="00CD6F5B" w:rsidRDefault="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w:t>
      </w:r>
      <w:r w:rsidR="004A0413" w:rsidRPr="00CD6F5B">
        <w:rPr>
          <w:rFonts w:asciiTheme="minorEastAsia" w:eastAsiaTheme="minorEastAsia" w:hAnsiTheme="minorEastAsia"/>
          <w:color w:val="000000" w:themeColor="text1"/>
        </w:rPr>
        <w:t>、权证投资策略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权证为本基金辅助性投资工具，投资原则为有利于基金资产增值、控制下跌风险、实现保值和锁定收益。</w:t>
      </w:r>
    </w:p>
    <w:p w:rsidR="003416A9" w:rsidRPr="00CD6F5B" w:rsidRDefault="009A70C6" w:rsidP="009612F6">
      <w:pPr>
        <w:spacing w:line="360" w:lineRule="auto"/>
        <w:ind w:firstLineChars="200" w:firstLine="420"/>
        <w:rPr>
          <w:rFonts w:asciiTheme="minorEastAsia" w:eastAsiaTheme="minorEastAsia" w:hAnsiTheme="minorEastAsia"/>
          <w:color w:val="000000" w:themeColor="text1"/>
        </w:rPr>
      </w:pPr>
      <w:bookmarkStart w:id="385" w:name="_Toc332373530"/>
      <w:bookmarkStart w:id="386" w:name="question3"/>
      <w:r w:rsidRPr="00CD6F5B">
        <w:rPr>
          <w:rFonts w:asciiTheme="minorEastAsia" w:eastAsiaTheme="minorEastAsia" w:hAnsiTheme="minorEastAsia"/>
          <w:color w:val="000000" w:themeColor="text1"/>
        </w:rPr>
        <w:t>6</w:t>
      </w:r>
      <w:r w:rsidR="005D57DD" w:rsidRPr="00CD6F5B">
        <w:rPr>
          <w:rFonts w:asciiTheme="minorEastAsia" w:eastAsiaTheme="minorEastAsia" w:hAnsiTheme="minorEastAsia"/>
          <w:color w:val="000000" w:themeColor="text1"/>
        </w:rPr>
        <w:t>、未来，随着市场的发展和基金管理运作的需要，基金管理人可以在不改变投资目标的前提下，遵循法律法规的规定，相应调整和更新相关投资策略，并在招募说明书更新中公告。</w:t>
      </w:r>
    </w:p>
    <w:p w:rsidR="005044D0"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090469"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业绩比较基准</w:t>
      </w:r>
      <w:bookmarkEnd w:id="385"/>
    </w:p>
    <w:p w:rsidR="00A76643"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87" w:name="_Toc332373531"/>
      <w:bookmarkEnd w:id="386"/>
      <w:r w:rsidRPr="00CD6F5B">
        <w:rPr>
          <w:rFonts w:asciiTheme="minorEastAsia" w:eastAsiaTheme="minorEastAsia" w:hAnsiTheme="minorEastAsia"/>
          <w:color w:val="000000" w:themeColor="text1"/>
        </w:rPr>
        <w:t>本基金的业绩比较基准为：沪深300指数收益率×15%+中债新综合指数收益率×80%+金融机构人民币活期存款基准利率（税后）×5%。</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是债券型基金，投资于债券资产不低于基金资产的80%，投资于股票资产不高于基金资产的20%，现金或到期日在一年以内的政府债券的比例合计不低于基金资产净值的5%。本基金采用“沪深300指数收益率”、“中债新综合指数收益率”和“金融机构人民币活期存款基准利率（税后）”分别作为股票、债券和现金类资产投资的比较基准，并将业绩比较基准中股票指数、债券指数与现金类资产的权重确定为15%、80%和5%，基于指数的权威性和代表性以及本基金的投资范围和投资理念，选用该业绩比较基准能够真实、客观的反映本基金的风险收益特征。</w:t>
      </w:r>
    </w:p>
    <w:p w:rsidR="00EF450A" w:rsidRPr="00CD6F5B" w:rsidRDefault="00EF450A"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w:t>
      </w:r>
      <w:r w:rsidRPr="00CD6F5B">
        <w:rPr>
          <w:rFonts w:asciiTheme="minorEastAsia" w:eastAsiaTheme="minorEastAsia" w:hAnsiTheme="minorEastAsia" w:hint="eastAsia"/>
          <w:color w:val="000000" w:themeColor="text1"/>
        </w:rPr>
        <w:lastRenderedPageBreak/>
        <w:t>份额持有人大会审议。</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090469"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风险收益特征</w:t>
      </w:r>
      <w:bookmarkEnd w:id="387"/>
    </w:p>
    <w:p w:rsidR="00A76643"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88" w:name="_Toc332373533"/>
      <w:r w:rsidRPr="00CD6F5B">
        <w:rPr>
          <w:rFonts w:asciiTheme="minorEastAsia" w:eastAsiaTheme="minorEastAsia" w:hAnsiTheme="minorEastAsia"/>
          <w:color w:val="000000" w:themeColor="text1"/>
        </w:rPr>
        <w:t>本基金为债券型基金，其长期平均风险和预期收益率理论上低于股票型基金、混合型基金，高于货币市场基金。</w:t>
      </w:r>
    </w:p>
    <w:p w:rsidR="00BA4B87" w:rsidRPr="00CD6F5B" w:rsidRDefault="00802FD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0008BD" w:rsidRPr="00CD6F5B">
        <w:rPr>
          <w:rFonts w:asciiTheme="minorEastAsia" w:eastAsiaTheme="minorEastAsia" w:hAnsiTheme="minorEastAsia"/>
          <w:color w:val="000000" w:themeColor="text1"/>
        </w:rPr>
        <w:t>六</w:t>
      </w:r>
      <w:r w:rsidR="002E1C38"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投资禁止行为与限制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1、禁止行为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为维护基金份额持有人的合法权益，基金财产不得用于下列投资或者活动：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（1）承销证券；</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（2）违反规定向他人贷款或者提供担保；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（3）从事承担无限责任的投资；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（4）向其基金管理人、基金托管人出资；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（5）从事内幕交易、操纵证券交易价格及其他不正当的证券交易活动；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（6）法律、行政法规和中国证监会规定禁止的其他活动。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2、投资组合限制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基金的投资组合应遵循以下限制：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（1）本基金投资于债券资产不低于基金资产的80%；投资于股票资产不高于基金资产的20%；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（2）现金或到期日在一年以内的政府债券的比例合计不低于基金资产净值的5%</w:t>
      </w:r>
      <w:r w:rsidR="00F362C1" w:rsidRPr="00CD6F5B">
        <w:rPr>
          <w:rFonts w:asciiTheme="minorEastAsia" w:eastAsiaTheme="minorEastAsia" w:hAnsiTheme="minorEastAsia" w:hint="eastAsia"/>
          <w:color w:val="000000" w:themeColor="text1"/>
        </w:rPr>
        <w:t>，现金不包括结算备付金、存出保证金、应收申购款等</w:t>
      </w:r>
      <w:r w:rsidRPr="00CD6F5B">
        <w:rPr>
          <w:rFonts w:asciiTheme="minorEastAsia" w:eastAsiaTheme="minorEastAsia" w:hAnsiTheme="minorEastAsia"/>
          <w:color w:val="000000" w:themeColor="text1"/>
        </w:rPr>
        <w:t>；</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（3）本基金持有一家公司发行的证券，其市值不超过基金资产净值的10％；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（4）本基金管理人管理的全部基金持有一家公司发行的证券，不超过该证券的10％；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（5）本基金持有的全部权证，其市值不得超过基金资产净值的3％；</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（6）本基金管理人管理的全部基金持有的同一权证，不得超过该权证的10％；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（7）本基金在任何交易日买入权证的总金额，不得超过上一交易日基金资产净值的0.5％；</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（8）本基金投资于同一原始权益人的各类资产支持证券的比例，不得超过基金资产净值的10％；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（9）本基金持有的全部资产支持证券，其市值不得超过基金资产净值的20％；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（10）本基金持有的同一（指同一信用级别）资产支持证券的比例，不得超过该资产支</w:t>
      </w:r>
      <w:r w:rsidRPr="00CD6F5B">
        <w:rPr>
          <w:rFonts w:asciiTheme="minorEastAsia" w:eastAsiaTheme="minorEastAsia" w:hAnsiTheme="minorEastAsia"/>
          <w:color w:val="000000" w:themeColor="text1"/>
        </w:rPr>
        <w:lastRenderedPageBreak/>
        <w:t>持证券规模的10％；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（11）本基金管理人管理的全部基金投资于同一原始权益人的各类资产支持证券，不得超过其各类资产支持证券合计规模的10％；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（12）本基金应投资于信用级别评级为BBB以上（含BBB）的资产支持证券。基金持有资产支持证券期间，如果其信用等级下降、不再符合投资标准，应在评级报告发布之日起3个月内予以全部卖出；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（13）基金财产参与股票发行申购，本基金所申报的金额不超过本基金的总资产，本基金所申报的股票数量不超过拟发行股票公司本次发行股票的总量；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（14）本基金进入全国银行间同业市场进行债券回购的资金余额不得超过基金资产净值的40%；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（15）本基金基金总资产不得超过基金净资产的140%；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（16）本基金投资于单只中小企业私募债的市值，不得超过本基金资产净值的10%；</w:t>
      </w:r>
    </w:p>
    <w:p w:rsidR="00F362C1" w:rsidRPr="00CD6F5B" w:rsidRDefault="004A0413"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（17）</w:t>
      </w:r>
      <w:r w:rsidR="00F362C1" w:rsidRPr="00CD6F5B">
        <w:rPr>
          <w:rFonts w:asciiTheme="minorEastAsia" w:eastAsiaTheme="minorEastAsia" w:hAnsiTheme="minorEastAsia" w:hint="eastAsia"/>
          <w:color w:val="000000" w:themeColor="text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（18）本基金主动投资于流动性受限资产的市值合计不得超过该基金资产净值的15%。</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（19）本基金与私募类证券资管产品及中国证监会认定的其他主体为交易对手开展逆回购交易的，可接受质押品的资质要求应当与基金合同约定的投资范围保持一致。</w:t>
      </w:r>
    </w:p>
    <w:p w:rsidR="009A70C6" w:rsidRPr="00CD6F5B" w:rsidRDefault="009A70C6"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（20）本基金投资存托凭证的比例限制依照境内上市交易的股票执行，与境内上市交易的股票合并计算。</w:t>
      </w:r>
    </w:p>
    <w:p w:rsidR="0048496B"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w:t>
      </w:r>
      <w:r w:rsidR="009A70C6"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hint="eastAsia"/>
          <w:color w:val="000000" w:themeColor="text1"/>
        </w:rPr>
        <w:t>）</w:t>
      </w:r>
      <w:r w:rsidR="004A0413" w:rsidRPr="00CD6F5B">
        <w:rPr>
          <w:rFonts w:asciiTheme="minorEastAsia" w:eastAsiaTheme="minorEastAsia" w:hAnsiTheme="minorEastAsia"/>
          <w:color w:val="000000" w:themeColor="text1"/>
        </w:rPr>
        <w:t>法律法规及中国证监会规定的和《基金合同》约定的其他投资限制。</w:t>
      </w:r>
    </w:p>
    <w:p w:rsidR="0048496B" w:rsidRPr="00CD6F5B" w:rsidRDefault="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除上述（2）、（12）、（13）、（18）、（19）以外，</w:t>
      </w:r>
      <w:r w:rsidR="004A0413" w:rsidRPr="00CD6F5B">
        <w:rPr>
          <w:rFonts w:asciiTheme="minorEastAsia" w:eastAsiaTheme="minorEastAsia" w:hAnsiTheme="minorEastAsia"/>
          <w:color w:val="000000" w:themeColor="text1"/>
        </w:rPr>
        <w:t>因证券市场波动、证券发行人合并、基金规模变动等基金管理人之外的因素致使基金投资比例不符合上述规定投资比例的，基金管理人应当在10个交易日内进行调整，但中国证监会规定的特殊情形除外。</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3F1E3F"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89" w:name="_Toc332373535"/>
      <w:bookmarkEnd w:id="388"/>
      <w:r w:rsidRPr="00CD6F5B">
        <w:rPr>
          <w:rFonts w:asciiTheme="minorEastAsia" w:eastAsiaTheme="minorEastAsia" w:hAnsiTheme="minorEastAsia"/>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1634D6"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DA2FD2" w:rsidRPr="00CD6F5B">
        <w:rPr>
          <w:rFonts w:asciiTheme="minorEastAsia" w:eastAsiaTheme="minorEastAsia" w:hAnsiTheme="minorEastAsia"/>
          <w:color w:val="000000" w:themeColor="text1"/>
        </w:rPr>
        <w:t>七</w:t>
      </w:r>
      <w:r w:rsidRPr="00CD6F5B">
        <w:rPr>
          <w:rFonts w:asciiTheme="minorEastAsia" w:eastAsiaTheme="minorEastAsia" w:hAnsiTheme="minorEastAsia"/>
          <w:color w:val="000000" w:themeColor="text1"/>
        </w:rPr>
        <w:t>）</w:t>
      </w:r>
      <w:r w:rsidR="001634D6" w:rsidRPr="00CD6F5B">
        <w:rPr>
          <w:rFonts w:asciiTheme="minorEastAsia" w:eastAsiaTheme="minorEastAsia" w:hAnsiTheme="minorEastAsia"/>
          <w:color w:val="000000" w:themeColor="text1"/>
        </w:rPr>
        <w:t>基金的融资融券</w:t>
      </w:r>
    </w:p>
    <w:p w:rsidR="001B71AC" w:rsidRPr="00CD6F5B" w:rsidRDefault="00A76643" w:rsidP="009612F6">
      <w:pPr>
        <w:spacing w:line="360" w:lineRule="auto"/>
        <w:ind w:firstLineChars="200" w:firstLine="420"/>
        <w:rPr>
          <w:rFonts w:asciiTheme="minorEastAsia" w:eastAsiaTheme="minorEastAsia" w:hAnsiTheme="minorEastAsia"/>
          <w:color w:val="000000" w:themeColor="text1"/>
        </w:rPr>
      </w:pPr>
      <w:bookmarkStart w:id="390" w:name="_Toc332373536"/>
      <w:bookmarkEnd w:id="389"/>
      <w:r w:rsidRPr="00CD6F5B">
        <w:rPr>
          <w:rFonts w:asciiTheme="minorEastAsia" w:eastAsiaTheme="minorEastAsia" w:hAnsiTheme="minorEastAsia"/>
          <w:color w:val="000000" w:themeColor="text1"/>
        </w:rPr>
        <w:t>本基金可以根据届时有效的有关法律法规和政策的规定进行融资融券。</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DA2FD2" w:rsidRPr="00CD6F5B">
        <w:rPr>
          <w:rFonts w:asciiTheme="minorEastAsia" w:eastAsiaTheme="minorEastAsia" w:hAnsiTheme="minorEastAsia"/>
          <w:color w:val="000000" w:themeColor="text1"/>
        </w:rPr>
        <w:t>八</w:t>
      </w:r>
      <w:bookmarkStart w:id="391" w:name="_Toc332373537"/>
      <w:bookmarkEnd w:id="390"/>
      <w:r w:rsidRPr="00CD6F5B">
        <w:rPr>
          <w:rFonts w:asciiTheme="minorEastAsia" w:eastAsiaTheme="minorEastAsia" w:hAnsiTheme="minorEastAsia"/>
          <w:color w:val="000000" w:themeColor="text1"/>
        </w:rPr>
        <w:t>）</w:t>
      </w:r>
      <w:r w:rsidR="006277B4" w:rsidRPr="00CD6F5B">
        <w:rPr>
          <w:rFonts w:asciiTheme="minorEastAsia" w:eastAsiaTheme="minorEastAsia" w:hAnsiTheme="minorEastAsia"/>
          <w:color w:val="000000" w:themeColor="text1"/>
        </w:rPr>
        <w:t>基金管理人代表基金行使所投资证券产生权利的处理原则及方法</w:t>
      </w:r>
    </w:p>
    <w:bookmarkEnd w:id="391"/>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1、有利于基金资产的安全与增值；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2、基金管理人按照国家有关规定代表基金独立行使债权人或股东权利，保护基金份额持有人的利益。</w:t>
      </w:r>
    </w:p>
    <w:p w:rsidR="003F1E3F" w:rsidRPr="00CD6F5B" w:rsidRDefault="00A7664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3、不通过关联交易为自身、雇员、授权代理人或任何存在利害关系的第三人牟取任何不当利益。</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（九）侧袋机制的实施和投资运作安排</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侧袋机制实施期间，本部分约定的投资组合比例、投资策略、组合限制、业绩比较基准、风险收益特征等约定仅适用于主袋账户。</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侧袋账户的实施条件、实施程序、运作安排、投资安排、特定资产的处置变现和支付等对投资者权益有重大影响的事项详见本招募说明书“侧袋机制”部分的规定。</w:t>
      </w:r>
    </w:p>
    <w:p w:rsidR="007A6AF4" w:rsidRPr="00CD6F5B" w:rsidRDefault="007A6AF4" w:rsidP="009612F6">
      <w:pPr>
        <w:spacing w:line="360" w:lineRule="auto"/>
        <w:ind w:firstLineChars="200" w:firstLine="420"/>
        <w:rPr>
          <w:rFonts w:asciiTheme="minorEastAsia" w:eastAsiaTheme="minorEastAsia" w:hAnsiTheme="minorEastAsia"/>
          <w:color w:val="000000" w:themeColor="text1"/>
        </w:rPr>
      </w:pPr>
      <w:bookmarkStart w:id="392" w:name="_Toc390433598"/>
      <w:r w:rsidRPr="00CD6F5B">
        <w:rPr>
          <w:rFonts w:asciiTheme="minorEastAsia" w:eastAsiaTheme="minorEastAsia" w:hAnsiTheme="minorEastAsia"/>
          <w:color w:val="000000" w:themeColor="text1"/>
        </w:rPr>
        <w:t>（</w:t>
      </w:r>
      <w:r w:rsidR="009A70C6" w:rsidRPr="00CD6F5B">
        <w:rPr>
          <w:rFonts w:asciiTheme="minorEastAsia" w:eastAsiaTheme="minorEastAsia" w:hAnsiTheme="minorEastAsia"/>
          <w:color w:val="000000" w:themeColor="text1"/>
        </w:rPr>
        <w:t>十</w:t>
      </w:r>
      <w:r w:rsidRPr="00CD6F5B">
        <w:rPr>
          <w:rFonts w:asciiTheme="minorEastAsia" w:eastAsiaTheme="minorEastAsia" w:hAnsiTheme="minorEastAsia"/>
          <w:color w:val="000000" w:themeColor="text1"/>
        </w:rPr>
        <w:t>）基金投资组合报告（未经审计）</w:t>
      </w:r>
      <w:bookmarkEnd w:id="392"/>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本基金管理人的董事会及董事保证本报告所载资料不存在虚假记载、误导性陈述或重大</w:t>
      </w:r>
      <w:r w:rsidRPr="00CD6F5B">
        <w:rPr>
          <w:rFonts w:asciiTheme="minorEastAsia" w:eastAsiaTheme="minorEastAsia" w:hAnsiTheme="minorEastAsia"/>
          <w:color w:val="000000" w:themeColor="text1"/>
        </w:rPr>
        <w:lastRenderedPageBreak/>
        <w:t>遗漏，并对其内容的真实性、准确性和完整性承担个别及连带责任。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本基金的托管人上海浦东发展银行股份有限公司根据本基金合同的规定，复核了本报告的内容，保证复核内容不存在虚假记载、误导性陈述或者重大遗漏。</w:t>
      </w:r>
    </w:p>
    <w:p w:rsidR="00F35680" w:rsidRPr="00CD6F5B" w:rsidRDefault="009F629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本投资组合报告有关数据的期间为2020年4月1日至2020年6月30日</w:t>
      </w:r>
      <w:r w:rsidR="0089396A" w:rsidRPr="00CD6F5B">
        <w:rPr>
          <w:rFonts w:asciiTheme="minorEastAsia" w:eastAsiaTheme="minorEastAsia" w:hAnsiTheme="minorEastAsia" w:hint="eastAsia"/>
          <w:color w:val="000000" w:themeColor="text1"/>
        </w:rPr>
        <w:t>。</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1、报告期末基金资产组合情况</w:t>
      </w:r>
    </w:p>
    <w:tbl>
      <w:tblPr>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007"/>
        <w:gridCol w:w="2669"/>
        <w:gridCol w:w="1663"/>
      </w:tblGrid>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占基金总资产的比例（%）</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3,187,896,376.78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15.09</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3,187,896,376.78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15.09</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17,260,968,865.50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81.71</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16,955,222,965.50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80.27</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305,745,900.00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1.45</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w:t>
            </w:r>
          </w:p>
        </w:tc>
        <w:tc>
          <w:tcPr>
            <w:tcW w:w="3357" w:type="dxa"/>
            <w:tcBorders>
              <w:top w:val="single" w:sz="4" w:space="0" w:color="auto"/>
              <w:left w:val="single" w:sz="4" w:space="0" w:color="auto"/>
              <w:bottom w:val="single" w:sz="4" w:space="0" w:color="auto"/>
              <w:right w:val="single" w:sz="4" w:space="0" w:color="auto"/>
            </w:tcBorders>
            <w:hideMark/>
          </w:tcPr>
          <w:p w:rsidR="009F629F" w:rsidRPr="00CD6F5B" w:rsidRDefault="009F629F">
            <w:pPr>
              <w:spacing w:before="29" w:line="300" w:lineRule="auto"/>
              <w:ind w:leftChars="50" w:left="105"/>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297,915,194.93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1.41</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377,149,336.56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1.79</w:t>
            </w:r>
          </w:p>
        </w:tc>
      </w:tr>
      <w:tr w:rsidR="00CD6F5B" w:rsidRPr="00CD6F5B" w:rsidTr="009F629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21,123,929,773.77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100.00</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2、报告期末按行业分类的股票投资组合</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（1）报告期末按行业分类的境内股票投资组合</w:t>
      </w:r>
    </w:p>
    <w:tbl>
      <w:tblPr>
        <w:tblW w:w="80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0"/>
        <w:gridCol w:w="3225"/>
        <w:gridCol w:w="2708"/>
        <w:gridCol w:w="1421"/>
      </w:tblGrid>
      <w:tr w:rsidR="00CD6F5B" w:rsidRPr="00CD6F5B" w:rsidTr="009F629F">
        <w:trPr>
          <w:trHeight w:val="3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代码</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行业类别</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A</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农、林、牧、渔业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B</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采矿业</w:t>
            </w:r>
          </w:p>
        </w:tc>
        <w:tc>
          <w:tcPr>
            <w:tcW w:w="2977" w:type="dxa"/>
            <w:tcBorders>
              <w:top w:val="single" w:sz="4" w:space="0" w:color="000000"/>
              <w:left w:val="single" w:sz="4" w:space="0" w:color="000000"/>
              <w:bottom w:val="single" w:sz="4" w:space="0" w:color="000000"/>
              <w:right w:val="single" w:sz="4" w:space="0" w:color="000000"/>
            </w:tcBorders>
            <w:vAlign w:val="center"/>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p w:rsidR="009F629F" w:rsidRPr="00CD6F5B" w:rsidRDefault="009F629F">
            <w:pPr>
              <w:spacing w:line="300" w:lineRule="auto"/>
              <w:jc w:val="right"/>
              <w:rPr>
                <w:rFonts w:asciiTheme="minorEastAsia" w:eastAsiaTheme="minorEastAsia" w:hAnsiTheme="minorEastAsia"/>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p w:rsidR="009F629F" w:rsidRPr="00CD6F5B" w:rsidRDefault="009F629F">
            <w:pPr>
              <w:spacing w:line="300" w:lineRule="auto"/>
              <w:jc w:val="right"/>
              <w:rPr>
                <w:rFonts w:asciiTheme="minorEastAsia" w:eastAsiaTheme="minorEastAsia" w:hAnsiTheme="minorEastAsia"/>
                <w:color w:val="000000" w:themeColor="text1"/>
                <w:kern w:val="0"/>
              </w:rPr>
            </w:pP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C</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制造业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2,677,013,212.76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17.24</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D</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电力、热力、燃气及水生产和供应业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E</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建筑业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70,411,878.00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0.45</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F</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批发和零售业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lastRenderedPageBreak/>
              <w:t>G</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交通运输、仓储和邮政业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14,458.78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0.00</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H</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住宿和餐饮业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I</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信息传输、软件和信息技术服务业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J</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金融业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K</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房地产业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440,456,827.24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2.84</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L</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租赁和商务服务业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M</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科学研究和技术服务业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N</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水利、环境和公共设施管理业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居民服务、修理和其他服务业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P</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教育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Q</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卫生和社会工作</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R</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文化、体育和娱乐业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S</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综合</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F629F" w:rsidRPr="00CD6F5B" w:rsidRDefault="009F629F">
            <w:pPr>
              <w:adjustRightInd w:val="0"/>
              <w:snapToGrid w:val="0"/>
              <w:spacing w:line="300" w:lineRule="auto"/>
              <w:jc w:val="center"/>
              <w:rPr>
                <w:rFonts w:asciiTheme="minorEastAsia" w:eastAsiaTheme="minorEastAsia" w:hAnsiTheme="minorEastAsia"/>
                <w:color w:val="000000" w:themeColor="text1"/>
                <w:kern w:val="0"/>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adjustRightInd w:val="0"/>
              <w:snapToGrid w:val="0"/>
              <w:spacing w:line="300" w:lineRule="auto"/>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合计</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3,187,896,376.78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F629F" w:rsidRPr="00CD6F5B" w:rsidRDefault="009F629F">
            <w:pPr>
              <w:spacing w:line="300" w:lineRule="auto"/>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20.52</w:t>
            </w:r>
          </w:p>
        </w:tc>
      </w:tr>
    </w:tbl>
    <w:p w:rsidR="009F629F" w:rsidRPr="00CD6F5B" w:rsidRDefault="009F629F" w:rsidP="009F629F">
      <w:pPr>
        <w:autoSpaceDE w:val="0"/>
        <w:autoSpaceDN w:val="0"/>
        <w:adjustRightInd w:val="0"/>
        <w:spacing w:line="300" w:lineRule="auto"/>
        <w:jc w:val="left"/>
        <w:rPr>
          <w:rFonts w:asciiTheme="minorEastAsia" w:eastAsiaTheme="minorEastAsia" w:hAnsiTheme="minorEastAsia"/>
          <w:bCs/>
          <w:color w:val="000000" w:themeColor="text1"/>
          <w:kern w:val="0"/>
        </w:rPr>
      </w:pPr>
      <w:r w:rsidRPr="00CD6F5B">
        <w:rPr>
          <w:rFonts w:asciiTheme="minorEastAsia" w:eastAsiaTheme="minorEastAsia" w:hAnsiTheme="minorEastAsia" w:hint="eastAsia"/>
          <w:bCs/>
          <w:color w:val="000000" w:themeColor="text1"/>
          <w:kern w:val="0"/>
        </w:rPr>
        <w:t>3、报告期末按公允价值占基金资产净值比例大小排序的前十名股票投资明细</w:t>
      </w:r>
    </w:p>
    <w:tbl>
      <w:tblPr>
        <w:tblW w:w="8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165"/>
        <w:gridCol w:w="1292"/>
        <w:gridCol w:w="1545"/>
        <w:gridCol w:w="1798"/>
        <w:gridCol w:w="1418"/>
      </w:tblGrid>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stheme="minorBidi"/>
                <w:color w:val="000000" w:themeColor="text1"/>
                <w:kern w:val="0"/>
              </w:rPr>
            </w:pPr>
            <w:r w:rsidRPr="00CD6F5B">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股票代码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股票名称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数量（股）</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2"/>
              </w:rPr>
            </w:pPr>
            <w:r w:rsidRPr="00CD6F5B">
              <w:rPr>
                <w:rFonts w:asciiTheme="minorEastAsia" w:eastAsiaTheme="minorEastAsia" w:hAnsiTheme="minorEastAsia" w:hint="eastAsia"/>
                <w:color w:val="000000" w:themeColor="text1"/>
                <w:kern w:val="0"/>
              </w:rPr>
              <w:t>601012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隆基股份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8,926,737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363,585,998.01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2.34</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000651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格力电器</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5,277,749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298,562,260.93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1.92</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600066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宇通客车</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23,704,411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289,193,814.20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1.86</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000002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万科A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10,349,525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270,536,583.50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1.74</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300433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蓝思科技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9,622,971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269,828,106.84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1.74</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601799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星宇股份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1,879,284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238,669,068.00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1.54</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002236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大华股份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8,274,307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158,949,437.47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1.02</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002396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星网锐捷</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4,014,788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141,842,460.04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0.91</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002938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鹏鼎控股</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2,532,203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126,762,082.18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0.82</w:t>
            </w:r>
          </w:p>
        </w:tc>
      </w:tr>
      <w:tr w:rsidR="00CD6F5B" w:rsidRPr="00CD6F5B" w:rsidTr="009F629F">
        <w:tc>
          <w:tcPr>
            <w:tcW w:w="85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601877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正泰电器</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4,602,179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121,267,416.65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0.78</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4、报告期末按债券品种分类的债券投资组合</w:t>
      </w:r>
    </w:p>
    <w:tbl>
      <w:tblPr>
        <w:tblStyle w:val="af5"/>
        <w:tblW w:w="8004" w:type="dxa"/>
        <w:jc w:val="center"/>
        <w:tblLayout w:type="fixed"/>
        <w:tblLook w:val="04A0" w:firstRow="1" w:lastRow="0" w:firstColumn="1" w:lastColumn="0" w:noHBand="0" w:noVBand="1"/>
      </w:tblPr>
      <w:tblGrid>
        <w:gridCol w:w="762"/>
        <w:gridCol w:w="2969"/>
        <w:gridCol w:w="2688"/>
        <w:gridCol w:w="1585"/>
      </w:tblGrid>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2,001,000.00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0.01</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lastRenderedPageBreak/>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1,520,635,500.00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9.79</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1,520,635,500.00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9.79</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6,094,400,586.40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39.24</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290,059,000.00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1.87</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7,483,643,600.00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48.18</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1,564,483,279.10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10.07</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16,955,222,965.50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109.16</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5、报告期末按公允价值占基金资产净值比例大小排序的前五名债券投资明细</w:t>
      </w:r>
    </w:p>
    <w:tbl>
      <w:tblPr>
        <w:tblW w:w="8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1199"/>
        <w:gridCol w:w="1198"/>
        <w:gridCol w:w="1462"/>
        <w:gridCol w:w="1855"/>
        <w:gridCol w:w="1383"/>
      </w:tblGrid>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stheme="minorBidi"/>
                <w:color w:val="000000" w:themeColor="text1"/>
                <w:kern w:val="0"/>
              </w:rPr>
            </w:pPr>
            <w:r w:rsidRPr="00CD6F5B">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债券代码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债券名称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数量（张）</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2"/>
              </w:rPr>
            </w:pPr>
            <w:r w:rsidRPr="00CD6F5B">
              <w:rPr>
                <w:rFonts w:asciiTheme="minorEastAsia" w:eastAsiaTheme="minorEastAsia" w:hAnsiTheme="minorEastAsia" w:hint="eastAsia"/>
                <w:color w:val="000000" w:themeColor="text1"/>
                <w:kern w:val="0"/>
              </w:rPr>
              <w:t>149028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20CATL01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301,560,000.00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1.94</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180203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18国开03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2,600,000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264,264,000.00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1.70</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190205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19国开05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211,743,000.00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1.36</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190401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19农发01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205,200,000.00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2080152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20陕煤债02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199,520,000.00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6、报告期末按公允价值占基金资产净值比例大小排序的前十名资产支持证券投资明细</w:t>
      </w:r>
    </w:p>
    <w:tbl>
      <w:tblPr>
        <w:tblW w:w="8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1199"/>
        <w:gridCol w:w="1198"/>
        <w:gridCol w:w="1687"/>
        <w:gridCol w:w="1631"/>
        <w:gridCol w:w="1383"/>
      </w:tblGrid>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stheme="minorBidi"/>
                <w:color w:val="000000" w:themeColor="text1"/>
                <w:kern w:val="0"/>
              </w:rPr>
            </w:pPr>
            <w:r w:rsidRPr="00CD6F5B">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证券代码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证券名称</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数量（份）</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2"/>
              </w:rPr>
            </w:pPr>
            <w:r w:rsidRPr="00CD6F5B">
              <w:rPr>
                <w:rFonts w:asciiTheme="minorEastAsia" w:eastAsiaTheme="minorEastAsia" w:hAnsiTheme="minorEastAsia" w:hint="eastAsia"/>
                <w:color w:val="000000" w:themeColor="text1"/>
                <w:kern w:val="0"/>
              </w:rPr>
              <w:t>138404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天著优08</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40,188,000.00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0.26</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165209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PR安吉3A</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31,275,000.00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0.20</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2089001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20捷赢1A</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30,048,000.00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0.19</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168022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兆玺01优</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19,970,000.00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0.13</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168483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健弘02A</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19,744,000.00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0.13</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168318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益行01A1</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19,590,000.00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0.13</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2089002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20捷赢1B</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13,028,600.00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0.08</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138473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南链优05</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10,018,000.00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138470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鹏举04优</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10,016,000.00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r w:rsidR="00CD6F5B" w:rsidRPr="00CD6F5B" w:rsidTr="009F629F">
        <w:tc>
          <w:tcPr>
            <w:tcW w:w="95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165755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聚盈05A</w:t>
            </w:r>
          </w:p>
        </w:tc>
        <w:tc>
          <w:tcPr>
            <w:tcW w:w="180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10,014,000.00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7、报告期末按公允价值占基金资产净值比例大小排序的前五名贵金属投资明细</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本基金本报告期末未持有贵金属。</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8、报告期末按公允价值占基金资产净值比例大小排序的前五名权证投资明细</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本基金本报告期末未持有权证。</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9、报告期末本基金投资的股指期货交易情况说明</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本基金本报告期末未投资股指期货。</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10、报告期末本基金投资的国债期货交易情况说明</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本基金本报告期末未投资国债期货。</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11、投资组合报告附注</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2019年11月18日，珠海市交通运输局对珠海格力电器股份有限公司违反《超限运输车辆行驶公路管理规定》第四十三条的行为作出“罚款4000元”的行政处罚决定。2019年12月4日，珠海市交通运输局对珠海格力电器股份有限公司违反《超限运输车辆行驶公路管理规定》第四十三条的行为作出“罚款4000元”的行政处罚决定。</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2020年4月30日，北京市西城区卫生健康委员会对中国农业发展银行违反《北京市生活饮用水卫生监督管理条例》第二十一条第（三）项的行为作出“罚款5000元”的行政处罚决定。</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本基金投资格力电器、19农发01的投资决策程序符合公司投资制度的规定。</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除格力电器、19农发01外，本基金投资的前十名证券的发行主体本期没有出现被监管部门立案调查，或在报告编制日前一年内受到公开谴责、处罚的情形。</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（2）本基金投资的前十名股票没有超出基金合同规定的备选股票库。</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（3）其他资产构成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2295"/>
        <w:gridCol w:w="4539"/>
      </w:tblGrid>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金额（元）</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2,077,490.80</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99,835,225.79</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246,481,359.58</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28,755,260.39</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w:t>
            </w:r>
          </w:p>
        </w:tc>
      </w:tr>
      <w:tr w:rsidR="00CD6F5B" w:rsidRPr="00CD6F5B" w:rsidTr="009F629F">
        <w:tc>
          <w:tcPr>
            <w:tcW w:w="1235"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lastRenderedPageBreak/>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377,149,336.56</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（4）报告期末持有的处于转股期的可转换债券明细</w:t>
      </w:r>
    </w:p>
    <w:tbl>
      <w:tblPr>
        <w:tblW w:w="8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625"/>
        <w:gridCol w:w="1559"/>
        <w:gridCol w:w="1596"/>
        <w:gridCol w:w="1525"/>
      </w:tblGrid>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stheme="minorBidi"/>
                <w:color w:val="000000" w:themeColor="text1"/>
                <w:kern w:val="0"/>
              </w:rPr>
            </w:pPr>
            <w:r w:rsidRPr="00CD6F5B">
              <w:rPr>
                <w:rFonts w:asciiTheme="minorEastAsia" w:eastAsiaTheme="minorEastAsia" w:hAnsiTheme="minorEastAsia" w:hint="eastAsia"/>
                <w:color w:val="000000" w:themeColor="text1"/>
                <w:kern w:val="0"/>
              </w:rPr>
              <w:t>序号</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债券代码</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债券名称</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公允价值（元）</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before="29" w:line="300" w:lineRule="auto"/>
              <w:ind w:left="17"/>
              <w:jc w:val="center"/>
              <w:rPr>
                <w:rFonts w:asciiTheme="minorEastAsia" w:eastAsiaTheme="minorEastAsia" w:hAnsiTheme="minorEastAsia"/>
                <w:color w:val="000000" w:themeColor="text1"/>
                <w:kern w:val="0"/>
              </w:rPr>
            </w:pPr>
            <w:r w:rsidRPr="00CD6F5B">
              <w:rPr>
                <w:rFonts w:asciiTheme="minorEastAsia" w:eastAsiaTheme="minorEastAsia" w:hAnsiTheme="minorEastAsia" w:hint="eastAsia"/>
                <w:color w:val="000000" w:themeColor="text1"/>
                <w:kern w:val="0"/>
              </w:rPr>
              <w:t>占基金资产净值比例（%）</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kern w:val="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szCs w:val="22"/>
              </w:rPr>
            </w:pPr>
            <w:r w:rsidRPr="00CD6F5B">
              <w:rPr>
                <w:rFonts w:asciiTheme="minorEastAsia" w:eastAsiaTheme="minorEastAsia" w:hAnsiTheme="minorEastAsia" w:hint="eastAsia"/>
                <w:color w:val="000000" w:themeColor="text1"/>
                <w:kern w:val="0"/>
              </w:rPr>
              <w:t>113011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光大转债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130,209,755.40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0.84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鸿达转债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58,154,585.30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0.37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110047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山鹰转债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42,807,038.60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0.28</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128084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木森转债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39,984,291.27</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0.26</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110048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福能转债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34,291,242.00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113009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广汽转债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33,665,714.10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常汽转债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31,940,260.00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苏银转债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31,294,064.00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0.20</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110031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航信转债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31,138,832.90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0.20</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17宝武EB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30,984,890.70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0.20</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127011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中鼎转2</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29,969,569.08</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132015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18中油EB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29,189,000.00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113509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新泉转债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28,064,103.00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0.18</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亚太转债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26,758,536.96</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110045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海澜转债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25,472,070.00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0.16</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110055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伊力转债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23,104,349.40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132009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17中油EB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22,969,986.90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19新钢EB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22,357,080.00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127012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招路转债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21,861,028.98</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长久转债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21,595,881.00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淮矿转债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21,375,604.90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113508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新凤转债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19,483,556.40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清水转债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19,452,593.82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吉视转债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19,064,681.60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鼎胜转债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19,063,477.50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明泰转债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17,659,476.90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林洋转债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17,038,706.30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128081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海亮转债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15,992,136.81</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0.10</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华钰转债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15,259,618.40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0.10</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lastRenderedPageBreak/>
              <w:t>30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大丰转债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14,489,875.40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110043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无锡转债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14,382,200.00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113516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苏农转债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13,980,820.80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113008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电气转债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13,888,732.80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128083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新北转债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13,880,781.12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0.09</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中信转债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12,516,736.40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0.08</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132004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15国盛EB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12,061,641.60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0.08</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113547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索发转债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11,979,675.60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0.08</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128063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未来转债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11,594,334.72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时达转债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11,553,673.60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翔鹭转债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11,247,796.35</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明阳转债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10,440,808.70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0.07</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128042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凯中转债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9,564,276.42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久立转2</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9,143,628.30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永东转债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9,000,845.10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0.06</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洪涛转债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8,367,200.00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钧达转债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8,303,330.80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123007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道氏转债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8,237,328.69</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113559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永创转债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7,716,779.20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113016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小康转债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7,654,718.80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128073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哈尔转债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7,528,622.57</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江银转债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7,233,100.00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维格转债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7,118,452.80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0.05</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岭南转债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6,704,199.32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127014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北方转债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6,618,327.30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128058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拓邦转债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6,462,932.49</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双环转债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6,221,482.22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迪森转债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5,755,671.02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0.04</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18中化EB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5,090,000.00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59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合兴转债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4,621,648.03</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三星转债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4,448,325.80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113549</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白电转债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4,216,000.00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众信转债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4,130,312.72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128015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久其转债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4,031,583.20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0.03</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lastRenderedPageBreak/>
              <w:t>64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127005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长证转债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3,498,266.88</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113022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浙商转债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3,326,700.00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113535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大业转债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3,269,557.20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113502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嘉澳转债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3,003,600.00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中环转债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2,949,347.12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69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113558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日月转债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2,870,329.60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迪龙转债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2,810,097.78</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113542</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好客转债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2,491,454.60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0.02</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台华转债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2,126,800.00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73</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128056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今飞转债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2,121,591.52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123004</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铁汉转债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1,936,625.04</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110061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川投转债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1,847,856.00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76</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岩土转债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1,775,307.52</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128026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众兴转债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1,716,033.00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132011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17浙报EB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1,403,360.00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79</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长城转债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1,358,715.30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123011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德尔转债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1,162,254.36</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金牌转债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1,100,124.90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0.01</w:t>
            </w:r>
          </w:p>
        </w:tc>
      </w:tr>
      <w:tr w:rsidR="00CD6F5B" w:rsidRPr="00CD6F5B" w:rsidTr="009F629F">
        <w:tc>
          <w:tcPr>
            <w:tcW w:w="180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82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113545</w:t>
            </w:r>
          </w:p>
        </w:tc>
        <w:tc>
          <w:tcPr>
            <w:tcW w:w="1658"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center"/>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金能转债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158,672.40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9F629F" w:rsidRPr="00CD6F5B" w:rsidRDefault="009F629F">
            <w:pPr>
              <w:spacing w:line="300" w:lineRule="auto"/>
              <w:jc w:val="righ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rPr>
              <w:t>0.00</w:t>
            </w:r>
          </w:p>
        </w:tc>
      </w:tr>
    </w:tbl>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（5）报告期末前十名股票中存在流通受限情况的说明</w:t>
      </w:r>
    </w:p>
    <w:p w:rsidR="009F629F" w:rsidRPr="00CD6F5B" w:rsidRDefault="009F629F" w:rsidP="00EF109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本基金本报告期末前十名股票中不存在流通受限情况。</w:t>
      </w:r>
    </w:p>
    <w:p w:rsidR="00B06A4E" w:rsidRPr="00CD6F5B" w:rsidRDefault="00B06A4E">
      <w:pPr>
        <w:widowControl/>
        <w:jc w:val="left"/>
        <w:rPr>
          <w:rFonts w:asciiTheme="minorEastAsia" w:eastAsiaTheme="minorEastAsia" w:hAnsiTheme="minorEastAsia"/>
          <w:color w:val="000000" w:themeColor="text1"/>
          <w:szCs w:val="22"/>
        </w:rPr>
      </w:pPr>
      <w:r w:rsidRPr="00CD6F5B">
        <w:rPr>
          <w:rFonts w:asciiTheme="minorEastAsia" w:eastAsiaTheme="minorEastAsia" w:hAnsiTheme="minorEastAsia"/>
          <w:color w:val="000000" w:themeColor="text1"/>
          <w:szCs w:val="22"/>
        </w:rPr>
        <w:br w:type="page"/>
      </w:r>
    </w:p>
    <w:p w:rsidR="001C5C6E" w:rsidRPr="00CD6F5B" w:rsidRDefault="001C5C6E" w:rsidP="00CC1421">
      <w:pPr>
        <w:pStyle w:val="1"/>
        <w:snapToGrid w:val="0"/>
        <w:spacing w:beforeLines="0" w:afterLines="0" w:line="360" w:lineRule="auto"/>
        <w:ind w:firstLine="640"/>
        <w:rPr>
          <w:rFonts w:asciiTheme="minorEastAsia" w:eastAsiaTheme="minorEastAsia" w:hAnsiTheme="minorEastAsia"/>
          <w:color w:val="000000" w:themeColor="text1"/>
        </w:rPr>
      </w:pPr>
      <w:bookmarkStart w:id="393" w:name="_Toc82186591"/>
      <w:r w:rsidRPr="00CD6F5B">
        <w:rPr>
          <w:rFonts w:asciiTheme="minorEastAsia" w:eastAsiaTheme="minorEastAsia" w:hAnsiTheme="minorEastAsia"/>
          <w:color w:val="000000" w:themeColor="text1"/>
        </w:rPr>
        <w:lastRenderedPageBreak/>
        <w:t>十二、基金的业绩</w:t>
      </w:r>
      <w:bookmarkEnd w:id="393"/>
    </w:p>
    <w:p w:rsidR="001C5C6E" w:rsidRPr="00CD6F5B" w:rsidRDefault="00E471BA"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1C5C6E" w:rsidRPr="00CD6F5B" w:rsidRDefault="001C5C6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本基金合同生效日为</w:t>
      </w:r>
      <w:r w:rsidR="0044589F" w:rsidRPr="00CD6F5B">
        <w:rPr>
          <w:rFonts w:asciiTheme="minorEastAsia" w:eastAsiaTheme="minorEastAsia" w:hAnsiTheme="minorEastAsia"/>
          <w:color w:val="000000" w:themeColor="text1"/>
        </w:rPr>
        <w:t>2016年1月22日</w:t>
      </w:r>
      <w:r w:rsidRPr="00CD6F5B">
        <w:rPr>
          <w:rFonts w:asciiTheme="minorEastAsia" w:eastAsiaTheme="minorEastAsia" w:hAnsiTheme="minorEastAsia"/>
          <w:color w:val="000000" w:themeColor="text1"/>
        </w:rPr>
        <w:t>，</w:t>
      </w:r>
      <w:r w:rsidR="006C2DD5" w:rsidRPr="00CD6F5B">
        <w:rPr>
          <w:rFonts w:asciiTheme="minorEastAsia" w:eastAsiaTheme="minorEastAsia" w:hAnsiTheme="minorEastAsia"/>
          <w:color w:val="000000" w:themeColor="text1"/>
        </w:rPr>
        <w:t>基金合同生效以来（截至2019年12月31日）的投资业绩及与同期基准的比较如下表所示</w:t>
      </w:r>
      <w:r w:rsidRPr="00CD6F5B">
        <w:rPr>
          <w:rFonts w:asciiTheme="minorEastAsia" w:eastAsiaTheme="minorEastAsia" w:hAnsiTheme="minorEastAsia"/>
          <w:color w:val="000000" w:themeColor="text1"/>
        </w:rPr>
        <w:t>：</w:t>
      </w:r>
    </w:p>
    <w:tbl>
      <w:tblPr>
        <w:tblW w:w="93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332"/>
        <w:gridCol w:w="1440"/>
        <w:gridCol w:w="1260"/>
        <w:gridCol w:w="1260"/>
        <w:gridCol w:w="1260"/>
        <w:gridCol w:w="1080"/>
      </w:tblGrid>
      <w:tr w:rsidR="00CD6F5B" w:rsidRPr="00CD6F5B" w:rsidTr="00CC44BD">
        <w:trPr>
          <w:trHeight w:val="1128"/>
        </w:trPr>
        <w:tc>
          <w:tcPr>
            <w:tcW w:w="1737" w:type="dxa"/>
            <w:tcBorders>
              <w:top w:val="single" w:sz="4" w:space="0" w:color="auto"/>
              <w:left w:val="single" w:sz="4" w:space="0" w:color="auto"/>
              <w:bottom w:val="single" w:sz="4" w:space="0" w:color="auto"/>
              <w:right w:val="single" w:sz="4" w:space="0" w:color="auto"/>
            </w:tcBorders>
          </w:tcPr>
          <w:p w:rsidR="004311BF" w:rsidRPr="00CD6F5B" w:rsidRDefault="004311BF" w:rsidP="002204E3">
            <w:pPr>
              <w:rPr>
                <w:rFonts w:asciiTheme="minorEastAsia" w:eastAsiaTheme="minorEastAsia" w:hAnsiTheme="minorEastAsia"/>
                <w:color w:val="000000" w:themeColor="text1"/>
                <w:szCs w:val="21"/>
              </w:rPr>
            </w:pPr>
          </w:p>
          <w:p w:rsidR="00C3497E" w:rsidRPr="00CD6F5B" w:rsidRDefault="00C3497E" w:rsidP="00414D4E">
            <w:pPr>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C3497E" w:rsidP="00997221">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净值增长率</w:t>
            </w:r>
            <w:r w:rsidR="003B79A5" w:rsidRPr="00CD6F5B">
              <w:rPr>
                <w:rFonts w:asciiTheme="minorEastAsia" w:eastAsiaTheme="minorEastAsia" w:hAnsiTheme="minorEastAsia"/>
                <w:color w:val="000000" w:themeColor="text1"/>
                <w:szCs w:val="21"/>
              </w:rPr>
              <w:t>（</w:t>
            </w:r>
            <w:r w:rsidRPr="00CD6F5B">
              <w:rPr>
                <w:rFonts w:asciiTheme="minorEastAsia" w:eastAsiaTheme="minorEastAsia" w:hAnsiTheme="minorEastAsia"/>
                <w:color w:val="000000" w:themeColor="text1"/>
                <w:szCs w:val="21"/>
              </w:rPr>
              <w:t>1</w:t>
            </w:r>
            <w:r w:rsidR="003B79A5" w:rsidRPr="00CD6F5B">
              <w:rPr>
                <w:rFonts w:asciiTheme="minorEastAsia" w:eastAsiaTheme="minorEastAsia" w:hAnsiTheme="minor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C3497E" w:rsidP="00997221">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净值增长率标准差</w:t>
            </w:r>
            <w:r w:rsidR="003B79A5" w:rsidRPr="00CD6F5B">
              <w:rPr>
                <w:rFonts w:asciiTheme="minorEastAsia" w:eastAsiaTheme="minorEastAsia" w:hAnsiTheme="minorEastAsia"/>
                <w:color w:val="000000" w:themeColor="text1"/>
                <w:szCs w:val="21"/>
              </w:rPr>
              <w:t>（</w:t>
            </w:r>
            <w:r w:rsidRPr="00CD6F5B">
              <w:rPr>
                <w:rFonts w:asciiTheme="minorEastAsia" w:eastAsiaTheme="minorEastAsia" w:hAnsiTheme="minorEastAsia"/>
                <w:color w:val="000000" w:themeColor="text1"/>
                <w:szCs w:val="21"/>
              </w:rPr>
              <w:t>2</w:t>
            </w:r>
            <w:r w:rsidR="003B79A5" w:rsidRPr="00CD6F5B">
              <w:rPr>
                <w:rFonts w:asciiTheme="minorEastAsia" w:eastAsiaTheme="minorEastAsia" w:hAnsiTheme="minor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C3497E" w:rsidP="00997221">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业绩比较基准收益率</w:t>
            </w:r>
            <w:r w:rsidR="002204E3" w:rsidRPr="00CD6F5B">
              <w:rPr>
                <w:rFonts w:asciiTheme="minorEastAsia" w:eastAsiaTheme="minorEastAsia" w:hAnsiTheme="minorEastAsia"/>
                <w:color w:val="000000" w:themeColor="text1"/>
                <w:szCs w:val="21"/>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C3497E" w:rsidP="00997221">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业绩比较基准收益率标准差</w:t>
            </w:r>
            <w:r w:rsidR="002204E3" w:rsidRPr="00CD6F5B">
              <w:rPr>
                <w:rFonts w:asciiTheme="minorEastAsia" w:eastAsiaTheme="minorEastAsia" w:hAnsiTheme="minorEastAsia"/>
                <w:color w:val="000000" w:themeColor="text1"/>
                <w:szCs w:val="21"/>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2204E3" w:rsidP="002204E3">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497E" w:rsidRPr="00CD6F5B" w:rsidRDefault="002204E3" w:rsidP="002204E3">
            <w:pP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（2）-（4）</w:t>
            </w:r>
          </w:p>
        </w:tc>
      </w:tr>
      <w:tr w:rsidR="00CD6F5B" w:rsidRPr="00CD6F5B" w:rsidTr="00CC44BD">
        <w:tc>
          <w:tcPr>
            <w:tcW w:w="1737" w:type="dxa"/>
            <w:vAlign w:val="center"/>
          </w:tcPr>
          <w:p w:rsidR="000F75E1" w:rsidRPr="00CD6F5B" w:rsidRDefault="00736829" w:rsidP="000F75E1">
            <w:pPr>
              <w:jc w:val="lef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自</w:t>
            </w:r>
            <w:r w:rsidR="000F75E1" w:rsidRPr="00CD6F5B">
              <w:rPr>
                <w:rFonts w:asciiTheme="minorEastAsia" w:eastAsiaTheme="minorEastAsia" w:hAnsiTheme="minorEastAsia"/>
                <w:color w:val="000000" w:themeColor="text1"/>
              </w:rPr>
              <w:t>基金合同生效</w:t>
            </w:r>
            <w:r w:rsidRPr="00CD6F5B">
              <w:rPr>
                <w:rFonts w:asciiTheme="minorEastAsia" w:eastAsiaTheme="minorEastAsia" w:hAnsiTheme="minorEastAsia"/>
                <w:color w:val="000000" w:themeColor="text1"/>
              </w:rPr>
              <w:t>日</w:t>
            </w:r>
            <w:r w:rsidR="000F75E1" w:rsidRPr="00CD6F5B">
              <w:rPr>
                <w:rFonts w:asciiTheme="minorEastAsia" w:eastAsiaTheme="minorEastAsia" w:hAnsiTheme="minorEastAsia"/>
                <w:color w:val="000000" w:themeColor="text1"/>
              </w:rPr>
              <w:t>至2016年12月31日</w:t>
            </w:r>
          </w:p>
        </w:tc>
        <w:tc>
          <w:tcPr>
            <w:tcW w:w="1332"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2.00%</w:t>
            </w:r>
          </w:p>
        </w:tc>
        <w:tc>
          <w:tcPr>
            <w:tcW w:w="1440"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0.16%</w:t>
            </w:r>
          </w:p>
        </w:tc>
        <w:tc>
          <w:tcPr>
            <w:tcW w:w="1260"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2.50%</w:t>
            </w:r>
          </w:p>
        </w:tc>
        <w:tc>
          <w:tcPr>
            <w:tcW w:w="1260"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0.20%</w:t>
            </w:r>
          </w:p>
        </w:tc>
        <w:tc>
          <w:tcPr>
            <w:tcW w:w="1260"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-0.50%</w:t>
            </w:r>
          </w:p>
        </w:tc>
        <w:tc>
          <w:tcPr>
            <w:tcW w:w="1080" w:type="dxa"/>
            <w:vAlign w:val="center"/>
          </w:tcPr>
          <w:p w:rsidR="000F75E1" w:rsidRPr="00CD6F5B" w:rsidRDefault="000F75E1" w:rsidP="000F75E1">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-0.04%</w:t>
            </w:r>
          </w:p>
        </w:tc>
      </w:tr>
      <w:tr w:rsidR="00CD6F5B" w:rsidRPr="00CD6F5B" w:rsidTr="00CC44BD">
        <w:tc>
          <w:tcPr>
            <w:tcW w:w="1737" w:type="dxa"/>
            <w:vAlign w:val="center"/>
          </w:tcPr>
          <w:p w:rsidR="003D5CA6" w:rsidRPr="00CD6F5B" w:rsidRDefault="003D5CA6" w:rsidP="003D5CA6">
            <w:pPr>
              <w:jc w:val="lef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2017年1月1日至2017年12月31日</w:t>
            </w:r>
          </w:p>
        </w:tc>
        <w:tc>
          <w:tcPr>
            <w:tcW w:w="1332"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8.43%</w:t>
            </w:r>
          </w:p>
        </w:tc>
        <w:tc>
          <w:tcPr>
            <w:tcW w:w="1440"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0.25%</w:t>
            </w:r>
          </w:p>
        </w:tc>
        <w:tc>
          <w:tcPr>
            <w:tcW w:w="1260"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3.30%</w:t>
            </w:r>
          </w:p>
        </w:tc>
        <w:tc>
          <w:tcPr>
            <w:tcW w:w="1260"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0.11%</w:t>
            </w:r>
          </w:p>
        </w:tc>
        <w:tc>
          <w:tcPr>
            <w:tcW w:w="1260"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5.13%</w:t>
            </w:r>
          </w:p>
        </w:tc>
        <w:tc>
          <w:tcPr>
            <w:tcW w:w="1080" w:type="dxa"/>
            <w:vAlign w:val="bottom"/>
          </w:tcPr>
          <w:p w:rsidR="003D5CA6" w:rsidRPr="00CD6F5B" w:rsidRDefault="003D5CA6" w:rsidP="00DB6075">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0.14%</w:t>
            </w:r>
          </w:p>
        </w:tc>
      </w:tr>
      <w:tr w:rsidR="00CD6F5B" w:rsidRPr="00CD6F5B" w:rsidTr="00CC44BD">
        <w:tc>
          <w:tcPr>
            <w:tcW w:w="1737" w:type="dxa"/>
            <w:vAlign w:val="center"/>
          </w:tcPr>
          <w:p w:rsidR="0070181E" w:rsidRPr="00CD6F5B" w:rsidRDefault="0070181E" w:rsidP="0070181E">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w:t>
            </w:r>
            <w:r w:rsidRPr="00CD6F5B">
              <w:rPr>
                <w:rFonts w:asciiTheme="minorEastAsia" w:eastAsiaTheme="minorEastAsia" w:hAnsiTheme="minorEastAsia"/>
                <w:color w:val="000000" w:themeColor="text1"/>
              </w:rPr>
              <w:t>018</w:t>
            </w:r>
            <w:r w:rsidRPr="00CD6F5B">
              <w:rPr>
                <w:rFonts w:asciiTheme="minorEastAsia" w:eastAsiaTheme="minorEastAsia" w:hAnsiTheme="minorEastAsia" w:hint="eastAsia"/>
                <w:color w:val="000000" w:themeColor="text1"/>
              </w:rPr>
              <w:t>年</w:t>
            </w:r>
            <w:r w:rsidRPr="00CD6F5B">
              <w:rPr>
                <w:rFonts w:asciiTheme="minorEastAsia" w:eastAsiaTheme="minorEastAsia" w:hAnsiTheme="minorEastAsia"/>
                <w:color w:val="000000" w:themeColor="text1"/>
              </w:rPr>
              <w:t>1</w:t>
            </w:r>
            <w:r w:rsidRPr="00CD6F5B">
              <w:rPr>
                <w:rFonts w:asciiTheme="minorEastAsia" w:eastAsiaTheme="minorEastAsia" w:hAnsiTheme="minorEastAsia" w:hint="eastAsia"/>
                <w:color w:val="000000" w:themeColor="text1"/>
              </w:rPr>
              <w:t>月</w:t>
            </w:r>
            <w:r w:rsidRPr="00CD6F5B">
              <w:rPr>
                <w:rFonts w:asciiTheme="minorEastAsia" w:eastAsiaTheme="minorEastAsia" w:hAnsiTheme="minorEastAsia"/>
                <w:color w:val="000000" w:themeColor="text1"/>
              </w:rPr>
              <w:t>1日至2018年12月31日</w:t>
            </w:r>
          </w:p>
        </w:tc>
        <w:tc>
          <w:tcPr>
            <w:tcW w:w="1332"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1.54%</w:t>
            </w:r>
          </w:p>
        </w:tc>
        <w:tc>
          <w:tcPr>
            <w:tcW w:w="1440"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0.47%</w:t>
            </w:r>
          </w:p>
        </w:tc>
        <w:tc>
          <w:tcPr>
            <w:tcW w:w="1260"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2.27%</w:t>
            </w:r>
          </w:p>
        </w:tc>
        <w:tc>
          <w:tcPr>
            <w:tcW w:w="1260"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0.20%</w:t>
            </w:r>
          </w:p>
        </w:tc>
        <w:tc>
          <w:tcPr>
            <w:tcW w:w="1260"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-0.73%</w:t>
            </w:r>
          </w:p>
        </w:tc>
        <w:tc>
          <w:tcPr>
            <w:tcW w:w="1080" w:type="dxa"/>
            <w:vAlign w:val="center"/>
          </w:tcPr>
          <w:p w:rsidR="0070181E" w:rsidRPr="00CD6F5B" w:rsidRDefault="0070181E" w:rsidP="0070181E">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0.27%</w:t>
            </w:r>
          </w:p>
        </w:tc>
      </w:tr>
      <w:tr w:rsidR="00CD6F5B" w:rsidRPr="00CD6F5B" w:rsidTr="00CC44BD">
        <w:tc>
          <w:tcPr>
            <w:tcW w:w="1737" w:type="dxa"/>
            <w:vAlign w:val="center"/>
          </w:tcPr>
          <w:p w:rsidR="00E249DF" w:rsidRPr="00CD6F5B" w:rsidRDefault="006C2DD5" w:rsidP="00E249DF">
            <w:pPr>
              <w:jc w:val="lef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2019年1月1日至2019年12月31日</w:t>
            </w:r>
          </w:p>
        </w:tc>
        <w:tc>
          <w:tcPr>
            <w:tcW w:w="1332"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23.24%</w:t>
            </w:r>
          </w:p>
        </w:tc>
        <w:tc>
          <w:tcPr>
            <w:tcW w:w="1440"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0.47%</w:t>
            </w:r>
          </w:p>
        </w:tc>
        <w:tc>
          <w:tcPr>
            <w:tcW w:w="1260"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8.84%</w:t>
            </w:r>
          </w:p>
        </w:tc>
        <w:tc>
          <w:tcPr>
            <w:tcW w:w="1260"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0.18%</w:t>
            </w:r>
          </w:p>
        </w:tc>
        <w:tc>
          <w:tcPr>
            <w:tcW w:w="1260"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14.40%</w:t>
            </w:r>
          </w:p>
        </w:tc>
        <w:tc>
          <w:tcPr>
            <w:tcW w:w="1080" w:type="dxa"/>
            <w:vAlign w:val="center"/>
          </w:tcPr>
          <w:p w:rsidR="00E249DF" w:rsidRPr="00CD6F5B" w:rsidRDefault="006C2DD5" w:rsidP="00CA6F5B">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0.29%</w:t>
            </w:r>
          </w:p>
        </w:tc>
      </w:tr>
      <w:tr w:rsidR="00CD6F5B" w:rsidRPr="00CD6F5B" w:rsidTr="00CC44BD">
        <w:tc>
          <w:tcPr>
            <w:tcW w:w="1737" w:type="dxa"/>
            <w:vAlign w:val="center"/>
          </w:tcPr>
          <w:p w:rsidR="006C2DD5" w:rsidRPr="00CD6F5B" w:rsidRDefault="006C2DD5" w:rsidP="00E249DF">
            <w:pPr>
              <w:jc w:val="left"/>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自基金合同生效日至</w:t>
            </w:r>
            <w:r w:rsidRPr="00CD6F5B">
              <w:rPr>
                <w:rFonts w:asciiTheme="minorEastAsia" w:eastAsiaTheme="minorEastAsia" w:hAnsiTheme="minorEastAsia"/>
                <w:color w:val="000000" w:themeColor="text1"/>
              </w:rPr>
              <w:t>2019年12月31日</w:t>
            </w:r>
          </w:p>
        </w:tc>
        <w:tc>
          <w:tcPr>
            <w:tcW w:w="1332" w:type="dxa"/>
            <w:vAlign w:val="center"/>
          </w:tcPr>
          <w:p w:rsidR="006C2DD5" w:rsidRPr="00CD6F5B" w:rsidRDefault="006C2DD5" w:rsidP="009F629F">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38.40%</w:t>
            </w:r>
          </w:p>
        </w:tc>
        <w:tc>
          <w:tcPr>
            <w:tcW w:w="1440" w:type="dxa"/>
            <w:vAlign w:val="center"/>
          </w:tcPr>
          <w:p w:rsidR="006C2DD5" w:rsidRPr="00CD6F5B" w:rsidRDefault="006C2DD5" w:rsidP="009F629F">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0.37%</w:t>
            </w:r>
          </w:p>
        </w:tc>
        <w:tc>
          <w:tcPr>
            <w:tcW w:w="1260" w:type="dxa"/>
            <w:vAlign w:val="center"/>
          </w:tcPr>
          <w:p w:rsidR="006C2DD5" w:rsidRPr="00CD6F5B" w:rsidRDefault="006C2DD5" w:rsidP="009F629F">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17.85%</w:t>
            </w:r>
          </w:p>
        </w:tc>
        <w:tc>
          <w:tcPr>
            <w:tcW w:w="1260" w:type="dxa"/>
            <w:vAlign w:val="center"/>
          </w:tcPr>
          <w:p w:rsidR="006C2DD5" w:rsidRPr="00CD6F5B" w:rsidRDefault="006C2DD5">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0.17%</w:t>
            </w:r>
          </w:p>
        </w:tc>
        <w:tc>
          <w:tcPr>
            <w:tcW w:w="1260" w:type="dxa"/>
            <w:vAlign w:val="center"/>
          </w:tcPr>
          <w:p w:rsidR="006C2DD5" w:rsidRPr="00CD6F5B" w:rsidRDefault="006C2DD5">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20.55%</w:t>
            </w:r>
          </w:p>
        </w:tc>
        <w:tc>
          <w:tcPr>
            <w:tcW w:w="1080" w:type="dxa"/>
            <w:vAlign w:val="center"/>
          </w:tcPr>
          <w:p w:rsidR="006C2DD5" w:rsidRPr="00CD6F5B" w:rsidRDefault="006C2DD5">
            <w:pPr>
              <w:spacing w:line="360" w:lineRule="auto"/>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0.20%</w:t>
            </w:r>
          </w:p>
        </w:tc>
      </w:tr>
    </w:tbl>
    <w:p w:rsidR="00CD6F5B" w:rsidRPr="00CD6F5B" w:rsidRDefault="00CD6F5B" w:rsidP="00CD6F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本基金历任基金经理情况：张雅君，管理时间为2016年6月2日至2017年7月27日；张清华，管理时间为2016年1月22日至2021年9月7日。</w:t>
      </w:r>
    </w:p>
    <w:p w:rsidR="0014139C" w:rsidRPr="00CD6F5B" w:rsidRDefault="0014139C" w:rsidP="009C68F1">
      <w:pPr>
        <w:rPr>
          <w:rFonts w:asciiTheme="minorEastAsia" w:eastAsiaTheme="minorEastAsia" w:hAnsiTheme="minorEastAsia"/>
          <w:color w:val="000000" w:themeColor="text1"/>
        </w:rPr>
      </w:pPr>
    </w:p>
    <w:p w:rsidR="00B126BF" w:rsidRPr="00CD6F5B" w:rsidRDefault="00B126BF">
      <w:pPr>
        <w:rPr>
          <w:rFonts w:asciiTheme="minorEastAsia" w:eastAsiaTheme="minorEastAsia" w:hAnsiTheme="minorEastAsia"/>
          <w:color w:val="000000" w:themeColor="text1"/>
        </w:rPr>
        <w:sectPr w:rsidR="00B126BF" w:rsidRPr="00CD6F5B" w:rsidSect="0021754D">
          <w:headerReference w:type="default" r:id="rId17"/>
          <w:footerReference w:type="default" r:id="rId18"/>
          <w:pgSz w:w="11906" w:h="16838" w:code="9"/>
          <w:pgMar w:top="1440" w:right="1800" w:bottom="1440" w:left="1800" w:header="851" w:footer="992" w:gutter="0"/>
          <w:cols w:space="720"/>
          <w:docGrid w:type="lines" w:linePitch="317"/>
        </w:sectPr>
      </w:pPr>
    </w:p>
    <w:p w:rsidR="00BA4B87" w:rsidRPr="00CD6F5B" w:rsidRDefault="001C5C6E" w:rsidP="00F851CA">
      <w:pPr>
        <w:pStyle w:val="1"/>
        <w:snapToGrid w:val="0"/>
        <w:spacing w:beforeLines="0" w:afterLines="0" w:line="360" w:lineRule="auto"/>
        <w:ind w:firstLine="600"/>
        <w:rPr>
          <w:rFonts w:asciiTheme="minorEastAsia" w:eastAsiaTheme="minorEastAsia" w:hAnsiTheme="minorEastAsia"/>
          <w:color w:val="000000" w:themeColor="text1"/>
          <w:szCs w:val="21"/>
        </w:rPr>
      </w:pPr>
      <w:bookmarkStart w:id="394" w:name="_Toc332373538"/>
      <w:bookmarkStart w:id="395" w:name="_Toc82186592"/>
      <w:r w:rsidRPr="00CD6F5B">
        <w:rPr>
          <w:rFonts w:asciiTheme="minorEastAsia" w:eastAsiaTheme="minorEastAsia" w:hAnsiTheme="minorEastAsia"/>
          <w:color w:val="000000" w:themeColor="text1"/>
          <w:sz w:val="30"/>
        </w:rPr>
        <w:lastRenderedPageBreak/>
        <w:t>十三</w:t>
      </w:r>
      <w:r w:rsidR="00BA4B87" w:rsidRPr="00CD6F5B">
        <w:rPr>
          <w:rFonts w:asciiTheme="minorEastAsia" w:eastAsiaTheme="minorEastAsia" w:hAnsiTheme="minorEastAsia"/>
          <w:color w:val="000000" w:themeColor="text1"/>
          <w:sz w:val="30"/>
        </w:rPr>
        <w:t>、基金的财产</w:t>
      </w:r>
      <w:bookmarkEnd w:id="395"/>
    </w:p>
    <w:bookmarkEnd w:id="394"/>
    <w:p w:rsidR="00335663" w:rsidRPr="00CD6F5B" w:rsidRDefault="003356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（一）基金资产总值</w:t>
      </w:r>
    </w:p>
    <w:p w:rsidR="00C3497E"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基金资产总值是指购买的各类证券及票据价值、银行存款本息和基金应收的申购基金款以及其他投资所形成的价值总和。</w:t>
      </w:r>
    </w:p>
    <w:p w:rsidR="00335663" w:rsidRPr="00CD6F5B" w:rsidRDefault="003356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（二）基金资产净值</w:t>
      </w:r>
    </w:p>
    <w:p w:rsidR="00C3497E"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基金资产净值是指基金资产总值减去基金负债后的价值。</w:t>
      </w:r>
    </w:p>
    <w:p w:rsidR="00335663" w:rsidRPr="00CD6F5B" w:rsidRDefault="003356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（三）基金财产的账户</w:t>
      </w:r>
    </w:p>
    <w:p w:rsidR="00C3497E"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CD6F5B" w:rsidRDefault="003356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（四）基金财产的保管和处分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851CA"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851CA" w:rsidRPr="00CD6F5B">
        <w:rPr>
          <w:rFonts w:asciiTheme="minorEastAsia" w:eastAsiaTheme="minorEastAsia" w:hAnsiTheme="minorEastAsia"/>
          <w:color w:val="000000" w:themeColor="text1"/>
        </w:rPr>
        <w:br w:type="page"/>
      </w:r>
    </w:p>
    <w:p w:rsidR="00BA4B87" w:rsidRPr="00CD6F5B" w:rsidRDefault="001C5C6E" w:rsidP="00C3497E">
      <w:pPr>
        <w:pStyle w:val="1"/>
        <w:snapToGrid w:val="0"/>
        <w:spacing w:beforeLines="0" w:afterLines="0" w:line="360" w:lineRule="auto"/>
        <w:ind w:firstLine="600"/>
        <w:rPr>
          <w:rFonts w:asciiTheme="minorEastAsia" w:eastAsiaTheme="minorEastAsia" w:hAnsiTheme="minorEastAsia"/>
          <w:bCs/>
          <w:color w:val="000000" w:themeColor="text1"/>
        </w:rPr>
      </w:pPr>
      <w:bookmarkStart w:id="396" w:name="_Toc332373543"/>
      <w:bookmarkStart w:id="397" w:name="_Toc82186593"/>
      <w:r w:rsidRPr="00CD6F5B">
        <w:rPr>
          <w:rFonts w:asciiTheme="minorEastAsia" w:eastAsiaTheme="minorEastAsia" w:hAnsiTheme="minorEastAsia"/>
          <w:color w:val="000000" w:themeColor="text1"/>
          <w:sz w:val="30"/>
        </w:rPr>
        <w:lastRenderedPageBreak/>
        <w:t>十四</w:t>
      </w:r>
      <w:r w:rsidR="00BA4B87" w:rsidRPr="00CD6F5B">
        <w:rPr>
          <w:rFonts w:asciiTheme="minorEastAsia" w:eastAsiaTheme="minorEastAsia" w:hAnsiTheme="minorEastAsia"/>
          <w:color w:val="000000" w:themeColor="text1"/>
          <w:sz w:val="30"/>
        </w:rPr>
        <w:t>、基金资产的估值</w:t>
      </w:r>
      <w:bookmarkEnd w:id="397"/>
    </w:p>
    <w:bookmarkEnd w:id="396"/>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估值日</w:t>
      </w:r>
    </w:p>
    <w:p w:rsidR="006872D3"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本基金的估值日为本基金相关的证券交易场所的交易日以及国家法律法规规定需要对外披露基金净值的非交易日。</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估值对象</w:t>
      </w:r>
    </w:p>
    <w:p w:rsidR="00C3497E"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基金所拥有的股票、债券、衍生工具和银行存款本息、应收款项、其它投资等资产及负债。</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估值方法</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1、证券交易所上市的有价证券的估值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（2）交易所上市交易或挂牌转让的不含权和含权固定收益品种，选取第三方估值机构提供的相应品种当日的估值净价；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（3）交易所上市交易的可转换债券，选取每日收盘价作为估值全价；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（4）交易所市场挂牌转让的资产支持证券和私募债券，采用估值技术确定公允价值，在估值技术难以可靠计量公允价值的情况下，按成本估值。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2、处于未上市期间的有价证券应区分如下情况处理：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（1）送股、转增股、配股和公开增发的新股，按估值日在证券交易所挂牌的同一股票的估值方法估值；该日无交易的，以最近一日的市价（收盘价）估值；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（2）首次公开发行未上市的股票、债券和权证，采用估值技术确定公允价值，在估值技术难以可靠计量公允价值的情况下，按成本估值；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（3）首次公开发行有明确锁定期的股票，同一股票在交易所上市后，按交易所上市的同一股票的估值方法估值；非公开发行有明确锁定期的股票，按监管机构或行业协会有关规定确定公允价值。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3、全国银行间债券市场交易的固定收益品种，采用估值技术确定公允价值。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4、同一债券同时在两个或两个以上市场交易的，按债券所处的市场分别估值。</w:t>
      </w:r>
    </w:p>
    <w:p w:rsidR="009A70C6" w:rsidRPr="00CD6F5B" w:rsidRDefault="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5、本基金投资存托凭证的估值核算，依照境内上市交易的股票执行。</w:t>
      </w:r>
    </w:p>
    <w:p w:rsidR="0048496B" w:rsidRPr="00CD6F5B" w:rsidRDefault="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w:t>
      </w:r>
      <w:r w:rsidR="004A0413" w:rsidRPr="00CD6F5B">
        <w:rPr>
          <w:rFonts w:asciiTheme="minorEastAsia" w:eastAsiaTheme="minorEastAsia" w:hAnsiTheme="minorEastAsia"/>
          <w:color w:val="000000" w:themeColor="text1"/>
        </w:rPr>
        <w:t>、如有充分理由表明按上述方法进行估值不能客观反映其公允价值的，基金管理人可根据具体情况与基金托管人商定后，按最能反映公允价值的价格估值。</w:t>
      </w:r>
    </w:p>
    <w:p w:rsidR="0048496B" w:rsidRPr="00CD6F5B" w:rsidRDefault="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w:t>
      </w:r>
      <w:r w:rsidR="004A0413" w:rsidRPr="00CD6F5B">
        <w:rPr>
          <w:rFonts w:asciiTheme="minorEastAsia" w:eastAsiaTheme="minorEastAsia" w:hAnsiTheme="minorEastAsia"/>
          <w:color w:val="000000" w:themeColor="text1"/>
        </w:rPr>
        <w:t>、相关法律法规以及监管部门有强制规定的，从其规定。如有新增事项，按国家最新规定估值。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C3497E"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估值程序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1、基金份额净值是按照每个工作日闭市后，基金资产净值除以当日基金份额的余额数量计算，精确到0.001元，小数点后第4位四舍五入。国家另有规定的，从其规定。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每个工作日计算基金资产净值及基金份额净值，并按规定公告。</w:t>
      </w:r>
    </w:p>
    <w:p w:rsidR="006872D3"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估值错误的处理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基金管理人和基金托管人将采取必要、适当、合理的措施确保基金资产估值的准确性、及时性。当基金份额净值小数点后3位以内(含第3位)发生差错时，视为估值错误。</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各当事人应按照以下约定处理：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1、估值错误类型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上述估值错误的主要类型包括但不限于：资料申报差错、数据传输差错、数据计算差错、</w:t>
      </w:r>
      <w:r w:rsidRPr="00CD6F5B">
        <w:rPr>
          <w:rFonts w:asciiTheme="minorEastAsia" w:eastAsiaTheme="minorEastAsia" w:hAnsiTheme="minorEastAsia"/>
          <w:color w:val="000000" w:themeColor="text1"/>
        </w:rPr>
        <w:lastRenderedPageBreak/>
        <w:t>系统故障差错、下达指令差错等。</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2、估值错误处理原则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（2）估值错误的责任方对有关当事人的直接损失负责，不对间接损失负责，并且仅对估值错误的有关直接当事人负责，不对第三方负责。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（4）估值错误调整采用尽量恢复至假设未发生估值错误的正确情形的方式。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3、估值错误处理程序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估值错误被发现后，有关的当事人应当及时进行处理，处理的程序如下：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（1）查明估值错误发生的原因，列明所有的当事人，并根据估值错误发生的原因确定估值错误的责任方；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（2）根据估值错误处理原则或当事人协商的方法对因估值错误造成的损失进行评估；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（3）根据估值错误处理原则或当事人协商的方法由估值错误的责任方进行更正和赔偿损失；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（4）根据估值错误处理的方法，需要修改基金登记机构交易数据的，由基金登记机构进行更正，并就估值错误的更正向有关当事人进行确认。</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4、基金份额净值估值错误处理的方法如下：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（1）基金份额净值计算出现错误时，基金管理人应当立即予以纠正，通报基金托管人，并采取合理的措施防止损失进一步扩大。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（2）错误偏差达到基金份额净值的0.25%时，基金管理人应当通报基金托管人；错误偏差达到基金份额净值的0.5%时，基金管理人应当公告，并报中国证监会备案。</w:t>
      </w:r>
    </w:p>
    <w:p w:rsidR="00E615AB"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（3）前述内容如法律法规或监管机关另有规定的，从其规定处理。</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六</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暂停估值的情形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1、基金投资所涉及的证券交易市场遇法定节假日或因其他原因暂停营业时；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2、因不可抗力致使基金管理人、基金托管人无法准确评估基金资产价值时；</w:t>
      </w:r>
    </w:p>
    <w:p w:rsidR="00F362C1" w:rsidRPr="00CD6F5B" w:rsidRDefault="00C3497E"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w:t>
      </w:r>
      <w:r w:rsidR="009A70C6" w:rsidRPr="00CD6F5B">
        <w:rPr>
          <w:rFonts w:asciiTheme="minorEastAsia" w:eastAsiaTheme="minorEastAsia" w:hAnsiTheme="minorEastAsia" w:hint="eastAsia"/>
          <w:color w:val="000000" w:themeColor="text1"/>
        </w:rPr>
        <w:t>当特定资产占前一估值日基金资产净值50%以上的，经与基金托管人协商确认后，基金管理人应当暂停估值；</w:t>
      </w:r>
    </w:p>
    <w:p w:rsidR="006872D3"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w:t>
      </w:r>
      <w:r w:rsidR="00C3497E" w:rsidRPr="00CD6F5B">
        <w:rPr>
          <w:rFonts w:asciiTheme="minorEastAsia" w:eastAsiaTheme="minorEastAsia" w:hAnsiTheme="minorEastAsia"/>
          <w:color w:val="000000" w:themeColor="text1"/>
        </w:rPr>
        <w:t>中国证监会和基金合同认定的其它情形。</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七</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基金净值的确认</w:t>
      </w:r>
    </w:p>
    <w:p w:rsidR="006872D3"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CD6F5B" w:rsidRDefault="005627CF"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八</w:t>
      </w:r>
      <w:r w:rsidRPr="00CD6F5B">
        <w:rPr>
          <w:rFonts w:asciiTheme="minorEastAsia" w:eastAsiaTheme="minorEastAsia" w:hAnsiTheme="minorEastAsia"/>
          <w:color w:val="000000" w:themeColor="text1"/>
        </w:rPr>
        <w:t>）</w:t>
      </w:r>
      <w:r w:rsidR="006872D3" w:rsidRPr="00CD6F5B">
        <w:rPr>
          <w:rFonts w:asciiTheme="minorEastAsia" w:eastAsiaTheme="minorEastAsia" w:hAnsiTheme="minorEastAsia"/>
          <w:color w:val="000000" w:themeColor="text1"/>
        </w:rPr>
        <w:t>特殊情况的处理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1、基金管理人或基金托管人按估值方法的第</w:t>
      </w:r>
      <w:r w:rsidR="009A70C6" w:rsidRPr="00CD6F5B">
        <w:rPr>
          <w:rFonts w:asciiTheme="minorEastAsia" w:eastAsiaTheme="minorEastAsia" w:hAnsiTheme="minorEastAsia"/>
          <w:color w:val="000000" w:themeColor="text1"/>
        </w:rPr>
        <w:t>6</w:t>
      </w:r>
      <w:r w:rsidRPr="00CD6F5B">
        <w:rPr>
          <w:rFonts w:asciiTheme="minorEastAsia" w:eastAsiaTheme="minorEastAsia" w:hAnsiTheme="minorEastAsia"/>
          <w:color w:val="000000" w:themeColor="text1"/>
        </w:rPr>
        <w:t>项进行估值时，所造成的误差不作为基金资产估值错误处理。</w:t>
      </w:r>
    </w:p>
    <w:p w:rsidR="009A70C6" w:rsidRPr="00CD6F5B" w:rsidRDefault="00C3497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（九）实施侧袋机制期间的基金资产估值</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本基金实施侧袋机制的，应根据本部分的约定对主袋账户资产进行估值并披露主袋账户的基金资产净值和份额净值，暂停披露侧袋账户份额净值。</w:t>
      </w:r>
    </w:p>
    <w:p w:rsidR="00897C63" w:rsidRPr="00CD6F5B" w:rsidRDefault="00897C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br w:type="page"/>
      </w:r>
    </w:p>
    <w:p w:rsidR="00BA4B87" w:rsidRPr="00CD6F5B" w:rsidRDefault="001C5C6E" w:rsidP="00CC1421">
      <w:pPr>
        <w:pStyle w:val="1"/>
        <w:snapToGrid w:val="0"/>
        <w:spacing w:beforeLines="0" w:afterLines="0" w:line="360" w:lineRule="auto"/>
        <w:ind w:firstLine="600"/>
        <w:rPr>
          <w:rFonts w:asciiTheme="minorEastAsia" w:eastAsiaTheme="minorEastAsia" w:hAnsiTheme="minorEastAsia"/>
          <w:bCs/>
          <w:color w:val="000000" w:themeColor="text1"/>
        </w:rPr>
      </w:pPr>
      <w:bookmarkStart w:id="398" w:name="_Toc332373553"/>
      <w:bookmarkStart w:id="399" w:name="_Toc82186594"/>
      <w:r w:rsidRPr="00CD6F5B">
        <w:rPr>
          <w:rFonts w:asciiTheme="minorEastAsia" w:eastAsiaTheme="minorEastAsia" w:hAnsiTheme="minorEastAsia"/>
          <w:color w:val="000000" w:themeColor="text1"/>
          <w:sz w:val="30"/>
        </w:rPr>
        <w:lastRenderedPageBreak/>
        <w:t>十五</w:t>
      </w:r>
      <w:r w:rsidR="00BA4B87" w:rsidRPr="00CD6F5B">
        <w:rPr>
          <w:rFonts w:asciiTheme="minorEastAsia" w:eastAsiaTheme="minorEastAsia" w:hAnsiTheme="minorEastAsia"/>
          <w:color w:val="000000" w:themeColor="text1"/>
          <w:sz w:val="30"/>
        </w:rPr>
        <w:t>、基金的收益分配</w:t>
      </w:r>
      <w:bookmarkEnd w:id="399"/>
    </w:p>
    <w:bookmarkEnd w:id="398"/>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基金利润的构成</w:t>
      </w:r>
    </w:p>
    <w:p w:rsidR="00002E36" w:rsidRPr="00CD6F5B" w:rsidRDefault="00002E3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基金利润指基金利息收入、投资收益、公允价值变动收益和其他收入扣除相关费用后的余额，基金已实现收益指基金利润减去公允价值变动收益后的余额。</w:t>
      </w:r>
    </w:p>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基金可供分配利润</w:t>
      </w:r>
    </w:p>
    <w:p w:rsidR="00002E36" w:rsidRPr="00CD6F5B" w:rsidRDefault="00002E3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基金可供分配利润指截至收益分配基准日基金未分配利润与未分配利润中已实现收益的孰低数。</w:t>
      </w:r>
    </w:p>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基金收益分配原则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1、本基金收益分配方式分两种：现金分红与红利再投资，投资者可选择现金红利或将现金红利自动转为基金份额进行再投资；若投资者不选择，本基金默认的收益分配方式是现金分红；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2、基金收益分配后基金份额净值不能低于面值；即基金收益分配基准日的基金份额净值减去每单位基金份额收益分配金额后不能低于面值；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3、每一基金份额享有同等分配权；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4、在对基金份额持有人利益无实质不利影响的前提下，基金管理人可调整基金收益的分配原则和支付方式，不需召开基金份额持有人大会审议；</w:t>
      </w:r>
    </w:p>
    <w:p w:rsidR="00002E36" w:rsidRPr="00CD6F5B" w:rsidRDefault="00002E3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5、法律法规或监管机关另有规定的，从其规定。</w:t>
      </w:r>
    </w:p>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四</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收益分配方案</w:t>
      </w:r>
    </w:p>
    <w:p w:rsidR="00002E36" w:rsidRPr="00CD6F5B" w:rsidRDefault="00002E3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基金收益分配方案中应载明截止收益分配基准日的可供分配利润、基金收益分配对象、分配时间、分配数额及比例、分配方式等内容。</w:t>
      </w:r>
    </w:p>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收益分配方案的确定、公告与实施</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本基金收益分配方案由基金管理人拟定，并由基金托管人复核，在2日内在指定媒介公告。</w:t>
      </w:r>
    </w:p>
    <w:p w:rsidR="005627CF" w:rsidRPr="00CD6F5B" w:rsidRDefault="00002E36"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基金红利发放日距离收益分配基准日（即可供分配利润计算截止日）的时间不得超过15个工作日。</w:t>
      </w:r>
    </w:p>
    <w:p w:rsidR="005627CF" w:rsidRPr="00CD6F5B" w:rsidRDefault="006E0F3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六</w:t>
      </w:r>
      <w:r w:rsidRPr="00CD6F5B">
        <w:rPr>
          <w:rFonts w:asciiTheme="minorEastAsia" w:eastAsiaTheme="minorEastAsia" w:hAnsiTheme="minorEastAsia"/>
          <w:color w:val="000000" w:themeColor="text1"/>
        </w:rPr>
        <w:t>）</w:t>
      </w:r>
      <w:r w:rsidR="005627CF" w:rsidRPr="00CD6F5B">
        <w:rPr>
          <w:rFonts w:asciiTheme="minorEastAsia" w:eastAsiaTheme="minorEastAsia" w:hAnsiTheme="minorEastAsia"/>
          <w:color w:val="000000" w:themeColor="text1"/>
        </w:rPr>
        <w:t>基金收益分配中发生的费用</w:t>
      </w:r>
    </w:p>
    <w:p w:rsidR="009A70C6" w:rsidRPr="00CD6F5B" w:rsidRDefault="004D0A8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（七）实施侧袋机制期间的收益分配</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本基金实施侧袋机制的，侧袋账户不进行收益分配。</w:t>
      </w:r>
    </w:p>
    <w:p w:rsidR="00897C63" w:rsidRPr="00CD6F5B" w:rsidRDefault="00897C6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br w:type="page"/>
      </w:r>
    </w:p>
    <w:p w:rsidR="00BA4B87" w:rsidRPr="00CD6F5B" w:rsidRDefault="001C5C6E" w:rsidP="00897C63">
      <w:pPr>
        <w:pStyle w:val="1"/>
        <w:snapToGrid w:val="0"/>
        <w:spacing w:beforeLines="0" w:afterLines="0" w:line="360" w:lineRule="auto"/>
        <w:ind w:firstLine="600"/>
        <w:rPr>
          <w:rFonts w:asciiTheme="minorEastAsia" w:eastAsiaTheme="minorEastAsia" w:hAnsiTheme="minorEastAsia"/>
          <w:bCs/>
          <w:color w:val="000000" w:themeColor="text1"/>
        </w:rPr>
      </w:pPr>
      <w:bookmarkStart w:id="400" w:name="_Toc332373560"/>
      <w:bookmarkStart w:id="401" w:name="_Toc82186595"/>
      <w:r w:rsidRPr="00CD6F5B">
        <w:rPr>
          <w:rFonts w:asciiTheme="minorEastAsia" w:eastAsiaTheme="minorEastAsia" w:hAnsiTheme="minorEastAsia"/>
          <w:color w:val="000000" w:themeColor="text1"/>
          <w:sz w:val="30"/>
        </w:rPr>
        <w:lastRenderedPageBreak/>
        <w:t>十六</w:t>
      </w:r>
      <w:r w:rsidR="00BA4B87" w:rsidRPr="00CD6F5B">
        <w:rPr>
          <w:rFonts w:asciiTheme="minorEastAsia" w:eastAsiaTheme="minorEastAsia" w:hAnsiTheme="minorEastAsia"/>
          <w:color w:val="000000" w:themeColor="text1"/>
          <w:sz w:val="30"/>
        </w:rPr>
        <w:t>、基金的费用与税收</w:t>
      </w:r>
      <w:bookmarkEnd w:id="401"/>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02" w:name="_Toc332373561"/>
      <w:bookmarkEnd w:id="400"/>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基金费用的种类</w:t>
      </w:r>
    </w:p>
    <w:bookmarkEnd w:id="402"/>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1、基金管理人的管理费；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2、基金托管人的托管费；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3、《基金合同》生效后与基金相关的信息披露费用；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4、《基金合同》生效后与基金相关的会计师费、律师费、诉讼费和仲裁费；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5、基金份额持有人大会费用；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6、基金的证券交易费用；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7、基金的银行汇划费用；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8、证券账户开户费用、银行账户维护费用；</w:t>
      </w:r>
    </w:p>
    <w:p w:rsidR="00E438A9" w:rsidRPr="00CD6F5B" w:rsidRDefault="004D0A8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9、按照国家有关规定和《基金合同》约定，可以在基金财产中列支的其他费用。</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03" w:name="_Toc332373562"/>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二</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基金费用计提方法、计提标准和支付方式</w:t>
      </w:r>
    </w:p>
    <w:bookmarkEnd w:id="403"/>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1、基金管理人的管理费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本基金的管理费按前一日基金资产净值的0.40%年费率计提。管理费的计算方法如下：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H＝E×0.40%÷当年天数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H为每日应计提的基金管理费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E为前一日的基金资产净值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2、基金托管人的托管费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本基金的托管费按前一日基金资产净值的0.1%的年费率计提。托管费的计算方法如下：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H＝E×0.1%÷当年天数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H为每日应计提的基金托管费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E为前一日的基金资产净值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E438A9" w:rsidRPr="00CD6F5B" w:rsidRDefault="004D0A8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上述“（一）基金费用的种类中第3－9项费用”，根据有关法规及相应协议规定，按</w:t>
      </w:r>
      <w:r w:rsidRPr="00CD6F5B">
        <w:rPr>
          <w:rFonts w:asciiTheme="minorEastAsia" w:eastAsiaTheme="minorEastAsia" w:hAnsiTheme="minorEastAsia"/>
          <w:color w:val="000000" w:themeColor="text1"/>
        </w:rPr>
        <w:lastRenderedPageBreak/>
        <w:t>费用实际支出金额列入当期费用，由基金托管人从基金财产中支付。</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04" w:name="_Toc332373563"/>
      <w:r w:rsidRPr="00CD6F5B">
        <w:rPr>
          <w:rFonts w:asciiTheme="minorEastAsia" w:eastAsiaTheme="minorEastAsia" w:hAnsiTheme="minorEastAsia"/>
          <w:color w:val="000000" w:themeColor="text1"/>
        </w:rPr>
        <w:t>（</w:t>
      </w:r>
      <w:r w:rsidR="00090469" w:rsidRPr="00CD6F5B">
        <w:rPr>
          <w:rFonts w:asciiTheme="minorEastAsia" w:eastAsiaTheme="minorEastAsia" w:hAnsiTheme="minorEastAsia"/>
          <w:color w:val="000000" w:themeColor="text1"/>
        </w:rPr>
        <w:t>三</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不列入基金费用的项目</w:t>
      </w:r>
    </w:p>
    <w:bookmarkEnd w:id="404"/>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下列费用不列入基金费用：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1、基金管理人和基金托管人因未履行或未完全履行义务导致的费用支出或基金财产的损失；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2、基金管理人和基金托管人处理与基金运作无关的事项发生的费用；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3、《基金合同》生效前的相关费用；</w:t>
      </w:r>
    </w:p>
    <w:p w:rsidR="00E438A9" w:rsidRPr="00CD6F5B" w:rsidRDefault="004D0A82" w:rsidP="00FF328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4、其他根据相关法律法规及中国证监会的有关规定不得列入基金费用的项目。</w:t>
      </w:r>
    </w:p>
    <w:p w:rsidR="00762961"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05" w:name="_Toc332373564"/>
      <w:r w:rsidRPr="00CD6F5B">
        <w:rPr>
          <w:rFonts w:asciiTheme="minorEastAsia" w:eastAsiaTheme="minorEastAsia" w:hAnsiTheme="minorEastAsia"/>
          <w:color w:val="000000" w:themeColor="text1"/>
        </w:rPr>
        <w:t>（</w:t>
      </w:r>
      <w:r w:rsidR="00FF328E" w:rsidRPr="00CD6F5B">
        <w:rPr>
          <w:rFonts w:asciiTheme="minorEastAsia" w:eastAsiaTheme="minorEastAsia" w:hAnsiTheme="minorEastAsia" w:hint="eastAsia"/>
          <w:color w:val="000000" w:themeColor="text1"/>
        </w:rPr>
        <w:t>四</w:t>
      </w:r>
      <w:r w:rsidRPr="00CD6F5B">
        <w:rPr>
          <w:rFonts w:asciiTheme="minorEastAsia" w:eastAsiaTheme="minorEastAsia" w:hAnsiTheme="minorEastAsia"/>
          <w:color w:val="000000" w:themeColor="text1"/>
        </w:rPr>
        <w:t>）</w:t>
      </w:r>
      <w:r w:rsidR="00762961" w:rsidRPr="00CD6F5B">
        <w:rPr>
          <w:rFonts w:asciiTheme="minorEastAsia" w:eastAsiaTheme="minorEastAsia" w:hAnsiTheme="minorEastAsia"/>
          <w:color w:val="000000" w:themeColor="text1"/>
        </w:rPr>
        <w:t>与基金销售有关的费用</w:t>
      </w:r>
    </w:p>
    <w:p w:rsidR="009D110E" w:rsidRPr="00CD6F5B" w:rsidRDefault="009D110E" w:rsidP="009612F6">
      <w:pPr>
        <w:spacing w:line="360" w:lineRule="auto"/>
        <w:ind w:firstLineChars="200" w:firstLine="420"/>
        <w:rPr>
          <w:rFonts w:asciiTheme="minorEastAsia" w:eastAsiaTheme="minorEastAsia" w:hAnsiTheme="minorEastAsia"/>
          <w:color w:val="000000" w:themeColor="text1"/>
        </w:rPr>
      </w:pPr>
      <w:bookmarkStart w:id="406" w:name="_Toc332373565"/>
      <w:bookmarkEnd w:id="405"/>
      <w:r w:rsidRPr="00CD6F5B">
        <w:rPr>
          <w:rFonts w:asciiTheme="minorEastAsia" w:eastAsiaTheme="minorEastAsia" w:hAnsiTheme="minorEastAsia" w:hint="eastAsia"/>
          <w:color w:val="000000" w:themeColor="text1"/>
        </w:rPr>
        <w:t>1、本基金申购费、赎回费的费率水平、计算公式、收取方式和使用方式请详见本招募说明书“八、基金份额的申购、赎回”中的“（七）基金的申购费和赎回费”与“（八）申购和赎回的数额和价格”中的相关规定。</w:t>
      </w:r>
    </w:p>
    <w:p w:rsidR="009D110E" w:rsidRPr="00CD6F5B" w:rsidRDefault="009D11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2、基金转换费由基金份额持有人承担，由转出基金赎回费用及基金申购补差费用构成，其中赎回费用按照</w:t>
      </w:r>
      <w:r w:rsidR="008217EE" w:rsidRPr="00CD6F5B">
        <w:rPr>
          <w:rFonts w:asciiTheme="minorEastAsia" w:eastAsiaTheme="minorEastAsia" w:hAnsiTheme="minorEastAsia" w:hint="eastAsia"/>
          <w:color w:val="000000" w:themeColor="text1"/>
        </w:rPr>
        <w:t>各</w:t>
      </w:r>
      <w:r w:rsidR="008217EE" w:rsidRPr="00CD6F5B">
        <w:rPr>
          <w:rFonts w:asciiTheme="minorEastAsia" w:eastAsiaTheme="minorEastAsia" w:hAnsiTheme="minorEastAsia"/>
          <w:color w:val="000000" w:themeColor="text1"/>
        </w:rPr>
        <w:t>基金的</w:t>
      </w:r>
      <w:r w:rsidRPr="00CD6F5B">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D110E" w:rsidRPr="00CD6F5B" w:rsidRDefault="009D11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3、投资者通过本公司网上交易系统（www.efunds.com.cn）进行申购、赎回和转换的交易费率，请具体参照我公司网站上的相关说明。</w:t>
      </w:r>
    </w:p>
    <w:p w:rsidR="009D110E" w:rsidRPr="00CD6F5B" w:rsidRDefault="009D11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w:t>
      </w:r>
      <w:r w:rsidR="00593911" w:rsidRPr="00CD6F5B">
        <w:rPr>
          <w:rFonts w:asciiTheme="minorEastAsia" w:eastAsiaTheme="minorEastAsia" w:hAnsiTheme="minorEastAsia" w:hint="eastAsia"/>
          <w:color w:val="000000" w:themeColor="text1"/>
        </w:rPr>
        <w:t>基金管理人可以在基金合同规定的范围内调整上述费率。上述费率如发生变更，基金管理人应按照《信息披露办法》或其他相关规定于新的费率实施前在至少一种指定媒</w:t>
      </w:r>
      <w:r w:rsidR="00FC58CB" w:rsidRPr="00CD6F5B">
        <w:rPr>
          <w:rFonts w:asciiTheme="minorEastAsia" w:eastAsiaTheme="minorEastAsia" w:hAnsiTheme="minorEastAsia" w:hint="eastAsia"/>
          <w:color w:val="000000" w:themeColor="text1"/>
        </w:rPr>
        <w:t>介</w:t>
      </w:r>
      <w:r w:rsidR="00593911" w:rsidRPr="00CD6F5B">
        <w:rPr>
          <w:rFonts w:asciiTheme="minorEastAsia" w:eastAsiaTheme="minorEastAsia" w:hAnsiTheme="minorEastAsia" w:hint="eastAsia"/>
          <w:color w:val="000000" w:themeColor="text1"/>
        </w:rPr>
        <w:t>公告。</w:t>
      </w:r>
    </w:p>
    <w:p w:rsidR="00105C2A" w:rsidRPr="00CD6F5B" w:rsidRDefault="00105C2A" w:rsidP="00105C2A">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w:t>
      </w:r>
      <w:r w:rsidR="00593911" w:rsidRPr="00CD6F5B">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（五）实施侧袋机制期间的基金费用</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9A70C6" w:rsidRPr="00CD6F5B">
        <w:rPr>
          <w:rFonts w:asciiTheme="minorEastAsia" w:eastAsiaTheme="minorEastAsia" w:hAnsiTheme="minorEastAsia" w:hint="eastAsia"/>
          <w:color w:val="000000" w:themeColor="text1"/>
        </w:rPr>
        <w:t>六</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税收</w:t>
      </w:r>
    </w:p>
    <w:bookmarkEnd w:id="406"/>
    <w:p w:rsidR="00897C63" w:rsidRPr="00CD6F5B" w:rsidRDefault="00CE39B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本基金运作过程中涉及的各纳税主体，其纳税义务按国家税收法律、法规执行。</w:t>
      </w:r>
      <w:r w:rsidR="00897C63" w:rsidRPr="00CD6F5B">
        <w:rPr>
          <w:rFonts w:asciiTheme="minorEastAsia" w:eastAsiaTheme="minorEastAsia" w:hAnsiTheme="minorEastAsia"/>
          <w:color w:val="000000" w:themeColor="text1"/>
        </w:rPr>
        <w:br w:type="page"/>
      </w:r>
    </w:p>
    <w:p w:rsidR="00BA4B87" w:rsidRPr="00CD6F5B" w:rsidRDefault="001C5C6E" w:rsidP="00897C63">
      <w:pPr>
        <w:pStyle w:val="1"/>
        <w:snapToGrid w:val="0"/>
        <w:spacing w:beforeLines="0" w:afterLines="0" w:line="360" w:lineRule="auto"/>
        <w:ind w:firstLine="600"/>
        <w:rPr>
          <w:rFonts w:asciiTheme="minorEastAsia" w:eastAsiaTheme="minorEastAsia" w:hAnsiTheme="minorEastAsia"/>
          <w:bCs/>
          <w:color w:val="000000" w:themeColor="text1"/>
        </w:rPr>
      </w:pPr>
      <w:bookmarkStart w:id="407" w:name="_Toc332373566"/>
      <w:bookmarkStart w:id="408" w:name="_Toc82186596"/>
      <w:r w:rsidRPr="00CD6F5B">
        <w:rPr>
          <w:rFonts w:asciiTheme="minorEastAsia" w:eastAsiaTheme="minorEastAsia" w:hAnsiTheme="minorEastAsia"/>
          <w:color w:val="000000" w:themeColor="text1"/>
          <w:sz w:val="30"/>
        </w:rPr>
        <w:lastRenderedPageBreak/>
        <w:t>十七</w:t>
      </w:r>
      <w:r w:rsidR="00BA4B87" w:rsidRPr="00CD6F5B">
        <w:rPr>
          <w:rFonts w:asciiTheme="minorEastAsia" w:eastAsiaTheme="minorEastAsia" w:hAnsiTheme="minorEastAsia"/>
          <w:color w:val="000000" w:themeColor="text1"/>
          <w:sz w:val="30"/>
        </w:rPr>
        <w:t>、基金的会计与审计</w:t>
      </w:r>
      <w:bookmarkEnd w:id="408"/>
    </w:p>
    <w:bookmarkEnd w:id="407"/>
    <w:p w:rsidR="000E6D1C" w:rsidRPr="00CD6F5B" w:rsidRDefault="000E6D1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（一）基金会计政策</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1、基金管理人为本基金的基金会计责任方；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2、基金的会计年度为公历年度的1月1日至12月31日；基金首次募集的会计年度按如下原则：如果《基金合同》生效少于2个月，可以并入下一个会计年度；</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3、基金核算以人民币为记账本位币，以人民币元为记账单位；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4、会计制度执行国家有关会计制度；</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5、本基金独立建账、独立核算；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6、基金管理人及基金托管人各自保留完整的会计账目、凭证并进行日常的会计核算，按照有关规定编制基金会计报表；</w:t>
      </w:r>
    </w:p>
    <w:p w:rsidR="000E6D1C" w:rsidRPr="00CD6F5B" w:rsidRDefault="0099722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7、基金托管人每月与基金管理人就基金的会计核算、报表编制等进行核对确认。</w:t>
      </w:r>
    </w:p>
    <w:p w:rsidR="000E6D1C" w:rsidRPr="00CD6F5B" w:rsidRDefault="000E6D1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（二）基金的年度审计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1、基金管理人聘请与基金管理人、基金托管人相互独立的具有证券</w:t>
      </w:r>
      <w:r w:rsidR="0031344C" w:rsidRPr="00CD6F5B">
        <w:rPr>
          <w:rFonts w:asciiTheme="minorEastAsia" w:eastAsiaTheme="minorEastAsia" w:hAnsiTheme="minorEastAsia" w:hint="eastAsia"/>
          <w:color w:val="000000" w:themeColor="text1"/>
        </w:rPr>
        <w:t>、期货相关业务资格</w:t>
      </w:r>
      <w:r w:rsidRPr="00CD6F5B">
        <w:rPr>
          <w:rFonts w:asciiTheme="minorEastAsia" w:eastAsiaTheme="minorEastAsia" w:hAnsiTheme="minorEastAsia"/>
          <w:color w:val="000000" w:themeColor="text1"/>
        </w:rPr>
        <w:t>的会计师事务所及其注册会计师对本基金的年度财务报表进行审计。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2、会计师事务所更换经办注册会计师，应事先征得基金管理人同意。</w:t>
      </w:r>
    </w:p>
    <w:p w:rsidR="00897C63" w:rsidRPr="00CD6F5B" w:rsidRDefault="0099722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3、基金管理人认为有充足理由更换会计师事务所，须通报基金托管人。更换会计师事务所需在2日内在指定媒介公告。</w:t>
      </w:r>
      <w:r w:rsidR="00897C63" w:rsidRPr="00CD6F5B">
        <w:rPr>
          <w:rFonts w:asciiTheme="minorEastAsia" w:eastAsiaTheme="minorEastAsia" w:hAnsiTheme="minorEastAsia"/>
          <w:color w:val="000000" w:themeColor="text1"/>
        </w:rPr>
        <w:br w:type="page"/>
      </w:r>
    </w:p>
    <w:p w:rsidR="00BA4B87" w:rsidRPr="00CD6F5B" w:rsidRDefault="001C5C6E" w:rsidP="00CC1421">
      <w:pPr>
        <w:pStyle w:val="1"/>
        <w:snapToGrid w:val="0"/>
        <w:spacing w:beforeLines="0" w:afterLines="0" w:line="360" w:lineRule="auto"/>
        <w:ind w:firstLine="600"/>
        <w:rPr>
          <w:rFonts w:asciiTheme="minorEastAsia" w:eastAsiaTheme="minorEastAsia" w:hAnsiTheme="minorEastAsia"/>
          <w:color w:val="000000" w:themeColor="text1"/>
        </w:rPr>
      </w:pPr>
      <w:bookmarkStart w:id="409" w:name="_Toc332373569"/>
      <w:bookmarkStart w:id="410" w:name="_Toc82186597"/>
      <w:r w:rsidRPr="00CD6F5B">
        <w:rPr>
          <w:rFonts w:asciiTheme="minorEastAsia" w:eastAsiaTheme="minorEastAsia" w:hAnsiTheme="minorEastAsia"/>
          <w:color w:val="000000" w:themeColor="text1"/>
          <w:sz w:val="30"/>
        </w:rPr>
        <w:lastRenderedPageBreak/>
        <w:t>十八</w:t>
      </w:r>
      <w:r w:rsidR="00BA4B87" w:rsidRPr="00CD6F5B">
        <w:rPr>
          <w:rFonts w:asciiTheme="minorEastAsia" w:eastAsiaTheme="minorEastAsia" w:hAnsiTheme="minorEastAsia"/>
          <w:color w:val="000000" w:themeColor="text1"/>
          <w:sz w:val="30"/>
        </w:rPr>
        <w:t>、基金的信息披露</w:t>
      </w:r>
      <w:bookmarkEnd w:id="410"/>
    </w:p>
    <w:bookmarkEnd w:id="409"/>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（一）</w:t>
      </w:r>
      <w:r w:rsidR="00CA3BE4" w:rsidRPr="00CD6F5B">
        <w:rPr>
          <w:rFonts w:asciiTheme="minorEastAsia" w:eastAsiaTheme="minorEastAsia" w:hAnsiTheme="minorEastAsia"/>
          <w:color w:val="000000" w:themeColor="text1"/>
        </w:rPr>
        <w:t>本基金的信息披露应符合《基金法》、《运作办法》、《信息披露办法》、《基金合同》及其他有关规定。相关法律法规关于信息披露的披露方式、登载媒介、报备方式等规定发生变化时，本基金从其最新规定。</w:t>
      </w:r>
    </w:p>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w:t>
      </w:r>
      <w:r w:rsidR="00B95706" w:rsidRPr="00CD6F5B">
        <w:rPr>
          <w:rFonts w:asciiTheme="minorEastAsia" w:eastAsiaTheme="minorEastAsia" w:hAnsiTheme="minorEastAsia"/>
          <w:color w:val="000000" w:themeColor="text1"/>
        </w:rPr>
        <w:t>信息披露义务人</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本基金信息披露义务人包括基金管理人、基金托管人、召集基金份额持有人大会的基金份额持有人等法律、行政法规和中国证监会规定的自然人、法人和非法人组织。</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本基金信息披露义务人以保护基金份额持有人利益为根本出发点，按照法律法规和中国证监会的规定披露基金信息，并保证所披露信息的真实性、准确性、完整性、及时性、简明性和易得性。</w:t>
      </w:r>
    </w:p>
    <w:p w:rsidR="00997221" w:rsidRPr="00CD6F5B" w:rsidRDefault="0031344C"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（三）</w:t>
      </w:r>
      <w:r w:rsidR="00B95706" w:rsidRPr="00CD6F5B">
        <w:rPr>
          <w:rFonts w:asciiTheme="minorEastAsia" w:eastAsiaTheme="minorEastAsia" w:hAnsiTheme="minorEastAsia"/>
          <w:color w:val="000000" w:themeColor="text1"/>
        </w:rPr>
        <w:t>本基金信息披露义务人承诺公开披露的基金信息，不得有下列行为：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1、虚假记载、误导性陈述或者重大遗漏；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2、对证券投资业绩进行预测；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3、违规承诺收益或者承担损失；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4、诋毁其他基金管理人、基金托管人或者基金销售机构；</w:t>
      </w:r>
    </w:p>
    <w:p w:rsidR="0048496B" w:rsidRPr="00CD6F5B" w:rsidRDefault="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5、登载任何自然人、法人和非法人组织的祝贺性、恭维性或推荐性的文字；</w:t>
      </w:r>
    </w:p>
    <w:p w:rsidR="00B85167" w:rsidRPr="00CD6F5B" w:rsidRDefault="0099722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6、中国证监会禁止的其他行为。</w:t>
      </w:r>
    </w:p>
    <w:p w:rsidR="00C01642" w:rsidRPr="00CD6F5B" w:rsidRDefault="00E6148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Pr="00CD6F5B">
        <w:rPr>
          <w:rFonts w:asciiTheme="minorEastAsia" w:eastAsiaTheme="minorEastAsia" w:hAnsiTheme="minorEastAsia" w:hint="eastAsia"/>
          <w:color w:val="000000" w:themeColor="text1"/>
        </w:rPr>
        <w:t>四</w:t>
      </w:r>
      <w:r w:rsidRPr="00CD6F5B">
        <w:rPr>
          <w:rFonts w:asciiTheme="minorEastAsia" w:eastAsiaTheme="minorEastAsia" w:hAnsiTheme="minorEastAsia"/>
          <w:color w:val="000000" w:themeColor="text1"/>
        </w:rPr>
        <w:t>）</w:t>
      </w:r>
      <w:r w:rsidR="0031344C" w:rsidRPr="00CD6F5B">
        <w:rPr>
          <w:rFonts w:asciiTheme="minorEastAsia" w:eastAsiaTheme="minorEastAsia" w:hAnsiTheme="minorEastAsia" w:hint="eastAsia"/>
          <w:color w:val="000000" w:themeColor="text1"/>
        </w:rPr>
        <w:t>本基金公开披露的信息应采用中文文本。如同时采用外文文本的，基金信息披露义务人应保证不同文本的内容一致。不同文本之间发生歧义的，以中文文本为准</w:t>
      </w:r>
      <w:r w:rsidR="00997221" w:rsidRPr="00CD6F5B">
        <w:rPr>
          <w:rFonts w:asciiTheme="minorEastAsia" w:eastAsiaTheme="minorEastAsia" w:hAnsiTheme="minorEastAsia"/>
          <w:color w:val="000000" w:themeColor="text1"/>
        </w:rPr>
        <w:t>。</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本基金公开披露的信息采用阿拉伯数字；除特别说明外，货币单位为人民币元。</w:t>
      </w:r>
    </w:p>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（五）</w:t>
      </w:r>
      <w:r w:rsidR="00B95706" w:rsidRPr="00CD6F5B">
        <w:rPr>
          <w:rFonts w:asciiTheme="minorEastAsia" w:eastAsiaTheme="minorEastAsia" w:hAnsiTheme="minorEastAsia"/>
          <w:color w:val="000000" w:themeColor="text1"/>
        </w:rPr>
        <w:t>公开披露的基金信息</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公开披露的基金信息包括：</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1、基金招募说明书、《基金合同》、基金托管协议</w:t>
      </w:r>
      <w:r w:rsidR="0031344C" w:rsidRPr="00CD6F5B">
        <w:rPr>
          <w:rFonts w:asciiTheme="minorEastAsia" w:eastAsiaTheme="minorEastAsia" w:hAnsiTheme="minorEastAsia" w:hint="eastAsia"/>
          <w:color w:val="000000" w:themeColor="text1"/>
        </w:rPr>
        <w:t>、基金产品资料概要</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（1）《基金合同》是界定《基金合同》当事人的各项权利、义务关系，明确基金份额持有人大会召开的规则及具体程序，说明基金产品的特性等涉及基金投资者重大利益的事项的法律文件。</w:t>
      </w:r>
    </w:p>
    <w:p w:rsidR="0031344C" w:rsidRPr="00CD6F5B" w:rsidRDefault="004A0413"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（2）</w:t>
      </w:r>
      <w:r w:rsidR="0031344C" w:rsidRPr="00CD6F5B">
        <w:rPr>
          <w:rFonts w:asciiTheme="minorEastAsia" w:eastAsiaTheme="minorEastAsia" w:hAnsiTheme="minorEastAsia" w:hint="eastAsia"/>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（3）基金托管协议是界定基金托管人和基金管理人在基金财产保管及基金运作监督等活动中的权利、义务关系的法律文件。</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8496B"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基金募集申请经中国证监会注册后，基金管理人在基金份额发售的3日前，将基金招募说明书、《基金合同》摘要登载在指定媒介上；基金管理人、基金托管人应当将《基金合同》、基金托管协议登载在网站上。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2、基金份额发售公告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基金管理人应当就基金份额发售的具体事宜编制基金份额发售公告，并在披露招募说明书的当日登载于指定媒介上。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3、《基金合同》生效公告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基金管理人应当在收到中国证监会确认文件的次日在指定媒介上登载《基金合同》生效公告。</w:t>
      </w:r>
    </w:p>
    <w:p w:rsidR="0031344C" w:rsidRPr="00CD6F5B" w:rsidRDefault="004A0413"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w:t>
      </w:r>
      <w:r w:rsidR="0031344C" w:rsidRPr="00CD6F5B">
        <w:rPr>
          <w:rFonts w:asciiTheme="minorEastAsia" w:eastAsiaTheme="minorEastAsia" w:hAnsiTheme="minorEastAsia" w:hint="eastAsia"/>
          <w:color w:val="000000" w:themeColor="text1"/>
        </w:rPr>
        <w:t>基金净值信息</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《基金合同》生效后，在开始办理基金份额申购或者赎回前，基金管理人应当至少每周在指定网站披露一次基金份额净值和基金份额累计净值。</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在开始办理基金份额申购或者赎回后，基金管理人应当在不晚于每个开放日的次日，通过指定网站、基金销售机构网站或者营业网点，披露开放日的基金份额净值和基金份额累计净值。</w:t>
      </w:r>
    </w:p>
    <w:p w:rsidR="0048496B"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基金管理人应当在不晚于半年度和年度最后一日的次日，在指定网站披露半年度和年度</w:t>
      </w:r>
      <w:r w:rsidRPr="00CD6F5B">
        <w:rPr>
          <w:rFonts w:asciiTheme="minorEastAsia" w:eastAsiaTheme="minorEastAsia" w:hAnsiTheme="minorEastAsia" w:hint="eastAsia"/>
          <w:color w:val="000000" w:themeColor="text1"/>
        </w:rPr>
        <w:lastRenderedPageBreak/>
        <w:t>最后一日的基金份额净值和基金份额累计净值。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5、基金份额申购、赎回价格</w:t>
      </w:r>
    </w:p>
    <w:p w:rsidR="0048496B" w:rsidRPr="00CD6F5B" w:rsidRDefault="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31344C" w:rsidRPr="00CD6F5B" w:rsidRDefault="004A0413"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w:t>
      </w:r>
      <w:r w:rsidR="0031344C" w:rsidRPr="00CD6F5B">
        <w:rPr>
          <w:rFonts w:asciiTheme="minorEastAsia" w:eastAsiaTheme="minorEastAsia" w:hAnsiTheme="minorEastAsia" w:hint="eastAsia"/>
          <w:color w:val="000000" w:themeColor="text1"/>
        </w:rPr>
        <w:t>基金定期报告，包括基金年度报告、基金中期报告和基金季度报告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基金管理人应当在上半年结束之日起两个月内，编制完成基金中期报告，将中期报告登载在指定网站上，并将中期报告提示性公告登载在指定报刊上。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基金管理人应当在季度结束之日起15个工作日内，编制完成基金季度报告，将季度报告登载在指定网站上，并将季度报告提示性公告登载在指定报刊上。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《基金合同》生效不足2个月的，基金管理人可以不编制当期季度报告、中期报告或者年度报告。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报告期内出现单一投资者持有基金份额比例达到或超过20%的情形，基金管理人应当在季度报告、中期报告、年度报告等定期报告文件中披露该投资者的类别、报告期末持有份额及占比、报告期内持有份额变化情况及产品的特有风险，中国证监会认定的特殊情形除外。</w:t>
      </w:r>
    </w:p>
    <w:p w:rsidR="00F362C1"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基金持续运作过程中，基金管理人应当在基金年度报告和中期报告中披露基金组合资产情况及其流动性风险分析等。</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7、临时报告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本基金发生重大事件，有关信息披露义务人应当在2日内编制临时报告书，并登载在指定报刊和指定网站上。</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前款所称重大事件，是指可能对基金份额持有人权益或者基金份额的价格产生重大影响的下列事件：</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（1）基金份额持有人大会的召开及决定的事项；</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（2）基金合同终止、基金清算；</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（3）转换基金运作方式、基金合并；</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（4）更换基金管理人、基金托管人、基金份额登记机构，基金改聘会计师事务所；</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（5）基金管理人委托基金服务机构代为办理基金的份额登记、核算、估值等事项，基金托管人委托基金服务机构代为办理基金的核算、估值、复核等事项；</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（6）基金管理人、基金托管人的法定名称、住所发生变更；</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（7）基金管理公司变更持有百分之五以上股权的股东、基金管理人的实际控制人变更；</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（8）基金募集期延长或提前结束募集；</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（9）基金管理人的高级管理人员、基金经理和基金托管人专门基金托管部门负责人发生变动；</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（10）基金管理人的董事在最近12个月内变更超过百分之五十，基金管理人、基金托管人专门基金托管部门的主要业务人员在最近12个月内变动超过百分之三十；</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（11）涉及基金财产、基金管理业务、基金托管业务的诉讼或仲裁；</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（12）基金管理人或其高级管理人员、基金经理因基金管理业务相关行为受到重大行政处罚、刑事处罚，基金托管人或其专门基金托管部门负责人因基金托管业务相关行为受到重大行政处罚、刑事处罚；</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（14）基金收益分配事项；</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（15）管理费、托管费、申购费、赎回费等费用计提标准、计提方式和费率发生变更；</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（16）基金份额净值计价错误达基金份额净值百分之零点五；</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（17）本基金开始办理申购、赎回；</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（18）本基金暂停接受申购、赎回申请或重新接受申购、赎回申请；</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（19）调整基金份额类别的设置；</w:t>
      </w:r>
    </w:p>
    <w:p w:rsidR="0031344C" w:rsidRPr="00CD6F5B" w:rsidRDefault="0031344C" w:rsidP="0031344C">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（20）基金推出新业务或服务；</w:t>
      </w:r>
    </w:p>
    <w:p w:rsidR="0048496B" w:rsidRPr="00CD6F5B" w:rsidRDefault="0031344C"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（21）基金信息披露义务人认为可能对基金份额持有人权益或者基金份额的价格产生重大影响的其他事项或中国证监会规定的其他事项。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8、澄清公告</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9、清算报告</w:t>
      </w:r>
    </w:p>
    <w:p w:rsidR="0048496B"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48496B" w:rsidRPr="00CD6F5B" w:rsidRDefault="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10</w:t>
      </w:r>
      <w:r w:rsidR="004A0413" w:rsidRPr="00CD6F5B">
        <w:rPr>
          <w:rFonts w:asciiTheme="minorEastAsia" w:eastAsiaTheme="minorEastAsia" w:hAnsiTheme="minorEastAsia"/>
          <w:color w:val="000000" w:themeColor="text1"/>
        </w:rPr>
        <w:t>、基金份额持有人大会决议</w:t>
      </w:r>
    </w:p>
    <w:p w:rsidR="00803A13" w:rsidRPr="00CD6F5B" w:rsidRDefault="00803A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基金份额持有人大会决定的事项，应当依法报国务院证券监督管理机构备案，并予以公告。</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11、实施侧袋机制期间的信息披露</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本基金实施侧袋机制的，相关信息披露义务人应当根据法律法规、基金合同和招募说明书的规定进行信息披露，详见本招募说明书“侧袋机制”部分的规定。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w:t>
      </w:r>
      <w:r w:rsidR="009A70C6" w:rsidRPr="00CD6F5B">
        <w:rPr>
          <w:rFonts w:asciiTheme="minorEastAsia" w:eastAsiaTheme="minorEastAsia" w:hAnsiTheme="minorEastAsia"/>
          <w:color w:val="000000" w:themeColor="text1"/>
        </w:rPr>
        <w:t>2</w:t>
      </w:r>
      <w:r w:rsidRPr="00CD6F5B">
        <w:rPr>
          <w:rFonts w:asciiTheme="minorEastAsia" w:eastAsiaTheme="minorEastAsia" w:hAnsiTheme="minorEastAsia"/>
          <w:color w:val="000000" w:themeColor="text1"/>
        </w:rPr>
        <w:t>、中国证监会规定的其他信息。</w:t>
      </w:r>
    </w:p>
    <w:p w:rsidR="00564CC1" w:rsidRPr="00CD6F5B" w:rsidRDefault="0099722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若本基金投资证券公司短期公司债、中小企业私募债、资产支持证券，基金管理人将按相关法律法规要求进行披露。</w:t>
      </w:r>
    </w:p>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（六）</w:t>
      </w:r>
      <w:r w:rsidR="00B95706" w:rsidRPr="00CD6F5B">
        <w:rPr>
          <w:rFonts w:asciiTheme="minorEastAsia" w:eastAsiaTheme="minorEastAsia" w:hAnsiTheme="minorEastAsia"/>
          <w:color w:val="000000" w:themeColor="text1"/>
        </w:rPr>
        <w:t>信息披露事务管理</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基金管理人、基金托管人应当建立健全信息披露管理制度，指定专门部门及高级管理人员负责管理信息披露事务。</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基金信息披露义务人公开披露基金信息，应当符合中国证监会相关基金信息披露内容与格式准则等法规的规定。</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B95706" w:rsidRPr="00CD6F5B" w:rsidRDefault="00DD4495"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基金管理人、基金托管人除按法律法规要求披露信息外，也可着眼于为投资者决策提供</w:t>
      </w:r>
      <w:r w:rsidRPr="00CD6F5B">
        <w:rPr>
          <w:rFonts w:asciiTheme="minorEastAsia" w:eastAsiaTheme="minorEastAsia" w:hAnsiTheme="minorEastAsia" w:hint="eastAsia"/>
          <w:color w:val="000000" w:themeColor="text1"/>
        </w:rPr>
        <w:lastRenderedPageBreak/>
        <w:t>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CD6F5B" w:rsidRDefault="00903553"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（七）</w:t>
      </w:r>
      <w:r w:rsidR="00B95706" w:rsidRPr="00CD6F5B">
        <w:rPr>
          <w:rFonts w:asciiTheme="minorEastAsia" w:eastAsiaTheme="minorEastAsia" w:hAnsiTheme="minorEastAsia"/>
          <w:color w:val="000000" w:themeColor="text1"/>
        </w:rPr>
        <w:t>信息披露文件的存放与查阅</w:t>
      </w:r>
    </w:p>
    <w:p w:rsidR="00897C63" w:rsidRPr="00CD6F5B" w:rsidRDefault="00DD4495"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依法必须披露的信息发布后，基金管理人、基金托管人应当按照相关法律法规规定将信息置备于公司办公场所，供社会公众查阅、复制。</w:t>
      </w:r>
    </w:p>
    <w:p w:rsidR="009A70C6" w:rsidRPr="00CD6F5B" w:rsidRDefault="009A70C6">
      <w:pPr>
        <w:widowControl/>
        <w:jc w:val="lef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br w:type="page"/>
      </w:r>
    </w:p>
    <w:p w:rsidR="009A70C6" w:rsidRPr="00CD6F5B" w:rsidRDefault="009A70C6" w:rsidP="009A70C6">
      <w:pPr>
        <w:pStyle w:val="1"/>
        <w:snapToGrid w:val="0"/>
        <w:spacing w:beforeLines="0" w:afterLines="0" w:line="360" w:lineRule="auto"/>
        <w:ind w:firstLine="600"/>
        <w:rPr>
          <w:rFonts w:asciiTheme="minorEastAsia" w:eastAsiaTheme="minorEastAsia" w:hAnsiTheme="minorEastAsia"/>
          <w:color w:val="000000" w:themeColor="text1"/>
          <w:sz w:val="30"/>
        </w:rPr>
      </w:pPr>
      <w:bookmarkStart w:id="411" w:name="_Toc46676683"/>
      <w:bookmarkStart w:id="412" w:name="_Toc46737675"/>
      <w:bookmarkStart w:id="413" w:name="_Toc47535981"/>
      <w:bookmarkStart w:id="414" w:name="_Toc82186598"/>
      <w:r w:rsidRPr="00CD6F5B">
        <w:rPr>
          <w:rFonts w:asciiTheme="minorEastAsia" w:eastAsiaTheme="minorEastAsia" w:hAnsiTheme="minorEastAsia" w:hint="eastAsia"/>
          <w:color w:val="000000" w:themeColor="text1"/>
          <w:sz w:val="30"/>
        </w:rPr>
        <w:lastRenderedPageBreak/>
        <w:t>十九、侧袋机制</w:t>
      </w:r>
      <w:bookmarkEnd w:id="411"/>
      <w:bookmarkEnd w:id="412"/>
      <w:bookmarkEnd w:id="413"/>
      <w:bookmarkEnd w:id="414"/>
    </w:p>
    <w:p w:rsidR="009A70C6" w:rsidRPr="00CD6F5B" w:rsidRDefault="009A70C6" w:rsidP="009A70C6">
      <w:pPr>
        <w:rPr>
          <w:rFonts w:asciiTheme="minorEastAsia" w:eastAsiaTheme="minorEastAsia" w:hAnsiTheme="minorEastAsia"/>
          <w:color w:val="000000" w:themeColor="text1"/>
        </w:rPr>
      </w:pP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（一）侧袋机制的实施条件和程序</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（二）实施侧袋机制期间基金份额的申购与赎回</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1</w:t>
      </w:r>
      <w:r w:rsidRPr="00CD6F5B">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2</w:t>
      </w:r>
      <w:r w:rsidRPr="00CD6F5B">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3</w:t>
      </w:r>
      <w:r w:rsidRPr="00CD6F5B">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CD6F5B">
        <w:rPr>
          <w:rFonts w:asciiTheme="minorEastAsia" w:eastAsiaTheme="minorEastAsia" w:hAnsiTheme="minorEastAsia"/>
          <w:bCs/>
          <w:color w:val="000000" w:themeColor="text1"/>
          <w:szCs w:val="21"/>
        </w:rPr>
        <w:t>10%</w:t>
      </w:r>
      <w:r w:rsidRPr="00CD6F5B">
        <w:rPr>
          <w:rFonts w:asciiTheme="minorEastAsia" w:eastAsiaTheme="minorEastAsia" w:hAnsiTheme="minorEastAsia" w:hint="eastAsia"/>
          <w:bCs/>
          <w:color w:val="000000" w:themeColor="text1"/>
          <w:szCs w:val="21"/>
        </w:rPr>
        <w:t>认定。</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（三）实施侧袋机制期间的基金投资</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CD6F5B">
        <w:rPr>
          <w:rFonts w:asciiTheme="minorEastAsia" w:eastAsiaTheme="minorEastAsia" w:hAnsiTheme="minorEastAsia"/>
          <w:bCs/>
          <w:color w:val="000000" w:themeColor="text1"/>
          <w:szCs w:val="21"/>
        </w:rPr>
        <w:t>为基准</w:t>
      </w:r>
      <w:r w:rsidRPr="00CD6F5B">
        <w:rPr>
          <w:rFonts w:asciiTheme="minorEastAsia" w:eastAsiaTheme="minorEastAsia" w:hAnsiTheme="minorEastAsia" w:hint="eastAsia"/>
          <w:bCs/>
          <w:color w:val="000000" w:themeColor="text1"/>
          <w:szCs w:val="21"/>
        </w:rPr>
        <w:t>。</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基金管理人原则上应当在侧袋机制启动后</w:t>
      </w:r>
      <w:r w:rsidRPr="00CD6F5B">
        <w:rPr>
          <w:rFonts w:asciiTheme="minorEastAsia" w:eastAsiaTheme="minorEastAsia" w:hAnsiTheme="minorEastAsia"/>
          <w:bCs/>
          <w:color w:val="000000" w:themeColor="text1"/>
          <w:szCs w:val="21"/>
        </w:rPr>
        <w:t>20</w:t>
      </w:r>
      <w:r w:rsidRPr="00CD6F5B">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（四）侧袋账户中特定资产的处置变现和支付</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lastRenderedPageBreak/>
        <w:t>终止侧袋机制后，基金管理人及时聘请符合《证券法》规定的会计师事务所进行审计并披露专项审计意见。</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（五）侧袋机制的信息披露</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1</w:t>
      </w:r>
      <w:r w:rsidRPr="00CD6F5B">
        <w:rPr>
          <w:rFonts w:asciiTheme="minorEastAsia" w:eastAsiaTheme="minorEastAsia" w:hAnsiTheme="minorEastAsia" w:hint="eastAsia"/>
          <w:bCs/>
          <w:color w:val="000000" w:themeColor="text1"/>
          <w:szCs w:val="21"/>
        </w:rPr>
        <w:t>、临时公告</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2</w:t>
      </w:r>
      <w:r w:rsidRPr="00CD6F5B">
        <w:rPr>
          <w:rFonts w:asciiTheme="minorEastAsia" w:eastAsiaTheme="minorEastAsia" w:hAnsiTheme="minorEastAsia" w:hint="eastAsia"/>
          <w:bCs/>
          <w:color w:val="000000" w:themeColor="text1"/>
          <w:szCs w:val="21"/>
        </w:rPr>
        <w:t>、基金净值信息</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9A70C6" w:rsidRPr="00CD6F5B" w:rsidRDefault="009A70C6" w:rsidP="009A70C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bCs/>
          <w:color w:val="000000" w:themeColor="text1"/>
          <w:szCs w:val="21"/>
        </w:rPr>
        <w:t>3</w:t>
      </w:r>
      <w:r w:rsidRPr="00CD6F5B">
        <w:rPr>
          <w:rFonts w:asciiTheme="minorEastAsia" w:eastAsiaTheme="minorEastAsia" w:hAnsiTheme="minorEastAsia" w:hint="eastAsia"/>
          <w:bCs/>
          <w:color w:val="000000" w:themeColor="text1"/>
          <w:szCs w:val="21"/>
        </w:rPr>
        <w:t>、定期报告</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9A70C6" w:rsidRPr="00CD6F5B" w:rsidRDefault="009A70C6" w:rsidP="009612F6">
      <w:pPr>
        <w:spacing w:line="360" w:lineRule="auto"/>
        <w:ind w:firstLineChars="200" w:firstLine="420"/>
        <w:rPr>
          <w:rFonts w:asciiTheme="minorEastAsia" w:eastAsiaTheme="minorEastAsia" w:hAnsiTheme="minorEastAsia"/>
          <w:color w:val="000000" w:themeColor="text1"/>
        </w:rPr>
      </w:pPr>
    </w:p>
    <w:p w:rsidR="00897C63" w:rsidRPr="00CD6F5B" w:rsidRDefault="00897C63">
      <w:pPr>
        <w:widowControl/>
        <w:jc w:val="left"/>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br w:type="page"/>
      </w:r>
    </w:p>
    <w:p w:rsidR="00BA4B87" w:rsidRPr="00CD6F5B" w:rsidRDefault="009A70C6" w:rsidP="00CC1421">
      <w:pPr>
        <w:pStyle w:val="1"/>
        <w:snapToGrid w:val="0"/>
        <w:spacing w:beforeLines="0" w:afterLines="0" w:line="360" w:lineRule="auto"/>
        <w:ind w:firstLine="600"/>
        <w:rPr>
          <w:rFonts w:asciiTheme="minorEastAsia" w:eastAsiaTheme="minorEastAsia" w:hAnsiTheme="minorEastAsia"/>
          <w:color w:val="000000" w:themeColor="text1"/>
        </w:rPr>
      </w:pPr>
      <w:bookmarkStart w:id="415" w:name="_Toc332373573"/>
      <w:bookmarkStart w:id="416" w:name="_Toc82186599"/>
      <w:r w:rsidRPr="00CD6F5B">
        <w:rPr>
          <w:rFonts w:asciiTheme="minorEastAsia" w:eastAsiaTheme="minorEastAsia" w:hAnsiTheme="minorEastAsia"/>
          <w:color w:val="000000" w:themeColor="text1"/>
          <w:sz w:val="30"/>
        </w:rPr>
        <w:lastRenderedPageBreak/>
        <w:t>二十</w:t>
      </w:r>
      <w:r w:rsidR="00BA4B87" w:rsidRPr="00CD6F5B">
        <w:rPr>
          <w:rFonts w:asciiTheme="minorEastAsia" w:eastAsiaTheme="minorEastAsia" w:hAnsiTheme="minorEastAsia"/>
          <w:color w:val="000000" w:themeColor="text1"/>
          <w:sz w:val="30"/>
        </w:rPr>
        <w:t>、风险揭示</w:t>
      </w:r>
      <w:bookmarkEnd w:id="416"/>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17" w:name="_Toc332373574"/>
      <w:bookmarkEnd w:id="415"/>
      <w:r w:rsidRPr="00CD6F5B">
        <w:rPr>
          <w:rFonts w:asciiTheme="minorEastAsia" w:eastAsiaTheme="minorEastAsia" w:hAnsiTheme="minorEastAsia"/>
          <w:color w:val="000000" w:themeColor="text1"/>
        </w:rPr>
        <w:t>（</w:t>
      </w:r>
      <w:r w:rsidR="00DE10C4" w:rsidRPr="00CD6F5B">
        <w:rPr>
          <w:rFonts w:asciiTheme="minorEastAsia" w:eastAsiaTheme="minorEastAsia" w:hAnsiTheme="minorEastAsia" w:hint="eastAsia"/>
          <w:color w:val="000000" w:themeColor="text1"/>
        </w:rPr>
        <w:t>一</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市场风险</w:t>
      </w:r>
    </w:p>
    <w:bookmarkEnd w:id="417"/>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本基金投资于证券市场，而证券市场价格因受到经济因素、政治因素、投资者心理和交易制度等各种因素的影响而产生波动，从而导致基金收益水平发生变化，产生风险。主要的风险因素包括：</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1、政策风险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因国家宏观政策（如货币政策、财政政策、产业政策、地区发展政策等）发生变化，导致市场价格波动而产生风险。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2、利率风险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利率风险主要是指因金融市场利率的波动而导致证券市场价格和收益率变动的风险。利率直接影响着债券的价格和收益率，影响着企业的融资成本和利润。本基金主要投资于债券资产，其收益水平直接受到利率变化的影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3、再投资风险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债券、票据偿付本息后以及回购到期后可能由于市场利率的下降面临资金再投资的收益率低于原来利率，由此本基金面临再投资风险。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4、购买力风险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如果发生通货膨胀，基金投资于证券所获得的收益可能会被通货膨胀抵消，从而影响基金资产的实际收益率。</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5、信用风险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信用风险主要指债券、票据发行主体、存款银行信用状况可能恶化而可能产生的到期不能兑付的风险。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6、公司经营风险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公司的经营状况受多种因素的影响，如管理能力、行业竞争、市场前景、技术更新、新产品研究开发等都会导致公司盈利发生变化。如果基金所投资的公司经营不善，其股票、债券价格可能下跌，其偿债能力也会受到影响，或者能够用于分配的利润减少，使基金投资收益下降。虽然基金可以通过投资多样化来分散这种非系统风险，但不能完全避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6、经济周期风险</w:t>
      </w:r>
    </w:p>
    <w:p w:rsidR="0055340E" w:rsidRPr="00CD6F5B" w:rsidRDefault="00894FE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随着经济运行的周期性变化，证券市场的收益水平也呈周期性变化，基金投资的收益水平也会随之变化，从而产生风险。</w:t>
      </w:r>
    </w:p>
    <w:p w:rsidR="00AE536E"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18" w:name="_Toc332373575"/>
      <w:r w:rsidRPr="00CD6F5B">
        <w:rPr>
          <w:rFonts w:asciiTheme="minorEastAsia" w:eastAsiaTheme="minorEastAsia" w:hAnsiTheme="minorEastAsia"/>
          <w:color w:val="000000" w:themeColor="text1"/>
        </w:rPr>
        <w:lastRenderedPageBreak/>
        <w:t>（</w:t>
      </w:r>
      <w:r w:rsidR="00DE10C4" w:rsidRPr="00CD6F5B">
        <w:rPr>
          <w:rFonts w:asciiTheme="minorEastAsia" w:eastAsiaTheme="minorEastAsia" w:hAnsiTheme="minorEastAsia" w:hint="eastAsia"/>
          <w:color w:val="000000" w:themeColor="text1"/>
        </w:rPr>
        <w:t>二</w:t>
      </w:r>
      <w:r w:rsidRPr="00CD6F5B">
        <w:rPr>
          <w:rFonts w:asciiTheme="minorEastAsia" w:eastAsiaTheme="minorEastAsia" w:hAnsiTheme="minorEastAsia"/>
          <w:color w:val="000000" w:themeColor="text1"/>
        </w:rPr>
        <w:t>）</w:t>
      </w:r>
      <w:r w:rsidR="00AE536E" w:rsidRPr="00CD6F5B">
        <w:rPr>
          <w:rFonts w:asciiTheme="minorEastAsia" w:eastAsiaTheme="minorEastAsia" w:hAnsiTheme="minorEastAsia"/>
          <w:color w:val="000000" w:themeColor="text1"/>
        </w:rPr>
        <w:t>流动性风险</w:t>
      </w:r>
    </w:p>
    <w:bookmarkEnd w:id="418"/>
    <w:p w:rsidR="00F362C1" w:rsidRPr="00CD6F5B" w:rsidRDefault="00F362C1" w:rsidP="00F362C1">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1、流动性风险评估</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本基金为债券型基金，主要投资于债券、</w:t>
      </w:r>
      <w:r w:rsidR="00E75ADF" w:rsidRPr="00CD6F5B">
        <w:rPr>
          <w:rFonts w:asciiTheme="minorEastAsia" w:eastAsiaTheme="minorEastAsia" w:hAnsiTheme="minorEastAsia" w:hint="eastAsia"/>
          <w:color w:val="000000" w:themeColor="text1"/>
        </w:rPr>
        <w:t>股票</w:t>
      </w:r>
      <w:r w:rsidRPr="00CD6F5B">
        <w:rPr>
          <w:rFonts w:asciiTheme="minorEastAsia" w:eastAsiaTheme="minorEastAsia" w:hAnsiTheme="minorEastAsia" w:hint="eastAsia"/>
          <w:color w:val="000000" w:themeColor="text1"/>
        </w:rPr>
        <w:t>等，一般情况下，这些资产市场流动性较好。</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2、巨额赎回情形下的流动性风险管理措施</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CD6F5B">
        <w:rPr>
          <w:rFonts w:asciiTheme="minorEastAsia" w:eastAsiaTheme="minorEastAsia" w:hAnsiTheme="minorEastAsia" w:hint="eastAsia"/>
          <w:color w:val="000000" w:themeColor="text1"/>
        </w:rPr>
        <w:t>（十一）拒绝或暂停申购、暂停赎回</w:t>
      </w:r>
      <w:r w:rsidRPr="00CD6F5B">
        <w:rPr>
          <w:rFonts w:asciiTheme="minorEastAsia" w:eastAsiaTheme="minorEastAsia" w:hAnsiTheme="minorEastAsia" w:hint="eastAsia"/>
          <w:color w:val="000000" w:themeColor="text1"/>
          <w:szCs w:val="21"/>
        </w:rPr>
        <w:t>或延缓支付赎回款项</w:t>
      </w:r>
      <w:r w:rsidRPr="00CD6F5B">
        <w:rPr>
          <w:rFonts w:asciiTheme="minorEastAsia" w:eastAsiaTheme="minorEastAsia" w:hAnsiTheme="minorEastAsia" w:hint="eastAsia"/>
          <w:color w:val="000000" w:themeColor="text1"/>
        </w:rPr>
        <w:t>的情形及处理”的相关规定。</w:t>
      </w:r>
      <w:r w:rsidRPr="00CD6F5B">
        <w:rPr>
          <w:rFonts w:asciiTheme="minorEastAsia" w:eastAsiaTheme="minorEastAsia" w:hAnsiTheme="minorEastAsia" w:hint="eastAsia"/>
          <w:color w:val="000000" w:themeColor="text1"/>
          <w:szCs w:val="21"/>
        </w:rPr>
        <w:t>若本基金暂停赎回申请，投</w:t>
      </w:r>
      <w:r w:rsidRPr="00CD6F5B">
        <w:rPr>
          <w:rFonts w:asciiTheme="minorEastAsia" w:eastAsiaTheme="minorEastAsia" w:hAnsiTheme="minorEastAsia" w:hint="eastAsia"/>
          <w:color w:val="000000" w:themeColor="text1"/>
        </w:rPr>
        <w:t>资者在暂停赎回期间将无法赎回其持有的基金份额。若</w:t>
      </w:r>
      <w:r w:rsidRPr="00CD6F5B">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F362C1" w:rsidRPr="00CD6F5B" w:rsidRDefault="00F362C1" w:rsidP="00F362C1">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短期赎回费适用于持续持有期少于7日的投资者，费率为1.5%。短期赎回费由赎回基</w:t>
      </w:r>
      <w:r w:rsidRPr="00CD6F5B">
        <w:rPr>
          <w:rFonts w:asciiTheme="minorEastAsia" w:eastAsiaTheme="minorEastAsia" w:hAnsiTheme="minorEastAsia" w:hint="eastAsia"/>
          <w:color w:val="000000" w:themeColor="text1"/>
          <w:szCs w:val="21"/>
        </w:rPr>
        <w:lastRenderedPageBreak/>
        <w:t>金份额的基金份额持有人承担，在基金份额持有人赎回基金份额时收取，并全额计入基金财产。短期赎回费的收取将使得投资者在持续持有期限少于7日时会承担较高的赎回费。</w:t>
      </w:r>
    </w:p>
    <w:p w:rsidR="00AE536E" w:rsidRPr="00CD6F5B" w:rsidRDefault="00F362C1" w:rsidP="00F362C1">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4、实施侧袋机制对投资者的影响</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基金管理人将根据主袋账户运作情况合理确定申购政策，因此实施侧袋机制后主袋账户份额存在暂停申购的可能。</w:t>
      </w:r>
    </w:p>
    <w:p w:rsidR="00FA443A" w:rsidRPr="00CD6F5B" w:rsidRDefault="00FA443A" w:rsidP="00FA443A">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（三）本基金法律文件中涉及基金风险特征的表述与销售机构对基金的风险评级可能不一致的风险</w:t>
      </w:r>
    </w:p>
    <w:p w:rsidR="00FA443A" w:rsidRPr="00CD6F5B" w:rsidRDefault="00FA443A" w:rsidP="00FA443A">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w:t>
      </w:r>
      <w:r w:rsidRPr="00CD6F5B">
        <w:rPr>
          <w:rFonts w:asciiTheme="minorEastAsia" w:eastAsiaTheme="minorEastAsia" w:hAnsiTheme="minorEastAsia" w:hint="eastAsia"/>
          <w:color w:val="000000" w:themeColor="text1"/>
        </w:rPr>
        <w:lastRenderedPageBreak/>
        <w:t>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CD6F5B" w:rsidRDefault="002E1C38" w:rsidP="009612F6">
      <w:pPr>
        <w:spacing w:line="360" w:lineRule="auto"/>
        <w:ind w:firstLineChars="200" w:firstLine="420"/>
        <w:rPr>
          <w:rFonts w:asciiTheme="minorEastAsia" w:eastAsiaTheme="minorEastAsia" w:hAnsiTheme="minorEastAsia"/>
          <w:color w:val="000000" w:themeColor="text1"/>
        </w:rPr>
      </w:pPr>
      <w:bookmarkStart w:id="419" w:name="_Toc332373576"/>
      <w:r w:rsidRPr="00CD6F5B">
        <w:rPr>
          <w:rFonts w:asciiTheme="minorEastAsia" w:eastAsiaTheme="minorEastAsia" w:hAnsiTheme="minorEastAsia"/>
          <w:color w:val="000000" w:themeColor="text1"/>
        </w:rPr>
        <w:t>（</w:t>
      </w:r>
      <w:r w:rsidR="00FA443A" w:rsidRPr="00CD6F5B">
        <w:rPr>
          <w:rFonts w:asciiTheme="minorEastAsia" w:eastAsiaTheme="minorEastAsia" w:hAnsiTheme="minorEastAsia" w:hint="eastAsia"/>
          <w:color w:val="000000" w:themeColor="text1"/>
        </w:rPr>
        <w:t>四</w:t>
      </w:r>
      <w:r w:rsidRPr="00CD6F5B">
        <w:rPr>
          <w:rFonts w:asciiTheme="minorEastAsia" w:eastAsiaTheme="minorEastAsia" w:hAnsiTheme="minorEastAsia"/>
          <w:color w:val="000000" w:themeColor="text1"/>
        </w:rPr>
        <w:t>）</w:t>
      </w:r>
      <w:r w:rsidR="00BA4B87" w:rsidRPr="00CD6F5B">
        <w:rPr>
          <w:rFonts w:asciiTheme="minorEastAsia" w:eastAsiaTheme="minorEastAsia" w:hAnsiTheme="minorEastAsia"/>
          <w:color w:val="000000" w:themeColor="text1"/>
        </w:rPr>
        <w:t>管理风险</w:t>
      </w:r>
    </w:p>
    <w:bookmarkEnd w:id="419"/>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1、在基金管理运作过程中，基金管理人的知识、经验、判断、决策、技能等，会影响其对信息的占有以及对经济形势、证券价格走势的判断，从而影响基金收益水平；</w:t>
      </w:r>
    </w:p>
    <w:p w:rsidR="009D1FBD"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2、基金管理人的管理手段和管理技术等因素的变化也会影响基金收益水平。</w:t>
      </w:r>
    </w:p>
    <w:p w:rsidR="00536174" w:rsidRPr="00CD6F5B" w:rsidRDefault="00536174" w:rsidP="009612F6">
      <w:pPr>
        <w:spacing w:line="360" w:lineRule="auto"/>
        <w:ind w:firstLineChars="200" w:firstLine="420"/>
        <w:rPr>
          <w:rFonts w:asciiTheme="minorEastAsia" w:eastAsiaTheme="minorEastAsia" w:hAnsiTheme="minorEastAsia"/>
          <w:color w:val="000000" w:themeColor="text1"/>
        </w:rPr>
      </w:pPr>
      <w:bookmarkStart w:id="420" w:name="_Toc332373578"/>
      <w:r w:rsidRPr="00CD6F5B">
        <w:rPr>
          <w:rFonts w:asciiTheme="minorEastAsia" w:eastAsiaTheme="minorEastAsia" w:hAnsiTheme="minorEastAsia"/>
          <w:color w:val="000000" w:themeColor="text1"/>
        </w:rPr>
        <w:t>（</w:t>
      </w:r>
      <w:r w:rsidR="00FA443A" w:rsidRPr="00CD6F5B">
        <w:rPr>
          <w:rFonts w:asciiTheme="minorEastAsia" w:eastAsiaTheme="minorEastAsia" w:hAnsiTheme="minorEastAsia"/>
          <w:color w:val="000000" w:themeColor="text1"/>
        </w:rPr>
        <w:t>五</w:t>
      </w:r>
      <w:r w:rsidRPr="00CD6F5B">
        <w:rPr>
          <w:rFonts w:asciiTheme="minorEastAsia" w:eastAsiaTheme="minorEastAsia" w:hAnsiTheme="minorEastAsia"/>
          <w:color w:val="000000" w:themeColor="text1"/>
        </w:rPr>
        <w:t>）</w:t>
      </w:r>
      <w:r w:rsidR="001075C2" w:rsidRPr="00CD6F5B">
        <w:rPr>
          <w:rFonts w:asciiTheme="minorEastAsia" w:eastAsiaTheme="minorEastAsia" w:hAnsiTheme="minorEastAsia" w:hint="eastAsia"/>
          <w:color w:val="000000" w:themeColor="text1"/>
        </w:rPr>
        <w:t>本基金</w:t>
      </w:r>
      <w:r w:rsidR="00FF328E" w:rsidRPr="00CD6F5B">
        <w:rPr>
          <w:rFonts w:asciiTheme="minorEastAsia" w:eastAsiaTheme="minorEastAsia" w:hAnsiTheme="minorEastAsia" w:hint="eastAsia"/>
          <w:color w:val="000000" w:themeColor="text1"/>
        </w:rPr>
        <w:t>的</w:t>
      </w:r>
      <w:r w:rsidR="001075C2" w:rsidRPr="00CD6F5B">
        <w:rPr>
          <w:rFonts w:asciiTheme="minorEastAsia" w:eastAsiaTheme="minorEastAsia" w:hAnsiTheme="minorEastAsia" w:hint="eastAsia"/>
          <w:color w:val="000000" w:themeColor="text1"/>
        </w:rPr>
        <w:t>特有风险</w:t>
      </w:r>
    </w:p>
    <w:bookmarkEnd w:id="420"/>
    <w:p w:rsidR="0067715B" w:rsidRPr="00CD6F5B" w:rsidRDefault="004A0413"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（1）</w:t>
      </w:r>
      <w:r w:rsidR="0067715B" w:rsidRPr="00CD6F5B">
        <w:rPr>
          <w:rFonts w:asciiTheme="minorEastAsia" w:eastAsiaTheme="minorEastAsia" w:hAnsiTheme="minorEastAsia" w:hint="eastAsia"/>
          <w:color w:val="000000" w:themeColor="text1"/>
          <w:kern w:val="0"/>
          <w:szCs w:val="2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hint="eastAsia"/>
          <w:color w:val="000000" w:themeColor="text1"/>
          <w:kern w:val="0"/>
          <w:szCs w:val="21"/>
        </w:rPr>
        <w:t>科创板股票在发行、上市、交易、退市等方面的规则与其他板块存在差异，基金投资科创板股票的风险包括但不限于：</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t>1</w:t>
      </w:r>
      <w:r w:rsidRPr="00CD6F5B">
        <w:rPr>
          <w:rFonts w:asciiTheme="minorEastAsia" w:eastAsiaTheme="minorEastAsia" w:hAnsiTheme="minorEastAsia" w:hint="eastAsia"/>
          <w:color w:val="000000" w:themeColor="text1"/>
          <w:kern w:val="0"/>
          <w:szCs w:val="21"/>
        </w:rPr>
        <w:t>）科创板企业退市风险</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hint="eastAsia"/>
          <w:color w:val="000000" w:themeColor="text1"/>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t>2</w:t>
      </w:r>
      <w:r w:rsidRPr="00CD6F5B">
        <w:rPr>
          <w:rFonts w:asciiTheme="minorEastAsia" w:eastAsiaTheme="minorEastAsia" w:hAnsiTheme="minorEastAsia" w:hint="eastAsia"/>
          <w:color w:val="000000" w:themeColor="text1"/>
          <w:kern w:val="0"/>
          <w:szCs w:val="21"/>
        </w:rPr>
        <w:t>）市场风险</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hint="eastAsia"/>
          <w:color w:val="000000" w:themeColor="text1"/>
          <w:kern w:val="0"/>
          <w:szCs w:val="21"/>
        </w:rPr>
        <w:t>科创板企业相对集中于新一代信息技术、高端装备、新材料、新能源、节能环保及生物医药等高新技术和战略新兴产业领域，大多数企业为初创型公司，上市门槛略低于</w:t>
      </w:r>
      <w:r w:rsidRPr="00CD6F5B">
        <w:rPr>
          <w:rFonts w:asciiTheme="minorEastAsia" w:eastAsiaTheme="minorEastAsia" w:hAnsiTheme="minorEastAsia"/>
          <w:color w:val="000000" w:themeColor="text1"/>
          <w:kern w:val="0"/>
          <w:szCs w:val="21"/>
        </w:rPr>
        <w:t>A</w:t>
      </w:r>
      <w:r w:rsidRPr="00CD6F5B">
        <w:rPr>
          <w:rFonts w:asciiTheme="minorEastAsia" w:eastAsiaTheme="minorEastAsia" w:hAnsiTheme="minorEastAsia" w:hint="eastAsia"/>
          <w:color w:val="000000" w:themeColor="text1"/>
          <w:kern w:val="0"/>
          <w:szCs w:val="2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CD6F5B">
        <w:rPr>
          <w:rFonts w:asciiTheme="minorEastAsia" w:eastAsiaTheme="minorEastAsia" w:hAnsiTheme="minorEastAsia"/>
          <w:color w:val="000000" w:themeColor="text1"/>
          <w:kern w:val="0"/>
          <w:szCs w:val="21"/>
        </w:rPr>
        <w:t>5</w:t>
      </w:r>
      <w:r w:rsidRPr="00CD6F5B">
        <w:rPr>
          <w:rFonts w:asciiTheme="minorEastAsia" w:eastAsiaTheme="minorEastAsia" w:hAnsiTheme="minorEastAsia" w:hint="eastAsia"/>
          <w:color w:val="000000" w:themeColor="text1"/>
          <w:kern w:val="0"/>
          <w:szCs w:val="21"/>
        </w:rPr>
        <w:t>个交易日不设涨跌幅限制，其后涨跌幅限制为</w:t>
      </w:r>
      <w:r w:rsidRPr="00CD6F5B">
        <w:rPr>
          <w:rFonts w:asciiTheme="minorEastAsia" w:eastAsiaTheme="minorEastAsia" w:hAnsiTheme="minorEastAsia"/>
          <w:color w:val="000000" w:themeColor="text1"/>
          <w:kern w:val="0"/>
          <w:szCs w:val="21"/>
        </w:rPr>
        <w:t>20%</w:t>
      </w:r>
      <w:r w:rsidRPr="00CD6F5B">
        <w:rPr>
          <w:rFonts w:asciiTheme="minorEastAsia" w:eastAsiaTheme="minorEastAsia" w:hAnsiTheme="minorEastAsia" w:hint="eastAsia"/>
          <w:color w:val="000000" w:themeColor="text1"/>
          <w:kern w:val="0"/>
          <w:szCs w:val="21"/>
        </w:rPr>
        <w:t>）、科创板股票上市首日即可作为融资融券标的，可能导致较大的股票价格波动。</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t>3</w:t>
      </w:r>
      <w:r w:rsidRPr="00CD6F5B">
        <w:rPr>
          <w:rFonts w:asciiTheme="minorEastAsia" w:eastAsiaTheme="minorEastAsia" w:hAnsiTheme="minorEastAsia" w:hint="eastAsia"/>
          <w:color w:val="000000" w:themeColor="text1"/>
          <w:kern w:val="0"/>
          <w:szCs w:val="21"/>
        </w:rPr>
        <w:t>）流动性风险</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hint="eastAsia"/>
          <w:color w:val="000000" w:themeColor="text1"/>
          <w:kern w:val="0"/>
          <w:szCs w:val="2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67715B" w:rsidRPr="00CD6F5B" w:rsidRDefault="0067715B" w:rsidP="0067715B">
      <w:pPr>
        <w:snapToGrid w:val="0"/>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kern w:val="0"/>
          <w:szCs w:val="21"/>
        </w:rPr>
        <w:lastRenderedPageBreak/>
        <w:t>4</w:t>
      </w:r>
      <w:r w:rsidRPr="00CD6F5B">
        <w:rPr>
          <w:rFonts w:asciiTheme="minorEastAsia" w:eastAsiaTheme="minorEastAsia" w:hAnsiTheme="minorEastAsia" w:hint="eastAsia"/>
          <w:color w:val="000000" w:themeColor="text1"/>
          <w:kern w:val="0"/>
          <w:szCs w:val="21"/>
        </w:rPr>
        <w:t>）监管规则变化的风险</w:t>
      </w:r>
    </w:p>
    <w:p w:rsidR="0067715B" w:rsidRPr="00CD6F5B" w:rsidRDefault="0067715B" w:rsidP="006771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48496B" w:rsidRPr="00CD6F5B" w:rsidRDefault="0067715B">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w:t>
      </w:r>
      <w:r w:rsidR="004A0413" w:rsidRPr="00CD6F5B">
        <w:rPr>
          <w:rFonts w:asciiTheme="minorEastAsia" w:eastAsiaTheme="minorEastAsia" w:hAnsiTheme="minorEastAsia"/>
          <w:color w:val="000000" w:themeColor="text1"/>
        </w:rPr>
        <w:t>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67715B" w:rsidRPr="00CD6F5B">
        <w:rPr>
          <w:rFonts w:asciiTheme="minorEastAsia" w:eastAsiaTheme="minorEastAsia" w:hAnsiTheme="minorEastAsia"/>
          <w:color w:val="000000" w:themeColor="text1"/>
        </w:rPr>
        <w:t>3</w:t>
      </w:r>
      <w:r w:rsidRPr="00CD6F5B">
        <w:rPr>
          <w:rFonts w:asciiTheme="minorEastAsia" w:eastAsiaTheme="minorEastAsia" w:hAnsiTheme="minorEastAsia"/>
          <w:color w:val="000000" w:themeColor="text1"/>
        </w:rPr>
        <w:t>）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（4）投资于存托凭证的风险</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9A70C6" w:rsidRPr="00CD6F5B">
        <w:rPr>
          <w:rFonts w:asciiTheme="minorEastAsia" w:eastAsiaTheme="minorEastAsia" w:hAnsiTheme="minorEastAsia"/>
          <w:color w:val="000000" w:themeColor="text1"/>
        </w:rPr>
        <w:t>5</w:t>
      </w:r>
      <w:r w:rsidRPr="00CD6F5B">
        <w:rPr>
          <w:rFonts w:asciiTheme="minorEastAsia" w:eastAsiaTheme="minorEastAsia" w:hAnsiTheme="minorEastAsia"/>
          <w:color w:val="000000" w:themeColor="text1"/>
        </w:rPr>
        <w:t>）本基金投资于债券资产不低于基金资产的80%。因此，本基金需要承担由于市场利率波动造成的利率风险以及如企业债、公司债等信用品种的发债主体信用恶化造成的信用风险；如果债券市场出现整体下跌，将无法完全避免债券市场系统性风险。</w:t>
      </w:r>
    </w:p>
    <w:p w:rsidR="00536174" w:rsidRPr="00CD6F5B" w:rsidRDefault="0053617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w:t>
      </w:r>
      <w:r w:rsidR="009A70C6" w:rsidRPr="00CD6F5B">
        <w:rPr>
          <w:rFonts w:asciiTheme="minorEastAsia" w:eastAsiaTheme="minorEastAsia" w:hAnsiTheme="minorEastAsia"/>
          <w:color w:val="000000" w:themeColor="text1"/>
        </w:rPr>
        <w:t>6</w:t>
      </w:r>
      <w:r w:rsidRPr="00CD6F5B">
        <w:rPr>
          <w:rFonts w:asciiTheme="minorEastAsia" w:eastAsiaTheme="minorEastAsia" w:hAnsiTheme="minorEastAsia"/>
          <w:color w:val="000000" w:themeColor="text1"/>
        </w:rPr>
        <w:t>）本基金投资于债券资产不低于基金资产的80%；投资于股票资产不高于基金资产的20%。因此，本基金除承担利率风险、信用风险和债券市场系统性风险外，还将面临股票市场下跌的风险。</w:t>
      </w:r>
    </w:p>
    <w:p w:rsidR="00536174" w:rsidRPr="00CD6F5B" w:rsidRDefault="00536174"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w:t>
      </w:r>
      <w:r w:rsidR="00FA443A" w:rsidRPr="00CD6F5B">
        <w:rPr>
          <w:rFonts w:asciiTheme="minorEastAsia" w:eastAsiaTheme="minorEastAsia" w:hAnsiTheme="minorEastAsia" w:hint="eastAsia"/>
          <w:color w:val="000000" w:themeColor="text1"/>
        </w:rPr>
        <w:t>六</w:t>
      </w:r>
      <w:r w:rsidRPr="00CD6F5B">
        <w:rPr>
          <w:rFonts w:asciiTheme="minorEastAsia" w:eastAsiaTheme="minorEastAsia" w:hAnsiTheme="minorEastAsia"/>
          <w:color w:val="000000" w:themeColor="text1"/>
        </w:rPr>
        <w:t>）其他风险</w:t>
      </w:r>
    </w:p>
    <w:p w:rsidR="0048496B" w:rsidRPr="00CD6F5B" w:rsidRDefault="004A0413">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1、因技术因素而产生的风险，如电脑等技术系统的故障或差错产生的风险；</w:t>
      </w:r>
    </w:p>
    <w:p w:rsidR="0048496B" w:rsidRPr="00CD6F5B" w:rsidRDefault="004A0413">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2、因战争、自然灾害等不可抗力导致的基金管理人、基金托管人、基金服务机构等机构无法正常工作，从而影响基金运作的风险；</w:t>
      </w:r>
    </w:p>
    <w:p w:rsidR="0048496B" w:rsidRPr="00CD6F5B" w:rsidRDefault="004A0413">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3、因金融市场危机、代理商违约、基金托管人违约等超出基金管理人自身控制能力的因素出现，可能导致基金或者基金份额持有人利益受损的风险；</w:t>
      </w:r>
    </w:p>
    <w:p w:rsidR="0048496B" w:rsidRPr="00CD6F5B" w:rsidRDefault="004A0413">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4、因固定收益类金融工具主要在场外市场进行交易，场外市场交易现阶段自动化程度较场内市场低，本基金在投资运作过程中可能面临操作风险。</w:t>
      </w:r>
    </w:p>
    <w:p w:rsidR="00FA77BB" w:rsidRPr="00CD6F5B" w:rsidRDefault="00536174" w:rsidP="009612F6">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5、其他意外导致的风险。</w:t>
      </w:r>
      <w:r w:rsidR="00FA77BB" w:rsidRPr="00CD6F5B">
        <w:rPr>
          <w:rFonts w:asciiTheme="minorEastAsia" w:eastAsiaTheme="minorEastAsia" w:hAnsiTheme="minorEastAsia"/>
          <w:color w:val="000000" w:themeColor="text1"/>
          <w:kern w:val="0"/>
          <w:szCs w:val="21"/>
        </w:rPr>
        <w:br w:type="page"/>
      </w:r>
    </w:p>
    <w:p w:rsidR="00BA4B87" w:rsidRPr="00CD6F5B" w:rsidRDefault="001C5C6E" w:rsidP="007C2342">
      <w:pPr>
        <w:pStyle w:val="1"/>
        <w:snapToGrid w:val="0"/>
        <w:spacing w:beforeLines="0" w:afterLines="0" w:line="360" w:lineRule="auto"/>
        <w:ind w:firstLineChars="0" w:firstLine="0"/>
        <w:rPr>
          <w:rFonts w:asciiTheme="minorEastAsia" w:eastAsiaTheme="minorEastAsia" w:hAnsiTheme="minorEastAsia"/>
          <w:color w:val="000000" w:themeColor="text1"/>
        </w:rPr>
      </w:pPr>
      <w:bookmarkStart w:id="421" w:name="_Toc332373579"/>
      <w:bookmarkStart w:id="422" w:name="_Toc82186600"/>
      <w:r w:rsidRPr="00CD6F5B">
        <w:rPr>
          <w:rFonts w:asciiTheme="minorEastAsia" w:eastAsiaTheme="minorEastAsia" w:hAnsiTheme="minorEastAsia"/>
          <w:color w:val="000000" w:themeColor="text1"/>
          <w:sz w:val="30"/>
        </w:rPr>
        <w:lastRenderedPageBreak/>
        <w:t>二十</w:t>
      </w:r>
      <w:r w:rsidR="009A70C6" w:rsidRPr="00CD6F5B">
        <w:rPr>
          <w:rFonts w:asciiTheme="minorEastAsia" w:eastAsiaTheme="minorEastAsia" w:hAnsiTheme="minorEastAsia"/>
          <w:color w:val="000000" w:themeColor="text1"/>
          <w:sz w:val="30"/>
        </w:rPr>
        <w:t>一</w:t>
      </w:r>
      <w:r w:rsidR="00BA4B87" w:rsidRPr="00CD6F5B">
        <w:rPr>
          <w:rFonts w:asciiTheme="minorEastAsia" w:eastAsiaTheme="minorEastAsia" w:hAnsiTheme="minorEastAsia"/>
          <w:color w:val="000000" w:themeColor="text1"/>
          <w:sz w:val="30"/>
        </w:rPr>
        <w:t>、基金合同的变更、终止与基金财产的清算</w:t>
      </w:r>
      <w:bookmarkEnd w:id="422"/>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bookmarkStart w:id="423" w:name="_Toc79392639"/>
      <w:bookmarkEnd w:id="421"/>
      <w:r w:rsidRPr="00CD6F5B">
        <w:rPr>
          <w:rFonts w:asciiTheme="minorEastAsia" w:eastAsiaTheme="minorEastAsia" w:hAnsiTheme="minorEastAsia"/>
          <w:color w:val="000000" w:themeColor="text1"/>
        </w:rPr>
        <w:t>（一）《基金合同》的变更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2、关于《基金合同》变更的基金份额持有人大会决议自表决通过之日起生效，自决议生效后两日内在指定媒介公告。</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（二）《基金合同》的终止事由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有下列情形之一的，《基金合同》应当终止：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1、基金份额持有人大会决定终止的；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2、基金管理人、基金托管人职责终止，在6个月内没有新基金管理人、新基金托管人承接的；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3、《基金合同》约定的其他情形；</w:t>
      </w:r>
    </w:p>
    <w:p w:rsidR="00FE1510"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4、相关法律法规和中国证监会规定的其他情况。</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（三）基金财产的清算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1、基金财产清算小组：自出现《基金合同》终止事由之日起30个工作日内成立清算小组，基金管理人组织基金财产清算小组并在中国证监会的监督下进行基金清算。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3、基金财产清算小组职责：基金财产清算小组负责基金财产的保管、清理、估价、变现和分配。基金财产清算小组可以依法进行必要的民事活动。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4、基金财产清算程序：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（1）《基金合同》终止情形出现时，由基金财产清算小组统一接管基金；</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（2）对基金财产和债权债务进行清理和确认；</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（3）对基金财产进行估值和变现；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（4）制作清算报告；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（5）聘请会计师事务所对清算报告进行外部审计，聘请律师事务所对清算报告出具法律意见书；</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lastRenderedPageBreak/>
        <w:t>（6）将清算报告报中国证监会备案并公告；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（7）对基金财产进行分配。</w:t>
      </w:r>
    </w:p>
    <w:p w:rsidR="00CB50D7"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5、基金财产清算的期限为6个月，但因本基金所持证券的流动性受到限制而不能及时变现的，清算期限相应顺延。</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（四）清算费用</w:t>
      </w:r>
    </w:p>
    <w:p w:rsidR="00FE1510"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清算费用是指基金财产清算小组在进行基金清算过程中发生的所有合理费用，清算费用由基金财产清算小组优先从基金财产中支付。</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（五）基金财产清算剩余资产的分配</w:t>
      </w:r>
    </w:p>
    <w:p w:rsidR="00FE1510"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依据基金财产清算的分配方案，将基金财产清算后的全部剩余资产扣除基金财产清算费用、交纳所欠税款并清偿基金债务后，按基金份额持有人持有的基金份额比例进行分配。</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（六）基金财产清算的公告</w:t>
      </w:r>
    </w:p>
    <w:p w:rsidR="00FE1510" w:rsidRPr="00CD6F5B" w:rsidRDefault="0059218B"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E1510" w:rsidRPr="00CD6F5B" w:rsidRDefault="00FE151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（七）基金财产清算账册及文件的保存</w:t>
      </w:r>
    </w:p>
    <w:p w:rsidR="00897C63" w:rsidRPr="00CD6F5B" w:rsidRDefault="0059218B" w:rsidP="009612F6">
      <w:pPr>
        <w:spacing w:line="360" w:lineRule="auto"/>
        <w:ind w:firstLineChars="200" w:firstLine="420"/>
        <w:rPr>
          <w:rFonts w:asciiTheme="minorEastAsia" w:eastAsiaTheme="minorEastAsia" w:hAnsiTheme="minorEastAsia"/>
          <w:color w:val="000000" w:themeColor="text1"/>
          <w:kern w:val="0"/>
          <w:szCs w:val="21"/>
        </w:rPr>
      </w:pPr>
      <w:r w:rsidRPr="00CD6F5B">
        <w:rPr>
          <w:rFonts w:asciiTheme="minorEastAsia" w:eastAsiaTheme="minorEastAsia" w:hAnsiTheme="minorEastAsia"/>
          <w:color w:val="000000" w:themeColor="text1"/>
        </w:rPr>
        <w:t>基金财产清算账册及有关文件由基金托管人保存15年以上。</w:t>
      </w:r>
      <w:r w:rsidR="00897C63" w:rsidRPr="00CD6F5B">
        <w:rPr>
          <w:rFonts w:asciiTheme="minorEastAsia" w:eastAsiaTheme="minorEastAsia" w:hAnsiTheme="minorEastAsia"/>
          <w:color w:val="000000" w:themeColor="text1"/>
          <w:kern w:val="0"/>
          <w:szCs w:val="21"/>
        </w:rPr>
        <w:br w:type="page"/>
      </w:r>
    </w:p>
    <w:p w:rsidR="00BA4B87" w:rsidRPr="00CD6F5B" w:rsidRDefault="00BA4B87" w:rsidP="00CC1421">
      <w:pPr>
        <w:pStyle w:val="1"/>
        <w:snapToGrid w:val="0"/>
        <w:spacing w:beforeLines="0" w:afterLines="0" w:line="360" w:lineRule="auto"/>
        <w:ind w:firstLine="600"/>
        <w:rPr>
          <w:rFonts w:asciiTheme="minorEastAsia" w:eastAsiaTheme="minorEastAsia" w:hAnsiTheme="minorEastAsia"/>
          <w:color w:val="000000" w:themeColor="text1"/>
          <w:kern w:val="44"/>
          <w:sz w:val="28"/>
          <w:szCs w:val="44"/>
        </w:rPr>
      </w:pPr>
      <w:bookmarkStart w:id="424" w:name="_Toc82186601"/>
      <w:bookmarkEnd w:id="423"/>
      <w:r w:rsidRPr="00CD6F5B">
        <w:rPr>
          <w:rFonts w:asciiTheme="minorEastAsia" w:eastAsiaTheme="minorEastAsia" w:hAnsiTheme="minorEastAsia"/>
          <w:color w:val="000000" w:themeColor="text1"/>
          <w:sz w:val="30"/>
        </w:rPr>
        <w:lastRenderedPageBreak/>
        <w:t>二</w:t>
      </w:r>
      <w:bookmarkStart w:id="425" w:name="_Toc332373588"/>
      <w:r w:rsidRPr="00CD6F5B">
        <w:rPr>
          <w:rFonts w:asciiTheme="minorEastAsia" w:eastAsiaTheme="minorEastAsia" w:hAnsiTheme="minorEastAsia"/>
          <w:color w:val="000000" w:themeColor="text1"/>
          <w:sz w:val="30"/>
        </w:rPr>
        <w:t>十</w:t>
      </w:r>
      <w:r w:rsidR="009A70C6" w:rsidRPr="00CD6F5B">
        <w:rPr>
          <w:rFonts w:asciiTheme="minorEastAsia" w:eastAsiaTheme="minorEastAsia" w:hAnsiTheme="minorEastAsia"/>
          <w:color w:val="000000" w:themeColor="text1"/>
          <w:sz w:val="30"/>
        </w:rPr>
        <w:t>二</w:t>
      </w:r>
      <w:r w:rsidRPr="00CD6F5B">
        <w:rPr>
          <w:rFonts w:asciiTheme="minorEastAsia" w:eastAsiaTheme="minorEastAsia" w:hAnsiTheme="minorEastAsia"/>
          <w:color w:val="000000" w:themeColor="text1"/>
          <w:sz w:val="30"/>
        </w:rPr>
        <w:t>、基金合同的内容摘要</w:t>
      </w:r>
      <w:bookmarkEnd w:id="424"/>
    </w:p>
    <w:bookmarkEnd w:id="425"/>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一、基金份额持有人、基金管理人和基金托管人的权利、义务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（一）基金份额持有人的权利、义务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1、根据《基金法》、《运作办法》及其他有关规定，基金份额持有人的权利包括但不限于：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（1）分享基金财产收益；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（2）参与分配清算后的剩余基金财产；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（3）依法申请赎回或转让其持有的基金份额；</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（4）按照规定要求召开基金份额持有人大会或者召集基金份额持有人大会；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（5）出席或者委派代表出席基金份额持有人大会，对基金份额持有人大会审议事项行使表决权；</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（6）查阅或者复制公开披露的基金信息资料；</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（7）监督基金管理人的投资运作；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（8）对基金管理人、基金托管人、基金服务机构损害其合法权益的行为依法提起诉讼或仲裁；</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（9）法律法规及中国证监会规定的和《基金合同》约定的其他权利。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2、根据《基金法》、《运作办法》及其他有关规定，基金份额持有人的义务包括但不限于：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（1）认真阅读并遵守《基金合同》、招募说明书等信息披露文件；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（2）了解所投资基金产品，了解自身风险承受能力，自主判断基金的投资价值，自主做出投资决策，自行承担投资风险；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（3）关注基金信息披露，及时行使权利和履行义务；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（4）缴纳基金认购、申购款项及法律法规和《基金合同》所规定的费用；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（5）在其持有的基金份额范围内，承担基金亏损或者《基金合同》终止的有限责任；</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（6）不从事任何有损基金及其他《基金合同》当事人合法权益的活动；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（7）执行生效的基金份额持有人大会的决定；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（8）返还在基金交易过程中因任何原因获得的不当得利；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（9）法律法规及中国证监会规定的和《基金合同》约定的其他义务。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（二）基金管理人的权利与义务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1、根据《基金法》、《运作办法》及其他有关规定，基金管理人的权利包括但不限于：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（1）依法募集资金；</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（2）自《基金合同》生效之日起，根据法律法规和《基金合同》独立运用并管理基金财产；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（3）依照《基金合同》收取基金管理费以及法律法规规定或中国证监会批准的其他费用；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（4）销售基金份额；</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（5）召集基金份额持有人大会；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（6）依据《基金合同》及有关法律规定监督基金托管人，如认为基金托管人违反了《基金合同》及国家有关法律规定，应呈报中国证监会和其他监管部门，并采取必要措施保护基金投资者的利益；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（7）在基金托管人更换时，提名新的基金托管人；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（8）选择、更换基金销售机构，对基金销售机构的相关行为进行监督和处理；</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（9）担任或委托其他符合条件的机构担任基金登记机构办理基金登记业务并获得《基金合同》规定的费用；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（10）依据《基金合同》及有关法律规定决定基金收益的分配方案；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（11）在《基金合同》约定的范围内，拒绝或暂停受理申购、赎回和转换申请；</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（12）在不违反法律法规和监管规定且对基金份额持有人利益无实质不利影响的前提下，为支付本基金应付的赎回、交易清算等款项，基金管理人有权代表基金份额持有人以基金资产作为抵押进行融资；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（13）依照法律法规为基金的利益对被投资公司行使股东权利，为基金的利益行使因基金财产投资于证券所产生的权利；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（14）在法律法规允许的前提下，为基金的利益依法为基金进行融资、融券；</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（15）以基金管理人的名义，代表基金份额持有人的利益行使诉讼权利或者实施其他法律行为；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（16）选择、更换律师事务所、会计师事务所、证券经纪商或其他为基金提供服务的外部机构；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（17）在符合有关法律、法规的前提下，制订和调整有关基金认购、申购、赎回、转换、非交易过户、转托管和收益分配等业务规则；</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（18）法律法规及中国证监会规定的和《基金合同》约定的其他权利。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2、根据《基金法》、《运作办法》及其他有关规定，基金管理人的义务包括但不限于：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（1）依法募集资金，办理或者委托经中国证监会认定的其他机构办理基金份额的发售、申购、赎回和登记事宜；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（2）办理基金备案手续；</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（3）自《基金合同》生效之日起，以诚实信用、谨慎勤勉的原则管理和运用基金财产；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（4）配备足够的具有专业资格的人员进行基金投资分析、决策，以专业化的经营方式管理和运作基金财产；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（5）建立健全内部风险控制、监察与稽核、财务管理及人事管理等制度，保证所管理的基金财产和基金管理人的财产相互独立，对所管理的不同基金分别管理，分别记账，进行证券投资；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（6）除依据《基金法》、《基金合同》及其他有关规定外，不得利用基金财产为自己及任何第三人谋取利益，不得委托第三人运作基金财产；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（7）依法接受基金托管人的监督；</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（8）采取适当合理的措施使计算基金份额认购、申购、赎回和注销价格的方法符合《基金合同》等法律文件的规定，按有关规定计算并公告基金净值</w:t>
      </w:r>
      <w:r w:rsidR="00DD4495" w:rsidRPr="00CD6F5B">
        <w:rPr>
          <w:rFonts w:asciiTheme="minorEastAsia" w:eastAsiaTheme="minorEastAsia" w:hAnsiTheme="minorEastAsia" w:hint="eastAsia"/>
          <w:color w:val="000000" w:themeColor="text1"/>
        </w:rPr>
        <w:t>信息</w:t>
      </w:r>
      <w:r w:rsidRPr="00CD6F5B">
        <w:rPr>
          <w:rFonts w:asciiTheme="minorEastAsia" w:eastAsiaTheme="minorEastAsia" w:hAnsiTheme="minorEastAsia" w:hint="eastAsia"/>
          <w:color w:val="000000" w:themeColor="text1"/>
        </w:rPr>
        <w:t>，确定基金份额申购、赎回的价格；</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（9）进行基金会计核算并编制基金财务会计报告；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（10）编制季度</w:t>
      </w:r>
      <w:r w:rsidR="00DD4495" w:rsidRPr="00CD6F5B">
        <w:rPr>
          <w:rFonts w:asciiTheme="minorEastAsia" w:eastAsiaTheme="minorEastAsia" w:hAnsiTheme="minorEastAsia" w:hint="eastAsia"/>
          <w:color w:val="000000" w:themeColor="text1"/>
        </w:rPr>
        <w:t>报告、中期报告</w:t>
      </w:r>
      <w:r w:rsidRPr="00CD6F5B">
        <w:rPr>
          <w:rFonts w:asciiTheme="minorEastAsia" w:eastAsiaTheme="minorEastAsia" w:hAnsiTheme="minorEastAsia" w:hint="eastAsia"/>
          <w:color w:val="000000" w:themeColor="text1"/>
        </w:rPr>
        <w:t>和年度报告；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（11）严格按照《基金法》、《基金合同》及其他有关规定，履行信息披露及报告义务；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（12）保守基金商业秘密，不泄露基金投资计划、投资意向等。除《基金法》、《基金合同》及其他有关规定另有规定外，在基金信息公开披露前应予保密，不向他人泄露；</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（13）按《基金合同》的约定确定基金收益分配方案，及时向基金份额持有人分配基金收益；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（14）按规定受理申购与赎回申请，及时、足额支付赎回款项；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（15）依据《基金法》、《基金合同》及其他有关规定召集基金份额持有人大会或配合基金托管人、基金份额持有人依法召集基金份额持有人大会；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（16）按规定保存基金财产管理业务活动的会计账册、报表、记录和其他相关资料15年以上；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（18）组织并参加基金财产清算小组，参与基金财产的保管、清理、估价、变现和分配；</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（19）面临解散、依法被撤销或者被依法宣告破产时，及时报告中国证监会并通知基金托管人；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（20）因违反《基金合同》导致基金财产的损失或损害基金份额持有人合法权益时，应当承担赔偿责任，其赔偿责任不因其退任而免除；</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（21）监督基金托管人按法律法规和《基金合同》规定履行自己的义务，基金托管人违反《基金合同》造成基金财产损失时，基金管理人应为基金份额持有人利益向基金托管人追偿；</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（22）当基金管理人将其义务委托第三方处理时，应当对第三方处理有关基金事务的行为承担责任；</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（23）以基金管理人名义，代表基金份额持有人利益行使诉讼权利或实施其他法律行为；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（24）基金管理人在募集期间未能达到基金的备案条件，《基金合同》不能生效，基金管理人承担全部募集费用，将已募集资金并加计银行同期活期存款利息在基金募集期结束后30日内退还基金认购人；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（25）执行生效的基金份额持有人大会的决议；</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（26）建立并保存基金份额持有人名册；</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（27）法律法规及中国证监会规定的和《基金合同》约定的其他义务。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（三）基金托管人的权利与义务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1、根据《基金法》、《运作办法》及其他有关规定，基金托管人的权利包括但不限于：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（1）自《基金合同》生效之日起，依法律法规和《基金合同》的规定安全保管基金财产；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（2）依《基金合同》约定获得基金托管费以及法律法规规定或监管部门批准的其他费用；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（4）根据相关市场规则，为基金开设证券账户、为基金办理证券交易资金清算；</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（5）提议召开或召集基金份额持有人大会；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（6）在基金管理人更换时，提名新的基金管理人；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（7）法律法规及中国证监会规定的和《基金合同》约定的其他权利。</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2、根据《基金法》、《运作办法》及其他有关规定，基金托管人的义务包括但不限于：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（1）以诚实信用、勤勉尽责的原则持有并安全保管基金财产；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（2）设立专门的基金托管部门，具有符合要求的营业场所，配备足够的、合格的熟悉基金托管业务的专职人员，负责基金财产托管事宜；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（4）除依据《基金法》、《基金合同》及其他有关规定外，不得利用基金财产为自己及任何第三人谋取利益，不得委托第三人托管基金财产；</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（5）保管由基金管理人代表基金签订的与基金有关的重大合同及有关凭证；</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（6）按规定开设基金财产的资金账户和证券账户，按照《基金合同》的约定，根据基金管理人的投资指令，及时办理清算、交割事宜；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（7）保守基金商业秘密，除《基金法》、《基金合同》及其他有关规定另有规定外，在基金信息公开披露前予以保密，不得向他人泄露；</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（8）复核、审查基金管理人计算的基金资产净值、</w:t>
      </w:r>
      <w:r w:rsidR="00DD4495" w:rsidRPr="00CD6F5B">
        <w:rPr>
          <w:rFonts w:asciiTheme="minorEastAsia" w:eastAsiaTheme="minorEastAsia" w:hAnsiTheme="minorEastAsia" w:hint="eastAsia"/>
          <w:color w:val="000000" w:themeColor="text1"/>
        </w:rPr>
        <w:t>基金份额净值、</w:t>
      </w:r>
      <w:r w:rsidRPr="00CD6F5B">
        <w:rPr>
          <w:rFonts w:asciiTheme="minorEastAsia" w:eastAsiaTheme="minorEastAsia" w:hAnsiTheme="minorEastAsia" w:hint="eastAsia"/>
          <w:color w:val="000000" w:themeColor="text1"/>
        </w:rPr>
        <w:t>基金份额申购、赎回价格；</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（9）办理与基金托管业务活动有关的信息披露事项；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（10）对基金财务会计报告、季度</w:t>
      </w:r>
      <w:r w:rsidR="00DD4495" w:rsidRPr="00CD6F5B">
        <w:rPr>
          <w:rFonts w:asciiTheme="minorEastAsia" w:eastAsiaTheme="minorEastAsia" w:hAnsiTheme="minorEastAsia" w:hint="eastAsia"/>
          <w:color w:val="000000" w:themeColor="text1"/>
        </w:rPr>
        <w:t>报告、中期报告</w:t>
      </w:r>
      <w:r w:rsidRPr="00CD6F5B">
        <w:rPr>
          <w:rFonts w:asciiTheme="minorEastAsia" w:eastAsiaTheme="minorEastAsia" w:hAnsiTheme="minorEastAsia" w:hint="eastAsia"/>
          <w:color w:val="000000" w:themeColor="text1"/>
        </w:rPr>
        <w:t>和年度报告出具意见，说明基金管理人在各重要方面的运作是否严格按照《基金合同》的规定进行；如果基金管理人有未执行《基金合同》规定的行为，还应当说明基金托管人是否采取了适当的措施；</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（11）保存基金托管业务活动的记录、账册、报表和其他相关资料15年以上；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（12）建立并保存基金份额持有人名册；</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（13）按规定制作相关账册并与基金管理人核对；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（14）依据基金管理人的指令或有关规定向基金份额持有人支付基金收益和赎回款项；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（15）依据《基金法》、《基金合同》及其他有关规定，召集基金份额持有人大会或配合基金份额持有人依法召集基金份额持有人大会；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（16）按照法律法规和《基金合同》的规定监督基金管理人的投资运作；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（17）参加基金财产清算小组，参与基金财产的保管、清理、估价、变现和分配；</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（18）面临解散、依法被撤销或者被依法宣告破产时，及时报告中国证监会和银行监管机构，并通知基金管理人；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（19）因违反《基金合同》导致基金财产损失时，应承担赔偿责任，其赔偿责任不因其退任而免除；</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（20）按规定监督基金管理人按法律法规和《基金合同》规定履行自己的义务，基金管理人因违反《基金合同》造成基金财产损失时，应为基金份额持有人利益向基金管理人追偿；</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（21）执行生效的基金份额持有人大会的决定；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（22）法律法规及中国证监会规定的和《基金合同》约定的其他义务。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二、基金份额持有人大会召集、议事及表决的程序和规则</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基金份额持有人大会由基金份额持有人组成，基金份额持有人的合法授权代表有权代表基金份额持有人出席会议并表决。基金份额持有人持有的每一基金份额拥有平等的投票权。</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本基金份额持有人大会不设日常机构。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（一）召开事由</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1、当出现或需要决定下列事由之一的，应当召开基金份额持有人大会，但法律法规、中国证监会和基金合同另有规定的除外：</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（1）终止《基金合同》；</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（2）更换基金管理人；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（3）更换基金托管人；</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（4）转换基金运作方式；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（5）提高基金管理人、基金托管人的报酬标准；</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（6）变更基金类别；</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（7）本基金与其他基金的合并；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（8）变更基金投资目标、范围或策略；</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（9）变更基金份额持有人大会程序；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（10）基金管理人或基金托管人要求召开基金份额持有人大会；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（11）单独或合计持有本基金总份额10%以上（含10%）基金份额的基金份额持有人（以基金管理人收到提议当日的基金份额计算，下同）就同一事项书面要求召开基金份额持有人大会；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（12）对基金当事人权利和义务产生重大影响的其他事项；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（13）法律法规、《基金合同》或中国证监会规定的其他应当召开基金份额持有人大会的事项。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2、以下情况可由基金管理人和基金托管人协商后修改，不需召开基金份额持有人大会：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（1）调低全部或部分份额类别的基金管理费、基金托管费和其他应由基金承担的费用；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（2）法律法规要求增加的基金费用的收取；</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（3）在法律法规和《基金合同》规定的范围内调整本基金全部或部分份额类别的申购费率、调低全部或部分份额类别的赎回费率或变更收费方式；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（4）因相应的法律法规发生变动而应当对《基金合同》进行修改；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（5）对《基金合同》的修改对基金份额持有人利益无实质性不利影响或修改不涉及《基金合同》当事人权利义务关系发生重大变化；</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（6）基金管理人、基金登记机构、基金销售机构，在法律法规规定或中国证监会许可的范围内调整有关认购、申购、赎回、转换、基金交易、非交易过户、转托管、质押等业务规则；</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（7）在法律法规规定或中国证监会许可的范围内基金推出新业务或服务；</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（8）在对基金份额持有人利益无实质不利影响的情况下，增加或减少份额类别，或调整基金份额分类办法及规则；</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（9）按照本基金合同的约定，变更业绩比较基准；</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（10）在对基金份额持有人利益无实质不利影响的情况下，基金管理人经与基金托管人协商一致，调整基金收益的分配原则和支付方式；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（11）在对基金份额持有人利益无实质不利影响的前提下，基金管理人经与基金托管人协商一致，对基金份额进行折算；</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（12）在对基金份额持有人利益无实质不利影响的前提下，本基金在交易所上市交易、申购和赎回；</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（13）按照法律法规和《基金合同》规定不需召开基金份额持有人大会的其他情形。</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（二）会议召集人及召集方式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1、除法律法规规定或《基金合同》另有约定外，基金份额持有人大会由基金管理人召集。</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2、基金管理人未按规定召集或不能召集时，由基金托管人召集。</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6、基金份额持有人会议的召集人负责选择确定开会时间、地点、方式和权益登记日。</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（三）召开基金份额持有人大会的通知时间、通知内容、通知方式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1、召开基金份额持有人大会，召集人应于会议召开前30日，在指定媒介公告。基金份额持有人大会通知应至少载明以下内容：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（1）会议召开的时间、地点和会议形式；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（2）会议拟审议的事项、议事程序和表决方式；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（3）有权出席基金份额持有人大会的基金份额持有人的权益登记日；</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（4）授权委托证明的内容要求（包括但不限于代理人身份，代理权限和代理有效期限</w:t>
      </w:r>
      <w:r w:rsidRPr="00CD6F5B">
        <w:rPr>
          <w:rFonts w:asciiTheme="minorEastAsia" w:eastAsiaTheme="minorEastAsia" w:hAnsiTheme="minorEastAsia" w:hint="eastAsia"/>
          <w:color w:val="000000" w:themeColor="text1"/>
        </w:rPr>
        <w:lastRenderedPageBreak/>
        <w:t>等）、送达时间和地点；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（5）会务常设联系人姓名及联系电话；</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（6）出席会议者必须准备的文件和必须履行的手续；</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（7）召集人需要通知的其他事项。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（四）基金份额持有人出席会议的方式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基金份额持有人大会可通过现场开会方式、通讯开会方式及法律法规、中国证监会允许的其他方式召开，会议的召开方式由会议召集人确定。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（1）亲自出席会议者持有的有关证明文件、受托出席会议者出示的委托人的代理投票授权委托证明及有关证明文件符合法律法规、《基金合同》和会议通知的规定；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（2）经核对，到会者在权益登记日代表的有效的基金份额不少于本基金在权益登记日基金总份额的50%（含50%）。</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2、通讯开会。通讯开会系指基金份额持有人将其对表决事项的投票以书面形式在表决截至日以前送达至召集人指定的地址。通讯开会应以书面方式进行表决。</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在同时符合以下条件时，通讯开会的方式视为有效：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（1）会议召集人按《基金合同》约定公布会议通知后，在2个工作日内连续公布相关提示性公告；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（2）召集人按基金合同约定通知基金托管人（如果基金托管人为召集人，则为基金管</w:t>
      </w:r>
      <w:r w:rsidRPr="00CD6F5B">
        <w:rPr>
          <w:rFonts w:asciiTheme="minorEastAsia" w:eastAsiaTheme="minorEastAsia" w:hAnsiTheme="minorEastAsia" w:hint="eastAsia"/>
          <w:color w:val="000000" w:themeColor="text1"/>
        </w:rPr>
        <w:lastRenderedPageBreak/>
        <w:t>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（3）本人直接出具书面意见或授权他人代表出具书面意见的，基金份额持有人所持有的基金份额不小于在权益登记日基金总份额的50%（含50%）；</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3、重新召集基金份额持有人大会的条件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基金份额持有人大会应当有代表二分之一以上基金份额的持有人参加，方可召开。</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5、基金份额持有人授权他人代为出席会议并表决的，授权方式可以采用书面、网络、电话、短信或其他方式，具体方式由会议召集人确定并在会议通知中列明。</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（五）议事内容与程序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1、议事内容及提案权</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基金份额持有人大会的召集人发出召集会议的通知后，对原有提案的修改应当在基金份额持有人大会召开前及时公告。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基金份额持有人大会不得对未事先公告的议事内容进行表决。</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2、议事程序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（1）现场开会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会议召集人应当制作出席会议人员的签名册。签名册载明参加会议人员姓名（或单位名称）、身份证明文件号码、持有或代表有表决权的基金份额、委托人姓名（或单位名称）和联系方式等事项。</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（2）通讯开会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在通讯开会的情况下，首先由召集人提前30日公布提案，在所通知的表决截止日期后2个工作日内在公证机关监督下由召集人统计全部有效表决，在公证机关监督下形成决议。</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（六）表决</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基金份额持有人所持每份基金份额有一票表决权。</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基金份额持有人大会决议分为一般决议和特别决议：</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1、一般决议，一般决议须经参加大会的基金份额持有人或其代理人所持表决权的50%以上（含50%）通过方为有效；除下列第2项所规定的须以特别决议通过事项以外的其他事项均以一般决议的方式通过。</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基金份额持有人大会采取记名方式进行投票表决。</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lastRenderedPageBreak/>
        <w:t>基金份额持有人大会的各项提案或同一项提案内并列的各项议题应当分开审议、逐项表决。</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（七）计票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1、现场开会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（2）监票人应当在基金份额持有人表决后立即进行清点并由大会主持人当场公布计票结果。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（4）计票过程应由公证机关予以公证，基金管理人或基金托管人拒不出席大会的，不影响计票的效力。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2、通讯开会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（八）生效与公告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基金份额持有人大会的决议，自表决通过之日起生效。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基金份额持有人大会的决议，召集人应当自通过之日起5日内报中国证监会备案。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基金份额持有人大会决议自生效之日起2日内在指定媒介上公告。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基金管理人、基金托管人和基金份额持有人应当执行生效的基金份额持有人大会的决议。生效的基金份额持有人大会决议对全体基金份额持有人、基金管理人、基金托管人均有约束力。</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（九）实施侧袋机制期间基金份额持有人大会的特殊约定</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1、基金份额持有人行使提议权、召集权、提名权所需单独或合计代表相关基金份额10%以上（含10%）；</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2、现场开会的到会者在权益登记日代表的基金份额不少于本基金在权益登记日相关基金份额的二分之一（含二分之一）；</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3、通讯开会的直接出具书面意见或授权他人代表出具书面意见的基金份额持有人所持有的基金份额不小于在权益登记日相关基金份额的二分之一（含二分之一）；</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5、现场开会由出席大会的基金份额持有人和代理人所持表决权的50%以上（含50%）选举产生一名基金份额持有人作为该次基金份额持有人大会的主持人；</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6、一般决议须经参加大会的基金份额持有人或其代理人所持表决权的二分之一以上（含二分之一）通过；</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7、特别决议应当经参加大会的基金份额持有人或其代理人所持表决权的三分之二以上（含三分之二）通过。</w:t>
      </w:r>
    </w:p>
    <w:p w:rsidR="009A70C6" w:rsidRPr="00CD6F5B" w:rsidRDefault="009A70C6" w:rsidP="009A70C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同一主侧袋账户内的每份基金份额具有平等的表决权。</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w:t>
      </w:r>
      <w:r w:rsidR="009A70C6" w:rsidRPr="00CD6F5B">
        <w:rPr>
          <w:rFonts w:asciiTheme="minorEastAsia" w:eastAsiaTheme="minorEastAsia" w:hAnsiTheme="minorEastAsia" w:hint="eastAsia"/>
          <w:color w:val="000000" w:themeColor="text1"/>
        </w:rPr>
        <w:t>十</w:t>
      </w:r>
      <w:r w:rsidRPr="00CD6F5B">
        <w:rPr>
          <w:rFonts w:asciiTheme="minorEastAsia" w:eastAsiaTheme="minorEastAsia" w:hAnsiTheme="minorEastAsia" w:hint="eastAsia"/>
          <w:color w:val="000000" w:themeColor="text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三、基金合同解除和终止的事由、程序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（一）《基金合同》的变更</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1、变更基金合同涉及法律法规规定或本合同约定应经基金份额持有人大会决议通过的</w:t>
      </w:r>
      <w:r w:rsidRPr="00CD6F5B">
        <w:rPr>
          <w:rFonts w:asciiTheme="minorEastAsia" w:eastAsiaTheme="minorEastAsia" w:hAnsiTheme="minorEastAsia" w:hint="eastAsia"/>
          <w:color w:val="000000" w:themeColor="text1"/>
        </w:rPr>
        <w:lastRenderedPageBreak/>
        <w:t>事项的，应召开基金份额持有人大会决议通过。对于可不经基金份额持有人大会决议通过的事项，由基金管理人和基金托管人同意后变更并公告，并报中国证监会备案。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2、关于《基金合同》变更的基金份额持有人大会决议自表决通过之日起生效，自决议生效后两日内在指定媒介公告。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（二）《基金合同》的终止事由</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有下列情形之一的，《基金合同》应当终止：</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1、基金份额持有人大会决定终止的；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2、基金管理人、基金托管人职责终止，在6个月内没有新基金管理人、新基金托管人承接的；</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3、《基金合同》约定的其他情形；</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4、相关法律法规和中国证监会规定的其他情况。</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（三）基金财产的清算</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1、基金财产清算小组：自出现《基金合同》终止事由之日起30个工作日内成立清算小组，基金管理人组织基金财产清算小组并在中国证监会的监督下进行基金清算。</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3、基金财产清算小组职责：基金财产清算小组负责基金财产的保管、清理、估价、变现和分配。基金财产清算小组可以依法进行必要的民事活动。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4、基金财产清算程序：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（1）《基金合同》终止情形出现时，由基金财产清算小组统一接管基金；</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（2）对基金财产和债权债务进行清理和确认；</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（3）对基金财产进行估值和变现；</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（4）制作清算报告；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（5）聘请会计师事务所对清算报告进行外部审计，聘请律师事务所对清算报告出具法律意见书；</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（6）将清算报告报中国证监会备案并公告；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（7）对基金财产进行分配。</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5、基金财产清算的期限为6个月，但因本基金所持证券的流动性受到限制而不能及时</w:t>
      </w:r>
      <w:r w:rsidRPr="00CD6F5B">
        <w:rPr>
          <w:rFonts w:asciiTheme="minorEastAsia" w:eastAsiaTheme="minorEastAsia" w:hAnsiTheme="minorEastAsia" w:hint="eastAsia"/>
          <w:color w:val="000000" w:themeColor="text1"/>
        </w:rPr>
        <w:lastRenderedPageBreak/>
        <w:t>变现的，清算期限相应顺延。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（四）清算费用</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清算费用是指基金财产清算小组在进行基金清算过程中发生的所有合理费用，清算费用由基金财产清算小组优先从基金财产中支付。</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（五）基金财产清算剩余资产的分配</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依据基金财产清算的分配方案，将基金财产清算后的全部剩余资产扣除基金财产清算费用、交纳所欠税款并清偿基金债务后，按基金份额持有人持有的基金份额比例进行分配。</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（六）基金财产清算的公告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（七）基金财产清算账册及文件的保存</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基金财产清算账册及有关文件由基金托管人保存15年以上。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四、争议解决方式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争议处理期间，基金合同当事人应恪守各自的职责，继续忠实、勤勉、尽责地履行基金合同规定的义务，维护基金份额持有人的合法权益。</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《基金合同》受中国法律（为本合同之目的，在此不包括香港、澳门特别行政区和台湾地区法律）管辖。</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五、基金合同存放地和投资者取得基金合同的方式</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《基金合同》是约定基金当事人之间、基金与基金当事人之间权利义务关系的法律文件。</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1、《基金合同》经基金管理人、基金托管人双方盖章以及双方法定代表人或授权代表签字或盖章，并在募集结束后经基金管理人向中国证监会办理基金备案手续，并经中国证监会书面确认后生效。</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2、《基金合同》的有效期自其生效之日起至基金财产清算结果报中国证监会备案并公告</w:t>
      </w:r>
      <w:r w:rsidRPr="00CD6F5B">
        <w:rPr>
          <w:rFonts w:asciiTheme="minorEastAsia" w:eastAsiaTheme="minorEastAsia" w:hAnsiTheme="minorEastAsia" w:hint="eastAsia"/>
          <w:color w:val="000000" w:themeColor="text1"/>
        </w:rPr>
        <w:lastRenderedPageBreak/>
        <w:t>之日止。</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3、《基金合同》自生效之日起对包括基金管理人、基金托管人和基金份额持有人在内的《基金合同》各方当事人具有同等的法律约束力。</w:t>
      </w:r>
    </w:p>
    <w:p w:rsidR="0048496B" w:rsidRPr="00CD6F5B" w:rsidRDefault="004A0413">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4、《基金合同》正本一式六份，除上报有关监管机构一式二份外，基金管理人、基金托管人各持有二份，每份具有同等的法律效力。</w:t>
      </w:r>
    </w:p>
    <w:p w:rsidR="00897C63" w:rsidRPr="00CD6F5B" w:rsidRDefault="000E23C6" w:rsidP="009612F6">
      <w:pPr>
        <w:spacing w:line="360" w:lineRule="auto"/>
        <w:ind w:firstLineChars="200" w:firstLine="420"/>
        <w:rPr>
          <w:rFonts w:asciiTheme="minorEastAsia" w:eastAsiaTheme="minorEastAsia" w:hAnsiTheme="minorEastAsia"/>
          <w:bCs/>
          <w:color w:val="000000" w:themeColor="text1"/>
          <w:szCs w:val="21"/>
        </w:rPr>
      </w:pPr>
      <w:r w:rsidRPr="00CD6F5B">
        <w:rPr>
          <w:rFonts w:asciiTheme="minorEastAsia" w:eastAsiaTheme="minorEastAsia" w:hAnsiTheme="minorEastAsia" w:hint="eastAsia"/>
          <w:color w:val="000000" w:themeColor="text1"/>
        </w:rPr>
        <w:t>5、《基金合同》可印制成册，供投资者在基金管理人、基金托管人、销售机构的办公场所和营业场所查阅。</w:t>
      </w:r>
      <w:r w:rsidR="00897C63" w:rsidRPr="00CD6F5B">
        <w:rPr>
          <w:rFonts w:asciiTheme="minorEastAsia" w:eastAsiaTheme="minorEastAsia" w:hAnsiTheme="minorEastAsia"/>
          <w:bCs/>
          <w:color w:val="000000" w:themeColor="text1"/>
          <w:szCs w:val="21"/>
        </w:rPr>
        <w:br w:type="page"/>
      </w:r>
    </w:p>
    <w:p w:rsidR="00BA4B87" w:rsidRPr="00CD6F5B" w:rsidRDefault="001C5C6E" w:rsidP="00897C63">
      <w:pPr>
        <w:pStyle w:val="1"/>
        <w:snapToGrid w:val="0"/>
        <w:spacing w:beforeLines="0" w:afterLines="0" w:line="360" w:lineRule="auto"/>
        <w:ind w:firstLine="600"/>
        <w:rPr>
          <w:rFonts w:asciiTheme="minorEastAsia" w:eastAsiaTheme="minorEastAsia" w:hAnsiTheme="minorEastAsia"/>
          <w:color w:val="000000" w:themeColor="text1"/>
          <w:sz w:val="30"/>
        </w:rPr>
      </w:pPr>
      <w:bookmarkStart w:id="426" w:name="_Toc332373590"/>
      <w:bookmarkStart w:id="427" w:name="_Toc332374170"/>
      <w:bookmarkStart w:id="428" w:name="_Toc82186602"/>
      <w:r w:rsidRPr="00CD6F5B">
        <w:rPr>
          <w:rFonts w:asciiTheme="minorEastAsia" w:eastAsiaTheme="minorEastAsia" w:hAnsiTheme="minorEastAsia"/>
          <w:color w:val="000000" w:themeColor="text1"/>
          <w:sz w:val="30"/>
        </w:rPr>
        <w:lastRenderedPageBreak/>
        <w:t>二十</w:t>
      </w:r>
      <w:r w:rsidR="009A70C6" w:rsidRPr="00CD6F5B">
        <w:rPr>
          <w:rFonts w:asciiTheme="minorEastAsia" w:eastAsiaTheme="minorEastAsia" w:hAnsiTheme="minorEastAsia"/>
          <w:color w:val="000000" w:themeColor="text1"/>
          <w:sz w:val="30"/>
        </w:rPr>
        <w:t>三</w:t>
      </w:r>
      <w:r w:rsidR="00BA4B87" w:rsidRPr="00CD6F5B">
        <w:rPr>
          <w:rFonts w:asciiTheme="minorEastAsia" w:eastAsiaTheme="minorEastAsia" w:hAnsiTheme="minorEastAsia"/>
          <w:color w:val="000000" w:themeColor="text1"/>
          <w:sz w:val="30"/>
        </w:rPr>
        <w:t>、基金托管协议的内容摘要</w:t>
      </w:r>
      <w:bookmarkEnd w:id="428"/>
    </w:p>
    <w:bookmarkEnd w:id="426"/>
    <w:bookmarkEnd w:id="427"/>
    <w:p w:rsidR="00D51034" w:rsidRPr="00CD6F5B" w:rsidRDefault="000F75E1"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w:t>
      </w:r>
      <w:r w:rsidRPr="00CD6F5B">
        <w:rPr>
          <w:rFonts w:asciiTheme="minorEastAsia" w:eastAsiaTheme="minorEastAsia" w:hAnsiTheme="minorEastAsia"/>
          <w:color w:val="000000" w:themeColor="text1"/>
        </w:rPr>
        <w:t>、</w:t>
      </w:r>
      <w:r w:rsidR="00D51034" w:rsidRPr="00CD6F5B">
        <w:rPr>
          <w:rFonts w:asciiTheme="minorEastAsia" w:eastAsiaTheme="minorEastAsia" w:hAnsiTheme="minorEastAsia"/>
          <w:color w:val="000000" w:themeColor="text1"/>
        </w:rPr>
        <w:t>托管协议当事人</w:t>
      </w:r>
    </w:p>
    <w:p w:rsidR="002945F3" w:rsidRPr="00CD6F5B" w:rsidRDefault="000F75E1" w:rsidP="002945F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w:t>
      </w:r>
      <w:r w:rsidRPr="00CD6F5B">
        <w:rPr>
          <w:rFonts w:asciiTheme="minorEastAsia" w:eastAsiaTheme="minorEastAsia" w:hAnsiTheme="minorEastAsia"/>
          <w:color w:val="000000" w:themeColor="text1"/>
        </w:rPr>
        <w:t>）</w:t>
      </w:r>
      <w:r w:rsidR="002945F3" w:rsidRPr="00CD6F5B">
        <w:rPr>
          <w:rFonts w:asciiTheme="minorEastAsia" w:eastAsiaTheme="minorEastAsia" w:hAnsiTheme="minorEastAsia"/>
          <w:color w:val="000000" w:themeColor="text1"/>
        </w:rPr>
        <w:t>基金管理人</w:t>
      </w:r>
    </w:p>
    <w:p w:rsidR="002945F3" w:rsidRPr="00CD6F5B" w:rsidRDefault="00FF328E" w:rsidP="002945F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w:t>
      </w:r>
      <w:r w:rsidR="002945F3" w:rsidRPr="00CD6F5B">
        <w:rPr>
          <w:rFonts w:asciiTheme="minorEastAsia" w:eastAsiaTheme="minorEastAsia" w:hAnsiTheme="minorEastAsia"/>
          <w:color w:val="000000" w:themeColor="text1"/>
        </w:rPr>
        <w:t>：易方达基金管理有限公司</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住所：广东省珠海市横琴新区宝华路6号105室-42891（集中办公区）</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法定代表人：刘晓艳</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设立日期：2001年4月17日</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批准设立机关及批准设立文号：中国证券监督管理委员会，证监基金字[2001]4号</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组织形式：有限责任公司</w:t>
      </w:r>
    </w:p>
    <w:p w:rsidR="00DD4495" w:rsidRPr="00CD6F5B" w:rsidRDefault="00494F64"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注册资本：13,244.2万元人民币</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存续期限：持续经营</w:t>
      </w:r>
    </w:p>
    <w:p w:rsidR="004304D3" w:rsidRPr="00CD6F5B" w:rsidRDefault="00DD4495" w:rsidP="00FF328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联系电话：4008818088</w:t>
      </w:r>
    </w:p>
    <w:p w:rsidR="002945F3" w:rsidRPr="00CD6F5B" w:rsidRDefault="000F75E1" w:rsidP="002945F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w:t>
      </w:r>
      <w:r w:rsidRPr="00CD6F5B">
        <w:rPr>
          <w:rFonts w:asciiTheme="minorEastAsia" w:eastAsiaTheme="minorEastAsia" w:hAnsiTheme="minorEastAsia"/>
          <w:color w:val="000000" w:themeColor="text1"/>
        </w:rPr>
        <w:t>）</w:t>
      </w:r>
      <w:r w:rsidR="002945F3" w:rsidRPr="00CD6F5B">
        <w:rPr>
          <w:rFonts w:asciiTheme="minorEastAsia" w:eastAsiaTheme="minorEastAsia" w:hAnsiTheme="minorEastAsia"/>
          <w:color w:val="000000" w:themeColor="text1"/>
        </w:rPr>
        <w:t>基金托管人</w:t>
      </w:r>
    </w:p>
    <w:p w:rsidR="002945F3" w:rsidRPr="00CD6F5B" w:rsidRDefault="002945F3" w:rsidP="002945F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名称：上海浦东发展银行股份有限公司</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办公地址：上海市中山东一路12号</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法定代表人：</w:t>
      </w:r>
      <w:r w:rsidR="0059526A" w:rsidRPr="00CD6F5B">
        <w:rPr>
          <w:rFonts w:asciiTheme="minorEastAsia" w:eastAsiaTheme="minorEastAsia" w:hAnsiTheme="minorEastAsia" w:hint="eastAsia"/>
          <w:color w:val="000000" w:themeColor="text1"/>
        </w:rPr>
        <w:t>郑杨</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成立日期：1992年10月19日</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基金托管业务资格批准机关：中国证券监督管理委员会</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基金托管业务资格文号：证监基金字[2003]105号</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组织形式：股份有限公司（上市）</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注册资本：人民币293.52亿元</w:t>
      </w:r>
    </w:p>
    <w:p w:rsidR="00397E25" w:rsidRPr="00CD6F5B" w:rsidRDefault="00DD4495" w:rsidP="00FF328E">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经营期限：永久存续</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二、基金托管人对基金管理人的业务监督和核查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（一）基金托管人对基金管理人的投资行为行使监督权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1.基金托管人根据有关法律法规的规定和《基金合同》的约定，对下述基金投资范围、投资对象进行监督。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本基金将投资于以下金融工具：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本基金的投资范围为具有良好流动性的金融工具，包括国债、央行票据、地方政府债、金融债、次级债、企业债、短期融资券、中期票据、公司债、可转换债券（含可分离型可转</w:t>
      </w:r>
      <w:r w:rsidRPr="00CD6F5B">
        <w:rPr>
          <w:rFonts w:asciiTheme="minorEastAsia" w:eastAsiaTheme="minorEastAsia" w:hAnsiTheme="minorEastAsia" w:hint="eastAsia"/>
          <w:color w:val="000000" w:themeColor="text1"/>
        </w:rPr>
        <w:lastRenderedPageBreak/>
        <w:t>换债券）、可交换债券、证券公司短期公司债券、中小企业私募债、资产支持证券、债券回购、银行存款等债券资产，股票（含中小板、创业板及其他依法上市的股票</w:t>
      </w:r>
      <w:r w:rsidR="003C7135" w:rsidRPr="00CD6F5B">
        <w:rPr>
          <w:rFonts w:asciiTheme="minorEastAsia" w:eastAsiaTheme="minorEastAsia" w:hAnsiTheme="minorEastAsia" w:hint="eastAsia"/>
          <w:color w:val="000000" w:themeColor="text1"/>
        </w:rPr>
        <w:t>、存托凭证</w:t>
      </w:r>
      <w:r w:rsidRPr="00CD6F5B">
        <w:rPr>
          <w:rFonts w:asciiTheme="minorEastAsia" w:eastAsiaTheme="minorEastAsia" w:hAnsiTheme="minorEastAsia" w:hint="eastAsia"/>
          <w:color w:val="000000" w:themeColor="text1"/>
        </w:rPr>
        <w:t>）、权证等权益类品种以及法律法规或中国证监会允许基金投资的其他金融工具，但须符合中国证监会相关规定。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上述投资范围中，对于可交换债券、证券公司短期公司债券，资产管理人应提前通知资产托管人，资产管理人与资产托管人协商确定相应的准备时间。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如法律法规或监管机构以后允许基金投资其他品种，本基金可以将其纳入投资范围。</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本基金不得投资于相关法律、法规、部门规章及《基金合同》禁止投资的投资工具。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2.基金托管人根据有关法律法规的规定及《基金合同》的约定对下述基金投融资比例进行监督：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（1）按法律法规的规定及《基金合同》的约定，本基金的投资资产配置比例为：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本基金投资于债券资产不低于基金资产的80%；投资于股票资产不高于基金资产的20%；现金或到期日在一年以内的政府债券的比例合计不低于基金资产净值的5%</w:t>
      </w:r>
      <w:r w:rsidR="00E75ADF" w:rsidRPr="00CD6F5B">
        <w:rPr>
          <w:rFonts w:asciiTheme="minorEastAsia" w:eastAsiaTheme="minorEastAsia" w:hAnsiTheme="minorEastAsia" w:hint="eastAsia"/>
          <w:color w:val="000000" w:themeColor="text1"/>
          <w:szCs w:val="21"/>
        </w:rPr>
        <w:t>，现金不包括结算备付金、存出保证金、应收申购款等</w:t>
      </w:r>
      <w:r w:rsidRPr="00CD6F5B">
        <w:rPr>
          <w:rFonts w:asciiTheme="minorEastAsia" w:eastAsiaTheme="minorEastAsia" w:hAnsiTheme="minorEastAsia" w:hint="eastAsia"/>
          <w:color w:val="000000" w:themeColor="text1"/>
        </w:rPr>
        <w:t>。</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因基金规模或市场变化等因素导致投资组合不符合上述规定的，基金管理人应在合理的期限内调整基金的投资组合，以符合上述比例限定。法律法规另有规定时，从其规定。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（2）根据法律法规的规定及《基金合同》的约定，本基金投资组合遵循以下投资限制：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1）本基金投资于债券资产不低于基金资产的80%；投资于股票资产不高于基金资产的20%；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2）现金或到期日在一年以内的政府债券的比例合计不低于基金资产净值的5%</w:t>
      </w:r>
      <w:r w:rsidR="00E75ADF" w:rsidRPr="00CD6F5B">
        <w:rPr>
          <w:rFonts w:asciiTheme="minorEastAsia" w:eastAsiaTheme="minorEastAsia" w:hAnsiTheme="minorEastAsia" w:hint="eastAsia"/>
          <w:color w:val="000000" w:themeColor="text1"/>
          <w:szCs w:val="21"/>
        </w:rPr>
        <w:t>，现金不包括结算备付金、存出保证金、应收申购款等</w:t>
      </w:r>
      <w:r w:rsidRPr="00CD6F5B">
        <w:rPr>
          <w:rFonts w:asciiTheme="minorEastAsia" w:eastAsiaTheme="minorEastAsia" w:hAnsiTheme="minorEastAsia" w:hint="eastAsia"/>
          <w:color w:val="000000" w:themeColor="text1"/>
        </w:rPr>
        <w:t>；</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3）本基金持有一家公司发行的证券，其市值不超过基金资产净值的10％；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4）本基金管理人管理的全部基金持有一家公司发行的证券，不超过该证券的10％；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5）本基金持有的全部权证，其市值不得超过基金资产净值的3％；</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6）本基金管理人管理的全部基金持有的同一权证，不得超过该权证的10％；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7）本基金在任何交易日买入权证的总金额，不得超过上一交易日基金资产净值的0.5％；</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8）本基金投资于同一原始权益人的各类资产支持证券的比例，不得超过基金资产净值的10％；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9）本基金持有的全部资产支持证券，其市值不得超过基金资产净值的20％；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10）本基金持有的同一(指同一信用级别)资产支持证券的比例，不得超过该资产支持证券规模的10％；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11）本基金管理人管理的全部基金投资于同一原始权益人的各类资产支持证券，不得超过其各类资产支持证券合计规模的10％；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12）本基金应投资于信用级别评级为BBB以上(含BBB)的资产支持证券。基金持有资产支持证券期间，如果其信用等级下降、不再符合投资标准，应在评级报告发布之日起3个月内予以全部卖出；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13）基金财产参与股票发行申购，本基金所申报的金额不超过本基金的总资产，本基金所申报的股票数量不超过拟发行股票公司本次发行股票的总量；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14）本基金进入全国银行间同业市场进行债券回购的资金余额不得超过基金资产净值的40%；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15）本基金基金总资产不得超过基金净资产的140%；</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16）本基金投资于单只中小企业私募债的市值，不得超过本基金资产净值的10%；</w:t>
      </w:r>
    </w:p>
    <w:p w:rsidR="00E75ADF" w:rsidRPr="00CD6F5B" w:rsidRDefault="004A0413" w:rsidP="0075579D">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17）</w:t>
      </w:r>
      <w:r w:rsidR="00E75ADF" w:rsidRPr="00CD6F5B">
        <w:rPr>
          <w:rFonts w:asciiTheme="minorEastAsia" w:eastAsiaTheme="minorEastAsia" w:hAnsiTheme="minorEastAsia" w:hint="eastAsia"/>
          <w:color w:val="000000" w:themeColor="text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75ADF" w:rsidRPr="00CD6F5B" w:rsidRDefault="00E75ADF" w:rsidP="0075579D">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18）本基金主动投资于流动性受限资产的市值合计不得超过该基金资产净值的15%；</w:t>
      </w:r>
    </w:p>
    <w:p w:rsidR="00E75ADF" w:rsidRPr="00CD6F5B" w:rsidRDefault="00E75ADF" w:rsidP="0075579D">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E75ADF" w:rsidRPr="00CD6F5B" w:rsidRDefault="00E75ADF" w:rsidP="0075579D">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19）本基金与私募类证券资管产品及中国证监会认定的其他主体为交易对手开展逆回购交易的，可接受质押品的资质要求应当与基金合同约定的投资范围保持一致；</w:t>
      </w:r>
    </w:p>
    <w:p w:rsidR="003C7135" w:rsidRPr="00CD6F5B" w:rsidRDefault="003C7135" w:rsidP="0075579D">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20）本基金投资存托凭证的比例限制依照境内上市交易的股票执行，与境内上市交易的股票合并计算；</w:t>
      </w:r>
    </w:p>
    <w:p w:rsidR="0048496B" w:rsidRPr="00CD6F5B" w:rsidRDefault="00E75ADF" w:rsidP="00E75AD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w:t>
      </w:r>
      <w:r w:rsidR="003C7135" w:rsidRPr="00CD6F5B">
        <w:rPr>
          <w:rFonts w:asciiTheme="minorEastAsia" w:eastAsiaTheme="minorEastAsia" w:hAnsiTheme="minorEastAsia" w:hint="eastAsia"/>
          <w:color w:val="000000" w:themeColor="text1"/>
        </w:rPr>
        <w:t>1</w:t>
      </w:r>
      <w:r w:rsidRPr="00CD6F5B">
        <w:rPr>
          <w:rFonts w:asciiTheme="minorEastAsia" w:eastAsiaTheme="minorEastAsia" w:hAnsiTheme="minorEastAsia" w:hint="eastAsia"/>
          <w:color w:val="000000" w:themeColor="text1"/>
        </w:rPr>
        <w:t>）</w:t>
      </w:r>
      <w:r w:rsidR="004A0413" w:rsidRPr="00CD6F5B">
        <w:rPr>
          <w:rFonts w:asciiTheme="minorEastAsia" w:eastAsiaTheme="minorEastAsia" w:hAnsiTheme="minorEastAsia" w:hint="eastAsia"/>
          <w:color w:val="000000" w:themeColor="text1"/>
        </w:rPr>
        <w:t>法律法规及中国证监会规定的和《基金合同》约定的其他投资限制。</w:t>
      </w:r>
    </w:p>
    <w:p w:rsidR="0048496B" w:rsidRPr="00CD6F5B" w:rsidRDefault="00E75AD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s="宋体" w:hint="eastAsia"/>
          <w:color w:val="000000" w:themeColor="text1"/>
          <w:kern w:val="0"/>
          <w:szCs w:val="21"/>
        </w:rPr>
        <w:t>除上述2）、12）、13）、18）、19）以外，</w:t>
      </w:r>
      <w:r w:rsidR="004A0413" w:rsidRPr="00CD6F5B">
        <w:rPr>
          <w:rFonts w:asciiTheme="minorEastAsia" w:eastAsiaTheme="minorEastAsia" w:hAnsiTheme="minorEastAsia" w:hint="eastAsia"/>
          <w:color w:val="000000" w:themeColor="text1"/>
        </w:rPr>
        <w:t>因证券市场波动、证券发行人合并、基金规模变动等基金管理人之外的因素致使基金投资比例不符合上述规定投资比例的，基金管理</w:t>
      </w:r>
      <w:r w:rsidR="004A0413" w:rsidRPr="00CD6F5B">
        <w:rPr>
          <w:rFonts w:asciiTheme="minorEastAsia" w:eastAsiaTheme="minorEastAsia" w:hAnsiTheme="minorEastAsia" w:hint="eastAsia"/>
          <w:color w:val="000000" w:themeColor="text1"/>
        </w:rPr>
        <w:lastRenderedPageBreak/>
        <w:t>人应当在10个交易日内进行调整，但中国证监会规定的特殊情形除外。</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当自基金合同生效之日起6个月内使基金的投资组合比例符合基金合同的有关约定。上述期间，基金的投资范围、投资策略应当符合基金合同的约定。基金托管人对基金的投资的监督与检查自本托管协议生效之日起开始。托管人对上述指标的监督义务，仅限于监督由基金管理人管理且由托管人托管的全部公募基金及基金专户产品是否符合上述比例限制。《基金法》及其他有关法律法规或监管部门取消上述限制的，基金不受上述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（3）本基金可以按照国家的有关规定进行融资融券。</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基金托管人对基金投资的监督和检查自本托管协议生效之日起开始。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3.基金托管人根据有关法律法规的规定及《基金合同》的约定对下述基金投资禁止行为进行监督：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根据法律法规的规定及《基金合同》的约定，本基金禁止从事下列行为：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（1）承销证券；</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（2）违反规定向他人贷款或者提供担保；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（3）从事承担无限责任的投资；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（4）向其基金管理人、基金托管人出资；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（5）从事内幕交易、操纵证券交易价格及其他不正当的证券交易活动；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（6）法律、行政法规和中国证监会规定禁止的其他活动。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如法律法规或监管部门取消上述禁止性规定，基金管理人在履行适当程序后可不受上述规定的限制。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4.基金托管人依据有关法律法规的规定和《基金合同》的约定对于基金关联投资进行监督。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5.基金托管人依据有关法律法规的规定和《基金合同》的约定对基金管理人参与银行间</w:t>
      </w:r>
      <w:r w:rsidRPr="00CD6F5B">
        <w:rPr>
          <w:rFonts w:asciiTheme="minorEastAsia" w:eastAsiaTheme="minorEastAsia" w:hAnsiTheme="minorEastAsia" w:hint="eastAsia"/>
          <w:color w:val="000000" w:themeColor="text1"/>
        </w:rPr>
        <w:lastRenderedPageBreak/>
        <w:t>债券市场进行监督。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（1）基金托管人按以下方式对基金管理人参与银行间市场交易的交易对手的资信风险控制措施进行监督。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（2）基金托管人对银行间交易市场的交易方式的控制按如下约定进行监督。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6.基金托管人对基金管理人选择存款银行进行监督。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基金管理人有权要求相关责任人进行赔偿。</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7.基金托管人对基金投资流通受限证券的监督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2）基金管理人投资非公开发行股票，应制订流动性风险处置预案并经其董事会批准。风险处置预案应包括但不限于因投资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对本基金投资受限证券的流动性风险负责，确保对相关风险采取积极有效的措施，在合理的时间内有效解决基金运作的流动性问题。如因基金巨额赎回或市场发生剧烈变动等原因而导致基金现金周转出现困难时，基金管理人应按照基金合同的约定进行处理。对本基金因投资受限证券导致的流动性风险，基金托管人不承担任何责任。如因基金管理人原因导致本基金出现损失的，基金托管人不承担任何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1）中国证监会批准发行非公开发行股票的批准文件。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2）有关非公开发行股票的发行数量、发行价格、锁定期等发行资料。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3）基金拟认购的数量、价格、总成本、账面价值。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如基金管理人和基金托管人无法就上述问题达成一致，应及时上报中国证监会请求解决。</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8.基金托管人对基金投资中小企业私募债券、中期票据依据本协议第二条第（一）款第2项对投资比例和投资限制进行事后监督。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在限期内，基金托管人有权随时对通知事项进行复查，督促基金管理人改正。基金管理人对基金托管人通知的违规事项未能在限期内纠正的，基金托管人应报告中国证监会。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对于必须于估值完成后方可获知的监控指标或依据交易程序已经成交的投资指令，基金托管人发现该投资指令违反法律法规或者违反《基金合同》约定的，应当立即通知基金管理人，并报告中国证监会。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基金托管人发现基金管理人有重大违规行为，应立即报告中国证监会，同时通知基金管理人限期纠正。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三、基金管理人对基金托管人的业务核查</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基金托管人应积极配合基金管理人的核查行为，包括但不限于：提交相关资料以供基金管理人核查托管财产的完整性和真实性，在规定时间内答复基金管理人并改正。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四、基金财产的保管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（一）基金财产保管的原则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1.基金财产应独立于基金管理人、基金托管人的固有财产。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托管人应按本协议规定安全保管托管财产。未经基金管理人的指令，不得自行运用、处分、分配基金的任何财产（托管人主动扣收的汇划费除外）。托管人不对处于自身实际控制之外的账户及财产承担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3.基金托管人按照规定为托管的基金财产开设资金账户和证券账户。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4.基金托管人对所托管的不同基金财产分别设置账户，与基金托管人的其他业务和其他基金的托管业务实行严格的分账管理，确保基金财产的完整与独立。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w:t>
      </w:r>
      <w:r w:rsidRPr="00CD6F5B">
        <w:rPr>
          <w:rFonts w:asciiTheme="minorEastAsia" w:eastAsiaTheme="minorEastAsia" w:hAnsiTheme="minorEastAsia" w:hint="eastAsia"/>
          <w:color w:val="000000" w:themeColor="text1"/>
        </w:rPr>
        <w:lastRenderedPageBreak/>
        <w:t>应及时通知基金管理人采取措施进行催收。由此给基金造成损失的，基金管理人应负责向有关当事人追偿基金的损失，基金托管人对此不承担责任。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（二）募集资金的验证</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募集期内销售机构按销售与服务代理协议的约定，将认购资金划入基金管理人在具有托管资格的商业银行开设的“易方达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基金托管人收到有效认购资金当日以书面形式确认资金到账情况，并及时将资金到账凭证传真给基金管理人，双方进行账务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若基金募集期限届满，未能达到《基金合同》生效的条件，由基金管理人按规定办理退款事宜。</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（三）基金资产托管专户的开立和管理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资产托管专户的管理应符合《人民币银行结算账户管理办法》、《现金管理暂行条例》、《人民币利率管理规定》、《利率管理暂行规定》、《支付结算办法》以及银行业监督管理机构的其他有关规定。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（四）基金证券账户与证券交易资金账户的开设和管理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基金托管人以基金托管人和本基金联名的方式在中国证券登记结算有限公司上海分公司/深圳分公司开立专门的证券账户。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基金证券账户的开立和使用，限于满足开展本基金业务的需要。基金托管人和基金管理人不得出借和未经对方同意擅自转让本基金的任何证券账户；亦不得使用本基金的任何证券</w:t>
      </w:r>
      <w:r w:rsidRPr="00CD6F5B">
        <w:rPr>
          <w:rFonts w:asciiTheme="minorEastAsia" w:eastAsiaTheme="minorEastAsia" w:hAnsiTheme="minorEastAsia" w:hint="eastAsia"/>
          <w:color w:val="000000" w:themeColor="text1"/>
        </w:rPr>
        <w:lastRenderedPageBreak/>
        <w:t>账户进行本基金业务以外的活动。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基金证券账户的开立由基金托管人负责，管理和运用由基金管理人负责。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基金托管人保管证券账户卡原件。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（五）银行间市场债券托管和资金结算专户的开立和管理及市场准入备案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（六）其他账户的开设和管理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1、因业务发展而需要开立的其它账户，可以根据《基金合同》或有关法律法规的规定，经基金管理人和基金托管人协商一致后，由基金托管人负责为基金开立。新账户按有关规则使用并管理。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2、法律、法规等有关规定对相关账户的开立和管理另有规定的，从其规定办理。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（七）基金投资银行存款账户的开立和管理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基金投资银行定期存款，基金管理人与基金托管人应比照证监会《关于货币市场基金投资银行存款有关问题的通知》的规定，就本基金投资银行存款业务签订书面协议。</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基金投资银行定期存款应由基金管理人与存款银行总行或其授权分行签订总体合作协议，并将资金存放于存款银行总行或其授权分行指定的分支机构。</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存款账户必须以基金名义开立，账户名称为基金名称，存款账户开户文件上加盖预留印鉴及基金管理人公章。</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本基金投资银行存款时，基金管理人应当与存款银行签订具体存款协议，明确存款的类型、期限、利率、金额、账号、对账方式、支取方式、账户管理等细则。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为防范特殊情况下的流动性风险，定期存款协议中应当约定提前支取条款。</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基金所投资定期存款存续期间，基金管理人、基金托管人应当与存款银行建立定期对账机制，确保基金银行存款业务账目及核对的真实、准确。</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（八）基金财产投资的有关实物证券、银行定期存款存单等有价凭证的保管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（九）与基金财产有关的重大合同的保管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五、基金资产净值计算与复核</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（一）基金资产净值的计算、复核的时间和程序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资产净值是指基金资产总值减去负债后的价值。基金份额净值是指计算日基金资产净值除以该计算日基金份额总份额后的数值。基金资产净值除以当日基金份额的余额数量计算，精确到0.001元，小数点后第4位四舍五入，由此产生的误差计入基金财产。</w:t>
      </w:r>
    </w:p>
    <w:p w:rsidR="0048496B" w:rsidRPr="00CD6F5B" w:rsidRDefault="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每个工作日，基金管理人应对基金资产估值。估值原则应符合《基金合同》、《证券投资基金会计核算办法》及其他法律、法规的规定。用于基金信息披露的基金净值信息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根据《基金法》，基金管理人计算并公告基金资产净值，基金托管人复核、审查基金管理人计算的基金资产净值。本基金的会计责任方是基金管理人，就与本基金有关的会计问题，</w:t>
      </w:r>
      <w:r w:rsidRPr="00CD6F5B">
        <w:rPr>
          <w:rFonts w:asciiTheme="minorEastAsia" w:eastAsiaTheme="minorEastAsia" w:hAnsiTheme="minorEastAsia" w:hint="eastAsia"/>
          <w:color w:val="000000" w:themeColor="text1"/>
        </w:rPr>
        <w:lastRenderedPageBreak/>
        <w:t>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（二）基金资产估值方法</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1.估值对象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基金所拥有的股票、债券、衍生工具和银行存款本息、应收款项、其它投资等资产及负债。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2.估值方法</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（1）证券交易所上市的有价证券的估值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2）交易所上市交易或挂牌转让的不含权和含权固定收益品种，选取第三方估值机构提供的相应品种当日的估值净价；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3）交易所上市交易的可转换债券，选取每日收盘价作为估值全价；</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4）交易所市场挂牌转让的资产支持证券和私募债券，采用估值技术确定公允价值，在估值技术难以可靠计量公允价值的情况下，按成本估值。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（2）处于未上市期间的有价证券应区分如下情况处理：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1）送股、转增股、配股和公开增发的新股，按估值日在证券交易所挂牌的同一股票的估值方法估值；该日无交易的，以最近一日的市价（收盘价）估值；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2）首次公开发行未上市的股票、债券和权证，采用估值技术确定公允价值，在估值技术难以可靠计量公允价值的情况下，按成本估值；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3）首次公开发行有明确锁定期的股票，同一股票在交易所上市后，按交易所上市的同一股票的估值方法估值；非公开发行有明确锁定期的股票，按监管机构或行业协会有关规定确定公允价值。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（3）全国银行间债券市场交易的固定收益品种，采用估值技术确定公允价值。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（4）同一债券同时在两个或两个以上市场交易的，按债券所处的市场分别估值。</w:t>
      </w:r>
    </w:p>
    <w:p w:rsidR="003C7135" w:rsidRPr="00CD6F5B" w:rsidRDefault="003C713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（5）本基金投资存托凭证的估值核算，依照境内上市交易的股票执行。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w:t>
      </w:r>
      <w:r w:rsidR="003C7135" w:rsidRPr="00CD6F5B">
        <w:rPr>
          <w:rFonts w:asciiTheme="minorEastAsia" w:eastAsiaTheme="minorEastAsia" w:hAnsiTheme="minorEastAsia" w:hint="eastAsia"/>
          <w:color w:val="000000" w:themeColor="text1"/>
        </w:rPr>
        <w:t>6</w:t>
      </w:r>
      <w:r w:rsidRPr="00CD6F5B">
        <w:rPr>
          <w:rFonts w:asciiTheme="minorEastAsia" w:eastAsiaTheme="minorEastAsia" w:hAnsiTheme="minorEastAsia" w:hint="eastAsia"/>
          <w:color w:val="000000" w:themeColor="text1"/>
        </w:rPr>
        <w:t>）如有充足理由认为按上述方法进行估值不能客观反映其公允价值的，基金管理人可根据具体情况与基金托管人商定后，按最能反映公允价值的方法估值。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w:t>
      </w:r>
      <w:r w:rsidR="003C7135" w:rsidRPr="00CD6F5B">
        <w:rPr>
          <w:rFonts w:asciiTheme="minorEastAsia" w:eastAsiaTheme="minorEastAsia" w:hAnsiTheme="minorEastAsia" w:hint="eastAsia"/>
          <w:color w:val="000000" w:themeColor="text1"/>
        </w:rPr>
        <w:t>7</w:t>
      </w:r>
      <w:r w:rsidRPr="00CD6F5B">
        <w:rPr>
          <w:rFonts w:asciiTheme="minorEastAsia" w:eastAsiaTheme="minorEastAsia" w:hAnsiTheme="minorEastAsia" w:hint="eastAsia"/>
          <w:color w:val="000000" w:themeColor="text1"/>
        </w:rPr>
        <w:t>）存在相关法律法规以及监管部门有相关规范且适用于本基金的，从其规定。</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（三）估值差错处理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基金管理人和基金托管人将采取必要、适当、合理的措施确保基金资产估值的准确性、及时性。当基金份额净值小数点后3位以内(含第3位)发生差错时，视为估值错误。</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本基金合同的当事人应按照以下约定处理：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1、估值错误类型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上述估值错误的主要类型包括但不限于：资料申报差错、数据传输差错、数据计算差错、系统故障差错、下达指令差错等。</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2、估值错误处理原则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（2）估值错误的责任方对有关当事人的直接损失负责，不对间接损失负责，并且仅对估值错误的有关直接当事人负责，不对第三方负责。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（4）估值错误调整采用尽量恢复至假设未发生估值错误的正确情形的方式。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3、估值错误处理程序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估值错误被发现后，有关的当事人应当及时进行处理，处理的程序如下：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（1）查明估值错误发生的原因，列明所有的当事人，并根据估值错误发生的原因确定估值错误的责任方；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（2）根据估值错误处理原则或当事人协商的方法对因估值错误造成的损失进行评估；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（3）根据估值错误处理原则或当事人协商的方法由估值错误的责任方进行更正和赔偿损失；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（4）根据估值错误处理的方法，需要修改基金登记机构交易数据的，由基金登记机构进行更正，并就估值错误的更正向有关当事人进行确认。</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4、基金份额净值估值错误处理的方法如下：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（1）基金份额净值计算出现错误时，基金管理人应当立即予以纠正，通报基金托管人，并采取合理的措施防止损失进一步扩大。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（2）错误偏差达到基金份额净值的0.25%时，基金管理人应当通报基金托管人；错误偏差达到基金份额净值的0.5%时，基金管理人应当公告，并报中国证监会备案。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（3）前述内容如法律法规或监管机关另有规定的，从其规定处理。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（四）暂停估值与公告基金份额净值的情形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1、基金投资所涉及的证券交易市场遇法定节假日或因其他原因暂停营业时；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2、因不可抗力致使基金管理人、基金托管人无法准确评估基金资产价值时；</w:t>
      </w:r>
    </w:p>
    <w:p w:rsidR="00E75ADF" w:rsidRPr="00CD6F5B" w:rsidRDefault="004A0413" w:rsidP="00E75ADF">
      <w:pPr>
        <w:spacing w:line="440" w:lineRule="atLeast"/>
        <w:ind w:right="28" w:firstLineChars="200" w:firstLine="420"/>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rPr>
        <w:t>3、</w:t>
      </w:r>
      <w:r w:rsidR="003C7135" w:rsidRPr="00CD6F5B">
        <w:rPr>
          <w:rFonts w:asciiTheme="minorEastAsia" w:eastAsiaTheme="minorEastAsia" w:hAnsiTheme="minorEastAsia" w:hint="eastAsia"/>
          <w:color w:val="000000" w:themeColor="text1"/>
        </w:rPr>
        <w:t>当特定资产占前一估值日基金资产净值50%以上的，经与基金托管人协商确认后，基金管理人应当暂停估值；</w:t>
      </w:r>
    </w:p>
    <w:p w:rsidR="0048496B" w:rsidRPr="00CD6F5B" w:rsidRDefault="00E75ADF" w:rsidP="00E75ADF">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szCs w:val="21"/>
        </w:rPr>
        <w:lastRenderedPageBreak/>
        <w:t>4、</w:t>
      </w:r>
      <w:r w:rsidR="004A0413" w:rsidRPr="00CD6F5B">
        <w:rPr>
          <w:rFonts w:asciiTheme="minorEastAsia" w:eastAsiaTheme="minorEastAsia" w:hAnsiTheme="minorEastAsia" w:hint="eastAsia"/>
          <w:color w:val="000000" w:themeColor="text1"/>
        </w:rPr>
        <w:t>中国证监会和基金合同认定的其它情形。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（五）基金账册的建立</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（六）基金定期报告的编制和复核</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基金财务报表由基金管理人和基金托管人每月分别独立编制。月度报表的编制，应于每月终了后5个工作日内完成。</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合同生效后，基金招募说明书的信息发生重大变更的，基金管理人应当在三个工作日内，更新基金招募说明书并登载在指定网站上；基金招募说明书其他信息发生变更的，基金管理人至少每年更新一次。基金管理人在每个季度结束之日起15个工作日内完成季度报告编制并公告；在会计年度半年终了后两个月内完成中期报告编制并公告；在会计年度结束后三个月内完成年度报告编制并公告。</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w:t>
      </w:r>
      <w:r w:rsidRPr="00CD6F5B">
        <w:rPr>
          <w:rFonts w:asciiTheme="minorEastAsia" w:eastAsiaTheme="minorEastAsia" w:hAnsiTheme="minorEastAsia" w:hint="eastAsia"/>
          <w:color w:val="000000" w:themeColor="text1"/>
        </w:rPr>
        <w:lastRenderedPageBreak/>
        <w:t>书，相关各方各自留存一份。如果基金管理人与基金托管人不能于应当发布公告之日之前就相关报表达成一致，基金管理人有权按照其编制的报表对外发布公告，基金托管人有权就相关情况报证监会备案。</w:t>
      </w:r>
    </w:p>
    <w:p w:rsidR="0048496B" w:rsidRPr="00CD6F5B" w:rsidRDefault="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基金托管人在对财务会计报告、中期报告或年度报告复核完毕后，需盖章确认或出具相应的复核确认书，以备有权机构对相关文件审核时提示。</w:t>
      </w:r>
    </w:p>
    <w:p w:rsidR="003C7135" w:rsidRPr="00CD6F5B" w:rsidRDefault="003C7135" w:rsidP="003C713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（七）实施侧袋机制期间的基金资产估值</w:t>
      </w:r>
    </w:p>
    <w:p w:rsidR="003C7135" w:rsidRPr="00CD6F5B" w:rsidRDefault="003C7135" w:rsidP="003C713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本基金实施侧袋机制的，应根据本部分的约定对主袋账户资产进行估值并披露主袋账户的基金资产净值和份额净值，暂停披露侧袋账户份额净值。</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六、基金份额持有人名册的登记与保管</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DD4495" w:rsidRPr="00CD6F5B" w:rsidRDefault="00DD4495" w:rsidP="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基金份额持有人名册由基金的基金注册登记机构根据基金管理人的指令编制和保管，基金管理人应按照目前相关规则保管基金份额持有人名册。保管方式可以采用电子或文档的形式。保管期限为15年。</w:t>
      </w:r>
    </w:p>
    <w:p w:rsidR="0048496B" w:rsidRPr="00CD6F5B" w:rsidRDefault="00DD4495">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七、争议解决方式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（一）本协议适用中华人民共和国法律（为本协议之目的，在此不包括香港、澳门特别行政区和台湾地区法律），并从其解释。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相关各方当事人同意，因本协议而产生的或与本协议有关的一切争议，除经友好协商可以解决的，应提交中国国际经济贸易仲裁委员会，按照中国国际经济贸易仲裁委员会届时有效的仲裁规则进行仲裁。仲裁地点为北京市。仲裁裁决是终局性的并对相关各方均有约束力，仲裁费用由败诉方承担。</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争议处理期间，相关各方当事人应恪守基金管理人和基金托管人职责，继续忠实、勤勉、尽责地履行《基金合同》和本托管协议规定的义务，维护基金份额持有人的合法权益。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八、托管协议的修改与终止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（一）托管协议的变更与终止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1.托管协议的变更程序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核准后生效。</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2.基金托管协议终止的情形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发生以下情况，本托管协议终止：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（1）《基金合同》终止；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（2）基金托管人解散、依法被撤销、破产或有其他基金托管人接管基金资产；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（3）基金管理人解散、依法被撤销、破产或有其他基金管理人接管基金管理权；</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（4）发生法律法规或《基金合同》规定的终止事项。</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（二）基金财产的清算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1.基金财产清算小组：自出现《基金合同》终止事由之日起30个工作日内成立清算小组，基金管理人组织基金财产清算小组并在中国证监会的监督下进行基金清算。</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2.在基金财产清算小组接管基金财产之前，基金管理人和基金托管人应按照《基金合同》和本托管协议的规定继续履行保护基金财产安全的职责。</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4.基金财产清算小组职责：基金财产清算小组负责基金财产的保管、清理、估价、变现和分配。基金财产清算小组可以依法进行必要的民事活动。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5.基金财产清算程序：</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（1）《基金合同》终止后，由基金财产清算小组统一接管基金；</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（2）对基金财产和债权债务进行清理和确认；</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（3）对基金财产进行估值和变现；</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（4）制作清算报告；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（5）聘请会计师事务所对清算报告进行外部审计，聘请律师事务所对清算报告出具法律意见书；</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lastRenderedPageBreak/>
        <w:t>（6）将清算报告报告中国证监会备案并公告；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（7）对基金财产进行分配；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6.清算费用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清算费用是指基金清算小组在进行基金清算过程中发生的所有合理费用，清算费用由基金清算小组优先从基金财产中支付。</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7.基金财产按下列顺序清偿：</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(1)支付清算费用；</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(2)交纳所欠税款；</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(3)清偿基金债务；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(4)按基金份额持有人持有的基金份额比例进行分配。</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基金财产未按前款(1)－(3)项规定清偿前，不分配给基金份额持有人。</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（三）基金财产清算的公告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（四）基金财产清算账册及文件的保存</w:t>
      </w:r>
    </w:p>
    <w:p w:rsidR="00A24B6D" w:rsidRPr="00CD6F5B" w:rsidRDefault="0014722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rPr>
        <w:t>基金财产清算账册及有关文件由基金托管人保存15年以上。</w:t>
      </w:r>
    </w:p>
    <w:p w:rsidR="00BA4B87" w:rsidRPr="00CD6F5B" w:rsidRDefault="001C5C6E" w:rsidP="00CC1421">
      <w:pPr>
        <w:pStyle w:val="1"/>
        <w:pageBreakBefore/>
        <w:snapToGrid w:val="0"/>
        <w:spacing w:beforeLines="0" w:afterLines="0" w:line="360" w:lineRule="auto"/>
        <w:ind w:firstLine="600"/>
        <w:rPr>
          <w:rFonts w:asciiTheme="minorEastAsia" w:eastAsiaTheme="minorEastAsia" w:hAnsiTheme="minorEastAsia"/>
          <w:bCs/>
          <w:color w:val="000000" w:themeColor="text1"/>
        </w:rPr>
      </w:pPr>
      <w:bookmarkStart w:id="429" w:name="_Toc332373591"/>
      <w:bookmarkStart w:id="430" w:name="_Toc82186603"/>
      <w:r w:rsidRPr="00CD6F5B">
        <w:rPr>
          <w:rFonts w:asciiTheme="minorEastAsia" w:eastAsiaTheme="minorEastAsia" w:hAnsiTheme="minorEastAsia"/>
          <w:color w:val="000000" w:themeColor="text1"/>
          <w:sz w:val="30"/>
        </w:rPr>
        <w:lastRenderedPageBreak/>
        <w:t>二十</w:t>
      </w:r>
      <w:r w:rsidR="003C7135" w:rsidRPr="00CD6F5B">
        <w:rPr>
          <w:rFonts w:asciiTheme="minorEastAsia" w:eastAsiaTheme="minorEastAsia" w:hAnsiTheme="minorEastAsia"/>
          <w:color w:val="000000" w:themeColor="text1"/>
          <w:sz w:val="30"/>
        </w:rPr>
        <w:t>四</w:t>
      </w:r>
      <w:r w:rsidR="00BA4B87" w:rsidRPr="00CD6F5B">
        <w:rPr>
          <w:rFonts w:asciiTheme="minorEastAsia" w:eastAsiaTheme="minorEastAsia" w:hAnsiTheme="minorEastAsia"/>
          <w:color w:val="000000" w:themeColor="text1"/>
          <w:sz w:val="30"/>
        </w:rPr>
        <w:t>、对基金份额持有人的服务</w:t>
      </w:r>
      <w:bookmarkEnd w:id="430"/>
    </w:p>
    <w:bookmarkEnd w:id="429"/>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（一）基金份额持有人投资交易确认服务</w:t>
      </w:r>
    </w:p>
    <w:p w:rsidR="003712D8" w:rsidRPr="00CD6F5B" w:rsidRDefault="003712D8"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（二）基金份额持有人交易记录查询服务</w:t>
      </w:r>
    </w:p>
    <w:p w:rsidR="00AE2909" w:rsidRPr="00CD6F5B" w:rsidRDefault="005A1A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本基金份额持有人可通过基金管理人的客户服务中心查询历史交易记录。</w:t>
      </w:r>
    </w:p>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（三）基金份额持有人的对账单服务</w:t>
      </w:r>
    </w:p>
    <w:p w:rsidR="001D44E2" w:rsidRPr="00CD6F5B" w:rsidRDefault="001D44E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1、基金份额持有人可登录本公司网站（http://www.efunds.com.cn）查阅对账单。</w:t>
      </w:r>
    </w:p>
    <w:p w:rsidR="001D44E2" w:rsidRPr="00CD6F5B" w:rsidRDefault="001D44E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w:t>
      </w:r>
      <w:r w:rsidR="00F843AE" w:rsidRPr="00CD6F5B">
        <w:rPr>
          <w:rFonts w:asciiTheme="minorEastAsia" w:eastAsiaTheme="minorEastAsia" w:hAnsiTheme="minorEastAsia" w:hint="eastAsia"/>
          <w:color w:val="000000" w:themeColor="text1"/>
        </w:rPr>
        <w:t>本公司至少每年度以电子邮件、短信或其他形式向有联系方式的基金份额持有人提供基金保有情况信息，基金份额持有人也可以向本公司定制电子邮件形式的月度对账单。</w:t>
      </w:r>
    </w:p>
    <w:p w:rsidR="001D44E2" w:rsidRPr="00CD6F5B" w:rsidRDefault="001D44E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具体查阅和定制账单的方法可参见本公司网站或拨打客服热线咨询。</w:t>
      </w:r>
    </w:p>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（四）定期定额投资计划</w:t>
      </w:r>
    </w:p>
    <w:p w:rsidR="005A1A0E" w:rsidRPr="00CD6F5B" w:rsidRDefault="005A1A0E"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可利用非直销销售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有关公告。</w:t>
      </w:r>
    </w:p>
    <w:p w:rsidR="00AE2909" w:rsidRPr="00CD6F5B" w:rsidRDefault="00AE2909"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（五）资讯服务</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1、客户服务电话</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投资者如果想了解基金产品、服务等信息，或反馈投资过程中需要投诉与建议的情况，可拨打如下电话：4008818088。投资者如果认为自己不能准确理解本基金《招募说明书》、《基金合同》的具体内容，也可拨打上述电话详询。</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2、互联网站及电子信箱</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网址：http://www.efunds.com.cn</w:t>
      </w:r>
    </w:p>
    <w:p w:rsidR="00AE2909" w:rsidRPr="00CD6F5B" w:rsidRDefault="001D44E2"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电子信箱：service@efunds.com.cn</w:t>
      </w:r>
    </w:p>
    <w:p w:rsidR="006C36CD" w:rsidRPr="00CD6F5B" w:rsidRDefault="001C5C6E" w:rsidP="007C2342">
      <w:pPr>
        <w:pStyle w:val="1"/>
        <w:pageBreakBefore/>
        <w:snapToGrid w:val="0"/>
        <w:spacing w:beforeLines="0" w:afterLines="0" w:line="360" w:lineRule="auto"/>
        <w:ind w:firstLineChars="850" w:firstLine="2550"/>
        <w:jc w:val="both"/>
        <w:rPr>
          <w:rFonts w:asciiTheme="minorEastAsia" w:eastAsiaTheme="minorEastAsia" w:hAnsiTheme="minorEastAsia"/>
          <w:color w:val="000000" w:themeColor="text1"/>
        </w:rPr>
      </w:pPr>
      <w:bookmarkStart w:id="431" w:name="_Toc332373592"/>
      <w:bookmarkStart w:id="432" w:name="_Toc82186604"/>
      <w:r w:rsidRPr="00CD6F5B">
        <w:rPr>
          <w:rFonts w:asciiTheme="minorEastAsia" w:eastAsiaTheme="minorEastAsia" w:hAnsiTheme="minorEastAsia"/>
          <w:color w:val="000000" w:themeColor="text1"/>
          <w:sz w:val="30"/>
        </w:rPr>
        <w:lastRenderedPageBreak/>
        <w:t>二十</w:t>
      </w:r>
      <w:r w:rsidR="003C7135" w:rsidRPr="00CD6F5B">
        <w:rPr>
          <w:rFonts w:asciiTheme="minorEastAsia" w:eastAsiaTheme="minorEastAsia" w:hAnsiTheme="minorEastAsia"/>
          <w:color w:val="000000" w:themeColor="text1"/>
          <w:sz w:val="30"/>
        </w:rPr>
        <w:t>五</w:t>
      </w:r>
      <w:r w:rsidR="00BA4B87" w:rsidRPr="00CD6F5B">
        <w:rPr>
          <w:rFonts w:asciiTheme="minorEastAsia" w:eastAsiaTheme="minorEastAsia" w:hAnsiTheme="minorEastAsia"/>
          <w:color w:val="000000" w:themeColor="text1"/>
          <w:sz w:val="30"/>
        </w:rPr>
        <w:t>、其他应披露事项</w:t>
      </w:r>
      <w:bookmarkEnd w:id="431"/>
      <w:bookmarkEnd w:id="432"/>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1462"/>
      </w:tblGrid>
      <w:tr w:rsidR="00CD6F5B" w:rsidRPr="00CD6F5B" w:rsidTr="0075579D">
        <w:trPr>
          <w:trHeight w:val="765"/>
        </w:trPr>
        <w:tc>
          <w:tcPr>
            <w:tcW w:w="6961" w:type="dxa"/>
            <w:shd w:val="clear" w:color="auto" w:fill="auto"/>
            <w:vAlign w:val="center"/>
            <w:hideMark/>
          </w:tcPr>
          <w:p w:rsidR="00C83064" w:rsidRPr="00CD6F5B" w:rsidRDefault="009F629F" w:rsidP="00FF328E">
            <w:pPr>
              <w:spacing w:line="360" w:lineRule="auto"/>
              <w:ind w:firstLineChars="200" w:firstLine="420"/>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公告事项</w:t>
            </w:r>
          </w:p>
        </w:tc>
        <w:tc>
          <w:tcPr>
            <w:tcW w:w="1462" w:type="dxa"/>
            <w:shd w:val="clear" w:color="auto" w:fill="auto"/>
            <w:vAlign w:val="center"/>
            <w:hideMark/>
          </w:tcPr>
          <w:p w:rsidR="00C83064" w:rsidRPr="00CD6F5B" w:rsidRDefault="009F629F" w:rsidP="0075579D">
            <w:pPr>
              <w:spacing w:line="360" w:lineRule="auto"/>
              <w:jc w:val="center"/>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披露日期</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易方达基金管理有限公司旗下部分开放式基金增加中信银行为销售机构的公告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2020-06-05</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易方达基金管理有限公司高级管理人员变更公告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2020-06-22</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易方达基金管理有限公司旗下基金</w:t>
            </w:r>
            <w:r w:rsidRPr="00CD6F5B">
              <w:rPr>
                <w:rFonts w:asciiTheme="minorEastAsia" w:eastAsiaTheme="minorEastAsia" w:hAnsiTheme="minorEastAsia"/>
                <w:color w:val="000000" w:themeColor="text1"/>
                <w:szCs w:val="21"/>
              </w:rPr>
              <w:t>2020年第2季度报告提示性公告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2020-07-21</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易方达基金管理有限公司高级管理人员变更公告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2020-07-24</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易方达基金管理有限公司旗下基金</w:t>
            </w:r>
            <w:r w:rsidRPr="00CD6F5B">
              <w:rPr>
                <w:rFonts w:asciiTheme="minorEastAsia" w:eastAsiaTheme="minorEastAsia" w:hAnsiTheme="minorEastAsia"/>
                <w:color w:val="000000" w:themeColor="text1"/>
                <w:szCs w:val="21"/>
              </w:rPr>
              <w:t>2020年中期报告提示性公告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2020-08-28</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易方达基金管理有限公司旗下部分开放式基金增加肯特瑞基金为销售机构的公告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2020-09-02</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易方达基金管理有限公司旗下部分开放式基金增加万得基金为销售机构的公告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2020-09-03</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易方达裕祥回报债券型证券投资基金增加盈米基金为销售机构的公告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2020-09-03</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易方达裕祥回报债券型证券投资基金增加汇成基金为销售机构的公告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2020-09-11</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易方达基金管理有限公司高级管理人员变更公告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2020-09-19</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易方达基金管理有限公司旗下部分开放式基金增加植信基金为销售机构的公告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2020-09-23</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易方达基金管理有限公司旗下部分开放式基金增加西安银行为销售机构的公告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2020-09-25</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易方达基金管理有限公司高级管理人员变更公告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2020-09-30</w:t>
            </w:r>
          </w:p>
        </w:tc>
      </w:tr>
      <w:tr w:rsidR="00CD6F5B" w:rsidRPr="00CD6F5B" w:rsidTr="00CA6F5B">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C2DD5" w:rsidRPr="00CD6F5B" w:rsidRDefault="009F629F" w:rsidP="006C2DD5">
            <w:pPr>
              <w:jc w:val="left"/>
              <w:rPr>
                <w:rFonts w:asciiTheme="minorEastAsia" w:eastAsiaTheme="minorEastAsia" w:hAnsiTheme="minorEastAsia"/>
                <w:color w:val="000000" w:themeColor="text1"/>
                <w:szCs w:val="21"/>
              </w:rPr>
            </w:pPr>
            <w:r w:rsidRPr="00CD6F5B">
              <w:rPr>
                <w:rFonts w:asciiTheme="minorEastAsia" w:eastAsiaTheme="minorEastAsia" w:hAnsiTheme="minorEastAsia" w:hint="eastAsia"/>
                <w:color w:val="000000" w:themeColor="text1"/>
                <w:szCs w:val="21"/>
              </w:rPr>
              <w:t>易方达裕祥回报债券型证券投资基金增加同花顺为销售机构的公告</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C2DD5" w:rsidRPr="00CD6F5B" w:rsidRDefault="009F629F" w:rsidP="00CA6F5B">
            <w:pPr>
              <w:jc w:val="center"/>
              <w:rPr>
                <w:rFonts w:asciiTheme="minorEastAsia" w:eastAsiaTheme="minorEastAsia" w:hAnsiTheme="minorEastAsia"/>
                <w:color w:val="000000" w:themeColor="text1"/>
                <w:szCs w:val="21"/>
              </w:rPr>
            </w:pPr>
            <w:r w:rsidRPr="00CD6F5B">
              <w:rPr>
                <w:rFonts w:asciiTheme="minorEastAsia" w:eastAsiaTheme="minorEastAsia" w:hAnsiTheme="minorEastAsia"/>
                <w:color w:val="000000" w:themeColor="text1"/>
                <w:szCs w:val="21"/>
              </w:rPr>
              <w:t>2020-10-13</w:t>
            </w:r>
          </w:p>
        </w:tc>
      </w:tr>
    </w:tbl>
    <w:p w:rsidR="00897C63" w:rsidRPr="00CD6F5B" w:rsidRDefault="002E2D8D"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hint="eastAsia"/>
          <w:color w:val="000000" w:themeColor="text1"/>
          <w:szCs w:val="21"/>
        </w:rPr>
        <w:t>注：以上公告事项披露在指定媒介及基金管理人网站上。</w:t>
      </w:r>
      <w:r w:rsidR="00897C63" w:rsidRPr="00CD6F5B">
        <w:rPr>
          <w:rFonts w:asciiTheme="minorEastAsia" w:eastAsiaTheme="minorEastAsia" w:hAnsiTheme="minorEastAsia"/>
          <w:color w:val="000000" w:themeColor="text1"/>
        </w:rPr>
        <w:br w:type="page"/>
      </w:r>
    </w:p>
    <w:p w:rsidR="006820A0" w:rsidRPr="00CD6F5B" w:rsidRDefault="006820A0" w:rsidP="00CC1421">
      <w:pPr>
        <w:snapToGrid w:val="0"/>
        <w:spacing w:line="360" w:lineRule="auto"/>
        <w:rPr>
          <w:rFonts w:asciiTheme="minorEastAsia" w:eastAsiaTheme="minorEastAsia" w:hAnsiTheme="minorEastAsia"/>
          <w:color w:val="000000" w:themeColor="text1"/>
        </w:rPr>
        <w:sectPr w:rsidR="006820A0" w:rsidRPr="00CD6F5B" w:rsidSect="00A97BAB">
          <w:pgSz w:w="11906" w:h="16838" w:code="9"/>
          <w:pgMar w:top="1440" w:right="1800" w:bottom="1440" w:left="1800" w:header="851" w:footer="992" w:gutter="0"/>
          <w:cols w:space="720"/>
          <w:docGrid w:type="lines" w:linePitch="317"/>
        </w:sectPr>
      </w:pPr>
    </w:p>
    <w:p w:rsidR="00BA4B87" w:rsidRPr="00CD6F5B" w:rsidRDefault="001C5C6E" w:rsidP="00CC1421">
      <w:pPr>
        <w:pStyle w:val="1"/>
        <w:snapToGrid w:val="0"/>
        <w:spacing w:beforeLines="0" w:afterLines="0" w:line="360" w:lineRule="auto"/>
        <w:ind w:firstLine="600"/>
        <w:rPr>
          <w:rFonts w:asciiTheme="minorEastAsia" w:eastAsiaTheme="minorEastAsia" w:hAnsiTheme="minorEastAsia"/>
          <w:bCs/>
          <w:color w:val="000000" w:themeColor="text1"/>
          <w:szCs w:val="20"/>
        </w:rPr>
      </w:pPr>
      <w:bookmarkStart w:id="433" w:name="_Toc332373593"/>
      <w:bookmarkStart w:id="434" w:name="_Toc82186605"/>
      <w:r w:rsidRPr="00CD6F5B">
        <w:rPr>
          <w:rFonts w:asciiTheme="minorEastAsia" w:eastAsiaTheme="minorEastAsia" w:hAnsiTheme="minorEastAsia"/>
          <w:color w:val="000000" w:themeColor="text1"/>
          <w:sz w:val="30"/>
        </w:rPr>
        <w:lastRenderedPageBreak/>
        <w:t>二十</w:t>
      </w:r>
      <w:r w:rsidR="003C7135" w:rsidRPr="00CD6F5B">
        <w:rPr>
          <w:rFonts w:asciiTheme="minorEastAsia" w:eastAsiaTheme="minorEastAsia" w:hAnsiTheme="minorEastAsia"/>
          <w:color w:val="000000" w:themeColor="text1"/>
          <w:sz w:val="30"/>
        </w:rPr>
        <w:t>六</w:t>
      </w:r>
      <w:r w:rsidR="00BA4B87" w:rsidRPr="00CD6F5B">
        <w:rPr>
          <w:rFonts w:asciiTheme="minorEastAsia" w:eastAsiaTheme="minorEastAsia" w:hAnsiTheme="minorEastAsia"/>
          <w:color w:val="000000" w:themeColor="text1"/>
          <w:sz w:val="30"/>
        </w:rPr>
        <w:t>、招募说明书的存放及查阅方式</w:t>
      </w:r>
      <w:bookmarkEnd w:id="434"/>
    </w:p>
    <w:bookmarkEnd w:id="433"/>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本招募说明书存放在基金管理人、基金托管人及其他基金销售机构处，投资者可在营业时间免费查阅，也可按工本费购买复印件。</w:t>
      </w:r>
    </w:p>
    <w:p w:rsidR="00897C63" w:rsidRPr="00CD6F5B" w:rsidRDefault="00BF3F9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基金管理人和基金托管人保证文本的内容与公告的内容完全一致。</w:t>
      </w:r>
      <w:r w:rsidR="00897C63" w:rsidRPr="00CD6F5B">
        <w:rPr>
          <w:rFonts w:asciiTheme="minorEastAsia" w:eastAsiaTheme="minorEastAsia" w:hAnsiTheme="minorEastAsia"/>
          <w:color w:val="000000" w:themeColor="text1"/>
        </w:rPr>
        <w:br w:type="page"/>
      </w:r>
    </w:p>
    <w:p w:rsidR="00BA4B87" w:rsidRPr="00CD6F5B" w:rsidRDefault="001C5C6E" w:rsidP="00CC1421">
      <w:pPr>
        <w:pStyle w:val="1"/>
        <w:snapToGrid w:val="0"/>
        <w:spacing w:beforeLines="0" w:afterLines="0" w:line="360" w:lineRule="auto"/>
        <w:ind w:firstLine="600"/>
        <w:rPr>
          <w:rFonts w:asciiTheme="minorEastAsia" w:eastAsiaTheme="minorEastAsia" w:hAnsiTheme="minorEastAsia"/>
          <w:bCs/>
          <w:color w:val="000000" w:themeColor="text1"/>
          <w:szCs w:val="20"/>
        </w:rPr>
      </w:pPr>
      <w:bookmarkStart w:id="435" w:name="_Toc332373594"/>
      <w:bookmarkStart w:id="436" w:name="_Toc82186606"/>
      <w:bookmarkStart w:id="437" w:name="_GoBack"/>
      <w:bookmarkEnd w:id="437"/>
      <w:r w:rsidRPr="00CD6F5B">
        <w:rPr>
          <w:rFonts w:asciiTheme="minorEastAsia" w:eastAsiaTheme="minorEastAsia" w:hAnsiTheme="minorEastAsia"/>
          <w:color w:val="000000" w:themeColor="text1"/>
          <w:sz w:val="30"/>
        </w:rPr>
        <w:lastRenderedPageBreak/>
        <w:t>二十</w:t>
      </w:r>
      <w:r w:rsidR="003C7135" w:rsidRPr="00CD6F5B">
        <w:rPr>
          <w:rFonts w:asciiTheme="minorEastAsia" w:eastAsiaTheme="minorEastAsia" w:hAnsiTheme="minorEastAsia"/>
          <w:color w:val="000000" w:themeColor="text1"/>
          <w:sz w:val="30"/>
        </w:rPr>
        <w:t>七</w:t>
      </w:r>
      <w:r w:rsidR="00BA4B87" w:rsidRPr="00CD6F5B">
        <w:rPr>
          <w:rFonts w:asciiTheme="minorEastAsia" w:eastAsiaTheme="minorEastAsia" w:hAnsiTheme="minorEastAsia"/>
          <w:color w:val="000000" w:themeColor="text1"/>
          <w:sz w:val="30"/>
        </w:rPr>
        <w:t>、备查文件</w:t>
      </w:r>
      <w:bookmarkEnd w:id="436"/>
    </w:p>
    <w:bookmarkEnd w:id="435"/>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1、中国证监会准予易方达裕祥回报债券型证券投资基金注册的文件；</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2、《易方达裕祥回报债券型证券投资基金基金合同》；</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3、《易方达裕祥回报债券型证券投资基金托管协议》；</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4、《易方达基金管理有限公司开放式基金业务规则》；</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5、法律意见书；</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6、基金管理人业务资格批件、营业执照；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7、基金托管人业务资格批件、营业执照。</w:t>
      </w:r>
    </w:p>
    <w:p w:rsidR="0048496B" w:rsidRPr="00CD6F5B" w:rsidRDefault="004A0413">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存放地点：基金管理人、基金托管人处</w:t>
      </w:r>
    </w:p>
    <w:p w:rsidR="00BA4B87" w:rsidRPr="00CD6F5B" w:rsidRDefault="00BF3F90" w:rsidP="009612F6">
      <w:pPr>
        <w:spacing w:line="360" w:lineRule="auto"/>
        <w:ind w:firstLineChars="200" w:firstLine="420"/>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查阅方式：投资者可在营业时间免费查阅，也可按工本费购买复印件。</w:t>
      </w:r>
    </w:p>
    <w:p w:rsidR="00610EAC" w:rsidRPr="00CD6F5B" w:rsidRDefault="00610EAC" w:rsidP="00610EAC">
      <w:pPr>
        <w:pStyle w:val="a6"/>
        <w:snapToGrid w:val="0"/>
        <w:spacing w:line="360" w:lineRule="auto"/>
        <w:ind w:firstLine="480"/>
        <w:rPr>
          <w:rFonts w:asciiTheme="minorEastAsia" w:eastAsiaTheme="minorEastAsia" w:hAnsiTheme="minorEastAsia"/>
          <w:bCs/>
          <w:color w:val="000000" w:themeColor="text1"/>
        </w:rPr>
      </w:pPr>
    </w:p>
    <w:p w:rsidR="00610EAC" w:rsidRPr="00CD6F5B" w:rsidRDefault="00610EAC" w:rsidP="00610EAC">
      <w:pPr>
        <w:pStyle w:val="a6"/>
        <w:snapToGrid w:val="0"/>
        <w:spacing w:line="360" w:lineRule="auto"/>
        <w:ind w:firstLine="480"/>
        <w:rPr>
          <w:rFonts w:asciiTheme="minorEastAsia" w:eastAsiaTheme="minorEastAsia" w:hAnsiTheme="minorEastAsia"/>
          <w:bCs/>
          <w:color w:val="000000" w:themeColor="text1"/>
        </w:rPr>
      </w:pPr>
    </w:p>
    <w:p w:rsidR="00F22D63" w:rsidRPr="00CD6F5B" w:rsidRDefault="00F22D63" w:rsidP="00610EAC">
      <w:pPr>
        <w:pStyle w:val="a6"/>
        <w:snapToGrid w:val="0"/>
        <w:spacing w:line="360" w:lineRule="auto"/>
        <w:ind w:firstLine="420"/>
        <w:jc w:val="right"/>
        <w:rPr>
          <w:rFonts w:asciiTheme="minorEastAsia" w:eastAsiaTheme="minorEastAsia" w:hAnsiTheme="minorEastAsia"/>
          <w:color w:val="000000" w:themeColor="text1"/>
          <w:sz w:val="21"/>
        </w:rPr>
      </w:pPr>
      <w:r w:rsidRPr="00CD6F5B">
        <w:rPr>
          <w:rFonts w:asciiTheme="minorEastAsia" w:eastAsiaTheme="minorEastAsia" w:hAnsiTheme="minorEastAsia"/>
          <w:color w:val="000000" w:themeColor="text1"/>
          <w:sz w:val="21"/>
        </w:rPr>
        <w:t>易方达基金管理有限公司</w:t>
      </w:r>
    </w:p>
    <w:p w:rsidR="00BA4B87" w:rsidRPr="00CD6F5B" w:rsidRDefault="0014139C" w:rsidP="00CC44BD">
      <w:pPr>
        <w:snapToGrid w:val="0"/>
        <w:spacing w:line="360" w:lineRule="auto"/>
        <w:ind w:right="210"/>
        <w:jc w:val="right"/>
        <w:rPr>
          <w:rFonts w:asciiTheme="minorEastAsia" w:eastAsiaTheme="minorEastAsia" w:hAnsiTheme="minorEastAsia"/>
          <w:color w:val="000000" w:themeColor="text1"/>
        </w:rPr>
      </w:pPr>
      <w:r w:rsidRPr="00CD6F5B">
        <w:rPr>
          <w:rFonts w:asciiTheme="minorEastAsia" w:eastAsiaTheme="minorEastAsia" w:hAnsiTheme="minorEastAsia"/>
          <w:color w:val="000000" w:themeColor="text1"/>
        </w:rPr>
        <w:t>202</w:t>
      </w:r>
      <w:r w:rsidR="00D04174" w:rsidRPr="00CD6F5B">
        <w:rPr>
          <w:rFonts w:asciiTheme="minorEastAsia" w:eastAsiaTheme="minorEastAsia" w:hAnsiTheme="minorEastAsia"/>
          <w:color w:val="000000" w:themeColor="text1"/>
        </w:rPr>
        <w:t>1</w:t>
      </w:r>
      <w:r w:rsidRPr="00CD6F5B">
        <w:rPr>
          <w:rFonts w:asciiTheme="minorEastAsia" w:eastAsiaTheme="minorEastAsia" w:hAnsiTheme="minorEastAsia"/>
          <w:color w:val="000000" w:themeColor="text1"/>
        </w:rPr>
        <w:t>年</w:t>
      </w:r>
      <w:r w:rsidR="00D04174" w:rsidRPr="00CD6F5B">
        <w:rPr>
          <w:rFonts w:asciiTheme="minorEastAsia" w:eastAsiaTheme="minorEastAsia" w:hAnsiTheme="minorEastAsia"/>
          <w:color w:val="000000" w:themeColor="text1"/>
        </w:rPr>
        <w:t>9</w:t>
      </w:r>
      <w:r w:rsidRPr="00CD6F5B">
        <w:rPr>
          <w:rFonts w:asciiTheme="minorEastAsia" w:eastAsiaTheme="minorEastAsia" w:hAnsiTheme="minorEastAsia"/>
          <w:color w:val="000000" w:themeColor="text1"/>
        </w:rPr>
        <w:t>月</w:t>
      </w:r>
      <w:r w:rsidR="007F0721" w:rsidRPr="00CD6F5B">
        <w:rPr>
          <w:rFonts w:asciiTheme="minorEastAsia" w:eastAsiaTheme="minorEastAsia" w:hAnsiTheme="minorEastAsia"/>
          <w:color w:val="000000" w:themeColor="text1"/>
        </w:rPr>
        <w:t>1</w:t>
      </w:r>
      <w:r w:rsidR="00A20F33" w:rsidRPr="00CD6F5B">
        <w:rPr>
          <w:rFonts w:asciiTheme="minorEastAsia" w:eastAsiaTheme="minorEastAsia" w:hAnsiTheme="minorEastAsia"/>
          <w:color w:val="000000" w:themeColor="text1"/>
        </w:rPr>
        <w:t>3</w:t>
      </w:r>
      <w:r w:rsidRPr="00CD6F5B">
        <w:rPr>
          <w:rFonts w:asciiTheme="minorEastAsia" w:eastAsiaTheme="minorEastAsia" w:hAnsiTheme="minorEastAsia"/>
          <w:color w:val="000000" w:themeColor="text1"/>
        </w:rPr>
        <w:t>日</w:t>
      </w:r>
      <w:bookmarkStart w:id="438" w:name="_Toc38438350"/>
      <w:bookmarkStart w:id="439" w:name="_Toc38438687"/>
      <w:bookmarkStart w:id="440" w:name="_Toc38439024"/>
      <w:bookmarkStart w:id="441" w:name="_Toc38439361"/>
      <w:bookmarkStart w:id="442" w:name="_Toc38439698"/>
      <w:bookmarkStart w:id="443" w:name="_Toc38440035"/>
      <w:bookmarkStart w:id="444" w:name="_Toc38440372"/>
      <w:bookmarkStart w:id="445" w:name="_Toc38440904"/>
      <w:bookmarkStart w:id="446" w:name="_Toc38441236"/>
      <w:bookmarkStart w:id="447" w:name="_Toc38441568"/>
      <w:bookmarkStart w:id="448" w:name="_Toc38441896"/>
      <w:bookmarkStart w:id="449" w:name="_Toc38442228"/>
      <w:bookmarkStart w:id="450" w:name="_Toc38442560"/>
      <w:bookmarkStart w:id="451" w:name="_Toc38442891"/>
      <w:bookmarkStart w:id="452" w:name="_Toc38443222"/>
      <w:bookmarkStart w:id="453" w:name="_Toc38443553"/>
      <w:bookmarkStart w:id="454" w:name="_Toc38443883"/>
      <w:bookmarkStart w:id="455" w:name="_Toc38438351"/>
      <w:bookmarkStart w:id="456" w:name="_Toc38438688"/>
      <w:bookmarkStart w:id="457" w:name="_Toc38439025"/>
      <w:bookmarkStart w:id="458" w:name="_Toc38439362"/>
      <w:bookmarkStart w:id="459" w:name="_Toc38439699"/>
      <w:bookmarkStart w:id="460" w:name="_Toc38440036"/>
      <w:bookmarkStart w:id="461" w:name="_Toc38440373"/>
      <w:bookmarkStart w:id="462" w:name="_Toc38440905"/>
      <w:bookmarkStart w:id="463" w:name="_Toc38441237"/>
      <w:bookmarkStart w:id="464" w:name="_Toc38441569"/>
      <w:bookmarkStart w:id="465" w:name="_Toc38441897"/>
      <w:bookmarkStart w:id="466" w:name="_Toc38442229"/>
      <w:bookmarkStart w:id="467" w:name="_Toc38442561"/>
      <w:bookmarkStart w:id="468" w:name="_Toc38442892"/>
      <w:bookmarkStart w:id="469" w:name="_Toc38443223"/>
      <w:bookmarkStart w:id="470" w:name="_Toc38443554"/>
      <w:bookmarkStart w:id="471" w:name="_Toc38443884"/>
      <w:bookmarkStart w:id="472" w:name="_Toc38438352"/>
      <w:bookmarkStart w:id="473" w:name="_Toc38438689"/>
      <w:bookmarkStart w:id="474" w:name="_Toc38439026"/>
      <w:bookmarkStart w:id="475" w:name="_Toc38439363"/>
      <w:bookmarkStart w:id="476" w:name="_Toc38439700"/>
      <w:bookmarkStart w:id="477" w:name="_Toc38440037"/>
      <w:bookmarkStart w:id="478" w:name="_Toc38440374"/>
      <w:bookmarkStart w:id="479" w:name="_Toc38440906"/>
      <w:bookmarkStart w:id="480" w:name="_Toc38441238"/>
      <w:bookmarkStart w:id="481" w:name="_Toc38441570"/>
      <w:bookmarkStart w:id="482" w:name="_Toc38441898"/>
      <w:bookmarkStart w:id="483" w:name="_Toc38442230"/>
      <w:bookmarkStart w:id="484" w:name="_Toc38442562"/>
      <w:bookmarkStart w:id="485" w:name="_Toc38442893"/>
      <w:bookmarkStart w:id="486" w:name="_Toc38443224"/>
      <w:bookmarkStart w:id="487" w:name="_Toc38443555"/>
      <w:bookmarkStart w:id="488" w:name="_Toc38443885"/>
      <w:bookmarkStart w:id="489" w:name="_Toc38438353"/>
      <w:bookmarkStart w:id="490" w:name="_Toc38438690"/>
      <w:bookmarkStart w:id="491" w:name="_Toc38439027"/>
      <w:bookmarkStart w:id="492" w:name="_Toc38439364"/>
      <w:bookmarkStart w:id="493" w:name="_Toc38439701"/>
      <w:bookmarkStart w:id="494" w:name="_Toc38440038"/>
      <w:bookmarkStart w:id="495" w:name="_Toc38440375"/>
      <w:bookmarkStart w:id="496" w:name="_Toc38440907"/>
      <w:bookmarkStart w:id="497" w:name="_Toc38441239"/>
      <w:bookmarkStart w:id="498" w:name="_Toc38441571"/>
      <w:bookmarkStart w:id="499" w:name="_Toc38441899"/>
      <w:bookmarkStart w:id="500" w:name="_Toc38442231"/>
      <w:bookmarkStart w:id="501" w:name="_Toc38442563"/>
      <w:bookmarkStart w:id="502" w:name="_Toc38442894"/>
      <w:bookmarkStart w:id="503" w:name="_Toc38443225"/>
      <w:bookmarkStart w:id="504" w:name="_Toc38443556"/>
      <w:bookmarkStart w:id="505" w:name="_Toc38443886"/>
      <w:bookmarkStart w:id="506" w:name="_Toc38438354"/>
      <w:bookmarkStart w:id="507" w:name="_Toc38438691"/>
      <w:bookmarkStart w:id="508" w:name="_Toc38439028"/>
      <w:bookmarkStart w:id="509" w:name="_Toc38439365"/>
      <w:bookmarkStart w:id="510" w:name="_Toc38439702"/>
      <w:bookmarkStart w:id="511" w:name="_Toc38440039"/>
      <w:bookmarkStart w:id="512" w:name="_Toc38440376"/>
      <w:bookmarkStart w:id="513" w:name="_Toc38440908"/>
      <w:bookmarkStart w:id="514" w:name="_Toc38441240"/>
      <w:bookmarkStart w:id="515" w:name="_Toc38441572"/>
      <w:bookmarkStart w:id="516" w:name="_Toc38441900"/>
      <w:bookmarkStart w:id="517" w:name="_Toc38442232"/>
      <w:bookmarkStart w:id="518" w:name="_Toc38442564"/>
      <w:bookmarkStart w:id="519" w:name="_Toc38442895"/>
      <w:bookmarkStart w:id="520" w:name="_Toc38443226"/>
      <w:bookmarkStart w:id="521" w:name="_Toc38443557"/>
      <w:bookmarkStart w:id="522" w:name="_Toc38443887"/>
      <w:bookmarkStart w:id="523" w:name="_Toc38438355"/>
      <w:bookmarkStart w:id="524" w:name="_Toc38438692"/>
      <w:bookmarkStart w:id="525" w:name="_Toc38439029"/>
      <w:bookmarkStart w:id="526" w:name="_Toc38439366"/>
      <w:bookmarkStart w:id="527" w:name="_Toc38439703"/>
      <w:bookmarkStart w:id="528" w:name="_Toc38440040"/>
      <w:bookmarkStart w:id="529" w:name="_Toc38440377"/>
      <w:bookmarkStart w:id="530" w:name="_Toc38440909"/>
      <w:bookmarkStart w:id="531" w:name="_Toc38441241"/>
      <w:bookmarkStart w:id="532" w:name="_Toc38441573"/>
      <w:bookmarkStart w:id="533" w:name="_Toc38441901"/>
      <w:bookmarkStart w:id="534" w:name="_Toc38442233"/>
      <w:bookmarkStart w:id="535" w:name="_Toc38442565"/>
      <w:bookmarkStart w:id="536" w:name="_Toc38442896"/>
      <w:bookmarkStart w:id="537" w:name="_Toc38443227"/>
      <w:bookmarkStart w:id="538" w:name="_Toc38443558"/>
      <w:bookmarkStart w:id="539" w:name="_Toc38443888"/>
      <w:bookmarkStart w:id="540" w:name="_Toc38438356"/>
      <w:bookmarkStart w:id="541" w:name="_Toc38438693"/>
      <w:bookmarkStart w:id="542" w:name="_Toc38439030"/>
      <w:bookmarkStart w:id="543" w:name="_Toc38439367"/>
      <w:bookmarkStart w:id="544" w:name="_Toc38439704"/>
      <w:bookmarkStart w:id="545" w:name="_Toc38440041"/>
      <w:bookmarkStart w:id="546" w:name="_Toc38440378"/>
      <w:bookmarkStart w:id="547" w:name="_Toc38440910"/>
      <w:bookmarkStart w:id="548" w:name="_Toc38441242"/>
      <w:bookmarkStart w:id="549" w:name="_Toc38441574"/>
      <w:bookmarkStart w:id="550" w:name="_Toc38441902"/>
      <w:bookmarkStart w:id="551" w:name="_Toc38442234"/>
      <w:bookmarkStart w:id="552" w:name="_Toc38442566"/>
      <w:bookmarkStart w:id="553" w:name="_Toc38442897"/>
      <w:bookmarkStart w:id="554" w:name="_Toc38443228"/>
      <w:bookmarkStart w:id="555" w:name="_Toc38443559"/>
      <w:bookmarkStart w:id="556" w:name="_Toc38443889"/>
      <w:bookmarkStart w:id="557" w:name="_Toc38438357"/>
      <w:bookmarkStart w:id="558" w:name="_Toc38438694"/>
      <w:bookmarkStart w:id="559" w:name="_Toc38439031"/>
      <w:bookmarkStart w:id="560" w:name="_Toc38439368"/>
      <w:bookmarkStart w:id="561" w:name="_Toc38439705"/>
      <w:bookmarkStart w:id="562" w:name="_Toc38440042"/>
      <w:bookmarkStart w:id="563" w:name="_Toc38440379"/>
      <w:bookmarkStart w:id="564" w:name="_Toc38440911"/>
      <w:bookmarkStart w:id="565" w:name="_Toc38441243"/>
      <w:bookmarkStart w:id="566" w:name="_Toc38441575"/>
      <w:bookmarkStart w:id="567" w:name="_Toc38441903"/>
      <w:bookmarkStart w:id="568" w:name="_Toc38442235"/>
      <w:bookmarkStart w:id="569" w:name="_Toc38442567"/>
      <w:bookmarkStart w:id="570" w:name="_Toc38442898"/>
      <w:bookmarkStart w:id="571" w:name="_Toc38443229"/>
      <w:bookmarkStart w:id="572" w:name="_Toc38443560"/>
      <w:bookmarkStart w:id="573" w:name="_Toc38443890"/>
      <w:bookmarkStart w:id="574" w:name="_Toc38438358"/>
      <w:bookmarkStart w:id="575" w:name="_Toc38438695"/>
      <w:bookmarkStart w:id="576" w:name="_Toc38439032"/>
      <w:bookmarkStart w:id="577" w:name="_Toc38439369"/>
      <w:bookmarkStart w:id="578" w:name="_Toc38439706"/>
      <w:bookmarkStart w:id="579" w:name="_Toc38440043"/>
      <w:bookmarkStart w:id="580" w:name="_Toc38440380"/>
      <w:bookmarkStart w:id="581" w:name="_Toc38440912"/>
      <w:bookmarkStart w:id="582" w:name="_Toc38441244"/>
      <w:bookmarkStart w:id="583" w:name="_Toc38441576"/>
      <w:bookmarkStart w:id="584" w:name="_Toc38441904"/>
      <w:bookmarkStart w:id="585" w:name="_Toc38442236"/>
      <w:bookmarkStart w:id="586" w:name="_Toc38442568"/>
      <w:bookmarkStart w:id="587" w:name="_Toc38442899"/>
      <w:bookmarkStart w:id="588" w:name="_Toc38443230"/>
      <w:bookmarkStart w:id="589" w:name="_Toc38443561"/>
      <w:bookmarkStart w:id="590" w:name="_Toc38443891"/>
      <w:bookmarkStart w:id="591" w:name="_Toc38438359"/>
      <w:bookmarkStart w:id="592" w:name="_Toc38438696"/>
      <w:bookmarkStart w:id="593" w:name="_Toc38439033"/>
      <w:bookmarkStart w:id="594" w:name="_Toc38439370"/>
      <w:bookmarkStart w:id="595" w:name="_Toc38439707"/>
      <w:bookmarkStart w:id="596" w:name="_Toc38440044"/>
      <w:bookmarkStart w:id="597" w:name="_Toc38440381"/>
      <w:bookmarkStart w:id="598" w:name="_Toc38440913"/>
      <w:bookmarkStart w:id="599" w:name="_Toc38441245"/>
      <w:bookmarkStart w:id="600" w:name="_Toc38441577"/>
      <w:bookmarkStart w:id="601" w:name="_Toc38441905"/>
      <w:bookmarkStart w:id="602" w:name="_Toc38442237"/>
      <w:bookmarkStart w:id="603" w:name="_Toc38442569"/>
      <w:bookmarkStart w:id="604" w:name="_Toc38442900"/>
      <w:bookmarkStart w:id="605" w:name="_Toc38443231"/>
      <w:bookmarkStart w:id="606" w:name="_Toc38443562"/>
      <w:bookmarkStart w:id="607" w:name="_Toc38443892"/>
      <w:bookmarkStart w:id="608" w:name="_Toc38438360"/>
      <w:bookmarkStart w:id="609" w:name="_Toc38438697"/>
      <w:bookmarkStart w:id="610" w:name="_Toc38439034"/>
      <w:bookmarkStart w:id="611" w:name="_Toc38439371"/>
      <w:bookmarkStart w:id="612" w:name="_Toc38439708"/>
      <w:bookmarkStart w:id="613" w:name="_Toc38440045"/>
      <w:bookmarkStart w:id="614" w:name="_Toc38440382"/>
      <w:bookmarkStart w:id="615" w:name="_Toc38440914"/>
      <w:bookmarkStart w:id="616" w:name="_Toc38441246"/>
      <w:bookmarkStart w:id="617" w:name="_Toc38441578"/>
      <w:bookmarkStart w:id="618" w:name="_Toc38441906"/>
      <w:bookmarkStart w:id="619" w:name="_Toc38442238"/>
      <w:bookmarkStart w:id="620" w:name="_Toc38442570"/>
      <w:bookmarkStart w:id="621" w:name="_Toc38442901"/>
      <w:bookmarkStart w:id="622" w:name="_Toc38443232"/>
      <w:bookmarkStart w:id="623" w:name="_Toc38443563"/>
      <w:bookmarkStart w:id="624" w:name="_Toc38443893"/>
      <w:bookmarkStart w:id="625" w:name="_Toc38438361"/>
      <w:bookmarkStart w:id="626" w:name="_Toc38438698"/>
      <w:bookmarkStart w:id="627" w:name="_Toc38439035"/>
      <w:bookmarkStart w:id="628" w:name="_Toc38439372"/>
      <w:bookmarkStart w:id="629" w:name="_Toc38439709"/>
      <w:bookmarkStart w:id="630" w:name="_Toc38440046"/>
      <w:bookmarkStart w:id="631" w:name="_Toc38440383"/>
      <w:bookmarkStart w:id="632" w:name="_Toc38440915"/>
      <w:bookmarkStart w:id="633" w:name="_Toc38441247"/>
      <w:bookmarkStart w:id="634" w:name="_Toc38441579"/>
      <w:bookmarkStart w:id="635" w:name="_Toc38441907"/>
      <w:bookmarkStart w:id="636" w:name="_Toc38442239"/>
      <w:bookmarkStart w:id="637" w:name="_Toc38442571"/>
      <w:bookmarkStart w:id="638" w:name="_Toc38442902"/>
      <w:bookmarkStart w:id="639" w:name="_Toc38443233"/>
      <w:bookmarkStart w:id="640" w:name="_Toc38443564"/>
      <w:bookmarkStart w:id="641" w:name="_Toc38443894"/>
      <w:bookmarkStart w:id="642" w:name="_Toc38438362"/>
      <w:bookmarkStart w:id="643" w:name="_Toc38438699"/>
      <w:bookmarkStart w:id="644" w:name="_Toc38439036"/>
      <w:bookmarkStart w:id="645" w:name="_Toc38439373"/>
      <w:bookmarkStart w:id="646" w:name="_Toc38439710"/>
      <w:bookmarkStart w:id="647" w:name="_Toc38440047"/>
      <w:bookmarkStart w:id="648" w:name="_Toc38440384"/>
      <w:bookmarkStart w:id="649" w:name="_Toc38440916"/>
      <w:bookmarkStart w:id="650" w:name="_Toc38441248"/>
      <w:bookmarkStart w:id="651" w:name="_Toc38441580"/>
      <w:bookmarkStart w:id="652" w:name="_Toc38441908"/>
      <w:bookmarkStart w:id="653" w:name="_Toc38442240"/>
      <w:bookmarkStart w:id="654" w:name="_Toc38442572"/>
      <w:bookmarkStart w:id="655" w:name="_Toc38442903"/>
      <w:bookmarkStart w:id="656" w:name="_Toc38443234"/>
      <w:bookmarkStart w:id="657" w:name="_Toc38443565"/>
      <w:bookmarkStart w:id="658" w:name="_Toc38443895"/>
      <w:bookmarkStart w:id="659" w:name="_Toc38438363"/>
      <w:bookmarkStart w:id="660" w:name="_Toc38438700"/>
      <w:bookmarkStart w:id="661" w:name="_Toc38439037"/>
      <w:bookmarkStart w:id="662" w:name="_Toc38439374"/>
      <w:bookmarkStart w:id="663" w:name="_Toc38439711"/>
      <w:bookmarkStart w:id="664" w:name="_Toc38440048"/>
      <w:bookmarkStart w:id="665" w:name="_Toc38440385"/>
      <w:bookmarkStart w:id="666" w:name="_Toc38440917"/>
      <w:bookmarkStart w:id="667" w:name="_Toc38441249"/>
      <w:bookmarkStart w:id="668" w:name="_Toc38441581"/>
      <w:bookmarkStart w:id="669" w:name="_Toc38441909"/>
      <w:bookmarkStart w:id="670" w:name="_Toc38442241"/>
      <w:bookmarkStart w:id="671" w:name="_Toc38442573"/>
      <w:bookmarkStart w:id="672" w:name="_Toc38442904"/>
      <w:bookmarkStart w:id="673" w:name="_Toc38443235"/>
      <w:bookmarkStart w:id="674" w:name="_Toc38443566"/>
      <w:bookmarkStart w:id="675" w:name="_Toc38443896"/>
      <w:bookmarkStart w:id="676" w:name="_Toc38438364"/>
      <w:bookmarkStart w:id="677" w:name="_Toc38438701"/>
      <w:bookmarkStart w:id="678" w:name="_Toc38439038"/>
      <w:bookmarkStart w:id="679" w:name="_Toc38439375"/>
      <w:bookmarkStart w:id="680" w:name="_Toc38439712"/>
      <w:bookmarkStart w:id="681" w:name="_Toc38440049"/>
      <w:bookmarkStart w:id="682" w:name="_Toc38440386"/>
      <w:bookmarkStart w:id="683" w:name="_Toc38440918"/>
      <w:bookmarkStart w:id="684" w:name="_Toc38441250"/>
      <w:bookmarkStart w:id="685" w:name="_Toc38441582"/>
      <w:bookmarkStart w:id="686" w:name="_Toc38441910"/>
      <w:bookmarkStart w:id="687" w:name="_Toc38442242"/>
      <w:bookmarkStart w:id="688" w:name="_Toc38442574"/>
      <w:bookmarkStart w:id="689" w:name="_Toc38442905"/>
      <w:bookmarkStart w:id="690" w:name="_Toc38443236"/>
      <w:bookmarkStart w:id="691" w:name="_Toc38443567"/>
      <w:bookmarkStart w:id="692" w:name="_Toc38443897"/>
      <w:bookmarkStart w:id="693" w:name="_Toc38438365"/>
      <w:bookmarkStart w:id="694" w:name="_Toc38438702"/>
      <w:bookmarkStart w:id="695" w:name="_Toc38439039"/>
      <w:bookmarkStart w:id="696" w:name="_Toc38439376"/>
      <w:bookmarkStart w:id="697" w:name="_Toc38439713"/>
      <w:bookmarkStart w:id="698" w:name="_Toc38440050"/>
      <w:bookmarkStart w:id="699" w:name="_Toc38440387"/>
      <w:bookmarkStart w:id="700" w:name="_Toc38440919"/>
      <w:bookmarkStart w:id="701" w:name="_Toc38441251"/>
      <w:bookmarkStart w:id="702" w:name="_Toc38441583"/>
      <w:bookmarkStart w:id="703" w:name="_Toc38441911"/>
      <w:bookmarkStart w:id="704" w:name="_Toc38442243"/>
      <w:bookmarkStart w:id="705" w:name="_Toc38442575"/>
      <w:bookmarkStart w:id="706" w:name="_Toc38442906"/>
      <w:bookmarkStart w:id="707" w:name="_Toc38443237"/>
      <w:bookmarkStart w:id="708" w:name="_Toc38443568"/>
      <w:bookmarkStart w:id="709" w:name="_Toc38443898"/>
      <w:bookmarkStart w:id="710" w:name="_Toc38438366"/>
      <w:bookmarkStart w:id="711" w:name="_Toc38438703"/>
      <w:bookmarkStart w:id="712" w:name="_Toc38439040"/>
      <w:bookmarkStart w:id="713" w:name="_Toc38439377"/>
      <w:bookmarkStart w:id="714" w:name="_Toc38439714"/>
      <w:bookmarkStart w:id="715" w:name="_Toc38440051"/>
      <w:bookmarkStart w:id="716" w:name="_Toc38440388"/>
      <w:bookmarkStart w:id="717" w:name="_Toc38440920"/>
      <w:bookmarkStart w:id="718" w:name="_Toc38441252"/>
      <w:bookmarkStart w:id="719" w:name="_Toc38441584"/>
      <w:bookmarkStart w:id="720" w:name="_Toc38441912"/>
      <w:bookmarkStart w:id="721" w:name="_Toc38442244"/>
      <w:bookmarkStart w:id="722" w:name="_Toc38442576"/>
      <w:bookmarkStart w:id="723" w:name="_Toc38442907"/>
      <w:bookmarkStart w:id="724" w:name="_Toc38443238"/>
      <w:bookmarkStart w:id="725" w:name="_Toc38443569"/>
      <w:bookmarkStart w:id="726" w:name="_Toc38443899"/>
      <w:bookmarkStart w:id="727" w:name="_Toc38438367"/>
      <w:bookmarkStart w:id="728" w:name="_Toc38438704"/>
      <w:bookmarkStart w:id="729" w:name="_Toc38439041"/>
      <w:bookmarkStart w:id="730" w:name="_Toc38439378"/>
      <w:bookmarkStart w:id="731" w:name="_Toc38439715"/>
      <w:bookmarkStart w:id="732" w:name="_Toc38440052"/>
      <w:bookmarkStart w:id="733" w:name="_Toc38440389"/>
      <w:bookmarkStart w:id="734" w:name="_Toc38440921"/>
      <w:bookmarkStart w:id="735" w:name="_Toc38441253"/>
      <w:bookmarkStart w:id="736" w:name="_Toc38441585"/>
      <w:bookmarkStart w:id="737" w:name="_Toc38441913"/>
      <w:bookmarkStart w:id="738" w:name="_Toc38442245"/>
      <w:bookmarkStart w:id="739" w:name="_Toc38442577"/>
      <w:bookmarkStart w:id="740" w:name="_Toc38442908"/>
      <w:bookmarkStart w:id="741" w:name="_Toc38443239"/>
      <w:bookmarkStart w:id="742" w:name="_Toc38443570"/>
      <w:bookmarkStart w:id="743" w:name="_Toc38443900"/>
      <w:bookmarkStart w:id="744" w:name="_Toc38438368"/>
      <w:bookmarkStart w:id="745" w:name="_Toc38438705"/>
      <w:bookmarkStart w:id="746" w:name="_Toc38439042"/>
      <w:bookmarkStart w:id="747" w:name="_Toc38439379"/>
      <w:bookmarkStart w:id="748" w:name="_Toc38439716"/>
      <w:bookmarkStart w:id="749" w:name="_Toc38440053"/>
      <w:bookmarkStart w:id="750" w:name="_Toc38440390"/>
      <w:bookmarkStart w:id="751" w:name="_Toc38440922"/>
      <w:bookmarkStart w:id="752" w:name="_Toc38441254"/>
      <w:bookmarkStart w:id="753" w:name="_Toc38441586"/>
      <w:bookmarkStart w:id="754" w:name="_Toc38441914"/>
      <w:bookmarkStart w:id="755" w:name="_Toc38442246"/>
      <w:bookmarkStart w:id="756" w:name="_Toc38442578"/>
      <w:bookmarkStart w:id="757" w:name="_Toc38442909"/>
      <w:bookmarkStart w:id="758" w:name="_Toc38443240"/>
      <w:bookmarkStart w:id="759" w:name="_Toc38443571"/>
      <w:bookmarkStart w:id="760" w:name="_Toc38443901"/>
      <w:bookmarkStart w:id="761" w:name="_Toc38438369"/>
      <w:bookmarkStart w:id="762" w:name="_Toc38438706"/>
      <w:bookmarkStart w:id="763" w:name="_Toc38439043"/>
      <w:bookmarkStart w:id="764" w:name="_Toc38439380"/>
      <w:bookmarkStart w:id="765" w:name="_Toc38439717"/>
      <w:bookmarkStart w:id="766" w:name="_Toc38440054"/>
      <w:bookmarkStart w:id="767" w:name="_Toc38440391"/>
      <w:bookmarkStart w:id="768" w:name="_Toc38440923"/>
      <w:bookmarkStart w:id="769" w:name="_Toc38441255"/>
      <w:bookmarkStart w:id="770" w:name="_Toc38441587"/>
      <w:bookmarkStart w:id="771" w:name="_Toc38441915"/>
      <w:bookmarkStart w:id="772" w:name="_Toc38442247"/>
      <w:bookmarkStart w:id="773" w:name="_Toc38442579"/>
      <w:bookmarkStart w:id="774" w:name="_Toc38442910"/>
      <w:bookmarkStart w:id="775" w:name="_Toc38443241"/>
      <w:bookmarkStart w:id="776" w:name="_Toc38443572"/>
      <w:bookmarkStart w:id="777" w:name="_Toc38443902"/>
      <w:bookmarkStart w:id="778" w:name="_Toc38438371"/>
      <w:bookmarkStart w:id="779" w:name="_Toc38438708"/>
      <w:bookmarkStart w:id="780" w:name="_Toc38439045"/>
      <w:bookmarkStart w:id="781" w:name="_Toc38439382"/>
      <w:bookmarkStart w:id="782" w:name="_Toc38439719"/>
      <w:bookmarkStart w:id="783" w:name="_Toc38440056"/>
      <w:bookmarkStart w:id="784" w:name="_Toc38440393"/>
      <w:bookmarkStart w:id="785" w:name="_Toc38440925"/>
      <w:bookmarkStart w:id="786" w:name="_Toc38441257"/>
      <w:bookmarkStart w:id="787" w:name="_Toc38441589"/>
      <w:bookmarkStart w:id="788" w:name="_Toc38441917"/>
      <w:bookmarkStart w:id="789" w:name="_Toc38442249"/>
      <w:bookmarkStart w:id="790" w:name="_Toc38442581"/>
      <w:bookmarkStart w:id="791" w:name="_Toc38442912"/>
      <w:bookmarkStart w:id="792" w:name="_Toc38443243"/>
      <w:bookmarkStart w:id="793" w:name="_Toc38443574"/>
      <w:bookmarkStart w:id="794" w:name="_Toc38443904"/>
      <w:bookmarkStart w:id="795" w:name="_Toc38438372"/>
      <w:bookmarkStart w:id="796" w:name="_Toc38438709"/>
      <w:bookmarkStart w:id="797" w:name="_Toc38439046"/>
      <w:bookmarkStart w:id="798" w:name="_Toc38439383"/>
      <w:bookmarkStart w:id="799" w:name="_Toc38439720"/>
      <w:bookmarkStart w:id="800" w:name="_Toc38440057"/>
      <w:bookmarkStart w:id="801" w:name="_Toc38440394"/>
      <w:bookmarkStart w:id="802" w:name="_Toc38440926"/>
      <w:bookmarkStart w:id="803" w:name="_Toc38441258"/>
      <w:bookmarkStart w:id="804" w:name="_Toc38441590"/>
      <w:bookmarkStart w:id="805" w:name="_Toc38441918"/>
      <w:bookmarkStart w:id="806" w:name="_Toc38442250"/>
      <w:bookmarkStart w:id="807" w:name="_Toc38442582"/>
      <w:bookmarkStart w:id="808" w:name="_Toc38442913"/>
      <w:bookmarkStart w:id="809" w:name="_Toc38443244"/>
      <w:bookmarkStart w:id="810" w:name="_Toc38443575"/>
      <w:bookmarkStart w:id="811" w:name="_Toc38443905"/>
      <w:bookmarkStart w:id="812" w:name="_Toc38438373"/>
      <w:bookmarkStart w:id="813" w:name="_Toc38438710"/>
      <w:bookmarkStart w:id="814" w:name="_Toc38439047"/>
      <w:bookmarkStart w:id="815" w:name="_Toc38439384"/>
      <w:bookmarkStart w:id="816" w:name="_Toc38439721"/>
      <w:bookmarkStart w:id="817" w:name="_Toc38440058"/>
      <w:bookmarkStart w:id="818" w:name="_Toc38440395"/>
      <w:bookmarkStart w:id="819" w:name="_Toc38440927"/>
      <w:bookmarkStart w:id="820" w:name="_Toc38441259"/>
      <w:bookmarkStart w:id="821" w:name="_Toc38441591"/>
      <w:bookmarkStart w:id="822" w:name="_Toc38441919"/>
      <w:bookmarkStart w:id="823" w:name="_Toc38442251"/>
      <w:bookmarkStart w:id="824" w:name="_Toc38442583"/>
      <w:bookmarkStart w:id="825" w:name="_Toc38442914"/>
      <w:bookmarkStart w:id="826" w:name="_Toc38443245"/>
      <w:bookmarkStart w:id="827" w:name="_Toc38443576"/>
      <w:bookmarkStart w:id="828" w:name="_Toc38443906"/>
      <w:bookmarkStart w:id="829" w:name="_Toc38438374"/>
      <w:bookmarkStart w:id="830" w:name="_Toc38438711"/>
      <w:bookmarkStart w:id="831" w:name="_Toc38439048"/>
      <w:bookmarkStart w:id="832" w:name="_Toc38439385"/>
      <w:bookmarkStart w:id="833" w:name="_Toc38439722"/>
      <w:bookmarkStart w:id="834" w:name="_Toc38440059"/>
      <w:bookmarkStart w:id="835" w:name="_Toc38440396"/>
      <w:bookmarkStart w:id="836" w:name="_Toc38440928"/>
      <w:bookmarkStart w:id="837" w:name="_Toc38441260"/>
      <w:bookmarkStart w:id="838" w:name="_Toc38441592"/>
      <w:bookmarkStart w:id="839" w:name="_Toc38441920"/>
      <w:bookmarkStart w:id="840" w:name="_Toc38442252"/>
      <w:bookmarkStart w:id="841" w:name="_Toc38442584"/>
      <w:bookmarkStart w:id="842" w:name="_Toc38442915"/>
      <w:bookmarkStart w:id="843" w:name="_Toc38443246"/>
      <w:bookmarkStart w:id="844" w:name="_Toc38443577"/>
      <w:bookmarkStart w:id="845" w:name="_Toc38443907"/>
      <w:bookmarkStart w:id="846" w:name="_Toc38438375"/>
      <w:bookmarkStart w:id="847" w:name="_Toc38438712"/>
      <w:bookmarkStart w:id="848" w:name="_Toc38439049"/>
      <w:bookmarkStart w:id="849" w:name="_Toc38439386"/>
      <w:bookmarkStart w:id="850" w:name="_Toc38439723"/>
      <w:bookmarkStart w:id="851" w:name="_Toc38440060"/>
      <w:bookmarkStart w:id="852" w:name="_Toc38440397"/>
      <w:bookmarkStart w:id="853" w:name="_Toc38440929"/>
      <w:bookmarkStart w:id="854" w:name="_Toc38441261"/>
      <w:bookmarkStart w:id="855" w:name="_Toc38441593"/>
      <w:bookmarkStart w:id="856" w:name="_Toc38441921"/>
      <w:bookmarkStart w:id="857" w:name="_Toc38442253"/>
      <w:bookmarkStart w:id="858" w:name="_Toc38442585"/>
      <w:bookmarkStart w:id="859" w:name="_Toc38442916"/>
      <w:bookmarkStart w:id="860" w:name="_Toc38443247"/>
      <w:bookmarkStart w:id="861" w:name="_Toc38443578"/>
      <w:bookmarkStart w:id="862" w:name="_Toc38443908"/>
      <w:bookmarkStart w:id="863" w:name="_Toc38438376"/>
      <w:bookmarkStart w:id="864" w:name="_Toc38438713"/>
      <w:bookmarkStart w:id="865" w:name="_Toc38439050"/>
      <w:bookmarkStart w:id="866" w:name="_Toc38439387"/>
      <w:bookmarkStart w:id="867" w:name="_Toc38439724"/>
      <w:bookmarkStart w:id="868" w:name="_Toc38440061"/>
      <w:bookmarkStart w:id="869" w:name="_Toc38440398"/>
      <w:bookmarkStart w:id="870" w:name="_Toc38440930"/>
      <w:bookmarkStart w:id="871" w:name="_Toc38441262"/>
      <w:bookmarkStart w:id="872" w:name="_Toc38441594"/>
      <w:bookmarkStart w:id="873" w:name="_Toc38441922"/>
      <w:bookmarkStart w:id="874" w:name="_Toc38442254"/>
      <w:bookmarkStart w:id="875" w:name="_Toc38442586"/>
      <w:bookmarkStart w:id="876" w:name="_Toc38442917"/>
      <w:bookmarkStart w:id="877" w:name="_Toc38443248"/>
      <w:bookmarkStart w:id="878" w:name="_Toc38443579"/>
      <w:bookmarkStart w:id="879" w:name="_Toc38443909"/>
      <w:bookmarkStart w:id="880" w:name="_Toc38438377"/>
      <w:bookmarkStart w:id="881" w:name="_Toc38438714"/>
      <w:bookmarkStart w:id="882" w:name="_Toc38439051"/>
      <w:bookmarkStart w:id="883" w:name="_Toc38439388"/>
      <w:bookmarkStart w:id="884" w:name="_Toc38439725"/>
      <w:bookmarkStart w:id="885" w:name="_Toc38440062"/>
      <w:bookmarkStart w:id="886" w:name="_Toc38440399"/>
      <w:bookmarkStart w:id="887" w:name="_Toc38440931"/>
      <w:bookmarkStart w:id="888" w:name="_Toc38441263"/>
      <w:bookmarkStart w:id="889" w:name="_Toc38441595"/>
      <w:bookmarkStart w:id="890" w:name="_Toc38441923"/>
      <w:bookmarkStart w:id="891" w:name="_Toc38442255"/>
      <w:bookmarkStart w:id="892" w:name="_Toc38442587"/>
      <w:bookmarkStart w:id="893" w:name="_Toc38442918"/>
      <w:bookmarkStart w:id="894" w:name="_Toc38443249"/>
      <w:bookmarkStart w:id="895" w:name="_Toc38443580"/>
      <w:bookmarkStart w:id="896" w:name="_Toc38443910"/>
      <w:bookmarkStart w:id="897" w:name="_Toc38438378"/>
      <w:bookmarkStart w:id="898" w:name="_Toc38438715"/>
      <w:bookmarkStart w:id="899" w:name="_Toc38439052"/>
      <w:bookmarkStart w:id="900" w:name="_Toc38439389"/>
      <w:bookmarkStart w:id="901" w:name="_Toc38439726"/>
      <w:bookmarkStart w:id="902" w:name="_Toc38440063"/>
      <w:bookmarkStart w:id="903" w:name="_Toc38440400"/>
      <w:bookmarkStart w:id="904" w:name="_Toc38440932"/>
      <w:bookmarkStart w:id="905" w:name="_Toc38441264"/>
      <w:bookmarkStart w:id="906" w:name="_Toc38441596"/>
      <w:bookmarkStart w:id="907" w:name="_Toc38441924"/>
      <w:bookmarkStart w:id="908" w:name="_Toc38442256"/>
      <w:bookmarkStart w:id="909" w:name="_Toc38442588"/>
      <w:bookmarkStart w:id="910" w:name="_Toc38442919"/>
      <w:bookmarkStart w:id="911" w:name="_Toc38443250"/>
      <w:bookmarkStart w:id="912" w:name="_Toc38443581"/>
      <w:bookmarkStart w:id="913" w:name="_Toc38443911"/>
      <w:bookmarkStart w:id="914" w:name="_Toc38438379"/>
      <w:bookmarkStart w:id="915" w:name="_Toc38438716"/>
      <w:bookmarkStart w:id="916" w:name="_Toc38439053"/>
      <w:bookmarkStart w:id="917" w:name="_Toc38439390"/>
      <w:bookmarkStart w:id="918" w:name="_Toc38439727"/>
      <w:bookmarkStart w:id="919" w:name="_Toc38440064"/>
      <w:bookmarkStart w:id="920" w:name="_Toc38440401"/>
      <w:bookmarkStart w:id="921" w:name="_Toc38440933"/>
      <w:bookmarkStart w:id="922" w:name="_Toc38441265"/>
      <w:bookmarkStart w:id="923" w:name="_Toc38441597"/>
      <w:bookmarkStart w:id="924" w:name="_Toc38441925"/>
      <w:bookmarkStart w:id="925" w:name="_Toc38442257"/>
      <w:bookmarkStart w:id="926" w:name="_Toc38442589"/>
      <w:bookmarkStart w:id="927" w:name="_Toc38442920"/>
      <w:bookmarkStart w:id="928" w:name="_Toc38443251"/>
      <w:bookmarkStart w:id="929" w:name="_Toc38443582"/>
      <w:bookmarkStart w:id="930" w:name="_Toc38443912"/>
      <w:bookmarkStart w:id="931" w:name="_Toc38438380"/>
      <w:bookmarkStart w:id="932" w:name="_Toc38438717"/>
      <w:bookmarkStart w:id="933" w:name="_Toc38439054"/>
      <w:bookmarkStart w:id="934" w:name="_Toc38439391"/>
      <w:bookmarkStart w:id="935" w:name="_Toc38439728"/>
      <w:bookmarkStart w:id="936" w:name="_Toc38440065"/>
      <w:bookmarkStart w:id="937" w:name="_Toc38440402"/>
      <w:bookmarkStart w:id="938" w:name="_Toc38440934"/>
      <w:bookmarkStart w:id="939" w:name="_Toc38441266"/>
      <w:bookmarkStart w:id="940" w:name="_Toc38441598"/>
      <w:bookmarkStart w:id="941" w:name="_Toc38441926"/>
      <w:bookmarkStart w:id="942" w:name="_Toc38442258"/>
      <w:bookmarkStart w:id="943" w:name="_Toc38442590"/>
      <w:bookmarkStart w:id="944" w:name="_Toc38442921"/>
      <w:bookmarkStart w:id="945" w:name="_Toc38443252"/>
      <w:bookmarkStart w:id="946" w:name="_Toc38443583"/>
      <w:bookmarkStart w:id="947" w:name="_Toc38443913"/>
      <w:bookmarkStart w:id="948" w:name="_Toc38438381"/>
      <w:bookmarkStart w:id="949" w:name="_Toc38438718"/>
      <w:bookmarkStart w:id="950" w:name="_Toc38439055"/>
      <w:bookmarkStart w:id="951" w:name="_Toc38439392"/>
      <w:bookmarkStart w:id="952" w:name="_Toc38439729"/>
      <w:bookmarkStart w:id="953" w:name="_Toc38440066"/>
      <w:bookmarkStart w:id="954" w:name="_Toc38440403"/>
      <w:bookmarkStart w:id="955" w:name="_Toc38440935"/>
      <w:bookmarkStart w:id="956" w:name="_Toc38441267"/>
      <w:bookmarkStart w:id="957" w:name="_Toc38441599"/>
      <w:bookmarkStart w:id="958" w:name="_Toc38441927"/>
      <w:bookmarkStart w:id="959" w:name="_Toc38442259"/>
      <w:bookmarkStart w:id="960" w:name="_Toc38442591"/>
      <w:bookmarkStart w:id="961" w:name="_Toc38442922"/>
      <w:bookmarkStart w:id="962" w:name="_Toc38443253"/>
      <w:bookmarkStart w:id="963" w:name="_Toc38443584"/>
      <w:bookmarkStart w:id="964" w:name="_Toc38443914"/>
      <w:bookmarkStart w:id="965" w:name="_Toc38438382"/>
      <w:bookmarkStart w:id="966" w:name="_Toc38438719"/>
      <w:bookmarkStart w:id="967" w:name="_Toc38439056"/>
      <w:bookmarkStart w:id="968" w:name="_Toc38439393"/>
      <w:bookmarkStart w:id="969" w:name="_Toc38439730"/>
      <w:bookmarkStart w:id="970" w:name="_Toc38440067"/>
      <w:bookmarkStart w:id="971" w:name="_Toc38440404"/>
      <w:bookmarkStart w:id="972" w:name="_Toc38440936"/>
      <w:bookmarkStart w:id="973" w:name="_Toc38441268"/>
      <w:bookmarkStart w:id="974" w:name="_Toc38441600"/>
      <w:bookmarkStart w:id="975" w:name="_Toc38441928"/>
      <w:bookmarkStart w:id="976" w:name="_Toc38442260"/>
      <w:bookmarkStart w:id="977" w:name="_Toc38442592"/>
      <w:bookmarkStart w:id="978" w:name="_Toc38442923"/>
      <w:bookmarkStart w:id="979" w:name="_Toc38443254"/>
      <w:bookmarkStart w:id="980" w:name="_Toc38443585"/>
      <w:bookmarkStart w:id="981" w:name="_Toc38443915"/>
      <w:bookmarkStart w:id="982" w:name="_Toc38438383"/>
      <w:bookmarkStart w:id="983" w:name="_Toc38438720"/>
      <w:bookmarkStart w:id="984" w:name="_Toc38439057"/>
      <w:bookmarkStart w:id="985" w:name="_Toc38439394"/>
      <w:bookmarkStart w:id="986" w:name="_Toc38439731"/>
      <w:bookmarkStart w:id="987" w:name="_Toc38440068"/>
      <w:bookmarkStart w:id="988" w:name="_Toc38440405"/>
      <w:bookmarkStart w:id="989" w:name="_Toc38440937"/>
      <w:bookmarkStart w:id="990" w:name="_Toc38441269"/>
      <w:bookmarkStart w:id="991" w:name="_Toc38441601"/>
      <w:bookmarkStart w:id="992" w:name="_Toc38441929"/>
      <w:bookmarkStart w:id="993" w:name="_Toc38442261"/>
      <w:bookmarkStart w:id="994" w:name="_Toc38442593"/>
      <w:bookmarkStart w:id="995" w:name="_Toc38442924"/>
      <w:bookmarkStart w:id="996" w:name="_Toc38443255"/>
      <w:bookmarkStart w:id="997" w:name="_Toc38443586"/>
      <w:bookmarkStart w:id="998" w:name="_Toc38443916"/>
      <w:bookmarkStart w:id="999" w:name="_Toc38438384"/>
      <w:bookmarkStart w:id="1000" w:name="_Toc38438721"/>
      <w:bookmarkStart w:id="1001" w:name="_Toc38439058"/>
      <w:bookmarkStart w:id="1002" w:name="_Toc38439395"/>
      <w:bookmarkStart w:id="1003" w:name="_Toc38439732"/>
      <w:bookmarkStart w:id="1004" w:name="_Toc38440069"/>
      <w:bookmarkStart w:id="1005" w:name="_Toc38440406"/>
      <w:bookmarkStart w:id="1006" w:name="_Toc38440938"/>
      <w:bookmarkStart w:id="1007" w:name="_Toc38441270"/>
      <w:bookmarkStart w:id="1008" w:name="_Toc38441602"/>
      <w:bookmarkStart w:id="1009" w:name="_Toc38441930"/>
      <w:bookmarkStart w:id="1010" w:name="_Toc38442262"/>
      <w:bookmarkStart w:id="1011" w:name="_Toc38442594"/>
      <w:bookmarkStart w:id="1012" w:name="_Toc38442925"/>
      <w:bookmarkStart w:id="1013" w:name="_Toc38443256"/>
      <w:bookmarkStart w:id="1014" w:name="_Toc38443587"/>
      <w:bookmarkStart w:id="1015" w:name="_Toc38443917"/>
      <w:bookmarkStart w:id="1016" w:name="_Toc38438385"/>
      <w:bookmarkStart w:id="1017" w:name="_Toc38438722"/>
      <w:bookmarkStart w:id="1018" w:name="_Toc38439059"/>
      <w:bookmarkStart w:id="1019" w:name="_Toc38439396"/>
      <w:bookmarkStart w:id="1020" w:name="_Toc38439733"/>
      <w:bookmarkStart w:id="1021" w:name="_Toc38440070"/>
      <w:bookmarkStart w:id="1022" w:name="_Toc38440407"/>
      <w:bookmarkStart w:id="1023" w:name="_Toc38440939"/>
      <w:bookmarkStart w:id="1024" w:name="_Toc38441271"/>
      <w:bookmarkStart w:id="1025" w:name="_Toc38441603"/>
      <w:bookmarkStart w:id="1026" w:name="_Toc38441931"/>
      <w:bookmarkStart w:id="1027" w:name="_Toc38442263"/>
      <w:bookmarkStart w:id="1028" w:name="_Toc38442595"/>
      <w:bookmarkStart w:id="1029" w:name="_Toc38442926"/>
      <w:bookmarkStart w:id="1030" w:name="_Toc38443257"/>
      <w:bookmarkStart w:id="1031" w:name="_Toc38443588"/>
      <w:bookmarkStart w:id="1032" w:name="_Toc38443918"/>
      <w:bookmarkStart w:id="1033" w:name="_Toc38438386"/>
      <w:bookmarkStart w:id="1034" w:name="_Toc38438723"/>
      <w:bookmarkStart w:id="1035" w:name="_Toc38439060"/>
      <w:bookmarkStart w:id="1036" w:name="_Toc38439397"/>
      <w:bookmarkStart w:id="1037" w:name="_Toc38439734"/>
      <w:bookmarkStart w:id="1038" w:name="_Toc38440071"/>
      <w:bookmarkStart w:id="1039" w:name="_Toc38440408"/>
      <w:bookmarkStart w:id="1040" w:name="_Toc38440940"/>
      <w:bookmarkStart w:id="1041" w:name="_Toc38441272"/>
      <w:bookmarkStart w:id="1042" w:name="_Toc38441604"/>
      <w:bookmarkStart w:id="1043" w:name="_Toc38441932"/>
      <w:bookmarkStart w:id="1044" w:name="_Toc38442264"/>
      <w:bookmarkStart w:id="1045" w:name="_Toc38442596"/>
      <w:bookmarkStart w:id="1046" w:name="_Toc38442927"/>
      <w:bookmarkStart w:id="1047" w:name="_Toc38443258"/>
      <w:bookmarkStart w:id="1048" w:name="_Toc38443589"/>
      <w:bookmarkStart w:id="1049" w:name="_Toc38443919"/>
      <w:bookmarkStart w:id="1050" w:name="_Toc38438387"/>
      <w:bookmarkStart w:id="1051" w:name="_Toc38438724"/>
      <w:bookmarkStart w:id="1052" w:name="_Toc38439061"/>
      <w:bookmarkStart w:id="1053" w:name="_Toc38439398"/>
      <w:bookmarkStart w:id="1054" w:name="_Toc38439735"/>
      <w:bookmarkStart w:id="1055" w:name="_Toc38440072"/>
      <w:bookmarkStart w:id="1056" w:name="_Toc38440409"/>
      <w:bookmarkStart w:id="1057" w:name="_Toc38440941"/>
      <w:bookmarkStart w:id="1058" w:name="_Toc38441273"/>
      <w:bookmarkStart w:id="1059" w:name="_Toc38441605"/>
      <w:bookmarkStart w:id="1060" w:name="_Toc38441933"/>
      <w:bookmarkStart w:id="1061" w:name="_Toc38442265"/>
      <w:bookmarkStart w:id="1062" w:name="_Toc38442597"/>
      <w:bookmarkStart w:id="1063" w:name="_Toc38442928"/>
      <w:bookmarkStart w:id="1064" w:name="_Toc38443259"/>
      <w:bookmarkStart w:id="1065" w:name="_Toc38443590"/>
      <w:bookmarkStart w:id="1066" w:name="_Toc38443920"/>
      <w:bookmarkStart w:id="1067" w:name="_Toc38438388"/>
      <w:bookmarkStart w:id="1068" w:name="_Toc38438725"/>
      <w:bookmarkStart w:id="1069" w:name="_Toc38439062"/>
      <w:bookmarkStart w:id="1070" w:name="_Toc38439399"/>
      <w:bookmarkStart w:id="1071" w:name="_Toc38439736"/>
      <w:bookmarkStart w:id="1072" w:name="_Toc38440073"/>
      <w:bookmarkStart w:id="1073" w:name="_Toc38440410"/>
      <w:bookmarkStart w:id="1074" w:name="_Toc38440942"/>
      <w:bookmarkStart w:id="1075" w:name="_Toc38441274"/>
      <w:bookmarkStart w:id="1076" w:name="_Toc38441606"/>
      <w:bookmarkStart w:id="1077" w:name="_Toc38441934"/>
      <w:bookmarkStart w:id="1078" w:name="_Toc38442266"/>
      <w:bookmarkStart w:id="1079" w:name="_Toc38442598"/>
      <w:bookmarkStart w:id="1080" w:name="_Toc38442929"/>
      <w:bookmarkStart w:id="1081" w:name="_Toc38443260"/>
      <w:bookmarkStart w:id="1082" w:name="_Toc38443591"/>
      <w:bookmarkStart w:id="1083" w:name="_Toc38443921"/>
      <w:bookmarkStart w:id="1084" w:name="_Toc38438389"/>
      <w:bookmarkStart w:id="1085" w:name="_Toc38438726"/>
      <w:bookmarkStart w:id="1086" w:name="_Toc38439063"/>
      <w:bookmarkStart w:id="1087" w:name="_Toc38439400"/>
      <w:bookmarkStart w:id="1088" w:name="_Toc38439737"/>
      <w:bookmarkStart w:id="1089" w:name="_Toc38440074"/>
      <w:bookmarkStart w:id="1090" w:name="_Toc38440411"/>
      <w:bookmarkStart w:id="1091" w:name="_Toc38440943"/>
      <w:bookmarkStart w:id="1092" w:name="_Toc38441275"/>
      <w:bookmarkStart w:id="1093" w:name="_Toc38441607"/>
      <w:bookmarkStart w:id="1094" w:name="_Toc38441935"/>
      <w:bookmarkStart w:id="1095" w:name="_Toc38442267"/>
      <w:bookmarkStart w:id="1096" w:name="_Toc38442599"/>
      <w:bookmarkStart w:id="1097" w:name="_Toc38442930"/>
      <w:bookmarkStart w:id="1098" w:name="_Toc38443261"/>
      <w:bookmarkStart w:id="1099" w:name="_Toc38443592"/>
      <w:bookmarkStart w:id="1100" w:name="_Toc38443922"/>
      <w:bookmarkStart w:id="1101" w:name="_Toc38438390"/>
      <w:bookmarkStart w:id="1102" w:name="_Toc38438727"/>
      <w:bookmarkStart w:id="1103" w:name="_Toc38439064"/>
      <w:bookmarkStart w:id="1104" w:name="_Toc38439401"/>
      <w:bookmarkStart w:id="1105" w:name="_Toc38439738"/>
      <w:bookmarkStart w:id="1106" w:name="_Toc38440075"/>
      <w:bookmarkStart w:id="1107" w:name="_Toc38440412"/>
      <w:bookmarkStart w:id="1108" w:name="_Toc38440944"/>
      <w:bookmarkStart w:id="1109" w:name="_Toc38441276"/>
      <w:bookmarkStart w:id="1110" w:name="_Toc38441608"/>
      <w:bookmarkStart w:id="1111" w:name="_Toc38441936"/>
      <w:bookmarkStart w:id="1112" w:name="_Toc38442268"/>
      <w:bookmarkStart w:id="1113" w:name="_Toc38442600"/>
      <w:bookmarkStart w:id="1114" w:name="_Toc38442931"/>
      <w:bookmarkStart w:id="1115" w:name="_Toc38443262"/>
      <w:bookmarkStart w:id="1116" w:name="_Toc38443593"/>
      <w:bookmarkStart w:id="1117" w:name="_Toc38443923"/>
      <w:bookmarkStart w:id="1118" w:name="_Toc38438391"/>
      <w:bookmarkStart w:id="1119" w:name="_Toc38438728"/>
      <w:bookmarkStart w:id="1120" w:name="_Toc38439065"/>
      <w:bookmarkStart w:id="1121" w:name="_Toc38439402"/>
      <w:bookmarkStart w:id="1122" w:name="_Toc38439739"/>
      <w:bookmarkStart w:id="1123" w:name="_Toc38440076"/>
      <w:bookmarkStart w:id="1124" w:name="_Toc38440413"/>
      <w:bookmarkStart w:id="1125" w:name="_Toc38440945"/>
      <w:bookmarkStart w:id="1126" w:name="_Toc38441277"/>
      <w:bookmarkStart w:id="1127" w:name="_Toc38441609"/>
      <w:bookmarkStart w:id="1128" w:name="_Toc38441937"/>
      <w:bookmarkStart w:id="1129" w:name="_Toc38442269"/>
      <w:bookmarkStart w:id="1130" w:name="_Toc38442601"/>
      <w:bookmarkStart w:id="1131" w:name="_Toc38442932"/>
      <w:bookmarkStart w:id="1132" w:name="_Toc38443263"/>
      <w:bookmarkStart w:id="1133" w:name="_Toc38443594"/>
      <w:bookmarkStart w:id="1134" w:name="_Toc38443924"/>
      <w:bookmarkStart w:id="1135" w:name="_Toc38438392"/>
      <w:bookmarkStart w:id="1136" w:name="_Toc38438729"/>
      <w:bookmarkStart w:id="1137" w:name="_Toc38439066"/>
      <w:bookmarkStart w:id="1138" w:name="_Toc38439403"/>
      <w:bookmarkStart w:id="1139" w:name="_Toc38439740"/>
      <w:bookmarkStart w:id="1140" w:name="_Toc38440077"/>
      <w:bookmarkStart w:id="1141" w:name="_Toc38440414"/>
      <w:bookmarkStart w:id="1142" w:name="_Toc38440946"/>
      <w:bookmarkStart w:id="1143" w:name="_Toc38441278"/>
      <w:bookmarkStart w:id="1144" w:name="_Toc38441610"/>
      <w:bookmarkStart w:id="1145" w:name="_Toc38441938"/>
      <w:bookmarkStart w:id="1146" w:name="_Toc38442270"/>
      <w:bookmarkStart w:id="1147" w:name="_Toc38442602"/>
      <w:bookmarkStart w:id="1148" w:name="_Toc38442933"/>
      <w:bookmarkStart w:id="1149" w:name="_Toc38443264"/>
      <w:bookmarkStart w:id="1150" w:name="_Toc38443595"/>
      <w:bookmarkStart w:id="1151" w:name="_Toc38443925"/>
      <w:bookmarkStart w:id="1152" w:name="_Toc38438393"/>
      <w:bookmarkStart w:id="1153" w:name="_Toc38438730"/>
      <w:bookmarkStart w:id="1154" w:name="_Toc38439067"/>
      <w:bookmarkStart w:id="1155" w:name="_Toc38439404"/>
      <w:bookmarkStart w:id="1156" w:name="_Toc38439741"/>
      <w:bookmarkStart w:id="1157" w:name="_Toc38440078"/>
      <w:bookmarkStart w:id="1158" w:name="_Toc38440415"/>
      <w:bookmarkStart w:id="1159" w:name="_Toc38440947"/>
      <w:bookmarkStart w:id="1160" w:name="_Toc38441279"/>
      <w:bookmarkStart w:id="1161" w:name="_Toc38441611"/>
      <w:bookmarkStart w:id="1162" w:name="_Toc38441939"/>
      <w:bookmarkStart w:id="1163" w:name="_Toc38442271"/>
      <w:bookmarkStart w:id="1164" w:name="_Toc38442603"/>
      <w:bookmarkStart w:id="1165" w:name="_Toc38442934"/>
      <w:bookmarkStart w:id="1166" w:name="_Toc38443265"/>
      <w:bookmarkStart w:id="1167" w:name="_Toc38443596"/>
      <w:bookmarkStart w:id="1168" w:name="_Toc38443926"/>
      <w:bookmarkStart w:id="1169" w:name="_Toc38438394"/>
      <w:bookmarkStart w:id="1170" w:name="_Toc38438731"/>
      <w:bookmarkStart w:id="1171" w:name="_Toc38439068"/>
      <w:bookmarkStart w:id="1172" w:name="_Toc38439405"/>
      <w:bookmarkStart w:id="1173" w:name="_Toc38439742"/>
      <w:bookmarkStart w:id="1174" w:name="_Toc38440079"/>
      <w:bookmarkStart w:id="1175" w:name="_Toc38440416"/>
      <w:bookmarkStart w:id="1176" w:name="_Toc38440948"/>
      <w:bookmarkStart w:id="1177" w:name="_Toc38441280"/>
      <w:bookmarkStart w:id="1178" w:name="_Toc38441612"/>
      <w:bookmarkStart w:id="1179" w:name="_Toc38441940"/>
      <w:bookmarkStart w:id="1180" w:name="_Toc38442272"/>
      <w:bookmarkStart w:id="1181" w:name="_Toc38442604"/>
      <w:bookmarkStart w:id="1182" w:name="_Toc38442935"/>
      <w:bookmarkStart w:id="1183" w:name="_Toc38443266"/>
      <w:bookmarkStart w:id="1184" w:name="_Toc38443597"/>
      <w:bookmarkStart w:id="1185" w:name="_Toc38443927"/>
      <w:bookmarkStart w:id="1186" w:name="_Toc38438395"/>
      <w:bookmarkStart w:id="1187" w:name="_Toc38438732"/>
      <w:bookmarkStart w:id="1188" w:name="_Toc38439069"/>
      <w:bookmarkStart w:id="1189" w:name="_Toc38439406"/>
      <w:bookmarkStart w:id="1190" w:name="_Toc38439743"/>
      <w:bookmarkStart w:id="1191" w:name="_Toc38440080"/>
      <w:bookmarkStart w:id="1192" w:name="_Toc38440417"/>
      <w:bookmarkStart w:id="1193" w:name="_Toc38440949"/>
      <w:bookmarkStart w:id="1194" w:name="_Toc38441281"/>
      <w:bookmarkStart w:id="1195" w:name="_Toc38441613"/>
      <w:bookmarkStart w:id="1196" w:name="_Toc38441941"/>
      <w:bookmarkStart w:id="1197" w:name="_Toc38442273"/>
      <w:bookmarkStart w:id="1198" w:name="_Toc38442605"/>
      <w:bookmarkStart w:id="1199" w:name="_Toc38442936"/>
      <w:bookmarkStart w:id="1200" w:name="_Toc38443267"/>
      <w:bookmarkStart w:id="1201" w:name="_Toc38443598"/>
      <w:bookmarkStart w:id="1202" w:name="_Toc38443928"/>
      <w:bookmarkStart w:id="1203" w:name="_Toc38438396"/>
      <w:bookmarkStart w:id="1204" w:name="_Toc38438733"/>
      <w:bookmarkStart w:id="1205" w:name="_Toc38439070"/>
      <w:bookmarkStart w:id="1206" w:name="_Toc38439407"/>
      <w:bookmarkStart w:id="1207" w:name="_Toc38439744"/>
      <w:bookmarkStart w:id="1208" w:name="_Toc38440081"/>
      <w:bookmarkStart w:id="1209" w:name="_Toc38440418"/>
      <w:bookmarkStart w:id="1210" w:name="_Toc38440950"/>
      <w:bookmarkStart w:id="1211" w:name="_Toc38441282"/>
      <w:bookmarkStart w:id="1212" w:name="_Toc38441614"/>
      <w:bookmarkStart w:id="1213" w:name="_Toc38441942"/>
      <w:bookmarkStart w:id="1214" w:name="_Toc38442274"/>
      <w:bookmarkStart w:id="1215" w:name="_Toc38442606"/>
      <w:bookmarkStart w:id="1216" w:name="_Toc38442937"/>
      <w:bookmarkStart w:id="1217" w:name="_Toc38443268"/>
      <w:bookmarkStart w:id="1218" w:name="_Toc38443599"/>
      <w:bookmarkStart w:id="1219" w:name="_Toc38443929"/>
      <w:bookmarkStart w:id="1220" w:name="_Toc38438397"/>
      <w:bookmarkStart w:id="1221" w:name="_Toc38438734"/>
      <w:bookmarkStart w:id="1222" w:name="_Toc38439071"/>
      <w:bookmarkStart w:id="1223" w:name="_Toc38439408"/>
      <w:bookmarkStart w:id="1224" w:name="_Toc38439745"/>
      <w:bookmarkStart w:id="1225" w:name="_Toc38440082"/>
      <w:bookmarkStart w:id="1226" w:name="_Toc38440419"/>
      <w:bookmarkStart w:id="1227" w:name="_Toc38440951"/>
      <w:bookmarkStart w:id="1228" w:name="_Toc38441283"/>
      <w:bookmarkStart w:id="1229" w:name="_Toc38441615"/>
      <w:bookmarkStart w:id="1230" w:name="_Toc38441943"/>
      <w:bookmarkStart w:id="1231" w:name="_Toc38442275"/>
      <w:bookmarkStart w:id="1232" w:name="_Toc38442607"/>
      <w:bookmarkStart w:id="1233" w:name="_Toc38442938"/>
      <w:bookmarkStart w:id="1234" w:name="_Toc38443269"/>
      <w:bookmarkStart w:id="1235" w:name="_Toc38443600"/>
      <w:bookmarkStart w:id="1236" w:name="_Toc38443930"/>
      <w:bookmarkStart w:id="1237" w:name="_Toc38438398"/>
      <w:bookmarkStart w:id="1238" w:name="_Toc38438735"/>
      <w:bookmarkStart w:id="1239" w:name="_Toc38439072"/>
      <w:bookmarkStart w:id="1240" w:name="_Toc38439409"/>
      <w:bookmarkStart w:id="1241" w:name="_Toc38439746"/>
      <w:bookmarkStart w:id="1242" w:name="_Toc38440083"/>
      <w:bookmarkStart w:id="1243" w:name="_Toc38440420"/>
      <w:bookmarkStart w:id="1244" w:name="_Toc38440952"/>
      <w:bookmarkStart w:id="1245" w:name="_Toc38441284"/>
      <w:bookmarkStart w:id="1246" w:name="_Toc38441616"/>
      <w:bookmarkStart w:id="1247" w:name="_Toc38441944"/>
      <w:bookmarkStart w:id="1248" w:name="_Toc38442276"/>
      <w:bookmarkStart w:id="1249" w:name="_Toc38442608"/>
      <w:bookmarkStart w:id="1250" w:name="_Toc38442939"/>
      <w:bookmarkStart w:id="1251" w:name="_Toc38443270"/>
      <w:bookmarkStart w:id="1252" w:name="_Toc38443601"/>
      <w:bookmarkStart w:id="1253" w:name="_Toc38443931"/>
      <w:bookmarkStart w:id="1254" w:name="_Toc38438400"/>
      <w:bookmarkStart w:id="1255" w:name="_Toc38438737"/>
      <w:bookmarkStart w:id="1256" w:name="_Toc38439074"/>
      <w:bookmarkStart w:id="1257" w:name="_Toc38439411"/>
      <w:bookmarkStart w:id="1258" w:name="_Toc38439748"/>
      <w:bookmarkStart w:id="1259" w:name="_Toc38440085"/>
      <w:bookmarkStart w:id="1260" w:name="_Toc38440422"/>
      <w:bookmarkStart w:id="1261" w:name="_Toc38440954"/>
      <w:bookmarkStart w:id="1262" w:name="_Toc38441286"/>
      <w:bookmarkStart w:id="1263" w:name="_Toc38441618"/>
      <w:bookmarkStart w:id="1264" w:name="_Toc38441946"/>
      <w:bookmarkStart w:id="1265" w:name="_Toc38442278"/>
      <w:bookmarkStart w:id="1266" w:name="_Toc38442610"/>
      <w:bookmarkStart w:id="1267" w:name="_Toc38442941"/>
      <w:bookmarkStart w:id="1268" w:name="_Toc38443272"/>
      <w:bookmarkStart w:id="1269" w:name="_Toc38443603"/>
      <w:bookmarkStart w:id="1270" w:name="_Toc38443933"/>
      <w:bookmarkStart w:id="1271" w:name="_Toc38438401"/>
      <w:bookmarkStart w:id="1272" w:name="_Toc38438738"/>
      <w:bookmarkStart w:id="1273" w:name="_Toc38439075"/>
      <w:bookmarkStart w:id="1274" w:name="_Toc38439412"/>
      <w:bookmarkStart w:id="1275" w:name="_Toc38439749"/>
      <w:bookmarkStart w:id="1276" w:name="_Toc38440086"/>
      <w:bookmarkStart w:id="1277" w:name="_Toc38440423"/>
      <w:bookmarkStart w:id="1278" w:name="_Toc38440955"/>
      <w:bookmarkStart w:id="1279" w:name="_Toc38441287"/>
      <w:bookmarkStart w:id="1280" w:name="_Toc38441619"/>
      <w:bookmarkStart w:id="1281" w:name="_Toc38441947"/>
      <w:bookmarkStart w:id="1282" w:name="_Toc38442279"/>
      <w:bookmarkStart w:id="1283" w:name="_Toc38442611"/>
      <w:bookmarkStart w:id="1284" w:name="_Toc38442942"/>
      <w:bookmarkStart w:id="1285" w:name="_Toc38443273"/>
      <w:bookmarkStart w:id="1286" w:name="_Toc38443604"/>
      <w:bookmarkStart w:id="1287" w:name="_Toc38443934"/>
      <w:bookmarkStart w:id="1288" w:name="_Toc38438402"/>
      <w:bookmarkStart w:id="1289" w:name="_Toc38438739"/>
      <w:bookmarkStart w:id="1290" w:name="_Toc38439076"/>
      <w:bookmarkStart w:id="1291" w:name="_Toc38439413"/>
      <w:bookmarkStart w:id="1292" w:name="_Toc38439750"/>
      <w:bookmarkStart w:id="1293" w:name="_Toc38440087"/>
      <w:bookmarkStart w:id="1294" w:name="_Toc38440424"/>
      <w:bookmarkStart w:id="1295" w:name="_Toc38440956"/>
      <w:bookmarkStart w:id="1296" w:name="_Toc38441288"/>
      <w:bookmarkStart w:id="1297" w:name="_Toc38441620"/>
      <w:bookmarkStart w:id="1298" w:name="_Toc38441948"/>
      <w:bookmarkStart w:id="1299" w:name="_Toc38442280"/>
      <w:bookmarkStart w:id="1300" w:name="_Toc38442612"/>
      <w:bookmarkStart w:id="1301" w:name="_Toc38442943"/>
      <w:bookmarkStart w:id="1302" w:name="_Toc38443274"/>
      <w:bookmarkStart w:id="1303" w:name="_Toc38443605"/>
      <w:bookmarkStart w:id="1304" w:name="_Toc38443935"/>
      <w:bookmarkStart w:id="1305" w:name="_Toc38438404"/>
      <w:bookmarkStart w:id="1306" w:name="_Toc38438741"/>
      <w:bookmarkStart w:id="1307" w:name="_Toc38439078"/>
      <w:bookmarkStart w:id="1308" w:name="_Toc38439415"/>
      <w:bookmarkStart w:id="1309" w:name="_Toc38439752"/>
      <w:bookmarkStart w:id="1310" w:name="_Toc38440089"/>
      <w:bookmarkStart w:id="1311" w:name="_Toc38440426"/>
      <w:bookmarkStart w:id="1312" w:name="_Toc38440958"/>
      <w:bookmarkStart w:id="1313" w:name="_Toc38441290"/>
      <w:bookmarkStart w:id="1314" w:name="_Toc38441622"/>
      <w:bookmarkStart w:id="1315" w:name="_Toc38441950"/>
      <w:bookmarkStart w:id="1316" w:name="_Toc38442282"/>
      <w:bookmarkStart w:id="1317" w:name="_Toc38442614"/>
      <w:bookmarkStart w:id="1318" w:name="_Toc38442945"/>
      <w:bookmarkStart w:id="1319" w:name="_Toc38443276"/>
      <w:bookmarkStart w:id="1320" w:name="_Toc38443607"/>
      <w:bookmarkStart w:id="1321" w:name="_Toc38443937"/>
      <w:bookmarkStart w:id="1322" w:name="_Toc38438405"/>
      <w:bookmarkStart w:id="1323" w:name="_Toc38438742"/>
      <w:bookmarkStart w:id="1324" w:name="_Toc38439079"/>
      <w:bookmarkStart w:id="1325" w:name="_Toc38439416"/>
      <w:bookmarkStart w:id="1326" w:name="_Toc38439753"/>
      <w:bookmarkStart w:id="1327" w:name="_Toc38440090"/>
      <w:bookmarkStart w:id="1328" w:name="_Toc38440427"/>
      <w:bookmarkStart w:id="1329" w:name="_Toc38440959"/>
      <w:bookmarkStart w:id="1330" w:name="_Toc38441291"/>
      <w:bookmarkStart w:id="1331" w:name="_Toc38441623"/>
      <w:bookmarkStart w:id="1332" w:name="_Toc38441951"/>
      <w:bookmarkStart w:id="1333" w:name="_Toc38442283"/>
      <w:bookmarkStart w:id="1334" w:name="_Toc38442615"/>
      <w:bookmarkStart w:id="1335" w:name="_Toc38442946"/>
      <w:bookmarkStart w:id="1336" w:name="_Toc38443277"/>
      <w:bookmarkStart w:id="1337" w:name="_Toc38443608"/>
      <w:bookmarkStart w:id="1338" w:name="_Toc38443938"/>
      <w:bookmarkStart w:id="1339" w:name="_Toc38438406"/>
      <w:bookmarkStart w:id="1340" w:name="_Toc38438743"/>
      <w:bookmarkStart w:id="1341" w:name="_Toc38439080"/>
      <w:bookmarkStart w:id="1342" w:name="_Toc38439417"/>
      <w:bookmarkStart w:id="1343" w:name="_Toc38439754"/>
      <w:bookmarkStart w:id="1344" w:name="_Toc38440091"/>
      <w:bookmarkStart w:id="1345" w:name="_Toc38440428"/>
      <w:bookmarkStart w:id="1346" w:name="_Toc38440960"/>
      <w:bookmarkStart w:id="1347" w:name="_Toc38441292"/>
      <w:bookmarkStart w:id="1348" w:name="_Toc38441624"/>
      <w:bookmarkStart w:id="1349" w:name="_Toc38441952"/>
      <w:bookmarkStart w:id="1350" w:name="_Toc38442284"/>
      <w:bookmarkStart w:id="1351" w:name="_Toc38442616"/>
      <w:bookmarkStart w:id="1352" w:name="_Toc38442947"/>
      <w:bookmarkStart w:id="1353" w:name="_Toc38443278"/>
      <w:bookmarkStart w:id="1354" w:name="_Toc38443609"/>
      <w:bookmarkStart w:id="1355" w:name="_Toc38443939"/>
      <w:bookmarkStart w:id="1356" w:name="_Toc38438407"/>
      <w:bookmarkStart w:id="1357" w:name="_Toc38438744"/>
      <w:bookmarkStart w:id="1358" w:name="_Toc38439081"/>
      <w:bookmarkStart w:id="1359" w:name="_Toc38439418"/>
      <w:bookmarkStart w:id="1360" w:name="_Toc38439755"/>
      <w:bookmarkStart w:id="1361" w:name="_Toc38440092"/>
      <w:bookmarkStart w:id="1362" w:name="_Toc38440429"/>
      <w:bookmarkStart w:id="1363" w:name="_Toc38440961"/>
      <w:bookmarkStart w:id="1364" w:name="_Toc38441293"/>
      <w:bookmarkStart w:id="1365" w:name="_Toc38441625"/>
      <w:bookmarkStart w:id="1366" w:name="_Toc38441953"/>
      <w:bookmarkStart w:id="1367" w:name="_Toc38442285"/>
      <w:bookmarkStart w:id="1368" w:name="_Toc38442617"/>
      <w:bookmarkStart w:id="1369" w:name="_Toc38442948"/>
      <w:bookmarkStart w:id="1370" w:name="_Toc38443279"/>
      <w:bookmarkStart w:id="1371" w:name="_Toc38443610"/>
      <w:bookmarkStart w:id="1372" w:name="_Toc38443940"/>
      <w:bookmarkStart w:id="1373" w:name="_Toc38438408"/>
      <w:bookmarkStart w:id="1374" w:name="_Toc38438745"/>
      <w:bookmarkStart w:id="1375" w:name="_Toc38439082"/>
      <w:bookmarkStart w:id="1376" w:name="_Toc38439419"/>
      <w:bookmarkStart w:id="1377" w:name="_Toc38439756"/>
      <w:bookmarkStart w:id="1378" w:name="_Toc38440093"/>
      <w:bookmarkStart w:id="1379" w:name="_Toc38440430"/>
      <w:bookmarkStart w:id="1380" w:name="_Toc38440962"/>
      <w:bookmarkStart w:id="1381" w:name="_Toc38441294"/>
      <w:bookmarkStart w:id="1382" w:name="_Toc38441626"/>
      <w:bookmarkStart w:id="1383" w:name="_Toc38441954"/>
      <w:bookmarkStart w:id="1384" w:name="_Toc38442286"/>
      <w:bookmarkStart w:id="1385" w:name="_Toc38442618"/>
      <w:bookmarkStart w:id="1386" w:name="_Toc38442949"/>
      <w:bookmarkStart w:id="1387" w:name="_Toc38443280"/>
      <w:bookmarkStart w:id="1388" w:name="_Toc38443611"/>
      <w:bookmarkStart w:id="1389" w:name="_Toc38443941"/>
      <w:bookmarkStart w:id="1390" w:name="_Toc38438409"/>
      <w:bookmarkStart w:id="1391" w:name="_Toc38438746"/>
      <w:bookmarkStart w:id="1392" w:name="_Toc38439083"/>
      <w:bookmarkStart w:id="1393" w:name="_Toc38439420"/>
      <w:bookmarkStart w:id="1394" w:name="_Toc38439757"/>
      <w:bookmarkStart w:id="1395" w:name="_Toc38440094"/>
      <w:bookmarkStart w:id="1396" w:name="_Toc38440431"/>
      <w:bookmarkStart w:id="1397" w:name="_Toc38440963"/>
      <w:bookmarkStart w:id="1398" w:name="_Toc38441295"/>
      <w:bookmarkStart w:id="1399" w:name="_Toc38441627"/>
      <w:bookmarkStart w:id="1400" w:name="_Toc38441955"/>
      <w:bookmarkStart w:id="1401" w:name="_Toc38442287"/>
      <w:bookmarkStart w:id="1402" w:name="_Toc38442619"/>
      <w:bookmarkStart w:id="1403" w:name="_Toc38442950"/>
      <w:bookmarkStart w:id="1404" w:name="_Toc38443281"/>
      <w:bookmarkStart w:id="1405" w:name="_Toc38443612"/>
      <w:bookmarkStart w:id="1406" w:name="_Toc38443942"/>
      <w:bookmarkStart w:id="1407" w:name="_Toc38438410"/>
      <w:bookmarkStart w:id="1408" w:name="_Toc38438747"/>
      <w:bookmarkStart w:id="1409" w:name="_Toc38439084"/>
      <w:bookmarkStart w:id="1410" w:name="_Toc38439421"/>
      <w:bookmarkStart w:id="1411" w:name="_Toc38439758"/>
      <w:bookmarkStart w:id="1412" w:name="_Toc38440095"/>
      <w:bookmarkStart w:id="1413" w:name="_Toc38440432"/>
      <w:bookmarkStart w:id="1414" w:name="_Toc38440964"/>
      <w:bookmarkStart w:id="1415" w:name="_Toc38441296"/>
      <w:bookmarkStart w:id="1416" w:name="_Toc38441628"/>
      <w:bookmarkStart w:id="1417" w:name="_Toc38441956"/>
      <w:bookmarkStart w:id="1418" w:name="_Toc38442288"/>
      <w:bookmarkStart w:id="1419" w:name="_Toc38442620"/>
      <w:bookmarkStart w:id="1420" w:name="_Toc38442951"/>
      <w:bookmarkStart w:id="1421" w:name="_Toc38443282"/>
      <w:bookmarkStart w:id="1422" w:name="_Toc38443613"/>
      <w:bookmarkStart w:id="1423" w:name="_Toc38443943"/>
      <w:bookmarkStart w:id="1424" w:name="_Toc38438411"/>
      <w:bookmarkStart w:id="1425" w:name="_Toc38438748"/>
      <w:bookmarkStart w:id="1426" w:name="_Toc38439085"/>
      <w:bookmarkStart w:id="1427" w:name="_Toc38439422"/>
      <w:bookmarkStart w:id="1428" w:name="_Toc38439759"/>
      <w:bookmarkStart w:id="1429" w:name="_Toc38440096"/>
      <w:bookmarkStart w:id="1430" w:name="_Toc38440433"/>
      <w:bookmarkStart w:id="1431" w:name="_Toc38440965"/>
      <w:bookmarkStart w:id="1432" w:name="_Toc38441297"/>
      <w:bookmarkStart w:id="1433" w:name="_Toc38441629"/>
      <w:bookmarkStart w:id="1434" w:name="_Toc38441957"/>
      <w:bookmarkStart w:id="1435" w:name="_Toc38442289"/>
      <w:bookmarkStart w:id="1436" w:name="_Toc38442621"/>
      <w:bookmarkStart w:id="1437" w:name="_Toc38442952"/>
      <w:bookmarkStart w:id="1438" w:name="_Toc38443283"/>
      <w:bookmarkStart w:id="1439" w:name="_Toc38443614"/>
      <w:bookmarkStart w:id="1440" w:name="_Toc38443944"/>
      <w:bookmarkStart w:id="1441" w:name="_Toc38438412"/>
      <w:bookmarkStart w:id="1442" w:name="_Toc38438749"/>
      <w:bookmarkStart w:id="1443" w:name="_Toc38439086"/>
      <w:bookmarkStart w:id="1444" w:name="_Toc38439423"/>
      <w:bookmarkStart w:id="1445" w:name="_Toc38439760"/>
      <w:bookmarkStart w:id="1446" w:name="_Toc38440097"/>
      <w:bookmarkStart w:id="1447" w:name="_Toc38440434"/>
      <w:bookmarkStart w:id="1448" w:name="_Toc38440966"/>
      <w:bookmarkStart w:id="1449" w:name="_Toc38441298"/>
      <w:bookmarkStart w:id="1450" w:name="_Toc38441630"/>
      <w:bookmarkStart w:id="1451" w:name="_Toc38441958"/>
      <w:bookmarkStart w:id="1452" w:name="_Toc38442290"/>
      <w:bookmarkStart w:id="1453" w:name="_Toc38442622"/>
      <w:bookmarkStart w:id="1454" w:name="_Toc38442953"/>
      <w:bookmarkStart w:id="1455" w:name="_Toc38443284"/>
      <w:bookmarkStart w:id="1456" w:name="_Toc38443615"/>
      <w:bookmarkStart w:id="1457" w:name="_Toc38443945"/>
      <w:bookmarkStart w:id="1458" w:name="_Toc38438413"/>
      <w:bookmarkStart w:id="1459" w:name="_Toc38438750"/>
      <w:bookmarkStart w:id="1460" w:name="_Toc38439087"/>
      <w:bookmarkStart w:id="1461" w:name="_Toc38439424"/>
      <w:bookmarkStart w:id="1462" w:name="_Toc38439761"/>
      <w:bookmarkStart w:id="1463" w:name="_Toc38440098"/>
      <w:bookmarkStart w:id="1464" w:name="_Toc38440435"/>
      <w:bookmarkStart w:id="1465" w:name="_Toc38440967"/>
      <w:bookmarkStart w:id="1466" w:name="_Toc38441299"/>
      <w:bookmarkStart w:id="1467" w:name="_Toc38441631"/>
      <w:bookmarkStart w:id="1468" w:name="_Toc38441959"/>
      <w:bookmarkStart w:id="1469" w:name="_Toc38442291"/>
      <w:bookmarkStart w:id="1470" w:name="_Toc38442623"/>
      <w:bookmarkStart w:id="1471" w:name="_Toc38442954"/>
      <w:bookmarkStart w:id="1472" w:name="_Toc38443285"/>
      <w:bookmarkStart w:id="1473" w:name="_Toc38443616"/>
      <w:bookmarkStart w:id="1474" w:name="_Toc38443946"/>
      <w:bookmarkStart w:id="1475" w:name="_Toc38438414"/>
      <w:bookmarkStart w:id="1476" w:name="_Toc38438751"/>
      <w:bookmarkStart w:id="1477" w:name="_Toc38439088"/>
      <w:bookmarkStart w:id="1478" w:name="_Toc38439425"/>
      <w:bookmarkStart w:id="1479" w:name="_Toc38439762"/>
      <w:bookmarkStart w:id="1480" w:name="_Toc38440099"/>
      <w:bookmarkStart w:id="1481" w:name="_Toc38440436"/>
      <w:bookmarkStart w:id="1482" w:name="_Toc38440968"/>
      <w:bookmarkStart w:id="1483" w:name="_Toc38441300"/>
      <w:bookmarkStart w:id="1484" w:name="_Toc38441632"/>
      <w:bookmarkStart w:id="1485" w:name="_Toc38441960"/>
      <w:bookmarkStart w:id="1486" w:name="_Toc38442292"/>
      <w:bookmarkStart w:id="1487" w:name="_Toc38442624"/>
      <w:bookmarkStart w:id="1488" w:name="_Toc38442955"/>
      <w:bookmarkStart w:id="1489" w:name="_Toc38443286"/>
      <w:bookmarkStart w:id="1490" w:name="_Toc38443617"/>
      <w:bookmarkStart w:id="1491" w:name="_Toc38443947"/>
      <w:bookmarkStart w:id="1492" w:name="_Toc38438415"/>
      <w:bookmarkStart w:id="1493" w:name="_Toc38438752"/>
      <w:bookmarkStart w:id="1494" w:name="_Toc38439089"/>
      <w:bookmarkStart w:id="1495" w:name="_Toc38439426"/>
      <w:bookmarkStart w:id="1496" w:name="_Toc38439763"/>
      <w:bookmarkStart w:id="1497" w:name="_Toc38440100"/>
      <w:bookmarkStart w:id="1498" w:name="_Toc38440437"/>
      <w:bookmarkStart w:id="1499" w:name="_Toc38440969"/>
      <w:bookmarkStart w:id="1500" w:name="_Toc38441301"/>
      <w:bookmarkStart w:id="1501" w:name="_Toc38441633"/>
      <w:bookmarkStart w:id="1502" w:name="_Toc38441961"/>
      <w:bookmarkStart w:id="1503" w:name="_Toc38442293"/>
      <w:bookmarkStart w:id="1504" w:name="_Toc38442625"/>
      <w:bookmarkStart w:id="1505" w:name="_Toc38442956"/>
      <w:bookmarkStart w:id="1506" w:name="_Toc38443287"/>
      <w:bookmarkStart w:id="1507" w:name="_Toc38443618"/>
      <w:bookmarkStart w:id="1508" w:name="_Toc38443948"/>
      <w:bookmarkStart w:id="1509" w:name="_Toc38438416"/>
      <w:bookmarkStart w:id="1510" w:name="_Toc38438753"/>
      <w:bookmarkStart w:id="1511" w:name="_Toc38439090"/>
      <w:bookmarkStart w:id="1512" w:name="_Toc38439427"/>
      <w:bookmarkStart w:id="1513" w:name="_Toc38439764"/>
      <w:bookmarkStart w:id="1514" w:name="_Toc38440101"/>
      <w:bookmarkStart w:id="1515" w:name="_Toc38440438"/>
      <w:bookmarkStart w:id="1516" w:name="_Toc38440970"/>
      <w:bookmarkStart w:id="1517" w:name="_Toc38441302"/>
      <w:bookmarkStart w:id="1518" w:name="_Toc38441634"/>
      <w:bookmarkStart w:id="1519" w:name="_Toc38441962"/>
      <w:bookmarkStart w:id="1520" w:name="_Toc38442294"/>
      <w:bookmarkStart w:id="1521" w:name="_Toc38442626"/>
      <w:bookmarkStart w:id="1522" w:name="_Toc38442957"/>
      <w:bookmarkStart w:id="1523" w:name="_Toc38443288"/>
      <w:bookmarkStart w:id="1524" w:name="_Toc38443619"/>
      <w:bookmarkStart w:id="1525" w:name="_Toc38443949"/>
      <w:bookmarkStart w:id="1526" w:name="_Toc38438417"/>
      <w:bookmarkStart w:id="1527" w:name="_Toc38438754"/>
      <w:bookmarkStart w:id="1528" w:name="_Toc38439091"/>
      <w:bookmarkStart w:id="1529" w:name="_Toc38439428"/>
      <w:bookmarkStart w:id="1530" w:name="_Toc38439765"/>
      <w:bookmarkStart w:id="1531" w:name="_Toc38440102"/>
      <w:bookmarkStart w:id="1532" w:name="_Toc38440439"/>
      <w:bookmarkStart w:id="1533" w:name="_Toc38440971"/>
      <w:bookmarkStart w:id="1534" w:name="_Toc38441303"/>
      <w:bookmarkStart w:id="1535" w:name="_Toc38441635"/>
      <w:bookmarkStart w:id="1536" w:name="_Toc38441963"/>
      <w:bookmarkStart w:id="1537" w:name="_Toc38442295"/>
      <w:bookmarkStart w:id="1538" w:name="_Toc38442627"/>
      <w:bookmarkStart w:id="1539" w:name="_Toc38442958"/>
      <w:bookmarkStart w:id="1540" w:name="_Toc38443289"/>
      <w:bookmarkStart w:id="1541" w:name="_Toc38443620"/>
      <w:bookmarkStart w:id="1542" w:name="_Toc38443950"/>
      <w:bookmarkStart w:id="1543" w:name="_Toc38438418"/>
      <w:bookmarkStart w:id="1544" w:name="_Toc38438755"/>
      <w:bookmarkStart w:id="1545" w:name="_Toc38439092"/>
      <w:bookmarkStart w:id="1546" w:name="_Toc38439429"/>
      <w:bookmarkStart w:id="1547" w:name="_Toc38439766"/>
      <w:bookmarkStart w:id="1548" w:name="_Toc38440103"/>
      <w:bookmarkStart w:id="1549" w:name="_Toc38440440"/>
      <w:bookmarkStart w:id="1550" w:name="_Toc38440972"/>
      <w:bookmarkStart w:id="1551" w:name="_Toc38441304"/>
      <w:bookmarkStart w:id="1552" w:name="_Toc38441636"/>
      <w:bookmarkStart w:id="1553" w:name="_Toc38441964"/>
      <w:bookmarkStart w:id="1554" w:name="_Toc38442296"/>
      <w:bookmarkStart w:id="1555" w:name="_Toc38442628"/>
      <w:bookmarkStart w:id="1556" w:name="_Toc38442959"/>
      <w:bookmarkStart w:id="1557" w:name="_Toc38443290"/>
      <w:bookmarkStart w:id="1558" w:name="_Toc38443621"/>
      <w:bookmarkStart w:id="1559" w:name="_Toc38443951"/>
      <w:bookmarkStart w:id="1560" w:name="_Toc38438419"/>
      <w:bookmarkStart w:id="1561" w:name="_Toc38438756"/>
      <w:bookmarkStart w:id="1562" w:name="_Toc38439093"/>
      <w:bookmarkStart w:id="1563" w:name="_Toc38439430"/>
      <w:bookmarkStart w:id="1564" w:name="_Toc38439767"/>
      <w:bookmarkStart w:id="1565" w:name="_Toc38440104"/>
      <w:bookmarkStart w:id="1566" w:name="_Toc38440441"/>
      <w:bookmarkStart w:id="1567" w:name="_Toc38440973"/>
      <w:bookmarkStart w:id="1568" w:name="_Toc38441305"/>
      <w:bookmarkStart w:id="1569" w:name="_Toc38441637"/>
      <w:bookmarkStart w:id="1570" w:name="_Toc38441965"/>
      <w:bookmarkStart w:id="1571" w:name="_Toc38442297"/>
      <w:bookmarkStart w:id="1572" w:name="_Toc38442629"/>
      <w:bookmarkStart w:id="1573" w:name="_Toc38442960"/>
      <w:bookmarkStart w:id="1574" w:name="_Toc38443291"/>
      <w:bookmarkStart w:id="1575" w:name="_Toc38443622"/>
      <w:bookmarkStart w:id="1576" w:name="_Toc38443952"/>
      <w:bookmarkStart w:id="1577" w:name="_Toc38438420"/>
      <w:bookmarkStart w:id="1578" w:name="_Toc38438757"/>
      <w:bookmarkStart w:id="1579" w:name="_Toc38439094"/>
      <w:bookmarkStart w:id="1580" w:name="_Toc38439431"/>
      <w:bookmarkStart w:id="1581" w:name="_Toc38439768"/>
      <w:bookmarkStart w:id="1582" w:name="_Toc38440105"/>
      <w:bookmarkStart w:id="1583" w:name="_Toc38440442"/>
      <w:bookmarkStart w:id="1584" w:name="_Toc38440974"/>
      <w:bookmarkStart w:id="1585" w:name="_Toc38441306"/>
      <w:bookmarkStart w:id="1586" w:name="_Toc38441638"/>
      <w:bookmarkStart w:id="1587" w:name="_Toc38441966"/>
      <w:bookmarkStart w:id="1588" w:name="_Toc38442298"/>
      <w:bookmarkStart w:id="1589" w:name="_Toc38442630"/>
      <w:bookmarkStart w:id="1590" w:name="_Toc38442961"/>
      <w:bookmarkStart w:id="1591" w:name="_Toc38443292"/>
      <w:bookmarkStart w:id="1592" w:name="_Toc38443623"/>
      <w:bookmarkStart w:id="1593" w:name="_Toc38443953"/>
      <w:bookmarkStart w:id="1594" w:name="_Toc38438421"/>
      <w:bookmarkStart w:id="1595" w:name="_Toc38438758"/>
      <w:bookmarkStart w:id="1596" w:name="_Toc38439095"/>
      <w:bookmarkStart w:id="1597" w:name="_Toc38439432"/>
      <w:bookmarkStart w:id="1598" w:name="_Toc38439769"/>
      <w:bookmarkStart w:id="1599" w:name="_Toc38440106"/>
      <w:bookmarkStart w:id="1600" w:name="_Toc38440443"/>
      <w:bookmarkStart w:id="1601" w:name="_Toc38440975"/>
      <w:bookmarkStart w:id="1602" w:name="_Toc38441307"/>
      <w:bookmarkStart w:id="1603" w:name="_Toc38441639"/>
      <w:bookmarkStart w:id="1604" w:name="_Toc38441967"/>
      <w:bookmarkStart w:id="1605" w:name="_Toc38442299"/>
      <w:bookmarkStart w:id="1606" w:name="_Toc38442631"/>
      <w:bookmarkStart w:id="1607" w:name="_Toc38442962"/>
      <w:bookmarkStart w:id="1608" w:name="_Toc38443293"/>
      <w:bookmarkStart w:id="1609" w:name="_Toc38443624"/>
      <w:bookmarkStart w:id="1610" w:name="_Toc38443954"/>
      <w:bookmarkStart w:id="1611" w:name="_Toc38438422"/>
      <w:bookmarkStart w:id="1612" w:name="_Toc38438759"/>
      <w:bookmarkStart w:id="1613" w:name="_Toc38439096"/>
      <w:bookmarkStart w:id="1614" w:name="_Toc38439433"/>
      <w:bookmarkStart w:id="1615" w:name="_Toc38439770"/>
      <w:bookmarkStart w:id="1616" w:name="_Toc38440107"/>
      <w:bookmarkStart w:id="1617" w:name="_Toc38440444"/>
      <w:bookmarkStart w:id="1618" w:name="_Toc38440976"/>
      <w:bookmarkStart w:id="1619" w:name="_Toc38441308"/>
      <w:bookmarkStart w:id="1620" w:name="_Toc38441640"/>
      <w:bookmarkStart w:id="1621" w:name="_Toc38441968"/>
      <w:bookmarkStart w:id="1622" w:name="_Toc38442300"/>
      <w:bookmarkStart w:id="1623" w:name="_Toc38442632"/>
      <w:bookmarkStart w:id="1624" w:name="_Toc38442963"/>
      <w:bookmarkStart w:id="1625" w:name="_Toc38443294"/>
      <w:bookmarkStart w:id="1626" w:name="_Toc38443625"/>
      <w:bookmarkStart w:id="1627" w:name="_Toc38443955"/>
      <w:bookmarkStart w:id="1628" w:name="_Toc38438423"/>
      <w:bookmarkStart w:id="1629" w:name="_Toc38438760"/>
      <w:bookmarkStart w:id="1630" w:name="_Toc38439097"/>
      <w:bookmarkStart w:id="1631" w:name="_Toc38439434"/>
      <w:bookmarkStart w:id="1632" w:name="_Toc38439771"/>
      <w:bookmarkStart w:id="1633" w:name="_Toc38440108"/>
      <w:bookmarkStart w:id="1634" w:name="_Toc38440445"/>
      <w:bookmarkStart w:id="1635" w:name="_Toc38440977"/>
      <w:bookmarkStart w:id="1636" w:name="_Toc38441309"/>
      <w:bookmarkStart w:id="1637" w:name="_Toc38441641"/>
      <w:bookmarkStart w:id="1638" w:name="_Toc38441969"/>
      <w:bookmarkStart w:id="1639" w:name="_Toc38442301"/>
      <w:bookmarkStart w:id="1640" w:name="_Toc38442633"/>
      <w:bookmarkStart w:id="1641" w:name="_Toc38442964"/>
      <w:bookmarkStart w:id="1642" w:name="_Toc38443295"/>
      <w:bookmarkStart w:id="1643" w:name="_Toc38443626"/>
      <w:bookmarkStart w:id="1644" w:name="_Toc38443956"/>
      <w:bookmarkStart w:id="1645" w:name="_Toc38438424"/>
      <w:bookmarkStart w:id="1646" w:name="_Toc38438761"/>
      <w:bookmarkStart w:id="1647" w:name="_Toc38439098"/>
      <w:bookmarkStart w:id="1648" w:name="_Toc38439435"/>
      <w:bookmarkStart w:id="1649" w:name="_Toc38439772"/>
      <w:bookmarkStart w:id="1650" w:name="_Toc38440109"/>
      <w:bookmarkStart w:id="1651" w:name="_Toc38440446"/>
      <w:bookmarkStart w:id="1652" w:name="_Toc38440978"/>
      <w:bookmarkStart w:id="1653" w:name="_Toc38441310"/>
      <w:bookmarkStart w:id="1654" w:name="_Toc38441642"/>
      <w:bookmarkStart w:id="1655" w:name="_Toc38441970"/>
      <w:bookmarkStart w:id="1656" w:name="_Toc38442302"/>
      <w:bookmarkStart w:id="1657" w:name="_Toc38442634"/>
      <w:bookmarkStart w:id="1658" w:name="_Toc38442965"/>
      <w:bookmarkStart w:id="1659" w:name="_Toc38443296"/>
      <w:bookmarkStart w:id="1660" w:name="_Toc38443627"/>
      <w:bookmarkStart w:id="1661" w:name="_Toc38443957"/>
      <w:bookmarkStart w:id="1662" w:name="_Toc38438425"/>
      <w:bookmarkStart w:id="1663" w:name="_Toc38438762"/>
      <w:bookmarkStart w:id="1664" w:name="_Toc38439099"/>
      <w:bookmarkStart w:id="1665" w:name="_Toc38439436"/>
      <w:bookmarkStart w:id="1666" w:name="_Toc38439773"/>
      <w:bookmarkStart w:id="1667" w:name="_Toc38440110"/>
      <w:bookmarkStart w:id="1668" w:name="_Toc38440447"/>
      <w:bookmarkStart w:id="1669" w:name="_Toc38440979"/>
      <w:bookmarkStart w:id="1670" w:name="_Toc38441311"/>
      <w:bookmarkStart w:id="1671" w:name="_Toc38441643"/>
      <w:bookmarkStart w:id="1672" w:name="_Toc38441971"/>
      <w:bookmarkStart w:id="1673" w:name="_Toc38442303"/>
      <w:bookmarkStart w:id="1674" w:name="_Toc38442635"/>
      <w:bookmarkStart w:id="1675" w:name="_Toc38442966"/>
      <w:bookmarkStart w:id="1676" w:name="_Toc38443297"/>
      <w:bookmarkStart w:id="1677" w:name="_Toc38443628"/>
      <w:bookmarkStart w:id="1678" w:name="_Toc38443958"/>
      <w:bookmarkStart w:id="1679" w:name="_Toc38438426"/>
      <w:bookmarkStart w:id="1680" w:name="_Toc38438763"/>
      <w:bookmarkStart w:id="1681" w:name="_Toc38439100"/>
      <w:bookmarkStart w:id="1682" w:name="_Toc38439437"/>
      <w:bookmarkStart w:id="1683" w:name="_Toc38439774"/>
      <w:bookmarkStart w:id="1684" w:name="_Toc38440111"/>
      <w:bookmarkStart w:id="1685" w:name="_Toc38440448"/>
      <w:bookmarkStart w:id="1686" w:name="_Toc38440980"/>
      <w:bookmarkStart w:id="1687" w:name="_Toc38441312"/>
      <w:bookmarkStart w:id="1688" w:name="_Toc38441644"/>
      <w:bookmarkStart w:id="1689" w:name="_Toc38441972"/>
      <w:bookmarkStart w:id="1690" w:name="_Toc38442304"/>
      <w:bookmarkStart w:id="1691" w:name="_Toc38442636"/>
      <w:bookmarkStart w:id="1692" w:name="_Toc38442967"/>
      <w:bookmarkStart w:id="1693" w:name="_Toc38443298"/>
      <w:bookmarkStart w:id="1694" w:name="_Toc38443629"/>
      <w:bookmarkStart w:id="1695" w:name="_Toc38443959"/>
      <w:bookmarkStart w:id="1696" w:name="_Toc38438427"/>
      <w:bookmarkStart w:id="1697" w:name="_Toc38438764"/>
      <w:bookmarkStart w:id="1698" w:name="_Toc38439101"/>
      <w:bookmarkStart w:id="1699" w:name="_Toc38439438"/>
      <w:bookmarkStart w:id="1700" w:name="_Toc38439775"/>
      <w:bookmarkStart w:id="1701" w:name="_Toc38440112"/>
      <w:bookmarkStart w:id="1702" w:name="_Toc38440449"/>
      <w:bookmarkStart w:id="1703" w:name="_Toc38440981"/>
      <w:bookmarkStart w:id="1704" w:name="_Toc38441313"/>
      <w:bookmarkStart w:id="1705" w:name="_Toc38441645"/>
      <w:bookmarkStart w:id="1706" w:name="_Toc38441973"/>
      <w:bookmarkStart w:id="1707" w:name="_Toc38442305"/>
      <w:bookmarkStart w:id="1708" w:name="_Toc38442637"/>
      <w:bookmarkStart w:id="1709" w:name="_Toc38442968"/>
      <w:bookmarkStart w:id="1710" w:name="_Toc38443299"/>
      <w:bookmarkStart w:id="1711" w:name="_Toc38443630"/>
      <w:bookmarkStart w:id="1712" w:name="_Toc38443960"/>
      <w:bookmarkStart w:id="1713" w:name="_Toc38438428"/>
      <w:bookmarkStart w:id="1714" w:name="_Toc38438765"/>
      <w:bookmarkStart w:id="1715" w:name="_Toc38439102"/>
      <w:bookmarkStart w:id="1716" w:name="_Toc38439439"/>
      <w:bookmarkStart w:id="1717" w:name="_Toc38439776"/>
      <w:bookmarkStart w:id="1718" w:name="_Toc38440113"/>
      <w:bookmarkStart w:id="1719" w:name="_Toc38440450"/>
      <w:bookmarkStart w:id="1720" w:name="_Toc38440982"/>
      <w:bookmarkStart w:id="1721" w:name="_Toc38441314"/>
      <w:bookmarkStart w:id="1722" w:name="_Toc38441646"/>
      <w:bookmarkStart w:id="1723" w:name="_Toc38441974"/>
      <w:bookmarkStart w:id="1724" w:name="_Toc38442306"/>
      <w:bookmarkStart w:id="1725" w:name="_Toc38442638"/>
      <w:bookmarkStart w:id="1726" w:name="_Toc38442969"/>
      <w:bookmarkStart w:id="1727" w:name="_Toc38443300"/>
      <w:bookmarkStart w:id="1728" w:name="_Toc38443631"/>
      <w:bookmarkStart w:id="1729" w:name="_Toc38443961"/>
      <w:bookmarkStart w:id="1730" w:name="_Toc38438429"/>
      <w:bookmarkStart w:id="1731" w:name="_Toc38438766"/>
      <w:bookmarkStart w:id="1732" w:name="_Toc38439103"/>
      <w:bookmarkStart w:id="1733" w:name="_Toc38439440"/>
      <w:bookmarkStart w:id="1734" w:name="_Toc38439777"/>
      <w:bookmarkStart w:id="1735" w:name="_Toc38440114"/>
      <w:bookmarkStart w:id="1736" w:name="_Toc38440451"/>
      <w:bookmarkStart w:id="1737" w:name="_Toc38440983"/>
      <w:bookmarkStart w:id="1738" w:name="_Toc38441315"/>
      <w:bookmarkStart w:id="1739" w:name="_Toc38441647"/>
      <w:bookmarkStart w:id="1740" w:name="_Toc38441975"/>
      <w:bookmarkStart w:id="1741" w:name="_Toc38442307"/>
      <w:bookmarkStart w:id="1742" w:name="_Toc38442639"/>
      <w:bookmarkStart w:id="1743" w:name="_Toc38442970"/>
      <w:bookmarkStart w:id="1744" w:name="_Toc38443301"/>
      <w:bookmarkStart w:id="1745" w:name="_Toc38443632"/>
      <w:bookmarkStart w:id="1746" w:name="_Toc38443962"/>
      <w:bookmarkStart w:id="1747" w:name="_Toc38438430"/>
      <w:bookmarkStart w:id="1748" w:name="_Toc38438767"/>
      <w:bookmarkStart w:id="1749" w:name="_Toc38439104"/>
      <w:bookmarkStart w:id="1750" w:name="_Toc38439441"/>
      <w:bookmarkStart w:id="1751" w:name="_Toc38439778"/>
      <w:bookmarkStart w:id="1752" w:name="_Toc38440115"/>
      <w:bookmarkStart w:id="1753" w:name="_Toc38440452"/>
      <w:bookmarkStart w:id="1754" w:name="_Toc38440984"/>
      <w:bookmarkStart w:id="1755" w:name="_Toc38441316"/>
      <w:bookmarkStart w:id="1756" w:name="_Toc38441648"/>
      <w:bookmarkStart w:id="1757" w:name="_Toc38441976"/>
      <w:bookmarkStart w:id="1758" w:name="_Toc38442308"/>
      <w:bookmarkStart w:id="1759" w:name="_Toc38442640"/>
      <w:bookmarkStart w:id="1760" w:name="_Toc38442971"/>
      <w:bookmarkStart w:id="1761" w:name="_Toc38443302"/>
      <w:bookmarkStart w:id="1762" w:name="_Toc38443633"/>
      <w:bookmarkStart w:id="1763" w:name="_Toc38443963"/>
      <w:bookmarkStart w:id="1764" w:name="_Toc38438431"/>
      <w:bookmarkStart w:id="1765" w:name="_Toc38438768"/>
      <w:bookmarkStart w:id="1766" w:name="_Toc38439105"/>
      <w:bookmarkStart w:id="1767" w:name="_Toc38439442"/>
      <w:bookmarkStart w:id="1768" w:name="_Toc38439779"/>
      <w:bookmarkStart w:id="1769" w:name="_Toc38440116"/>
      <w:bookmarkStart w:id="1770" w:name="_Toc38440453"/>
      <w:bookmarkStart w:id="1771" w:name="_Toc38440985"/>
      <w:bookmarkStart w:id="1772" w:name="_Toc38441317"/>
      <w:bookmarkStart w:id="1773" w:name="_Toc38441649"/>
      <w:bookmarkStart w:id="1774" w:name="_Toc38441977"/>
      <w:bookmarkStart w:id="1775" w:name="_Toc38442309"/>
      <w:bookmarkStart w:id="1776" w:name="_Toc38442641"/>
      <w:bookmarkStart w:id="1777" w:name="_Toc38442972"/>
      <w:bookmarkStart w:id="1778" w:name="_Toc38443303"/>
      <w:bookmarkStart w:id="1779" w:name="_Toc38443634"/>
      <w:bookmarkStart w:id="1780" w:name="_Toc38443964"/>
      <w:bookmarkStart w:id="1781" w:name="_Toc38438432"/>
      <w:bookmarkStart w:id="1782" w:name="_Toc38438769"/>
      <w:bookmarkStart w:id="1783" w:name="_Toc38439106"/>
      <w:bookmarkStart w:id="1784" w:name="_Toc38439443"/>
      <w:bookmarkStart w:id="1785" w:name="_Toc38439780"/>
      <w:bookmarkStart w:id="1786" w:name="_Toc38440117"/>
      <w:bookmarkStart w:id="1787" w:name="_Toc38440454"/>
      <w:bookmarkStart w:id="1788" w:name="_Toc38440986"/>
      <w:bookmarkStart w:id="1789" w:name="_Toc38441318"/>
      <w:bookmarkStart w:id="1790" w:name="_Toc38441650"/>
      <w:bookmarkStart w:id="1791" w:name="_Toc38441978"/>
      <w:bookmarkStart w:id="1792" w:name="_Toc38442310"/>
      <w:bookmarkStart w:id="1793" w:name="_Toc38442642"/>
      <w:bookmarkStart w:id="1794" w:name="_Toc38442973"/>
      <w:bookmarkStart w:id="1795" w:name="_Toc38443304"/>
      <w:bookmarkStart w:id="1796" w:name="_Toc38443635"/>
      <w:bookmarkStart w:id="1797" w:name="_Toc38443965"/>
      <w:bookmarkStart w:id="1798" w:name="_Toc38438433"/>
      <w:bookmarkStart w:id="1799" w:name="_Toc38438770"/>
      <w:bookmarkStart w:id="1800" w:name="_Toc38439107"/>
      <w:bookmarkStart w:id="1801" w:name="_Toc38439444"/>
      <w:bookmarkStart w:id="1802" w:name="_Toc38439781"/>
      <w:bookmarkStart w:id="1803" w:name="_Toc38440118"/>
      <w:bookmarkStart w:id="1804" w:name="_Toc38440455"/>
      <w:bookmarkStart w:id="1805" w:name="_Toc38440987"/>
      <w:bookmarkStart w:id="1806" w:name="_Toc38441319"/>
      <w:bookmarkStart w:id="1807" w:name="_Toc38441651"/>
      <w:bookmarkStart w:id="1808" w:name="_Toc38441979"/>
      <w:bookmarkStart w:id="1809" w:name="_Toc38442311"/>
      <w:bookmarkStart w:id="1810" w:name="_Toc38442643"/>
      <w:bookmarkStart w:id="1811" w:name="_Toc38442974"/>
      <w:bookmarkStart w:id="1812" w:name="_Toc38443305"/>
      <w:bookmarkStart w:id="1813" w:name="_Toc38443636"/>
      <w:bookmarkStart w:id="1814" w:name="_Toc38443966"/>
      <w:bookmarkStart w:id="1815" w:name="_Toc38438434"/>
      <w:bookmarkStart w:id="1816" w:name="_Toc38438771"/>
      <w:bookmarkStart w:id="1817" w:name="_Toc38439108"/>
      <w:bookmarkStart w:id="1818" w:name="_Toc38439445"/>
      <w:bookmarkStart w:id="1819" w:name="_Toc38439782"/>
      <w:bookmarkStart w:id="1820" w:name="_Toc38440119"/>
      <w:bookmarkStart w:id="1821" w:name="_Toc38440456"/>
      <w:bookmarkStart w:id="1822" w:name="_Toc38440988"/>
      <w:bookmarkStart w:id="1823" w:name="_Toc38441320"/>
      <w:bookmarkStart w:id="1824" w:name="_Toc38441652"/>
      <w:bookmarkStart w:id="1825" w:name="_Toc38441980"/>
      <w:bookmarkStart w:id="1826" w:name="_Toc38442312"/>
      <w:bookmarkStart w:id="1827" w:name="_Toc38442644"/>
      <w:bookmarkStart w:id="1828" w:name="_Toc38442975"/>
      <w:bookmarkStart w:id="1829" w:name="_Toc38443306"/>
      <w:bookmarkStart w:id="1830" w:name="_Toc38443637"/>
      <w:bookmarkStart w:id="1831" w:name="_Toc38443967"/>
      <w:bookmarkStart w:id="1832" w:name="_Toc38438435"/>
      <w:bookmarkStart w:id="1833" w:name="_Toc38438772"/>
      <w:bookmarkStart w:id="1834" w:name="_Toc38439109"/>
      <w:bookmarkStart w:id="1835" w:name="_Toc38439446"/>
      <w:bookmarkStart w:id="1836" w:name="_Toc38439783"/>
      <w:bookmarkStart w:id="1837" w:name="_Toc38440120"/>
      <w:bookmarkStart w:id="1838" w:name="_Toc38440457"/>
      <w:bookmarkStart w:id="1839" w:name="_Toc38440989"/>
      <w:bookmarkStart w:id="1840" w:name="_Toc38441321"/>
      <w:bookmarkStart w:id="1841" w:name="_Toc38441653"/>
      <w:bookmarkStart w:id="1842" w:name="_Toc38441981"/>
      <w:bookmarkStart w:id="1843" w:name="_Toc38442313"/>
      <w:bookmarkStart w:id="1844" w:name="_Toc38442645"/>
      <w:bookmarkStart w:id="1845" w:name="_Toc38442976"/>
      <w:bookmarkStart w:id="1846" w:name="_Toc38443307"/>
      <w:bookmarkStart w:id="1847" w:name="_Toc38443638"/>
      <w:bookmarkStart w:id="1848" w:name="_Toc38443968"/>
      <w:bookmarkStart w:id="1849" w:name="_Toc38438436"/>
      <w:bookmarkStart w:id="1850" w:name="_Toc38438773"/>
      <w:bookmarkStart w:id="1851" w:name="_Toc38439110"/>
      <w:bookmarkStart w:id="1852" w:name="_Toc38439447"/>
      <w:bookmarkStart w:id="1853" w:name="_Toc38439784"/>
      <w:bookmarkStart w:id="1854" w:name="_Toc38440121"/>
      <w:bookmarkStart w:id="1855" w:name="_Toc38440458"/>
      <w:bookmarkStart w:id="1856" w:name="_Toc38440990"/>
      <w:bookmarkStart w:id="1857" w:name="_Toc38441322"/>
      <w:bookmarkStart w:id="1858" w:name="_Toc38441654"/>
      <w:bookmarkStart w:id="1859" w:name="_Toc38441982"/>
      <w:bookmarkStart w:id="1860" w:name="_Toc38442314"/>
      <w:bookmarkStart w:id="1861" w:name="_Toc38442646"/>
      <w:bookmarkStart w:id="1862" w:name="_Toc38442977"/>
      <w:bookmarkStart w:id="1863" w:name="_Toc38443308"/>
      <w:bookmarkStart w:id="1864" w:name="_Toc38443639"/>
      <w:bookmarkStart w:id="1865" w:name="_Toc38443969"/>
      <w:bookmarkStart w:id="1866" w:name="_Toc38438437"/>
      <w:bookmarkStart w:id="1867" w:name="_Toc38438774"/>
      <w:bookmarkStart w:id="1868" w:name="_Toc38439111"/>
      <w:bookmarkStart w:id="1869" w:name="_Toc38439448"/>
      <w:bookmarkStart w:id="1870" w:name="_Toc38439785"/>
      <w:bookmarkStart w:id="1871" w:name="_Toc38440122"/>
      <w:bookmarkStart w:id="1872" w:name="_Toc38440459"/>
      <w:bookmarkStart w:id="1873" w:name="_Toc38440991"/>
      <w:bookmarkStart w:id="1874" w:name="_Toc38441323"/>
      <w:bookmarkStart w:id="1875" w:name="_Toc38441655"/>
      <w:bookmarkStart w:id="1876" w:name="_Toc38441983"/>
      <w:bookmarkStart w:id="1877" w:name="_Toc38442315"/>
      <w:bookmarkStart w:id="1878" w:name="_Toc38442647"/>
      <w:bookmarkStart w:id="1879" w:name="_Toc38442978"/>
      <w:bookmarkStart w:id="1880" w:name="_Toc38443309"/>
      <w:bookmarkStart w:id="1881" w:name="_Toc38443640"/>
      <w:bookmarkStart w:id="1882" w:name="_Toc38443970"/>
      <w:bookmarkStart w:id="1883" w:name="_Toc38438438"/>
      <w:bookmarkStart w:id="1884" w:name="_Toc38438775"/>
      <w:bookmarkStart w:id="1885" w:name="_Toc38439112"/>
      <w:bookmarkStart w:id="1886" w:name="_Toc38439449"/>
      <w:bookmarkStart w:id="1887" w:name="_Toc38439786"/>
      <w:bookmarkStart w:id="1888" w:name="_Toc38440123"/>
      <w:bookmarkStart w:id="1889" w:name="_Toc38440460"/>
      <w:bookmarkStart w:id="1890" w:name="_Toc38440992"/>
      <w:bookmarkStart w:id="1891" w:name="_Toc38441324"/>
      <w:bookmarkStart w:id="1892" w:name="_Toc38441656"/>
      <w:bookmarkStart w:id="1893" w:name="_Toc38441984"/>
      <w:bookmarkStart w:id="1894" w:name="_Toc38442316"/>
      <w:bookmarkStart w:id="1895" w:name="_Toc38442648"/>
      <w:bookmarkStart w:id="1896" w:name="_Toc38442979"/>
      <w:bookmarkStart w:id="1897" w:name="_Toc38443310"/>
      <w:bookmarkStart w:id="1898" w:name="_Toc38443641"/>
      <w:bookmarkStart w:id="1899" w:name="_Toc38443971"/>
      <w:bookmarkStart w:id="1900" w:name="_Toc38438439"/>
      <w:bookmarkStart w:id="1901" w:name="_Toc38438776"/>
      <w:bookmarkStart w:id="1902" w:name="_Toc38439113"/>
      <w:bookmarkStart w:id="1903" w:name="_Toc38439450"/>
      <w:bookmarkStart w:id="1904" w:name="_Toc38439787"/>
      <w:bookmarkStart w:id="1905" w:name="_Toc38440124"/>
      <w:bookmarkStart w:id="1906" w:name="_Toc38440461"/>
      <w:bookmarkStart w:id="1907" w:name="_Toc38440993"/>
      <w:bookmarkStart w:id="1908" w:name="_Toc38441325"/>
      <w:bookmarkStart w:id="1909" w:name="_Toc38441657"/>
      <w:bookmarkStart w:id="1910" w:name="_Toc38441985"/>
      <w:bookmarkStart w:id="1911" w:name="_Toc38442317"/>
      <w:bookmarkStart w:id="1912" w:name="_Toc38442649"/>
      <w:bookmarkStart w:id="1913" w:name="_Toc38442980"/>
      <w:bookmarkStart w:id="1914" w:name="_Toc38443311"/>
      <w:bookmarkStart w:id="1915" w:name="_Toc38443642"/>
      <w:bookmarkStart w:id="1916" w:name="_Toc38443972"/>
      <w:bookmarkStart w:id="1917" w:name="_Toc38438440"/>
      <w:bookmarkStart w:id="1918" w:name="_Toc38438777"/>
      <w:bookmarkStart w:id="1919" w:name="_Toc38439114"/>
      <w:bookmarkStart w:id="1920" w:name="_Toc38439451"/>
      <w:bookmarkStart w:id="1921" w:name="_Toc38439788"/>
      <w:bookmarkStart w:id="1922" w:name="_Toc38440125"/>
      <w:bookmarkStart w:id="1923" w:name="_Toc38440462"/>
      <w:bookmarkStart w:id="1924" w:name="_Toc38440994"/>
      <w:bookmarkStart w:id="1925" w:name="_Toc38441326"/>
      <w:bookmarkStart w:id="1926" w:name="_Toc38441658"/>
      <w:bookmarkStart w:id="1927" w:name="_Toc38441986"/>
      <w:bookmarkStart w:id="1928" w:name="_Toc38442318"/>
      <w:bookmarkStart w:id="1929" w:name="_Toc38442650"/>
      <w:bookmarkStart w:id="1930" w:name="_Toc38442981"/>
      <w:bookmarkStart w:id="1931" w:name="_Toc38443312"/>
      <w:bookmarkStart w:id="1932" w:name="_Toc38443643"/>
      <w:bookmarkStart w:id="1933" w:name="_Toc38443973"/>
      <w:bookmarkStart w:id="1934" w:name="_Toc38438441"/>
      <w:bookmarkStart w:id="1935" w:name="_Toc38438778"/>
      <w:bookmarkStart w:id="1936" w:name="_Toc38439115"/>
      <w:bookmarkStart w:id="1937" w:name="_Toc38439452"/>
      <w:bookmarkStart w:id="1938" w:name="_Toc38439789"/>
      <w:bookmarkStart w:id="1939" w:name="_Toc38440126"/>
      <w:bookmarkStart w:id="1940" w:name="_Toc38440463"/>
      <w:bookmarkStart w:id="1941" w:name="_Toc38440995"/>
      <w:bookmarkStart w:id="1942" w:name="_Toc38441327"/>
      <w:bookmarkStart w:id="1943" w:name="_Toc38441659"/>
      <w:bookmarkStart w:id="1944" w:name="_Toc38441987"/>
      <w:bookmarkStart w:id="1945" w:name="_Toc38442319"/>
      <w:bookmarkStart w:id="1946" w:name="_Toc38442651"/>
      <w:bookmarkStart w:id="1947" w:name="_Toc38442982"/>
      <w:bookmarkStart w:id="1948" w:name="_Toc38443313"/>
      <w:bookmarkStart w:id="1949" w:name="_Toc38443644"/>
      <w:bookmarkStart w:id="1950" w:name="_Toc38443974"/>
      <w:bookmarkStart w:id="1951" w:name="_Toc38438442"/>
      <w:bookmarkStart w:id="1952" w:name="_Toc38438779"/>
      <w:bookmarkStart w:id="1953" w:name="_Toc38439116"/>
      <w:bookmarkStart w:id="1954" w:name="_Toc38439453"/>
      <w:bookmarkStart w:id="1955" w:name="_Toc38439790"/>
      <w:bookmarkStart w:id="1956" w:name="_Toc38440127"/>
      <w:bookmarkStart w:id="1957" w:name="_Toc38440464"/>
      <w:bookmarkStart w:id="1958" w:name="_Toc38440996"/>
      <w:bookmarkStart w:id="1959" w:name="_Toc38441328"/>
      <w:bookmarkStart w:id="1960" w:name="_Toc38441660"/>
      <w:bookmarkStart w:id="1961" w:name="_Toc38441988"/>
      <w:bookmarkStart w:id="1962" w:name="_Toc38442320"/>
      <w:bookmarkStart w:id="1963" w:name="_Toc38442652"/>
      <w:bookmarkStart w:id="1964" w:name="_Toc38442983"/>
      <w:bookmarkStart w:id="1965" w:name="_Toc38443314"/>
      <w:bookmarkStart w:id="1966" w:name="_Toc38443645"/>
      <w:bookmarkStart w:id="1967" w:name="_Toc38443975"/>
      <w:bookmarkStart w:id="1968" w:name="_Toc38438443"/>
      <w:bookmarkStart w:id="1969" w:name="_Toc38438780"/>
      <w:bookmarkStart w:id="1970" w:name="_Toc38439117"/>
      <w:bookmarkStart w:id="1971" w:name="_Toc38439454"/>
      <w:bookmarkStart w:id="1972" w:name="_Toc38439791"/>
      <w:bookmarkStart w:id="1973" w:name="_Toc38440128"/>
      <w:bookmarkStart w:id="1974" w:name="_Toc38440465"/>
      <w:bookmarkStart w:id="1975" w:name="_Toc38440997"/>
      <w:bookmarkStart w:id="1976" w:name="_Toc38441329"/>
      <w:bookmarkStart w:id="1977" w:name="_Toc38441661"/>
      <w:bookmarkStart w:id="1978" w:name="_Toc38441989"/>
      <w:bookmarkStart w:id="1979" w:name="_Toc38442321"/>
      <w:bookmarkStart w:id="1980" w:name="_Toc38442653"/>
      <w:bookmarkStart w:id="1981" w:name="_Toc38442984"/>
      <w:bookmarkStart w:id="1982" w:name="_Toc38443315"/>
      <w:bookmarkStart w:id="1983" w:name="_Toc38443646"/>
      <w:bookmarkStart w:id="1984" w:name="_Toc38443976"/>
      <w:bookmarkStart w:id="1985" w:name="_Toc38438444"/>
      <w:bookmarkStart w:id="1986" w:name="_Toc38438781"/>
      <w:bookmarkStart w:id="1987" w:name="_Toc38439118"/>
      <w:bookmarkStart w:id="1988" w:name="_Toc38439455"/>
      <w:bookmarkStart w:id="1989" w:name="_Toc38439792"/>
      <w:bookmarkStart w:id="1990" w:name="_Toc38440129"/>
      <w:bookmarkStart w:id="1991" w:name="_Toc38440466"/>
      <w:bookmarkStart w:id="1992" w:name="_Toc38440998"/>
      <w:bookmarkStart w:id="1993" w:name="_Toc38441330"/>
      <w:bookmarkStart w:id="1994" w:name="_Toc38441662"/>
      <w:bookmarkStart w:id="1995" w:name="_Toc38441990"/>
      <w:bookmarkStart w:id="1996" w:name="_Toc38442322"/>
      <w:bookmarkStart w:id="1997" w:name="_Toc38442654"/>
      <w:bookmarkStart w:id="1998" w:name="_Toc38442985"/>
      <w:bookmarkStart w:id="1999" w:name="_Toc38443316"/>
      <w:bookmarkStart w:id="2000" w:name="_Toc38443647"/>
      <w:bookmarkStart w:id="2001" w:name="_Toc38443977"/>
      <w:bookmarkStart w:id="2002" w:name="_Toc38438445"/>
      <w:bookmarkStart w:id="2003" w:name="_Toc38438782"/>
      <w:bookmarkStart w:id="2004" w:name="_Toc38439119"/>
      <w:bookmarkStart w:id="2005" w:name="_Toc38439456"/>
      <w:bookmarkStart w:id="2006" w:name="_Toc38439793"/>
      <w:bookmarkStart w:id="2007" w:name="_Toc38440130"/>
      <w:bookmarkStart w:id="2008" w:name="_Toc38440467"/>
      <w:bookmarkStart w:id="2009" w:name="_Toc38440999"/>
      <w:bookmarkStart w:id="2010" w:name="_Toc38441331"/>
      <w:bookmarkStart w:id="2011" w:name="_Toc38441663"/>
      <w:bookmarkStart w:id="2012" w:name="_Toc38441991"/>
      <w:bookmarkStart w:id="2013" w:name="_Toc38442323"/>
      <w:bookmarkStart w:id="2014" w:name="_Toc38442655"/>
      <w:bookmarkStart w:id="2015" w:name="_Toc38442986"/>
      <w:bookmarkStart w:id="2016" w:name="_Toc38443317"/>
      <w:bookmarkStart w:id="2017" w:name="_Toc38443648"/>
      <w:bookmarkStart w:id="2018" w:name="_Toc38443978"/>
      <w:bookmarkStart w:id="2019" w:name="_Toc38438446"/>
      <w:bookmarkStart w:id="2020" w:name="_Toc38438783"/>
      <w:bookmarkStart w:id="2021" w:name="_Toc38439120"/>
      <w:bookmarkStart w:id="2022" w:name="_Toc38439457"/>
      <w:bookmarkStart w:id="2023" w:name="_Toc38439794"/>
      <w:bookmarkStart w:id="2024" w:name="_Toc38440131"/>
      <w:bookmarkStart w:id="2025" w:name="_Toc38440468"/>
      <w:bookmarkStart w:id="2026" w:name="_Toc38441000"/>
      <w:bookmarkStart w:id="2027" w:name="_Toc38441332"/>
      <w:bookmarkStart w:id="2028" w:name="_Toc38441664"/>
      <w:bookmarkStart w:id="2029" w:name="_Toc38441992"/>
      <w:bookmarkStart w:id="2030" w:name="_Toc38442324"/>
      <w:bookmarkStart w:id="2031" w:name="_Toc38442656"/>
      <w:bookmarkStart w:id="2032" w:name="_Toc38442987"/>
      <w:bookmarkStart w:id="2033" w:name="_Toc38443318"/>
      <w:bookmarkStart w:id="2034" w:name="_Toc38443649"/>
      <w:bookmarkStart w:id="2035" w:name="_Toc38443979"/>
      <w:bookmarkStart w:id="2036" w:name="_Toc38438447"/>
      <w:bookmarkStart w:id="2037" w:name="_Toc38438784"/>
      <w:bookmarkStart w:id="2038" w:name="_Toc38439121"/>
      <w:bookmarkStart w:id="2039" w:name="_Toc38439458"/>
      <w:bookmarkStart w:id="2040" w:name="_Toc38439795"/>
      <w:bookmarkStart w:id="2041" w:name="_Toc38440132"/>
      <w:bookmarkStart w:id="2042" w:name="_Toc38440469"/>
      <w:bookmarkStart w:id="2043" w:name="_Toc38441001"/>
      <w:bookmarkStart w:id="2044" w:name="_Toc38441333"/>
      <w:bookmarkStart w:id="2045" w:name="_Toc38441665"/>
      <w:bookmarkStart w:id="2046" w:name="_Toc38441993"/>
      <w:bookmarkStart w:id="2047" w:name="_Toc38442325"/>
      <w:bookmarkStart w:id="2048" w:name="_Toc38442657"/>
      <w:bookmarkStart w:id="2049" w:name="_Toc38442988"/>
      <w:bookmarkStart w:id="2050" w:name="_Toc38443319"/>
      <w:bookmarkStart w:id="2051" w:name="_Toc38443650"/>
      <w:bookmarkStart w:id="2052" w:name="_Toc38443980"/>
      <w:bookmarkStart w:id="2053" w:name="_Toc38438448"/>
      <w:bookmarkStart w:id="2054" w:name="_Toc38438785"/>
      <w:bookmarkStart w:id="2055" w:name="_Toc38439122"/>
      <w:bookmarkStart w:id="2056" w:name="_Toc38439459"/>
      <w:bookmarkStart w:id="2057" w:name="_Toc38439796"/>
      <w:bookmarkStart w:id="2058" w:name="_Toc38440133"/>
      <w:bookmarkStart w:id="2059" w:name="_Toc38440470"/>
      <w:bookmarkStart w:id="2060" w:name="_Toc38441002"/>
      <w:bookmarkStart w:id="2061" w:name="_Toc38441334"/>
      <w:bookmarkStart w:id="2062" w:name="_Toc38441666"/>
      <w:bookmarkStart w:id="2063" w:name="_Toc38441994"/>
      <w:bookmarkStart w:id="2064" w:name="_Toc38442326"/>
      <w:bookmarkStart w:id="2065" w:name="_Toc38442658"/>
      <w:bookmarkStart w:id="2066" w:name="_Toc38442989"/>
      <w:bookmarkStart w:id="2067" w:name="_Toc38443320"/>
      <w:bookmarkStart w:id="2068" w:name="_Toc38443651"/>
      <w:bookmarkStart w:id="2069" w:name="_Toc38443981"/>
      <w:bookmarkStart w:id="2070" w:name="_Toc38438449"/>
      <w:bookmarkStart w:id="2071" w:name="_Toc38438786"/>
      <w:bookmarkStart w:id="2072" w:name="_Toc38439123"/>
      <w:bookmarkStart w:id="2073" w:name="_Toc38439460"/>
      <w:bookmarkStart w:id="2074" w:name="_Toc38439797"/>
      <w:bookmarkStart w:id="2075" w:name="_Toc38440134"/>
      <w:bookmarkStart w:id="2076" w:name="_Toc38440471"/>
      <w:bookmarkStart w:id="2077" w:name="_Toc38441003"/>
      <w:bookmarkStart w:id="2078" w:name="_Toc38441335"/>
      <w:bookmarkStart w:id="2079" w:name="_Toc38441667"/>
      <w:bookmarkStart w:id="2080" w:name="_Toc38441995"/>
      <w:bookmarkStart w:id="2081" w:name="_Toc38442327"/>
      <w:bookmarkStart w:id="2082" w:name="_Toc38442659"/>
      <w:bookmarkStart w:id="2083" w:name="_Toc38442990"/>
      <w:bookmarkStart w:id="2084" w:name="_Toc38443321"/>
      <w:bookmarkStart w:id="2085" w:name="_Toc38443652"/>
      <w:bookmarkStart w:id="2086" w:name="_Toc38443982"/>
      <w:bookmarkStart w:id="2087" w:name="_Toc38438450"/>
      <w:bookmarkStart w:id="2088" w:name="_Toc38438787"/>
      <w:bookmarkStart w:id="2089" w:name="_Toc38439124"/>
      <w:bookmarkStart w:id="2090" w:name="_Toc38439461"/>
      <w:bookmarkStart w:id="2091" w:name="_Toc38439798"/>
      <w:bookmarkStart w:id="2092" w:name="_Toc38440135"/>
      <w:bookmarkStart w:id="2093" w:name="_Toc38440472"/>
      <w:bookmarkStart w:id="2094" w:name="_Toc38441004"/>
      <w:bookmarkStart w:id="2095" w:name="_Toc38441336"/>
      <w:bookmarkStart w:id="2096" w:name="_Toc38441668"/>
      <w:bookmarkStart w:id="2097" w:name="_Toc38441996"/>
      <w:bookmarkStart w:id="2098" w:name="_Toc38442328"/>
      <w:bookmarkStart w:id="2099" w:name="_Toc38442660"/>
      <w:bookmarkStart w:id="2100" w:name="_Toc38442991"/>
      <w:bookmarkStart w:id="2101" w:name="_Toc38443322"/>
      <w:bookmarkStart w:id="2102" w:name="_Toc38443653"/>
      <w:bookmarkStart w:id="2103" w:name="_Toc38443983"/>
      <w:bookmarkStart w:id="2104" w:name="_Toc38438451"/>
      <w:bookmarkStart w:id="2105" w:name="_Toc38438788"/>
      <w:bookmarkStart w:id="2106" w:name="_Toc38439125"/>
      <w:bookmarkStart w:id="2107" w:name="_Toc38439462"/>
      <w:bookmarkStart w:id="2108" w:name="_Toc38439799"/>
      <w:bookmarkStart w:id="2109" w:name="_Toc38440136"/>
      <w:bookmarkStart w:id="2110" w:name="_Toc38440473"/>
      <w:bookmarkStart w:id="2111" w:name="_Toc38441005"/>
      <w:bookmarkStart w:id="2112" w:name="_Toc38441337"/>
      <w:bookmarkStart w:id="2113" w:name="_Toc38441669"/>
      <w:bookmarkStart w:id="2114" w:name="_Toc38441997"/>
      <w:bookmarkStart w:id="2115" w:name="_Toc38442329"/>
      <w:bookmarkStart w:id="2116" w:name="_Toc38442661"/>
      <w:bookmarkStart w:id="2117" w:name="_Toc38442992"/>
      <w:bookmarkStart w:id="2118" w:name="_Toc38443323"/>
      <w:bookmarkStart w:id="2119" w:name="_Toc38443654"/>
      <w:bookmarkStart w:id="2120" w:name="_Toc38443984"/>
      <w:bookmarkStart w:id="2121" w:name="_Toc38438452"/>
      <w:bookmarkStart w:id="2122" w:name="_Toc38438789"/>
      <w:bookmarkStart w:id="2123" w:name="_Toc38439126"/>
      <w:bookmarkStart w:id="2124" w:name="_Toc38439463"/>
      <w:bookmarkStart w:id="2125" w:name="_Toc38439800"/>
      <w:bookmarkStart w:id="2126" w:name="_Toc38440137"/>
      <w:bookmarkStart w:id="2127" w:name="_Toc38440474"/>
      <w:bookmarkStart w:id="2128" w:name="_Toc38441006"/>
      <w:bookmarkStart w:id="2129" w:name="_Toc38441338"/>
      <w:bookmarkStart w:id="2130" w:name="_Toc38441670"/>
      <w:bookmarkStart w:id="2131" w:name="_Toc38441998"/>
      <w:bookmarkStart w:id="2132" w:name="_Toc38442330"/>
      <w:bookmarkStart w:id="2133" w:name="_Toc38442662"/>
      <w:bookmarkStart w:id="2134" w:name="_Toc38442993"/>
      <w:bookmarkStart w:id="2135" w:name="_Toc38443324"/>
      <w:bookmarkStart w:id="2136" w:name="_Toc38443655"/>
      <w:bookmarkStart w:id="2137" w:name="_Toc38443985"/>
      <w:bookmarkStart w:id="2138" w:name="_Toc38438453"/>
      <w:bookmarkStart w:id="2139" w:name="_Toc38438790"/>
      <w:bookmarkStart w:id="2140" w:name="_Toc38439127"/>
      <w:bookmarkStart w:id="2141" w:name="_Toc38439464"/>
      <w:bookmarkStart w:id="2142" w:name="_Toc38439801"/>
      <w:bookmarkStart w:id="2143" w:name="_Toc38440138"/>
      <w:bookmarkStart w:id="2144" w:name="_Toc38440475"/>
      <w:bookmarkStart w:id="2145" w:name="_Toc38441007"/>
      <w:bookmarkStart w:id="2146" w:name="_Toc38441339"/>
      <w:bookmarkStart w:id="2147" w:name="_Toc38441671"/>
      <w:bookmarkStart w:id="2148" w:name="_Toc38441999"/>
      <w:bookmarkStart w:id="2149" w:name="_Toc38442331"/>
      <w:bookmarkStart w:id="2150" w:name="_Toc38442663"/>
      <w:bookmarkStart w:id="2151" w:name="_Toc38442994"/>
      <w:bookmarkStart w:id="2152" w:name="_Toc38443325"/>
      <w:bookmarkStart w:id="2153" w:name="_Toc38443656"/>
      <w:bookmarkStart w:id="2154" w:name="_Toc38443986"/>
      <w:bookmarkStart w:id="2155" w:name="_Toc38438454"/>
      <w:bookmarkStart w:id="2156" w:name="_Toc38438791"/>
      <w:bookmarkStart w:id="2157" w:name="_Toc38439128"/>
      <w:bookmarkStart w:id="2158" w:name="_Toc38439465"/>
      <w:bookmarkStart w:id="2159" w:name="_Toc38439802"/>
      <w:bookmarkStart w:id="2160" w:name="_Toc38440139"/>
      <w:bookmarkStart w:id="2161" w:name="_Toc38440476"/>
      <w:bookmarkStart w:id="2162" w:name="_Toc38441008"/>
      <w:bookmarkStart w:id="2163" w:name="_Toc38441340"/>
      <w:bookmarkStart w:id="2164" w:name="_Toc38441672"/>
      <w:bookmarkStart w:id="2165" w:name="_Toc38442000"/>
      <w:bookmarkStart w:id="2166" w:name="_Toc38442332"/>
      <w:bookmarkStart w:id="2167" w:name="_Toc38442664"/>
      <w:bookmarkStart w:id="2168" w:name="_Toc38442995"/>
      <w:bookmarkStart w:id="2169" w:name="_Toc38443326"/>
      <w:bookmarkStart w:id="2170" w:name="_Toc38443657"/>
      <w:bookmarkStart w:id="2171" w:name="_Toc38443987"/>
      <w:bookmarkStart w:id="2172" w:name="_Toc38438455"/>
      <w:bookmarkStart w:id="2173" w:name="_Toc38438792"/>
      <w:bookmarkStart w:id="2174" w:name="_Toc38439129"/>
      <w:bookmarkStart w:id="2175" w:name="_Toc38439466"/>
      <w:bookmarkStart w:id="2176" w:name="_Toc38439803"/>
      <w:bookmarkStart w:id="2177" w:name="_Toc38440140"/>
      <w:bookmarkStart w:id="2178" w:name="_Toc38440477"/>
      <w:bookmarkStart w:id="2179" w:name="_Toc38441009"/>
      <w:bookmarkStart w:id="2180" w:name="_Toc38441341"/>
      <w:bookmarkStart w:id="2181" w:name="_Toc38441673"/>
      <w:bookmarkStart w:id="2182" w:name="_Toc38442001"/>
      <w:bookmarkStart w:id="2183" w:name="_Toc38442333"/>
      <w:bookmarkStart w:id="2184" w:name="_Toc38442665"/>
      <w:bookmarkStart w:id="2185" w:name="_Toc38442996"/>
      <w:bookmarkStart w:id="2186" w:name="_Toc38443327"/>
      <w:bookmarkStart w:id="2187" w:name="_Toc38443658"/>
      <w:bookmarkStart w:id="2188" w:name="_Toc38443988"/>
      <w:bookmarkStart w:id="2189" w:name="_Toc38438456"/>
      <w:bookmarkStart w:id="2190" w:name="_Toc38438793"/>
      <w:bookmarkStart w:id="2191" w:name="_Toc38439130"/>
      <w:bookmarkStart w:id="2192" w:name="_Toc38439467"/>
      <w:bookmarkStart w:id="2193" w:name="_Toc38439804"/>
      <w:bookmarkStart w:id="2194" w:name="_Toc38440141"/>
      <w:bookmarkStart w:id="2195" w:name="_Toc38440478"/>
      <w:bookmarkStart w:id="2196" w:name="_Toc38441010"/>
      <w:bookmarkStart w:id="2197" w:name="_Toc38441342"/>
      <w:bookmarkStart w:id="2198" w:name="_Toc38441674"/>
      <w:bookmarkStart w:id="2199" w:name="_Toc38442002"/>
      <w:bookmarkStart w:id="2200" w:name="_Toc38442334"/>
      <w:bookmarkStart w:id="2201" w:name="_Toc38442666"/>
      <w:bookmarkStart w:id="2202" w:name="_Toc38442997"/>
      <w:bookmarkStart w:id="2203" w:name="_Toc38443328"/>
      <w:bookmarkStart w:id="2204" w:name="_Toc38443659"/>
      <w:bookmarkStart w:id="2205" w:name="_Toc38443989"/>
      <w:bookmarkStart w:id="2206" w:name="_Toc38438457"/>
      <w:bookmarkStart w:id="2207" w:name="_Toc38438794"/>
      <w:bookmarkStart w:id="2208" w:name="_Toc38439131"/>
      <w:bookmarkStart w:id="2209" w:name="_Toc38439468"/>
      <w:bookmarkStart w:id="2210" w:name="_Toc38439805"/>
      <w:bookmarkStart w:id="2211" w:name="_Toc38440142"/>
      <w:bookmarkStart w:id="2212" w:name="_Toc38440479"/>
      <w:bookmarkStart w:id="2213" w:name="_Toc38441011"/>
      <w:bookmarkStart w:id="2214" w:name="_Toc38441343"/>
      <w:bookmarkStart w:id="2215" w:name="_Toc38441675"/>
      <w:bookmarkStart w:id="2216" w:name="_Toc38442003"/>
      <w:bookmarkStart w:id="2217" w:name="_Toc38442335"/>
      <w:bookmarkStart w:id="2218" w:name="_Toc38442667"/>
      <w:bookmarkStart w:id="2219" w:name="_Toc38442998"/>
      <w:bookmarkStart w:id="2220" w:name="_Toc38443329"/>
      <w:bookmarkStart w:id="2221" w:name="_Toc38443660"/>
      <w:bookmarkStart w:id="2222" w:name="_Toc38443990"/>
      <w:bookmarkStart w:id="2223" w:name="_Toc38438458"/>
      <w:bookmarkStart w:id="2224" w:name="_Toc38438795"/>
      <w:bookmarkStart w:id="2225" w:name="_Toc38439132"/>
      <w:bookmarkStart w:id="2226" w:name="_Toc38439469"/>
      <w:bookmarkStart w:id="2227" w:name="_Toc38439806"/>
      <w:bookmarkStart w:id="2228" w:name="_Toc38440143"/>
      <w:bookmarkStart w:id="2229" w:name="_Toc38440480"/>
      <w:bookmarkStart w:id="2230" w:name="_Toc38441012"/>
      <w:bookmarkStart w:id="2231" w:name="_Toc38441344"/>
      <w:bookmarkStart w:id="2232" w:name="_Toc38441676"/>
      <w:bookmarkStart w:id="2233" w:name="_Toc38442004"/>
      <w:bookmarkStart w:id="2234" w:name="_Toc38442336"/>
      <w:bookmarkStart w:id="2235" w:name="_Toc38442668"/>
      <w:bookmarkStart w:id="2236" w:name="_Toc38442999"/>
      <w:bookmarkStart w:id="2237" w:name="_Toc38443330"/>
      <w:bookmarkStart w:id="2238" w:name="_Toc38443661"/>
      <w:bookmarkStart w:id="2239" w:name="_Toc38443991"/>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sectPr w:rsidR="00BA4B87" w:rsidRPr="00CD6F5B" w:rsidSect="009E408C">
      <w:pgSz w:w="11906" w:h="16838" w:code="9"/>
      <w:pgMar w:top="1440" w:right="1800" w:bottom="1440" w:left="1800"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0D" w:rsidRDefault="00360B0D"/>
    <w:p w:rsidR="00360B0D" w:rsidRDefault="00360B0D"/>
  </w:endnote>
  <w:endnote w:type="continuationSeparator" w:id="0">
    <w:p w:rsidR="00360B0D" w:rsidRDefault="00360B0D"/>
    <w:p w:rsidR="00360B0D" w:rsidRDefault="0036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rsidP="00B17F70">
    <w:pPr>
      <w:pStyle w:val="a9"/>
      <w:ind w:firstLine="360"/>
      <w:jc w:val="center"/>
    </w:pPr>
  </w:p>
  <w:p w:rsidR="009E408C" w:rsidRPr="00391CB3" w:rsidRDefault="009E408C" w:rsidP="00391CB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64704"/>
      <w:docPartObj>
        <w:docPartGallery w:val="Page Numbers (Bottom of Page)"/>
        <w:docPartUnique/>
      </w:docPartObj>
    </w:sdtPr>
    <w:sdtEndPr/>
    <w:sdtContent>
      <w:p w:rsidR="009E408C" w:rsidRDefault="009E408C" w:rsidP="00723D30">
        <w:pPr>
          <w:pStyle w:val="a9"/>
          <w:ind w:firstLine="360"/>
          <w:jc w:val="center"/>
        </w:pPr>
        <w:r>
          <w:fldChar w:fldCharType="begin"/>
        </w:r>
        <w:r>
          <w:instrText>PAGE   \* MERGEFORMAT</w:instrText>
        </w:r>
        <w:r>
          <w:fldChar w:fldCharType="separate"/>
        </w:r>
        <w:r w:rsidR="0021754D" w:rsidRPr="0021754D">
          <w:rPr>
            <w:noProof/>
            <w:lang w:val="zh-CN"/>
          </w:rPr>
          <w:t>I</w:t>
        </w:r>
        <w:r>
          <w:fldChar w:fldCharType="end"/>
        </w:r>
      </w:p>
    </w:sdtContent>
  </w:sdt>
  <w:p w:rsidR="009E408C" w:rsidRPr="00391CB3" w:rsidRDefault="009E408C" w:rsidP="00391CB3">
    <w:pPr>
      <w:pStyle w:val="a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74" w:rsidRDefault="00D04174" w:rsidP="00F8737E">
    <w:pPr>
      <w:pStyle w:val="a9"/>
      <w:framePr w:wrap="around" w:vAnchor="text" w:hAnchor="page" w:x="5626" w:y="7"/>
      <w:ind w:firstLineChars="0" w:firstLine="0"/>
      <w:jc w:val="center"/>
      <w:rPr>
        <w:rStyle w:val="a8"/>
        <w:rFonts w:eastAsia="宋体"/>
        <w:sz w:val="21"/>
        <w:szCs w:val="24"/>
      </w:rPr>
    </w:pPr>
    <w:r>
      <w:rPr>
        <w:rStyle w:val="a8"/>
      </w:rPr>
      <w:fldChar w:fldCharType="begin"/>
    </w:r>
    <w:r>
      <w:rPr>
        <w:rStyle w:val="a8"/>
      </w:rPr>
      <w:instrText xml:space="preserve">PAGE  </w:instrText>
    </w:r>
    <w:r>
      <w:rPr>
        <w:rStyle w:val="a8"/>
      </w:rPr>
      <w:fldChar w:fldCharType="separate"/>
    </w:r>
    <w:r w:rsidR="0021754D">
      <w:rPr>
        <w:rStyle w:val="a8"/>
        <w:noProof/>
      </w:rPr>
      <w:t>19</w:t>
    </w:r>
    <w:r>
      <w:rPr>
        <w:rStyle w:val="a8"/>
      </w:rPr>
      <w:fldChar w:fldCharType="end"/>
    </w:r>
  </w:p>
  <w:p w:rsidR="00D04174" w:rsidRDefault="00D04174" w:rsidP="00F8737E">
    <w:pPr>
      <w:pStyle w:val="a9"/>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3362"/>
      <w:docPartObj>
        <w:docPartGallery w:val="Page Numbers (Bottom of Page)"/>
        <w:docPartUnique/>
      </w:docPartObj>
    </w:sdtPr>
    <w:sdtEndPr/>
    <w:sdtContent>
      <w:p w:rsidR="009E408C" w:rsidRDefault="009E408C" w:rsidP="00723D30">
        <w:pPr>
          <w:pStyle w:val="a9"/>
          <w:ind w:firstLine="360"/>
          <w:jc w:val="center"/>
        </w:pPr>
        <w:r>
          <w:fldChar w:fldCharType="begin"/>
        </w:r>
        <w:r>
          <w:instrText>PAGE   \* MERGEFORMAT</w:instrText>
        </w:r>
        <w:r>
          <w:fldChar w:fldCharType="separate"/>
        </w:r>
        <w:r w:rsidR="0021754D" w:rsidRPr="0021754D">
          <w:rPr>
            <w:noProof/>
            <w:lang w:val="zh-CN"/>
          </w:rPr>
          <w:t>130</w:t>
        </w:r>
        <w:r>
          <w:fldChar w:fldCharType="end"/>
        </w:r>
      </w:p>
    </w:sdtContent>
  </w:sdt>
  <w:p w:rsidR="009E408C" w:rsidRPr="00391CB3" w:rsidRDefault="009E408C" w:rsidP="00391CB3">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0D" w:rsidRDefault="00360B0D"/>
    <w:p w:rsidR="00360B0D" w:rsidRDefault="00360B0D"/>
  </w:footnote>
  <w:footnote w:type="continuationSeparator" w:id="0">
    <w:p w:rsidR="00360B0D" w:rsidRDefault="00360B0D"/>
    <w:p w:rsidR="00360B0D" w:rsidRDefault="00360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rsidP="0011696C">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C" w:rsidRDefault="009E408C">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5811E07"/>
    <w:multiLevelType w:val="hybridMultilevel"/>
    <w:tmpl w:val="9CA4BF84"/>
    <w:lvl w:ilvl="0" w:tplc="2534B23E">
      <w:start w:val="1"/>
      <w:numFmt w:val="decimal"/>
      <w:lvlText w:val="%1."/>
      <w:lvlJc w:val="left"/>
      <w:pPr>
        <w:ind w:left="360" w:hanging="36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3"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6"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8"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1"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2"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4"/>
  </w:num>
  <w:num w:numId="6">
    <w:abstractNumId w:val="37"/>
  </w:num>
  <w:num w:numId="7">
    <w:abstractNumId w:val="25"/>
  </w:num>
  <w:num w:numId="8">
    <w:abstractNumId w:val="17"/>
  </w:num>
  <w:num w:numId="9">
    <w:abstractNumId w:val="31"/>
  </w:num>
  <w:num w:numId="10">
    <w:abstractNumId w:val="4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5"/>
  </w:num>
  <w:num w:numId="22">
    <w:abstractNumId w:val="21"/>
  </w:num>
  <w:num w:numId="23">
    <w:abstractNumId w:val="18"/>
  </w:num>
  <w:num w:numId="24">
    <w:abstractNumId w:val="45"/>
  </w:num>
  <w:num w:numId="25">
    <w:abstractNumId w:val="14"/>
  </w:num>
  <w:num w:numId="26">
    <w:abstractNumId w:val="40"/>
  </w:num>
  <w:num w:numId="27">
    <w:abstractNumId w:val="29"/>
  </w:num>
  <w:num w:numId="28">
    <w:abstractNumId w:val="28"/>
  </w:num>
  <w:num w:numId="29">
    <w:abstractNumId w:val="16"/>
  </w:num>
  <w:num w:numId="30">
    <w:abstractNumId w:val="42"/>
  </w:num>
  <w:num w:numId="31">
    <w:abstractNumId w:val="12"/>
  </w:num>
  <w:num w:numId="32">
    <w:abstractNumId w:val="26"/>
  </w:num>
  <w:num w:numId="33">
    <w:abstractNumId w:val="11"/>
  </w:num>
  <w:num w:numId="34">
    <w:abstractNumId w:val="46"/>
  </w:num>
  <w:num w:numId="35">
    <w:abstractNumId w:val="39"/>
  </w:num>
  <w:num w:numId="36">
    <w:abstractNumId w:val="33"/>
  </w:num>
  <w:num w:numId="37">
    <w:abstractNumId w:val="36"/>
  </w:num>
  <w:num w:numId="38">
    <w:abstractNumId w:val="32"/>
  </w:num>
  <w:num w:numId="39">
    <w:abstractNumId w:val="38"/>
  </w:num>
  <w:num w:numId="40">
    <w:abstractNumId w:val="34"/>
  </w:num>
  <w:num w:numId="41">
    <w:abstractNumId w:val="41"/>
  </w:num>
  <w:num w:numId="42">
    <w:abstractNumId w:val="19"/>
  </w:num>
  <w:num w:numId="43">
    <w:abstractNumId w:val="30"/>
  </w:num>
  <w:num w:numId="44">
    <w:abstractNumId w:val="44"/>
  </w:num>
  <w:num w:numId="45">
    <w:abstractNumId w:val="20"/>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1694"/>
    <w:rsid w:val="00002696"/>
    <w:rsid w:val="00002865"/>
    <w:rsid w:val="00002E36"/>
    <w:rsid w:val="00003C24"/>
    <w:rsid w:val="00003E6C"/>
    <w:rsid w:val="000059BE"/>
    <w:rsid w:val="000064C6"/>
    <w:rsid w:val="00006C96"/>
    <w:rsid w:val="00010869"/>
    <w:rsid w:val="00010950"/>
    <w:rsid w:val="00010BE3"/>
    <w:rsid w:val="000123D9"/>
    <w:rsid w:val="0001419E"/>
    <w:rsid w:val="0001716B"/>
    <w:rsid w:val="000174AA"/>
    <w:rsid w:val="00017DA2"/>
    <w:rsid w:val="00020907"/>
    <w:rsid w:val="00020E3D"/>
    <w:rsid w:val="00021D40"/>
    <w:rsid w:val="000223BB"/>
    <w:rsid w:val="00022523"/>
    <w:rsid w:val="00023038"/>
    <w:rsid w:val="00023B6D"/>
    <w:rsid w:val="00025C20"/>
    <w:rsid w:val="00026705"/>
    <w:rsid w:val="00027992"/>
    <w:rsid w:val="00030AA1"/>
    <w:rsid w:val="00030EFE"/>
    <w:rsid w:val="00031D27"/>
    <w:rsid w:val="00031D6F"/>
    <w:rsid w:val="00031E7D"/>
    <w:rsid w:val="000335F6"/>
    <w:rsid w:val="00034445"/>
    <w:rsid w:val="00034824"/>
    <w:rsid w:val="00036C46"/>
    <w:rsid w:val="000375DA"/>
    <w:rsid w:val="000376B4"/>
    <w:rsid w:val="00042E8F"/>
    <w:rsid w:val="000432F2"/>
    <w:rsid w:val="00043C5D"/>
    <w:rsid w:val="000449AF"/>
    <w:rsid w:val="00044EFB"/>
    <w:rsid w:val="000467C2"/>
    <w:rsid w:val="00046A2F"/>
    <w:rsid w:val="00046AE8"/>
    <w:rsid w:val="00047342"/>
    <w:rsid w:val="000503C6"/>
    <w:rsid w:val="0005219D"/>
    <w:rsid w:val="00052320"/>
    <w:rsid w:val="00052C9F"/>
    <w:rsid w:val="00053030"/>
    <w:rsid w:val="00053E4C"/>
    <w:rsid w:val="0005478E"/>
    <w:rsid w:val="00055032"/>
    <w:rsid w:val="000553C5"/>
    <w:rsid w:val="000579E2"/>
    <w:rsid w:val="000602D3"/>
    <w:rsid w:val="000603E7"/>
    <w:rsid w:val="00060771"/>
    <w:rsid w:val="00061A4B"/>
    <w:rsid w:val="00062004"/>
    <w:rsid w:val="0006260C"/>
    <w:rsid w:val="00062629"/>
    <w:rsid w:val="000631C2"/>
    <w:rsid w:val="00063A03"/>
    <w:rsid w:val="000658E9"/>
    <w:rsid w:val="0006600C"/>
    <w:rsid w:val="00066D91"/>
    <w:rsid w:val="0006753C"/>
    <w:rsid w:val="00067E66"/>
    <w:rsid w:val="00070309"/>
    <w:rsid w:val="00070B41"/>
    <w:rsid w:val="000743BB"/>
    <w:rsid w:val="0007451B"/>
    <w:rsid w:val="00074579"/>
    <w:rsid w:val="00074F77"/>
    <w:rsid w:val="000751D7"/>
    <w:rsid w:val="000754B6"/>
    <w:rsid w:val="00075DC4"/>
    <w:rsid w:val="00076E39"/>
    <w:rsid w:val="00077BD0"/>
    <w:rsid w:val="00080A4A"/>
    <w:rsid w:val="00082571"/>
    <w:rsid w:val="0008426E"/>
    <w:rsid w:val="00084A0F"/>
    <w:rsid w:val="00084FF4"/>
    <w:rsid w:val="00085404"/>
    <w:rsid w:val="00085634"/>
    <w:rsid w:val="000878D9"/>
    <w:rsid w:val="00087C08"/>
    <w:rsid w:val="000900B4"/>
    <w:rsid w:val="00090469"/>
    <w:rsid w:val="00090BF0"/>
    <w:rsid w:val="00093518"/>
    <w:rsid w:val="0009363C"/>
    <w:rsid w:val="000949B9"/>
    <w:rsid w:val="00097438"/>
    <w:rsid w:val="000A0A05"/>
    <w:rsid w:val="000A1967"/>
    <w:rsid w:val="000A20AD"/>
    <w:rsid w:val="000A2307"/>
    <w:rsid w:val="000A26DC"/>
    <w:rsid w:val="000A34E2"/>
    <w:rsid w:val="000A4424"/>
    <w:rsid w:val="000A53A4"/>
    <w:rsid w:val="000A55CC"/>
    <w:rsid w:val="000A579A"/>
    <w:rsid w:val="000A63A1"/>
    <w:rsid w:val="000A7AD9"/>
    <w:rsid w:val="000A7C2A"/>
    <w:rsid w:val="000B0B17"/>
    <w:rsid w:val="000B2DD6"/>
    <w:rsid w:val="000B46DC"/>
    <w:rsid w:val="000B4ECC"/>
    <w:rsid w:val="000B5344"/>
    <w:rsid w:val="000C0730"/>
    <w:rsid w:val="000C0DAA"/>
    <w:rsid w:val="000C1A80"/>
    <w:rsid w:val="000C2B96"/>
    <w:rsid w:val="000C2D98"/>
    <w:rsid w:val="000C32FA"/>
    <w:rsid w:val="000C3945"/>
    <w:rsid w:val="000C5050"/>
    <w:rsid w:val="000C5135"/>
    <w:rsid w:val="000C6D5F"/>
    <w:rsid w:val="000D1888"/>
    <w:rsid w:val="000D3ADE"/>
    <w:rsid w:val="000D3DAB"/>
    <w:rsid w:val="000D4DF8"/>
    <w:rsid w:val="000D57B6"/>
    <w:rsid w:val="000D6139"/>
    <w:rsid w:val="000D7E67"/>
    <w:rsid w:val="000E1148"/>
    <w:rsid w:val="000E1757"/>
    <w:rsid w:val="000E197D"/>
    <w:rsid w:val="000E23C6"/>
    <w:rsid w:val="000E2BA4"/>
    <w:rsid w:val="000E2F9E"/>
    <w:rsid w:val="000E39F0"/>
    <w:rsid w:val="000E464D"/>
    <w:rsid w:val="000E46D7"/>
    <w:rsid w:val="000E5076"/>
    <w:rsid w:val="000E61BA"/>
    <w:rsid w:val="000E6D1C"/>
    <w:rsid w:val="000E6F15"/>
    <w:rsid w:val="000E7413"/>
    <w:rsid w:val="000F1803"/>
    <w:rsid w:val="000F217C"/>
    <w:rsid w:val="000F2807"/>
    <w:rsid w:val="000F2C37"/>
    <w:rsid w:val="000F3DCD"/>
    <w:rsid w:val="000F50EC"/>
    <w:rsid w:val="000F5558"/>
    <w:rsid w:val="000F595F"/>
    <w:rsid w:val="000F6E21"/>
    <w:rsid w:val="000F74D8"/>
    <w:rsid w:val="000F74E9"/>
    <w:rsid w:val="000F75E1"/>
    <w:rsid w:val="000F77C3"/>
    <w:rsid w:val="000F79C6"/>
    <w:rsid w:val="00101ABE"/>
    <w:rsid w:val="001029BF"/>
    <w:rsid w:val="00103317"/>
    <w:rsid w:val="00103C99"/>
    <w:rsid w:val="00104072"/>
    <w:rsid w:val="00104270"/>
    <w:rsid w:val="00104621"/>
    <w:rsid w:val="00104D83"/>
    <w:rsid w:val="00105C2A"/>
    <w:rsid w:val="00105DA3"/>
    <w:rsid w:val="0010655B"/>
    <w:rsid w:val="0010689F"/>
    <w:rsid w:val="001075C2"/>
    <w:rsid w:val="00107E28"/>
    <w:rsid w:val="0011071E"/>
    <w:rsid w:val="0011115D"/>
    <w:rsid w:val="001111DA"/>
    <w:rsid w:val="0011137D"/>
    <w:rsid w:val="00111483"/>
    <w:rsid w:val="00111550"/>
    <w:rsid w:val="00112630"/>
    <w:rsid w:val="001138AD"/>
    <w:rsid w:val="00114CB9"/>
    <w:rsid w:val="00115ED5"/>
    <w:rsid w:val="001162DC"/>
    <w:rsid w:val="0011681E"/>
    <w:rsid w:val="0011696C"/>
    <w:rsid w:val="001175C0"/>
    <w:rsid w:val="001176C5"/>
    <w:rsid w:val="001177E6"/>
    <w:rsid w:val="00117AF6"/>
    <w:rsid w:val="001200B4"/>
    <w:rsid w:val="00120226"/>
    <w:rsid w:val="00121AB8"/>
    <w:rsid w:val="001260F5"/>
    <w:rsid w:val="001265F5"/>
    <w:rsid w:val="001273F1"/>
    <w:rsid w:val="0012770D"/>
    <w:rsid w:val="001308D7"/>
    <w:rsid w:val="00130A00"/>
    <w:rsid w:val="00130E9A"/>
    <w:rsid w:val="001318DA"/>
    <w:rsid w:val="00132C86"/>
    <w:rsid w:val="00133009"/>
    <w:rsid w:val="00133D96"/>
    <w:rsid w:val="0013422A"/>
    <w:rsid w:val="001342DE"/>
    <w:rsid w:val="00135E76"/>
    <w:rsid w:val="00135EF2"/>
    <w:rsid w:val="001369FA"/>
    <w:rsid w:val="00137632"/>
    <w:rsid w:val="00137C27"/>
    <w:rsid w:val="00137DAD"/>
    <w:rsid w:val="00140387"/>
    <w:rsid w:val="001404C8"/>
    <w:rsid w:val="00140905"/>
    <w:rsid w:val="0014103F"/>
    <w:rsid w:val="0014139C"/>
    <w:rsid w:val="00141518"/>
    <w:rsid w:val="00141DBD"/>
    <w:rsid w:val="00142DCB"/>
    <w:rsid w:val="00143612"/>
    <w:rsid w:val="001441C7"/>
    <w:rsid w:val="001461B1"/>
    <w:rsid w:val="00146C0A"/>
    <w:rsid w:val="0014722D"/>
    <w:rsid w:val="001474BD"/>
    <w:rsid w:val="00147A68"/>
    <w:rsid w:val="0015192A"/>
    <w:rsid w:val="001544E7"/>
    <w:rsid w:val="00154FCA"/>
    <w:rsid w:val="00155475"/>
    <w:rsid w:val="00157CDF"/>
    <w:rsid w:val="00157F52"/>
    <w:rsid w:val="00157F9D"/>
    <w:rsid w:val="001611D1"/>
    <w:rsid w:val="00161329"/>
    <w:rsid w:val="001616AD"/>
    <w:rsid w:val="00161887"/>
    <w:rsid w:val="001618F9"/>
    <w:rsid w:val="00161CFC"/>
    <w:rsid w:val="0016274E"/>
    <w:rsid w:val="00162EEB"/>
    <w:rsid w:val="00163296"/>
    <w:rsid w:val="0016332A"/>
    <w:rsid w:val="001634D6"/>
    <w:rsid w:val="00163592"/>
    <w:rsid w:val="0016381A"/>
    <w:rsid w:val="00163C31"/>
    <w:rsid w:val="00164C1E"/>
    <w:rsid w:val="00164DEB"/>
    <w:rsid w:val="00164EE8"/>
    <w:rsid w:val="00165927"/>
    <w:rsid w:val="001678FB"/>
    <w:rsid w:val="0017025E"/>
    <w:rsid w:val="001711A1"/>
    <w:rsid w:val="00172767"/>
    <w:rsid w:val="0017289D"/>
    <w:rsid w:val="001735E3"/>
    <w:rsid w:val="00175112"/>
    <w:rsid w:val="00175BD6"/>
    <w:rsid w:val="001769C4"/>
    <w:rsid w:val="00177EF8"/>
    <w:rsid w:val="00181439"/>
    <w:rsid w:val="00181D5A"/>
    <w:rsid w:val="001832FF"/>
    <w:rsid w:val="00184282"/>
    <w:rsid w:val="00184DA2"/>
    <w:rsid w:val="00184EE9"/>
    <w:rsid w:val="00184F77"/>
    <w:rsid w:val="00185147"/>
    <w:rsid w:val="0018555E"/>
    <w:rsid w:val="001856A1"/>
    <w:rsid w:val="0018590F"/>
    <w:rsid w:val="00185994"/>
    <w:rsid w:val="001864CA"/>
    <w:rsid w:val="00186C6C"/>
    <w:rsid w:val="00187C2E"/>
    <w:rsid w:val="00192A21"/>
    <w:rsid w:val="00192ED6"/>
    <w:rsid w:val="00192FAC"/>
    <w:rsid w:val="001930AD"/>
    <w:rsid w:val="00193187"/>
    <w:rsid w:val="00194665"/>
    <w:rsid w:val="0019491D"/>
    <w:rsid w:val="00194A61"/>
    <w:rsid w:val="00194C12"/>
    <w:rsid w:val="0019543C"/>
    <w:rsid w:val="0019706E"/>
    <w:rsid w:val="001977D2"/>
    <w:rsid w:val="0019799A"/>
    <w:rsid w:val="00197EF8"/>
    <w:rsid w:val="001A1646"/>
    <w:rsid w:val="001A1688"/>
    <w:rsid w:val="001A22B1"/>
    <w:rsid w:val="001A3931"/>
    <w:rsid w:val="001A483B"/>
    <w:rsid w:val="001A5992"/>
    <w:rsid w:val="001A599B"/>
    <w:rsid w:val="001A6348"/>
    <w:rsid w:val="001B1385"/>
    <w:rsid w:val="001B18F3"/>
    <w:rsid w:val="001B1C0C"/>
    <w:rsid w:val="001B2270"/>
    <w:rsid w:val="001B39DD"/>
    <w:rsid w:val="001B4912"/>
    <w:rsid w:val="001B52A6"/>
    <w:rsid w:val="001B5D97"/>
    <w:rsid w:val="001B6D35"/>
    <w:rsid w:val="001B71AC"/>
    <w:rsid w:val="001B7A7F"/>
    <w:rsid w:val="001C049E"/>
    <w:rsid w:val="001C0676"/>
    <w:rsid w:val="001C1088"/>
    <w:rsid w:val="001C175C"/>
    <w:rsid w:val="001C2D6B"/>
    <w:rsid w:val="001C47F7"/>
    <w:rsid w:val="001C4D6F"/>
    <w:rsid w:val="001C54CA"/>
    <w:rsid w:val="001C555F"/>
    <w:rsid w:val="001C5A87"/>
    <w:rsid w:val="001C5C6E"/>
    <w:rsid w:val="001C5F3E"/>
    <w:rsid w:val="001C626A"/>
    <w:rsid w:val="001D047F"/>
    <w:rsid w:val="001D10FC"/>
    <w:rsid w:val="001D2766"/>
    <w:rsid w:val="001D2A4F"/>
    <w:rsid w:val="001D2AE6"/>
    <w:rsid w:val="001D3F31"/>
    <w:rsid w:val="001D4386"/>
    <w:rsid w:val="001D44E2"/>
    <w:rsid w:val="001D4770"/>
    <w:rsid w:val="001D4B9C"/>
    <w:rsid w:val="001D6645"/>
    <w:rsid w:val="001D676B"/>
    <w:rsid w:val="001D6D8B"/>
    <w:rsid w:val="001D7542"/>
    <w:rsid w:val="001D76FC"/>
    <w:rsid w:val="001E1D8F"/>
    <w:rsid w:val="001E21EE"/>
    <w:rsid w:val="001E2C67"/>
    <w:rsid w:val="001E3849"/>
    <w:rsid w:val="001E49F5"/>
    <w:rsid w:val="001E4C2E"/>
    <w:rsid w:val="001E5840"/>
    <w:rsid w:val="001E5FFC"/>
    <w:rsid w:val="001E6198"/>
    <w:rsid w:val="001E6708"/>
    <w:rsid w:val="001E6AB4"/>
    <w:rsid w:val="001E6D5B"/>
    <w:rsid w:val="001E7E40"/>
    <w:rsid w:val="001F12B2"/>
    <w:rsid w:val="001F3F96"/>
    <w:rsid w:val="001F46AD"/>
    <w:rsid w:val="001F51BD"/>
    <w:rsid w:val="001F541B"/>
    <w:rsid w:val="001F59B1"/>
    <w:rsid w:val="001F7874"/>
    <w:rsid w:val="00200FA2"/>
    <w:rsid w:val="002010A5"/>
    <w:rsid w:val="00202C71"/>
    <w:rsid w:val="00202CA0"/>
    <w:rsid w:val="002030F5"/>
    <w:rsid w:val="002034E4"/>
    <w:rsid w:val="0020350B"/>
    <w:rsid w:val="002039C9"/>
    <w:rsid w:val="00203E1F"/>
    <w:rsid w:val="00204E42"/>
    <w:rsid w:val="00205733"/>
    <w:rsid w:val="00205D7C"/>
    <w:rsid w:val="00206F26"/>
    <w:rsid w:val="00207A37"/>
    <w:rsid w:val="0021008F"/>
    <w:rsid w:val="00210543"/>
    <w:rsid w:val="0021171D"/>
    <w:rsid w:val="0021184E"/>
    <w:rsid w:val="0021301E"/>
    <w:rsid w:val="0021302E"/>
    <w:rsid w:val="00214437"/>
    <w:rsid w:val="0021491A"/>
    <w:rsid w:val="00214A68"/>
    <w:rsid w:val="00215990"/>
    <w:rsid w:val="002167C7"/>
    <w:rsid w:val="00216C41"/>
    <w:rsid w:val="0021754D"/>
    <w:rsid w:val="00217983"/>
    <w:rsid w:val="00220242"/>
    <w:rsid w:val="002204E3"/>
    <w:rsid w:val="00220D0C"/>
    <w:rsid w:val="00220FA0"/>
    <w:rsid w:val="002213EA"/>
    <w:rsid w:val="002214F8"/>
    <w:rsid w:val="002221EE"/>
    <w:rsid w:val="00222A41"/>
    <w:rsid w:val="002233ED"/>
    <w:rsid w:val="00224477"/>
    <w:rsid w:val="0022545D"/>
    <w:rsid w:val="00225B09"/>
    <w:rsid w:val="00225CA1"/>
    <w:rsid w:val="00225DC8"/>
    <w:rsid w:val="00226D90"/>
    <w:rsid w:val="00227C8C"/>
    <w:rsid w:val="00232498"/>
    <w:rsid w:val="0023277E"/>
    <w:rsid w:val="0023500E"/>
    <w:rsid w:val="00236C12"/>
    <w:rsid w:val="00240A4A"/>
    <w:rsid w:val="002429D0"/>
    <w:rsid w:val="0024354F"/>
    <w:rsid w:val="0024468D"/>
    <w:rsid w:val="00244BC7"/>
    <w:rsid w:val="00244FEE"/>
    <w:rsid w:val="00245D63"/>
    <w:rsid w:val="00246735"/>
    <w:rsid w:val="002522C1"/>
    <w:rsid w:val="002536D4"/>
    <w:rsid w:val="0025451A"/>
    <w:rsid w:val="0025474D"/>
    <w:rsid w:val="00254814"/>
    <w:rsid w:val="00254B5E"/>
    <w:rsid w:val="00254F5B"/>
    <w:rsid w:val="00255427"/>
    <w:rsid w:val="002567AE"/>
    <w:rsid w:val="00256D0B"/>
    <w:rsid w:val="00257225"/>
    <w:rsid w:val="00260637"/>
    <w:rsid w:val="002607A0"/>
    <w:rsid w:val="0026172B"/>
    <w:rsid w:val="0026173F"/>
    <w:rsid w:val="00262128"/>
    <w:rsid w:val="00262C89"/>
    <w:rsid w:val="0026340B"/>
    <w:rsid w:val="00263C50"/>
    <w:rsid w:val="002641DD"/>
    <w:rsid w:val="0026526E"/>
    <w:rsid w:val="00265506"/>
    <w:rsid w:val="00265BF8"/>
    <w:rsid w:val="00266197"/>
    <w:rsid w:val="00266EA9"/>
    <w:rsid w:val="00270998"/>
    <w:rsid w:val="00271129"/>
    <w:rsid w:val="00271D34"/>
    <w:rsid w:val="0027317F"/>
    <w:rsid w:val="00273BF7"/>
    <w:rsid w:val="00273DB7"/>
    <w:rsid w:val="0027593E"/>
    <w:rsid w:val="00275DD5"/>
    <w:rsid w:val="00276939"/>
    <w:rsid w:val="0027774D"/>
    <w:rsid w:val="00277A71"/>
    <w:rsid w:val="00277C2E"/>
    <w:rsid w:val="00277E02"/>
    <w:rsid w:val="00280B51"/>
    <w:rsid w:val="0028349F"/>
    <w:rsid w:val="002839AA"/>
    <w:rsid w:val="00283D42"/>
    <w:rsid w:val="00284C03"/>
    <w:rsid w:val="0028530B"/>
    <w:rsid w:val="00285C23"/>
    <w:rsid w:val="00285D09"/>
    <w:rsid w:val="00286732"/>
    <w:rsid w:val="00287884"/>
    <w:rsid w:val="0029195F"/>
    <w:rsid w:val="00294408"/>
    <w:rsid w:val="002945F3"/>
    <w:rsid w:val="00294DE8"/>
    <w:rsid w:val="00294E59"/>
    <w:rsid w:val="00295BF8"/>
    <w:rsid w:val="00295BFB"/>
    <w:rsid w:val="00295EFB"/>
    <w:rsid w:val="00295F5B"/>
    <w:rsid w:val="00296231"/>
    <w:rsid w:val="00296530"/>
    <w:rsid w:val="0029658E"/>
    <w:rsid w:val="002967FD"/>
    <w:rsid w:val="00296B7B"/>
    <w:rsid w:val="00296BBB"/>
    <w:rsid w:val="00297620"/>
    <w:rsid w:val="00297FCF"/>
    <w:rsid w:val="002A002C"/>
    <w:rsid w:val="002A0164"/>
    <w:rsid w:val="002A01E3"/>
    <w:rsid w:val="002A01EE"/>
    <w:rsid w:val="002A1A17"/>
    <w:rsid w:val="002A1D23"/>
    <w:rsid w:val="002A2D0D"/>
    <w:rsid w:val="002A31B3"/>
    <w:rsid w:val="002A31EB"/>
    <w:rsid w:val="002A3F28"/>
    <w:rsid w:val="002A42BE"/>
    <w:rsid w:val="002A4512"/>
    <w:rsid w:val="002A4882"/>
    <w:rsid w:val="002A4BA1"/>
    <w:rsid w:val="002A4D62"/>
    <w:rsid w:val="002A6A03"/>
    <w:rsid w:val="002A6A89"/>
    <w:rsid w:val="002A6C6A"/>
    <w:rsid w:val="002A7144"/>
    <w:rsid w:val="002A7407"/>
    <w:rsid w:val="002B115A"/>
    <w:rsid w:val="002B19B1"/>
    <w:rsid w:val="002B59D7"/>
    <w:rsid w:val="002B5DDF"/>
    <w:rsid w:val="002B6825"/>
    <w:rsid w:val="002B7567"/>
    <w:rsid w:val="002C1966"/>
    <w:rsid w:val="002C2A96"/>
    <w:rsid w:val="002C406A"/>
    <w:rsid w:val="002C4793"/>
    <w:rsid w:val="002C6AE9"/>
    <w:rsid w:val="002C751B"/>
    <w:rsid w:val="002D0C0F"/>
    <w:rsid w:val="002D2324"/>
    <w:rsid w:val="002D497A"/>
    <w:rsid w:val="002D4D63"/>
    <w:rsid w:val="002D4D6B"/>
    <w:rsid w:val="002D6C8F"/>
    <w:rsid w:val="002D6E75"/>
    <w:rsid w:val="002D760F"/>
    <w:rsid w:val="002D7B92"/>
    <w:rsid w:val="002E0541"/>
    <w:rsid w:val="002E0E3F"/>
    <w:rsid w:val="002E1C38"/>
    <w:rsid w:val="002E23EA"/>
    <w:rsid w:val="002E2804"/>
    <w:rsid w:val="002E2D8D"/>
    <w:rsid w:val="002E2EEC"/>
    <w:rsid w:val="002E37B0"/>
    <w:rsid w:val="002E4490"/>
    <w:rsid w:val="002E44B0"/>
    <w:rsid w:val="002E483A"/>
    <w:rsid w:val="002E4B64"/>
    <w:rsid w:val="002E52B8"/>
    <w:rsid w:val="002E55B7"/>
    <w:rsid w:val="002E681B"/>
    <w:rsid w:val="002F042E"/>
    <w:rsid w:val="002F2C91"/>
    <w:rsid w:val="002F34A3"/>
    <w:rsid w:val="002F3E13"/>
    <w:rsid w:val="002F4153"/>
    <w:rsid w:val="002F4363"/>
    <w:rsid w:val="002F4D82"/>
    <w:rsid w:val="002F54D4"/>
    <w:rsid w:val="002F62DA"/>
    <w:rsid w:val="002F6500"/>
    <w:rsid w:val="002F6B43"/>
    <w:rsid w:val="002F7481"/>
    <w:rsid w:val="00300A25"/>
    <w:rsid w:val="003015CC"/>
    <w:rsid w:val="00301930"/>
    <w:rsid w:val="003028F5"/>
    <w:rsid w:val="0030404A"/>
    <w:rsid w:val="00305674"/>
    <w:rsid w:val="003059D7"/>
    <w:rsid w:val="00307504"/>
    <w:rsid w:val="00310E26"/>
    <w:rsid w:val="00311045"/>
    <w:rsid w:val="00311114"/>
    <w:rsid w:val="003112AE"/>
    <w:rsid w:val="00311E99"/>
    <w:rsid w:val="0031344C"/>
    <w:rsid w:val="003134A5"/>
    <w:rsid w:val="0031498B"/>
    <w:rsid w:val="00316967"/>
    <w:rsid w:val="003173D1"/>
    <w:rsid w:val="0031746F"/>
    <w:rsid w:val="003176F2"/>
    <w:rsid w:val="00317FD7"/>
    <w:rsid w:val="00321BD0"/>
    <w:rsid w:val="0032452F"/>
    <w:rsid w:val="00324612"/>
    <w:rsid w:val="0032513B"/>
    <w:rsid w:val="00325E94"/>
    <w:rsid w:val="003261CF"/>
    <w:rsid w:val="00326CD2"/>
    <w:rsid w:val="003273AD"/>
    <w:rsid w:val="00327B53"/>
    <w:rsid w:val="00330CCD"/>
    <w:rsid w:val="00330E4A"/>
    <w:rsid w:val="00331853"/>
    <w:rsid w:val="0033341E"/>
    <w:rsid w:val="003336EE"/>
    <w:rsid w:val="00335663"/>
    <w:rsid w:val="00335929"/>
    <w:rsid w:val="00336FF7"/>
    <w:rsid w:val="00337CDE"/>
    <w:rsid w:val="00340785"/>
    <w:rsid w:val="00341586"/>
    <w:rsid w:val="00341654"/>
    <w:rsid w:val="003416A9"/>
    <w:rsid w:val="00341F1D"/>
    <w:rsid w:val="003438A8"/>
    <w:rsid w:val="00346008"/>
    <w:rsid w:val="00347113"/>
    <w:rsid w:val="003478B3"/>
    <w:rsid w:val="003513E8"/>
    <w:rsid w:val="003527CA"/>
    <w:rsid w:val="00353734"/>
    <w:rsid w:val="003541F9"/>
    <w:rsid w:val="0035575C"/>
    <w:rsid w:val="00356DC1"/>
    <w:rsid w:val="00357E23"/>
    <w:rsid w:val="00360A83"/>
    <w:rsid w:val="00360B0D"/>
    <w:rsid w:val="003615CA"/>
    <w:rsid w:val="00361ABE"/>
    <w:rsid w:val="00362EB6"/>
    <w:rsid w:val="003641B1"/>
    <w:rsid w:val="003642CC"/>
    <w:rsid w:val="00364B7A"/>
    <w:rsid w:val="00364C92"/>
    <w:rsid w:val="003656D0"/>
    <w:rsid w:val="003657BA"/>
    <w:rsid w:val="0036656D"/>
    <w:rsid w:val="00366CF1"/>
    <w:rsid w:val="003673DB"/>
    <w:rsid w:val="00367E73"/>
    <w:rsid w:val="003712BD"/>
    <w:rsid w:val="003712D8"/>
    <w:rsid w:val="003713F0"/>
    <w:rsid w:val="00371919"/>
    <w:rsid w:val="00372583"/>
    <w:rsid w:val="00373415"/>
    <w:rsid w:val="00373CD1"/>
    <w:rsid w:val="0037563B"/>
    <w:rsid w:val="003758D9"/>
    <w:rsid w:val="00377E71"/>
    <w:rsid w:val="0038042C"/>
    <w:rsid w:val="00381D1E"/>
    <w:rsid w:val="00381E28"/>
    <w:rsid w:val="003829BD"/>
    <w:rsid w:val="00384BF7"/>
    <w:rsid w:val="003856F5"/>
    <w:rsid w:val="00385D84"/>
    <w:rsid w:val="003875A4"/>
    <w:rsid w:val="00391B65"/>
    <w:rsid w:val="00391B71"/>
    <w:rsid w:val="00391CB3"/>
    <w:rsid w:val="0039284A"/>
    <w:rsid w:val="0039359A"/>
    <w:rsid w:val="0039465D"/>
    <w:rsid w:val="00395363"/>
    <w:rsid w:val="0039579C"/>
    <w:rsid w:val="003957A6"/>
    <w:rsid w:val="00396B2A"/>
    <w:rsid w:val="003973FB"/>
    <w:rsid w:val="00397E25"/>
    <w:rsid w:val="003A0590"/>
    <w:rsid w:val="003A28A8"/>
    <w:rsid w:val="003A33BB"/>
    <w:rsid w:val="003A38EE"/>
    <w:rsid w:val="003A3C86"/>
    <w:rsid w:val="003A5BD2"/>
    <w:rsid w:val="003A5F2C"/>
    <w:rsid w:val="003A6005"/>
    <w:rsid w:val="003A6E49"/>
    <w:rsid w:val="003A729D"/>
    <w:rsid w:val="003B25BA"/>
    <w:rsid w:val="003B2791"/>
    <w:rsid w:val="003B2BFC"/>
    <w:rsid w:val="003B31D8"/>
    <w:rsid w:val="003B3BF6"/>
    <w:rsid w:val="003B3D18"/>
    <w:rsid w:val="003B477C"/>
    <w:rsid w:val="003B48EE"/>
    <w:rsid w:val="003B4A25"/>
    <w:rsid w:val="003B4F01"/>
    <w:rsid w:val="003B529B"/>
    <w:rsid w:val="003B592E"/>
    <w:rsid w:val="003B6294"/>
    <w:rsid w:val="003B63BF"/>
    <w:rsid w:val="003B6713"/>
    <w:rsid w:val="003B6ED4"/>
    <w:rsid w:val="003B79A5"/>
    <w:rsid w:val="003B7ACA"/>
    <w:rsid w:val="003B7D5C"/>
    <w:rsid w:val="003B7DEA"/>
    <w:rsid w:val="003C0FDA"/>
    <w:rsid w:val="003C1B43"/>
    <w:rsid w:val="003C1F97"/>
    <w:rsid w:val="003C209E"/>
    <w:rsid w:val="003C2593"/>
    <w:rsid w:val="003C360C"/>
    <w:rsid w:val="003C4F08"/>
    <w:rsid w:val="003C516A"/>
    <w:rsid w:val="003C690D"/>
    <w:rsid w:val="003C7135"/>
    <w:rsid w:val="003D0662"/>
    <w:rsid w:val="003D0D0C"/>
    <w:rsid w:val="003D128C"/>
    <w:rsid w:val="003D1689"/>
    <w:rsid w:val="003D35FC"/>
    <w:rsid w:val="003D3F7C"/>
    <w:rsid w:val="003D3FB5"/>
    <w:rsid w:val="003D4070"/>
    <w:rsid w:val="003D5CA6"/>
    <w:rsid w:val="003D710C"/>
    <w:rsid w:val="003E060A"/>
    <w:rsid w:val="003E0E9A"/>
    <w:rsid w:val="003E1279"/>
    <w:rsid w:val="003E1B60"/>
    <w:rsid w:val="003E4BD9"/>
    <w:rsid w:val="003E50DB"/>
    <w:rsid w:val="003E682C"/>
    <w:rsid w:val="003E6EF3"/>
    <w:rsid w:val="003E6FE4"/>
    <w:rsid w:val="003E727E"/>
    <w:rsid w:val="003F0109"/>
    <w:rsid w:val="003F08A3"/>
    <w:rsid w:val="003F0C97"/>
    <w:rsid w:val="003F1E3F"/>
    <w:rsid w:val="003F2AFC"/>
    <w:rsid w:val="003F6B42"/>
    <w:rsid w:val="003F71D4"/>
    <w:rsid w:val="003F7B38"/>
    <w:rsid w:val="00400336"/>
    <w:rsid w:val="004007A5"/>
    <w:rsid w:val="00401BBA"/>
    <w:rsid w:val="00401F67"/>
    <w:rsid w:val="0040246E"/>
    <w:rsid w:val="004055A7"/>
    <w:rsid w:val="0040645F"/>
    <w:rsid w:val="00406BA8"/>
    <w:rsid w:val="00406C29"/>
    <w:rsid w:val="00406E33"/>
    <w:rsid w:val="00411812"/>
    <w:rsid w:val="004136DF"/>
    <w:rsid w:val="00414D4E"/>
    <w:rsid w:val="004156D6"/>
    <w:rsid w:val="004164CA"/>
    <w:rsid w:val="004168C6"/>
    <w:rsid w:val="004175EE"/>
    <w:rsid w:val="00421AA6"/>
    <w:rsid w:val="004229EF"/>
    <w:rsid w:val="004242AF"/>
    <w:rsid w:val="00424524"/>
    <w:rsid w:val="00424CA9"/>
    <w:rsid w:val="00425DE7"/>
    <w:rsid w:val="00426A18"/>
    <w:rsid w:val="00427C27"/>
    <w:rsid w:val="004304D3"/>
    <w:rsid w:val="004311BF"/>
    <w:rsid w:val="004314F0"/>
    <w:rsid w:val="004327CF"/>
    <w:rsid w:val="00432D6D"/>
    <w:rsid w:val="0043354B"/>
    <w:rsid w:val="00434E81"/>
    <w:rsid w:val="004362AE"/>
    <w:rsid w:val="00436505"/>
    <w:rsid w:val="004376BF"/>
    <w:rsid w:val="00437972"/>
    <w:rsid w:val="00437B7D"/>
    <w:rsid w:val="0044087D"/>
    <w:rsid w:val="00440CFF"/>
    <w:rsid w:val="00441AD4"/>
    <w:rsid w:val="00441FDD"/>
    <w:rsid w:val="0044276E"/>
    <w:rsid w:val="004428C2"/>
    <w:rsid w:val="00442D62"/>
    <w:rsid w:val="004447C9"/>
    <w:rsid w:val="0044589F"/>
    <w:rsid w:val="004468BE"/>
    <w:rsid w:val="00450463"/>
    <w:rsid w:val="00451C03"/>
    <w:rsid w:val="004528A0"/>
    <w:rsid w:val="004531B8"/>
    <w:rsid w:val="00453476"/>
    <w:rsid w:val="00456845"/>
    <w:rsid w:val="00457737"/>
    <w:rsid w:val="004579C6"/>
    <w:rsid w:val="00457F31"/>
    <w:rsid w:val="00460056"/>
    <w:rsid w:val="00460D6A"/>
    <w:rsid w:val="00460FC3"/>
    <w:rsid w:val="00461A51"/>
    <w:rsid w:val="00461ADF"/>
    <w:rsid w:val="00462BFF"/>
    <w:rsid w:val="00462FB4"/>
    <w:rsid w:val="004648B1"/>
    <w:rsid w:val="00465843"/>
    <w:rsid w:val="004658A8"/>
    <w:rsid w:val="00465B16"/>
    <w:rsid w:val="00470183"/>
    <w:rsid w:val="0047093B"/>
    <w:rsid w:val="00473E1C"/>
    <w:rsid w:val="004742D1"/>
    <w:rsid w:val="00474BBB"/>
    <w:rsid w:val="00476494"/>
    <w:rsid w:val="00476562"/>
    <w:rsid w:val="00476CC0"/>
    <w:rsid w:val="004810C7"/>
    <w:rsid w:val="0048242D"/>
    <w:rsid w:val="00482A91"/>
    <w:rsid w:val="004830C3"/>
    <w:rsid w:val="00483B72"/>
    <w:rsid w:val="004841A3"/>
    <w:rsid w:val="004845BE"/>
    <w:rsid w:val="0048496B"/>
    <w:rsid w:val="004860FB"/>
    <w:rsid w:val="00486586"/>
    <w:rsid w:val="00486679"/>
    <w:rsid w:val="004872AA"/>
    <w:rsid w:val="0049014C"/>
    <w:rsid w:val="004918F3"/>
    <w:rsid w:val="00494F64"/>
    <w:rsid w:val="004954BA"/>
    <w:rsid w:val="004961CE"/>
    <w:rsid w:val="0049627A"/>
    <w:rsid w:val="0049633F"/>
    <w:rsid w:val="004A0413"/>
    <w:rsid w:val="004A0874"/>
    <w:rsid w:val="004A08B7"/>
    <w:rsid w:val="004A1234"/>
    <w:rsid w:val="004A1381"/>
    <w:rsid w:val="004A2685"/>
    <w:rsid w:val="004A2B98"/>
    <w:rsid w:val="004A36EA"/>
    <w:rsid w:val="004A37C6"/>
    <w:rsid w:val="004A3E71"/>
    <w:rsid w:val="004B1ECF"/>
    <w:rsid w:val="004B2078"/>
    <w:rsid w:val="004B3B54"/>
    <w:rsid w:val="004B3D9B"/>
    <w:rsid w:val="004B3F2B"/>
    <w:rsid w:val="004B4C25"/>
    <w:rsid w:val="004B4DB5"/>
    <w:rsid w:val="004B5A70"/>
    <w:rsid w:val="004B5AC2"/>
    <w:rsid w:val="004B618C"/>
    <w:rsid w:val="004B6FDB"/>
    <w:rsid w:val="004B79E5"/>
    <w:rsid w:val="004B7FD7"/>
    <w:rsid w:val="004C0F6D"/>
    <w:rsid w:val="004C19D4"/>
    <w:rsid w:val="004C2117"/>
    <w:rsid w:val="004C2EDE"/>
    <w:rsid w:val="004C3401"/>
    <w:rsid w:val="004C392E"/>
    <w:rsid w:val="004C3BA4"/>
    <w:rsid w:val="004C3F19"/>
    <w:rsid w:val="004C5B60"/>
    <w:rsid w:val="004C5ED1"/>
    <w:rsid w:val="004C6B7E"/>
    <w:rsid w:val="004D0A82"/>
    <w:rsid w:val="004D0BD7"/>
    <w:rsid w:val="004D1CBA"/>
    <w:rsid w:val="004D254B"/>
    <w:rsid w:val="004D263A"/>
    <w:rsid w:val="004D2EBF"/>
    <w:rsid w:val="004D37E3"/>
    <w:rsid w:val="004D482E"/>
    <w:rsid w:val="004D4C3B"/>
    <w:rsid w:val="004D4E4B"/>
    <w:rsid w:val="004D5638"/>
    <w:rsid w:val="004D6E23"/>
    <w:rsid w:val="004D7FB2"/>
    <w:rsid w:val="004E01A1"/>
    <w:rsid w:val="004E0625"/>
    <w:rsid w:val="004E131A"/>
    <w:rsid w:val="004E17C5"/>
    <w:rsid w:val="004E2AD4"/>
    <w:rsid w:val="004E3CA7"/>
    <w:rsid w:val="004E53CE"/>
    <w:rsid w:val="004E5DA9"/>
    <w:rsid w:val="004E67B3"/>
    <w:rsid w:val="004E7B55"/>
    <w:rsid w:val="004F0442"/>
    <w:rsid w:val="004F10EA"/>
    <w:rsid w:val="004F2A90"/>
    <w:rsid w:val="004F36EF"/>
    <w:rsid w:val="004F479D"/>
    <w:rsid w:val="004F4D4C"/>
    <w:rsid w:val="004F5393"/>
    <w:rsid w:val="004F5D53"/>
    <w:rsid w:val="004F600A"/>
    <w:rsid w:val="004F637B"/>
    <w:rsid w:val="004F7262"/>
    <w:rsid w:val="004F7BB1"/>
    <w:rsid w:val="00500795"/>
    <w:rsid w:val="00501BC7"/>
    <w:rsid w:val="005029B7"/>
    <w:rsid w:val="0050397E"/>
    <w:rsid w:val="005044D0"/>
    <w:rsid w:val="0050455E"/>
    <w:rsid w:val="005047AC"/>
    <w:rsid w:val="00505139"/>
    <w:rsid w:val="0050604C"/>
    <w:rsid w:val="005060A4"/>
    <w:rsid w:val="00510390"/>
    <w:rsid w:val="00510BFE"/>
    <w:rsid w:val="00511381"/>
    <w:rsid w:val="005124FF"/>
    <w:rsid w:val="005125A2"/>
    <w:rsid w:val="00512F9F"/>
    <w:rsid w:val="00515405"/>
    <w:rsid w:val="00517E11"/>
    <w:rsid w:val="005206B8"/>
    <w:rsid w:val="005218D4"/>
    <w:rsid w:val="00521972"/>
    <w:rsid w:val="00524616"/>
    <w:rsid w:val="00524AA8"/>
    <w:rsid w:val="00524EB0"/>
    <w:rsid w:val="00525B2D"/>
    <w:rsid w:val="0052677C"/>
    <w:rsid w:val="00526AAE"/>
    <w:rsid w:val="00527DC7"/>
    <w:rsid w:val="00531253"/>
    <w:rsid w:val="005327F5"/>
    <w:rsid w:val="00532E43"/>
    <w:rsid w:val="00532F60"/>
    <w:rsid w:val="00533D5A"/>
    <w:rsid w:val="00534A8E"/>
    <w:rsid w:val="00534E7C"/>
    <w:rsid w:val="00536174"/>
    <w:rsid w:val="005363F6"/>
    <w:rsid w:val="0053644E"/>
    <w:rsid w:val="0053676A"/>
    <w:rsid w:val="00536E2A"/>
    <w:rsid w:val="00537805"/>
    <w:rsid w:val="00537D78"/>
    <w:rsid w:val="00541082"/>
    <w:rsid w:val="005411F2"/>
    <w:rsid w:val="005415A9"/>
    <w:rsid w:val="00541D63"/>
    <w:rsid w:val="0054490D"/>
    <w:rsid w:val="00544BFE"/>
    <w:rsid w:val="00545CAE"/>
    <w:rsid w:val="0054622C"/>
    <w:rsid w:val="00546B7B"/>
    <w:rsid w:val="00547620"/>
    <w:rsid w:val="00547CB9"/>
    <w:rsid w:val="00550181"/>
    <w:rsid w:val="00550ADC"/>
    <w:rsid w:val="0055183F"/>
    <w:rsid w:val="00551C1A"/>
    <w:rsid w:val="0055340E"/>
    <w:rsid w:val="0055342A"/>
    <w:rsid w:val="0055344C"/>
    <w:rsid w:val="005535E2"/>
    <w:rsid w:val="00554E26"/>
    <w:rsid w:val="00555603"/>
    <w:rsid w:val="005570CB"/>
    <w:rsid w:val="005571A6"/>
    <w:rsid w:val="005579B7"/>
    <w:rsid w:val="00560EC7"/>
    <w:rsid w:val="00561785"/>
    <w:rsid w:val="005626EC"/>
    <w:rsid w:val="005627CF"/>
    <w:rsid w:val="00562EF3"/>
    <w:rsid w:val="0056427E"/>
    <w:rsid w:val="00564CC1"/>
    <w:rsid w:val="00565195"/>
    <w:rsid w:val="005652ED"/>
    <w:rsid w:val="00565633"/>
    <w:rsid w:val="00565841"/>
    <w:rsid w:val="00566AB1"/>
    <w:rsid w:val="00566FA2"/>
    <w:rsid w:val="0056736B"/>
    <w:rsid w:val="00570054"/>
    <w:rsid w:val="0057051C"/>
    <w:rsid w:val="005706C9"/>
    <w:rsid w:val="00571371"/>
    <w:rsid w:val="00572E89"/>
    <w:rsid w:val="00573EA9"/>
    <w:rsid w:val="00574744"/>
    <w:rsid w:val="00575EDB"/>
    <w:rsid w:val="005768FB"/>
    <w:rsid w:val="00576A72"/>
    <w:rsid w:val="0057741F"/>
    <w:rsid w:val="005777D1"/>
    <w:rsid w:val="00577D12"/>
    <w:rsid w:val="00577F81"/>
    <w:rsid w:val="005806A9"/>
    <w:rsid w:val="005811D7"/>
    <w:rsid w:val="00585D1E"/>
    <w:rsid w:val="00586573"/>
    <w:rsid w:val="005867B3"/>
    <w:rsid w:val="00586E1B"/>
    <w:rsid w:val="0058761D"/>
    <w:rsid w:val="00587D7B"/>
    <w:rsid w:val="0059073B"/>
    <w:rsid w:val="00590BE8"/>
    <w:rsid w:val="0059174B"/>
    <w:rsid w:val="0059218B"/>
    <w:rsid w:val="00593911"/>
    <w:rsid w:val="00594731"/>
    <w:rsid w:val="0059526A"/>
    <w:rsid w:val="0059529A"/>
    <w:rsid w:val="00595D97"/>
    <w:rsid w:val="005961C6"/>
    <w:rsid w:val="00596BEE"/>
    <w:rsid w:val="005A129F"/>
    <w:rsid w:val="005A1373"/>
    <w:rsid w:val="005A1A0E"/>
    <w:rsid w:val="005A233D"/>
    <w:rsid w:val="005A312B"/>
    <w:rsid w:val="005A4E18"/>
    <w:rsid w:val="005A5111"/>
    <w:rsid w:val="005B27D8"/>
    <w:rsid w:val="005B35DF"/>
    <w:rsid w:val="005B3DF2"/>
    <w:rsid w:val="005B42EA"/>
    <w:rsid w:val="005B5292"/>
    <w:rsid w:val="005B5CBD"/>
    <w:rsid w:val="005B5CEB"/>
    <w:rsid w:val="005B6C18"/>
    <w:rsid w:val="005B71B7"/>
    <w:rsid w:val="005C015B"/>
    <w:rsid w:val="005C06C9"/>
    <w:rsid w:val="005C23A3"/>
    <w:rsid w:val="005C2DBE"/>
    <w:rsid w:val="005C666E"/>
    <w:rsid w:val="005C7508"/>
    <w:rsid w:val="005C7A00"/>
    <w:rsid w:val="005C7E6B"/>
    <w:rsid w:val="005C7FED"/>
    <w:rsid w:val="005D0083"/>
    <w:rsid w:val="005D01C8"/>
    <w:rsid w:val="005D028A"/>
    <w:rsid w:val="005D0B32"/>
    <w:rsid w:val="005D1A6B"/>
    <w:rsid w:val="005D286E"/>
    <w:rsid w:val="005D3B35"/>
    <w:rsid w:val="005D3E64"/>
    <w:rsid w:val="005D4006"/>
    <w:rsid w:val="005D4205"/>
    <w:rsid w:val="005D444A"/>
    <w:rsid w:val="005D5358"/>
    <w:rsid w:val="005D54CA"/>
    <w:rsid w:val="005D57DD"/>
    <w:rsid w:val="005D5AB3"/>
    <w:rsid w:val="005D65CC"/>
    <w:rsid w:val="005D66CE"/>
    <w:rsid w:val="005D71C4"/>
    <w:rsid w:val="005D7F94"/>
    <w:rsid w:val="005E00F2"/>
    <w:rsid w:val="005E1158"/>
    <w:rsid w:val="005E1880"/>
    <w:rsid w:val="005E2DE2"/>
    <w:rsid w:val="005E3769"/>
    <w:rsid w:val="005E5320"/>
    <w:rsid w:val="005E6884"/>
    <w:rsid w:val="005E6F6B"/>
    <w:rsid w:val="005E7266"/>
    <w:rsid w:val="005E72C9"/>
    <w:rsid w:val="005E7A25"/>
    <w:rsid w:val="005F030C"/>
    <w:rsid w:val="005F0491"/>
    <w:rsid w:val="005F088B"/>
    <w:rsid w:val="005F08FF"/>
    <w:rsid w:val="005F1331"/>
    <w:rsid w:val="005F1645"/>
    <w:rsid w:val="005F2545"/>
    <w:rsid w:val="005F254F"/>
    <w:rsid w:val="005F2D63"/>
    <w:rsid w:val="005F4344"/>
    <w:rsid w:val="005F4D13"/>
    <w:rsid w:val="005F4D55"/>
    <w:rsid w:val="005F5DE4"/>
    <w:rsid w:val="005F77B9"/>
    <w:rsid w:val="0060014E"/>
    <w:rsid w:val="00605D0A"/>
    <w:rsid w:val="00610B28"/>
    <w:rsid w:val="00610EAC"/>
    <w:rsid w:val="00610EEC"/>
    <w:rsid w:val="00611FE2"/>
    <w:rsid w:val="006129FB"/>
    <w:rsid w:val="00612A6F"/>
    <w:rsid w:val="00612CF4"/>
    <w:rsid w:val="00612D5E"/>
    <w:rsid w:val="00612DDF"/>
    <w:rsid w:val="00613A29"/>
    <w:rsid w:val="00622BFE"/>
    <w:rsid w:val="006233D0"/>
    <w:rsid w:val="00623CDD"/>
    <w:rsid w:val="00623EA5"/>
    <w:rsid w:val="006256EA"/>
    <w:rsid w:val="00626A0B"/>
    <w:rsid w:val="00626EB8"/>
    <w:rsid w:val="0062746E"/>
    <w:rsid w:val="006277B4"/>
    <w:rsid w:val="00627843"/>
    <w:rsid w:val="00627AC6"/>
    <w:rsid w:val="006307BC"/>
    <w:rsid w:val="00630D82"/>
    <w:rsid w:val="00631684"/>
    <w:rsid w:val="006319B4"/>
    <w:rsid w:val="006321C5"/>
    <w:rsid w:val="006327BB"/>
    <w:rsid w:val="006329B6"/>
    <w:rsid w:val="006335C7"/>
    <w:rsid w:val="00635444"/>
    <w:rsid w:val="00635DC9"/>
    <w:rsid w:val="006368EA"/>
    <w:rsid w:val="00637C5A"/>
    <w:rsid w:val="00641652"/>
    <w:rsid w:val="00642A0B"/>
    <w:rsid w:val="00643094"/>
    <w:rsid w:val="006444A0"/>
    <w:rsid w:val="00644F84"/>
    <w:rsid w:val="0064509E"/>
    <w:rsid w:val="00645B1F"/>
    <w:rsid w:val="0064649B"/>
    <w:rsid w:val="006466D9"/>
    <w:rsid w:val="00646FDD"/>
    <w:rsid w:val="00647155"/>
    <w:rsid w:val="00647BC7"/>
    <w:rsid w:val="006513B0"/>
    <w:rsid w:val="0065182F"/>
    <w:rsid w:val="00651B1F"/>
    <w:rsid w:val="00651B97"/>
    <w:rsid w:val="00653292"/>
    <w:rsid w:val="006536CB"/>
    <w:rsid w:val="00654799"/>
    <w:rsid w:val="00654822"/>
    <w:rsid w:val="00655D3A"/>
    <w:rsid w:val="006562C3"/>
    <w:rsid w:val="00657B14"/>
    <w:rsid w:val="0066115D"/>
    <w:rsid w:val="00662882"/>
    <w:rsid w:val="00664BD6"/>
    <w:rsid w:val="00666363"/>
    <w:rsid w:val="00670218"/>
    <w:rsid w:val="006708E2"/>
    <w:rsid w:val="00672032"/>
    <w:rsid w:val="00672239"/>
    <w:rsid w:val="00674565"/>
    <w:rsid w:val="00674A1C"/>
    <w:rsid w:val="00674C09"/>
    <w:rsid w:val="0067715B"/>
    <w:rsid w:val="00677EC5"/>
    <w:rsid w:val="00681B57"/>
    <w:rsid w:val="00681DCE"/>
    <w:rsid w:val="006820A0"/>
    <w:rsid w:val="00683327"/>
    <w:rsid w:val="00683802"/>
    <w:rsid w:val="00683D30"/>
    <w:rsid w:val="00684B44"/>
    <w:rsid w:val="00685D02"/>
    <w:rsid w:val="00685D2E"/>
    <w:rsid w:val="00686A4D"/>
    <w:rsid w:val="006872D3"/>
    <w:rsid w:val="0068731F"/>
    <w:rsid w:val="00691D80"/>
    <w:rsid w:val="00693D9A"/>
    <w:rsid w:val="006941E2"/>
    <w:rsid w:val="0069527F"/>
    <w:rsid w:val="00695781"/>
    <w:rsid w:val="006962CA"/>
    <w:rsid w:val="0069783F"/>
    <w:rsid w:val="006A35D0"/>
    <w:rsid w:val="006A3A72"/>
    <w:rsid w:val="006A5510"/>
    <w:rsid w:val="006A665D"/>
    <w:rsid w:val="006A746D"/>
    <w:rsid w:val="006A74AF"/>
    <w:rsid w:val="006B03BC"/>
    <w:rsid w:val="006B0442"/>
    <w:rsid w:val="006B0B79"/>
    <w:rsid w:val="006B1EFA"/>
    <w:rsid w:val="006B1EFF"/>
    <w:rsid w:val="006B3241"/>
    <w:rsid w:val="006B49CD"/>
    <w:rsid w:val="006B4F0C"/>
    <w:rsid w:val="006B5663"/>
    <w:rsid w:val="006B5890"/>
    <w:rsid w:val="006C21F4"/>
    <w:rsid w:val="006C2DD5"/>
    <w:rsid w:val="006C325B"/>
    <w:rsid w:val="006C36CD"/>
    <w:rsid w:val="006C3986"/>
    <w:rsid w:val="006C3A40"/>
    <w:rsid w:val="006C40E4"/>
    <w:rsid w:val="006C568A"/>
    <w:rsid w:val="006D070E"/>
    <w:rsid w:val="006D0C04"/>
    <w:rsid w:val="006D1EBC"/>
    <w:rsid w:val="006D2338"/>
    <w:rsid w:val="006D3DCF"/>
    <w:rsid w:val="006D4355"/>
    <w:rsid w:val="006D4526"/>
    <w:rsid w:val="006D4563"/>
    <w:rsid w:val="006D478D"/>
    <w:rsid w:val="006D4922"/>
    <w:rsid w:val="006D51AF"/>
    <w:rsid w:val="006D5375"/>
    <w:rsid w:val="006D60BC"/>
    <w:rsid w:val="006D65A2"/>
    <w:rsid w:val="006D67B3"/>
    <w:rsid w:val="006D67EE"/>
    <w:rsid w:val="006D70C3"/>
    <w:rsid w:val="006E02FF"/>
    <w:rsid w:val="006E0D8B"/>
    <w:rsid w:val="006E0F39"/>
    <w:rsid w:val="006E10D6"/>
    <w:rsid w:val="006E16B3"/>
    <w:rsid w:val="006E1B0A"/>
    <w:rsid w:val="006E2188"/>
    <w:rsid w:val="006E21A4"/>
    <w:rsid w:val="006E24D6"/>
    <w:rsid w:val="006E2E46"/>
    <w:rsid w:val="006E39BC"/>
    <w:rsid w:val="006E3FDD"/>
    <w:rsid w:val="006E5749"/>
    <w:rsid w:val="006E698A"/>
    <w:rsid w:val="006E6E06"/>
    <w:rsid w:val="006E7038"/>
    <w:rsid w:val="006E7B3A"/>
    <w:rsid w:val="006F02C1"/>
    <w:rsid w:val="006F2DCE"/>
    <w:rsid w:val="006F335D"/>
    <w:rsid w:val="006F3D9F"/>
    <w:rsid w:val="006F4A15"/>
    <w:rsid w:val="006F5A2F"/>
    <w:rsid w:val="006F6742"/>
    <w:rsid w:val="006F7634"/>
    <w:rsid w:val="006F7979"/>
    <w:rsid w:val="006F7DE4"/>
    <w:rsid w:val="00700200"/>
    <w:rsid w:val="0070095A"/>
    <w:rsid w:val="007013FE"/>
    <w:rsid w:val="00701811"/>
    <w:rsid w:val="0070181E"/>
    <w:rsid w:val="007036A5"/>
    <w:rsid w:val="00704EB8"/>
    <w:rsid w:val="00705012"/>
    <w:rsid w:val="007067C7"/>
    <w:rsid w:val="007079C0"/>
    <w:rsid w:val="00707EC7"/>
    <w:rsid w:val="00710551"/>
    <w:rsid w:val="007114F6"/>
    <w:rsid w:val="007117A0"/>
    <w:rsid w:val="0071199C"/>
    <w:rsid w:val="007119E9"/>
    <w:rsid w:val="007128B8"/>
    <w:rsid w:val="00712A27"/>
    <w:rsid w:val="00712F2A"/>
    <w:rsid w:val="0071332F"/>
    <w:rsid w:val="00714307"/>
    <w:rsid w:val="00714EFC"/>
    <w:rsid w:val="0071501D"/>
    <w:rsid w:val="007153C7"/>
    <w:rsid w:val="007202BE"/>
    <w:rsid w:val="007203D0"/>
    <w:rsid w:val="00721A72"/>
    <w:rsid w:val="00721CAE"/>
    <w:rsid w:val="00722FC3"/>
    <w:rsid w:val="007233DB"/>
    <w:rsid w:val="00723D30"/>
    <w:rsid w:val="0072473E"/>
    <w:rsid w:val="007256EE"/>
    <w:rsid w:val="00725D61"/>
    <w:rsid w:val="00726179"/>
    <w:rsid w:val="00726F1C"/>
    <w:rsid w:val="00730657"/>
    <w:rsid w:val="00730AB8"/>
    <w:rsid w:val="00731D4B"/>
    <w:rsid w:val="00732661"/>
    <w:rsid w:val="007327BE"/>
    <w:rsid w:val="00733912"/>
    <w:rsid w:val="00734095"/>
    <w:rsid w:val="007344DF"/>
    <w:rsid w:val="00734DC3"/>
    <w:rsid w:val="00736476"/>
    <w:rsid w:val="00736829"/>
    <w:rsid w:val="00740AA6"/>
    <w:rsid w:val="007413B0"/>
    <w:rsid w:val="007443D1"/>
    <w:rsid w:val="007445A2"/>
    <w:rsid w:val="00745A7C"/>
    <w:rsid w:val="00745B1C"/>
    <w:rsid w:val="00746073"/>
    <w:rsid w:val="007468C0"/>
    <w:rsid w:val="00746A7E"/>
    <w:rsid w:val="00747241"/>
    <w:rsid w:val="00747586"/>
    <w:rsid w:val="0074777E"/>
    <w:rsid w:val="00747B4C"/>
    <w:rsid w:val="00747B5D"/>
    <w:rsid w:val="00751057"/>
    <w:rsid w:val="0075134B"/>
    <w:rsid w:val="007518BA"/>
    <w:rsid w:val="00751B61"/>
    <w:rsid w:val="007520A0"/>
    <w:rsid w:val="0075257C"/>
    <w:rsid w:val="0075338A"/>
    <w:rsid w:val="00754288"/>
    <w:rsid w:val="007549BE"/>
    <w:rsid w:val="00754CCD"/>
    <w:rsid w:val="0075579D"/>
    <w:rsid w:val="00755A83"/>
    <w:rsid w:val="007564FA"/>
    <w:rsid w:val="007566BE"/>
    <w:rsid w:val="007601A2"/>
    <w:rsid w:val="0076074D"/>
    <w:rsid w:val="0076119F"/>
    <w:rsid w:val="00762961"/>
    <w:rsid w:val="00762E69"/>
    <w:rsid w:val="007631C2"/>
    <w:rsid w:val="00764385"/>
    <w:rsid w:val="007644F3"/>
    <w:rsid w:val="00765978"/>
    <w:rsid w:val="00766320"/>
    <w:rsid w:val="00771036"/>
    <w:rsid w:val="00771213"/>
    <w:rsid w:val="007731AC"/>
    <w:rsid w:val="007742B0"/>
    <w:rsid w:val="00775E7D"/>
    <w:rsid w:val="007764EC"/>
    <w:rsid w:val="007769AE"/>
    <w:rsid w:val="00777CD8"/>
    <w:rsid w:val="00780802"/>
    <w:rsid w:val="00780E51"/>
    <w:rsid w:val="007822C3"/>
    <w:rsid w:val="007825F1"/>
    <w:rsid w:val="00782C87"/>
    <w:rsid w:val="0078751A"/>
    <w:rsid w:val="007875FD"/>
    <w:rsid w:val="00787F21"/>
    <w:rsid w:val="007905BD"/>
    <w:rsid w:val="00792CBE"/>
    <w:rsid w:val="007931CF"/>
    <w:rsid w:val="00794601"/>
    <w:rsid w:val="00795422"/>
    <w:rsid w:val="00795496"/>
    <w:rsid w:val="007956D3"/>
    <w:rsid w:val="00795965"/>
    <w:rsid w:val="007959A0"/>
    <w:rsid w:val="007967B3"/>
    <w:rsid w:val="0079797C"/>
    <w:rsid w:val="007A03C7"/>
    <w:rsid w:val="007A1B55"/>
    <w:rsid w:val="007A1F01"/>
    <w:rsid w:val="007A2DF5"/>
    <w:rsid w:val="007A48BA"/>
    <w:rsid w:val="007A4AA0"/>
    <w:rsid w:val="007A573E"/>
    <w:rsid w:val="007A63F1"/>
    <w:rsid w:val="007A649D"/>
    <w:rsid w:val="007A6AF4"/>
    <w:rsid w:val="007A770C"/>
    <w:rsid w:val="007A7A41"/>
    <w:rsid w:val="007B0548"/>
    <w:rsid w:val="007B1746"/>
    <w:rsid w:val="007B19B6"/>
    <w:rsid w:val="007B22CB"/>
    <w:rsid w:val="007B3539"/>
    <w:rsid w:val="007B3643"/>
    <w:rsid w:val="007B3AB2"/>
    <w:rsid w:val="007B4770"/>
    <w:rsid w:val="007B4E77"/>
    <w:rsid w:val="007B7E25"/>
    <w:rsid w:val="007C2342"/>
    <w:rsid w:val="007C2F0B"/>
    <w:rsid w:val="007C6E23"/>
    <w:rsid w:val="007D0A97"/>
    <w:rsid w:val="007D0E22"/>
    <w:rsid w:val="007D1044"/>
    <w:rsid w:val="007D1DFF"/>
    <w:rsid w:val="007D2B40"/>
    <w:rsid w:val="007D3A86"/>
    <w:rsid w:val="007D4129"/>
    <w:rsid w:val="007D486B"/>
    <w:rsid w:val="007D4F4F"/>
    <w:rsid w:val="007D56D4"/>
    <w:rsid w:val="007D6164"/>
    <w:rsid w:val="007D6D05"/>
    <w:rsid w:val="007D6D0E"/>
    <w:rsid w:val="007E01D0"/>
    <w:rsid w:val="007E03AA"/>
    <w:rsid w:val="007E053C"/>
    <w:rsid w:val="007E1ACF"/>
    <w:rsid w:val="007E219B"/>
    <w:rsid w:val="007E3BF8"/>
    <w:rsid w:val="007E60E1"/>
    <w:rsid w:val="007F06A5"/>
    <w:rsid w:val="007F0721"/>
    <w:rsid w:val="007F0B0E"/>
    <w:rsid w:val="007F22C6"/>
    <w:rsid w:val="007F449F"/>
    <w:rsid w:val="007F5262"/>
    <w:rsid w:val="007F5996"/>
    <w:rsid w:val="007F63A3"/>
    <w:rsid w:val="007F7DF5"/>
    <w:rsid w:val="00800493"/>
    <w:rsid w:val="00802CBA"/>
    <w:rsid w:val="00802FD0"/>
    <w:rsid w:val="00803A13"/>
    <w:rsid w:val="00803CC2"/>
    <w:rsid w:val="00803E69"/>
    <w:rsid w:val="0080512D"/>
    <w:rsid w:val="00805CBA"/>
    <w:rsid w:val="008078F4"/>
    <w:rsid w:val="008105B4"/>
    <w:rsid w:val="00811C8A"/>
    <w:rsid w:val="0081410F"/>
    <w:rsid w:val="0081455A"/>
    <w:rsid w:val="00815F6A"/>
    <w:rsid w:val="00816B44"/>
    <w:rsid w:val="00817430"/>
    <w:rsid w:val="008217EE"/>
    <w:rsid w:val="00822B9F"/>
    <w:rsid w:val="008236FB"/>
    <w:rsid w:val="00824054"/>
    <w:rsid w:val="008250BA"/>
    <w:rsid w:val="0082606B"/>
    <w:rsid w:val="0082656C"/>
    <w:rsid w:val="00827F37"/>
    <w:rsid w:val="00830247"/>
    <w:rsid w:val="00831D26"/>
    <w:rsid w:val="0083309A"/>
    <w:rsid w:val="0083447D"/>
    <w:rsid w:val="00834FEE"/>
    <w:rsid w:val="008367FE"/>
    <w:rsid w:val="00836D29"/>
    <w:rsid w:val="00837024"/>
    <w:rsid w:val="0083754E"/>
    <w:rsid w:val="008375E9"/>
    <w:rsid w:val="0084108B"/>
    <w:rsid w:val="008411BF"/>
    <w:rsid w:val="008419AE"/>
    <w:rsid w:val="008432A1"/>
    <w:rsid w:val="00843601"/>
    <w:rsid w:val="00843959"/>
    <w:rsid w:val="00843FC8"/>
    <w:rsid w:val="00846601"/>
    <w:rsid w:val="0084683E"/>
    <w:rsid w:val="008501B1"/>
    <w:rsid w:val="008502BE"/>
    <w:rsid w:val="008537A9"/>
    <w:rsid w:val="00855255"/>
    <w:rsid w:val="00856C27"/>
    <w:rsid w:val="00857751"/>
    <w:rsid w:val="00857C6D"/>
    <w:rsid w:val="008600D9"/>
    <w:rsid w:val="0086063B"/>
    <w:rsid w:val="00861A45"/>
    <w:rsid w:val="00862436"/>
    <w:rsid w:val="008626D4"/>
    <w:rsid w:val="00863C44"/>
    <w:rsid w:val="00864F72"/>
    <w:rsid w:val="00865C27"/>
    <w:rsid w:val="00866A0C"/>
    <w:rsid w:val="008703E3"/>
    <w:rsid w:val="008727F1"/>
    <w:rsid w:val="008748AC"/>
    <w:rsid w:val="0087511C"/>
    <w:rsid w:val="008777E7"/>
    <w:rsid w:val="00877C30"/>
    <w:rsid w:val="0088009D"/>
    <w:rsid w:val="00880A01"/>
    <w:rsid w:val="00880F98"/>
    <w:rsid w:val="00882518"/>
    <w:rsid w:val="00884171"/>
    <w:rsid w:val="00884427"/>
    <w:rsid w:val="00884B8C"/>
    <w:rsid w:val="008860D6"/>
    <w:rsid w:val="00886630"/>
    <w:rsid w:val="00886D9A"/>
    <w:rsid w:val="00886EE5"/>
    <w:rsid w:val="00890A8B"/>
    <w:rsid w:val="00891E93"/>
    <w:rsid w:val="008931AE"/>
    <w:rsid w:val="0089396A"/>
    <w:rsid w:val="00894FE0"/>
    <w:rsid w:val="0089595F"/>
    <w:rsid w:val="008962C3"/>
    <w:rsid w:val="00897003"/>
    <w:rsid w:val="00897B2D"/>
    <w:rsid w:val="00897C63"/>
    <w:rsid w:val="008A0A8E"/>
    <w:rsid w:val="008A0ED5"/>
    <w:rsid w:val="008A1372"/>
    <w:rsid w:val="008A14B4"/>
    <w:rsid w:val="008A168E"/>
    <w:rsid w:val="008A34E7"/>
    <w:rsid w:val="008A3633"/>
    <w:rsid w:val="008A3656"/>
    <w:rsid w:val="008A3C55"/>
    <w:rsid w:val="008A4020"/>
    <w:rsid w:val="008A4258"/>
    <w:rsid w:val="008A47D7"/>
    <w:rsid w:val="008A4E68"/>
    <w:rsid w:val="008A526E"/>
    <w:rsid w:val="008A56DF"/>
    <w:rsid w:val="008A5715"/>
    <w:rsid w:val="008A585A"/>
    <w:rsid w:val="008A5AF1"/>
    <w:rsid w:val="008A5C04"/>
    <w:rsid w:val="008A7AC4"/>
    <w:rsid w:val="008A7B58"/>
    <w:rsid w:val="008B01E5"/>
    <w:rsid w:val="008B07EE"/>
    <w:rsid w:val="008B2432"/>
    <w:rsid w:val="008B4EF8"/>
    <w:rsid w:val="008B5311"/>
    <w:rsid w:val="008B64F3"/>
    <w:rsid w:val="008B654C"/>
    <w:rsid w:val="008B79CA"/>
    <w:rsid w:val="008B7D43"/>
    <w:rsid w:val="008B7E71"/>
    <w:rsid w:val="008C0C4B"/>
    <w:rsid w:val="008C2297"/>
    <w:rsid w:val="008C287E"/>
    <w:rsid w:val="008C31D3"/>
    <w:rsid w:val="008C440B"/>
    <w:rsid w:val="008C5360"/>
    <w:rsid w:val="008C53D8"/>
    <w:rsid w:val="008C567D"/>
    <w:rsid w:val="008C5C19"/>
    <w:rsid w:val="008C5D59"/>
    <w:rsid w:val="008C787B"/>
    <w:rsid w:val="008C7AEA"/>
    <w:rsid w:val="008C7D56"/>
    <w:rsid w:val="008D3E82"/>
    <w:rsid w:val="008D4032"/>
    <w:rsid w:val="008D4238"/>
    <w:rsid w:val="008D515A"/>
    <w:rsid w:val="008D6529"/>
    <w:rsid w:val="008E07D0"/>
    <w:rsid w:val="008E0DB9"/>
    <w:rsid w:val="008E0FD2"/>
    <w:rsid w:val="008E1252"/>
    <w:rsid w:val="008E1C58"/>
    <w:rsid w:val="008E1D78"/>
    <w:rsid w:val="008E1DE9"/>
    <w:rsid w:val="008E3B17"/>
    <w:rsid w:val="008E4A08"/>
    <w:rsid w:val="008E5DF4"/>
    <w:rsid w:val="008E625B"/>
    <w:rsid w:val="008E76E9"/>
    <w:rsid w:val="008E7BA7"/>
    <w:rsid w:val="008F05B4"/>
    <w:rsid w:val="008F0B25"/>
    <w:rsid w:val="008F141A"/>
    <w:rsid w:val="008F1ED0"/>
    <w:rsid w:val="008F229A"/>
    <w:rsid w:val="008F267D"/>
    <w:rsid w:val="008F27BB"/>
    <w:rsid w:val="008F289D"/>
    <w:rsid w:val="008F2942"/>
    <w:rsid w:val="008F2C8A"/>
    <w:rsid w:val="008F54F0"/>
    <w:rsid w:val="008F5795"/>
    <w:rsid w:val="008F5BB7"/>
    <w:rsid w:val="008F717F"/>
    <w:rsid w:val="009009C3"/>
    <w:rsid w:val="00900C00"/>
    <w:rsid w:val="00900ED2"/>
    <w:rsid w:val="00900FAB"/>
    <w:rsid w:val="009012CD"/>
    <w:rsid w:val="0090139E"/>
    <w:rsid w:val="00901B1D"/>
    <w:rsid w:val="00902404"/>
    <w:rsid w:val="00902C3A"/>
    <w:rsid w:val="00903553"/>
    <w:rsid w:val="00903C6A"/>
    <w:rsid w:val="00904F8C"/>
    <w:rsid w:val="009051BC"/>
    <w:rsid w:val="00905A9E"/>
    <w:rsid w:val="009072A5"/>
    <w:rsid w:val="00907F5F"/>
    <w:rsid w:val="00911231"/>
    <w:rsid w:val="00911D61"/>
    <w:rsid w:val="0091210F"/>
    <w:rsid w:val="00912177"/>
    <w:rsid w:val="009138C8"/>
    <w:rsid w:val="009148C8"/>
    <w:rsid w:val="00914B5B"/>
    <w:rsid w:val="00917AAA"/>
    <w:rsid w:val="00920367"/>
    <w:rsid w:val="009223FA"/>
    <w:rsid w:val="00922A96"/>
    <w:rsid w:val="00922C77"/>
    <w:rsid w:val="009233B8"/>
    <w:rsid w:val="009237A1"/>
    <w:rsid w:val="00923EF3"/>
    <w:rsid w:val="009242B7"/>
    <w:rsid w:val="009245A6"/>
    <w:rsid w:val="009255BD"/>
    <w:rsid w:val="009317FF"/>
    <w:rsid w:val="0093374D"/>
    <w:rsid w:val="00933C93"/>
    <w:rsid w:val="00933CDC"/>
    <w:rsid w:val="00933FF7"/>
    <w:rsid w:val="00934815"/>
    <w:rsid w:val="00935489"/>
    <w:rsid w:val="0093574A"/>
    <w:rsid w:val="009359CF"/>
    <w:rsid w:val="00935CE5"/>
    <w:rsid w:val="0093626E"/>
    <w:rsid w:val="00940887"/>
    <w:rsid w:val="00940D34"/>
    <w:rsid w:val="009417BA"/>
    <w:rsid w:val="00950452"/>
    <w:rsid w:val="009505C9"/>
    <w:rsid w:val="009506BC"/>
    <w:rsid w:val="00950C2E"/>
    <w:rsid w:val="00950E34"/>
    <w:rsid w:val="00952BC4"/>
    <w:rsid w:val="00957E4B"/>
    <w:rsid w:val="00960BC9"/>
    <w:rsid w:val="00961271"/>
    <w:rsid w:val="009612F6"/>
    <w:rsid w:val="009622BB"/>
    <w:rsid w:val="009634E5"/>
    <w:rsid w:val="00963FDE"/>
    <w:rsid w:val="009648D4"/>
    <w:rsid w:val="00965086"/>
    <w:rsid w:val="0096662B"/>
    <w:rsid w:val="00966D63"/>
    <w:rsid w:val="00967DA1"/>
    <w:rsid w:val="00970D86"/>
    <w:rsid w:val="00970FDC"/>
    <w:rsid w:val="0097106B"/>
    <w:rsid w:val="00971B97"/>
    <w:rsid w:val="00971ED8"/>
    <w:rsid w:val="00972780"/>
    <w:rsid w:val="00973EC4"/>
    <w:rsid w:val="0097450E"/>
    <w:rsid w:val="00974B01"/>
    <w:rsid w:val="00975478"/>
    <w:rsid w:val="00975C95"/>
    <w:rsid w:val="00976340"/>
    <w:rsid w:val="00976821"/>
    <w:rsid w:val="0097719C"/>
    <w:rsid w:val="00977458"/>
    <w:rsid w:val="009814A8"/>
    <w:rsid w:val="0098318A"/>
    <w:rsid w:val="0098338A"/>
    <w:rsid w:val="00984250"/>
    <w:rsid w:val="0098511B"/>
    <w:rsid w:val="009862EE"/>
    <w:rsid w:val="00986F01"/>
    <w:rsid w:val="009900DB"/>
    <w:rsid w:val="009901F3"/>
    <w:rsid w:val="00990B2F"/>
    <w:rsid w:val="00991555"/>
    <w:rsid w:val="0099181D"/>
    <w:rsid w:val="00991E54"/>
    <w:rsid w:val="00992FE4"/>
    <w:rsid w:val="00993407"/>
    <w:rsid w:val="0099591E"/>
    <w:rsid w:val="00996104"/>
    <w:rsid w:val="0099655E"/>
    <w:rsid w:val="00996839"/>
    <w:rsid w:val="00996950"/>
    <w:rsid w:val="00997221"/>
    <w:rsid w:val="009A0516"/>
    <w:rsid w:val="009A0BA6"/>
    <w:rsid w:val="009A168D"/>
    <w:rsid w:val="009A3303"/>
    <w:rsid w:val="009A34CD"/>
    <w:rsid w:val="009A418C"/>
    <w:rsid w:val="009A59DF"/>
    <w:rsid w:val="009A5A64"/>
    <w:rsid w:val="009A5D43"/>
    <w:rsid w:val="009A5D65"/>
    <w:rsid w:val="009A692F"/>
    <w:rsid w:val="009A69C8"/>
    <w:rsid w:val="009A70C6"/>
    <w:rsid w:val="009A7404"/>
    <w:rsid w:val="009B076C"/>
    <w:rsid w:val="009B0F9A"/>
    <w:rsid w:val="009B24F3"/>
    <w:rsid w:val="009B2B84"/>
    <w:rsid w:val="009B2E01"/>
    <w:rsid w:val="009B2EA3"/>
    <w:rsid w:val="009B46AD"/>
    <w:rsid w:val="009B50CA"/>
    <w:rsid w:val="009B6C7E"/>
    <w:rsid w:val="009C0BDD"/>
    <w:rsid w:val="009C1D52"/>
    <w:rsid w:val="009C2710"/>
    <w:rsid w:val="009C2B63"/>
    <w:rsid w:val="009C2CEC"/>
    <w:rsid w:val="009C396E"/>
    <w:rsid w:val="009C4B4C"/>
    <w:rsid w:val="009C53CB"/>
    <w:rsid w:val="009C56F4"/>
    <w:rsid w:val="009C68F1"/>
    <w:rsid w:val="009C6BF0"/>
    <w:rsid w:val="009D110E"/>
    <w:rsid w:val="009D1FBD"/>
    <w:rsid w:val="009D38E0"/>
    <w:rsid w:val="009D541C"/>
    <w:rsid w:val="009D5E4B"/>
    <w:rsid w:val="009D684C"/>
    <w:rsid w:val="009E04F7"/>
    <w:rsid w:val="009E13FC"/>
    <w:rsid w:val="009E1D3D"/>
    <w:rsid w:val="009E2804"/>
    <w:rsid w:val="009E3C65"/>
    <w:rsid w:val="009E408C"/>
    <w:rsid w:val="009E6141"/>
    <w:rsid w:val="009E7813"/>
    <w:rsid w:val="009F14A0"/>
    <w:rsid w:val="009F1DB8"/>
    <w:rsid w:val="009F24D2"/>
    <w:rsid w:val="009F2B71"/>
    <w:rsid w:val="009F366A"/>
    <w:rsid w:val="009F626E"/>
    <w:rsid w:val="009F629F"/>
    <w:rsid w:val="009F66A5"/>
    <w:rsid w:val="009F6A37"/>
    <w:rsid w:val="009F6D08"/>
    <w:rsid w:val="009F705C"/>
    <w:rsid w:val="009F763A"/>
    <w:rsid w:val="009F7E57"/>
    <w:rsid w:val="00A016C1"/>
    <w:rsid w:val="00A01C11"/>
    <w:rsid w:val="00A0246E"/>
    <w:rsid w:val="00A05E07"/>
    <w:rsid w:val="00A072CB"/>
    <w:rsid w:val="00A0750D"/>
    <w:rsid w:val="00A07871"/>
    <w:rsid w:val="00A11F04"/>
    <w:rsid w:val="00A122CB"/>
    <w:rsid w:val="00A123B2"/>
    <w:rsid w:val="00A12B7E"/>
    <w:rsid w:val="00A13477"/>
    <w:rsid w:val="00A150CF"/>
    <w:rsid w:val="00A1635B"/>
    <w:rsid w:val="00A1692C"/>
    <w:rsid w:val="00A16CE7"/>
    <w:rsid w:val="00A173D2"/>
    <w:rsid w:val="00A20909"/>
    <w:rsid w:val="00A20B82"/>
    <w:rsid w:val="00A20F33"/>
    <w:rsid w:val="00A22008"/>
    <w:rsid w:val="00A224F0"/>
    <w:rsid w:val="00A22D7A"/>
    <w:rsid w:val="00A23CF2"/>
    <w:rsid w:val="00A24B6D"/>
    <w:rsid w:val="00A24C4E"/>
    <w:rsid w:val="00A254BB"/>
    <w:rsid w:val="00A2578B"/>
    <w:rsid w:val="00A25F49"/>
    <w:rsid w:val="00A26107"/>
    <w:rsid w:val="00A277EA"/>
    <w:rsid w:val="00A27C89"/>
    <w:rsid w:val="00A3053B"/>
    <w:rsid w:val="00A30592"/>
    <w:rsid w:val="00A30AEF"/>
    <w:rsid w:val="00A30FD1"/>
    <w:rsid w:val="00A33E8E"/>
    <w:rsid w:val="00A346A1"/>
    <w:rsid w:val="00A35536"/>
    <w:rsid w:val="00A35672"/>
    <w:rsid w:val="00A35EDE"/>
    <w:rsid w:val="00A37151"/>
    <w:rsid w:val="00A3721A"/>
    <w:rsid w:val="00A4073E"/>
    <w:rsid w:val="00A431CF"/>
    <w:rsid w:val="00A44887"/>
    <w:rsid w:val="00A45EF6"/>
    <w:rsid w:val="00A46181"/>
    <w:rsid w:val="00A4688F"/>
    <w:rsid w:val="00A478AF"/>
    <w:rsid w:val="00A509AA"/>
    <w:rsid w:val="00A53AAA"/>
    <w:rsid w:val="00A53D67"/>
    <w:rsid w:val="00A53E84"/>
    <w:rsid w:val="00A54CA5"/>
    <w:rsid w:val="00A5585D"/>
    <w:rsid w:val="00A56DEE"/>
    <w:rsid w:val="00A574B0"/>
    <w:rsid w:val="00A57745"/>
    <w:rsid w:val="00A61E61"/>
    <w:rsid w:val="00A63F61"/>
    <w:rsid w:val="00A64477"/>
    <w:rsid w:val="00A6481A"/>
    <w:rsid w:val="00A65C02"/>
    <w:rsid w:val="00A65CB8"/>
    <w:rsid w:val="00A6632E"/>
    <w:rsid w:val="00A66C64"/>
    <w:rsid w:val="00A670A5"/>
    <w:rsid w:val="00A67128"/>
    <w:rsid w:val="00A67953"/>
    <w:rsid w:val="00A67E93"/>
    <w:rsid w:val="00A70BE1"/>
    <w:rsid w:val="00A70EB7"/>
    <w:rsid w:val="00A70FD0"/>
    <w:rsid w:val="00A7211F"/>
    <w:rsid w:val="00A730F9"/>
    <w:rsid w:val="00A736B3"/>
    <w:rsid w:val="00A739FD"/>
    <w:rsid w:val="00A73F32"/>
    <w:rsid w:val="00A73F5D"/>
    <w:rsid w:val="00A744BD"/>
    <w:rsid w:val="00A74943"/>
    <w:rsid w:val="00A76236"/>
    <w:rsid w:val="00A76269"/>
    <w:rsid w:val="00A763A1"/>
    <w:rsid w:val="00A765E4"/>
    <w:rsid w:val="00A76643"/>
    <w:rsid w:val="00A832B1"/>
    <w:rsid w:val="00A83904"/>
    <w:rsid w:val="00A83CCE"/>
    <w:rsid w:val="00A849FA"/>
    <w:rsid w:val="00A84CCF"/>
    <w:rsid w:val="00A84E2C"/>
    <w:rsid w:val="00A85194"/>
    <w:rsid w:val="00A86344"/>
    <w:rsid w:val="00A9291A"/>
    <w:rsid w:val="00A92A48"/>
    <w:rsid w:val="00A93A43"/>
    <w:rsid w:val="00A951DC"/>
    <w:rsid w:val="00A957F4"/>
    <w:rsid w:val="00A95B91"/>
    <w:rsid w:val="00A95E4A"/>
    <w:rsid w:val="00A9647A"/>
    <w:rsid w:val="00A96833"/>
    <w:rsid w:val="00A970A4"/>
    <w:rsid w:val="00A97748"/>
    <w:rsid w:val="00A97BAB"/>
    <w:rsid w:val="00AA0B84"/>
    <w:rsid w:val="00AA0D4F"/>
    <w:rsid w:val="00AA2EB6"/>
    <w:rsid w:val="00AA40F0"/>
    <w:rsid w:val="00AA5411"/>
    <w:rsid w:val="00AA59F9"/>
    <w:rsid w:val="00AA64D6"/>
    <w:rsid w:val="00AA650C"/>
    <w:rsid w:val="00AA6F13"/>
    <w:rsid w:val="00AA7543"/>
    <w:rsid w:val="00AB012C"/>
    <w:rsid w:val="00AB05B4"/>
    <w:rsid w:val="00AB09CF"/>
    <w:rsid w:val="00AB0F34"/>
    <w:rsid w:val="00AB1388"/>
    <w:rsid w:val="00AB1C3F"/>
    <w:rsid w:val="00AB21F7"/>
    <w:rsid w:val="00AB279C"/>
    <w:rsid w:val="00AB357F"/>
    <w:rsid w:val="00AB478E"/>
    <w:rsid w:val="00AB4C62"/>
    <w:rsid w:val="00AB5B52"/>
    <w:rsid w:val="00AB687F"/>
    <w:rsid w:val="00AC06D1"/>
    <w:rsid w:val="00AC0A07"/>
    <w:rsid w:val="00AC0E63"/>
    <w:rsid w:val="00AC122C"/>
    <w:rsid w:val="00AC1A64"/>
    <w:rsid w:val="00AC4485"/>
    <w:rsid w:val="00AC6736"/>
    <w:rsid w:val="00AC7E71"/>
    <w:rsid w:val="00AD22C1"/>
    <w:rsid w:val="00AD22DC"/>
    <w:rsid w:val="00AD31AE"/>
    <w:rsid w:val="00AD32D9"/>
    <w:rsid w:val="00AD3FC5"/>
    <w:rsid w:val="00AD5039"/>
    <w:rsid w:val="00AD568D"/>
    <w:rsid w:val="00AD74A9"/>
    <w:rsid w:val="00AD7BB9"/>
    <w:rsid w:val="00AE08A7"/>
    <w:rsid w:val="00AE1B68"/>
    <w:rsid w:val="00AE25F8"/>
    <w:rsid w:val="00AE2772"/>
    <w:rsid w:val="00AE2909"/>
    <w:rsid w:val="00AE2BE5"/>
    <w:rsid w:val="00AE3058"/>
    <w:rsid w:val="00AE33B5"/>
    <w:rsid w:val="00AE490A"/>
    <w:rsid w:val="00AE4923"/>
    <w:rsid w:val="00AE4EC2"/>
    <w:rsid w:val="00AE536E"/>
    <w:rsid w:val="00AE56F4"/>
    <w:rsid w:val="00AE6012"/>
    <w:rsid w:val="00AE6407"/>
    <w:rsid w:val="00AE6872"/>
    <w:rsid w:val="00AE6F12"/>
    <w:rsid w:val="00AE70B8"/>
    <w:rsid w:val="00AF0EE6"/>
    <w:rsid w:val="00AF1062"/>
    <w:rsid w:val="00AF12D2"/>
    <w:rsid w:val="00AF1ECF"/>
    <w:rsid w:val="00AF29B9"/>
    <w:rsid w:val="00AF3168"/>
    <w:rsid w:val="00AF3585"/>
    <w:rsid w:val="00AF47E6"/>
    <w:rsid w:val="00AF578F"/>
    <w:rsid w:val="00AF5DE1"/>
    <w:rsid w:val="00AF710A"/>
    <w:rsid w:val="00B002D3"/>
    <w:rsid w:val="00B00D23"/>
    <w:rsid w:val="00B01585"/>
    <w:rsid w:val="00B060DF"/>
    <w:rsid w:val="00B06A4E"/>
    <w:rsid w:val="00B06E93"/>
    <w:rsid w:val="00B076E7"/>
    <w:rsid w:val="00B1039B"/>
    <w:rsid w:val="00B10E59"/>
    <w:rsid w:val="00B11F78"/>
    <w:rsid w:val="00B12243"/>
    <w:rsid w:val="00B126BF"/>
    <w:rsid w:val="00B1279E"/>
    <w:rsid w:val="00B13146"/>
    <w:rsid w:val="00B13A36"/>
    <w:rsid w:val="00B13A7A"/>
    <w:rsid w:val="00B13ADC"/>
    <w:rsid w:val="00B154CE"/>
    <w:rsid w:val="00B1570B"/>
    <w:rsid w:val="00B16DAE"/>
    <w:rsid w:val="00B17055"/>
    <w:rsid w:val="00B17503"/>
    <w:rsid w:val="00B17F70"/>
    <w:rsid w:val="00B20423"/>
    <w:rsid w:val="00B20935"/>
    <w:rsid w:val="00B21257"/>
    <w:rsid w:val="00B21AE8"/>
    <w:rsid w:val="00B221B4"/>
    <w:rsid w:val="00B2266C"/>
    <w:rsid w:val="00B226D8"/>
    <w:rsid w:val="00B22FA8"/>
    <w:rsid w:val="00B2398D"/>
    <w:rsid w:val="00B23BC8"/>
    <w:rsid w:val="00B23C4A"/>
    <w:rsid w:val="00B241BA"/>
    <w:rsid w:val="00B2446B"/>
    <w:rsid w:val="00B248C4"/>
    <w:rsid w:val="00B259B1"/>
    <w:rsid w:val="00B2624E"/>
    <w:rsid w:val="00B26963"/>
    <w:rsid w:val="00B27FCF"/>
    <w:rsid w:val="00B30995"/>
    <w:rsid w:val="00B34632"/>
    <w:rsid w:val="00B3491B"/>
    <w:rsid w:val="00B35D93"/>
    <w:rsid w:val="00B35E75"/>
    <w:rsid w:val="00B361B2"/>
    <w:rsid w:val="00B36FDE"/>
    <w:rsid w:val="00B370D4"/>
    <w:rsid w:val="00B37B27"/>
    <w:rsid w:val="00B37DF2"/>
    <w:rsid w:val="00B409CB"/>
    <w:rsid w:val="00B43DA4"/>
    <w:rsid w:val="00B44257"/>
    <w:rsid w:val="00B44918"/>
    <w:rsid w:val="00B46C51"/>
    <w:rsid w:val="00B5028E"/>
    <w:rsid w:val="00B5189C"/>
    <w:rsid w:val="00B536D4"/>
    <w:rsid w:val="00B54B96"/>
    <w:rsid w:val="00B54E31"/>
    <w:rsid w:val="00B5508E"/>
    <w:rsid w:val="00B559FF"/>
    <w:rsid w:val="00B57119"/>
    <w:rsid w:val="00B57307"/>
    <w:rsid w:val="00B57968"/>
    <w:rsid w:val="00B57999"/>
    <w:rsid w:val="00B57E2F"/>
    <w:rsid w:val="00B600B6"/>
    <w:rsid w:val="00B609C9"/>
    <w:rsid w:val="00B62238"/>
    <w:rsid w:val="00B62413"/>
    <w:rsid w:val="00B62D7D"/>
    <w:rsid w:val="00B63FF2"/>
    <w:rsid w:val="00B64274"/>
    <w:rsid w:val="00B64D7F"/>
    <w:rsid w:val="00B6506A"/>
    <w:rsid w:val="00B655C4"/>
    <w:rsid w:val="00B7090F"/>
    <w:rsid w:val="00B70B95"/>
    <w:rsid w:val="00B71282"/>
    <w:rsid w:val="00B723BA"/>
    <w:rsid w:val="00B733FC"/>
    <w:rsid w:val="00B74F93"/>
    <w:rsid w:val="00B754E1"/>
    <w:rsid w:val="00B75BC9"/>
    <w:rsid w:val="00B76AF6"/>
    <w:rsid w:val="00B774E0"/>
    <w:rsid w:val="00B80496"/>
    <w:rsid w:val="00B816F7"/>
    <w:rsid w:val="00B81C2E"/>
    <w:rsid w:val="00B81D74"/>
    <w:rsid w:val="00B828E6"/>
    <w:rsid w:val="00B847A7"/>
    <w:rsid w:val="00B85167"/>
    <w:rsid w:val="00B858EF"/>
    <w:rsid w:val="00B874C3"/>
    <w:rsid w:val="00B87656"/>
    <w:rsid w:val="00B902A1"/>
    <w:rsid w:val="00B918DA"/>
    <w:rsid w:val="00B91B8D"/>
    <w:rsid w:val="00B91F68"/>
    <w:rsid w:val="00B933DC"/>
    <w:rsid w:val="00B93728"/>
    <w:rsid w:val="00B93880"/>
    <w:rsid w:val="00B9402A"/>
    <w:rsid w:val="00B94751"/>
    <w:rsid w:val="00B94B06"/>
    <w:rsid w:val="00B95706"/>
    <w:rsid w:val="00B95FC7"/>
    <w:rsid w:val="00B96087"/>
    <w:rsid w:val="00B9763F"/>
    <w:rsid w:val="00B978A2"/>
    <w:rsid w:val="00BA03F4"/>
    <w:rsid w:val="00BA1A95"/>
    <w:rsid w:val="00BA1E8F"/>
    <w:rsid w:val="00BA235D"/>
    <w:rsid w:val="00BA42C9"/>
    <w:rsid w:val="00BA430C"/>
    <w:rsid w:val="00BA4726"/>
    <w:rsid w:val="00BA4B00"/>
    <w:rsid w:val="00BA4B87"/>
    <w:rsid w:val="00BA50C2"/>
    <w:rsid w:val="00BA62D7"/>
    <w:rsid w:val="00BA7D18"/>
    <w:rsid w:val="00BB1017"/>
    <w:rsid w:val="00BB26BA"/>
    <w:rsid w:val="00BB31DF"/>
    <w:rsid w:val="00BB3DC7"/>
    <w:rsid w:val="00BB4871"/>
    <w:rsid w:val="00BB677A"/>
    <w:rsid w:val="00BB7D0C"/>
    <w:rsid w:val="00BC021E"/>
    <w:rsid w:val="00BC0856"/>
    <w:rsid w:val="00BC0CD4"/>
    <w:rsid w:val="00BC1E6F"/>
    <w:rsid w:val="00BC20DB"/>
    <w:rsid w:val="00BC2183"/>
    <w:rsid w:val="00BC31EF"/>
    <w:rsid w:val="00BC33F6"/>
    <w:rsid w:val="00BC48E8"/>
    <w:rsid w:val="00BC4C47"/>
    <w:rsid w:val="00BC6298"/>
    <w:rsid w:val="00BC6DF5"/>
    <w:rsid w:val="00BC710C"/>
    <w:rsid w:val="00BD0BDC"/>
    <w:rsid w:val="00BD12B3"/>
    <w:rsid w:val="00BD138A"/>
    <w:rsid w:val="00BD1ABD"/>
    <w:rsid w:val="00BD3066"/>
    <w:rsid w:val="00BD4DD3"/>
    <w:rsid w:val="00BD5ACD"/>
    <w:rsid w:val="00BD6090"/>
    <w:rsid w:val="00BD6496"/>
    <w:rsid w:val="00BD6AB5"/>
    <w:rsid w:val="00BD6C72"/>
    <w:rsid w:val="00BD737A"/>
    <w:rsid w:val="00BE0362"/>
    <w:rsid w:val="00BE048A"/>
    <w:rsid w:val="00BE0C61"/>
    <w:rsid w:val="00BE141C"/>
    <w:rsid w:val="00BE15B2"/>
    <w:rsid w:val="00BE551A"/>
    <w:rsid w:val="00BE5FEB"/>
    <w:rsid w:val="00BE6602"/>
    <w:rsid w:val="00BF0A17"/>
    <w:rsid w:val="00BF0AFC"/>
    <w:rsid w:val="00BF14FF"/>
    <w:rsid w:val="00BF1567"/>
    <w:rsid w:val="00BF1F01"/>
    <w:rsid w:val="00BF307D"/>
    <w:rsid w:val="00BF3A49"/>
    <w:rsid w:val="00BF3F90"/>
    <w:rsid w:val="00BF4440"/>
    <w:rsid w:val="00BF4A86"/>
    <w:rsid w:val="00BF50A2"/>
    <w:rsid w:val="00BF7122"/>
    <w:rsid w:val="00C0063A"/>
    <w:rsid w:val="00C00C4C"/>
    <w:rsid w:val="00C014AA"/>
    <w:rsid w:val="00C014F5"/>
    <w:rsid w:val="00C01642"/>
    <w:rsid w:val="00C01C0A"/>
    <w:rsid w:val="00C01F3D"/>
    <w:rsid w:val="00C02B21"/>
    <w:rsid w:val="00C02E5D"/>
    <w:rsid w:val="00C03EC6"/>
    <w:rsid w:val="00C04C6B"/>
    <w:rsid w:val="00C04D0C"/>
    <w:rsid w:val="00C0536B"/>
    <w:rsid w:val="00C05517"/>
    <w:rsid w:val="00C05D9D"/>
    <w:rsid w:val="00C065D3"/>
    <w:rsid w:val="00C07673"/>
    <w:rsid w:val="00C1098E"/>
    <w:rsid w:val="00C112C9"/>
    <w:rsid w:val="00C121CE"/>
    <w:rsid w:val="00C1259C"/>
    <w:rsid w:val="00C12A9A"/>
    <w:rsid w:val="00C12AEE"/>
    <w:rsid w:val="00C13548"/>
    <w:rsid w:val="00C14291"/>
    <w:rsid w:val="00C15153"/>
    <w:rsid w:val="00C17547"/>
    <w:rsid w:val="00C17FD6"/>
    <w:rsid w:val="00C2039A"/>
    <w:rsid w:val="00C20E53"/>
    <w:rsid w:val="00C21398"/>
    <w:rsid w:val="00C21E12"/>
    <w:rsid w:val="00C2218E"/>
    <w:rsid w:val="00C22A6A"/>
    <w:rsid w:val="00C24661"/>
    <w:rsid w:val="00C247F8"/>
    <w:rsid w:val="00C25D92"/>
    <w:rsid w:val="00C26743"/>
    <w:rsid w:val="00C269DB"/>
    <w:rsid w:val="00C26B9D"/>
    <w:rsid w:val="00C2779D"/>
    <w:rsid w:val="00C302D2"/>
    <w:rsid w:val="00C3497E"/>
    <w:rsid w:val="00C35176"/>
    <w:rsid w:val="00C355C1"/>
    <w:rsid w:val="00C3622F"/>
    <w:rsid w:val="00C36946"/>
    <w:rsid w:val="00C378C5"/>
    <w:rsid w:val="00C37BE8"/>
    <w:rsid w:val="00C4632A"/>
    <w:rsid w:val="00C46639"/>
    <w:rsid w:val="00C466EB"/>
    <w:rsid w:val="00C468D4"/>
    <w:rsid w:val="00C46A63"/>
    <w:rsid w:val="00C46AFD"/>
    <w:rsid w:val="00C50BE9"/>
    <w:rsid w:val="00C514D3"/>
    <w:rsid w:val="00C53F83"/>
    <w:rsid w:val="00C548AE"/>
    <w:rsid w:val="00C556F1"/>
    <w:rsid w:val="00C55D92"/>
    <w:rsid w:val="00C575D4"/>
    <w:rsid w:val="00C57BD0"/>
    <w:rsid w:val="00C60771"/>
    <w:rsid w:val="00C64EEB"/>
    <w:rsid w:val="00C707BF"/>
    <w:rsid w:val="00C70B47"/>
    <w:rsid w:val="00C70BE0"/>
    <w:rsid w:val="00C70F6B"/>
    <w:rsid w:val="00C7157E"/>
    <w:rsid w:val="00C71EA8"/>
    <w:rsid w:val="00C72A72"/>
    <w:rsid w:val="00C72C88"/>
    <w:rsid w:val="00C72D54"/>
    <w:rsid w:val="00C737D9"/>
    <w:rsid w:val="00C74F9C"/>
    <w:rsid w:val="00C75215"/>
    <w:rsid w:val="00C75523"/>
    <w:rsid w:val="00C75765"/>
    <w:rsid w:val="00C7691B"/>
    <w:rsid w:val="00C77096"/>
    <w:rsid w:val="00C775F5"/>
    <w:rsid w:val="00C77DD7"/>
    <w:rsid w:val="00C80ECB"/>
    <w:rsid w:val="00C81B0A"/>
    <w:rsid w:val="00C8283D"/>
    <w:rsid w:val="00C82DF0"/>
    <w:rsid w:val="00C83064"/>
    <w:rsid w:val="00C83AF7"/>
    <w:rsid w:val="00C83B0A"/>
    <w:rsid w:val="00C84F37"/>
    <w:rsid w:val="00C8515F"/>
    <w:rsid w:val="00C86083"/>
    <w:rsid w:val="00C8680A"/>
    <w:rsid w:val="00C87E6E"/>
    <w:rsid w:val="00C91925"/>
    <w:rsid w:val="00C9234E"/>
    <w:rsid w:val="00C92919"/>
    <w:rsid w:val="00C92EEE"/>
    <w:rsid w:val="00C9385B"/>
    <w:rsid w:val="00C93D33"/>
    <w:rsid w:val="00C9420F"/>
    <w:rsid w:val="00C94765"/>
    <w:rsid w:val="00C94AA3"/>
    <w:rsid w:val="00C95B3A"/>
    <w:rsid w:val="00C95FFE"/>
    <w:rsid w:val="00C961FC"/>
    <w:rsid w:val="00C9636E"/>
    <w:rsid w:val="00C970FA"/>
    <w:rsid w:val="00CA069E"/>
    <w:rsid w:val="00CA24A1"/>
    <w:rsid w:val="00CA3B2C"/>
    <w:rsid w:val="00CA3BE4"/>
    <w:rsid w:val="00CA57BD"/>
    <w:rsid w:val="00CA6DC5"/>
    <w:rsid w:val="00CA6F5B"/>
    <w:rsid w:val="00CA722B"/>
    <w:rsid w:val="00CA798B"/>
    <w:rsid w:val="00CA79D1"/>
    <w:rsid w:val="00CB013C"/>
    <w:rsid w:val="00CB08FF"/>
    <w:rsid w:val="00CB09E3"/>
    <w:rsid w:val="00CB158E"/>
    <w:rsid w:val="00CB1C47"/>
    <w:rsid w:val="00CB260A"/>
    <w:rsid w:val="00CB2696"/>
    <w:rsid w:val="00CB50D7"/>
    <w:rsid w:val="00CB5A82"/>
    <w:rsid w:val="00CB6439"/>
    <w:rsid w:val="00CB7392"/>
    <w:rsid w:val="00CC089F"/>
    <w:rsid w:val="00CC1021"/>
    <w:rsid w:val="00CC1421"/>
    <w:rsid w:val="00CC44BD"/>
    <w:rsid w:val="00CC52E3"/>
    <w:rsid w:val="00CC5330"/>
    <w:rsid w:val="00CC6187"/>
    <w:rsid w:val="00CC675C"/>
    <w:rsid w:val="00CC6F54"/>
    <w:rsid w:val="00CD08F6"/>
    <w:rsid w:val="00CD16F4"/>
    <w:rsid w:val="00CD2E5F"/>
    <w:rsid w:val="00CD4FE9"/>
    <w:rsid w:val="00CD6A7D"/>
    <w:rsid w:val="00CD6F3C"/>
    <w:rsid w:val="00CD6F5B"/>
    <w:rsid w:val="00CD7448"/>
    <w:rsid w:val="00CD7876"/>
    <w:rsid w:val="00CD795D"/>
    <w:rsid w:val="00CE0E5C"/>
    <w:rsid w:val="00CE17F7"/>
    <w:rsid w:val="00CE1A8B"/>
    <w:rsid w:val="00CE23EB"/>
    <w:rsid w:val="00CE240E"/>
    <w:rsid w:val="00CE39B0"/>
    <w:rsid w:val="00CE51D2"/>
    <w:rsid w:val="00CE5CC9"/>
    <w:rsid w:val="00CE6A06"/>
    <w:rsid w:val="00CF0114"/>
    <w:rsid w:val="00CF055C"/>
    <w:rsid w:val="00CF06F7"/>
    <w:rsid w:val="00CF1071"/>
    <w:rsid w:val="00CF2865"/>
    <w:rsid w:val="00CF2E74"/>
    <w:rsid w:val="00CF3E23"/>
    <w:rsid w:val="00CF41AB"/>
    <w:rsid w:val="00CF4857"/>
    <w:rsid w:val="00CF48DB"/>
    <w:rsid w:val="00CF535A"/>
    <w:rsid w:val="00CF5806"/>
    <w:rsid w:val="00CF58FF"/>
    <w:rsid w:val="00CF751B"/>
    <w:rsid w:val="00CF76BF"/>
    <w:rsid w:val="00CF7E2C"/>
    <w:rsid w:val="00D00300"/>
    <w:rsid w:val="00D007A5"/>
    <w:rsid w:val="00D01132"/>
    <w:rsid w:val="00D019DA"/>
    <w:rsid w:val="00D02814"/>
    <w:rsid w:val="00D02C16"/>
    <w:rsid w:val="00D03623"/>
    <w:rsid w:val="00D04174"/>
    <w:rsid w:val="00D05706"/>
    <w:rsid w:val="00D05AB0"/>
    <w:rsid w:val="00D06106"/>
    <w:rsid w:val="00D108B5"/>
    <w:rsid w:val="00D10907"/>
    <w:rsid w:val="00D11D0C"/>
    <w:rsid w:val="00D127C2"/>
    <w:rsid w:val="00D136C3"/>
    <w:rsid w:val="00D13981"/>
    <w:rsid w:val="00D14269"/>
    <w:rsid w:val="00D15841"/>
    <w:rsid w:val="00D15B75"/>
    <w:rsid w:val="00D1676E"/>
    <w:rsid w:val="00D178E0"/>
    <w:rsid w:val="00D20068"/>
    <w:rsid w:val="00D20A0A"/>
    <w:rsid w:val="00D21508"/>
    <w:rsid w:val="00D22384"/>
    <w:rsid w:val="00D22B51"/>
    <w:rsid w:val="00D22DBE"/>
    <w:rsid w:val="00D231C6"/>
    <w:rsid w:val="00D24052"/>
    <w:rsid w:val="00D25769"/>
    <w:rsid w:val="00D27BC3"/>
    <w:rsid w:val="00D32C59"/>
    <w:rsid w:val="00D33C75"/>
    <w:rsid w:val="00D347A8"/>
    <w:rsid w:val="00D35242"/>
    <w:rsid w:val="00D3560F"/>
    <w:rsid w:val="00D358B7"/>
    <w:rsid w:val="00D36381"/>
    <w:rsid w:val="00D3755C"/>
    <w:rsid w:val="00D41F50"/>
    <w:rsid w:val="00D429F5"/>
    <w:rsid w:val="00D43820"/>
    <w:rsid w:val="00D43FAE"/>
    <w:rsid w:val="00D50332"/>
    <w:rsid w:val="00D51034"/>
    <w:rsid w:val="00D51FB2"/>
    <w:rsid w:val="00D52837"/>
    <w:rsid w:val="00D5310B"/>
    <w:rsid w:val="00D535B4"/>
    <w:rsid w:val="00D53F70"/>
    <w:rsid w:val="00D54105"/>
    <w:rsid w:val="00D5578C"/>
    <w:rsid w:val="00D55E50"/>
    <w:rsid w:val="00D57165"/>
    <w:rsid w:val="00D57FF1"/>
    <w:rsid w:val="00D62443"/>
    <w:rsid w:val="00D626AB"/>
    <w:rsid w:val="00D62CFB"/>
    <w:rsid w:val="00D660C9"/>
    <w:rsid w:val="00D6728F"/>
    <w:rsid w:val="00D6764A"/>
    <w:rsid w:val="00D6797F"/>
    <w:rsid w:val="00D72FBD"/>
    <w:rsid w:val="00D735C8"/>
    <w:rsid w:val="00D74258"/>
    <w:rsid w:val="00D757B2"/>
    <w:rsid w:val="00D75AC1"/>
    <w:rsid w:val="00D75FB9"/>
    <w:rsid w:val="00D768E5"/>
    <w:rsid w:val="00D76CE2"/>
    <w:rsid w:val="00D776E6"/>
    <w:rsid w:val="00D80B32"/>
    <w:rsid w:val="00D81315"/>
    <w:rsid w:val="00D81322"/>
    <w:rsid w:val="00D81CBC"/>
    <w:rsid w:val="00D82DDA"/>
    <w:rsid w:val="00D839A6"/>
    <w:rsid w:val="00D844CF"/>
    <w:rsid w:val="00D866B4"/>
    <w:rsid w:val="00D869D0"/>
    <w:rsid w:val="00D86EFA"/>
    <w:rsid w:val="00D876BC"/>
    <w:rsid w:val="00D87D1A"/>
    <w:rsid w:val="00D9063B"/>
    <w:rsid w:val="00D94556"/>
    <w:rsid w:val="00D955F6"/>
    <w:rsid w:val="00D95E87"/>
    <w:rsid w:val="00D95F5B"/>
    <w:rsid w:val="00D9615F"/>
    <w:rsid w:val="00D96FF1"/>
    <w:rsid w:val="00D97103"/>
    <w:rsid w:val="00D97EB9"/>
    <w:rsid w:val="00DA0F5A"/>
    <w:rsid w:val="00DA1F41"/>
    <w:rsid w:val="00DA2FD2"/>
    <w:rsid w:val="00DA422A"/>
    <w:rsid w:val="00DA7AD0"/>
    <w:rsid w:val="00DB34CF"/>
    <w:rsid w:val="00DB3E32"/>
    <w:rsid w:val="00DB4390"/>
    <w:rsid w:val="00DB4584"/>
    <w:rsid w:val="00DB553A"/>
    <w:rsid w:val="00DB589B"/>
    <w:rsid w:val="00DB6075"/>
    <w:rsid w:val="00DB678E"/>
    <w:rsid w:val="00DB6948"/>
    <w:rsid w:val="00DB6D30"/>
    <w:rsid w:val="00DB7515"/>
    <w:rsid w:val="00DB7CF9"/>
    <w:rsid w:val="00DC001E"/>
    <w:rsid w:val="00DC0AA1"/>
    <w:rsid w:val="00DC0B3B"/>
    <w:rsid w:val="00DC1D1F"/>
    <w:rsid w:val="00DC2CED"/>
    <w:rsid w:val="00DC4340"/>
    <w:rsid w:val="00DC4812"/>
    <w:rsid w:val="00DC6B08"/>
    <w:rsid w:val="00DC7AB5"/>
    <w:rsid w:val="00DD0764"/>
    <w:rsid w:val="00DD1BC8"/>
    <w:rsid w:val="00DD271B"/>
    <w:rsid w:val="00DD34D1"/>
    <w:rsid w:val="00DD3CB7"/>
    <w:rsid w:val="00DD4317"/>
    <w:rsid w:val="00DD4495"/>
    <w:rsid w:val="00DD48AB"/>
    <w:rsid w:val="00DD5874"/>
    <w:rsid w:val="00DD5BD5"/>
    <w:rsid w:val="00DD6813"/>
    <w:rsid w:val="00DE064F"/>
    <w:rsid w:val="00DE10C4"/>
    <w:rsid w:val="00DE1AA7"/>
    <w:rsid w:val="00DE1B1C"/>
    <w:rsid w:val="00DE1D45"/>
    <w:rsid w:val="00DE2E53"/>
    <w:rsid w:val="00DE4F6E"/>
    <w:rsid w:val="00DE4FD3"/>
    <w:rsid w:val="00DE52BC"/>
    <w:rsid w:val="00DE6E62"/>
    <w:rsid w:val="00DE6E70"/>
    <w:rsid w:val="00DE6E81"/>
    <w:rsid w:val="00DE71AD"/>
    <w:rsid w:val="00DF0DAF"/>
    <w:rsid w:val="00DF22DD"/>
    <w:rsid w:val="00DF23F3"/>
    <w:rsid w:val="00DF3D4F"/>
    <w:rsid w:val="00DF4ABF"/>
    <w:rsid w:val="00DF5850"/>
    <w:rsid w:val="00DF695F"/>
    <w:rsid w:val="00E00085"/>
    <w:rsid w:val="00E00713"/>
    <w:rsid w:val="00E048F3"/>
    <w:rsid w:val="00E05B6E"/>
    <w:rsid w:val="00E075EF"/>
    <w:rsid w:val="00E07DF8"/>
    <w:rsid w:val="00E101C7"/>
    <w:rsid w:val="00E102A0"/>
    <w:rsid w:val="00E12C22"/>
    <w:rsid w:val="00E132EC"/>
    <w:rsid w:val="00E13CD0"/>
    <w:rsid w:val="00E13F7E"/>
    <w:rsid w:val="00E145B0"/>
    <w:rsid w:val="00E1511F"/>
    <w:rsid w:val="00E1528F"/>
    <w:rsid w:val="00E15800"/>
    <w:rsid w:val="00E1659A"/>
    <w:rsid w:val="00E166E5"/>
    <w:rsid w:val="00E175FB"/>
    <w:rsid w:val="00E208D9"/>
    <w:rsid w:val="00E21057"/>
    <w:rsid w:val="00E21518"/>
    <w:rsid w:val="00E21768"/>
    <w:rsid w:val="00E217E1"/>
    <w:rsid w:val="00E2196A"/>
    <w:rsid w:val="00E21DBD"/>
    <w:rsid w:val="00E22335"/>
    <w:rsid w:val="00E23F51"/>
    <w:rsid w:val="00E241EE"/>
    <w:rsid w:val="00E249DF"/>
    <w:rsid w:val="00E252D9"/>
    <w:rsid w:val="00E25B8C"/>
    <w:rsid w:val="00E26A5A"/>
    <w:rsid w:val="00E30449"/>
    <w:rsid w:val="00E30552"/>
    <w:rsid w:val="00E33B92"/>
    <w:rsid w:val="00E35340"/>
    <w:rsid w:val="00E36453"/>
    <w:rsid w:val="00E36A9D"/>
    <w:rsid w:val="00E36F86"/>
    <w:rsid w:val="00E377F7"/>
    <w:rsid w:val="00E37822"/>
    <w:rsid w:val="00E379BB"/>
    <w:rsid w:val="00E37B73"/>
    <w:rsid w:val="00E37D54"/>
    <w:rsid w:val="00E37E60"/>
    <w:rsid w:val="00E40637"/>
    <w:rsid w:val="00E41603"/>
    <w:rsid w:val="00E41AE6"/>
    <w:rsid w:val="00E426BC"/>
    <w:rsid w:val="00E427B5"/>
    <w:rsid w:val="00E4382D"/>
    <w:rsid w:val="00E438A9"/>
    <w:rsid w:val="00E43C46"/>
    <w:rsid w:val="00E43F56"/>
    <w:rsid w:val="00E448A3"/>
    <w:rsid w:val="00E44E05"/>
    <w:rsid w:val="00E458E6"/>
    <w:rsid w:val="00E471BA"/>
    <w:rsid w:val="00E47D74"/>
    <w:rsid w:val="00E512B1"/>
    <w:rsid w:val="00E5170D"/>
    <w:rsid w:val="00E51843"/>
    <w:rsid w:val="00E51D51"/>
    <w:rsid w:val="00E53217"/>
    <w:rsid w:val="00E53A3B"/>
    <w:rsid w:val="00E53FE5"/>
    <w:rsid w:val="00E547DE"/>
    <w:rsid w:val="00E56482"/>
    <w:rsid w:val="00E56A31"/>
    <w:rsid w:val="00E57B4D"/>
    <w:rsid w:val="00E61480"/>
    <w:rsid w:val="00E6148C"/>
    <w:rsid w:val="00E615AB"/>
    <w:rsid w:val="00E61F79"/>
    <w:rsid w:val="00E63669"/>
    <w:rsid w:val="00E64DDC"/>
    <w:rsid w:val="00E67247"/>
    <w:rsid w:val="00E67D55"/>
    <w:rsid w:val="00E70E0F"/>
    <w:rsid w:val="00E717CD"/>
    <w:rsid w:val="00E73991"/>
    <w:rsid w:val="00E73E9A"/>
    <w:rsid w:val="00E75ADF"/>
    <w:rsid w:val="00E75F45"/>
    <w:rsid w:val="00E77221"/>
    <w:rsid w:val="00E7734E"/>
    <w:rsid w:val="00E77641"/>
    <w:rsid w:val="00E804E2"/>
    <w:rsid w:val="00E8090D"/>
    <w:rsid w:val="00E81627"/>
    <w:rsid w:val="00E81E7E"/>
    <w:rsid w:val="00E8251D"/>
    <w:rsid w:val="00E85196"/>
    <w:rsid w:val="00E85D39"/>
    <w:rsid w:val="00E86309"/>
    <w:rsid w:val="00E865B8"/>
    <w:rsid w:val="00E86A4A"/>
    <w:rsid w:val="00E874BE"/>
    <w:rsid w:val="00E87612"/>
    <w:rsid w:val="00E914B5"/>
    <w:rsid w:val="00E9191D"/>
    <w:rsid w:val="00E9194B"/>
    <w:rsid w:val="00E93231"/>
    <w:rsid w:val="00E93863"/>
    <w:rsid w:val="00E9413C"/>
    <w:rsid w:val="00E95125"/>
    <w:rsid w:val="00E95B25"/>
    <w:rsid w:val="00E96895"/>
    <w:rsid w:val="00E96BD6"/>
    <w:rsid w:val="00E96DFD"/>
    <w:rsid w:val="00EA00AA"/>
    <w:rsid w:val="00EA23F2"/>
    <w:rsid w:val="00EA2F8A"/>
    <w:rsid w:val="00EA34F6"/>
    <w:rsid w:val="00EA3FD8"/>
    <w:rsid w:val="00EA59E7"/>
    <w:rsid w:val="00EA5F59"/>
    <w:rsid w:val="00EA63A4"/>
    <w:rsid w:val="00EA72DA"/>
    <w:rsid w:val="00EA7349"/>
    <w:rsid w:val="00EB11EB"/>
    <w:rsid w:val="00EB1B58"/>
    <w:rsid w:val="00EB2B9E"/>
    <w:rsid w:val="00EB2CB5"/>
    <w:rsid w:val="00EB2DEA"/>
    <w:rsid w:val="00EB3137"/>
    <w:rsid w:val="00EB325B"/>
    <w:rsid w:val="00EB45C3"/>
    <w:rsid w:val="00EB5DB8"/>
    <w:rsid w:val="00EB6A26"/>
    <w:rsid w:val="00EB6EFA"/>
    <w:rsid w:val="00EB77B1"/>
    <w:rsid w:val="00EB7EDB"/>
    <w:rsid w:val="00EC19B2"/>
    <w:rsid w:val="00EC2E13"/>
    <w:rsid w:val="00EC3527"/>
    <w:rsid w:val="00EC3964"/>
    <w:rsid w:val="00EC39D4"/>
    <w:rsid w:val="00EC403B"/>
    <w:rsid w:val="00EC44DC"/>
    <w:rsid w:val="00EC4A39"/>
    <w:rsid w:val="00EC4D14"/>
    <w:rsid w:val="00EC5361"/>
    <w:rsid w:val="00EC5B35"/>
    <w:rsid w:val="00EC6CC6"/>
    <w:rsid w:val="00EC7147"/>
    <w:rsid w:val="00EC7888"/>
    <w:rsid w:val="00EC78EA"/>
    <w:rsid w:val="00EC7A7E"/>
    <w:rsid w:val="00ED0377"/>
    <w:rsid w:val="00ED0B1D"/>
    <w:rsid w:val="00ED1858"/>
    <w:rsid w:val="00ED3374"/>
    <w:rsid w:val="00ED34C0"/>
    <w:rsid w:val="00ED5B81"/>
    <w:rsid w:val="00ED5D46"/>
    <w:rsid w:val="00EE1D26"/>
    <w:rsid w:val="00EE1FC2"/>
    <w:rsid w:val="00EE20B8"/>
    <w:rsid w:val="00EE2464"/>
    <w:rsid w:val="00EE3641"/>
    <w:rsid w:val="00EE38C1"/>
    <w:rsid w:val="00EE5A04"/>
    <w:rsid w:val="00EE5DB5"/>
    <w:rsid w:val="00EE5DC6"/>
    <w:rsid w:val="00EE6A65"/>
    <w:rsid w:val="00EF0300"/>
    <w:rsid w:val="00EF1093"/>
    <w:rsid w:val="00EF1CD4"/>
    <w:rsid w:val="00EF335B"/>
    <w:rsid w:val="00EF3495"/>
    <w:rsid w:val="00EF3C55"/>
    <w:rsid w:val="00EF450A"/>
    <w:rsid w:val="00EF4D22"/>
    <w:rsid w:val="00EF5049"/>
    <w:rsid w:val="00EF58D9"/>
    <w:rsid w:val="00EF5BA2"/>
    <w:rsid w:val="00EF756D"/>
    <w:rsid w:val="00EF7584"/>
    <w:rsid w:val="00F0107C"/>
    <w:rsid w:val="00F018FC"/>
    <w:rsid w:val="00F01C51"/>
    <w:rsid w:val="00F01E94"/>
    <w:rsid w:val="00F0425D"/>
    <w:rsid w:val="00F04573"/>
    <w:rsid w:val="00F0480B"/>
    <w:rsid w:val="00F0509F"/>
    <w:rsid w:val="00F05F45"/>
    <w:rsid w:val="00F0635E"/>
    <w:rsid w:val="00F06AC9"/>
    <w:rsid w:val="00F1187B"/>
    <w:rsid w:val="00F12A6E"/>
    <w:rsid w:val="00F12F2B"/>
    <w:rsid w:val="00F13759"/>
    <w:rsid w:val="00F14066"/>
    <w:rsid w:val="00F144BB"/>
    <w:rsid w:val="00F1451B"/>
    <w:rsid w:val="00F17377"/>
    <w:rsid w:val="00F1752A"/>
    <w:rsid w:val="00F20DA6"/>
    <w:rsid w:val="00F20EBB"/>
    <w:rsid w:val="00F2221F"/>
    <w:rsid w:val="00F22D63"/>
    <w:rsid w:val="00F25294"/>
    <w:rsid w:val="00F257CB"/>
    <w:rsid w:val="00F25E02"/>
    <w:rsid w:val="00F26335"/>
    <w:rsid w:val="00F272F1"/>
    <w:rsid w:val="00F275B5"/>
    <w:rsid w:val="00F301E7"/>
    <w:rsid w:val="00F3081B"/>
    <w:rsid w:val="00F31AB0"/>
    <w:rsid w:val="00F31FA4"/>
    <w:rsid w:val="00F32A84"/>
    <w:rsid w:val="00F33779"/>
    <w:rsid w:val="00F34067"/>
    <w:rsid w:val="00F3517A"/>
    <w:rsid w:val="00F35680"/>
    <w:rsid w:val="00F362C1"/>
    <w:rsid w:val="00F36469"/>
    <w:rsid w:val="00F36F75"/>
    <w:rsid w:val="00F37493"/>
    <w:rsid w:val="00F37B1F"/>
    <w:rsid w:val="00F405CA"/>
    <w:rsid w:val="00F40CC8"/>
    <w:rsid w:val="00F410D6"/>
    <w:rsid w:val="00F4145F"/>
    <w:rsid w:val="00F41A90"/>
    <w:rsid w:val="00F41E85"/>
    <w:rsid w:val="00F42B7B"/>
    <w:rsid w:val="00F43707"/>
    <w:rsid w:val="00F44E11"/>
    <w:rsid w:val="00F45AB7"/>
    <w:rsid w:val="00F46AAC"/>
    <w:rsid w:val="00F474A6"/>
    <w:rsid w:val="00F474C7"/>
    <w:rsid w:val="00F47595"/>
    <w:rsid w:val="00F477A7"/>
    <w:rsid w:val="00F506BE"/>
    <w:rsid w:val="00F50C35"/>
    <w:rsid w:val="00F526BA"/>
    <w:rsid w:val="00F526EF"/>
    <w:rsid w:val="00F52AA9"/>
    <w:rsid w:val="00F53A5F"/>
    <w:rsid w:val="00F53FB3"/>
    <w:rsid w:val="00F55CD9"/>
    <w:rsid w:val="00F55DE3"/>
    <w:rsid w:val="00F55EBC"/>
    <w:rsid w:val="00F56AFB"/>
    <w:rsid w:val="00F5710F"/>
    <w:rsid w:val="00F61078"/>
    <w:rsid w:val="00F6117E"/>
    <w:rsid w:val="00F62F00"/>
    <w:rsid w:val="00F63582"/>
    <w:rsid w:val="00F635CF"/>
    <w:rsid w:val="00F63CAF"/>
    <w:rsid w:val="00F63FE2"/>
    <w:rsid w:val="00F64134"/>
    <w:rsid w:val="00F67D70"/>
    <w:rsid w:val="00F70B23"/>
    <w:rsid w:val="00F71027"/>
    <w:rsid w:val="00F71A49"/>
    <w:rsid w:val="00F72C46"/>
    <w:rsid w:val="00F72CAB"/>
    <w:rsid w:val="00F75C1C"/>
    <w:rsid w:val="00F7721B"/>
    <w:rsid w:val="00F774DA"/>
    <w:rsid w:val="00F802EE"/>
    <w:rsid w:val="00F810CF"/>
    <w:rsid w:val="00F8361D"/>
    <w:rsid w:val="00F843AE"/>
    <w:rsid w:val="00F84F20"/>
    <w:rsid w:val="00F84FB1"/>
    <w:rsid w:val="00F851CA"/>
    <w:rsid w:val="00F859A8"/>
    <w:rsid w:val="00F86680"/>
    <w:rsid w:val="00F868A7"/>
    <w:rsid w:val="00F9083C"/>
    <w:rsid w:val="00F9127F"/>
    <w:rsid w:val="00F921A7"/>
    <w:rsid w:val="00F924D4"/>
    <w:rsid w:val="00F96F59"/>
    <w:rsid w:val="00F97A89"/>
    <w:rsid w:val="00FA0770"/>
    <w:rsid w:val="00FA1A28"/>
    <w:rsid w:val="00FA351F"/>
    <w:rsid w:val="00FA3A28"/>
    <w:rsid w:val="00FA3BFE"/>
    <w:rsid w:val="00FA443A"/>
    <w:rsid w:val="00FA4482"/>
    <w:rsid w:val="00FA5DFE"/>
    <w:rsid w:val="00FA66A0"/>
    <w:rsid w:val="00FA6D82"/>
    <w:rsid w:val="00FA77BB"/>
    <w:rsid w:val="00FB02B8"/>
    <w:rsid w:val="00FB0C67"/>
    <w:rsid w:val="00FB1E9F"/>
    <w:rsid w:val="00FB46FE"/>
    <w:rsid w:val="00FB56C8"/>
    <w:rsid w:val="00FB653E"/>
    <w:rsid w:val="00FB7B5D"/>
    <w:rsid w:val="00FC0129"/>
    <w:rsid w:val="00FC0691"/>
    <w:rsid w:val="00FC0809"/>
    <w:rsid w:val="00FC2143"/>
    <w:rsid w:val="00FC2CD6"/>
    <w:rsid w:val="00FC3BD7"/>
    <w:rsid w:val="00FC3EA2"/>
    <w:rsid w:val="00FC58CB"/>
    <w:rsid w:val="00FC6366"/>
    <w:rsid w:val="00FC65FE"/>
    <w:rsid w:val="00FC7687"/>
    <w:rsid w:val="00FC782E"/>
    <w:rsid w:val="00FC78B2"/>
    <w:rsid w:val="00FC7D52"/>
    <w:rsid w:val="00FC7F7E"/>
    <w:rsid w:val="00FD2B4A"/>
    <w:rsid w:val="00FD32CC"/>
    <w:rsid w:val="00FD3B2B"/>
    <w:rsid w:val="00FD4B16"/>
    <w:rsid w:val="00FD4EA2"/>
    <w:rsid w:val="00FD5A2E"/>
    <w:rsid w:val="00FD609B"/>
    <w:rsid w:val="00FD6B78"/>
    <w:rsid w:val="00FE10BB"/>
    <w:rsid w:val="00FE1510"/>
    <w:rsid w:val="00FE2345"/>
    <w:rsid w:val="00FE2D82"/>
    <w:rsid w:val="00FE386C"/>
    <w:rsid w:val="00FE5C66"/>
    <w:rsid w:val="00FE67B0"/>
    <w:rsid w:val="00FE6DEB"/>
    <w:rsid w:val="00FF0091"/>
    <w:rsid w:val="00FF0903"/>
    <w:rsid w:val="00FF0A78"/>
    <w:rsid w:val="00FF20F5"/>
    <w:rsid w:val="00FF328E"/>
    <w:rsid w:val="00FF3C6E"/>
    <w:rsid w:val="00FF3FA9"/>
    <w:rsid w:val="00FF5C63"/>
    <w:rsid w:val="00FF5D19"/>
    <w:rsid w:val="00FF5DDA"/>
    <w:rsid w:val="00FF5E39"/>
    <w:rsid w:val="00FF5FA6"/>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94ADA0-5AA0-4621-9CF2-88251E51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E05"/>
    <w:pPr>
      <w:widowControl w:val="0"/>
      <w:jc w:val="both"/>
    </w:pPr>
    <w:rPr>
      <w:kern w:val="2"/>
      <w:sz w:val="21"/>
      <w:szCs w:val="24"/>
    </w:rPr>
  </w:style>
  <w:style w:type="paragraph" w:styleId="1">
    <w:name w:val="heading 1"/>
    <w:aliases w:val="Heading 0,H1,PIM 1,Heading 11,level 1,Level 1 Head,h1,123321,Level 1 Topic Heading"/>
    <w:basedOn w:val="a0"/>
    <w:next w:val="a0"/>
    <w:link w:val="1Char"/>
    <w:uiPriority w:val="99"/>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link w:val="2Char"/>
    <w:uiPriority w:val="99"/>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link w:val="3Char"/>
    <w:uiPriority w:val="99"/>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link w:val="Char"/>
    <w:uiPriority w:val="99"/>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uiPriority w:val="99"/>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0"/>
    <w:rsid w:val="00BA4B87"/>
    <w:pPr>
      <w:ind w:firstLineChars="200" w:firstLine="200"/>
    </w:pPr>
    <w:rPr>
      <w:rFonts w:ascii="宋体" w:hAnsi="Courier New"/>
      <w:sz w:val="24"/>
      <w:szCs w:val="21"/>
    </w:rPr>
  </w:style>
  <w:style w:type="paragraph" w:styleId="a7">
    <w:name w:val="header"/>
    <w:basedOn w:val="a0"/>
    <w:link w:val="Char1"/>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2"/>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link w:val="Char3"/>
    <w:uiPriority w:val="99"/>
    <w:semiHidden/>
    <w:rsid w:val="00BA4B87"/>
    <w:pPr>
      <w:ind w:firstLineChars="200" w:firstLine="200"/>
    </w:pPr>
    <w:rPr>
      <w:sz w:val="18"/>
      <w:szCs w:val="18"/>
    </w:rPr>
  </w:style>
  <w:style w:type="paragraph" w:styleId="ac">
    <w:name w:val="Body Text First Indent"/>
    <w:basedOn w:val="a"/>
    <w:link w:val="Char4"/>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uiPriority w:val="99"/>
    <w:rsid w:val="00BA4B87"/>
    <w:rPr>
      <w:sz w:val="21"/>
      <w:szCs w:val="21"/>
    </w:rPr>
  </w:style>
  <w:style w:type="paragraph" w:styleId="ae">
    <w:name w:val="annotation text"/>
    <w:basedOn w:val="a0"/>
    <w:link w:val="Char5"/>
    <w:uiPriority w:val="99"/>
    <w:rsid w:val="00BA4B87"/>
    <w:pPr>
      <w:jc w:val="left"/>
    </w:pPr>
  </w:style>
  <w:style w:type="character" w:customStyle="1" w:styleId="Char5">
    <w:name w:val="批注文字 Char"/>
    <w:basedOn w:val="a1"/>
    <w:link w:val="ae"/>
    <w:uiPriority w:val="99"/>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link w:val="Char6"/>
    <w:uiPriority w:val="99"/>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7"/>
    <w:uiPriority w:val="99"/>
    <w:rsid w:val="00685D02"/>
    <w:rPr>
      <w:rFonts w:ascii="宋体"/>
      <w:sz w:val="18"/>
      <w:szCs w:val="18"/>
    </w:rPr>
  </w:style>
  <w:style w:type="character" w:customStyle="1" w:styleId="Char7">
    <w:name w:val="文档结构图 Char"/>
    <w:basedOn w:val="a1"/>
    <w:link w:val="af1"/>
    <w:uiPriority w:val="99"/>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1">
    <w:name w:val="页眉 Char"/>
    <w:basedOn w:val="a1"/>
    <w:link w:val="a7"/>
    <w:uiPriority w:val="99"/>
    <w:rsid w:val="00AE70B8"/>
    <w:rPr>
      <w:rFonts w:eastAsia="仿宋_GB2312"/>
      <w:kern w:val="2"/>
      <w:sz w:val="18"/>
    </w:rPr>
  </w:style>
  <w:style w:type="character" w:customStyle="1" w:styleId="Char2">
    <w:name w:val="页脚 Char"/>
    <w:basedOn w:val="a1"/>
    <w:link w:val="a9"/>
    <w:uiPriority w:val="99"/>
    <w:rsid w:val="00AE70B8"/>
    <w:rPr>
      <w:rFonts w:eastAsia="仿宋_GB2312"/>
      <w:kern w:val="2"/>
      <w:sz w:val="18"/>
    </w:rPr>
  </w:style>
  <w:style w:type="character" w:styleId="af3">
    <w:name w:val="footnote reference"/>
    <w:basedOn w:val="a1"/>
    <w:uiPriority w:val="99"/>
    <w:rsid w:val="00441AD4"/>
    <w:rPr>
      <w:vertAlign w:val="superscript"/>
    </w:rPr>
  </w:style>
  <w:style w:type="character" w:customStyle="1" w:styleId="big1">
    <w:name w:val="big1"/>
    <w:basedOn w:val="a1"/>
    <w:rsid w:val="00D178E0"/>
    <w:rPr>
      <w:spacing w:val="360"/>
      <w:sz w:val="22"/>
      <w:szCs w:val="22"/>
    </w:rPr>
  </w:style>
  <w:style w:type="character" w:customStyle="1" w:styleId="Char0">
    <w:name w:val="纯文本 Char"/>
    <w:basedOn w:val="a1"/>
    <w:link w:val="a6"/>
    <w:locked/>
    <w:rsid w:val="00310E26"/>
    <w:rPr>
      <w:rFonts w:ascii="宋体" w:hAnsi="Courier New"/>
      <w:kern w:val="2"/>
      <w:sz w:val="24"/>
      <w:szCs w:val="21"/>
    </w:rPr>
  </w:style>
  <w:style w:type="character" w:customStyle="1" w:styleId="Char4">
    <w:name w:val="正文首行缩进 Char"/>
    <w:basedOn w:val="a1"/>
    <w:link w:val="ac"/>
    <w:rsid w:val="00AE2909"/>
    <w:rPr>
      <w:kern w:val="2"/>
      <w:sz w:val="21"/>
      <w:szCs w:val="24"/>
    </w:rPr>
  </w:style>
  <w:style w:type="paragraph" w:styleId="af4">
    <w:name w:val="List Paragraph"/>
    <w:basedOn w:val="a0"/>
    <w:uiPriority w:val="99"/>
    <w:qFormat/>
    <w:rsid w:val="00BA03F4"/>
    <w:pPr>
      <w:ind w:firstLineChars="200" w:firstLine="420"/>
    </w:pPr>
    <w:rPr>
      <w:szCs w:val="21"/>
    </w:rPr>
  </w:style>
  <w:style w:type="table" w:styleId="af5">
    <w:name w:val="Table Grid"/>
    <w:basedOn w:val="a2"/>
    <w:qFormat/>
    <w:rsid w:val="00BA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纯文本 Char1"/>
    <w:basedOn w:val="a1"/>
    <w:semiHidden/>
    <w:locked/>
    <w:rsid w:val="00C4632A"/>
    <w:rPr>
      <w:rFonts w:ascii="宋体" w:hAnsi="Courier New" w:cs="Courier New"/>
      <w:kern w:val="2"/>
      <w:sz w:val="21"/>
      <w:szCs w:val="21"/>
    </w:rPr>
  </w:style>
  <w:style w:type="character" w:styleId="af6">
    <w:name w:val="FollowedHyperlink"/>
    <w:basedOn w:val="a1"/>
    <w:uiPriority w:val="99"/>
    <w:unhideWhenUsed/>
    <w:rsid w:val="00321BD0"/>
    <w:rPr>
      <w:color w:val="800080" w:themeColor="followedHyperlink"/>
      <w:u w:val="single"/>
    </w:rPr>
  </w:style>
  <w:style w:type="character" w:customStyle="1" w:styleId="t1">
    <w:name w:val="t1"/>
    <w:basedOn w:val="a1"/>
    <w:uiPriority w:val="99"/>
    <w:rsid w:val="008C31D3"/>
    <w:rPr>
      <w:color w:val="990000"/>
    </w:rPr>
  </w:style>
  <w:style w:type="paragraph" w:styleId="HTML">
    <w:name w:val="HTML Preformatted"/>
    <w:basedOn w:val="a0"/>
    <w:link w:val="HTMLChar"/>
    <w:uiPriority w:val="99"/>
    <w:unhideWhenUsed/>
    <w:rsid w:val="00275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275DD5"/>
    <w:rPr>
      <w:rFonts w:ascii="宋体" w:hAnsi="宋体"/>
      <w:sz w:val="24"/>
      <w:szCs w:val="24"/>
    </w:rPr>
  </w:style>
  <w:style w:type="character" w:customStyle="1" w:styleId="1Char">
    <w:name w:val="标题 1 Char"/>
    <w:aliases w:val="Heading 0 Char,H1 Char,PIM 1 Char,Heading 11 Char,level 1 Char,Level 1 Head Char,h1 Char,123321 Char,Level 1 Topic Heading Char"/>
    <w:basedOn w:val="a1"/>
    <w:link w:val="1"/>
    <w:uiPriority w:val="99"/>
    <w:rsid w:val="009F629F"/>
    <w:rPr>
      <w:rFonts w:ascii="黑体" w:eastAsia="黑体"/>
      <w:kern w:val="2"/>
      <w:sz w:val="32"/>
      <w:szCs w:val="32"/>
    </w:rPr>
  </w:style>
  <w:style w:type="character" w:customStyle="1" w:styleId="2Char">
    <w:name w:val="标题 2 Char"/>
    <w:aliases w:val="H2 Char,Heading 2 Hidden Char,Heading 2 CCBS Char,标题 2 Char Char Char,2nd level Char,h2 Char,2 Char,Header 2 Char,PIM2 Char,l2 Char,Level 2 Head Char,proj2 Char,proj21 Char,proj22 Char,proj23 Char,proj24 Char,proj25 Char,proj26 Char"/>
    <w:basedOn w:val="a1"/>
    <w:link w:val="2"/>
    <w:uiPriority w:val="99"/>
    <w:rsid w:val="009F629F"/>
    <w:rPr>
      <w:rFonts w:ascii="Arial" w:hAnsi="Arial"/>
      <w:b/>
      <w:kern w:val="2"/>
      <w:sz w:val="28"/>
      <w:szCs w:val="28"/>
    </w:rPr>
  </w:style>
  <w:style w:type="character" w:customStyle="1" w:styleId="3Char">
    <w:name w:val="标题 3 Char"/>
    <w:basedOn w:val="a1"/>
    <w:link w:val="3"/>
    <w:uiPriority w:val="99"/>
    <w:rsid w:val="009F629F"/>
    <w:rPr>
      <w:rFonts w:ascii="仿宋_GB2312" w:eastAsia="仿宋_GB2312"/>
      <w:kern w:val="2"/>
      <w:sz w:val="24"/>
    </w:rPr>
  </w:style>
  <w:style w:type="paragraph" w:styleId="af7">
    <w:name w:val="Normal (Web)"/>
    <w:basedOn w:val="a0"/>
    <w:uiPriority w:val="99"/>
    <w:semiHidden/>
    <w:unhideWhenUsed/>
    <w:rsid w:val="009F629F"/>
    <w:pPr>
      <w:widowControl/>
      <w:spacing w:before="100" w:beforeAutospacing="1" w:after="100" w:afterAutospacing="1"/>
      <w:jc w:val="left"/>
    </w:pPr>
    <w:rPr>
      <w:rFonts w:ascii="宋体" w:hAnsi="宋体" w:cs="宋体"/>
      <w:kern w:val="0"/>
      <w:sz w:val="24"/>
    </w:rPr>
  </w:style>
  <w:style w:type="paragraph" w:styleId="12">
    <w:name w:val="index 1"/>
    <w:basedOn w:val="a0"/>
    <w:next w:val="a0"/>
    <w:autoRedefine/>
    <w:uiPriority w:val="99"/>
    <w:semiHidden/>
    <w:unhideWhenUsed/>
    <w:rsid w:val="009F629F"/>
    <w:pPr>
      <w:jc w:val="right"/>
    </w:pPr>
    <w:rPr>
      <w:color w:val="008000"/>
      <w:szCs w:val="21"/>
    </w:rPr>
  </w:style>
  <w:style w:type="paragraph" w:styleId="af8">
    <w:name w:val="footnote text"/>
    <w:basedOn w:val="a0"/>
    <w:link w:val="Char8"/>
    <w:uiPriority w:val="99"/>
    <w:semiHidden/>
    <w:unhideWhenUsed/>
    <w:rsid w:val="009F629F"/>
    <w:pPr>
      <w:snapToGrid w:val="0"/>
      <w:jc w:val="left"/>
    </w:pPr>
    <w:rPr>
      <w:kern w:val="0"/>
      <w:sz w:val="18"/>
      <w:szCs w:val="18"/>
    </w:rPr>
  </w:style>
  <w:style w:type="character" w:customStyle="1" w:styleId="Char8">
    <w:name w:val="脚注文本 Char"/>
    <w:basedOn w:val="a1"/>
    <w:link w:val="af8"/>
    <w:uiPriority w:val="99"/>
    <w:semiHidden/>
    <w:rsid w:val="009F629F"/>
    <w:rPr>
      <w:sz w:val="18"/>
      <w:szCs w:val="18"/>
    </w:rPr>
  </w:style>
  <w:style w:type="character" w:customStyle="1" w:styleId="Char">
    <w:name w:val="正文文本 Char"/>
    <w:basedOn w:val="a1"/>
    <w:link w:val="a"/>
    <w:uiPriority w:val="99"/>
    <w:rsid w:val="009F629F"/>
    <w:rPr>
      <w:rFonts w:ascii="宋体"/>
      <w:sz w:val="24"/>
      <w:szCs w:val="24"/>
    </w:rPr>
  </w:style>
  <w:style w:type="paragraph" w:styleId="af9">
    <w:name w:val="List"/>
    <w:basedOn w:val="a"/>
    <w:uiPriority w:val="99"/>
    <w:semiHidden/>
    <w:unhideWhenUsed/>
    <w:rsid w:val="009F629F"/>
    <w:pPr>
      <w:numPr>
        <w:ilvl w:val="0"/>
        <w:numId w:val="0"/>
      </w:numPr>
      <w:tabs>
        <w:tab w:val="clear" w:pos="780"/>
      </w:tabs>
      <w:autoSpaceDE/>
      <w:autoSpaceDN/>
      <w:adjustRightInd/>
      <w:spacing w:after="220" w:line="220" w:lineRule="atLeast"/>
      <w:ind w:left="1440" w:hanging="360"/>
      <w:jc w:val="both"/>
    </w:pPr>
    <w:rPr>
      <w:rFonts w:ascii="Times New Roman"/>
      <w:sz w:val="21"/>
      <w:szCs w:val="21"/>
    </w:rPr>
  </w:style>
  <w:style w:type="paragraph" w:styleId="afa">
    <w:name w:val="Title"/>
    <w:basedOn w:val="a0"/>
    <w:next w:val="a0"/>
    <w:link w:val="Char9"/>
    <w:uiPriority w:val="99"/>
    <w:qFormat/>
    <w:rsid w:val="009F629F"/>
    <w:pPr>
      <w:spacing w:before="240" w:after="60"/>
      <w:jc w:val="center"/>
      <w:outlineLvl w:val="0"/>
    </w:pPr>
    <w:rPr>
      <w:rFonts w:ascii="Cambria" w:hAnsi="Cambria"/>
      <w:b/>
      <w:bCs/>
      <w:kern w:val="0"/>
      <w:sz w:val="32"/>
      <w:szCs w:val="32"/>
    </w:rPr>
  </w:style>
  <w:style w:type="character" w:customStyle="1" w:styleId="Char9">
    <w:name w:val="标题 Char"/>
    <w:basedOn w:val="a1"/>
    <w:link w:val="afa"/>
    <w:uiPriority w:val="99"/>
    <w:rsid w:val="009F629F"/>
    <w:rPr>
      <w:rFonts w:ascii="Cambria" w:hAnsi="Cambria"/>
      <w:b/>
      <w:bCs/>
      <w:sz w:val="32"/>
      <w:szCs w:val="32"/>
    </w:rPr>
  </w:style>
  <w:style w:type="paragraph" w:styleId="afb">
    <w:name w:val="Body Text Indent"/>
    <w:basedOn w:val="a0"/>
    <w:link w:val="Chara"/>
    <w:uiPriority w:val="99"/>
    <w:semiHidden/>
    <w:unhideWhenUsed/>
    <w:rsid w:val="009F629F"/>
    <w:pPr>
      <w:widowControl/>
      <w:spacing w:before="100" w:beforeAutospacing="1" w:after="100" w:afterAutospacing="1"/>
      <w:jc w:val="left"/>
    </w:pPr>
    <w:rPr>
      <w:rFonts w:ascii="Arial Unicode MS" w:eastAsia="Arial Unicode MS" w:hAnsi="Arial Unicode MS"/>
      <w:kern w:val="0"/>
      <w:sz w:val="24"/>
    </w:rPr>
  </w:style>
  <w:style w:type="character" w:customStyle="1" w:styleId="Chara">
    <w:name w:val="正文文本缩进 Char"/>
    <w:basedOn w:val="a1"/>
    <w:link w:val="afb"/>
    <w:uiPriority w:val="99"/>
    <w:semiHidden/>
    <w:rsid w:val="009F629F"/>
    <w:rPr>
      <w:rFonts w:ascii="Arial Unicode MS" w:eastAsia="Arial Unicode MS" w:hAnsi="Arial Unicode MS"/>
      <w:sz w:val="24"/>
      <w:szCs w:val="24"/>
    </w:rPr>
  </w:style>
  <w:style w:type="paragraph" w:styleId="afc">
    <w:name w:val="Date"/>
    <w:basedOn w:val="a0"/>
    <w:next w:val="a0"/>
    <w:link w:val="Charb"/>
    <w:uiPriority w:val="99"/>
    <w:unhideWhenUsed/>
    <w:rsid w:val="009F629F"/>
    <w:rPr>
      <w:kern w:val="0"/>
      <w:sz w:val="24"/>
    </w:rPr>
  </w:style>
  <w:style w:type="character" w:customStyle="1" w:styleId="Charb">
    <w:name w:val="日期 Char"/>
    <w:basedOn w:val="a1"/>
    <w:link w:val="afc"/>
    <w:uiPriority w:val="99"/>
    <w:rsid w:val="009F629F"/>
    <w:rPr>
      <w:sz w:val="24"/>
      <w:szCs w:val="24"/>
    </w:rPr>
  </w:style>
  <w:style w:type="paragraph" w:styleId="22">
    <w:name w:val="Body Text Indent 2"/>
    <w:basedOn w:val="a0"/>
    <w:link w:val="2Char0"/>
    <w:uiPriority w:val="99"/>
    <w:semiHidden/>
    <w:unhideWhenUsed/>
    <w:rsid w:val="009F629F"/>
    <w:pPr>
      <w:spacing w:line="560" w:lineRule="exact"/>
      <w:ind w:firstLineChars="200" w:firstLine="480"/>
    </w:pPr>
    <w:rPr>
      <w:rFonts w:ascii="宋体" w:hAnsi="宋体"/>
      <w:color w:val="FF0000"/>
      <w:kern w:val="0"/>
      <w:sz w:val="24"/>
    </w:rPr>
  </w:style>
  <w:style w:type="character" w:customStyle="1" w:styleId="2Char0">
    <w:name w:val="正文文本缩进 2 Char"/>
    <w:basedOn w:val="a1"/>
    <w:link w:val="22"/>
    <w:uiPriority w:val="99"/>
    <w:semiHidden/>
    <w:rsid w:val="009F629F"/>
    <w:rPr>
      <w:rFonts w:ascii="宋体" w:hAnsi="宋体"/>
      <w:color w:val="FF0000"/>
      <w:sz w:val="24"/>
      <w:szCs w:val="24"/>
    </w:rPr>
  </w:style>
  <w:style w:type="paragraph" w:styleId="31">
    <w:name w:val="Body Text Indent 3"/>
    <w:basedOn w:val="a0"/>
    <w:link w:val="3Char0"/>
    <w:uiPriority w:val="99"/>
    <w:semiHidden/>
    <w:unhideWhenUsed/>
    <w:rsid w:val="009F629F"/>
    <w:pPr>
      <w:spacing w:line="560" w:lineRule="exact"/>
      <w:ind w:firstLineChars="200" w:firstLine="420"/>
    </w:pPr>
    <w:rPr>
      <w:rFonts w:ascii="Arial" w:hAnsi="Arial"/>
      <w:color w:val="FF0000"/>
      <w:kern w:val="0"/>
      <w:szCs w:val="21"/>
    </w:rPr>
  </w:style>
  <w:style w:type="character" w:customStyle="1" w:styleId="3Char0">
    <w:name w:val="正文文本缩进 3 Char"/>
    <w:basedOn w:val="a1"/>
    <w:link w:val="31"/>
    <w:uiPriority w:val="99"/>
    <w:semiHidden/>
    <w:rsid w:val="009F629F"/>
    <w:rPr>
      <w:rFonts w:ascii="Arial" w:hAnsi="Arial"/>
      <w:color w:val="FF0000"/>
      <w:sz w:val="21"/>
      <w:szCs w:val="21"/>
    </w:rPr>
  </w:style>
  <w:style w:type="character" w:customStyle="1" w:styleId="Char6">
    <w:name w:val="批注主题 Char"/>
    <w:basedOn w:val="Char5"/>
    <w:link w:val="af0"/>
    <w:uiPriority w:val="99"/>
    <w:semiHidden/>
    <w:rsid w:val="009F629F"/>
    <w:rPr>
      <w:rFonts w:eastAsia="宋体"/>
      <w:b/>
      <w:bCs/>
      <w:kern w:val="2"/>
      <w:sz w:val="21"/>
      <w:szCs w:val="24"/>
      <w:lang w:val="en-US" w:eastAsia="zh-CN" w:bidi="ar-SA"/>
    </w:rPr>
  </w:style>
  <w:style w:type="character" w:customStyle="1" w:styleId="Char3">
    <w:name w:val="批注框文本 Char"/>
    <w:basedOn w:val="a1"/>
    <w:link w:val="ab"/>
    <w:uiPriority w:val="99"/>
    <w:semiHidden/>
    <w:rsid w:val="009F629F"/>
    <w:rPr>
      <w:kern w:val="2"/>
      <w:sz w:val="18"/>
      <w:szCs w:val="18"/>
    </w:rPr>
  </w:style>
  <w:style w:type="character" w:customStyle="1" w:styleId="Charc">
    <w:name w:val="无间隔 Char"/>
    <w:link w:val="afd"/>
    <w:uiPriority w:val="99"/>
    <w:locked/>
    <w:rsid w:val="009F629F"/>
    <w:rPr>
      <w:rFonts w:ascii="Calibri" w:hAnsi="Calibri" w:cs="Calibri"/>
      <w:sz w:val="22"/>
    </w:rPr>
  </w:style>
  <w:style w:type="paragraph" w:styleId="afd">
    <w:name w:val="No Spacing"/>
    <w:link w:val="Charc"/>
    <w:uiPriority w:val="99"/>
    <w:qFormat/>
    <w:rsid w:val="009F629F"/>
    <w:rPr>
      <w:rFonts w:ascii="Calibri" w:hAnsi="Calibri" w:cs="Calibri"/>
      <w:sz w:val="22"/>
    </w:rPr>
  </w:style>
  <w:style w:type="paragraph" w:customStyle="1" w:styleId="font5">
    <w:name w:val="font5"/>
    <w:basedOn w:val="a0"/>
    <w:uiPriority w:val="99"/>
    <w:semiHidden/>
    <w:rsid w:val="009F629F"/>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0"/>
    <w:uiPriority w:val="99"/>
    <w:semiHidden/>
    <w:rsid w:val="009F629F"/>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0"/>
    <w:uiPriority w:val="99"/>
    <w:semiHidden/>
    <w:rsid w:val="009F629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0"/>
    <w:uiPriority w:val="99"/>
    <w:semiHidden/>
    <w:rsid w:val="009F629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0"/>
    <w:uiPriority w:val="99"/>
    <w:semiHidden/>
    <w:rsid w:val="009F629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0"/>
    <w:uiPriority w:val="99"/>
    <w:semiHidden/>
    <w:rsid w:val="009F629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0"/>
    <w:uiPriority w:val="99"/>
    <w:semiHidden/>
    <w:rsid w:val="009F629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0"/>
    <w:uiPriority w:val="99"/>
    <w:semiHidden/>
    <w:rsid w:val="009F6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0"/>
    <w:uiPriority w:val="99"/>
    <w:semiHidden/>
    <w:rsid w:val="009F629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d">
    <w:name w:val="Char"/>
    <w:basedOn w:val="a0"/>
    <w:uiPriority w:val="99"/>
    <w:semiHidden/>
    <w:rsid w:val="009F629F"/>
    <w:rPr>
      <w:szCs w:val="21"/>
    </w:rPr>
  </w:style>
  <w:style w:type="paragraph" w:customStyle="1" w:styleId="afe">
    <w:name w:val="正文 + (符号) 宋体"/>
    <w:aliases w:val="小四,紧缩量  0.2 磅"/>
    <w:basedOn w:val="a0"/>
    <w:uiPriority w:val="99"/>
    <w:semiHidden/>
    <w:rsid w:val="009F629F"/>
    <w:pPr>
      <w:autoSpaceDE w:val="0"/>
      <w:autoSpaceDN w:val="0"/>
      <w:adjustRightInd w:val="0"/>
      <w:ind w:rightChars="671" w:right="1409" w:firstLineChars="512" w:firstLine="1229"/>
      <w:jc w:val="distribute"/>
    </w:pPr>
    <w:rPr>
      <w:sz w:val="24"/>
    </w:rPr>
  </w:style>
  <w:style w:type="paragraph" w:customStyle="1" w:styleId="Char11">
    <w:name w:val="Char1"/>
    <w:basedOn w:val="a0"/>
    <w:uiPriority w:val="99"/>
    <w:semiHidden/>
    <w:rsid w:val="009F629F"/>
    <w:rPr>
      <w:szCs w:val="21"/>
    </w:rPr>
  </w:style>
  <w:style w:type="paragraph" w:customStyle="1" w:styleId="CharCharCharCharCharChar1CharCharChar">
    <w:name w:val="Char Char Char Char Char Char1 Char Char Char"/>
    <w:basedOn w:val="a0"/>
    <w:uiPriority w:val="99"/>
    <w:semiHidden/>
    <w:rsid w:val="009F629F"/>
    <w:pPr>
      <w:autoSpaceDE w:val="0"/>
      <w:autoSpaceDN w:val="0"/>
      <w:adjustRightInd w:val="0"/>
      <w:jc w:val="left"/>
    </w:pPr>
    <w:rPr>
      <w:rFonts w:ascii="宋体" w:cs="宋体"/>
      <w:kern w:val="0"/>
      <w:sz w:val="34"/>
      <w:szCs w:val="34"/>
    </w:rPr>
  </w:style>
  <w:style w:type="paragraph" w:customStyle="1" w:styleId="CharCharCharCharCharChar1CharCharChar2">
    <w:name w:val="Char Char Char Char Char Char1 Char Char Char2"/>
    <w:basedOn w:val="a0"/>
    <w:uiPriority w:val="99"/>
    <w:semiHidden/>
    <w:rsid w:val="009F629F"/>
    <w:pPr>
      <w:autoSpaceDE w:val="0"/>
      <w:autoSpaceDN w:val="0"/>
      <w:adjustRightInd w:val="0"/>
      <w:jc w:val="left"/>
    </w:pPr>
    <w:rPr>
      <w:rFonts w:ascii="宋体" w:cs="宋体"/>
      <w:kern w:val="0"/>
      <w:sz w:val="34"/>
      <w:szCs w:val="34"/>
    </w:rPr>
  </w:style>
  <w:style w:type="paragraph" w:customStyle="1" w:styleId="CharCharCharCharCharChar1CharCharChar1">
    <w:name w:val="Char Char Char Char Char Char1 Char Char Char1"/>
    <w:basedOn w:val="a0"/>
    <w:uiPriority w:val="99"/>
    <w:semiHidden/>
    <w:rsid w:val="009F629F"/>
    <w:pPr>
      <w:autoSpaceDE w:val="0"/>
      <w:autoSpaceDN w:val="0"/>
      <w:adjustRightInd w:val="0"/>
      <w:jc w:val="left"/>
    </w:pPr>
    <w:rPr>
      <w:rFonts w:ascii="宋体" w:cs="宋体"/>
      <w:kern w:val="0"/>
      <w:sz w:val="34"/>
      <w:szCs w:val="34"/>
    </w:rPr>
  </w:style>
  <w:style w:type="paragraph" w:customStyle="1" w:styleId="Default">
    <w:name w:val="Default"/>
    <w:uiPriority w:val="99"/>
    <w:semiHidden/>
    <w:rsid w:val="009F629F"/>
    <w:pPr>
      <w:widowControl w:val="0"/>
      <w:autoSpaceDE w:val="0"/>
      <w:autoSpaceDN w:val="0"/>
      <w:adjustRightInd w:val="0"/>
    </w:pPr>
    <w:rPr>
      <w:rFonts w:ascii="FangSong" w:hAnsi="FangSong" w:cs="FangSong"/>
      <w:color w:val="000000"/>
      <w:sz w:val="24"/>
      <w:szCs w:val="24"/>
    </w:rPr>
  </w:style>
  <w:style w:type="character" w:customStyle="1" w:styleId="c1">
    <w:name w:val="c1"/>
    <w:uiPriority w:val="99"/>
    <w:rsid w:val="009F629F"/>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511">
      <w:bodyDiv w:val="1"/>
      <w:marLeft w:val="0"/>
      <w:marRight w:val="0"/>
      <w:marTop w:val="0"/>
      <w:marBottom w:val="0"/>
      <w:divBdr>
        <w:top w:val="none" w:sz="0" w:space="0" w:color="auto"/>
        <w:left w:val="none" w:sz="0" w:space="0" w:color="auto"/>
        <w:bottom w:val="none" w:sz="0" w:space="0" w:color="auto"/>
        <w:right w:val="none" w:sz="0" w:space="0" w:color="auto"/>
      </w:divBdr>
    </w:div>
    <w:div w:id="9382851">
      <w:bodyDiv w:val="1"/>
      <w:marLeft w:val="0"/>
      <w:marRight w:val="0"/>
      <w:marTop w:val="0"/>
      <w:marBottom w:val="0"/>
      <w:divBdr>
        <w:top w:val="none" w:sz="0" w:space="0" w:color="auto"/>
        <w:left w:val="none" w:sz="0" w:space="0" w:color="auto"/>
        <w:bottom w:val="none" w:sz="0" w:space="0" w:color="auto"/>
        <w:right w:val="none" w:sz="0" w:space="0" w:color="auto"/>
      </w:divBdr>
    </w:div>
    <w:div w:id="10835960">
      <w:bodyDiv w:val="1"/>
      <w:marLeft w:val="0"/>
      <w:marRight w:val="0"/>
      <w:marTop w:val="0"/>
      <w:marBottom w:val="0"/>
      <w:divBdr>
        <w:top w:val="none" w:sz="0" w:space="0" w:color="auto"/>
        <w:left w:val="none" w:sz="0" w:space="0" w:color="auto"/>
        <w:bottom w:val="none" w:sz="0" w:space="0" w:color="auto"/>
        <w:right w:val="none" w:sz="0" w:space="0" w:color="auto"/>
      </w:divBdr>
    </w:div>
    <w:div w:id="33504047">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96557916">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39930333">
      <w:bodyDiv w:val="1"/>
      <w:marLeft w:val="0"/>
      <w:marRight w:val="0"/>
      <w:marTop w:val="0"/>
      <w:marBottom w:val="0"/>
      <w:divBdr>
        <w:top w:val="none" w:sz="0" w:space="0" w:color="auto"/>
        <w:left w:val="none" w:sz="0" w:space="0" w:color="auto"/>
        <w:bottom w:val="none" w:sz="0" w:space="0" w:color="auto"/>
        <w:right w:val="none" w:sz="0" w:space="0" w:color="auto"/>
      </w:divBdr>
    </w:div>
    <w:div w:id="142744819">
      <w:bodyDiv w:val="1"/>
      <w:marLeft w:val="0"/>
      <w:marRight w:val="0"/>
      <w:marTop w:val="0"/>
      <w:marBottom w:val="0"/>
      <w:divBdr>
        <w:top w:val="none" w:sz="0" w:space="0" w:color="auto"/>
        <w:left w:val="none" w:sz="0" w:space="0" w:color="auto"/>
        <w:bottom w:val="none" w:sz="0" w:space="0" w:color="auto"/>
        <w:right w:val="none" w:sz="0" w:space="0" w:color="auto"/>
      </w:divBdr>
    </w:div>
    <w:div w:id="147670242">
      <w:bodyDiv w:val="1"/>
      <w:marLeft w:val="0"/>
      <w:marRight w:val="0"/>
      <w:marTop w:val="0"/>
      <w:marBottom w:val="0"/>
      <w:divBdr>
        <w:top w:val="none" w:sz="0" w:space="0" w:color="auto"/>
        <w:left w:val="none" w:sz="0" w:space="0" w:color="auto"/>
        <w:bottom w:val="none" w:sz="0" w:space="0" w:color="auto"/>
        <w:right w:val="none" w:sz="0" w:space="0" w:color="auto"/>
      </w:divBdr>
    </w:div>
    <w:div w:id="154493124">
      <w:bodyDiv w:val="1"/>
      <w:marLeft w:val="0"/>
      <w:marRight w:val="0"/>
      <w:marTop w:val="0"/>
      <w:marBottom w:val="0"/>
      <w:divBdr>
        <w:top w:val="none" w:sz="0" w:space="0" w:color="auto"/>
        <w:left w:val="none" w:sz="0" w:space="0" w:color="auto"/>
        <w:bottom w:val="none" w:sz="0" w:space="0" w:color="auto"/>
        <w:right w:val="none" w:sz="0" w:space="0" w:color="auto"/>
      </w:divBdr>
    </w:div>
    <w:div w:id="179584544">
      <w:bodyDiv w:val="1"/>
      <w:marLeft w:val="0"/>
      <w:marRight w:val="0"/>
      <w:marTop w:val="0"/>
      <w:marBottom w:val="0"/>
      <w:divBdr>
        <w:top w:val="none" w:sz="0" w:space="0" w:color="auto"/>
        <w:left w:val="none" w:sz="0" w:space="0" w:color="auto"/>
        <w:bottom w:val="none" w:sz="0" w:space="0" w:color="auto"/>
        <w:right w:val="none" w:sz="0" w:space="0" w:color="auto"/>
      </w:divBdr>
    </w:div>
    <w:div w:id="185411892">
      <w:bodyDiv w:val="1"/>
      <w:marLeft w:val="0"/>
      <w:marRight w:val="0"/>
      <w:marTop w:val="0"/>
      <w:marBottom w:val="0"/>
      <w:divBdr>
        <w:top w:val="none" w:sz="0" w:space="0" w:color="auto"/>
        <w:left w:val="none" w:sz="0" w:space="0" w:color="auto"/>
        <w:bottom w:val="none" w:sz="0" w:space="0" w:color="auto"/>
        <w:right w:val="none" w:sz="0" w:space="0" w:color="auto"/>
      </w:divBdr>
    </w:div>
    <w:div w:id="220678532">
      <w:bodyDiv w:val="1"/>
      <w:marLeft w:val="0"/>
      <w:marRight w:val="0"/>
      <w:marTop w:val="0"/>
      <w:marBottom w:val="0"/>
      <w:divBdr>
        <w:top w:val="none" w:sz="0" w:space="0" w:color="auto"/>
        <w:left w:val="none" w:sz="0" w:space="0" w:color="auto"/>
        <w:bottom w:val="none" w:sz="0" w:space="0" w:color="auto"/>
        <w:right w:val="none" w:sz="0" w:space="0" w:color="auto"/>
      </w:divBdr>
    </w:div>
    <w:div w:id="236211777">
      <w:bodyDiv w:val="1"/>
      <w:marLeft w:val="0"/>
      <w:marRight w:val="0"/>
      <w:marTop w:val="0"/>
      <w:marBottom w:val="0"/>
      <w:divBdr>
        <w:top w:val="none" w:sz="0" w:space="0" w:color="auto"/>
        <w:left w:val="none" w:sz="0" w:space="0" w:color="auto"/>
        <w:bottom w:val="none" w:sz="0" w:space="0" w:color="auto"/>
        <w:right w:val="none" w:sz="0" w:space="0" w:color="auto"/>
      </w:divBdr>
    </w:div>
    <w:div w:id="252738379">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293172499">
      <w:bodyDiv w:val="1"/>
      <w:marLeft w:val="0"/>
      <w:marRight w:val="0"/>
      <w:marTop w:val="0"/>
      <w:marBottom w:val="0"/>
      <w:divBdr>
        <w:top w:val="none" w:sz="0" w:space="0" w:color="auto"/>
        <w:left w:val="none" w:sz="0" w:space="0" w:color="auto"/>
        <w:bottom w:val="none" w:sz="0" w:space="0" w:color="auto"/>
        <w:right w:val="none" w:sz="0" w:space="0" w:color="auto"/>
      </w:divBdr>
    </w:div>
    <w:div w:id="314069798">
      <w:bodyDiv w:val="1"/>
      <w:marLeft w:val="0"/>
      <w:marRight w:val="0"/>
      <w:marTop w:val="0"/>
      <w:marBottom w:val="0"/>
      <w:divBdr>
        <w:top w:val="none" w:sz="0" w:space="0" w:color="auto"/>
        <w:left w:val="none" w:sz="0" w:space="0" w:color="auto"/>
        <w:bottom w:val="none" w:sz="0" w:space="0" w:color="auto"/>
        <w:right w:val="none" w:sz="0" w:space="0" w:color="auto"/>
      </w:divBdr>
    </w:div>
    <w:div w:id="332685810">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4766820">
      <w:bodyDiv w:val="1"/>
      <w:marLeft w:val="0"/>
      <w:marRight w:val="0"/>
      <w:marTop w:val="0"/>
      <w:marBottom w:val="0"/>
      <w:divBdr>
        <w:top w:val="none" w:sz="0" w:space="0" w:color="auto"/>
        <w:left w:val="none" w:sz="0" w:space="0" w:color="auto"/>
        <w:bottom w:val="none" w:sz="0" w:space="0" w:color="auto"/>
        <w:right w:val="none" w:sz="0" w:space="0" w:color="auto"/>
      </w:divBdr>
    </w:div>
    <w:div w:id="377046298">
      <w:bodyDiv w:val="1"/>
      <w:marLeft w:val="0"/>
      <w:marRight w:val="0"/>
      <w:marTop w:val="0"/>
      <w:marBottom w:val="0"/>
      <w:divBdr>
        <w:top w:val="none" w:sz="0" w:space="0" w:color="auto"/>
        <w:left w:val="none" w:sz="0" w:space="0" w:color="auto"/>
        <w:bottom w:val="none" w:sz="0" w:space="0" w:color="auto"/>
        <w:right w:val="none" w:sz="0" w:space="0" w:color="auto"/>
      </w:divBdr>
    </w:div>
    <w:div w:id="453641687">
      <w:bodyDiv w:val="1"/>
      <w:marLeft w:val="0"/>
      <w:marRight w:val="0"/>
      <w:marTop w:val="0"/>
      <w:marBottom w:val="0"/>
      <w:divBdr>
        <w:top w:val="none" w:sz="0" w:space="0" w:color="auto"/>
        <w:left w:val="none" w:sz="0" w:space="0" w:color="auto"/>
        <w:bottom w:val="none" w:sz="0" w:space="0" w:color="auto"/>
        <w:right w:val="none" w:sz="0" w:space="0" w:color="auto"/>
      </w:divBdr>
    </w:div>
    <w:div w:id="476654122">
      <w:bodyDiv w:val="1"/>
      <w:marLeft w:val="0"/>
      <w:marRight w:val="0"/>
      <w:marTop w:val="0"/>
      <w:marBottom w:val="0"/>
      <w:divBdr>
        <w:top w:val="none" w:sz="0" w:space="0" w:color="auto"/>
        <w:left w:val="none" w:sz="0" w:space="0" w:color="auto"/>
        <w:bottom w:val="none" w:sz="0" w:space="0" w:color="auto"/>
        <w:right w:val="none" w:sz="0" w:space="0" w:color="auto"/>
      </w:divBdr>
    </w:div>
    <w:div w:id="477386748">
      <w:bodyDiv w:val="1"/>
      <w:marLeft w:val="0"/>
      <w:marRight w:val="0"/>
      <w:marTop w:val="0"/>
      <w:marBottom w:val="0"/>
      <w:divBdr>
        <w:top w:val="none" w:sz="0" w:space="0" w:color="auto"/>
        <w:left w:val="none" w:sz="0" w:space="0" w:color="auto"/>
        <w:bottom w:val="none" w:sz="0" w:space="0" w:color="auto"/>
        <w:right w:val="none" w:sz="0" w:space="0" w:color="auto"/>
      </w:divBdr>
    </w:div>
    <w:div w:id="490295586">
      <w:bodyDiv w:val="1"/>
      <w:marLeft w:val="0"/>
      <w:marRight w:val="0"/>
      <w:marTop w:val="0"/>
      <w:marBottom w:val="0"/>
      <w:divBdr>
        <w:top w:val="none" w:sz="0" w:space="0" w:color="auto"/>
        <w:left w:val="none" w:sz="0" w:space="0" w:color="auto"/>
        <w:bottom w:val="none" w:sz="0" w:space="0" w:color="auto"/>
        <w:right w:val="none" w:sz="0" w:space="0" w:color="auto"/>
      </w:divBdr>
    </w:div>
    <w:div w:id="503474167">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41555638">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77136601">
      <w:bodyDiv w:val="1"/>
      <w:marLeft w:val="0"/>
      <w:marRight w:val="0"/>
      <w:marTop w:val="0"/>
      <w:marBottom w:val="0"/>
      <w:divBdr>
        <w:top w:val="none" w:sz="0" w:space="0" w:color="auto"/>
        <w:left w:val="none" w:sz="0" w:space="0" w:color="auto"/>
        <w:bottom w:val="none" w:sz="0" w:space="0" w:color="auto"/>
        <w:right w:val="none" w:sz="0" w:space="0" w:color="auto"/>
      </w:divBdr>
    </w:div>
    <w:div w:id="588151516">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31789180">
      <w:bodyDiv w:val="1"/>
      <w:marLeft w:val="0"/>
      <w:marRight w:val="0"/>
      <w:marTop w:val="0"/>
      <w:marBottom w:val="0"/>
      <w:divBdr>
        <w:top w:val="none" w:sz="0" w:space="0" w:color="auto"/>
        <w:left w:val="none" w:sz="0" w:space="0" w:color="auto"/>
        <w:bottom w:val="none" w:sz="0" w:space="0" w:color="auto"/>
        <w:right w:val="none" w:sz="0" w:space="0" w:color="auto"/>
      </w:divBdr>
    </w:div>
    <w:div w:id="666597062">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2439477">
      <w:bodyDiv w:val="1"/>
      <w:marLeft w:val="0"/>
      <w:marRight w:val="0"/>
      <w:marTop w:val="0"/>
      <w:marBottom w:val="0"/>
      <w:divBdr>
        <w:top w:val="none" w:sz="0" w:space="0" w:color="auto"/>
        <w:left w:val="none" w:sz="0" w:space="0" w:color="auto"/>
        <w:bottom w:val="none" w:sz="0" w:space="0" w:color="auto"/>
        <w:right w:val="none" w:sz="0" w:space="0" w:color="auto"/>
      </w:divBdr>
    </w:div>
    <w:div w:id="701784361">
      <w:bodyDiv w:val="1"/>
      <w:marLeft w:val="0"/>
      <w:marRight w:val="0"/>
      <w:marTop w:val="0"/>
      <w:marBottom w:val="0"/>
      <w:divBdr>
        <w:top w:val="none" w:sz="0" w:space="0" w:color="auto"/>
        <w:left w:val="none" w:sz="0" w:space="0" w:color="auto"/>
        <w:bottom w:val="none" w:sz="0" w:space="0" w:color="auto"/>
        <w:right w:val="none" w:sz="0" w:space="0" w:color="auto"/>
      </w:divBdr>
    </w:div>
    <w:div w:id="749230697">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797382065">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36306461">
      <w:bodyDiv w:val="1"/>
      <w:marLeft w:val="0"/>
      <w:marRight w:val="0"/>
      <w:marTop w:val="0"/>
      <w:marBottom w:val="0"/>
      <w:divBdr>
        <w:top w:val="none" w:sz="0" w:space="0" w:color="auto"/>
        <w:left w:val="none" w:sz="0" w:space="0" w:color="auto"/>
        <w:bottom w:val="none" w:sz="0" w:space="0" w:color="auto"/>
        <w:right w:val="none" w:sz="0" w:space="0" w:color="auto"/>
      </w:divBdr>
    </w:div>
    <w:div w:id="845480573">
      <w:bodyDiv w:val="1"/>
      <w:marLeft w:val="0"/>
      <w:marRight w:val="0"/>
      <w:marTop w:val="0"/>
      <w:marBottom w:val="0"/>
      <w:divBdr>
        <w:top w:val="none" w:sz="0" w:space="0" w:color="auto"/>
        <w:left w:val="none" w:sz="0" w:space="0" w:color="auto"/>
        <w:bottom w:val="none" w:sz="0" w:space="0" w:color="auto"/>
        <w:right w:val="none" w:sz="0" w:space="0" w:color="auto"/>
      </w:divBdr>
    </w:div>
    <w:div w:id="869683405">
      <w:bodyDiv w:val="1"/>
      <w:marLeft w:val="0"/>
      <w:marRight w:val="0"/>
      <w:marTop w:val="0"/>
      <w:marBottom w:val="0"/>
      <w:divBdr>
        <w:top w:val="none" w:sz="0" w:space="0" w:color="auto"/>
        <w:left w:val="none" w:sz="0" w:space="0" w:color="auto"/>
        <w:bottom w:val="none" w:sz="0" w:space="0" w:color="auto"/>
        <w:right w:val="none" w:sz="0" w:space="0" w:color="auto"/>
      </w:divBdr>
    </w:div>
    <w:div w:id="882249133">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10306903">
      <w:bodyDiv w:val="1"/>
      <w:marLeft w:val="0"/>
      <w:marRight w:val="0"/>
      <w:marTop w:val="0"/>
      <w:marBottom w:val="0"/>
      <w:divBdr>
        <w:top w:val="none" w:sz="0" w:space="0" w:color="auto"/>
        <w:left w:val="none" w:sz="0" w:space="0" w:color="auto"/>
        <w:bottom w:val="none" w:sz="0" w:space="0" w:color="auto"/>
        <w:right w:val="none" w:sz="0" w:space="0" w:color="auto"/>
      </w:divBdr>
    </w:div>
    <w:div w:id="931863321">
      <w:bodyDiv w:val="1"/>
      <w:marLeft w:val="0"/>
      <w:marRight w:val="0"/>
      <w:marTop w:val="0"/>
      <w:marBottom w:val="0"/>
      <w:divBdr>
        <w:top w:val="none" w:sz="0" w:space="0" w:color="auto"/>
        <w:left w:val="none" w:sz="0" w:space="0" w:color="auto"/>
        <w:bottom w:val="none" w:sz="0" w:space="0" w:color="auto"/>
        <w:right w:val="none" w:sz="0" w:space="0" w:color="auto"/>
      </w:divBdr>
    </w:div>
    <w:div w:id="967008826">
      <w:bodyDiv w:val="1"/>
      <w:marLeft w:val="0"/>
      <w:marRight w:val="0"/>
      <w:marTop w:val="0"/>
      <w:marBottom w:val="0"/>
      <w:divBdr>
        <w:top w:val="none" w:sz="0" w:space="0" w:color="auto"/>
        <w:left w:val="none" w:sz="0" w:space="0" w:color="auto"/>
        <w:bottom w:val="none" w:sz="0" w:space="0" w:color="auto"/>
        <w:right w:val="none" w:sz="0" w:space="0" w:color="auto"/>
      </w:divBdr>
    </w:div>
    <w:div w:id="973104129">
      <w:bodyDiv w:val="1"/>
      <w:marLeft w:val="0"/>
      <w:marRight w:val="0"/>
      <w:marTop w:val="0"/>
      <w:marBottom w:val="0"/>
      <w:divBdr>
        <w:top w:val="none" w:sz="0" w:space="0" w:color="auto"/>
        <w:left w:val="none" w:sz="0" w:space="0" w:color="auto"/>
        <w:bottom w:val="none" w:sz="0" w:space="0" w:color="auto"/>
        <w:right w:val="none" w:sz="0" w:space="0" w:color="auto"/>
      </w:divBdr>
    </w:div>
    <w:div w:id="982808841">
      <w:bodyDiv w:val="1"/>
      <w:marLeft w:val="0"/>
      <w:marRight w:val="0"/>
      <w:marTop w:val="0"/>
      <w:marBottom w:val="0"/>
      <w:divBdr>
        <w:top w:val="none" w:sz="0" w:space="0" w:color="auto"/>
        <w:left w:val="none" w:sz="0" w:space="0" w:color="auto"/>
        <w:bottom w:val="none" w:sz="0" w:space="0" w:color="auto"/>
        <w:right w:val="none" w:sz="0" w:space="0" w:color="auto"/>
      </w:divBdr>
    </w:div>
    <w:div w:id="1012684593">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42361683">
      <w:bodyDiv w:val="1"/>
      <w:marLeft w:val="0"/>
      <w:marRight w:val="0"/>
      <w:marTop w:val="0"/>
      <w:marBottom w:val="0"/>
      <w:divBdr>
        <w:top w:val="none" w:sz="0" w:space="0" w:color="auto"/>
        <w:left w:val="none" w:sz="0" w:space="0" w:color="auto"/>
        <w:bottom w:val="none" w:sz="0" w:space="0" w:color="auto"/>
        <w:right w:val="none" w:sz="0" w:space="0" w:color="auto"/>
      </w:divBdr>
    </w:div>
    <w:div w:id="1069769522">
      <w:bodyDiv w:val="1"/>
      <w:marLeft w:val="0"/>
      <w:marRight w:val="0"/>
      <w:marTop w:val="0"/>
      <w:marBottom w:val="0"/>
      <w:divBdr>
        <w:top w:val="none" w:sz="0" w:space="0" w:color="auto"/>
        <w:left w:val="none" w:sz="0" w:space="0" w:color="auto"/>
        <w:bottom w:val="none" w:sz="0" w:space="0" w:color="auto"/>
        <w:right w:val="none" w:sz="0" w:space="0" w:color="auto"/>
      </w:divBdr>
    </w:div>
    <w:div w:id="1081828866">
      <w:bodyDiv w:val="1"/>
      <w:marLeft w:val="0"/>
      <w:marRight w:val="0"/>
      <w:marTop w:val="0"/>
      <w:marBottom w:val="0"/>
      <w:divBdr>
        <w:top w:val="none" w:sz="0" w:space="0" w:color="auto"/>
        <w:left w:val="none" w:sz="0" w:space="0" w:color="auto"/>
        <w:bottom w:val="none" w:sz="0" w:space="0" w:color="auto"/>
        <w:right w:val="none" w:sz="0" w:space="0" w:color="auto"/>
      </w:divBdr>
    </w:div>
    <w:div w:id="1087969021">
      <w:bodyDiv w:val="1"/>
      <w:marLeft w:val="0"/>
      <w:marRight w:val="0"/>
      <w:marTop w:val="0"/>
      <w:marBottom w:val="0"/>
      <w:divBdr>
        <w:top w:val="none" w:sz="0" w:space="0" w:color="auto"/>
        <w:left w:val="none" w:sz="0" w:space="0" w:color="auto"/>
        <w:bottom w:val="none" w:sz="0" w:space="0" w:color="auto"/>
        <w:right w:val="none" w:sz="0" w:space="0" w:color="auto"/>
      </w:divBdr>
    </w:div>
    <w:div w:id="1094518381">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50560301">
      <w:bodyDiv w:val="1"/>
      <w:marLeft w:val="0"/>
      <w:marRight w:val="0"/>
      <w:marTop w:val="0"/>
      <w:marBottom w:val="0"/>
      <w:divBdr>
        <w:top w:val="none" w:sz="0" w:space="0" w:color="auto"/>
        <w:left w:val="none" w:sz="0" w:space="0" w:color="auto"/>
        <w:bottom w:val="none" w:sz="0" w:space="0" w:color="auto"/>
        <w:right w:val="none" w:sz="0" w:space="0" w:color="auto"/>
      </w:divBdr>
    </w:div>
    <w:div w:id="1154491268">
      <w:bodyDiv w:val="1"/>
      <w:marLeft w:val="0"/>
      <w:marRight w:val="0"/>
      <w:marTop w:val="0"/>
      <w:marBottom w:val="0"/>
      <w:divBdr>
        <w:top w:val="none" w:sz="0" w:space="0" w:color="auto"/>
        <w:left w:val="none" w:sz="0" w:space="0" w:color="auto"/>
        <w:bottom w:val="none" w:sz="0" w:space="0" w:color="auto"/>
        <w:right w:val="none" w:sz="0" w:space="0" w:color="auto"/>
      </w:divBdr>
    </w:div>
    <w:div w:id="1199394160">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15963575">
      <w:bodyDiv w:val="1"/>
      <w:marLeft w:val="0"/>
      <w:marRight w:val="0"/>
      <w:marTop w:val="0"/>
      <w:marBottom w:val="0"/>
      <w:divBdr>
        <w:top w:val="none" w:sz="0" w:space="0" w:color="auto"/>
        <w:left w:val="none" w:sz="0" w:space="0" w:color="auto"/>
        <w:bottom w:val="none" w:sz="0" w:space="0" w:color="auto"/>
        <w:right w:val="none" w:sz="0" w:space="0" w:color="auto"/>
      </w:divBdr>
    </w:div>
    <w:div w:id="1218934612">
      <w:bodyDiv w:val="1"/>
      <w:marLeft w:val="0"/>
      <w:marRight w:val="0"/>
      <w:marTop w:val="0"/>
      <w:marBottom w:val="0"/>
      <w:divBdr>
        <w:top w:val="none" w:sz="0" w:space="0" w:color="auto"/>
        <w:left w:val="none" w:sz="0" w:space="0" w:color="auto"/>
        <w:bottom w:val="none" w:sz="0" w:space="0" w:color="auto"/>
        <w:right w:val="none" w:sz="0" w:space="0" w:color="auto"/>
      </w:divBdr>
    </w:div>
    <w:div w:id="1276215256">
      <w:bodyDiv w:val="1"/>
      <w:marLeft w:val="0"/>
      <w:marRight w:val="0"/>
      <w:marTop w:val="0"/>
      <w:marBottom w:val="0"/>
      <w:divBdr>
        <w:top w:val="none" w:sz="0" w:space="0" w:color="auto"/>
        <w:left w:val="none" w:sz="0" w:space="0" w:color="auto"/>
        <w:bottom w:val="none" w:sz="0" w:space="0" w:color="auto"/>
        <w:right w:val="none" w:sz="0" w:space="0" w:color="auto"/>
      </w:divBdr>
    </w:div>
    <w:div w:id="1292857191">
      <w:bodyDiv w:val="1"/>
      <w:marLeft w:val="0"/>
      <w:marRight w:val="0"/>
      <w:marTop w:val="0"/>
      <w:marBottom w:val="0"/>
      <w:divBdr>
        <w:top w:val="none" w:sz="0" w:space="0" w:color="auto"/>
        <w:left w:val="none" w:sz="0" w:space="0" w:color="auto"/>
        <w:bottom w:val="none" w:sz="0" w:space="0" w:color="auto"/>
        <w:right w:val="none" w:sz="0" w:space="0" w:color="auto"/>
      </w:divBdr>
    </w:div>
    <w:div w:id="1315767428">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392119783">
      <w:bodyDiv w:val="1"/>
      <w:marLeft w:val="0"/>
      <w:marRight w:val="0"/>
      <w:marTop w:val="0"/>
      <w:marBottom w:val="0"/>
      <w:divBdr>
        <w:top w:val="none" w:sz="0" w:space="0" w:color="auto"/>
        <w:left w:val="none" w:sz="0" w:space="0" w:color="auto"/>
        <w:bottom w:val="none" w:sz="0" w:space="0" w:color="auto"/>
        <w:right w:val="none" w:sz="0" w:space="0" w:color="auto"/>
      </w:divBdr>
    </w:div>
    <w:div w:id="1427850392">
      <w:bodyDiv w:val="1"/>
      <w:marLeft w:val="0"/>
      <w:marRight w:val="0"/>
      <w:marTop w:val="0"/>
      <w:marBottom w:val="0"/>
      <w:divBdr>
        <w:top w:val="none" w:sz="0" w:space="0" w:color="auto"/>
        <w:left w:val="none" w:sz="0" w:space="0" w:color="auto"/>
        <w:bottom w:val="none" w:sz="0" w:space="0" w:color="auto"/>
        <w:right w:val="none" w:sz="0" w:space="0" w:color="auto"/>
      </w:divBdr>
    </w:div>
    <w:div w:id="1434009985">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517039051">
      <w:bodyDiv w:val="1"/>
      <w:marLeft w:val="0"/>
      <w:marRight w:val="0"/>
      <w:marTop w:val="0"/>
      <w:marBottom w:val="0"/>
      <w:divBdr>
        <w:top w:val="none" w:sz="0" w:space="0" w:color="auto"/>
        <w:left w:val="none" w:sz="0" w:space="0" w:color="auto"/>
        <w:bottom w:val="none" w:sz="0" w:space="0" w:color="auto"/>
        <w:right w:val="none" w:sz="0" w:space="0" w:color="auto"/>
      </w:divBdr>
    </w:div>
    <w:div w:id="1572037437">
      <w:bodyDiv w:val="1"/>
      <w:marLeft w:val="0"/>
      <w:marRight w:val="0"/>
      <w:marTop w:val="0"/>
      <w:marBottom w:val="0"/>
      <w:divBdr>
        <w:top w:val="none" w:sz="0" w:space="0" w:color="auto"/>
        <w:left w:val="none" w:sz="0" w:space="0" w:color="auto"/>
        <w:bottom w:val="none" w:sz="0" w:space="0" w:color="auto"/>
        <w:right w:val="none" w:sz="0" w:space="0" w:color="auto"/>
      </w:divBdr>
    </w:div>
    <w:div w:id="1586299280">
      <w:bodyDiv w:val="1"/>
      <w:marLeft w:val="0"/>
      <w:marRight w:val="0"/>
      <w:marTop w:val="0"/>
      <w:marBottom w:val="0"/>
      <w:divBdr>
        <w:top w:val="none" w:sz="0" w:space="0" w:color="auto"/>
        <w:left w:val="none" w:sz="0" w:space="0" w:color="auto"/>
        <w:bottom w:val="none" w:sz="0" w:space="0" w:color="auto"/>
        <w:right w:val="none" w:sz="0" w:space="0" w:color="auto"/>
      </w:divBdr>
    </w:div>
    <w:div w:id="1603030084">
      <w:bodyDiv w:val="1"/>
      <w:marLeft w:val="0"/>
      <w:marRight w:val="0"/>
      <w:marTop w:val="0"/>
      <w:marBottom w:val="0"/>
      <w:divBdr>
        <w:top w:val="none" w:sz="0" w:space="0" w:color="auto"/>
        <w:left w:val="none" w:sz="0" w:space="0" w:color="auto"/>
        <w:bottom w:val="none" w:sz="0" w:space="0" w:color="auto"/>
        <w:right w:val="none" w:sz="0" w:space="0" w:color="auto"/>
      </w:divBdr>
    </w:div>
    <w:div w:id="1658193943">
      <w:bodyDiv w:val="1"/>
      <w:marLeft w:val="0"/>
      <w:marRight w:val="0"/>
      <w:marTop w:val="0"/>
      <w:marBottom w:val="0"/>
      <w:divBdr>
        <w:top w:val="none" w:sz="0" w:space="0" w:color="auto"/>
        <w:left w:val="none" w:sz="0" w:space="0" w:color="auto"/>
        <w:bottom w:val="none" w:sz="0" w:space="0" w:color="auto"/>
        <w:right w:val="none" w:sz="0" w:space="0" w:color="auto"/>
      </w:divBdr>
    </w:div>
    <w:div w:id="1671056277">
      <w:bodyDiv w:val="1"/>
      <w:marLeft w:val="0"/>
      <w:marRight w:val="0"/>
      <w:marTop w:val="0"/>
      <w:marBottom w:val="0"/>
      <w:divBdr>
        <w:top w:val="none" w:sz="0" w:space="0" w:color="auto"/>
        <w:left w:val="none" w:sz="0" w:space="0" w:color="auto"/>
        <w:bottom w:val="none" w:sz="0" w:space="0" w:color="auto"/>
        <w:right w:val="none" w:sz="0" w:space="0" w:color="auto"/>
      </w:divBdr>
    </w:div>
    <w:div w:id="1684018428">
      <w:bodyDiv w:val="1"/>
      <w:marLeft w:val="0"/>
      <w:marRight w:val="0"/>
      <w:marTop w:val="0"/>
      <w:marBottom w:val="0"/>
      <w:divBdr>
        <w:top w:val="none" w:sz="0" w:space="0" w:color="auto"/>
        <w:left w:val="none" w:sz="0" w:space="0" w:color="auto"/>
        <w:bottom w:val="none" w:sz="0" w:space="0" w:color="auto"/>
        <w:right w:val="none" w:sz="0" w:space="0" w:color="auto"/>
      </w:divBdr>
    </w:div>
    <w:div w:id="1735543036">
      <w:bodyDiv w:val="1"/>
      <w:marLeft w:val="0"/>
      <w:marRight w:val="0"/>
      <w:marTop w:val="0"/>
      <w:marBottom w:val="0"/>
      <w:divBdr>
        <w:top w:val="none" w:sz="0" w:space="0" w:color="auto"/>
        <w:left w:val="none" w:sz="0" w:space="0" w:color="auto"/>
        <w:bottom w:val="none" w:sz="0" w:space="0" w:color="auto"/>
        <w:right w:val="none" w:sz="0" w:space="0" w:color="auto"/>
      </w:divBdr>
    </w:div>
    <w:div w:id="1797945010">
      <w:bodyDiv w:val="1"/>
      <w:marLeft w:val="0"/>
      <w:marRight w:val="0"/>
      <w:marTop w:val="0"/>
      <w:marBottom w:val="0"/>
      <w:divBdr>
        <w:top w:val="none" w:sz="0" w:space="0" w:color="auto"/>
        <w:left w:val="none" w:sz="0" w:space="0" w:color="auto"/>
        <w:bottom w:val="none" w:sz="0" w:space="0" w:color="auto"/>
        <w:right w:val="none" w:sz="0" w:space="0" w:color="auto"/>
      </w:divBdr>
    </w:div>
    <w:div w:id="1840542596">
      <w:bodyDiv w:val="1"/>
      <w:marLeft w:val="0"/>
      <w:marRight w:val="0"/>
      <w:marTop w:val="0"/>
      <w:marBottom w:val="0"/>
      <w:divBdr>
        <w:top w:val="none" w:sz="0" w:space="0" w:color="auto"/>
        <w:left w:val="none" w:sz="0" w:space="0" w:color="auto"/>
        <w:bottom w:val="none" w:sz="0" w:space="0" w:color="auto"/>
        <w:right w:val="none" w:sz="0" w:space="0" w:color="auto"/>
      </w:divBdr>
    </w:div>
    <w:div w:id="1874607989">
      <w:bodyDiv w:val="1"/>
      <w:marLeft w:val="0"/>
      <w:marRight w:val="0"/>
      <w:marTop w:val="0"/>
      <w:marBottom w:val="0"/>
      <w:divBdr>
        <w:top w:val="none" w:sz="0" w:space="0" w:color="auto"/>
        <w:left w:val="none" w:sz="0" w:space="0" w:color="auto"/>
        <w:bottom w:val="none" w:sz="0" w:space="0" w:color="auto"/>
        <w:right w:val="none" w:sz="0" w:space="0" w:color="auto"/>
      </w:divBdr>
    </w:div>
    <w:div w:id="1898392773">
      <w:bodyDiv w:val="1"/>
      <w:marLeft w:val="0"/>
      <w:marRight w:val="0"/>
      <w:marTop w:val="0"/>
      <w:marBottom w:val="0"/>
      <w:divBdr>
        <w:top w:val="none" w:sz="0" w:space="0" w:color="auto"/>
        <w:left w:val="none" w:sz="0" w:space="0" w:color="auto"/>
        <w:bottom w:val="none" w:sz="0" w:space="0" w:color="auto"/>
        <w:right w:val="none" w:sz="0" w:space="0" w:color="auto"/>
      </w:divBdr>
    </w:div>
    <w:div w:id="1928272532">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80262841">
      <w:bodyDiv w:val="1"/>
      <w:marLeft w:val="0"/>
      <w:marRight w:val="0"/>
      <w:marTop w:val="0"/>
      <w:marBottom w:val="0"/>
      <w:divBdr>
        <w:top w:val="none" w:sz="0" w:space="0" w:color="auto"/>
        <w:left w:val="none" w:sz="0" w:space="0" w:color="auto"/>
        <w:bottom w:val="none" w:sz="0" w:space="0" w:color="auto"/>
        <w:right w:val="none" w:sz="0" w:space="0" w:color="auto"/>
      </w:divBdr>
    </w:div>
    <w:div w:id="1993293860">
      <w:bodyDiv w:val="1"/>
      <w:marLeft w:val="0"/>
      <w:marRight w:val="0"/>
      <w:marTop w:val="0"/>
      <w:marBottom w:val="0"/>
      <w:divBdr>
        <w:top w:val="none" w:sz="0" w:space="0" w:color="auto"/>
        <w:left w:val="none" w:sz="0" w:space="0" w:color="auto"/>
        <w:bottom w:val="none" w:sz="0" w:space="0" w:color="auto"/>
        <w:right w:val="none" w:sz="0" w:space="0" w:color="auto"/>
      </w:divBdr>
    </w:div>
    <w:div w:id="1994797328">
      <w:bodyDiv w:val="1"/>
      <w:marLeft w:val="0"/>
      <w:marRight w:val="0"/>
      <w:marTop w:val="0"/>
      <w:marBottom w:val="0"/>
      <w:divBdr>
        <w:top w:val="none" w:sz="0" w:space="0" w:color="auto"/>
        <w:left w:val="none" w:sz="0" w:space="0" w:color="auto"/>
        <w:bottom w:val="none" w:sz="0" w:space="0" w:color="auto"/>
        <w:right w:val="none" w:sz="0" w:space="0" w:color="auto"/>
      </w:divBdr>
    </w:div>
    <w:div w:id="2027053115">
      <w:bodyDiv w:val="1"/>
      <w:marLeft w:val="0"/>
      <w:marRight w:val="0"/>
      <w:marTop w:val="0"/>
      <w:marBottom w:val="0"/>
      <w:divBdr>
        <w:top w:val="none" w:sz="0" w:space="0" w:color="auto"/>
        <w:left w:val="none" w:sz="0" w:space="0" w:color="auto"/>
        <w:bottom w:val="none" w:sz="0" w:space="0" w:color="auto"/>
        <w:right w:val="none" w:sz="0" w:space="0" w:color="auto"/>
      </w:divBdr>
    </w:div>
    <w:div w:id="2028369043">
      <w:bodyDiv w:val="1"/>
      <w:marLeft w:val="0"/>
      <w:marRight w:val="0"/>
      <w:marTop w:val="0"/>
      <w:marBottom w:val="0"/>
      <w:divBdr>
        <w:top w:val="none" w:sz="0" w:space="0" w:color="auto"/>
        <w:left w:val="none" w:sz="0" w:space="0" w:color="auto"/>
        <w:bottom w:val="none" w:sz="0" w:space="0" w:color="auto"/>
        <w:right w:val="none" w:sz="0" w:space="0" w:color="auto"/>
      </w:divBdr>
    </w:div>
    <w:div w:id="2038508258">
      <w:bodyDiv w:val="1"/>
      <w:marLeft w:val="0"/>
      <w:marRight w:val="0"/>
      <w:marTop w:val="0"/>
      <w:marBottom w:val="0"/>
      <w:divBdr>
        <w:top w:val="none" w:sz="0" w:space="0" w:color="auto"/>
        <w:left w:val="none" w:sz="0" w:space="0" w:color="auto"/>
        <w:bottom w:val="none" w:sz="0" w:space="0" w:color="auto"/>
        <w:right w:val="none" w:sz="0" w:space="0" w:color="auto"/>
      </w:divBdr>
    </w:div>
    <w:div w:id="2044792184">
      <w:bodyDiv w:val="1"/>
      <w:marLeft w:val="0"/>
      <w:marRight w:val="0"/>
      <w:marTop w:val="0"/>
      <w:marBottom w:val="0"/>
      <w:divBdr>
        <w:top w:val="none" w:sz="0" w:space="0" w:color="auto"/>
        <w:left w:val="none" w:sz="0" w:space="0" w:color="auto"/>
        <w:bottom w:val="none" w:sz="0" w:space="0" w:color="auto"/>
        <w:right w:val="none" w:sz="0" w:space="0" w:color="auto"/>
      </w:divBdr>
    </w:div>
    <w:div w:id="2071343514">
      <w:bodyDiv w:val="1"/>
      <w:marLeft w:val="0"/>
      <w:marRight w:val="0"/>
      <w:marTop w:val="0"/>
      <w:marBottom w:val="0"/>
      <w:divBdr>
        <w:top w:val="none" w:sz="0" w:space="0" w:color="auto"/>
        <w:left w:val="none" w:sz="0" w:space="0" w:color="auto"/>
        <w:bottom w:val="none" w:sz="0" w:space="0" w:color="auto"/>
        <w:right w:val="none" w:sz="0" w:space="0" w:color="auto"/>
      </w:divBdr>
    </w:div>
    <w:div w:id="2096632925">
      <w:bodyDiv w:val="1"/>
      <w:marLeft w:val="0"/>
      <w:marRight w:val="0"/>
      <w:marTop w:val="0"/>
      <w:marBottom w:val="0"/>
      <w:divBdr>
        <w:top w:val="none" w:sz="0" w:space="0" w:color="auto"/>
        <w:left w:val="none" w:sz="0" w:space="0" w:color="auto"/>
        <w:bottom w:val="none" w:sz="0" w:space="0" w:color="auto"/>
        <w:right w:val="none" w:sz="0" w:space="0" w:color="auto"/>
      </w:divBdr>
    </w:div>
    <w:div w:id="2097479782">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 w:id="2127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8BEE-5F2D-433A-B721-9E6EF7A1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134</Pages>
  <Words>15604</Words>
  <Characters>88948</Characters>
  <Application>Microsoft Office Word</Application>
  <DocSecurity>0</DocSecurity>
  <Lines>741</Lines>
  <Paragraphs>208</Paragraphs>
  <ScaleCrop>false</ScaleCrop>
  <Company>E FUND</Company>
  <LinksUpToDate>false</LinksUpToDate>
  <CharactersWithSpaces>104344</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4</cp:revision>
  <cp:lastPrinted>2014-12-31T08:59:00Z</cp:lastPrinted>
  <dcterms:created xsi:type="dcterms:W3CDTF">2021-09-10T02:40:00Z</dcterms:created>
  <dcterms:modified xsi:type="dcterms:W3CDTF">2021-09-10T09:16:00Z</dcterms:modified>
</cp:coreProperties>
</file>