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577C" w14:textId="07846140" w:rsidR="00395E54" w:rsidRDefault="00056271" w:rsidP="00752A9C">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博时恒元6个月持有期混合型证券投资基金</w:t>
      </w:r>
    </w:p>
    <w:p w14:paraId="08A623D0" w14:textId="5EFC299D" w:rsidR="00752A9C" w:rsidRPr="007A7F97" w:rsidRDefault="00503647" w:rsidP="00752A9C">
      <w:pPr>
        <w:widowControl/>
        <w:jc w:val="center"/>
        <w:rPr>
          <w:rFonts w:asciiTheme="minorEastAsia" w:eastAsiaTheme="minorEastAsia" w:hAnsiTheme="minorEastAsia" w:cs="宋体"/>
          <w:b/>
          <w:kern w:val="0"/>
          <w:sz w:val="30"/>
          <w:szCs w:val="30"/>
        </w:rPr>
      </w:pPr>
      <w:r w:rsidRPr="00503647">
        <w:rPr>
          <w:rFonts w:asciiTheme="minorEastAsia" w:eastAsiaTheme="minorEastAsia" w:hAnsiTheme="minorEastAsia" w:cs="宋体" w:hint="eastAsia"/>
          <w:b/>
          <w:kern w:val="0"/>
          <w:sz w:val="30"/>
          <w:szCs w:val="30"/>
        </w:rPr>
        <w:t>开放日常赎回、转换转出业务的公告</w:t>
      </w:r>
    </w:p>
    <w:p w14:paraId="68B8A805" w14:textId="132A3A7F" w:rsidR="00752A9C" w:rsidRPr="00000864" w:rsidRDefault="00752A9C" w:rsidP="00752A9C">
      <w:pPr>
        <w:spacing w:line="560" w:lineRule="exact"/>
        <w:jc w:val="center"/>
        <w:rPr>
          <w:rFonts w:asciiTheme="minorEastAsia" w:eastAsiaTheme="minorEastAsia" w:hAnsiTheme="minorEastAsia" w:cs="宋体"/>
          <w:bCs/>
          <w:sz w:val="24"/>
          <w:szCs w:val="24"/>
        </w:rPr>
      </w:pPr>
      <w:r w:rsidRPr="00395E54">
        <w:rPr>
          <w:rFonts w:asciiTheme="minorEastAsia" w:eastAsiaTheme="minorEastAsia" w:hAnsiTheme="minorEastAsia"/>
          <w:color w:val="000000"/>
          <w:sz w:val="24"/>
          <w:szCs w:val="24"/>
        </w:rPr>
        <w:t>公告送出日期：</w:t>
      </w:r>
      <w:r w:rsidR="00395E54" w:rsidRPr="00395E54">
        <w:rPr>
          <w:rFonts w:asciiTheme="minorEastAsia" w:eastAsiaTheme="minorEastAsia" w:hAnsiTheme="minorEastAsia" w:cs="宋体"/>
          <w:bCs/>
          <w:sz w:val="24"/>
          <w:szCs w:val="24"/>
        </w:rPr>
        <w:t>2021年9月13日</w:t>
      </w:r>
    </w:p>
    <w:p w14:paraId="62415A87" w14:textId="003AD19A" w:rsidR="0048510E" w:rsidRPr="00DB3A1A" w:rsidRDefault="0048510E" w:rsidP="00752A9C">
      <w:pPr>
        <w:spacing w:line="560" w:lineRule="exact"/>
        <w:jc w:val="center"/>
        <w:rPr>
          <w:rFonts w:asciiTheme="minorEastAsia" w:eastAsiaTheme="minorEastAsia" w:hAnsiTheme="minorEastAsia"/>
          <w:color w:val="000000"/>
          <w:sz w:val="24"/>
          <w:szCs w:val="24"/>
        </w:rPr>
      </w:pPr>
    </w:p>
    <w:p w14:paraId="1F6335D3" w14:textId="7E87F1B2" w:rsidR="0048510E" w:rsidRPr="0048510E" w:rsidRDefault="00752A9C">
      <w:pPr>
        <w:pStyle w:val="2"/>
        <w:spacing w:line="560" w:lineRule="exact"/>
        <w:rPr>
          <w:rFonts w:asciiTheme="minorEastAsia" w:eastAsiaTheme="minorEastAsia" w:hAnsiTheme="minorEastAsia"/>
          <w:bCs w:val="0"/>
          <w:color w:val="000000"/>
          <w:sz w:val="24"/>
          <w:szCs w:val="24"/>
        </w:rPr>
      </w:pPr>
      <w:bookmarkStart w:id="0" w:name="_Toc275961395"/>
      <w:r w:rsidRPr="00000864">
        <w:rPr>
          <w:rFonts w:asciiTheme="minorEastAsia" w:eastAsiaTheme="minorEastAsia" w:hAnsiTheme="minorEastAsia"/>
          <w:bCs w:val="0"/>
          <w:color w:val="000000"/>
          <w:sz w:val="24"/>
          <w:szCs w:val="24"/>
        </w:rPr>
        <w:t>1 公告基本信息</w:t>
      </w:r>
      <w:bookmarkEnd w:id="0"/>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3211"/>
        <w:gridCol w:w="3261"/>
      </w:tblGrid>
      <w:tr w:rsidR="00136334" w:rsidRPr="00DB3A1A" w14:paraId="4318EDCF" w14:textId="77777777" w:rsidTr="00503647">
        <w:trPr>
          <w:trHeight w:val="567"/>
          <w:jc w:val="center"/>
        </w:trPr>
        <w:tc>
          <w:tcPr>
            <w:tcW w:w="3588" w:type="dxa"/>
          </w:tcPr>
          <w:p w14:paraId="50C92A75"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基金名称</w:t>
            </w:r>
          </w:p>
        </w:tc>
        <w:tc>
          <w:tcPr>
            <w:tcW w:w="6472" w:type="dxa"/>
            <w:gridSpan w:val="2"/>
          </w:tcPr>
          <w:p w14:paraId="506EBB6C" w14:textId="39C22D63" w:rsidR="00136334" w:rsidRPr="00DB3A1A" w:rsidRDefault="00056271"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博时恒元6个月持有期混合型证券投资基金</w:t>
            </w:r>
          </w:p>
        </w:tc>
      </w:tr>
      <w:tr w:rsidR="00136334" w:rsidRPr="00DB3A1A" w14:paraId="3F4B0031" w14:textId="77777777" w:rsidTr="00503647">
        <w:trPr>
          <w:trHeight w:val="567"/>
          <w:jc w:val="center"/>
        </w:trPr>
        <w:tc>
          <w:tcPr>
            <w:tcW w:w="3588" w:type="dxa"/>
          </w:tcPr>
          <w:p w14:paraId="2E67F44B"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基金简称</w:t>
            </w:r>
          </w:p>
        </w:tc>
        <w:tc>
          <w:tcPr>
            <w:tcW w:w="6472" w:type="dxa"/>
            <w:gridSpan w:val="2"/>
          </w:tcPr>
          <w:p w14:paraId="6513AFC5" w14:textId="191D8595" w:rsidR="00136334" w:rsidRPr="00DB3A1A" w:rsidRDefault="00056271" w:rsidP="00DB3A1A">
            <w:pPr>
              <w:spacing w:line="560" w:lineRule="exact"/>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博时恒元6个月持有期混合</w:t>
            </w:r>
          </w:p>
        </w:tc>
      </w:tr>
      <w:tr w:rsidR="00136334" w:rsidRPr="00DB3A1A" w14:paraId="2A96DCF1" w14:textId="77777777" w:rsidTr="00503647">
        <w:trPr>
          <w:trHeight w:val="567"/>
          <w:jc w:val="center"/>
        </w:trPr>
        <w:tc>
          <w:tcPr>
            <w:tcW w:w="3588" w:type="dxa"/>
            <w:vAlign w:val="center"/>
          </w:tcPr>
          <w:p w14:paraId="3B5339A8"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基金主代码</w:t>
            </w:r>
          </w:p>
        </w:tc>
        <w:tc>
          <w:tcPr>
            <w:tcW w:w="6472" w:type="dxa"/>
            <w:gridSpan w:val="2"/>
          </w:tcPr>
          <w:p w14:paraId="02D7C46B" w14:textId="44A56A57" w:rsidR="00136334" w:rsidRPr="00DB3A1A" w:rsidRDefault="00056271" w:rsidP="0082483B">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011395</w:t>
            </w:r>
          </w:p>
        </w:tc>
      </w:tr>
      <w:tr w:rsidR="00136334" w:rsidRPr="00DB3A1A" w14:paraId="097DC933" w14:textId="77777777" w:rsidTr="00503647">
        <w:trPr>
          <w:trHeight w:val="567"/>
          <w:jc w:val="center"/>
        </w:trPr>
        <w:tc>
          <w:tcPr>
            <w:tcW w:w="3588" w:type="dxa"/>
          </w:tcPr>
          <w:p w14:paraId="78A6D980"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基金运作方式</w:t>
            </w:r>
          </w:p>
        </w:tc>
        <w:tc>
          <w:tcPr>
            <w:tcW w:w="6472" w:type="dxa"/>
            <w:gridSpan w:val="2"/>
          </w:tcPr>
          <w:p w14:paraId="33F2ED13" w14:textId="449938A4" w:rsidR="00136334" w:rsidRPr="00DB3A1A" w:rsidRDefault="00136334" w:rsidP="00DB3A1A">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契约型开放式</w:t>
            </w:r>
          </w:p>
        </w:tc>
      </w:tr>
      <w:tr w:rsidR="00136334" w:rsidRPr="00DB3A1A" w14:paraId="3245FF6B" w14:textId="77777777" w:rsidTr="00503647">
        <w:trPr>
          <w:trHeight w:val="567"/>
          <w:jc w:val="center"/>
        </w:trPr>
        <w:tc>
          <w:tcPr>
            <w:tcW w:w="3588" w:type="dxa"/>
          </w:tcPr>
          <w:p w14:paraId="399C4E18"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基金合同生效日</w:t>
            </w:r>
          </w:p>
        </w:tc>
        <w:tc>
          <w:tcPr>
            <w:tcW w:w="6472" w:type="dxa"/>
            <w:gridSpan w:val="2"/>
          </w:tcPr>
          <w:p w14:paraId="3C6CBAC6" w14:textId="5D7B76AA" w:rsidR="00136334" w:rsidRPr="00DB3A1A" w:rsidRDefault="00395E54" w:rsidP="00DB3A1A">
            <w:pPr>
              <w:spacing w:line="560" w:lineRule="exact"/>
              <w:rPr>
                <w:rFonts w:asciiTheme="minorEastAsia" w:eastAsiaTheme="minorEastAsia" w:hAnsiTheme="minorEastAsia"/>
                <w:color w:val="000000"/>
                <w:sz w:val="24"/>
                <w:szCs w:val="24"/>
              </w:rPr>
            </w:pPr>
            <w:r w:rsidRPr="00395E54">
              <w:rPr>
                <w:rFonts w:asciiTheme="minorEastAsia" w:eastAsiaTheme="minorEastAsia" w:hAnsiTheme="minorEastAsia" w:hint="eastAsia"/>
                <w:color w:val="000000"/>
                <w:sz w:val="24"/>
                <w:szCs w:val="24"/>
              </w:rPr>
              <w:t>2021年3月16日</w:t>
            </w:r>
          </w:p>
        </w:tc>
      </w:tr>
      <w:tr w:rsidR="00136334" w:rsidRPr="00DB3A1A" w14:paraId="379AC88D" w14:textId="77777777" w:rsidTr="00503647">
        <w:trPr>
          <w:trHeight w:val="567"/>
          <w:jc w:val="center"/>
        </w:trPr>
        <w:tc>
          <w:tcPr>
            <w:tcW w:w="3588" w:type="dxa"/>
          </w:tcPr>
          <w:p w14:paraId="42647C45"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基金管理人名称</w:t>
            </w:r>
          </w:p>
        </w:tc>
        <w:tc>
          <w:tcPr>
            <w:tcW w:w="6472" w:type="dxa"/>
            <w:gridSpan w:val="2"/>
          </w:tcPr>
          <w:p w14:paraId="24003916" w14:textId="4FC439BF" w:rsidR="00136334" w:rsidRPr="00DB3A1A" w:rsidRDefault="00136334" w:rsidP="00DB3A1A">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博时基金管理有限公司</w:t>
            </w:r>
          </w:p>
        </w:tc>
      </w:tr>
      <w:tr w:rsidR="00136334" w:rsidRPr="00DB3A1A" w14:paraId="1BFC784A" w14:textId="77777777" w:rsidTr="00503647">
        <w:trPr>
          <w:trHeight w:val="567"/>
          <w:jc w:val="center"/>
        </w:trPr>
        <w:tc>
          <w:tcPr>
            <w:tcW w:w="3588" w:type="dxa"/>
          </w:tcPr>
          <w:p w14:paraId="480C8E9B"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基金托管人名称</w:t>
            </w:r>
          </w:p>
        </w:tc>
        <w:tc>
          <w:tcPr>
            <w:tcW w:w="6472" w:type="dxa"/>
            <w:gridSpan w:val="2"/>
          </w:tcPr>
          <w:p w14:paraId="24C7B1CB" w14:textId="0F5E4FEE" w:rsidR="00136334" w:rsidRPr="00DB3A1A" w:rsidRDefault="00056271"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中国光大银行股份有限公司</w:t>
            </w:r>
          </w:p>
        </w:tc>
      </w:tr>
      <w:tr w:rsidR="00136334" w:rsidRPr="00DB3A1A" w14:paraId="08A1515D" w14:textId="77777777" w:rsidTr="00503647">
        <w:trPr>
          <w:trHeight w:val="567"/>
          <w:jc w:val="center"/>
        </w:trPr>
        <w:tc>
          <w:tcPr>
            <w:tcW w:w="3588" w:type="dxa"/>
          </w:tcPr>
          <w:p w14:paraId="3F9F638F"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基金注册登记机构名称</w:t>
            </w:r>
          </w:p>
        </w:tc>
        <w:tc>
          <w:tcPr>
            <w:tcW w:w="6472" w:type="dxa"/>
            <w:gridSpan w:val="2"/>
          </w:tcPr>
          <w:p w14:paraId="60BB3306" w14:textId="180A9198" w:rsidR="00136334" w:rsidRPr="00DB3A1A" w:rsidRDefault="00136334" w:rsidP="00DB3A1A">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博时基金管理有限公司</w:t>
            </w:r>
          </w:p>
        </w:tc>
      </w:tr>
      <w:tr w:rsidR="00136334" w:rsidRPr="00DB3A1A" w14:paraId="0D11C2AF" w14:textId="77777777" w:rsidTr="00503647">
        <w:trPr>
          <w:trHeight w:val="567"/>
          <w:jc w:val="center"/>
        </w:trPr>
        <w:tc>
          <w:tcPr>
            <w:tcW w:w="3588" w:type="dxa"/>
          </w:tcPr>
          <w:p w14:paraId="2FBB0AA5"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公告依据</w:t>
            </w:r>
          </w:p>
        </w:tc>
        <w:tc>
          <w:tcPr>
            <w:tcW w:w="6472" w:type="dxa"/>
            <w:gridSpan w:val="2"/>
          </w:tcPr>
          <w:p w14:paraId="359415B6" w14:textId="03A441AC" w:rsidR="00136334" w:rsidRPr="00DB3A1A" w:rsidRDefault="00136334" w:rsidP="00395E54">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有关法律法规</w:t>
            </w:r>
            <w:r w:rsidRPr="00DB3A1A">
              <w:rPr>
                <w:rFonts w:asciiTheme="minorEastAsia" w:eastAsiaTheme="minorEastAsia" w:hAnsiTheme="minorEastAsia"/>
                <w:color w:val="000000"/>
                <w:sz w:val="24"/>
                <w:szCs w:val="24"/>
              </w:rPr>
              <w:t>及《</w:t>
            </w:r>
            <w:r w:rsidR="00056271">
              <w:rPr>
                <w:rFonts w:asciiTheme="minorEastAsia" w:eastAsiaTheme="minorEastAsia" w:hAnsiTheme="minorEastAsia" w:hint="eastAsia"/>
                <w:color w:val="000000"/>
                <w:sz w:val="24"/>
                <w:szCs w:val="24"/>
              </w:rPr>
              <w:t>博时恒元6个月持有期混合型证券投资基金</w:t>
            </w:r>
            <w:r w:rsidR="00395E54" w:rsidRPr="00395E54">
              <w:rPr>
                <w:rFonts w:asciiTheme="minorEastAsia" w:eastAsiaTheme="minorEastAsia" w:hAnsiTheme="minorEastAsia" w:hint="eastAsia"/>
                <w:color w:val="000000"/>
                <w:sz w:val="24"/>
                <w:szCs w:val="24"/>
              </w:rPr>
              <w:t>基金</w:t>
            </w:r>
            <w:r w:rsidRPr="00DB3A1A">
              <w:rPr>
                <w:rFonts w:asciiTheme="minorEastAsia" w:eastAsiaTheme="minorEastAsia" w:hAnsiTheme="minorEastAsia"/>
                <w:color w:val="000000"/>
                <w:sz w:val="24"/>
                <w:szCs w:val="24"/>
              </w:rPr>
              <w:t>》、《</w:t>
            </w:r>
            <w:r w:rsidR="00056271">
              <w:rPr>
                <w:rFonts w:asciiTheme="minorEastAsia" w:eastAsiaTheme="minorEastAsia" w:hAnsiTheme="minorEastAsia" w:hint="eastAsia"/>
                <w:color w:val="000000"/>
                <w:sz w:val="24"/>
                <w:szCs w:val="24"/>
              </w:rPr>
              <w:t>博时恒元6个月持有期混合型证券投资基金</w:t>
            </w:r>
            <w:r w:rsidRPr="00DB3A1A">
              <w:rPr>
                <w:rFonts w:asciiTheme="minorEastAsia" w:eastAsiaTheme="minorEastAsia" w:hAnsiTheme="minorEastAsia"/>
                <w:color w:val="000000"/>
                <w:sz w:val="24"/>
                <w:szCs w:val="24"/>
              </w:rPr>
              <w:t>招募说明书》等</w:t>
            </w:r>
          </w:p>
        </w:tc>
      </w:tr>
      <w:tr w:rsidR="00136334" w:rsidRPr="00DB3A1A" w14:paraId="480F9D0C" w14:textId="77777777" w:rsidTr="00503647">
        <w:trPr>
          <w:trHeight w:val="567"/>
          <w:jc w:val="center"/>
        </w:trPr>
        <w:tc>
          <w:tcPr>
            <w:tcW w:w="3588" w:type="dxa"/>
          </w:tcPr>
          <w:p w14:paraId="7D6665B3" w14:textId="25305D61" w:rsidR="00136334" w:rsidRPr="00DB3A1A" w:rsidRDefault="00503647" w:rsidP="002B053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赎回</w:t>
            </w:r>
            <w:r w:rsidR="00136334" w:rsidRPr="00DB3A1A">
              <w:rPr>
                <w:rFonts w:asciiTheme="minorEastAsia" w:eastAsiaTheme="minorEastAsia" w:hAnsiTheme="minorEastAsia"/>
                <w:color w:val="000000"/>
                <w:sz w:val="24"/>
                <w:szCs w:val="24"/>
              </w:rPr>
              <w:t>起始日</w:t>
            </w:r>
          </w:p>
        </w:tc>
        <w:tc>
          <w:tcPr>
            <w:tcW w:w="6472" w:type="dxa"/>
            <w:gridSpan w:val="2"/>
          </w:tcPr>
          <w:p w14:paraId="5C5871B9" w14:textId="667A8E5B" w:rsidR="0013633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2021年9月16日</w:t>
            </w:r>
          </w:p>
        </w:tc>
      </w:tr>
      <w:tr w:rsidR="00136334" w:rsidRPr="00DB3A1A" w14:paraId="6261633D" w14:textId="77777777" w:rsidTr="00503647">
        <w:trPr>
          <w:trHeight w:val="567"/>
          <w:jc w:val="center"/>
        </w:trPr>
        <w:tc>
          <w:tcPr>
            <w:tcW w:w="3588" w:type="dxa"/>
          </w:tcPr>
          <w:p w14:paraId="5CD925BC" w14:textId="6EB0D8FD" w:rsidR="00136334" w:rsidRPr="00DB3A1A" w:rsidRDefault="00136334" w:rsidP="00C67CB4">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转换</w:t>
            </w:r>
            <w:r w:rsidR="00503647">
              <w:rPr>
                <w:rFonts w:asciiTheme="minorEastAsia" w:eastAsiaTheme="minorEastAsia" w:hAnsiTheme="minorEastAsia" w:hint="eastAsia"/>
                <w:color w:val="000000"/>
                <w:sz w:val="24"/>
                <w:szCs w:val="24"/>
              </w:rPr>
              <w:t>转出</w:t>
            </w:r>
            <w:r w:rsidRPr="00DB3A1A">
              <w:rPr>
                <w:rFonts w:asciiTheme="minorEastAsia" w:eastAsiaTheme="minorEastAsia" w:hAnsiTheme="minorEastAsia"/>
                <w:color w:val="000000"/>
                <w:sz w:val="24"/>
                <w:szCs w:val="24"/>
              </w:rPr>
              <w:t>起始日</w:t>
            </w:r>
          </w:p>
        </w:tc>
        <w:tc>
          <w:tcPr>
            <w:tcW w:w="6472" w:type="dxa"/>
            <w:gridSpan w:val="2"/>
          </w:tcPr>
          <w:p w14:paraId="11897BDC" w14:textId="4970433F" w:rsidR="0013633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2021年9月16日</w:t>
            </w:r>
          </w:p>
        </w:tc>
      </w:tr>
      <w:tr w:rsidR="00395E54" w:rsidRPr="00DB3A1A" w14:paraId="479B3766" w14:textId="77777777" w:rsidTr="00395E54">
        <w:trPr>
          <w:trHeight w:val="567"/>
          <w:jc w:val="center"/>
        </w:trPr>
        <w:tc>
          <w:tcPr>
            <w:tcW w:w="3588" w:type="dxa"/>
          </w:tcPr>
          <w:p w14:paraId="190BC6B4" w14:textId="77777777" w:rsidR="00395E54" w:rsidRPr="00DB3A1A" w:rsidRDefault="00395E54" w:rsidP="003C5EB7">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下属基金</w:t>
            </w:r>
            <w:r w:rsidRPr="00DB3A1A">
              <w:rPr>
                <w:rFonts w:asciiTheme="minorEastAsia" w:eastAsiaTheme="minorEastAsia" w:hAnsiTheme="minorEastAsia" w:hint="eastAsia"/>
                <w:color w:val="000000"/>
                <w:sz w:val="24"/>
                <w:szCs w:val="24"/>
              </w:rPr>
              <w:t>份额</w:t>
            </w:r>
            <w:r w:rsidRPr="00DB3A1A">
              <w:rPr>
                <w:rFonts w:asciiTheme="minorEastAsia" w:eastAsiaTheme="minorEastAsia" w:hAnsiTheme="minorEastAsia"/>
                <w:color w:val="000000"/>
                <w:sz w:val="24"/>
                <w:szCs w:val="24"/>
              </w:rPr>
              <w:t>的基金简称</w:t>
            </w:r>
          </w:p>
        </w:tc>
        <w:tc>
          <w:tcPr>
            <w:tcW w:w="3211" w:type="dxa"/>
            <w:vAlign w:val="center"/>
          </w:tcPr>
          <w:p w14:paraId="73D29AB7" w14:textId="677CCD08" w:rsidR="00395E54" w:rsidRPr="00DB3A1A" w:rsidRDefault="00056271"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博时恒元6个月持有期混合</w:t>
            </w:r>
            <w:r w:rsidR="00395E54" w:rsidRPr="00DB3A1A">
              <w:rPr>
                <w:rFonts w:asciiTheme="minorEastAsia" w:eastAsiaTheme="minorEastAsia" w:hAnsiTheme="minorEastAsia" w:hint="eastAsia"/>
                <w:color w:val="000000"/>
                <w:sz w:val="24"/>
                <w:szCs w:val="24"/>
              </w:rPr>
              <w:t>A</w:t>
            </w:r>
          </w:p>
        </w:tc>
        <w:tc>
          <w:tcPr>
            <w:tcW w:w="3261" w:type="dxa"/>
          </w:tcPr>
          <w:p w14:paraId="769ED365" w14:textId="1B1C8FA1" w:rsidR="00395E54" w:rsidRPr="00DB3A1A" w:rsidRDefault="00056271" w:rsidP="00223B86">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博时恒元6个月持有期混合</w:t>
            </w:r>
            <w:r w:rsidR="00223B86">
              <w:rPr>
                <w:rFonts w:asciiTheme="minorEastAsia" w:eastAsiaTheme="minorEastAsia" w:hAnsiTheme="minorEastAsia"/>
                <w:color w:val="000000"/>
                <w:sz w:val="24"/>
                <w:szCs w:val="24"/>
              </w:rPr>
              <w:t>C</w:t>
            </w:r>
          </w:p>
        </w:tc>
        <w:bookmarkStart w:id="1" w:name="_GoBack"/>
        <w:bookmarkEnd w:id="1"/>
      </w:tr>
      <w:tr w:rsidR="00395E54" w:rsidRPr="00DB3A1A" w14:paraId="03B157E6" w14:textId="77777777" w:rsidTr="00395E54">
        <w:trPr>
          <w:trHeight w:val="567"/>
          <w:jc w:val="center"/>
        </w:trPr>
        <w:tc>
          <w:tcPr>
            <w:tcW w:w="3588" w:type="dxa"/>
            <w:vAlign w:val="center"/>
          </w:tcPr>
          <w:p w14:paraId="28A9119B" w14:textId="77777777" w:rsidR="00395E54" w:rsidRPr="00DB3A1A" w:rsidRDefault="00395E5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下属基金</w:t>
            </w:r>
            <w:r w:rsidRPr="00DB3A1A">
              <w:rPr>
                <w:rFonts w:asciiTheme="minorEastAsia" w:eastAsiaTheme="minorEastAsia" w:hAnsiTheme="minorEastAsia" w:hint="eastAsia"/>
                <w:color w:val="000000"/>
                <w:sz w:val="24"/>
                <w:szCs w:val="24"/>
              </w:rPr>
              <w:t>份额</w:t>
            </w:r>
            <w:r w:rsidRPr="00DB3A1A">
              <w:rPr>
                <w:rFonts w:asciiTheme="minorEastAsia" w:eastAsiaTheme="minorEastAsia" w:hAnsiTheme="minorEastAsia"/>
                <w:color w:val="000000"/>
                <w:sz w:val="24"/>
                <w:szCs w:val="24"/>
              </w:rPr>
              <w:t>的交易代码</w:t>
            </w:r>
          </w:p>
        </w:tc>
        <w:tc>
          <w:tcPr>
            <w:tcW w:w="3211" w:type="dxa"/>
            <w:vAlign w:val="center"/>
          </w:tcPr>
          <w:p w14:paraId="79154112" w14:textId="6431B0EA" w:rsidR="00395E54" w:rsidRPr="00DB3A1A" w:rsidRDefault="00056271"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011395</w:t>
            </w:r>
          </w:p>
        </w:tc>
        <w:tc>
          <w:tcPr>
            <w:tcW w:w="3261" w:type="dxa"/>
          </w:tcPr>
          <w:p w14:paraId="70F15EE7" w14:textId="3111D5EA" w:rsidR="00395E54" w:rsidRPr="00DB3A1A" w:rsidRDefault="00056271" w:rsidP="00DB3A1A">
            <w:pPr>
              <w:spacing w:line="560" w:lineRule="exact"/>
              <w:rPr>
                <w:rFonts w:asciiTheme="minorEastAsia" w:eastAsiaTheme="minorEastAsia" w:hAnsiTheme="minorEastAsia"/>
                <w:color w:val="000000"/>
                <w:sz w:val="24"/>
                <w:szCs w:val="24"/>
              </w:rPr>
            </w:pPr>
            <w:r w:rsidRPr="00056271">
              <w:rPr>
                <w:rFonts w:asciiTheme="minorEastAsia" w:eastAsiaTheme="minorEastAsia" w:hAnsiTheme="minorEastAsia"/>
                <w:color w:val="000000"/>
                <w:sz w:val="24"/>
                <w:szCs w:val="24"/>
              </w:rPr>
              <w:t>011396</w:t>
            </w:r>
          </w:p>
        </w:tc>
      </w:tr>
      <w:tr w:rsidR="00395E54" w:rsidRPr="00DB3A1A" w14:paraId="701F5C2B" w14:textId="77777777" w:rsidTr="00395E54">
        <w:trPr>
          <w:trHeight w:val="567"/>
          <w:jc w:val="center"/>
        </w:trPr>
        <w:tc>
          <w:tcPr>
            <w:tcW w:w="3588" w:type="dxa"/>
          </w:tcPr>
          <w:p w14:paraId="4585C103" w14:textId="5F3725BD" w:rsidR="00395E54" w:rsidRPr="00DB3A1A" w:rsidRDefault="00395E54" w:rsidP="00503647">
            <w:pPr>
              <w:tabs>
                <w:tab w:val="left" w:pos="1315"/>
              </w:tabs>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该类基金份额</w:t>
            </w:r>
            <w:r w:rsidRPr="00DB3A1A">
              <w:rPr>
                <w:rFonts w:asciiTheme="minorEastAsia" w:eastAsiaTheme="minorEastAsia" w:hAnsiTheme="minorEastAsia"/>
                <w:color w:val="000000"/>
                <w:sz w:val="24"/>
                <w:szCs w:val="24"/>
              </w:rPr>
              <w:t>是否开放</w:t>
            </w:r>
            <w:r>
              <w:rPr>
                <w:rFonts w:asciiTheme="minorEastAsia" w:eastAsiaTheme="minorEastAsia" w:hAnsiTheme="minorEastAsia" w:hint="eastAsia"/>
                <w:color w:val="000000"/>
                <w:sz w:val="24"/>
                <w:szCs w:val="24"/>
              </w:rPr>
              <w:t>赎回、转换转出业务</w:t>
            </w:r>
          </w:p>
        </w:tc>
        <w:tc>
          <w:tcPr>
            <w:tcW w:w="3211" w:type="dxa"/>
          </w:tcPr>
          <w:p w14:paraId="374A5B3E" w14:textId="297C8DBE" w:rsidR="00395E54" w:rsidRPr="00DB3A1A" w:rsidRDefault="00395E54" w:rsidP="00503647">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是</w:t>
            </w:r>
          </w:p>
        </w:tc>
        <w:tc>
          <w:tcPr>
            <w:tcW w:w="3261" w:type="dxa"/>
          </w:tcPr>
          <w:p w14:paraId="0B14751E" w14:textId="2DA853C0" w:rsidR="00395E54" w:rsidRPr="00DB3A1A" w:rsidRDefault="00395E54" w:rsidP="00503647">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是</w:t>
            </w:r>
          </w:p>
        </w:tc>
      </w:tr>
    </w:tbl>
    <w:p w14:paraId="7E1FD581" w14:textId="4E5C7CED" w:rsidR="00003464" w:rsidRDefault="002B2510">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注：（1）本基金为契约型开放式证券投资基金，基金管理人和基金注册登记机</w:t>
      </w:r>
      <w:r>
        <w:rPr>
          <w:rFonts w:asciiTheme="minorEastAsia" w:eastAsiaTheme="minorEastAsia" w:hAnsiTheme="minorEastAsia"/>
          <w:color w:val="000000"/>
          <w:kern w:val="0"/>
          <w:sz w:val="24"/>
          <w:szCs w:val="24"/>
        </w:rPr>
        <w:lastRenderedPageBreak/>
        <w:t>构为博时基金管理有限公司（以下简称“本公司”），基金托管人为</w:t>
      </w:r>
      <w:r w:rsidR="00056271">
        <w:rPr>
          <w:rFonts w:asciiTheme="minorEastAsia" w:eastAsiaTheme="minorEastAsia" w:hAnsiTheme="minorEastAsia" w:hint="eastAsia"/>
          <w:color w:val="000000"/>
          <w:kern w:val="0"/>
          <w:sz w:val="24"/>
          <w:szCs w:val="24"/>
        </w:rPr>
        <w:t>中国光大银行股份有限公司</w:t>
      </w:r>
      <w:r>
        <w:rPr>
          <w:rFonts w:asciiTheme="minorEastAsia" w:eastAsiaTheme="minorEastAsia" w:hAnsiTheme="minorEastAsia"/>
          <w:color w:val="000000"/>
          <w:kern w:val="0"/>
          <w:sz w:val="24"/>
          <w:szCs w:val="24"/>
        </w:rPr>
        <w:t>；</w:t>
      </w:r>
    </w:p>
    <w:p w14:paraId="264EA7AE" w14:textId="2763BDE4" w:rsidR="00003464" w:rsidRDefault="002B2510">
      <w:pPr>
        <w:spacing w:line="360" w:lineRule="auto"/>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（2）投资者应及时通过本基金销售网点、致电博时一线通95105568（免长途话费）或登录本公司网站www.bosera.com查询其</w:t>
      </w:r>
      <w:r w:rsidR="00503647">
        <w:rPr>
          <w:rFonts w:asciiTheme="minorEastAsia" w:eastAsiaTheme="minorEastAsia" w:hAnsiTheme="minorEastAsia" w:hint="eastAsia"/>
          <w:color w:val="000000"/>
          <w:kern w:val="0"/>
          <w:sz w:val="24"/>
          <w:szCs w:val="24"/>
        </w:rPr>
        <w:t>赎回、转换转出</w:t>
      </w:r>
      <w:r>
        <w:rPr>
          <w:rFonts w:asciiTheme="minorEastAsia" w:eastAsiaTheme="minorEastAsia" w:hAnsiTheme="minorEastAsia"/>
          <w:color w:val="000000"/>
          <w:kern w:val="0"/>
          <w:sz w:val="24"/>
          <w:szCs w:val="24"/>
        </w:rPr>
        <w:t>业务申请的确认情况；</w:t>
      </w:r>
    </w:p>
    <w:p w14:paraId="7CEE8215" w14:textId="049318BE"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2" w:name="_Toc275961396"/>
      <w:r w:rsidRPr="00000864">
        <w:rPr>
          <w:rFonts w:asciiTheme="minorEastAsia" w:eastAsiaTheme="minorEastAsia" w:hAnsiTheme="minorEastAsia"/>
          <w:bCs w:val="0"/>
          <w:color w:val="000000"/>
          <w:sz w:val="24"/>
          <w:szCs w:val="24"/>
        </w:rPr>
        <w:t xml:space="preserve">2 </w:t>
      </w:r>
      <w:r w:rsidR="00051BBF">
        <w:rPr>
          <w:rFonts w:asciiTheme="minorEastAsia" w:eastAsiaTheme="minorEastAsia" w:hAnsiTheme="minorEastAsia"/>
          <w:bCs w:val="0"/>
          <w:color w:val="000000"/>
          <w:sz w:val="24"/>
          <w:szCs w:val="24"/>
        </w:rPr>
        <w:t>日常</w:t>
      </w:r>
      <w:r w:rsidR="00EF351E">
        <w:rPr>
          <w:rFonts w:asciiTheme="minorEastAsia" w:eastAsiaTheme="minorEastAsia" w:hAnsiTheme="minorEastAsia" w:hint="eastAsia"/>
          <w:bCs w:val="0"/>
          <w:color w:val="000000"/>
          <w:sz w:val="24"/>
          <w:szCs w:val="24"/>
        </w:rPr>
        <w:t>赎回</w:t>
      </w:r>
      <w:r w:rsidR="00EF351E">
        <w:rPr>
          <w:rFonts w:asciiTheme="minorEastAsia" w:eastAsiaTheme="minorEastAsia" w:hAnsiTheme="minorEastAsia"/>
          <w:bCs w:val="0"/>
          <w:color w:val="000000"/>
          <w:sz w:val="24"/>
          <w:szCs w:val="24"/>
        </w:rPr>
        <w:t>、</w:t>
      </w:r>
      <w:r w:rsidR="00051BBF">
        <w:rPr>
          <w:rFonts w:asciiTheme="minorEastAsia" w:eastAsiaTheme="minorEastAsia" w:hAnsiTheme="minorEastAsia"/>
          <w:bCs w:val="0"/>
          <w:color w:val="000000"/>
          <w:sz w:val="24"/>
          <w:szCs w:val="24"/>
        </w:rPr>
        <w:t>转换</w:t>
      </w:r>
      <w:r w:rsidR="00503647">
        <w:rPr>
          <w:rFonts w:asciiTheme="minorEastAsia" w:eastAsiaTheme="minorEastAsia" w:hAnsiTheme="minorEastAsia" w:hint="eastAsia"/>
          <w:bCs w:val="0"/>
          <w:color w:val="000000"/>
          <w:sz w:val="24"/>
          <w:szCs w:val="24"/>
        </w:rPr>
        <w:t>转出</w:t>
      </w:r>
      <w:r w:rsidRPr="00000864">
        <w:rPr>
          <w:rFonts w:asciiTheme="minorEastAsia" w:eastAsiaTheme="minorEastAsia" w:hAnsiTheme="minorEastAsia"/>
          <w:bCs w:val="0"/>
          <w:color w:val="000000"/>
          <w:sz w:val="24"/>
          <w:szCs w:val="24"/>
        </w:rPr>
        <w:t>业务的办理时间</w:t>
      </w:r>
      <w:bookmarkEnd w:id="2"/>
    </w:p>
    <w:p w14:paraId="00547D93" w14:textId="4ED338FE" w:rsidR="008C44D2" w:rsidRDefault="00056271" w:rsidP="008C44D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博时恒元6个月持有期混合型证券投资基金</w:t>
      </w:r>
      <w:r w:rsidR="008C44D2" w:rsidRPr="008C44D2">
        <w:rPr>
          <w:rFonts w:asciiTheme="minorEastAsia" w:eastAsiaTheme="minorEastAsia" w:hAnsiTheme="minorEastAsia" w:hint="eastAsia"/>
          <w:color w:val="000000"/>
          <w:sz w:val="24"/>
          <w:szCs w:val="24"/>
        </w:rPr>
        <w:t>（以下简称“本基金”）对</w:t>
      </w:r>
      <w:r w:rsidR="003A2494" w:rsidRPr="003A2494">
        <w:rPr>
          <w:rFonts w:asciiTheme="minorEastAsia" w:eastAsiaTheme="minorEastAsia" w:hAnsiTheme="minorEastAsia" w:hint="eastAsia"/>
          <w:color w:val="000000"/>
          <w:sz w:val="24"/>
          <w:szCs w:val="24"/>
        </w:rPr>
        <w:t>本基金对每份基金份额设置</w:t>
      </w:r>
      <w:r w:rsidR="00136334">
        <w:rPr>
          <w:rFonts w:asciiTheme="minorEastAsia" w:eastAsiaTheme="minorEastAsia" w:hAnsiTheme="minorEastAsia" w:hint="eastAsia"/>
          <w:color w:val="000000"/>
          <w:sz w:val="24"/>
          <w:szCs w:val="24"/>
        </w:rPr>
        <w:t>六个月</w:t>
      </w:r>
      <w:r w:rsidR="003A2494" w:rsidRPr="003A2494">
        <w:rPr>
          <w:rFonts w:asciiTheme="minorEastAsia" w:eastAsiaTheme="minorEastAsia" w:hAnsiTheme="minorEastAsia" w:hint="eastAsia"/>
          <w:color w:val="000000"/>
          <w:sz w:val="24"/>
          <w:szCs w:val="24"/>
        </w:rPr>
        <w:t>的最短持有期。对于每份认购份额的最短持有期起始日指基金合同生效日，对于每份申购份额的最短持有期起始日指该基金份额申购申请的确认日；最短持有期到期日指该基金份额持有期起始日起</w:t>
      </w:r>
      <w:r w:rsidR="00136334">
        <w:rPr>
          <w:rFonts w:asciiTheme="minorEastAsia" w:eastAsiaTheme="minorEastAsia" w:hAnsiTheme="minorEastAsia" w:hint="eastAsia"/>
          <w:color w:val="000000"/>
          <w:sz w:val="24"/>
          <w:szCs w:val="24"/>
        </w:rPr>
        <w:t>六个月</w:t>
      </w:r>
      <w:r w:rsidR="003A2494" w:rsidRPr="003A2494">
        <w:rPr>
          <w:rFonts w:asciiTheme="minorEastAsia" w:eastAsiaTheme="minorEastAsia" w:hAnsiTheme="minorEastAsia" w:hint="eastAsia"/>
          <w:color w:val="000000"/>
          <w:sz w:val="24"/>
          <w:szCs w:val="24"/>
        </w:rPr>
        <w:t>后的对应日。如无此对应日期或该对应日为非工作日，则顺延至下一工作日</w:t>
      </w:r>
      <w:r w:rsidR="008C44D2" w:rsidRPr="008C44D2">
        <w:rPr>
          <w:rFonts w:asciiTheme="minorEastAsia" w:eastAsiaTheme="minorEastAsia" w:hAnsiTheme="minorEastAsia" w:hint="eastAsia"/>
          <w:color w:val="000000"/>
          <w:sz w:val="24"/>
          <w:szCs w:val="24"/>
        </w:rPr>
        <w:t>。</w:t>
      </w:r>
    </w:p>
    <w:p w14:paraId="2D9915D7" w14:textId="67087EAD" w:rsidR="008C44D2" w:rsidRPr="008C44D2" w:rsidRDefault="003A2494" w:rsidP="008C44D2">
      <w:pPr>
        <w:spacing w:line="360" w:lineRule="auto"/>
        <w:ind w:firstLineChars="200" w:firstLine="480"/>
        <w:rPr>
          <w:rFonts w:asciiTheme="minorEastAsia" w:eastAsiaTheme="minorEastAsia" w:hAnsiTheme="minorEastAsia"/>
          <w:color w:val="000000"/>
          <w:sz w:val="24"/>
          <w:szCs w:val="24"/>
        </w:rPr>
      </w:pPr>
      <w:r w:rsidRPr="003A2494">
        <w:rPr>
          <w:rFonts w:asciiTheme="minorEastAsia" w:eastAsiaTheme="minorEastAsia" w:hAnsiTheme="minorEastAsia" w:hint="eastAsia"/>
          <w:color w:val="000000"/>
          <w:sz w:val="24"/>
          <w:szCs w:val="24"/>
        </w:rPr>
        <w:t>在每份基金份额的最短持有期到期日前（不含当日），基金份额持有人不能对该基金份额提出赎回申请；每份基金份额的最短持有期到期日起（含当日），基金份额持有人可对该基金份额提出赎回申请。</w:t>
      </w:r>
      <w:r w:rsidR="00C47148" w:rsidRPr="00C47148">
        <w:rPr>
          <w:rFonts w:asciiTheme="minorEastAsia" w:eastAsiaTheme="minorEastAsia" w:hAnsiTheme="minorEastAsia" w:hint="eastAsia"/>
          <w:color w:val="000000"/>
          <w:sz w:val="24"/>
          <w:szCs w:val="24"/>
        </w:rPr>
        <w:t>因不可抗力或基金合同约定的其他情形致使基金管理人无法在该基金份额的最短持有期到期日按时开放办理该基金份额的赎回业务的，该基金份额的最短持有期到期日顺延至不可抗力或基金合同约定的其他情形的影响因素消除之日起的下一个工作日</w:t>
      </w:r>
      <w:r w:rsidR="008C44D2" w:rsidRPr="008C44D2">
        <w:rPr>
          <w:rFonts w:asciiTheme="minorEastAsia" w:eastAsiaTheme="minorEastAsia" w:hAnsiTheme="minorEastAsia" w:hint="eastAsia"/>
          <w:color w:val="000000"/>
          <w:sz w:val="24"/>
          <w:szCs w:val="24"/>
        </w:rPr>
        <w:t>。</w:t>
      </w:r>
    </w:p>
    <w:p w14:paraId="64E79964" w14:textId="2373AFE0" w:rsidR="008C44D2" w:rsidRPr="008C44D2" w:rsidRDefault="008C44D2" w:rsidP="008C44D2">
      <w:pPr>
        <w:spacing w:line="360" w:lineRule="auto"/>
        <w:ind w:firstLineChars="200" w:firstLine="480"/>
        <w:rPr>
          <w:rFonts w:asciiTheme="minorEastAsia" w:eastAsiaTheme="minorEastAsia" w:hAnsiTheme="minorEastAsia"/>
          <w:color w:val="000000"/>
          <w:sz w:val="24"/>
          <w:szCs w:val="24"/>
        </w:rPr>
      </w:pPr>
      <w:r w:rsidRPr="008C44D2">
        <w:rPr>
          <w:rFonts w:asciiTheme="minorEastAsia" w:eastAsiaTheme="minorEastAsia" w:hAnsiTheme="minorEastAsia" w:hint="eastAsia"/>
          <w:color w:val="000000"/>
          <w:sz w:val="24"/>
          <w:szCs w:val="24"/>
        </w:rPr>
        <w:t>本基金成立于</w:t>
      </w:r>
      <w:r w:rsidR="005B4EA5" w:rsidRPr="005B4EA5">
        <w:rPr>
          <w:rFonts w:asciiTheme="minorEastAsia" w:eastAsiaTheme="minorEastAsia" w:hAnsiTheme="minorEastAsia" w:hint="eastAsia"/>
          <w:color w:val="000000"/>
          <w:sz w:val="24"/>
          <w:szCs w:val="24"/>
        </w:rPr>
        <w:t>2021年3月16日</w:t>
      </w:r>
      <w:r w:rsidRPr="008C44D2">
        <w:rPr>
          <w:rFonts w:asciiTheme="minorEastAsia" w:eastAsiaTheme="minorEastAsia" w:hAnsiTheme="minorEastAsia" w:hint="eastAsia"/>
          <w:color w:val="000000"/>
          <w:sz w:val="24"/>
          <w:szCs w:val="24"/>
        </w:rPr>
        <w:t>，对于认购份额而言，日常赎回、转换转出起始日为</w:t>
      </w:r>
      <w:r w:rsidR="00395E54">
        <w:rPr>
          <w:rFonts w:asciiTheme="minorEastAsia" w:eastAsiaTheme="minorEastAsia" w:hAnsiTheme="minorEastAsia" w:hint="eastAsia"/>
          <w:color w:val="000000"/>
          <w:sz w:val="24"/>
          <w:szCs w:val="24"/>
        </w:rPr>
        <w:t>2021年9月16日</w:t>
      </w:r>
      <w:r w:rsidRPr="008C44D2">
        <w:rPr>
          <w:rFonts w:asciiTheme="minorEastAsia" w:eastAsiaTheme="minorEastAsia" w:hAnsiTheme="minorEastAsia" w:hint="eastAsia"/>
          <w:color w:val="000000"/>
          <w:sz w:val="24"/>
          <w:szCs w:val="24"/>
        </w:rPr>
        <w:t>。本基金</w:t>
      </w:r>
      <w:r w:rsidR="00503647">
        <w:rPr>
          <w:rFonts w:asciiTheme="minorEastAsia" w:eastAsiaTheme="minorEastAsia" w:hAnsiTheme="minorEastAsia" w:hint="eastAsia"/>
          <w:color w:val="000000"/>
          <w:sz w:val="24"/>
          <w:szCs w:val="24"/>
        </w:rPr>
        <w:t>已于</w:t>
      </w:r>
      <w:r w:rsidR="00503647">
        <w:rPr>
          <w:rFonts w:asciiTheme="minorEastAsia" w:eastAsiaTheme="minorEastAsia" w:hAnsiTheme="minorEastAsia"/>
          <w:color w:val="000000"/>
          <w:sz w:val="24"/>
          <w:szCs w:val="24"/>
        </w:rPr>
        <w:t>2021年</w:t>
      </w:r>
      <w:r w:rsidR="005B4EA5">
        <w:rPr>
          <w:rFonts w:asciiTheme="minorEastAsia" w:eastAsiaTheme="minorEastAsia" w:hAnsiTheme="minorEastAsia"/>
          <w:color w:val="000000"/>
          <w:sz w:val="24"/>
          <w:szCs w:val="24"/>
        </w:rPr>
        <w:t>6</w:t>
      </w:r>
      <w:r w:rsidR="00503647">
        <w:rPr>
          <w:rFonts w:asciiTheme="minorEastAsia" w:eastAsiaTheme="minorEastAsia" w:hAnsiTheme="minorEastAsia"/>
          <w:color w:val="000000"/>
          <w:sz w:val="24"/>
          <w:szCs w:val="24"/>
        </w:rPr>
        <w:t>月</w:t>
      </w:r>
      <w:r w:rsidR="005B4EA5">
        <w:rPr>
          <w:rFonts w:asciiTheme="minorEastAsia" w:eastAsiaTheme="minorEastAsia" w:hAnsiTheme="minorEastAsia"/>
          <w:color w:val="000000"/>
          <w:sz w:val="24"/>
          <w:szCs w:val="24"/>
        </w:rPr>
        <w:t>16</w:t>
      </w:r>
      <w:r w:rsidR="00503647">
        <w:rPr>
          <w:rFonts w:asciiTheme="minorEastAsia" w:eastAsiaTheme="minorEastAsia" w:hAnsiTheme="minorEastAsia"/>
          <w:color w:val="000000"/>
          <w:sz w:val="24"/>
          <w:szCs w:val="24"/>
        </w:rPr>
        <w:t>日</w:t>
      </w:r>
      <w:r w:rsidRPr="008C44D2">
        <w:rPr>
          <w:rFonts w:asciiTheme="minorEastAsia" w:eastAsiaTheme="minorEastAsia" w:hAnsiTheme="minorEastAsia" w:hint="eastAsia"/>
          <w:color w:val="000000"/>
          <w:sz w:val="24"/>
          <w:szCs w:val="24"/>
        </w:rPr>
        <w:t>起开放申购、转换转入和定期定额投资业务，</w:t>
      </w:r>
      <w:r w:rsidR="00E23603" w:rsidRPr="00E23603">
        <w:rPr>
          <w:rFonts w:asciiTheme="minorEastAsia" w:eastAsiaTheme="minorEastAsia" w:hAnsiTheme="minorEastAsia" w:hint="eastAsia"/>
          <w:color w:val="000000"/>
          <w:sz w:val="24"/>
          <w:szCs w:val="24"/>
        </w:rPr>
        <w:t>对于</w:t>
      </w:r>
      <w:r w:rsidR="00E23603">
        <w:rPr>
          <w:rFonts w:asciiTheme="minorEastAsia" w:eastAsiaTheme="minorEastAsia" w:hAnsiTheme="minorEastAsia" w:hint="eastAsia"/>
          <w:color w:val="000000"/>
          <w:sz w:val="24"/>
          <w:szCs w:val="24"/>
        </w:rPr>
        <w:t>当日</w:t>
      </w:r>
      <w:r w:rsidR="00E23603" w:rsidRPr="00E23603">
        <w:rPr>
          <w:rFonts w:asciiTheme="minorEastAsia" w:eastAsiaTheme="minorEastAsia" w:hAnsiTheme="minorEastAsia" w:hint="eastAsia"/>
          <w:color w:val="000000"/>
          <w:sz w:val="24"/>
          <w:szCs w:val="24"/>
        </w:rPr>
        <w:t>申购、转换转入和定期定额投资的份额而言，基金份额持有人仅可在每笔申购的基金份额最短持有期限届满后的交易时间内申请赎回和转换转出。</w:t>
      </w:r>
      <w:r w:rsidR="00450DB3">
        <w:rPr>
          <w:rFonts w:asciiTheme="minorEastAsia" w:eastAsiaTheme="minorEastAsia" w:hAnsiTheme="minorEastAsia" w:hint="eastAsia"/>
          <w:color w:val="000000"/>
          <w:sz w:val="24"/>
          <w:szCs w:val="24"/>
        </w:rPr>
        <w:t>以</w:t>
      </w:r>
      <w:r w:rsidRPr="008C44D2">
        <w:rPr>
          <w:rFonts w:asciiTheme="minorEastAsia" w:eastAsiaTheme="minorEastAsia" w:hAnsiTheme="minorEastAsia" w:hint="eastAsia"/>
          <w:color w:val="000000"/>
          <w:sz w:val="24"/>
          <w:szCs w:val="24"/>
        </w:rPr>
        <w:t>此类推，投资者申购的每份基金份额以其申购申请确认日为最短持有期起始日，投资者可自该基金份额的最短持有期到期日（含该日）起对该基金份额提出赎回或转换转出申请，请投资者关注持有份额的到期日。如果投资人多次申购本基金，则其持有的每一份基金份额的最短持有期到期日可能不同。</w:t>
      </w:r>
    </w:p>
    <w:p w14:paraId="7776C2D0" w14:textId="1031B5A3" w:rsidR="008C44D2" w:rsidRDefault="008C44D2" w:rsidP="008C44D2">
      <w:pPr>
        <w:spacing w:line="360" w:lineRule="auto"/>
        <w:ind w:firstLineChars="200" w:firstLine="480"/>
        <w:rPr>
          <w:rFonts w:asciiTheme="minorEastAsia" w:eastAsiaTheme="minorEastAsia" w:hAnsiTheme="minorEastAsia"/>
          <w:color w:val="000000"/>
          <w:sz w:val="24"/>
          <w:szCs w:val="24"/>
        </w:rPr>
      </w:pPr>
      <w:r w:rsidRPr="008C44D2">
        <w:rPr>
          <w:rFonts w:asciiTheme="minorEastAsia" w:eastAsiaTheme="minorEastAsia" w:hAnsiTheme="minorEastAsia" w:hint="eastAsia"/>
          <w:color w:val="000000"/>
          <w:sz w:val="24"/>
          <w:szCs w:val="24"/>
        </w:rPr>
        <w:t>本基金日常业务的</w:t>
      </w:r>
      <w:r w:rsidR="00136334" w:rsidRPr="00136334">
        <w:rPr>
          <w:rFonts w:asciiTheme="minorEastAsia" w:eastAsiaTheme="minorEastAsia" w:hAnsiTheme="minorEastAsia" w:hint="eastAsia"/>
          <w:color w:val="000000"/>
          <w:sz w:val="24"/>
          <w:szCs w:val="24"/>
        </w:rPr>
        <w:t>具体办理时间</w:t>
      </w:r>
      <w:r w:rsidR="005B4EA5" w:rsidRPr="005B4EA5">
        <w:rPr>
          <w:rFonts w:asciiTheme="minorEastAsia" w:eastAsiaTheme="minorEastAsia" w:hAnsiTheme="minorEastAsia" w:hint="eastAsia"/>
          <w:color w:val="000000"/>
          <w:sz w:val="24"/>
          <w:szCs w:val="24"/>
        </w:rPr>
        <w:t>上海证券交易所、深圳证券交易所及相关期货交易所的正常交易日的交易时间（若本基金参与港股通交易且该工作日为非港</w:t>
      </w:r>
      <w:r w:rsidR="005B4EA5" w:rsidRPr="005B4EA5">
        <w:rPr>
          <w:rFonts w:asciiTheme="minorEastAsia" w:eastAsiaTheme="minorEastAsia" w:hAnsiTheme="minorEastAsia" w:hint="eastAsia"/>
          <w:color w:val="000000"/>
          <w:sz w:val="24"/>
          <w:szCs w:val="24"/>
        </w:rPr>
        <w:lastRenderedPageBreak/>
        <w:t>股通交易日时，则基金管理人可根据实际情况决定本基金是否开放申购、赎回及转换业务，具体以届时提前发布的公告为准），但基金管理人根据法律法规、中国证监会的要求或基金合同的规定公告暂停申购、赎回时除外</w:t>
      </w:r>
      <w:r w:rsidRPr="008C44D2">
        <w:rPr>
          <w:rFonts w:asciiTheme="minorEastAsia" w:eastAsiaTheme="minorEastAsia" w:hAnsiTheme="minorEastAsia" w:hint="eastAsia"/>
          <w:color w:val="000000"/>
          <w:sz w:val="24"/>
          <w:szCs w:val="24"/>
        </w:rPr>
        <w:t>。</w:t>
      </w:r>
    </w:p>
    <w:p w14:paraId="7F229301" w14:textId="77F8D5FE" w:rsidR="00752A9C" w:rsidRPr="00000864" w:rsidRDefault="00136334" w:rsidP="00F677BD">
      <w:pPr>
        <w:spacing w:line="360" w:lineRule="auto"/>
        <w:ind w:firstLineChars="200" w:firstLine="480"/>
        <w:rPr>
          <w:rFonts w:asciiTheme="minorEastAsia" w:eastAsiaTheme="minorEastAsia" w:hAnsiTheme="minorEastAsia"/>
          <w:color w:val="000000"/>
          <w:sz w:val="24"/>
          <w:szCs w:val="24"/>
        </w:rPr>
      </w:pPr>
      <w:r w:rsidRPr="00136334">
        <w:rPr>
          <w:rFonts w:asciiTheme="minorEastAsia" w:eastAsiaTheme="minorEastAsia" w:hAnsiTheme="minorEastAsia" w:hint="eastAsia"/>
          <w:color w:val="000000"/>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r w:rsidR="00AC6E8D" w:rsidRPr="00000864">
        <w:rPr>
          <w:rFonts w:asciiTheme="minorEastAsia" w:eastAsiaTheme="minorEastAsia" w:hAnsiTheme="minorEastAsia" w:hint="eastAsia"/>
          <w:color w:val="000000"/>
          <w:sz w:val="24"/>
          <w:szCs w:val="24"/>
        </w:rPr>
        <w:t>。</w:t>
      </w:r>
    </w:p>
    <w:p w14:paraId="6C6E87F2" w14:textId="6CC58092"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3" w:name="_Toc275961397"/>
      <w:r w:rsidRPr="00000864">
        <w:rPr>
          <w:rFonts w:asciiTheme="minorEastAsia" w:eastAsiaTheme="minorEastAsia" w:hAnsiTheme="minorEastAsia"/>
          <w:bCs w:val="0"/>
          <w:color w:val="000000"/>
          <w:sz w:val="24"/>
          <w:szCs w:val="24"/>
        </w:rPr>
        <w:t>3 日常</w:t>
      </w:r>
      <w:r w:rsidR="00E23603">
        <w:rPr>
          <w:rFonts w:asciiTheme="minorEastAsia" w:eastAsiaTheme="minorEastAsia" w:hAnsiTheme="minorEastAsia" w:hint="eastAsia"/>
          <w:bCs w:val="0"/>
          <w:color w:val="000000"/>
          <w:sz w:val="24"/>
          <w:szCs w:val="24"/>
        </w:rPr>
        <w:t>赎回</w:t>
      </w:r>
      <w:r w:rsidRPr="00000864">
        <w:rPr>
          <w:rFonts w:asciiTheme="minorEastAsia" w:eastAsiaTheme="minorEastAsia" w:hAnsiTheme="minorEastAsia"/>
          <w:bCs w:val="0"/>
          <w:color w:val="000000"/>
          <w:sz w:val="24"/>
          <w:szCs w:val="24"/>
        </w:rPr>
        <w:t>业务</w:t>
      </w:r>
      <w:bookmarkEnd w:id="3"/>
    </w:p>
    <w:p w14:paraId="67622F0C" w14:textId="7DE2A6B4" w:rsidR="00752A9C" w:rsidRPr="00000864" w:rsidRDefault="00752A9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b/>
          <w:color w:val="000000"/>
          <w:sz w:val="24"/>
          <w:szCs w:val="24"/>
        </w:rPr>
        <w:t xml:space="preserve">3.1 </w:t>
      </w:r>
      <w:r w:rsidR="00E23603">
        <w:rPr>
          <w:rFonts w:asciiTheme="minorEastAsia" w:eastAsiaTheme="minorEastAsia" w:hAnsiTheme="minorEastAsia" w:hint="eastAsia"/>
          <w:b/>
          <w:color w:val="000000"/>
          <w:sz w:val="24"/>
          <w:szCs w:val="24"/>
        </w:rPr>
        <w:t>赎回</w:t>
      </w:r>
      <w:r w:rsidRPr="00000864">
        <w:rPr>
          <w:rFonts w:asciiTheme="minorEastAsia" w:eastAsiaTheme="minorEastAsia" w:hAnsiTheme="minorEastAsia"/>
          <w:b/>
          <w:color w:val="000000"/>
          <w:sz w:val="24"/>
          <w:szCs w:val="24"/>
        </w:rPr>
        <w:t>金额限制</w:t>
      </w:r>
    </w:p>
    <w:p w14:paraId="5619A818" w14:textId="7318C07D" w:rsidR="00752A9C" w:rsidRDefault="00056271" w:rsidP="003A2494">
      <w:pPr>
        <w:spacing w:line="360" w:lineRule="auto"/>
        <w:ind w:firstLineChars="200" w:firstLine="480"/>
        <w:rPr>
          <w:rFonts w:asciiTheme="minorEastAsia" w:eastAsiaTheme="minorEastAsia" w:hAnsiTheme="minorEastAsia"/>
          <w:color w:val="000000"/>
          <w:sz w:val="24"/>
          <w:szCs w:val="24"/>
        </w:rPr>
      </w:pPr>
      <w:r w:rsidRPr="00056271">
        <w:rPr>
          <w:rFonts w:asciiTheme="minorEastAsia" w:eastAsiaTheme="minorEastAsia" w:hAnsiTheme="minorEastAsia" w:hint="eastAsia"/>
          <w:color w:val="000000"/>
          <w:sz w:val="24"/>
          <w:szCs w:val="24"/>
        </w:rPr>
        <w:t>每个交易账户最低持有基金份额余额为10份，若某笔赎回导致单个交易账户的某一类别基金份额余额少于10份时，该类基金份额余额部分基金份额必须一同赎回</w:t>
      </w:r>
      <w:r w:rsidR="00AC6E8D" w:rsidRPr="00000864">
        <w:rPr>
          <w:rFonts w:asciiTheme="minorEastAsia" w:eastAsiaTheme="minorEastAsia" w:hAnsiTheme="minorEastAsia" w:hint="eastAsia"/>
          <w:color w:val="000000"/>
          <w:sz w:val="24"/>
          <w:szCs w:val="24"/>
        </w:rPr>
        <w:t>。</w:t>
      </w:r>
    </w:p>
    <w:p w14:paraId="0CD9B376" w14:textId="2FB86560" w:rsidR="00E23603" w:rsidRPr="00000864" w:rsidRDefault="00056271" w:rsidP="003A2494">
      <w:pPr>
        <w:spacing w:line="360" w:lineRule="auto"/>
        <w:ind w:firstLineChars="200" w:firstLine="480"/>
        <w:rPr>
          <w:rFonts w:asciiTheme="minorEastAsia" w:eastAsiaTheme="minorEastAsia" w:hAnsiTheme="minorEastAsia"/>
          <w:color w:val="000000"/>
          <w:sz w:val="24"/>
          <w:szCs w:val="24"/>
        </w:rPr>
      </w:pPr>
      <w:r w:rsidRPr="00056271">
        <w:rPr>
          <w:rFonts w:asciiTheme="minorEastAsia" w:eastAsiaTheme="minorEastAsia" w:hAnsiTheme="minorEastAsia" w:hint="eastAsia"/>
          <w:color w:val="000000"/>
          <w:sz w:val="24"/>
          <w:szCs w:val="24"/>
        </w:rPr>
        <w:t>投资人通过销售机构赎回基金份额时，本基金单笔某一类份额赎回申请不得低于10份，若投资者单个交易账户持有的某类基金份额余额不足10份，将不受此限制，但投资者在提交赎回申请时须将该类基金份额全部赎回。各销售机构在符合上述规定的前提下，可根据自己的情况调整单笔赎回申请限制，具体以销售机构公布的为准，投资人需遵循销售机构的相关规定</w:t>
      </w:r>
      <w:r w:rsidR="00E23603" w:rsidRPr="00E23603">
        <w:rPr>
          <w:rFonts w:asciiTheme="minorEastAsia" w:eastAsiaTheme="minorEastAsia" w:hAnsiTheme="minorEastAsia" w:hint="eastAsia"/>
          <w:color w:val="000000"/>
          <w:sz w:val="24"/>
          <w:szCs w:val="24"/>
        </w:rPr>
        <w:t>。</w:t>
      </w:r>
    </w:p>
    <w:p w14:paraId="31528A4B" w14:textId="754F8C71" w:rsidR="00752A9C" w:rsidRPr="00000864" w:rsidRDefault="008E273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w:t>
      </w:r>
      <w:r w:rsidR="00E23603">
        <w:rPr>
          <w:rFonts w:asciiTheme="minorEastAsia" w:eastAsiaTheme="minorEastAsia" w:hAnsiTheme="minorEastAsia" w:hint="eastAsia"/>
          <w:b/>
          <w:color w:val="000000"/>
          <w:sz w:val="24"/>
          <w:szCs w:val="24"/>
        </w:rPr>
        <w:t>赎回</w:t>
      </w:r>
      <w:r w:rsidR="00752A9C" w:rsidRPr="00000864">
        <w:rPr>
          <w:rFonts w:asciiTheme="minorEastAsia" w:eastAsiaTheme="minorEastAsia" w:hAnsiTheme="minorEastAsia"/>
          <w:b/>
          <w:color w:val="000000"/>
          <w:sz w:val="24"/>
          <w:szCs w:val="24"/>
        </w:rPr>
        <w:t>费率</w:t>
      </w:r>
    </w:p>
    <w:p w14:paraId="5A27CEA9" w14:textId="56F84AF0" w:rsidR="00136334" w:rsidRDefault="00CB4750" w:rsidP="00C47148">
      <w:pPr>
        <w:pStyle w:val="HD"/>
        <w:ind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投资人需至少持有本基金基金份额满六个月</w:t>
      </w:r>
      <w:r w:rsidRPr="00CB4750">
        <w:rPr>
          <w:rFonts w:asciiTheme="minorEastAsia" w:eastAsiaTheme="minorEastAsia" w:hAnsiTheme="minorEastAsia" w:hint="eastAsia"/>
          <w:color w:val="000000"/>
          <w:sz w:val="24"/>
          <w:szCs w:val="24"/>
        </w:rPr>
        <w:t>，在六个月持有期内不能提出赎回申请，持有满</w:t>
      </w:r>
      <w:r>
        <w:rPr>
          <w:rFonts w:asciiTheme="minorEastAsia" w:eastAsiaTheme="minorEastAsia" w:hAnsiTheme="minorEastAsia" w:hint="eastAsia"/>
          <w:color w:val="000000"/>
          <w:sz w:val="24"/>
          <w:szCs w:val="24"/>
        </w:rPr>
        <w:t>六个月</w:t>
      </w:r>
      <w:r w:rsidRPr="00CB4750">
        <w:rPr>
          <w:rFonts w:asciiTheme="minorEastAsia" w:eastAsiaTheme="minorEastAsia" w:hAnsiTheme="minorEastAsia" w:hint="eastAsia"/>
          <w:color w:val="000000"/>
          <w:sz w:val="24"/>
          <w:szCs w:val="24"/>
        </w:rPr>
        <w:t>后赎回不收取赎回费用。</w:t>
      </w:r>
    </w:p>
    <w:p w14:paraId="5B1ED420" w14:textId="17D0A9B3"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 xml:space="preserve"> 其他与</w:t>
      </w:r>
      <w:r w:rsidR="00E23603">
        <w:rPr>
          <w:rFonts w:asciiTheme="minorEastAsia" w:eastAsiaTheme="minorEastAsia" w:hAnsiTheme="minorEastAsia" w:hint="eastAsia"/>
          <w:b/>
          <w:color w:val="000000"/>
          <w:sz w:val="24"/>
          <w:szCs w:val="24"/>
        </w:rPr>
        <w:t>赎回</w:t>
      </w:r>
      <w:r w:rsidR="00752A9C" w:rsidRPr="00000864">
        <w:rPr>
          <w:rFonts w:asciiTheme="minorEastAsia" w:eastAsiaTheme="minorEastAsia" w:hAnsiTheme="minorEastAsia"/>
          <w:b/>
          <w:color w:val="000000"/>
          <w:sz w:val="24"/>
          <w:szCs w:val="24"/>
        </w:rPr>
        <w:t>相关的事项</w:t>
      </w:r>
    </w:p>
    <w:p w14:paraId="48BCC650" w14:textId="51F55FCA" w:rsidR="00003464" w:rsidRDefault="00051BBF" w:rsidP="00254724">
      <w:pPr>
        <w:spacing w:line="360" w:lineRule="auto"/>
        <w:ind w:firstLineChars="15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1） 基金管理人可根据市场情况，在法律法规允许的情况下，调整申购金额的数量限制，基金管理人必须在调整实施前依照《信息披露办法》的有关规定在</w:t>
      </w:r>
      <w:r w:rsidR="001547D2">
        <w:rPr>
          <w:rFonts w:asciiTheme="minorEastAsia" w:eastAsiaTheme="minorEastAsia" w:hAnsiTheme="minorEastAsia" w:hint="eastAsia"/>
          <w:color w:val="000000"/>
          <w:sz w:val="24"/>
          <w:szCs w:val="24"/>
        </w:rPr>
        <w:t>规定</w:t>
      </w:r>
      <w:r w:rsidR="002B2510">
        <w:rPr>
          <w:rFonts w:asciiTheme="minorEastAsia" w:eastAsiaTheme="minorEastAsia" w:hAnsiTheme="minorEastAsia"/>
          <w:color w:val="000000"/>
          <w:sz w:val="24"/>
          <w:szCs w:val="24"/>
        </w:rPr>
        <w:t>媒介上公告；</w:t>
      </w:r>
    </w:p>
    <w:p w14:paraId="0D10BA1E" w14:textId="4D68B9E6" w:rsidR="00752A9C" w:rsidRPr="00000864" w:rsidRDefault="00051BBF" w:rsidP="00254724">
      <w:pPr>
        <w:spacing w:line="360" w:lineRule="auto"/>
        <w:ind w:firstLineChars="15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EE4694" w:rsidRPr="00000864">
        <w:rPr>
          <w:rFonts w:asciiTheme="minorEastAsia" w:eastAsiaTheme="minorEastAsia" w:hAnsiTheme="minorEastAsia"/>
          <w:color w:val="000000"/>
          <w:sz w:val="24"/>
          <w:szCs w:val="24"/>
        </w:rPr>
        <w:t>2）基金管理人可以在《基金合同》约定的范围内调整申购费率或收费方式，并最迟应于新的费率或收费方式实施日前依照《信息披露办法》的有关规定在</w:t>
      </w:r>
      <w:r w:rsidR="001547D2">
        <w:rPr>
          <w:rFonts w:asciiTheme="minorEastAsia" w:eastAsiaTheme="minorEastAsia" w:hAnsiTheme="minorEastAsia" w:hint="eastAsia"/>
          <w:color w:val="000000"/>
          <w:sz w:val="24"/>
          <w:szCs w:val="24"/>
        </w:rPr>
        <w:t>规定</w:t>
      </w:r>
      <w:r w:rsidR="00EE4694" w:rsidRPr="00000864">
        <w:rPr>
          <w:rFonts w:asciiTheme="minorEastAsia" w:eastAsiaTheme="minorEastAsia" w:hAnsiTheme="minorEastAsia"/>
          <w:color w:val="000000"/>
          <w:sz w:val="24"/>
          <w:szCs w:val="24"/>
        </w:rPr>
        <w:t>媒介公告。</w:t>
      </w:r>
    </w:p>
    <w:p w14:paraId="725E07A8" w14:textId="653F7383" w:rsidR="00752A9C" w:rsidRPr="00000864" w:rsidRDefault="003A2494" w:rsidP="00752A9C">
      <w:pPr>
        <w:pStyle w:val="2"/>
        <w:spacing w:line="560" w:lineRule="exact"/>
        <w:rPr>
          <w:rFonts w:asciiTheme="minorEastAsia" w:eastAsiaTheme="minorEastAsia" w:hAnsiTheme="minorEastAsia"/>
          <w:bCs w:val="0"/>
          <w:color w:val="000000"/>
          <w:sz w:val="24"/>
          <w:szCs w:val="24"/>
        </w:rPr>
      </w:pPr>
      <w:bookmarkStart w:id="4" w:name="_Toc275961399"/>
      <w:r>
        <w:rPr>
          <w:rFonts w:asciiTheme="minorEastAsia" w:eastAsiaTheme="minorEastAsia" w:hAnsiTheme="minorEastAsia" w:hint="eastAsia"/>
          <w:bCs w:val="0"/>
          <w:color w:val="000000"/>
          <w:sz w:val="24"/>
          <w:szCs w:val="24"/>
        </w:rPr>
        <w:lastRenderedPageBreak/>
        <w:t>4</w:t>
      </w:r>
      <w:r w:rsidR="00752A9C" w:rsidRPr="00000864">
        <w:rPr>
          <w:rFonts w:asciiTheme="minorEastAsia" w:eastAsiaTheme="minorEastAsia" w:hAnsiTheme="minorEastAsia"/>
          <w:bCs w:val="0"/>
          <w:color w:val="000000"/>
          <w:sz w:val="24"/>
          <w:szCs w:val="24"/>
        </w:rPr>
        <w:t xml:space="preserve"> 日常转换业务</w:t>
      </w:r>
      <w:bookmarkEnd w:id="4"/>
    </w:p>
    <w:p w14:paraId="1C58AF9F" w14:textId="73E1B0F8" w:rsidR="00752A9C" w:rsidRPr="00000864" w:rsidRDefault="003A2494"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sidR="00752A9C" w:rsidRPr="00000864">
        <w:rPr>
          <w:rFonts w:asciiTheme="minorEastAsia" w:eastAsiaTheme="minorEastAsia" w:hAnsiTheme="minorEastAsia"/>
          <w:b/>
          <w:color w:val="000000"/>
          <w:sz w:val="24"/>
          <w:szCs w:val="24"/>
        </w:rPr>
        <w:t>.</w:t>
      </w:r>
      <w:r w:rsidR="006279F3"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转换费率</w:t>
      </w:r>
    </w:p>
    <w:p w14:paraId="11561658" w14:textId="77777777" w:rsidR="00752A9C" w:rsidRPr="00000864" w:rsidRDefault="006279F3" w:rsidP="00F677BD">
      <w:pPr>
        <w:spacing w:line="360" w:lineRule="auto"/>
        <w:ind w:firstLineChars="200" w:firstLine="480"/>
        <w:rPr>
          <w:rFonts w:asciiTheme="minorEastAsia" w:eastAsiaTheme="minorEastAsia" w:hAnsiTheme="minorEastAsia"/>
          <w:color w:val="000000"/>
          <w:sz w:val="24"/>
          <w:szCs w:val="24"/>
        </w:rPr>
      </w:pPr>
      <w:r w:rsidRPr="00AD12D5">
        <w:rPr>
          <w:rFonts w:asciiTheme="minorEastAsia" w:eastAsiaTheme="minorEastAsia" w:hAnsiTheme="minorEastAsia"/>
          <w:color w:val="000000"/>
          <w:sz w:val="24"/>
          <w:szCs w:val="24"/>
        </w:rPr>
        <w:t>基金转换费用由转出基金赎回费和申购费补差两部分构成，其中：申购费补差具体收取情况，视每次转换时的两只基金的申购费率的差异情况而定。基金转换费用由基金持有人承担。</w:t>
      </w:r>
    </w:p>
    <w:p w14:paraId="2EA3EE8F" w14:textId="4191FFDB" w:rsidR="00752A9C" w:rsidRPr="00000864" w:rsidRDefault="003A2494"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sidR="00D76587" w:rsidRPr="00000864">
        <w:rPr>
          <w:rFonts w:asciiTheme="minorEastAsia" w:eastAsiaTheme="minorEastAsia" w:hAnsiTheme="minorEastAsia"/>
          <w:b/>
          <w:color w:val="000000"/>
          <w:sz w:val="24"/>
          <w:szCs w:val="24"/>
        </w:rPr>
        <w:t>.</w:t>
      </w:r>
      <w:r w:rsidR="00D76587"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其他与转换相关的事项</w:t>
      </w:r>
    </w:p>
    <w:p w14:paraId="6203AD74" w14:textId="77777777" w:rsidR="00003464" w:rsidRDefault="00051BBF" w:rsidP="00051B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 xml:space="preserve">1）业务规则 </w:t>
      </w:r>
    </w:p>
    <w:p w14:paraId="42221C3F"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2B2510">
        <w:rPr>
          <w:rFonts w:asciiTheme="minorEastAsia" w:eastAsiaTheme="minorEastAsia" w:hAnsiTheme="minorEastAsia"/>
          <w:color w:val="000000"/>
          <w:sz w:val="24"/>
          <w:szCs w:val="24"/>
        </w:rPr>
        <w:t xml:space="preserve">基金转换只能在同一销售机构进行。转换的两只基金必须都是该销售机构代理的同一基金管理人管理的、在同一注册登记机构处注册登记的基金。 </w:t>
      </w:r>
    </w:p>
    <w:p w14:paraId="31A28650"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2B2510">
        <w:rPr>
          <w:rFonts w:asciiTheme="minorEastAsia" w:eastAsiaTheme="minorEastAsia" w:hAnsiTheme="minorEastAsia"/>
          <w:color w:val="000000"/>
          <w:sz w:val="24"/>
          <w:szCs w:val="24"/>
        </w:rPr>
        <w:t>前端收费模式的开放式基金只能转换到前端收费模式的其它基金（申购费为零的基金视同为前端收费模式），后端收费模式的基金可以转换到前端或后端收费模式的其它基金，非QDII基金不能与QDII基金进行互转。</w:t>
      </w:r>
    </w:p>
    <w:p w14:paraId="43077458"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2B2510">
        <w:rPr>
          <w:rFonts w:asciiTheme="minorEastAsia" w:eastAsiaTheme="minorEastAsia" w:hAnsiTheme="minorEastAsia"/>
          <w:color w:val="000000"/>
          <w:sz w:val="24"/>
          <w:szCs w:val="24"/>
        </w:rPr>
        <w:t>基金转换的目标基金份额按新交易计算持有时间。基金转出视为赎回，转入视为申购。基金转换后可赎回的时间为T＋2日。</w:t>
      </w:r>
    </w:p>
    <w:p w14:paraId="1007202D"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002B2510">
        <w:rPr>
          <w:rFonts w:asciiTheme="minorEastAsia" w:eastAsiaTheme="minorEastAsia" w:hAnsiTheme="minorEastAsia"/>
          <w:color w:val="000000"/>
          <w:sz w:val="24"/>
          <w:szCs w:val="24"/>
        </w:rPr>
        <w:t>基金分红时再投资的份额可在权益登记日的T＋2日提交基金转换申请。</w:t>
      </w:r>
    </w:p>
    <w:p w14:paraId="7C6A0768"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5） </w:t>
      </w:r>
      <w:r w:rsidR="002B2510">
        <w:rPr>
          <w:rFonts w:asciiTheme="minorEastAsia" w:eastAsiaTheme="minorEastAsia" w:hAnsiTheme="minorEastAsia"/>
          <w:color w:val="000000"/>
          <w:sz w:val="24"/>
          <w:szCs w:val="24"/>
        </w:rPr>
        <w:t xml:space="preserve">基金转换以申请当日基金份额净值为基础计算。投资者采用“份额转换”的原则提交申请。转出基金份额必须是可用份额，并遵循“先进先出”的原则。 </w:t>
      </w:r>
    </w:p>
    <w:p w14:paraId="0AAB0F4E" w14:textId="77777777" w:rsidR="00003464" w:rsidRDefault="00051BBF" w:rsidP="00051B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2）暂停基金转换的情形及处理</w:t>
      </w:r>
    </w:p>
    <w:p w14:paraId="5F76D3D0" w14:textId="77777777"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基金转换视同为转出基金的赎回和转入基金的申购，因此有关转出基金和转入基金暂停或拒绝申购、暂停赎回的有关规定适用于基金转换。</w:t>
      </w:r>
    </w:p>
    <w:p w14:paraId="6CA8C068" w14:textId="77777777"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出现法律、法规、规章规定的其它情形或其它在《基金合同》、《招募说明书》已载明并获中国证监会批准的特殊情形时，基金管理人可以暂停基金转换业务。</w:t>
      </w:r>
    </w:p>
    <w:p w14:paraId="20EA3A90" w14:textId="77777777" w:rsidR="00003464" w:rsidRDefault="00051BBF" w:rsidP="00051B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3）重要提示</w:t>
      </w:r>
    </w:p>
    <w:p w14:paraId="54D565A0" w14:textId="500F1C23"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8C0763" w:rsidRPr="008C0763">
        <w:rPr>
          <w:rFonts w:asciiTheme="minorEastAsia" w:eastAsiaTheme="minorEastAsia" w:hAnsiTheme="minorEastAsia" w:hint="eastAsia"/>
          <w:color w:val="000000"/>
          <w:sz w:val="24"/>
          <w:szCs w:val="24"/>
        </w:rPr>
        <w:t>本基金转换业务适用于可以销售包括本基金在内的两只以上（含两只），且基金注册登记机构为同一机构的博时旗下基金的销售机构</w:t>
      </w:r>
      <w:r w:rsidR="002B2510">
        <w:rPr>
          <w:rFonts w:asciiTheme="minorEastAsia" w:eastAsiaTheme="minorEastAsia" w:hAnsiTheme="minorEastAsia"/>
          <w:color w:val="000000"/>
          <w:sz w:val="24"/>
          <w:szCs w:val="24"/>
        </w:rPr>
        <w:t>。</w:t>
      </w:r>
    </w:p>
    <w:p w14:paraId="19A897A0"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2B2510">
        <w:rPr>
          <w:rFonts w:asciiTheme="minorEastAsia" w:eastAsiaTheme="minorEastAsia" w:hAnsiTheme="minorEastAsia"/>
          <w:color w:val="000000"/>
          <w:sz w:val="24"/>
          <w:szCs w:val="24"/>
        </w:rPr>
        <w:t>转换业务的收费计算公式及举例参见2010年3月16日刊登于本公司网站的《博时基金管理有限公司关于旗下开放式基金转换业务的公告》。</w:t>
      </w:r>
    </w:p>
    <w:p w14:paraId="73CD8933" w14:textId="77777777" w:rsidR="00752A9C" w:rsidRPr="00000864" w:rsidRDefault="00051BBF" w:rsidP="00F677BD">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D76587" w:rsidRPr="00000864">
        <w:rPr>
          <w:rFonts w:asciiTheme="minorEastAsia" w:eastAsiaTheme="minorEastAsia" w:hAnsiTheme="minorEastAsia"/>
          <w:color w:val="000000"/>
          <w:sz w:val="24"/>
          <w:szCs w:val="24"/>
        </w:rPr>
        <w:t>本公司管理基金的转换业务的解释权归本公司。</w:t>
      </w:r>
    </w:p>
    <w:p w14:paraId="04022C8C" w14:textId="6408CBC9" w:rsidR="00752A9C" w:rsidRPr="00000864" w:rsidRDefault="00E23603" w:rsidP="00752A9C">
      <w:pPr>
        <w:pStyle w:val="2"/>
        <w:spacing w:line="560" w:lineRule="exact"/>
        <w:rPr>
          <w:rFonts w:asciiTheme="minorEastAsia" w:eastAsiaTheme="minorEastAsia" w:hAnsiTheme="minorEastAsia"/>
          <w:bCs w:val="0"/>
          <w:color w:val="000000"/>
          <w:sz w:val="24"/>
          <w:szCs w:val="24"/>
        </w:rPr>
      </w:pPr>
      <w:bookmarkStart w:id="5" w:name="_Toc275961401"/>
      <w:r>
        <w:rPr>
          <w:rFonts w:asciiTheme="minorEastAsia" w:eastAsiaTheme="minorEastAsia" w:hAnsiTheme="minorEastAsia"/>
          <w:bCs w:val="0"/>
          <w:color w:val="000000"/>
          <w:sz w:val="24"/>
          <w:szCs w:val="24"/>
        </w:rPr>
        <w:lastRenderedPageBreak/>
        <w:t>5</w:t>
      </w:r>
      <w:r w:rsidR="00752A9C" w:rsidRPr="00000864">
        <w:rPr>
          <w:rFonts w:asciiTheme="minorEastAsia" w:eastAsiaTheme="minorEastAsia" w:hAnsiTheme="minorEastAsia"/>
          <w:bCs w:val="0"/>
          <w:color w:val="000000"/>
          <w:sz w:val="24"/>
          <w:szCs w:val="24"/>
        </w:rPr>
        <w:t xml:space="preserve"> 基金销售机构</w:t>
      </w:r>
      <w:bookmarkEnd w:id="5"/>
    </w:p>
    <w:p w14:paraId="6273AD8E" w14:textId="374F6336" w:rsidR="00752A9C" w:rsidRPr="00000864" w:rsidRDefault="00E23603"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5</w:t>
      </w:r>
      <w:r w:rsidR="00752A9C" w:rsidRPr="00000864">
        <w:rPr>
          <w:rFonts w:asciiTheme="minorEastAsia" w:eastAsiaTheme="minorEastAsia" w:hAnsiTheme="minorEastAsia"/>
          <w:b/>
          <w:color w:val="000000"/>
          <w:sz w:val="24"/>
          <w:szCs w:val="24"/>
        </w:rPr>
        <w:t>.</w:t>
      </w:r>
      <w:r w:rsidR="00D76587"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场外销售机构</w:t>
      </w:r>
    </w:p>
    <w:p w14:paraId="0AD6115B" w14:textId="7B9DEA2D" w:rsidR="00752A9C" w:rsidRPr="00000864" w:rsidRDefault="00E23603"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5</w:t>
      </w:r>
      <w:r w:rsidR="005E7139" w:rsidRPr="00000864">
        <w:rPr>
          <w:rFonts w:asciiTheme="minorEastAsia" w:eastAsiaTheme="minorEastAsia" w:hAnsiTheme="minorEastAsia"/>
          <w:b/>
          <w:color w:val="000000"/>
          <w:sz w:val="24"/>
          <w:szCs w:val="24"/>
        </w:rPr>
        <w:t>.</w:t>
      </w:r>
      <w:r w:rsidR="005E7139"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w:t>
      </w:r>
      <w:r w:rsidR="005E7139"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直销机构</w:t>
      </w:r>
    </w:p>
    <w:p w14:paraId="516491B2" w14:textId="52A2E38A"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博时基金管理有限公司直销机构（含直销中心及直销网上交易）。投资者如需办理直销网上交易，可登录本公司网站www.bosera.com参阅《博时基金管理有限公司开放式基金业务规则》、《博时基金管理有限公司网上交易业务规则》、《博时基金管理有限公司直销定期投资业务规则》等办理相关开户、申购、赎回、转换</w:t>
      </w:r>
      <w:r w:rsidR="009C598E">
        <w:rPr>
          <w:rFonts w:asciiTheme="minorEastAsia" w:eastAsiaTheme="minorEastAsia" w:hAnsiTheme="minorEastAsia" w:hint="eastAsia"/>
          <w:color w:val="000000"/>
          <w:sz w:val="24"/>
          <w:szCs w:val="24"/>
        </w:rPr>
        <w:t>和</w:t>
      </w:r>
      <w:r w:rsidRPr="00000864">
        <w:rPr>
          <w:rFonts w:asciiTheme="minorEastAsia" w:eastAsiaTheme="minorEastAsia" w:hAnsiTheme="minorEastAsia"/>
          <w:color w:val="000000"/>
          <w:sz w:val="24"/>
          <w:szCs w:val="24"/>
        </w:rPr>
        <w:t>定期定额投资等业务。</w:t>
      </w:r>
    </w:p>
    <w:p w14:paraId="1A363800" w14:textId="57018537" w:rsidR="00752A9C" w:rsidRDefault="00E23603" w:rsidP="00752A9C">
      <w:pPr>
        <w:spacing w:line="560" w:lineRule="exact"/>
        <w:rPr>
          <w:rFonts w:asciiTheme="minorEastAsia" w:eastAsiaTheme="minorEastAsia" w:hAnsiTheme="minorEastAsia"/>
          <w:b/>
          <w:color w:val="000000"/>
          <w:sz w:val="24"/>
          <w:szCs w:val="24"/>
        </w:rPr>
      </w:pPr>
      <w:r w:rsidRPr="001513C0">
        <w:rPr>
          <w:rFonts w:asciiTheme="minorEastAsia" w:eastAsiaTheme="minorEastAsia" w:hAnsiTheme="minorEastAsia"/>
          <w:b/>
          <w:color w:val="000000"/>
          <w:sz w:val="24"/>
          <w:szCs w:val="24"/>
        </w:rPr>
        <w:t>5</w:t>
      </w:r>
      <w:r w:rsidR="005E7139" w:rsidRPr="001513C0">
        <w:rPr>
          <w:rFonts w:asciiTheme="minorEastAsia" w:eastAsiaTheme="minorEastAsia" w:hAnsiTheme="minorEastAsia"/>
          <w:b/>
          <w:color w:val="000000"/>
          <w:sz w:val="24"/>
          <w:szCs w:val="24"/>
        </w:rPr>
        <w:t>.1.2</w:t>
      </w:r>
      <w:r w:rsidR="00752A9C" w:rsidRPr="001513C0">
        <w:rPr>
          <w:rFonts w:asciiTheme="minorEastAsia" w:eastAsiaTheme="minorEastAsia" w:hAnsiTheme="minorEastAsia"/>
          <w:b/>
          <w:color w:val="000000"/>
          <w:sz w:val="24"/>
          <w:szCs w:val="24"/>
        </w:rPr>
        <w:t xml:space="preserve"> 场外非直销机构</w:t>
      </w:r>
    </w:p>
    <w:tbl>
      <w:tblPr>
        <w:tblW w:w="8926" w:type="dxa"/>
        <w:tblLook w:val="04A0" w:firstRow="1" w:lastRow="0" w:firstColumn="1" w:lastColumn="0" w:noHBand="0" w:noVBand="1"/>
      </w:tblPr>
      <w:tblGrid>
        <w:gridCol w:w="846"/>
        <w:gridCol w:w="3294"/>
        <w:gridCol w:w="1100"/>
        <w:gridCol w:w="1276"/>
        <w:gridCol w:w="1134"/>
        <w:gridCol w:w="1276"/>
      </w:tblGrid>
      <w:tr w:rsidR="004959B4" w:rsidRPr="004959B4" w14:paraId="6269F3F0" w14:textId="77777777" w:rsidTr="004959B4">
        <w:trPr>
          <w:trHeight w:val="45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654F2" w14:textId="77777777" w:rsidR="004959B4" w:rsidRPr="004959B4" w:rsidRDefault="004959B4" w:rsidP="004959B4">
            <w:pPr>
              <w:widowControl/>
              <w:jc w:val="center"/>
              <w:rPr>
                <w:rFonts w:asciiTheme="minorEastAsia" w:eastAsiaTheme="minorEastAsia" w:hAnsiTheme="minorEastAsia" w:cs="宋体"/>
                <w:b/>
                <w:bCs/>
                <w:color w:val="000000"/>
                <w:kern w:val="0"/>
                <w:sz w:val="21"/>
                <w:szCs w:val="18"/>
              </w:rPr>
            </w:pPr>
            <w:r w:rsidRPr="004959B4">
              <w:rPr>
                <w:rFonts w:asciiTheme="minorEastAsia" w:eastAsiaTheme="minorEastAsia" w:hAnsiTheme="minorEastAsia" w:cs="宋体" w:hint="eastAsia"/>
                <w:b/>
                <w:bCs/>
                <w:color w:val="000000"/>
                <w:kern w:val="0"/>
                <w:sz w:val="21"/>
                <w:szCs w:val="18"/>
              </w:rPr>
              <w:t>序号</w:t>
            </w:r>
          </w:p>
        </w:tc>
        <w:tc>
          <w:tcPr>
            <w:tcW w:w="3294" w:type="dxa"/>
            <w:tcBorders>
              <w:top w:val="single" w:sz="4" w:space="0" w:color="auto"/>
              <w:left w:val="nil"/>
              <w:bottom w:val="single" w:sz="4" w:space="0" w:color="auto"/>
              <w:right w:val="single" w:sz="4" w:space="0" w:color="auto"/>
            </w:tcBorders>
            <w:shd w:val="clear" w:color="000000" w:fill="FFFFFF"/>
            <w:vAlign w:val="center"/>
            <w:hideMark/>
          </w:tcPr>
          <w:p w14:paraId="7C156F9F" w14:textId="77777777" w:rsidR="004959B4" w:rsidRPr="004959B4" w:rsidRDefault="004959B4" w:rsidP="004959B4">
            <w:pPr>
              <w:widowControl/>
              <w:jc w:val="center"/>
              <w:rPr>
                <w:rFonts w:asciiTheme="minorEastAsia" w:eastAsiaTheme="minorEastAsia" w:hAnsiTheme="minorEastAsia" w:cs="宋体"/>
                <w:b/>
                <w:bCs/>
                <w:color w:val="000000"/>
                <w:kern w:val="0"/>
                <w:sz w:val="21"/>
                <w:szCs w:val="18"/>
              </w:rPr>
            </w:pPr>
            <w:r w:rsidRPr="004959B4">
              <w:rPr>
                <w:rFonts w:asciiTheme="minorEastAsia" w:eastAsiaTheme="minorEastAsia" w:hAnsiTheme="minorEastAsia" w:cs="宋体" w:hint="eastAsia"/>
                <w:b/>
                <w:bCs/>
                <w:color w:val="000000"/>
                <w:kern w:val="0"/>
                <w:sz w:val="21"/>
                <w:szCs w:val="18"/>
              </w:rPr>
              <w:t>销售机构</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5D68314D" w14:textId="77777777" w:rsidR="004959B4" w:rsidRPr="004959B4" w:rsidRDefault="004959B4" w:rsidP="004959B4">
            <w:pPr>
              <w:widowControl/>
              <w:jc w:val="center"/>
              <w:rPr>
                <w:rFonts w:asciiTheme="minorEastAsia" w:eastAsiaTheme="minorEastAsia" w:hAnsiTheme="minorEastAsia" w:cs="宋体"/>
                <w:b/>
                <w:bCs/>
                <w:color w:val="000000"/>
                <w:kern w:val="0"/>
                <w:sz w:val="21"/>
                <w:szCs w:val="18"/>
              </w:rPr>
            </w:pPr>
            <w:r w:rsidRPr="004959B4">
              <w:rPr>
                <w:rFonts w:asciiTheme="minorEastAsia" w:eastAsiaTheme="minorEastAsia" w:hAnsiTheme="minorEastAsia" w:cs="宋体" w:hint="eastAsia"/>
                <w:b/>
                <w:bCs/>
                <w:color w:val="000000"/>
                <w:kern w:val="0"/>
                <w:sz w:val="21"/>
                <w:szCs w:val="18"/>
              </w:rPr>
              <w:t>A类是否开通赎回</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13851A2" w14:textId="77777777" w:rsidR="004959B4" w:rsidRPr="004959B4" w:rsidRDefault="004959B4" w:rsidP="004959B4">
            <w:pPr>
              <w:widowControl/>
              <w:jc w:val="center"/>
              <w:rPr>
                <w:rFonts w:asciiTheme="minorEastAsia" w:eastAsiaTheme="minorEastAsia" w:hAnsiTheme="minorEastAsia" w:cs="宋体"/>
                <w:b/>
                <w:bCs/>
                <w:color w:val="000000"/>
                <w:kern w:val="0"/>
                <w:sz w:val="21"/>
                <w:szCs w:val="18"/>
              </w:rPr>
            </w:pPr>
            <w:r w:rsidRPr="004959B4">
              <w:rPr>
                <w:rFonts w:asciiTheme="minorEastAsia" w:eastAsiaTheme="minorEastAsia" w:hAnsiTheme="minorEastAsia" w:cs="宋体" w:hint="eastAsia"/>
                <w:b/>
                <w:bCs/>
                <w:color w:val="000000"/>
                <w:kern w:val="0"/>
                <w:sz w:val="21"/>
                <w:szCs w:val="18"/>
              </w:rPr>
              <w:t>A类是否开通转换转出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8A07496" w14:textId="77777777" w:rsidR="004959B4" w:rsidRPr="004959B4" w:rsidRDefault="004959B4" w:rsidP="004959B4">
            <w:pPr>
              <w:widowControl/>
              <w:jc w:val="center"/>
              <w:rPr>
                <w:rFonts w:asciiTheme="minorEastAsia" w:eastAsiaTheme="minorEastAsia" w:hAnsiTheme="minorEastAsia" w:cs="宋体"/>
                <w:b/>
                <w:bCs/>
                <w:color w:val="000000"/>
                <w:kern w:val="0"/>
                <w:sz w:val="21"/>
                <w:szCs w:val="18"/>
              </w:rPr>
            </w:pPr>
            <w:r w:rsidRPr="004959B4">
              <w:rPr>
                <w:rFonts w:asciiTheme="minorEastAsia" w:eastAsiaTheme="minorEastAsia" w:hAnsiTheme="minorEastAsia" w:cs="宋体" w:hint="eastAsia"/>
                <w:b/>
                <w:bCs/>
                <w:color w:val="000000"/>
                <w:kern w:val="0"/>
                <w:sz w:val="21"/>
                <w:szCs w:val="18"/>
              </w:rPr>
              <w:t>C类是否开通赎回</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EA59C4C" w14:textId="77777777" w:rsidR="004959B4" w:rsidRPr="004959B4" w:rsidRDefault="004959B4" w:rsidP="004959B4">
            <w:pPr>
              <w:widowControl/>
              <w:jc w:val="center"/>
              <w:rPr>
                <w:rFonts w:asciiTheme="minorEastAsia" w:eastAsiaTheme="minorEastAsia" w:hAnsiTheme="minorEastAsia" w:cs="宋体"/>
                <w:b/>
                <w:bCs/>
                <w:color w:val="000000"/>
                <w:kern w:val="0"/>
                <w:sz w:val="21"/>
                <w:szCs w:val="18"/>
              </w:rPr>
            </w:pPr>
            <w:r w:rsidRPr="004959B4">
              <w:rPr>
                <w:rFonts w:asciiTheme="minorEastAsia" w:eastAsiaTheme="minorEastAsia" w:hAnsiTheme="minorEastAsia" w:cs="宋体" w:hint="eastAsia"/>
                <w:b/>
                <w:bCs/>
                <w:color w:val="000000"/>
                <w:kern w:val="0"/>
                <w:sz w:val="21"/>
                <w:szCs w:val="18"/>
              </w:rPr>
              <w:t>C类是否开通转换转出</w:t>
            </w:r>
          </w:p>
        </w:tc>
      </w:tr>
      <w:tr w:rsidR="004959B4" w:rsidRPr="004959B4" w14:paraId="47D2223A"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5C0206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w:t>
            </w:r>
          </w:p>
        </w:tc>
        <w:tc>
          <w:tcPr>
            <w:tcW w:w="3294" w:type="dxa"/>
            <w:tcBorders>
              <w:top w:val="nil"/>
              <w:left w:val="nil"/>
              <w:bottom w:val="single" w:sz="4" w:space="0" w:color="auto"/>
              <w:right w:val="single" w:sz="4" w:space="0" w:color="auto"/>
            </w:tcBorders>
            <w:shd w:val="clear" w:color="auto" w:fill="auto"/>
            <w:noWrap/>
            <w:vAlign w:val="bottom"/>
            <w:hideMark/>
          </w:tcPr>
          <w:p w14:paraId="06A887B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中国光大银行股份有限公司</w:t>
            </w:r>
          </w:p>
        </w:tc>
        <w:tc>
          <w:tcPr>
            <w:tcW w:w="1100" w:type="dxa"/>
            <w:tcBorders>
              <w:top w:val="nil"/>
              <w:left w:val="nil"/>
              <w:bottom w:val="single" w:sz="4" w:space="0" w:color="auto"/>
              <w:right w:val="single" w:sz="4" w:space="0" w:color="auto"/>
            </w:tcBorders>
            <w:shd w:val="clear" w:color="auto" w:fill="auto"/>
            <w:noWrap/>
            <w:vAlign w:val="bottom"/>
            <w:hideMark/>
          </w:tcPr>
          <w:p w14:paraId="0A6BE92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bottom"/>
            <w:hideMark/>
          </w:tcPr>
          <w:p w14:paraId="68DB427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bottom"/>
            <w:hideMark/>
          </w:tcPr>
          <w:p w14:paraId="3E90F6B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bottom"/>
            <w:hideMark/>
          </w:tcPr>
          <w:p w14:paraId="5A569D0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6B7596FC"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377F65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w:t>
            </w:r>
          </w:p>
        </w:tc>
        <w:tc>
          <w:tcPr>
            <w:tcW w:w="3294" w:type="dxa"/>
            <w:tcBorders>
              <w:top w:val="nil"/>
              <w:left w:val="nil"/>
              <w:bottom w:val="single" w:sz="4" w:space="0" w:color="auto"/>
              <w:right w:val="single" w:sz="4" w:space="0" w:color="auto"/>
            </w:tcBorders>
            <w:shd w:val="clear" w:color="auto" w:fill="auto"/>
            <w:noWrap/>
            <w:vAlign w:val="bottom"/>
            <w:hideMark/>
          </w:tcPr>
          <w:p w14:paraId="0C33523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华夏银行股份有限公司</w:t>
            </w:r>
          </w:p>
        </w:tc>
        <w:tc>
          <w:tcPr>
            <w:tcW w:w="1100" w:type="dxa"/>
            <w:tcBorders>
              <w:top w:val="nil"/>
              <w:left w:val="nil"/>
              <w:bottom w:val="single" w:sz="4" w:space="0" w:color="auto"/>
              <w:right w:val="single" w:sz="4" w:space="0" w:color="auto"/>
            </w:tcBorders>
            <w:shd w:val="clear" w:color="auto" w:fill="auto"/>
            <w:noWrap/>
            <w:vAlign w:val="bottom"/>
            <w:hideMark/>
          </w:tcPr>
          <w:p w14:paraId="27E4AD5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bottom"/>
            <w:hideMark/>
          </w:tcPr>
          <w:p w14:paraId="0ADABB6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bottom"/>
            <w:hideMark/>
          </w:tcPr>
          <w:p w14:paraId="0453F4E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bottom"/>
            <w:hideMark/>
          </w:tcPr>
          <w:p w14:paraId="23E6E1E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64C89A4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92E3E9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w:t>
            </w:r>
          </w:p>
        </w:tc>
        <w:tc>
          <w:tcPr>
            <w:tcW w:w="3294" w:type="dxa"/>
            <w:tcBorders>
              <w:top w:val="nil"/>
              <w:left w:val="nil"/>
              <w:bottom w:val="single" w:sz="4" w:space="0" w:color="auto"/>
              <w:right w:val="single" w:sz="4" w:space="0" w:color="auto"/>
            </w:tcBorders>
            <w:shd w:val="clear" w:color="000000" w:fill="FFFFFF"/>
            <w:vAlign w:val="center"/>
            <w:hideMark/>
          </w:tcPr>
          <w:p w14:paraId="1E2479E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渤海银行股份有限公司</w:t>
            </w:r>
          </w:p>
        </w:tc>
        <w:tc>
          <w:tcPr>
            <w:tcW w:w="1100" w:type="dxa"/>
            <w:tcBorders>
              <w:top w:val="nil"/>
              <w:left w:val="nil"/>
              <w:bottom w:val="single" w:sz="4" w:space="0" w:color="auto"/>
              <w:right w:val="single" w:sz="4" w:space="0" w:color="auto"/>
            </w:tcBorders>
            <w:shd w:val="clear" w:color="auto" w:fill="auto"/>
            <w:vAlign w:val="center"/>
            <w:hideMark/>
          </w:tcPr>
          <w:p w14:paraId="78666D1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C73C5B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075373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BD490E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8A95F9C"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ED483B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w:t>
            </w:r>
          </w:p>
        </w:tc>
        <w:tc>
          <w:tcPr>
            <w:tcW w:w="3294" w:type="dxa"/>
            <w:tcBorders>
              <w:top w:val="nil"/>
              <w:left w:val="nil"/>
              <w:bottom w:val="single" w:sz="4" w:space="0" w:color="auto"/>
              <w:right w:val="single" w:sz="4" w:space="0" w:color="auto"/>
            </w:tcBorders>
            <w:shd w:val="clear" w:color="000000" w:fill="FFFFFF"/>
            <w:vAlign w:val="center"/>
            <w:hideMark/>
          </w:tcPr>
          <w:p w14:paraId="39CEEEF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重庆银行股份有限公司</w:t>
            </w:r>
          </w:p>
        </w:tc>
        <w:tc>
          <w:tcPr>
            <w:tcW w:w="1100" w:type="dxa"/>
            <w:tcBorders>
              <w:top w:val="nil"/>
              <w:left w:val="nil"/>
              <w:bottom w:val="single" w:sz="4" w:space="0" w:color="auto"/>
              <w:right w:val="single" w:sz="4" w:space="0" w:color="auto"/>
            </w:tcBorders>
            <w:shd w:val="clear" w:color="auto" w:fill="auto"/>
            <w:vAlign w:val="center"/>
            <w:hideMark/>
          </w:tcPr>
          <w:p w14:paraId="52B20C3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138C54D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99F2C9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A7EAC6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79CB3769"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4C5BC3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w:t>
            </w:r>
          </w:p>
        </w:tc>
        <w:tc>
          <w:tcPr>
            <w:tcW w:w="3294" w:type="dxa"/>
            <w:tcBorders>
              <w:top w:val="nil"/>
              <w:left w:val="nil"/>
              <w:bottom w:val="single" w:sz="4" w:space="0" w:color="auto"/>
              <w:right w:val="single" w:sz="4" w:space="0" w:color="auto"/>
            </w:tcBorders>
            <w:shd w:val="clear" w:color="auto" w:fill="auto"/>
            <w:vAlign w:val="center"/>
            <w:hideMark/>
          </w:tcPr>
          <w:p w14:paraId="30D33E7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东莞农村商业银行股份有限公司</w:t>
            </w:r>
          </w:p>
        </w:tc>
        <w:tc>
          <w:tcPr>
            <w:tcW w:w="1100" w:type="dxa"/>
            <w:tcBorders>
              <w:top w:val="nil"/>
              <w:left w:val="nil"/>
              <w:bottom w:val="single" w:sz="4" w:space="0" w:color="auto"/>
              <w:right w:val="single" w:sz="4" w:space="0" w:color="auto"/>
            </w:tcBorders>
            <w:shd w:val="clear" w:color="auto" w:fill="auto"/>
            <w:vAlign w:val="center"/>
            <w:hideMark/>
          </w:tcPr>
          <w:p w14:paraId="3310079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8FFF3B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E356E5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42D829D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946E92C"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419AA7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w:t>
            </w:r>
          </w:p>
        </w:tc>
        <w:tc>
          <w:tcPr>
            <w:tcW w:w="3294" w:type="dxa"/>
            <w:tcBorders>
              <w:top w:val="nil"/>
              <w:left w:val="nil"/>
              <w:bottom w:val="single" w:sz="4" w:space="0" w:color="auto"/>
              <w:right w:val="single" w:sz="4" w:space="0" w:color="auto"/>
            </w:tcBorders>
            <w:shd w:val="clear" w:color="000000" w:fill="FFFFFF"/>
            <w:vAlign w:val="center"/>
            <w:hideMark/>
          </w:tcPr>
          <w:p w14:paraId="67AD395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苏州银行股份有限公司</w:t>
            </w:r>
          </w:p>
        </w:tc>
        <w:tc>
          <w:tcPr>
            <w:tcW w:w="1100" w:type="dxa"/>
            <w:tcBorders>
              <w:top w:val="nil"/>
              <w:left w:val="nil"/>
              <w:bottom w:val="single" w:sz="4" w:space="0" w:color="auto"/>
              <w:right w:val="single" w:sz="4" w:space="0" w:color="auto"/>
            </w:tcBorders>
            <w:shd w:val="clear" w:color="auto" w:fill="auto"/>
            <w:vAlign w:val="center"/>
            <w:hideMark/>
          </w:tcPr>
          <w:p w14:paraId="7B7CF16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346DF5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0F36A2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253CD1B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27165B5"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06C089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7</w:t>
            </w:r>
          </w:p>
        </w:tc>
        <w:tc>
          <w:tcPr>
            <w:tcW w:w="3294" w:type="dxa"/>
            <w:tcBorders>
              <w:top w:val="nil"/>
              <w:left w:val="nil"/>
              <w:bottom w:val="single" w:sz="4" w:space="0" w:color="auto"/>
              <w:right w:val="single" w:sz="4" w:space="0" w:color="auto"/>
            </w:tcBorders>
            <w:shd w:val="clear" w:color="000000" w:fill="FFFFFF"/>
            <w:vAlign w:val="center"/>
            <w:hideMark/>
          </w:tcPr>
          <w:p w14:paraId="6B9246E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晋商银行股份有限公司</w:t>
            </w:r>
          </w:p>
        </w:tc>
        <w:tc>
          <w:tcPr>
            <w:tcW w:w="1100" w:type="dxa"/>
            <w:tcBorders>
              <w:top w:val="nil"/>
              <w:left w:val="nil"/>
              <w:bottom w:val="single" w:sz="4" w:space="0" w:color="auto"/>
              <w:right w:val="single" w:sz="4" w:space="0" w:color="auto"/>
            </w:tcBorders>
            <w:shd w:val="clear" w:color="auto" w:fill="auto"/>
            <w:vAlign w:val="center"/>
            <w:hideMark/>
          </w:tcPr>
          <w:p w14:paraId="65B6A85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2B63FF4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3644DDB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AFACC0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5FD2F3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357A9B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8</w:t>
            </w:r>
          </w:p>
        </w:tc>
        <w:tc>
          <w:tcPr>
            <w:tcW w:w="3294" w:type="dxa"/>
            <w:tcBorders>
              <w:top w:val="nil"/>
              <w:left w:val="nil"/>
              <w:bottom w:val="single" w:sz="4" w:space="0" w:color="auto"/>
              <w:right w:val="single" w:sz="4" w:space="0" w:color="auto"/>
            </w:tcBorders>
            <w:shd w:val="clear" w:color="000000" w:fill="FFFFFF"/>
            <w:vAlign w:val="center"/>
            <w:hideMark/>
          </w:tcPr>
          <w:p w14:paraId="3515DC7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深圳市新兰德证券投资咨询有限公司</w:t>
            </w:r>
          </w:p>
        </w:tc>
        <w:tc>
          <w:tcPr>
            <w:tcW w:w="1100" w:type="dxa"/>
            <w:tcBorders>
              <w:top w:val="nil"/>
              <w:left w:val="nil"/>
              <w:bottom w:val="single" w:sz="4" w:space="0" w:color="auto"/>
              <w:right w:val="single" w:sz="4" w:space="0" w:color="auto"/>
            </w:tcBorders>
            <w:shd w:val="clear" w:color="auto" w:fill="auto"/>
            <w:vAlign w:val="center"/>
            <w:hideMark/>
          </w:tcPr>
          <w:p w14:paraId="22B6BF8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7DE8E2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c>
          <w:tcPr>
            <w:tcW w:w="1134" w:type="dxa"/>
            <w:tcBorders>
              <w:top w:val="nil"/>
              <w:left w:val="nil"/>
              <w:bottom w:val="single" w:sz="4" w:space="0" w:color="auto"/>
              <w:right w:val="single" w:sz="4" w:space="0" w:color="auto"/>
            </w:tcBorders>
            <w:shd w:val="clear" w:color="auto" w:fill="auto"/>
            <w:vAlign w:val="center"/>
            <w:hideMark/>
          </w:tcPr>
          <w:p w14:paraId="0FFFA45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D5160D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r>
      <w:tr w:rsidR="004959B4" w:rsidRPr="004959B4" w14:paraId="500E9F8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D09F8C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9</w:t>
            </w:r>
          </w:p>
        </w:tc>
        <w:tc>
          <w:tcPr>
            <w:tcW w:w="3294" w:type="dxa"/>
            <w:tcBorders>
              <w:top w:val="nil"/>
              <w:left w:val="nil"/>
              <w:bottom w:val="single" w:sz="4" w:space="0" w:color="auto"/>
              <w:right w:val="single" w:sz="4" w:space="0" w:color="auto"/>
            </w:tcBorders>
            <w:shd w:val="clear" w:color="000000" w:fill="FFFFFF"/>
            <w:vAlign w:val="center"/>
            <w:hideMark/>
          </w:tcPr>
          <w:p w14:paraId="729A887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腾安基金销售（深圳）有限公司</w:t>
            </w:r>
          </w:p>
        </w:tc>
        <w:tc>
          <w:tcPr>
            <w:tcW w:w="1100" w:type="dxa"/>
            <w:tcBorders>
              <w:top w:val="nil"/>
              <w:left w:val="nil"/>
              <w:bottom w:val="single" w:sz="4" w:space="0" w:color="auto"/>
              <w:right w:val="single" w:sz="4" w:space="0" w:color="auto"/>
            </w:tcBorders>
            <w:shd w:val="clear" w:color="auto" w:fill="auto"/>
            <w:vAlign w:val="center"/>
            <w:hideMark/>
          </w:tcPr>
          <w:p w14:paraId="2D714B3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6E5E5F4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3579334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5B01B2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4C4D48C8"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C09E6C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10</w:t>
            </w:r>
          </w:p>
        </w:tc>
        <w:tc>
          <w:tcPr>
            <w:tcW w:w="3294" w:type="dxa"/>
            <w:tcBorders>
              <w:top w:val="nil"/>
              <w:left w:val="nil"/>
              <w:bottom w:val="single" w:sz="4" w:space="0" w:color="auto"/>
              <w:right w:val="single" w:sz="4" w:space="0" w:color="auto"/>
            </w:tcBorders>
            <w:shd w:val="clear" w:color="000000" w:fill="FFFFFF"/>
            <w:vAlign w:val="center"/>
            <w:hideMark/>
          </w:tcPr>
          <w:p w14:paraId="02E6AAF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北京度小满基金销售有限公司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6638D32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2D09D68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6D7751C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1589389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44C2FE52"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BEDFC8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11</w:t>
            </w:r>
          </w:p>
        </w:tc>
        <w:tc>
          <w:tcPr>
            <w:tcW w:w="3294" w:type="dxa"/>
            <w:tcBorders>
              <w:top w:val="nil"/>
              <w:left w:val="nil"/>
              <w:bottom w:val="single" w:sz="4" w:space="0" w:color="auto"/>
              <w:right w:val="single" w:sz="4" w:space="0" w:color="auto"/>
            </w:tcBorders>
            <w:shd w:val="clear" w:color="000000" w:fill="FFFFFF"/>
            <w:vAlign w:val="center"/>
            <w:hideMark/>
          </w:tcPr>
          <w:p w14:paraId="03FD485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诺亚正行基金销售有限公司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26CC28A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13FCD8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c>
          <w:tcPr>
            <w:tcW w:w="1134" w:type="dxa"/>
            <w:tcBorders>
              <w:top w:val="nil"/>
              <w:left w:val="nil"/>
              <w:bottom w:val="single" w:sz="4" w:space="0" w:color="auto"/>
              <w:right w:val="single" w:sz="4" w:space="0" w:color="auto"/>
            </w:tcBorders>
            <w:shd w:val="clear" w:color="auto" w:fill="auto"/>
            <w:vAlign w:val="center"/>
            <w:hideMark/>
          </w:tcPr>
          <w:p w14:paraId="07BDA05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10BD2F0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r>
      <w:tr w:rsidR="004959B4" w:rsidRPr="004959B4" w14:paraId="164CB28A"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7A363E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12</w:t>
            </w:r>
          </w:p>
        </w:tc>
        <w:tc>
          <w:tcPr>
            <w:tcW w:w="3294" w:type="dxa"/>
            <w:tcBorders>
              <w:top w:val="nil"/>
              <w:left w:val="nil"/>
              <w:bottom w:val="single" w:sz="4" w:space="0" w:color="auto"/>
              <w:right w:val="single" w:sz="4" w:space="0" w:color="auto"/>
            </w:tcBorders>
            <w:shd w:val="clear" w:color="000000" w:fill="FFFFFF"/>
            <w:vAlign w:val="center"/>
            <w:hideMark/>
          </w:tcPr>
          <w:p w14:paraId="223C311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上海天天基金销售有限公司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7A34249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D6C512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7F731EA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E6C282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28C08C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76A1A4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13</w:t>
            </w:r>
          </w:p>
        </w:tc>
        <w:tc>
          <w:tcPr>
            <w:tcW w:w="3294" w:type="dxa"/>
            <w:tcBorders>
              <w:top w:val="nil"/>
              <w:left w:val="nil"/>
              <w:bottom w:val="single" w:sz="4" w:space="0" w:color="auto"/>
              <w:right w:val="single" w:sz="4" w:space="0" w:color="auto"/>
            </w:tcBorders>
            <w:shd w:val="clear" w:color="000000" w:fill="FFFFFF"/>
            <w:vAlign w:val="center"/>
            <w:hideMark/>
          </w:tcPr>
          <w:p w14:paraId="5C7F97F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上海好买基金销售有限公司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25F6E8E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C52BD6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D38716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9627E1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09A671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138AA2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14</w:t>
            </w:r>
          </w:p>
        </w:tc>
        <w:tc>
          <w:tcPr>
            <w:tcW w:w="3294" w:type="dxa"/>
            <w:tcBorders>
              <w:top w:val="nil"/>
              <w:left w:val="nil"/>
              <w:bottom w:val="single" w:sz="4" w:space="0" w:color="auto"/>
              <w:right w:val="single" w:sz="4" w:space="0" w:color="auto"/>
            </w:tcBorders>
            <w:shd w:val="clear" w:color="000000" w:fill="FFFFFF"/>
            <w:vAlign w:val="center"/>
            <w:hideMark/>
          </w:tcPr>
          <w:p w14:paraId="35E3A1E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蚂蚁（杭州）基金销售有限公司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78C72D0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C17470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740C972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220FBB8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5D79322"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E719B8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15</w:t>
            </w:r>
          </w:p>
        </w:tc>
        <w:tc>
          <w:tcPr>
            <w:tcW w:w="3294" w:type="dxa"/>
            <w:tcBorders>
              <w:top w:val="nil"/>
              <w:left w:val="nil"/>
              <w:bottom w:val="single" w:sz="4" w:space="0" w:color="auto"/>
              <w:right w:val="single" w:sz="4" w:space="0" w:color="auto"/>
            </w:tcBorders>
            <w:shd w:val="clear" w:color="000000" w:fill="FFFFFF"/>
            <w:vAlign w:val="center"/>
            <w:hideMark/>
          </w:tcPr>
          <w:p w14:paraId="77691A8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上海长量基金销售有限公司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162CAB7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4ABB44C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D498D5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9C0D5D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B467FD2"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A3461E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16</w:t>
            </w:r>
          </w:p>
        </w:tc>
        <w:tc>
          <w:tcPr>
            <w:tcW w:w="3294" w:type="dxa"/>
            <w:tcBorders>
              <w:top w:val="nil"/>
              <w:left w:val="nil"/>
              <w:bottom w:val="single" w:sz="4" w:space="0" w:color="auto"/>
              <w:right w:val="single" w:sz="4" w:space="0" w:color="auto"/>
            </w:tcBorders>
            <w:shd w:val="clear" w:color="000000" w:fill="FFFFFF"/>
            <w:vAlign w:val="center"/>
            <w:hideMark/>
          </w:tcPr>
          <w:p w14:paraId="569BEF7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浙江同花顺基金销售有限公司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373EBCA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CD8991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1C756D8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FF6D49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8BCA1D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AA2626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17</w:t>
            </w:r>
          </w:p>
        </w:tc>
        <w:tc>
          <w:tcPr>
            <w:tcW w:w="3294" w:type="dxa"/>
            <w:tcBorders>
              <w:top w:val="nil"/>
              <w:left w:val="nil"/>
              <w:bottom w:val="single" w:sz="4" w:space="0" w:color="auto"/>
              <w:right w:val="single" w:sz="4" w:space="0" w:color="auto"/>
            </w:tcBorders>
            <w:shd w:val="clear" w:color="000000" w:fill="FFFFFF"/>
            <w:vAlign w:val="center"/>
            <w:hideMark/>
          </w:tcPr>
          <w:p w14:paraId="42A5A4F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嘉实财富管理有限公司</w:t>
            </w:r>
          </w:p>
        </w:tc>
        <w:tc>
          <w:tcPr>
            <w:tcW w:w="1100" w:type="dxa"/>
            <w:tcBorders>
              <w:top w:val="nil"/>
              <w:left w:val="nil"/>
              <w:bottom w:val="single" w:sz="4" w:space="0" w:color="auto"/>
              <w:right w:val="single" w:sz="4" w:space="0" w:color="auto"/>
            </w:tcBorders>
            <w:shd w:val="clear" w:color="auto" w:fill="auto"/>
            <w:vAlign w:val="center"/>
            <w:hideMark/>
          </w:tcPr>
          <w:p w14:paraId="67B7781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487FA8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6FA3E36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D5749F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77BBB50"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79A196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18</w:t>
            </w:r>
          </w:p>
        </w:tc>
        <w:tc>
          <w:tcPr>
            <w:tcW w:w="3294" w:type="dxa"/>
            <w:tcBorders>
              <w:top w:val="nil"/>
              <w:left w:val="nil"/>
              <w:bottom w:val="single" w:sz="4" w:space="0" w:color="auto"/>
              <w:right w:val="single" w:sz="4" w:space="0" w:color="auto"/>
            </w:tcBorders>
            <w:shd w:val="clear" w:color="000000" w:fill="FFFFFF"/>
            <w:vAlign w:val="center"/>
            <w:hideMark/>
          </w:tcPr>
          <w:p w14:paraId="0DCDBC9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南京苏宁基金销售有限公司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28C8D8D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C330D0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D88122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82DFE2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A5169C0"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0CDDF2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19</w:t>
            </w:r>
          </w:p>
        </w:tc>
        <w:tc>
          <w:tcPr>
            <w:tcW w:w="3294" w:type="dxa"/>
            <w:tcBorders>
              <w:top w:val="nil"/>
              <w:left w:val="nil"/>
              <w:bottom w:val="single" w:sz="4" w:space="0" w:color="auto"/>
              <w:right w:val="single" w:sz="4" w:space="0" w:color="auto"/>
            </w:tcBorders>
            <w:shd w:val="clear" w:color="000000" w:fill="FFFFFF"/>
            <w:vAlign w:val="center"/>
            <w:hideMark/>
          </w:tcPr>
          <w:p w14:paraId="34F6B50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北京恒天明泽基金销售有限公司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778ADF6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25A9257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650E54B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1D4C33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1F539F7"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052A5B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20</w:t>
            </w:r>
          </w:p>
        </w:tc>
        <w:tc>
          <w:tcPr>
            <w:tcW w:w="3294" w:type="dxa"/>
            <w:tcBorders>
              <w:top w:val="nil"/>
              <w:left w:val="nil"/>
              <w:bottom w:val="single" w:sz="4" w:space="0" w:color="auto"/>
              <w:right w:val="single" w:sz="4" w:space="0" w:color="auto"/>
            </w:tcBorders>
            <w:shd w:val="clear" w:color="000000" w:fill="FFFFFF"/>
            <w:vAlign w:val="center"/>
            <w:hideMark/>
          </w:tcPr>
          <w:p w14:paraId="2DAC5BD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北京唐鼎耀华基金销售有限公司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484AF7A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F0AB6B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911C6B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1A01CBD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932E734"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7BD8A2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21</w:t>
            </w:r>
          </w:p>
        </w:tc>
        <w:tc>
          <w:tcPr>
            <w:tcW w:w="3294" w:type="dxa"/>
            <w:tcBorders>
              <w:top w:val="nil"/>
              <w:left w:val="nil"/>
              <w:bottom w:val="single" w:sz="4" w:space="0" w:color="auto"/>
              <w:right w:val="single" w:sz="4" w:space="0" w:color="auto"/>
            </w:tcBorders>
            <w:shd w:val="clear" w:color="000000" w:fill="FFFFFF"/>
            <w:vAlign w:val="center"/>
            <w:hideMark/>
          </w:tcPr>
          <w:p w14:paraId="4D6ACB3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北京植信基金销售有限公司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150217C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C5611B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CF37C9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3FE98A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B0536D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0DC99F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22</w:t>
            </w:r>
          </w:p>
        </w:tc>
        <w:tc>
          <w:tcPr>
            <w:tcW w:w="3294" w:type="dxa"/>
            <w:tcBorders>
              <w:top w:val="nil"/>
              <w:left w:val="nil"/>
              <w:bottom w:val="single" w:sz="4" w:space="0" w:color="auto"/>
              <w:right w:val="single" w:sz="4" w:space="0" w:color="auto"/>
            </w:tcBorders>
            <w:shd w:val="clear" w:color="000000" w:fill="FFFFFF"/>
            <w:vAlign w:val="center"/>
            <w:hideMark/>
          </w:tcPr>
          <w:p w14:paraId="7A0C98E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海银基金销售有限公司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505220B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9BE0E2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B32E4A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A7AFB3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3455B5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214B9B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23</w:t>
            </w:r>
          </w:p>
        </w:tc>
        <w:tc>
          <w:tcPr>
            <w:tcW w:w="3294" w:type="dxa"/>
            <w:tcBorders>
              <w:top w:val="nil"/>
              <w:left w:val="nil"/>
              <w:bottom w:val="single" w:sz="4" w:space="0" w:color="auto"/>
              <w:right w:val="single" w:sz="4" w:space="0" w:color="auto"/>
            </w:tcBorders>
            <w:shd w:val="clear" w:color="000000" w:fill="FFFFFF"/>
            <w:vAlign w:val="center"/>
            <w:hideMark/>
          </w:tcPr>
          <w:p w14:paraId="6026118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上海万得基金销售有限公司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2F7C272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48F7410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086DAB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6082C17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1A1FDD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6CDA8F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24</w:t>
            </w:r>
          </w:p>
        </w:tc>
        <w:tc>
          <w:tcPr>
            <w:tcW w:w="3294" w:type="dxa"/>
            <w:tcBorders>
              <w:top w:val="nil"/>
              <w:left w:val="nil"/>
              <w:bottom w:val="single" w:sz="4" w:space="0" w:color="auto"/>
              <w:right w:val="single" w:sz="4" w:space="0" w:color="auto"/>
            </w:tcBorders>
            <w:shd w:val="clear" w:color="000000" w:fill="FFFFFF"/>
            <w:vAlign w:val="center"/>
            <w:hideMark/>
          </w:tcPr>
          <w:p w14:paraId="7AD6EFF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上海陆金所基金销售有限公司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22C04BA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4622B0E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c>
          <w:tcPr>
            <w:tcW w:w="1134" w:type="dxa"/>
            <w:tcBorders>
              <w:top w:val="nil"/>
              <w:left w:val="nil"/>
              <w:bottom w:val="single" w:sz="4" w:space="0" w:color="auto"/>
              <w:right w:val="single" w:sz="4" w:space="0" w:color="auto"/>
            </w:tcBorders>
            <w:shd w:val="clear" w:color="auto" w:fill="auto"/>
            <w:vAlign w:val="center"/>
            <w:hideMark/>
          </w:tcPr>
          <w:p w14:paraId="3BE9CEC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13AEBD5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r>
      <w:tr w:rsidR="004959B4" w:rsidRPr="004959B4" w14:paraId="17167018"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E94993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25</w:t>
            </w:r>
          </w:p>
        </w:tc>
        <w:tc>
          <w:tcPr>
            <w:tcW w:w="3294" w:type="dxa"/>
            <w:tcBorders>
              <w:top w:val="nil"/>
              <w:left w:val="nil"/>
              <w:bottom w:val="single" w:sz="4" w:space="0" w:color="auto"/>
              <w:right w:val="single" w:sz="4" w:space="0" w:color="auto"/>
            </w:tcBorders>
            <w:shd w:val="clear" w:color="000000" w:fill="FFFFFF"/>
            <w:vAlign w:val="center"/>
            <w:hideMark/>
          </w:tcPr>
          <w:p w14:paraId="15C5D67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珠海盈米基金销售有限公司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61C0D7F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E29DE9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674C579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6C8F97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C84C38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2D70EE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lastRenderedPageBreak/>
              <w:t>26</w:t>
            </w:r>
          </w:p>
        </w:tc>
        <w:tc>
          <w:tcPr>
            <w:tcW w:w="3294" w:type="dxa"/>
            <w:tcBorders>
              <w:top w:val="nil"/>
              <w:left w:val="nil"/>
              <w:bottom w:val="single" w:sz="4" w:space="0" w:color="auto"/>
              <w:right w:val="single" w:sz="4" w:space="0" w:color="auto"/>
            </w:tcBorders>
            <w:shd w:val="clear" w:color="000000" w:fill="FFFFFF"/>
            <w:vAlign w:val="center"/>
            <w:hideMark/>
          </w:tcPr>
          <w:p w14:paraId="1F647B8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和耕传承基金销售有限公司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6CE2E2C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7238B4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9A2A3E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F773DA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ECBBE8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C4DCAB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27</w:t>
            </w:r>
          </w:p>
        </w:tc>
        <w:tc>
          <w:tcPr>
            <w:tcW w:w="3294" w:type="dxa"/>
            <w:tcBorders>
              <w:top w:val="nil"/>
              <w:left w:val="nil"/>
              <w:bottom w:val="single" w:sz="4" w:space="0" w:color="auto"/>
              <w:right w:val="single" w:sz="4" w:space="0" w:color="auto"/>
            </w:tcBorders>
            <w:shd w:val="clear" w:color="000000" w:fill="FFFFFF"/>
            <w:vAlign w:val="center"/>
            <w:hideMark/>
          </w:tcPr>
          <w:p w14:paraId="7F65A81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中证金牛（北京）投资咨询有限公司</w:t>
            </w:r>
          </w:p>
        </w:tc>
        <w:tc>
          <w:tcPr>
            <w:tcW w:w="1100" w:type="dxa"/>
            <w:tcBorders>
              <w:top w:val="nil"/>
              <w:left w:val="nil"/>
              <w:bottom w:val="single" w:sz="4" w:space="0" w:color="auto"/>
              <w:right w:val="single" w:sz="4" w:space="0" w:color="auto"/>
            </w:tcBorders>
            <w:shd w:val="clear" w:color="auto" w:fill="auto"/>
            <w:vAlign w:val="center"/>
            <w:hideMark/>
          </w:tcPr>
          <w:p w14:paraId="79ED5DD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22357D2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790E699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8F51FA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41F6879"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958323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28</w:t>
            </w:r>
          </w:p>
        </w:tc>
        <w:tc>
          <w:tcPr>
            <w:tcW w:w="3294" w:type="dxa"/>
            <w:tcBorders>
              <w:top w:val="nil"/>
              <w:left w:val="nil"/>
              <w:bottom w:val="single" w:sz="4" w:space="0" w:color="auto"/>
              <w:right w:val="single" w:sz="4" w:space="0" w:color="auto"/>
            </w:tcBorders>
            <w:shd w:val="clear" w:color="000000" w:fill="FFFFFF"/>
            <w:vAlign w:val="center"/>
            <w:hideMark/>
          </w:tcPr>
          <w:p w14:paraId="278BD35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京东肯特瑞基金销售有限公司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3A372BD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1988C6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44FFE7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0BE24FE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38BDB7F"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3F7957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29</w:t>
            </w:r>
          </w:p>
        </w:tc>
        <w:tc>
          <w:tcPr>
            <w:tcW w:w="3294" w:type="dxa"/>
            <w:tcBorders>
              <w:top w:val="nil"/>
              <w:left w:val="nil"/>
              <w:bottom w:val="single" w:sz="4" w:space="0" w:color="auto"/>
              <w:right w:val="single" w:sz="4" w:space="0" w:color="auto"/>
            </w:tcBorders>
            <w:shd w:val="clear" w:color="000000" w:fill="FFFFFF"/>
            <w:vAlign w:val="center"/>
            <w:hideMark/>
          </w:tcPr>
          <w:p w14:paraId="0C2ECAB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北京蛋卷基金销售有限公司</w:t>
            </w:r>
          </w:p>
        </w:tc>
        <w:tc>
          <w:tcPr>
            <w:tcW w:w="1100" w:type="dxa"/>
            <w:tcBorders>
              <w:top w:val="nil"/>
              <w:left w:val="nil"/>
              <w:bottom w:val="single" w:sz="4" w:space="0" w:color="auto"/>
              <w:right w:val="single" w:sz="4" w:space="0" w:color="auto"/>
            </w:tcBorders>
            <w:shd w:val="clear" w:color="auto" w:fill="auto"/>
            <w:vAlign w:val="center"/>
            <w:hideMark/>
          </w:tcPr>
          <w:p w14:paraId="7A23439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5E5D14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4C9A525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756446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31BCBC0"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7705F1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30</w:t>
            </w:r>
          </w:p>
        </w:tc>
        <w:tc>
          <w:tcPr>
            <w:tcW w:w="3294" w:type="dxa"/>
            <w:tcBorders>
              <w:top w:val="nil"/>
              <w:left w:val="nil"/>
              <w:bottom w:val="single" w:sz="4" w:space="0" w:color="auto"/>
              <w:right w:val="single" w:sz="4" w:space="0" w:color="auto"/>
            </w:tcBorders>
            <w:shd w:val="clear" w:color="000000" w:fill="FFFFFF"/>
            <w:vAlign w:val="center"/>
            <w:hideMark/>
          </w:tcPr>
          <w:p w14:paraId="3CFBF76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东方财富证券股份有限公司</w:t>
            </w:r>
          </w:p>
        </w:tc>
        <w:tc>
          <w:tcPr>
            <w:tcW w:w="1100" w:type="dxa"/>
            <w:tcBorders>
              <w:top w:val="nil"/>
              <w:left w:val="nil"/>
              <w:bottom w:val="single" w:sz="4" w:space="0" w:color="auto"/>
              <w:right w:val="single" w:sz="4" w:space="0" w:color="auto"/>
            </w:tcBorders>
            <w:shd w:val="clear" w:color="auto" w:fill="auto"/>
            <w:vAlign w:val="center"/>
            <w:hideMark/>
          </w:tcPr>
          <w:p w14:paraId="294EF74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571E00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0CAC0F9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3FDFADD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7FE4948"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C64274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31</w:t>
            </w:r>
          </w:p>
        </w:tc>
        <w:tc>
          <w:tcPr>
            <w:tcW w:w="3294" w:type="dxa"/>
            <w:tcBorders>
              <w:top w:val="nil"/>
              <w:left w:val="nil"/>
              <w:bottom w:val="single" w:sz="4" w:space="0" w:color="auto"/>
              <w:right w:val="single" w:sz="4" w:space="0" w:color="auto"/>
            </w:tcBorders>
            <w:shd w:val="clear" w:color="000000" w:fill="FFFFFF"/>
            <w:vAlign w:val="center"/>
            <w:hideMark/>
          </w:tcPr>
          <w:p w14:paraId="094437F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阳光人寿保险股份有限公司</w:t>
            </w:r>
          </w:p>
        </w:tc>
        <w:tc>
          <w:tcPr>
            <w:tcW w:w="1100" w:type="dxa"/>
            <w:tcBorders>
              <w:top w:val="nil"/>
              <w:left w:val="nil"/>
              <w:bottom w:val="single" w:sz="4" w:space="0" w:color="auto"/>
              <w:right w:val="single" w:sz="4" w:space="0" w:color="auto"/>
            </w:tcBorders>
            <w:shd w:val="clear" w:color="auto" w:fill="auto"/>
            <w:vAlign w:val="center"/>
            <w:hideMark/>
          </w:tcPr>
          <w:p w14:paraId="1924202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19F14F3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vAlign w:val="center"/>
            <w:hideMark/>
          </w:tcPr>
          <w:p w14:paraId="5978671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B17B81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36D70C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14E43F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32</w:t>
            </w:r>
          </w:p>
        </w:tc>
        <w:tc>
          <w:tcPr>
            <w:tcW w:w="3294" w:type="dxa"/>
            <w:tcBorders>
              <w:top w:val="nil"/>
              <w:left w:val="nil"/>
              <w:bottom w:val="single" w:sz="4" w:space="0" w:color="auto"/>
              <w:right w:val="single" w:sz="4" w:space="0" w:color="auto"/>
            </w:tcBorders>
            <w:shd w:val="clear" w:color="000000" w:fill="FFFFFF"/>
            <w:vAlign w:val="center"/>
            <w:hideMark/>
          </w:tcPr>
          <w:p w14:paraId="429261C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宁波鄞州农村商业银行股份有限公司</w:t>
            </w:r>
          </w:p>
        </w:tc>
        <w:tc>
          <w:tcPr>
            <w:tcW w:w="1100" w:type="dxa"/>
            <w:tcBorders>
              <w:top w:val="nil"/>
              <w:left w:val="nil"/>
              <w:bottom w:val="single" w:sz="4" w:space="0" w:color="auto"/>
              <w:right w:val="single" w:sz="4" w:space="0" w:color="auto"/>
            </w:tcBorders>
            <w:shd w:val="clear" w:color="auto" w:fill="auto"/>
            <w:vAlign w:val="center"/>
            <w:hideMark/>
          </w:tcPr>
          <w:p w14:paraId="04BCE8B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5E39099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c>
          <w:tcPr>
            <w:tcW w:w="1134" w:type="dxa"/>
            <w:tcBorders>
              <w:top w:val="nil"/>
              <w:left w:val="nil"/>
              <w:bottom w:val="single" w:sz="4" w:space="0" w:color="auto"/>
              <w:right w:val="single" w:sz="4" w:space="0" w:color="auto"/>
            </w:tcBorders>
            <w:shd w:val="clear" w:color="auto" w:fill="auto"/>
            <w:vAlign w:val="center"/>
            <w:hideMark/>
          </w:tcPr>
          <w:p w14:paraId="4D313CB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vAlign w:val="center"/>
            <w:hideMark/>
          </w:tcPr>
          <w:p w14:paraId="74F3436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否</w:t>
            </w:r>
          </w:p>
        </w:tc>
      </w:tr>
      <w:tr w:rsidR="004959B4" w:rsidRPr="004959B4" w14:paraId="0C320383"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88B67B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33</w:t>
            </w:r>
          </w:p>
        </w:tc>
        <w:tc>
          <w:tcPr>
            <w:tcW w:w="3294" w:type="dxa"/>
            <w:tcBorders>
              <w:top w:val="nil"/>
              <w:left w:val="nil"/>
              <w:bottom w:val="single" w:sz="4" w:space="0" w:color="auto"/>
              <w:right w:val="single" w:sz="4" w:space="0" w:color="auto"/>
            </w:tcBorders>
            <w:shd w:val="clear" w:color="auto" w:fill="auto"/>
            <w:noWrap/>
            <w:vAlign w:val="center"/>
            <w:hideMark/>
          </w:tcPr>
          <w:p w14:paraId="6716BBE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安信证券股份有限公司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6E32B63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A85A2D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3C4EEF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50F6F6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ECEBE5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5BD6F6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34</w:t>
            </w:r>
          </w:p>
        </w:tc>
        <w:tc>
          <w:tcPr>
            <w:tcW w:w="3294" w:type="dxa"/>
            <w:tcBorders>
              <w:top w:val="nil"/>
              <w:left w:val="nil"/>
              <w:bottom w:val="single" w:sz="4" w:space="0" w:color="auto"/>
              <w:right w:val="single" w:sz="4" w:space="0" w:color="auto"/>
            </w:tcBorders>
            <w:shd w:val="clear" w:color="auto" w:fill="auto"/>
            <w:noWrap/>
            <w:vAlign w:val="center"/>
            <w:hideMark/>
          </w:tcPr>
          <w:p w14:paraId="7F68F40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光大证券股份有限公司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866906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1BD990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1A3850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932D97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72FEA56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C6819D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35</w:t>
            </w:r>
          </w:p>
        </w:tc>
        <w:tc>
          <w:tcPr>
            <w:tcW w:w="3294" w:type="dxa"/>
            <w:tcBorders>
              <w:top w:val="nil"/>
              <w:left w:val="nil"/>
              <w:bottom w:val="single" w:sz="4" w:space="0" w:color="auto"/>
              <w:right w:val="single" w:sz="4" w:space="0" w:color="auto"/>
            </w:tcBorders>
            <w:shd w:val="clear" w:color="auto" w:fill="auto"/>
            <w:noWrap/>
            <w:vAlign w:val="center"/>
            <w:hideMark/>
          </w:tcPr>
          <w:p w14:paraId="00B3527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国泰君安证券股份有限公司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A6ED25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888B8F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002C9AE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A3F21C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E6F7CF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E1D5DA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36</w:t>
            </w:r>
          </w:p>
        </w:tc>
        <w:tc>
          <w:tcPr>
            <w:tcW w:w="3294" w:type="dxa"/>
            <w:tcBorders>
              <w:top w:val="nil"/>
              <w:left w:val="nil"/>
              <w:bottom w:val="single" w:sz="4" w:space="0" w:color="auto"/>
              <w:right w:val="single" w:sz="4" w:space="0" w:color="auto"/>
            </w:tcBorders>
            <w:shd w:val="clear" w:color="auto" w:fill="auto"/>
            <w:noWrap/>
            <w:vAlign w:val="center"/>
            <w:hideMark/>
          </w:tcPr>
          <w:p w14:paraId="379EB0B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海通证券股份有限公司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5DEDA57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0F2537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B782E9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CA0C34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71FD429"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61AD0C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37</w:t>
            </w:r>
          </w:p>
        </w:tc>
        <w:tc>
          <w:tcPr>
            <w:tcW w:w="3294" w:type="dxa"/>
            <w:tcBorders>
              <w:top w:val="nil"/>
              <w:left w:val="nil"/>
              <w:bottom w:val="single" w:sz="4" w:space="0" w:color="auto"/>
              <w:right w:val="single" w:sz="4" w:space="0" w:color="auto"/>
            </w:tcBorders>
            <w:shd w:val="clear" w:color="auto" w:fill="auto"/>
            <w:noWrap/>
            <w:vAlign w:val="center"/>
            <w:hideMark/>
          </w:tcPr>
          <w:p w14:paraId="5DC9089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长江证券股份有限公司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045C351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06DAD3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A99F19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ED6F27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1FFF3C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B1AED1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38</w:t>
            </w:r>
          </w:p>
        </w:tc>
        <w:tc>
          <w:tcPr>
            <w:tcW w:w="3294" w:type="dxa"/>
            <w:tcBorders>
              <w:top w:val="nil"/>
              <w:left w:val="nil"/>
              <w:bottom w:val="single" w:sz="4" w:space="0" w:color="auto"/>
              <w:right w:val="single" w:sz="4" w:space="0" w:color="auto"/>
            </w:tcBorders>
            <w:shd w:val="clear" w:color="auto" w:fill="auto"/>
            <w:noWrap/>
            <w:vAlign w:val="center"/>
            <w:hideMark/>
          </w:tcPr>
          <w:p w14:paraId="0305FD5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中国银河证券股份有限公司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17D4F42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FA77E8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7AE8D7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E74CD9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37474A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337A53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39</w:t>
            </w:r>
          </w:p>
        </w:tc>
        <w:tc>
          <w:tcPr>
            <w:tcW w:w="3294" w:type="dxa"/>
            <w:tcBorders>
              <w:top w:val="nil"/>
              <w:left w:val="nil"/>
              <w:bottom w:val="single" w:sz="4" w:space="0" w:color="auto"/>
              <w:right w:val="single" w:sz="4" w:space="0" w:color="auto"/>
            </w:tcBorders>
            <w:shd w:val="clear" w:color="auto" w:fill="auto"/>
            <w:noWrap/>
            <w:vAlign w:val="center"/>
            <w:hideMark/>
          </w:tcPr>
          <w:p w14:paraId="38C9B78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中国中金财富证券有限公司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2D925E6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33D782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48365F7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8F9D53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678909A8"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5ACA2F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40</w:t>
            </w:r>
          </w:p>
        </w:tc>
        <w:tc>
          <w:tcPr>
            <w:tcW w:w="3294" w:type="dxa"/>
            <w:tcBorders>
              <w:top w:val="nil"/>
              <w:left w:val="nil"/>
              <w:bottom w:val="single" w:sz="4" w:space="0" w:color="auto"/>
              <w:right w:val="single" w:sz="4" w:space="0" w:color="auto"/>
            </w:tcBorders>
            <w:shd w:val="clear" w:color="000000" w:fill="FFFFFF"/>
            <w:noWrap/>
            <w:vAlign w:val="center"/>
            <w:hideMark/>
          </w:tcPr>
          <w:p w14:paraId="3AF54F6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中泰证券股份有限公司</w:t>
            </w:r>
          </w:p>
        </w:tc>
        <w:tc>
          <w:tcPr>
            <w:tcW w:w="1100" w:type="dxa"/>
            <w:tcBorders>
              <w:top w:val="nil"/>
              <w:left w:val="nil"/>
              <w:bottom w:val="single" w:sz="4" w:space="0" w:color="auto"/>
              <w:right w:val="single" w:sz="4" w:space="0" w:color="auto"/>
            </w:tcBorders>
            <w:shd w:val="clear" w:color="000000" w:fill="FFFFFF"/>
            <w:noWrap/>
            <w:vAlign w:val="center"/>
            <w:hideMark/>
          </w:tcPr>
          <w:p w14:paraId="6FF2E7B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000000" w:fill="FFFFFF"/>
            <w:noWrap/>
            <w:vAlign w:val="center"/>
            <w:hideMark/>
          </w:tcPr>
          <w:p w14:paraId="54AF7EF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BA79C5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8253C5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704072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F445E6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41</w:t>
            </w:r>
          </w:p>
        </w:tc>
        <w:tc>
          <w:tcPr>
            <w:tcW w:w="3294" w:type="dxa"/>
            <w:tcBorders>
              <w:top w:val="nil"/>
              <w:left w:val="nil"/>
              <w:bottom w:val="single" w:sz="4" w:space="0" w:color="auto"/>
              <w:right w:val="single" w:sz="4" w:space="0" w:color="auto"/>
            </w:tcBorders>
            <w:shd w:val="clear" w:color="auto" w:fill="auto"/>
            <w:noWrap/>
            <w:vAlign w:val="center"/>
            <w:hideMark/>
          </w:tcPr>
          <w:p w14:paraId="4CE57BB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中信建投证券股份有限公司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1AC8ECF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937510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4A2CC4E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28A845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DBE4FC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0940FB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42</w:t>
            </w:r>
          </w:p>
        </w:tc>
        <w:tc>
          <w:tcPr>
            <w:tcW w:w="3294" w:type="dxa"/>
            <w:tcBorders>
              <w:top w:val="nil"/>
              <w:left w:val="nil"/>
              <w:bottom w:val="single" w:sz="4" w:space="0" w:color="auto"/>
              <w:right w:val="single" w:sz="4" w:space="0" w:color="auto"/>
            </w:tcBorders>
            <w:shd w:val="clear" w:color="auto" w:fill="auto"/>
            <w:noWrap/>
            <w:vAlign w:val="center"/>
            <w:hideMark/>
          </w:tcPr>
          <w:p w14:paraId="0B2B5BB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中信证券（山东）有限责任公司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196B11F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B9DF6D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6129CF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31BD4C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7D2AF5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907405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43</w:t>
            </w:r>
          </w:p>
        </w:tc>
        <w:tc>
          <w:tcPr>
            <w:tcW w:w="3294" w:type="dxa"/>
            <w:tcBorders>
              <w:top w:val="nil"/>
              <w:left w:val="nil"/>
              <w:bottom w:val="single" w:sz="4" w:space="0" w:color="auto"/>
              <w:right w:val="single" w:sz="4" w:space="0" w:color="auto"/>
            </w:tcBorders>
            <w:shd w:val="clear" w:color="auto" w:fill="auto"/>
            <w:noWrap/>
            <w:vAlign w:val="center"/>
            <w:hideMark/>
          </w:tcPr>
          <w:p w14:paraId="563C192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中信证券股份有限公司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5A9ECFC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996E05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4C2A110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4DCDB3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5F415C3"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89E493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44</w:t>
            </w:r>
          </w:p>
        </w:tc>
        <w:tc>
          <w:tcPr>
            <w:tcW w:w="3294" w:type="dxa"/>
            <w:tcBorders>
              <w:top w:val="nil"/>
              <w:left w:val="nil"/>
              <w:bottom w:val="single" w:sz="4" w:space="0" w:color="auto"/>
              <w:right w:val="single" w:sz="4" w:space="0" w:color="auto"/>
            </w:tcBorders>
            <w:shd w:val="clear" w:color="auto" w:fill="auto"/>
            <w:noWrap/>
            <w:vAlign w:val="center"/>
            <w:hideMark/>
          </w:tcPr>
          <w:p w14:paraId="4B6BB94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中信证券华南股份有限公司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EB044D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B4CE63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02868D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94A643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5AEA89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FF383A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45</w:t>
            </w:r>
          </w:p>
        </w:tc>
        <w:tc>
          <w:tcPr>
            <w:tcW w:w="3294" w:type="dxa"/>
            <w:tcBorders>
              <w:top w:val="nil"/>
              <w:left w:val="nil"/>
              <w:bottom w:val="single" w:sz="4" w:space="0" w:color="auto"/>
              <w:right w:val="single" w:sz="4" w:space="0" w:color="auto"/>
            </w:tcBorders>
            <w:shd w:val="clear" w:color="auto" w:fill="auto"/>
            <w:noWrap/>
            <w:vAlign w:val="center"/>
            <w:hideMark/>
          </w:tcPr>
          <w:p w14:paraId="3C0E5EC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渤海证券股份有限公司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0E56F2A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8A7BBE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15E0281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36FDE4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DC1F3F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886E3E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46</w:t>
            </w:r>
          </w:p>
        </w:tc>
        <w:tc>
          <w:tcPr>
            <w:tcW w:w="3294" w:type="dxa"/>
            <w:tcBorders>
              <w:top w:val="nil"/>
              <w:left w:val="nil"/>
              <w:bottom w:val="single" w:sz="4" w:space="0" w:color="auto"/>
              <w:right w:val="single" w:sz="4" w:space="0" w:color="auto"/>
            </w:tcBorders>
            <w:shd w:val="clear" w:color="auto" w:fill="auto"/>
            <w:noWrap/>
            <w:vAlign w:val="center"/>
            <w:hideMark/>
          </w:tcPr>
          <w:p w14:paraId="09E0F09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大同证券有限责任公司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157B10D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D41301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8DDC59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EF2A57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72331C4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4B8ED4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47</w:t>
            </w:r>
          </w:p>
        </w:tc>
        <w:tc>
          <w:tcPr>
            <w:tcW w:w="3294" w:type="dxa"/>
            <w:tcBorders>
              <w:top w:val="nil"/>
              <w:left w:val="nil"/>
              <w:bottom w:val="single" w:sz="4" w:space="0" w:color="auto"/>
              <w:right w:val="single" w:sz="4" w:space="0" w:color="auto"/>
            </w:tcBorders>
            <w:shd w:val="clear" w:color="auto" w:fill="auto"/>
            <w:noWrap/>
            <w:vAlign w:val="center"/>
            <w:hideMark/>
          </w:tcPr>
          <w:p w14:paraId="4573662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东北证券股份有限公司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722CA3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CB3CCD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8C509B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A12E6F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A9165B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DD15A8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48</w:t>
            </w:r>
          </w:p>
        </w:tc>
        <w:tc>
          <w:tcPr>
            <w:tcW w:w="3294" w:type="dxa"/>
            <w:tcBorders>
              <w:top w:val="nil"/>
              <w:left w:val="nil"/>
              <w:bottom w:val="single" w:sz="4" w:space="0" w:color="auto"/>
              <w:right w:val="single" w:sz="4" w:space="0" w:color="auto"/>
            </w:tcBorders>
            <w:shd w:val="clear" w:color="auto" w:fill="auto"/>
            <w:noWrap/>
            <w:vAlign w:val="center"/>
            <w:hideMark/>
          </w:tcPr>
          <w:p w14:paraId="538B2C2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东海证券股份有限公司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1D2AEEE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31CCA8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291402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957061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BDD3980"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6F8E52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49</w:t>
            </w:r>
          </w:p>
        </w:tc>
        <w:tc>
          <w:tcPr>
            <w:tcW w:w="3294" w:type="dxa"/>
            <w:tcBorders>
              <w:top w:val="nil"/>
              <w:left w:val="nil"/>
              <w:bottom w:val="single" w:sz="4" w:space="0" w:color="auto"/>
              <w:right w:val="single" w:sz="4" w:space="0" w:color="auto"/>
            </w:tcBorders>
            <w:shd w:val="clear" w:color="auto" w:fill="auto"/>
            <w:noWrap/>
            <w:vAlign w:val="center"/>
            <w:hideMark/>
          </w:tcPr>
          <w:p w14:paraId="157B7BF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国都证券股份有限公司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3D50273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6FD83C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06B573D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A29ACF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80D35F5"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0F3BF2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50</w:t>
            </w:r>
          </w:p>
        </w:tc>
        <w:tc>
          <w:tcPr>
            <w:tcW w:w="3294" w:type="dxa"/>
            <w:tcBorders>
              <w:top w:val="nil"/>
              <w:left w:val="nil"/>
              <w:bottom w:val="single" w:sz="4" w:space="0" w:color="auto"/>
              <w:right w:val="single" w:sz="4" w:space="0" w:color="auto"/>
            </w:tcBorders>
            <w:shd w:val="clear" w:color="auto" w:fill="auto"/>
            <w:noWrap/>
            <w:vAlign w:val="center"/>
            <w:hideMark/>
          </w:tcPr>
          <w:p w14:paraId="01F8812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国金证券股份有限公司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35805E8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8B86B2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75F42B9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338E09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456323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DDBD2D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51</w:t>
            </w:r>
          </w:p>
        </w:tc>
        <w:tc>
          <w:tcPr>
            <w:tcW w:w="3294" w:type="dxa"/>
            <w:tcBorders>
              <w:top w:val="nil"/>
              <w:left w:val="nil"/>
              <w:bottom w:val="single" w:sz="4" w:space="0" w:color="auto"/>
              <w:right w:val="single" w:sz="4" w:space="0" w:color="auto"/>
            </w:tcBorders>
            <w:shd w:val="clear" w:color="auto" w:fill="auto"/>
            <w:noWrap/>
            <w:vAlign w:val="center"/>
            <w:hideMark/>
          </w:tcPr>
          <w:p w14:paraId="15337B7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国联证券股份有限公司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314280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751277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2F6377E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5FC1FA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181000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9D2245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52</w:t>
            </w:r>
          </w:p>
        </w:tc>
        <w:tc>
          <w:tcPr>
            <w:tcW w:w="3294" w:type="dxa"/>
            <w:tcBorders>
              <w:top w:val="nil"/>
              <w:left w:val="nil"/>
              <w:bottom w:val="single" w:sz="4" w:space="0" w:color="auto"/>
              <w:right w:val="single" w:sz="4" w:space="0" w:color="auto"/>
            </w:tcBorders>
            <w:shd w:val="clear" w:color="auto" w:fill="auto"/>
            <w:noWrap/>
            <w:vAlign w:val="center"/>
            <w:hideMark/>
          </w:tcPr>
          <w:p w14:paraId="0DC8800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恒泰证券股份有限公司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5FE3B04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CEF898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4C7C278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2047EC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45AB648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CEB9F1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53</w:t>
            </w:r>
          </w:p>
        </w:tc>
        <w:tc>
          <w:tcPr>
            <w:tcW w:w="3294" w:type="dxa"/>
            <w:tcBorders>
              <w:top w:val="nil"/>
              <w:left w:val="nil"/>
              <w:bottom w:val="single" w:sz="4" w:space="0" w:color="auto"/>
              <w:right w:val="single" w:sz="4" w:space="0" w:color="auto"/>
            </w:tcBorders>
            <w:shd w:val="clear" w:color="auto" w:fill="auto"/>
            <w:noWrap/>
            <w:vAlign w:val="center"/>
            <w:hideMark/>
          </w:tcPr>
          <w:p w14:paraId="1642B07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华安证券股份有限公司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1779664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7568F5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EC5974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D49721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5AA457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B3D60E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54</w:t>
            </w:r>
          </w:p>
        </w:tc>
        <w:tc>
          <w:tcPr>
            <w:tcW w:w="3294" w:type="dxa"/>
            <w:tcBorders>
              <w:top w:val="nil"/>
              <w:left w:val="nil"/>
              <w:bottom w:val="single" w:sz="4" w:space="0" w:color="auto"/>
              <w:right w:val="single" w:sz="4" w:space="0" w:color="auto"/>
            </w:tcBorders>
            <w:shd w:val="clear" w:color="auto" w:fill="auto"/>
            <w:noWrap/>
            <w:vAlign w:val="center"/>
            <w:hideMark/>
          </w:tcPr>
          <w:p w14:paraId="5CBB0BB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华宝证券有限责任公司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0EBCE26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F46D72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BB9849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7201A9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79916934"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036C75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55</w:t>
            </w:r>
          </w:p>
        </w:tc>
        <w:tc>
          <w:tcPr>
            <w:tcW w:w="3294" w:type="dxa"/>
            <w:tcBorders>
              <w:top w:val="nil"/>
              <w:left w:val="nil"/>
              <w:bottom w:val="single" w:sz="4" w:space="0" w:color="auto"/>
              <w:right w:val="single" w:sz="4" w:space="0" w:color="auto"/>
            </w:tcBorders>
            <w:shd w:val="clear" w:color="auto" w:fill="auto"/>
            <w:noWrap/>
            <w:vAlign w:val="center"/>
            <w:hideMark/>
          </w:tcPr>
          <w:p w14:paraId="2088F19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华龙证券股份有限公司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40A8600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677EAC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11764A5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20E4C4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49168B1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A7DE42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56</w:t>
            </w:r>
          </w:p>
        </w:tc>
        <w:tc>
          <w:tcPr>
            <w:tcW w:w="3294" w:type="dxa"/>
            <w:tcBorders>
              <w:top w:val="nil"/>
              <w:left w:val="nil"/>
              <w:bottom w:val="single" w:sz="4" w:space="0" w:color="auto"/>
              <w:right w:val="single" w:sz="4" w:space="0" w:color="auto"/>
            </w:tcBorders>
            <w:shd w:val="clear" w:color="auto" w:fill="auto"/>
            <w:noWrap/>
            <w:vAlign w:val="center"/>
            <w:hideMark/>
          </w:tcPr>
          <w:p w14:paraId="2AA7A60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华融证券股份有限公司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C995B4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24F422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5A9B52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A974A9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68B021B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0E3606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57</w:t>
            </w:r>
          </w:p>
        </w:tc>
        <w:tc>
          <w:tcPr>
            <w:tcW w:w="3294" w:type="dxa"/>
            <w:tcBorders>
              <w:top w:val="nil"/>
              <w:left w:val="nil"/>
              <w:bottom w:val="single" w:sz="4" w:space="0" w:color="auto"/>
              <w:right w:val="single" w:sz="4" w:space="0" w:color="auto"/>
            </w:tcBorders>
            <w:shd w:val="clear" w:color="auto" w:fill="auto"/>
            <w:noWrap/>
            <w:vAlign w:val="center"/>
            <w:hideMark/>
          </w:tcPr>
          <w:p w14:paraId="2DF52D5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华西证券股份有限公司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31D98D7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21412C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7218C5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D11A33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7954FD1C"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80B53E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58</w:t>
            </w:r>
          </w:p>
        </w:tc>
        <w:tc>
          <w:tcPr>
            <w:tcW w:w="3294" w:type="dxa"/>
            <w:tcBorders>
              <w:top w:val="nil"/>
              <w:left w:val="nil"/>
              <w:bottom w:val="single" w:sz="4" w:space="0" w:color="auto"/>
              <w:right w:val="single" w:sz="4" w:space="0" w:color="auto"/>
            </w:tcBorders>
            <w:shd w:val="clear" w:color="auto" w:fill="auto"/>
            <w:noWrap/>
            <w:vAlign w:val="center"/>
            <w:hideMark/>
          </w:tcPr>
          <w:p w14:paraId="759EDBF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华鑫证券有限责任公司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6A69C07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60A5DF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06C2BAE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789B79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659E59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C7F12A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59</w:t>
            </w:r>
          </w:p>
        </w:tc>
        <w:tc>
          <w:tcPr>
            <w:tcW w:w="3294" w:type="dxa"/>
            <w:tcBorders>
              <w:top w:val="nil"/>
              <w:left w:val="nil"/>
              <w:bottom w:val="single" w:sz="4" w:space="0" w:color="auto"/>
              <w:right w:val="single" w:sz="4" w:space="0" w:color="auto"/>
            </w:tcBorders>
            <w:shd w:val="clear" w:color="auto" w:fill="auto"/>
            <w:noWrap/>
            <w:vAlign w:val="center"/>
            <w:hideMark/>
          </w:tcPr>
          <w:p w14:paraId="41FC92A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金元证券股份有限公司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1191CFC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1DDD6D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688017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AAD531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4BE057D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1CA715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60</w:t>
            </w:r>
          </w:p>
        </w:tc>
        <w:tc>
          <w:tcPr>
            <w:tcW w:w="3294" w:type="dxa"/>
            <w:tcBorders>
              <w:top w:val="nil"/>
              <w:left w:val="nil"/>
              <w:bottom w:val="single" w:sz="4" w:space="0" w:color="auto"/>
              <w:right w:val="single" w:sz="4" w:space="0" w:color="auto"/>
            </w:tcBorders>
            <w:shd w:val="clear" w:color="auto" w:fill="auto"/>
            <w:noWrap/>
            <w:vAlign w:val="center"/>
            <w:hideMark/>
          </w:tcPr>
          <w:p w14:paraId="2E6B882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开源证券股份有限公司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6E53F13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5591CF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6B9689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1EDD3B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6450D09"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897BCA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61</w:t>
            </w:r>
          </w:p>
        </w:tc>
        <w:tc>
          <w:tcPr>
            <w:tcW w:w="3294" w:type="dxa"/>
            <w:tcBorders>
              <w:top w:val="nil"/>
              <w:left w:val="nil"/>
              <w:bottom w:val="single" w:sz="4" w:space="0" w:color="auto"/>
              <w:right w:val="single" w:sz="4" w:space="0" w:color="auto"/>
            </w:tcBorders>
            <w:shd w:val="clear" w:color="auto" w:fill="auto"/>
            <w:noWrap/>
            <w:vAlign w:val="center"/>
            <w:hideMark/>
          </w:tcPr>
          <w:p w14:paraId="702C7CA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南京证券股份有限公司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5B6D86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299ABA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C5A3E3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D10BD9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0483C45"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211F64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62</w:t>
            </w:r>
          </w:p>
        </w:tc>
        <w:tc>
          <w:tcPr>
            <w:tcW w:w="3294" w:type="dxa"/>
            <w:tcBorders>
              <w:top w:val="nil"/>
              <w:left w:val="nil"/>
              <w:bottom w:val="single" w:sz="4" w:space="0" w:color="auto"/>
              <w:right w:val="single" w:sz="4" w:space="0" w:color="auto"/>
            </w:tcBorders>
            <w:shd w:val="clear" w:color="auto" w:fill="auto"/>
            <w:noWrap/>
            <w:vAlign w:val="center"/>
            <w:hideMark/>
          </w:tcPr>
          <w:p w14:paraId="7622AE4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世纪证券有限责任公司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2B83DBF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C9B53C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6DEA9F9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CFA101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90564D0"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E3CC47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63</w:t>
            </w:r>
          </w:p>
        </w:tc>
        <w:tc>
          <w:tcPr>
            <w:tcW w:w="3294" w:type="dxa"/>
            <w:tcBorders>
              <w:top w:val="nil"/>
              <w:left w:val="nil"/>
              <w:bottom w:val="single" w:sz="4" w:space="0" w:color="auto"/>
              <w:right w:val="single" w:sz="4" w:space="0" w:color="auto"/>
            </w:tcBorders>
            <w:shd w:val="clear" w:color="auto" w:fill="auto"/>
            <w:noWrap/>
            <w:vAlign w:val="center"/>
            <w:hideMark/>
          </w:tcPr>
          <w:p w14:paraId="2C4AA35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首创证券有限责任公司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4668FDD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4DE4A7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1EDC782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AFA226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4A024A2"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EF9524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64</w:t>
            </w:r>
          </w:p>
        </w:tc>
        <w:tc>
          <w:tcPr>
            <w:tcW w:w="3294" w:type="dxa"/>
            <w:tcBorders>
              <w:top w:val="nil"/>
              <w:left w:val="nil"/>
              <w:bottom w:val="single" w:sz="4" w:space="0" w:color="auto"/>
              <w:right w:val="single" w:sz="4" w:space="0" w:color="auto"/>
            </w:tcBorders>
            <w:shd w:val="clear" w:color="auto" w:fill="auto"/>
            <w:noWrap/>
            <w:vAlign w:val="center"/>
            <w:hideMark/>
          </w:tcPr>
          <w:p w14:paraId="5DD6826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万联证券股份有限公司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09547E2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977AF5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4F8ED0B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4EA894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5043315"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EAA202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65</w:t>
            </w:r>
          </w:p>
        </w:tc>
        <w:tc>
          <w:tcPr>
            <w:tcW w:w="3294" w:type="dxa"/>
            <w:tcBorders>
              <w:top w:val="nil"/>
              <w:left w:val="nil"/>
              <w:bottom w:val="single" w:sz="4" w:space="0" w:color="auto"/>
              <w:right w:val="single" w:sz="4" w:space="0" w:color="auto"/>
            </w:tcBorders>
            <w:shd w:val="clear" w:color="auto" w:fill="auto"/>
            <w:noWrap/>
            <w:vAlign w:val="center"/>
            <w:hideMark/>
          </w:tcPr>
          <w:p w14:paraId="4FA09F6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五矿证券有限公司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601042C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ADFB37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22F6071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37B1C9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1F893266"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D2873E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66</w:t>
            </w:r>
          </w:p>
        </w:tc>
        <w:tc>
          <w:tcPr>
            <w:tcW w:w="3294" w:type="dxa"/>
            <w:tcBorders>
              <w:top w:val="nil"/>
              <w:left w:val="nil"/>
              <w:bottom w:val="single" w:sz="4" w:space="0" w:color="auto"/>
              <w:right w:val="single" w:sz="4" w:space="0" w:color="auto"/>
            </w:tcBorders>
            <w:shd w:val="clear" w:color="auto" w:fill="auto"/>
            <w:noWrap/>
            <w:vAlign w:val="center"/>
            <w:hideMark/>
          </w:tcPr>
          <w:p w14:paraId="13F29B5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西部证券股份有限公司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5D3E245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405A96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58408EF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FB861B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A89F224"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D5F3E21"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lastRenderedPageBreak/>
              <w:t>67</w:t>
            </w:r>
          </w:p>
        </w:tc>
        <w:tc>
          <w:tcPr>
            <w:tcW w:w="3294" w:type="dxa"/>
            <w:tcBorders>
              <w:top w:val="nil"/>
              <w:left w:val="nil"/>
              <w:bottom w:val="single" w:sz="4" w:space="0" w:color="auto"/>
              <w:right w:val="single" w:sz="4" w:space="0" w:color="auto"/>
            </w:tcBorders>
            <w:shd w:val="clear" w:color="auto" w:fill="auto"/>
            <w:noWrap/>
            <w:vAlign w:val="center"/>
            <w:hideMark/>
          </w:tcPr>
          <w:p w14:paraId="79DF7856"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西南证券股份有限公司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0D18814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024CC1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1EB5C6B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E958E8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2D3251D1"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91B16C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68</w:t>
            </w:r>
          </w:p>
        </w:tc>
        <w:tc>
          <w:tcPr>
            <w:tcW w:w="3294" w:type="dxa"/>
            <w:tcBorders>
              <w:top w:val="nil"/>
              <w:left w:val="nil"/>
              <w:bottom w:val="single" w:sz="4" w:space="0" w:color="auto"/>
              <w:right w:val="single" w:sz="4" w:space="0" w:color="auto"/>
            </w:tcBorders>
            <w:shd w:val="clear" w:color="auto" w:fill="auto"/>
            <w:noWrap/>
            <w:vAlign w:val="center"/>
            <w:hideMark/>
          </w:tcPr>
          <w:p w14:paraId="4F45F05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信达证券股份有限公司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492212D8"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B39CF1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3CBAC42"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79C2B3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AC50CB4"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E79964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69</w:t>
            </w:r>
          </w:p>
        </w:tc>
        <w:tc>
          <w:tcPr>
            <w:tcW w:w="3294" w:type="dxa"/>
            <w:tcBorders>
              <w:top w:val="nil"/>
              <w:left w:val="nil"/>
              <w:bottom w:val="single" w:sz="4" w:space="0" w:color="auto"/>
              <w:right w:val="single" w:sz="4" w:space="0" w:color="auto"/>
            </w:tcBorders>
            <w:shd w:val="clear" w:color="auto" w:fill="auto"/>
            <w:noWrap/>
            <w:vAlign w:val="center"/>
            <w:hideMark/>
          </w:tcPr>
          <w:p w14:paraId="19878D2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粤开证券股份有限公司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003E8C7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A9EE09B"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3C1B896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774113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A7EB13B"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484FED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70</w:t>
            </w:r>
          </w:p>
        </w:tc>
        <w:tc>
          <w:tcPr>
            <w:tcW w:w="3294" w:type="dxa"/>
            <w:tcBorders>
              <w:top w:val="nil"/>
              <w:left w:val="nil"/>
              <w:bottom w:val="single" w:sz="4" w:space="0" w:color="auto"/>
              <w:right w:val="single" w:sz="4" w:space="0" w:color="auto"/>
            </w:tcBorders>
            <w:shd w:val="clear" w:color="auto" w:fill="auto"/>
            <w:noWrap/>
            <w:vAlign w:val="center"/>
            <w:hideMark/>
          </w:tcPr>
          <w:p w14:paraId="3D30CFA7"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长城国瑞证券有限公司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149AFBD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8BBDCC5"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7A11227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E652D1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0464DB52"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961E5F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71</w:t>
            </w:r>
          </w:p>
        </w:tc>
        <w:tc>
          <w:tcPr>
            <w:tcW w:w="3294" w:type="dxa"/>
            <w:tcBorders>
              <w:top w:val="nil"/>
              <w:left w:val="nil"/>
              <w:bottom w:val="single" w:sz="4" w:space="0" w:color="auto"/>
              <w:right w:val="single" w:sz="4" w:space="0" w:color="auto"/>
            </w:tcBorders>
            <w:shd w:val="clear" w:color="auto" w:fill="auto"/>
            <w:noWrap/>
            <w:vAlign w:val="center"/>
            <w:hideMark/>
          </w:tcPr>
          <w:p w14:paraId="7BC13F0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长城证券股份有限公司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3F9ADB4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2DA615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7ED55C2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A3D800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234203E"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C3E7F4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72</w:t>
            </w:r>
          </w:p>
        </w:tc>
        <w:tc>
          <w:tcPr>
            <w:tcW w:w="3294" w:type="dxa"/>
            <w:tcBorders>
              <w:top w:val="nil"/>
              <w:left w:val="nil"/>
              <w:bottom w:val="single" w:sz="4" w:space="0" w:color="auto"/>
              <w:right w:val="single" w:sz="4" w:space="0" w:color="auto"/>
            </w:tcBorders>
            <w:shd w:val="clear" w:color="auto" w:fill="auto"/>
            <w:noWrap/>
            <w:vAlign w:val="center"/>
            <w:hideMark/>
          </w:tcPr>
          <w:p w14:paraId="74A694BF"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中山证券有限责任公司</w:t>
            </w:r>
          </w:p>
        </w:tc>
        <w:tc>
          <w:tcPr>
            <w:tcW w:w="1100" w:type="dxa"/>
            <w:tcBorders>
              <w:top w:val="nil"/>
              <w:left w:val="nil"/>
              <w:bottom w:val="single" w:sz="4" w:space="0" w:color="auto"/>
              <w:right w:val="single" w:sz="4" w:space="0" w:color="auto"/>
            </w:tcBorders>
            <w:shd w:val="clear" w:color="auto" w:fill="auto"/>
            <w:noWrap/>
            <w:vAlign w:val="center"/>
            <w:hideMark/>
          </w:tcPr>
          <w:p w14:paraId="35A5532E"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274E5DA"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79A2A36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F62892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5FB6D3DD"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4C5AF3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73</w:t>
            </w:r>
          </w:p>
        </w:tc>
        <w:tc>
          <w:tcPr>
            <w:tcW w:w="3294" w:type="dxa"/>
            <w:tcBorders>
              <w:top w:val="nil"/>
              <w:left w:val="nil"/>
              <w:bottom w:val="single" w:sz="4" w:space="0" w:color="auto"/>
              <w:right w:val="single" w:sz="4" w:space="0" w:color="auto"/>
            </w:tcBorders>
            <w:shd w:val="clear" w:color="auto" w:fill="auto"/>
            <w:noWrap/>
            <w:vAlign w:val="center"/>
            <w:hideMark/>
          </w:tcPr>
          <w:p w14:paraId="7EE059E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海通期货股份有限公司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7FE6BDB9"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209605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4CC0AB8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680A140"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r w:rsidR="004959B4" w:rsidRPr="004959B4" w14:paraId="30C2CD19" w14:textId="77777777" w:rsidTr="004959B4">
        <w:trPr>
          <w:trHeight w:val="28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3EAA74C"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74</w:t>
            </w:r>
          </w:p>
        </w:tc>
        <w:tc>
          <w:tcPr>
            <w:tcW w:w="3294" w:type="dxa"/>
            <w:tcBorders>
              <w:top w:val="nil"/>
              <w:left w:val="nil"/>
              <w:bottom w:val="single" w:sz="4" w:space="0" w:color="auto"/>
              <w:right w:val="single" w:sz="4" w:space="0" w:color="auto"/>
            </w:tcBorders>
            <w:shd w:val="clear" w:color="auto" w:fill="auto"/>
            <w:noWrap/>
            <w:vAlign w:val="center"/>
            <w:hideMark/>
          </w:tcPr>
          <w:p w14:paraId="5C20B233"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中信期货有限公司</w:t>
            </w:r>
          </w:p>
        </w:tc>
        <w:tc>
          <w:tcPr>
            <w:tcW w:w="1100" w:type="dxa"/>
            <w:tcBorders>
              <w:top w:val="nil"/>
              <w:left w:val="nil"/>
              <w:bottom w:val="single" w:sz="4" w:space="0" w:color="auto"/>
              <w:right w:val="single" w:sz="4" w:space="0" w:color="auto"/>
            </w:tcBorders>
            <w:shd w:val="clear" w:color="auto" w:fill="auto"/>
            <w:noWrap/>
            <w:vAlign w:val="center"/>
            <w:hideMark/>
          </w:tcPr>
          <w:p w14:paraId="6D61331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4F17D54"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134" w:type="dxa"/>
            <w:tcBorders>
              <w:top w:val="nil"/>
              <w:left w:val="nil"/>
              <w:bottom w:val="single" w:sz="4" w:space="0" w:color="auto"/>
              <w:right w:val="single" w:sz="4" w:space="0" w:color="auto"/>
            </w:tcBorders>
            <w:shd w:val="clear" w:color="auto" w:fill="auto"/>
            <w:noWrap/>
            <w:vAlign w:val="center"/>
            <w:hideMark/>
          </w:tcPr>
          <w:p w14:paraId="7F61CB1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5BA224D" w14:textId="77777777" w:rsidR="004959B4" w:rsidRPr="004959B4" w:rsidRDefault="004959B4" w:rsidP="004959B4">
            <w:pPr>
              <w:widowControl/>
              <w:jc w:val="center"/>
              <w:rPr>
                <w:rFonts w:asciiTheme="minorEastAsia" w:eastAsiaTheme="minorEastAsia" w:hAnsiTheme="minorEastAsia" w:cs="宋体"/>
                <w:color w:val="000000"/>
                <w:kern w:val="0"/>
                <w:sz w:val="21"/>
                <w:szCs w:val="18"/>
              </w:rPr>
            </w:pPr>
            <w:r w:rsidRPr="004959B4">
              <w:rPr>
                <w:rFonts w:asciiTheme="minorEastAsia" w:eastAsiaTheme="minorEastAsia" w:hAnsiTheme="minorEastAsia" w:cs="宋体" w:hint="eastAsia"/>
                <w:color w:val="000000"/>
                <w:kern w:val="0"/>
                <w:sz w:val="21"/>
                <w:szCs w:val="18"/>
              </w:rPr>
              <w:t>是</w:t>
            </w:r>
          </w:p>
        </w:tc>
      </w:tr>
    </w:tbl>
    <w:p w14:paraId="0BB67E19" w14:textId="1A0CF54D" w:rsidR="00752A9C" w:rsidRPr="00000864" w:rsidRDefault="00E23603" w:rsidP="00752A9C">
      <w:pPr>
        <w:pStyle w:val="2"/>
        <w:spacing w:line="560" w:lineRule="exact"/>
        <w:rPr>
          <w:rStyle w:val="a3"/>
          <w:rFonts w:asciiTheme="minorEastAsia" w:eastAsiaTheme="minorEastAsia" w:hAnsiTheme="minorEastAsia"/>
          <w:color w:val="000000"/>
          <w:sz w:val="24"/>
          <w:szCs w:val="24"/>
        </w:rPr>
      </w:pPr>
      <w:bookmarkStart w:id="6" w:name="_Toc275961402"/>
      <w:r>
        <w:rPr>
          <w:rFonts w:asciiTheme="minorEastAsia" w:eastAsiaTheme="minorEastAsia" w:hAnsiTheme="minorEastAsia"/>
          <w:bCs w:val="0"/>
          <w:color w:val="000000"/>
          <w:sz w:val="24"/>
          <w:szCs w:val="24"/>
        </w:rPr>
        <w:t>6</w:t>
      </w:r>
      <w:r w:rsidR="00752A9C" w:rsidRPr="00000864">
        <w:rPr>
          <w:rFonts w:asciiTheme="minorEastAsia" w:eastAsiaTheme="minorEastAsia" w:hAnsiTheme="minorEastAsia"/>
          <w:bCs w:val="0"/>
          <w:color w:val="000000"/>
          <w:sz w:val="24"/>
          <w:szCs w:val="24"/>
        </w:rPr>
        <w:t xml:space="preserve"> 基金份额净值公告/基金收益公告的披露安排</w:t>
      </w:r>
      <w:bookmarkEnd w:id="6"/>
    </w:p>
    <w:p w14:paraId="09CB0139" w14:textId="77777777" w:rsidR="005E4A91" w:rsidRDefault="00394799" w:rsidP="00561D4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111E7A">
        <w:rPr>
          <w:rFonts w:asciiTheme="minorEastAsia" w:eastAsiaTheme="minorEastAsia" w:hAnsiTheme="minorEastAsia" w:hint="eastAsia"/>
          <w:color w:val="000000"/>
          <w:sz w:val="24"/>
          <w:szCs w:val="24"/>
        </w:rPr>
        <w:t>《基金合同》生效后</w:t>
      </w:r>
      <w:r w:rsidR="00111E7A">
        <w:rPr>
          <w:rFonts w:asciiTheme="minorEastAsia" w:eastAsiaTheme="minorEastAsia" w:hAnsiTheme="minorEastAsia"/>
          <w:color w:val="000000"/>
          <w:sz w:val="24"/>
          <w:szCs w:val="24"/>
        </w:rPr>
        <w:t>，</w:t>
      </w:r>
      <w:r w:rsidR="00267B66" w:rsidRPr="00267B66">
        <w:rPr>
          <w:rFonts w:asciiTheme="minorEastAsia" w:eastAsiaTheme="minorEastAsia" w:hAnsiTheme="minorEastAsia" w:hint="eastAsia"/>
          <w:color w:val="000000"/>
          <w:sz w:val="24"/>
          <w:szCs w:val="24"/>
        </w:rPr>
        <w:t>在开始办理基金份额申购或者赎回后，</w:t>
      </w:r>
      <w:r w:rsidR="005E4A91" w:rsidRPr="005E4A91">
        <w:rPr>
          <w:rFonts w:asciiTheme="minorEastAsia" w:eastAsiaTheme="minorEastAsia" w:hAnsiTheme="minorEastAsia" w:hint="eastAsia"/>
          <w:color w:val="000000"/>
          <w:sz w:val="24"/>
          <w:szCs w:val="24"/>
        </w:rPr>
        <w:t>基金管理人应当至少每周在规定网站公告一次各类基金份额净值和各类基金份额累计净值。</w:t>
      </w:r>
    </w:p>
    <w:p w14:paraId="52BDBBF2" w14:textId="5BD16AF6" w:rsidR="00267B66" w:rsidRDefault="005E4A91" w:rsidP="00267B6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5E4A91">
        <w:rPr>
          <w:rFonts w:asciiTheme="minorEastAsia" w:eastAsiaTheme="minorEastAsia" w:hAnsiTheme="minorEastAsia" w:hint="eastAsia"/>
          <w:color w:val="000000"/>
          <w:sz w:val="24"/>
          <w:szCs w:val="24"/>
        </w:rPr>
        <w:t>在开始办理基金份额申购或者赎回后，</w:t>
      </w:r>
      <w:r w:rsidR="00267B66" w:rsidRPr="00267B66">
        <w:rPr>
          <w:rFonts w:asciiTheme="minorEastAsia" w:eastAsiaTheme="minorEastAsia" w:hAnsiTheme="minorEastAsia" w:hint="eastAsia"/>
          <w:color w:val="000000"/>
          <w:sz w:val="24"/>
          <w:szCs w:val="24"/>
        </w:rPr>
        <w:t>基金管理人应当在不晚于每个开放日的次日，通过指定网站、基金销售机构网站或者营业网点披露开放日的各类基金份额净值和各类基金份额累计净值。</w:t>
      </w:r>
    </w:p>
    <w:p w14:paraId="53E00CC1" w14:textId="2AB3C256" w:rsidR="00752A9C" w:rsidRPr="00000864" w:rsidRDefault="00394799">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BC5CC5">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r w:rsidRPr="00394799">
        <w:rPr>
          <w:rFonts w:asciiTheme="minorEastAsia" w:eastAsiaTheme="minorEastAsia" w:hAnsiTheme="minorEastAsia" w:hint="eastAsia"/>
          <w:color w:val="000000"/>
          <w:sz w:val="24"/>
          <w:szCs w:val="24"/>
        </w:rPr>
        <w:t>基金管理人应当在不晚于半年度和年度最后一日的次日， 在指定网站公告半年度和年度最后一日各类基金份额净值和各类基金份额累计净值。</w:t>
      </w:r>
    </w:p>
    <w:p w14:paraId="555619C9" w14:textId="58031628" w:rsidR="00752A9C" w:rsidRPr="00000864" w:rsidRDefault="00E23603" w:rsidP="00752A9C">
      <w:pPr>
        <w:pStyle w:val="2"/>
        <w:spacing w:line="560" w:lineRule="exact"/>
        <w:rPr>
          <w:rFonts w:asciiTheme="minorEastAsia" w:eastAsiaTheme="minorEastAsia" w:hAnsiTheme="minorEastAsia"/>
          <w:bCs w:val="0"/>
          <w:color w:val="000000"/>
          <w:sz w:val="24"/>
          <w:szCs w:val="24"/>
        </w:rPr>
      </w:pPr>
      <w:bookmarkStart w:id="7" w:name="_Toc275961403"/>
      <w:r>
        <w:rPr>
          <w:rFonts w:asciiTheme="minorEastAsia" w:eastAsiaTheme="minorEastAsia" w:hAnsiTheme="minorEastAsia"/>
          <w:bCs w:val="0"/>
          <w:color w:val="000000"/>
          <w:sz w:val="24"/>
          <w:szCs w:val="24"/>
        </w:rPr>
        <w:t xml:space="preserve">7 </w:t>
      </w:r>
      <w:r w:rsidR="00752A9C" w:rsidRPr="00000864">
        <w:rPr>
          <w:rFonts w:asciiTheme="minorEastAsia" w:eastAsiaTheme="minorEastAsia" w:hAnsiTheme="minorEastAsia"/>
          <w:bCs w:val="0"/>
          <w:color w:val="000000"/>
          <w:sz w:val="24"/>
          <w:szCs w:val="24"/>
        </w:rPr>
        <w:t>其他需要提示的事项</w:t>
      </w:r>
      <w:bookmarkEnd w:id="7"/>
    </w:p>
    <w:p w14:paraId="63280D68" w14:textId="568C03A5"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（1）上述销售机构均受理投资者的开户、日常</w:t>
      </w:r>
      <w:r w:rsidR="00E23603">
        <w:rPr>
          <w:rFonts w:asciiTheme="minorEastAsia" w:eastAsiaTheme="minorEastAsia" w:hAnsiTheme="minorEastAsia" w:hint="eastAsia"/>
          <w:color w:val="000000"/>
          <w:sz w:val="24"/>
          <w:szCs w:val="24"/>
        </w:rPr>
        <w:t>赎回</w:t>
      </w:r>
      <w:r w:rsidR="009C598E">
        <w:rPr>
          <w:rFonts w:asciiTheme="minorEastAsia" w:eastAsiaTheme="minorEastAsia" w:hAnsiTheme="minorEastAsia" w:hint="eastAsia"/>
          <w:color w:val="000000"/>
          <w:sz w:val="24"/>
          <w:szCs w:val="24"/>
        </w:rPr>
        <w:t>、转换</w:t>
      </w:r>
      <w:r w:rsidR="00E23603">
        <w:rPr>
          <w:rFonts w:asciiTheme="minorEastAsia" w:eastAsiaTheme="minorEastAsia" w:hAnsiTheme="minorEastAsia" w:hint="eastAsia"/>
          <w:color w:val="000000"/>
          <w:sz w:val="24"/>
          <w:szCs w:val="24"/>
        </w:rPr>
        <w:t>转出</w:t>
      </w:r>
      <w:r>
        <w:rPr>
          <w:rFonts w:asciiTheme="minorEastAsia" w:eastAsiaTheme="minorEastAsia" w:hAnsiTheme="minorEastAsia"/>
          <w:color w:val="000000"/>
          <w:sz w:val="24"/>
          <w:szCs w:val="24"/>
        </w:rPr>
        <w:t>等业务。</w:t>
      </w:r>
    </w:p>
    <w:p w14:paraId="50005F43" w14:textId="6651C715" w:rsidR="00003464" w:rsidRPr="00BB1537"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sidR="003A2494">
        <w:rPr>
          <w:rFonts w:asciiTheme="minorEastAsia" w:eastAsiaTheme="minorEastAsia" w:hAnsiTheme="minorEastAsia"/>
          <w:color w:val="000000"/>
          <w:sz w:val="24"/>
          <w:szCs w:val="24"/>
        </w:rPr>
        <w:t>）本公告仅对本基金日常</w:t>
      </w:r>
      <w:r w:rsidR="00E23603" w:rsidRPr="00E23603">
        <w:rPr>
          <w:rFonts w:asciiTheme="minorEastAsia" w:eastAsiaTheme="minorEastAsia" w:hAnsiTheme="minorEastAsia" w:hint="eastAsia"/>
          <w:color w:val="000000"/>
          <w:sz w:val="24"/>
          <w:szCs w:val="24"/>
        </w:rPr>
        <w:t>赎回、转换转出</w:t>
      </w:r>
      <w:r>
        <w:rPr>
          <w:rFonts w:asciiTheme="minorEastAsia" w:eastAsiaTheme="minorEastAsia" w:hAnsiTheme="minorEastAsia"/>
          <w:color w:val="000000"/>
          <w:sz w:val="24"/>
          <w:szCs w:val="24"/>
        </w:rPr>
        <w:t>业务的有关事项和规定予以说明。投资者欲了解本基金的详细情况，</w:t>
      </w:r>
      <w:r w:rsidR="001E1663" w:rsidRPr="001E1663">
        <w:rPr>
          <w:rFonts w:asciiTheme="minorEastAsia" w:eastAsiaTheme="minorEastAsia" w:hAnsiTheme="minorEastAsia" w:hint="eastAsia"/>
          <w:color w:val="000000"/>
          <w:sz w:val="24"/>
          <w:szCs w:val="24"/>
        </w:rPr>
        <w:t>请详细阅读</w:t>
      </w:r>
      <w:r w:rsidR="005B4EA5">
        <w:rPr>
          <w:rFonts w:asciiTheme="minorEastAsia" w:eastAsiaTheme="minorEastAsia" w:hAnsiTheme="minorEastAsia"/>
          <w:color w:val="000000"/>
          <w:sz w:val="24"/>
          <w:szCs w:val="24"/>
        </w:rPr>
        <w:t>2021</w:t>
      </w:r>
      <w:r w:rsidR="005B4EA5">
        <w:rPr>
          <w:rFonts w:asciiTheme="minorEastAsia" w:eastAsiaTheme="minorEastAsia" w:hAnsiTheme="minorEastAsia" w:hint="eastAsia"/>
          <w:color w:val="000000"/>
          <w:sz w:val="24"/>
          <w:szCs w:val="24"/>
        </w:rPr>
        <w:t>年</w:t>
      </w:r>
      <w:r w:rsidR="00056271">
        <w:rPr>
          <w:rFonts w:asciiTheme="minorEastAsia" w:eastAsiaTheme="minorEastAsia" w:hAnsiTheme="minorEastAsia"/>
          <w:color w:val="000000"/>
          <w:sz w:val="24"/>
          <w:szCs w:val="24"/>
        </w:rPr>
        <w:t>1</w:t>
      </w:r>
      <w:r w:rsidR="005B4EA5">
        <w:rPr>
          <w:rFonts w:asciiTheme="minorEastAsia" w:eastAsiaTheme="minorEastAsia" w:hAnsiTheme="minorEastAsia" w:hint="eastAsia"/>
          <w:color w:val="000000"/>
          <w:sz w:val="24"/>
          <w:szCs w:val="24"/>
        </w:rPr>
        <w:t>月</w:t>
      </w:r>
      <w:r w:rsidR="00056271">
        <w:rPr>
          <w:rFonts w:asciiTheme="minorEastAsia" w:eastAsiaTheme="minorEastAsia" w:hAnsiTheme="minorEastAsia"/>
          <w:color w:val="000000"/>
          <w:sz w:val="24"/>
          <w:szCs w:val="24"/>
        </w:rPr>
        <w:t>23</w:t>
      </w:r>
      <w:r w:rsidR="005B4EA5">
        <w:rPr>
          <w:rFonts w:asciiTheme="minorEastAsia" w:eastAsiaTheme="minorEastAsia" w:hAnsiTheme="minorEastAsia" w:hint="eastAsia"/>
          <w:color w:val="000000"/>
          <w:sz w:val="24"/>
          <w:szCs w:val="24"/>
        </w:rPr>
        <w:t>日</w:t>
      </w:r>
      <w:r w:rsidR="001E1663" w:rsidRPr="001E1663">
        <w:rPr>
          <w:rFonts w:asciiTheme="minorEastAsia" w:eastAsiaTheme="minorEastAsia" w:hAnsiTheme="minorEastAsia" w:hint="eastAsia"/>
          <w:color w:val="000000"/>
          <w:sz w:val="24"/>
          <w:szCs w:val="24"/>
        </w:rPr>
        <w:t>发布在本公司网站[http://www.bosera.com/]和中国证监会基金电子披露网站（http://eid.csrc.gov.cn/fund）上的</w:t>
      </w:r>
      <w:r w:rsidR="00B32481" w:rsidRPr="00B32481">
        <w:rPr>
          <w:rFonts w:asciiTheme="minorEastAsia" w:eastAsiaTheme="minorEastAsia" w:hAnsiTheme="minorEastAsia" w:hint="eastAsia"/>
          <w:color w:val="000000"/>
          <w:sz w:val="24"/>
          <w:szCs w:val="24"/>
        </w:rPr>
        <w:t>《</w:t>
      </w:r>
      <w:r w:rsidR="00056271">
        <w:rPr>
          <w:rFonts w:asciiTheme="minorEastAsia" w:eastAsiaTheme="minorEastAsia" w:hAnsiTheme="minorEastAsia" w:hint="eastAsia"/>
          <w:color w:val="000000"/>
          <w:sz w:val="24"/>
          <w:szCs w:val="24"/>
        </w:rPr>
        <w:t>博时恒元6个月持有期混合型证券投资基金</w:t>
      </w:r>
      <w:r w:rsidR="00B32481" w:rsidRPr="00B32481">
        <w:rPr>
          <w:rFonts w:asciiTheme="minorEastAsia" w:eastAsiaTheme="minorEastAsia" w:hAnsiTheme="minorEastAsia" w:hint="eastAsia"/>
          <w:color w:val="000000"/>
          <w:sz w:val="24"/>
          <w:szCs w:val="24"/>
        </w:rPr>
        <w:t>招募说明书》。</w:t>
      </w:r>
    </w:p>
    <w:p w14:paraId="54DEDBFA" w14:textId="77777777" w:rsidR="00E23603" w:rsidRDefault="00E23603">
      <w:pPr>
        <w:spacing w:line="360" w:lineRule="auto"/>
        <w:ind w:firstLineChars="200" w:firstLine="480"/>
        <w:rPr>
          <w:rFonts w:asciiTheme="minorEastAsia" w:eastAsiaTheme="minorEastAsia" w:hAnsiTheme="minorEastAsia"/>
          <w:color w:val="000000"/>
          <w:sz w:val="24"/>
          <w:szCs w:val="24"/>
        </w:rPr>
      </w:pPr>
    </w:p>
    <w:p w14:paraId="39537FAE" w14:textId="55FC8DF5"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特此公告。</w:t>
      </w:r>
    </w:p>
    <w:p w14:paraId="53561718" w14:textId="77777777" w:rsidR="00003464" w:rsidRDefault="00003464" w:rsidP="0019434A">
      <w:pPr>
        <w:spacing w:line="360" w:lineRule="auto"/>
        <w:rPr>
          <w:rFonts w:asciiTheme="minorEastAsia" w:eastAsiaTheme="minorEastAsia" w:hAnsiTheme="minorEastAsia"/>
          <w:color w:val="000000"/>
          <w:sz w:val="24"/>
          <w:szCs w:val="24"/>
        </w:rPr>
      </w:pPr>
    </w:p>
    <w:p w14:paraId="28C0C83D" w14:textId="77777777" w:rsidR="00003464" w:rsidRDefault="002B2510" w:rsidP="0019434A">
      <w:pPr>
        <w:spacing w:line="360" w:lineRule="auto"/>
        <w:ind w:firstLineChars="200" w:firstLine="48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博时基金管理有限公司</w:t>
      </w:r>
    </w:p>
    <w:p w14:paraId="06CEA1CF" w14:textId="2B47079F" w:rsidR="00752A9C" w:rsidRPr="00000864" w:rsidRDefault="00395E54" w:rsidP="0019434A">
      <w:pPr>
        <w:spacing w:line="360" w:lineRule="auto"/>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2021年9月13日</w:t>
      </w:r>
    </w:p>
    <w:p w14:paraId="402226EA" w14:textId="77777777" w:rsidR="002B053C" w:rsidRPr="00000864" w:rsidRDefault="002B053C">
      <w:pPr>
        <w:rPr>
          <w:rFonts w:asciiTheme="minorEastAsia" w:eastAsiaTheme="minorEastAsia" w:hAnsiTheme="minorEastAsia"/>
          <w:sz w:val="24"/>
          <w:szCs w:val="24"/>
        </w:rPr>
      </w:pPr>
    </w:p>
    <w:sectPr w:rsidR="002B053C" w:rsidRPr="00000864"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AAF0" w14:textId="77777777" w:rsidR="003B3AE1" w:rsidRDefault="003B3AE1" w:rsidP="00752A9C">
      <w:r>
        <w:separator/>
      </w:r>
    </w:p>
  </w:endnote>
  <w:endnote w:type="continuationSeparator" w:id="0">
    <w:p w14:paraId="63A8C7BE" w14:textId="77777777" w:rsidR="003B3AE1" w:rsidRDefault="003B3AE1" w:rsidP="007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8ACD" w14:textId="77777777" w:rsidR="003B3AE1" w:rsidRDefault="003B3AE1" w:rsidP="00752A9C">
      <w:r>
        <w:separator/>
      </w:r>
    </w:p>
  </w:footnote>
  <w:footnote w:type="continuationSeparator" w:id="0">
    <w:p w14:paraId="5CA411D5" w14:textId="77777777" w:rsidR="003B3AE1" w:rsidRDefault="003B3AE1" w:rsidP="00752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9C"/>
    <w:rsid w:val="00000864"/>
    <w:rsid w:val="00003464"/>
    <w:rsid w:val="00011B9E"/>
    <w:rsid w:val="000137C7"/>
    <w:rsid w:val="00025AF0"/>
    <w:rsid w:val="00041353"/>
    <w:rsid w:val="00051BBF"/>
    <w:rsid w:val="00056271"/>
    <w:rsid w:val="00090186"/>
    <w:rsid w:val="000B693A"/>
    <w:rsid w:val="000C2344"/>
    <w:rsid w:val="000E2123"/>
    <w:rsid w:val="000F7476"/>
    <w:rsid w:val="00111E7A"/>
    <w:rsid w:val="00136334"/>
    <w:rsid w:val="001513C0"/>
    <w:rsid w:val="001547D2"/>
    <w:rsid w:val="0019434A"/>
    <w:rsid w:val="001A4FEC"/>
    <w:rsid w:val="001B3C3D"/>
    <w:rsid w:val="001C595B"/>
    <w:rsid w:val="001E1663"/>
    <w:rsid w:val="00223B86"/>
    <w:rsid w:val="00224CE2"/>
    <w:rsid w:val="00245867"/>
    <w:rsid w:val="00252259"/>
    <w:rsid w:val="00254724"/>
    <w:rsid w:val="00267A58"/>
    <w:rsid w:val="00267B66"/>
    <w:rsid w:val="00270387"/>
    <w:rsid w:val="002A18A8"/>
    <w:rsid w:val="002B053C"/>
    <w:rsid w:val="002B2510"/>
    <w:rsid w:val="002B6AB6"/>
    <w:rsid w:val="002D4E4E"/>
    <w:rsid w:val="002D63B0"/>
    <w:rsid w:val="002F0339"/>
    <w:rsid w:val="0032182D"/>
    <w:rsid w:val="00324BE4"/>
    <w:rsid w:val="00335395"/>
    <w:rsid w:val="00350CF9"/>
    <w:rsid w:val="00367EA2"/>
    <w:rsid w:val="00370649"/>
    <w:rsid w:val="003846A0"/>
    <w:rsid w:val="003902C4"/>
    <w:rsid w:val="00394799"/>
    <w:rsid w:val="00395E54"/>
    <w:rsid w:val="003961DE"/>
    <w:rsid w:val="003A2494"/>
    <w:rsid w:val="003A315F"/>
    <w:rsid w:val="003A4FEA"/>
    <w:rsid w:val="003A5DF3"/>
    <w:rsid w:val="003B3AE1"/>
    <w:rsid w:val="003C037B"/>
    <w:rsid w:val="003C387F"/>
    <w:rsid w:val="003C5EB7"/>
    <w:rsid w:val="00415A69"/>
    <w:rsid w:val="00450DB3"/>
    <w:rsid w:val="0048510E"/>
    <w:rsid w:val="004959B4"/>
    <w:rsid w:val="004966BA"/>
    <w:rsid w:val="004A0E41"/>
    <w:rsid w:val="004F3A0F"/>
    <w:rsid w:val="00503647"/>
    <w:rsid w:val="00517CE9"/>
    <w:rsid w:val="0054597D"/>
    <w:rsid w:val="00554C43"/>
    <w:rsid w:val="00561D4B"/>
    <w:rsid w:val="00575FA6"/>
    <w:rsid w:val="005B4979"/>
    <w:rsid w:val="005B4EA5"/>
    <w:rsid w:val="005B6B0B"/>
    <w:rsid w:val="005E4A91"/>
    <w:rsid w:val="005E5A60"/>
    <w:rsid w:val="005E7139"/>
    <w:rsid w:val="006279F3"/>
    <w:rsid w:val="00632FAA"/>
    <w:rsid w:val="00634B06"/>
    <w:rsid w:val="006541E7"/>
    <w:rsid w:val="00670ECE"/>
    <w:rsid w:val="00671004"/>
    <w:rsid w:val="00684220"/>
    <w:rsid w:val="006B6F63"/>
    <w:rsid w:val="006D3A50"/>
    <w:rsid w:val="00704B22"/>
    <w:rsid w:val="007166A2"/>
    <w:rsid w:val="00730DEB"/>
    <w:rsid w:val="00742544"/>
    <w:rsid w:val="0074415C"/>
    <w:rsid w:val="00752A9C"/>
    <w:rsid w:val="007811BA"/>
    <w:rsid w:val="00782C2F"/>
    <w:rsid w:val="007A7F97"/>
    <w:rsid w:val="007D0009"/>
    <w:rsid w:val="007E2634"/>
    <w:rsid w:val="007E6868"/>
    <w:rsid w:val="0082483B"/>
    <w:rsid w:val="00895CA3"/>
    <w:rsid w:val="008963AD"/>
    <w:rsid w:val="008A4ABD"/>
    <w:rsid w:val="008B6F7B"/>
    <w:rsid w:val="008C0763"/>
    <w:rsid w:val="008C44D2"/>
    <w:rsid w:val="008E273C"/>
    <w:rsid w:val="009040BA"/>
    <w:rsid w:val="0092366A"/>
    <w:rsid w:val="00956B0F"/>
    <w:rsid w:val="00984488"/>
    <w:rsid w:val="00984EC8"/>
    <w:rsid w:val="00996291"/>
    <w:rsid w:val="00997BE3"/>
    <w:rsid w:val="009A40C1"/>
    <w:rsid w:val="009C598E"/>
    <w:rsid w:val="009D7194"/>
    <w:rsid w:val="009F2983"/>
    <w:rsid w:val="00A07F58"/>
    <w:rsid w:val="00A22421"/>
    <w:rsid w:val="00A36545"/>
    <w:rsid w:val="00A62667"/>
    <w:rsid w:val="00A64EC3"/>
    <w:rsid w:val="00AA6DEF"/>
    <w:rsid w:val="00AC0FFA"/>
    <w:rsid w:val="00AC6E8D"/>
    <w:rsid w:val="00AD12D5"/>
    <w:rsid w:val="00AD315E"/>
    <w:rsid w:val="00B32481"/>
    <w:rsid w:val="00B34084"/>
    <w:rsid w:val="00B35B6D"/>
    <w:rsid w:val="00B410F3"/>
    <w:rsid w:val="00B61981"/>
    <w:rsid w:val="00B75AF6"/>
    <w:rsid w:val="00B7677F"/>
    <w:rsid w:val="00B76F4D"/>
    <w:rsid w:val="00BB1537"/>
    <w:rsid w:val="00BC5CC5"/>
    <w:rsid w:val="00C47148"/>
    <w:rsid w:val="00C67CB4"/>
    <w:rsid w:val="00C86895"/>
    <w:rsid w:val="00CB4750"/>
    <w:rsid w:val="00CD3C0B"/>
    <w:rsid w:val="00D054FA"/>
    <w:rsid w:val="00D116EF"/>
    <w:rsid w:val="00D251D4"/>
    <w:rsid w:val="00D31F83"/>
    <w:rsid w:val="00D33A12"/>
    <w:rsid w:val="00D76587"/>
    <w:rsid w:val="00DA79B5"/>
    <w:rsid w:val="00DB3A1A"/>
    <w:rsid w:val="00DB7A59"/>
    <w:rsid w:val="00DC3355"/>
    <w:rsid w:val="00DF4595"/>
    <w:rsid w:val="00E038BD"/>
    <w:rsid w:val="00E06FAE"/>
    <w:rsid w:val="00E152CE"/>
    <w:rsid w:val="00E23603"/>
    <w:rsid w:val="00E70E9C"/>
    <w:rsid w:val="00E71DD6"/>
    <w:rsid w:val="00E96157"/>
    <w:rsid w:val="00EB0C3F"/>
    <w:rsid w:val="00ED7A12"/>
    <w:rsid w:val="00EE4694"/>
    <w:rsid w:val="00EF351E"/>
    <w:rsid w:val="00F11787"/>
    <w:rsid w:val="00F366BF"/>
    <w:rsid w:val="00F431CA"/>
    <w:rsid w:val="00F677BD"/>
    <w:rsid w:val="00F90DBE"/>
    <w:rsid w:val="00FA42EE"/>
    <w:rsid w:val="00FC33AF"/>
    <w:rsid w:val="00FD27A3"/>
    <w:rsid w:val="00FE2871"/>
    <w:rsid w:val="00FF14D2"/>
    <w:rsid w:val="00FF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0F65"/>
  <w15:docId w15:val="{CA6C96BD-0AFE-4D0C-A3A6-B532756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a5"/>
    <w:rsid w:val="00752A9C"/>
    <w:pPr>
      <w:snapToGrid w:val="0"/>
      <w:jc w:val="left"/>
    </w:pPr>
    <w:rPr>
      <w:rFonts w:eastAsia="宋体"/>
      <w:sz w:val="18"/>
    </w:rPr>
  </w:style>
  <w:style w:type="character" w:customStyle="1" w:styleId="a5">
    <w:name w:val="脚注文本 字符"/>
    <w:basedOn w:val="a0"/>
    <w:link w:val="a4"/>
    <w:rsid w:val="00752A9C"/>
    <w:rPr>
      <w:rFonts w:ascii="Times New Roman" w:eastAsia="宋体" w:hAnsi="Times New Roman" w:cs="Times New Roman"/>
      <w:sz w:val="18"/>
      <w:szCs w:val="20"/>
    </w:rPr>
  </w:style>
  <w:style w:type="paragraph" w:styleId="a6">
    <w:name w:val="Balloon Text"/>
    <w:basedOn w:val="a"/>
    <w:link w:val="a7"/>
    <w:uiPriority w:val="99"/>
    <w:semiHidden/>
    <w:unhideWhenUsed/>
    <w:rsid w:val="0054597D"/>
    <w:rPr>
      <w:sz w:val="18"/>
      <w:szCs w:val="18"/>
    </w:rPr>
  </w:style>
  <w:style w:type="character" w:customStyle="1" w:styleId="a7">
    <w:name w:val="批注框文本 字符"/>
    <w:basedOn w:val="a0"/>
    <w:link w:val="a6"/>
    <w:uiPriority w:val="99"/>
    <w:semiHidden/>
    <w:rsid w:val="0054597D"/>
    <w:rPr>
      <w:rFonts w:ascii="Times New Roman" w:eastAsia="方正仿宋简体" w:hAnsi="Times New Roman" w:cs="Times New Roman"/>
      <w:sz w:val="18"/>
      <w:szCs w:val="18"/>
    </w:rPr>
  </w:style>
  <w:style w:type="paragraph" w:styleId="a8">
    <w:name w:val="header"/>
    <w:basedOn w:val="a"/>
    <w:link w:val="a9"/>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A79B5"/>
    <w:rPr>
      <w:rFonts w:ascii="Times New Roman" w:eastAsia="方正仿宋简体" w:hAnsi="Times New Roman" w:cs="Times New Roman"/>
      <w:sz w:val="18"/>
      <w:szCs w:val="18"/>
    </w:rPr>
  </w:style>
  <w:style w:type="paragraph" w:styleId="aa">
    <w:name w:val="footer"/>
    <w:basedOn w:val="a"/>
    <w:link w:val="ab"/>
    <w:uiPriority w:val="99"/>
    <w:unhideWhenUsed/>
    <w:rsid w:val="00DA79B5"/>
    <w:pPr>
      <w:tabs>
        <w:tab w:val="center" w:pos="4153"/>
        <w:tab w:val="right" w:pos="8306"/>
      </w:tabs>
      <w:snapToGrid w:val="0"/>
      <w:jc w:val="left"/>
    </w:pPr>
    <w:rPr>
      <w:sz w:val="18"/>
      <w:szCs w:val="18"/>
    </w:rPr>
  </w:style>
  <w:style w:type="character" w:customStyle="1" w:styleId="ab">
    <w:name w:val="页脚 字符"/>
    <w:basedOn w:val="a0"/>
    <w:link w:val="aa"/>
    <w:uiPriority w:val="99"/>
    <w:rsid w:val="00DA79B5"/>
    <w:rPr>
      <w:rFonts w:ascii="Times New Roman" w:eastAsia="方正仿宋简体" w:hAnsi="Times New Roman" w:cs="Times New Roman"/>
      <w:sz w:val="18"/>
      <w:szCs w:val="18"/>
    </w:rPr>
  </w:style>
  <w:style w:type="paragraph" w:styleId="3">
    <w:name w:val="Body Text Indent 3"/>
    <w:basedOn w:val="a"/>
    <w:link w:val="30"/>
    <w:rsid w:val="00051BBF"/>
    <w:pPr>
      <w:spacing w:after="120"/>
      <w:ind w:leftChars="200" w:left="420"/>
    </w:pPr>
    <w:rPr>
      <w:rFonts w:eastAsia="宋体"/>
      <w:sz w:val="16"/>
      <w:szCs w:val="16"/>
    </w:rPr>
  </w:style>
  <w:style w:type="character" w:customStyle="1" w:styleId="30">
    <w:name w:val="正文文本缩进 3 字符"/>
    <w:basedOn w:val="a0"/>
    <w:link w:val="3"/>
    <w:rsid w:val="00051BBF"/>
    <w:rPr>
      <w:rFonts w:ascii="Times New Roman" w:eastAsia="宋体" w:hAnsi="Times New Roman" w:cs="Times New Roman"/>
      <w:sz w:val="16"/>
      <w:szCs w:val="16"/>
    </w:rPr>
  </w:style>
  <w:style w:type="paragraph" w:customStyle="1" w:styleId="HD">
    <w:name w:val="HD正文"/>
    <w:basedOn w:val="a"/>
    <w:qFormat/>
    <w:rsid w:val="00051BBF"/>
    <w:pPr>
      <w:numPr>
        <w:ilvl w:val="12"/>
      </w:numPr>
      <w:snapToGrid w:val="0"/>
      <w:spacing w:line="360" w:lineRule="auto"/>
      <w:ind w:firstLineChars="200" w:firstLine="420"/>
    </w:pPr>
    <w:rPr>
      <w:rFonts w:eastAsia="宋体"/>
      <w:sz w:val="21"/>
      <w:szCs w:val="21"/>
    </w:rPr>
  </w:style>
  <w:style w:type="character" w:styleId="ac">
    <w:name w:val="annotation reference"/>
    <w:basedOn w:val="a0"/>
    <w:uiPriority w:val="99"/>
    <w:semiHidden/>
    <w:unhideWhenUsed/>
    <w:rsid w:val="00BB1537"/>
    <w:rPr>
      <w:sz w:val="21"/>
      <w:szCs w:val="21"/>
    </w:rPr>
  </w:style>
  <w:style w:type="paragraph" w:styleId="ad">
    <w:name w:val="annotation text"/>
    <w:basedOn w:val="a"/>
    <w:link w:val="ae"/>
    <w:uiPriority w:val="99"/>
    <w:semiHidden/>
    <w:unhideWhenUsed/>
    <w:rsid w:val="00BB1537"/>
    <w:pPr>
      <w:jc w:val="left"/>
    </w:pPr>
  </w:style>
  <w:style w:type="character" w:customStyle="1" w:styleId="ae">
    <w:name w:val="批注文字 字符"/>
    <w:basedOn w:val="a0"/>
    <w:link w:val="ad"/>
    <w:uiPriority w:val="99"/>
    <w:semiHidden/>
    <w:rsid w:val="00BB1537"/>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BB1537"/>
    <w:rPr>
      <w:b/>
      <w:bCs/>
    </w:rPr>
  </w:style>
  <w:style w:type="character" w:customStyle="1" w:styleId="af0">
    <w:name w:val="批注主题 字符"/>
    <w:basedOn w:val="ae"/>
    <w:link w:val="af"/>
    <w:uiPriority w:val="99"/>
    <w:semiHidden/>
    <w:rsid w:val="00BB1537"/>
    <w:rPr>
      <w:rFonts w:ascii="Times New Roman" w:eastAsia="方正仿宋简体" w:hAnsi="Times New Roman" w:cs="Times New Roman"/>
      <w:b/>
      <w:bCs/>
      <w:sz w:val="32"/>
      <w:szCs w:val="20"/>
    </w:rPr>
  </w:style>
  <w:style w:type="paragraph" w:styleId="af1">
    <w:name w:val="List Paragraph"/>
    <w:basedOn w:val="a"/>
    <w:uiPriority w:val="34"/>
    <w:qFormat/>
    <w:rsid w:val="00394799"/>
    <w:pPr>
      <w:ind w:firstLineChars="200" w:firstLine="420"/>
    </w:pPr>
  </w:style>
  <w:style w:type="character" w:styleId="af2">
    <w:name w:val="Hyperlink"/>
    <w:basedOn w:val="a0"/>
    <w:uiPriority w:val="99"/>
    <w:semiHidden/>
    <w:unhideWhenUsed/>
    <w:rsid w:val="002F0339"/>
    <w:rPr>
      <w:color w:val="0563C1"/>
      <w:u w:val="single"/>
    </w:rPr>
  </w:style>
  <w:style w:type="character" w:styleId="af3">
    <w:name w:val="FollowedHyperlink"/>
    <w:basedOn w:val="a0"/>
    <w:uiPriority w:val="99"/>
    <w:semiHidden/>
    <w:unhideWhenUsed/>
    <w:rsid w:val="002F0339"/>
    <w:rPr>
      <w:color w:val="954F72"/>
      <w:u w:val="single"/>
    </w:rPr>
  </w:style>
  <w:style w:type="paragraph" w:customStyle="1" w:styleId="msonormal0">
    <w:name w:val="msonormal"/>
    <w:basedOn w:val="a"/>
    <w:rsid w:val="002F033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F0339"/>
    <w:pPr>
      <w:widowControl/>
      <w:spacing w:before="100" w:beforeAutospacing="1" w:after="100" w:afterAutospacing="1"/>
      <w:jc w:val="left"/>
    </w:pPr>
    <w:rPr>
      <w:rFonts w:ascii="宋体" w:eastAsia="宋体" w:hAnsi="宋体" w:cs="宋体"/>
      <w:b/>
      <w:bCs/>
      <w:color w:val="000000"/>
      <w:kern w:val="0"/>
      <w:sz w:val="20"/>
    </w:rPr>
  </w:style>
  <w:style w:type="paragraph" w:customStyle="1" w:styleId="font6">
    <w:name w:val="font6"/>
    <w:basedOn w:val="a"/>
    <w:rsid w:val="002F033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rPr>
  </w:style>
  <w:style w:type="paragraph" w:customStyle="1" w:styleId="xl65">
    <w:name w:val="xl65"/>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0"/>
    </w:rPr>
  </w:style>
  <w:style w:type="paragraph" w:customStyle="1" w:styleId="xl66">
    <w:name w:val="xl66"/>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rPr>
  </w:style>
  <w:style w:type="paragraph" w:customStyle="1" w:styleId="xl67">
    <w:name w:val="xl67"/>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rPr>
  </w:style>
  <w:style w:type="paragraph" w:customStyle="1" w:styleId="xl68">
    <w:name w:val="xl68"/>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9">
    <w:name w:val="xl69"/>
    <w:basedOn w:val="a"/>
    <w:rsid w:val="002F03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258">
      <w:bodyDiv w:val="1"/>
      <w:marLeft w:val="0"/>
      <w:marRight w:val="0"/>
      <w:marTop w:val="0"/>
      <w:marBottom w:val="0"/>
      <w:divBdr>
        <w:top w:val="none" w:sz="0" w:space="0" w:color="auto"/>
        <w:left w:val="none" w:sz="0" w:space="0" w:color="auto"/>
        <w:bottom w:val="none" w:sz="0" w:space="0" w:color="auto"/>
        <w:right w:val="none" w:sz="0" w:space="0" w:color="auto"/>
      </w:divBdr>
    </w:div>
    <w:div w:id="74480454">
      <w:bodyDiv w:val="1"/>
      <w:marLeft w:val="0"/>
      <w:marRight w:val="0"/>
      <w:marTop w:val="0"/>
      <w:marBottom w:val="0"/>
      <w:divBdr>
        <w:top w:val="none" w:sz="0" w:space="0" w:color="auto"/>
        <w:left w:val="none" w:sz="0" w:space="0" w:color="auto"/>
        <w:bottom w:val="none" w:sz="0" w:space="0" w:color="auto"/>
        <w:right w:val="none" w:sz="0" w:space="0" w:color="auto"/>
      </w:divBdr>
    </w:div>
    <w:div w:id="287396799">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459304474">
      <w:bodyDiv w:val="1"/>
      <w:marLeft w:val="0"/>
      <w:marRight w:val="0"/>
      <w:marTop w:val="0"/>
      <w:marBottom w:val="0"/>
      <w:divBdr>
        <w:top w:val="none" w:sz="0" w:space="0" w:color="auto"/>
        <w:left w:val="none" w:sz="0" w:space="0" w:color="auto"/>
        <w:bottom w:val="none" w:sz="0" w:space="0" w:color="auto"/>
        <w:right w:val="none" w:sz="0" w:space="0" w:color="auto"/>
      </w:divBdr>
    </w:div>
    <w:div w:id="474687637">
      <w:bodyDiv w:val="1"/>
      <w:marLeft w:val="0"/>
      <w:marRight w:val="0"/>
      <w:marTop w:val="0"/>
      <w:marBottom w:val="0"/>
      <w:divBdr>
        <w:top w:val="none" w:sz="0" w:space="0" w:color="auto"/>
        <w:left w:val="none" w:sz="0" w:space="0" w:color="auto"/>
        <w:bottom w:val="none" w:sz="0" w:space="0" w:color="auto"/>
        <w:right w:val="none" w:sz="0" w:space="0" w:color="auto"/>
      </w:divBdr>
    </w:div>
    <w:div w:id="565184326">
      <w:bodyDiv w:val="1"/>
      <w:marLeft w:val="0"/>
      <w:marRight w:val="0"/>
      <w:marTop w:val="0"/>
      <w:marBottom w:val="0"/>
      <w:divBdr>
        <w:top w:val="none" w:sz="0" w:space="0" w:color="auto"/>
        <w:left w:val="none" w:sz="0" w:space="0" w:color="auto"/>
        <w:bottom w:val="none" w:sz="0" w:space="0" w:color="auto"/>
        <w:right w:val="none" w:sz="0" w:space="0" w:color="auto"/>
      </w:divBdr>
    </w:div>
    <w:div w:id="602953666">
      <w:bodyDiv w:val="1"/>
      <w:marLeft w:val="0"/>
      <w:marRight w:val="0"/>
      <w:marTop w:val="0"/>
      <w:marBottom w:val="0"/>
      <w:divBdr>
        <w:top w:val="none" w:sz="0" w:space="0" w:color="auto"/>
        <w:left w:val="none" w:sz="0" w:space="0" w:color="auto"/>
        <w:bottom w:val="none" w:sz="0" w:space="0" w:color="auto"/>
        <w:right w:val="none" w:sz="0" w:space="0" w:color="auto"/>
      </w:divBdr>
    </w:div>
    <w:div w:id="634457320">
      <w:bodyDiv w:val="1"/>
      <w:marLeft w:val="0"/>
      <w:marRight w:val="0"/>
      <w:marTop w:val="0"/>
      <w:marBottom w:val="0"/>
      <w:divBdr>
        <w:top w:val="none" w:sz="0" w:space="0" w:color="auto"/>
        <w:left w:val="none" w:sz="0" w:space="0" w:color="auto"/>
        <w:bottom w:val="none" w:sz="0" w:space="0" w:color="auto"/>
        <w:right w:val="none" w:sz="0" w:space="0" w:color="auto"/>
      </w:divBdr>
    </w:div>
    <w:div w:id="682633402">
      <w:bodyDiv w:val="1"/>
      <w:marLeft w:val="0"/>
      <w:marRight w:val="0"/>
      <w:marTop w:val="0"/>
      <w:marBottom w:val="0"/>
      <w:divBdr>
        <w:top w:val="none" w:sz="0" w:space="0" w:color="auto"/>
        <w:left w:val="none" w:sz="0" w:space="0" w:color="auto"/>
        <w:bottom w:val="none" w:sz="0" w:space="0" w:color="auto"/>
        <w:right w:val="none" w:sz="0" w:space="0" w:color="auto"/>
      </w:divBdr>
    </w:div>
    <w:div w:id="692653575">
      <w:bodyDiv w:val="1"/>
      <w:marLeft w:val="0"/>
      <w:marRight w:val="0"/>
      <w:marTop w:val="0"/>
      <w:marBottom w:val="0"/>
      <w:divBdr>
        <w:top w:val="none" w:sz="0" w:space="0" w:color="auto"/>
        <w:left w:val="none" w:sz="0" w:space="0" w:color="auto"/>
        <w:bottom w:val="none" w:sz="0" w:space="0" w:color="auto"/>
        <w:right w:val="none" w:sz="0" w:space="0" w:color="auto"/>
      </w:divBdr>
    </w:div>
    <w:div w:id="714936096">
      <w:bodyDiv w:val="1"/>
      <w:marLeft w:val="0"/>
      <w:marRight w:val="0"/>
      <w:marTop w:val="0"/>
      <w:marBottom w:val="0"/>
      <w:divBdr>
        <w:top w:val="none" w:sz="0" w:space="0" w:color="auto"/>
        <w:left w:val="none" w:sz="0" w:space="0" w:color="auto"/>
        <w:bottom w:val="none" w:sz="0" w:space="0" w:color="auto"/>
        <w:right w:val="none" w:sz="0" w:space="0" w:color="auto"/>
      </w:divBdr>
    </w:div>
    <w:div w:id="777411783">
      <w:bodyDiv w:val="1"/>
      <w:marLeft w:val="0"/>
      <w:marRight w:val="0"/>
      <w:marTop w:val="0"/>
      <w:marBottom w:val="0"/>
      <w:divBdr>
        <w:top w:val="none" w:sz="0" w:space="0" w:color="auto"/>
        <w:left w:val="none" w:sz="0" w:space="0" w:color="auto"/>
        <w:bottom w:val="none" w:sz="0" w:space="0" w:color="auto"/>
        <w:right w:val="none" w:sz="0" w:space="0" w:color="auto"/>
      </w:divBdr>
    </w:div>
    <w:div w:id="876552046">
      <w:bodyDiv w:val="1"/>
      <w:marLeft w:val="0"/>
      <w:marRight w:val="0"/>
      <w:marTop w:val="0"/>
      <w:marBottom w:val="0"/>
      <w:divBdr>
        <w:top w:val="none" w:sz="0" w:space="0" w:color="auto"/>
        <w:left w:val="none" w:sz="0" w:space="0" w:color="auto"/>
        <w:bottom w:val="none" w:sz="0" w:space="0" w:color="auto"/>
        <w:right w:val="none" w:sz="0" w:space="0" w:color="auto"/>
      </w:divBdr>
    </w:div>
    <w:div w:id="962687832">
      <w:bodyDiv w:val="1"/>
      <w:marLeft w:val="0"/>
      <w:marRight w:val="0"/>
      <w:marTop w:val="0"/>
      <w:marBottom w:val="0"/>
      <w:divBdr>
        <w:top w:val="none" w:sz="0" w:space="0" w:color="auto"/>
        <w:left w:val="none" w:sz="0" w:space="0" w:color="auto"/>
        <w:bottom w:val="none" w:sz="0" w:space="0" w:color="auto"/>
        <w:right w:val="none" w:sz="0" w:space="0" w:color="auto"/>
      </w:divBdr>
    </w:div>
    <w:div w:id="996540662">
      <w:bodyDiv w:val="1"/>
      <w:marLeft w:val="0"/>
      <w:marRight w:val="0"/>
      <w:marTop w:val="0"/>
      <w:marBottom w:val="0"/>
      <w:divBdr>
        <w:top w:val="none" w:sz="0" w:space="0" w:color="auto"/>
        <w:left w:val="none" w:sz="0" w:space="0" w:color="auto"/>
        <w:bottom w:val="none" w:sz="0" w:space="0" w:color="auto"/>
        <w:right w:val="none" w:sz="0" w:space="0" w:color="auto"/>
      </w:divBdr>
    </w:div>
    <w:div w:id="1024483661">
      <w:bodyDiv w:val="1"/>
      <w:marLeft w:val="0"/>
      <w:marRight w:val="0"/>
      <w:marTop w:val="0"/>
      <w:marBottom w:val="0"/>
      <w:divBdr>
        <w:top w:val="none" w:sz="0" w:space="0" w:color="auto"/>
        <w:left w:val="none" w:sz="0" w:space="0" w:color="auto"/>
        <w:bottom w:val="none" w:sz="0" w:space="0" w:color="auto"/>
        <w:right w:val="none" w:sz="0" w:space="0" w:color="auto"/>
      </w:divBdr>
    </w:div>
    <w:div w:id="1092700784">
      <w:bodyDiv w:val="1"/>
      <w:marLeft w:val="0"/>
      <w:marRight w:val="0"/>
      <w:marTop w:val="0"/>
      <w:marBottom w:val="0"/>
      <w:divBdr>
        <w:top w:val="none" w:sz="0" w:space="0" w:color="auto"/>
        <w:left w:val="none" w:sz="0" w:space="0" w:color="auto"/>
        <w:bottom w:val="none" w:sz="0" w:space="0" w:color="auto"/>
        <w:right w:val="none" w:sz="0" w:space="0" w:color="auto"/>
      </w:divBdr>
    </w:div>
    <w:div w:id="1169566462">
      <w:bodyDiv w:val="1"/>
      <w:marLeft w:val="0"/>
      <w:marRight w:val="0"/>
      <w:marTop w:val="0"/>
      <w:marBottom w:val="0"/>
      <w:divBdr>
        <w:top w:val="none" w:sz="0" w:space="0" w:color="auto"/>
        <w:left w:val="none" w:sz="0" w:space="0" w:color="auto"/>
        <w:bottom w:val="none" w:sz="0" w:space="0" w:color="auto"/>
        <w:right w:val="none" w:sz="0" w:space="0" w:color="auto"/>
      </w:divBdr>
    </w:div>
    <w:div w:id="1365057549">
      <w:bodyDiv w:val="1"/>
      <w:marLeft w:val="0"/>
      <w:marRight w:val="0"/>
      <w:marTop w:val="0"/>
      <w:marBottom w:val="0"/>
      <w:divBdr>
        <w:top w:val="none" w:sz="0" w:space="0" w:color="auto"/>
        <w:left w:val="none" w:sz="0" w:space="0" w:color="auto"/>
        <w:bottom w:val="none" w:sz="0" w:space="0" w:color="auto"/>
        <w:right w:val="none" w:sz="0" w:space="0" w:color="auto"/>
      </w:divBdr>
    </w:div>
    <w:div w:id="1394960127">
      <w:bodyDiv w:val="1"/>
      <w:marLeft w:val="0"/>
      <w:marRight w:val="0"/>
      <w:marTop w:val="0"/>
      <w:marBottom w:val="0"/>
      <w:divBdr>
        <w:top w:val="none" w:sz="0" w:space="0" w:color="auto"/>
        <w:left w:val="none" w:sz="0" w:space="0" w:color="auto"/>
        <w:bottom w:val="none" w:sz="0" w:space="0" w:color="auto"/>
        <w:right w:val="none" w:sz="0" w:space="0" w:color="auto"/>
      </w:divBdr>
    </w:div>
    <w:div w:id="1401975438">
      <w:bodyDiv w:val="1"/>
      <w:marLeft w:val="0"/>
      <w:marRight w:val="0"/>
      <w:marTop w:val="0"/>
      <w:marBottom w:val="0"/>
      <w:divBdr>
        <w:top w:val="none" w:sz="0" w:space="0" w:color="auto"/>
        <w:left w:val="none" w:sz="0" w:space="0" w:color="auto"/>
        <w:bottom w:val="none" w:sz="0" w:space="0" w:color="auto"/>
        <w:right w:val="none" w:sz="0" w:space="0" w:color="auto"/>
      </w:divBdr>
    </w:div>
    <w:div w:id="1462764261">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624575001">
      <w:bodyDiv w:val="1"/>
      <w:marLeft w:val="0"/>
      <w:marRight w:val="0"/>
      <w:marTop w:val="0"/>
      <w:marBottom w:val="0"/>
      <w:divBdr>
        <w:top w:val="none" w:sz="0" w:space="0" w:color="auto"/>
        <w:left w:val="none" w:sz="0" w:space="0" w:color="auto"/>
        <w:bottom w:val="none" w:sz="0" w:space="0" w:color="auto"/>
        <w:right w:val="none" w:sz="0" w:space="0" w:color="auto"/>
      </w:divBdr>
    </w:div>
    <w:div w:id="1717774729">
      <w:bodyDiv w:val="1"/>
      <w:marLeft w:val="0"/>
      <w:marRight w:val="0"/>
      <w:marTop w:val="0"/>
      <w:marBottom w:val="0"/>
      <w:divBdr>
        <w:top w:val="none" w:sz="0" w:space="0" w:color="auto"/>
        <w:left w:val="none" w:sz="0" w:space="0" w:color="auto"/>
        <w:bottom w:val="none" w:sz="0" w:space="0" w:color="auto"/>
        <w:right w:val="none" w:sz="0" w:space="0" w:color="auto"/>
      </w:divBdr>
    </w:div>
    <w:div w:id="1910385345">
      <w:bodyDiv w:val="1"/>
      <w:marLeft w:val="0"/>
      <w:marRight w:val="0"/>
      <w:marTop w:val="0"/>
      <w:marBottom w:val="0"/>
      <w:divBdr>
        <w:top w:val="none" w:sz="0" w:space="0" w:color="auto"/>
        <w:left w:val="none" w:sz="0" w:space="0" w:color="auto"/>
        <w:bottom w:val="none" w:sz="0" w:space="0" w:color="auto"/>
        <w:right w:val="none" w:sz="0" w:space="0" w:color="auto"/>
      </w:divBdr>
    </w:div>
    <w:div w:id="1910769079">
      <w:bodyDiv w:val="1"/>
      <w:marLeft w:val="0"/>
      <w:marRight w:val="0"/>
      <w:marTop w:val="0"/>
      <w:marBottom w:val="0"/>
      <w:divBdr>
        <w:top w:val="none" w:sz="0" w:space="0" w:color="auto"/>
        <w:left w:val="none" w:sz="0" w:space="0" w:color="auto"/>
        <w:bottom w:val="none" w:sz="0" w:space="0" w:color="auto"/>
        <w:right w:val="none" w:sz="0" w:space="0" w:color="auto"/>
      </w:divBdr>
    </w:div>
    <w:div w:id="1968663933">
      <w:bodyDiv w:val="1"/>
      <w:marLeft w:val="0"/>
      <w:marRight w:val="0"/>
      <w:marTop w:val="0"/>
      <w:marBottom w:val="0"/>
      <w:divBdr>
        <w:top w:val="none" w:sz="0" w:space="0" w:color="auto"/>
        <w:left w:val="none" w:sz="0" w:space="0" w:color="auto"/>
        <w:bottom w:val="none" w:sz="0" w:space="0" w:color="auto"/>
        <w:right w:val="none" w:sz="0" w:space="0" w:color="auto"/>
      </w:divBdr>
    </w:div>
    <w:div w:id="1975596073">
      <w:bodyDiv w:val="1"/>
      <w:marLeft w:val="0"/>
      <w:marRight w:val="0"/>
      <w:marTop w:val="0"/>
      <w:marBottom w:val="0"/>
      <w:divBdr>
        <w:top w:val="none" w:sz="0" w:space="0" w:color="auto"/>
        <w:left w:val="none" w:sz="0" w:space="0" w:color="auto"/>
        <w:bottom w:val="none" w:sz="0" w:space="0" w:color="auto"/>
        <w:right w:val="none" w:sz="0" w:space="0" w:color="auto"/>
      </w:divBdr>
    </w:div>
    <w:div w:id="1977835510">
      <w:bodyDiv w:val="1"/>
      <w:marLeft w:val="0"/>
      <w:marRight w:val="0"/>
      <w:marTop w:val="0"/>
      <w:marBottom w:val="0"/>
      <w:divBdr>
        <w:top w:val="none" w:sz="0" w:space="0" w:color="auto"/>
        <w:left w:val="none" w:sz="0" w:space="0" w:color="auto"/>
        <w:bottom w:val="none" w:sz="0" w:space="0" w:color="auto"/>
        <w:right w:val="none" w:sz="0" w:space="0" w:color="auto"/>
      </w:divBdr>
    </w:div>
    <w:div w:id="2001149909">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97440260">
      <w:bodyDiv w:val="1"/>
      <w:marLeft w:val="0"/>
      <w:marRight w:val="0"/>
      <w:marTop w:val="0"/>
      <w:marBottom w:val="0"/>
      <w:divBdr>
        <w:top w:val="none" w:sz="0" w:space="0" w:color="auto"/>
        <w:left w:val="none" w:sz="0" w:space="0" w:color="auto"/>
        <w:bottom w:val="none" w:sz="0" w:space="0" w:color="auto"/>
        <w:right w:val="none" w:sz="0" w:space="0" w:color="auto"/>
      </w:divBdr>
    </w:div>
    <w:div w:id="2120946809">
      <w:bodyDiv w:val="1"/>
      <w:marLeft w:val="0"/>
      <w:marRight w:val="0"/>
      <w:marTop w:val="0"/>
      <w:marBottom w:val="0"/>
      <w:divBdr>
        <w:top w:val="none" w:sz="0" w:space="0" w:color="auto"/>
        <w:left w:val="none" w:sz="0" w:space="0" w:color="auto"/>
        <w:bottom w:val="none" w:sz="0" w:space="0" w:color="auto"/>
        <w:right w:val="none" w:sz="0" w:space="0" w:color="auto"/>
      </w:divBdr>
    </w:div>
    <w:div w:id="213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E868-417E-4EA6-A90E-8E2BACC1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794</Words>
  <Characters>4526</Characters>
  <Application>Microsoft Office Word</Application>
  <DocSecurity>0</DocSecurity>
  <Lines>37</Lines>
  <Paragraphs>10</Paragraphs>
  <ScaleCrop>false</ScaleCrop>
  <Company>微软中国</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孙慧敏</cp:lastModifiedBy>
  <cp:revision>55</cp:revision>
  <dcterms:created xsi:type="dcterms:W3CDTF">2020-10-15T08:39:00Z</dcterms:created>
  <dcterms:modified xsi:type="dcterms:W3CDTF">2021-09-10T07:57:00Z</dcterms:modified>
</cp:coreProperties>
</file>