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3A3487" w:rsidRPr="008564FF" w:rsidP="004549E4">
      <w:pPr>
        <w:snapToGrid w:val="0"/>
        <w:spacing w:line="360" w:lineRule="auto"/>
        <w:ind w:firstLine="881"/>
        <w:jc w:val="center"/>
        <w:rPr>
          <w:rFonts w:asciiTheme="minorEastAsia" w:eastAsiaTheme="minorEastAsia" w:hAnsiTheme="minorEastAsia"/>
          <w:b/>
          <w:sz w:val="44"/>
        </w:rPr>
      </w:pPr>
    </w:p>
    <w:p w:rsidR="003A3487" w:rsidRPr="008564FF" w:rsidP="004549E4">
      <w:pPr>
        <w:snapToGrid w:val="0"/>
        <w:spacing w:line="360" w:lineRule="auto"/>
        <w:ind w:firstLine="881"/>
        <w:jc w:val="center"/>
        <w:rPr>
          <w:rFonts w:asciiTheme="minorEastAsia" w:eastAsiaTheme="minorEastAsia" w:hAnsiTheme="minorEastAsia"/>
          <w:b/>
          <w:sz w:val="44"/>
        </w:rPr>
      </w:pPr>
    </w:p>
    <w:p w:rsidR="003A3487" w:rsidRPr="008564FF" w:rsidP="00185378">
      <w:pPr>
        <w:tabs>
          <w:tab w:val="left" w:pos="5205"/>
        </w:tabs>
        <w:snapToGrid w:val="0"/>
        <w:spacing w:line="360" w:lineRule="auto"/>
        <w:ind w:firstLine="881"/>
        <w:jc w:val="left"/>
        <w:rPr>
          <w:rFonts w:asciiTheme="minorEastAsia" w:eastAsiaTheme="minorEastAsia" w:hAnsiTheme="minorEastAsia"/>
          <w:b/>
          <w:sz w:val="44"/>
        </w:rPr>
      </w:pPr>
      <w:r w:rsidRPr="008564FF">
        <w:rPr>
          <w:rFonts w:asciiTheme="minorEastAsia" w:eastAsiaTheme="minorEastAsia" w:hAnsiTheme="minorEastAsia"/>
          <w:b/>
          <w:sz w:val="44"/>
        </w:rPr>
        <w:tab/>
      </w:r>
    </w:p>
    <w:p w:rsidR="003A3487" w:rsidRPr="008564FF" w:rsidP="004549E4">
      <w:pPr>
        <w:snapToGrid w:val="0"/>
        <w:spacing w:line="360" w:lineRule="auto"/>
        <w:jc w:val="center"/>
        <w:rPr>
          <w:rFonts w:asciiTheme="minorEastAsia" w:eastAsiaTheme="minorEastAsia" w:hAnsiTheme="minorEastAsia"/>
          <w:b/>
          <w:sz w:val="44"/>
        </w:rPr>
      </w:pPr>
      <w:r w:rsidRPr="008564FF">
        <w:rPr>
          <w:rFonts w:asciiTheme="minorEastAsia" w:eastAsiaTheme="minorEastAsia" w:hAnsiTheme="minorEastAsia" w:hint="eastAsia"/>
          <w:b/>
          <w:sz w:val="44"/>
        </w:rPr>
        <w:t>易方达行业领先企业</w:t>
      </w:r>
      <w:r w:rsidRPr="008564FF" w:rsidR="00195752">
        <w:rPr>
          <w:rFonts w:asciiTheme="minorEastAsia" w:eastAsiaTheme="minorEastAsia" w:hAnsiTheme="minorEastAsia" w:hint="eastAsia"/>
          <w:b/>
          <w:sz w:val="44"/>
        </w:rPr>
        <w:t>混合</w:t>
      </w:r>
      <w:r w:rsidRPr="008564FF">
        <w:rPr>
          <w:rFonts w:asciiTheme="minorEastAsia" w:eastAsiaTheme="minorEastAsia" w:hAnsiTheme="minorEastAsia" w:hint="eastAsia"/>
          <w:b/>
          <w:sz w:val="44"/>
        </w:rPr>
        <w:t>型证券投资基金更新的招募说明书</w:t>
      </w:r>
    </w:p>
    <w:p w:rsidR="003A3487" w:rsidRPr="008564FF" w:rsidP="004549E4">
      <w:pPr>
        <w:snapToGrid w:val="0"/>
        <w:spacing w:line="360" w:lineRule="auto"/>
        <w:ind w:firstLine="600"/>
        <w:jc w:val="center"/>
        <w:rPr>
          <w:rFonts w:asciiTheme="minorEastAsia" w:eastAsiaTheme="minorEastAsia" w:hAnsiTheme="minorEastAsia"/>
          <w:sz w:val="24"/>
        </w:rPr>
      </w:pPr>
    </w:p>
    <w:p w:rsidR="003A3487" w:rsidRPr="008564FF" w:rsidP="004549E4">
      <w:pPr>
        <w:snapToGrid w:val="0"/>
        <w:spacing w:line="360" w:lineRule="auto"/>
        <w:ind w:left="1680" w:leftChars="800"/>
        <w:rPr>
          <w:rFonts w:asciiTheme="minorEastAsia" w:eastAsiaTheme="minorEastAsia" w:hAnsiTheme="minorEastAsia"/>
          <w:sz w:val="30"/>
          <w:szCs w:val="30"/>
        </w:rPr>
      </w:pPr>
    </w:p>
    <w:p w:rsidR="003A3487" w:rsidRPr="008564FF" w:rsidP="004549E4">
      <w:pPr>
        <w:snapToGrid w:val="0"/>
        <w:spacing w:line="360" w:lineRule="auto"/>
        <w:ind w:left="1680" w:leftChars="800"/>
        <w:rPr>
          <w:rFonts w:asciiTheme="minorEastAsia" w:eastAsiaTheme="minorEastAsia" w:hAnsiTheme="minorEastAsia"/>
          <w:sz w:val="30"/>
          <w:szCs w:val="30"/>
        </w:rPr>
      </w:pPr>
    </w:p>
    <w:p w:rsidR="003A3487" w:rsidRPr="008564FF" w:rsidP="004549E4">
      <w:pPr>
        <w:snapToGrid w:val="0"/>
        <w:spacing w:line="360" w:lineRule="auto"/>
        <w:ind w:left="1680" w:leftChars="800"/>
        <w:rPr>
          <w:rFonts w:asciiTheme="minorEastAsia" w:eastAsiaTheme="minorEastAsia" w:hAnsiTheme="minorEastAsia"/>
          <w:sz w:val="30"/>
          <w:szCs w:val="30"/>
        </w:rPr>
      </w:pPr>
    </w:p>
    <w:p w:rsidR="003A3487" w:rsidRPr="008564FF" w:rsidP="004549E4">
      <w:pPr>
        <w:snapToGrid w:val="0"/>
        <w:spacing w:line="360" w:lineRule="auto"/>
        <w:ind w:left="1680" w:leftChars="800"/>
        <w:rPr>
          <w:rFonts w:asciiTheme="minorEastAsia" w:eastAsiaTheme="minorEastAsia" w:hAnsiTheme="minorEastAsia"/>
          <w:sz w:val="30"/>
          <w:szCs w:val="30"/>
        </w:rPr>
      </w:pPr>
    </w:p>
    <w:p w:rsidR="004549E4" w:rsidRPr="008564FF" w:rsidP="004549E4">
      <w:pPr>
        <w:snapToGrid w:val="0"/>
        <w:spacing w:line="360" w:lineRule="auto"/>
        <w:ind w:left="1680" w:leftChars="800"/>
        <w:rPr>
          <w:rFonts w:asciiTheme="minorEastAsia" w:eastAsiaTheme="minorEastAsia" w:hAnsiTheme="minorEastAsia"/>
          <w:sz w:val="30"/>
          <w:szCs w:val="30"/>
        </w:rPr>
      </w:pPr>
    </w:p>
    <w:p w:rsidR="004549E4" w:rsidRPr="008564FF" w:rsidP="004549E4">
      <w:pPr>
        <w:snapToGrid w:val="0"/>
        <w:spacing w:line="360" w:lineRule="auto"/>
        <w:ind w:left="1680" w:leftChars="800"/>
        <w:rPr>
          <w:rFonts w:asciiTheme="minorEastAsia" w:eastAsiaTheme="minorEastAsia" w:hAnsiTheme="minorEastAsia"/>
          <w:sz w:val="30"/>
          <w:szCs w:val="30"/>
        </w:rPr>
      </w:pPr>
    </w:p>
    <w:p w:rsidR="004549E4" w:rsidRPr="008564FF" w:rsidP="004549E4">
      <w:pPr>
        <w:snapToGrid w:val="0"/>
        <w:spacing w:line="360" w:lineRule="auto"/>
        <w:ind w:left="1680" w:leftChars="800"/>
        <w:rPr>
          <w:rFonts w:asciiTheme="minorEastAsia" w:eastAsiaTheme="minorEastAsia" w:hAnsiTheme="minorEastAsia"/>
          <w:sz w:val="30"/>
          <w:szCs w:val="30"/>
        </w:rPr>
      </w:pPr>
    </w:p>
    <w:p w:rsidR="004549E4" w:rsidRPr="008564FF" w:rsidP="004549E4">
      <w:pPr>
        <w:snapToGrid w:val="0"/>
        <w:spacing w:line="360" w:lineRule="auto"/>
        <w:ind w:left="1680" w:leftChars="800"/>
        <w:rPr>
          <w:rFonts w:asciiTheme="minorEastAsia" w:eastAsiaTheme="minorEastAsia" w:hAnsiTheme="minorEastAsia"/>
          <w:sz w:val="30"/>
          <w:szCs w:val="30"/>
        </w:rPr>
      </w:pPr>
    </w:p>
    <w:p w:rsidR="004549E4" w:rsidRPr="008564FF" w:rsidP="004549E4">
      <w:pPr>
        <w:snapToGrid w:val="0"/>
        <w:spacing w:line="360" w:lineRule="auto"/>
        <w:ind w:left="1680" w:leftChars="800"/>
        <w:rPr>
          <w:rFonts w:asciiTheme="minorEastAsia" w:eastAsiaTheme="minorEastAsia" w:hAnsiTheme="minorEastAsia"/>
          <w:sz w:val="30"/>
          <w:szCs w:val="30"/>
        </w:rPr>
      </w:pPr>
    </w:p>
    <w:p w:rsidR="004549E4" w:rsidRPr="008564FF" w:rsidP="004549E4">
      <w:pPr>
        <w:snapToGrid w:val="0"/>
        <w:spacing w:line="360" w:lineRule="auto"/>
        <w:ind w:left="1680" w:leftChars="800"/>
        <w:rPr>
          <w:rFonts w:asciiTheme="minorEastAsia" w:eastAsiaTheme="minorEastAsia" w:hAnsiTheme="minorEastAsia"/>
          <w:sz w:val="30"/>
          <w:szCs w:val="30"/>
        </w:rPr>
      </w:pPr>
    </w:p>
    <w:p w:rsidR="003A3487" w:rsidRPr="008564FF" w:rsidP="004549E4">
      <w:pPr>
        <w:snapToGrid w:val="0"/>
        <w:spacing w:line="360" w:lineRule="auto"/>
        <w:ind w:left="1680" w:leftChars="800"/>
        <w:rPr>
          <w:rFonts w:asciiTheme="minorEastAsia" w:eastAsiaTheme="minorEastAsia" w:hAnsiTheme="minorEastAsia"/>
          <w:sz w:val="32"/>
          <w:szCs w:val="32"/>
        </w:rPr>
      </w:pPr>
      <w:r w:rsidRPr="008564FF">
        <w:rPr>
          <w:rFonts w:asciiTheme="minorEastAsia" w:eastAsiaTheme="minorEastAsia" w:hAnsiTheme="minorEastAsia" w:hint="eastAsia"/>
          <w:sz w:val="32"/>
          <w:szCs w:val="32"/>
        </w:rPr>
        <w:t>基金管理人：易方达基金管理有限公司</w:t>
      </w:r>
    </w:p>
    <w:p w:rsidR="003A3487" w:rsidRPr="008564FF" w:rsidP="004549E4">
      <w:pPr>
        <w:snapToGrid w:val="0"/>
        <w:spacing w:line="360" w:lineRule="auto"/>
        <w:ind w:left="1680" w:leftChars="800"/>
        <w:rPr>
          <w:rFonts w:asciiTheme="minorEastAsia" w:eastAsiaTheme="minorEastAsia" w:hAnsiTheme="minorEastAsia"/>
          <w:sz w:val="32"/>
          <w:szCs w:val="32"/>
        </w:rPr>
      </w:pPr>
      <w:r w:rsidRPr="008564FF">
        <w:rPr>
          <w:rFonts w:asciiTheme="minorEastAsia" w:eastAsiaTheme="minorEastAsia" w:hAnsiTheme="minorEastAsia" w:hint="eastAsia"/>
          <w:sz w:val="32"/>
          <w:szCs w:val="32"/>
        </w:rPr>
        <w:t>基金托管人：中国工商银行股份有限公司</w:t>
      </w:r>
    </w:p>
    <w:p w:rsidR="003A3487" w:rsidRPr="008564FF" w:rsidP="004549E4">
      <w:pPr>
        <w:snapToGrid w:val="0"/>
        <w:spacing w:line="360" w:lineRule="auto"/>
        <w:ind w:firstLine="561"/>
        <w:rPr>
          <w:rFonts w:asciiTheme="minorEastAsia" w:eastAsiaTheme="minorEastAsia" w:hAnsiTheme="minorEastAsia"/>
          <w:b/>
          <w:sz w:val="32"/>
          <w:szCs w:val="32"/>
        </w:rPr>
      </w:pPr>
    </w:p>
    <w:p w:rsidR="00487BAC" w:rsidRPr="008564FF" w:rsidP="004549E4">
      <w:pPr>
        <w:snapToGrid w:val="0"/>
        <w:spacing w:line="360" w:lineRule="auto"/>
        <w:jc w:val="center"/>
        <w:rPr>
          <w:rFonts w:asciiTheme="minorEastAsia" w:eastAsiaTheme="minorEastAsia" w:hAnsiTheme="minorEastAsia"/>
          <w:b/>
          <w:sz w:val="32"/>
          <w:szCs w:val="32"/>
        </w:rPr>
      </w:pPr>
      <w:r>
        <w:rPr>
          <w:b/>
          <w:sz w:val="32"/>
        </w:rPr>
        <w:t>二〇二一年十二月</w:t>
      </w:r>
    </w:p>
    <w:p w:rsidR="003A3487" w:rsidRPr="008564FF" w:rsidP="004549E4">
      <w:pPr>
        <w:snapToGrid w:val="0"/>
        <w:spacing w:line="360" w:lineRule="auto"/>
        <w:jc w:val="center"/>
        <w:rPr>
          <w:rFonts w:asciiTheme="minorEastAsia" w:eastAsiaTheme="minorEastAsia" w:hAnsiTheme="minorEastAsia"/>
          <w:b/>
          <w:sz w:val="28"/>
          <w:szCs w:val="28"/>
        </w:rPr>
      </w:pPr>
      <w:r w:rsidRPr="008564FF">
        <w:rPr>
          <w:rFonts w:asciiTheme="minorEastAsia" w:eastAsiaTheme="minorEastAsia" w:hAnsiTheme="minorEastAsia" w:hint="eastAsia"/>
          <w:b/>
          <w:sz w:val="24"/>
        </w:rPr>
        <w:br w:type="page"/>
      </w:r>
      <w:r w:rsidRPr="008564FF">
        <w:rPr>
          <w:rFonts w:asciiTheme="minorEastAsia" w:eastAsiaTheme="minorEastAsia" w:hAnsiTheme="minorEastAsia" w:hint="eastAsia"/>
          <w:b/>
          <w:sz w:val="28"/>
          <w:szCs w:val="28"/>
        </w:rPr>
        <w:t>重要提示</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本基金根据2008年11月28日中国证券监督管理委员会《关于核准易方达行业领先企业股票型证券投资基金募集的批复》（证监许可【2008】1315号）和2009年2月2日《关于易方达行业领先企业股票型证券投资基金募集时间安排的确认函》（基金部函[2009]40号）的核准，进行募集。</w:t>
      </w:r>
      <w:r w:rsidRPr="008564FF">
        <w:rPr>
          <w:rFonts w:asciiTheme="minorEastAsia" w:eastAsiaTheme="minorEastAsia" w:hAnsiTheme="minorEastAsia" w:hint="eastAsia"/>
        </w:rPr>
        <w:t>本基金的基金合同于2009年3月26日正式生效。</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基金管理人保证《招募说明书》的内容真实、准确、完整。</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基金管理人依照恪尽职守、诚实信用、谨慎勤勉的原则管理和运用基金财产，但不保证基金一定盈利，也不保证最低收益。</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本《招募说明书》经中国证监会核准，但中国证监会对本基金募集的核准，并不表明其对本基金的价值和收益作出实质性判断或保证，也不表明投资于本基金没有风险。</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本基金投资于证券市场，基金净值会因为证券市场波动等因素产生波动，投资者在投资本基金前，需全面认识本基金产品的风险收益特征和产品特性，充分考虑自身的风险承受能力，理性判断市场，对认购（或申购）基金的意愿、时机、数量等投资行为作出独立决策，获得基金投资收益，亦承担基金投资中出现的各类风险。</w:t>
      </w:r>
      <w:r w:rsidRPr="008564FF" w:rsidR="003E1878">
        <w:rPr>
          <w:rFonts w:asciiTheme="minorEastAsia" w:eastAsiaTheme="minorEastAsia" w:hAnsiTheme="minorEastAsia" w:hint="eastAsia"/>
          <w:szCs w:val="21"/>
        </w:rPr>
        <w:t>投资本基金可能遇到的特有风险包括：（</w:t>
      </w:r>
      <w:r w:rsidRPr="008564FF" w:rsidR="003E1878">
        <w:rPr>
          <w:rFonts w:asciiTheme="minorEastAsia" w:eastAsiaTheme="minorEastAsia" w:hAnsiTheme="minorEastAsia"/>
          <w:szCs w:val="21"/>
        </w:rPr>
        <w:t>1</w:t>
      </w:r>
      <w:r w:rsidRPr="008564FF" w:rsidR="003E1878">
        <w:rPr>
          <w:rFonts w:asciiTheme="minorEastAsia" w:eastAsiaTheme="minorEastAsia" w:hAnsiTheme="minorEastAsia" w:hint="eastAsia"/>
          <w:szCs w:val="21"/>
        </w:rPr>
        <w:t>）本</w:t>
      </w:r>
      <w:r w:rsidRPr="008564FF" w:rsidR="003E1878">
        <w:rPr>
          <w:rFonts w:asciiTheme="minorEastAsia" w:eastAsiaTheme="minorEastAsia" w:hAnsiTheme="minorEastAsia"/>
          <w:szCs w:val="21"/>
        </w:rPr>
        <w:t>基金</w:t>
      </w:r>
      <w:r w:rsidRPr="008564FF" w:rsidR="003E1878">
        <w:rPr>
          <w:rFonts w:asciiTheme="minorEastAsia" w:eastAsiaTheme="minorEastAsia" w:hAnsiTheme="minorEastAsia" w:hint="eastAsia"/>
          <w:szCs w:val="21"/>
        </w:rPr>
        <w:t>股票资产</w:t>
      </w:r>
      <w:r w:rsidRPr="008564FF" w:rsidR="003E1878">
        <w:rPr>
          <w:rFonts w:asciiTheme="minorEastAsia" w:eastAsiaTheme="minorEastAsia" w:hAnsiTheme="minorEastAsia"/>
          <w:szCs w:val="21"/>
        </w:rPr>
        <w:t>仓位</w:t>
      </w:r>
      <w:r w:rsidRPr="008564FF" w:rsidR="003E1878">
        <w:rPr>
          <w:rFonts w:asciiTheme="minorEastAsia" w:eastAsiaTheme="minorEastAsia" w:hAnsiTheme="minorEastAsia" w:hint="eastAsia"/>
          <w:szCs w:val="21"/>
        </w:rPr>
        <w:t>偏高</w:t>
      </w:r>
      <w:r w:rsidRPr="008564FF" w:rsidR="003E1878">
        <w:rPr>
          <w:rFonts w:asciiTheme="minorEastAsia" w:eastAsiaTheme="minorEastAsia" w:hAnsiTheme="minorEastAsia"/>
          <w:szCs w:val="21"/>
        </w:rPr>
        <w:t>且相对稳定</w:t>
      </w:r>
      <w:r w:rsidRPr="008564FF" w:rsidR="003E1878">
        <w:rPr>
          <w:rFonts w:asciiTheme="minorEastAsia" w:eastAsiaTheme="minorEastAsia" w:hAnsiTheme="minorEastAsia" w:hint="eastAsia"/>
          <w:szCs w:val="21"/>
        </w:rPr>
        <w:t>而</w:t>
      </w:r>
      <w:r w:rsidRPr="008564FF" w:rsidR="003E1878">
        <w:rPr>
          <w:rFonts w:asciiTheme="minorEastAsia" w:eastAsiaTheme="minorEastAsia" w:hAnsiTheme="minorEastAsia"/>
          <w:szCs w:val="21"/>
        </w:rPr>
        <w:t>面临</w:t>
      </w:r>
      <w:r w:rsidRPr="008564FF" w:rsidR="003E1878">
        <w:rPr>
          <w:rFonts w:asciiTheme="minorEastAsia" w:eastAsiaTheme="minorEastAsia" w:hAnsiTheme="minorEastAsia" w:hint="eastAsia"/>
          <w:szCs w:val="21"/>
        </w:rPr>
        <w:t>的资产配置风险；（</w:t>
      </w:r>
      <w:r w:rsidRPr="008564FF" w:rsidR="003E1878">
        <w:rPr>
          <w:rFonts w:asciiTheme="minorEastAsia" w:eastAsiaTheme="minorEastAsia" w:hAnsiTheme="minorEastAsia"/>
          <w:szCs w:val="21"/>
        </w:rPr>
        <w:t>2</w:t>
      </w:r>
      <w:r w:rsidRPr="008564FF" w:rsidR="003E1878">
        <w:rPr>
          <w:rFonts w:asciiTheme="minorEastAsia" w:eastAsiaTheme="minorEastAsia" w:hAnsiTheme="minorEastAsia" w:hint="eastAsia"/>
          <w:szCs w:val="21"/>
        </w:rPr>
        <w:t>）</w:t>
      </w:r>
      <w:r w:rsidRPr="008564FF" w:rsidR="003E1878">
        <w:rPr>
          <w:rFonts w:asciiTheme="minorEastAsia" w:eastAsiaTheme="minorEastAsia" w:hAnsiTheme="minorEastAsia" w:hint="eastAsia"/>
        </w:rPr>
        <w:t>本基金股票资产主要投资大型企业而面临的风险；</w:t>
      </w:r>
      <w:r w:rsidRPr="008564FF" w:rsidR="003E1878">
        <w:rPr>
          <w:rFonts w:asciiTheme="minorEastAsia" w:eastAsiaTheme="minorEastAsia" w:hAnsiTheme="minorEastAsia"/>
          <w:szCs w:val="21"/>
        </w:rPr>
        <w:t>（3）</w:t>
      </w:r>
      <w:r w:rsidRPr="008564FF" w:rsidR="003E1878">
        <w:rPr>
          <w:rFonts w:asciiTheme="minorEastAsia" w:eastAsiaTheme="minorEastAsia" w:hAnsiTheme="minorEastAsia" w:hint="eastAsia"/>
          <w:szCs w:val="21"/>
        </w:rPr>
        <w:t>本</w:t>
      </w:r>
      <w:r w:rsidRPr="008564FF" w:rsidR="003E1878">
        <w:rPr>
          <w:rFonts w:asciiTheme="minorEastAsia" w:eastAsiaTheme="minorEastAsia" w:hAnsiTheme="minorEastAsia"/>
          <w:szCs w:val="21"/>
        </w:rPr>
        <w:t>基金投资</w:t>
      </w:r>
      <w:r w:rsidRPr="008564FF" w:rsidR="003E1878">
        <w:rPr>
          <w:rFonts w:asciiTheme="minorEastAsia" w:eastAsiaTheme="minorEastAsia" w:hAnsiTheme="minorEastAsia" w:hint="eastAsia"/>
          <w:szCs w:val="21"/>
        </w:rPr>
        <w:t>范围</w:t>
      </w:r>
      <w:r w:rsidRPr="008564FF" w:rsidR="003E1878">
        <w:rPr>
          <w:rFonts w:asciiTheme="minorEastAsia" w:eastAsiaTheme="minorEastAsia" w:hAnsiTheme="minorEastAsia"/>
          <w:szCs w:val="21"/>
        </w:rPr>
        <w:t>包括</w:t>
      </w:r>
      <w:r w:rsidRPr="008564FF" w:rsidR="003E1878">
        <w:rPr>
          <w:rFonts w:asciiTheme="minorEastAsia" w:eastAsiaTheme="minorEastAsia" w:hAnsiTheme="minorEastAsia" w:hint="eastAsia"/>
          <w:szCs w:val="21"/>
        </w:rPr>
        <w:t>科创板股票、存托凭证而</w:t>
      </w:r>
      <w:r w:rsidRPr="008564FF" w:rsidR="003E1878">
        <w:rPr>
          <w:rFonts w:asciiTheme="minorEastAsia" w:eastAsiaTheme="minorEastAsia" w:hAnsiTheme="minorEastAsia"/>
          <w:szCs w:val="21"/>
        </w:rPr>
        <w:t>面临的其他额外风险</w:t>
      </w:r>
      <w:r w:rsidRPr="008564FF" w:rsidR="003E1878">
        <w:rPr>
          <w:rFonts w:asciiTheme="minorEastAsia" w:eastAsiaTheme="minorEastAsia" w:hAnsiTheme="minorEastAsia" w:hint="eastAsia"/>
          <w:szCs w:val="21"/>
        </w:rPr>
        <w:t>。此外，本基金还将面临市场风险、流动性风险、管理风险、本基金法律文件中涉及基金风险特征的表述与销售机构对基金的风险评级可能不一致的风险等其他一般风险。</w:t>
      </w:r>
      <w:r w:rsidRPr="008564FF">
        <w:rPr>
          <w:rFonts w:asciiTheme="minorEastAsia" w:eastAsiaTheme="minorEastAsia" w:hAnsiTheme="minorEastAsia" w:hint="eastAsia"/>
          <w:szCs w:val="21"/>
        </w:rPr>
        <w:t>基金管理人提醒投资者基金投资的“买者自负”原则，在投资者作出投资决策后，基金运营状况与基金净值变化引致的投资风险，由投资者自行负责。</w:t>
      </w:r>
    </w:p>
    <w:p w:rsidR="0099157C" w:rsidRPr="008564FF" w:rsidP="009D1A75">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rPr>
        <w:t>投资有风险，投资者投资本基金时应认真阅读本</w:t>
      </w:r>
      <w:r w:rsidRPr="008564FF" w:rsidR="00944622">
        <w:rPr>
          <w:rFonts w:asciiTheme="minorEastAsia" w:eastAsiaTheme="minorEastAsia" w:hAnsiTheme="minorEastAsia" w:hint="eastAsia"/>
        </w:rPr>
        <w:t>招募说明书、基金合同和基金产品资料概要等信息披露文件</w:t>
      </w:r>
      <w:r w:rsidRPr="008564FF">
        <w:rPr>
          <w:rFonts w:asciiTheme="minorEastAsia" w:eastAsiaTheme="minorEastAsia" w:hAnsiTheme="minorEastAsia" w:hint="eastAsia"/>
        </w:rPr>
        <w:t>；</w:t>
      </w:r>
      <w:r w:rsidRPr="008564FF">
        <w:rPr>
          <w:rFonts w:asciiTheme="minorEastAsia" w:eastAsiaTheme="minorEastAsia" w:hAnsiTheme="minorEastAsia" w:hint="eastAsia"/>
          <w:szCs w:val="21"/>
        </w:rPr>
        <w:t>基金的过往业绩并不预示其未来表现。</w:t>
      </w:r>
    </w:p>
    <w:p w:rsidR="003A3487" w:rsidRPr="008564FF" w:rsidP="004549E4">
      <w:pPr>
        <w:snapToGrid w:val="0"/>
        <w:spacing w:line="360" w:lineRule="auto"/>
        <w:ind w:firstLine="420" w:firstLineChars="200"/>
        <w:rPr>
          <w:rFonts w:asciiTheme="minorEastAsia" w:eastAsiaTheme="minorEastAsia" w:hAnsiTheme="minorEastAsia"/>
          <w:szCs w:val="21"/>
        </w:rPr>
      </w:pPr>
      <w:r>
        <w:t>本基金有关财务数据截止日为</w:t>
      </w:r>
      <w:r>
        <w:t>2021</w:t>
      </w:r>
      <w:r>
        <w:t>年</w:t>
      </w:r>
      <w:r>
        <w:t>9</w:t>
      </w:r>
      <w:r>
        <w:t>月</w:t>
      </w:r>
      <w:r>
        <w:t>30</w:t>
      </w:r>
      <w:r>
        <w:t>日，净值表现截止日为</w:t>
      </w:r>
      <w:r>
        <w:t>2020</w:t>
      </w:r>
      <w:r>
        <w:t>年</w:t>
      </w:r>
      <w:r>
        <w:t>12</w:t>
      </w:r>
      <w:r>
        <w:t>月</w:t>
      </w:r>
      <w:r>
        <w:t>31</w:t>
      </w:r>
      <w:r>
        <w:t>日，主要人员情况截止日为</w:t>
      </w:r>
      <w:r>
        <w:t>2021</w:t>
      </w:r>
      <w:r>
        <w:t>年</w:t>
      </w:r>
      <w:r>
        <w:t>12</w:t>
      </w:r>
      <w:r>
        <w:t>月</w:t>
      </w:r>
      <w:r>
        <w:t>30</w:t>
      </w:r>
      <w:r>
        <w:t>日，除非另有说明，本招募说明书其他所载内容截止日为</w:t>
      </w:r>
      <w:r>
        <w:t>2021</w:t>
      </w:r>
      <w:r>
        <w:t>年</w:t>
      </w:r>
      <w:r>
        <w:t>11</w:t>
      </w:r>
      <w:r>
        <w:t>月</w:t>
      </w:r>
      <w:r>
        <w:t>16</w:t>
      </w:r>
      <w:r>
        <w:t>日。（本报告中财务数据未经审计）</w:t>
      </w:r>
    </w:p>
    <w:p w:rsidR="007B7C95" w:rsidRPr="008564FF" w:rsidP="004549E4">
      <w:pPr>
        <w:adjustRightInd w:val="0"/>
        <w:snapToGrid w:val="0"/>
        <w:spacing w:line="360" w:lineRule="auto"/>
        <w:jc w:val="center"/>
        <w:rPr>
          <w:rFonts w:asciiTheme="minorEastAsia" w:eastAsiaTheme="minorEastAsia" w:hAnsiTheme="minorEastAsia"/>
          <w:b/>
          <w:szCs w:val="21"/>
        </w:rPr>
        <w:sectPr w:rsidSect="008564FF">
          <w:headerReference w:type="even" r:id="rId5"/>
          <w:headerReference w:type="default" r:id="rId6"/>
          <w:footerReference w:type="even" r:id="rId7"/>
          <w:footerReference w:type="default" r:id="rId8"/>
          <w:headerReference w:type="first" r:id="rId9"/>
          <w:footerReference w:type="first" r:id="rId10"/>
          <w:pgSz w:w="11907" w:h="16840"/>
          <w:pgMar w:top="1440" w:right="1800" w:bottom="1440" w:left="1800" w:header="1134" w:footer="1247" w:gutter="0"/>
          <w:pgNumType w:fmt="upperRoman" w:start="1"/>
          <w:cols w:space="720"/>
          <w:titlePg/>
          <w:docGrid w:type="lines" w:linePitch="447"/>
        </w:sectPr>
      </w:pPr>
    </w:p>
    <w:p w:rsidR="003A3487" w:rsidRPr="008564FF" w:rsidP="004549E4">
      <w:pPr>
        <w:adjustRightInd w:val="0"/>
        <w:snapToGrid w:val="0"/>
        <w:spacing w:line="360" w:lineRule="auto"/>
        <w:jc w:val="center"/>
        <w:rPr>
          <w:rFonts w:asciiTheme="minorEastAsia" w:eastAsiaTheme="minorEastAsia" w:hAnsiTheme="minorEastAsia"/>
          <w:b/>
          <w:sz w:val="28"/>
          <w:szCs w:val="28"/>
        </w:rPr>
      </w:pPr>
      <w:r w:rsidRPr="008564FF">
        <w:rPr>
          <w:rFonts w:asciiTheme="minorEastAsia" w:eastAsiaTheme="minorEastAsia" w:hAnsiTheme="minorEastAsia" w:hint="eastAsia"/>
          <w:b/>
          <w:sz w:val="28"/>
          <w:szCs w:val="28"/>
        </w:rPr>
        <w:t>目录</w:t>
      </w:r>
    </w:p>
    <w:p w:rsidR="00A70013">
      <w:pPr>
        <w:pStyle w:val="TOC1"/>
        <w:rPr>
          <w:rFonts w:asciiTheme="minorHAnsi" w:eastAsiaTheme="minorEastAsia" w:hAnsiTheme="minorHAnsi" w:cstheme="minorBidi"/>
          <w:caps w:val="0"/>
          <w:sz w:val="21"/>
          <w:szCs w:val="22"/>
        </w:rPr>
      </w:pPr>
      <w:r w:rsidRPr="008564FF">
        <w:rPr>
          <w:rFonts w:asciiTheme="minorEastAsia" w:eastAsiaTheme="minorEastAsia" w:hAnsiTheme="minorEastAsia" w:hint="eastAsia"/>
          <w:b/>
          <w:caps w:val="0"/>
          <w:szCs w:val="21"/>
        </w:rPr>
        <w:fldChar w:fldCharType="begin"/>
      </w:r>
      <w:r w:rsidRPr="008564FF" w:rsidR="003A3487">
        <w:rPr>
          <w:rFonts w:asciiTheme="minorEastAsia" w:eastAsiaTheme="minorEastAsia" w:hAnsiTheme="minorEastAsia" w:hint="eastAsia"/>
          <w:b/>
          <w:caps w:val="0"/>
          <w:szCs w:val="21"/>
        </w:rPr>
        <w:instrText xml:space="preserve"> TOC \o "1-3" \h \z \u </w:instrText>
      </w:r>
      <w:r w:rsidRPr="008564FF">
        <w:rPr>
          <w:rFonts w:asciiTheme="minorEastAsia" w:eastAsiaTheme="minorEastAsia" w:hAnsiTheme="minorEastAsia" w:hint="eastAsia"/>
          <w:b/>
          <w:caps w:val="0"/>
          <w:szCs w:val="21"/>
        </w:rPr>
        <w:fldChar w:fldCharType="separate"/>
      </w:r>
      <w:hyperlink w:anchor="_Toc91749195" w:history="1">
        <w:r w:rsidRPr="00B25884">
          <w:rPr>
            <w:rStyle w:val="Hyperlink"/>
            <w:rFonts w:asciiTheme="minorEastAsia" w:hAnsiTheme="minorEastAsia" w:hint="eastAsia"/>
            <w:b/>
            <w:bCs/>
          </w:rPr>
          <w:t>一、绪言</w:t>
        </w:r>
        <w:bookmarkStart w:id="0" w:name="_GoBack"/>
        <w:bookmarkEnd w:id="0"/>
        <w:r>
          <w:rPr>
            <w:webHidden/>
          </w:rPr>
          <w:tab/>
        </w:r>
        <w:r>
          <w:rPr>
            <w:webHidden/>
          </w:rPr>
          <w:fldChar w:fldCharType="begin"/>
        </w:r>
        <w:r>
          <w:rPr>
            <w:webHidden/>
          </w:rPr>
          <w:instrText xml:space="preserve"> PAGEREF _Toc91749195 \h </w:instrText>
        </w:r>
        <w:r>
          <w:rPr>
            <w:webHidden/>
          </w:rPr>
          <w:fldChar w:fldCharType="separate"/>
        </w:r>
        <w:r w:rsidR="00684BAD">
          <w:rPr>
            <w:webHidden/>
          </w:rPr>
          <w:t>1</w:t>
        </w:r>
        <w:r>
          <w:rPr>
            <w:webHidden/>
          </w:rPr>
          <w:fldChar w:fldCharType="end"/>
        </w:r>
      </w:hyperlink>
    </w:p>
    <w:p w:rsidR="00A70013">
      <w:pPr>
        <w:pStyle w:val="TOC1"/>
        <w:rPr>
          <w:rFonts w:asciiTheme="minorHAnsi" w:eastAsiaTheme="minorEastAsia" w:hAnsiTheme="minorHAnsi" w:cstheme="minorBidi"/>
          <w:caps w:val="0"/>
          <w:sz w:val="21"/>
          <w:szCs w:val="22"/>
        </w:rPr>
      </w:pPr>
      <w:hyperlink w:anchor="_Toc91749196" w:history="1">
        <w:r w:rsidRPr="00B25884">
          <w:rPr>
            <w:rStyle w:val="Hyperlink"/>
            <w:rFonts w:asciiTheme="minorEastAsia" w:hAnsiTheme="minorEastAsia" w:hint="eastAsia"/>
            <w:b/>
            <w:bCs/>
          </w:rPr>
          <w:t>二、释义</w:t>
        </w:r>
        <w:r>
          <w:rPr>
            <w:webHidden/>
          </w:rPr>
          <w:tab/>
        </w:r>
        <w:r>
          <w:rPr>
            <w:webHidden/>
          </w:rPr>
          <w:fldChar w:fldCharType="begin"/>
        </w:r>
        <w:r>
          <w:rPr>
            <w:webHidden/>
          </w:rPr>
          <w:instrText xml:space="preserve"> PAGEREF _Toc91749196 \h </w:instrText>
        </w:r>
        <w:r>
          <w:rPr>
            <w:webHidden/>
          </w:rPr>
          <w:fldChar w:fldCharType="separate"/>
        </w:r>
        <w:r>
          <w:rPr>
            <w:webHidden/>
          </w:rPr>
          <w:t>2</w:t>
        </w:r>
        <w:r>
          <w:rPr>
            <w:webHidden/>
          </w:rPr>
          <w:fldChar w:fldCharType="end"/>
        </w:r>
      </w:hyperlink>
    </w:p>
    <w:p w:rsidR="00A70013">
      <w:pPr>
        <w:pStyle w:val="TOC1"/>
        <w:rPr>
          <w:rFonts w:asciiTheme="minorHAnsi" w:eastAsiaTheme="minorEastAsia" w:hAnsiTheme="minorHAnsi" w:cstheme="minorBidi"/>
          <w:caps w:val="0"/>
          <w:sz w:val="21"/>
          <w:szCs w:val="22"/>
        </w:rPr>
      </w:pPr>
      <w:hyperlink w:anchor="_Toc91749197" w:history="1">
        <w:r w:rsidRPr="00B25884">
          <w:rPr>
            <w:rStyle w:val="Hyperlink"/>
            <w:rFonts w:asciiTheme="minorEastAsia" w:hAnsiTheme="minorEastAsia" w:hint="eastAsia"/>
            <w:b/>
            <w:bCs/>
          </w:rPr>
          <w:t>三、基金管理人</w:t>
        </w:r>
        <w:r>
          <w:rPr>
            <w:webHidden/>
          </w:rPr>
          <w:tab/>
        </w:r>
        <w:r>
          <w:rPr>
            <w:webHidden/>
          </w:rPr>
          <w:fldChar w:fldCharType="begin"/>
        </w:r>
        <w:r>
          <w:rPr>
            <w:webHidden/>
          </w:rPr>
          <w:instrText xml:space="preserve"> PAGEREF _Toc91749197 \h </w:instrText>
        </w:r>
        <w:r>
          <w:rPr>
            <w:webHidden/>
          </w:rPr>
          <w:fldChar w:fldCharType="separate"/>
        </w:r>
        <w:r>
          <w:rPr>
            <w:webHidden/>
          </w:rPr>
          <w:t>6</w:t>
        </w:r>
        <w:r>
          <w:rPr>
            <w:webHidden/>
          </w:rPr>
          <w:fldChar w:fldCharType="end"/>
        </w:r>
      </w:hyperlink>
    </w:p>
    <w:p w:rsidR="00A70013">
      <w:pPr>
        <w:pStyle w:val="TOC2"/>
        <w:rPr>
          <w:rFonts w:asciiTheme="minorHAnsi" w:eastAsiaTheme="minorEastAsia" w:hAnsiTheme="minorHAnsi" w:cstheme="minorBidi"/>
          <w:smallCaps w:val="0"/>
          <w:szCs w:val="22"/>
        </w:rPr>
      </w:pPr>
      <w:hyperlink w:anchor="_Toc91749198" w:history="1">
        <w:r w:rsidRPr="00B25884">
          <w:rPr>
            <w:rStyle w:val="Hyperlink"/>
            <w:rFonts w:asciiTheme="minorEastAsia" w:hAnsiTheme="minorEastAsia" w:cs="仿宋_GB2312" w:hint="eastAsia"/>
            <w:bCs/>
            <w:kern w:val="0"/>
          </w:rPr>
          <w:t>（一）基金管理人基本情况</w:t>
        </w:r>
        <w:r>
          <w:rPr>
            <w:webHidden/>
          </w:rPr>
          <w:tab/>
        </w:r>
        <w:r>
          <w:rPr>
            <w:webHidden/>
          </w:rPr>
          <w:fldChar w:fldCharType="begin"/>
        </w:r>
        <w:r>
          <w:rPr>
            <w:webHidden/>
          </w:rPr>
          <w:instrText xml:space="preserve"> PAGEREF _Toc91749198 \h </w:instrText>
        </w:r>
        <w:r>
          <w:rPr>
            <w:webHidden/>
          </w:rPr>
          <w:fldChar w:fldCharType="separate"/>
        </w:r>
        <w:r>
          <w:rPr>
            <w:webHidden/>
          </w:rPr>
          <w:t>6</w:t>
        </w:r>
        <w:r>
          <w:rPr>
            <w:webHidden/>
          </w:rPr>
          <w:fldChar w:fldCharType="end"/>
        </w:r>
      </w:hyperlink>
    </w:p>
    <w:p w:rsidR="00A70013">
      <w:pPr>
        <w:pStyle w:val="TOC2"/>
        <w:rPr>
          <w:rFonts w:asciiTheme="minorHAnsi" w:eastAsiaTheme="minorEastAsia" w:hAnsiTheme="minorHAnsi" w:cstheme="minorBidi"/>
          <w:smallCaps w:val="0"/>
          <w:szCs w:val="22"/>
        </w:rPr>
      </w:pPr>
      <w:hyperlink w:anchor="_Toc91749199" w:history="1">
        <w:r w:rsidRPr="00B25884">
          <w:rPr>
            <w:rStyle w:val="Hyperlink"/>
            <w:rFonts w:asciiTheme="minorEastAsia" w:hAnsiTheme="minorEastAsia" w:hint="eastAsia"/>
            <w:bCs/>
          </w:rPr>
          <w:t>（二）主要人员情况</w:t>
        </w:r>
        <w:r>
          <w:rPr>
            <w:webHidden/>
          </w:rPr>
          <w:tab/>
        </w:r>
        <w:r>
          <w:rPr>
            <w:webHidden/>
          </w:rPr>
          <w:fldChar w:fldCharType="begin"/>
        </w:r>
        <w:r>
          <w:rPr>
            <w:webHidden/>
          </w:rPr>
          <w:instrText xml:space="preserve"> PAGEREF _Toc91749199 \h </w:instrText>
        </w:r>
        <w:r>
          <w:rPr>
            <w:webHidden/>
          </w:rPr>
          <w:fldChar w:fldCharType="separate"/>
        </w:r>
        <w:r>
          <w:rPr>
            <w:webHidden/>
          </w:rPr>
          <w:t>6</w:t>
        </w:r>
        <w:r>
          <w:rPr>
            <w:webHidden/>
          </w:rPr>
          <w:fldChar w:fldCharType="end"/>
        </w:r>
      </w:hyperlink>
    </w:p>
    <w:p w:rsidR="00A70013">
      <w:pPr>
        <w:pStyle w:val="TOC2"/>
        <w:rPr>
          <w:rFonts w:asciiTheme="minorHAnsi" w:eastAsiaTheme="minorEastAsia" w:hAnsiTheme="minorHAnsi" w:cstheme="minorBidi"/>
          <w:smallCaps w:val="0"/>
          <w:szCs w:val="22"/>
        </w:rPr>
      </w:pPr>
      <w:hyperlink w:anchor="_Toc91749200" w:history="1">
        <w:r w:rsidRPr="00B25884">
          <w:rPr>
            <w:rStyle w:val="Hyperlink"/>
            <w:rFonts w:asciiTheme="minorEastAsia" w:hAnsiTheme="minorEastAsia" w:hint="eastAsia"/>
            <w:bCs/>
          </w:rPr>
          <w:t>（三）基金管理人的职责</w:t>
        </w:r>
        <w:r>
          <w:rPr>
            <w:webHidden/>
          </w:rPr>
          <w:tab/>
        </w:r>
        <w:r>
          <w:rPr>
            <w:webHidden/>
          </w:rPr>
          <w:fldChar w:fldCharType="begin"/>
        </w:r>
        <w:r>
          <w:rPr>
            <w:webHidden/>
          </w:rPr>
          <w:instrText xml:space="preserve"> PAGEREF _Toc91749200 \h </w:instrText>
        </w:r>
        <w:r>
          <w:rPr>
            <w:webHidden/>
          </w:rPr>
          <w:fldChar w:fldCharType="separate"/>
        </w:r>
        <w:r>
          <w:rPr>
            <w:webHidden/>
          </w:rPr>
          <w:t>13</w:t>
        </w:r>
        <w:r>
          <w:rPr>
            <w:webHidden/>
          </w:rPr>
          <w:fldChar w:fldCharType="end"/>
        </w:r>
      </w:hyperlink>
    </w:p>
    <w:p w:rsidR="00A70013">
      <w:pPr>
        <w:pStyle w:val="TOC2"/>
        <w:rPr>
          <w:rFonts w:asciiTheme="minorHAnsi" w:eastAsiaTheme="minorEastAsia" w:hAnsiTheme="minorHAnsi" w:cstheme="minorBidi"/>
          <w:smallCaps w:val="0"/>
          <w:szCs w:val="22"/>
        </w:rPr>
      </w:pPr>
      <w:hyperlink w:anchor="_Toc91749201" w:history="1">
        <w:r w:rsidRPr="00B25884">
          <w:rPr>
            <w:rStyle w:val="Hyperlink"/>
            <w:rFonts w:asciiTheme="minorEastAsia" w:hAnsiTheme="minorEastAsia" w:hint="eastAsia"/>
            <w:bCs/>
          </w:rPr>
          <w:t>（四）基金管理人的承诺</w:t>
        </w:r>
        <w:r>
          <w:rPr>
            <w:webHidden/>
          </w:rPr>
          <w:tab/>
        </w:r>
        <w:r>
          <w:rPr>
            <w:webHidden/>
          </w:rPr>
          <w:fldChar w:fldCharType="begin"/>
        </w:r>
        <w:r>
          <w:rPr>
            <w:webHidden/>
          </w:rPr>
          <w:instrText xml:space="preserve"> PAGEREF _Toc91749201 \h </w:instrText>
        </w:r>
        <w:r>
          <w:rPr>
            <w:webHidden/>
          </w:rPr>
          <w:fldChar w:fldCharType="separate"/>
        </w:r>
        <w:r>
          <w:rPr>
            <w:webHidden/>
          </w:rPr>
          <w:t>13</w:t>
        </w:r>
        <w:r>
          <w:rPr>
            <w:webHidden/>
          </w:rPr>
          <w:fldChar w:fldCharType="end"/>
        </w:r>
      </w:hyperlink>
    </w:p>
    <w:p w:rsidR="00A70013">
      <w:pPr>
        <w:pStyle w:val="TOC2"/>
        <w:rPr>
          <w:rFonts w:asciiTheme="minorHAnsi" w:eastAsiaTheme="minorEastAsia" w:hAnsiTheme="minorHAnsi" w:cstheme="minorBidi"/>
          <w:smallCaps w:val="0"/>
          <w:szCs w:val="22"/>
        </w:rPr>
      </w:pPr>
      <w:hyperlink w:anchor="_Toc91749202" w:history="1">
        <w:r w:rsidRPr="00B25884">
          <w:rPr>
            <w:rStyle w:val="Hyperlink"/>
            <w:rFonts w:asciiTheme="minorEastAsia" w:hAnsiTheme="minorEastAsia" w:hint="eastAsia"/>
            <w:bCs/>
          </w:rPr>
          <w:t>（五）基金管理人的内部控制制度</w:t>
        </w:r>
        <w:r>
          <w:rPr>
            <w:webHidden/>
          </w:rPr>
          <w:tab/>
        </w:r>
        <w:r>
          <w:rPr>
            <w:webHidden/>
          </w:rPr>
          <w:fldChar w:fldCharType="begin"/>
        </w:r>
        <w:r>
          <w:rPr>
            <w:webHidden/>
          </w:rPr>
          <w:instrText xml:space="preserve"> PAGEREF _Toc91749202 \h </w:instrText>
        </w:r>
        <w:r>
          <w:rPr>
            <w:webHidden/>
          </w:rPr>
          <w:fldChar w:fldCharType="separate"/>
        </w:r>
        <w:r>
          <w:rPr>
            <w:webHidden/>
          </w:rPr>
          <w:t>14</w:t>
        </w:r>
        <w:r>
          <w:rPr>
            <w:webHidden/>
          </w:rPr>
          <w:fldChar w:fldCharType="end"/>
        </w:r>
      </w:hyperlink>
    </w:p>
    <w:p w:rsidR="00A70013">
      <w:pPr>
        <w:pStyle w:val="TOC1"/>
        <w:rPr>
          <w:rFonts w:asciiTheme="minorHAnsi" w:eastAsiaTheme="minorEastAsia" w:hAnsiTheme="minorHAnsi" w:cstheme="minorBidi"/>
          <w:caps w:val="0"/>
          <w:sz w:val="21"/>
          <w:szCs w:val="22"/>
        </w:rPr>
      </w:pPr>
      <w:hyperlink w:anchor="_Toc91749203" w:history="1">
        <w:r w:rsidRPr="00B25884">
          <w:rPr>
            <w:rStyle w:val="Hyperlink"/>
            <w:rFonts w:asciiTheme="minorEastAsia" w:hAnsiTheme="minorEastAsia" w:hint="eastAsia"/>
            <w:b/>
            <w:bCs/>
          </w:rPr>
          <w:t>四、基金托管人</w:t>
        </w:r>
        <w:r>
          <w:rPr>
            <w:webHidden/>
          </w:rPr>
          <w:tab/>
        </w:r>
        <w:r>
          <w:rPr>
            <w:webHidden/>
          </w:rPr>
          <w:fldChar w:fldCharType="begin"/>
        </w:r>
        <w:r>
          <w:rPr>
            <w:webHidden/>
          </w:rPr>
          <w:instrText xml:space="preserve"> PAGEREF _Toc91749203 \h </w:instrText>
        </w:r>
        <w:r>
          <w:rPr>
            <w:webHidden/>
          </w:rPr>
          <w:fldChar w:fldCharType="separate"/>
        </w:r>
        <w:r>
          <w:rPr>
            <w:webHidden/>
          </w:rPr>
          <w:t>17</w:t>
        </w:r>
        <w:r>
          <w:rPr>
            <w:webHidden/>
          </w:rPr>
          <w:fldChar w:fldCharType="end"/>
        </w:r>
      </w:hyperlink>
    </w:p>
    <w:p w:rsidR="00A70013">
      <w:pPr>
        <w:pStyle w:val="TOC1"/>
        <w:rPr>
          <w:rFonts w:asciiTheme="minorHAnsi" w:eastAsiaTheme="minorEastAsia" w:hAnsiTheme="minorHAnsi" w:cstheme="minorBidi"/>
          <w:caps w:val="0"/>
          <w:sz w:val="21"/>
          <w:szCs w:val="22"/>
        </w:rPr>
      </w:pPr>
      <w:hyperlink w:anchor="_Toc91749204" w:history="1">
        <w:r w:rsidRPr="00B25884">
          <w:rPr>
            <w:rStyle w:val="Hyperlink"/>
            <w:rFonts w:asciiTheme="minorEastAsia" w:hAnsiTheme="minorEastAsia" w:hint="eastAsia"/>
            <w:b/>
            <w:bCs/>
          </w:rPr>
          <w:t>五、相关服务机构</w:t>
        </w:r>
        <w:r>
          <w:rPr>
            <w:webHidden/>
          </w:rPr>
          <w:tab/>
        </w:r>
        <w:r>
          <w:rPr>
            <w:webHidden/>
          </w:rPr>
          <w:fldChar w:fldCharType="begin"/>
        </w:r>
        <w:r>
          <w:rPr>
            <w:webHidden/>
          </w:rPr>
          <w:instrText xml:space="preserve"> PAGEREF _Toc91749204 \h </w:instrText>
        </w:r>
        <w:r>
          <w:rPr>
            <w:webHidden/>
          </w:rPr>
          <w:fldChar w:fldCharType="separate"/>
        </w:r>
        <w:r>
          <w:rPr>
            <w:webHidden/>
          </w:rPr>
          <w:t>21</w:t>
        </w:r>
        <w:r>
          <w:rPr>
            <w:webHidden/>
          </w:rPr>
          <w:fldChar w:fldCharType="end"/>
        </w:r>
      </w:hyperlink>
    </w:p>
    <w:p w:rsidR="00A70013">
      <w:pPr>
        <w:pStyle w:val="TOC2"/>
        <w:rPr>
          <w:rFonts w:asciiTheme="minorHAnsi" w:eastAsiaTheme="minorEastAsia" w:hAnsiTheme="minorHAnsi" w:cstheme="minorBidi"/>
          <w:smallCaps w:val="0"/>
          <w:szCs w:val="22"/>
        </w:rPr>
      </w:pPr>
      <w:hyperlink w:anchor="_Toc91749205" w:history="1">
        <w:r w:rsidRPr="00B25884">
          <w:rPr>
            <w:rStyle w:val="Hyperlink"/>
            <w:rFonts w:asciiTheme="minorEastAsia" w:hAnsiTheme="minorEastAsia" w:hint="eastAsia"/>
            <w:bCs/>
          </w:rPr>
          <w:t>（一）基金份额销售机构</w:t>
        </w:r>
        <w:r>
          <w:rPr>
            <w:webHidden/>
          </w:rPr>
          <w:tab/>
        </w:r>
        <w:r>
          <w:rPr>
            <w:webHidden/>
          </w:rPr>
          <w:fldChar w:fldCharType="begin"/>
        </w:r>
        <w:r>
          <w:rPr>
            <w:webHidden/>
          </w:rPr>
          <w:instrText xml:space="preserve"> PAGEREF _Toc91749205 \h </w:instrText>
        </w:r>
        <w:r>
          <w:rPr>
            <w:webHidden/>
          </w:rPr>
          <w:fldChar w:fldCharType="separate"/>
        </w:r>
        <w:r>
          <w:rPr>
            <w:webHidden/>
          </w:rPr>
          <w:t>21</w:t>
        </w:r>
        <w:r>
          <w:rPr>
            <w:webHidden/>
          </w:rPr>
          <w:fldChar w:fldCharType="end"/>
        </w:r>
      </w:hyperlink>
    </w:p>
    <w:p w:rsidR="00A70013">
      <w:pPr>
        <w:pStyle w:val="TOC2"/>
        <w:rPr>
          <w:rFonts w:asciiTheme="minorHAnsi" w:eastAsiaTheme="minorEastAsia" w:hAnsiTheme="minorHAnsi" w:cstheme="minorBidi"/>
          <w:smallCaps w:val="0"/>
          <w:szCs w:val="22"/>
        </w:rPr>
      </w:pPr>
      <w:hyperlink w:anchor="_Toc91749206" w:history="1">
        <w:r w:rsidRPr="00B25884">
          <w:rPr>
            <w:rStyle w:val="Hyperlink"/>
            <w:rFonts w:asciiTheme="minorEastAsia" w:hAnsiTheme="minorEastAsia" w:hint="eastAsia"/>
            <w:bCs/>
          </w:rPr>
          <w:t>（二）基金注册登记机构</w:t>
        </w:r>
        <w:r>
          <w:rPr>
            <w:webHidden/>
          </w:rPr>
          <w:tab/>
        </w:r>
        <w:r>
          <w:rPr>
            <w:webHidden/>
          </w:rPr>
          <w:fldChar w:fldCharType="begin"/>
        </w:r>
        <w:r>
          <w:rPr>
            <w:webHidden/>
          </w:rPr>
          <w:instrText xml:space="preserve"> PAGEREF _Toc91749206 \h </w:instrText>
        </w:r>
        <w:r>
          <w:rPr>
            <w:webHidden/>
          </w:rPr>
          <w:fldChar w:fldCharType="separate"/>
        </w:r>
        <w:r>
          <w:rPr>
            <w:webHidden/>
          </w:rPr>
          <w:t>21</w:t>
        </w:r>
        <w:r>
          <w:rPr>
            <w:webHidden/>
          </w:rPr>
          <w:fldChar w:fldCharType="end"/>
        </w:r>
      </w:hyperlink>
    </w:p>
    <w:p w:rsidR="00A70013">
      <w:pPr>
        <w:pStyle w:val="TOC2"/>
        <w:rPr>
          <w:rFonts w:asciiTheme="minorHAnsi" w:eastAsiaTheme="minorEastAsia" w:hAnsiTheme="minorHAnsi" w:cstheme="minorBidi"/>
          <w:smallCaps w:val="0"/>
          <w:szCs w:val="22"/>
        </w:rPr>
      </w:pPr>
      <w:hyperlink w:anchor="_Toc91749207" w:history="1">
        <w:r w:rsidRPr="00B25884">
          <w:rPr>
            <w:rStyle w:val="Hyperlink"/>
            <w:rFonts w:asciiTheme="minorEastAsia" w:hAnsiTheme="minorEastAsia" w:hint="eastAsia"/>
            <w:bCs/>
          </w:rPr>
          <w:t>（三）律师事务所和经办律师</w:t>
        </w:r>
        <w:r>
          <w:rPr>
            <w:webHidden/>
          </w:rPr>
          <w:tab/>
        </w:r>
        <w:r>
          <w:rPr>
            <w:webHidden/>
          </w:rPr>
          <w:fldChar w:fldCharType="begin"/>
        </w:r>
        <w:r>
          <w:rPr>
            <w:webHidden/>
          </w:rPr>
          <w:instrText xml:space="preserve"> PAGEREF _Toc91749207 \h </w:instrText>
        </w:r>
        <w:r>
          <w:rPr>
            <w:webHidden/>
          </w:rPr>
          <w:fldChar w:fldCharType="separate"/>
        </w:r>
        <w:r>
          <w:rPr>
            <w:webHidden/>
          </w:rPr>
          <w:t>21</w:t>
        </w:r>
        <w:r>
          <w:rPr>
            <w:webHidden/>
          </w:rPr>
          <w:fldChar w:fldCharType="end"/>
        </w:r>
      </w:hyperlink>
    </w:p>
    <w:p w:rsidR="00A70013">
      <w:pPr>
        <w:pStyle w:val="TOC2"/>
        <w:rPr>
          <w:rFonts w:asciiTheme="minorHAnsi" w:eastAsiaTheme="minorEastAsia" w:hAnsiTheme="minorHAnsi" w:cstheme="minorBidi"/>
          <w:smallCaps w:val="0"/>
          <w:szCs w:val="22"/>
        </w:rPr>
      </w:pPr>
      <w:hyperlink w:anchor="_Toc91749208" w:history="1">
        <w:r w:rsidRPr="00B25884">
          <w:rPr>
            <w:rStyle w:val="Hyperlink"/>
            <w:rFonts w:asciiTheme="minorEastAsia" w:hAnsiTheme="minorEastAsia" w:hint="eastAsia"/>
            <w:bCs/>
          </w:rPr>
          <w:t>（四）会计师事务所和经办注册会计师</w:t>
        </w:r>
        <w:r>
          <w:rPr>
            <w:webHidden/>
          </w:rPr>
          <w:tab/>
        </w:r>
        <w:r>
          <w:rPr>
            <w:webHidden/>
          </w:rPr>
          <w:fldChar w:fldCharType="begin"/>
        </w:r>
        <w:r>
          <w:rPr>
            <w:webHidden/>
          </w:rPr>
          <w:instrText xml:space="preserve"> PAGEREF _Toc91749208 \h </w:instrText>
        </w:r>
        <w:r>
          <w:rPr>
            <w:webHidden/>
          </w:rPr>
          <w:fldChar w:fldCharType="separate"/>
        </w:r>
        <w:r>
          <w:rPr>
            <w:webHidden/>
          </w:rPr>
          <w:t>22</w:t>
        </w:r>
        <w:r>
          <w:rPr>
            <w:webHidden/>
          </w:rPr>
          <w:fldChar w:fldCharType="end"/>
        </w:r>
      </w:hyperlink>
    </w:p>
    <w:p w:rsidR="00A70013">
      <w:pPr>
        <w:pStyle w:val="TOC1"/>
        <w:rPr>
          <w:rFonts w:asciiTheme="minorHAnsi" w:eastAsiaTheme="minorEastAsia" w:hAnsiTheme="minorHAnsi" w:cstheme="minorBidi"/>
          <w:caps w:val="0"/>
          <w:sz w:val="21"/>
          <w:szCs w:val="22"/>
        </w:rPr>
      </w:pPr>
      <w:hyperlink w:anchor="_Toc91749209" w:history="1">
        <w:r w:rsidRPr="00B25884">
          <w:rPr>
            <w:rStyle w:val="Hyperlink"/>
            <w:rFonts w:asciiTheme="minorEastAsia" w:hAnsiTheme="minorEastAsia" w:hint="eastAsia"/>
            <w:b/>
            <w:bCs/>
          </w:rPr>
          <w:t>六、基金的募集</w:t>
        </w:r>
        <w:r>
          <w:rPr>
            <w:webHidden/>
          </w:rPr>
          <w:tab/>
        </w:r>
        <w:r>
          <w:rPr>
            <w:webHidden/>
          </w:rPr>
          <w:fldChar w:fldCharType="begin"/>
        </w:r>
        <w:r>
          <w:rPr>
            <w:webHidden/>
          </w:rPr>
          <w:instrText xml:space="preserve"> PAGEREF _Toc91749209 \h </w:instrText>
        </w:r>
        <w:r>
          <w:rPr>
            <w:webHidden/>
          </w:rPr>
          <w:fldChar w:fldCharType="separate"/>
        </w:r>
        <w:r>
          <w:rPr>
            <w:webHidden/>
          </w:rPr>
          <w:t>23</w:t>
        </w:r>
        <w:r>
          <w:rPr>
            <w:webHidden/>
          </w:rPr>
          <w:fldChar w:fldCharType="end"/>
        </w:r>
      </w:hyperlink>
    </w:p>
    <w:p w:rsidR="00A70013">
      <w:pPr>
        <w:pStyle w:val="TOC1"/>
        <w:rPr>
          <w:rFonts w:asciiTheme="minorHAnsi" w:eastAsiaTheme="minorEastAsia" w:hAnsiTheme="minorHAnsi" w:cstheme="minorBidi"/>
          <w:caps w:val="0"/>
          <w:sz w:val="21"/>
          <w:szCs w:val="22"/>
        </w:rPr>
      </w:pPr>
      <w:hyperlink w:anchor="_Toc91749210" w:history="1">
        <w:r w:rsidRPr="00B25884">
          <w:rPr>
            <w:rStyle w:val="Hyperlink"/>
            <w:rFonts w:asciiTheme="minorEastAsia" w:hAnsiTheme="minorEastAsia" w:hint="eastAsia"/>
            <w:b/>
            <w:bCs/>
          </w:rPr>
          <w:t>七、基金合同的生效</w:t>
        </w:r>
        <w:r>
          <w:rPr>
            <w:webHidden/>
          </w:rPr>
          <w:tab/>
        </w:r>
        <w:r>
          <w:rPr>
            <w:webHidden/>
          </w:rPr>
          <w:fldChar w:fldCharType="begin"/>
        </w:r>
        <w:r>
          <w:rPr>
            <w:webHidden/>
          </w:rPr>
          <w:instrText xml:space="preserve"> PAGEREF _Toc91749210 \h </w:instrText>
        </w:r>
        <w:r>
          <w:rPr>
            <w:webHidden/>
          </w:rPr>
          <w:fldChar w:fldCharType="separate"/>
        </w:r>
        <w:r>
          <w:rPr>
            <w:webHidden/>
          </w:rPr>
          <w:t>24</w:t>
        </w:r>
        <w:r>
          <w:rPr>
            <w:webHidden/>
          </w:rPr>
          <w:fldChar w:fldCharType="end"/>
        </w:r>
      </w:hyperlink>
    </w:p>
    <w:p w:rsidR="00A70013">
      <w:pPr>
        <w:pStyle w:val="TOC2"/>
        <w:rPr>
          <w:rFonts w:asciiTheme="minorHAnsi" w:eastAsiaTheme="minorEastAsia" w:hAnsiTheme="minorHAnsi" w:cstheme="minorBidi"/>
          <w:smallCaps w:val="0"/>
          <w:szCs w:val="22"/>
        </w:rPr>
      </w:pPr>
      <w:hyperlink w:anchor="_Toc91749211" w:history="1">
        <w:r w:rsidRPr="00B25884">
          <w:rPr>
            <w:rStyle w:val="Hyperlink"/>
            <w:rFonts w:asciiTheme="minorEastAsia" w:hAnsiTheme="minorEastAsia" w:hint="eastAsia"/>
          </w:rPr>
          <w:t>（一）基金合同的生效</w:t>
        </w:r>
        <w:r>
          <w:rPr>
            <w:webHidden/>
          </w:rPr>
          <w:tab/>
        </w:r>
        <w:r>
          <w:rPr>
            <w:webHidden/>
          </w:rPr>
          <w:fldChar w:fldCharType="begin"/>
        </w:r>
        <w:r>
          <w:rPr>
            <w:webHidden/>
          </w:rPr>
          <w:instrText xml:space="preserve"> PAGEREF _Toc91749211 \h </w:instrText>
        </w:r>
        <w:r>
          <w:rPr>
            <w:webHidden/>
          </w:rPr>
          <w:fldChar w:fldCharType="separate"/>
        </w:r>
        <w:r>
          <w:rPr>
            <w:webHidden/>
          </w:rPr>
          <w:t>24</w:t>
        </w:r>
        <w:r>
          <w:rPr>
            <w:webHidden/>
          </w:rPr>
          <w:fldChar w:fldCharType="end"/>
        </w:r>
      </w:hyperlink>
    </w:p>
    <w:p w:rsidR="00A70013">
      <w:pPr>
        <w:pStyle w:val="TOC2"/>
        <w:rPr>
          <w:rFonts w:asciiTheme="minorHAnsi" w:eastAsiaTheme="minorEastAsia" w:hAnsiTheme="minorHAnsi" w:cstheme="minorBidi"/>
          <w:smallCaps w:val="0"/>
          <w:szCs w:val="22"/>
        </w:rPr>
      </w:pPr>
      <w:hyperlink w:anchor="_Toc91749212" w:history="1">
        <w:r w:rsidRPr="00B25884">
          <w:rPr>
            <w:rStyle w:val="Hyperlink"/>
            <w:rFonts w:asciiTheme="minorEastAsia" w:hAnsiTheme="minorEastAsia" w:hint="eastAsia"/>
          </w:rPr>
          <w:t>（二）基金存续期内的基金份额持有人数量和资产规模</w:t>
        </w:r>
        <w:r>
          <w:rPr>
            <w:webHidden/>
          </w:rPr>
          <w:tab/>
        </w:r>
        <w:r>
          <w:rPr>
            <w:webHidden/>
          </w:rPr>
          <w:fldChar w:fldCharType="begin"/>
        </w:r>
        <w:r>
          <w:rPr>
            <w:webHidden/>
          </w:rPr>
          <w:instrText xml:space="preserve"> PAGEREF _Toc91749212 \h </w:instrText>
        </w:r>
        <w:r>
          <w:rPr>
            <w:webHidden/>
          </w:rPr>
          <w:fldChar w:fldCharType="separate"/>
        </w:r>
        <w:r>
          <w:rPr>
            <w:webHidden/>
          </w:rPr>
          <w:t>24</w:t>
        </w:r>
        <w:r>
          <w:rPr>
            <w:webHidden/>
          </w:rPr>
          <w:fldChar w:fldCharType="end"/>
        </w:r>
      </w:hyperlink>
    </w:p>
    <w:p w:rsidR="00A70013">
      <w:pPr>
        <w:pStyle w:val="TOC1"/>
        <w:rPr>
          <w:rFonts w:asciiTheme="minorHAnsi" w:eastAsiaTheme="minorEastAsia" w:hAnsiTheme="minorHAnsi" w:cstheme="minorBidi"/>
          <w:caps w:val="0"/>
          <w:sz w:val="21"/>
          <w:szCs w:val="22"/>
        </w:rPr>
      </w:pPr>
      <w:hyperlink w:anchor="_Toc91749213" w:history="1">
        <w:r w:rsidRPr="00B25884">
          <w:rPr>
            <w:rStyle w:val="Hyperlink"/>
            <w:rFonts w:asciiTheme="minorEastAsia" w:hAnsiTheme="minorEastAsia" w:hint="eastAsia"/>
            <w:b/>
            <w:bCs/>
          </w:rPr>
          <w:t>八、基金份额的申购、赎回</w:t>
        </w:r>
        <w:r>
          <w:rPr>
            <w:webHidden/>
          </w:rPr>
          <w:tab/>
        </w:r>
        <w:r>
          <w:rPr>
            <w:webHidden/>
          </w:rPr>
          <w:fldChar w:fldCharType="begin"/>
        </w:r>
        <w:r>
          <w:rPr>
            <w:webHidden/>
          </w:rPr>
          <w:instrText xml:space="preserve"> PAGEREF _Toc91749213 \h </w:instrText>
        </w:r>
        <w:r>
          <w:rPr>
            <w:webHidden/>
          </w:rPr>
          <w:fldChar w:fldCharType="separate"/>
        </w:r>
        <w:r>
          <w:rPr>
            <w:webHidden/>
          </w:rPr>
          <w:t>25</w:t>
        </w:r>
        <w:r>
          <w:rPr>
            <w:webHidden/>
          </w:rPr>
          <w:fldChar w:fldCharType="end"/>
        </w:r>
      </w:hyperlink>
    </w:p>
    <w:p w:rsidR="00A70013">
      <w:pPr>
        <w:pStyle w:val="TOC2"/>
        <w:rPr>
          <w:rFonts w:asciiTheme="minorHAnsi" w:eastAsiaTheme="minorEastAsia" w:hAnsiTheme="minorHAnsi" w:cstheme="minorBidi"/>
          <w:smallCaps w:val="0"/>
          <w:szCs w:val="22"/>
        </w:rPr>
      </w:pPr>
      <w:hyperlink w:anchor="_Toc91749214" w:history="1">
        <w:r w:rsidRPr="00B25884">
          <w:rPr>
            <w:rStyle w:val="Hyperlink"/>
            <w:rFonts w:asciiTheme="minorEastAsia" w:hAnsiTheme="minorEastAsia" w:hint="eastAsia"/>
          </w:rPr>
          <w:t>（一）基金投资者范围</w:t>
        </w:r>
        <w:r>
          <w:rPr>
            <w:webHidden/>
          </w:rPr>
          <w:tab/>
        </w:r>
        <w:r>
          <w:rPr>
            <w:webHidden/>
          </w:rPr>
          <w:fldChar w:fldCharType="begin"/>
        </w:r>
        <w:r>
          <w:rPr>
            <w:webHidden/>
          </w:rPr>
          <w:instrText xml:space="preserve"> PAGEREF _Toc91749214 \h </w:instrText>
        </w:r>
        <w:r>
          <w:rPr>
            <w:webHidden/>
          </w:rPr>
          <w:fldChar w:fldCharType="separate"/>
        </w:r>
        <w:r>
          <w:rPr>
            <w:webHidden/>
          </w:rPr>
          <w:t>25</w:t>
        </w:r>
        <w:r>
          <w:rPr>
            <w:webHidden/>
          </w:rPr>
          <w:fldChar w:fldCharType="end"/>
        </w:r>
      </w:hyperlink>
    </w:p>
    <w:p w:rsidR="00A70013">
      <w:pPr>
        <w:pStyle w:val="TOC2"/>
        <w:rPr>
          <w:rFonts w:asciiTheme="minorHAnsi" w:eastAsiaTheme="minorEastAsia" w:hAnsiTheme="minorHAnsi" w:cstheme="minorBidi"/>
          <w:smallCaps w:val="0"/>
          <w:szCs w:val="22"/>
        </w:rPr>
      </w:pPr>
      <w:hyperlink w:anchor="_Toc91749215" w:history="1">
        <w:r w:rsidRPr="00B25884">
          <w:rPr>
            <w:rStyle w:val="Hyperlink"/>
            <w:rFonts w:asciiTheme="minorEastAsia" w:hAnsiTheme="minorEastAsia" w:hint="eastAsia"/>
          </w:rPr>
          <w:t>（二）申购、赎回的场所</w:t>
        </w:r>
        <w:r>
          <w:rPr>
            <w:webHidden/>
          </w:rPr>
          <w:tab/>
        </w:r>
        <w:r>
          <w:rPr>
            <w:webHidden/>
          </w:rPr>
          <w:fldChar w:fldCharType="begin"/>
        </w:r>
        <w:r>
          <w:rPr>
            <w:webHidden/>
          </w:rPr>
          <w:instrText xml:space="preserve"> PAGEREF _Toc91749215 \h </w:instrText>
        </w:r>
        <w:r>
          <w:rPr>
            <w:webHidden/>
          </w:rPr>
          <w:fldChar w:fldCharType="separate"/>
        </w:r>
        <w:r>
          <w:rPr>
            <w:webHidden/>
          </w:rPr>
          <w:t>25</w:t>
        </w:r>
        <w:r>
          <w:rPr>
            <w:webHidden/>
          </w:rPr>
          <w:fldChar w:fldCharType="end"/>
        </w:r>
      </w:hyperlink>
    </w:p>
    <w:p w:rsidR="00A70013">
      <w:pPr>
        <w:pStyle w:val="TOC2"/>
        <w:rPr>
          <w:rFonts w:asciiTheme="minorHAnsi" w:eastAsiaTheme="minorEastAsia" w:hAnsiTheme="minorHAnsi" w:cstheme="minorBidi"/>
          <w:smallCaps w:val="0"/>
          <w:szCs w:val="22"/>
        </w:rPr>
      </w:pPr>
      <w:hyperlink w:anchor="_Toc91749216" w:history="1">
        <w:r w:rsidRPr="00B25884">
          <w:rPr>
            <w:rStyle w:val="Hyperlink"/>
            <w:rFonts w:asciiTheme="minorEastAsia" w:hAnsiTheme="minorEastAsia" w:hint="eastAsia"/>
          </w:rPr>
          <w:t>（三）申购、赎回的时间</w:t>
        </w:r>
        <w:r>
          <w:rPr>
            <w:webHidden/>
          </w:rPr>
          <w:tab/>
        </w:r>
        <w:r>
          <w:rPr>
            <w:webHidden/>
          </w:rPr>
          <w:fldChar w:fldCharType="begin"/>
        </w:r>
        <w:r>
          <w:rPr>
            <w:webHidden/>
          </w:rPr>
          <w:instrText xml:space="preserve"> PAGEREF _Toc91749216 \h </w:instrText>
        </w:r>
        <w:r>
          <w:rPr>
            <w:webHidden/>
          </w:rPr>
          <w:fldChar w:fldCharType="separate"/>
        </w:r>
        <w:r>
          <w:rPr>
            <w:webHidden/>
          </w:rPr>
          <w:t>25</w:t>
        </w:r>
        <w:r>
          <w:rPr>
            <w:webHidden/>
          </w:rPr>
          <w:fldChar w:fldCharType="end"/>
        </w:r>
      </w:hyperlink>
    </w:p>
    <w:p w:rsidR="00A70013">
      <w:pPr>
        <w:pStyle w:val="TOC2"/>
        <w:rPr>
          <w:rFonts w:asciiTheme="minorHAnsi" w:eastAsiaTheme="minorEastAsia" w:hAnsiTheme="minorHAnsi" w:cstheme="minorBidi"/>
          <w:smallCaps w:val="0"/>
          <w:szCs w:val="22"/>
        </w:rPr>
      </w:pPr>
      <w:hyperlink w:anchor="_Toc91749217" w:history="1">
        <w:r w:rsidRPr="00B25884">
          <w:rPr>
            <w:rStyle w:val="Hyperlink"/>
            <w:rFonts w:asciiTheme="minorEastAsia" w:hAnsiTheme="minorEastAsia" w:hint="eastAsia"/>
            <w:bCs/>
          </w:rPr>
          <w:t>（四）申购、赎回的原则</w:t>
        </w:r>
        <w:r>
          <w:rPr>
            <w:webHidden/>
          </w:rPr>
          <w:tab/>
        </w:r>
        <w:r>
          <w:rPr>
            <w:webHidden/>
          </w:rPr>
          <w:fldChar w:fldCharType="begin"/>
        </w:r>
        <w:r>
          <w:rPr>
            <w:webHidden/>
          </w:rPr>
          <w:instrText xml:space="preserve"> PAGEREF _Toc91749217 \h </w:instrText>
        </w:r>
        <w:r>
          <w:rPr>
            <w:webHidden/>
          </w:rPr>
          <w:fldChar w:fldCharType="separate"/>
        </w:r>
        <w:r>
          <w:rPr>
            <w:webHidden/>
          </w:rPr>
          <w:t>25</w:t>
        </w:r>
        <w:r>
          <w:rPr>
            <w:webHidden/>
          </w:rPr>
          <w:fldChar w:fldCharType="end"/>
        </w:r>
      </w:hyperlink>
    </w:p>
    <w:p w:rsidR="00A70013">
      <w:pPr>
        <w:pStyle w:val="TOC2"/>
        <w:rPr>
          <w:rFonts w:asciiTheme="minorHAnsi" w:eastAsiaTheme="minorEastAsia" w:hAnsiTheme="minorHAnsi" w:cstheme="minorBidi"/>
          <w:smallCaps w:val="0"/>
          <w:szCs w:val="22"/>
        </w:rPr>
      </w:pPr>
      <w:hyperlink w:anchor="_Toc91749218" w:history="1">
        <w:r w:rsidRPr="00B25884">
          <w:rPr>
            <w:rStyle w:val="Hyperlink"/>
            <w:rFonts w:asciiTheme="minorEastAsia" w:hAnsiTheme="minorEastAsia" w:hint="eastAsia"/>
          </w:rPr>
          <w:t>（五）申购、赎回的程序</w:t>
        </w:r>
        <w:r>
          <w:rPr>
            <w:webHidden/>
          </w:rPr>
          <w:tab/>
        </w:r>
        <w:r>
          <w:rPr>
            <w:webHidden/>
          </w:rPr>
          <w:fldChar w:fldCharType="begin"/>
        </w:r>
        <w:r>
          <w:rPr>
            <w:webHidden/>
          </w:rPr>
          <w:instrText xml:space="preserve"> PAGEREF _Toc91749218 \h </w:instrText>
        </w:r>
        <w:r>
          <w:rPr>
            <w:webHidden/>
          </w:rPr>
          <w:fldChar w:fldCharType="separate"/>
        </w:r>
        <w:r>
          <w:rPr>
            <w:webHidden/>
          </w:rPr>
          <w:t>26</w:t>
        </w:r>
        <w:r>
          <w:rPr>
            <w:webHidden/>
          </w:rPr>
          <w:fldChar w:fldCharType="end"/>
        </w:r>
      </w:hyperlink>
    </w:p>
    <w:p w:rsidR="00A70013">
      <w:pPr>
        <w:pStyle w:val="TOC2"/>
        <w:rPr>
          <w:rFonts w:asciiTheme="minorHAnsi" w:eastAsiaTheme="minorEastAsia" w:hAnsiTheme="minorHAnsi" w:cstheme="minorBidi"/>
          <w:smallCaps w:val="0"/>
          <w:szCs w:val="22"/>
        </w:rPr>
      </w:pPr>
      <w:hyperlink w:anchor="_Toc91749219" w:history="1">
        <w:r w:rsidRPr="00B25884">
          <w:rPr>
            <w:rStyle w:val="Hyperlink"/>
            <w:rFonts w:asciiTheme="minorEastAsia" w:hAnsiTheme="minorEastAsia" w:hint="eastAsia"/>
          </w:rPr>
          <w:t>（六）申购、赎回的数额限制</w:t>
        </w:r>
        <w:r>
          <w:rPr>
            <w:webHidden/>
          </w:rPr>
          <w:tab/>
        </w:r>
        <w:r>
          <w:rPr>
            <w:webHidden/>
          </w:rPr>
          <w:fldChar w:fldCharType="begin"/>
        </w:r>
        <w:r>
          <w:rPr>
            <w:webHidden/>
          </w:rPr>
          <w:instrText xml:space="preserve"> PAGEREF _Toc91749219 \h </w:instrText>
        </w:r>
        <w:r>
          <w:rPr>
            <w:webHidden/>
          </w:rPr>
          <w:fldChar w:fldCharType="separate"/>
        </w:r>
        <w:r>
          <w:rPr>
            <w:webHidden/>
          </w:rPr>
          <w:t>26</w:t>
        </w:r>
        <w:r>
          <w:rPr>
            <w:webHidden/>
          </w:rPr>
          <w:fldChar w:fldCharType="end"/>
        </w:r>
      </w:hyperlink>
    </w:p>
    <w:p w:rsidR="00A70013">
      <w:pPr>
        <w:pStyle w:val="TOC2"/>
        <w:rPr>
          <w:rFonts w:asciiTheme="minorHAnsi" w:eastAsiaTheme="minorEastAsia" w:hAnsiTheme="minorHAnsi" w:cstheme="minorBidi"/>
          <w:smallCaps w:val="0"/>
          <w:szCs w:val="22"/>
        </w:rPr>
      </w:pPr>
      <w:hyperlink w:anchor="_Toc91749220" w:history="1">
        <w:r w:rsidRPr="00B25884">
          <w:rPr>
            <w:rStyle w:val="Hyperlink"/>
            <w:rFonts w:asciiTheme="minorEastAsia" w:hAnsiTheme="minorEastAsia" w:hint="eastAsia"/>
          </w:rPr>
          <w:t>（七）申购、赎回的费率</w:t>
        </w:r>
        <w:r>
          <w:rPr>
            <w:webHidden/>
          </w:rPr>
          <w:tab/>
        </w:r>
        <w:r>
          <w:rPr>
            <w:webHidden/>
          </w:rPr>
          <w:fldChar w:fldCharType="begin"/>
        </w:r>
        <w:r>
          <w:rPr>
            <w:webHidden/>
          </w:rPr>
          <w:instrText xml:space="preserve"> PAGEREF _Toc91749220 \h </w:instrText>
        </w:r>
        <w:r>
          <w:rPr>
            <w:webHidden/>
          </w:rPr>
          <w:fldChar w:fldCharType="separate"/>
        </w:r>
        <w:r>
          <w:rPr>
            <w:webHidden/>
          </w:rPr>
          <w:t>27</w:t>
        </w:r>
        <w:r>
          <w:rPr>
            <w:webHidden/>
          </w:rPr>
          <w:fldChar w:fldCharType="end"/>
        </w:r>
      </w:hyperlink>
    </w:p>
    <w:p w:rsidR="00A70013">
      <w:pPr>
        <w:pStyle w:val="TOC2"/>
        <w:rPr>
          <w:rFonts w:asciiTheme="minorHAnsi" w:eastAsiaTheme="minorEastAsia" w:hAnsiTheme="minorHAnsi" w:cstheme="minorBidi"/>
          <w:smallCaps w:val="0"/>
          <w:szCs w:val="22"/>
        </w:rPr>
      </w:pPr>
      <w:hyperlink w:anchor="_Toc91749221" w:history="1">
        <w:r w:rsidRPr="00B25884">
          <w:rPr>
            <w:rStyle w:val="Hyperlink"/>
            <w:rFonts w:asciiTheme="minorEastAsia" w:hAnsiTheme="minorEastAsia" w:hint="eastAsia"/>
          </w:rPr>
          <w:t>（八）申购份额、赎回金额的计算方式</w:t>
        </w:r>
        <w:r>
          <w:rPr>
            <w:webHidden/>
          </w:rPr>
          <w:tab/>
        </w:r>
        <w:r>
          <w:rPr>
            <w:webHidden/>
          </w:rPr>
          <w:fldChar w:fldCharType="begin"/>
        </w:r>
        <w:r>
          <w:rPr>
            <w:webHidden/>
          </w:rPr>
          <w:instrText xml:space="preserve"> PAGEREF _Toc91749221 \h </w:instrText>
        </w:r>
        <w:r>
          <w:rPr>
            <w:webHidden/>
          </w:rPr>
          <w:fldChar w:fldCharType="separate"/>
        </w:r>
        <w:r>
          <w:rPr>
            <w:webHidden/>
          </w:rPr>
          <w:t>28</w:t>
        </w:r>
        <w:r>
          <w:rPr>
            <w:webHidden/>
          </w:rPr>
          <w:fldChar w:fldCharType="end"/>
        </w:r>
      </w:hyperlink>
    </w:p>
    <w:p w:rsidR="00A70013">
      <w:pPr>
        <w:pStyle w:val="TOC2"/>
        <w:rPr>
          <w:rFonts w:asciiTheme="minorHAnsi" w:eastAsiaTheme="minorEastAsia" w:hAnsiTheme="minorHAnsi" w:cstheme="minorBidi"/>
          <w:smallCaps w:val="0"/>
          <w:szCs w:val="22"/>
        </w:rPr>
      </w:pPr>
      <w:hyperlink w:anchor="_Toc91749222" w:history="1">
        <w:r w:rsidRPr="00B25884">
          <w:rPr>
            <w:rStyle w:val="Hyperlink"/>
            <w:rFonts w:asciiTheme="minorEastAsia" w:hAnsiTheme="minorEastAsia" w:hint="eastAsia"/>
          </w:rPr>
          <w:t>（九）申购、赎回的注册登记</w:t>
        </w:r>
        <w:r>
          <w:rPr>
            <w:webHidden/>
          </w:rPr>
          <w:tab/>
        </w:r>
        <w:r>
          <w:rPr>
            <w:webHidden/>
          </w:rPr>
          <w:fldChar w:fldCharType="begin"/>
        </w:r>
        <w:r>
          <w:rPr>
            <w:webHidden/>
          </w:rPr>
          <w:instrText xml:space="preserve"> PAGEREF _Toc91749222 \h </w:instrText>
        </w:r>
        <w:r>
          <w:rPr>
            <w:webHidden/>
          </w:rPr>
          <w:fldChar w:fldCharType="separate"/>
        </w:r>
        <w:r>
          <w:rPr>
            <w:webHidden/>
          </w:rPr>
          <w:t>29</w:t>
        </w:r>
        <w:r>
          <w:rPr>
            <w:webHidden/>
          </w:rPr>
          <w:fldChar w:fldCharType="end"/>
        </w:r>
      </w:hyperlink>
    </w:p>
    <w:p w:rsidR="00A70013">
      <w:pPr>
        <w:pStyle w:val="TOC2"/>
        <w:rPr>
          <w:rFonts w:asciiTheme="minorHAnsi" w:eastAsiaTheme="minorEastAsia" w:hAnsiTheme="minorHAnsi" w:cstheme="minorBidi"/>
          <w:smallCaps w:val="0"/>
          <w:szCs w:val="22"/>
        </w:rPr>
      </w:pPr>
      <w:hyperlink w:anchor="_Toc91749223" w:history="1">
        <w:r w:rsidRPr="00B25884">
          <w:rPr>
            <w:rStyle w:val="Hyperlink"/>
            <w:rFonts w:asciiTheme="minorEastAsia" w:hAnsiTheme="minorEastAsia" w:hint="eastAsia"/>
          </w:rPr>
          <w:t>（十）巨额赎回的认定及处理方式</w:t>
        </w:r>
        <w:r>
          <w:rPr>
            <w:webHidden/>
          </w:rPr>
          <w:tab/>
        </w:r>
        <w:r>
          <w:rPr>
            <w:webHidden/>
          </w:rPr>
          <w:fldChar w:fldCharType="begin"/>
        </w:r>
        <w:r>
          <w:rPr>
            <w:webHidden/>
          </w:rPr>
          <w:instrText xml:space="preserve"> PAGEREF _Toc91749223 \h </w:instrText>
        </w:r>
        <w:r>
          <w:rPr>
            <w:webHidden/>
          </w:rPr>
          <w:fldChar w:fldCharType="separate"/>
        </w:r>
        <w:r>
          <w:rPr>
            <w:webHidden/>
          </w:rPr>
          <w:t>29</w:t>
        </w:r>
        <w:r>
          <w:rPr>
            <w:webHidden/>
          </w:rPr>
          <w:fldChar w:fldCharType="end"/>
        </w:r>
      </w:hyperlink>
    </w:p>
    <w:p w:rsidR="00A70013">
      <w:pPr>
        <w:pStyle w:val="TOC2"/>
        <w:rPr>
          <w:rFonts w:asciiTheme="minorHAnsi" w:eastAsiaTheme="minorEastAsia" w:hAnsiTheme="minorHAnsi" w:cstheme="minorBidi"/>
          <w:smallCaps w:val="0"/>
          <w:szCs w:val="22"/>
        </w:rPr>
      </w:pPr>
      <w:hyperlink w:anchor="_Toc91749224" w:history="1">
        <w:r w:rsidRPr="00B25884">
          <w:rPr>
            <w:rStyle w:val="Hyperlink"/>
            <w:rFonts w:asciiTheme="minorEastAsia" w:hAnsiTheme="minorEastAsia" w:hint="eastAsia"/>
          </w:rPr>
          <w:t>（十一）拒绝或暂停申购、赎回的情形及处理方式</w:t>
        </w:r>
        <w:r>
          <w:rPr>
            <w:webHidden/>
          </w:rPr>
          <w:tab/>
        </w:r>
        <w:r>
          <w:rPr>
            <w:webHidden/>
          </w:rPr>
          <w:fldChar w:fldCharType="begin"/>
        </w:r>
        <w:r>
          <w:rPr>
            <w:webHidden/>
          </w:rPr>
          <w:instrText xml:space="preserve"> PAGEREF _Toc91749224 \h </w:instrText>
        </w:r>
        <w:r>
          <w:rPr>
            <w:webHidden/>
          </w:rPr>
          <w:fldChar w:fldCharType="separate"/>
        </w:r>
        <w:r>
          <w:rPr>
            <w:webHidden/>
          </w:rPr>
          <w:t>30</w:t>
        </w:r>
        <w:r>
          <w:rPr>
            <w:webHidden/>
          </w:rPr>
          <w:fldChar w:fldCharType="end"/>
        </w:r>
      </w:hyperlink>
    </w:p>
    <w:p w:rsidR="00A70013">
      <w:pPr>
        <w:pStyle w:val="TOC1"/>
        <w:rPr>
          <w:rFonts w:asciiTheme="minorHAnsi" w:eastAsiaTheme="minorEastAsia" w:hAnsiTheme="minorHAnsi" w:cstheme="minorBidi"/>
          <w:caps w:val="0"/>
          <w:sz w:val="21"/>
          <w:szCs w:val="22"/>
        </w:rPr>
      </w:pPr>
      <w:hyperlink w:anchor="_Toc91749225" w:history="1">
        <w:r w:rsidRPr="00B25884">
          <w:rPr>
            <w:rStyle w:val="Hyperlink"/>
            <w:rFonts w:asciiTheme="minorEastAsia" w:hAnsiTheme="minorEastAsia" w:hint="eastAsia"/>
            <w:b/>
            <w:bCs/>
          </w:rPr>
          <w:t>九、基金转换</w:t>
        </w:r>
        <w:r>
          <w:rPr>
            <w:webHidden/>
          </w:rPr>
          <w:tab/>
        </w:r>
        <w:r>
          <w:rPr>
            <w:webHidden/>
          </w:rPr>
          <w:fldChar w:fldCharType="begin"/>
        </w:r>
        <w:r>
          <w:rPr>
            <w:webHidden/>
          </w:rPr>
          <w:instrText xml:space="preserve"> PAGEREF _Toc91749225 \h </w:instrText>
        </w:r>
        <w:r>
          <w:rPr>
            <w:webHidden/>
          </w:rPr>
          <w:fldChar w:fldCharType="separate"/>
        </w:r>
        <w:r>
          <w:rPr>
            <w:webHidden/>
          </w:rPr>
          <w:t>33</w:t>
        </w:r>
        <w:r>
          <w:rPr>
            <w:webHidden/>
          </w:rPr>
          <w:fldChar w:fldCharType="end"/>
        </w:r>
      </w:hyperlink>
    </w:p>
    <w:p w:rsidR="00A70013">
      <w:pPr>
        <w:pStyle w:val="TOC2"/>
        <w:rPr>
          <w:rFonts w:asciiTheme="minorHAnsi" w:eastAsiaTheme="minorEastAsia" w:hAnsiTheme="minorHAnsi" w:cstheme="minorBidi"/>
          <w:smallCaps w:val="0"/>
          <w:szCs w:val="22"/>
        </w:rPr>
      </w:pPr>
      <w:hyperlink w:anchor="_Toc91749226" w:history="1">
        <w:r w:rsidRPr="00B25884">
          <w:rPr>
            <w:rStyle w:val="Hyperlink"/>
            <w:rFonts w:asciiTheme="minorEastAsia" w:hAnsiTheme="minorEastAsia" w:hint="eastAsia"/>
          </w:rPr>
          <w:t>（一）基金转换开始日及时间</w:t>
        </w:r>
        <w:r>
          <w:rPr>
            <w:webHidden/>
          </w:rPr>
          <w:tab/>
        </w:r>
        <w:r>
          <w:rPr>
            <w:webHidden/>
          </w:rPr>
          <w:fldChar w:fldCharType="begin"/>
        </w:r>
        <w:r>
          <w:rPr>
            <w:webHidden/>
          </w:rPr>
          <w:instrText xml:space="preserve"> PAGEREF _Toc91749226 \h </w:instrText>
        </w:r>
        <w:r>
          <w:rPr>
            <w:webHidden/>
          </w:rPr>
          <w:fldChar w:fldCharType="separate"/>
        </w:r>
        <w:r>
          <w:rPr>
            <w:webHidden/>
          </w:rPr>
          <w:t>33</w:t>
        </w:r>
        <w:r>
          <w:rPr>
            <w:webHidden/>
          </w:rPr>
          <w:fldChar w:fldCharType="end"/>
        </w:r>
      </w:hyperlink>
    </w:p>
    <w:p w:rsidR="00A70013">
      <w:pPr>
        <w:pStyle w:val="TOC2"/>
        <w:rPr>
          <w:rFonts w:asciiTheme="minorHAnsi" w:eastAsiaTheme="minorEastAsia" w:hAnsiTheme="minorHAnsi" w:cstheme="minorBidi"/>
          <w:smallCaps w:val="0"/>
          <w:szCs w:val="22"/>
        </w:rPr>
      </w:pPr>
      <w:hyperlink w:anchor="_Toc91749227" w:history="1">
        <w:r w:rsidRPr="00B25884">
          <w:rPr>
            <w:rStyle w:val="Hyperlink"/>
            <w:rFonts w:asciiTheme="minorEastAsia" w:hAnsiTheme="minorEastAsia" w:hint="eastAsia"/>
          </w:rPr>
          <w:t>（二）基金转换的原则</w:t>
        </w:r>
        <w:r>
          <w:rPr>
            <w:webHidden/>
          </w:rPr>
          <w:tab/>
        </w:r>
        <w:r>
          <w:rPr>
            <w:webHidden/>
          </w:rPr>
          <w:fldChar w:fldCharType="begin"/>
        </w:r>
        <w:r>
          <w:rPr>
            <w:webHidden/>
          </w:rPr>
          <w:instrText xml:space="preserve"> PAGEREF _Toc91749227 \h </w:instrText>
        </w:r>
        <w:r>
          <w:rPr>
            <w:webHidden/>
          </w:rPr>
          <w:fldChar w:fldCharType="separate"/>
        </w:r>
        <w:r>
          <w:rPr>
            <w:webHidden/>
          </w:rPr>
          <w:t>33</w:t>
        </w:r>
        <w:r>
          <w:rPr>
            <w:webHidden/>
          </w:rPr>
          <w:fldChar w:fldCharType="end"/>
        </w:r>
      </w:hyperlink>
    </w:p>
    <w:p w:rsidR="00A70013">
      <w:pPr>
        <w:pStyle w:val="TOC2"/>
        <w:rPr>
          <w:rFonts w:asciiTheme="minorHAnsi" w:eastAsiaTheme="minorEastAsia" w:hAnsiTheme="minorHAnsi" w:cstheme="minorBidi"/>
          <w:smallCaps w:val="0"/>
          <w:szCs w:val="22"/>
        </w:rPr>
      </w:pPr>
      <w:hyperlink w:anchor="_Toc91749228" w:history="1">
        <w:r w:rsidRPr="00B25884">
          <w:rPr>
            <w:rStyle w:val="Hyperlink"/>
            <w:rFonts w:asciiTheme="minorEastAsia" w:hAnsiTheme="minorEastAsia" w:hint="eastAsia"/>
          </w:rPr>
          <w:t>（三）基金转换的程序</w:t>
        </w:r>
        <w:r>
          <w:rPr>
            <w:webHidden/>
          </w:rPr>
          <w:tab/>
        </w:r>
        <w:r>
          <w:rPr>
            <w:webHidden/>
          </w:rPr>
          <w:fldChar w:fldCharType="begin"/>
        </w:r>
        <w:r>
          <w:rPr>
            <w:webHidden/>
          </w:rPr>
          <w:instrText xml:space="preserve"> PAGEREF _Toc91749228 \h </w:instrText>
        </w:r>
        <w:r>
          <w:rPr>
            <w:webHidden/>
          </w:rPr>
          <w:fldChar w:fldCharType="separate"/>
        </w:r>
        <w:r>
          <w:rPr>
            <w:webHidden/>
          </w:rPr>
          <w:t>34</w:t>
        </w:r>
        <w:r>
          <w:rPr>
            <w:webHidden/>
          </w:rPr>
          <w:fldChar w:fldCharType="end"/>
        </w:r>
      </w:hyperlink>
    </w:p>
    <w:p w:rsidR="00A70013">
      <w:pPr>
        <w:pStyle w:val="TOC2"/>
        <w:rPr>
          <w:rFonts w:asciiTheme="minorHAnsi" w:eastAsiaTheme="minorEastAsia" w:hAnsiTheme="minorHAnsi" w:cstheme="minorBidi"/>
          <w:smallCaps w:val="0"/>
          <w:szCs w:val="22"/>
        </w:rPr>
      </w:pPr>
      <w:hyperlink w:anchor="_Toc91749229" w:history="1">
        <w:r w:rsidRPr="00B25884">
          <w:rPr>
            <w:rStyle w:val="Hyperlink"/>
            <w:rFonts w:asciiTheme="minorEastAsia" w:hAnsiTheme="minorEastAsia" w:hint="eastAsia"/>
          </w:rPr>
          <w:t>（四）基金转换的数额限制</w:t>
        </w:r>
        <w:r>
          <w:rPr>
            <w:webHidden/>
          </w:rPr>
          <w:tab/>
        </w:r>
        <w:r>
          <w:rPr>
            <w:webHidden/>
          </w:rPr>
          <w:fldChar w:fldCharType="begin"/>
        </w:r>
        <w:r>
          <w:rPr>
            <w:webHidden/>
          </w:rPr>
          <w:instrText xml:space="preserve"> PAGEREF _Toc91749229 \h </w:instrText>
        </w:r>
        <w:r>
          <w:rPr>
            <w:webHidden/>
          </w:rPr>
          <w:fldChar w:fldCharType="separate"/>
        </w:r>
        <w:r>
          <w:rPr>
            <w:webHidden/>
          </w:rPr>
          <w:t>34</w:t>
        </w:r>
        <w:r>
          <w:rPr>
            <w:webHidden/>
          </w:rPr>
          <w:fldChar w:fldCharType="end"/>
        </w:r>
      </w:hyperlink>
    </w:p>
    <w:p w:rsidR="00A70013">
      <w:pPr>
        <w:pStyle w:val="TOC2"/>
        <w:rPr>
          <w:rFonts w:asciiTheme="minorHAnsi" w:eastAsiaTheme="minorEastAsia" w:hAnsiTheme="minorHAnsi" w:cstheme="minorBidi"/>
          <w:smallCaps w:val="0"/>
          <w:szCs w:val="22"/>
        </w:rPr>
      </w:pPr>
      <w:hyperlink w:anchor="_Toc91749230" w:history="1">
        <w:r w:rsidRPr="00B25884">
          <w:rPr>
            <w:rStyle w:val="Hyperlink"/>
            <w:rFonts w:asciiTheme="minorEastAsia" w:hAnsiTheme="minorEastAsia" w:hint="eastAsia"/>
          </w:rPr>
          <w:t>（五）基金转换费率</w:t>
        </w:r>
        <w:r>
          <w:rPr>
            <w:webHidden/>
          </w:rPr>
          <w:tab/>
        </w:r>
        <w:r>
          <w:rPr>
            <w:webHidden/>
          </w:rPr>
          <w:fldChar w:fldCharType="begin"/>
        </w:r>
        <w:r>
          <w:rPr>
            <w:webHidden/>
          </w:rPr>
          <w:instrText xml:space="preserve"> PAGEREF _Toc91749230 \h </w:instrText>
        </w:r>
        <w:r>
          <w:rPr>
            <w:webHidden/>
          </w:rPr>
          <w:fldChar w:fldCharType="separate"/>
        </w:r>
        <w:r>
          <w:rPr>
            <w:webHidden/>
          </w:rPr>
          <w:t>34</w:t>
        </w:r>
        <w:r>
          <w:rPr>
            <w:webHidden/>
          </w:rPr>
          <w:fldChar w:fldCharType="end"/>
        </w:r>
      </w:hyperlink>
    </w:p>
    <w:p w:rsidR="00A70013">
      <w:pPr>
        <w:pStyle w:val="TOC2"/>
        <w:rPr>
          <w:rFonts w:asciiTheme="minorHAnsi" w:eastAsiaTheme="minorEastAsia" w:hAnsiTheme="minorHAnsi" w:cstheme="minorBidi"/>
          <w:smallCaps w:val="0"/>
          <w:szCs w:val="22"/>
        </w:rPr>
      </w:pPr>
      <w:hyperlink w:anchor="_Toc91749231" w:history="1">
        <w:r w:rsidRPr="00B25884">
          <w:rPr>
            <w:rStyle w:val="Hyperlink"/>
            <w:rFonts w:asciiTheme="minorEastAsia" w:hAnsiTheme="minorEastAsia" w:hint="eastAsia"/>
          </w:rPr>
          <w:t>（六）基金转换份额的计算方式</w:t>
        </w:r>
        <w:r>
          <w:rPr>
            <w:webHidden/>
          </w:rPr>
          <w:tab/>
        </w:r>
        <w:r>
          <w:rPr>
            <w:webHidden/>
          </w:rPr>
          <w:fldChar w:fldCharType="begin"/>
        </w:r>
        <w:r>
          <w:rPr>
            <w:webHidden/>
          </w:rPr>
          <w:instrText xml:space="preserve"> PAGEREF _Toc91749231 \h </w:instrText>
        </w:r>
        <w:r>
          <w:rPr>
            <w:webHidden/>
          </w:rPr>
          <w:fldChar w:fldCharType="separate"/>
        </w:r>
        <w:r>
          <w:rPr>
            <w:webHidden/>
          </w:rPr>
          <w:t>34</w:t>
        </w:r>
        <w:r>
          <w:rPr>
            <w:webHidden/>
          </w:rPr>
          <w:fldChar w:fldCharType="end"/>
        </w:r>
      </w:hyperlink>
    </w:p>
    <w:p w:rsidR="00A70013">
      <w:pPr>
        <w:pStyle w:val="TOC2"/>
        <w:rPr>
          <w:rFonts w:asciiTheme="minorHAnsi" w:eastAsiaTheme="minorEastAsia" w:hAnsiTheme="minorHAnsi" w:cstheme="minorBidi"/>
          <w:smallCaps w:val="0"/>
          <w:szCs w:val="22"/>
        </w:rPr>
      </w:pPr>
      <w:hyperlink w:anchor="_Toc91749232" w:history="1">
        <w:r w:rsidRPr="00B25884">
          <w:rPr>
            <w:rStyle w:val="Hyperlink"/>
            <w:rFonts w:asciiTheme="minorEastAsia" w:hAnsiTheme="minorEastAsia" w:hint="eastAsia"/>
          </w:rPr>
          <w:t>（七）基金转换的注册登记</w:t>
        </w:r>
        <w:r>
          <w:rPr>
            <w:webHidden/>
          </w:rPr>
          <w:tab/>
        </w:r>
        <w:r>
          <w:rPr>
            <w:webHidden/>
          </w:rPr>
          <w:fldChar w:fldCharType="begin"/>
        </w:r>
        <w:r>
          <w:rPr>
            <w:webHidden/>
          </w:rPr>
          <w:instrText xml:space="preserve"> PAGEREF _Toc91749232 \h </w:instrText>
        </w:r>
        <w:r>
          <w:rPr>
            <w:webHidden/>
          </w:rPr>
          <w:fldChar w:fldCharType="separate"/>
        </w:r>
        <w:r>
          <w:rPr>
            <w:webHidden/>
          </w:rPr>
          <w:t>36</w:t>
        </w:r>
        <w:r>
          <w:rPr>
            <w:webHidden/>
          </w:rPr>
          <w:fldChar w:fldCharType="end"/>
        </w:r>
      </w:hyperlink>
    </w:p>
    <w:p w:rsidR="00A70013">
      <w:pPr>
        <w:pStyle w:val="TOC2"/>
        <w:rPr>
          <w:rFonts w:asciiTheme="minorHAnsi" w:eastAsiaTheme="minorEastAsia" w:hAnsiTheme="minorHAnsi" w:cstheme="minorBidi"/>
          <w:smallCaps w:val="0"/>
          <w:szCs w:val="22"/>
        </w:rPr>
      </w:pPr>
      <w:hyperlink w:anchor="_Toc91749233" w:history="1">
        <w:r w:rsidRPr="00B25884">
          <w:rPr>
            <w:rStyle w:val="Hyperlink"/>
            <w:rFonts w:asciiTheme="minorEastAsia" w:hAnsiTheme="minorEastAsia" w:hint="eastAsia"/>
          </w:rPr>
          <w:t>（八）基金转换与巨额赎回</w:t>
        </w:r>
        <w:r>
          <w:rPr>
            <w:webHidden/>
          </w:rPr>
          <w:tab/>
        </w:r>
        <w:r>
          <w:rPr>
            <w:webHidden/>
          </w:rPr>
          <w:fldChar w:fldCharType="begin"/>
        </w:r>
        <w:r>
          <w:rPr>
            <w:webHidden/>
          </w:rPr>
          <w:instrText xml:space="preserve"> PAGEREF _Toc91749233 \h </w:instrText>
        </w:r>
        <w:r>
          <w:rPr>
            <w:webHidden/>
          </w:rPr>
          <w:fldChar w:fldCharType="separate"/>
        </w:r>
        <w:r>
          <w:rPr>
            <w:webHidden/>
          </w:rPr>
          <w:t>36</w:t>
        </w:r>
        <w:r>
          <w:rPr>
            <w:webHidden/>
          </w:rPr>
          <w:fldChar w:fldCharType="end"/>
        </w:r>
      </w:hyperlink>
    </w:p>
    <w:p w:rsidR="00A70013">
      <w:pPr>
        <w:pStyle w:val="TOC2"/>
        <w:rPr>
          <w:rFonts w:asciiTheme="minorHAnsi" w:eastAsiaTheme="minorEastAsia" w:hAnsiTheme="minorHAnsi" w:cstheme="minorBidi"/>
          <w:smallCaps w:val="0"/>
          <w:szCs w:val="22"/>
        </w:rPr>
      </w:pPr>
      <w:hyperlink w:anchor="_Toc91749234" w:history="1">
        <w:r w:rsidRPr="00B25884">
          <w:rPr>
            <w:rStyle w:val="Hyperlink"/>
            <w:rFonts w:asciiTheme="minorEastAsia" w:hAnsiTheme="minorEastAsia" w:hint="eastAsia"/>
          </w:rPr>
          <w:t>（九）拒绝或暂停基金转换的情形</w:t>
        </w:r>
        <w:r>
          <w:rPr>
            <w:webHidden/>
          </w:rPr>
          <w:tab/>
        </w:r>
        <w:r>
          <w:rPr>
            <w:webHidden/>
          </w:rPr>
          <w:fldChar w:fldCharType="begin"/>
        </w:r>
        <w:r>
          <w:rPr>
            <w:webHidden/>
          </w:rPr>
          <w:instrText xml:space="preserve"> PAGEREF _Toc91749234 \h </w:instrText>
        </w:r>
        <w:r>
          <w:rPr>
            <w:webHidden/>
          </w:rPr>
          <w:fldChar w:fldCharType="separate"/>
        </w:r>
        <w:r>
          <w:rPr>
            <w:webHidden/>
          </w:rPr>
          <w:t>36</w:t>
        </w:r>
        <w:r>
          <w:rPr>
            <w:webHidden/>
          </w:rPr>
          <w:fldChar w:fldCharType="end"/>
        </w:r>
      </w:hyperlink>
    </w:p>
    <w:p w:rsidR="00A70013">
      <w:pPr>
        <w:pStyle w:val="TOC1"/>
        <w:rPr>
          <w:rFonts w:asciiTheme="minorHAnsi" w:eastAsiaTheme="minorEastAsia" w:hAnsiTheme="minorHAnsi" w:cstheme="minorBidi"/>
          <w:caps w:val="0"/>
          <w:sz w:val="21"/>
          <w:szCs w:val="22"/>
        </w:rPr>
      </w:pPr>
      <w:hyperlink w:anchor="_Toc91749235" w:history="1">
        <w:r w:rsidRPr="00B25884">
          <w:rPr>
            <w:rStyle w:val="Hyperlink"/>
            <w:rFonts w:asciiTheme="minorEastAsia" w:hAnsiTheme="minorEastAsia" w:hint="eastAsia"/>
            <w:b/>
            <w:bCs/>
          </w:rPr>
          <w:t>十、基金的非交易过户、转托管及冻结与解冻</w:t>
        </w:r>
        <w:r>
          <w:rPr>
            <w:webHidden/>
          </w:rPr>
          <w:tab/>
        </w:r>
        <w:r>
          <w:rPr>
            <w:webHidden/>
          </w:rPr>
          <w:fldChar w:fldCharType="begin"/>
        </w:r>
        <w:r>
          <w:rPr>
            <w:webHidden/>
          </w:rPr>
          <w:instrText xml:space="preserve"> PAGEREF _Toc91749235 \h </w:instrText>
        </w:r>
        <w:r>
          <w:rPr>
            <w:webHidden/>
          </w:rPr>
          <w:fldChar w:fldCharType="separate"/>
        </w:r>
        <w:r>
          <w:rPr>
            <w:webHidden/>
          </w:rPr>
          <w:t>38</w:t>
        </w:r>
        <w:r>
          <w:rPr>
            <w:webHidden/>
          </w:rPr>
          <w:fldChar w:fldCharType="end"/>
        </w:r>
      </w:hyperlink>
    </w:p>
    <w:p w:rsidR="00A70013">
      <w:pPr>
        <w:pStyle w:val="TOC2"/>
        <w:rPr>
          <w:rFonts w:asciiTheme="minorHAnsi" w:eastAsiaTheme="minorEastAsia" w:hAnsiTheme="minorHAnsi" w:cstheme="minorBidi"/>
          <w:smallCaps w:val="0"/>
          <w:szCs w:val="22"/>
        </w:rPr>
      </w:pPr>
      <w:hyperlink w:anchor="_Toc91749236" w:history="1">
        <w:r w:rsidRPr="00B25884">
          <w:rPr>
            <w:rStyle w:val="Hyperlink"/>
            <w:rFonts w:asciiTheme="minorEastAsia" w:hAnsiTheme="minorEastAsia" w:hint="eastAsia"/>
          </w:rPr>
          <w:t>（一）基金的非交易过户</w:t>
        </w:r>
        <w:r>
          <w:rPr>
            <w:webHidden/>
          </w:rPr>
          <w:tab/>
        </w:r>
        <w:r>
          <w:rPr>
            <w:webHidden/>
          </w:rPr>
          <w:fldChar w:fldCharType="begin"/>
        </w:r>
        <w:r>
          <w:rPr>
            <w:webHidden/>
          </w:rPr>
          <w:instrText xml:space="preserve"> PAGEREF _Toc91749236 \h </w:instrText>
        </w:r>
        <w:r>
          <w:rPr>
            <w:webHidden/>
          </w:rPr>
          <w:fldChar w:fldCharType="separate"/>
        </w:r>
        <w:r>
          <w:rPr>
            <w:webHidden/>
          </w:rPr>
          <w:t>38</w:t>
        </w:r>
        <w:r>
          <w:rPr>
            <w:webHidden/>
          </w:rPr>
          <w:fldChar w:fldCharType="end"/>
        </w:r>
      </w:hyperlink>
    </w:p>
    <w:p w:rsidR="00A70013">
      <w:pPr>
        <w:pStyle w:val="TOC2"/>
        <w:rPr>
          <w:rFonts w:asciiTheme="minorHAnsi" w:eastAsiaTheme="minorEastAsia" w:hAnsiTheme="minorHAnsi" w:cstheme="minorBidi"/>
          <w:smallCaps w:val="0"/>
          <w:szCs w:val="22"/>
        </w:rPr>
      </w:pPr>
      <w:hyperlink w:anchor="_Toc91749237" w:history="1">
        <w:r w:rsidRPr="00B25884">
          <w:rPr>
            <w:rStyle w:val="Hyperlink"/>
            <w:rFonts w:asciiTheme="minorEastAsia" w:hAnsiTheme="minorEastAsia" w:hint="eastAsia"/>
          </w:rPr>
          <w:t>（二）转托管</w:t>
        </w:r>
        <w:r>
          <w:rPr>
            <w:webHidden/>
          </w:rPr>
          <w:tab/>
        </w:r>
        <w:r>
          <w:rPr>
            <w:webHidden/>
          </w:rPr>
          <w:fldChar w:fldCharType="begin"/>
        </w:r>
        <w:r>
          <w:rPr>
            <w:webHidden/>
          </w:rPr>
          <w:instrText xml:space="preserve"> PAGEREF _Toc91749237 \h </w:instrText>
        </w:r>
        <w:r>
          <w:rPr>
            <w:webHidden/>
          </w:rPr>
          <w:fldChar w:fldCharType="separate"/>
        </w:r>
        <w:r>
          <w:rPr>
            <w:webHidden/>
          </w:rPr>
          <w:t>38</w:t>
        </w:r>
        <w:r>
          <w:rPr>
            <w:webHidden/>
          </w:rPr>
          <w:fldChar w:fldCharType="end"/>
        </w:r>
      </w:hyperlink>
    </w:p>
    <w:p w:rsidR="00A70013">
      <w:pPr>
        <w:pStyle w:val="TOC2"/>
        <w:rPr>
          <w:rFonts w:asciiTheme="minorHAnsi" w:eastAsiaTheme="minorEastAsia" w:hAnsiTheme="minorHAnsi" w:cstheme="minorBidi"/>
          <w:smallCaps w:val="0"/>
          <w:szCs w:val="22"/>
        </w:rPr>
      </w:pPr>
      <w:hyperlink w:anchor="_Toc91749238" w:history="1">
        <w:r w:rsidRPr="00B25884">
          <w:rPr>
            <w:rStyle w:val="Hyperlink"/>
            <w:rFonts w:asciiTheme="minorEastAsia" w:hAnsiTheme="minorEastAsia" w:hint="eastAsia"/>
          </w:rPr>
          <w:t>（三）基金的冻结与解冻</w:t>
        </w:r>
        <w:r>
          <w:rPr>
            <w:webHidden/>
          </w:rPr>
          <w:tab/>
        </w:r>
        <w:r>
          <w:rPr>
            <w:webHidden/>
          </w:rPr>
          <w:fldChar w:fldCharType="begin"/>
        </w:r>
        <w:r>
          <w:rPr>
            <w:webHidden/>
          </w:rPr>
          <w:instrText xml:space="preserve"> PAGEREF _Toc91749238 \h </w:instrText>
        </w:r>
        <w:r>
          <w:rPr>
            <w:webHidden/>
          </w:rPr>
          <w:fldChar w:fldCharType="separate"/>
        </w:r>
        <w:r>
          <w:rPr>
            <w:webHidden/>
          </w:rPr>
          <w:t>38</w:t>
        </w:r>
        <w:r>
          <w:rPr>
            <w:webHidden/>
          </w:rPr>
          <w:fldChar w:fldCharType="end"/>
        </w:r>
      </w:hyperlink>
    </w:p>
    <w:p w:rsidR="00A70013">
      <w:pPr>
        <w:pStyle w:val="TOC1"/>
        <w:rPr>
          <w:rFonts w:asciiTheme="minorHAnsi" w:eastAsiaTheme="minorEastAsia" w:hAnsiTheme="minorHAnsi" w:cstheme="minorBidi"/>
          <w:caps w:val="0"/>
          <w:sz w:val="21"/>
          <w:szCs w:val="22"/>
        </w:rPr>
      </w:pPr>
      <w:hyperlink w:anchor="_Toc91749239" w:history="1">
        <w:r w:rsidRPr="00B25884">
          <w:rPr>
            <w:rStyle w:val="Hyperlink"/>
            <w:rFonts w:asciiTheme="minorEastAsia" w:hAnsiTheme="minorEastAsia" w:hint="eastAsia"/>
            <w:b/>
            <w:bCs/>
          </w:rPr>
          <w:t>十一、基金的投资</w:t>
        </w:r>
        <w:r>
          <w:rPr>
            <w:webHidden/>
          </w:rPr>
          <w:tab/>
        </w:r>
        <w:r>
          <w:rPr>
            <w:webHidden/>
          </w:rPr>
          <w:fldChar w:fldCharType="begin"/>
        </w:r>
        <w:r>
          <w:rPr>
            <w:webHidden/>
          </w:rPr>
          <w:instrText xml:space="preserve"> PAGEREF _Toc91749239 \h </w:instrText>
        </w:r>
        <w:r>
          <w:rPr>
            <w:webHidden/>
          </w:rPr>
          <w:fldChar w:fldCharType="separate"/>
        </w:r>
        <w:r>
          <w:rPr>
            <w:webHidden/>
          </w:rPr>
          <w:t>39</w:t>
        </w:r>
        <w:r>
          <w:rPr>
            <w:webHidden/>
          </w:rPr>
          <w:fldChar w:fldCharType="end"/>
        </w:r>
      </w:hyperlink>
    </w:p>
    <w:p w:rsidR="00A70013">
      <w:pPr>
        <w:pStyle w:val="TOC2"/>
        <w:rPr>
          <w:rFonts w:asciiTheme="minorHAnsi" w:eastAsiaTheme="minorEastAsia" w:hAnsiTheme="minorHAnsi" w:cstheme="minorBidi"/>
          <w:smallCaps w:val="0"/>
          <w:szCs w:val="22"/>
        </w:rPr>
      </w:pPr>
      <w:hyperlink w:anchor="_Toc91749240" w:history="1">
        <w:r w:rsidRPr="00B25884">
          <w:rPr>
            <w:rStyle w:val="Hyperlink"/>
            <w:rFonts w:asciiTheme="minorEastAsia" w:hAnsiTheme="minorEastAsia" w:hint="eastAsia"/>
          </w:rPr>
          <w:t>（一）投资目标</w:t>
        </w:r>
        <w:r>
          <w:rPr>
            <w:webHidden/>
          </w:rPr>
          <w:tab/>
        </w:r>
        <w:r>
          <w:rPr>
            <w:webHidden/>
          </w:rPr>
          <w:fldChar w:fldCharType="begin"/>
        </w:r>
        <w:r>
          <w:rPr>
            <w:webHidden/>
          </w:rPr>
          <w:instrText xml:space="preserve"> PAGEREF _Toc91749240 \h </w:instrText>
        </w:r>
        <w:r>
          <w:rPr>
            <w:webHidden/>
          </w:rPr>
          <w:fldChar w:fldCharType="separate"/>
        </w:r>
        <w:r>
          <w:rPr>
            <w:webHidden/>
          </w:rPr>
          <w:t>39</w:t>
        </w:r>
        <w:r>
          <w:rPr>
            <w:webHidden/>
          </w:rPr>
          <w:fldChar w:fldCharType="end"/>
        </w:r>
      </w:hyperlink>
    </w:p>
    <w:p w:rsidR="00A70013">
      <w:pPr>
        <w:pStyle w:val="TOC2"/>
        <w:rPr>
          <w:rFonts w:asciiTheme="minorHAnsi" w:eastAsiaTheme="minorEastAsia" w:hAnsiTheme="minorHAnsi" w:cstheme="minorBidi"/>
          <w:smallCaps w:val="0"/>
          <w:szCs w:val="22"/>
        </w:rPr>
      </w:pPr>
      <w:hyperlink w:anchor="_Toc91749241" w:history="1">
        <w:r w:rsidRPr="00B25884">
          <w:rPr>
            <w:rStyle w:val="Hyperlink"/>
            <w:rFonts w:asciiTheme="minorEastAsia" w:hAnsiTheme="minorEastAsia" w:hint="eastAsia"/>
          </w:rPr>
          <w:t>（</w:t>
        </w:r>
        <w:r w:rsidRPr="00B25884">
          <w:rPr>
            <w:rStyle w:val="Hyperlink"/>
            <w:rFonts w:asciiTheme="minorEastAsia" w:hAnsiTheme="minorEastAsia" w:hint="eastAsia"/>
            <w:bCs/>
          </w:rPr>
          <w:t>二</w:t>
        </w:r>
        <w:r w:rsidRPr="00B25884">
          <w:rPr>
            <w:rStyle w:val="Hyperlink"/>
            <w:rFonts w:asciiTheme="minorEastAsia" w:hAnsiTheme="minorEastAsia" w:hint="eastAsia"/>
          </w:rPr>
          <w:t>）</w:t>
        </w:r>
        <w:r w:rsidRPr="00B25884">
          <w:rPr>
            <w:rStyle w:val="Hyperlink"/>
            <w:rFonts w:asciiTheme="minorEastAsia" w:hAnsiTheme="minorEastAsia" w:hint="eastAsia"/>
            <w:bCs/>
          </w:rPr>
          <w:t>投资范围</w:t>
        </w:r>
        <w:r>
          <w:rPr>
            <w:webHidden/>
          </w:rPr>
          <w:tab/>
        </w:r>
        <w:r>
          <w:rPr>
            <w:webHidden/>
          </w:rPr>
          <w:fldChar w:fldCharType="begin"/>
        </w:r>
        <w:r>
          <w:rPr>
            <w:webHidden/>
          </w:rPr>
          <w:instrText xml:space="preserve"> PAGEREF _Toc91749241 \h </w:instrText>
        </w:r>
        <w:r>
          <w:rPr>
            <w:webHidden/>
          </w:rPr>
          <w:fldChar w:fldCharType="separate"/>
        </w:r>
        <w:r>
          <w:rPr>
            <w:webHidden/>
          </w:rPr>
          <w:t>39</w:t>
        </w:r>
        <w:r>
          <w:rPr>
            <w:webHidden/>
          </w:rPr>
          <w:fldChar w:fldCharType="end"/>
        </w:r>
      </w:hyperlink>
    </w:p>
    <w:p w:rsidR="00A70013">
      <w:pPr>
        <w:pStyle w:val="TOC2"/>
        <w:rPr>
          <w:rFonts w:asciiTheme="minorHAnsi" w:eastAsiaTheme="minorEastAsia" w:hAnsiTheme="minorHAnsi" w:cstheme="minorBidi"/>
          <w:smallCaps w:val="0"/>
          <w:szCs w:val="22"/>
        </w:rPr>
      </w:pPr>
      <w:hyperlink w:anchor="_Toc91749242" w:history="1">
        <w:r w:rsidRPr="00B25884">
          <w:rPr>
            <w:rStyle w:val="Hyperlink"/>
            <w:rFonts w:asciiTheme="minorEastAsia" w:hAnsiTheme="minorEastAsia" w:hint="eastAsia"/>
            <w:bCs/>
          </w:rPr>
          <w:t>（三）投资理念</w:t>
        </w:r>
        <w:r>
          <w:rPr>
            <w:webHidden/>
          </w:rPr>
          <w:tab/>
        </w:r>
        <w:r>
          <w:rPr>
            <w:webHidden/>
          </w:rPr>
          <w:fldChar w:fldCharType="begin"/>
        </w:r>
        <w:r>
          <w:rPr>
            <w:webHidden/>
          </w:rPr>
          <w:instrText xml:space="preserve"> PAGEREF _Toc91749242 \h </w:instrText>
        </w:r>
        <w:r>
          <w:rPr>
            <w:webHidden/>
          </w:rPr>
          <w:fldChar w:fldCharType="separate"/>
        </w:r>
        <w:r>
          <w:rPr>
            <w:webHidden/>
          </w:rPr>
          <w:t>39</w:t>
        </w:r>
        <w:r>
          <w:rPr>
            <w:webHidden/>
          </w:rPr>
          <w:fldChar w:fldCharType="end"/>
        </w:r>
      </w:hyperlink>
    </w:p>
    <w:p w:rsidR="00A70013">
      <w:pPr>
        <w:pStyle w:val="TOC2"/>
        <w:rPr>
          <w:rFonts w:asciiTheme="minorHAnsi" w:eastAsiaTheme="minorEastAsia" w:hAnsiTheme="minorHAnsi" w:cstheme="minorBidi"/>
          <w:smallCaps w:val="0"/>
          <w:szCs w:val="22"/>
        </w:rPr>
      </w:pPr>
      <w:hyperlink w:anchor="_Toc91749243" w:history="1">
        <w:r w:rsidRPr="00B25884">
          <w:rPr>
            <w:rStyle w:val="Hyperlink"/>
            <w:rFonts w:asciiTheme="minorEastAsia" w:hAnsiTheme="minorEastAsia" w:hint="eastAsia"/>
            <w:bCs/>
          </w:rPr>
          <w:t>（四）投资策略</w:t>
        </w:r>
        <w:r>
          <w:rPr>
            <w:webHidden/>
          </w:rPr>
          <w:tab/>
        </w:r>
        <w:r>
          <w:rPr>
            <w:webHidden/>
          </w:rPr>
          <w:fldChar w:fldCharType="begin"/>
        </w:r>
        <w:r>
          <w:rPr>
            <w:webHidden/>
          </w:rPr>
          <w:instrText xml:space="preserve"> PAGEREF _Toc91749243 \h </w:instrText>
        </w:r>
        <w:r>
          <w:rPr>
            <w:webHidden/>
          </w:rPr>
          <w:fldChar w:fldCharType="separate"/>
        </w:r>
        <w:r>
          <w:rPr>
            <w:webHidden/>
          </w:rPr>
          <w:t>39</w:t>
        </w:r>
        <w:r>
          <w:rPr>
            <w:webHidden/>
          </w:rPr>
          <w:fldChar w:fldCharType="end"/>
        </w:r>
      </w:hyperlink>
    </w:p>
    <w:p w:rsidR="00A70013">
      <w:pPr>
        <w:pStyle w:val="TOC2"/>
        <w:rPr>
          <w:rFonts w:asciiTheme="minorHAnsi" w:eastAsiaTheme="minorEastAsia" w:hAnsiTheme="minorHAnsi" w:cstheme="minorBidi"/>
          <w:smallCaps w:val="0"/>
          <w:szCs w:val="22"/>
        </w:rPr>
      </w:pPr>
      <w:hyperlink w:anchor="_Toc91749244" w:history="1">
        <w:r w:rsidRPr="00B25884">
          <w:rPr>
            <w:rStyle w:val="Hyperlink"/>
            <w:rFonts w:asciiTheme="minorEastAsia" w:hAnsiTheme="minorEastAsia" w:hint="eastAsia"/>
            <w:bCs/>
          </w:rPr>
          <w:t>（五）业绩比较基准</w:t>
        </w:r>
        <w:r>
          <w:rPr>
            <w:webHidden/>
          </w:rPr>
          <w:tab/>
        </w:r>
        <w:r>
          <w:rPr>
            <w:webHidden/>
          </w:rPr>
          <w:fldChar w:fldCharType="begin"/>
        </w:r>
        <w:r>
          <w:rPr>
            <w:webHidden/>
          </w:rPr>
          <w:instrText xml:space="preserve"> PAGEREF _Toc91749244 \h </w:instrText>
        </w:r>
        <w:r>
          <w:rPr>
            <w:webHidden/>
          </w:rPr>
          <w:fldChar w:fldCharType="separate"/>
        </w:r>
        <w:r>
          <w:rPr>
            <w:webHidden/>
          </w:rPr>
          <w:t>43</w:t>
        </w:r>
        <w:r>
          <w:rPr>
            <w:webHidden/>
          </w:rPr>
          <w:fldChar w:fldCharType="end"/>
        </w:r>
      </w:hyperlink>
    </w:p>
    <w:p w:rsidR="00A70013">
      <w:pPr>
        <w:pStyle w:val="TOC2"/>
        <w:rPr>
          <w:rFonts w:asciiTheme="minorHAnsi" w:eastAsiaTheme="minorEastAsia" w:hAnsiTheme="minorHAnsi" w:cstheme="minorBidi"/>
          <w:smallCaps w:val="0"/>
          <w:szCs w:val="22"/>
        </w:rPr>
      </w:pPr>
      <w:hyperlink w:anchor="_Toc91749245" w:history="1">
        <w:r w:rsidRPr="00B25884">
          <w:rPr>
            <w:rStyle w:val="Hyperlink"/>
            <w:rFonts w:asciiTheme="minorEastAsia" w:hAnsiTheme="minorEastAsia" w:hint="eastAsia"/>
            <w:bCs/>
          </w:rPr>
          <w:t>（六）风险收益特征</w:t>
        </w:r>
        <w:r>
          <w:rPr>
            <w:webHidden/>
          </w:rPr>
          <w:tab/>
        </w:r>
        <w:r>
          <w:rPr>
            <w:webHidden/>
          </w:rPr>
          <w:fldChar w:fldCharType="begin"/>
        </w:r>
        <w:r>
          <w:rPr>
            <w:webHidden/>
          </w:rPr>
          <w:instrText xml:space="preserve"> PAGEREF _Toc91749245 \h </w:instrText>
        </w:r>
        <w:r>
          <w:rPr>
            <w:webHidden/>
          </w:rPr>
          <w:fldChar w:fldCharType="separate"/>
        </w:r>
        <w:r>
          <w:rPr>
            <w:webHidden/>
          </w:rPr>
          <w:t>43</w:t>
        </w:r>
        <w:r>
          <w:rPr>
            <w:webHidden/>
          </w:rPr>
          <w:fldChar w:fldCharType="end"/>
        </w:r>
      </w:hyperlink>
    </w:p>
    <w:p w:rsidR="00A70013">
      <w:pPr>
        <w:pStyle w:val="TOC2"/>
        <w:rPr>
          <w:rFonts w:asciiTheme="minorHAnsi" w:eastAsiaTheme="minorEastAsia" w:hAnsiTheme="minorHAnsi" w:cstheme="minorBidi"/>
          <w:smallCaps w:val="0"/>
          <w:szCs w:val="22"/>
        </w:rPr>
      </w:pPr>
      <w:hyperlink w:anchor="_Toc91749246" w:history="1">
        <w:r w:rsidRPr="00B25884">
          <w:rPr>
            <w:rStyle w:val="Hyperlink"/>
            <w:rFonts w:asciiTheme="minorEastAsia" w:hAnsiTheme="minorEastAsia" w:hint="eastAsia"/>
            <w:bCs/>
          </w:rPr>
          <w:t>（七）投资决策</w:t>
        </w:r>
        <w:r>
          <w:rPr>
            <w:webHidden/>
          </w:rPr>
          <w:tab/>
        </w:r>
        <w:r>
          <w:rPr>
            <w:webHidden/>
          </w:rPr>
          <w:fldChar w:fldCharType="begin"/>
        </w:r>
        <w:r>
          <w:rPr>
            <w:webHidden/>
          </w:rPr>
          <w:instrText xml:space="preserve"> PAGEREF _Toc91749246 \h </w:instrText>
        </w:r>
        <w:r>
          <w:rPr>
            <w:webHidden/>
          </w:rPr>
          <w:fldChar w:fldCharType="separate"/>
        </w:r>
        <w:r>
          <w:rPr>
            <w:webHidden/>
          </w:rPr>
          <w:t>43</w:t>
        </w:r>
        <w:r>
          <w:rPr>
            <w:webHidden/>
          </w:rPr>
          <w:fldChar w:fldCharType="end"/>
        </w:r>
      </w:hyperlink>
    </w:p>
    <w:p w:rsidR="00A70013">
      <w:pPr>
        <w:pStyle w:val="TOC2"/>
        <w:rPr>
          <w:rFonts w:asciiTheme="minorHAnsi" w:eastAsiaTheme="minorEastAsia" w:hAnsiTheme="minorHAnsi" w:cstheme="minorBidi"/>
          <w:smallCaps w:val="0"/>
          <w:szCs w:val="22"/>
        </w:rPr>
      </w:pPr>
      <w:hyperlink w:anchor="_Toc91749247" w:history="1">
        <w:r w:rsidRPr="00B25884">
          <w:rPr>
            <w:rStyle w:val="Hyperlink"/>
            <w:rFonts w:asciiTheme="minorEastAsia" w:hAnsiTheme="minorEastAsia" w:hint="eastAsia"/>
            <w:bCs/>
          </w:rPr>
          <w:t>（八）投资限制</w:t>
        </w:r>
        <w:r>
          <w:rPr>
            <w:webHidden/>
          </w:rPr>
          <w:tab/>
        </w:r>
        <w:r>
          <w:rPr>
            <w:webHidden/>
          </w:rPr>
          <w:fldChar w:fldCharType="begin"/>
        </w:r>
        <w:r>
          <w:rPr>
            <w:webHidden/>
          </w:rPr>
          <w:instrText xml:space="preserve"> PAGEREF _Toc91749247 \h </w:instrText>
        </w:r>
        <w:r>
          <w:rPr>
            <w:webHidden/>
          </w:rPr>
          <w:fldChar w:fldCharType="separate"/>
        </w:r>
        <w:r>
          <w:rPr>
            <w:webHidden/>
          </w:rPr>
          <w:t>44</w:t>
        </w:r>
        <w:r>
          <w:rPr>
            <w:webHidden/>
          </w:rPr>
          <w:fldChar w:fldCharType="end"/>
        </w:r>
      </w:hyperlink>
    </w:p>
    <w:p w:rsidR="00A70013">
      <w:pPr>
        <w:pStyle w:val="TOC2"/>
        <w:rPr>
          <w:rFonts w:asciiTheme="minorHAnsi" w:eastAsiaTheme="minorEastAsia" w:hAnsiTheme="minorHAnsi" w:cstheme="minorBidi"/>
          <w:smallCaps w:val="0"/>
          <w:szCs w:val="22"/>
        </w:rPr>
      </w:pPr>
      <w:hyperlink w:anchor="_Toc91749248" w:history="1">
        <w:r w:rsidRPr="00B25884">
          <w:rPr>
            <w:rStyle w:val="Hyperlink"/>
            <w:rFonts w:asciiTheme="minorEastAsia" w:hAnsiTheme="minorEastAsia" w:hint="eastAsia"/>
            <w:bCs/>
          </w:rPr>
          <w:t>（九）禁止行为</w:t>
        </w:r>
        <w:r>
          <w:rPr>
            <w:webHidden/>
          </w:rPr>
          <w:tab/>
        </w:r>
        <w:r>
          <w:rPr>
            <w:webHidden/>
          </w:rPr>
          <w:fldChar w:fldCharType="begin"/>
        </w:r>
        <w:r>
          <w:rPr>
            <w:webHidden/>
          </w:rPr>
          <w:instrText xml:space="preserve"> PAGEREF _Toc91749248 \h </w:instrText>
        </w:r>
        <w:r>
          <w:rPr>
            <w:webHidden/>
          </w:rPr>
          <w:fldChar w:fldCharType="separate"/>
        </w:r>
        <w:r>
          <w:rPr>
            <w:webHidden/>
          </w:rPr>
          <w:t>45</w:t>
        </w:r>
        <w:r>
          <w:rPr>
            <w:webHidden/>
          </w:rPr>
          <w:fldChar w:fldCharType="end"/>
        </w:r>
      </w:hyperlink>
    </w:p>
    <w:p w:rsidR="00A70013">
      <w:pPr>
        <w:pStyle w:val="TOC2"/>
        <w:rPr>
          <w:rFonts w:asciiTheme="minorHAnsi" w:eastAsiaTheme="minorEastAsia" w:hAnsiTheme="minorHAnsi" w:cstheme="minorBidi"/>
          <w:smallCaps w:val="0"/>
          <w:szCs w:val="22"/>
        </w:rPr>
      </w:pPr>
      <w:hyperlink w:anchor="_Toc91749249" w:history="1">
        <w:r w:rsidRPr="00B25884">
          <w:rPr>
            <w:rStyle w:val="Hyperlink"/>
            <w:rFonts w:asciiTheme="minorEastAsia" w:hAnsiTheme="minorEastAsia" w:hint="eastAsia"/>
            <w:bCs/>
          </w:rPr>
          <w:t>（十）</w:t>
        </w:r>
        <w:r w:rsidRPr="00B25884">
          <w:rPr>
            <w:rStyle w:val="Hyperlink"/>
            <w:rFonts w:asciiTheme="minorEastAsia" w:hAnsiTheme="minorEastAsia" w:hint="eastAsia"/>
            <w:bCs/>
            <w:spacing w:val="-6"/>
          </w:rPr>
          <w:t>基金管理人代表基金行使所投资证券产生权利的处理原则及方法</w:t>
        </w:r>
        <w:r>
          <w:rPr>
            <w:webHidden/>
          </w:rPr>
          <w:tab/>
        </w:r>
        <w:r>
          <w:rPr>
            <w:webHidden/>
          </w:rPr>
          <w:fldChar w:fldCharType="begin"/>
        </w:r>
        <w:r>
          <w:rPr>
            <w:webHidden/>
          </w:rPr>
          <w:instrText xml:space="preserve"> PAGEREF _Toc91749249 \h </w:instrText>
        </w:r>
        <w:r>
          <w:rPr>
            <w:webHidden/>
          </w:rPr>
          <w:fldChar w:fldCharType="separate"/>
        </w:r>
        <w:r>
          <w:rPr>
            <w:webHidden/>
          </w:rPr>
          <w:t>45</w:t>
        </w:r>
        <w:r>
          <w:rPr>
            <w:webHidden/>
          </w:rPr>
          <w:fldChar w:fldCharType="end"/>
        </w:r>
      </w:hyperlink>
    </w:p>
    <w:p w:rsidR="00A70013">
      <w:pPr>
        <w:pStyle w:val="TOC2"/>
        <w:rPr>
          <w:rFonts w:asciiTheme="minorHAnsi" w:eastAsiaTheme="minorEastAsia" w:hAnsiTheme="minorHAnsi" w:cstheme="minorBidi"/>
          <w:smallCaps w:val="0"/>
          <w:szCs w:val="22"/>
        </w:rPr>
      </w:pPr>
      <w:hyperlink w:anchor="_Toc91749250" w:history="1">
        <w:r w:rsidRPr="00B25884">
          <w:rPr>
            <w:rStyle w:val="Hyperlink"/>
            <w:rFonts w:asciiTheme="minorEastAsia" w:hAnsiTheme="minorEastAsia" w:hint="eastAsia"/>
            <w:bCs/>
          </w:rPr>
          <w:t>（十</w:t>
        </w:r>
        <w:r w:rsidRPr="00B25884">
          <w:rPr>
            <w:rStyle w:val="Hyperlink"/>
            <w:rFonts w:asciiTheme="minorEastAsia" w:hAnsiTheme="minorEastAsia" w:hint="eastAsia"/>
          </w:rPr>
          <w:t>一</w:t>
        </w:r>
        <w:r w:rsidRPr="00B25884">
          <w:rPr>
            <w:rStyle w:val="Hyperlink"/>
            <w:rFonts w:asciiTheme="minorEastAsia" w:hAnsiTheme="minorEastAsia" w:hint="eastAsia"/>
            <w:bCs/>
          </w:rPr>
          <w:t>）基金的融资融券</w:t>
        </w:r>
        <w:r>
          <w:rPr>
            <w:webHidden/>
          </w:rPr>
          <w:tab/>
        </w:r>
        <w:r>
          <w:rPr>
            <w:webHidden/>
          </w:rPr>
          <w:fldChar w:fldCharType="begin"/>
        </w:r>
        <w:r>
          <w:rPr>
            <w:webHidden/>
          </w:rPr>
          <w:instrText xml:space="preserve"> PAGEREF _Toc91749250 \h </w:instrText>
        </w:r>
        <w:r>
          <w:rPr>
            <w:webHidden/>
          </w:rPr>
          <w:fldChar w:fldCharType="separate"/>
        </w:r>
        <w:r>
          <w:rPr>
            <w:webHidden/>
          </w:rPr>
          <w:t>46</w:t>
        </w:r>
        <w:r>
          <w:rPr>
            <w:webHidden/>
          </w:rPr>
          <w:fldChar w:fldCharType="end"/>
        </w:r>
      </w:hyperlink>
    </w:p>
    <w:p w:rsidR="00A70013">
      <w:pPr>
        <w:pStyle w:val="TOC2"/>
        <w:rPr>
          <w:rFonts w:asciiTheme="minorHAnsi" w:eastAsiaTheme="minorEastAsia" w:hAnsiTheme="minorHAnsi" w:cstheme="minorBidi"/>
          <w:smallCaps w:val="0"/>
          <w:szCs w:val="22"/>
        </w:rPr>
      </w:pPr>
      <w:hyperlink w:anchor="_Toc91749251" w:history="1">
        <w:r w:rsidRPr="00B25884">
          <w:rPr>
            <w:rStyle w:val="Hyperlink"/>
            <w:rFonts w:asciiTheme="minorEastAsia" w:hAnsiTheme="minorEastAsia" w:hint="eastAsia"/>
            <w:bCs/>
          </w:rPr>
          <w:t>（十二）基金投资组合报告</w:t>
        </w:r>
        <w:r w:rsidRPr="00B25884">
          <w:rPr>
            <w:rStyle w:val="Hyperlink"/>
            <w:rFonts w:asciiTheme="minorEastAsia" w:hAnsiTheme="minorEastAsia"/>
            <w:bCs/>
          </w:rPr>
          <w:t>(</w:t>
        </w:r>
        <w:r w:rsidRPr="00B25884">
          <w:rPr>
            <w:rStyle w:val="Hyperlink"/>
            <w:rFonts w:asciiTheme="minorEastAsia" w:hAnsiTheme="minorEastAsia" w:hint="eastAsia"/>
            <w:bCs/>
          </w:rPr>
          <w:t>未经审计</w:t>
        </w:r>
        <w:r w:rsidRPr="00B25884">
          <w:rPr>
            <w:rStyle w:val="Hyperlink"/>
            <w:rFonts w:asciiTheme="minorEastAsia" w:hAnsiTheme="minorEastAsia"/>
            <w:bCs/>
          </w:rPr>
          <w:t>)</w:t>
        </w:r>
        <w:r>
          <w:rPr>
            <w:webHidden/>
          </w:rPr>
          <w:tab/>
        </w:r>
        <w:r>
          <w:rPr>
            <w:webHidden/>
          </w:rPr>
          <w:fldChar w:fldCharType="begin"/>
        </w:r>
        <w:r>
          <w:rPr>
            <w:webHidden/>
          </w:rPr>
          <w:instrText xml:space="preserve"> PAGEREF _Toc91749251 \h </w:instrText>
        </w:r>
        <w:r>
          <w:rPr>
            <w:webHidden/>
          </w:rPr>
          <w:fldChar w:fldCharType="separate"/>
        </w:r>
        <w:r>
          <w:rPr>
            <w:webHidden/>
          </w:rPr>
          <w:t>46</w:t>
        </w:r>
        <w:r>
          <w:rPr>
            <w:webHidden/>
          </w:rPr>
          <w:fldChar w:fldCharType="end"/>
        </w:r>
      </w:hyperlink>
    </w:p>
    <w:p w:rsidR="00A70013">
      <w:pPr>
        <w:pStyle w:val="TOC1"/>
        <w:rPr>
          <w:rFonts w:asciiTheme="minorHAnsi" w:eastAsiaTheme="minorEastAsia" w:hAnsiTheme="minorHAnsi" w:cstheme="minorBidi"/>
          <w:caps w:val="0"/>
          <w:sz w:val="21"/>
          <w:szCs w:val="22"/>
        </w:rPr>
      </w:pPr>
      <w:hyperlink w:anchor="_Toc91749252" w:history="1">
        <w:r w:rsidRPr="00B25884">
          <w:rPr>
            <w:rStyle w:val="Hyperlink"/>
            <w:rFonts w:asciiTheme="minorEastAsia" w:hAnsiTheme="minorEastAsia" w:hint="eastAsia"/>
            <w:b/>
            <w:bCs/>
          </w:rPr>
          <w:t>十二、基金的业绩</w:t>
        </w:r>
        <w:r>
          <w:rPr>
            <w:webHidden/>
          </w:rPr>
          <w:tab/>
        </w:r>
        <w:r>
          <w:rPr>
            <w:webHidden/>
          </w:rPr>
          <w:fldChar w:fldCharType="begin"/>
        </w:r>
        <w:r>
          <w:rPr>
            <w:webHidden/>
          </w:rPr>
          <w:instrText xml:space="preserve"> PAGEREF _Toc91749252 \h </w:instrText>
        </w:r>
        <w:r>
          <w:rPr>
            <w:webHidden/>
          </w:rPr>
          <w:fldChar w:fldCharType="separate"/>
        </w:r>
        <w:r>
          <w:rPr>
            <w:webHidden/>
          </w:rPr>
          <w:t>50</w:t>
        </w:r>
        <w:r>
          <w:rPr>
            <w:webHidden/>
          </w:rPr>
          <w:fldChar w:fldCharType="end"/>
        </w:r>
      </w:hyperlink>
    </w:p>
    <w:p w:rsidR="00A70013">
      <w:pPr>
        <w:pStyle w:val="TOC1"/>
        <w:rPr>
          <w:rFonts w:asciiTheme="minorHAnsi" w:eastAsiaTheme="minorEastAsia" w:hAnsiTheme="minorHAnsi" w:cstheme="minorBidi"/>
          <w:caps w:val="0"/>
          <w:sz w:val="21"/>
          <w:szCs w:val="22"/>
        </w:rPr>
      </w:pPr>
      <w:hyperlink w:anchor="_Toc91749253" w:history="1">
        <w:r w:rsidRPr="00B25884">
          <w:rPr>
            <w:rStyle w:val="Hyperlink"/>
            <w:rFonts w:asciiTheme="minorEastAsia" w:hAnsiTheme="minorEastAsia" w:hint="eastAsia"/>
            <w:b/>
            <w:bCs/>
          </w:rPr>
          <w:t>十三、基金的财产</w:t>
        </w:r>
        <w:r>
          <w:rPr>
            <w:webHidden/>
          </w:rPr>
          <w:tab/>
        </w:r>
        <w:r>
          <w:rPr>
            <w:webHidden/>
          </w:rPr>
          <w:fldChar w:fldCharType="begin"/>
        </w:r>
        <w:r>
          <w:rPr>
            <w:webHidden/>
          </w:rPr>
          <w:instrText xml:space="preserve"> PAGEREF _Toc91749253 \h </w:instrText>
        </w:r>
        <w:r>
          <w:rPr>
            <w:webHidden/>
          </w:rPr>
          <w:fldChar w:fldCharType="separate"/>
        </w:r>
        <w:r>
          <w:rPr>
            <w:webHidden/>
          </w:rPr>
          <w:t>51</w:t>
        </w:r>
        <w:r>
          <w:rPr>
            <w:webHidden/>
          </w:rPr>
          <w:fldChar w:fldCharType="end"/>
        </w:r>
      </w:hyperlink>
    </w:p>
    <w:p w:rsidR="00A70013">
      <w:pPr>
        <w:pStyle w:val="TOC2"/>
        <w:rPr>
          <w:rFonts w:asciiTheme="minorHAnsi" w:eastAsiaTheme="minorEastAsia" w:hAnsiTheme="minorHAnsi" w:cstheme="minorBidi"/>
          <w:smallCaps w:val="0"/>
          <w:szCs w:val="22"/>
        </w:rPr>
      </w:pPr>
      <w:hyperlink w:anchor="_Toc91749254" w:history="1">
        <w:r w:rsidRPr="00B25884">
          <w:rPr>
            <w:rStyle w:val="Hyperlink"/>
            <w:rFonts w:asciiTheme="minorEastAsia" w:hAnsiTheme="minorEastAsia" w:hint="eastAsia"/>
          </w:rPr>
          <w:t>（一）基金资产总值</w:t>
        </w:r>
        <w:r>
          <w:rPr>
            <w:webHidden/>
          </w:rPr>
          <w:tab/>
        </w:r>
        <w:r>
          <w:rPr>
            <w:webHidden/>
          </w:rPr>
          <w:fldChar w:fldCharType="begin"/>
        </w:r>
        <w:r>
          <w:rPr>
            <w:webHidden/>
          </w:rPr>
          <w:instrText xml:space="preserve"> PAGEREF _Toc91749254 \h </w:instrText>
        </w:r>
        <w:r>
          <w:rPr>
            <w:webHidden/>
          </w:rPr>
          <w:fldChar w:fldCharType="separate"/>
        </w:r>
        <w:r>
          <w:rPr>
            <w:webHidden/>
          </w:rPr>
          <w:t>51</w:t>
        </w:r>
        <w:r>
          <w:rPr>
            <w:webHidden/>
          </w:rPr>
          <w:fldChar w:fldCharType="end"/>
        </w:r>
      </w:hyperlink>
    </w:p>
    <w:p w:rsidR="00A70013">
      <w:pPr>
        <w:pStyle w:val="TOC2"/>
        <w:rPr>
          <w:rFonts w:asciiTheme="minorHAnsi" w:eastAsiaTheme="minorEastAsia" w:hAnsiTheme="minorHAnsi" w:cstheme="minorBidi"/>
          <w:smallCaps w:val="0"/>
          <w:szCs w:val="22"/>
        </w:rPr>
      </w:pPr>
      <w:hyperlink w:anchor="_Toc91749255" w:history="1">
        <w:r w:rsidRPr="00B25884">
          <w:rPr>
            <w:rStyle w:val="Hyperlink"/>
            <w:rFonts w:asciiTheme="minorEastAsia" w:hAnsiTheme="minorEastAsia" w:hint="eastAsia"/>
          </w:rPr>
          <w:t>（二）基金资产净值</w:t>
        </w:r>
        <w:r>
          <w:rPr>
            <w:webHidden/>
          </w:rPr>
          <w:tab/>
        </w:r>
        <w:r>
          <w:rPr>
            <w:webHidden/>
          </w:rPr>
          <w:fldChar w:fldCharType="begin"/>
        </w:r>
        <w:r>
          <w:rPr>
            <w:webHidden/>
          </w:rPr>
          <w:instrText xml:space="preserve"> PAGEREF _Toc91749255 \h </w:instrText>
        </w:r>
        <w:r>
          <w:rPr>
            <w:webHidden/>
          </w:rPr>
          <w:fldChar w:fldCharType="separate"/>
        </w:r>
        <w:r>
          <w:rPr>
            <w:webHidden/>
          </w:rPr>
          <w:t>51</w:t>
        </w:r>
        <w:r>
          <w:rPr>
            <w:webHidden/>
          </w:rPr>
          <w:fldChar w:fldCharType="end"/>
        </w:r>
      </w:hyperlink>
    </w:p>
    <w:p w:rsidR="00A70013">
      <w:pPr>
        <w:pStyle w:val="TOC2"/>
        <w:rPr>
          <w:rFonts w:asciiTheme="minorHAnsi" w:eastAsiaTheme="minorEastAsia" w:hAnsiTheme="minorHAnsi" w:cstheme="minorBidi"/>
          <w:smallCaps w:val="0"/>
          <w:szCs w:val="22"/>
        </w:rPr>
      </w:pPr>
      <w:hyperlink w:anchor="_Toc91749256" w:history="1">
        <w:r w:rsidRPr="00B25884">
          <w:rPr>
            <w:rStyle w:val="Hyperlink"/>
            <w:rFonts w:asciiTheme="minorEastAsia" w:hAnsiTheme="minorEastAsia" w:hint="eastAsia"/>
          </w:rPr>
          <w:t>（三）基金财产的账户</w:t>
        </w:r>
        <w:r>
          <w:rPr>
            <w:webHidden/>
          </w:rPr>
          <w:tab/>
        </w:r>
        <w:r>
          <w:rPr>
            <w:webHidden/>
          </w:rPr>
          <w:fldChar w:fldCharType="begin"/>
        </w:r>
        <w:r>
          <w:rPr>
            <w:webHidden/>
          </w:rPr>
          <w:instrText xml:space="preserve"> PAGEREF _Toc91749256 \h </w:instrText>
        </w:r>
        <w:r>
          <w:rPr>
            <w:webHidden/>
          </w:rPr>
          <w:fldChar w:fldCharType="separate"/>
        </w:r>
        <w:r>
          <w:rPr>
            <w:webHidden/>
          </w:rPr>
          <w:t>51</w:t>
        </w:r>
        <w:r>
          <w:rPr>
            <w:webHidden/>
          </w:rPr>
          <w:fldChar w:fldCharType="end"/>
        </w:r>
      </w:hyperlink>
    </w:p>
    <w:p w:rsidR="00A70013">
      <w:pPr>
        <w:pStyle w:val="TOC2"/>
        <w:rPr>
          <w:rFonts w:asciiTheme="minorHAnsi" w:eastAsiaTheme="minorEastAsia" w:hAnsiTheme="minorHAnsi" w:cstheme="minorBidi"/>
          <w:smallCaps w:val="0"/>
          <w:szCs w:val="22"/>
        </w:rPr>
      </w:pPr>
      <w:hyperlink w:anchor="_Toc91749257" w:history="1">
        <w:r w:rsidRPr="00B25884">
          <w:rPr>
            <w:rStyle w:val="Hyperlink"/>
            <w:rFonts w:asciiTheme="minorEastAsia" w:hAnsiTheme="minorEastAsia" w:hint="eastAsia"/>
          </w:rPr>
          <w:t>（四）基金财产的保管和处分</w:t>
        </w:r>
        <w:r>
          <w:rPr>
            <w:webHidden/>
          </w:rPr>
          <w:tab/>
        </w:r>
        <w:r>
          <w:rPr>
            <w:webHidden/>
          </w:rPr>
          <w:fldChar w:fldCharType="begin"/>
        </w:r>
        <w:r>
          <w:rPr>
            <w:webHidden/>
          </w:rPr>
          <w:instrText xml:space="preserve"> PAGEREF _Toc91749257 \h </w:instrText>
        </w:r>
        <w:r>
          <w:rPr>
            <w:webHidden/>
          </w:rPr>
          <w:fldChar w:fldCharType="separate"/>
        </w:r>
        <w:r>
          <w:rPr>
            <w:webHidden/>
          </w:rPr>
          <w:t>51</w:t>
        </w:r>
        <w:r>
          <w:rPr>
            <w:webHidden/>
          </w:rPr>
          <w:fldChar w:fldCharType="end"/>
        </w:r>
      </w:hyperlink>
    </w:p>
    <w:p w:rsidR="00A70013">
      <w:pPr>
        <w:pStyle w:val="TOC1"/>
        <w:rPr>
          <w:rFonts w:asciiTheme="minorHAnsi" w:eastAsiaTheme="minorEastAsia" w:hAnsiTheme="minorHAnsi" w:cstheme="minorBidi"/>
          <w:caps w:val="0"/>
          <w:sz w:val="21"/>
          <w:szCs w:val="22"/>
        </w:rPr>
      </w:pPr>
      <w:hyperlink w:anchor="_Toc91749258" w:history="1">
        <w:r w:rsidRPr="00B25884">
          <w:rPr>
            <w:rStyle w:val="Hyperlink"/>
            <w:rFonts w:asciiTheme="minorEastAsia" w:hAnsiTheme="minorEastAsia" w:hint="eastAsia"/>
            <w:b/>
            <w:bCs/>
          </w:rPr>
          <w:t>十四、基金资产估值</w:t>
        </w:r>
        <w:r>
          <w:rPr>
            <w:webHidden/>
          </w:rPr>
          <w:tab/>
        </w:r>
        <w:r>
          <w:rPr>
            <w:webHidden/>
          </w:rPr>
          <w:fldChar w:fldCharType="begin"/>
        </w:r>
        <w:r>
          <w:rPr>
            <w:webHidden/>
          </w:rPr>
          <w:instrText xml:space="preserve"> PAGEREF _Toc91749258 \h </w:instrText>
        </w:r>
        <w:r>
          <w:rPr>
            <w:webHidden/>
          </w:rPr>
          <w:fldChar w:fldCharType="separate"/>
        </w:r>
        <w:r>
          <w:rPr>
            <w:webHidden/>
          </w:rPr>
          <w:t>52</w:t>
        </w:r>
        <w:r>
          <w:rPr>
            <w:webHidden/>
          </w:rPr>
          <w:fldChar w:fldCharType="end"/>
        </w:r>
      </w:hyperlink>
    </w:p>
    <w:p w:rsidR="00A70013">
      <w:pPr>
        <w:pStyle w:val="TOC2"/>
        <w:rPr>
          <w:rFonts w:asciiTheme="minorHAnsi" w:eastAsiaTheme="minorEastAsia" w:hAnsiTheme="minorHAnsi" w:cstheme="minorBidi"/>
          <w:smallCaps w:val="0"/>
          <w:szCs w:val="22"/>
        </w:rPr>
      </w:pPr>
      <w:hyperlink w:anchor="_Toc91749259" w:history="1">
        <w:r w:rsidRPr="00B25884">
          <w:rPr>
            <w:rStyle w:val="Hyperlink"/>
            <w:rFonts w:asciiTheme="minorEastAsia" w:hAnsiTheme="minorEastAsia"/>
          </w:rPr>
          <w:t>(</w:t>
        </w:r>
        <w:r w:rsidRPr="00B25884">
          <w:rPr>
            <w:rStyle w:val="Hyperlink"/>
            <w:rFonts w:asciiTheme="minorEastAsia" w:hAnsiTheme="minorEastAsia" w:hint="eastAsia"/>
          </w:rPr>
          <w:t>一</w:t>
        </w:r>
        <w:r w:rsidRPr="00B25884">
          <w:rPr>
            <w:rStyle w:val="Hyperlink"/>
            <w:rFonts w:asciiTheme="minorEastAsia" w:hAnsiTheme="minorEastAsia"/>
          </w:rPr>
          <w:t>)</w:t>
        </w:r>
        <w:r w:rsidRPr="00B25884">
          <w:rPr>
            <w:rStyle w:val="Hyperlink"/>
            <w:rFonts w:asciiTheme="minorEastAsia" w:hAnsiTheme="minorEastAsia" w:hint="eastAsia"/>
          </w:rPr>
          <w:t>估值目的</w:t>
        </w:r>
        <w:r>
          <w:rPr>
            <w:webHidden/>
          </w:rPr>
          <w:tab/>
        </w:r>
        <w:r>
          <w:rPr>
            <w:webHidden/>
          </w:rPr>
          <w:fldChar w:fldCharType="begin"/>
        </w:r>
        <w:r>
          <w:rPr>
            <w:webHidden/>
          </w:rPr>
          <w:instrText xml:space="preserve"> PAGEREF _Toc91749259 \h </w:instrText>
        </w:r>
        <w:r>
          <w:rPr>
            <w:webHidden/>
          </w:rPr>
          <w:fldChar w:fldCharType="separate"/>
        </w:r>
        <w:r>
          <w:rPr>
            <w:webHidden/>
          </w:rPr>
          <w:t>52</w:t>
        </w:r>
        <w:r>
          <w:rPr>
            <w:webHidden/>
          </w:rPr>
          <w:fldChar w:fldCharType="end"/>
        </w:r>
      </w:hyperlink>
    </w:p>
    <w:p w:rsidR="00A70013">
      <w:pPr>
        <w:pStyle w:val="TOC2"/>
        <w:rPr>
          <w:rFonts w:asciiTheme="minorHAnsi" w:eastAsiaTheme="minorEastAsia" w:hAnsiTheme="minorHAnsi" w:cstheme="minorBidi"/>
          <w:smallCaps w:val="0"/>
          <w:szCs w:val="22"/>
        </w:rPr>
      </w:pPr>
      <w:hyperlink w:anchor="_Toc91749260" w:history="1">
        <w:r w:rsidRPr="00B25884">
          <w:rPr>
            <w:rStyle w:val="Hyperlink"/>
            <w:rFonts w:asciiTheme="minorEastAsia" w:hAnsiTheme="minorEastAsia"/>
          </w:rPr>
          <w:t>(</w:t>
        </w:r>
        <w:r w:rsidRPr="00B25884">
          <w:rPr>
            <w:rStyle w:val="Hyperlink"/>
            <w:rFonts w:asciiTheme="minorEastAsia" w:hAnsiTheme="minorEastAsia" w:hint="eastAsia"/>
          </w:rPr>
          <w:t>二</w:t>
        </w:r>
        <w:r w:rsidRPr="00B25884">
          <w:rPr>
            <w:rStyle w:val="Hyperlink"/>
            <w:rFonts w:asciiTheme="minorEastAsia" w:hAnsiTheme="minorEastAsia"/>
          </w:rPr>
          <w:t>)</w:t>
        </w:r>
        <w:r w:rsidRPr="00B25884">
          <w:rPr>
            <w:rStyle w:val="Hyperlink"/>
            <w:rFonts w:asciiTheme="minorEastAsia" w:hAnsiTheme="minorEastAsia" w:hint="eastAsia"/>
          </w:rPr>
          <w:t>估值日</w:t>
        </w:r>
        <w:r>
          <w:rPr>
            <w:webHidden/>
          </w:rPr>
          <w:tab/>
        </w:r>
        <w:r>
          <w:rPr>
            <w:webHidden/>
          </w:rPr>
          <w:fldChar w:fldCharType="begin"/>
        </w:r>
        <w:r>
          <w:rPr>
            <w:webHidden/>
          </w:rPr>
          <w:instrText xml:space="preserve"> PAGEREF _Toc91749260 \h </w:instrText>
        </w:r>
        <w:r>
          <w:rPr>
            <w:webHidden/>
          </w:rPr>
          <w:fldChar w:fldCharType="separate"/>
        </w:r>
        <w:r>
          <w:rPr>
            <w:webHidden/>
          </w:rPr>
          <w:t>52</w:t>
        </w:r>
        <w:r>
          <w:rPr>
            <w:webHidden/>
          </w:rPr>
          <w:fldChar w:fldCharType="end"/>
        </w:r>
      </w:hyperlink>
    </w:p>
    <w:p w:rsidR="00A70013">
      <w:pPr>
        <w:pStyle w:val="TOC2"/>
        <w:rPr>
          <w:rFonts w:asciiTheme="minorHAnsi" w:eastAsiaTheme="minorEastAsia" w:hAnsiTheme="minorHAnsi" w:cstheme="minorBidi"/>
          <w:smallCaps w:val="0"/>
          <w:szCs w:val="22"/>
        </w:rPr>
      </w:pPr>
      <w:hyperlink w:anchor="_Toc91749261" w:history="1">
        <w:r w:rsidRPr="00B25884">
          <w:rPr>
            <w:rStyle w:val="Hyperlink"/>
            <w:rFonts w:asciiTheme="minorEastAsia" w:hAnsiTheme="minorEastAsia"/>
          </w:rPr>
          <w:t>(</w:t>
        </w:r>
        <w:r w:rsidRPr="00B25884">
          <w:rPr>
            <w:rStyle w:val="Hyperlink"/>
            <w:rFonts w:asciiTheme="minorEastAsia" w:hAnsiTheme="minorEastAsia" w:hint="eastAsia"/>
          </w:rPr>
          <w:t>三</w:t>
        </w:r>
        <w:r w:rsidRPr="00B25884">
          <w:rPr>
            <w:rStyle w:val="Hyperlink"/>
            <w:rFonts w:asciiTheme="minorEastAsia" w:hAnsiTheme="minorEastAsia"/>
          </w:rPr>
          <w:t>)</w:t>
        </w:r>
        <w:r w:rsidRPr="00B25884">
          <w:rPr>
            <w:rStyle w:val="Hyperlink"/>
            <w:rFonts w:asciiTheme="minorEastAsia" w:hAnsiTheme="minorEastAsia" w:hint="eastAsia"/>
          </w:rPr>
          <w:t>估值对象</w:t>
        </w:r>
        <w:r>
          <w:rPr>
            <w:webHidden/>
          </w:rPr>
          <w:tab/>
        </w:r>
        <w:r>
          <w:rPr>
            <w:webHidden/>
          </w:rPr>
          <w:fldChar w:fldCharType="begin"/>
        </w:r>
        <w:r>
          <w:rPr>
            <w:webHidden/>
          </w:rPr>
          <w:instrText xml:space="preserve"> PAGEREF _Toc91749261 \h </w:instrText>
        </w:r>
        <w:r>
          <w:rPr>
            <w:webHidden/>
          </w:rPr>
          <w:fldChar w:fldCharType="separate"/>
        </w:r>
        <w:r>
          <w:rPr>
            <w:webHidden/>
          </w:rPr>
          <w:t>52</w:t>
        </w:r>
        <w:r>
          <w:rPr>
            <w:webHidden/>
          </w:rPr>
          <w:fldChar w:fldCharType="end"/>
        </w:r>
      </w:hyperlink>
    </w:p>
    <w:p w:rsidR="00A70013">
      <w:pPr>
        <w:pStyle w:val="TOC2"/>
        <w:rPr>
          <w:rFonts w:asciiTheme="minorHAnsi" w:eastAsiaTheme="minorEastAsia" w:hAnsiTheme="minorHAnsi" w:cstheme="minorBidi"/>
          <w:smallCaps w:val="0"/>
          <w:szCs w:val="22"/>
        </w:rPr>
      </w:pPr>
      <w:hyperlink w:anchor="_Toc91749262" w:history="1">
        <w:r w:rsidRPr="00B25884">
          <w:rPr>
            <w:rStyle w:val="Hyperlink"/>
            <w:rFonts w:asciiTheme="minorEastAsia" w:hAnsiTheme="minorEastAsia"/>
          </w:rPr>
          <w:t>(</w:t>
        </w:r>
        <w:r w:rsidRPr="00B25884">
          <w:rPr>
            <w:rStyle w:val="Hyperlink"/>
            <w:rFonts w:asciiTheme="minorEastAsia" w:hAnsiTheme="minorEastAsia" w:hint="eastAsia"/>
          </w:rPr>
          <w:t>四</w:t>
        </w:r>
        <w:r w:rsidRPr="00B25884">
          <w:rPr>
            <w:rStyle w:val="Hyperlink"/>
            <w:rFonts w:asciiTheme="minorEastAsia" w:hAnsiTheme="minorEastAsia"/>
          </w:rPr>
          <w:t>)</w:t>
        </w:r>
        <w:r w:rsidRPr="00B25884">
          <w:rPr>
            <w:rStyle w:val="Hyperlink"/>
            <w:rFonts w:asciiTheme="minorEastAsia" w:hAnsiTheme="minorEastAsia" w:hint="eastAsia"/>
          </w:rPr>
          <w:t>估值程序</w:t>
        </w:r>
        <w:r>
          <w:rPr>
            <w:webHidden/>
          </w:rPr>
          <w:tab/>
        </w:r>
        <w:r>
          <w:rPr>
            <w:webHidden/>
          </w:rPr>
          <w:fldChar w:fldCharType="begin"/>
        </w:r>
        <w:r>
          <w:rPr>
            <w:webHidden/>
          </w:rPr>
          <w:instrText xml:space="preserve"> PAGEREF _Toc91749262 \h </w:instrText>
        </w:r>
        <w:r>
          <w:rPr>
            <w:webHidden/>
          </w:rPr>
          <w:fldChar w:fldCharType="separate"/>
        </w:r>
        <w:r>
          <w:rPr>
            <w:webHidden/>
          </w:rPr>
          <w:t>52</w:t>
        </w:r>
        <w:r>
          <w:rPr>
            <w:webHidden/>
          </w:rPr>
          <w:fldChar w:fldCharType="end"/>
        </w:r>
      </w:hyperlink>
    </w:p>
    <w:p w:rsidR="00A70013">
      <w:pPr>
        <w:pStyle w:val="TOC2"/>
        <w:rPr>
          <w:rFonts w:asciiTheme="minorHAnsi" w:eastAsiaTheme="minorEastAsia" w:hAnsiTheme="minorHAnsi" w:cstheme="minorBidi"/>
          <w:smallCaps w:val="0"/>
          <w:szCs w:val="22"/>
        </w:rPr>
      </w:pPr>
      <w:hyperlink w:anchor="_Toc91749263" w:history="1">
        <w:r w:rsidRPr="00B25884">
          <w:rPr>
            <w:rStyle w:val="Hyperlink"/>
            <w:rFonts w:asciiTheme="minorEastAsia" w:hAnsiTheme="minorEastAsia"/>
          </w:rPr>
          <w:t>(</w:t>
        </w:r>
        <w:r w:rsidRPr="00B25884">
          <w:rPr>
            <w:rStyle w:val="Hyperlink"/>
            <w:rFonts w:asciiTheme="minorEastAsia" w:hAnsiTheme="minorEastAsia" w:hint="eastAsia"/>
          </w:rPr>
          <w:t>五</w:t>
        </w:r>
        <w:r w:rsidRPr="00B25884">
          <w:rPr>
            <w:rStyle w:val="Hyperlink"/>
            <w:rFonts w:asciiTheme="minorEastAsia" w:hAnsiTheme="minorEastAsia"/>
          </w:rPr>
          <w:t>)</w:t>
        </w:r>
        <w:r w:rsidRPr="00B25884">
          <w:rPr>
            <w:rStyle w:val="Hyperlink"/>
            <w:rFonts w:asciiTheme="minorEastAsia" w:hAnsiTheme="minorEastAsia" w:hint="eastAsia"/>
          </w:rPr>
          <w:t>估值方法</w:t>
        </w:r>
        <w:r>
          <w:rPr>
            <w:webHidden/>
          </w:rPr>
          <w:tab/>
        </w:r>
        <w:r>
          <w:rPr>
            <w:webHidden/>
          </w:rPr>
          <w:fldChar w:fldCharType="begin"/>
        </w:r>
        <w:r>
          <w:rPr>
            <w:webHidden/>
          </w:rPr>
          <w:instrText xml:space="preserve"> PAGEREF _Toc91749263 \h </w:instrText>
        </w:r>
        <w:r>
          <w:rPr>
            <w:webHidden/>
          </w:rPr>
          <w:fldChar w:fldCharType="separate"/>
        </w:r>
        <w:r>
          <w:rPr>
            <w:webHidden/>
          </w:rPr>
          <w:t>52</w:t>
        </w:r>
        <w:r>
          <w:rPr>
            <w:webHidden/>
          </w:rPr>
          <w:fldChar w:fldCharType="end"/>
        </w:r>
      </w:hyperlink>
    </w:p>
    <w:p w:rsidR="00A70013">
      <w:pPr>
        <w:pStyle w:val="TOC2"/>
        <w:rPr>
          <w:rFonts w:asciiTheme="minorHAnsi" w:eastAsiaTheme="minorEastAsia" w:hAnsiTheme="minorHAnsi" w:cstheme="minorBidi"/>
          <w:smallCaps w:val="0"/>
          <w:szCs w:val="22"/>
        </w:rPr>
      </w:pPr>
      <w:hyperlink w:anchor="_Toc91749264" w:history="1">
        <w:r w:rsidRPr="00B25884">
          <w:rPr>
            <w:rStyle w:val="Hyperlink"/>
            <w:rFonts w:asciiTheme="minorEastAsia" w:hAnsiTheme="minorEastAsia"/>
          </w:rPr>
          <w:t>(</w:t>
        </w:r>
        <w:r w:rsidRPr="00B25884">
          <w:rPr>
            <w:rStyle w:val="Hyperlink"/>
            <w:rFonts w:asciiTheme="minorEastAsia" w:hAnsiTheme="minorEastAsia" w:hint="eastAsia"/>
          </w:rPr>
          <w:t>六</w:t>
        </w:r>
        <w:r w:rsidRPr="00B25884">
          <w:rPr>
            <w:rStyle w:val="Hyperlink"/>
            <w:rFonts w:asciiTheme="minorEastAsia" w:hAnsiTheme="minorEastAsia"/>
          </w:rPr>
          <w:t>)</w:t>
        </w:r>
        <w:r w:rsidRPr="00B25884">
          <w:rPr>
            <w:rStyle w:val="Hyperlink"/>
            <w:rFonts w:asciiTheme="minorEastAsia" w:hAnsiTheme="minorEastAsia" w:hint="eastAsia"/>
          </w:rPr>
          <w:t>基金份额净值的确认和估值错误的处理</w:t>
        </w:r>
        <w:r>
          <w:rPr>
            <w:webHidden/>
          </w:rPr>
          <w:tab/>
        </w:r>
        <w:r>
          <w:rPr>
            <w:webHidden/>
          </w:rPr>
          <w:fldChar w:fldCharType="begin"/>
        </w:r>
        <w:r>
          <w:rPr>
            <w:webHidden/>
          </w:rPr>
          <w:instrText xml:space="preserve"> PAGEREF _Toc91749264 \h </w:instrText>
        </w:r>
        <w:r>
          <w:rPr>
            <w:webHidden/>
          </w:rPr>
          <w:fldChar w:fldCharType="separate"/>
        </w:r>
        <w:r>
          <w:rPr>
            <w:webHidden/>
          </w:rPr>
          <w:t>53</w:t>
        </w:r>
        <w:r>
          <w:rPr>
            <w:webHidden/>
          </w:rPr>
          <w:fldChar w:fldCharType="end"/>
        </w:r>
      </w:hyperlink>
    </w:p>
    <w:p w:rsidR="00A70013">
      <w:pPr>
        <w:pStyle w:val="TOC2"/>
        <w:rPr>
          <w:rFonts w:asciiTheme="minorHAnsi" w:eastAsiaTheme="minorEastAsia" w:hAnsiTheme="minorHAnsi" w:cstheme="minorBidi"/>
          <w:smallCaps w:val="0"/>
          <w:szCs w:val="22"/>
        </w:rPr>
      </w:pPr>
      <w:hyperlink w:anchor="_Toc91749265" w:history="1">
        <w:r w:rsidRPr="00B25884">
          <w:rPr>
            <w:rStyle w:val="Hyperlink"/>
            <w:rFonts w:asciiTheme="minorEastAsia" w:hAnsiTheme="minorEastAsia"/>
          </w:rPr>
          <w:t>(</w:t>
        </w:r>
        <w:r w:rsidRPr="00B25884">
          <w:rPr>
            <w:rStyle w:val="Hyperlink"/>
            <w:rFonts w:asciiTheme="minorEastAsia" w:hAnsiTheme="minorEastAsia" w:hint="eastAsia"/>
          </w:rPr>
          <w:t>七</w:t>
        </w:r>
        <w:r w:rsidRPr="00B25884">
          <w:rPr>
            <w:rStyle w:val="Hyperlink"/>
            <w:rFonts w:asciiTheme="minorEastAsia" w:hAnsiTheme="minorEastAsia"/>
          </w:rPr>
          <w:t>)</w:t>
        </w:r>
        <w:r w:rsidRPr="00B25884">
          <w:rPr>
            <w:rStyle w:val="Hyperlink"/>
            <w:rFonts w:asciiTheme="minorEastAsia" w:hAnsiTheme="minorEastAsia" w:hint="eastAsia"/>
          </w:rPr>
          <w:t>暂停估值的情形</w:t>
        </w:r>
        <w:r>
          <w:rPr>
            <w:webHidden/>
          </w:rPr>
          <w:tab/>
        </w:r>
        <w:r>
          <w:rPr>
            <w:webHidden/>
          </w:rPr>
          <w:fldChar w:fldCharType="begin"/>
        </w:r>
        <w:r>
          <w:rPr>
            <w:webHidden/>
          </w:rPr>
          <w:instrText xml:space="preserve"> PAGEREF _Toc91749265 \h </w:instrText>
        </w:r>
        <w:r>
          <w:rPr>
            <w:webHidden/>
          </w:rPr>
          <w:fldChar w:fldCharType="separate"/>
        </w:r>
        <w:r>
          <w:rPr>
            <w:webHidden/>
          </w:rPr>
          <w:t>55</w:t>
        </w:r>
        <w:r>
          <w:rPr>
            <w:webHidden/>
          </w:rPr>
          <w:fldChar w:fldCharType="end"/>
        </w:r>
      </w:hyperlink>
    </w:p>
    <w:p w:rsidR="00A70013">
      <w:pPr>
        <w:pStyle w:val="TOC2"/>
        <w:rPr>
          <w:rFonts w:asciiTheme="minorHAnsi" w:eastAsiaTheme="minorEastAsia" w:hAnsiTheme="minorHAnsi" w:cstheme="minorBidi"/>
          <w:smallCaps w:val="0"/>
          <w:szCs w:val="22"/>
        </w:rPr>
      </w:pPr>
      <w:hyperlink w:anchor="_Toc91749266" w:history="1">
        <w:r w:rsidRPr="00B25884">
          <w:rPr>
            <w:rStyle w:val="Hyperlink"/>
            <w:rFonts w:asciiTheme="minorEastAsia" w:hAnsiTheme="minorEastAsia"/>
          </w:rPr>
          <w:t>(</w:t>
        </w:r>
        <w:r w:rsidRPr="00B25884">
          <w:rPr>
            <w:rStyle w:val="Hyperlink"/>
            <w:rFonts w:asciiTheme="minorEastAsia" w:hAnsiTheme="minorEastAsia" w:hint="eastAsia"/>
          </w:rPr>
          <w:t>八</w:t>
        </w:r>
        <w:r w:rsidRPr="00B25884">
          <w:rPr>
            <w:rStyle w:val="Hyperlink"/>
            <w:rFonts w:asciiTheme="minorEastAsia" w:hAnsiTheme="minorEastAsia"/>
          </w:rPr>
          <w:t>)</w:t>
        </w:r>
        <w:r w:rsidRPr="00B25884">
          <w:rPr>
            <w:rStyle w:val="Hyperlink"/>
            <w:rFonts w:asciiTheme="minorEastAsia" w:hAnsiTheme="minorEastAsia" w:hint="eastAsia"/>
          </w:rPr>
          <w:t>特殊情形的处理</w:t>
        </w:r>
        <w:r>
          <w:rPr>
            <w:webHidden/>
          </w:rPr>
          <w:tab/>
        </w:r>
        <w:r>
          <w:rPr>
            <w:webHidden/>
          </w:rPr>
          <w:fldChar w:fldCharType="begin"/>
        </w:r>
        <w:r>
          <w:rPr>
            <w:webHidden/>
          </w:rPr>
          <w:instrText xml:space="preserve"> PAGEREF _Toc91749266 \h </w:instrText>
        </w:r>
        <w:r>
          <w:rPr>
            <w:webHidden/>
          </w:rPr>
          <w:fldChar w:fldCharType="separate"/>
        </w:r>
        <w:r>
          <w:rPr>
            <w:webHidden/>
          </w:rPr>
          <w:t>55</w:t>
        </w:r>
        <w:r>
          <w:rPr>
            <w:webHidden/>
          </w:rPr>
          <w:fldChar w:fldCharType="end"/>
        </w:r>
      </w:hyperlink>
    </w:p>
    <w:p w:rsidR="00A70013">
      <w:pPr>
        <w:pStyle w:val="TOC1"/>
        <w:rPr>
          <w:rFonts w:asciiTheme="minorHAnsi" w:eastAsiaTheme="minorEastAsia" w:hAnsiTheme="minorHAnsi" w:cstheme="minorBidi"/>
          <w:caps w:val="0"/>
          <w:sz w:val="21"/>
          <w:szCs w:val="22"/>
        </w:rPr>
      </w:pPr>
      <w:hyperlink w:anchor="_Toc91749267" w:history="1">
        <w:r w:rsidRPr="00B25884">
          <w:rPr>
            <w:rStyle w:val="Hyperlink"/>
            <w:rFonts w:asciiTheme="minorEastAsia" w:hAnsiTheme="minorEastAsia" w:hint="eastAsia"/>
            <w:b/>
            <w:bCs/>
          </w:rPr>
          <w:t>十五、基金的收益与分配</w:t>
        </w:r>
        <w:r>
          <w:rPr>
            <w:webHidden/>
          </w:rPr>
          <w:tab/>
        </w:r>
        <w:r>
          <w:rPr>
            <w:webHidden/>
          </w:rPr>
          <w:fldChar w:fldCharType="begin"/>
        </w:r>
        <w:r>
          <w:rPr>
            <w:webHidden/>
          </w:rPr>
          <w:instrText xml:space="preserve"> PAGEREF _Toc91749267 \h </w:instrText>
        </w:r>
        <w:r>
          <w:rPr>
            <w:webHidden/>
          </w:rPr>
          <w:fldChar w:fldCharType="separate"/>
        </w:r>
        <w:r>
          <w:rPr>
            <w:webHidden/>
          </w:rPr>
          <w:t>56</w:t>
        </w:r>
        <w:r>
          <w:rPr>
            <w:webHidden/>
          </w:rPr>
          <w:fldChar w:fldCharType="end"/>
        </w:r>
      </w:hyperlink>
    </w:p>
    <w:p w:rsidR="00A70013">
      <w:pPr>
        <w:pStyle w:val="TOC2"/>
        <w:rPr>
          <w:rFonts w:asciiTheme="minorHAnsi" w:eastAsiaTheme="minorEastAsia" w:hAnsiTheme="minorHAnsi" w:cstheme="minorBidi"/>
          <w:smallCaps w:val="0"/>
          <w:szCs w:val="22"/>
        </w:rPr>
      </w:pPr>
      <w:hyperlink w:anchor="_Toc91749268" w:history="1">
        <w:r w:rsidRPr="00B25884">
          <w:rPr>
            <w:rStyle w:val="Hyperlink"/>
            <w:rFonts w:asciiTheme="minorEastAsia" w:hAnsiTheme="minorEastAsia" w:hint="eastAsia"/>
          </w:rPr>
          <w:t>（一）收益的构成</w:t>
        </w:r>
        <w:r>
          <w:rPr>
            <w:webHidden/>
          </w:rPr>
          <w:tab/>
        </w:r>
        <w:r>
          <w:rPr>
            <w:webHidden/>
          </w:rPr>
          <w:fldChar w:fldCharType="begin"/>
        </w:r>
        <w:r>
          <w:rPr>
            <w:webHidden/>
          </w:rPr>
          <w:instrText xml:space="preserve"> PAGEREF _Toc91749268 \h </w:instrText>
        </w:r>
        <w:r>
          <w:rPr>
            <w:webHidden/>
          </w:rPr>
          <w:fldChar w:fldCharType="separate"/>
        </w:r>
        <w:r>
          <w:rPr>
            <w:webHidden/>
          </w:rPr>
          <w:t>56</w:t>
        </w:r>
        <w:r>
          <w:rPr>
            <w:webHidden/>
          </w:rPr>
          <w:fldChar w:fldCharType="end"/>
        </w:r>
      </w:hyperlink>
    </w:p>
    <w:p w:rsidR="00A70013">
      <w:pPr>
        <w:pStyle w:val="TOC2"/>
        <w:rPr>
          <w:rFonts w:asciiTheme="minorHAnsi" w:eastAsiaTheme="minorEastAsia" w:hAnsiTheme="minorHAnsi" w:cstheme="minorBidi"/>
          <w:smallCaps w:val="0"/>
          <w:szCs w:val="22"/>
        </w:rPr>
      </w:pPr>
      <w:hyperlink w:anchor="_Toc91749269" w:history="1">
        <w:r w:rsidRPr="00B25884">
          <w:rPr>
            <w:rStyle w:val="Hyperlink"/>
            <w:rFonts w:asciiTheme="minorEastAsia" w:hAnsiTheme="minorEastAsia" w:hint="eastAsia"/>
          </w:rPr>
          <w:t>（二）收益分配原则</w:t>
        </w:r>
        <w:r>
          <w:rPr>
            <w:webHidden/>
          </w:rPr>
          <w:tab/>
        </w:r>
        <w:r>
          <w:rPr>
            <w:webHidden/>
          </w:rPr>
          <w:fldChar w:fldCharType="begin"/>
        </w:r>
        <w:r>
          <w:rPr>
            <w:webHidden/>
          </w:rPr>
          <w:instrText xml:space="preserve"> PAGEREF _Toc91749269 \h </w:instrText>
        </w:r>
        <w:r>
          <w:rPr>
            <w:webHidden/>
          </w:rPr>
          <w:fldChar w:fldCharType="separate"/>
        </w:r>
        <w:r>
          <w:rPr>
            <w:webHidden/>
          </w:rPr>
          <w:t>56</w:t>
        </w:r>
        <w:r>
          <w:rPr>
            <w:webHidden/>
          </w:rPr>
          <w:fldChar w:fldCharType="end"/>
        </w:r>
      </w:hyperlink>
    </w:p>
    <w:p w:rsidR="00A70013">
      <w:pPr>
        <w:pStyle w:val="TOC2"/>
        <w:rPr>
          <w:rFonts w:asciiTheme="minorHAnsi" w:eastAsiaTheme="minorEastAsia" w:hAnsiTheme="minorHAnsi" w:cstheme="minorBidi"/>
          <w:smallCaps w:val="0"/>
          <w:szCs w:val="22"/>
        </w:rPr>
      </w:pPr>
      <w:hyperlink w:anchor="_Toc91749270" w:history="1">
        <w:r w:rsidRPr="00B25884">
          <w:rPr>
            <w:rStyle w:val="Hyperlink"/>
            <w:rFonts w:asciiTheme="minorEastAsia" w:hAnsiTheme="minorEastAsia" w:hint="eastAsia"/>
          </w:rPr>
          <w:t>（三）收益分配方案</w:t>
        </w:r>
        <w:r>
          <w:rPr>
            <w:webHidden/>
          </w:rPr>
          <w:tab/>
        </w:r>
        <w:r>
          <w:rPr>
            <w:webHidden/>
          </w:rPr>
          <w:fldChar w:fldCharType="begin"/>
        </w:r>
        <w:r>
          <w:rPr>
            <w:webHidden/>
          </w:rPr>
          <w:instrText xml:space="preserve"> PAGEREF _Toc91749270 \h </w:instrText>
        </w:r>
        <w:r>
          <w:rPr>
            <w:webHidden/>
          </w:rPr>
          <w:fldChar w:fldCharType="separate"/>
        </w:r>
        <w:r>
          <w:rPr>
            <w:webHidden/>
          </w:rPr>
          <w:t>56</w:t>
        </w:r>
        <w:r>
          <w:rPr>
            <w:webHidden/>
          </w:rPr>
          <w:fldChar w:fldCharType="end"/>
        </w:r>
      </w:hyperlink>
    </w:p>
    <w:p w:rsidR="00A70013">
      <w:pPr>
        <w:pStyle w:val="TOC2"/>
        <w:rPr>
          <w:rFonts w:asciiTheme="minorHAnsi" w:eastAsiaTheme="minorEastAsia" w:hAnsiTheme="minorHAnsi" w:cstheme="minorBidi"/>
          <w:smallCaps w:val="0"/>
          <w:szCs w:val="22"/>
        </w:rPr>
      </w:pPr>
      <w:hyperlink w:anchor="_Toc91749271" w:history="1">
        <w:r w:rsidRPr="00B25884">
          <w:rPr>
            <w:rStyle w:val="Hyperlink"/>
            <w:rFonts w:asciiTheme="minorEastAsia" w:hAnsiTheme="minorEastAsia" w:hint="eastAsia"/>
          </w:rPr>
          <w:t>（四）收益分配方案的确定、公告与实施</w:t>
        </w:r>
        <w:r>
          <w:rPr>
            <w:webHidden/>
          </w:rPr>
          <w:tab/>
        </w:r>
        <w:r>
          <w:rPr>
            <w:webHidden/>
          </w:rPr>
          <w:fldChar w:fldCharType="begin"/>
        </w:r>
        <w:r>
          <w:rPr>
            <w:webHidden/>
          </w:rPr>
          <w:instrText xml:space="preserve"> PAGEREF _Toc91749271 \h </w:instrText>
        </w:r>
        <w:r>
          <w:rPr>
            <w:webHidden/>
          </w:rPr>
          <w:fldChar w:fldCharType="separate"/>
        </w:r>
        <w:r>
          <w:rPr>
            <w:webHidden/>
          </w:rPr>
          <w:t>56</w:t>
        </w:r>
        <w:r>
          <w:rPr>
            <w:webHidden/>
          </w:rPr>
          <w:fldChar w:fldCharType="end"/>
        </w:r>
      </w:hyperlink>
    </w:p>
    <w:p w:rsidR="00A70013">
      <w:pPr>
        <w:pStyle w:val="TOC2"/>
        <w:rPr>
          <w:rFonts w:asciiTheme="minorHAnsi" w:eastAsiaTheme="minorEastAsia" w:hAnsiTheme="minorHAnsi" w:cstheme="minorBidi"/>
          <w:smallCaps w:val="0"/>
          <w:szCs w:val="22"/>
        </w:rPr>
      </w:pPr>
      <w:hyperlink w:anchor="_Toc91749272" w:history="1">
        <w:r w:rsidRPr="00B25884">
          <w:rPr>
            <w:rStyle w:val="Hyperlink"/>
            <w:rFonts w:asciiTheme="minorEastAsia" w:hAnsiTheme="minorEastAsia" w:hint="eastAsia"/>
          </w:rPr>
          <w:t>（五）基金收益分配中发生的费用</w:t>
        </w:r>
        <w:r>
          <w:rPr>
            <w:webHidden/>
          </w:rPr>
          <w:tab/>
        </w:r>
        <w:r>
          <w:rPr>
            <w:webHidden/>
          </w:rPr>
          <w:fldChar w:fldCharType="begin"/>
        </w:r>
        <w:r>
          <w:rPr>
            <w:webHidden/>
          </w:rPr>
          <w:instrText xml:space="preserve"> PAGEREF _Toc91749272 \h </w:instrText>
        </w:r>
        <w:r>
          <w:rPr>
            <w:webHidden/>
          </w:rPr>
          <w:fldChar w:fldCharType="separate"/>
        </w:r>
        <w:r>
          <w:rPr>
            <w:webHidden/>
          </w:rPr>
          <w:t>56</w:t>
        </w:r>
        <w:r>
          <w:rPr>
            <w:webHidden/>
          </w:rPr>
          <w:fldChar w:fldCharType="end"/>
        </w:r>
      </w:hyperlink>
    </w:p>
    <w:p w:rsidR="00A70013">
      <w:pPr>
        <w:pStyle w:val="TOC1"/>
        <w:rPr>
          <w:rFonts w:asciiTheme="minorHAnsi" w:eastAsiaTheme="minorEastAsia" w:hAnsiTheme="minorHAnsi" w:cstheme="minorBidi"/>
          <w:caps w:val="0"/>
          <w:sz w:val="21"/>
          <w:szCs w:val="22"/>
        </w:rPr>
      </w:pPr>
      <w:hyperlink w:anchor="_Toc91749273" w:history="1">
        <w:r w:rsidRPr="00B25884">
          <w:rPr>
            <w:rStyle w:val="Hyperlink"/>
            <w:rFonts w:asciiTheme="minorEastAsia" w:hAnsiTheme="minorEastAsia" w:hint="eastAsia"/>
            <w:b/>
            <w:bCs/>
          </w:rPr>
          <w:t>十六、基金的费用与税收</w:t>
        </w:r>
        <w:r>
          <w:rPr>
            <w:webHidden/>
          </w:rPr>
          <w:tab/>
        </w:r>
        <w:r>
          <w:rPr>
            <w:webHidden/>
          </w:rPr>
          <w:fldChar w:fldCharType="begin"/>
        </w:r>
        <w:r>
          <w:rPr>
            <w:webHidden/>
          </w:rPr>
          <w:instrText xml:space="preserve"> PAGEREF _Toc91749273 \h </w:instrText>
        </w:r>
        <w:r>
          <w:rPr>
            <w:webHidden/>
          </w:rPr>
          <w:fldChar w:fldCharType="separate"/>
        </w:r>
        <w:r>
          <w:rPr>
            <w:webHidden/>
          </w:rPr>
          <w:t>57</w:t>
        </w:r>
        <w:r>
          <w:rPr>
            <w:webHidden/>
          </w:rPr>
          <w:fldChar w:fldCharType="end"/>
        </w:r>
      </w:hyperlink>
    </w:p>
    <w:p w:rsidR="00A70013">
      <w:pPr>
        <w:pStyle w:val="TOC2"/>
        <w:rPr>
          <w:rFonts w:asciiTheme="minorHAnsi" w:eastAsiaTheme="minorEastAsia" w:hAnsiTheme="minorHAnsi" w:cstheme="minorBidi"/>
          <w:smallCaps w:val="0"/>
          <w:szCs w:val="22"/>
        </w:rPr>
      </w:pPr>
      <w:hyperlink w:anchor="_Toc91749274" w:history="1">
        <w:r w:rsidRPr="00B25884">
          <w:rPr>
            <w:rStyle w:val="Hyperlink"/>
            <w:rFonts w:asciiTheme="minorEastAsia" w:hAnsiTheme="minorEastAsia" w:hint="eastAsia"/>
          </w:rPr>
          <w:t>（一）与基金运作相关的费用</w:t>
        </w:r>
        <w:r>
          <w:rPr>
            <w:webHidden/>
          </w:rPr>
          <w:tab/>
        </w:r>
        <w:r>
          <w:rPr>
            <w:webHidden/>
          </w:rPr>
          <w:fldChar w:fldCharType="begin"/>
        </w:r>
        <w:r>
          <w:rPr>
            <w:webHidden/>
          </w:rPr>
          <w:instrText xml:space="preserve"> PAGEREF _Toc91749274 \h </w:instrText>
        </w:r>
        <w:r>
          <w:rPr>
            <w:webHidden/>
          </w:rPr>
          <w:fldChar w:fldCharType="separate"/>
        </w:r>
        <w:r>
          <w:rPr>
            <w:webHidden/>
          </w:rPr>
          <w:t>57</w:t>
        </w:r>
        <w:r>
          <w:rPr>
            <w:webHidden/>
          </w:rPr>
          <w:fldChar w:fldCharType="end"/>
        </w:r>
      </w:hyperlink>
    </w:p>
    <w:p w:rsidR="00A70013">
      <w:pPr>
        <w:pStyle w:val="TOC2"/>
        <w:rPr>
          <w:rFonts w:asciiTheme="minorHAnsi" w:eastAsiaTheme="minorEastAsia" w:hAnsiTheme="minorHAnsi" w:cstheme="minorBidi"/>
          <w:smallCaps w:val="0"/>
          <w:szCs w:val="22"/>
        </w:rPr>
      </w:pPr>
      <w:hyperlink w:anchor="_Toc91749275" w:history="1">
        <w:r w:rsidRPr="00B25884">
          <w:rPr>
            <w:rStyle w:val="Hyperlink"/>
            <w:rFonts w:asciiTheme="minorEastAsia" w:hAnsiTheme="minorEastAsia" w:hint="eastAsia"/>
          </w:rPr>
          <w:t>（二）与基金销售有关的费用</w:t>
        </w:r>
        <w:r>
          <w:rPr>
            <w:webHidden/>
          </w:rPr>
          <w:tab/>
        </w:r>
        <w:r>
          <w:rPr>
            <w:webHidden/>
          </w:rPr>
          <w:fldChar w:fldCharType="begin"/>
        </w:r>
        <w:r>
          <w:rPr>
            <w:webHidden/>
          </w:rPr>
          <w:instrText xml:space="preserve"> PAGEREF _Toc91749275 \h </w:instrText>
        </w:r>
        <w:r>
          <w:rPr>
            <w:webHidden/>
          </w:rPr>
          <w:fldChar w:fldCharType="separate"/>
        </w:r>
        <w:r>
          <w:rPr>
            <w:webHidden/>
          </w:rPr>
          <w:t>58</w:t>
        </w:r>
        <w:r>
          <w:rPr>
            <w:webHidden/>
          </w:rPr>
          <w:fldChar w:fldCharType="end"/>
        </w:r>
      </w:hyperlink>
    </w:p>
    <w:p w:rsidR="00A70013">
      <w:pPr>
        <w:pStyle w:val="TOC2"/>
        <w:rPr>
          <w:rFonts w:asciiTheme="minorHAnsi" w:eastAsiaTheme="minorEastAsia" w:hAnsiTheme="minorHAnsi" w:cstheme="minorBidi"/>
          <w:smallCaps w:val="0"/>
          <w:szCs w:val="22"/>
        </w:rPr>
      </w:pPr>
      <w:hyperlink w:anchor="_Toc91749276" w:history="1">
        <w:r w:rsidRPr="00B25884">
          <w:rPr>
            <w:rStyle w:val="Hyperlink"/>
            <w:rFonts w:asciiTheme="minorEastAsia" w:hAnsiTheme="minorEastAsia" w:hint="eastAsia"/>
          </w:rPr>
          <w:t>（三）基金税收</w:t>
        </w:r>
        <w:r>
          <w:rPr>
            <w:webHidden/>
          </w:rPr>
          <w:tab/>
        </w:r>
        <w:r>
          <w:rPr>
            <w:webHidden/>
          </w:rPr>
          <w:fldChar w:fldCharType="begin"/>
        </w:r>
        <w:r>
          <w:rPr>
            <w:webHidden/>
          </w:rPr>
          <w:instrText xml:space="preserve"> PAGEREF _Toc91749276 \h </w:instrText>
        </w:r>
        <w:r>
          <w:rPr>
            <w:webHidden/>
          </w:rPr>
          <w:fldChar w:fldCharType="separate"/>
        </w:r>
        <w:r>
          <w:rPr>
            <w:webHidden/>
          </w:rPr>
          <w:t>59</w:t>
        </w:r>
        <w:r>
          <w:rPr>
            <w:webHidden/>
          </w:rPr>
          <w:fldChar w:fldCharType="end"/>
        </w:r>
      </w:hyperlink>
    </w:p>
    <w:p w:rsidR="00A70013">
      <w:pPr>
        <w:pStyle w:val="TOC1"/>
        <w:rPr>
          <w:rFonts w:asciiTheme="minorHAnsi" w:eastAsiaTheme="minorEastAsia" w:hAnsiTheme="minorHAnsi" w:cstheme="minorBidi"/>
          <w:caps w:val="0"/>
          <w:sz w:val="21"/>
          <w:szCs w:val="22"/>
        </w:rPr>
      </w:pPr>
      <w:hyperlink w:anchor="_Toc91749277" w:history="1">
        <w:r w:rsidRPr="00B25884">
          <w:rPr>
            <w:rStyle w:val="Hyperlink"/>
            <w:rFonts w:asciiTheme="minorEastAsia" w:hAnsiTheme="minorEastAsia" w:hint="eastAsia"/>
            <w:b/>
            <w:bCs/>
          </w:rPr>
          <w:t>十七、基金的会计与审计</w:t>
        </w:r>
        <w:r>
          <w:rPr>
            <w:webHidden/>
          </w:rPr>
          <w:tab/>
        </w:r>
        <w:r>
          <w:rPr>
            <w:webHidden/>
          </w:rPr>
          <w:fldChar w:fldCharType="begin"/>
        </w:r>
        <w:r>
          <w:rPr>
            <w:webHidden/>
          </w:rPr>
          <w:instrText xml:space="preserve"> PAGEREF _Toc91749277 \h </w:instrText>
        </w:r>
        <w:r>
          <w:rPr>
            <w:webHidden/>
          </w:rPr>
          <w:fldChar w:fldCharType="separate"/>
        </w:r>
        <w:r>
          <w:rPr>
            <w:webHidden/>
          </w:rPr>
          <w:t>60</w:t>
        </w:r>
        <w:r>
          <w:rPr>
            <w:webHidden/>
          </w:rPr>
          <w:fldChar w:fldCharType="end"/>
        </w:r>
      </w:hyperlink>
    </w:p>
    <w:p w:rsidR="00A70013">
      <w:pPr>
        <w:pStyle w:val="TOC2"/>
        <w:rPr>
          <w:rFonts w:asciiTheme="minorHAnsi" w:eastAsiaTheme="minorEastAsia" w:hAnsiTheme="minorHAnsi" w:cstheme="minorBidi"/>
          <w:smallCaps w:val="0"/>
          <w:szCs w:val="22"/>
        </w:rPr>
      </w:pPr>
      <w:hyperlink w:anchor="_Toc91749278" w:history="1">
        <w:r w:rsidRPr="00B25884">
          <w:rPr>
            <w:rStyle w:val="Hyperlink"/>
            <w:rFonts w:asciiTheme="minorEastAsia" w:hAnsiTheme="minorEastAsia" w:hint="eastAsia"/>
          </w:rPr>
          <w:t>（一）基金会计政策</w:t>
        </w:r>
        <w:r>
          <w:rPr>
            <w:webHidden/>
          </w:rPr>
          <w:tab/>
        </w:r>
        <w:r>
          <w:rPr>
            <w:webHidden/>
          </w:rPr>
          <w:fldChar w:fldCharType="begin"/>
        </w:r>
        <w:r>
          <w:rPr>
            <w:webHidden/>
          </w:rPr>
          <w:instrText xml:space="preserve"> PAGEREF _Toc91749278 \h </w:instrText>
        </w:r>
        <w:r>
          <w:rPr>
            <w:webHidden/>
          </w:rPr>
          <w:fldChar w:fldCharType="separate"/>
        </w:r>
        <w:r>
          <w:rPr>
            <w:webHidden/>
          </w:rPr>
          <w:t>60</w:t>
        </w:r>
        <w:r>
          <w:rPr>
            <w:webHidden/>
          </w:rPr>
          <w:fldChar w:fldCharType="end"/>
        </w:r>
      </w:hyperlink>
    </w:p>
    <w:p w:rsidR="00A70013">
      <w:pPr>
        <w:pStyle w:val="TOC2"/>
        <w:rPr>
          <w:rFonts w:asciiTheme="minorHAnsi" w:eastAsiaTheme="minorEastAsia" w:hAnsiTheme="minorHAnsi" w:cstheme="minorBidi"/>
          <w:smallCaps w:val="0"/>
          <w:szCs w:val="22"/>
        </w:rPr>
      </w:pPr>
      <w:hyperlink w:anchor="_Toc91749279" w:history="1">
        <w:r w:rsidRPr="00B25884">
          <w:rPr>
            <w:rStyle w:val="Hyperlink"/>
            <w:rFonts w:asciiTheme="minorEastAsia" w:hAnsiTheme="minorEastAsia" w:hint="eastAsia"/>
          </w:rPr>
          <w:t>（二）基金年度审计</w:t>
        </w:r>
        <w:r>
          <w:rPr>
            <w:webHidden/>
          </w:rPr>
          <w:tab/>
        </w:r>
        <w:r>
          <w:rPr>
            <w:webHidden/>
          </w:rPr>
          <w:fldChar w:fldCharType="begin"/>
        </w:r>
        <w:r>
          <w:rPr>
            <w:webHidden/>
          </w:rPr>
          <w:instrText xml:space="preserve"> PAGEREF _Toc91749279 \h </w:instrText>
        </w:r>
        <w:r>
          <w:rPr>
            <w:webHidden/>
          </w:rPr>
          <w:fldChar w:fldCharType="separate"/>
        </w:r>
        <w:r>
          <w:rPr>
            <w:webHidden/>
          </w:rPr>
          <w:t>60</w:t>
        </w:r>
        <w:r>
          <w:rPr>
            <w:webHidden/>
          </w:rPr>
          <w:fldChar w:fldCharType="end"/>
        </w:r>
      </w:hyperlink>
    </w:p>
    <w:p w:rsidR="00A70013">
      <w:pPr>
        <w:pStyle w:val="TOC1"/>
        <w:rPr>
          <w:rFonts w:asciiTheme="minorHAnsi" w:eastAsiaTheme="minorEastAsia" w:hAnsiTheme="minorHAnsi" w:cstheme="minorBidi"/>
          <w:caps w:val="0"/>
          <w:sz w:val="21"/>
          <w:szCs w:val="22"/>
        </w:rPr>
      </w:pPr>
      <w:hyperlink w:anchor="_Toc91749280" w:history="1">
        <w:r w:rsidRPr="00B25884">
          <w:rPr>
            <w:rStyle w:val="Hyperlink"/>
            <w:rFonts w:asciiTheme="minorEastAsia" w:hAnsiTheme="minorEastAsia" w:hint="eastAsia"/>
            <w:b/>
            <w:bCs/>
          </w:rPr>
          <w:t>十八、基金的信息披露</w:t>
        </w:r>
        <w:r>
          <w:rPr>
            <w:webHidden/>
          </w:rPr>
          <w:tab/>
        </w:r>
        <w:r>
          <w:rPr>
            <w:webHidden/>
          </w:rPr>
          <w:fldChar w:fldCharType="begin"/>
        </w:r>
        <w:r>
          <w:rPr>
            <w:webHidden/>
          </w:rPr>
          <w:instrText xml:space="preserve"> PAGEREF _Toc91749280 \h </w:instrText>
        </w:r>
        <w:r>
          <w:rPr>
            <w:webHidden/>
          </w:rPr>
          <w:fldChar w:fldCharType="separate"/>
        </w:r>
        <w:r>
          <w:rPr>
            <w:webHidden/>
          </w:rPr>
          <w:t>61</w:t>
        </w:r>
        <w:r>
          <w:rPr>
            <w:webHidden/>
          </w:rPr>
          <w:fldChar w:fldCharType="end"/>
        </w:r>
      </w:hyperlink>
    </w:p>
    <w:p w:rsidR="00A70013">
      <w:pPr>
        <w:pStyle w:val="TOC1"/>
        <w:rPr>
          <w:rFonts w:asciiTheme="minorHAnsi" w:eastAsiaTheme="minorEastAsia" w:hAnsiTheme="minorHAnsi" w:cstheme="minorBidi"/>
          <w:caps w:val="0"/>
          <w:sz w:val="21"/>
          <w:szCs w:val="22"/>
        </w:rPr>
      </w:pPr>
      <w:hyperlink w:anchor="_Toc91749281" w:history="1">
        <w:r w:rsidRPr="00B25884">
          <w:rPr>
            <w:rStyle w:val="Hyperlink"/>
            <w:rFonts w:asciiTheme="minorEastAsia" w:hAnsiTheme="minorEastAsia" w:hint="eastAsia"/>
            <w:b/>
            <w:bCs/>
          </w:rPr>
          <w:t>十九、风险揭示</w:t>
        </w:r>
        <w:r>
          <w:rPr>
            <w:webHidden/>
          </w:rPr>
          <w:tab/>
        </w:r>
        <w:r>
          <w:rPr>
            <w:webHidden/>
          </w:rPr>
          <w:fldChar w:fldCharType="begin"/>
        </w:r>
        <w:r>
          <w:rPr>
            <w:webHidden/>
          </w:rPr>
          <w:instrText xml:space="preserve"> PAGEREF _Toc91749281 \h </w:instrText>
        </w:r>
        <w:r>
          <w:rPr>
            <w:webHidden/>
          </w:rPr>
          <w:fldChar w:fldCharType="separate"/>
        </w:r>
        <w:r>
          <w:rPr>
            <w:webHidden/>
          </w:rPr>
          <w:t>66</w:t>
        </w:r>
        <w:r>
          <w:rPr>
            <w:webHidden/>
          </w:rPr>
          <w:fldChar w:fldCharType="end"/>
        </w:r>
      </w:hyperlink>
    </w:p>
    <w:p w:rsidR="00A70013">
      <w:pPr>
        <w:pStyle w:val="TOC2"/>
        <w:rPr>
          <w:rFonts w:asciiTheme="minorHAnsi" w:eastAsiaTheme="minorEastAsia" w:hAnsiTheme="minorHAnsi" w:cstheme="minorBidi"/>
          <w:smallCaps w:val="0"/>
          <w:szCs w:val="22"/>
        </w:rPr>
      </w:pPr>
      <w:hyperlink w:anchor="_Toc91749282" w:history="1">
        <w:r w:rsidRPr="00B25884">
          <w:rPr>
            <w:rStyle w:val="Hyperlink"/>
            <w:rFonts w:asciiTheme="minorEastAsia" w:hAnsiTheme="minorEastAsia" w:hint="eastAsia"/>
          </w:rPr>
          <w:t>（一）市场风险</w:t>
        </w:r>
        <w:r>
          <w:rPr>
            <w:webHidden/>
          </w:rPr>
          <w:tab/>
        </w:r>
        <w:r>
          <w:rPr>
            <w:webHidden/>
          </w:rPr>
          <w:fldChar w:fldCharType="begin"/>
        </w:r>
        <w:r>
          <w:rPr>
            <w:webHidden/>
          </w:rPr>
          <w:instrText xml:space="preserve"> PAGEREF _Toc91749282 \h </w:instrText>
        </w:r>
        <w:r>
          <w:rPr>
            <w:webHidden/>
          </w:rPr>
          <w:fldChar w:fldCharType="separate"/>
        </w:r>
        <w:r>
          <w:rPr>
            <w:webHidden/>
          </w:rPr>
          <w:t>66</w:t>
        </w:r>
        <w:r>
          <w:rPr>
            <w:webHidden/>
          </w:rPr>
          <w:fldChar w:fldCharType="end"/>
        </w:r>
      </w:hyperlink>
    </w:p>
    <w:p w:rsidR="00A70013">
      <w:pPr>
        <w:pStyle w:val="TOC2"/>
        <w:rPr>
          <w:rFonts w:asciiTheme="minorHAnsi" w:eastAsiaTheme="minorEastAsia" w:hAnsiTheme="minorHAnsi" w:cstheme="minorBidi"/>
          <w:smallCaps w:val="0"/>
          <w:szCs w:val="22"/>
        </w:rPr>
      </w:pPr>
      <w:hyperlink w:anchor="_Toc91749283" w:history="1">
        <w:r w:rsidRPr="00B25884">
          <w:rPr>
            <w:rStyle w:val="Hyperlink"/>
            <w:rFonts w:asciiTheme="minorEastAsia" w:hAnsiTheme="minorEastAsia" w:hint="eastAsia"/>
          </w:rPr>
          <w:t>（二）管理风险</w:t>
        </w:r>
        <w:r>
          <w:rPr>
            <w:webHidden/>
          </w:rPr>
          <w:tab/>
        </w:r>
        <w:r>
          <w:rPr>
            <w:webHidden/>
          </w:rPr>
          <w:fldChar w:fldCharType="begin"/>
        </w:r>
        <w:r>
          <w:rPr>
            <w:webHidden/>
          </w:rPr>
          <w:instrText xml:space="preserve"> PAGEREF _Toc91749283 \h </w:instrText>
        </w:r>
        <w:r>
          <w:rPr>
            <w:webHidden/>
          </w:rPr>
          <w:fldChar w:fldCharType="separate"/>
        </w:r>
        <w:r>
          <w:rPr>
            <w:webHidden/>
          </w:rPr>
          <w:t>66</w:t>
        </w:r>
        <w:r>
          <w:rPr>
            <w:webHidden/>
          </w:rPr>
          <w:fldChar w:fldCharType="end"/>
        </w:r>
      </w:hyperlink>
    </w:p>
    <w:p w:rsidR="00A70013">
      <w:pPr>
        <w:pStyle w:val="TOC2"/>
        <w:rPr>
          <w:rFonts w:asciiTheme="minorHAnsi" w:eastAsiaTheme="minorEastAsia" w:hAnsiTheme="minorHAnsi" w:cstheme="minorBidi"/>
          <w:smallCaps w:val="0"/>
          <w:szCs w:val="22"/>
        </w:rPr>
      </w:pPr>
      <w:hyperlink w:anchor="_Toc91749284" w:history="1">
        <w:r w:rsidRPr="00B25884">
          <w:rPr>
            <w:rStyle w:val="Hyperlink"/>
            <w:rFonts w:asciiTheme="minorEastAsia" w:hAnsiTheme="minorEastAsia" w:hint="eastAsia"/>
          </w:rPr>
          <w:t>（三）流动性风险</w:t>
        </w:r>
        <w:r>
          <w:rPr>
            <w:webHidden/>
          </w:rPr>
          <w:tab/>
        </w:r>
        <w:r>
          <w:rPr>
            <w:webHidden/>
          </w:rPr>
          <w:fldChar w:fldCharType="begin"/>
        </w:r>
        <w:r>
          <w:rPr>
            <w:webHidden/>
          </w:rPr>
          <w:instrText xml:space="preserve"> PAGEREF _Toc91749284 \h </w:instrText>
        </w:r>
        <w:r>
          <w:rPr>
            <w:webHidden/>
          </w:rPr>
          <w:fldChar w:fldCharType="separate"/>
        </w:r>
        <w:r>
          <w:rPr>
            <w:webHidden/>
          </w:rPr>
          <w:t>66</w:t>
        </w:r>
        <w:r>
          <w:rPr>
            <w:webHidden/>
          </w:rPr>
          <w:fldChar w:fldCharType="end"/>
        </w:r>
      </w:hyperlink>
    </w:p>
    <w:p w:rsidR="00A70013">
      <w:pPr>
        <w:pStyle w:val="TOC2"/>
        <w:rPr>
          <w:rFonts w:asciiTheme="minorHAnsi" w:eastAsiaTheme="minorEastAsia" w:hAnsiTheme="minorHAnsi" w:cstheme="minorBidi"/>
          <w:smallCaps w:val="0"/>
          <w:szCs w:val="22"/>
        </w:rPr>
      </w:pPr>
      <w:hyperlink w:anchor="_Toc91749285" w:history="1">
        <w:r w:rsidRPr="00B25884">
          <w:rPr>
            <w:rStyle w:val="Hyperlink"/>
            <w:rFonts w:asciiTheme="minorEastAsia" w:hAnsiTheme="minorEastAsia" w:hint="eastAsia"/>
          </w:rPr>
          <w:t>（四）本基金法律文件中涉及基金风险特征的表述与销售机构对基金的风险评级可能不一致的风险</w:t>
        </w:r>
        <w:r>
          <w:rPr>
            <w:webHidden/>
          </w:rPr>
          <w:tab/>
        </w:r>
        <w:r>
          <w:rPr>
            <w:webHidden/>
          </w:rPr>
          <w:fldChar w:fldCharType="begin"/>
        </w:r>
        <w:r>
          <w:rPr>
            <w:webHidden/>
          </w:rPr>
          <w:instrText xml:space="preserve"> PAGEREF _Toc91749285 \h </w:instrText>
        </w:r>
        <w:r>
          <w:rPr>
            <w:webHidden/>
          </w:rPr>
          <w:fldChar w:fldCharType="separate"/>
        </w:r>
        <w:r>
          <w:rPr>
            <w:webHidden/>
          </w:rPr>
          <w:t>68</w:t>
        </w:r>
        <w:r>
          <w:rPr>
            <w:webHidden/>
          </w:rPr>
          <w:fldChar w:fldCharType="end"/>
        </w:r>
      </w:hyperlink>
    </w:p>
    <w:p w:rsidR="00A70013">
      <w:pPr>
        <w:pStyle w:val="TOC2"/>
        <w:rPr>
          <w:rFonts w:asciiTheme="minorHAnsi" w:eastAsiaTheme="minorEastAsia" w:hAnsiTheme="minorHAnsi" w:cstheme="minorBidi"/>
          <w:smallCaps w:val="0"/>
          <w:szCs w:val="22"/>
        </w:rPr>
      </w:pPr>
      <w:hyperlink w:anchor="_Toc91749286" w:history="1">
        <w:r w:rsidRPr="00B25884">
          <w:rPr>
            <w:rStyle w:val="Hyperlink"/>
            <w:rFonts w:asciiTheme="minorEastAsia" w:hAnsiTheme="minorEastAsia" w:hint="eastAsia"/>
          </w:rPr>
          <w:t>（五）本基金特有的风险</w:t>
        </w:r>
        <w:r>
          <w:rPr>
            <w:webHidden/>
          </w:rPr>
          <w:tab/>
        </w:r>
        <w:r>
          <w:rPr>
            <w:webHidden/>
          </w:rPr>
          <w:fldChar w:fldCharType="begin"/>
        </w:r>
        <w:r>
          <w:rPr>
            <w:webHidden/>
          </w:rPr>
          <w:instrText xml:space="preserve"> PAGEREF _Toc91749286 \h </w:instrText>
        </w:r>
        <w:r>
          <w:rPr>
            <w:webHidden/>
          </w:rPr>
          <w:fldChar w:fldCharType="separate"/>
        </w:r>
        <w:r>
          <w:rPr>
            <w:webHidden/>
          </w:rPr>
          <w:t>68</w:t>
        </w:r>
        <w:r>
          <w:rPr>
            <w:webHidden/>
          </w:rPr>
          <w:fldChar w:fldCharType="end"/>
        </w:r>
      </w:hyperlink>
    </w:p>
    <w:p w:rsidR="00A70013">
      <w:pPr>
        <w:pStyle w:val="TOC2"/>
        <w:rPr>
          <w:rFonts w:asciiTheme="minorHAnsi" w:eastAsiaTheme="minorEastAsia" w:hAnsiTheme="minorHAnsi" w:cstheme="minorBidi"/>
          <w:smallCaps w:val="0"/>
          <w:szCs w:val="22"/>
        </w:rPr>
      </w:pPr>
      <w:hyperlink w:anchor="_Toc91749287" w:history="1">
        <w:r w:rsidRPr="00B25884">
          <w:rPr>
            <w:rStyle w:val="Hyperlink"/>
            <w:rFonts w:asciiTheme="minorEastAsia" w:hAnsiTheme="minorEastAsia" w:hint="eastAsia"/>
          </w:rPr>
          <w:t>（六）其他风险</w:t>
        </w:r>
        <w:r>
          <w:rPr>
            <w:webHidden/>
          </w:rPr>
          <w:tab/>
        </w:r>
        <w:r>
          <w:rPr>
            <w:webHidden/>
          </w:rPr>
          <w:fldChar w:fldCharType="begin"/>
        </w:r>
        <w:r>
          <w:rPr>
            <w:webHidden/>
          </w:rPr>
          <w:instrText xml:space="preserve"> PAGEREF _Toc91749287 \h </w:instrText>
        </w:r>
        <w:r>
          <w:rPr>
            <w:webHidden/>
          </w:rPr>
          <w:fldChar w:fldCharType="separate"/>
        </w:r>
        <w:r>
          <w:rPr>
            <w:webHidden/>
          </w:rPr>
          <w:t>69</w:t>
        </w:r>
        <w:r>
          <w:rPr>
            <w:webHidden/>
          </w:rPr>
          <w:fldChar w:fldCharType="end"/>
        </w:r>
      </w:hyperlink>
    </w:p>
    <w:p w:rsidR="00A70013">
      <w:pPr>
        <w:pStyle w:val="TOC1"/>
        <w:rPr>
          <w:rFonts w:asciiTheme="minorHAnsi" w:eastAsiaTheme="minorEastAsia" w:hAnsiTheme="minorHAnsi" w:cstheme="minorBidi"/>
          <w:caps w:val="0"/>
          <w:sz w:val="21"/>
          <w:szCs w:val="22"/>
        </w:rPr>
      </w:pPr>
      <w:hyperlink w:anchor="_Toc91749288" w:history="1">
        <w:r w:rsidRPr="00B25884">
          <w:rPr>
            <w:rStyle w:val="Hyperlink"/>
            <w:rFonts w:asciiTheme="minorEastAsia" w:hAnsiTheme="minorEastAsia" w:hint="eastAsia"/>
            <w:b/>
            <w:bCs/>
          </w:rPr>
          <w:t>二十、基金合同的终止与基金财产的清算</w:t>
        </w:r>
        <w:r>
          <w:rPr>
            <w:webHidden/>
          </w:rPr>
          <w:tab/>
        </w:r>
        <w:r>
          <w:rPr>
            <w:webHidden/>
          </w:rPr>
          <w:fldChar w:fldCharType="begin"/>
        </w:r>
        <w:r>
          <w:rPr>
            <w:webHidden/>
          </w:rPr>
          <w:instrText xml:space="preserve"> PAGEREF _Toc91749288 \h </w:instrText>
        </w:r>
        <w:r>
          <w:rPr>
            <w:webHidden/>
          </w:rPr>
          <w:fldChar w:fldCharType="separate"/>
        </w:r>
        <w:r>
          <w:rPr>
            <w:webHidden/>
          </w:rPr>
          <w:t>70</w:t>
        </w:r>
        <w:r>
          <w:rPr>
            <w:webHidden/>
          </w:rPr>
          <w:fldChar w:fldCharType="end"/>
        </w:r>
      </w:hyperlink>
    </w:p>
    <w:p w:rsidR="00A70013">
      <w:pPr>
        <w:pStyle w:val="TOC2"/>
        <w:rPr>
          <w:rFonts w:asciiTheme="minorHAnsi" w:eastAsiaTheme="minorEastAsia" w:hAnsiTheme="minorHAnsi" w:cstheme="minorBidi"/>
          <w:smallCaps w:val="0"/>
          <w:szCs w:val="22"/>
        </w:rPr>
      </w:pPr>
      <w:hyperlink w:anchor="_Toc91749289" w:history="1">
        <w:r w:rsidRPr="00B25884">
          <w:rPr>
            <w:rStyle w:val="Hyperlink"/>
            <w:rFonts w:asciiTheme="minorEastAsia" w:hAnsiTheme="minorEastAsia" w:hint="eastAsia"/>
          </w:rPr>
          <w:t>（一）基金合同的终止</w:t>
        </w:r>
        <w:r>
          <w:rPr>
            <w:webHidden/>
          </w:rPr>
          <w:tab/>
        </w:r>
        <w:r>
          <w:rPr>
            <w:webHidden/>
          </w:rPr>
          <w:fldChar w:fldCharType="begin"/>
        </w:r>
        <w:r>
          <w:rPr>
            <w:webHidden/>
          </w:rPr>
          <w:instrText xml:space="preserve"> PAGEREF _Toc91749289 \h </w:instrText>
        </w:r>
        <w:r>
          <w:rPr>
            <w:webHidden/>
          </w:rPr>
          <w:fldChar w:fldCharType="separate"/>
        </w:r>
        <w:r>
          <w:rPr>
            <w:webHidden/>
          </w:rPr>
          <w:t>70</w:t>
        </w:r>
        <w:r>
          <w:rPr>
            <w:webHidden/>
          </w:rPr>
          <w:fldChar w:fldCharType="end"/>
        </w:r>
      </w:hyperlink>
    </w:p>
    <w:p w:rsidR="00A70013">
      <w:pPr>
        <w:pStyle w:val="TOC2"/>
        <w:rPr>
          <w:rFonts w:asciiTheme="minorHAnsi" w:eastAsiaTheme="minorEastAsia" w:hAnsiTheme="minorHAnsi" w:cstheme="minorBidi"/>
          <w:smallCaps w:val="0"/>
          <w:szCs w:val="22"/>
        </w:rPr>
      </w:pPr>
      <w:hyperlink w:anchor="_Toc91749290" w:history="1">
        <w:r w:rsidRPr="00B25884">
          <w:rPr>
            <w:rStyle w:val="Hyperlink"/>
            <w:rFonts w:asciiTheme="minorEastAsia" w:hAnsiTheme="minorEastAsia" w:hint="eastAsia"/>
          </w:rPr>
          <w:t>（二）基金财产的清算</w:t>
        </w:r>
        <w:r>
          <w:rPr>
            <w:webHidden/>
          </w:rPr>
          <w:tab/>
        </w:r>
        <w:r>
          <w:rPr>
            <w:webHidden/>
          </w:rPr>
          <w:fldChar w:fldCharType="begin"/>
        </w:r>
        <w:r>
          <w:rPr>
            <w:webHidden/>
          </w:rPr>
          <w:instrText xml:space="preserve"> PAGEREF _Toc91749290 \h </w:instrText>
        </w:r>
        <w:r>
          <w:rPr>
            <w:webHidden/>
          </w:rPr>
          <w:fldChar w:fldCharType="separate"/>
        </w:r>
        <w:r>
          <w:rPr>
            <w:webHidden/>
          </w:rPr>
          <w:t>70</w:t>
        </w:r>
        <w:r>
          <w:rPr>
            <w:webHidden/>
          </w:rPr>
          <w:fldChar w:fldCharType="end"/>
        </w:r>
      </w:hyperlink>
    </w:p>
    <w:p w:rsidR="00A70013">
      <w:pPr>
        <w:pStyle w:val="TOC2"/>
        <w:rPr>
          <w:rFonts w:asciiTheme="minorHAnsi" w:eastAsiaTheme="minorEastAsia" w:hAnsiTheme="minorHAnsi" w:cstheme="minorBidi"/>
          <w:smallCaps w:val="0"/>
          <w:szCs w:val="22"/>
        </w:rPr>
      </w:pPr>
      <w:hyperlink w:anchor="_Toc91749291" w:history="1">
        <w:r w:rsidRPr="00B25884">
          <w:rPr>
            <w:rStyle w:val="Hyperlink"/>
            <w:rFonts w:asciiTheme="minorEastAsia" w:hAnsiTheme="minorEastAsia" w:hint="eastAsia"/>
          </w:rPr>
          <w:t>（三）清算费用</w:t>
        </w:r>
        <w:r>
          <w:rPr>
            <w:webHidden/>
          </w:rPr>
          <w:tab/>
        </w:r>
        <w:r>
          <w:rPr>
            <w:webHidden/>
          </w:rPr>
          <w:fldChar w:fldCharType="begin"/>
        </w:r>
        <w:r>
          <w:rPr>
            <w:webHidden/>
          </w:rPr>
          <w:instrText xml:space="preserve"> PAGEREF _Toc91749291 \h </w:instrText>
        </w:r>
        <w:r>
          <w:rPr>
            <w:webHidden/>
          </w:rPr>
          <w:fldChar w:fldCharType="separate"/>
        </w:r>
        <w:r>
          <w:rPr>
            <w:webHidden/>
          </w:rPr>
          <w:t>70</w:t>
        </w:r>
        <w:r>
          <w:rPr>
            <w:webHidden/>
          </w:rPr>
          <w:fldChar w:fldCharType="end"/>
        </w:r>
      </w:hyperlink>
    </w:p>
    <w:p w:rsidR="00A70013">
      <w:pPr>
        <w:pStyle w:val="TOC2"/>
        <w:rPr>
          <w:rFonts w:asciiTheme="minorHAnsi" w:eastAsiaTheme="minorEastAsia" w:hAnsiTheme="minorHAnsi" w:cstheme="minorBidi"/>
          <w:smallCaps w:val="0"/>
          <w:szCs w:val="22"/>
        </w:rPr>
      </w:pPr>
      <w:hyperlink w:anchor="_Toc91749292" w:history="1">
        <w:r w:rsidRPr="00B25884">
          <w:rPr>
            <w:rStyle w:val="Hyperlink"/>
            <w:rFonts w:asciiTheme="minorEastAsia" w:hAnsiTheme="minorEastAsia" w:hint="eastAsia"/>
          </w:rPr>
          <w:t>（四）基金财产清算剩余资产的分配</w:t>
        </w:r>
        <w:r>
          <w:rPr>
            <w:webHidden/>
          </w:rPr>
          <w:tab/>
        </w:r>
        <w:r>
          <w:rPr>
            <w:webHidden/>
          </w:rPr>
          <w:fldChar w:fldCharType="begin"/>
        </w:r>
        <w:r>
          <w:rPr>
            <w:webHidden/>
          </w:rPr>
          <w:instrText xml:space="preserve"> PAGEREF _Toc91749292 \h </w:instrText>
        </w:r>
        <w:r>
          <w:rPr>
            <w:webHidden/>
          </w:rPr>
          <w:fldChar w:fldCharType="separate"/>
        </w:r>
        <w:r>
          <w:rPr>
            <w:webHidden/>
          </w:rPr>
          <w:t>70</w:t>
        </w:r>
        <w:r>
          <w:rPr>
            <w:webHidden/>
          </w:rPr>
          <w:fldChar w:fldCharType="end"/>
        </w:r>
      </w:hyperlink>
    </w:p>
    <w:p w:rsidR="00A70013">
      <w:pPr>
        <w:pStyle w:val="TOC2"/>
        <w:rPr>
          <w:rFonts w:asciiTheme="minorHAnsi" w:eastAsiaTheme="minorEastAsia" w:hAnsiTheme="minorHAnsi" w:cstheme="minorBidi"/>
          <w:smallCaps w:val="0"/>
          <w:szCs w:val="22"/>
        </w:rPr>
      </w:pPr>
      <w:hyperlink w:anchor="_Toc91749293" w:history="1">
        <w:r w:rsidRPr="00B25884">
          <w:rPr>
            <w:rStyle w:val="Hyperlink"/>
            <w:rFonts w:asciiTheme="minorEastAsia" w:hAnsiTheme="minorEastAsia" w:hint="eastAsia"/>
          </w:rPr>
          <w:t>（五）基金财产清算的公告</w:t>
        </w:r>
        <w:r>
          <w:rPr>
            <w:webHidden/>
          </w:rPr>
          <w:tab/>
        </w:r>
        <w:r>
          <w:rPr>
            <w:webHidden/>
          </w:rPr>
          <w:fldChar w:fldCharType="begin"/>
        </w:r>
        <w:r>
          <w:rPr>
            <w:webHidden/>
          </w:rPr>
          <w:instrText xml:space="preserve"> PAGEREF _Toc91749293 \h </w:instrText>
        </w:r>
        <w:r>
          <w:rPr>
            <w:webHidden/>
          </w:rPr>
          <w:fldChar w:fldCharType="separate"/>
        </w:r>
        <w:r>
          <w:rPr>
            <w:webHidden/>
          </w:rPr>
          <w:t>71</w:t>
        </w:r>
        <w:r>
          <w:rPr>
            <w:webHidden/>
          </w:rPr>
          <w:fldChar w:fldCharType="end"/>
        </w:r>
      </w:hyperlink>
    </w:p>
    <w:p w:rsidR="00A70013">
      <w:pPr>
        <w:pStyle w:val="TOC2"/>
        <w:rPr>
          <w:rFonts w:asciiTheme="minorHAnsi" w:eastAsiaTheme="minorEastAsia" w:hAnsiTheme="minorHAnsi" w:cstheme="minorBidi"/>
          <w:smallCaps w:val="0"/>
          <w:szCs w:val="22"/>
        </w:rPr>
      </w:pPr>
      <w:hyperlink w:anchor="_Toc91749294" w:history="1">
        <w:r w:rsidRPr="00B25884">
          <w:rPr>
            <w:rStyle w:val="Hyperlink"/>
            <w:rFonts w:asciiTheme="minorEastAsia" w:hAnsiTheme="minorEastAsia" w:hint="eastAsia"/>
          </w:rPr>
          <w:t>（六）基金财产清算账册及文件的保存</w:t>
        </w:r>
        <w:r>
          <w:rPr>
            <w:webHidden/>
          </w:rPr>
          <w:tab/>
        </w:r>
        <w:r>
          <w:rPr>
            <w:webHidden/>
          </w:rPr>
          <w:fldChar w:fldCharType="begin"/>
        </w:r>
        <w:r>
          <w:rPr>
            <w:webHidden/>
          </w:rPr>
          <w:instrText xml:space="preserve"> PAGEREF _Toc91749294 \h </w:instrText>
        </w:r>
        <w:r>
          <w:rPr>
            <w:webHidden/>
          </w:rPr>
          <w:fldChar w:fldCharType="separate"/>
        </w:r>
        <w:r>
          <w:rPr>
            <w:webHidden/>
          </w:rPr>
          <w:t>71</w:t>
        </w:r>
        <w:r>
          <w:rPr>
            <w:webHidden/>
          </w:rPr>
          <w:fldChar w:fldCharType="end"/>
        </w:r>
      </w:hyperlink>
    </w:p>
    <w:p w:rsidR="00A70013">
      <w:pPr>
        <w:pStyle w:val="TOC1"/>
        <w:rPr>
          <w:rFonts w:asciiTheme="minorHAnsi" w:eastAsiaTheme="minorEastAsia" w:hAnsiTheme="minorHAnsi" w:cstheme="minorBidi"/>
          <w:caps w:val="0"/>
          <w:sz w:val="21"/>
          <w:szCs w:val="22"/>
        </w:rPr>
      </w:pPr>
      <w:hyperlink w:anchor="_Toc91749295" w:history="1">
        <w:r w:rsidRPr="00B25884">
          <w:rPr>
            <w:rStyle w:val="Hyperlink"/>
            <w:rFonts w:asciiTheme="minorEastAsia" w:hAnsiTheme="minorEastAsia" w:hint="eastAsia"/>
            <w:b/>
            <w:bCs/>
          </w:rPr>
          <w:t>二十一、基金合同内容摘要</w:t>
        </w:r>
        <w:r>
          <w:rPr>
            <w:webHidden/>
          </w:rPr>
          <w:tab/>
        </w:r>
        <w:r>
          <w:rPr>
            <w:webHidden/>
          </w:rPr>
          <w:fldChar w:fldCharType="begin"/>
        </w:r>
        <w:r>
          <w:rPr>
            <w:webHidden/>
          </w:rPr>
          <w:instrText xml:space="preserve"> PAGEREF _Toc91749295 \h </w:instrText>
        </w:r>
        <w:r>
          <w:rPr>
            <w:webHidden/>
          </w:rPr>
          <w:fldChar w:fldCharType="separate"/>
        </w:r>
        <w:r>
          <w:rPr>
            <w:webHidden/>
          </w:rPr>
          <w:t>72</w:t>
        </w:r>
        <w:r>
          <w:rPr>
            <w:webHidden/>
          </w:rPr>
          <w:fldChar w:fldCharType="end"/>
        </w:r>
      </w:hyperlink>
    </w:p>
    <w:p w:rsidR="00A70013">
      <w:pPr>
        <w:pStyle w:val="TOC2"/>
        <w:rPr>
          <w:rFonts w:asciiTheme="minorHAnsi" w:eastAsiaTheme="minorEastAsia" w:hAnsiTheme="minorHAnsi" w:cstheme="minorBidi"/>
          <w:smallCaps w:val="0"/>
          <w:szCs w:val="22"/>
        </w:rPr>
      </w:pPr>
      <w:hyperlink w:anchor="_Toc91749296" w:history="1">
        <w:r w:rsidRPr="00B25884">
          <w:rPr>
            <w:rStyle w:val="Hyperlink"/>
            <w:rFonts w:asciiTheme="minorEastAsia" w:hAnsiTheme="minorEastAsia" w:hint="eastAsia"/>
            <w:bCs/>
          </w:rPr>
          <w:t>（一）基金管理人的权利与义务</w:t>
        </w:r>
        <w:r>
          <w:rPr>
            <w:webHidden/>
          </w:rPr>
          <w:tab/>
        </w:r>
        <w:r>
          <w:rPr>
            <w:webHidden/>
          </w:rPr>
          <w:fldChar w:fldCharType="begin"/>
        </w:r>
        <w:r>
          <w:rPr>
            <w:webHidden/>
          </w:rPr>
          <w:instrText xml:space="preserve"> PAGEREF _Toc91749296 \h </w:instrText>
        </w:r>
        <w:r>
          <w:rPr>
            <w:webHidden/>
          </w:rPr>
          <w:fldChar w:fldCharType="separate"/>
        </w:r>
        <w:r>
          <w:rPr>
            <w:webHidden/>
          </w:rPr>
          <w:t>72</w:t>
        </w:r>
        <w:r>
          <w:rPr>
            <w:webHidden/>
          </w:rPr>
          <w:fldChar w:fldCharType="end"/>
        </w:r>
      </w:hyperlink>
    </w:p>
    <w:p w:rsidR="00A70013">
      <w:pPr>
        <w:pStyle w:val="TOC2"/>
        <w:rPr>
          <w:rFonts w:asciiTheme="minorHAnsi" w:eastAsiaTheme="minorEastAsia" w:hAnsiTheme="minorHAnsi" w:cstheme="minorBidi"/>
          <w:smallCaps w:val="0"/>
          <w:szCs w:val="22"/>
        </w:rPr>
      </w:pPr>
      <w:hyperlink w:anchor="_Toc91749297" w:history="1">
        <w:r w:rsidRPr="00B25884">
          <w:rPr>
            <w:rStyle w:val="Hyperlink"/>
            <w:rFonts w:asciiTheme="minorEastAsia" w:hAnsiTheme="minorEastAsia" w:hint="eastAsia"/>
            <w:bCs/>
          </w:rPr>
          <w:t>（二）基金托管人的权利与义务</w:t>
        </w:r>
        <w:r>
          <w:rPr>
            <w:webHidden/>
          </w:rPr>
          <w:tab/>
        </w:r>
        <w:r>
          <w:rPr>
            <w:webHidden/>
          </w:rPr>
          <w:fldChar w:fldCharType="begin"/>
        </w:r>
        <w:r>
          <w:rPr>
            <w:webHidden/>
          </w:rPr>
          <w:instrText xml:space="preserve"> PAGEREF _Toc91749297 \h </w:instrText>
        </w:r>
        <w:r>
          <w:rPr>
            <w:webHidden/>
          </w:rPr>
          <w:fldChar w:fldCharType="separate"/>
        </w:r>
        <w:r>
          <w:rPr>
            <w:webHidden/>
          </w:rPr>
          <w:t>74</w:t>
        </w:r>
        <w:r>
          <w:rPr>
            <w:webHidden/>
          </w:rPr>
          <w:fldChar w:fldCharType="end"/>
        </w:r>
      </w:hyperlink>
    </w:p>
    <w:p w:rsidR="00A70013">
      <w:pPr>
        <w:pStyle w:val="TOC2"/>
        <w:rPr>
          <w:rFonts w:asciiTheme="minorHAnsi" w:eastAsiaTheme="minorEastAsia" w:hAnsiTheme="minorHAnsi" w:cstheme="minorBidi"/>
          <w:smallCaps w:val="0"/>
          <w:szCs w:val="22"/>
        </w:rPr>
      </w:pPr>
      <w:hyperlink w:anchor="_Toc91749298" w:history="1">
        <w:r w:rsidRPr="00B25884">
          <w:rPr>
            <w:rStyle w:val="Hyperlink"/>
            <w:rFonts w:asciiTheme="minorEastAsia" w:hAnsiTheme="minorEastAsia" w:hint="eastAsia"/>
            <w:bCs/>
          </w:rPr>
          <w:t>（三）基金份额持有人的权利与义务</w:t>
        </w:r>
        <w:r>
          <w:rPr>
            <w:webHidden/>
          </w:rPr>
          <w:tab/>
        </w:r>
        <w:r>
          <w:rPr>
            <w:webHidden/>
          </w:rPr>
          <w:fldChar w:fldCharType="begin"/>
        </w:r>
        <w:r>
          <w:rPr>
            <w:webHidden/>
          </w:rPr>
          <w:instrText xml:space="preserve"> PAGEREF _Toc91749298 \h </w:instrText>
        </w:r>
        <w:r>
          <w:rPr>
            <w:webHidden/>
          </w:rPr>
          <w:fldChar w:fldCharType="separate"/>
        </w:r>
        <w:r>
          <w:rPr>
            <w:webHidden/>
          </w:rPr>
          <w:t>76</w:t>
        </w:r>
        <w:r>
          <w:rPr>
            <w:webHidden/>
          </w:rPr>
          <w:fldChar w:fldCharType="end"/>
        </w:r>
      </w:hyperlink>
    </w:p>
    <w:p w:rsidR="00A70013">
      <w:pPr>
        <w:pStyle w:val="TOC2"/>
        <w:rPr>
          <w:rFonts w:asciiTheme="minorHAnsi" w:eastAsiaTheme="minorEastAsia" w:hAnsiTheme="minorHAnsi" w:cstheme="minorBidi"/>
          <w:smallCaps w:val="0"/>
          <w:szCs w:val="22"/>
        </w:rPr>
      </w:pPr>
      <w:hyperlink w:anchor="_Toc91749299" w:history="1">
        <w:r w:rsidRPr="00B25884">
          <w:rPr>
            <w:rStyle w:val="Hyperlink"/>
            <w:rFonts w:asciiTheme="minorEastAsia" w:hAnsiTheme="minorEastAsia" w:hint="eastAsia"/>
            <w:bCs/>
          </w:rPr>
          <w:t>（四）基金份额持有人大会</w:t>
        </w:r>
        <w:r>
          <w:rPr>
            <w:webHidden/>
          </w:rPr>
          <w:tab/>
        </w:r>
        <w:r>
          <w:rPr>
            <w:webHidden/>
          </w:rPr>
          <w:fldChar w:fldCharType="begin"/>
        </w:r>
        <w:r>
          <w:rPr>
            <w:webHidden/>
          </w:rPr>
          <w:instrText xml:space="preserve"> PAGEREF _Toc91749299 \h </w:instrText>
        </w:r>
        <w:r>
          <w:rPr>
            <w:webHidden/>
          </w:rPr>
          <w:fldChar w:fldCharType="separate"/>
        </w:r>
        <w:r>
          <w:rPr>
            <w:webHidden/>
          </w:rPr>
          <w:t>77</w:t>
        </w:r>
        <w:r>
          <w:rPr>
            <w:webHidden/>
          </w:rPr>
          <w:fldChar w:fldCharType="end"/>
        </w:r>
      </w:hyperlink>
    </w:p>
    <w:p w:rsidR="00A70013">
      <w:pPr>
        <w:pStyle w:val="TOC2"/>
        <w:rPr>
          <w:rFonts w:asciiTheme="minorHAnsi" w:eastAsiaTheme="minorEastAsia" w:hAnsiTheme="minorHAnsi" w:cstheme="minorBidi"/>
          <w:smallCaps w:val="0"/>
          <w:szCs w:val="22"/>
        </w:rPr>
      </w:pPr>
      <w:hyperlink w:anchor="_Toc91749300" w:history="1">
        <w:r w:rsidRPr="00B25884">
          <w:rPr>
            <w:rStyle w:val="Hyperlink"/>
            <w:rFonts w:asciiTheme="minorEastAsia" w:hAnsiTheme="minorEastAsia" w:hint="eastAsia"/>
            <w:bCs/>
          </w:rPr>
          <w:t>（五）基金合同的变更和终止</w:t>
        </w:r>
        <w:r>
          <w:rPr>
            <w:webHidden/>
          </w:rPr>
          <w:tab/>
        </w:r>
        <w:r>
          <w:rPr>
            <w:webHidden/>
          </w:rPr>
          <w:fldChar w:fldCharType="begin"/>
        </w:r>
        <w:r>
          <w:rPr>
            <w:webHidden/>
          </w:rPr>
          <w:instrText xml:space="preserve"> PAGEREF _Toc91749300 \h </w:instrText>
        </w:r>
        <w:r>
          <w:rPr>
            <w:webHidden/>
          </w:rPr>
          <w:fldChar w:fldCharType="separate"/>
        </w:r>
        <w:r>
          <w:rPr>
            <w:webHidden/>
          </w:rPr>
          <w:t>82</w:t>
        </w:r>
        <w:r>
          <w:rPr>
            <w:webHidden/>
          </w:rPr>
          <w:fldChar w:fldCharType="end"/>
        </w:r>
      </w:hyperlink>
    </w:p>
    <w:p w:rsidR="00A70013">
      <w:pPr>
        <w:pStyle w:val="TOC2"/>
        <w:rPr>
          <w:rFonts w:asciiTheme="minorHAnsi" w:eastAsiaTheme="minorEastAsia" w:hAnsiTheme="minorHAnsi" w:cstheme="minorBidi"/>
          <w:smallCaps w:val="0"/>
          <w:szCs w:val="22"/>
        </w:rPr>
      </w:pPr>
      <w:hyperlink w:anchor="_Toc91749301" w:history="1">
        <w:r w:rsidRPr="00B25884">
          <w:rPr>
            <w:rStyle w:val="Hyperlink"/>
            <w:rFonts w:asciiTheme="minorEastAsia" w:hAnsiTheme="minorEastAsia" w:hint="eastAsia"/>
            <w:bCs/>
          </w:rPr>
          <w:t>（六）争议的处理和适用的法律</w:t>
        </w:r>
        <w:r>
          <w:rPr>
            <w:webHidden/>
          </w:rPr>
          <w:tab/>
        </w:r>
        <w:r>
          <w:rPr>
            <w:webHidden/>
          </w:rPr>
          <w:fldChar w:fldCharType="begin"/>
        </w:r>
        <w:r>
          <w:rPr>
            <w:webHidden/>
          </w:rPr>
          <w:instrText xml:space="preserve"> PAGEREF _Toc91749301 \h </w:instrText>
        </w:r>
        <w:r>
          <w:rPr>
            <w:webHidden/>
          </w:rPr>
          <w:fldChar w:fldCharType="separate"/>
        </w:r>
        <w:r>
          <w:rPr>
            <w:webHidden/>
          </w:rPr>
          <w:t>83</w:t>
        </w:r>
        <w:r>
          <w:rPr>
            <w:webHidden/>
          </w:rPr>
          <w:fldChar w:fldCharType="end"/>
        </w:r>
      </w:hyperlink>
    </w:p>
    <w:p w:rsidR="00A70013">
      <w:pPr>
        <w:pStyle w:val="TOC2"/>
        <w:rPr>
          <w:rFonts w:asciiTheme="minorHAnsi" w:eastAsiaTheme="minorEastAsia" w:hAnsiTheme="minorHAnsi" w:cstheme="minorBidi"/>
          <w:smallCaps w:val="0"/>
          <w:szCs w:val="22"/>
        </w:rPr>
      </w:pPr>
      <w:hyperlink w:anchor="_Toc91749302" w:history="1">
        <w:r w:rsidRPr="00B25884">
          <w:rPr>
            <w:rStyle w:val="Hyperlink"/>
            <w:rFonts w:asciiTheme="minorEastAsia" w:hAnsiTheme="minorEastAsia" w:hint="eastAsia"/>
            <w:bCs/>
          </w:rPr>
          <w:t>（七）基金合同的存放及查阅方式</w:t>
        </w:r>
        <w:r>
          <w:rPr>
            <w:webHidden/>
          </w:rPr>
          <w:tab/>
        </w:r>
        <w:r>
          <w:rPr>
            <w:webHidden/>
          </w:rPr>
          <w:fldChar w:fldCharType="begin"/>
        </w:r>
        <w:r>
          <w:rPr>
            <w:webHidden/>
          </w:rPr>
          <w:instrText xml:space="preserve"> PAGEREF _Toc91749302 \h </w:instrText>
        </w:r>
        <w:r>
          <w:rPr>
            <w:webHidden/>
          </w:rPr>
          <w:fldChar w:fldCharType="separate"/>
        </w:r>
        <w:r>
          <w:rPr>
            <w:webHidden/>
          </w:rPr>
          <w:t>83</w:t>
        </w:r>
        <w:r>
          <w:rPr>
            <w:webHidden/>
          </w:rPr>
          <w:fldChar w:fldCharType="end"/>
        </w:r>
      </w:hyperlink>
    </w:p>
    <w:p w:rsidR="00A70013">
      <w:pPr>
        <w:pStyle w:val="TOC1"/>
        <w:rPr>
          <w:rFonts w:asciiTheme="minorHAnsi" w:eastAsiaTheme="minorEastAsia" w:hAnsiTheme="minorHAnsi" w:cstheme="minorBidi"/>
          <w:caps w:val="0"/>
          <w:sz w:val="21"/>
          <w:szCs w:val="22"/>
        </w:rPr>
      </w:pPr>
      <w:hyperlink w:anchor="_Toc91749303" w:history="1">
        <w:r w:rsidRPr="00B25884">
          <w:rPr>
            <w:rStyle w:val="Hyperlink"/>
            <w:rFonts w:asciiTheme="minorEastAsia" w:hAnsiTheme="minorEastAsia" w:hint="eastAsia"/>
            <w:b/>
            <w:bCs/>
          </w:rPr>
          <w:t>二十二、基金托管协议的内容摘要</w:t>
        </w:r>
        <w:r>
          <w:rPr>
            <w:webHidden/>
          </w:rPr>
          <w:tab/>
        </w:r>
        <w:r>
          <w:rPr>
            <w:webHidden/>
          </w:rPr>
          <w:fldChar w:fldCharType="begin"/>
        </w:r>
        <w:r>
          <w:rPr>
            <w:webHidden/>
          </w:rPr>
          <w:instrText xml:space="preserve"> PAGEREF _Toc91749303 \h </w:instrText>
        </w:r>
        <w:r>
          <w:rPr>
            <w:webHidden/>
          </w:rPr>
          <w:fldChar w:fldCharType="separate"/>
        </w:r>
        <w:r>
          <w:rPr>
            <w:webHidden/>
          </w:rPr>
          <w:t>84</w:t>
        </w:r>
        <w:r>
          <w:rPr>
            <w:webHidden/>
          </w:rPr>
          <w:fldChar w:fldCharType="end"/>
        </w:r>
      </w:hyperlink>
    </w:p>
    <w:p w:rsidR="00A70013">
      <w:pPr>
        <w:pStyle w:val="TOC2"/>
        <w:rPr>
          <w:rFonts w:asciiTheme="minorHAnsi" w:eastAsiaTheme="minorEastAsia" w:hAnsiTheme="minorHAnsi" w:cstheme="minorBidi"/>
          <w:smallCaps w:val="0"/>
          <w:szCs w:val="22"/>
        </w:rPr>
      </w:pPr>
      <w:hyperlink w:anchor="_Toc91749304" w:history="1">
        <w:r w:rsidRPr="00B25884">
          <w:rPr>
            <w:rStyle w:val="Hyperlink"/>
            <w:rFonts w:asciiTheme="minorEastAsia" w:hAnsiTheme="minorEastAsia" w:hint="eastAsia"/>
            <w:bCs/>
          </w:rPr>
          <w:t>（一）托管协议当事人</w:t>
        </w:r>
        <w:r>
          <w:rPr>
            <w:webHidden/>
          </w:rPr>
          <w:tab/>
        </w:r>
        <w:r>
          <w:rPr>
            <w:webHidden/>
          </w:rPr>
          <w:fldChar w:fldCharType="begin"/>
        </w:r>
        <w:r>
          <w:rPr>
            <w:webHidden/>
          </w:rPr>
          <w:instrText xml:space="preserve"> PAGEREF _Toc91749304 \h </w:instrText>
        </w:r>
        <w:r>
          <w:rPr>
            <w:webHidden/>
          </w:rPr>
          <w:fldChar w:fldCharType="separate"/>
        </w:r>
        <w:r>
          <w:rPr>
            <w:webHidden/>
          </w:rPr>
          <w:t>84</w:t>
        </w:r>
        <w:r>
          <w:rPr>
            <w:webHidden/>
          </w:rPr>
          <w:fldChar w:fldCharType="end"/>
        </w:r>
      </w:hyperlink>
    </w:p>
    <w:p w:rsidR="00A70013">
      <w:pPr>
        <w:pStyle w:val="TOC2"/>
        <w:rPr>
          <w:rFonts w:asciiTheme="minorHAnsi" w:eastAsiaTheme="minorEastAsia" w:hAnsiTheme="minorHAnsi" w:cstheme="minorBidi"/>
          <w:smallCaps w:val="0"/>
          <w:szCs w:val="22"/>
        </w:rPr>
      </w:pPr>
      <w:hyperlink w:anchor="_Toc91749305" w:history="1">
        <w:r w:rsidRPr="00B25884">
          <w:rPr>
            <w:rStyle w:val="Hyperlink"/>
            <w:rFonts w:asciiTheme="minorEastAsia" w:hAnsiTheme="minorEastAsia" w:hint="eastAsia"/>
            <w:bCs/>
          </w:rPr>
          <w:t>（二）基金托管人对基金管理人的业务监督和核查</w:t>
        </w:r>
        <w:r>
          <w:rPr>
            <w:webHidden/>
          </w:rPr>
          <w:tab/>
        </w:r>
        <w:r>
          <w:rPr>
            <w:webHidden/>
          </w:rPr>
          <w:fldChar w:fldCharType="begin"/>
        </w:r>
        <w:r>
          <w:rPr>
            <w:webHidden/>
          </w:rPr>
          <w:instrText xml:space="preserve"> PAGEREF _Toc91749305 \h </w:instrText>
        </w:r>
        <w:r>
          <w:rPr>
            <w:webHidden/>
          </w:rPr>
          <w:fldChar w:fldCharType="separate"/>
        </w:r>
        <w:r>
          <w:rPr>
            <w:webHidden/>
          </w:rPr>
          <w:t>85</w:t>
        </w:r>
        <w:r>
          <w:rPr>
            <w:webHidden/>
          </w:rPr>
          <w:fldChar w:fldCharType="end"/>
        </w:r>
      </w:hyperlink>
    </w:p>
    <w:p w:rsidR="00A70013">
      <w:pPr>
        <w:pStyle w:val="TOC2"/>
        <w:rPr>
          <w:rFonts w:asciiTheme="minorHAnsi" w:eastAsiaTheme="minorEastAsia" w:hAnsiTheme="minorHAnsi" w:cstheme="minorBidi"/>
          <w:smallCaps w:val="0"/>
          <w:szCs w:val="22"/>
        </w:rPr>
      </w:pPr>
      <w:hyperlink w:anchor="_Toc91749306" w:history="1">
        <w:r w:rsidRPr="00B25884">
          <w:rPr>
            <w:rStyle w:val="Hyperlink"/>
            <w:rFonts w:asciiTheme="minorEastAsia" w:hAnsiTheme="minorEastAsia" w:hint="eastAsia"/>
            <w:bCs/>
          </w:rPr>
          <w:t>（三）基金管理人对基金托管人的业务核查</w:t>
        </w:r>
        <w:r>
          <w:rPr>
            <w:webHidden/>
          </w:rPr>
          <w:tab/>
        </w:r>
        <w:r>
          <w:rPr>
            <w:webHidden/>
          </w:rPr>
          <w:fldChar w:fldCharType="begin"/>
        </w:r>
        <w:r>
          <w:rPr>
            <w:webHidden/>
          </w:rPr>
          <w:instrText xml:space="preserve"> PAGEREF _Toc91749306 \h </w:instrText>
        </w:r>
        <w:r>
          <w:rPr>
            <w:webHidden/>
          </w:rPr>
          <w:fldChar w:fldCharType="separate"/>
        </w:r>
        <w:r>
          <w:rPr>
            <w:webHidden/>
          </w:rPr>
          <w:t>90</w:t>
        </w:r>
        <w:r>
          <w:rPr>
            <w:webHidden/>
          </w:rPr>
          <w:fldChar w:fldCharType="end"/>
        </w:r>
      </w:hyperlink>
    </w:p>
    <w:p w:rsidR="00A70013">
      <w:pPr>
        <w:pStyle w:val="TOC2"/>
        <w:rPr>
          <w:rFonts w:asciiTheme="minorHAnsi" w:eastAsiaTheme="minorEastAsia" w:hAnsiTheme="minorHAnsi" w:cstheme="minorBidi"/>
          <w:smallCaps w:val="0"/>
          <w:szCs w:val="22"/>
        </w:rPr>
      </w:pPr>
      <w:hyperlink w:anchor="_Toc91749307" w:history="1">
        <w:r w:rsidRPr="00B25884">
          <w:rPr>
            <w:rStyle w:val="Hyperlink"/>
            <w:rFonts w:asciiTheme="minorEastAsia" w:hAnsiTheme="minorEastAsia" w:hint="eastAsia"/>
            <w:bCs/>
          </w:rPr>
          <w:t>（四）基金财产保管</w:t>
        </w:r>
        <w:r>
          <w:rPr>
            <w:webHidden/>
          </w:rPr>
          <w:tab/>
        </w:r>
        <w:r>
          <w:rPr>
            <w:webHidden/>
          </w:rPr>
          <w:fldChar w:fldCharType="begin"/>
        </w:r>
        <w:r>
          <w:rPr>
            <w:webHidden/>
          </w:rPr>
          <w:instrText xml:space="preserve"> PAGEREF _Toc91749307 \h </w:instrText>
        </w:r>
        <w:r>
          <w:rPr>
            <w:webHidden/>
          </w:rPr>
          <w:fldChar w:fldCharType="separate"/>
        </w:r>
        <w:r>
          <w:rPr>
            <w:webHidden/>
          </w:rPr>
          <w:t>91</w:t>
        </w:r>
        <w:r>
          <w:rPr>
            <w:webHidden/>
          </w:rPr>
          <w:fldChar w:fldCharType="end"/>
        </w:r>
      </w:hyperlink>
    </w:p>
    <w:p w:rsidR="00A70013">
      <w:pPr>
        <w:pStyle w:val="TOC2"/>
        <w:rPr>
          <w:rFonts w:asciiTheme="minorHAnsi" w:eastAsiaTheme="minorEastAsia" w:hAnsiTheme="minorHAnsi" w:cstheme="minorBidi"/>
          <w:smallCaps w:val="0"/>
          <w:szCs w:val="22"/>
        </w:rPr>
      </w:pPr>
      <w:hyperlink w:anchor="_Toc91749308" w:history="1">
        <w:r w:rsidRPr="00B25884">
          <w:rPr>
            <w:rStyle w:val="Hyperlink"/>
            <w:rFonts w:asciiTheme="minorEastAsia" w:hAnsiTheme="minorEastAsia" w:hint="eastAsia"/>
            <w:bCs/>
          </w:rPr>
          <w:t>（五）基金资产净值计算与复核</w:t>
        </w:r>
        <w:r>
          <w:rPr>
            <w:webHidden/>
          </w:rPr>
          <w:tab/>
        </w:r>
        <w:r>
          <w:rPr>
            <w:webHidden/>
          </w:rPr>
          <w:fldChar w:fldCharType="begin"/>
        </w:r>
        <w:r>
          <w:rPr>
            <w:webHidden/>
          </w:rPr>
          <w:instrText xml:space="preserve"> PAGEREF _Toc91749308 \h </w:instrText>
        </w:r>
        <w:r>
          <w:rPr>
            <w:webHidden/>
          </w:rPr>
          <w:fldChar w:fldCharType="separate"/>
        </w:r>
        <w:r>
          <w:rPr>
            <w:webHidden/>
          </w:rPr>
          <w:t>93</w:t>
        </w:r>
        <w:r>
          <w:rPr>
            <w:webHidden/>
          </w:rPr>
          <w:fldChar w:fldCharType="end"/>
        </w:r>
      </w:hyperlink>
    </w:p>
    <w:p w:rsidR="00A70013">
      <w:pPr>
        <w:pStyle w:val="TOC2"/>
        <w:rPr>
          <w:rFonts w:asciiTheme="minorHAnsi" w:eastAsiaTheme="minorEastAsia" w:hAnsiTheme="minorHAnsi" w:cstheme="minorBidi"/>
          <w:smallCaps w:val="0"/>
          <w:szCs w:val="22"/>
        </w:rPr>
      </w:pPr>
      <w:hyperlink w:anchor="_Toc91749309" w:history="1">
        <w:r w:rsidRPr="00B25884">
          <w:rPr>
            <w:rStyle w:val="Hyperlink"/>
            <w:rFonts w:asciiTheme="minorEastAsia" w:hAnsiTheme="minorEastAsia" w:hint="eastAsia"/>
            <w:bCs/>
          </w:rPr>
          <w:t>（六）基金份额持有人名册的保管</w:t>
        </w:r>
        <w:r>
          <w:rPr>
            <w:webHidden/>
          </w:rPr>
          <w:tab/>
        </w:r>
        <w:r>
          <w:rPr>
            <w:webHidden/>
          </w:rPr>
          <w:fldChar w:fldCharType="begin"/>
        </w:r>
        <w:r>
          <w:rPr>
            <w:webHidden/>
          </w:rPr>
          <w:instrText xml:space="preserve"> PAGEREF _Toc91749309 \h </w:instrText>
        </w:r>
        <w:r>
          <w:rPr>
            <w:webHidden/>
          </w:rPr>
          <w:fldChar w:fldCharType="separate"/>
        </w:r>
        <w:r>
          <w:rPr>
            <w:webHidden/>
          </w:rPr>
          <w:t>94</w:t>
        </w:r>
        <w:r>
          <w:rPr>
            <w:webHidden/>
          </w:rPr>
          <w:fldChar w:fldCharType="end"/>
        </w:r>
      </w:hyperlink>
    </w:p>
    <w:p w:rsidR="00A70013">
      <w:pPr>
        <w:pStyle w:val="TOC2"/>
        <w:rPr>
          <w:rFonts w:asciiTheme="minorHAnsi" w:eastAsiaTheme="minorEastAsia" w:hAnsiTheme="minorHAnsi" w:cstheme="minorBidi"/>
          <w:smallCaps w:val="0"/>
          <w:szCs w:val="22"/>
        </w:rPr>
      </w:pPr>
      <w:hyperlink w:anchor="_Toc91749310" w:history="1">
        <w:r w:rsidRPr="00B25884">
          <w:rPr>
            <w:rStyle w:val="Hyperlink"/>
            <w:rFonts w:asciiTheme="minorEastAsia" w:hAnsiTheme="minorEastAsia" w:hint="eastAsia"/>
            <w:bCs/>
          </w:rPr>
          <w:t>（七）争议解决方式</w:t>
        </w:r>
        <w:r>
          <w:rPr>
            <w:webHidden/>
          </w:rPr>
          <w:tab/>
        </w:r>
        <w:r>
          <w:rPr>
            <w:webHidden/>
          </w:rPr>
          <w:fldChar w:fldCharType="begin"/>
        </w:r>
        <w:r>
          <w:rPr>
            <w:webHidden/>
          </w:rPr>
          <w:instrText xml:space="preserve"> PAGEREF _Toc91749310 \h </w:instrText>
        </w:r>
        <w:r>
          <w:rPr>
            <w:webHidden/>
          </w:rPr>
          <w:fldChar w:fldCharType="separate"/>
        </w:r>
        <w:r>
          <w:rPr>
            <w:webHidden/>
          </w:rPr>
          <w:t>95</w:t>
        </w:r>
        <w:r>
          <w:rPr>
            <w:webHidden/>
          </w:rPr>
          <w:fldChar w:fldCharType="end"/>
        </w:r>
      </w:hyperlink>
    </w:p>
    <w:p w:rsidR="00A70013">
      <w:pPr>
        <w:pStyle w:val="TOC2"/>
        <w:rPr>
          <w:rFonts w:asciiTheme="minorHAnsi" w:eastAsiaTheme="minorEastAsia" w:hAnsiTheme="minorHAnsi" w:cstheme="minorBidi"/>
          <w:smallCaps w:val="0"/>
          <w:szCs w:val="22"/>
        </w:rPr>
      </w:pPr>
      <w:hyperlink w:anchor="_Toc91749311" w:history="1">
        <w:r w:rsidRPr="00B25884">
          <w:rPr>
            <w:rStyle w:val="Hyperlink"/>
            <w:rFonts w:asciiTheme="minorEastAsia" w:hAnsiTheme="minorEastAsia" w:hint="eastAsia"/>
            <w:bCs/>
          </w:rPr>
          <w:t>（八）托管协议的变更与终止</w:t>
        </w:r>
        <w:r>
          <w:rPr>
            <w:webHidden/>
          </w:rPr>
          <w:tab/>
        </w:r>
        <w:r>
          <w:rPr>
            <w:webHidden/>
          </w:rPr>
          <w:fldChar w:fldCharType="begin"/>
        </w:r>
        <w:r>
          <w:rPr>
            <w:webHidden/>
          </w:rPr>
          <w:instrText xml:space="preserve"> PAGEREF _Toc91749311 \h </w:instrText>
        </w:r>
        <w:r>
          <w:rPr>
            <w:webHidden/>
          </w:rPr>
          <w:fldChar w:fldCharType="separate"/>
        </w:r>
        <w:r>
          <w:rPr>
            <w:webHidden/>
          </w:rPr>
          <w:t>95</w:t>
        </w:r>
        <w:r>
          <w:rPr>
            <w:webHidden/>
          </w:rPr>
          <w:fldChar w:fldCharType="end"/>
        </w:r>
      </w:hyperlink>
    </w:p>
    <w:p w:rsidR="00A70013">
      <w:pPr>
        <w:pStyle w:val="TOC1"/>
        <w:rPr>
          <w:rFonts w:asciiTheme="minorHAnsi" w:eastAsiaTheme="minorEastAsia" w:hAnsiTheme="minorHAnsi" w:cstheme="minorBidi"/>
          <w:caps w:val="0"/>
          <w:sz w:val="21"/>
          <w:szCs w:val="22"/>
        </w:rPr>
      </w:pPr>
      <w:hyperlink w:anchor="_Toc91749312" w:history="1">
        <w:r w:rsidRPr="00B25884">
          <w:rPr>
            <w:rStyle w:val="Hyperlink"/>
            <w:rFonts w:asciiTheme="minorEastAsia" w:hAnsiTheme="minorEastAsia" w:hint="eastAsia"/>
            <w:b/>
            <w:bCs/>
          </w:rPr>
          <w:t>二十三、对基金份额持有人的服务</w:t>
        </w:r>
        <w:r>
          <w:rPr>
            <w:webHidden/>
          </w:rPr>
          <w:tab/>
        </w:r>
        <w:r>
          <w:rPr>
            <w:webHidden/>
          </w:rPr>
          <w:fldChar w:fldCharType="begin"/>
        </w:r>
        <w:r>
          <w:rPr>
            <w:webHidden/>
          </w:rPr>
          <w:instrText xml:space="preserve"> PAGEREF _Toc91749312 \h </w:instrText>
        </w:r>
        <w:r>
          <w:rPr>
            <w:webHidden/>
          </w:rPr>
          <w:fldChar w:fldCharType="separate"/>
        </w:r>
        <w:r>
          <w:rPr>
            <w:webHidden/>
          </w:rPr>
          <w:t>96</w:t>
        </w:r>
        <w:r>
          <w:rPr>
            <w:webHidden/>
          </w:rPr>
          <w:fldChar w:fldCharType="end"/>
        </w:r>
      </w:hyperlink>
    </w:p>
    <w:p w:rsidR="00A70013">
      <w:pPr>
        <w:pStyle w:val="TOC2"/>
        <w:rPr>
          <w:rFonts w:asciiTheme="minorHAnsi" w:eastAsiaTheme="minorEastAsia" w:hAnsiTheme="minorHAnsi" w:cstheme="minorBidi"/>
          <w:smallCaps w:val="0"/>
          <w:szCs w:val="22"/>
        </w:rPr>
      </w:pPr>
      <w:hyperlink w:anchor="_Toc91749313" w:history="1">
        <w:r w:rsidRPr="00B25884">
          <w:rPr>
            <w:rStyle w:val="Hyperlink"/>
            <w:rFonts w:asciiTheme="minorEastAsia" w:hAnsiTheme="minorEastAsia" w:hint="eastAsia"/>
          </w:rPr>
          <w:t>（一）基金份额持有人投资交易确认服务</w:t>
        </w:r>
        <w:r>
          <w:rPr>
            <w:webHidden/>
          </w:rPr>
          <w:tab/>
        </w:r>
        <w:r>
          <w:rPr>
            <w:webHidden/>
          </w:rPr>
          <w:fldChar w:fldCharType="begin"/>
        </w:r>
        <w:r>
          <w:rPr>
            <w:webHidden/>
          </w:rPr>
          <w:instrText xml:space="preserve"> PAGEREF _Toc91749313 \h </w:instrText>
        </w:r>
        <w:r>
          <w:rPr>
            <w:webHidden/>
          </w:rPr>
          <w:fldChar w:fldCharType="separate"/>
        </w:r>
        <w:r>
          <w:rPr>
            <w:webHidden/>
          </w:rPr>
          <w:t>96</w:t>
        </w:r>
        <w:r>
          <w:rPr>
            <w:webHidden/>
          </w:rPr>
          <w:fldChar w:fldCharType="end"/>
        </w:r>
      </w:hyperlink>
    </w:p>
    <w:p w:rsidR="00A70013">
      <w:pPr>
        <w:pStyle w:val="TOC2"/>
        <w:rPr>
          <w:rFonts w:asciiTheme="minorHAnsi" w:eastAsiaTheme="minorEastAsia" w:hAnsiTheme="minorHAnsi" w:cstheme="minorBidi"/>
          <w:smallCaps w:val="0"/>
          <w:szCs w:val="22"/>
        </w:rPr>
      </w:pPr>
      <w:hyperlink w:anchor="_Toc91749314" w:history="1">
        <w:r w:rsidRPr="00B25884">
          <w:rPr>
            <w:rStyle w:val="Hyperlink"/>
            <w:rFonts w:asciiTheme="minorEastAsia" w:hAnsiTheme="minorEastAsia" w:hint="eastAsia"/>
          </w:rPr>
          <w:t>（二）基金份额持有人交易记录查询服务</w:t>
        </w:r>
        <w:r>
          <w:rPr>
            <w:webHidden/>
          </w:rPr>
          <w:tab/>
        </w:r>
        <w:r>
          <w:rPr>
            <w:webHidden/>
          </w:rPr>
          <w:fldChar w:fldCharType="begin"/>
        </w:r>
        <w:r>
          <w:rPr>
            <w:webHidden/>
          </w:rPr>
          <w:instrText xml:space="preserve"> PAGEREF _Toc91749314 \h </w:instrText>
        </w:r>
        <w:r>
          <w:rPr>
            <w:webHidden/>
          </w:rPr>
          <w:fldChar w:fldCharType="separate"/>
        </w:r>
        <w:r>
          <w:rPr>
            <w:webHidden/>
          </w:rPr>
          <w:t>96</w:t>
        </w:r>
        <w:r>
          <w:rPr>
            <w:webHidden/>
          </w:rPr>
          <w:fldChar w:fldCharType="end"/>
        </w:r>
      </w:hyperlink>
    </w:p>
    <w:p w:rsidR="00A70013">
      <w:pPr>
        <w:pStyle w:val="TOC2"/>
        <w:rPr>
          <w:rFonts w:asciiTheme="minorHAnsi" w:eastAsiaTheme="minorEastAsia" w:hAnsiTheme="minorHAnsi" w:cstheme="minorBidi"/>
          <w:smallCaps w:val="0"/>
          <w:szCs w:val="22"/>
        </w:rPr>
      </w:pPr>
      <w:hyperlink w:anchor="_Toc91749315" w:history="1">
        <w:r w:rsidRPr="00B25884">
          <w:rPr>
            <w:rStyle w:val="Hyperlink"/>
            <w:rFonts w:asciiTheme="minorEastAsia" w:hAnsiTheme="minorEastAsia" w:hint="eastAsia"/>
          </w:rPr>
          <w:t>（三）基金份额持有人的对账单服务</w:t>
        </w:r>
        <w:r>
          <w:rPr>
            <w:webHidden/>
          </w:rPr>
          <w:tab/>
        </w:r>
        <w:r>
          <w:rPr>
            <w:webHidden/>
          </w:rPr>
          <w:fldChar w:fldCharType="begin"/>
        </w:r>
        <w:r>
          <w:rPr>
            <w:webHidden/>
          </w:rPr>
          <w:instrText xml:space="preserve"> PAGEREF _Toc91749315 \h </w:instrText>
        </w:r>
        <w:r>
          <w:rPr>
            <w:webHidden/>
          </w:rPr>
          <w:fldChar w:fldCharType="separate"/>
        </w:r>
        <w:r>
          <w:rPr>
            <w:webHidden/>
          </w:rPr>
          <w:t>96</w:t>
        </w:r>
        <w:r>
          <w:rPr>
            <w:webHidden/>
          </w:rPr>
          <w:fldChar w:fldCharType="end"/>
        </w:r>
      </w:hyperlink>
    </w:p>
    <w:p w:rsidR="00A70013">
      <w:pPr>
        <w:pStyle w:val="TOC2"/>
        <w:rPr>
          <w:rFonts w:asciiTheme="minorHAnsi" w:eastAsiaTheme="minorEastAsia" w:hAnsiTheme="minorHAnsi" w:cstheme="minorBidi"/>
          <w:smallCaps w:val="0"/>
          <w:szCs w:val="22"/>
        </w:rPr>
      </w:pPr>
      <w:hyperlink w:anchor="_Toc91749316" w:history="1">
        <w:r w:rsidRPr="00B25884">
          <w:rPr>
            <w:rStyle w:val="Hyperlink"/>
            <w:rFonts w:asciiTheme="minorEastAsia" w:hAnsiTheme="minorEastAsia" w:hint="eastAsia"/>
          </w:rPr>
          <w:t>（四）定期定额投资计划</w:t>
        </w:r>
        <w:r>
          <w:rPr>
            <w:webHidden/>
          </w:rPr>
          <w:tab/>
        </w:r>
        <w:r>
          <w:rPr>
            <w:webHidden/>
          </w:rPr>
          <w:fldChar w:fldCharType="begin"/>
        </w:r>
        <w:r>
          <w:rPr>
            <w:webHidden/>
          </w:rPr>
          <w:instrText xml:space="preserve"> PAGEREF _Toc91749316 \h </w:instrText>
        </w:r>
        <w:r>
          <w:rPr>
            <w:webHidden/>
          </w:rPr>
          <w:fldChar w:fldCharType="separate"/>
        </w:r>
        <w:r>
          <w:rPr>
            <w:webHidden/>
          </w:rPr>
          <w:t>96</w:t>
        </w:r>
        <w:r>
          <w:rPr>
            <w:webHidden/>
          </w:rPr>
          <w:fldChar w:fldCharType="end"/>
        </w:r>
      </w:hyperlink>
    </w:p>
    <w:p w:rsidR="00A70013">
      <w:pPr>
        <w:pStyle w:val="TOC2"/>
        <w:rPr>
          <w:rFonts w:asciiTheme="minorHAnsi" w:eastAsiaTheme="minorEastAsia" w:hAnsiTheme="minorHAnsi" w:cstheme="minorBidi"/>
          <w:smallCaps w:val="0"/>
          <w:szCs w:val="22"/>
        </w:rPr>
      </w:pPr>
      <w:hyperlink w:anchor="_Toc91749317" w:history="1">
        <w:r w:rsidRPr="00B25884">
          <w:rPr>
            <w:rStyle w:val="Hyperlink"/>
            <w:rFonts w:asciiTheme="minorEastAsia" w:hAnsiTheme="minorEastAsia" w:hint="eastAsia"/>
          </w:rPr>
          <w:t>（五）资讯服务</w:t>
        </w:r>
        <w:r>
          <w:rPr>
            <w:webHidden/>
          </w:rPr>
          <w:tab/>
        </w:r>
        <w:r>
          <w:rPr>
            <w:webHidden/>
          </w:rPr>
          <w:fldChar w:fldCharType="begin"/>
        </w:r>
        <w:r>
          <w:rPr>
            <w:webHidden/>
          </w:rPr>
          <w:instrText xml:space="preserve"> PAGEREF _Toc91749317 \h </w:instrText>
        </w:r>
        <w:r>
          <w:rPr>
            <w:webHidden/>
          </w:rPr>
          <w:fldChar w:fldCharType="separate"/>
        </w:r>
        <w:r>
          <w:rPr>
            <w:webHidden/>
          </w:rPr>
          <w:t>96</w:t>
        </w:r>
        <w:r>
          <w:rPr>
            <w:webHidden/>
          </w:rPr>
          <w:fldChar w:fldCharType="end"/>
        </w:r>
      </w:hyperlink>
    </w:p>
    <w:p w:rsidR="00A70013">
      <w:pPr>
        <w:pStyle w:val="TOC1"/>
        <w:rPr>
          <w:rFonts w:asciiTheme="minorHAnsi" w:eastAsiaTheme="minorEastAsia" w:hAnsiTheme="minorHAnsi" w:cstheme="minorBidi"/>
          <w:caps w:val="0"/>
          <w:sz w:val="21"/>
          <w:szCs w:val="22"/>
        </w:rPr>
      </w:pPr>
      <w:hyperlink w:anchor="_Toc91749318" w:history="1">
        <w:r w:rsidRPr="00B25884">
          <w:rPr>
            <w:rStyle w:val="Hyperlink"/>
            <w:rFonts w:asciiTheme="minorEastAsia" w:hAnsiTheme="minorEastAsia" w:hint="eastAsia"/>
            <w:b/>
            <w:bCs/>
          </w:rPr>
          <w:t>二十四、其他应披露事项</w:t>
        </w:r>
        <w:r>
          <w:rPr>
            <w:webHidden/>
          </w:rPr>
          <w:tab/>
        </w:r>
        <w:r>
          <w:rPr>
            <w:webHidden/>
          </w:rPr>
          <w:fldChar w:fldCharType="begin"/>
        </w:r>
        <w:r>
          <w:rPr>
            <w:webHidden/>
          </w:rPr>
          <w:instrText xml:space="preserve"> PAGEREF _Toc91749318 \h </w:instrText>
        </w:r>
        <w:r>
          <w:rPr>
            <w:webHidden/>
          </w:rPr>
          <w:fldChar w:fldCharType="separate"/>
        </w:r>
        <w:r>
          <w:rPr>
            <w:webHidden/>
          </w:rPr>
          <w:t>97</w:t>
        </w:r>
        <w:r>
          <w:rPr>
            <w:webHidden/>
          </w:rPr>
          <w:fldChar w:fldCharType="end"/>
        </w:r>
      </w:hyperlink>
    </w:p>
    <w:p w:rsidR="00A70013">
      <w:pPr>
        <w:pStyle w:val="TOC1"/>
        <w:rPr>
          <w:rFonts w:asciiTheme="minorHAnsi" w:eastAsiaTheme="minorEastAsia" w:hAnsiTheme="minorHAnsi" w:cstheme="minorBidi"/>
          <w:caps w:val="0"/>
          <w:sz w:val="21"/>
          <w:szCs w:val="22"/>
        </w:rPr>
      </w:pPr>
      <w:hyperlink w:anchor="_Toc91749319" w:history="1">
        <w:r w:rsidRPr="00B25884">
          <w:rPr>
            <w:rStyle w:val="Hyperlink"/>
            <w:rFonts w:asciiTheme="minorEastAsia" w:hAnsiTheme="minorEastAsia" w:hint="eastAsia"/>
            <w:b/>
            <w:bCs/>
          </w:rPr>
          <w:t>二十五、招募说明书存放及查阅方式</w:t>
        </w:r>
        <w:r>
          <w:rPr>
            <w:webHidden/>
          </w:rPr>
          <w:tab/>
        </w:r>
        <w:r>
          <w:rPr>
            <w:webHidden/>
          </w:rPr>
          <w:fldChar w:fldCharType="begin"/>
        </w:r>
        <w:r>
          <w:rPr>
            <w:webHidden/>
          </w:rPr>
          <w:instrText xml:space="preserve"> PAGEREF _Toc91749319 \h </w:instrText>
        </w:r>
        <w:r>
          <w:rPr>
            <w:webHidden/>
          </w:rPr>
          <w:fldChar w:fldCharType="separate"/>
        </w:r>
        <w:r>
          <w:rPr>
            <w:webHidden/>
          </w:rPr>
          <w:t>98</w:t>
        </w:r>
        <w:r>
          <w:rPr>
            <w:webHidden/>
          </w:rPr>
          <w:fldChar w:fldCharType="end"/>
        </w:r>
      </w:hyperlink>
    </w:p>
    <w:p w:rsidR="00A70013">
      <w:pPr>
        <w:pStyle w:val="TOC1"/>
        <w:rPr>
          <w:rFonts w:asciiTheme="minorHAnsi" w:eastAsiaTheme="minorEastAsia" w:hAnsiTheme="minorHAnsi" w:cstheme="minorBidi"/>
          <w:caps w:val="0"/>
          <w:sz w:val="21"/>
          <w:szCs w:val="22"/>
        </w:rPr>
      </w:pPr>
      <w:hyperlink w:anchor="_Toc91749320" w:history="1">
        <w:r w:rsidRPr="00B25884">
          <w:rPr>
            <w:rStyle w:val="Hyperlink"/>
            <w:rFonts w:asciiTheme="minorEastAsia" w:hAnsiTheme="minorEastAsia" w:hint="eastAsia"/>
            <w:b/>
          </w:rPr>
          <w:t>二十六、备查文件</w:t>
        </w:r>
        <w:r>
          <w:rPr>
            <w:webHidden/>
          </w:rPr>
          <w:tab/>
        </w:r>
        <w:r>
          <w:rPr>
            <w:webHidden/>
          </w:rPr>
          <w:fldChar w:fldCharType="begin"/>
        </w:r>
        <w:r>
          <w:rPr>
            <w:webHidden/>
          </w:rPr>
          <w:instrText xml:space="preserve"> PAGEREF _Toc91749320 \h </w:instrText>
        </w:r>
        <w:r>
          <w:rPr>
            <w:webHidden/>
          </w:rPr>
          <w:fldChar w:fldCharType="separate"/>
        </w:r>
        <w:r>
          <w:rPr>
            <w:webHidden/>
          </w:rPr>
          <w:t>99</w:t>
        </w:r>
        <w:r>
          <w:rPr>
            <w:webHidden/>
          </w:rPr>
          <w:fldChar w:fldCharType="end"/>
        </w:r>
      </w:hyperlink>
    </w:p>
    <w:p w:rsidR="003A3487" w:rsidRPr="008564FF" w:rsidP="008564FF">
      <w:pPr>
        <w:snapToGrid w:val="0"/>
        <w:spacing w:line="360" w:lineRule="auto"/>
        <w:ind w:firstLine="560"/>
        <w:jc w:val="center"/>
        <w:rPr>
          <w:rFonts w:asciiTheme="minorEastAsia" w:eastAsiaTheme="minorEastAsia" w:hAnsiTheme="minorEastAsia"/>
          <w:szCs w:val="21"/>
        </w:rPr>
        <w:sectPr w:rsidSect="008564FF">
          <w:footerReference w:type="default" r:id="rId11"/>
          <w:pgSz w:w="11907" w:h="16840"/>
          <w:pgMar w:top="1440" w:right="1800" w:bottom="1440" w:left="1800" w:header="1134" w:footer="1247" w:gutter="0"/>
          <w:pgNumType w:fmt="upperRoman" w:start="1"/>
          <w:cols w:space="720"/>
          <w:docGrid w:type="lines" w:linePitch="447"/>
        </w:sectPr>
      </w:pPr>
      <w:r w:rsidRPr="008564FF">
        <w:rPr>
          <w:rFonts w:asciiTheme="minorEastAsia" w:eastAsiaTheme="minorEastAsia" w:hAnsiTheme="minorEastAsia" w:hint="eastAsia"/>
          <w:b/>
          <w:caps/>
          <w:noProof/>
          <w:sz w:val="24"/>
          <w:szCs w:val="21"/>
        </w:rPr>
        <w:fldChar w:fldCharType="end"/>
      </w:r>
    </w:p>
    <w:p w:rsidR="008564FF" w:rsidP="00485893">
      <w:pPr>
        <w:pStyle w:val="Heading1"/>
        <w:snapToGrid w:val="0"/>
        <w:spacing w:beforeLines="0" w:afterLines="0" w:line="360" w:lineRule="auto"/>
        <w:ind w:firstLine="643"/>
        <w:rPr>
          <w:rFonts w:asciiTheme="minorEastAsia" w:eastAsiaTheme="minorEastAsia" w:hAnsiTheme="minorEastAsia"/>
          <w:b/>
          <w:bCs/>
        </w:rPr>
        <w:sectPr w:rsidSect="008564FF">
          <w:type w:val="continuous"/>
          <w:pgSz w:w="11907" w:h="16840"/>
          <w:pgMar w:top="1440" w:right="1800" w:bottom="1440" w:left="1800" w:header="851" w:footer="992" w:gutter="0"/>
          <w:pgNumType w:start="1"/>
          <w:cols w:space="720"/>
          <w:docGrid w:type="lines" w:linePitch="312"/>
        </w:sectPr>
      </w:pPr>
      <w:bookmarkStart w:id="1" w:name="_Toc38432421"/>
    </w:p>
    <w:p w:rsidR="003A3487" w:rsidRPr="008564FF" w:rsidP="00485893">
      <w:pPr>
        <w:pStyle w:val="Heading1"/>
        <w:snapToGrid w:val="0"/>
        <w:spacing w:beforeLines="0" w:afterLines="0" w:line="360" w:lineRule="auto"/>
        <w:ind w:firstLine="643"/>
        <w:rPr>
          <w:rFonts w:asciiTheme="minorEastAsia" w:eastAsiaTheme="minorEastAsia" w:hAnsiTheme="minorEastAsia"/>
          <w:b/>
          <w:bCs/>
        </w:rPr>
      </w:pPr>
      <w:bookmarkStart w:id="2" w:name="_Toc91749195"/>
      <w:r w:rsidRPr="008564FF">
        <w:rPr>
          <w:rFonts w:asciiTheme="minorEastAsia" w:eastAsiaTheme="minorEastAsia" w:hAnsiTheme="minorEastAsia" w:hint="eastAsia"/>
          <w:b/>
          <w:bCs/>
        </w:rPr>
        <w:t>一、绪言</w:t>
      </w:r>
      <w:bookmarkEnd w:id="1"/>
      <w:bookmarkEnd w:id="2"/>
    </w:p>
    <w:p w:rsidR="003A3487" w:rsidRPr="008564FF" w:rsidP="004549E4">
      <w:pPr>
        <w:snapToGrid w:val="0"/>
        <w:spacing w:line="360" w:lineRule="auto"/>
        <w:ind w:firstLine="482"/>
        <w:rPr>
          <w:rFonts w:asciiTheme="minorEastAsia" w:eastAsiaTheme="minorEastAsia" w:hAnsiTheme="minorEastAsia"/>
          <w:szCs w:val="21"/>
        </w:rPr>
      </w:pPr>
      <w:r w:rsidRPr="008564FF">
        <w:rPr>
          <w:rFonts w:asciiTheme="minorEastAsia" w:eastAsiaTheme="minorEastAsia" w:hAnsiTheme="minorEastAsia" w:hint="eastAsia"/>
          <w:szCs w:val="21"/>
        </w:rPr>
        <w:t>本《招募说明书》依据《中华人民共和国证券投资基金法》（以下简称《基金法》）、《</w:t>
      </w:r>
      <w:r w:rsidRPr="008564FF" w:rsidR="009E1C10">
        <w:rPr>
          <w:rFonts w:asciiTheme="minorEastAsia" w:eastAsiaTheme="minorEastAsia" w:hAnsiTheme="minorEastAsia" w:hint="eastAsia"/>
          <w:szCs w:val="21"/>
        </w:rPr>
        <w:t>公开募集</w:t>
      </w:r>
      <w:r w:rsidRPr="008564FF">
        <w:rPr>
          <w:rFonts w:asciiTheme="minorEastAsia" w:eastAsiaTheme="minorEastAsia" w:hAnsiTheme="minorEastAsia" w:hint="eastAsia"/>
          <w:szCs w:val="21"/>
        </w:rPr>
        <w:t>证券投资基金运作管理办法》（以下简称《运作办法》）、《证券投资基金销售管理办法》（以下简称《销售办法》）、《</w:t>
      </w:r>
      <w:r w:rsidRPr="008564FF" w:rsidR="006809DD">
        <w:rPr>
          <w:rFonts w:asciiTheme="minorEastAsia" w:eastAsiaTheme="minorEastAsia" w:hAnsiTheme="minorEastAsia" w:hint="eastAsia"/>
          <w:szCs w:val="21"/>
        </w:rPr>
        <w:t>公开募集</w:t>
      </w:r>
      <w:r w:rsidRPr="008564FF">
        <w:rPr>
          <w:rFonts w:asciiTheme="minorEastAsia" w:eastAsiaTheme="minorEastAsia" w:hAnsiTheme="minorEastAsia" w:hint="eastAsia"/>
          <w:szCs w:val="21"/>
        </w:rPr>
        <w:t>证券投资基金信息披露管理办法》（以下简称《信息披露办法》）、</w:t>
      </w:r>
      <w:r w:rsidRPr="008564FF" w:rsidR="00D7370E">
        <w:rPr>
          <w:rFonts w:asciiTheme="minorEastAsia" w:eastAsiaTheme="minorEastAsia" w:hAnsiTheme="minorEastAsia" w:hint="eastAsia"/>
          <w:szCs w:val="21"/>
        </w:rPr>
        <w:t>《公开募集开放式证券投资基金流动性风险管理规定》（以下简称《管理规定》）</w:t>
      </w:r>
      <w:r w:rsidRPr="008564FF">
        <w:rPr>
          <w:rFonts w:asciiTheme="minorEastAsia" w:eastAsiaTheme="minorEastAsia" w:hAnsiTheme="minorEastAsia" w:hint="eastAsia"/>
          <w:szCs w:val="21"/>
        </w:rPr>
        <w:t>等有关法律法规以及《易方达行业领先企业</w:t>
      </w:r>
      <w:r w:rsidRPr="008564FF" w:rsidR="00195752">
        <w:rPr>
          <w:rFonts w:asciiTheme="minorEastAsia" w:eastAsiaTheme="minorEastAsia" w:hAnsiTheme="minorEastAsia" w:hint="eastAsia"/>
          <w:szCs w:val="21"/>
        </w:rPr>
        <w:t>混合</w:t>
      </w:r>
      <w:r w:rsidRPr="008564FF">
        <w:rPr>
          <w:rFonts w:asciiTheme="minorEastAsia" w:eastAsiaTheme="minorEastAsia" w:hAnsiTheme="minorEastAsia" w:hint="eastAsia"/>
          <w:szCs w:val="21"/>
        </w:rPr>
        <w:t>型证券投资基金基金合同》编写。</w:t>
      </w:r>
    </w:p>
    <w:p w:rsidR="003A3487" w:rsidRPr="008564FF" w:rsidP="004549E4">
      <w:pPr>
        <w:snapToGrid w:val="0"/>
        <w:spacing w:line="360" w:lineRule="auto"/>
        <w:ind w:firstLine="482"/>
        <w:rPr>
          <w:rStyle w:val="da"/>
          <w:rFonts w:asciiTheme="minorEastAsia" w:eastAsiaTheme="minorEastAsia" w:hAnsiTheme="minorEastAsia"/>
        </w:rPr>
      </w:pPr>
      <w:r w:rsidRPr="008564FF">
        <w:rPr>
          <w:rStyle w:val="da"/>
          <w:rFonts w:asciiTheme="minorEastAsia" w:eastAsiaTheme="minorEastAsia" w:hAnsiTheme="minorEastAsia"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3A3487" w:rsidRPr="008564FF" w:rsidP="004549E4">
      <w:pPr>
        <w:snapToGrid w:val="0"/>
        <w:spacing w:line="360" w:lineRule="auto"/>
        <w:ind w:firstLine="482"/>
        <w:rPr>
          <w:rStyle w:val="da"/>
          <w:rFonts w:asciiTheme="minorEastAsia" w:eastAsiaTheme="minorEastAsia" w:hAnsiTheme="minorEastAsia"/>
        </w:rPr>
      </w:pPr>
      <w:r w:rsidRPr="008564FF">
        <w:rPr>
          <w:rStyle w:val="da"/>
          <w:rFonts w:asciiTheme="minorEastAsia" w:eastAsiaTheme="minorEastAsia" w:hAnsiTheme="minorEastAsia" w:hint="eastAsia"/>
        </w:rPr>
        <w:t>本招募说明书根据本基金的基金合同编写，并经中国证监会核准。基金合同是约定基金当事人之间权利、义务的法律文件。基金投资者自依基金合同取得基金份额，即成为基金份额持有人和本基金合同的当事人，其持有基金份额的行为本身即表明其对基金合同的承认和接受，并按照《基金法》、基金合同及其他有关规定享有权利、承担义务。基金投资者欲了解基金份额持有人的权利和义务，应详细查阅基金合同。</w:t>
      </w:r>
    </w:p>
    <w:p w:rsidR="003A3487" w:rsidRPr="008564FF" w:rsidP="004549E4">
      <w:pPr>
        <w:snapToGrid w:val="0"/>
        <w:spacing w:line="360" w:lineRule="auto"/>
        <w:ind w:firstLine="482"/>
        <w:rPr>
          <w:rFonts w:asciiTheme="minorEastAsia" w:eastAsiaTheme="minorEastAsia" w:hAnsiTheme="minorEastAsia"/>
          <w:szCs w:val="21"/>
        </w:rPr>
      </w:pPr>
    </w:p>
    <w:p w:rsidR="003A3487" w:rsidRPr="008564FF" w:rsidP="004549E4">
      <w:pPr>
        <w:snapToGrid w:val="0"/>
        <w:spacing w:line="360" w:lineRule="auto"/>
        <w:ind w:firstLine="482"/>
        <w:rPr>
          <w:rFonts w:asciiTheme="minorEastAsia" w:eastAsiaTheme="minorEastAsia" w:hAnsiTheme="minorEastAsia"/>
          <w:szCs w:val="21"/>
        </w:rPr>
      </w:pPr>
    </w:p>
    <w:p w:rsidR="003A3487" w:rsidRPr="008564FF" w:rsidP="004549E4">
      <w:pPr>
        <w:snapToGrid w:val="0"/>
        <w:spacing w:line="360" w:lineRule="auto"/>
        <w:ind w:firstLine="482"/>
        <w:rPr>
          <w:rFonts w:asciiTheme="minorEastAsia" w:eastAsiaTheme="minorEastAsia" w:hAnsiTheme="minorEastAsia"/>
          <w:szCs w:val="21"/>
        </w:rPr>
      </w:pPr>
    </w:p>
    <w:p w:rsidR="008564FF" w:rsidP="004549E4">
      <w:pPr>
        <w:snapToGrid w:val="0"/>
        <w:spacing w:line="360" w:lineRule="auto"/>
        <w:ind w:firstLine="482"/>
        <w:rPr>
          <w:rFonts w:asciiTheme="minorEastAsia" w:eastAsiaTheme="minorEastAsia" w:hAnsiTheme="minorEastAsia"/>
          <w:szCs w:val="21"/>
        </w:rPr>
        <w:sectPr w:rsidSect="008564FF">
          <w:pgSz w:w="11907" w:h="16840"/>
          <w:pgMar w:top="1440" w:right="1800" w:bottom="1440" w:left="1800" w:header="851" w:footer="992" w:gutter="0"/>
          <w:pgNumType w:start="1"/>
          <w:cols w:space="720"/>
          <w:docGrid w:type="lines" w:linePitch="312"/>
        </w:sectPr>
      </w:pPr>
    </w:p>
    <w:p w:rsidR="00485893" w:rsidRPr="008564FF" w:rsidP="004549E4">
      <w:pPr>
        <w:snapToGrid w:val="0"/>
        <w:spacing w:line="360" w:lineRule="auto"/>
        <w:ind w:firstLine="482"/>
        <w:rPr>
          <w:rFonts w:asciiTheme="minorEastAsia" w:eastAsiaTheme="minorEastAsia" w:hAnsiTheme="minorEastAsia"/>
          <w:szCs w:val="21"/>
        </w:rPr>
        <w:sectPr w:rsidSect="005F7A54">
          <w:pgSz w:w="11907" w:h="16840"/>
          <w:pgMar w:top="1440" w:right="1800" w:bottom="1440" w:left="1800" w:header="851" w:footer="992" w:gutter="0"/>
          <w:cols w:space="720"/>
          <w:docGrid w:type="lines" w:linePitch="312"/>
        </w:sectPr>
      </w:pPr>
    </w:p>
    <w:p w:rsidR="003A3487" w:rsidRPr="008564FF" w:rsidP="00485893">
      <w:pPr>
        <w:pStyle w:val="Heading1"/>
        <w:snapToGrid w:val="0"/>
        <w:spacing w:beforeLines="0" w:afterLines="0" w:line="360" w:lineRule="auto"/>
        <w:ind w:firstLine="643"/>
        <w:rPr>
          <w:rFonts w:asciiTheme="minorEastAsia" w:eastAsiaTheme="minorEastAsia" w:hAnsiTheme="minorEastAsia"/>
          <w:b/>
          <w:bCs/>
        </w:rPr>
      </w:pPr>
      <w:bookmarkStart w:id="3" w:name="_Toc38432422"/>
      <w:bookmarkStart w:id="4" w:name="_Toc91749196"/>
      <w:r w:rsidRPr="008564FF">
        <w:rPr>
          <w:rFonts w:asciiTheme="minorEastAsia" w:eastAsiaTheme="minorEastAsia" w:hAnsiTheme="minorEastAsia" w:hint="eastAsia"/>
          <w:b/>
          <w:bCs/>
        </w:rPr>
        <w:t>二、释义</w:t>
      </w:r>
      <w:bookmarkEnd w:id="3"/>
      <w:bookmarkEnd w:id="4"/>
    </w:p>
    <w:p w:rsidR="003A3487" w:rsidRPr="008564FF" w:rsidP="004549E4">
      <w:pPr>
        <w:snapToGrid w:val="0"/>
        <w:spacing w:line="360" w:lineRule="auto"/>
        <w:ind w:firstLine="480"/>
        <w:rPr>
          <w:rFonts w:asciiTheme="minorEastAsia" w:eastAsiaTheme="minorEastAsia" w:hAnsiTheme="minorEastAsia"/>
          <w:szCs w:val="21"/>
        </w:rPr>
      </w:pPr>
      <w:r w:rsidRPr="008564FF">
        <w:rPr>
          <w:rFonts w:asciiTheme="minorEastAsia" w:eastAsiaTheme="minorEastAsia" w:hAnsiTheme="minorEastAsia" w:hint="eastAsia"/>
          <w:szCs w:val="21"/>
        </w:rPr>
        <w:t>本《招募说明书》中除非文意另有所指，下列词语有如下含义：</w:t>
      </w:r>
    </w:p>
    <w:p w:rsidR="003A3487" w:rsidRPr="008564FF" w:rsidP="004549E4">
      <w:pPr>
        <w:snapToGrid w:val="0"/>
        <w:spacing w:line="360" w:lineRule="auto"/>
        <w:ind w:firstLine="480"/>
        <w:jc w:val="center"/>
        <w:rPr>
          <w:rFonts w:asciiTheme="minorEastAsia" w:eastAsiaTheme="minorEastAsia" w:hAnsiTheme="minorEastAsia"/>
          <w:szCs w:val="21"/>
        </w:rPr>
      </w:pPr>
    </w:p>
    <w:p w:rsidR="003A3487" w:rsidRPr="008564FF" w:rsidP="004549E4">
      <w:pPr>
        <w:snapToGrid w:val="0"/>
        <w:spacing w:line="360" w:lineRule="auto"/>
        <w:ind w:left="2730" w:hanging="2310" w:leftChars="200" w:hangingChars="1100"/>
        <w:rPr>
          <w:rFonts w:asciiTheme="minorEastAsia" w:eastAsiaTheme="minorEastAsia" w:hAnsiTheme="minorEastAsia"/>
          <w:szCs w:val="21"/>
        </w:rPr>
      </w:pPr>
      <w:r w:rsidRPr="008564FF">
        <w:rPr>
          <w:rFonts w:asciiTheme="minorEastAsia" w:eastAsiaTheme="minorEastAsia" w:hAnsiTheme="minorEastAsia" w:hint="eastAsia"/>
          <w:szCs w:val="21"/>
        </w:rPr>
        <w:t>《基金合同》</w:t>
      </w:r>
      <w:r w:rsidRPr="008564FF">
        <w:rPr>
          <w:rFonts w:asciiTheme="minorEastAsia" w:eastAsiaTheme="minorEastAsia" w:hAnsiTheme="minorEastAsia" w:hint="eastAsia"/>
          <w:szCs w:val="21"/>
        </w:rPr>
        <w:tab/>
        <w:t>指《易方达行业领先企业</w:t>
      </w:r>
      <w:r w:rsidRPr="008564FF" w:rsidR="00195752">
        <w:rPr>
          <w:rFonts w:asciiTheme="minorEastAsia" w:eastAsiaTheme="minorEastAsia" w:hAnsiTheme="minorEastAsia" w:hint="eastAsia"/>
          <w:szCs w:val="21"/>
        </w:rPr>
        <w:t>混合</w:t>
      </w:r>
      <w:r w:rsidRPr="008564FF">
        <w:rPr>
          <w:rFonts w:asciiTheme="minorEastAsia" w:eastAsiaTheme="minorEastAsia" w:hAnsiTheme="minorEastAsia" w:hint="eastAsia"/>
          <w:szCs w:val="21"/>
        </w:rPr>
        <w:t>型证券投资基金基金合同》及对本合同的任何有效的修订和补充</w:t>
      </w:r>
    </w:p>
    <w:p w:rsidR="003A3487" w:rsidRPr="008564FF" w:rsidP="004549E4">
      <w:pPr>
        <w:snapToGrid w:val="0"/>
        <w:spacing w:line="360" w:lineRule="auto"/>
        <w:ind w:left="2730" w:hanging="2310" w:leftChars="200" w:hangingChars="1100"/>
        <w:rPr>
          <w:rFonts w:asciiTheme="minorEastAsia" w:eastAsiaTheme="minorEastAsia" w:hAnsiTheme="minorEastAsia"/>
          <w:szCs w:val="21"/>
        </w:rPr>
      </w:pPr>
      <w:r w:rsidRPr="008564FF">
        <w:rPr>
          <w:rFonts w:asciiTheme="minorEastAsia" w:eastAsiaTheme="minorEastAsia" w:hAnsiTheme="minorEastAsia" w:hint="eastAsia"/>
          <w:szCs w:val="21"/>
        </w:rPr>
        <w:t>中国</w:t>
      </w:r>
      <w:r w:rsidRPr="008564FF">
        <w:rPr>
          <w:rFonts w:asciiTheme="minorEastAsia" w:eastAsiaTheme="minorEastAsia" w:hAnsiTheme="minorEastAsia" w:hint="eastAsia"/>
          <w:szCs w:val="21"/>
        </w:rPr>
        <w:tab/>
        <w:t>指中华人民共和国(仅为《基金合同》目的不包括香港特别行政区、澳门特别行政区及台湾地区)</w:t>
      </w:r>
    </w:p>
    <w:p w:rsidR="003A3487" w:rsidRPr="008564FF" w:rsidP="004549E4">
      <w:pPr>
        <w:snapToGrid w:val="0"/>
        <w:spacing w:line="360" w:lineRule="auto"/>
        <w:ind w:left="2730" w:hanging="2310" w:leftChars="200" w:hangingChars="1100"/>
        <w:rPr>
          <w:rFonts w:asciiTheme="minorEastAsia" w:eastAsiaTheme="minorEastAsia" w:hAnsiTheme="minorEastAsia"/>
          <w:szCs w:val="21"/>
        </w:rPr>
      </w:pPr>
      <w:r w:rsidRPr="008564FF">
        <w:rPr>
          <w:rFonts w:asciiTheme="minorEastAsia" w:eastAsiaTheme="minorEastAsia" w:hAnsiTheme="minorEastAsia" w:hint="eastAsia"/>
          <w:szCs w:val="21"/>
        </w:rPr>
        <w:t>法律法规</w:t>
      </w:r>
      <w:r w:rsidRPr="008564FF">
        <w:rPr>
          <w:rFonts w:asciiTheme="minorEastAsia" w:eastAsiaTheme="minorEastAsia" w:hAnsiTheme="minorEastAsia" w:hint="eastAsia"/>
          <w:szCs w:val="21"/>
        </w:rPr>
        <w:tab/>
        <w:t>指中国现时有效并公布实施的法律、行政法规、部门规章及规范性文件</w:t>
      </w:r>
    </w:p>
    <w:p w:rsidR="003A3487" w:rsidRPr="008564FF" w:rsidP="004549E4">
      <w:pPr>
        <w:snapToGrid w:val="0"/>
        <w:spacing w:line="360" w:lineRule="auto"/>
        <w:ind w:left="2730" w:hanging="2310" w:leftChars="200" w:hangingChars="1100"/>
        <w:rPr>
          <w:rFonts w:asciiTheme="minorEastAsia" w:eastAsiaTheme="minorEastAsia" w:hAnsiTheme="minorEastAsia"/>
          <w:szCs w:val="21"/>
        </w:rPr>
      </w:pPr>
      <w:r w:rsidRPr="008564FF">
        <w:rPr>
          <w:rFonts w:asciiTheme="minorEastAsia" w:eastAsiaTheme="minorEastAsia" w:hAnsiTheme="minorEastAsia" w:hint="eastAsia"/>
          <w:szCs w:val="21"/>
        </w:rPr>
        <w:t>《基金法》</w:t>
      </w:r>
      <w:r w:rsidRPr="008564FF">
        <w:rPr>
          <w:rFonts w:asciiTheme="minorEastAsia" w:eastAsiaTheme="minorEastAsia" w:hAnsiTheme="minorEastAsia" w:hint="eastAsia"/>
          <w:szCs w:val="21"/>
        </w:rPr>
        <w:tab/>
        <w:t>指《中华人民共和国证券投资基金法》</w:t>
      </w:r>
    </w:p>
    <w:p w:rsidR="003A3487" w:rsidRPr="008564FF" w:rsidP="004549E4">
      <w:pPr>
        <w:snapToGrid w:val="0"/>
        <w:spacing w:line="360" w:lineRule="auto"/>
        <w:ind w:left="2730" w:hanging="2310" w:leftChars="200" w:hangingChars="1100"/>
        <w:rPr>
          <w:rFonts w:asciiTheme="minorEastAsia" w:eastAsiaTheme="minorEastAsia" w:hAnsiTheme="minorEastAsia"/>
          <w:szCs w:val="21"/>
        </w:rPr>
      </w:pPr>
      <w:r w:rsidRPr="008564FF">
        <w:rPr>
          <w:rFonts w:asciiTheme="minorEastAsia" w:eastAsiaTheme="minorEastAsia" w:hAnsiTheme="minorEastAsia" w:hint="eastAsia"/>
          <w:szCs w:val="21"/>
        </w:rPr>
        <w:t>《销售办法》</w:t>
      </w:r>
      <w:r w:rsidRPr="008564FF">
        <w:rPr>
          <w:rFonts w:asciiTheme="minorEastAsia" w:eastAsiaTheme="minorEastAsia" w:hAnsiTheme="minorEastAsia" w:hint="eastAsia"/>
          <w:szCs w:val="21"/>
        </w:rPr>
        <w:tab/>
        <w:t>指《证券投资基金销售管理办法》</w:t>
      </w:r>
    </w:p>
    <w:p w:rsidR="003A3487" w:rsidRPr="008564FF" w:rsidP="004549E4">
      <w:pPr>
        <w:snapToGrid w:val="0"/>
        <w:spacing w:line="360" w:lineRule="auto"/>
        <w:ind w:left="2730" w:hanging="2310" w:leftChars="200" w:hangingChars="1100"/>
        <w:rPr>
          <w:rFonts w:asciiTheme="minorEastAsia" w:eastAsiaTheme="minorEastAsia" w:hAnsiTheme="minorEastAsia"/>
          <w:szCs w:val="21"/>
        </w:rPr>
      </w:pPr>
      <w:r w:rsidRPr="008564FF">
        <w:rPr>
          <w:rFonts w:asciiTheme="minorEastAsia" w:eastAsiaTheme="minorEastAsia" w:hAnsiTheme="minorEastAsia" w:hint="eastAsia"/>
          <w:szCs w:val="21"/>
        </w:rPr>
        <w:t>《运作办法》</w:t>
      </w:r>
      <w:r w:rsidRPr="008564FF">
        <w:rPr>
          <w:rFonts w:asciiTheme="minorEastAsia" w:eastAsiaTheme="minorEastAsia" w:hAnsiTheme="minorEastAsia" w:hint="eastAsia"/>
          <w:szCs w:val="21"/>
        </w:rPr>
        <w:tab/>
        <w:t>指《</w:t>
      </w:r>
      <w:r w:rsidRPr="008564FF" w:rsidR="007563CC">
        <w:rPr>
          <w:rFonts w:asciiTheme="minorEastAsia" w:eastAsiaTheme="minorEastAsia" w:hAnsiTheme="minorEastAsia" w:hint="eastAsia"/>
          <w:szCs w:val="21"/>
        </w:rPr>
        <w:t>公开募集</w:t>
      </w:r>
      <w:r w:rsidRPr="008564FF">
        <w:rPr>
          <w:rFonts w:asciiTheme="minorEastAsia" w:eastAsiaTheme="minorEastAsia" w:hAnsiTheme="minorEastAsia" w:hint="eastAsia"/>
          <w:szCs w:val="21"/>
        </w:rPr>
        <w:t>证券投资基金运作管理办法》</w:t>
      </w:r>
    </w:p>
    <w:p w:rsidR="0083185E" w:rsidRPr="008564FF" w:rsidP="00AF6805">
      <w:pPr>
        <w:spacing w:line="360" w:lineRule="auto"/>
        <w:ind w:left="2730" w:hanging="2310" w:leftChars="200" w:hangingChars="1100"/>
        <w:rPr>
          <w:rFonts w:asciiTheme="minorEastAsia" w:eastAsiaTheme="minorEastAsia" w:hAnsiTheme="minorEastAsia"/>
          <w:szCs w:val="21"/>
        </w:rPr>
      </w:pPr>
      <w:r w:rsidRPr="008564FF">
        <w:rPr>
          <w:rFonts w:asciiTheme="minorEastAsia" w:eastAsiaTheme="minorEastAsia" w:hAnsiTheme="minorEastAsia" w:hint="eastAsia"/>
          <w:szCs w:val="21"/>
        </w:rPr>
        <w:t>《管理规定》</w:t>
      </w:r>
      <w:r w:rsidRPr="008564FF" w:rsidR="004248B3">
        <w:rPr>
          <w:rFonts w:asciiTheme="minorEastAsia" w:eastAsiaTheme="minorEastAsia" w:hAnsiTheme="minorEastAsia" w:hint="eastAsia"/>
          <w:szCs w:val="21"/>
        </w:rPr>
        <w:tab/>
      </w:r>
      <w:r w:rsidRPr="008564FF">
        <w:rPr>
          <w:rFonts w:asciiTheme="minorEastAsia" w:eastAsiaTheme="minorEastAsia" w:hAnsiTheme="minorEastAsia" w:hint="eastAsia"/>
          <w:szCs w:val="21"/>
        </w:rPr>
        <w:t>指中国证监会</w:t>
      </w:r>
      <w:r w:rsidRPr="008564FF">
        <w:rPr>
          <w:rFonts w:asciiTheme="minorEastAsia" w:eastAsiaTheme="minorEastAsia" w:hAnsiTheme="minorEastAsia"/>
          <w:szCs w:val="21"/>
        </w:rPr>
        <w:t>2017</w:t>
      </w:r>
      <w:r w:rsidRPr="008564FF">
        <w:rPr>
          <w:rFonts w:asciiTheme="minorEastAsia" w:eastAsiaTheme="minorEastAsia" w:hAnsiTheme="minorEastAsia" w:hint="eastAsia"/>
          <w:szCs w:val="21"/>
        </w:rPr>
        <w:t>年</w:t>
      </w:r>
      <w:r w:rsidRPr="008564FF">
        <w:rPr>
          <w:rFonts w:asciiTheme="minorEastAsia" w:eastAsiaTheme="minorEastAsia" w:hAnsiTheme="minorEastAsia"/>
          <w:szCs w:val="21"/>
        </w:rPr>
        <w:t>8</w:t>
      </w:r>
      <w:r w:rsidRPr="008564FF">
        <w:rPr>
          <w:rFonts w:asciiTheme="minorEastAsia" w:eastAsiaTheme="minorEastAsia" w:hAnsiTheme="minorEastAsia" w:hint="eastAsia"/>
          <w:szCs w:val="21"/>
        </w:rPr>
        <w:t>月</w:t>
      </w:r>
      <w:r w:rsidRPr="008564FF">
        <w:rPr>
          <w:rFonts w:asciiTheme="minorEastAsia" w:eastAsiaTheme="minorEastAsia" w:hAnsiTheme="minorEastAsia"/>
          <w:szCs w:val="21"/>
        </w:rPr>
        <w:t>31</w:t>
      </w:r>
      <w:r w:rsidRPr="008564FF">
        <w:rPr>
          <w:rFonts w:asciiTheme="minorEastAsia" w:eastAsiaTheme="minorEastAsia" w:hAnsiTheme="minorEastAsia" w:hint="eastAsia"/>
          <w:szCs w:val="21"/>
        </w:rPr>
        <w:t>日颁布、同年</w:t>
      </w:r>
      <w:r w:rsidRPr="008564FF">
        <w:rPr>
          <w:rFonts w:asciiTheme="minorEastAsia" w:eastAsiaTheme="minorEastAsia" w:hAnsiTheme="minorEastAsia"/>
          <w:szCs w:val="21"/>
        </w:rPr>
        <w:t>10</w:t>
      </w:r>
      <w:r w:rsidRPr="008564FF">
        <w:rPr>
          <w:rFonts w:asciiTheme="minorEastAsia" w:eastAsiaTheme="minorEastAsia" w:hAnsiTheme="minorEastAsia" w:hint="eastAsia"/>
          <w:szCs w:val="21"/>
        </w:rPr>
        <w:t>月</w:t>
      </w:r>
      <w:r w:rsidRPr="008564FF">
        <w:rPr>
          <w:rFonts w:asciiTheme="minorEastAsia" w:eastAsiaTheme="minorEastAsia" w:hAnsiTheme="minorEastAsia"/>
          <w:szCs w:val="21"/>
        </w:rPr>
        <w:t>1</w:t>
      </w:r>
      <w:r w:rsidRPr="008564FF">
        <w:rPr>
          <w:rFonts w:asciiTheme="minorEastAsia" w:eastAsiaTheme="minorEastAsia" w:hAnsiTheme="minorEastAsia" w:hint="eastAsia"/>
          <w:szCs w:val="21"/>
        </w:rPr>
        <w:t>日实施的《公开募集开放式证券投资基金流动性风险管理规定》及颁布机关对其不时做出的修订</w:t>
      </w:r>
    </w:p>
    <w:p w:rsidR="003A3487" w:rsidRPr="008564FF" w:rsidP="004549E4">
      <w:pPr>
        <w:snapToGrid w:val="0"/>
        <w:spacing w:line="360" w:lineRule="auto"/>
        <w:ind w:left="2730" w:hanging="2310" w:leftChars="200" w:hangingChars="1100"/>
        <w:rPr>
          <w:rFonts w:asciiTheme="minorEastAsia" w:eastAsiaTheme="minorEastAsia" w:hAnsiTheme="minorEastAsia"/>
          <w:szCs w:val="21"/>
        </w:rPr>
      </w:pPr>
      <w:r w:rsidRPr="008564FF">
        <w:rPr>
          <w:rFonts w:asciiTheme="minorEastAsia" w:eastAsiaTheme="minorEastAsia" w:hAnsiTheme="minorEastAsia" w:hint="eastAsia"/>
          <w:szCs w:val="21"/>
        </w:rPr>
        <w:t>《信息披露办法》</w:t>
      </w:r>
      <w:r w:rsidRPr="008564FF">
        <w:rPr>
          <w:rFonts w:asciiTheme="minorEastAsia" w:eastAsiaTheme="minorEastAsia" w:hAnsiTheme="minorEastAsia" w:hint="eastAsia"/>
          <w:szCs w:val="21"/>
        </w:rPr>
        <w:tab/>
        <w:t>指</w:t>
      </w:r>
      <w:r w:rsidRPr="008564FF" w:rsidR="00365EC5">
        <w:rPr>
          <w:rFonts w:asciiTheme="minorEastAsia" w:eastAsiaTheme="minorEastAsia" w:hAnsiTheme="minorEastAsia" w:hint="eastAsia"/>
          <w:szCs w:val="21"/>
        </w:rPr>
        <w:t>中国证监会2019年7月26日颁布、同年9月1日实施的《公开募集证券投资基金信息披露管理办法》及颁布机关对其不时做出的修订</w:t>
      </w:r>
    </w:p>
    <w:p w:rsidR="003A3487" w:rsidRPr="008564FF" w:rsidP="004549E4">
      <w:pPr>
        <w:snapToGrid w:val="0"/>
        <w:spacing w:line="360" w:lineRule="auto"/>
        <w:ind w:left="2730" w:hanging="2310" w:leftChars="200" w:hangingChars="1100"/>
        <w:rPr>
          <w:rFonts w:asciiTheme="minorEastAsia" w:eastAsiaTheme="minorEastAsia" w:hAnsiTheme="minorEastAsia"/>
          <w:szCs w:val="21"/>
        </w:rPr>
      </w:pPr>
      <w:r w:rsidRPr="008564FF">
        <w:rPr>
          <w:rFonts w:asciiTheme="minorEastAsia" w:eastAsiaTheme="minorEastAsia" w:hAnsiTheme="minorEastAsia" w:hint="eastAsia"/>
          <w:szCs w:val="21"/>
        </w:rPr>
        <w:t>元</w:t>
      </w:r>
      <w:r w:rsidRPr="008564FF">
        <w:rPr>
          <w:rFonts w:asciiTheme="minorEastAsia" w:eastAsiaTheme="minorEastAsia" w:hAnsiTheme="minorEastAsia" w:hint="eastAsia"/>
          <w:szCs w:val="21"/>
        </w:rPr>
        <w:tab/>
        <w:t>指中国法定货币人民币元</w:t>
      </w:r>
    </w:p>
    <w:p w:rsidR="003A3487" w:rsidRPr="008564FF" w:rsidP="004549E4">
      <w:pPr>
        <w:snapToGrid w:val="0"/>
        <w:spacing w:line="360" w:lineRule="auto"/>
        <w:ind w:left="2730" w:hanging="2310" w:leftChars="200" w:hangingChars="1100"/>
        <w:rPr>
          <w:rFonts w:asciiTheme="minorEastAsia" w:eastAsiaTheme="minorEastAsia" w:hAnsiTheme="minorEastAsia"/>
          <w:szCs w:val="21"/>
        </w:rPr>
      </w:pPr>
      <w:r w:rsidRPr="008564FF">
        <w:rPr>
          <w:rFonts w:asciiTheme="minorEastAsia" w:eastAsiaTheme="minorEastAsia" w:hAnsiTheme="minorEastAsia" w:hint="eastAsia"/>
          <w:szCs w:val="21"/>
        </w:rPr>
        <w:t>基金或本基金</w:t>
      </w:r>
      <w:r w:rsidRPr="008564FF">
        <w:rPr>
          <w:rFonts w:asciiTheme="minorEastAsia" w:eastAsiaTheme="minorEastAsia" w:hAnsiTheme="minorEastAsia" w:hint="eastAsia"/>
          <w:szCs w:val="21"/>
        </w:rPr>
        <w:tab/>
        <w:t>指依据《基金合同》所募集的易方达行业领先企业</w:t>
      </w:r>
      <w:r w:rsidRPr="008564FF" w:rsidR="00195752">
        <w:rPr>
          <w:rFonts w:asciiTheme="minorEastAsia" w:eastAsiaTheme="minorEastAsia" w:hAnsiTheme="minorEastAsia" w:hint="eastAsia"/>
          <w:szCs w:val="21"/>
        </w:rPr>
        <w:t>混合</w:t>
      </w:r>
      <w:r w:rsidRPr="008564FF">
        <w:rPr>
          <w:rFonts w:asciiTheme="minorEastAsia" w:eastAsiaTheme="minorEastAsia" w:hAnsiTheme="minorEastAsia" w:hint="eastAsia"/>
          <w:szCs w:val="21"/>
        </w:rPr>
        <w:t>型证券投资基金</w:t>
      </w:r>
    </w:p>
    <w:p w:rsidR="00365EC5" w:rsidRPr="008564FF" w:rsidP="004549E4">
      <w:pPr>
        <w:snapToGrid w:val="0"/>
        <w:spacing w:line="360" w:lineRule="auto"/>
        <w:ind w:left="2730" w:hanging="2310" w:leftChars="200" w:hangingChars="1100"/>
        <w:rPr>
          <w:rFonts w:asciiTheme="minorEastAsia" w:eastAsiaTheme="minorEastAsia" w:hAnsiTheme="minorEastAsia"/>
          <w:szCs w:val="21"/>
        </w:rPr>
      </w:pPr>
      <w:r w:rsidRPr="008564FF">
        <w:rPr>
          <w:rFonts w:asciiTheme="minorEastAsia" w:eastAsiaTheme="minorEastAsia" w:hAnsiTheme="minorEastAsia" w:hint="eastAsia"/>
          <w:szCs w:val="21"/>
        </w:rPr>
        <w:t>招募说明书</w:t>
      </w:r>
      <w:r w:rsidRPr="008564FF">
        <w:rPr>
          <w:rFonts w:asciiTheme="minorEastAsia" w:eastAsiaTheme="minorEastAsia" w:hAnsiTheme="minorEastAsia" w:hint="eastAsia"/>
          <w:szCs w:val="21"/>
        </w:rPr>
        <w:tab/>
        <w:t>指《易方达行业领先企业</w:t>
      </w:r>
      <w:r w:rsidRPr="008564FF" w:rsidR="004427C8">
        <w:rPr>
          <w:rFonts w:asciiTheme="minorEastAsia" w:eastAsiaTheme="minorEastAsia" w:hAnsiTheme="minorEastAsia" w:hint="eastAsia"/>
          <w:szCs w:val="21"/>
        </w:rPr>
        <w:t>混合</w:t>
      </w:r>
      <w:r w:rsidRPr="008564FF">
        <w:rPr>
          <w:rFonts w:asciiTheme="minorEastAsia" w:eastAsiaTheme="minorEastAsia" w:hAnsiTheme="minorEastAsia" w:hint="eastAsia"/>
          <w:szCs w:val="21"/>
        </w:rPr>
        <w:t>型证券投资基金招募说明书》，即用于公开披露本基金的基金管理人及基金托管人、相关服务机构、基金的募集、基金合同的生效、基金份额的交易、基金份额的申购和赎回、基金的投资、基金的业绩、基金的财产、基金资产的估值、基金收益与分配、基金的费用与税收、基金的信息披露、风险揭示、基金的终止与清算、基金合同的内容摘要、基金托管协议的内容摘要、对基金份额持有人的服务、其他应披露事项、招募说明书的存放及查阅方式、备查文件等涉及本基金的信息，供基金投资者选择并决定是否提出基金认购或申购申请的要约邀请文件，及其更新</w:t>
      </w:r>
    </w:p>
    <w:p w:rsidR="003A3487" w:rsidRPr="008564FF" w:rsidP="004549E4">
      <w:pPr>
        <w:snapToGrid w:val="0"/>
        <w:spacing w:line="360" w:lineRule="auto"/>
        <w:ind w:left="2730" w:hanging="2310" w:leftChars="200" w:hangingChars="1100"/>
        <w:rPr>
          <w:rFonts w:asciiTheme="minorEastAsia" w:eastAsiaTheme="minorEastAsia" w:hAnsiTheme="minorEastAsia"/>
          <w:szCs w:val="21"/>
        </w:rPr>
      </w:pPr>
      <w:r w:rsidRPr="008564FF">
        <w:rPr>
          <w:rFonts w:asciiTheme="minorEastAsia" w:eastAsiaTheme="minorEastAsia" w:hAnsiTheme="minorEastAsia" w:hint="eastAsia"/>
          <w:szCs w:val="21"/>
        </w:rPr>
        <w:t>基金产品资料概要</w:t>
      </w:r>
      <w:r w:rsidRPr="008564FF">
        <w:rPr>
          <w:rFonts w:asciiTheme="minorEastAsia" w:eastAsiaTheme="minorEastAsia" w:hAnsiTheme="minorEastAsia" w:hint="eastAsia"/>
          <w:szCs w:val="21"/>
        </w:rPr>
        <w:tab/>
        <w:t>指《易方达行业领先企业混合型证券投资基金基金产品资料概</w:t>
      </w:r>
      <w:r w:rsidRPr="008564FF">
        <w:rPr>
          <w:rFonts w:asciiTheme="minorEastAsia" w:eastAsiaTheme="minorEastAsia" w:hAnsiTheme="minorEastAsia" w:hint="eastAsia"/>
          <w:szCs w:val="21"/>
        </w:rPr>
        <w:t>要》及其更新</w:t>
      </w:r>
    </w:p>
    <w:p w:rsidR="003A3487" w:rsidRPr="008564FF" w:rsidP="004549E4">
      <w:pPr>
        <w:snapToGrid w:val="0"/>
        <w:spacing w:line="360" w:lineRule="auto"/>
        <w:ind w:left="2730" w:hanging="2310" w:leftChars="200" w:hangingChars="1100"/>
        <w:rPr>
          <w:rFonts w:asciiTheme="minorEastAsia" w:eastAsiaTheme="minorEastAsia" w:hAnsiTheme="minorEastAsia"/>
          <w:szCs w:val="21"/>
        </w:rPr>
      </w:pPr>
      <w:r w:rsidRPr="008564FF">
        <w:rPr>
          <w:rFonts w:asciiTheme="minorEastAsia" w:eastAsiaTheme="minorEastAsia" w:hAnsiTheme="minorEastAsia" w:hint="eastAsia"/>
          <w:szCs w:val="21"/>
        </w:rPr>
        <w:t>托管协议</w:t>
      </w:r>
      <w:r w:rsidRPr="008564FF">
        <w:rPr>
          <w:rFonts w:asciiTheme="minorEastAsia" w:eastAsiaTheme="minorEastAsia" w:hAnsiTheme="minorEastAsia" w:hint="eastAsia"/>
          <w:szCs w:val="21"/>
        </w:rPr>
        <w:tab/>
        <w:t>指基金管理人与基金托管人签订的《易方达行业领先企业</w:t>
      </w:r>
      <w:r w:rsidRPr="008564FF" w:rsidR="00C11B1B">
        <w:rPr>
          <w:rFonts w:asciiTheme="minorEastAsia" w:eastAsiaTheme="minorEastAsia" w:hAnsiTheme="minorEastAsia" w:hint="eastAsia"/>
          <w:szCs w:val="21"/>
        </w:rPr>
        <w:t>混合</w:t>
      </w:r>
      <w:r w:rsidRPr="008564FF">
        <w:rPr>
          <w:rFonts w:asciiTheme="minorEastAsia" w:eastAsiaTheme="minorEastAsia" w:hAnsiTheme="minorEastAsia" w:hint="eastAsia"/>
          <w:szCs w:val="21"/>
        </w:rPr>
        <w:t>型证券投资基金托管协议》及其任何有效修订和补充</w:t>
      </w:r>
    </w:p>
    <w:p w:rsidR="003A3487" w:rsidRPr="008564FF" w:rsidP="004549E4">
      <w:pPr>
        <w:snapToGrid w:val="0"/>
        <w:spacing w:line="360" w:lineRule="auto"/>
        <w:ind w:left="2730" w:hanging="2310" w:leftChars="200" w:hangingChars="1100"/>
        <w:rPr>
          <w:rFonts w:asciiTheme="minorEastAsia" w:eastAsiaTheme="minorEastAsia" w:hAnsiTheme="minorEastAsia"/>
          <w:szCs w:val="21"/>
        </w:rPr>
      </w:pPr>
      <w:r w:rsidRPr="008564FF">
        <w:rPr>
          <w:rFonts w:asciiTheme="minorEastAsia" w:eastAsiaTheme="minorEastAsia" w:hAnsiTheme="minorEastAsia" w:hint="eastAsia"/>
          <w:szCs w:val="21"/>
        </w:rPr>
        <w:t>发售公告</w:t>
      </w:r>
      <w:r w:rsidRPr="008564FF">
        <w:rPr>
          <w:rFonts w:asciiTheme="minorEastAsia" w:eastAsiaTheme="minorEastAsia" w:hAnsiTheme="minorEastAsia" w:hint="eastAsia"/>
          <w:szCs w:val="21"/>
        </w:rPr>
        <w:tab/>
        <w:t>指《易方达行业领先企业股票型证券投资基金基金份额发售公告》</w:t>
      </w:r>
    </w:p>
    <w:p w:rsidR="003A3487" w:rsidRPr="008564FF" w:rsidP="004549E4">
      <w:pPr>
        <w:snapToGrid w:val="0"/>
        <w:spacing w:line="360" w:lineRule="auto"/>
        <w:ind w:left="2730" w:hanging="2310" w:leftChars="200" w:hangingChars="1100"/>
        <w:rPr>
          <w:rFonts w:asciiTheme="minorEastAsia" w:eastAsiaTheme="minorEastAsia" w:hAnsiTheme="minorEastAsia"/>
          <w:szCs w:val="21"/>
        </w:rPr>
      </w:pPr>
      <w:r w:rsidRPr="008564FF">
        <w:rPr>
          <w:rFonts w:asciiTheme="minorEastAsia" w:eastAsiaTheme="minorEastAsia" w:hAnsiTheme="minorEastAsia" w:hint="eastAsia"/>
          <w:szCs w:val="21"/>
        </w:rPr>
        <w:t>《业务规则》</w:t>
      </w:r>
      <w:r w:rsidRPr="008564FF">
        <w:rPr>
          <w:rFonts w:asciiTheme="minorEastAsia" w:eastAsiaTheme="minorEastAsia" w:hAnsiTheme="minorEastAsia" w:hint="eastAsia"/>
          <w:szCs w:val="21"/>
        </w:rPr>
        <w:tab/>
        <w:t>指《易方达基金管理有限公司开放式基金业务规则》</w:t>
      </w:r>
    </w:p>
    <w:p w:rsidR="003A3487" w:rsidRPr="008564FF" w:rsidP="004549E4">
      <w:pPr>
        <w:snapToGrid w:val="0"/>
        <w:spacing w:line="360" w:lineRule="auto"/>
        <w:ind w:left="2730" w:hanging="2310" w:leftChars="200" w:hangingChars="1100"/>
        <w:rPr>
          <w:rFonts w:asciiTheme="minorEastAsia" w:eastAsiaTheme="minorEastAsia" w:hAnsiTheme="minorEastAsia"/>
          <w:szCs w:val="21"/>
        </w:rPr>
      </w:pPr>
      <w:r w:rsidRPr="008564FF">
        <w:rPr>
          <w:rFonts w:asciiTheme="minorEastAsia" w:eastAsiaTheme="minorEastAsia" w:hAnsiTheme="minorEastAsia" w:hint="eastAsia"/>
          <w:szCs w:val="21"/>
        </w:rPr>
        <w:t>中国证监会</w:t>
      </w:r>
      <w:r w:rsidRPr="008564FF">
        <w:rPr>
          <w:rFonts w:asciiTheme="minorEastAsia" w:eastAsiaTheme="minorEastAsia" w:hAnsiTheme="minorEastAsia" w:hint="eastAsia"/>
          <w:szCs w:val="21"/>
        </w:rPr>
        <w:tab/>
        <w:t>指中国证券监督管理委员会</w:t>
      </w:r>
    </w:p>
    <w:p w:rsidR="003A3487" w:rsidRPr="008564FF" w:rsidP="004549E4">
      <w:pPr>
        <w:snapToGrid w:val="0"/>
        <w:spacing w:line="360" w:lineRule="auto"/>
        <w:ind w:left="2730" w:hanging="2310" w:leftChars="200" w:hangingChars="1100"/>
        <w:rPr>
          <w:rFonts w:asciiTheme="minorEastAsia" w:eastAsiaTheme="minorEastAsia" w:hAnsiTheme="minorEastAsia"/>
          <w:szCs w:val="21"/>
        </w:rPr>
      </w:pPr>
      <w:r w:rsidRPr="008564FF">
        <w:rPr>
          <w:rFonts w:asciiTheme="minorEastAsia" w:eastAsiaTheme="minorEastAsia" w:hAnsiTheme="minorEastAsia" w:hint="eastAsia"/>
          <w:szCs w:val="21"/>
        </w:rPr>
        <w:t>银行监管机构</w:t>
      </w:r>
      <w:r w:rsidRPr="008564FF">
        <w:rPr>
          <w:rFonts w:asciiTheme="minorEastAsia" w:eastAsiaTheme="minorEastAsia" w:hAnsiTheme="minorEastAsia" w:hint="eastAsia"/>
          <w:szCs w:val="21"/>
        </w:rPr>
        <w:tab/>
        <w:t>指</w:t>
      </w:r>
      <w:r w:rsidRPr="008564FF" w:rsidR="00CC0E33">
        <w:rPr>
          <w:rFonts w:asciiTheme="minorEastAsia" w:eastAsiaTheme="minorEastAsia" w:hAnsiTheme="minorEastAsia" w:hint="eastAsia"/>
          <w:szCs w:val="21"/>
        </w:rPr>
        <w:t>中国银行保险监督管理委员会</w:t>
      </w:r>
      <w:r w:rsidRPr="008564FF">
        <w:rPr>
          <w:rFonts w:asciiTheme="minorEastAsia" w:eastAsiaTheme="minorEastAsia" w:hAnsiTheme="minorEastAsia" w:hint="eastAsia"/>
          <w:szCs w:val="21"/>
        </w:rPr>
        <w:t>或其他经国务院授权的机构</w:t>
      </w:r>
    </w:p>
    <w:p w:rsidR="003A3487" w:rsidRPr="008564FF" w:rsidP="004549E4">
      <w:pPr>
        <w:snapToGrid w:val="0"/>
        <w:spacing w:line="360" w:lineRule="auto"/>
        <w:ind w:left="2730" w:hanging="2310" w:leftChars="200" w:hangingChars="1100"/>
        <w:rPr>
          <w:rFonts w:asciiTheme="minorEastAsia" w:eastAsiaTheme="minorEastAsia" w:hAnsiTheme="minorEastAsia"/>
          <w:szCs w:val="21"/>
        </w:rPr>
      </w:pPr>
      <w:r w:rsidRPr="008564FF">
        <w:rPr>
          <w:rFonts w:asciiTheme="minorEastAsia" w:eastAsiaTheme="minorEastAsia" w:hAnsiTheme="minorEastAsia" w:hint="eastAsia"/>
          <w:szCs w:val="21"/>
        </w:rPr>
        <w:t>基金管理人</w:t>
      </w:r>
      <w:r w:rsidRPr="008564FF">
        <w:rPr>
          <w:rFonts w:asciiTheme="minorEastAsia" w:eastAsiaTheme="minorEastAsia" w:hAnsiTheme="minorEastAsia" w:hint="eastAsia"/>
          <w:szCs w:val="21"/>
        </w:rPr>
        <w:tab/>
        <w:t>指易方达基金管理有限公司</w:t>
      </w:r>
    </w:p>
    <w:p w:rsidR="003A3487" w:rsidRPr="008564FF" w:rsidP="004549E4">
      <w:pPr>
        <w:snapToGrid w:val="0"/>
        <w:spacing w:line="360" w:lineRule="auto"/>
        <w:ind w:left="2730" w:hanging="2310" w:leftChars="200" w:hangingChars="1100"/>
        <w:rPr>
          <w:rFonts w:asciiTheme="minorEastAsia" w:eastAsiaTheme="minorEastAsia" w:hAnsiTheme="minorEastAsia"/>
          <w:szCs w:val="21"/>
        </w:rPr>
      </w:pPr>
      <w:r w:rsidRPr="008564FF">
        <w:rPr>
          <w:rFonts w:asciiTheme="minorEastAsia" w:eastAsiaTheme="minorEastAsia" w:hAnsiTheme="minorEastAsia" w:hint="eastAsia"/>
          <w:szCs w:val="21"/>
        </w:rPr>
        <w:t>基金托管人</w:t>
      </w:r>
      <w:r w:rsidRPr="008564FF">
        <w:rPr>
          <w:rFonts w:asciiTheme="minorEastAsia" w:eastAsiaTheme="minorEastAsia" w:hAnsiTheme="minorEastAsia" w:hint="eastAsia"/>
          <w:szCs w:val="21"/>
        </w:rPr>
        <w:tab/>
        <w:t>指中国工商银行股份有限公司</w:t>
      </w:r>
    </w:p>
    <w:p w:rsidR="003A3487" w:rsidRPr="008564FF" w:rsidP="004549E4">
      <w:pPr>
        <w:snapToGrid w:val="0"/>
        <w:spacing w:line="360" w:lineRule="auto"/>
        <w:ind w:left="2730" w:hanging="2310" w:leftChars="200" w:hangingChars="1100"/>
        <w:rPr>
          <w:rFonts w:asciiTheme="minorEastAsia" w:eastAsiaTheme="minorEastAsia" w:hAnsiTheme="minorEastAsia"/>
          <w:szCs w:val="21"/>
        </w:rPr>
      </w:pPr>
      <w:r w:rsidRPr="008564FF">
        <w:rPr>
          <w:rStyle w:val="read"/>
          <w:rFonts w:asciiTheme="minorEastAsia" w:eastAsiaTheme="minorEastAsia" w:hAnsiTheme="minorEastAsia" w:hint="eastAsia"/>
          <w:szCs w:val="21"/>
        </w:rPr>
        <w:t>基金份额持有人</w:t>
      </w:r>
      <w:r w:rsidRPr="008564FF">
        <w:rPr>
          <w:rStyle w:val="read"/>
          <w:rFonts w:asciiTheme="minorEastAsia" w:eastAsiaTheme="minorEastAsia" w:hAnsiTheme="minorEastAsia" w:hint="eastAsia"/>
          <w:szCs w:val="21"/>
        </w:rPr>
        <w:tab/>
        <w:t>指根据《基金合同》及相关文件合法取得本基金基金份额的投资者；</w:t>
      </w:r>
    </w:p>
    <w:p w:rsidR="003A3487" w:rsidRPr="008564FF" w:rsidP="004549E4">
      <w:pPr>
        <w:snapToGrid w:val="0"/>
        <w:spacing w:line="360" w:lineRule="auto"/>
        <w:ind w:left="2730" w:hanging="2310" w:leftChars="200" w:hangingChars="1100"/>
        <w:rPr>
          <w:rFonts w:asciiTheme="minorEastAsia" w:eastAsiaTheme="minorEastAsia" w:hAnsiTheme="minorEastAsia"/>
          <w:szCs w:val="21"/>
        </w:rPr>
      </w:pPr>
      <w:r w:rsidRPr="008564FF">
        <w:rPr>
          <w:rFonts w:asciiTheme="minorEastAsia" w:eastAsiaTheme="minorEastAsia" w:hAnsiTheme="minorEastAsia" w:hint="eastAsia"/>
          <w:szCs w:val="21"/>
        </w:rPr>
        <w:t>基金</w:t>
      </w:r>
      <w:r w:rsidRPr="008564FF" w:rsidR="007F5C61">
        <w:rPr>
          <w:rFonts w:asciiTheme="minorEastAsia" w:eastAsiaTheme="minorEastAsia" w:hAnsiTheme="minorEastAsia" w:hint="eastAsia"/>
          <w:szCs w:val="21"/>
        </w:rPr>
        <w:t>非直销销售</w:t>
      </w:r>
      <w:r w:rsidRPr="008564FF">
        <w:rPr>
          <w:rFonts w:asciiTheme="minorEastAsia" w:eastAsiaTheme="minorEastAsia" w:hAnsiTheme="minorEastAsia" w:hint="eastAsia"/>
          <w:szCs w:val="21"/>
        </w:rPr>
        <w:t>机构</w:t>
      </w:r>
      <w:r w:rsidRPr="008564FF">
        <w:rPr>
          <w:rFonts w:asciiTheme="minorEastAsia" w:eastAsiaTheme="minorEastAsia" w:hAnsiTheme="minorEastAsia" w:hint="eastAsia"/>
          <w:szCs w:val="21"/>
        </w:rPr>
        <w:tab/>
        <w:t>指符合《销售办法》和中国证监会规定的其他条件，取得基金</w:t>
      </w:r>
      <w:r w:rsidRPr="008564FF" w:rsidR="007F5C61">
        <w:rPr>
          <w:rFonts w:asciiTheme="minorEastAsia" w:eastAsiaTheme="minorEastAsia" w:hAnsiTheme="minorEastAsia" w:hint="eastAsia"/>
          <w:szCs w:val="21"/>
        </w:rPr>
        <w:t>销售</w:t>
      </w:r>
      <w:r w:rsidRPr="008564FF">
        <w:rPr>
          <w:rFonts w:asciiTheme="minorEastAsia" w:eastAsiaTheme="minorEastAsia" w:hAnsiTheme="minorEastAsia" w:hint="eastAsia"/>
          <w:szCs w:val="21"/>
        </w:rPr>
        <w:t>业务资格并与基金管理人签订</w:t>
      </w:r>
      <w:r w:rsidRPr="008564FF" w:rsidR="008D52B0">
        <w:rPr>
          <w:rFonts w:asciiTheme="minorEastAsia" w:eastAsiaTheme="minorEastAsia" w:hAnsiTheme="minorEastAsia" w:hint="eastAsia"/>
          <w:szCs w:val="21"/>
        </w:rPr>
        <w:t>了</w:t>
      </w:r>
      <w:r w:rsidRPr="008564FF">
        <w:rPr>
          <w:rFonts w:asciiTheme="minorEastAsia" w:eastAsiaTheme="minorEastAsia" w:hAnsiTheme="minorEastAsia" w:hint="eastAsia"/>
          <w:szCs w:val="21"/>
        </w:rPr>
        <w:t>基金销售服务协议，办理基金</w:t>
      </w:r>
      <w:r w:rsidRPr="008564FF" w:rsidR="008D52B0">
        <w:rPr>
          <w:rFonts w:asciiTheme="minorEastAsia" w:eastAsiaTheme="minorEastAsia" w:hAnsiTheme="minorEastAsia" w:hint="eastAsia"/>
          <w:szCs w:val="21"/>
        </w:rPr>
        <w:t>销售</w:t>
      </w:r>
      <w:r w:rsidRPr="008564FF">
        <w:rPr>
          <w:rFonts w:asciiTheme="minorEastAsia" w:eastAsiaTheme="minorEastAsia" w:hAnsiTheme="minorEastAsia" w:hint="eastAsia"/>
          <w:szCs w:val="21"/>
        </w:rPr>
        <w:t>业务的机构</w:t>
      </w:r>
    </w:p>
    <w:p w:rsidR="003A3487" w:rsidRPr="008564FF" w:rsidP="004549E4">
      <w:pPr>
        <w:snapToGrid w:val="0"/>
        <w:spacing w:line="360" w:lineRule="auto"/>
        <w:ind w:left="2730" w:hanging="2310" w:leftChars="200" w:hangingChars="1100"/>
        <w:rPr>
          <w:rFonts w:asciiTheme="minorEastAsia" w:eastAsiaTheme="minorEastAsia" w:hAnsiTheme="minorEastAsia"/>
          <w:szCs w:val="21"/>
        </w:rPr>
      </w:pPr>
      <w:r w:rsidRPr="008564FF">
        <w:rPr>
          <w:rFonts w:asciiTheme="minorEastAsia" w:eastAsiaTheme="minorEastAsia" w:hAnsiTheme="minorEastAsia" w:hint="eastAsia"/>
          <w:szCs w:val="21"/>
        </w:rPr>
        <w:t>销售机构</w:t>
      </w:r>
      <w:r w:rsidRPr="008564FF">
        <w:rPr>
          <w:rFonts w:asciiTheme="minorEastAsia" w:eastAsiaTheme="minorEastAsia" w:hAnsiTheme="minorEastAsia" w:hint="eastAsia"/>
          <w:szCs w:val="21"/>
        </w:rPr>
        <w:tab/>
        <w:t>指基金管理人及基金</w:t>
      </w:r>
      <w:r w:rsidRPr="008564FF" w:rsidR="007F5C61">
        <w:rPr>
          <w:rFonts w:asciiTheme="minorEastAsia" w:eastAsiaTheme="minorEastAsia" w:hAnsiTheme="minorEastAsia" w:hint="eastAsia"/>
          <w:szCs w:val="21"/>
        </w:rPr>
        <w:t>非直销销售</w:t>
      </w:r>
      <w:r w:rsidRPr="008564FF" w:rsidR="008D52B0">
        <w:rPr>
          <w:rFonts w:asciiTheme="minorEastAsia" w:eastAsiaTheme="minorEastAsia" w:hAnsiTheme="minorEastAsia" w:hint="eastAsia"/>
          <w:szCs w:val="21"/>
        </w:rPr>
        <w:t>机构</w:t>
      </w:r>
    </w:p>
    <w:p w:rsidR="003A3487" w:rsidRPr="008564FF" w:rsidP="004549E4">
      <w:pPr>
        <w:snapToGrid w:val="0"/>
        <w:spacing w:line="360" w:lineRule="auto"/>
        <w:ind w:left="2730" w:hanging="2310" w:leftChars="200" w:hangingChars="1100"/>
        <w:rPr>
          <w:rFonts w:asciiTheme="minorEastAsia" w:eastAsiaTheme="minorEastAsia" w:hAnsiTheme="minorEastAsia"/>
          <w:szCs w:val="21"/>
        </w:rPr>
      </w:pPr>
      <w:r w:rsidRPr="008564FF">
        <w:rPr>
          <w:rFonts w:asciiTheme="minorEastAsia" w:eastAsiaTheme="minorEastAsia" w:hAnsiTheme="minorEastAsia" w:hint="eastAsia"/>
          <w:szCs w:val="21"/>
        </w:rPr>
        <w:t>基金销售网点</w:t>
      </w:r>
      <w:r w:rsidRPr="008564FF">
        <w:rPr>
          <w:rFonts w:asciiTheme="minorEastAsia" w:eastAsiaTheme="minorEastAsia" w:hAnsiTheme="minorEastAsia" w:hint="eastAsia"/>
          <w:szCs w:val="21"/>
        </w:rPr>
        <w:tab/>
        <w:t>指基金管理人的直销网点及基金</w:t>
      </w:r>
      <w:r w:rsidRPr="008564FF" w:rsidR="007F5C61">
        <w:rPr>
          <w:rFonts w:asciiTheme="minorEastAsia" w:eastAsiaTheme="minorEastAsia" w:hAnsiTheme="minorEastAsia" w:hint="eastAsia"/>
          <w:szCs w:val="21"/>
        </w:rPr>
        <w:t>非直销销售</w:t>
      </w:r>
      <w:r w:rsidRPr="008564FF">
        <w:rPr>
          <w:rFonts w:asciiTheme="minorEastAsia" w:eastAsiaTheme="minorEastAsia" w:hAnsiTheme="minorEastAsia" w:hint="eastAsia"/>
          <w:szCs w:val="21"/>
        </w:rPr>
        <w:t>机构的</w:t>
      </w:r>
      <w:r w:rsidRPr="008564FF" w:rsidR="007F5C61">
        <w:rPr>
          <w:rFonts w:asciiTheme="minorEastAsia" w:eastAsiaTheme="minorEastAsia" w:hAnsiTheme="minorEastAsia" w:hint="eastAsia"/>
          <w:szCs w:val="21"/>
        </w:rPr>
        <w:t>销售</w:t>
      </w:r>
      <w:r w:rsidRPr="008564FF">
        <w:rPr>
          <w:rFonts w:asciiTheme="minorEastAsia" w:eastAsiaTheme="minorEastAsia" w:hAnsiTheme="minorEastAsia" w:hint="eastAsia"/>
          <w:szCs w:val="21"/>
        </w:rPr>
        <w:t>网点</w:t>
      </w:r>
    </w:p>
    <w:p w:rsidR="003A3487" w:rsidRPr="008564FF" w:rsidP="004549E4">
      <w:pPr>
        <w:snapToGrid w:val="0"/>
        <w:spacing w:line="360" w:lineRule="auto"/>
        <w:ind w:left="2730" w:hanging="2310" w:leftChars="200" w:hangingChars="1100"/>
        <w:rPr>
          <w:rFonts w:asciiTheme="minorEastAsia" w:eastAsiaTheme="minorEastAsia" w:hAnsiTheme="minorEastAsia"/>
          <w:szCs w:val="21"/>
        </w:rPr>
      </w:pPr>
      <w:r w:rsidRPr="008564FF">
        <w:rPr>
          <w:rFonts w:asciiTheme="minorEastAsia" w:eastAsiaTheme="minorEastAsia" w:hAnsiTheme="minorEastAsia" w:hint="eastAsia"/>
          <w:szCs w:val="21"/>
        </w:rPr>
        <w:t>注册登记业务</w:t>
      </w:r>
      <w:r w:rsidRPr="008564FF">
        <w:rPr>
          <w:rFonts w:asciiTheme="minorEastAsia" w:eastAsiaTheme="minorEastAsia" w:hAnsiTheme="minorEastAsia" w:hint="eastAsia"/>
          <w:szCs w:val="21"/>
        </w:rPr>
        <w:tab/>
        <w:t>指基金登记、存管、清算和交收业务，具体内容包括投资者基金账户管理、基金份额注册登记、清算及基金交易确认、发放红利、建立并保管基金份额持有人名册等</w:t>
      </w:r>
    </w:p>
    <w:p w:rsidR="003A3487" w:rsidRPr="008564FF" w:rsidP="004549E4">
      <w:pPr>
        <w:snapToGrid w:val="0"/>
        <w:spacing w:line="360" w:lineRule="auto"/>
        <w:ind w:left="2730" w:hanging="2310" w:leftChars="200" w:hangingChars="1100"/>
        <w:rPr>
          <w:rFonts w:asciiTheme="minorEastAsia" w:eastAsiaTheme="minorEastAsia" w:hAnsiTheme="minorEastAsia"/>
          <w:szCs w:val="21"/>
        </w:rPr>
      </w:pPr>
      <w:r w:rsidRPr="008564FF">
        <w:rPr>
          <w:rFonts w:asciiTheme="minorEastAsia" w:eastAsiaTheme="minorEastAsia" w:hAnsiTheme="minorEastAsia" w:hint="eastAsia"/>
          <w:szCs w:val="21"/>
        </w:rPr>
        <w:t>基金注册登记机构</w:t>
      </w:r>
      <w:r w:rsidRPr="008564FF">
        <w:rPr>
          <w:rFonts w:asciiTheme="minorEastAsia" w:eastAsiaTheme="minorEastAsia" w:hAnsiTheme="minorEastAsia" w:hint="eastAsia"/>
          <w:szCs w:val="21"/>
        </w:rPr>
        <w:tab/>
        <w:t>指易方达基金管理有限公司或其委托的其他符合条件的办理基金注册登记业务的机构</w:t>
      </w:r>
    </w:p>
    <w:p w:rsidR="003A3487" w:rsidRPr="008564FF" w:rsidP="004549E4">
      <w:pPr>
        <w:snapToGrid w:val="0"/>
        <w:spacing w:line="360" w:lineRule="auto"/>
        <w:ind w:left="2730" w:hanging="2310" w:leftChars="200" w:hangingChars="1100"/>
        <w:rPr>
          <w:rFonts w:asciiTheme="minorEastAsia" w:eastAsiaTheme="minorEastAsia" w:hAnsiTheme="minorEastAsia"/>
          <w:szCs w:val="21"/>
        </w:rPr>
      </w:pPr>
      <w:r w:rsidRPr="008564FF">
        <w:rPr>
          <w:rFonts w:asciiTheme="minorEastAsia" w:eastAsiaTheme="minorEastAsia" w:hAnsiTheme="minorEastAsia" w:hint="eastAsia"/>
          <w:szCs w:val="21"/>
        </w:rPr>
        <w:t>《基金合同》当事人</w:t>
      </w:r>
      <w:r w:rsidRPr="008564FF">
        <w:rPr>
          <w:rFonts w:asciiTheme="minorEastAsia" w:eastAsiaTheme="minorEastAsia" w:hAnsiTheme="minorEastAsia" w:hint="eastAsia"/>
          <w:szCs w:val="21"/>
        </w:rPr>
        <w:tab/>
        <w:t>指受《基金合同》约束，根据《基金合同》享受权利并承担义务的法律主体，包括基金管理人、基金托管人和基金份额持有人</w:t>
      </w:r>
    </w:p>
    <w:p w:rsidR="003A3487" w:rsidRPr="008564FF" w:rsidP="004549E4">
      <w:pPr>
        <w:snapToGrid w:val="0"/>
        <w:spacing w:line="360" w:lineRule="auto"/>
        <w:ind w:left="2730" w:hanging="2310" w:leftChars="200" w:hangingChars="1100"/>
        <w:rPr>
          <w:rFonts w:asciiTheme="minorEastAsia" w:eastAsiaTheme="minorEastAsia" w:hAnsiTheme="minorEastAsia"/>
          <w:szCs w:val="21"/>
        </w:rPr>
      </w:pPr>
      <w:r w:rsidRPr="008564FF">
        <w:rPr>
          <w:rFonts w:asciiTheme="minorEastAsia" w:eastAsiaTheme="minorEastAsia" w:hAnsiTheme="minorEastAsia" w:hint="eastAsia"/>
          <w:szCs w:val="21"/>
        </w:rPr>
        <w:t>个人投资者</w:t>
      </w:r>
      <w:r w:rsidRPr="008564FF">
        <w:rPr>
          <w:rFonts w:asciiTheme="minorEastAsia" w:eastAsiaTheme="minorEastAsia" w:hAnsiTheme="minorEastAsia" w:hint="eastAsia"/>
          <w:szCs w:val="21"/>
        </w:rPr>
        <w:tab/>
        <w:t>指符合法律法规规定的条件可以投资开放式证券投资基金的自然人</w:t>
      </w:r>
    </w:p>
    <w:p w:rsidR="003A3487" w:rsidRPr="008564FF" w:rsidP="004549E4">
      <w:pPr>
        <w:snapToGrid w:val="0"/>
        <w:spacing w:line="360" w:lineRule="auto"/>
        <w:ind w:left="2730" w:hanging="2310" w:leftChars="200" w:hangingChars="1100"/>
        <w:rPr>
          <w:rFonts w:asciiTheme="minorEastAsia" w:eastAsiaTheme="minorEastAsia" w:hAnsiTheme="minorEastAsia"/>
          <w:szCs w:val="21"/>
        </w:rPr>
      </w:pPr>
      <w:r w:rsidRPr="008564FF">
        <w:rPr>
          <w:rFonts w:asciiTheme="minorEastAsia" w:eastAsiaTheme="minorEastAsia" w:hAnsiTheme="minorEastAsia" w:hint="eastAsia"/>
          <w:szCs w:val="21"/>
        </w:rPr>
        <w:t>机构投资者</w:t>
      </w:r>
      <w:r w:rsidRPr="008564FF">
        <w:rPr>
          <w:rFonts w:asciiTheme="minorEastAsia" w:eastAsiaTheme="minorEastAsia" w:hAnsiTheme="minorEastAsia" w:hint="eastAsia"/>
          <w:szCs w:val="21"/>
        </w:rPr>
        <w:tab/>
        <w:t>指符合法律法规规定可以投资开放式证券投资基金的在中国合法注册登记并存续或经政府有关部门批准设立的并存续的企业法人、事业法人、社会团体和其他组织</w:t>
      </w:r>
    </w:p>
    <w:p w:rsidR="003A3487" w:rsidRPr="008564FF" w:rsidP="004549E4">
      <w:pPr>
        <w:snapToGrid w:val="0"/>
        <w:spacing w:line="360" w:lineRule="auto"/>
        <w:ind w:left="2730" w:hanging="2310" w:leftChars="200" w:hangingChars="1100"/>
        <w:rPr>
          <w:rFonts w:asciiTheme="minorEastAsia" w:eastAsiaTheme="minorEastAsia" w:hAnsiTheme="minorEastAsia"/>
          <w:szCs w:val="21"/>
        </w:rPr>
      </w:pPr>
      <w:r w:rsidRPr="008564FF">
        <w:rPr>
          <w:rFonts w:asciiTheme="minorEastAsia" w:eastAsiaTheme="minorEastAsia" w:hAnsiTheme="minorEastAsia" w:hint="eastAsia"/>
          <w:szCs w:val="21"/>
        </w:rPr>
        <w:t>合格境外机构投资者</w:t>
      </w:r>
      <w:r w:rsidRPr="008564FF">
        <w:rPr>
          <w:rFonts w:asciiTheme="minorEastAsia" w:eastAsiaTheme="minorEastAsia" w:hAnsiTheme="minorEastAsia" w:hint="eastAsia"/>
          <w:szCs w:val="21"/>
        </w:rPr>
        <w:tab/>
        <w:t>指符合《合格境外机构投资者境内证券投资管理办法》及相关法律法规规定的可投资于中国境内合法募集的证券投资基金的中国境外的基金管理机构、保险公司、证券公司以及其他资产管理机构</w:t>
      </w:r>
    </w:p>
    <w:p w:rsidR="003A3487" w:rsidRPr="008564FF" w:rsidP="004549E4">
      <w:pPr>
        <w:snapToGrid w:val="0"/>
        <w:spacing w:line="360" w:lineRule="auto"/>
        <w:ind w:left="2730" w:hanging="2310" w:leftChars="200" w:hangingChars="1100"/>
        <w:rPr>
          <w:rFonts w:asciiTheme="minorEastAsia" w:eastAsiaTheme="minorEastAsia" w:hAnsiTheme="minorEastAsia"/>
          <w:szCs w:val="21"/>
        </w:rPr>
      </w:pPr>
      <w:r w:rsidRPr="008564FF">
        <w:rPr>
          <w:rFonts w:asciiTheme="minorEastAsia" w:eastAsiaTheme="minorEastAsia" w:hAnsiTheme="minorEastAsia" w:hint="eastAsia"/>
          <w:szCs w:val="21"/>
        </w:rPr>
        <w:t>投资者</w:t>
      </w:r>
      <w:r w:rsidRPr="008564FF">
        <w:rPr>
          <w:rFonts w:asciiTheme="minorEastAsia" w:eastAsiaTheme="minorEastAsia" w:hAnsiTheme="minorEastAsia" w:hint="eastAsia"/>
          <w:szCs w:val="21"/>
        </w:rPr>
        <w:tab/>
        <w:t>指个人投资者、机构投资者、合格境外机构投资者和法律法规或中国证监会允许购买开放式证券投资基金的其他投资者的总称</w:t>
      </w:r>
    </w:p>
    <w:p w:rsidR="003A3487" w:rsidRPr="008564FF" w:rsidP="004549E4">
      <w:pPr>
        <w:snapToGrid w:val="0"/>
        <w:spacing w:line="360" w:lineRule="auto"/>
        <w:ind w:left="2730" w:hanging="2310" w:leftChars="200" w:hangingChars="1100"/>
        <w:rPr>
          <w:rFonts w:asciiTheme="minorEastAsia" w:eastAsiaTheme="minorEastAsia" w:hAnsiTheme="minorEastAsia"/>
          <w:szCs w:val="21"/>
        </w:rPr>
      </w:pPr>
      <w:r w:rsidRPr="008564FF">
        <w:rPr>
          <w:rFonts w:asciiTheme="minorEastAsia" w:eastAsiaTheme="minorEastAsia" w:hAnsiTheme="minorEastAsia" w:hint="eastAsia"/>
          <w:szCs w:val="21"/>
        </w:rPr>
        <w:t>基金合同生效日</w:t>
      </w:r>
      <w:r w:rsidRPr="008564FF">
        <w:rPr>
          <w:rFonts w:asciiTheme="minorEastAsia" w:eastAsiaTheme="minorEastAsia" w:hAnsiTheme="minorEastAsia" w:hint="eastAsia"/>
          <w:szCs w:val="21"/>
        </w:rPr>
        <w:tab/>
        <w:t>基金募集达到法律规定及《基金合同》约定的条件，基金管理人聘请法定机构验资并办理完毕基金备案手续，获得中国证监会书面确认之日</w:t>
      </w:r>
    </w:p>
    <w:p w:rsidR="003A3487" w:rsidRPr="008564FF" w:rsidP="004549E4">
      <w:pPr>
        <w:snapToGrid w:val="0"/>
        <w:spacing w:line="360" w:lineRule="auto"/>
        <w:ind w:left="2730" w:hanging="2310" w:leftChars="200" w:hangingChars="1100"/>
        <w:rPr>
          <w:rFonts w:asciiTheme="minorEastAsia" w:eastAsiaTheme="minorEastAsia" w:hAnsiTheme="minorEastAsia"/>
          <w:szCs w:val="21"/>
        </w:rPr>
      </w:pPr>
      <w:r w:rsidRPr="008564FF">
        <w:rPr>
          <w:rFonts w:asciiTheme="minorEastAsia" w:eastAsiaTheme="minorEastAsia" w:hAnsiTheme="minorEastAsia" w:hint="eastAsia"/>
          <w:szCs w:val="21"/>
        </w:rPr>
        <w:t>募集期</w:t>
      </w:r>
      <w:r w:rsidRPr="008564FF">
        <w:rPr>
          <w:rFonts w:asciiTheme="minorEastAsia" w:eastAsiaTheme="minorEastAsia" w:hAnsiTheme="minorEastAsia" w:hint="eastAsia"/>
          <w:szCs w:val="21"/>
        </w:rPr>
        <w:tab/>
        <w:t>指自基金份额发售之日起不超过3个月的期限</w:t>
      </w:r>
    </w:p>
    <w:p w:rsidR="003A3487" w:rsidRPr="008564FF" w:rsidP="004549E4">
      <w:pPr>
        <w:snapToGrid w:val="0"/>
        <w:spacing w:line="360" w:lineRule="auto"/>
        <w:ind w:left="2730" w:hanging="2310" w:leftChars="200" w:hangingChars="1100"/>
        <w:rPr>
          <w:rFonts w:asciiTheme="minorEastAsia" w:eastAsiaTheme="minorEastAsia" w:hAnsiTheme="minorEastAsia"/>
          <w:szCs w:val="21"/>
        </w:rPr>
      </w:pPr>
      <w:r w:rsidRPr="008564FF">
        <w:rPr>
          <w:rFonts w:asciiTheme="minorEastAsia" w:eastAsiaTheme="minorEastAsia" w:hAnsiTheme="minorEastAsia" w:hint="eastAsia"/>
          <w:szCs w:val="21"/>
        </w:rPr>
        <w:t>基金存续期</w:t>
      </w:r>
      <w:r w:rsidRPr="008564FF">
        <w:rPr>
          <w:rFonts w:asciiTheme="minorEastAsia" w:eastAsiaTheme="minorEastAsia" w:hAnsiTheme="minorEastAsia" w:hint="eastAsia"/>
          <w:szCs w:val="21"/>
        </w:rPr>
        <w:tab/>
        <w:t>指《基金合同》生效后合法存续的不定期之期间</w:t>
      </w:r>
    </w:p>
    <w:p w:rsidR="003A3487" w:rsidRPr="008564FF" w:rsidP="004549E4">
      <w:pPr>
        <w:snapToGrid w:val="0"/>
        <w:spacing w:line="360" w:lineRule="auto"/>
        <w:ind w:left="2730" w:hanging="2310" w:leftChars="200" w:hangingChars="1100"/>
        <w:rPr>
          <w:rFonts w:asciiTheme="minorEastAsia" w:eastAsiaTheme="minorEastAsia" w:hAnsiTheme="minorEastAsia"/>
          <w:szCs w:val="21"/>
        </w:rPr>
      </w:pPr>
      <w:r w:rsidRPr="008564FF">
        <w:rPr>
          <w:rFonts w:asciiTheme="minorEastAsia" w:eastAsiaTheme="minorEastAsia" w:hAnsiTheme="minorEastAsia" w:hint="eastAsia"/>
          <w:szCs w:val="21"/>
        </w:rPr>
        <w:t>日/天</w:t>
      </w:r>
      <w:r w:rsidRPr="008564FF">
        <w:rPr>
          <w:rFonts w:asciiTheme="minorEastAsia" w:eastAsiaTheme="minorEastAsia" w:hAnsiTheme="minorEastAsia" w:hint="eastAsia"/>
          <w:szCs w:val="21"/>
        </w:rPr>
        <w:tab/>
        <w:t>指公历日</w:t>
      </w:r>
    </w:p>
    <w:p w:rsidR="003A3487" w:rsidRPr="008564FF" w:rsidP="004549E4">
      <w:pPr>
        <w:snapToGrid w:val="0"/>
        <w:spacing w:line="360" w:lineRule="auto"/>
        <w:ind w:left="2730" w:hanging="2310" w:leftChars="200" w:hangingChars="1100"/>
        <w:rPr>
          <w:rFonts w:asciiTheme="minorEastAsia" w:eastAsiaTheme="minorEastAsia" w:hAnsiTheme="minorEastAsia"/>
          <w:szCs w:val="21"/>
        </w:rPr>
      </w:pPr>
      <w:r w:rsidRPr="008564FF">
        <w:rPr>
          <w:rFonts w:asciiTheme="minorEastAsia" w:eastAsiaTheme="minorEastAsia" w:hAnsiTheme="minorEastAsia" w:hint="eastAsia"/>
          <w:szCs w:val="21"/>
        </w:rPr>
        <w:t>月</w:t>
      </w:r>
      <w:r w:rsidRPr="008564FF">
        <w:rPr>
          <w:rFonts w:asciiTheme="minorEastAsia" w:eastAsiaTheme="minorEastAsia" w:hAnsiTheme="minorEastAsia" w:hint="eastAsia"/>
          <w:szCs w:val="21"/>
        </w:rPr>
        <w:tab/>
        <w:t>指公历月</w:t>
      </w:r>
    </w:p>
    <w:p w:rsidR="003A3487" w:rsidRPr="008564FF" w:rsidP="004549E4">
      <w:pPr>
        <w:snapToGrid w:val="0"/>
        <w:spacing w:line="360" w:lineRule="auto"/>
        <w:ind w:left="2730" w:hanging="2310" w:leftChars="200" w:hangingChars="1100"/>
        <w:rPr>
          <w:rFonts w:asciiTheme="minorEastAsia" w:eastAsiaTheme="minorEastAsia" w:hAnsiTheme="minorEastAsia"/>
          <w:szCs w:val="21"/>
        </w:rPr>
      </w:pPr>
      <w:r w:rsidRPr="008564FF">
        <w:rPr>
          <w:rFonts w:asciiTheme="minorEastAsia" w:eastAsiaTheme="minorEastAsia" w:hAnsiTheme="minorEastAsia" w:hint="eastAsia"/>
          <w:szCs w:val="21"/>
        </w:rPr>
        <w:t>工作日</w:t>
      </w:r>
      <w:r w:rsidRPr="008564FF">
        <w:rPr>
          <w:rFonts w:asciiTheme="minorEastAsia" w:eastAsiaTheme="minorEastAsia" w:hAnsiTheme="minorEastAsia" w:hint="eastAsia"/>
          <w:szCs w:val="21"/>
        </w:rPr>
        <w:tab/>
        <w:t>指上海证券交易所和深圳证券交易所的正常交易日</w:t>
      </w:r>
    </w:p>
    <w:p w:rsidR="003A3487" w:rsidRPr="008564FF" w:rsidP="004549E4">
      <w:pPr>
        <w:snapToGrid w:val="0"/>
        <w:spacing w:line="360" w:lineRule="auto"/>
        <w:ind w:left="2730" w:hanging="2310" w:leftChars="200" w:hangingChars="1100"/>
        <w:rPr>
          <w:rFonts w:asciiTheme="minorEastAsia" w:eastAsiaTheme="minorEastAsia" w:hAnsiTheme="minorEastAsia"/>
          <w:szCs w:val="21"/>
        </w:rPr>
      </w:pPr>
      <w:r w:rsidRPr="008564FF">
        <w:rPr>
          <w:rFonts w:asciiTheme="minorEastAsia" w:eastAsiaTheme="minorEastAsia" w:hAnsiTheme="minorEastAsia" w:hint="eastAsia"/>
          <w:szCs w:val="21"/>
        </w:rPr>
        <w:t>开放日</w:t>
      </w:r>
      <w:r w:rsidRPr="008564FF">
        <w:rPr>
          <w:rFonts w:asciiTheme="minorEastAsia" w:eastAsiaTheme="minorEastAsia" w:hAnsiTheme="minorEastAsia" w:hint="eastAsia"/>
          <w:szCs w:val="21"/>
        </w:rPr>
        <w:tab/>
        <w:t>指销售机构办理本基金份额申购、赎回等业务的工作日</w:t>
      </w:r>
    </w:p>
    <w:p w:rsidR="003A3487" w:rsidRPr="008564FF" w:rsidP="004549E4">
      <w:pPr>
        <w:snapToGrid w:val="0"/>
        <w:spacing w:line="360" w:lineRule="auto"/>
        <w:ind w:left="2730" w:hanging="2310" w:leftChars="200" w:hangingChars="1100"/>
        <w:rPr>
          <w:rFonts w:asciiTheme="minorEastAsia" w:eastAsiaTheme="minorEastAsia" w:hAnsiTheme="minorEastAsia"/>
          <w:szCs w:val="21"/>
        </w:rPr>
      </w:pPr>
      <w:r w:rsidRPr="008564FF">
        <w:rPr>
          <w:rFonts w:asciiTheme="minorEastAsia" w:eastAsiaTheme="minorEastAsia" w:hAnsiTheme="minorEastAsia" w:hint="eastAsia"/>
          <w:szCs w:val="21"/>
        </w:rPr>
        <w:t>T日</w:t>
      </w:r>
      <w:r w:rsidRPr="008564FF">
        <w:rPr>
          <w:rFonts w:asciiTheme="minorEastAsia" w:eastAsiaTheme="minorEastAsia" w:hAnsiTheme="minorEastAsia" w:hint="eastAsia"/>
          <w:szCs w:val="21"/>
        </w:rPr>
        <w:tab/>
        <w:t>指申购、赎回或办理其他基金业务的申请日</w:t>
      </w:r>
    </w:p>
    <w:p w:rsidR="003A3487" w:rsidRPr="008564FF" w:rsidP="004549E4">
      <w:pPr>
        <w:snapToGrid w:val="0"/>
        <w:spacing w:line="360" w:lineRule="auto"/>
        <w:ind w:left="2730" w:hanging="2310" w:leftChars="200" w:hangingChars="1100"/>
        <w:rPr>
          <w:rFonts w:asciiTheme="minorEastAsia" w:eastAsiaTheme="minorEastAsia" w:hAnsiTheme="minorEastAsia"/>
          <w:szCs w:val="21"/>
        </w:rPr>
      </w:pPr>
      <w:r w:rsidRPr="008564FF">
        <w:rPr>
          <w:rFonts w:asciiTheme="minorEastAsia" w:eastAsiaTheme="minorEastAsia" w:hAnsiTheme="minorEastAsia" w:hint="eastAsia"/>
          <w:szCs w:val="21"/>
        </w:rPr>
        <w:t>T+n日</w:t>
      </w:r>
      <w:r w:rsidRPr="008564FF">
        <w:rPr>
          <w:rFonts w:asciiTheme="minorEastAsia" w:eastAsiaTheme="minorEastAsia" w:hAnsiTheme="minorEastAsia" w:hint="eastAsia"/>
          <w:szCs w:val="21"/>
        </w:rPr>
        <w:tab/>
        <w:t>指自T日起第n个工作日（不包含T日）</w:t>
      </w:r>
    </w:p>
    <w:p w:rsidR="003A3487" w:rsidRPr="008564FF" w:rsidP="004549E4">
      <w:pPr>
        <w:snapToGrid w:val="0"/>
        <w:spacing w:line="360" w:lineRule="auto"/>
        <w:ind w:left="2730" w:hanging="2310" w:leftChars="200" w:hangingChars="1100"/>
        <w:rPr>
          <w:rFonts w:asciiTheme="minorEastAsia" w:eastAsiaTheme="minorEastAsia" w:hAnsiTheme="minorEastAsia"/>
          <w:szCs w:val="21"/>
        </w:rPr>
      </w:pPr>
      <w:r w:rsidRPr="008564FF">
        <w:rPr>
          <w:rFonts w:asciiTheme="minorEastAsia" w:eastAsiaTheme="minorEastAsia" w:hAnsiTheme="minorEastAsia" w:hint="eastAsia"/>
          <w:szCs w:val="21"/>
        </w:rPr>
        <w:t>认购</w:t>
      </w:r>
      <w:r w:rsidRPr="008564FF">
        <w:rPr>
          <w:rFonts w:asciiTheme="minorEastAsia" w:eastAsiaTheme="minorEastAsia" w:hAnsiTheme="minorEastAsia" w:hint="eastAsia"/>
          <w:szCs w:val="21"/>
        </w:rPr>
        <w:tab/>
        <w:t>指在本基金募集期内投资者购买本基金基金份额的行为</w:t>
      </w:r>
    </w:p>
    <w:p w:rsidR="003A3487" w:rsidRPr="008564FF" w:rsidP="004549E4">
      <w:pPr>
        <w:snapToGrid w:val="0"/>
        <w:spacing w:line="360" w:lineRule="auto"/>
        <w:ind w:left="2730" w:hanging="2310" w:leftChars="200" w:hangingChars="1100"/>
        <w:rPr>
          <w:rFonts w:asciiTheme="minorEastAsia" w:eastAsiaTheme="minorEastAsia" w:hAnsiTheme="minorEastAsia"/>
          <w:szCs w:val="21"/>
        </w:rPr>
      </w:pPr>
      <w:r w:rsidRPr="008564FF">
        <w:rPr>
          <w:rFonts w:asciiTheme="minorEastAsia" w:eastAsiaTheme="minorEastAsia" w:hAnsiTheme="minorEastAsia" w:hint="eastAsia"/>
          <w:szCs w:val="21"/>
        </w:rPr>
        <w:t>发售</w:t>
      </w:r>
      <w:r w:rsidRPr="008564FF">
        <w:rPr>
          <w:rFonts w:asciiTheme="minorEastAsia" w:eastAsiaTheme="minorEastAsia" w:hAnsiTheme="minorEastAsia" w:hint="eastAsia"/>
          <w:szCs w:val="21"/>
        </w:rPr>
        <w:tab/>
        <w:t>指在本基金募集期内，销售机构向投资者销售本基金份额的行为</w:t>
      </w:r>
    </w:p>
    <w:p w:rsidR="003A3487" w:rsidRPr="008564FF" w:rsidP="004549E4">
      <w:pPr>
        <w:snapToGrid w:val="0"/>
        <w:spacing w:line="360" w:lineRule="auto"/>
        <w:ind w:left="2730" w:hanging="2310" w:leftChars="200" w:hangingChars="1100"/>
        <w:rPr>
          <w:rFonts w:asciiTheme="minorEastAsia" w:eastAsiaTheme="minorEastAsia" w:hAnsiTheme="minorEastAsia"/>
          <w:szCs w:val="21"/>
        </w:rPr>
      </w:pPr>
      <w:r w:rsidRPr="008564FF">
        <w:rPr>
          <w:rFonts w:asciiTheme="minorEastAsia" w:eastAsiaTheme="minorEastAsia" w:hAnsiTheme="minorEastAsia" w:hint="eastAsia"/>
          <w:szCs w:val="21"/>
        </w:rPr>
        <w:t>申购</w:t>
      </w:r>
      <w:r w:rsidRPr="008564FF">
        <w:rPr>
          <w:rFonts w:asciiTheme="minorEastAsia" w:eastAsiaTheme="minorEastAsia" w:hAnsiTheme="minorEastAsia" w:hint="eastAsia"/>
          <w:szCs w:val="21"/>
        </w:rPr>
        <w:tab/>
        <w:t>指基金投资者根据基金销售网点规定的手续，向基金管理人购买基金份额的行为。本基金的日常申购自《基金合同》生效后不超过3个月的时间开始办理</w:t>
      </w:r>
    </w:p>
    <w:p w:rsidR="003A3487" w:rsidRPr="008564FF" w:rsidP="004549E4">
      <w:pPr>
        <w:snapToGrid w:val="0"/>
        <w:spacing w:line="360" w:lineRule="auto"/>
        <w:ind w:left="2730" w:hanging="2310" w:leftChars="200" w:hangingChars="1100"/>
        <w:rPr>
          <w:rFonts w:asciiTheme="minorEastAsia" w:eastAsiaTheme="minorEastAsia" w:hAnsiTheme="minorEastAsia"/>
          <w:szCs w:val="21"/>
        </w:rPr>
      </w:pPr>
      <w:r w:rsidRPr="008564FF">
        <w:rPr>
          <w:rFonts w:asciiTheme="minorEastAsia" w:eastAsiaTheme="minorEastAsia" w:hAnsiTheme="minorEastAsia" w:hint="eastAsia"/>
          <w:szCs w:val="21"/>
        </w:rPr>
        <w:t>赎回</w:t>
      </w:r>
      <w:r w:rsidRPr="008564FF">
        <w:rPr>
          <w:rFonts w:asciiTheme="minorEastAsia" w:eastAsiaTheme="minorEastAsia" w:hAnsiTheme="minorEastAsia" w:hint="eastAsia"/>
          <w:szCs w:val="21"/>
        </w:rPr>
        <w:tab/>
        <w:t>指基金投资者根据基金销售网点规定的手续，向基金管理人卖出基金份额的行为。本基金的日常赎回自《基金合同》生效后不超过3个月的时间开始办理</w:t>
      </w:r>
    </w:p>
    <w:p w:rsidR="003A3487" w:rsidRPr="008564FF" w:rsidP="004549E4">
      <w:pPr>
        <w:snapToGrid w:val="0"/>
        <w:spacing w:line="360" w:lineRule="auto"/>
        <w:ind w:left="2730" w:hanging="2310" w:leftChars="200" w:hangingChars="1100"/>
        <w:rPr>
          <w:rFonts w:asciiTheme="minorEastAsia" w:eastAsiaTheme="minorEastAsia" w:hAnsiTheme="minorEastAsia"/>
          <w:szCs w:val="21"/>
        </w:rPr>
      </w:pPr>
      <w:r w:rsidRPr="008564FF">
        <w:rPr>
          <w:rFonts w:asciiTheme="minorEastAsia" w:eastAsiaTheme="minorEastAsia" w:hAnsiTheme="minorEastAsia" w:hint="eastAsia"/>
          <w:szCs w:val="21"/>
        </w:rPr>
        <w:t>巨额赎回</w:t>
      </w:r>
      <w:r w:rsidRPr="008564FF">
        <w:rPr>
          <w:rFonts w:asciiTheme="minorEastAsia" w:eastAsiaTheme="minorEastAsia" w:hAnsiTheme="minorEastAsia" w:hint="eastAsia"/>
          <w:szCs w:val="21"/>
        </w:rPr>
        <w:tab/>
        <w:t>指在单个开放日，本基金的基金份额净赎回申请（赎回申请总数加上基金转换中转出申请份额总数后扣除申购申请总数及基金转换中转入申请份额总数后的余额）超过上一日本基金总份额的10%时的情形</w:t>
      </w:r>
    </w:p>
    <w:p w:rsidR="003A3487" w:rsidRPr="008564FF" w:rsidP="004549E4">
      <w:pPr>
        <w:snapToGrid w:val="0"/>
        <w:spacing w:line="360" w:lineRule="auto"/>
        <w:ind w:left="2730" w:hanging="2310" w:leftChars="200" w:hangingChars="1100"/>
        <w:rPr>
          <w:rFonts w:asciiTheme="minorEastAsia" w:eastAsiaTheme="minorEastAsia" w:hAnsiTheme="minorEastAsia"/>
          <w:szCs w:val="21"/>
        </w:rPr>
      </w:pPr>
      <w:r w:rsidRPr="008564FF">
        <w:rPr>
          <w:rFonts w:asciiTheme="minorEastAsia" w:eastAsiaTheme="minorEastAsia" w:hAnsiTheme="minorEastAsia" w:hint="eastAsia"/>
          <w:szCs w:val="21"/>
        </w:rPr>
        <w:t>基金账户</w:t>
      </w:r>
      <w:r w:rsidRPr="008564FF">
        <w:rPr>
          <w:rFonts w:asciiTheme="minorEastAsia" w:eastAsiaTheme="minorEastAsia" w:hAnsiTheme="minorEastAsia" w:hint="eastAsia"/>
          <w:szCs w:val="21"/>
        </w:rPr>
        <w:tab/>
        <w:t>指基金注册登记机构给投资者开立的用于记录投资者持有基金管理人管理的开放式基金份额情况的账户</w:t>
      </w:r>
    </w:p>
    <w:p w:rsidR="003A3487" w:rsidRPr="008564FF" w:rsidP="004549E4">
      <w:pPr>
        <w:snapToGrid w:val="0"/>
        <w:spacing w:line="360" w:lineRule="auto"/>
        <w:ind w:left="2730" w:hanging="2310" w:leftChars="200" w:hangingChars="1100"/>
        <w:rPr>
          <w:rFonts w:asciiTheme="minorEastAsia" w:eastAsiaTheme="minorEastAsia" w:hAnsiTheme="minorEastAsia"/>
          <w:szCs w:val="21"/>
        </w:rPr>
      </w:pPr>
      <w:r w:rsidRPr="008564FF">
        <w:rPr>
          <w:rFonts w:asciiTheme="minorEastAsia" w:eastAsiaTheme="minorEastAsia" w:hAnsiTheme="minorEastAsia" w:hint="eastAsia"/>
          <w:szCs w:val="21"/>
        </w:rPr>
        <w:t>交易账户</w:t>
      </w:r>
      <w:r w:rsidRPr="008564FF">
        <w:rPr>
          <w:rFonts w:asciiTheme="minorEastAsia" w:eastAsiaTheme="minorEastAsia" w:hAnsiTheme="minorEastAsia" w:hint="eastAsia"/>
          <w:szCs w:val="21"/>
        </w:rPr>
        <w:tab/>
        <w:t>指各销售机构为投资者开立的记录投资者通过该销售机构办理基金交易所引起的基金份额的变动及结余情况的账户</w:t>
      </w:r>
    </w:p>
    <w:p w:rsidR="003A3487" w:rsidRPr="008564FF" w:rsidP="004549E4">
      <w:pPr>
        <w:snapToGrid w:val="0"/>
        <w:spacing w:line="360" w:lineRule="auto"/>
        <w:ind w:left="2730" w:hanging="2310" w:leftChars="200" w:hangingChars="1100"/>
        <w:rPr>
          <w:rFonts w:asciiTheme="minorEastAsia" w:eastAsiaTheme="minorEastAsia" w:hAnsiTheme="minorEastAsia"/>
          <w:szCs w:val="21"/>
        </w:rPr>
      </w:pPr>
      <w:r w:rsidRPr="008564FF">
        <w:rPr>
          <w:rFonts w:asciiTheme="minorEastAsia" w:eastAsiaTheme="minorEastAsia" w:hAnsiTheme="minorEastAsia" w:hint="eastAsia"/>
          <w:szCs w:val="21"/>
        </w:rPr>
        <w:t>转托管</w:t>
      </w:r>
      <w:r w:rsidRPr="008564FF">
        <w:rPr>
          <w:rFonts w:asciiTheme="minorEastAsia" w:eastAsiaTheme="minorEastAsia" w:hAnsiTheme="minorEastAsia" w:hint="eastAsia"/>
          <w:szCs w:val="21"/>
        </w:rPr>
        <w:tab/>
        <w:t>指投资者将其持有的同一基金账户下的基金份额从某一交易账户转入另一交易账户的业务</w:t>
      </w:r>
    </w:p>
    <w:p w:rsidR="003A3487" w:rsidRPr="008564FF" w:rsidP="004549E4">
      <w:pPr>
        <w:snapToGrid w:val="0"/>
        <w:spacing w:line="360" w:lineRule="auto"/>
        <w:ind w:left="2730" w:hanging="2310" w:leftChars="200" w:hangingChars="1100"/>
        <w:rPr>
          <w:rFonts w:asciiTheme="minorEastAsia" w:eastAsiaTheme="minorEastAsia" w:hAnsiTheme="minorEastAsia"/>
          <w:szCs w:val="21"/>
        </w:rPr>
      </w:pPr>
      <w:r w:rsidRPr="008564FF">
        <w:rPr>
          <w:rFonts w:asciiTheme="minorEastAsia" w:eastAsiaTheme="minorEastAsia" w:hAnsiTheme="minorEastAsia" w:hint="eastAsia"/>
          <w:szCs w:val="21"/>
        </w:rPr>
        <w:t>基金转换</w:t>
      </w:r>
      <w:r w:rsidRPr="008564FF">
        <w:rPr>
          <w:rFonts w:asciiTheme="minorEastAsia" w:eastAsiaTheme="minorEastAsia" w:hAnsiTheme="minorEastAsia" w:hint="eastAsia"/>
          <w:szCs w:val="21"/>
        </w:rPr>
        <w:tab/>
        <w:t>指基金份额持有人按照本基金合同和基金管理人届时有效公</w:t>
      </w:r>
      <w:r w:rsidRPr="008564FF">
        <w:rPr>
          <w:rFonts w:asciiTheme="minorEastAsia" w:eastAsiaTheme="minorEastAsia" w:hAnsiTheme="minorEastAsia" w:hint="eastAsia"/>
          <w:szCs w:val="21"/>
        </w:rPr>
        <w:t>告规定的条件，申请将其持有基金管理人管理的、某一基金的基金份额转换为基金管理人管理的、且由同一注册登记机构办理注册登记的其他基金基金份额的行为</w:t>
      </w:r>
    </w:p>
    <w:p w:rsidR="003A3487" w:rsidRPr="008564FF" w:rsidP="004549E4">
      <w:pPr>
        <w:snapToGrid w:val="0"/>
        <w:spacing w:line="360" w:lineRule="auto"/>
        <w:ind w:left="2730" w:hanging="2310" w:leftChars="200" w:hangingChars="1100"/>
        <w:rPr>
          <w:rFonts w:asciiTheme="minorEastAsia" w:eastAsiaTheme="minorEastAsia" w:hAnsiTheme="minorEastAsia"/>
          <w:szCs w:val="21"/>
        </w:rPr>
      </w:pPr>
      <w:r w:rsidRPr="008564FF">
        <w:rPr>
          <w:rFonts w:asciiTheme="minorEastAsia" w:eastAsiaTheme="minorEastAsia" w:hAnsiTheme="minorEastAsia" w:hint="eastAsia"/>
          <w:szCs w:val="21"/>
        </w:rPr>
        <w:t>定期定额投资计划</w:t>
      </w:r>
      <w:r w:rsidRPr="008564FF">
        <w:rPr>
          <w:rFonts w:asciiTheme="minorEastAsia" w:eastAsiaTheme="minorEastAsia" w:hAnsiTheme="minorEastAsia" w:hint="eastAsia"/>
          <w:szCs w:val="21"/>
        </w:rPr>
        <w:tab/>
        <w:t>指投资者通过有关销售机构提出申请，约定每期扣款日、扣款金额及扣款方式，由销售机构于每期约定扣款日在投资者指定银行账户内自动完成扣款及基金申购申请的一种投资方式</w:t>
      </w:r>
    </w:p>
    <w:p w:rsidR="003A3487" w:rsidRPr="008564FF" w:rsidP="004549E4">
      <w:pPr>
        <w:snapToGrid w:val="0"/>
        <w:spacing w:line="360" w:lineRule="auto"/>
        <w:ind w:left="2730" w:hanging="2310" w:leftChars="200" w:hangingChars="1100"/>
        <w:rPr>
          <w:rFonts w:asciiTheme="minorEastAsia" w:eastAsiaTheme="minorEastAsia" w:hAnsiTheme="minorEastAsia"/>
          <w:szCs w:val="21"/>
        </w:rPr>
      </w:pPr>
      <w:r w:rsidRPr="008564FF">
        <w:rPr>
          <w:rFonts w:asciiTheme="minorEastAsia" w:eastAsiaTheme="minorEastAsia" w:hAnsiTheme="minorEastAsia" w:hint="eastAsia"/>
          <w:szCs w:val="21"/>
        </w:rPr>
        <w:t>基金收益</w:t>
      </w:r>
      <w:r w:rsidRPr="008564FF">
        <w:rPr>
          <w:rFonts w:asciiTheme="minorEastAsia" w:eastAsiaTheme="minorEastAsia" w:hAnsiTheme="minorEastAsia" w:hint="eastAsia"/>
          <w:szCs w:val="21"/>
        </w:rPr>
        <w:tab/>
        <w:t>指基金投资所得的股票红利、股息、债券利息、票据投资收益、买卖证券差价、银行存款利息以及其他收益和因运用基金财产带来的成本或费用的节约</w:t>
      </w:r>
    </w:p>
    <w:p w:rsidR="003A3487" w:rsidRPr="008564FF" w:rsidP="004549E4">
      <w:pPr>
        <w:snapToGrid w:val="0"/>
        <w:spacing w:line="360" w:lineRule="auto"/>
        <w:ind w:left="2730" w:hanging="2310" w:leftChars="200" w:hangingChars="1100"/>
        <w:rPr>
          <w:rFonts w:asciiTheme="minorEastAsia" w:eastAsiaTheme="minorEastAsia" w:hAnsiTheme="minorEastAsia"/>
          <w:szCs w:val="21"/>
        </w:rPr>
      </w:pPr>
      <w:r w:rsidRPr="008564FF">
        <w:rPr>
          <w:rFonts w:asciiTheme="minorEastAsia" w:eastAsiaTheme="minorEastAsia" w:hAnsiTheme="minorEastAsia" w:hint="eastAsia"/>
          <w:szCs w:val="21"/>
        </w:rPr>
        <w:t>基金资产总值</w:t>
      </w:r>
      <w:r w:rsidRPr="008564FF">
        <w:rPr>
          <w:rFonts w:asciiTheme="minorEastAsia" w:eastAsiaTheme="minorEastAsia" w:hAnsiTheme="minorEastAsia" w:hint="eastAsia"/>
          <w:szCs w:val="21"/>
        </w:rPr>
        <w:tab/>
        <w:t>指基金所拥有的各类证券及票据价值、银行存款本息和本基金应收的申购基金款以及其他投资所形成的价值总和</w:t>
      </w:r>
    </w:p>
    <w:p w:rsidR="003A3487" w:rsidRPr="008564FF" w:rsidP="004549E4">
      <w:pPr>
        <w:snapToGrid w:val="0"/>
        <w:spacing w:line="360" w:lineRule="auto"/>
        <w:ind w:left="2730" w:hanging="2310" w:leftChars="200" w:hangingChars="1100"/>
        <w:rPr>
          <w:rFonts w:asciiTheme="minorEastAsia" w:eastAsiaTheme="minorEastAsia" w:hAnsiTheme="minorEastAsia"/>
          <w:szCs w:val="21"/>
        </w:rPr>
      </w:pPr>
      <w:r w:rsidRPr="008564FF">
        <w:rPr>
          <w:rFonts w:asciiTheme="minorEastAsia" w:eastAsiaTheme="minorEastAsia" w:hAnsiTheme="minorEastAsia" w:hint="eastAsia"/>
          <w:szCs w:val="21"/>
        </w:rPr>
        <w:t>基金资产净值</w:t>
      </w:r>
      <w:r w:rsidRPr="008564FF">
        <w:rPr>
          <w:rFonts w:asciiTheme="minorEastAsia" w:eastAsiaTheme="minorEastAsia" w:hAnsiTheme="minorEastAsia" w:hint="eastAsia"/>
          <w:szCs w:val="21"/>
        </w:rPr>
        <w:tab/>
        <w:t>指基金资产总值扣除负债后的净资产值</w:t>
      </w:r>
    </w:p>
    <w:p w:rsidR="003A3487" w:rsidRPr="008564FF" w:rsidP="004549E4">
      <w:pPr>
        <w:snapToGrid w:val="0"/>
        <w:spacing w:line="360" w:lineRule="auto"/>
        <w:ind w:left="2730" w:hanging="2310" w:leftChars="200" w:hangingChars="1100"/>
        <w:rPr>
          <w:rFonts w:asciiTheme="minorEastAsia" w:eastAsiaTheme="minorEastAsia" w:hAnsiTheme="minorEastAsia"/>
          <w:szCs w:val="21"/>
        </w:rPr>
      </w:pPr>
      <w:r w:rsidRPr="008564FF">
        <w:rPr>
          <w:rFonts w:asciiTheme="minorEastAsia" w:eastAsiaTheme="minorEastAsia" w:hAnsiTheme="minorEastAsia" w:hint="eastAsia"/>
          <w:szCs w:val="21"/>
        </w:rPr>
        <w:t>基金资产估值</w:t>
      </w:r>
      <w:r w:rsidRPr="008564FF">
        <w:rPr>
          <w:rFonts w:asciiTheme="minorEastAsia" w:eastAsiaTheme="minorEastAsia" w:hAnsiTheme="minorEastAsia" w:hint="eastAsia"/>
          <w:szCs w:val="21"/>
        </w:rPr>
        <w:tab/>
        <w:t>指计算评估基金资产和负债的价值，以确定基金资产净值的过程</w:t>
      </w:r>
    </w:p>
    <w:p w:rsidR="003A3487" w:rsidRPr="008564FF" w:rsidP="004549E4">
      <w:pPr>
        <w:snapToGrid w:val="0"/>
        <w:spacing w:line="360" w:lineRule="auto"/>
        <w:ind w:left="2730" w:hanging="2310" w:leftChars="200" w:hangingChars="1100"/>
        <w:rPr>
          <w:rFonts w:asciiTheme="minorEastAsia" w:eastAsiaTheme="minorEastAsia" w:hAnsiTheme="minorEastAsia"/>
          <w:szCs w:val="21"/>
        </w:rPr>
      </w:pPr>
      <w:r w:rsidRPr="008564FF">
        <w:rPr>
          <w:rFonts w:asciiTheme="minorEastAsia" w:eastAsiaTheme="minorEastAsia" w:hAnsiTheme="minorEastAsia" w:hint="eastAsia"/>
          <w:szCs w:val="21"/>
        </w:rPr>
        <w:t>货币市场工具</w:t>
      </w:r>
      <w:r w:rsidRPr="008564FF">
        <w:rPr>
          <w:rFonts w:asciiTheme="minorEastAsia" w:eastAsiaTheme="minorEastAsia" w:hAnsiTheme="minorEastAsia" w:hint="eastAsia"/>
          <w:szCs w:val="21"/>
        </w:rPr>
        <w:tab/>
        <w:t>指现金；一年以内(含一年)的银行定期存款、大额存单；剩余期限在三百九十七天以内(含三百九十七天)的债券；期限在一年以内(含一年)的债券回购；期限在一年以内(含一年)的中央银行票据；中国证监会、中国人民银行认可的其他具有良好流动性的金融工具</w:t>
      </w:r>
    </w:p>
    <w:p w:rsidR="003A3487" w:rsidRPr="008564FF" w:rsidP="004549E4">
      <w:pPr>
        <w:snapToGrid w:val="0"/>
        <w:spacing w:line="360" w:lineRule="auto"/>
        <w:ind w:left="2730" w:hanging="2310" w:leftChars="200" w:hangingChars="1100"/>
        <w:rPr>
          <w:rFonts w:asciiTheme="minorEastAsia" w:eastAsiaTheme="minorEastAsia" w:hAnsiTheme="minorEastAsia"/>
          <w:szCs w:val="21"/>
        </w:rPr>
      </w:pPr>
      <w:r w:rsidRPr="008564FF">
        <w:rPr>
          <w:rFonts w:asciiTheme="minorEastAsia" w:eastAsiaTheme="minorEastAsia" w:hAnsiTheme="minorEastAsia" w:hint="eastAsia"/>
          <w:szCs w:val="21"/>
        </w:rPr>
        <w:t>指定媒介</w:t>
      </w:r>
      <w:r w:rsidRPr="008564FF">
        <w:rPr>
          <w:rFonts w:asciiTheme="minorEastAsia" w:eastAsiaTheme="minorEastAsia" w:hAnsiTheme="minorEastAsia" w:hint="eastAsia"/>
          <w:szCs w:val="21"/>
        </w:rPr>
        <w:tab/>
        <w:t>指中国证监会指定的用以进行信息披露的全国性报刊及指定互联网网站（包括基金管理人网站、基金托管人网站、中国证监会基金电子披露网站）等媒介</w:t>
      </w:r>
    </w:p>
    <w:p w:rsidR="003A3487" w:rsidRPr="008564FF" w:rsidP="004549E4">
      <w:pPr>
        <w:snapToGrid w:val="0"/>
        <w:spacing w:line="360" w:lineRule="auto"/>
        <w:ind w:left="2730" w:hanging="2310" w:leftChars="200" w:hangingChars="1100"/>
        <w:rPr>
          <w:rFonts w:asciiTheme="minorEastAsia" w:eastAsiaTheme="minorEastAsia" w:hAnsiTheme="minorEastAsia"/>
          <w:szCs w:val="21"/>
        </w:rPr>
      </w:pPr>
      <w:r w:rsidRPr="008564FF">
        <w:rPr>
          <w:rFonts w:asciiTheme="minorEastAsia" w:eastAsiaTheme="minorEastAsia" w:hAnsiTheme="minorEastAsia" w:hint="eastAsia"/>
          <w:szCs w:val="21"/>
        </w:rPr>
        <w:t>不可抗力</w:t>
      </w:r>
      <w:r w:rsidRPr="008564FF" w:rsidR="004248B3">
        <w:rPr>
          <w:rFonts w:asciiTheme="minorEastAsia" w:eastAsiaTheme="minorEastAsia" w:hAnsiTheme="minorEastAsia" w:hint="eastAsia"/>
          <w:szCs w:val="21"/>
        </w:rPr>
        <w:tab/>
      </w:r>
      <w:r w:rsidRPr="008564FF">
        <w:rPr>
          <w:rFonts w:asciiTheme="minorEastAsia" w:eastAsiaTheme="minorEastAsia" w:hAnsiTheme="minorEastAsia" w:hint="eastAsia"/>
          <w:szCs w:val="21"/>
        </w:rPr>
        <w:t>指本合同当事人不能预见、不能避免且不能克服的客观事件</w:t>
      </w:r>
    </w:p>
    <w:p w:rsidR="0083185E" w:rsidRPr="008564FF" w:rsidP="00AF6805">
      <w:pPr>
        <w:snapToGrid w:val="0"/>
        <w:spacing w:line="360" w:lineRule="auto"/>
        <w:ind w:left="2730" w:hanging="2310" w:leftChars="200" w:hangingChars="1100"/>
        <w:rPr>
          <w:rFonts w:asciiTheme="minorEastAsia" w:eastAsiaTheme="minorEastAsia" w:hAnsiTheme="minorEastAsia"/>
          <w:szCs w:val="21"/>
        </w:rPr>
      </w:pPr>
      <w:r w:rsidRPr="008564FF">
        <w:rPr>
          <w:rFonts w:asciiTheme="minorEastAsia" w:eastAsiaTheme="minorEastAsia" w:hAnsiTheme="minorEastAsia" w:hint="eastAsia"/>
          <w:szCs w:val="21"/>
        </w:rPr>
        <w:t>流动性受限资产</w:t>
      </w:r>
      <w:r w:rsidRPr="008564FF" w:rsidR="004248B3">
        <w:rPr>
          <w:rFonts w:asciiTheme="minorEastAsia" w:eastAsiaTheme="minorEastAsia" w:hAnsiTheme="minorEastAsia" w:hint="eastAsia"/>
          <w:szCs w:val="21"/>
        </w:rPr>
        <w:tab/>
      </w:r>
      <w:r w:rsidRPr="008564FF">
        <w:rPr>
          <w:rFonts w:asciiTheme="minorEastAsia" w:eastAsiaTheme="minorEastAsia" w:hAnsiTheme="minorEastAsia" w:hint="eastAsia"/>
          <w:szCs w:val="21"/>
        </w:rPr>
        <w:t>指由于法律法规、监管、合同或操作障碍等原因无法以合理价格予以变现的资产，包括但不限于到期日在</w:t>
      </w:r>
      <w:r w:rsidRPr="008564FF">
        <w:rPr>
          <w:rFonts w:asciiTheme="minorEastAsia" w:eastAsiaTheme="minorEastAsia" w:hAnsiTheme="minorEastAsia"/>
          <w:szCs w:val="21"/>
        </w:rPr>
        <w:t>10</w:t>
      </w:r>
      <w:r w:rsidRPr="008564FF">
        <w:rPr>
          <w:rFonts w:asciiTheme="minorEastAsia" w:eastAsiaTheme="minorEastAsia" w:hAnsiTheme="minorEastAsia" w:hint="eastAsia"/>
          <w:szCs w:val="21"/>
        </w:rPr>
        <w:t>个交易日以上的逆回购与银行定期存款（含协议约定有条件提前支取的银行存款）、停牌股票、流通受限的新股及非公开发行股票、资产支持证券、因发行人债务违约无法进行转让或交易的债券等</w:t>
      </w:r>
    </w:p>
    <w:p w:rsidR="00DF1FD2" w:rsidRPr="008564FF">
      <w:pPr>
        <w:snapToGrid w:val="0"/>
        <w:spacing w:line="360" w:lineRule="auto"/>
        <w:ind w:left="2730" w:hanging="2310" w:leftChars="200" w:hangingChars="1100"/>
        <w:rPr>
          <w:rFonts w:asciiTheme="minorEastAsia" w:eastAsiaTheme="minorEastAsia" w:hAnsiTheme="minorEastAsia"/>
          <w:szCs w:val="21"/>
        </w:rPr>
        <w:sectPr w:rsidSect="008564FF">
          <w:type w:val="continuous"/>
          <w:pgSz w:w="11907" w:h="16840"/>
          <w:pgMar w:top="1440" w:right="1800" w:bottom="1440" w:left="1800" w:header="851" w:footer="992" w:gutter="0"/>
          <w:cols w:space="720"/>
          <w:docGrid w:type="lines" w:linePitch="312"/>
        </w:sectPr>
      </w:pPr>
    </w:p>
    <w:p w:rsidR="00F667CE">
      <w:pPr>
        <w:widowControl/>
        <w:jc w:val="left"/>
        <w:rPr>
          <w:rFonts w:asciiTheme="minorEastAsia" w:eastAsiaTheme="minorEastAsia" w:hAnsiTheme="minorEastAsia" w:cs="宋体"/>
          <w:b/>
          <w:bCs/>
          <w:sz w:val="32"/>
          <w:szCs w:val="32"/>
        </w:rPr>
      </w:pPr>
    </w:p>
    <w:p w:rsidR="003A3487" w:rsidRPr="008564FF" w:rsidP="00485893">
      <w:pPr>
        <w:pStyle w:val="Heading1"/>
        <w:snapToGrid w:val="0"/>
        <w:spacing w:beforeLines="0" w:afterLines="0" w:line="360" w:lineRule="auto"/>
        <w:ind w:firstLine="643"/>
        <w:rPr>
          <w:rFonts w:asciiTheme="minorEastAsia" w:eastAsiaTheme="minorEastAsia" w:hAnsiTheme="minorEastAsia"/>
          <w:b/>
          <w:bCs/>
        </w:rPr>
      </w:pPr>
      <w:bookmarkStart w:id="5" w:name="_Toc91749197"/>
      <w:r w:rsidRPr="008564FF">
        <w:rPr>
          <w:rFonts w:asciiTheme="minorEastAsia" w:eastAsiaTheme="minorEastAsia" w:hAnsiTheme="minorEastAsia" w:hint="eastAsia"/>
          <w:b/>
          <w:bCs/>
        </w:rPr>
        <w:t>三、基金管理人</w:t>
      </w:r>
      <w:bookmarkEnd w:id="5"/>
    </w:p>
    <w:p w:rsidR="003A3487" w:rsidRPr="008564FF" w:rsidP="009C2B2A">
      <w:pPr>
        <w:pStyle w:val="Heading2"/>
        <w:snapToGrid w:val="0"/>
        <w:spacing w:beforeLines="0" w:afterLines="0" w:line="360" w:lineRule="auto"/>
        <w:ind w:firstLine="0" w:firstLineChars="0"/>
        <w:rPr>
          <w:rFonts w:asciiTheme="minorEastAsia" w:eastAsiaTheme="minorEastAsia" w:hAnsiTheme="minorEastAsia"/>
          <w:sz w:val="21"/>
        </w:rPr>
      </w:pPr>
      <w:bookmarkStart w:id="6" w:name="_Toc163189520"/>
      <w:bookmarkStart w:id="7" w:name="_Toc133292563"/>
      <w:bookmarkStart w:id="8" w:name="_Toc91749198"/>
      <w:r w:rsidRPr="008564FF">
        <w:rPr>
          <w:rFonts w:asciiTheme="minorEastAsia" w:eastAsiaTheme="minorEastAsia" w:hAnsiTheme="minorEastAsia" w:cs="仿宋_GB2312" w:hint="eastAsia"/>
          <w:b w:val="0"/>
          <w:bCs/>
          <w:kern w:val="0"/>
          <w:szCs w:val="24"/>
        </w:rPr>
        <w:t>（一）基金管理人基本情况</w:t>
      </w:r>
      <w:bookmarkEnd w:id="6"/>
      <w:bookmarkEnd w:id="7"/>
      <w:bookmarkEnd w:id="8"/>
    </w:p>
    <w:p w:rsidR="00C87D84" w:rsidRPr="008564FF" w:rsidP="004549E4">
      <w:pPr>
        <w:snapToGrid w:val="0"/>
        <w:spacing w:line="360" w:lineRule="auto"/>
        <w:ind w:firstLine="420"/>
        <w:rPr>
          <w:rFonts w:asciiTheme="minorEastAsia" w:eastAsiaTheme="minorEastAsia" w:hAnsiTheme="minorEastAsia"/>
          <w:szCs w:val="21"/>
        </w:rPr>
      </w:pPr>
      <w:r w:rsidRPr="008564FF">
        <w:rPr>
          <w:rFonts w:asciiTheme="minorEastAsia" w:eastAsiaTheme="minorEastAsia" w:hAnsiTheme="minorEastAsia" w:hint="eastAsia"/>
          <w:szCs w:val="21"/>
        </w:rPr>
        <w:t>1、基金管理人：易方达基金管理有限公司</w:t>
      </w:r>
    </w:p>
    <w:p w:rsidR="00C87D84" w:rsidRPr="008564FF" w:rsidP="004549E4">
      <w:pPr>
        <w:snapToGrid w:val="0"/>
        <w:spacing w:line="360" w:lineRule="auto"/>
        <w:ind w:firstLine="420"/>
        <w:rPr>
          <w:rFonts w:asciiTheme="minorEastAsia" w:eastAsiaTheme="minorEastAsia" w:hAnsiTheme="minorEastAsia"/>
          <w:szCs w:val="21"/>
        </w:rPr>
      </w:pPr>
      <w:r w:rsidRPr="008564FF">
        <w:rPr>
          <w:rFonts w:asciiTheme="minorEastAsia" w:eastAsiaTheme="minorEastAsia" w:hAnsiTheme="minorEastAsia" w:hint="eastAsia"/>
          <w:szCs w:val="21"/>
        </w:rPr>
        <w:t>注册地址：</w:t>
      </w:r>
      <w:r w:rsidRPr="008564FF" w:rsidR="00466B10">
        <w:rPr>
          <w:rFonts w:asciiTheme="minorEastAsia" w:eastAsiaTheme="minorEastAsia" w:hAnsiTheme="minorEastAsia" w:hint="eastAsia"/>
          <w:szCs w:val="21"/>
        </w:rPr>
        <w:t>广东省珠海市横琴新区宝华路6号105室－42891（集中办公区）</w:t>
      </w:r>
    </w:p>
    <w:p w:rsidR="00C87D84" w:rsidRPr="008564FF" w:rsidP="004549E4">
      <w:pPr>
        <w:snapToGrid w:val="0"/>
        <w:spacing w:line="360" w:lineRule="auto"/>
        <w:ind w:firstLine="420"/>
        <w:rPr>
          <w:rFonts w:asciiTheme="minorEastAsia" w:eastAsiaTheme="minorEastAsia" w:hAnsiTheme="minorEastAsia"/>
          <w:szCs w:val="21"/>
        </w:rPr>
      </w:pPr>
      <w:r w:rsidRPr="008564FF">
        <w:rPr>
          <w:rFonts w:asciiTheme="minorEastAsia" w:eastAsiaTheme="minorEastAsia" w:hAnsiTheme="minorEastAsia" w:hint="eastAsia"/>
          <w:szCs w:val="21"/>
        </w:rPr>
        <w:t>办公地址：广州市</w:t>
      </w:r>
      <w:r w:rsidRPr="008564FF" w:rsidR="00C60DAB">
        <w:rPr>
          <w:rFonts w:asciiTheme="minorEastAsia" w:eastAsiaTheme="minorEastAsia" w:hAnsiTheme="minorEastAsia" w:hint="eastAsia"/>
          <w:szCs w:val="21"/>
        </w:rPr>
        <w:t>天河区珠江新城珠江东路30号广州银行大厦40-43楼</w:t>
      </w:r>
    </w:p>
    <w:p w:rsidR="00C87D84" w:rsidRPr="008564FF" w:rsidP="004549E4">
      <w:pPr>
        <w:snapToGrid w:val="0"/>
        <w:spacing w:line="360" w:lineRule="auto"/>
        <w:ind w:firstLine="420"/>
        <w:rPr>
          <w:rFonts w:asciiTheme="minorEastAsia" w:eastAsiaTheme="minorEastAsia" w:hAnsiTheme="minorEastAsia"/>
          <w:szCs w:val="21"/>
        </w:rPr>
      </w:pPr>
      <w:r w:rsidRPr="008564FF">
        <w:rPr>
          <w:rFonts w:asciiTheme="minorEastAsia" w:eastAsiaTheme="minorEastAsia" w:hAnsiTheme="minorEastAsia" w:hint="eastAsia"/>
          <w:szCs w:val="21"/>
        </w:rPr>
        <w:t>设立日期：2001年4月17日</w:t>
      </w:r>
    </w:p>
    <w:p w:rsidR="00C87D84" w:rsidRPr="008564FF" w:rsidP="004549E4">
      <w:pPr>
        <w:snapToGrid w:val="0"/>
        <w:spacing w:line="360" w:lineRule="auto"/>
        <w:ind w:firstLine="420"/>
        <w:rPr>
          <w:rFonts w:asciiTheme="minorEastAsia" w:eastAsiaTheme="minorEastAsia" w:hAnsiTheme="minorEastAsia"/>
          <w:szCs w:val="21"/>
        </w:rPr>
      </w:pPr>
      <w:r w:rsidRPr="008564FF">
        <w:rPr>
          <w:rFonts w:asciiTheme="minorEastAsia" w:eastAsiaTheme="minorEastAsia" w:hAnsiTheme="minorEastAsia" w:hint="eastAsia"/>
          <w:szCs w:val="21"/>
        </w:rPr>
        <w:t>法定代表人：</w:t>
      </w:r>
      <w:r w:rsidRPr="008564FF" w:rsidR="000464E0">
        <w:rPr>
          <w:rFonts w:asciiTheme="minorEastAsia" w:eastAsiaTheme="minorEastAsia" w:hAnsiTheme="minorEastAsia" w:hint="eastAsia"/>
          <w:szCs w:val="21"/>
        </w:rPr>
        <w:t>刘晓艳</w:t>
      </w:r>
    </w:p>
    <w:p w:rsidR="00C87D84" w:rsidRPr="008564FF" w:rsidP="004549E4">
      <w:pPr>
        <w:snapToGrid w:val="0"/>
        <w:spacing w:line="360" w:lineRule="auto"/>
        <w:ind w:firstLine="420"/>
        <w:rPr>
          <w:rFonts w:asciiTheme="minorEastAsia" w:eastAsiaTheme="minorEastAsia" w:hAnsiTheme="minorEastAsia"/>
          <w:szCs w:val="21"/>
        </w:rPr>
      </w:pPr>
      <w:r w:rsidRPr="008564FF">
        <w:rPr>
          <w:rFonts w:asciiTheme="minorEastAsia" w:eastAsiaTheme="minorEastAsia" w:hAnsiTheme="minorEastAsia" w:hint="eastAsia"/>
          <w:szCs w:val="21"/>
        </w:rPr>
        <w:t>联系电话：4008818088</w:t>
      </w:r>
    </w:p>
    <w:p w:rsidR="00C87D84" w:rsidRPr="008564FF" w:rsidP="004549E4">
      <w:pPr>
        <w:snapToGrid w:val="0"/>
        <w:spacing w:line="360" w:lineRule="auto"/>
        <w:ind w:firstLine="420"/>
        <w:rPr>
          <w:rFonts w:asciiTheme="minorEastAsia" w:eastAsiaTheme="minorEastAsia" w:hAnsiTheme="minorEastAsia"/>
          <w:szCs w:val="21"/>
        </w:rPr>
      </w:pPr>
      <w:r w:rsidRPr="008564FF">
        <w:rPr>
          <w:rFonts w:asciiTheme="minorEastAsia" w:eastAsiaTheme="minorEastAsia" w:hAnsiTheme="minorEastAsia" w:hint="eastAsia"/>
          <w:szCs w:val="21"/>
        </w:rPr>
        <w:t>联系人：李红枫</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注册资本：13,244.2万元人民币</w:t>
      </w:r>
    </w:p>
    <w:p w:rsidR="00612B0D" w:rsidRPr="008564FF" w:rsidP="004549E4">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批准设立机关及文号：中国证券监督管理委员会，证监基金字[2001]4号</w:t>
      </w:r>
    </w:p>
    <w:p w:rsidR="004549E4" w:rsidRPr="008564FF" w:rsidP="004549E4">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经营范围：</w:t>
      </w:r>
      <w:r w:rsidRPr="008564FF" w:rsidR="00466B10">
        <w:rPr>
          <w:rFonts w:asciiTheme="minorEastAsia" w:eastAsiaTheme="minorEastAsia" w:hAnsiTheme="minorEastAsia" w:hint="eastAsia"/>
        </w:rPr>
        <w:t>公开募集证券投资基金管理、基金销售、特定客户资产管理</w:t>
      </w:r>
    </w:p>
    <w:p w:rsidR="003A3487" w:rsidRPr="008564FF" w:rsidP="004549E4">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2、股权结构：</w:t>
      </w:r>
    </w:p>
    <w:tbl>
      <w:tblPr>
        <w:tblW w:w="6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5"/>
        <w:gridCol w:w="1838"/>
      </w:tblGrid>
      <w:tr w:rsidTr="002F16A7">
        <w:tblPrEx>
          <w:tblW w:w="6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5055" w:type="dxa"/>
            <w:tcBorders>
              <w:top w:val="single" w:sz="4" w:space="0" w:color="auto"/>
              <w:left w:val="single" w:sz="4" w:space="0" w:color="auto"/>
              <w:bottom w:val="single" w:sz="4" w:space="0" w:color="auto"/>
              <w:right w:val="single" w:sz="4" w:space="0" w:color="auto"/>
            </w:tcBorders>
            <w:vAlign w:val="center"/>
          </w:tcPr>
          <w:p w:rsidR="003A3487" w:rsidRPr="008564FF" w:rsidP="004549E4">
            <w:pPr>
              <w:snapToGrid w:val="0"/>
              <w:spacing w:line="360" w:lineRule="auto"/>
              <w:ind w:firstLine="420"/>
              <w:jc w:val="center"/>
              <w:rPr>
                <w:rFonts w:asciiTheme="minorEastAsia" w:eastAsiaTheme="minorEastAsia" w:hAnsiTheme="minorEastAsia"/>
              </w:rPr>
            </w:pPr>
            <w:r w:rsidRPr="008564FF">
              <w:rPr>
                <w:rFonts w:asciiTheme="minorEastAsia" w:eastAsiaTheme="minorEastAsia" w:hAnsiTheme="minorEastAsia" w:hint="eastAsia"/>
              </w:rPr>
              <w:t>股东名称</w:t>
            </w:r>
          </w:p>
        </w:tc>
        <w:tc>
          <w:tcPr>
            <w:tcW w:w="1838" w:type="dxa"/>
            <w:tcBorders>
              <w:top w:val="single" w:sz="4" w:space="0" w:color="auto"/>
              <w:left w:val="single" w:sz="4" w:space="0" w:color="auto"/>
              <w:bottom w:val="single" w:sz="4" w:space="0" w:color="auto"/>
              <w:right w:val="single" w:sz="4" w:space="0" w:color="auto"/>
            </w:tcBorders>
            <w:vAlign w:val="center"/>
          </w:tcPr>
          <w:p w:rsidR="003A3487" w:rsidRPr="008564FF" w:rsidP="004549E4">
            <w:pPr>
              <w:snapToGrid w:val="0"/>
              <w:spacing w:line="360" w:lineRule="auto"/>
              <w:ind w:firstLine="420"/>
              <w:jc w:val="center"/>
              <w:rPr>
                <w:rFonts w:asciiTheme="minorEastAsia" w:eastAsiaTheme="minorEastAsia" w:hAnsiTheme="minorEastAsia"/>
              </w:rPr>
            </w:pPr>
            <w:r w:rsidRPr="008564FF">
              <w:rPr>
                <w:rFonts w:asciiTheme="minorEastAsia" w:eastAsiaTheme="minorEastAsia" w:hAnsiTheme="minorEastAsia" w:hint="eastAsia"/>
              </w:rPr>
              <w:t>出资比例</w:t>
            </w:r>
          </w:p>
        </w:tc>
      </w:tr>
      <w:tr>
        <w:tblPrEx>
          <w:tblW w:w="6893" w:type="dxa"/>
          <w:jc w:val="center"/>
          <w:tblLayout w:type="fixed"/>
          <w:tblLook w:val="04A0"/>
        </w:tblPrEx>
        <w:trPr>
          <w:jc w:val="center"/>
        </w:trPr>
        <w:tc>
          <w:tcPr>
            <w:tcW w:w="5055" w:type="dxa"/>
          </w:tcPr>
          <w:p w:rsidR="005A7F90">
            <w:pPr>
              <w:jc w:val="center"/>
            </w:pPr>
            <w:r>
              <w:t>广东粤财信托有限公司</w:t>
            </w:r>
          </w:p>
        </w:tc>
        <w:tc>
          <w:tcPr>
            <w:tcW w:w="1838" w:type="dxa"/>
          </w:tcPr>
          <w:p w:rsidR="005A7F90">
            <w:pPr>
              <w:jc w:val="center"/>
            </w:pPr>
            <w:r>
              <w:t>22.6514</w:t>
            </w:r>
            <w:r>
              <w:t>％</w:t>
            </w:r>
          </w:p>
        </w:tc>
      </w:tr>
      <w:tr>
        <w:tblPrEx>
          <w:tblW w:w="6893" w:type="dxa"/>
          <w:jc w:val="center"/>
          <w:tblLayout w:type="fixed"/>
          <w:tblLook w:val="04A0"/>
        </w:tblPrEx>
        <w:trPr>
          <w:jc w:val="center"/>
        </w:trPr>
        <w:tc>
          <w:tcPr>
            <w:tcW w:w="5055" w:type="dxa"/>
          </w:tcPr>
          <w:p w:rsidR="005A7F90">
            <w:pPr>
              <w:jc w:val="center"/>
            </w:pPr>
            <w:r>
              <w:t>广发证券股份有限公司</w:t>
            </w:r>
          </w:p>
        </w:tc>
        <w:tc>
          <w:tcPr>
            <w:tcW w:w="1838" w:type="dxa"/>
          </w:tcPr>
          <w:p w:rsidR="005A7F90">
            <w:pPr>
              <w:jc w:val="center"/>
            </w:pPr>
            <w:r>
              <w:t>22.6514</w:t>
            </w:r>
            <w:r>
              <w:t>％</w:t>
            </w:r>
          </w:p>
        </w:tc>
      </w:tr>
      <w:tr>
        <w:tblPrEx>
          <w:tblW w:w="6893" w:type="dxa"/>
          <w:jc w:val="center"/>
          <w:tblLayout w:type="fixed"/>
          <w:tblLook w:val="04A0"/>
        </w:tblPrEx>
        <w:trPr>
          <w:jc w:val="center"/>
        </w:trPr>
        <w:tc>
          <w:tcPr>
            <w:tcW w:w="5055" w:type="dxa"/>
          </w:tcPr>
          <w:p w:rsidR="005A7F90">
            <w:pPr>
              <w:jc w:val="center"/>
            </w:pPr>
            <w:r>
              <w:t>盈峰集团有限公司</w:t>
            </w:r>
          </w:p>
        </w:tc>
        <w:tc>
          <w:tcPr>
            <w:tcW w:w="1838" w:type="dxa"/>
          </w:tcPr>
          <w:p w:rsidR="005A7F90">
            <w:pPr>
              <w:jc w:val="center"/>
            </w:pPr>
            <w:r>
              <w:t>22.6514</w:t>
            </w:r>
            <w:r>
              <w:t>％</w:t>
            </w:r>
          </w:p>
        </w:tc>
      </w:tr>
      <w:tr>
        <w:tblPrEx>
          <w:tblW w:w="6893" w:type="dxa"/>
          <w:jc w:val="center"/>
          <w:tblLayout w:type="fixed"/>
          <w:tblLook w:val="04A0"/>
        </w:tblPrEx>
        <w:trPr>
          <w:jc w:val="center"/>
        </w:trPr>
        <w:tc>
          <w:tcPr>
            <w:tcW w:w="5055" w:type="dxa"/>
          </w:tcPr>
          <w:p w:rsidR="005A7F90">
            <w:pPr>
              <w:jc w:val="center"/>
            </w:pPr>
            <w:r>
              <w:t>广东省广晟控股集团有限公司</w:t>
            </w:r>
          </w:p>
        </w:tc>
        <w:tc>
          <w:tcPr>
            <w:tcW w:w="1838" w:type="dxa"/>
          </w:tcPr>
          <w:p w:rsidR="005A7F90">
            <w:pPr>
              <w:jc w:val="center"/>
            </w:pPr>
            <w:r>
              <w:t>15.1010</w:t>
            </w:r>
            <w:r>
              <w:t>％</w:t>
            </w:r>
          </w:p>
        </w:tc>
      </w:tr>
      <w:tr>
        <w:tblPrEx>
          <w:tblW w:w="6893" w:type="dxa"/>
          <w:jc w:val="center"/>
          <w:tblLayout w:type="fixed"/>
          <w:tblLook w:val="04A0"/>
        </w:tblPrEx>
        <w:trPr>
          <w:jc w:val="center"/>
        </w:trPr>
        <w:tc>
          <w:tcPr>
            <w:tcW w:w="5055" w:type="dxa"/>
          </w:tcPr>
          <w:p w:rsidR="005A7F90">
            <w:pPr>
              <w:jc w:val="center"/>
            </w:pPr>
            <w:r>
              <w:t>广州市广永国有资产经营有限公司</w:t>
            </w:r>
          </w:p>
        </w:tc>
        <w:tc>
          <w:tcPr>
            <w:tcW w:w="1838" w:type="dxa"/>
          </w:tcPr>
          <w:p w:rsidR="005A7F90">
            <w:pPr>
              <w:jc w:val="center"/>
            </w:pPr>
            <w:r>
              <w:t>7.5505</w:t>
            </w:r>
            <w:r>
              <w:t>％</w:t>
            </w:r>
          </w:p>
        </w:tc>
      </w:tr>
      <w:tr>
        <w:tblPrEx>
          <w:tblW w:w="6893" w:type="dxa"/>
          <w:jc w:val="center"/>
          <w:tblLayout w:type="fixed"/>
          <w:tblLook w:val="04A0"/>
        </w:tblPrEx>
        <w:trPr>
          <w:jc w:val="center"/>
        </w:trPr>
        <w:tc>
          <w:tcPr>
            <w:tcW w:w="5055" w:type="dxa"/>
          </w:tcPr>
          <w:p w:rsidR="005A7F90">
            <w:pPr>
              <w:jc w:val="center"/>
            </w:pPr>
            <w:r>
              <w:t>珠海祺荣宝股权投资合伙企业（有限合伙）</w:t>
            </w:r>
          </w:p>
        </w:tc>
        <w:tc>
          <w:tcPr>
            <w:tcW w:w="1838" w:type="dxa"/>
          </w:tcPr>
          <w:p w:rsidR="005A7F90">
            <w:pPr>
              <w:jc w:val="center"/>
            </w:pPr>
            <w:r>
              <w:t>1.5087</w:t>
            </w:r>
            <w:r>
              <w:t>％</w:t>
            </w:r>
          </w:p>
        </w:tc>
      </w:tr>
      <w:tr>
        <w:tblPrEx>
          <w:tblW w:w="6893" w:type="dxa"/>
          <w:jc w:val="center"/>
          <w:tblLayout w:type="fixed"/>
          <w:tblLook w:val="04A0"/>
        </w:tblPrEx>
        <w:trPr>
          <w:jc w:val="center"/>
        </w:trPr>
        <w:tc>
          <w:tcPr>
            <w:tcW w:w="5055" w:type="dxa"/>
          </w:tcPr>
          <w:p w:rsidR="005A7F90">
            <w:pPr>
              <w:jc w:val="center"/>
            </w:pPr>
            <w:r>
              <w:t>珠海祺泰宝股权投资合伙企业（有限合伙）</w:t>
            </w:r>
          </w:p>
        </w:tc>
        <w:tc>
          <w:tcPr>
            <w:tcW w:w="1838" w:type="dxa"/>
          </w:tcPr>
          <w:p w:rsidR="005A7F90">
            <w:pPr>
              <w:jc w:val="center"/>
            </w:pPr>
            <w:r>
              <w:t>1.6205</w:t>
            </w:r>
            <w:r>
              <w:t>％</w:t>
            </w:r>
          </w:p>
        </w:tc>
      </w:tr>
      <w:tr>
        <w:tblPrEx>
          <w:tblW w:w="6893" w:type="dxa"/>
          <w:jc w:val="center"/>
          <w:tblLayout w:type="fixed"/>
          <w:tblLook w:val="04A0"/>
        </w:tblPrEx>
        <w:trPr>
          <w:jc w:val="center"/>
        </w:trPr>
        <w:tc>
          <w:tcPr>
            <w:tcW w:w="5055" w:type="dxa"/>
          </w:tcPr>
          <w:p w:rsidR="005A7F90">
            <w:pPr>
              <w:jc w:val="center"/>
            </w:pPr>
            <w:r>
              <w:t>珠海祺丰宝股权投资合伙企业（有限合伙）</w:t>
            </w:r>
          </w:p>
        </w:tc>
        <w:tc>
          <w:tcPr>
            <w:tcW w:w="1838" w:type="dxa"/>
          </w:tcPr>
          <w:p w:rsidR="005A7F90">
            <w:pPr>
              <w:jc w:val="center"/>
            </w:pPr>
            <w:r>
              <w:t>1.5309</w:t>
            </w:r>
            <w:r>
              <w:t>％</w:t>
            </w:r>
          </w:p>
        </w:tc>
      </w:tr>
      <w:tr>
        <w:tblPrEx>
          <w:tblW w:w="6893" w:type="dxa"/>
          <w:jc w:val="center"/>
          <w:tblLayout w:type="fixed"/>
          <w:tblLook w:val="04A0"/>
        </w:tblPrEx>
        <w:trPr>
          <w:jc w:val="center"/>
        </w:trPr>
        <w:tc>
          <w:tcPr>
            <w:tcW w:w="5055" w:type="dxa"/>
          </w:tcPr>
          <w:p w:rsidR="005A7F90">
            <w:pPr>
              <w:jc w:val="center"/>
            </w:pPr>
            <w:r>
              <w:t>珠海聚莱康股权投资合伙企业（有限合伙）</w:t>
            </w:r>
          </w:p>
        </w:tc>
        <w:tc>
          <w:tcPr>
            <w:tcW w:w="1838" w:type="dxa"/>
          </w:tcPr>
          <w:p w:rsidR="005A7F90">
            <w:pPr>
              <w:jc w:val="center"/>
            </w:pPr>
            <w:r>
              <w:t>1.7558</w:t>
            </w:r>
            <w:r>
              <w:t>％</w:t>
            </w:r>
          </w:p>
        </w:tc>
      </w:tr>
      <w:tr>
        <w:tblPrEx>
          <w:tblW w:w="6893" w:type="dxa"/>
          <w:jc w:val="center"/>
          <w:tblLayout w:type="fixed"/>
          <w:tblLook w:val="04A0"/>
        </w:tblPrEx>
        <w:trPr>
          <w:jc w:val="center"/>
        </w:trPr>
        <w:tc>
          <w:tcPr>
            <w:tcW w:w="5055" w:type="dxa"/>
          </w:tcPr>
          <w:p w:rsidR="005A7F90">
            <w:pPr>
              <w:jc w:val="center"/>
            </w:pPr>
            <w:r>
              <w:t>珠海聚宁康股权投资合伙企业（有限合伙）</w:t>
            </w:r>
          </w:p>
        </w:tc>
        <w:tc>
          <w:tcPr>
            <w:tcW w:w="1838" w:type="dxa"/>
          </w:tcPr>
          <w:p w:rsidR="005A7F90">
            <w:pPr>
              <w:jc w:val="center"/>
            </w:pPr>
            <w:r>
              <w:t>1.4396</w:t>
            </w:r>
            <w:r>
              <w:t>％</w:t>
            </w:r>
          </w:p>
        </w:tc>
      </w:tr>
      <w:tr w:rsidTr="00757771">
        <w:tblPrEx>
          <w:tblW w:w="6893" w:type="dxa"/>
          <w:jc w:val="center"/>
          <w:tblLayout w:type="fixed"/>
          <w:tblLook w:val="04A0"/>
        </w:tblPrEx>
        <w:trPr>
          <w:jc w:val="center"/>
        </w:trPr>
        <w:tc>
          <w:tcPr>
            <w:tcW w:w="5055" w:type="dxa"/>
            <w:tcBorders>
              <w:bottom w:val="single" w:sz="4" w:space="0" w:color="auto"/>
            </w:tcBorders>
          </w:tcPr>
          <w:p w:rsidR="005A7F90">
            <w:pPr>
              <w:jc w:val="center"/>
            </w:pPr>
            <w:r>
              <w:t>珠海聚弘康股权投资合伙企业（有限合伙）</w:t>
            </w:r>
          </w:p>
        </w:tc>
        <w:tc>
          <w:tcPr>
            <w:tcW w:w="1838" w:type="dxa"/>
            <w:tcBorders>
              <w:bottom w:val="single" w:sz="4" w:space="0" w:color="auto"/>
            </w:tcBorders>
          </w:tcPr>
          <w:p w:rsidR="005A7F90">
            <w:pPr>
              <w:jc w:val="center"/>
            </w:pPr>
            <w:r>
              <w:t>1.5388</w:t>
            </w:r>
            <w:r>
              <w:t>％</w:t>
            </w:r>
          </w:p>
        </w:tc>
      </w:tr>
      <w:tr w:rsidTr="00757771">
        <w:tblPrEx>
          <w:tblW w:w="6893" w:type="dxa"/>
          <w:jc w:val="center"/>
          <w:tblLayout w:type="fixed"/>
          <w:tblLook w:val="04A0"/>
        </w:tblPrEx>
        <w:trPr>
          <w:jc w:val="center"/>
        </w:trPr>
        <w:tc>
          <w:tcPr>
            <w:tcW w:w="5055" w:type="dxa"/>
            <w:tcBorders>
              <w:top w:val="single" w:sz="4" w:space="0" w:color="auto"/>
              <w:left w:val="single" w:sz="4" w:space="0" w:color="auto"/>
              <w:bottom w:val="single" w:sz="4" w:space="0" w:color="auto"/>
              <w:right w:val="single" w:sz="4" w:space="0" w:color="auto"/>
            </w:tcBorders>
          </w:tcPr>
          <w:p w:rsidR="005A7F90">
            <w:pPr>
              <w:jc w:val="center"/>
            </w:pPr>
            <w:r>
              <w:t>总</w:t>
            </w:r>
            <w:r>
              <w:t xml:space="preserve">   </w:t>
            </w:r>
            <w:r>
              <w:t>计</w:t>
            </w:r>
          </w:p>
        </w:tc>
        <w:tc>
          <w:tcPr>
            <w:tcW w:w="1838" w:type="dxa"/>
            <w:tcBorders>
              <w:top w:val="single" w:sz="4" w:space="0" w:color="auto"/>
              <w:left w:val="single" w:sz="4" w:space="0" w:color="auto"/>
              <w:bottom w:val="single" w:sz="4" w:space="0" w:color="auto"/>
              <w:right w:val="single" w:sz="4" w:space="0" w:color="auto"/>
            </w:tcBorders>
          </w:tcPr>
          <w:p w:rsidR="005A7F90">
            <w:pPr>
              <w:jc w:val="center"/>
            </w:pPr>
            <w:r>
              <w:t>100%</w:t>
            </w:r>
          </w:p>
        </w:tc>
      </w:tr>
    </w:tbl>
    <w:p w:rsidR="002E4059" w:rsidRPr="002E4059" w:rsidP="00757771">
      <w:bookmarkStart w:id="9" w:name="_Toc163189521"/>
      <w:bookmarkStart w:id="10" w:name="_Toc133292564"/>
    </w:p>
    <w:p w:rsidR="003A3487" w:rsidRPr="008564FF" w:rsidP="004549E4">
      <w:pPr>
        <w:pStyle w:val="Heading2"/>
        <w:snapToGrid w:val="0"/>
        <w:spacing w:beforeLines="0" w:afterLines="0" w:line="360" w:lineRule="auto"/>
        <w:ind w:firstLine="0" w:firstLineChars="0"/>
        <w:rPr>
          <w:rFonts w:asciiTheme="minorEastAsia" w:eastAsiaTheme="minorEastAsia" w:hAnsiTheme="minorEastAsia" w:cs="仿宋_GB2312"/>
          <w:b w:val="0"/>
          <w:bCs/>
          <w:kern w:val="0"/>
          <w:szCs w:val="24"/>
        </w:rPr>
      </w:pPr>
      <w:bookmarkStart w:id="11" w:name="_Toc91749199"/>
      <w:r w:rsidRPr="008564FF">
        <w:rPr>
          <w:rFonts w:asciiTheme="minorEastAsia" w:eastAsiaTheme="minorEastAsia" w:hAnsiTheme="minorEastAsia" w:hint="eastAsia"/>
          <w:b w:val="0"/>
          <w:bCs/>
          <w:szCs w:val="21"/>
        </w:rPr>
        <w:t>（二）主要人员情况</w:t>
      </w:r>
      <w:bookmarkEnd w:id="9"/>
      <w:bookmarkEnd w:id="10"/>
      <w:bookmarkEnd w:id="11"/>
    </w:p>
    <w:p w:rsidR="003A3487" w:rsidRPr="008564FF" w:rsidP="004549E4">
      <w:pPr>
        <w:pStyle w:val="PlainText"/>
        <w:adjustRightInd w:val="0"/>
        <w:snapToGrid w:val="0"/>
        <w:spacing w:line="360" w:lineRule="auto"/>
        <w:ind w:firstLine="422"/>
        <w:textAlignment w:val="baseline"/>
        <w:rPr>
          <w:rFonts w:asciiTheme="minorEastAsia" w:eastAsiaTheme="minorEastAsia" w:hAnsiTheme="minorEastAsia"/>
          <w:b/>
          <w:kern w:val="0"/>
        </w:rPr>
      </w:pPr>
      <w:r w:rsidRPr="008564FF">
        <w:rPr>
          <w:rFonts w:asciiTheme="minorEastAsia" w:eastAsiaTheme="minorEastAsia" w:hAnsiTheme="minorEastAsia" w:cs="仿宋_GB2312" w:hint="eastAsia"/>
          <w:b/>
          <w:bCs/>
          <w:kern w:val="0"/>
          <w:szCs w:val="24"/>
        </w:rPr>
        <w:t>1、</w:t>
      </w:r>
      <w:r w:rsidRPr="008564FF">
        <w:rPr>
          <w:rFonts w:asciiTheme="minorEastAsia" w:eastAsiaTheme="minorEastAsia" w:hAnsiTheme="minorEastAsia" w:hint="eastAsia"/>
          <w:b/>
          <w:kern w:val="0"/>
        </w:rPr>
        <w:t>董事、监事及高级管理人员</w:t>
      </w:r>
    </w:p>
    <w:p w:rsidR="00B607A3" w:rsidRPr="008C1942" w:rsidP="00757771">
      <w:pPr>
        <w:spacing w:line="360" w:lineRule="auto"/>
        <w:ind w:firstLine="420"/>
      </w:pPr>
      <w:r w:rsidRPr="00762CA9">
        <w:rPr>
          <w:rFonts w:hint="eastAsia"/>
        </w:rPr>
        <w:t>詹</w:t>
      </w:r>
      <w:r w:rsidRPr="00AF4220">
        <w:rPr>
          <w:rFonts w:hint="eastAsia"/>
        </w:rPr>
        <w:t>余引先生，工商管理博士。现任易方达基金管理有限公司董事长，易方达国际控股有限公司董事长。曾任中国平安保险公司证券部研究咨询室总经理助理，平安证券有限责任公司研究咨询部副总经理（主持工作）、国债部副总经理（主持工作）、资产管理部副总经理、资产管理部总经理，中国平安保险股份有限公司投资管理部副总经理（主持工作），全国社</w:t>
      </w:r>
      <w:r w:rsidRPr="00AF4220">
        <w:rPr>
          <w:rFonts w:hint="eastAsia"/>
        </w:rPr>
        <w:t>会保障基金理事会投资部资产配置处处长、投资部副主任、境外投资部主任、投资部主任、证券投资部主任。</w:t>
      </w:r>
    </w:p>
    <w:p w:rsidR="00B607A3" w:rsidP="00757771">
      <w:pPr>
        <w:spacing w:line="360" w:lineRule="auto"/>
        <w:ind w:firstLine="420"/>
      </w:pPr>
      <w:r w:rsidRPr="00762CA9">
        <w:rPr>
          <w:rFonts w:hint="eastAsia"/>
        </w:rPr>
        <w:t>刘</w:t>
      </w:r>
      <w:r w:rsidRPr="00AF4220">
        <w:rPr>
          <w:rFonts w:hint="eastAsia"/>
        </w:rPr>
        <w:t>晓艳女士，经济学博士</w:t>
      </w:r>
      <w:r w:rsidRPr="0011043B">
        <w:rPr>
          <w:rFonts w:hint="eastAsia"/>
        </w:rPr>
        <w:t>、工商管理博士</w:t>
      </w:r>
      <w:r w:rsidRPr="00AF4220">
        <w:rPr>
          <w:rFonts w:hint="eastAsia"/>
        </w:rPr>
        <w:t>。现任易方达基金管理有限公司副董事长、总裁，易方达国际控股有限公司董事。曾任广发证券有限责任公司投资理财部副经理、基金经理</w:t>
      </w:r>
      <w:r w:rsidRPr="00AF4220">
        <w:t>、</w:t>
      </w:r>
      <w:r w:rsidRPr="00AF4220">
        <w:rPr>
          <w:rFonts w:hint="eastAsia"/>
        </w:rPr>
        <w:t>基金投资理财部副总经理，易方达基金管理有限公司督察员、监察部总经理、市场部总经理、总裁助理、副总裁、常务副总裁，易方达资产管理有限公司董事，易方达资产管理</w:t>
      </w:r>
      <w:r>
        <w:rPr>
          <w:rFonts w:hint="eastAsia"/>
        </w:rPr>
        <w:t>（香港）</w:t>
      </w:r>
      <w:r w:rsidRPr="00AF4220">
        <w:rPr>
          <w:rFonts w:hint="eastAsia"/>
        </w:rPr>
        <w:t>有限公司董事</w:t>
      </w:r>
      <w:r>
        <w:rPr>
          <w:rFonts w:hint="eastAsia"/>
        </w:rPr>
        <w:t>长</w:t>
      </w:r>
      <w:r w:rsidRPr="00AF4220">
        <w:rPr>
          <w:rFonts w:hint="eastAsia"/>
        </w:rPr>
        <w:t>。</w:t>
      </w:r>
    </w:p>
    <w:p w:rsidR="00B607A3" w:rsidRPr="001947A3" w:rsidP="00757771">
      <w:pPr>
        <w:spacing w:line="360" w:lineRule="auto"/>
        <w:ind w:firstLine="420"/>
      </w:pPr>
      <w:r w:rsidRPr="001947A3">
        <w:rPr>
          <w:rFonts w:hint="eastAsia"/>
        </w:rPr>
        <w:t>周泽群先生，高级管理人员工商管理硕士（</w:t>
      </w:r>
      <w:r w:rsidRPr="001947A3">
        <w:rPr>
          <w:rFonts w:hint="eastAsia"/>
        </w:rPr>
        <w:t>EMBA</w:t>
      </w:r>
      <w:r w:rsidRPr="001947A3">
        <w:rPr>
          <w:rFonts w:hint="eastAsia"/>
        </w:rPr>
        <w:t>）。现任</w:t>
      </w:r>
      <w:r w:rsidRPr="00F24F85">
        <w:rPr>
          <w:rFonts w:hint="eastAsia"/>
        </w:rPr>
        <w:t>易方达</w:t>
      </w:r>
      <w:r w:rsidRPr="0076351E">
        <w:rPr>
          <w:rFonts w:hint="eastAsia"/>
        </w:rPr>
        <w:t>基金管理有限公司董事</w:t>
      </w:r>
      <w:r>
        <w:rPr>
          <w:rFonts w:hint="eastAsia"/>
        </w:rPr>
        <w:t>，</w:t>
      </w:r>
      <w:r w:rsidRPr="001947A3">
        <w:rPr>
          <w:rFonts w:hint="eastAsia"/>
        </w:rPr>
        <w:t>广东粤财投资控股有限公司董事、总经理</w:t>
      </w:r>
      <w:r>
        <w:rPr>
          <w:rFonts w:hint="eastAsia"/>
        </w:rPr>
        <w:t>，</w:t>
      </w:r>
      <w:r w:rsidRPr="00D67EF8">
        <w:rPr>
          <w:rFonts w:hint="eastAsia"/>
        </w:rPr>
        <w:t>中航通用飞机有限责任公司副董事长</w:t>
      </w:r>
      <w:r w:rsidRPr="001947A3">
        <w:rPr>
          <w:rFonts w:hint="eastAsia"/>
        </w:rPr>
        <w:t>。曾任珠海粤财实业有限公司董事长</w:t>
      </w:r>
      <w:r>
        <w:rPr>
          <w:rFonts w:hint="eastAsia"/>
        </w:rPr>
        <w:t>，</w:t>
      </w:r>
      <w:r w:rsidRPr="001947A3">
        <w:rPr>
          <w:rFonts w:hint="eastAsia"/>
        </w:rPr>
        <w:t>粤财控股（北京）有限公司总经理、董事长</w:t>
      </w:r>
      <w:r>
        <w:rPr>
          <w:rFonts w:hint="eastAsia"/>
        </w:rPr>
        <w:t>，</w:t>
      </w:r>
      <w:r w:rsidRPr="001947A3">
        <w:rPr>
          <w:rFonts w:hint="eastAsia"/>
        </w:rPr>
        <w:t>广东粤财投资控股有限公司总经理助理</w:t>
      </w:r>
      <w:r w:rsidRPr="004D1CDE">
        <w:rPr>
          <w:rFonts w:hint="eastAsia"/>
        </w:rPr>
        <w:t>、</w:t>
      </w:r>
      <w:r w:rsidRPr="001947A3">
        <w:rPr>
          <w:rFonts w:hint="eastAsia"/>
        </w:rPr>
        <w:t>办公室主任</w:t>
      </w:r>
      <w:r>
        <w:rPr>
          <w:rFonts w:hint="eastAsia"/>
        </w:rPr>
        <w:t>，</w:t>
      </w:r>
      <w:r w:rsidRPr="004D1CDE">
        <w:rPr>
          <w:rFonts w:hint="eastAsia"/>
        </w:rPr>
        <w:t>广东粤财投资控股有限公司</w:t>
      </w:r>
      <w:r w:rsidRPr="001947A3">
        <w:rPr>
          <w:rFonts w:hint="eastAsia"/>
        </w:rPr>
        <w:t>副总经理。</w:t>
      </w:r>
    </w:p>
    <w:p w:rsidR="00B607A3" w:rsidRPr="00757771" w:rsidP="00757771">
      <w:pPr>
        <w:spacing w:line="360" w:lineRule="auto"/>
        <w:ind w:firstLine="420"/>
        <w:rPr>
          <w:sz w:val="20"/>
          <w:szCs w:val="20"/>
        </w:rPr>
      </w:pPr>
      <w:r w:rsidRPr="002E4059">
        <w:rPr>
          <w:rFonts w:hint="eastAsia"/>
        </w:rPr>
        <w:t>秦力先生，经济学博士。现任易方达基金管理有限公司董事，广发证券股份有限公司执行董事、公司总监。曾任广发证券投资银行部常务副总经理、投资理财部总经理、资金营运部总经理、规划管理部总经理、投资部总经理、公司总经理助理、副总经理、常务副总经理，广东金融高新区股权交易中心有限公司董事长，广发证券资产管理（广东）有限公司董事长，广发控股（香港）有限公司董事长。</w:t>
      </w:r>
    </w:p>
    <w:p w:rsidR="00B607A3" w:rsidRPr="00757771" w:rsidP="00757771">
      <w:pPr>
        <w:spacing w:line="360" w:lineRule="auto"/>
        <w:ind w:firstLine="420"/>
        <w:rPr>
          <w:sz w:val="20"/>
          <w:szCs w:val="20"/>
        </w:rPr>
      </w:pPr>
      <w:r w:rsidRPr="00757771">
        <w:rPr>
          <w:rFonts w:hint="eastAsia"/>
        </w:rPr>
        <w:t>苏斌先生，管理学硕士。现任易方达基金管理有限公司董事，盈峰集团有限公司董事、副总裁，盈合（深圳）机器人与自动化科技有限公司董事长，广东民营投资股份有限公司董事，宁波盈峰股权投资基金管理有限公司执行董事，北京华录百纳影视股份有限公司董事，南京柯勒复合材料有限责任公司总经理，盈峰环境科技集团股份有限公司董事，广州华艺国际拍卖有限公司董事。曾任中富证券有限责任公司投行部经理，鸿商产业控股集团有限公司产业投资部执行董事，名力中国成长基金合伙人，复星能源环境与智能装备集团总裁。</w:t>
      </w:r>
    </w:p>
    <w:p w:rsidR="00B607A3" w:rsidRPr="00757771" w:rsidP="00757771">
      <w:pPr>
        <w:spacing w:line="360" w:lineRule="auto"/>
        <w:ind w:firstLine="420"/>
        <w:rPr>
          <w:sz w:val="20"/>
          <w:szCs w:val="20"/>
        </w:rPr>
      </w:pPr>
      <w:r w:rsidRPr="00757771">
        <w:rPr>
          <w:rFonts w:hint="eastAsia"/>
        </w:rPr>
        <w:t>潘文皓先生，经济学硕士。现任易方达基金管理有限公司董事，广东省广晟控股集团有限公司资本运营部副部长（主持工作），广东南粤银行股份有限公司董事，澳大利亚泛澳公司董事，广东省广晟财务有限公司董事。曾任劲牌有限公司资金管理部综合分析员，云南锡业股份有限公司证券部业务主管、证券事务代表、证券部主任、董事会秘书、副总经理、董事，云南华联锌铟股份有限公司董事会办公室主任、董事会秘书、财务总监，云锡（深圳）融资租赁公司董事长，西藏巨龙铜业有限公司董事会秘书、董事，广晟有色金属股份有限公司董事会秘书。</w:t>
      </w:r>
    </w:p>
    <w:p w:rsidR="00B607A3" w:rsidRPr="00757771" w:rsidP="00757771">
      <w:pPr>
        <w:spacing w:line="360" w:lineRule="auto"/>
        <w:ind w:firstLine="420"/>
        <w:rPr>
          <w:sz w:val="20"/>
          <w:szCs w:val="20"/>
        </w:rPr>
      </w:pPr>
      <w:r w:rsidRPr="00757771">
        <w:rPr>
          <w:rFonts w:hint="eastAsia"/>
        </w:rPr>
        <w:t>忻榕女士，工商行政管理博士。现任易方达基金管理有限公司独立董事，中欧国际工商学院教授，复星旅游文化集团（开曼）有限公司独立董事，上海汇招信息技术有限公司董事，上海卡恩文化传播股份有限公司独立董事，上海智篆文化传播有限公司董事。曾任中科院研究生院讲师，美国加州高温橡胶公司市场部经理，美国加州大学讲师，美国南加州大学助理教授，香港科技大学副教授，中欧国际工商学院教授，瑞士洛桑管理学院教授。</w:t>
      </w:r>
    </w:p>
    <w:p w:rsidR="00B607A3" w:rsidRPr="00757771" w:rsidP="00757771">
      <w:pPr>
        <w:spacing w:line="360" w:lineRule="auto"/>
        <w:ind w:firstLine="420"/>
        <w:rPr>
          <w:sz w:val="20"/>
          <w:szCs w:val="20"/>
        </w:rPr>
      </w:pPr>
      <w:r w:rsidRPr="00757771">
        <w:rPr>
          <w:rFonts w:hint="eastAsia"/>
        </w:rPr>
        <w:t>谭劲松先生，管理学博士（会计学）。现任易方达基金管理有限公司独立董事，中山大学管理学院教授，中远海运特种运输股份有限公司独立董事，上海莱士血液制品股份有限公司独立董事，广州环保投资集团有限公司外部董事，玉山银行（中国）有限公司独立董事，广东粤财金融租赁股份有限公司独立董事，中新广州知识城投资开发有限公司监事，美的置业控股有限公司独立非执行董事，中信证券华南股份有限公司独立董事，数字广东网络建设有限公司独立董事，广州农村商业银行股份有限公司独立董事，广州港集团有限公司外部董事。曾任邵阳市财会学校教师，中山大学管理学院助教、讲师、副教授，广州恒运企业集团股份有限公司独立董事，中国南方航空股份有限公司独立董事，珠海华发实业股份有限公司独立董事。</w:t>
      </w:r>
    </w:p>
    <w:p w:rsidR="00B607A3" w:rsidRPr="00757771" w:rsidP="00757771">
      <w:pPr>
        <w:spacing w:line="360" w:lineRule="auto"/>
        <w:ind w:firstLine="420"/>
        <w:rPr>
          <w:sz w:val="20"/>
          <w:szCs w:val="20"/>
        </w:rPr>
      </w:pPr>
      <w:r w:rsidRPr="00757771">
        <w:rPr>
          <w:rFonts w:hint="eastAsia"/>
        </w:rPr>
        <w:t>王承志先生，法学博士。现任易方达基金管理有限公司独立董事，中山大学法学院副教授、博士生导师，广东省法学会国际法学研究会秘书长，中国国际私法学会理事，江苏凯强医学检验有限公司董事，广州茉莉数字科技集团股份有限公司独立董事，广东神朗律师事务所兼职律师，深圳市美之高科技股份有限公司独立董事。曾任美国天普大学法学院访问副教授。</w:t>
      </w:r>
    </w:p>
    <w:p w:rsidR="00B607A3" w:rsidRPr="00757771" w:rsidP="00757771">
      <w:pPr>
        <w:spacing w:line="360" w:lineRule="auto"/>
        <w:ind w:firstLine="420"/>
        <w:rPr>
          <w:sz w:val="20"/>
          <w:szCs w:val="20"/>
        </w:rPr>
      </w:pPr>
      <w:r w:rsidRPr="00757771">
        <w:rPr>
          <w:rFonts w:hint="eastAsia"/>
        </w:rPr>
        <w:t>刘发宏先生，工商管理硕士。现任易方达基金管理有限公司监事会主席，广东粤财信托有限公司董事，广东省融资再担保有限公司监事长。曾任天津商学院团总支书记兼政治辅导员、人事处干部，海南省三亚国际奥林匹克射击娱乐中心会计主管，三英（珠海）纺织有限公司财务主管，珠海市饼业食品有限公司财务部长、审计部长，珠海市国弘财务顾问有限公司项目经理，珠海市迪威有限公司会计师，珠海市卡都九洲食品有限公司财务总监，珠海格力集团（派驻下属企业）财务总监，珠海市国资委（派驻国有企业）财务总监，珠海港置业开发有限公司总经理，酒鬼酒股份有限公司副总经理，广东粤财投资控股有限公司审计部总经理、党委办主任、人力资源部总经理，广东粤财信托有限公司党委委员、副书记。</w:t>
      </w:r>
    </w:p>
    <w:p w:rsidR="00B607A3" w:rsidRPr="00757771" w:rsidP="00757771">
      <w:pPr>
        <w:spacing w:line="360" w:lineRule="auto"/>
        <w:ind w:firstLine="420"/>
        <w:rPr>
          <w:sz w:val="20"/>
          <w:szCs w:val="20"/>
        </w:rPr>
      </w:pPr>
      <w:r w:rsidRPr="00757771">
        <w:rPr>
          <w:rFonts w:hint="eastAsia"/>
        </w:rPr>
        <w:t>危勇先生，经济学博士。现任易方达基金管理有限公司监事，广州市广永国有资产经营有限公司董事长、总裁，广州赛马娱乐总公司董事，万联证券股份有限公司监事，广州银行</w:t>
      </w:r>
      <w:r w:rsidRPr="00757771">
        <w:rPr>
          <w:rFonts w:hint="eastAsia"/>
        </w:rPr>
        <w:t>股份有限公司董事，广州广永投资管理有限公司董事长，广州广永股权投资基金管理有限公司董事长。曾任中国水利水电第八工程局三产实业开发部秘书，中国人民银行广州分行统计研究处干部、货币信贷管理处主任科员、营管部综合处助理调研员，广州金融控股集团有限公司行政办公室主任，广州金融资产交易中心有限公司董事，广州股权交易中心有限公司董事，广州广永丽都酒店有限公司董事长。</w:t>
      </w:r>
    </w:p>
    <w:p w:rsidR="00B607A3" w:rsidRPr="00757771" w:rsidP="00757771">
      <w:pPr>
        <w:spacing w:line="360" w:lineRule="auto"/>
        <w:ind w:firstLine="420"/>
        <w:rPr>
          <w:sz w:val="20"/>
          <w:szCs w:val="20"/>
        </w:rPr>
      </w:pPr>
      <w:r w:rsidRPr="00757771">
        <w:rPr>
          <w:rFonts w:hint="eastAsia"/>
        </w:rPr>
        <w:t>廖智先生，经济学硕士。现任易方达基金管理有限公司监事、总裁助理、行政管理部总经理，广东粤财互联网金融股份有限公司董事。曾任广东证券股份有限公司基金部主管，易方达基金管理有限公司综合管理部副总经理、人力资源部副总经理、市场部总经理、互联网金融部总经理、综合管理部总经理。</w:t>
      </w:r>
    </w:p>
    <w:p w:rsidR="00B607A3" w:rsidRPr="00757771" w:rsidP="00757771">
      <w:pPr>
        <w:spacing w:line="360" w:lineRule="auto"/>
        <w:ind w:firstLine="420"/>
        <w:rPr>
          <w:sz w:val="20"/>
          <w:szCs w:val="20"/>
        </w:rPr>
      </w:pPr>
      <w:r w:rsidRPr="00757771">
        <w:rPr>
          <w:rFonts w:hint="eastAsia"/>
        </w:rPr>
        <w:t>邓志盛先生，经济学研究生。现任易方达基金管理有限公司监事、行政总监、党群工作部总经理。曾任广东证监会信息部部长，中国证监会广州证管办机构二处处长，金鹰基金管理有限公司副总经理，易方达基金管理有限公司综合管理部总经理、董事会秘书。</w:t>
      </w:r>
    </w:p>
    <w:p w:rsidR="00B607A3" w:rsidRPr="00757771" w:rsidP="00757771">
      <w:pPr>
        <w:spacing w:line="360" w:lineRule="auto"/>
        <w:ind w:firstLine="420"/>
        <w:rPr>
          <w:sz w:val="20"/>
          <w:szCs w:val="20"/>
        </w:rPr>
      </w:pPr>
      <w:r w:rsidRPr="00757771">
        <w:rPr>
          <w:rFonts w:hint="eastAsia"/>
        </w:rPr>
        <w:t>刘炜先生，工商管理硕士（</w:t>
      </w:r>
      <w:r w:rsidRPr="00757771">
        <w:t>EMBA</w:t>
      </w:r>
      <w:r w:rsidRPr="00757771">
        <w:rPr>
          <w:rFonts w:hint="eastAsia"/>
        </w:rPr>
        <w:t>）、法学硕士。现任易方达基金管理有限公司监事、人力资源部总经理。曾任易方达基金管理有限公司监察部监察员、上海分公司销售经理、市场部总经理助理、人力资源部副总经理、综合管理部总经理。</w:t>
      </w:r>
    </w:p>
    <w:p w:rsidR="00B607A3" w:rsidRPr="00757771" w:rsidP="00757771">
      <w:pPr>
        <w:spacing w:line="360" w:lineRule="auto"/>
        <w:ind w:firstLine="420"/>
        <w:rPr>
          <w:sz w:val="20"/>
          <w:szCs w:val="20"/>
        </w:rPr>
      </w:pPr>
      <w:r w:rsidRPr="00757771">
        <w:rPr>
          <w:rFonts w:hint="eastAsia"/>
        </w:rPr>
        <w:t>马骏先生，工商管理硕士（</w:t>
      </w:r>
      <w:r w:rsidRPr="00757771">
        <w:t>EMBA</w:t>
      </w:r>
      <w:r w:rsidRPr="00757771">
        <w:rPr>
          <w:rFonts w:hint="eastAsia"/>
        </w:rPr>
        <w:t>）。现任易方达基金管理有限公司常务副总裁、固定收益投资决策委员会委员，易方达资产管理（香港）有限公司董事长、人民币合格境外投资者（</w:t>
      </w:r>
      <w:r w:rsidRPr="00757771">
        <w:t>RQFII</w:t>
      </w:r>
      <w:r w:rsidRPr="00757771">
        <w:rPr>
          <w:rFonts w:hint="eastAsia"/>
        </w:rPr>
        <w:t>）业务负责人、证券交易负责人员（</w:t>
      </w:r>
      <w:r w:rsidRPr="00757771">
        <w:t>RO</w:t>
      </w:r>
      <w:r w:rsidRPr="00757771">
        <w:rPr>
          <w:rFonts w:hint="eastAsia"/>
        </w:rPr>
        <w:t>）、就证券提供意见负责人员（</w:t>
      </w:r>
      <w:r w:rsidRPr="00757771">
        <w:t>RO</w:t>
      </w:r>
      <w:r w:rsidRPr="00757771">
        <w:rPr>
          <w:rFonts w:hint="eastAsia"/>
        </w:rPr>
        <w:t>）、提供资产管理负责人员（</w:t>
      </w:r>
      <w:r w:rsidRPr="00757771">
        <w:t>RO</w:t>
      </w:r>
      <w:r w:rsidRPr="00757771">
        <w:rPr>
          <w:rFonts w:hint="eastAsia"/>
        </w:rPr>
        <w:t>）、产品审批委员会委员。曾任君安证券有限公司营业部职员，深圳众大投资有限公司投资部副总经理，广发证券有限责任公司研究员，易方达基金管理有限公司基金经理、固定收益部总经理、现金管理部总经理、固定收益总部总经理、总裁助理、固定收益投资总监、固定收益首席投资官，易方达资产管理有限公司董事。</w:t>
      </w:r>
    </w:p>
    <w:p w:rsidR="00B607A3" w:rsidRPr="00757771" w:rsidP="00757771">
      <w:pPr>
        <w:spacing w:line="360" w:lineRule="auto"/>
        <w:ind w:firstLine="420"/>
        <w:rPr>
          <w:sz w:val="20"/>
          <w:szCs w:val="20"/>
        </w:rPr>
      </w:pPr>
      <w:r w:rsidRPr="00757771">
        <w:rPr>
          <w:rFonts w:hint="eastAsia"/>
        </w:rPr>
        <w:t>吴欣荣先生，工学硕士。现任易方达基金管理有限公司常务副总裁、权益投资决策委员会委员，易方达资产管理（香港）有限公司董事。曾任易方达基金管理有限公司研究员、投资管理部经理、基金经理、基金投资部副总经理、研究部副总经理、研究部总经理、基金投资部总经理、公募基金投资部总经理、权益投资总部总经理、总裁助理、权益投资总监，易方达国际控股有限公司董事。</w:t>
      </w:r>
    </w:p>
    <w:p w:rsidR="00B607A3" w:rsidRPr="00757771" w:rsidP="00757771">
      <w:pPr>
        <w:spacing w:line="360" w:lineRule="auto"/>
        <w:ind w:firstLine="420"/>
        <w:rPr>
          <w:sz w:val="20"/>
          <w:szCs w:val="20"/>
        </w:rPr>
      </w:pPr>
      <w:r w:rsidRPr="00757771">
        <w:rPr>
          <w:rFonts w:hint="eastAsia"/>
        </w:rPr>
        <w:t>陈彤先生，经济学博士。现任易方达基金管理有限公司副总经理级高级管理人员，易方达国际控股有限公司董事。曾任中国经济开发信托投资公司成都营业部研发部副经理、交易</w:t>
      </w:r>
      <w:r w:rsidRPr="00757771">
        <w:rPr>
          <w:rFonts w:hint="eastAsia"/>
        </w:rPr>
        <w:t>部经理、研发部经理、证券总部研究部行业研究员，易方达基金管理有限公司市场拓展部主管、基金经理、市场部华东区大区销售经理、市场部总经理助理、南京分公司总经理、成都分公司总经理、上海分公司总经理、总裁助理、市场总监。</w:t>
      </w:r>
    </w:p>
    <w:p w:rsidR="00B607A3" w:rsidRPr="00757771" w:rsidP="00757771">
      <w:pPr>
        <w:spacing w:line="360" w:lineRule="auto"/>
        <w:ind w:firstLine="420"/>
        <w:rPr>
          <w:sz w:val="20"/>
          <w:szCs w:val="20"/>
        </w:rPr>
      </w:pPr>
      <w:r w:rsidRPr="00757771">
        <w:rPr>
          <w:rFonts w:hint="eastAsia"/>
        </w:rPr>
        <w:t>张南女士，经济学博士。现任易方达基金管理有限公司督察长。曾任广东省经济贸易委员会主任科员、副处长，易方达基金管理有限公司市场拓展部副总经理、监察部总经理。</w:t>
      </w:r>
    </w:p>
    <w:p w:rsidR="00B607A3" w:rsidRPr="00757771" w:rsidP="00757771">
      <w:pPr>
        <w:spacing w:line="360" w:lineRule="auto"/>
        <w:ind w:firstLine="420"/>
        <w:rPr>
          <w:sz w:val="20"/>
          <w:szCs w:val="20"/>
        </w:rPr>
      </w:pPr>
      <w:r w:rsidRPr="00757771">
        <w:rPr>
          <w:rFonts w:hint="eastAsia"/>
        </w:rPr>
        <w:t>范岳先生，工商管理硕士。现任易方达基金管理有限公司副总经理级高级管理人员。曾任中国工商银行深圳分行国际业务部科员，深圳证券登记结算公司办公室经理、国际部经理，深圳证券交易所北京中心助理主任、上市部副总监、基金债券部副总监、基金管理部总监，易方达资产管理（香港）有限公司董事。</w:t>
      </w:r>
    </w:p>
    <w:p w:rsidR="00B607A3" w:rsidRPr="00757771" w:rsidP="00757771">
      <w:pPr>
        <w:spacing w:line="360" w:lineRule="auto"/>
        <w:ind w:firstLine="420"/>
        <w:rPr>
          <w:rFonts w:hAnsi="Courier New"/>
        </w:rPr>
      </w:pPr>
      <w:r w:rsidRPr="00757771">
        <w:rPr>
          <w:rFonts w:hint="eastAsia"/>
        </w:rPr>
        <w:t>高松凡先生，工商管理硕士（</w:t>
      </w:r>
      <w:r w:rsidRPr="00757771">
        <w:t>EMBA</w:t>
      </w:r>
      <w:r w:rsidRPr="00757771">
        <w:rPr>
          <w:rFonts w:hint="eastAsia"/>
        </w:rPr>
        <w:t>）。现任易方达基金管理有限公司</w:t>
      </w:r>
      <w:r>
        <w:rPr>
          <w:rFonts w:hint="eastAsia"/>
        </w:rPr>
        <w:t>副总经理级</w:t>
      </w:r>
      <w:r w:rsidRPr="00757771">
        <w:rPr>
          <w:rFonts w:hint="eastAsia"/>
        </w:rPr>
        <w:t>高级管理人员。曾任招商银行总行人事部高级经理、企业年金中心副主任，浦东发展银行总行企业年金部总经理，长江养老保险公司首席市场总监，易方达基金管理有限公司养老金业务总监。</w:t>
      </w:r>
    </w:p>
    <w:p w:rsidR="00B607A3" w:rsidRPr="00757771" w:rsidP="00757771">
      <w:pPr>
        <w:spacing w:line="360" w:lineRule="auto"/>
        <w:ind w:firstLine="420"/>
        <w:rPr>
          <w:rFonts w:hAnsi="Courier New"/>
        </w:rPr>
      </w:pPr>
      <w:r w:rsidRPr="00757771">
        <w:rPr>
          <w:rFonts w:hint="eastAsia"/>
        </w:rPr>
        <w:t>关秀霞女士，工商管理硕士、金融学硕士。现任易方达基金管理有限公司</w:t>
      </w:r>
      <w:r>
        <w:rPr>
          <w:rFonts w:hint="eastAsia"/>
        </w:rPr>
        <w:t>副总经理级</w:t>
      </w:r>
      <w:r w:rsidRPr="00757771">
        <w:rPr>
          <w:rFonts w:hint="eastAsia"/>
        </w:rPr>
        <w:t>高级管理人员。曾任中国银行（香港）有限公司分析员，</w:t>
      </w:r>
      <w:r w:rsidRPr="00757771">
        <w:t>Daniel Dennis</w:t>
      </w:r>
      <w:r w:rsidRPr="00757771">
        <w:rPr>
          <w:rFonts w:hint="eastAsia"/>
        </w:rPr>
        <w:t>高级审计师，美国道富银行公司内部审计部高级审计师、美国共同基金业务风险经理、亚洲区（除日本外）机构服务主管、亚洲区（除日本外）副总裁、大中华地区董事总经理、大中华地区高级副总裁、中国区行长。</w:t>
      </w:r>
    </w:p>
    <w:p w:rsidR="00B607A3" w:rsidRPr="00757771" w:rsidP="00757771">
      <w:pPr>
        <w:spacing w:line="360" w:lineRule="auto"/>
        <w:ind w:firstLine="420"/>
        <w:rPr>
          <w:rFonts w:hAnsi="Courier New"/>
        </w:rPr>
      </w:pPr>
      <w:r w:rsidRPr="00757771">
        <w:rPr>
          <w:rFonts w:hint="eastAsia"/>
        </w:rPr>
        <w:t>陈荣女士，经济学博士。</w:t>
      </w:r>
      <w:r w:rsidRPr="007F2278">
        <w:rPr>
          <w:rFonts w:hint="eastAsia"/>
        </w:rPr>
        <w:t>现任易方达基金管理有限公司</w:t>
      </w:r>
      <w:r>
        <w:rPr>
          <w:rFonts w:hint="eastAsia"/>
        </w:rPr>
        <w:t>副总经理级</w:t>
      </w:r>
      <w:r w:rsidRPr="007F2278">
        <w:rPr>
          <w:rFonts w:hint="eastAsia"/>
        </w:rPr>
        <w:t>高级管理人员</w:t>
      </w:r>
      <w:r w:rsidRPr="009D1B54">
        <w:rPr>
          <w:rFonts w:hint="eastAsia"/>
        </w:rPr>
        <w:t>，</w:t>
      </w:r>
      <w:r>
        <w:rPr>
          <w:rFonts w:hint="eastAsia"/>
        </w:rPr>
        <w:t>易方达国际控股有限公司董事，</w:t>
      </w:r>
      <w:r w:rsidRPr="009D1B54">
        <w:rPr>
          <w:rFonts w:hint="eastAsia"/>
        </w:rPr>
        <w:t>易方达资产管理（香港）有限公司董事，易方达资产管理有限公司监事，易方达</w:t>
      </w:r>
      <w:r>
        <w:rPr>
          <w:rFonts w:hint="eastAsia"/>
        </w:rPr>
        <w:t>私募基金管理（上海）有限</w:t>
      </w:r>
      <w:r w:rsidRPr="009D1B54">
        <w:rPr>
          <w:rFonts w:hint="eastAsia"/>
        </w:rPr>
        <w:t>公司监事。</w:t>
      </w:r>
      <w:r w:rsidRPr="007F2278">
        <w:rPr>
          <w:rFonts w:hint="eastAsia"/>
        </w:rPr>
        <w:t>曾任中国人民银行广州分行统计研究处科员</w:t>
      </w:r>
      <w:r>
        <w:rPr>
          <w:rFonts w:hint="eastAsia"/>
        </w:rPr>
        <w:t>，</w:t>
      </w:r>
      <w:r w:rsidRPr="007F2278">
        <w:rPr>
          <w:rFonts w:hint="eastAsia"/>
        </w:rPr>
        <w:t>易方达基金管理有限公司运作支持部经理、核算部总经理助理、核算部副总经理、核算部总经理、投资风险管理部总经理、</w:t>
      </w:r>
      <w:r w:rsidRPr="002C736E">
        <w:rPr>
          <w:rFonts w:hint="eastAsia"/>
        </w:rPr>
        <w:t>总裁助理、董事会秘书、公</w:t>
      </w:r>
      <w:r w:rsidRPr="007F2278">
        <w:rPr>
          <w:rFonts w:hint="eastAsia"/>
        </w:rPr>
        <w:t>司财务中心主任。</w:t>
      </w:r>
    </w:p>
    <w:p w:rsidR="00B607A3" w:rsidRPr="007F2278" w:rsidP="00757771">
      <w:pPr>
        <w:spacing w:line="360" w:lineRule="auto"/>
        <w:ind w:firstLine="420"/>
      </w:pPr>
      <w:r w:rsidRPr="007F2278">
        <w:rPr>
          <w:rFonts w:hint="eastAsia"/>
        </w:rPr>
        <w:t>张坤先生，理学硕士。现任易方达基金管理有限公司</w:t>
      </w:r>
      <w:r>
        <w:rPr>
          <w:rFonts w:hint="eastAsia"/>
        </w:rPr>
        <w:t>副总经理级</w:t>
      </w:r>
      <w:r w:rsidRPr="007F2278">
        <w:rPr>
          <w:rFonts w:hint="eastAsia"/>
        </w:rPr>
        <w:t>高级管理人员、权益投资决策委员会委员、基金经理。曾任易方达基金管理有限公司行业研究员、基金经理助理、研究部总经理助理。</w:t>
      </w:r>
    </w:p>
    <w:p w:rsidR="00B607A3" w:rsidRPr="00757771" w:rsidP="00757771">
      <w:pPr>
        <w:spacing w:line="360" w:lineRule="auto"/>
        <w:ind w:firstLine="420"/>
      </w:pPr>
      <w:r w:rsidRPr="00757771">
        <w:rPr>
          <w:rFonts w:hint="eastAsia"/>
        </w:rPr>
        <w:t>胡剑先生，经济学硕士。现任易方达基金管理有限公司副总经理级高级管理人员、固定收益投资业务总部总经理、固定收益投资决策委员会委员、基金经理。曾任易方达基金管理有限公司债券研究员、基金经理助理、固定收益研究部负责人、固定收益总部总经理助理、</w:t>
      </w:r>
      <w:r w:rsidRPr="00757771">
        <w:rPr>
          <w:rFonts w:hint="eastAsia"/>
        </w:rPr>
        <w:t>固定收益研究部总经理、固定收益投资部总经理。</w:t>
      </w:r>
    </w:p>
    <w:p w:rsidR="00B607A3" w:rsidRPr="00757771" w:rsidP="00757771">
      <w:pPr>
        <w:spacing w:line="360" w:lineRule="auto"/>
        <w:ind w:firstLine="420"/>
      </w:pPr>
      <w:r w:rsidRPr="00757771">
        <w:rPr>
          <w:rFonts w:hint="eastAsia"/>
        </w:rPr>
        <w:t>张清华先生，物理学硕士。现任易方达基金管理有限公司副总经理级高级管理人员、多资产投资业务总部总经理、固定收益投资决策委员会委员、基金经理。曾任晨星资讯（深圳）有限公司数量分析师，中信证券股份有限公司研究员，易方达基金管理有限公司投资经理、固定收益基金投资部总经理、混合资产投资部总经理。</w:t>
      </w:r>
    </w:p>
    <w:p w:rsidR="00B607A3" w:rsidRPr="00757771" w:rsidP="00757771">
      <w:pPr>
        <w:spacing w:line="360" w:lineRule="auto"/>
        <w:ind w:firstLine="420"/>
      </w:pPr>
      <w:r w:rsidRPr="00757771">
        <w:rPr>
          <w:rFonts w:hint="eastAsia"/>
        </w:rPr>
        <w:t>冯波先生，经济学硕士。现任易方达基金管理有限公司副总经理级高级管理人员、研究部总经理、权益投资决策委员会委员、基金经理。曾任广东发展银行行员，易方达基金管理有限公司市场拓展部研究员、市场拓展部副经理、市场部大区销售经理、北京分公司副总经理、行业研究员、基金经理助理、研究部总经理助理、研究部副总经理。</w:t>
      </w:r>
    </w:p>
    <w:p w:rsidR="00B607A3" w:rsidRPr="00757771" w:rsidP="00757771">
      <w:pPr>
        <w:spacing w:line="360" w:lineRule="auto"/>
        <w:ind w:firstLine="420"/>
      </w:pPr>
      <w:r w:rsidRPr="00757771">
        <w:rPr>
          <w:rFonts w:hint="eastAsia"/>
        </w:rPr>
        <w:t>陈皓先生，管理学硕士。现任易方达基金管理有限公司副总经理级高级管理人员、投资一部总经理、权益投资决策委员会委员、基金经理。曾任易方达基金管理有限公司行业研究员、基金经理助理、投资一部总经理助理、投资一部副总经理、投资经理。</w:t>
      </w:r>
    </w:p>
    <w:p w:rsidR="00B607A3" w:rsidRPr="00757771" w:rsidP="00757771">
      <w:pPr>
        <w:spacing w:line="360" w:lineRule="auto"/>
        <w:ind w:firstLine="420"/>
      </w:pPr>
      <w:r w:rsidRPr="00757771">
        <w:rPr>
          <w:rFonts w:hint="eastAsia"/>
        </w:rPr>
        <w:t>娄利舟女士，工商管理硕士（</w:t>
      </w:r>
      <w:r w:rsidRPr="00757771">
        <w:t>EMBA</w:t>
      </w:r>
      <w:r w:rsidRPr="00757771">
        <w:rPr>
          <w:rFonts w:hint="eastAsia"/>
        </w:rPr>
        <w:t>）、经济学硕士。现任易方达基金管理有限公司副总经理级高级管理人员、</w:t>
      </w:r>
      <w:r w:rsidRPr="00757771">
        <w:t>FOF</w:t>
      </w:r>
      <w:r w:rsidRPr="00757771">
        <w:rPr>
          <w:rFonts w:hint="eastAsia"/>
        </w:rPr>
        <w:t>投资决策委员会委员，易方达资产管理有限公司董事长，易方达资产管理（香港）有限公司董事。曾任联合证券有限责任公司证券营业部分析师、研究所策略研究员、经纪业务部高级经理，易方达基金管理有限公司销售支持中心经理、市场部总经理助理、市场部副总经理、广州分公司总经理、北京分公司总经理、总裁助理，易方达资产管理有限公司总经理。</w:t>
      </w:r>
    </w:p>
    <w:p w:rsidR="00B607A3" w:rsidRPr="00757771" w:rsidP="00757771">
      <w:pPr>
        <w:spacing w:line="360" w:lineRule="auto"/>
        <w:ind w:firstLine="420"/>
      </w:pPr>
      <w:r w:rsidRPr="00757771">
        <w:rPr>
          <w:rFonts w:hint="eastAsia"/>
        </w:rPr>
        <w:t>萧楠先生，经济学硕士。现任易方达基金管理有限公司副总经理级高级管理人员、投资三部总经理、研究部副总经理、基金经理。曾任易方达基金管理有限公司行业研究员、基金经理助理、投资经理。</w:t>
      </w:r>
    </w:p>
    <w:p w:rsidR="00B607A3" w:rsidRPr="00757771" w:rsidP="00757771">
      <w:pPr>
        <w:spacing w:line="360" w:lineRule="auto"/>
        <w:ind w:firstLine="420"/>
      </w:pPr>
      <w:r w:rsidRPr="00757771">
        <w:rPr>
          <w:rFonts w:hint="eastAsia"/>
        </w:rPr>
        <w:t>管勇先生，理学硕士。现任易方达基金管理有限公司首席信息官、规划与支持中心总经理。曾任长城证券有限责任公司信息技术中心职员、营业部电脑部经理，金鹰基金管理有限公司运作保障部经理、总监助理、副总监、总监，国泰基金管理有限公司信息技术部副总监（主持工作）、总监，易方达基金管理有限公司信息技术部副总经理、系统研发部副总经理、技术运营部总经理、数据平台研发中心总经理。</w:t>
      </w:r>
    </w:p>
    <w:p w:rsidR="00B607A3" w:rsidRPr="00757771" w:rsidP="00757771">
      <w:pPr>
        <w:spacing w:line="360" w:lineRule="auto"/>
        <w:ind w:firstLine="420"/>
      </w:pPr>
      <w:r w:rsidRPr="00757771">
        <w:rPr>
          <w:rFonts w:hint="eastAsia"/>
        </w:rPr>
        <w:t>杨冬梅女士，工商管理硕士、经济学硕士。现任易方达基金管理有限公司副总经理级高级管理人员、董事会秘书、宣传策划部总经理、全球投资客户部总经理，易方达资产管理（香港）有限公司董事。曾任广发证券有限责任公司投资理财部职员、发展研究中心市场研究部</w:t>
      </w:r>
      <w:r w:rsidRPr="00757771">
        <w:rPr>
          <w:rFonts w:hint="eastAsia"/>
        </w:rPr>
        <w:t>负责人，南方证券股份有限公司研究所高级研究员，招商基金管理有限公司机构理财部高级经理、股票投资部高级经理，易方达基金管理有限公司宣传策划专员、市场部总经理助理、市场部副总经理。</w:t>
      </w:r>
    </w:p>
    <w:p w:rsidR="000065A8" w:rsidRPr="00757771" w:rsidP="00757771">
      <w:pPr>
        <w:spacing w:line="360" w:lineRule="auto"/>
        <w:ind w:firstLine="420"/>
        <w:rPr>
          <w:szCs w:val="20"/>
        </w:rPr>
      </w:pPr>
      <w:r w:rsidRPr="00757771">
        <w:t>2</w:t>
      </w:r>
      <w:r w:rsidRPr="00757771">
        <w:t>、基金经理</w:t>
      </w:r>
    </w:p>
    <w:p w:rsidR="002B0F16">
      <w:pPr>
        <w:spacing w:line="360" w:lineRule="auto"/>
        <w:ind w:firstLine="420"/>
      </w:pPr>
      <w:r>
        <w:t>冯波先生，经济学硕士，本基金的基金经理。现任易方达基金管理有限公司副总经理级高级管理人员、研究部总经理、权益投资决策委员会委员、易方达行业领先企业混合型证券投资基金基金经理（自</w:t>
      </w:r>
      <w:r>
        <w:t>2010</w:t>
      </w:r>
      <w:r>
        <w:t>年</w:t>
      </w:r>
      <w:r>
        <w:t>1</w:t>
      </w:r>
      <w:r>
        <w:t>月</w:t>
      </w:r>
      <w:r>
        <w:t>1</w:t>
      </w:r>
      <w:r>
        <w:t>日起任职）、易方达中盘成长混合型证券投资基金基金经理（自</w:t>
      </w:r>
      <w:r>
        <w:t>2018</w:t>
      </w:r>
      <w:r>
        <w:t>年</w:t>
      </w:r>
      <w:r>
        <w:t>7</w:t>
      </w:r>
      <w:r>
        <w:t>月</w:t>
      </w:r>
      <w:r>
        <w:t>4</w:t>
      </w:r>
      <w:r>
        <w:t>日起任职）、易方达研究精选股票型证券投资基金基金经理（自</w:t>
      </w:r>
      <w:r>
        <w:t>2020</w:t>
      </w:r>
      <w:r>
        <w:t>年</w:t>
      </w:r>
      <w:r>
        <w:t>2</w:t>
      </w:r>
      <w:r>
        <w:t>月</w:t>
      </w:r>
      <w:r>
        <w:t>21</w:t>
      </w:r>
      <w:r>
        <w:t>日起任职）、易方达竞争优势企业混合型证券投资基金基金经理（自</w:t>
      </w:r>
      <w:r>
        <w:t>2021</w:t>
      </w:r>
      <w:r>
        <w:t>年</w:t>
      </w:r>
      <w:r>
        <w:t>1</w:t>
      </w:r>
      <w:r>
        <w:t>月</w:t>
      </w:r>
      <w:r>
        <w:t>20</w:t>
      </w:r>
      <w:r>
        <w:t>日起任职）。曾任广东发展银行行员，易方达基金管理有限公司市场拓展部研究员、市场拓展部副经理、市场部大区销售经理、北京分公司副总经理、行业研究员、基金经理助理、研究部总经理助理、研究部副总经理、易方达科汇灵活配置混合型证券投资基金基金经理（自</w:t>
      </w:r>
      <w:r>
        <w:t>2010</w:t>
      </w:r>
      <w:r>
        <w:t>年</w:t>
      </w:r>
      <w:r>
        <w:t>1</w:t>
      </w:r>
      <w:r>
        <w:t>月</w:t>
      </w:r>
      <w:r>
        <w:t>1</w:t>
      </w:r>
      <w:r>
        <w:t>日至</w:t>
      </w:r>
      <w:r>
        <w:t>2014</w:t>
      </w:r>
      <w:r>
        <w:t>年</w:t>
      </w:r>
      <w:r>
        <w:t>11</w:t>
      </w:r>
      <w:r>
        <w:t>月</w:t>
      </w:r>
      <w:r>
        <w:t>21</w:t>
      </w:r>
      <w:r>
        <w:t>日）。</w:t>
      </w:r>
    </w:p>
    <w:p w:rsidR="002B0F16">
      <w:pPr>
        <w:spacing w:line="360" w:lineRule="auto"/>
        <w:ind w:firstLine="420"/>
      </w:pPr>
      <w:r>
        <w:t>王俊杰先生，经济学硕士，本基金的基金经理助理。现任易方达基金管理有限公司易方达中盘成长混合型证券投资基金基金经理助理、易方达研究精选股票型证券投资基金基金经理助理、易方达竞争优势企业混合型证券投资基金基金经理助理、易方达行业领先企业混合型证券投资基金基金经理助理。曾任博时基金管理有限公司研究部研究员，易方达基金管理有限公司行业研究员、易方达医疗保健行业混合型证券投资基金基金经理助理。</w:t>
      </w:r>
    </w:p>
    <w:p w:rsidR="002B0F16">
      <w:pPr>
        <w:spacing w:line="360" w:lineRule="auto"/>
        <w:ind w:firstLine="420"/>
      </w:pPr>
      <w:r>
        <w:t>本基金历任基金经理情况：伍卫，管理时间为</w:t>
      </w:r>
      <w:r>
        <w:t>2009</w:t>
      </w:r>
      <w:r>
        <w:t>年</w:t>
      </w:r>
      <w:r>
        <w:t>3</w:t>
      </w:r>
      <w:r>
        <w:t>月</w:t>
      </w:r>
      <w:r>
        <w:t>26</w:t>
      </w:r>
      <w:r>
        <w:t>日至</w:t>
      </w:r>
      <w:r>
        <w:t>2010</w:t>
      </w:r>
      <w:r>
        <w:t>年</w:t>
      </w:r>
      <w:r>
        <w:t>12</w:t>
      </w:r>
      <w:r>
        <w:t>月</w:t>
      </w:r>
      <w:r>
        <w:t>30</w:t>
      </w:r>
      <w:r>
        <w:t>日。</w:t>
      </w:r>
    </w:p>
    <w:p w:rsidR="002B0F16">
      <w:pPr>
        <w:spacing w:line="360" w:lineRule="auto"/>
        <w:ind w:firstLine="420"/>
      </w:pPr>
      <w:r>
        <w:t>3</w:t>
      </w:r>
      <w:r>
        <w:t>、权益投资决策委员会成员</w:t>
      </w:r>
    </w:p>
    <w:p w:rsidR="002B0F16">
      <w:pPr>
        <w:spacing w:line="360" w:lineRule="auto"/>
        <w:ind w:firstLine="420"/>
      </w:pPr>
      <w:r>
        <w:t>本公司权益投资决策委员会成员包括：吴欣荣先生、冯波先生、陈皓先生、张坤先生、孙松先生、付浩先生。</w:t>
      </w:r>
    </w:p>
    <w:p w:rsidR="002B0F16">
      <w:pPr>
        <w:spacing w:line="360" w:lineRule="auto"/>
        <w:ind w:firstLine="420"/>
      </w:pPr>
      <w:r>
        <w:t>吴欣荣先生，同上。</w:t>
      </w:r>
    </w:p>
    <w:p w:rsidR="002B0F16">
      <w:pPr>
        <w:spacing w:line="360" w:lineRule="auto"/>
        <w:ind w:firstLine="420"/>
      </w:pPr>
      <w:r>
        <w:t>冯波先生，同上。</w:t>
      </w:r>
    </w:p>
    <w:p w:rsidR="002B0F16">
      <w:pPr>
        <w:spacing w:line="360" w:lineRule="auto"/>
        <w:ind w:firstLine="420"/>
      </w:pPr>
      <w:r>
        <w:t>陈皓先生，同上。</w:t>
      </w:r>
    </w:p>
    <w:p w:rsidR="002B0F16">
      <w:pPr>
        <w:spacing w:line="360" w:lineRule="auto"/>
        <w:ind w:firstLine="420"/>
      </w:pPr>
      <w:r>
        <w:t>张坤先生，同上。</w:t>
      </w:r>
    </w:p>
    <w:p w:rsidR="002B0F16">
      <w:pPr>
        <w:spacing w:line="360" w:lineRule="auto"/>
        <w:ind w:firstLine="420"/>
      </w:pPr>
      <w:r>
        <w:t>孙松先生，易方达基金管理有限公司投资二部总经理、基金经理。</w:t>
      </w:r>
    </w:p>
    <w:p w:rsidR="002B0F16">
      <w:pPr>
        <w:spacing w:line="360" w:lineRule="auto"/>
        <w:ind w:firstLine="420"/>
      </w:pPr>
      <w:r>
        <w:t>付浩先生，易方达基金管理有限公司权益投资管理部总经理、基金经理。</w:t>
      </w:r>
    </w:p>
    <w:p w:rsidR="003A3487" w:rsidRPr="008564FF" w:rsidP="00595ED4">
      <w:pPr>
        <w:pStyle w:val="a"/>
        <w:autoSpaceDE w:val="0"/>
        <w:autoSpaceDN w:val="0"/>
        <w:adjustRightInd w:val="0"/>
        <w:snapToGrid w:val="0"/>
        <w:spacing w:line="360" w:lineRule="auto"/>
        <w:rPr>
          <w:rStyle w:val="da"/>
          <w:rFonts w:asciiTheme="minorEastAsia" w:eastAsiaTheme="minorEastAsia" w:hAnsiTheme="minorEastAsia"/>
          <w:szCs w:val="21"/>
        </w:rPr>
      </w:pPr>
      <w:r w:rsidRPr="008564FF">
        <w:rPr>
          <w:rFonts w:asciiTheme="minorEastAsia" w:eastAsiaTheme="minorEastAsia" w:hAnsiTheme="minorEastAsia" w:cs="仿宋_GB2312" w:hint="eastAsia"/>
          <w:b/>
          <w:bCs/>
          <w:kern w:val="0"/>
          <w:szCs w:val="21"/>
        </w:rPr>
        <w:t>4、上述人员之间均不存在近亲属关系。</w:t>
      </w:r>
    </w:p>
    <w:p w:rsidR="003A3487" w:rsidRPr="008564FF" w:rsidP="009C2B2A">
      <w:pPr>
        <w:pStyle w:val="Heading2"/>
        <w:snapToGrid w:val="0"/>
        <w:spacing w:beforeLines="0" w:afterLines="0" w:line="360" w:lineRule="auto"/>
        <w:ind w:firstLine="0" w:firstLineChars="0"/>
        <w:rPr>
          <w:rFonts w:asciiTheme="minorEastAsia" w:eastAsiaTheme="minorEastAsia" w:hAnsiTheme="minorEastAsia" w:cs="仿宋_GB2312"/>
          <w:b w:val="0"/>
          <w:bCs/>
        </w:rPr>
      </w:pPr>
      <w:bookmarkStart w:id="12" w:name="_Toc163189522"/>
      <w:bookmarkStart w:id="13" w:name="_Toc133292565"/>
      <w:bookmarkStart w:id="14" w:name="_Toc91749200"/>
      <w:r w:rsidRPr="008564FF">
        <w:rPr>
          <w:rFonts w:asciiTheme="minorEastAsia" w:eastAsiaTheme="minorEastAsia" w:hAnsiTheme="minorEastAsia" w:hint="eastAsia"/>
          <w:b w:val="0"/>
          <w:bCs/>
          <w:szCs w:val="21"/>
        </w:rPr>
        <w:t>（三）基金管理人的职责</w:t>
      </w:r>
      <w:bookmarkEnd w:id="12"/>
      <w:bookmarkEnd w:id="13"/>
      <w:bookmarkEnd w:id="14"/>
    </w:p>
    <w:p w:rsidR="003A3487" w:rsidRPr="008564FF" w:rsidP="004549E4">
      <w:pPr>
        <w:snapToGrid w:val="0"/>
        <w:spacing w:line="360" w:lineRule="auto"/>
        <w:ind w:firstLine="420"/>
        <w:rPr>
          <w:rFonts w:asciiTheme="minorEastAsia" w:eastAsiaTheme="minorEastAsia" w:hAnsiTheme="minorEastAsia" w:cs="仿宋_GB2312"/>
        </w:rPr>
      </w:pPr>
      <w:r w:rsidRPr="008564FF">
        <w:rPr>
          <w:rFonts w:asciiTheme="minorEastAsia" w:eastAsiaTheme="minorEastAsia" w:hAnsiTheme="minorEastAsia" w:cs="仿宋_GB2312" w:hint="eastAsia"/>
        </w:rPr>
        <w:t>1、</w:t>
      </w:r>
      <w:r w:rsidRPr="008564FF" w:rsidR="00146D2E">
        <w:rPr>
          <w:rFonts w:asciiTheme="minorEastAsia" w:eastAsiaTheme="minorEastAsia" w:hAnsiTheme="minorEastAsia" w:cs="仿宋_GB2312" w:hint="eastAsia"/>
        </w:rPr>
        <w:t>依法募集资金，办理基金份额的发售和登记事宜</w:t>
      </w:r>
      <w:r w:rsidRPr="008564FF">
        <w:rPr>
          <w:rFonts w:asciiTheme="minorEastAsia" w:eastAsiaTheme="minorEastAsia" w:hAnsiTheme="minorEastAsia" w:cs="仿宋_GB2312" w:hint="eastAsia"/>
        </w:rPr>
        <w:t>；</w:t>
      </w:r>
    </w:p>
    <w:p w:rsidR="003A3487" w:rsidRPr="008564FF" w:rsidP="004549E4">
      <w:pPr>
        <w:snapToGrid w:val="0"/>
        <w:spacing w:line="360" w:lineRule="auto"/>
        <w:ind w:firstLine="420"/>
        <w:rPr>
          <w:rFonts w:asciiTheme="minorEastAsia" w:eastAsiaTheme="minorEastAsia" w:hAnsiTheme="minorEastAsia" w:cs="仿宋_GB2312"/>
        </w:rPr>
      </w:pPr>
      <w:r w:rsidRPr="008564FF">
        <w:rPr>
          <w:rFonts w:asciiTheme="minorEastAsia" w:eastAsiaTheme="minorEastAsia" w:hAnsiTheme="minorEastAsia" w:cs="仿宋_GB2312" w:hint="eastAsia"/>
        </w:rPr>
        <w:t>2、办理基金备案手续；</w:t>
      </w:r>
    </w:p>
    <w:p w:rsidR="003A3487" w:rsidRPr="008564FF" w:rsidP="004549E4">
      <w:pPr>
        <w:snapToGrid w:val="0"/>
        <w:spacing w:line="360" w:lineRule="auto"/>
        <w:ind w:firstLine="420"/>
        <w:rPr>
          <w:rFonts w:asciiTheme="minorEastAsia" w:eastAsiaTheme="minorEastAsia" w:hAnsiTheme="minorEastAsia" w:cs="仿宋_GB2312"/>
        </w:rPr>
      </w:pPr>
      <w:r w:rsidRPr="008564FF">
        <w:rPr>
          <w:rFonts w:asciiTheme="minorEastAsia" w:eastAsiaTheme="minorEastAsia" w:hAnsiTheme="minorEastAsia" w:cs="仿宋_GB2312" w:hint="eastAsia"/>
        </w:rPr>
        <w:t>3、对所管理的不同基金财产分别管理、分别记账，进行证券投资；</w:t>
      </w:r>
    </w:p>
    <w:p w:rsidR="003A3487" w:rsidRPr="008564FF" w:rsidP="004549E4">
      <w:pPr>
        <w:snapToGrid w:val="0"/>
        <w:spacing w:line="360" w:lineRule="auto"/>
        <w:ind w:firstLine="420"/>
        <w:rPr>
          <w:rFonts w:asciiTheme="minorEastAsia" w:eastAsiaTheme="minorEastAsia" w:hAnsiTheme="minorEastAsia" w:cs="仿宋_GB2312"/>
        </w:rPr>
      </w:pPr>
      <w:r w:rsidRPr="008564FF">
        <w:rPr>
          <w:rFonts w:asciiTheme="minorEastAsia" w:eastAsiaTheme="minorEastAsia" w:hAnsiTheme="minorEastAsia" w:cs="仿宋_GB2312" w:hint="eastAsia"/>
        </w:rPr>
        <w:t>4、按照基金合同的约定确定基金收益分配方案，及时向基金份额持有人分配收益；</w:t>
      </w:r>
    </w:p>
    <w:p w:rsidR="003A3487" w:rsidRPr="008564FF" w:rsidP="004549E4">
      <w:pPr>
        <w:snapToGrid w:val="0"/>
        <w:spacing w:line="360" w:lineRule="auto"/>
        <w:ind w:firstLine="420"/>
        <w:rPr>
          <w:rFonts w:asciiTheme="minorEastAsia" w:eastAsiaTheme="minorEastAsia" w:hAnsiTheme="minorEastAsia" w:cs="仿宋_GB2312"/>
        </w:rPr>
      </w:pPr>
      <w:r w:rsidRPr="008564FF">
        <w:rPr>
          <w:rFonts w:asciiTheme="minorEastAsia" w:eastAsiaTheme="minorEastAsia" w:hAnsiTheme="minorEastAsia" w:cs="仿宋_GB2312" w:hint="eastAsia"/>
        </w:rPr>
        <w:t>5、进行基金会计核算并编制基金财务会计报告；</w:t>
      </w:r>
    </w:p>
    <w:p w:rsidR="003A3487" w:rsidRPr="008564FF" w:rsidP="004549E4">
      <w:pPr>
        <w:snapToGrid w:val="0"/>
        <w:spacing w:line="360" w:lineRule="auto"/>
        <w:ind w:firstLine="420"/>
        <w:rPr>
          <w:rFonts w:asciiTheme="minorEastAsia" w:eastAsiaTheme="minorEastAsia" w:hAnsiTheme="minorEastAsia" w:cs="仿宋_GB2312"/>
        </w:rPr>
      </w:pPr>
      <w:r w:rsidRPr="008564FF">
        <w:rPr>
          <w:rFonts w:asciiTheme="minorEastAsia" w:eastAsiaTheme="minorEastAsia" w:hAnsiTheme="minorEastAsia" w:cs="仿宋_GB2312" w:hint="eastAsia"/>
        </w:rPr>
        <w:t>6、编制</w:t>
      </w:r>
      <w:r w:rsidRPr="008564FF" w:rsidR="00365EC5">
        <w:rPr>
          <w:rFonts w:asciiTheme="minorEastAsia" w:eastAsiaTheme="minorEastAsia" w:hAnsiTheme="minorEastAsia" w:cs="仿宋_GB2312" w:hint="eastAsia"/>
        </w:rPr>
        <w:t>季度报告、中期报告和年度报告</w:t>
      </w:r>
      <w:r w:rsidRPr="008564FF">
        <w:rPr>
          <w:rFonts w:asciiTheme="minorEastAsia" w:eastAsiaTheme="minorEastAsia" w:hAnsiTheme="minorEastAsia" w:cs="仿宋_GB2312" w:hint="eastAsia"/>
        </w:rPr>
        <w:t>；</w:t>
      </w:r>
    </w:p>
    <w:p w:rsidR="003A3487" w:rsidRPr="008564FF" w:rsidP="004549E4">
      <w:pPr>
        <w:snapToGrid w:val="0"/>
        <w:spacing w:line="360" w:lineRule="auto"/>
        <w:ind w:firstLine="420"/>
        <w:rPr>
          <w:rFonts w:asciiTheme="minorEastAsia" w:eastAsiaTheme="minorEastAsia" w:hAnsiTheme="minorEastAsia" w:cs="仿宋_GB2312"/>
        </w:rPr>
      </w:pPr>
      <w:r w:rsidRPr="008564FF">
        <w:rPr>
          <w:rFonts w:asciiTheme="minorEastAsia" w:eastAsiaTheme="minorEastAsia" w:hAnsiTheme="minorEastAsia" w:cs="仿宋_GB2312" w:hint="eastAsia"/>
        </w:rPr>
        <w:t>7、计算并公告基金</w:t>
      </w:r>
      <w:r w:rsidRPr="008564FF" w:rsidR="00365EC5">
        <w:rPr>
          <w:rFonts w:asciiTheme="minorEastAsia" w:eastAsiaTheme="minorEastAsia" w:hAnsiTheme="minorEastAsia" w:cs="仿宋_GB2312" w:hint="eastAsia"/>
        </w:rPr>
        <w:t>净值信息</w:t>
      </w:r>
      <w:r w:rsidRPr="008564FF">
        <w:rPr>
          <w:rFonts w:asciiTheme="minorEastAsia" w:eastAsiaTheme="minorEastAsia" w:hAnsiTheme="minorEastAsia" w:cs="仿宋_GB2312" w:hint="eastAsia"/>
        </w:rPr>
        <w:t>，确定基金份额申购、赎回价格；</w:t>
      </w:r>
    </w:p>
    <w:p w:rsidR="003A3487" w:rsidRPr="008564FF" w:rsidP="004549E4">
      <w:pPr>
        <w:snapToGrid w:val="0"/>
        <w:spacing w:line="360" w:lineRule="auto"/>
        <w:ind w:firstLine="420"/>
        <w:rPr>
          <w:rFonts w:asciiTheme="minorEastAsia" w:eastAsiaTheme="minorEastAsia" w:hAnsiTheme="minorEastAsia" w:cs="仿宋_GB2312"/>
        </w:rPr>
      </w:pPr>
      <w:r w:rsidRPr="008564FF">
        <w:rPr>
          <w:rFonts w:asciiTheme="minorEastAsia" w:eastAsiaTheme="minorEastAsia" w:hAnsiTheme="minorEastAsia" w:cs="仿宋_GB2312" w:hint="eastAsia"/>
        </w:rPr>
        <w:t>8、办理与基金财产管理业务活动有关的信息披露事项；</w:t>
      </w:r>
    </w:p>
    <w:p w:rsidR="003A3487" w:rsidRPr="008564FF" w:rsidP="004549E4">
      <w:pPr>
        <w:snapToGrid w:val="0"/>
        <w:spacing w:line="360" w:lineRule="auto"/>
        <w:ind w:firstLine="420"/>
        <w:rPr>
          <w:rFonts w:asciiTheme="minorEastAsia" w:eastAsiaTheme="minorEastAsia" w:hAnsiTheme="minorEastAsia" w:cs="仿宋_GB2312"/>
        </w:rPr>
      </w:pPr>
      <w:r w:rsidRPr="008564FF">
        <w:rPr>
          <w:rFonts w:asciiTheme="minorEastAsia" w:eastAsiaTheme="minorEastAsia" w:hAnsiTheme="minorEastAsia" w:cs="仿宋_GB2312" w:hint="eastAsia"/>
        </w:rPr>
        <w:t>9、</w:t>
      </w:r>
      <w:r w:rsidRPr="008564FF" w:rsidR="00146D2E">
        <w:rPr>
          <w:rFonts w:asciiTheme="minorEastAsia" w:eastAsiaTheme="minorEastAsia" w:hAnsiTheme="minorEastAsia" w:cs="仿宋_GB2312" w:hint="eastAsia"/>
        </w:rPr>
        <w:t>按照规定</w:t>
      </w:r>
      <w:r w:rsidRPr="008564FF">
        <w:rPr>
          <w:rFonts w:asciiTheme="minorEastAsia" w:eastAsiaTheme="minorEastAsia" w:hAnsiTheme="minorEastAsia" w:cs="仿宋_GB2312" w:hint="eastAsia"/>
        </w:rPr>
        <w:t>召集基金份额持有人大会；</w:t>
      </w:r>
    </w:p>
    <w:p w:rsidR="003A3487" w:rsidRPr="008564FF" w:rsidP="004549E4">
      <w:pPr>
        <w:snapToGrid w:val="0"/>
        <w:spacing w:line="360" w:lineRule="auto"/>
        <w:ind w:firstLine="420"/>
        <w:rPr>
          <w:rFonts w:asciiTheme="minorEastAsia" w:eastAsiaTheme="minorEastAsia" w:hAnsiTheme="minorEastAsia" w:cs="仿宋_GB2312"/>
        </w:rPr>
      </w:pPr>
      <w:r w:rsidRPr="008564FF">
        <w:rPr>
          <w:rFonts w:asciiTheme="minorEastAsia" w:eastAsiaTheme="minorEastAsia" w:hAnsiTheme="minorEastAsia" w:cs="仿宋_GB2312" w:hint="eastAsia"/>
        </w:rPr>
        <w:t>10、保存基金财产管理业务活动的记录、账册、报表和其他相关资料；</w:t>
      </w:r>
    </w:p>
    <w:p w:rsidR="003A3487" w:rsidRPr="008564FF" w:rsidP="004549E4">
      <w:pPr>
        <w:snapToGrid w:val="0"/>
        <w:spacing w:line="360" w:lineRule="auto"/>
        <w:ind w:firstLine="420"/>
        <w:rPr>
          <w:rFonts w:asciiTheme="minorEastAsia" w:eastAsiaTheme="minorEastAsia" w:hAnsiTheme="minorEastAsia" w:cs="仿宋_GB2312"/>
        </w:rPr>
      </w:pPr>
      <w:r w:rsidRPr="008564FF">
        <w:rPr>
          <w:rFonts w:asciiTheme="minorEastAsia" w:eastAsiaTheme="minorEastAsia" w:hAnsiTheme="minorEastAsia" w:cs="仿宋_GB2312" w:hint="eastAsia"/>
        </w:rPr>
        <w:t>11、以基金管理人名义，代表基金份额持有人利益行使诉讼权利或者实施其他法律行为；</w:t>
      </w:r>
    </w:p>
    <w:p w:rsidR="003A3487" w:rsidRPr="008564FF" w:rsidP="004549E4">
      <w:pPr>
        <w:snapToGrid w:val="0"/>
        <w:spacing w:line="360" w:lineRule="auto"/>
        <w:ind w:firstLine="420"/>
        <w:rPr>
          <w:rFonts w:asciiTheme="minorEastAsia" w:eastAsiaTheme="minorEastAsia" w:hAnsiTheme="minorEastAsia" w:cs="仿宋_GB2312"/>
        </w:rPr>
      </w:pPr>
      <w:r w:rsidRPr="008564FF">
        <w:rPr>
          <w:rFonts w:asciiTheme="minorEastAsia" w:eastAsiaTheme="minorEastAsia" w:hAnsiTheme="minorEastAsia" w:cs="仿宋_GB2312" w:hint="eastAsia"/>
        </w:rPr>
        <w:t>12、国务院证券监督管理机构规定的其他职责。</w:t>
      </w:r>
    </w:p>
    <w:p w:rsidR="003A3487" w:rsidRPr="008564FF" w:rsidP="009C2B2A">
      <w:pPr>
        <w:pStyle w:val="Heading2"/>
        <w:snapToGrid w:val="0"/>
        <w:spacing w:beforeLines="0" w:afterLines="0" w:line="360" w:lineRule="auto"/>
        <w:ind w:firstLine="0" w:firstLineChars="0"/>
        <w:rPr>
          <w:rFonts w:asciiTheme="minorEastAsia" w:eastAsiaTheme="minorEastAsia" w:hAnsiTheme="minorEastAsia"/>
          <w:sz w:val="21"/>
        </w:rPr>
      </w:pPr>
      <w:bookmarkStart w:id="15" w:name="_Toc163189523"/>
      <w:bookmarkStart w:id="16" w:name="_Toc133292566"/>
      <w:bookmarkStart w:id="17" w:name="_Toc91749201"/>
      <w:r w:rsidRPr="008564FF">
        <w:rPr>
          <w:rFonts w:asciiTheme="minorEastAsia" w:eastAsiaTheme="minorEastAsia" w:hAnsiTheme="minorEastAsia" w:hint="eastAsia"/>
          <w:b w:val="0"/>
          <w:bCs/>
          <w:szCs w:val="21"/>
        </w:rPr>
        <w:t>（四）基金管理人的承诺</w:t>
      </w:r>
      <w:bookmarkEnd w:id="15"/>
      <w:bookmarkEnd w:id="16"/>
      <w:bookmarkEnd w:id="17"/>
    </w:p>
    <w:p w:rsidR="003A3487" w:rsidRPr="008564FF" w:rsidP="004549E4">
      <w:pPr>
        <w:snapToGrid w:val="0"/>
        <w:spacing w:line="360" w:lineRule="auto"/>
        <w:ind w:firstLine="420"/>
        <w:rPr>
          <w:rFonts w:asciiTheme="minorEastAsia" w:eastAsiaTheme="minorEastAsia" w:hAnsiTheme="minorEastAsia" w:cs="仿宋_GB2312"/>
        </w:rPr>
      </w:pPr>
      <w:r w:rsidRPr="008564FF">
        <w:rPr>
          <w:rFonts w:asciiTheme="minorEastAsia" w:eastAsiaTheme="minorEastAsia" w:hAnsiTheme="minorEastAsia" w:cs="仿宋_GB2312" w:hint="eastAsia"/>
        </w:rPr>
        <w:t>1、本基金管理人承诺严格遵守现行有效的相关法律、法规、规章、基金合同和中国证监会的有关规定，建立健全内部控制制度，采取有效措施，防止违反现行有效的有关法律、法规、规章、基金合同和中国证监会有关规定的行为发生。</w:t>
      </w:r>
    </w:p>
    <w:p w:rsidR="003A3487" w:rsidRPr="008564FF" w:rsidP="004549E4">
      <w:pPr>
        <w:snapToGrid w:val="0"/>
        <w:spacing w:line="360" w:lineRule="auto"/>
        <w:ind w:firstLine="420"/>
        <w:rPr>
          <w:rFonts w:asciiTheme="minorEastAsia" w:eastAsiaTheme="minorEastAsia" w:hAnsiTheme="minorEastAsia" w:cs="仿宋_GB2312"/>
        </w:rPr>
      </w:pPr>
      <w:r w:rsidRPr="008564FF">
        <w:rPr>
          <w:rFonts w:asciiTheme="minorEastAsia" w:eastAsiaTheme="minorEastAsia" w:hAnsiTheme="minorEastAsia" w:cs="仿宋_GB2312" w:hint="eastAsia"/>
        </w:rPr>
        <w:t>2、本基金管理人承诺严格遵守《证券法》、《基金法》及有关法律法规，建立健全内部控制制度，采取有效措施，防止下列行为发生：</w:t>
      </w:r>
    </w:p>
    <w:p w:rsidR="003A3487" w:rsidRPr="008564FF" w:rsidP="004549E4">
      <w:pPr>
        <w:numPr>
          <w:ilvl w:val="1"/>
          <w:numId w:val="5"/>
        </w:numPr>
        <w:tabs>
          <w:tab w:val="left" w:pos="735"/>
          <w:tab w:val="num" w:pos="1320"/>
        </w:tabs>
        <w:snapToGrid w:val="0"/>
        <w:spacing w:line="360" w:lineRule="auto"/>
        <w:rPr>
          <w:rFonts w:asciiTheme="minorEastAsia" w:eastAsiaTheme="minorEastAsia" w:hAnsiTheme="minorEastAsia"/>
        </w:rPr>
      </w:pPr>
      <w:r w:rsidRPr="008564FF">
        <w:rPr>
          <w:rFonts w:asciiTheme="minorEastAsia" w:eastAsiaTheme="minorEastAsia" w:hAnsiTheme="minorEastAsia" w:hint="eastAsia"/>
        </w:rPr>
        <w:t>将其固有财产或者他人财产混同于基金财产从事证券投资；</w:t>
      </w:r>
    </w:p>
    <w:p w:rsidR="003A3487" w:rsidRPr="008564FF" w:rsidP="004549E4">
      <w:pPr>
        <w:numPr>
          <w:ilvl w:val="1"/>
          <w:numId w:val="5"/>
        </w:numPr>
        <w:tabs>
          <w:tab w:val="left" w:pos="735"/>
          <w:tab w:val="num" w:pos="1320"/>
        </w:tabs>
        <w:snapToGrid w:val="0"/>
        <w:spacing w:line="360" w:lineRule="auto"/>
        <w:rPr>
          <w:rFonts w:asciiTheme="minorEastAsia" w:eastAsiaTheme="minorEastAsia" w:hAnsiTheme="minorEastAsia"/>
        </w:rPr>
      </w:pPr>
      <w:r w:rsidRPr="008564FF">
        <w:rPr>
          <w:rFonts w:asciiTheme="minorEastAsia" w:eastAsiaTheme="minorEastAsia" w:hAnsiTheme="minorEastAsia" w:hint="eastAsia"/>
        </w:rPr>
        <w:t>不公平地对待其管理的不同基金财产；</w:t>
      </w:r>
    </w:p>
    <w:p w:rsidR="003A3487" w:rsidRPr="008564FF" w:rsidP="004549E4">
      <w:pPr>
        <w:numPr>
          <w:ilvl w:val="1"/>
          <w:numId w:val="5"/>
        </w:numPr>
        <w:tabs>
          <w:tab w:val="left" w:pos="735"/>
          <w:tab w:val="num" w:pos="1320"/>
        </w:tabs>
        <w:snapToGrid w:val="0"/>
        <w:spacing w:line="360" w:lineRule="auto"/>
        <w:rPr>
          <w:rFonts w:asciiTheme="minorEastAsia" w:eastAsiaTheme="minorEastAsia" w:hAnsiTheme="minorEastAsia"/>
        </w:rPr>
      </w:pPr>
      <w:r w:rsidRPr="008564FF">
        <w:rPr>
          <w:rFonts w:asciiTheme="minorEastAsia" w:eastAsiaTheme="minorEastAsia" w:hAnsiTheme="minorEastAsia" w:hint="eastAsia"/>
        </w:rPr>
        <w:t>利用基金财产</w:t>
      </w:r>
      <w:r w:rsidRPr="008564FF" w:rsidR="00146D2E">
        <w:rPr>
          <w:rFonts w:asciiTheme="minorEastAsia" w:eastAsiaTheme="minorEastAsia" w:hAnsiTheme="minorEastAsia" w:hint="eastAsia"/>
        </w:rPr>
        <w:t>或者职务之便</w:t>
      </w:r>
      <w:r w:rsidRPr="008564FF">
        <w:rPr>
          <w:rFonts w:asciiTheme="minorEastAsia" w:eastAsiaTheme="minorEastAsia" w:hAnsiTheme="minorEastAsia" w:hint="eastAsia"/>
        </w:rPr>
        <w:t>为基金份额持有人以外的第三人谋取利益；</w:t>
      </w:r>
    </w:p>
    <w:p w:rsidR="003A3487" w:rsidRPr="008564FF" w:rsidP="004549E4">
      <w:pPr>
        <w:numPr>
          <w:ilvl w:val="1"/>
          <w:numId w:val="5"/>
        </w:numPr>
        <w:tabs>
          <w:tab w:val="left" w:pos="735"/>
          <w:tab w:val="num" w:pos="1320"/>
        </w:tabs>
        <w:snapToGrid w:val="0"/>
        <w:spacing w:line="360" w:lineRule="auto"/>
        <w:rPr>
          <w:rFonts w:asciiTheme="minorEastAsia" w:eastAsiaTheme="minorEastAsia" w:hAnsiTheme="minorEastAsia"/>
        </w:rPr>
      </w:pPr>
      <w:r w:rsidRPr="008564FF">
        <w:rPr>
          <w:rFonts w:asciiTheme="minorEastAsia" w:eastAsiaTheme="minorEastAsia" w:hAnsiTheme="minorEastAsia" w:hint="eastAsia"/>
        </w:rPr>
        <w:t>向基金份额持有人违规承诺收益或者承担损失；</w:t>
      </w:r>
    </w:p>
    <w:p w:rsidR="00146D2E" w:rsidRPr="008564FF" w:rsidP="004549E4">
      <w:pPr>
        <w:numPr>
          <w:ilvl w:val="1"/>
          <w:numId w:val="5"/>
        </w:numPr>
        <w:tabs>
          <w:tab w:val="left" w:pos="735"/>
          <w:tab w:val="num" w:pos="1320"/>
        </w:tabs>
        <w:snapToGrid w:val="0"/>
        <w:spacing w:line="360" w:lineRule="auto"/>
        <w:rPr>
          <w:rFonts w:asciiTheme="minorEastAsia" w:eastAsiaTheme="minorEastAsia" w:hAnsiTheme="minorEastAsia"/>
        </w:rPr>
      </w:pPr>
      <w:r w:rsidRPr="008564FF">
        <w:rPr>
          <w:rFonts w:asciiTheme="minorEastAsia" w:eastAsiaTheme="minorEastAsia" w:hAnsiTheme="minorEastAsia" w:hint="eastAsia"/>
        </w:rPr>
        <w:t>侵占、挪用基金财产；</w:t>
      </w:r>
    </w:p>
    <w:p w:rsidR="00146D2E" w:rsidRPr="008564FF" w:rsidP="004549E4">
      <w:pPr>
        <w:numPr>
          <w:ilvl w:val="1"/>
          <w:numId w:val="5"/>
        </w:numPr>
        <w:tabs>
          <w:tab w:val="left" w:pos="735"/>
          <w:tab w:val="num" w:pos="1320"/>
        </w:tabs>
        <w:snapToGrid w:val="0"/>
        <w:spacing w:line="360" w:lineRule="auto"/>
        <w:rPr>
          <w:rFonts w:asciiTheme="minorEastAsia" w:eastAsiaTheme="minorEastAsia" w:hAnsiTheme="minorEastAsia"/>
        </w:rPr>
      </w:pPr>
      <w:r w:rsidRPr="008564FF">
        <w:rPr>
          <w:rFonts w:asciiTheme="minorEastAsia" w:eastAsiaTheme="minorEastAsia" w:hAnsiTheme="minorEastAsia" w:hint="eastAsia"/>
        </w:rPr>
        <w:t>泄露因职务便利获取的未公开信息、利用该信息从事或者明示、暗示他人从事相关的交易活动；</w:t>
      </w:r>
    </w:p>
    <w:p w:rsidR="00146D2E" w:rsidRPr="008564FF" w:rsidP="004549E4">
      <w:pPr>
        <w:numPr>
          <w:ilvl w:val="1"/>
          <w:numId w:val="5"/>
        </w:numPr>
        <w:tabs>
          <w:tab w:val="left" w:pos="735"/>
          <w:tab w:val="num" w:pos="1320"/>
        </w:tabs>
        <w:snapToGrid w:val="0"/>
        <w:spacing w:line="360" w:lineRule="auto"/>
        <w:rPr>
          <w:rFonts w:asciiTheme="minorEastAsia" w:eastAsiaTheme="minorEastAsia" w:hAnsiTheme="minorEastAsia"/>
        </w:rPr>
      </w:pPr>
      <w:r w:rsidRPr="008564FF">
        <w:rPr>
          <w:rFonts w:asciiTheme="minorEastAsia" w:eastAsiaTheme="minorEastAsia" w:hAnsiTheme="minorEastAsia" w:hint="eastAsia"/>
        </w:rPr>
        <w:t>玩忽职守，不按照规定履行职责；</w:t>
      </w:r>
    </w:p>
    <w:p w:rsidR="003A3487" w:rsidRPr="008564FF" w:rsidP="004549E4">
      <w:pPr>
        <w:numPr>
          <w:ilvl w:val="1"/>
          <w:numId w:val="5"/>
        </w:numPr>
        <w:tabs>
          <w:tab w:val="left" w:pos="735"/>
          <w:tab w:val="num" w:pos="1320"/>
        </w:tabs>
        <w:snapToGrid w:val="0"/>
        <w:spacing w:line="360" w:lineRule="auto"/>
        <w:rPr>
          <w:rFonts w:asciiTheme="minorEastAsia" w:eastAsiaTheme="minorEastAsia" w:hAnsiTheme="minorEastAsia"/>
        </w:rPr>
      </w:pPr>
      <w:r w:rsidRPr="008564FF">
        <w:rPr>
          <w:rFonts w:asciiTheme="minorEastAsia" w:eastAsiaTheme="minorEastAsia" w:hAnsiTheme="minorEastAsia" w:hint="eastAsia"/>
        </w:rPr>
        <w:t>法律、行政法规和中国证监会规定禁止的其他行为。</w:t>
      </w:r>
    </w:p>
    <w:p w:rsidR="003A3487" w:rsidRPr="008564FF" w:rsidP="004549E4">
      <w:pPr>
        <w:autoSpaceDE w:val="0"/>
        <w:autoSpaceDN w:val="0"/>
        <w:adjustRightInd w:val="0"/>
        <w:snapToGrid w:val="0"/>
        <w:spacing w:line="360" w:lineRule="auto"/>
        <w:ind w:firstLine="420" w:firstLineChars="200"/>
        <w:jc w:val="left"/>
        <w:rPr>
          <w:rFonts w:asciiTheme="minorEastAsia" w:eastAsiaTheme="minorEastAsia" w:hAnsiTheme="minorEastAsia"/>
          <w:kern w:val="0"/>
          <w:szCs w:val="21"/>
        </w:rPr>
      </w:pPr>
      <w:r w:rsidRPr="008564FF">
        <w:rPr>
          <w:rFonts w:asciiTheme="minorEastAsia" w:eastAsiaTheme="minorEastAsia" w:hAnsiTheme="minorEastAsia" w:hint="eastAsia"/>
          <w:kern w:val="0"/>
          <w:szCs w:val="21"/>
        </w:rPr>
        <w:t>3、本基金管理人承诺加强人员管理，强化职业操守，督促和约束员工遵守国家有关法律、法规及行业规范，诚实信用、勤勉尽责，不从事以下活动：</w:t>
      </w:r>
    </w:p>
    <w:p w:rsidR="003A3487" w:rsidRPr="008564FF" w:rsidP="004549E4">
      <w:pPr>
        <w:autoSpaceDE w:val="0"/>
        <w:autoSpaceDN w:val="0"/>
        <w:adjustRightInd w:val="0"/>
        <w:snapToGrid w:val="0"/>
        <w:spacing w:line="360" w:lineRule="auto"/>
        <w:ind w:firstLine="426"/>
        <w:jc w:val="left"/>
        <w:rPr>
          <w:rFonts w:asciiTheme="minorEastAsia" w:eastAsiaTheme="minorEastAsia" w:hAnsiTheme="minorEastAsia"/>
          <w:kern w:val="0"/>
          <w:szCs w:val="21"/>
        </w:rPr>
      </w:pPr>
      <w:r w:rsidRPr="008564FF">
        <w:rPr>
          <w:rFonts w:asciiTheme="minorEastAsia" w:eastAsiaTheme="minorEastAsia" w:hAnsiTheme="minorEastAsia" w:hint="eastAsia"/>
          <w:kern w:val="0"/>
          <w:szCs w:val="21"/>
        </w:rPr>
        <w:t>（1）越权或违规经营；</w:t>
      </w:r>
    </w:p>
    <w:p w:rsidR="003A3487" w:rsidRPr="008564FF" w:rsidP="004549E4">
      <w:pPr>
        <w:autoSpaceDE w:val="0"/>
        <w:autoSpaceDN w:val="0"/>
        <w:adjustRightInd w:val="0"/>
        <w:snapToGrid w:val="0"/>
        <w:spacing w:line="360" w:lineRule="auto"/>
        <w:ind w:firstLine="426"/>
        <w:jc w:val="left"/>
        <w:rPr>
          <w:rFonts w:asciiTheme="minorEastAsia" w:eastAsiaTheme="minorEastAsia" w:hAnsiTheme="minorEastAsia"/>
          <w:kern w:val="0"/>
          <w:szCs w:val="21"/>
        </w:rPr>
      </w:pPr>
      <w:r w:rsidRPr="008564FF">
        <w:rPr>
          <w:rFonts w:asciiTheme="minorEastAsia" w:eastAsiaTheme="minorEastAsia" w:hAnsiTheme="minorEastAsia" w:hint="eastAsia"/>
          <w:kern w:val="0"/>
          <w:szCs w:val="21"/>
        </w:rPr>
        <w:t>（2）违反基金合同或托管协议；</w:t>
      </w:r>
    </w:p>
    <w:p w:rsidR="003A3487" w:rsidRPr="008564FF" w:rsidP="004549E4">
      <w:pPr>
        <w:autoSpaceDE w:val="0"/>
        <w:autoSpaceDN w:val="0"/>
        <w:adjustRightInd w:val="0"/>
        <w:snapToGrid w:val="0"/>
        <w:spacing w:line="360" w:lineRule="auto"/>
        <w:ind w:firstLine="426"/>
        <w:jc w:val="left"/>
        <w:rPr>
          <w:rFonts w:asciiTheme="minorEastAsia" w:eastAsiaTheme="minorEastAsia" w:hAnsiTheme="minorEastAsia"/>
          <w:kern w:val="0"/>
          <w:szCs w:val="21"/>
        </w:rPr>
      </w:pPr>
      <w:r w:rsidRPr="008564FF">
        <w:rPr>
          <w:rFonts w:asciiTheme="minorEastAsia" w:eastAsiaTheme="minorEastAsia" w:hAnsiTheme="minorEastAsia" w:hint="eastAsia"/>
          <w:kern w:val="0"/>
          <w:szCs w:val="21"/>
        </w:rPr>
        <w:t>（3）故意损害基金份额持有人或其他基金相关机构的合法利益；</w:t>
      </w:r>
    </w:p>
    <w:p w:rsidR="003A3487" w:rsidRPr="008564FF" w:rsidP="004549E4">
      <w:pPr>
        <w:autoSpaceDE w:val="0"/>
        <w:autoSpaceDN w:val="0"/>
        <w:adjustRightInd w:val="0"/>
        <w:snapToGrid w:val="0"/>
        <w:spacing w:line="360" w:lineRule="auto"/>
        <w:ind w:firstLine="426"/>
        <w:jc w:val="left"/>
        <w:rPr>
          <w:rFonts w:asciiTheme="minorEastAsia" w:eastAsiaTheme="minorEastAsia" w:hAnsiTheme="minorEastAsia"/>
          <w:kern w:val="0"/>
          <w:szCs w:val="21"/>
        </w:rPr>
      </w:pPr>
      <w:r w:rsidRPr="008564FF">
        <w:rPr>
          <w:rFonts w:asciiTheme="minorEastAsia" w:eastAsiaTheme="minorEastAsia" w:hAnsiTheme="minorEastAsia" w:hint="eastAsia"/>
          <w:kern w:val="0"/>
          <w:szCs w:val="21"/>
        </w:rPr>
        <w:t>（4）在向中国证监会报送的资料中弄虚作假；</w:t>
      </w:r>
    </w:p>
    <w:p w:rsidR="003A3487" w:rsidRPr="008564FF" w:rsidP="004549E4">
      <w:pPr>
        <w:autoSpaceDE w:val="0"/>
        <w:autoSpaceDN w:val="0"/>
        <w:adjustRightInd w:val="0"/>
        <w:snapToGrid w:val="0"/>
        <w:spacing w:line="360" w:lineRule="auto"/>
        <w:ind w:firstLine="426"/>
        <w:jc w:val="left"/>
        <w:rPr>
          <w:rFonts w:asciiTheme="minorEastAsia" w:eastAsiaTheme="minorEastAsia" w:hAnsiTheme="minorEastAsia"/>
          <w:kern w:val="0"/>
          <w:szCs w:val="21"/>
        </w:rPr>
      </w:pPr>
      <w:r w:rsidRPr="008564FF">
        <w:rPr>
          <w:rFonts w:asciiTheme="minorEastAsia" w:eastAsiaTheme="minorEastAsia" w:hAnsiTheme="minorEastAsia" w:hint="eastAsia"/>
          <w:kern w:val="0"/>
          <w:szCs w:val="21"/>
        </w:rPr>
        <w:t>（5）拒绝、干扰、阻挠或严重影响中国证监会依法监管；</w:t>
      </w:r>
    </w:p>
    <w:p w:rsidR="003A3487" w:rsidRPr="008564FF" w:rsidP="004549E4">
      <w:pPr>
        <w:autoSpaceDE w:val="0"/>
        <w:autoSpaceDN w:val="0"/>
        <w:adjustRightInd w:val="0"/>
        <w:snapToGrid w:val="0"/>
        <w:spacing w:line="360" w:lineRule="auto"/>
        <w:ind w:firstLine="426"/>
        <w:jc w:val="left"/>
        <w:rPr>
          <w:rFonts w:asciiTheme="minorEastAsia" w:eastAsiaTheme="minorEastAsia" w:hAnsiTheme="minorEastAsia"/>
          <w:kern w:val="0"/>
          <w:szCs w:val="21"/>
        </w:rPr>
      </w:pPr>
      <w:r w:rsidRPr="008564FF">
        <w:rPr>
          <w:rFonts w:asciiTheme="minorEastAsia" w:eastAsiaTheme="minorEastAsia" w:hAnsiTheme="minorEastAsia" w:hint="eastAsia"/>
          <w:kern w:val="0"/>
          <w:szCs w:val="21"/>
        </w:rPr>
        <w:t>（6）玩忽职守、滥用职权；</w:t>
      </w:r>
    </w:p>
    <w:p w:rsidR="003A3487" w:rsidRPr="008564FF" w:rsidP="004549E4">
      <w:pPr>
        <w:tabs>
          <w:tab w:val="left" w:pos="851"/>
        </w:tabs>
        <w:autoSpaceDE w:val="0"/>
        <w:autoSpaceDN w:val="0"/>
        <w:adjustRightInd w:val="0"/>
        <w:snapToGrid w:val="0"/>
        <w:spacing w:line="360" w:lineRule="auto"/>
        <w:ind w:firstLine="426"/>
        <w:jc w:val="left"/>
        <w:rPr>
          <w:rFonts w:asciiTheme="minorEastAsia" w:eastAsiaTheme="minorEastAsia" w:hAnsiTheme="minorEastAsia"/>
          <w:kern w:val="0"/>
          <w:szCs w:val="21"/>
        </w:rPr>
      </w:pPr>
      <w:r w:rsidRPr="008564FF">
        <w:rPr>
          <w:rFonts w:asciiTheme="minorEastAsia" w:eastAsiaTheme="minorEastAsia" w:hAnsiTheme="minorEastAsia" w:hint="eastAsia"/>
          <w:kern w:val="0"/>
          <w:szCs w:val="21"/>
        </w:rPr>
        <w:t>（7）违反现行有效的有关法律、法规、规章、基金合同和中国证监会的有关规定，泄漏在任职期间知悉的有关证券、基金的商业秘密，尚未依法公开的基金投资内容、基金投资计划等信息；</w:t>
      </w:r>
    </w:p>
    <w:p w:rsidR="003A3487" w:rsidRPr="008564FF" w:rsidP="004549E4">
      <w:pPr>
        <w:tabs>
          <w:tab w:val="left" w:pos="851"/>
        </w:tabs>
        <w:autoSpaceDE w:val="0"/>
        <w:autoSpaceDN w:val="0"/>
        <w:adjustRightInd w:val="0"/>
        <w:snapToGrid w:val="0"/>
        <w:spacing w:line="360" w:lineRule="auto"/>
        <w:ind w:firstLine="424" w:firstLineChars="202"/>
        <w:jc w:val="left"/>
        <w:rPr>
          <w:rFonts w:asciiTheme="minorEastAsia" w:eastAsiaTheme="minorEastAsia" w:hAnsiTheme="minorEastAsia"/>
          <w:kern w:val="0"/>
          <w:szCs w:val="21"/>
        </w:rPr>
      </w:pPr>
      <w:r w:rsidRPr="008564FF">
        <w:rPr>
          <w:rFonts w:asciiTheme="minorEastAsia" w:eastAsiaTheme="minorEastAsia" w:hAnsiTheme="minorEastAsia" w:hint="eastAsia"/>
          <w:kern w:val="0"/>
          <w:szCs w:val="21"/>
        </w:rPr>
        <w:t>（8）违反证券交易场所业务规则，利用对敲、倒仓等手段操纵市场价格，扰乱市场秩序；</w:t>
      </w:r>
    </w:p>
    <w:p w:rsidR="003A3487" w:rsidRPr="008564FF" w:rsidP="004549E4">
      <w:pPr>
        <w:tabs>
          <w:tab w:val="left" w:pos="851"/>
        </w:tabs>
        <w:autoSpaceDE w:val="0"/>
        <w:autoSpaceDN w:val="0"/>
        <w:adjustRightInd w:val="0"/>
        <w:snapToGrid w:val="0"/>
        <w:spacing w:line="360" w:lineRule="auto"/>
        <w:ind w:firstLine="424" w:firstLineChars="202"/>
        <w:jc w:val="left"/>
        <w:rPr>
          <w:rFonts w:asciiTheme="minorEastAsia" w:eastAsiaTheme="minorEastAsia" w:hAnsiTheme="minorEastAsia"/>
          <w:kern w:val="0"/>
          <w:szCs w:val="21"/>
        </w:rPr>
      </w:pPr>
      <w:r w:rsidRPr="008564FF">
        <w:rPr>
          <w:rFonts w:asciiTheme="minorEastAsia" w:eastAsiaTheme="minorEastAsia" w:hAnsiTheme="minorEastAsia" w:hint="eastAsia"/>
          <w:kern w:val="0"/>
          <w:szCs w:val="21"/>
        </w:rPr>
        <w:t>（9）贬损同行，以抬高自己；</w:t>
      </w:r>
    </w:p>
    <w:p w:rsidR="003A3487" w:rsidRPr="008564FF" w:rsidP="004549E4">
      <w:pPr>
        <w:tabs>
          <w:tab w:val="left" w:pos="851"/>
        </w:tabs>
        <w:autoSpaceDE w:val="0"/>
        <w:autoSpaceDN w:val="0"/>
        <w:adjustRightInd w:val="0"/>
        <w:snapToGrid w:val="0"/>
        <w:spacing w:line="360" w:lineRule="auto"/>
        <w:ind w:firstLine="424" w:firstLineChars="202"/>
        <w:jc w:val="left"/>
        <w:rPr>
          <w:rFonts w:asciiTheme="minorEastAsia" w:eastAsiaTheme="minorEastAsia" w:hAnsiTheme="minorEastAsia"/>
          <w:kern w:val="0"/>
          <w:szCs w:val="21"/>
        </w:rPr>
      </w:pPr>
      <w:r w:rsidRPr="008564FF">
        <w:rPr>
          <w:rFonts w:asciiTheme="minorEastAsia" w:eastAsiaTheme="minorEastAsia" w:hAnsiTheme="minorEastAsia" w:hint="eastAsia"/>
          <w:kern w:val="0"/>
          <w:szCs w:val="21"/>
        </w:rPr>
        <w:t>（10）以不正当手段谋求业务发展；</w:t>
      </w:r>
    </w:p>
    <w:p w:rsidR="003A3487" w:rsidRPr="008564FF" w:rsidP="004549E4">
      <w:pPr>
        <w:tabs>
          <w:tab w:val="left" w:pos="851"/>
        </w:tabs>
        <w:autoSpaceDE w:val="0"/>
        <w:autoSpaceDN w:val="0"/>
        <w:adjustRightInd w:val="0"/>
        <w:snapToGrid w:val="0"/>
        <w:spacing w:line="360" w:lineRule="auto"/>
        <w:ind w:firstLine="424" w:firstLineChars="202"/>
        <w:jc w:val="left"/>
        <w:rPr>
          <w:rFonts w:asciiTheme="minorEastAsia" w:eastAsiaTheme="minorEastAsia" w:hAnsiTheme="minorEastAsia"/>
          <w:kern w:val="0"/>
          <w:szCs w:val="21"/>
        </w:rPr>
      </w:pPr>
      <w:r w:rsidRPr="008564FF">
        <w:rPr>
          <w:rFonts w:asciiTheme="minorEastAsia" w:eastAsiaTheme="minorEastAsia" w:hAnsiTheme="minorEastAsia" w:hint="eastAsia"/>
          <w:kern w:val="0"/>
          <w:szCs w:val="21"/>
        </w:rPr>
        <w:t>（11）有悖社会公德，损害证券投资基金人员形象；</w:t>
      </w:r>
    </w:p>
    <w:p w:rsidR="003A3487" w:rsidRPr="008564FF" w:rsidP="004549E4">
      <w:pPr>
        <w:tabs>
          <w:tab w:val="left" w:pos="851"/>
        </w:tabs>
        <w:autoSpaceDE w:val="0"/>
        <w:autoSpaceDN w:val="0"/>
        <w:adjustRightInd w:val="0"/>
        <w:snapToGrid w:val="0"/>
        <w:spacing w:line="360" w:lineRule="auto"/>
        <w:ind w:firstLine="424" w:firstLineChars="202"/>
        <w:jc w:val="left"/>
        <w:rPr>
          <w:rFonts w:asciiTheme="minorEastAsia" w:eastAsiaTheme="minorEastAsia" w:hAnsiTheme="minorEastAsia"/>
          <w:kern w:val="0"/>
          <w:szCs w:val="21"/>
        </w:rPr>
      </w:pPr>
      <w:r w:rsidRPr="008564FF">
        <w:rPr>
          <w:rFonts w:asciiTheme="minorEastAsia" w:eastAsiaTheme="minorEastAsia" w:hAnsiTheme="minorEastAsia" w:hint="eastAsia"/>
          <w:kern w:val="0"/>
          <w:szCs w:val="21"/>
        </w:rPr>
        <w:t>（12）在公开信息披露和广告中故意含有虚假、误导、欺诈成分；</w:t>
      </w:r>
    </w:p>
    <w:p w:rsidR="003A3487" w:rsidRPr="008564FF" w:rsidP="004549E4">
      <w:pPr>
        <w:tabs>
          <w:tab w:val="left" w:pos="851"/>
        </w:tabs>
        <w:autoSpaceDE w:val="0"/>
        <w:autoSpaceDN w:val="0"/>
        <w:adjustRightInd w:val="0"/>
        <w:snapToGrid w:val="0"/>
        <w:spacing w:line="360" w:lineRule="auto"/>
        <w:ind w:firstLine="424" w:firstLineChars="202"/>
        <w:jc w:val="left"/>
        <w:rPr>
          <w:rFonts w:asciiTheme="minorEastAsia" w:eastAsiaTheme="minorEastAsia" w:hAnsiTheme="minorEastAsia"/>
          <w:kern w:val="0"/>
          <w:szCs w:val="21"/>
        </w:rPr>
      </w:pPr>
      <w:r w:rsidRPr="008564FF">
        <w:rPr>
          <w:rFonts w:asciiTheme="minorEastAsia" w:eastAsiaTheme="minorEastAsia" w:hAnsiTheme="minorEastAsia" w:hint="eastAsia"/>
          <w:kern w:val="0"/>
          <w:szCs w:val="21"/>
        </w:rPr>
        <w:t>（13）其他法律、行政法规以及中国证监会禁止的行为。</w:t>
      </w:r>
    </w:p>
    <w:p w:rsidR="003A3487" w:rsidRPr="008564FF" w:rsidP="004549E4">
      <w:pPr>
        <w:autoSpaceDE w:val="0"/>
        <w:autoSpaceDN w:val="0"/>
        <w:adjustRightInd w:val="0"/>
        <w:snapToGrid w:val="0"/>
        <w:spacing w:line="360" w:lineRule="auto"/>
        <w:ind w:firstLine="420" w:firstLineChars="200"/>
        <w:jc w:val="left"/>
        <w:rPr>
          <w:rFonts w:asciiTheme="minorEastAsia" w:eastAsiaTheme="minorEastAsia" w:hAnsiTheme="minorEastAsia"/>
          <w:kern w:val="0"/>
          <w:szCs w:val="21"/>
        </w:rPr>
      </w:pPr>
      <w:r w:rsidRPr="008564FF">
        <w:rPr>
          <w:rFonts w:asciiTheme="minorEastAsia" w:eastAsiaTheme="minorEastAsia" w:hAnsiTheme="minorEastAsia" w:hint="eastAsia"/>
          <w:kern w:val="0"/>
          <w:szCs w:val="21"/>
        </w:rPr>
        <w:t>4、基金经理承诺</w:t>
      </w:r>
    </w:p>
    <w:p w:rsidR="003A3487" w:rsidRPr="008564FF" w:rsidP="004549E4">
      <w:pPr>
        <w:autoSpaceDE w:val="0"/>
        <w:autoSpaceDN w:val="0"/>
        <w:adjustRightInd w:val="0"/>
        <w:snapToGrid w:val="0"/>
        <w:spacing w:line="360" w:lineRule="auto"/>
        <w:ind w:firstLine="420" w:firstLineChars="200"/>
        <w:jc w:val="left"/>
        <w:rPr>
          <w:rFonts w:asciiTheme="minorEastAsia" w:eastAsiaTheme="minorEastAsia" w:hAnsiTheme="minorEastAsia"/>
          <w:kern w:val="0"/>
          <w:szCs w:val="21"/>
        </w:rPr>
      </w:pPr>
      <w:r w:rsidRPr="008564FF">
        <w:rPr>
          <w:rFonts w:asciiTheme="minorEastAsia" w:eastAsiaTheme="minorEastAsia" w:hAnsiTheme="minorEastAsia" w:hint="eastAsia"/>
          <w:kern w:val="0"/>
          <w:szCs w:val="21"/>
        </w:rPr>
        <w:t>（1）依照有关法律、法规和基金合同的规定，本着谨慎的原则为基金份额持有人谋取最大利益；</w:t>
      </w:r>
    </w:p>
    <w:p w:rsidR="003A3487" w:rsidRPr="008564FF" w:rsidP="004549E4">
      <w:pPr>
        <w:autoSpaceDE w:val="0"/>
        <w:autoSpaceDN w:val="0"/>
        <w:adjustRightInd w:val="0"/>
        <w:snapToGrid w:val="0"/>
        <w:spacing w:line="360" w:lineRule="auto"/>
        <w:ind w:firstLine="420" w:firstLineChars="200"/>
        <w:jc w:val="left"/>
        <w:rPr>
          <w:rFonts w:asciiTheme="minorEastAsia" w:eastAsiaTheme="minorEastAsia" w:hAnsiTheme="minorEastAsia"/>
          <w:kern w:val="0"/>
          <w:szCs w:val="21"/>
        </w:rPr>
      </w:pPr>
      <w:r w:rsidRPr="008564FF">
        <w:rPr>
          <w:rFonts w:asciiTheme="minorEastAsia" w:eastAsiaTheme="minorEastAsia" w:hAnsiTheme="minorEastAsia" w:hint="eastAsia"/>
          <w:kern w:val="0"/>
          <w:szCs w:val="21"/>
        </w:rPr>
        <w:t>（2）不利用职务之便为自己及其代理人、受雇人或任何第三人谋取利益；</w:t>
      </w:r>
    </w:p>
    <w:p w:rsidR="003A3487" w:rsidRPr="008564FF" w:rsidP="004549E4">
      <w:pPr>
        <w:autoSpaceDE w:val="0"/>
        <w:autoSpaceDN w:val="0"/>
        <w:adjustRightInd w:val="0"/>
        <w:snapToGrid w:val="0"/>
        <w:spacing w:line="360" w:lineRule="auto"/>
        <w:ind w:firstLine="420" w:firstLineChars="200"/>
        <w:jc w:val="left"/>
        <w:rPr>
          <w:rFonts w:asciiTheme="minorEastAsia" w:eastAsiaTheme="minorEastAsia" w:hAnsiTheme="minorEastAsia"/>
          <w:kern w:val="0"/>
        </w:rPr>
      </w:pPr>
      <w:r w:rsidRPr="008564FF">
        <w:rPr>
          <w:rFonts w:asciiTheme="minorEastAsia" w:eastAsiaTheme="minorEastAsia" w:hAnsiTheme="minorEastAsia" w:hint="eastAsia"/>
          <w:kern w:val="0"/>
        </w:rPr>
        <w:t>（3）不</w:t>
      </w:r>
      <w:r w:rsidRPr="008564FF">
        <w:rPr>
          <w:rFonts w:asciiTheme="minorEastAsia" w:eastAsiaTheme="minorEastAsia" w:hAnsiTheme="minorEastAsia" w:hint="eastAsia"/>
          <w:kern w:val="0"/>
          <w:szCs w:val="21"/>
        </w:rPr>
        <w:t>违反现行有效的有关法律、法规、规章、基金合同和中国证监会的有关规定，</w:t>
      </w:r>
      <w:r w:rsidRPr="008564FF">
        <w:rPr>
          <w:rFonts w:asciiTheme="minorEastAsia" w:eastAsiaTheme="minorEastAsia" w:hAnsiTheme="minorEastAsia" w:hint="eastAsia"/>
          <w:kern w:val="0"/>
        </w:rPr>
        <w:t>泄漏在任职期间知悉的有关证券、基金的商业秘密、尚未依法公开的基金投资内容、基金投资计划等信息；</w:t>
      </w:r>
    </w:p>
    <w:p w:rsidR="003A3487" w:rsidRPr="008564FF" w:rsidP="004549E4">
      <w:pPr>
        <w:autoSpaceDE w:val="0"/>
        <w:autoSpaceDN w:val="0"/>
        <w:adjustRightInd w:val="0"/>
        <w:snapToGrid w:val="0"/>
        <w:spacing w:line="360" w:lineRule="auto"/>
        <w:ind w:firstLine="420" w:firstLineChars="200"/>
        <w:jc w:val="left"/>
        <w:rPr>
          <w:rFonts w:asciiTheme="minorEastAsia" w:eastAsiaTheme="minorEastAsia" w:hAnsiTheme="minorEastAsia"/>
          <w:kern w:val="0"/>
        </w:rPr>
      </w:pPr>
      <w:r w:rsidRPr="008564FF">
        <w:rPr>
          <w:rFonts w:asciiTheme="minorEastAsia" w:eastAsiaTheme="minorEastAsia" w:hAnsiTheme="minorEastAsia" w:hint="eastAsia"/>
          <w:kern w:val="0"/>
        </w:rPr>
        <w:t>（4）不从事损害基金财产和基金份额持有人利益的证券交易及其他活动。</w:t>
      </w:r>
    </w:p>
    <w:p w:rsidR="003A3487" w:rsidRPr="008564FF" w:rsidP="009C2B2A">
      <w:pPr>
        <w:pStyle w:val="Heading2"/>
        <w:snapToGrid w:val="0"/>
        <w:spacing w:beforeLines="0" w:afterLines="0" w:line="360" w:lineRule="auto"/>
        <w:ind w:firstLine="0" w:firstLineChars="0"/>
        <w:rPr>
          <w:rStyle w:val="da"/>
          <w:rFonts w:asciiTheme="minorEastAsia" w:eastAsiaTheme="minorEastAsia" w:hAnsiTheme="minorEastAsia"/>
          <w:sz w:val="21"/>
        </w:rPr>
      </w:pPr>
      <w:bookmarkStart w:id="18" w:name="_Toc163189524"/>
      <w:bookmarkStart w:id="19" w:name="_Toc133292567"/>
      <w:bookmarkStart w:id="20" w:name="_Toc91749202"/>
      <w:r w:rsidRPr="008564FF">
        <w:rPr>
          <w:rFonts w:asciiTheme="minorEastAsia" w:eastAsiaTheme="minorEastAsia" w:hAnsiTheme="minorEastAsia" w:hint="eastAsia"/>
          <w:b w:val="0"/>
          <w:bCs/>
          <w:szCs w:val="21"/>
        </w:rPr>
        <w:t>（五）基金管理人的内部控制制度</w:t>
      </w:r>
      <w:bookmarkEnd w:id="18"/>
      <w:bookmarkEnd w:id="19"/>
      <w:bookmarkEnd w:id="20"/>
    </w:p>
    <w:p w:rsidR="00F667CE" w:rsidRPr="00757771" w:rsidP="00757771">
      <w:pPr>
        <w:autoSpaceDE w:val="0"/>
        <w:autoSpaceDN w:val="0"/>
        <w:adjustRightInd w:val="0"/>
        <w:snapToGrid w:val="0"/>
        <w:spacing w:line="360" w:lineRule="auto"/>
        <w:ind w:firstLine="420" w:firstLineChars="200"/>
        <w:jc w:val="left"/>
        <w:rPr>
          <w:rFonts w:asciiTheme="minorEastAsia" w:eastAsiaTheme="minorEastAsia" w:hAnsiTheme="minorEastAsia"/>
          <w:kern w:val="0"/>
          <w:szCs w:val="21"/>
        </w:rPr>
      </w:pPr>
      <w:r w:rsidRPr="00757771">
        <w:rPr>
          <w:rFonts w:asciiTheme="minorEastAsia" w:eastAsiaTheme="minorEastAsia" w:hAnsiTheme="minorEastAsia" w:hint="eastAsia"/>
          <w:kern w:val="0"/>
          <w:szCs w:val="21"/>
        </w:rPr>
        <w:t>为保证公司规范化运作，有效地防范和化解经营风险，促进公司诚信、合法、有效经营，保障基金份额持有人利益，维护公司及公司股东的合法权益，本基金管理人建立了科学、严密、高效的内部控制体系。</w:t>
      </w:r>
    </w:p>
    <w:p w:rsidR="00F667CE" w:rsidRPr="00757771" w:rsidP="00757771">
      <w:pPr>
        <w:autoSpaceDE w:val="0"/>
        <w:autoSpaceDN w:val="0"/>
        <w:adjustRightInd w:val="0"/>
        <w:snapToGrid w:val="0"/>
        <w:spacing w:line="360" w:lineRule="auto"/>
        <w:ind w:firstLine="420" w:firstLineChars="200"/>
        <w:jc w:val="left"/>
        <w:rPr>
          <w:rFonts w:asciiTheme="minorEastAsia" w:eastAsiaTheme="minorEastAsia" w:hAnsiTheme="minorEastAsia"/>
          <w:kern w:val="0"/>
          <w:szCs w:val="21"/>
        </w:rPr>
      </w:pPr>
      <w:r w:rsidRPr="00757771">
        <w:rPr>
          <w:rFonts w:asciiTheme="minorEastAsia" w:eastAsiaTheme="minorEastAsia" w:hAnsiTheme="minorEastAsia"/>
          <w:kern w:val="0"/>
          <w:szCs w:val="21"/>
        </w:rPr>
        <w:t>1</w:t>
      </w:r>
      <w:r w:rsidRPr="00757771">
        <w:rPr>
          <w:rFonts w:asciiTheme="minorEastAsia" w:eastAsiaTheme="minorEastAsia" w:hAnsiTheme="minorEastAsia" w:hint="eastAsia"/>
          <w:kern w:val="0"/>
          <w:szCs w:val="21"/>
        </w:rPr>
        <w:t>、公司内部控制的总体目标</w:t>
      </w:r>
    </w:p>
    <w:p w:rsidR="00F667CE" w:rsidRPr="00757771" w:rsidP="00757771">
      <w:pPr>
        <w:autoSpaceDE w:val="0"/>
        <w:autoSpaceDN w:val="0"/>
        <w:adjustRightInd w:val="0"/>
        <w:snapToGrid w:val="0"/>
        <w:spacing w:line="360" w:lineRule="auto"/>
        <w:ind w:firstLine="420" w:firstLineChars="200"/>
        <w:jc w:val="left"/>
        <w:rPr>
          <w:rFonts w:asciiTheme="minorEastAsia" w:eastAsiaTheme="minorEastAsia" w:hAnsiTheme="minorEastAsia"/>
          <w:kern w:val="0"/>
          <w:szCs w:val="21"/>
        </w:rPr>
      </w:pPr>
      <w:r w:rsidRPr="00757771">
        <w:rPr>
          <w:rFonts w:asciiTheme="minorEastAsia" w:eastAsiaTheme="minorEastAsia" w:hAnsiTheme="minorEastAsia" w:hint="eastAsia"/>
          <w:kern w:val="0"/>
          <w:szCs w:val="21"/>
        </w:rPr>
        <w:t>（1）保证公司经营管理活动的合法合规性；</w:t>
      </w:r>
    </w:p>
    <w:p w:rsidR="00F667CE" w:rsidRPr="00757771" w:rsidP="00757771">
      <w:pPr>
        <w:autoSpaceDE w:val="0"/>
        <w:autoSpaceDN w:val="0"/>
        <w:adjustRightInd w:val="0"/>
        <w:snapToGrid w:val="0"/>
        <w:spacing w:line="360" w:lineRule="auto"/>
        <w:ind w:firstLine="420" w:firstLineChars="200"/>
        <w:jc w:val="left"/>
        <w:rPr>
          <w:rFonts w:asciiTheme="minorEastAsia" w:eastAsiaTheme="minorEastAsia" w:hAnsiTheme="minorEastAsia"/>
          <w:kern w:val="0"/>
          <w:szCs w:val="21"/>
        </w:rPr>
      </w:pPr>
      <w:r w:rsidRPr="00757771">
        <w:rPr>
          <w:rFonts w:asciiTheme="minorEastAsia" w:eastAsiaTheme="minorEastAsia" w:hAnsiTheme="minorEastAsia" w:hint="eastAsia"/>
          <w:kern w:val="0"/>
          <w:szCs w:val="21"/>
        </w:rPr>
        <w:t>（</w:t>
      </w:r>
      <w:r w:rsidRPr="00757771">
        <w:rPr>
          <w:rFonts w:asciiTheme="minorEastAsia" w:eastAsiaTheme="minorEastAsia" w:hAnsiTheme="minorEastAsia"/>
          <w:kern w:val="0"/>
          <w:szCs w:val="21"/>
        </w:rPr>
        <w:t>2</w:t>
      </w:r>
      <w:r w:rsidRPr="00757771">
        <w:rPr>
          <w:rFonts w:asciiTheme="minorEastAsia" w:eastAsiaTheme="minorEastAsia" w:hAnsiTheme="minorEastAsia" w:hint="eastAsia"/>
          <w:kern w:val="0"/>
          <w:szCs w:val="21"/>
        </w:rPr>
        <w:t>）保证各类基金份额持有人及委托人的合法权益不受侵犯；</w:t>
      </w:r>
    </w:p>
    <w:p w:rsidR="00F667CE" w:rsidRPr="00757771" w:rsidP="00757771">
      <w:pPr>
        <w:autoSpaceDE w:val="0"/>
        <w:autoSpaceDN w:val="0"/>
        <w:adjustRightInd w:val="0"/>
        <w:snapToGrid w:val="0"/>
        <w:spacing w:line="360" w:lineRule="auto"/>
        <w:ind w:firstLine="420" w:firstLineChars="200"/>
        <w:jc w:val="left"/>
        <w:rPr>
          <w:rFonts w:asciiTheme="minorEastAsia" w:eastAsiaTheme="minorEastAsia" w:hAnsiTheme="minorEastAsia"/>
          <w:kern w:val="0"/>
          <w:szCs w:val="21"/>
        </w:rPr>
      </w:pPr>
      <w:r w:rsidRPr="00757771">
        <w:rPr>
          <w:rFonts w:asciiTheme="minorEastAsia" w:eastAsiaTheme="minorEastAsia" w:hAnsiTheme="minorEastAsia" w:hint="eastAsia"/>
          <w:kern w:val="0"/>
          <w:szCs w:val="21"/>
        </w:rPr>
        <w:t>（</w:t>
      </w:r>
      <w:r w:rsidRPr="00757771">
        <w:rPr>
          <w:rFonts w:asciiTheme="minorEastAsia" w:eastAsiaTheme="minorEastAsia" w:hAnsiTheme="minorEastAsia"/>
          <w:kern w:val="0"/>
          <w:szCs w:val="21"/>
        </w:rPr>
        <w:t>3</w:t>
      </w:r>
      <w:r w:rsidRPr="00757771">
        <w:rPr>
          <w:rFonts w:asciiTheme="minorEastAsia" w:eastAsiaTheme="minorEastAsia" w:hAnsiTheme="minorEastAsia" w:hint="eastAsia"/>
          <w:kern w:val="0"/>
          <w:szCs w:val="21"/>
        </w:rPr>
        <w:t>）防范和化解经营风险，提高经营管理效率，确保业务稳健经营运行和受托资产安全完整，实现公司的持续、健康发展，促进公司实现发展战略；</w:t>
      </w:r>
    </w:p>
    <w:p w:rsidR="00F667CE" w:rsidRPr="00757771" w:rsidP="00757771">
      <w:pPr>
        <w:autoSpaceDE w:val="0"/>
        <w:autoSpaceDN w:val="0"/>
        <w:adjustRightInd w:val="0"/>
        <w:snapToGrid w:val="0"/>
        <w:spacing w:line="360" w:lineRule="auto"/>
        <w:ind w:firstLine="420" w:firstLineChars="200"/>
        <w:jc w:val="left"/>
        <w:rPr>
          <w:rFonts w:asciiTheme="minorEastAsia" w:eastAsiaTheme="minorEastAsia" w:hAnsiTheme="minorEastAsia"/>
          <w:kern w:val="0"/>
          <w:szCs w:val="21"/>
        </w:rPr>
      </w:pPr>
      <w:r w:rsidRPr="00757771">
        <w:rPr>
          <w:rFonts w:asciiTheme="minorEastAsia" w:eastAsiaTheme="minorEastAsia" w:hAnsiTheme="minorEastAsia" w:hint="eastAsia"/>
          <w:kern w:val="0"/>
          <w:szCs w:val="21"/>
        </w:rPr>
        <w:t>（</w:t>
      </w:r>
      <w:r w:rsidRPr="00757771">
        <w:rPr>
          <w:rFonts w:asciiTheme="minorEastAsia" w:eastAsiaTheme="minorEastAsia" w:hAnsiTheme="minorEastAsia"/>
          <w:kern w:val="0"/>
          <w:szCs w:val="21"/>
        </w:rPr>
        <w:t>4</w:t>
      </w:r>
      <w:r w:rsidRPr="00757771">
        <w:rPr>
          <w:rFonts w:asciiTheme="minorEastAsia" w:eastAsiaTheme="minorEastAsia" w:hAnsiTheme="minorEastAsia" w:hint="eastAsia"/>
          <w:kern w:val="0"/>
          <w:szCs w:val="21"/>
        </w:rPr>
        <w:t>）督促公司全体员工恪守职业操守，正直诚信，廉洁自律，勤勉尽责；</w:t>
      </w:r>
    </w:p>
    <w:p w:rsidR="00F667CE" w:rsidRPr="00757771" w:rsidP="00757771">
      <w:pPr>
        <w:autoSpaceDE w:val="0"/>
        <w:autoSpaceDN w:val="0"/>
        <w:adjustRightInd w:val="0"/>
        <w:snapToGrid w:val="0"/>
        <w:spacing w:line="360" w:lineRule="auto"/>
        <w:ind w:firstLine="420" w:firstLineChars="200"/>
        <w:jc w:val="left"/>
        <w:rPr>
          <w:rFonts w:asciiTheme="minorEastAsia" w:eastAsiaTheme="minorEastAsia" w:hAnsiTheme="minorEastAsia"/>
          <w:kern w:val="0"/>
          <w:szCs w:val="21"/>
        </w:rPr>
      </w:pPr>
      <w:r w:rsidRPr="00757771">
        <w:rPr>
          <w:rFonts w:asciiTheme="minorEastAsia" w:eastAsiaTheme="minorEastAsia" w:hAnsiTheme="minorEastAsia" w:hint="eastAsia"/>
          <w:kern w:val="0"/>
          <w:szCs w:val="21"/>
        </w:rPr>
        <w:t>（</w:t>
      </w:r>
      <w:r w:rsidRPr="00757771">
        <w:rPr>
          <w:rFonts w:asciiTheme="minorEastAsia" w:eastAsiaTheme="minorEastAsia" w:hAnsiTheme="minorEastAsia"/>
          <w:kern w:val="0"/>
          <w:szCs w:val="21"/>
        </w:rPr>
        <w:t>5</w:t>
      </w:r>
      <w:r w:rsidRPr="00757771">
        <w:rPr>
          <w:rFonts w:asciiTheme="minorEastAsia" w:eastAsiaTheme="minorEastAsia" w:hAnsiTheme="minorEastAsia" w:hint="eastAsia"/>
          <w:kern w:val="0"/>
          <w:szCs w:val="21"/>
        </w:rPr>
        <w:t>）维护公司的声誉，保持公司的良好形象。</w:t>
      </w:r>
    </w:p>
    <w:p w:rsidR="00F667CE" w:rsidRPr="00757771" w:rsidP="00757771">
      <w:pPr>
        <w:autoSpaceDE w:val="0"/>
        <w:autoSpaceDN w:val="0"/>
        <w:adjustRightInd w:val="0"/>
        <w:snapToGrid w:val="0"/>
        <w:spacing w:line="360" w:lineRule="auto"/>
        <w:ind w:firstLine="420" w:firstLineChars="200"/>
        <w:jc w:val="left"/>
        <w:rPr>
          <w:rFonts w:asciiTheme="minorEastAsia" w:eastAsiaTheme="minorEastAsia" w:hAnsiTheme="minorEastAsia"/>
          <w:kern w:val="0"/>
          <w:szCs w:val="21"/>
        </w:rPr>
      </w:pPr>
      <w:r w:rsidRPr="00757771">
        <w:rPr>
          <w:rFonts w:asciiTheme="minorEastAsia" w:eastAsiaTheme="minorEastAsia" w:hAnsiTheme="minorEastAsia"/>
          <w:kern w:val="0"/>
          <w:szCs w:val="21"/>
        </w:rPr>
        <w:t>2</w:t>
      </w:r>
      <w:r w:rsidRPr="00757771">
        <w:rPr>
          <w:rFonts w:asciiTheme="minorEastAsia" w:eastAsiaTheme="minorEastAsia" w:hAnsiTheme="minorEastAsia" w:hint="eastAsia"/>
          <w:kern w:val="0"/>
          <w:szCs w:val="21"/>
        </w:rPr>
        <w:t>、公司内部控制遵循的原则</w:t>
      </w:r>
    </w:p>
    <w:p w:rsidR="00F667CE" w:rsidRPr="00757771" w:rsidP="00757771">
      <w:pPr>
        <w:autoSpaceDE w:val="0"/>
        <w:autoSpaceDN w:val="0"/>
        <w:adjustRightInd w:val="0"/>
        <w:snapToGrid w:val="0"/>
        <w:spacing w:line="360" w:lineRule="auto"/>
        <w:ind w:firstLine="420" w:firstLineChars="200"/>
        <w:jc w:val="left"/>
        <w:rPr>
          <w:rFonts w:asciiTheme="minorEastAsia" w:eastAsiaTheme="minorEastAsia" w:hAnsiTheme="minorEastAsia"/>
          <w:kern w:val="0"/>
          <w:szCs w:val="21"/>
        </w:rPr>
      </w:pPr>
      <w:r w:rsidRPr="00757771">
        <w:rPr>
          <w:rFonts w:asciiTheme="minorEastAsia" w:eastAsiaTheme="minorEastAsia" w:hAnsiTheme="minorEastAsia" w:hint="eastAsia"/>
          <w:kern w:val="0"/>
          <w:szCs w:val="21"/>
        </w:rPr>
        <w:t>（</w:t>
      </w:r>
      <w:r w:rsidRPr="00757771">
        <w:rPr>
          <w:rFonts w:asciiTheme="minorEastAsia" w:eastAsiaTheme="minorEastAsia" w:hAnsiTheme="minorEastAsia"/>
          <w:kern w:val="0"/>
          <w:szCs w:val="21"/>
        </w:rPr>
        <w:t>1</w:t>
      </w:r>
      <w:r w:rsidRPr="00757771">
        <w:rPr>
          <w:rFonts w:asciiTheme="minorEastAsia" w:eastAsiaTheme="minorEastAsia" w:hAnsiTheme="minorEastAsia" w:hint="eastAsia"/>
          <w:kern w:val="0"/>
          <w:szCs w:val="21"/>
        </w:rPr>
        <w:t>）健全性原则。内部控制应当包括公司的各项业务、各个部门或机构和各级人员</w:t>
      </w:r>
      <w:r w:rsidRPr="00757771">
        <w:rPr>
          <w:rFonts w:asciiTheme="minorEastAsia" w:eastAsiaTheme="minorEastAsia" w:hAnsiTheme="minorEastAsia"/>
          <w:kern w:val="0"/>
          <w:szCs w:val="21"/>
        </w:rPr>
        <w:t>,</w:t>
      </w:r>
      <w:r w:rsidRPr="00757771">
        <w:rPr>
          <w:rFonts w:asciiTheme="minorEastAsia" w:eastAsiaTheme="minorEastAsia" w:hAnsiTheme="minorEastAsia" w:hint="eastAsia"/>
          <w:kern w:val="0"/>
          <w:szCs w:val="21"/>
        </w:rPr>
        <w:t>并涵盖到决策、执行、监督、反馈等各个环节。</w:t>
      </w:r>
    </w:p>
    <w:p w:rsidR="00F667CE" w:rsidRPr="00757771" w:rsidP="00757771">
      <w:pPr>
        <w:autoSpaceDE w:val="0"/>
        <w:autoSpaceDN w:val="0"/>
        <w:adjustRightInd w:val="0"/>
        <w:snapToGrid w:val="0"/>
        <w:spacing w:line="360" w:lineRule="auto"/>
        <w:ind w:firstLine="420" w:firstLineChars="200"/>
        <w:jc w:val="left"/>
        <w:rPr>
          <w:rFonts w:asciiTheme="minorEastAsia" w:eastAsiaTheme="minorEastAsia" w:hAnsiTheme="minorEastAsia"/>
          <w:kern w:val="0"/>
          <w:szCs w:val="21"/>
        </w:rPr>
      </w:pPr>
      <w:r w:rsidRPr="00757771">
        <w:rPr>
          <w:rFonts w:asciiTheme="minorEastAsia" w:eastAsiaTheme="minorEastAsia" w:hAnsiTheme="minorEastAsia" w:hint="eastAsia"/>
          <w:kern w:val="0"/>
          <w:szCs w:val="21"/>
        </w:rPr>
        <w:t>（</w:t>
      </w:r>
      <w:r w:rsidRPr="00757771">
        <w:rPr>
          <w:rFonts w:asciiTheme="minorEastAsia" w:eastAsiaTheme="minorEastAsia" w:hAnsiTheme="minorEastAsia"/>
          <w:kern w:val="0"/>
          <w:szCs w:val="21"/>
        </w:rPr>
        <w:t>2</w:t>
      </w:r>
      <w:r w:rsidRPr="00757771">
        <w:rPr>
          <w:rFonts w:asciiTheme="minorEastAsia" w:eastAsiaTheme="minorEastAsia" w:hAnsiTheme="minorEastAsia" w:hint="eastAsia"/>
          <w:kern w:val="0"/>
          <w:szCs w:val="21"/>
        </w:rPr>
        <w:t>）有效性原则。通过科学的内控手段和方法，建立合理的内控程序，维护内控制度的有效执行。</w:t>
      </w:r>
    </w:p>
    <w:p w:rsidR="00F667CE" w:rsidRPr="00757771" w:rsidP="00757771">
      <w:pPr>
        <w:autoSpaceDE w:val="0"/>
        <w:autoSpaceDN w:val="0"/>
        <w:adjustRightInd w:val="0"/>
        <w:snapToGrid w:val="0"/>
        <w:spacing w:line="360" w:lineRule="auto"/>
        <w:ind w:firstLine="420" w:firstLineChars="200"/>
        <w:jc w:val="left"/>
        <w:rPr>
          <w:rFonts w:asciiTheme="minorEastAsia" w:eastAsiaTheme="minorEastAsia" w:hAnsiTheme="minorEastAsia"/>
          <w:kern w:val="0"/>
          <w:szCs w:val="21"/>
        </w:rPr>
      </w:pPr>
      <w:r w:rsidRPr="00757771">
        <w:rPr>
          <w:rFonts w:asciiTheme="minorEastAsia" w:eastAsiaTheme="minorEastAsia" w:hAnsiTheme="minorEastAsia" w:hint="eastAsia"/>
          <w:kern w:val="0"/>
          <w:szCs w:val="21"/>
        </w:rPr>
        <w:t>（</w:t>
      </w:r>
      <w:r w:rsidRPr="00757771">
        <w:rPr>
          <w:rFonts w:asciiTheme="minorEastAsia" w:eastAsiaTheme="minorEastAsia" w:hAnsiTheme="minorEastAsia"/>
          <w:kern w:val="0"/>
          <w:szCs w:val="21"/>
        </w:rPr>
        <w:t>3</w:t>
      </w:r>
      <w:r w:rsidRPr="00757771">
        <w:rPr>
          <w:rFonts w:asciiTheme="minorEastAsia" w:eastAsiaTheme="minorEastAsia" w:hAnsiTheme="minorEastAsia" w:hint="eastAsia"/>
          <w:kern w:val="0"/>
          <w:szCs w:val="21"/>
        </w:rPr>
        <w:t>）独立性原则。公司机构、部门和岗位职责应当保持相对独立，除非法律法规另有规定，公司基金资产、自有资产、其他资产的运作应当分离。</w:t>
      </w:r>
    </w:p>
    <w:p w:rsidR="00F667CE" w:rsidRPr="00757771" w:rsidP="00757771">
      <w:pPr>
        <w:autoSpaceDE w:val="0"/>
        <w:autoSpaceDN w:val="0"/>
        <w:adjustRightInd w:val="0"/>
        <w:snapToGrid w:val="0"/>
        <w:spacing w:line="360" w:lineRule="auto"/>
        <w:ind w:firstLine="420" w:firstLineChars="200"/>
        <w:jc w:val="left"/>
        <w:rPr>
          <w:rFonts w:asciiTheme="minorEastAsia" w:eastAsiaTheme="minorEastAsia" w:hAnsiTheme="minorEastAsia"/>
          <w:kern w:val="0"/>
          <w:szCs w:val="21"/>
        </w:rPr>
      </w:pPr>
      <w:r w:rsidRPr="00757771">
        <w:rPr>
          <w:rFonts w:asciiTheme="minorEastAsia" w:eastAsiaTheme="minorEastAsia" w:hAnsiTheme="minorEastAsia" w:hint="eastAsia"/>
          <w:kern w:val="0"/>
          <w:szCs w:val="21"/>
        </w:rPr>
        <w:t>（</w:t>
      </w:r>
      <w:r w:rsidRPr="00757771">
        <w:rPr>
          <w:rFonts w:asciiTheme="minorEastAsia" w:eastAsiaTheme="minorEastAsia" w:hAnsiTheme="minorEastAsia"/>
          <w:kern w:val="0"/>
          <w:szCs w:val="21"/>
        </w:rPr>
        <w:t>4</w:t>
      </w:r>
      <w:r w:rsidRPr="00757771">
        <w:rPr>
          <w:rFonts w:asciiTheme="minorEastAsia" w:eastAsiaTheme="minorEastAsia" w:hAnsiTheme="minorEastAsia" w:hint="eastAsia"/>
          <w:kern w:val="0"/>
          <w:szCs w:val="21"/>
        </w:rPr>
        <w:t>）相互制约原则。公司内部部门和岗位的设置应当体现权责分明、相互制衡。</w:t>
      </w:r>
    </w:p>
    <w:p w:rsidR="00F667CE" w:rsidRPr="00757771" w:rsidP="00757771">
      <w:pPr>
        <w:autoSpaceDE w:val="0"/>
        <w:autoSpaceDN w:val="0"/>
        <w:adjustRightInd w:val="0"/>
        <w:snapToGrid w:val="0"/>
        <w:spacing w:line="360" w:lineRule="auto"/>
        <w:ind w:firstLine="420" w:firstLineChars="200"/>
        <w:jc w:val="left"/>
        <w:rPr>
          <w:rFonts w:asciiTheme="minorEastAsia" w:eastAsiaTheme="minorEastAsia" w:hAnsiTheme="minorEastAsia"/>
          <w:kern w:val="0"/>
          <w:szCs w:val="21"/>
        </w:rPr>
      </w:pPr>
      <w:r w:rsidRPr="00757771">
        <w:rPr>
          <w:rFonts w:asciiTheme="minorEastAsia" w:eastAsiaTheme="minorEastAsia" w:hAnsiTheme="minorEastAsia" w:hint="eastAsia"/>
          <w:kern w:val="0"/>
          <w:szCs w:val="21"/>
        </w:rPr>
        <w:t>（</w:t>
      </w:r>
      <w:r w:rsidRPr="00757771">
        <w:rPr>
          <w:rFonts w:asciiTheme="minorEastAsia" w:eastAsiaTheme="minorEastAsia" w:hAnsiTheme="minorEastAsia"/>
          <w:kern w:val="0"/>
          <w:szCs w:val="21"/>
        </w:rPr>
        <w:t>5</w:t>
      </w:r>
      <w:r w:rsidRPr="00757771">
        <w:rPr>
          <w:rFonts w:asciiTheme="minorEastAsia" w:eastAsiaTheme="minorEastAsia" w:hAnsiTheme="minorEastAsia" w:hint="eastAsia"/>
          <w:kern w:val="0"/>
          <w:szCs w:val="21"/>
        </w:rPr>
        <w:t>）成本效益原则。公司运用科学化的经营管理方法降低运作成本，提高经济效益，力争以合理的控制成本达到最佳的内部控制效果。</w:t>
      </w:r>
    </w:p>
    <w:p w:rsidR="00F667CE" w:rsidRPr="00757771" w:rsidP="00757771">
      <w:pPr>
        <w:autoSpaceDE w:val="0"/>
        <w:autoSpaceDN w:val="0"/>
        <w:adjustRightInd w:val="0"/>
        <w:snapToGrid w:val="0"/>
        <w:spacing w:line="360" w:lineRule="auto"/>
        <w:ind w:firstLine="420" w:firstLineChars="200"/>
        <w:jc w:val="left"/>
        <w:rPr>
          <w:rFonts w:asciiTheme="minorEastAsia" w:eastAsiaTheme="minorEastAsia" w:hAnsiTheme="minorEastAsia"/>
          <w:kern w:val="0"/>
          <w:szCs w:val="21"/>
        </w:rPr>
      </w:pPr>
      <w:r w:rsidRPr="00757771">
        <w:rPr>
          <w:rFonts w:asciiTheme="minorEastAsia" w:eastAsiaTheme="minorEastAsia" w:hAnsiTheme="minorEastAsia"/>
          <w:kern w:val="0"/>
          <w:szCs w:val="21"/>
        </w:rPr>
        <w:t>3</w:t>
      </w:r>
      <w:r w:rsidRPr="00757771">
        <w:rPr>
          <w:rFonts w:asciiTheme="minorEastAsia" w:eastAsiaTheme="minorEastAsia" w:hAnsiTheme="minorEastAsia" w:hint="eastAsia"/>
          <w:kern w:val="0"/>
          <w:szCs w:val="21"/>
        </w:rPr>
        <w:t>、内部控制的制度体系</w:t>
      </w:r>
    </w:p>
    <w:p w:rsidR="00F667CE" w:rsidRPr="00757771" w:rsidP="00757771">
      <w:pPr>
        <w:autoSpaceDE w:val="0"/>
        <w:autoSpaceDN w:val="0"/>
        <w:adjustRightInd w:val="0"/>
        <w:snapToGrid w:val="0"/>
        <w:spacing w:line="360" w:lineRule="auto"/>
        <w:ind w:firstLine="420" w:firstLineChars="200"/>
        <w:jc w:val="left"/>
        <w:rPr>
          <w:rFonts w:asciiTheme="minorEastAsia" w:eastAsiaTheme="minorEastAsia" w:hAnsiTheme="minorEastAsia"/>
          <w:kern w:val="0"/>
          <w:szCs w:val="21"/>
        </w:rPr>
      </w:pPr>
      <w:r w:rsidRPr="00757771">
        <w:rPr>
          <w:rFonts w:asciiTheme="minorEastAsia" w:eastAsiaTheme="minorEastAsia" w:hAnsiTheme="minorEastAsia" w:hint="eastAsia"/>
          <w:kern w:val="0"/>
          <w:szCs w:val="21"/>
        </w:rPr>
        <w:t>公司制定了合理、完备、有效并易于执行的制度体系。公司制度体系由不同层面的制度构成。按照其效力大小分为四个层面：第一个层面是公司章程；第二个层面是公司内部控制大纲，它是公司制定各项规章制度的基础和依据；第三个层面是公司基本管理制度；第四个层面是部门和业务管理制度。它们的制订、修改、实施、废止应该遵循相应的程序，每一层面的内容不得与其以上层面的内容相违背。公司重视对制度的持续检验，结合业务的发展、法规及监管环境的变化以及公司风险控制的要求，不断检讨和增强公司制度的完备性、有效性。</w:t>
      </w:r>
    </w:p>
    <w:p w:rsidR="00F667CE" w:rsidRPr="00757771" w:rsidP="00757771">
      <w:pPr>
        <w:autoSpaceDE w:val="0"/>
        <w:autoSpaceDN w:val="0"/>
        <w:adjustRightInd w:val="0"/>
        <w:snapToGrid w:val="0"/>
        <w:spacing w:line="360" w:lineRule="auto"/>
        <w:ind w:firstLine="420" w:firstLineChars="200"/>
        <w:jc w:val="left"/>
        <w:rPr>
          <w:rFonts w:asciiTheme="minorEastAsia" w:eastAsiaTheme="minorEastAsia" w:hAnsiTheme="minorEastAsia"/>
          <w:kern w:val="0"/>
          <w:szCs w:val="21"/>
        </w:rPr>
      </w:pPr>
      <w:r w:rsidRPr="00757771">
        <w:rPr>
          <w:rFonts w:asciiTheme="minorEastAsia" w:eastAsiaTheme="minorEastAsia" w:hAnsiTheme="minorEastAsia"/>
          <w:kern w:val="0"/>
          <w:szCs w:val="21"/>
        </w:rPr>
        <w:t>4</w:t>
      </w:r>
      <w:r w:rsidRPr="00757771">
        <w:rPr>
          <w:rFonts w:asciiTheme="minorEastAsia" w:eastAsiaTheme="minorEastAsia" w:hAnsiTheme="minorEastAsia" w:hint="eastAsia"/>
          <w:kern w:val="0"/>
          <w:szCs w:val="21"/>
        </w:rPr>
        <w:t>、关于授权、研究、投资、交易等方面的控制点</w:t>
      </w:r>
    </w:p>
    <w:p w:rsidR="00F667CE" w:rsidRPr="00757771" w:rsidP="00757771">
      <w:pPr>
        <w:autoSpaceDE w:val="0"/>
        <w:autoSpaceDN w:val="0"/>
        <w:adjustRightInd w:val="0"/>
        <w:snapToGrid w:val="0"/>
        <w:spacing w:line="360" w:lineRule="auto"/>
        <w:ind w:firstLine="420" w:firstLineChars="200"/>
        <w:jc w:val="left"/>
        <w:rPr>
          <w:rFonts w:asciiTheme="minorEastAsia" w:eastAsiaTheme="minorEastAsia" w:hAnsiTheme="minorEastAsia"/>
          <w:kern w:val="0"/>
          <w:szCs w:val="21"/>
        </w:rPr>
      </w:pPr>
      <w:r w:rsidRPr="00757771">
        <w:rPr>
          <w:rFonts w:asciiTheme="minorEastAsia" w:eastAsiaTheme="minorEastAsia" w:hAnsiTheme="minorEastAsia" w:hint="eastAsia"/>
          <w:kern w:val="0"/>
          <w:szCs w:val="21"/>
        </w:rPr>
        <w:t>（</w:t>
      </w:r>
      <w:r w:rsidRPr="00757771">
        <w:rPr>
          <w:rFonts w:asciiTheme="minorEastAsia" w:eastAsiaTheme="minorEastAsia" w:hAnsiTheme="minorEastAsia"/>
          <w:kern w:val="0"/>
          <w:szCs w:val="21"/>
        </w:rPr>
        <w:t>1</w:t>
      </w:r>
      <w:r w:rsidRPr="00757771">
        <w:rPr>
          <w:rFonts w:asciiTheme="minorEastAsia" w:eastAsiaTheme="minorEastAsia" w:hAnsiTheme="minorEastAsia" w:hint="eastAsia"/>
          <w:kern w:val="0"/>
          <w:szCs w:val="21"/>
        </w:rPr>
        <w:t>）授权制度</w:t>
      </w:r>
    </w:p>
    <w:p w:rsidR="00F667CE" w:rsidRPr="00757771" w:rsidP="00757771">
      <w:pPr>
        <w:autoSpaceDE w:val="0"/>
        <w:autoSpaceDN w:val="0"/>
        <w:adjustRightInd w:val="0"/>
        <w:snapToGrid w:val="0"/>
        <w:spacing w:line="360" w:lineRule="auto"/>
        <w:ind w:firstLine="420" w:firstLineChars="200"/>
        <w:jc w:val="left"/>
        <w:rPr>
          <w:rFonts w:asciiTheme="minorEastAsia" w:eastAsiaTheme="minorEastAsia" w:hAnsiTheme="minorEastAsia"/>
          <w:kern w:val="0"/>
          <w:szCs w:val="21"/>
        </w:rPr>
      </w:pPr>
      <w:r w:rsidRPr="00757771">
        <w:rPr>
          <w:rFonts w:asciiTheme="minorEastAsia" w:eastAsiaTheme="minorEastAsia" w:hAnsiTheme="minorEastAsia" w:hint="eastAsia"/>
          <w:kern w:val="0"/>
          <w:szCs w:val="21"/>
        </w:rPr>
        <w:t>公司的授权制度贯穿于整个公司活动。股东会、董事会、监事会和管理层必须充分履行各自的职权，健全公司逐级授权制度，确保公司各项规章制度的贯彻执行；各项经营业务和管理程序必须遵从管理层制定的操作规程，经办人员的每一项工作必须是在业务授权范围内进行。公司重大业务的授权必须采取书面形式，授权书应当明确授权内容。公司授权应适当，对已获授权的部门和人员应建立有效的评价和反馈机制，对已不适用的授权应及时修改或取消授权。</w:t>
      </w:r>
    </w:p>
    <w:p w:rsidR="00F667CE" w:rsidRPr="00757771" w:rsidP="00757771">
      <w:pPr>
        <w:autoSpaceDE w:val="0"/>
        <w:autoSpaceDN w:val="0"/>
        <w:adjustRightInd w:val="0"/>
        <w:snapToGrid w:val="0"/>
        <w:spacing w:line="360" w:lineRule="auto"/>
        <w:ind w:firstLine="420" w:firstLineChars="200"/>
        <w:jc w:val="left"/>
        <w:rPr>
          <w:rFonts w:asciiTheme="minorEastAsia" w:eastAsiaTheme="minorEastAsia" w:hAnsiTheme="minorEastAsia"/>
          <w:kern w:val="0"/>
          <w:szCs w:val="21"/>
        </w:rPr>
      </w:pPr>
      <w:r w:rsidRPr="00757771">
        <w:rPr>
          <w:rFonts w:asciiTheme="minorEastAsia" w:eastAsiaTheme="minorEastAsia" w:hAnsiTheme="minorEastAsia" w:hint="eastAsia"/>
          <w:kern w:val="0"/>
          <w:szCs w:val="21"/>
        </w:rPr>
        <w:t>（</w:t>
      </w:r>
      <w:r w:rsidRPr="00757771">
        <w:rPr>
          <w:rFonts w:asciiTheme="minorEastAsia" w:eastAsiaTheme="minorEastAsia" w:hAnsiTheme="minorEastAsia"/>
          <w:kern w:val="0"/>
          <w:szCs w:val="21"/>
        </w:rPr>
        <w:t>2</w:t>
      </w:r>
      <w:r w:rsidRPr="00757771">
        <w:rPr>
          <w:rFonts w:asciiTheme="minorEastAsia" w:eastAsiaTheme="minorEastAsia" w:hAnsiTheme="minorEastAsia" w:hint="eastAsia"/>
          <w:kern w:val="0"/>
          <w:szCs w:val="21"/>
        </w:rPr>
        <w:t>）公司研究业务</w:t>
      </w:r>
    </w:p>
    <w:p w:rsidR="00F667CE" w:rsidRPr="00757771" w:rsidP="00757771">
      <w:pPr>
        <w:autoSpaceDE w:val="0"/>
        <w:autoSpaceDN w:val="0"/>
        <w:adjustRightInd w:val="0"/>
        <w:snapToGrid w:val="0"/>
        <w:spacing w:line="360" w:lineRule="auto"/>
        <w:ind w:firstLine="420" w:firstLineChars="200"/>
        <w:jc w:val="left"/>
        <w:rPr>
          <w:rFonts w:asciiTheme="minorEastAsia" w:eastAsiaTheme="minorEastAsia" w:hAnsiTheme="minorEastAsia"/>
          <w:kern w:val="0"/>
          <w:szCs w:val="21"/>
        </w:rPr>
      </w:pPr>
      <w:r w:rsidRPr="00757771">
        <w:rPr>
          <w:rFonts w:asciiTheme="minorEastAsia" w:eastAsiaTheme="minorEastAsia" w:hAnsiTheme="minorEastAsia" w:hint="eastAsia"/>
          <w:kern w:val="0"/>
          <w:szCs w:val="21"/>
        </w:rPr>
        <w:t>研究工作应保持独立、客观，不受任何部门及个人的不正当影响；建立严谨的研究工作业务流程，形成科学、有效的研究方法；建立投资产品备选库制度，研究部门根据投资产品的特征，在充分研究的基础上建立和维护备选库。建立研究与投资的业务交流制度，保持畅通的交流渠道；建立研究报告质量评价体系，不断提高研究水平。</w:t>
      </w:r>
    </w:p>
    <w:p w:rsidR="00F667CE" w:rsidRPr="00757771" w:rsidP="00757771">
      <w:pPr>
        <w:autoSpaceDE w:val="0"/>
        <w:autoSpaceDN w:val="0"/>
        <w:adjustRightInd w:val="0"/>
        <w:snapToGrid w:val="0"/>
        <w:spacing w:line="360" w:lineRule="auto"/>
        <w:ind w:firstLine="420" w:firstLineChars="200"/>
        <w:jc w:val="left"/>
        <w:rPr>
          <w:rFonts w:asciiTheme="minorEastAsia" w:eastAsiaTheme="minorEastAsia" w:hAnsiTheme="minorEastAsia"/>
          <w:kern w:val="0"/>
          <w:szCs w:val="21"/>
        </w:rPr>
      </w:pPr>
      <w:r w:rsidRPr="00757771">
        <w:rPr>
          <w:rFonts w:asciiTheme="minorEastAsia" w:eastAsiaTheme="minorEastAsia" w:hAnsiTheme="minorEastAsia" w:hint="eastAsia"/>
          <w:kern w:val="0"/>
          <w:szCs w:val="21"/>
        </w:rPr>
        <w:t>（</w:t>
      </w:r>
      <w:r w:rsidRPr="00757771">
        <w:rPr>
          <w:rFonts w:asciiTheme="minorEastAsia" w:eastAsiaTheme="minorEastAsia" w:hAnsiTheme="minorEastAsia"/>
          <w:kern w:val="0"/>
          <w:szCs w:val="21"/>
        </w:rPr>
        <w:t>3</w:t>
      </w:r>
      <w:r w:rsidRPr="00757771">
        <w:rPr>
          <w:rFonts w:asciiTheme="minorEastAsia" w:eastAsiaTheme="minorEastAsia" w:hAnsiTheme="minorEastAsia" w:hint="eastAsia"/>
          <w:kern w:val="0"/>
          <w:szCs w:val="21"/>
        </w:rPr>
        <w:t>）基金投资业务</w:t>
      </w:r>
    </w:p>
    <w:p w:rsidR="00F667CE" w:rsidRPr="00757771" w:rsidP="00757771">
      <w:pPr>
        <w:autoSpaceDE w:val="0"/>
        <w:autoSpaceDN w:val="0"/>
        <w:adjustRightInd w:val="0"/>
        <w:snapToGrid w:val="0"/>
        <w:spacing w:line="360" w:lineRule="auto"/>
        <w:ind w:firstLine="420" w:firstLineChars="200"/>
        <w:jc w:val="left"/>
        <w:rPr>
          <w:rFonts w:asciiTheme="minorEastAsia" w:eastAsiaTheme="minorEastAsia" w:hAnsiTheme="minorEastAsia"/>
          <w:kern w:val="0"/>
          <w:szCs w:val="21"/>
        </w:rPr>
      </w:pPr>
      <w:r w:rsidRPr="00757771">
        <w:rPr>
          <w:rFonts w:asciiTheme="minorEastAsia" w:eastAsiaTheme="minorEastAsia" w:hAnsiTheme="minorEastAsia" w:hint="eastAsia"/>
          <w:kern w:val="0"/>
          <w:szCs w:val="21"/>
        </w:rPr>
        <w:t>基金投资应确立科学的投资理念，根据风险防范原则和效率性原则制定合理的决策程序；在进行投资时应有明确的投资授权制度，并应建立与所授权限相应的约束制度和考核制度。</w:t>
      </w:r>
      <w:r w:rsidRPr="00757771">
        <w:rPr>
          <w:rFonts w:asciiTheme="minorEastAsia" w:eastAsiaTheme="minorEastAsia" w:hAnsiTheme="minorEastAsia" w:hint="eastAsia"/>
          <w:kern w:val="0"/>
          <w:szCs w:val="21"/>
        </w:rPr>
        <w:t>建立严格的投资禁止和投资限制制度，保证基金投资的合法合规性。建立投资风险评估与管理制度，将重点投资限制在规定的风险权限范围内；建立科学的投资业绩评价体系，及时回顾分析和评估投资结果。</w:t>
      </w:r>
    </w:p>
    <w:p w:rsidR="00F667CE" w:rsidRPr="00757771" w:rsidP="00757771">
      <w:pPr>
        <w:autoSpaceDE w:val="0"/>
        <w:autoSpaceDN w:val="0"/>
        <w:adjustRightInd w:val="0"/>
        <w:snapToGrid w:val="0"/>
        <w:spacing w:line="360" w:lineRule="auto"/>
        <w:ind w:firstLine="420" w:firstLineChars="200"/>
        <w:jc w:val="left"/>
        <w:rPr>
          <w:rFonts w:asciiTheme="minorEastAsia" w:eastAsiaTheme="minorEastAsia" w:hAnsiTheme="minorEastAsia"/>
          <w:kern w:val="0"/>
          <w:szCs w:val="21"/>
        </w:rPr>
      </w:pPr>
      <w:r w:rsidRPr="00757771">
        <w:rPr>
          <w:rFonts w:asciiTheme="minorEastAsia" w:eastAsiaTheme="minorEastAsia" w:hAnsiTheme="minorEastAsia" w:hint="eastAsia"/>
          <w:kern w:val="0"/>
          <w:szCs w:val="21"/>
        </w:rPr>
        <w:t>（</w:t>
      </w:r>
      <w:r w:rsidRPr="00757771">
        <w:rPr>
          <w:rFonts w:asciiTheme="minorEastAsia" w:eastAsiaTheme="minorEastAsia" w:hAnsiTheme="minorEastAsia"/>
          <w:kern w:val="0"/>
          <w:szCs w:val="21"/>
        </w:rPr>
        <w:t>4</w:t>
      </w:r>
      <w:r w:rsidRPr="00757771">
        <w:rPr>
          <w:rFonts w:asciiTheme="minorEastAsia" w:eastAsiaTheme="minorEastAsia" w:hAnsiTheme="minorEastAsia" w:hint="eastAsia"/>
          <w:kern w:val="0"/>
          <w:szCs w:val="21"/>
        </w:rPr>
        <w:t>）交易业务</w:t>
      </w:r>
    </w:p>
    <w:p w:rsidR="00F667CE" w:rsidRPr="00757771" w:rsidP="00757771">
      <w:pPr>
        <w:autoSpaceDE w:val="0"/>
        <w:autoSpaceDN w:val="0"/>
        <w:adjustRightInd w:val="0"/>
        <w:snapToGrid w:val="0"/>
        <w:spacing w:line="360" w:lineRule="auto"/>
        <w:ind w:firstLine="420" w:firstLineChars="200"/>
        <w:jc w:val="left"/>
        <w:rPr>
          <w:rFonts w:asciiTheme="minorEastAsia" w:eastAsiaTheme="minorEastAsia" w:hAnsiTheme="minorEastAsia"/>
          <w:kern w:val="0"/>
          <w:szCs w:val="21"/>
        </w:rPr>
      </w:pPr>
      <w:r w:rsidRPr="00757771">
        <w:rPr>
          <w:rFonts w:asciiTheme="minorEastAsia" w:eastAsiaTheme="minorEastAsia" w:hAnsiTheme="minorEastAsia" w:hint="eastAsia"/>
          <w:kern w:val="0"/>
          <w:szCs w:val="21"/>
        </w:rPr>
        <w:t>建立集中交易部门和集中交易制度，投资指令通过集中交易部门完成；建立交易监测系统、预警系统和交易反馈系统，完善相关的安全设施；集中交易部门应对交易指令进行审核，建立公平的交易分配制度，确保公平对待不同基金；完善交易记录，并及时进行反馈、核对和存档保管；建立科学的投资交易绩效评价体系。</w:t>
      </w:r>
    </w:p>
    <w:p w:rsidR="00F667CE" w:rsidRPr="00757771" w:rsidP="00757771">
      <w:pPr>
        <w:autoSpaceDE w:val="0"/>
        <w:autoSpaceDN w:val="0"/>
        <w:adjustRightInd w:val="0"/>
        <w:snapToGrid w:val="0"/>
        <w:spacing w:line="360" w:lineRule="auto"/>
        <w:ind w:firstLine="420" w:firstLineChars="200"/>
        <w:jc w:val="left"/>
        <w:rPr>
          <w:rFonts w:asciiTheme="minorEastAsia" w:eastAsiaTheme="minorEastAsia" w:hAnsiTheme="minorEastAsia"/>
          <w:kern w:val="0"/>
          <w:szCs w:val="21"/>
        </w:rPr>
      </w:pPr>
      <w:r w:rsidRPr="00757771">
        <w:rPr>
          <w:rFonts w:asciiTheme="minorEastAsia" w:eastAsiaTheme="minorEastAsia" w:hAnsiTheme="minorEastAsia" w:hint="eastAsia"/>
          <w:kern w:val="0"/>
          <w:szCs w:val="21"/>
        </w:rPr>
        <w:t>（</w:t>
      </w:r>
      <w:r w:rsidRPr="00757771">
        <w:rPr>
          <w:rFonts w:asciiTheme="minorEastAsia" w:eastAsiaTheme="minorEastAsia" w:hAnsiTheme="minorEastAsia"/>
          <w:kern w:val="0"/>
          <w:szCs w:val="21"/>
        </w:rPr>
        <w:t>5</w:t>
      </w:r>
      <w:r w:rsidRPr="00757771">
        <w:rPr>
          <w:rFonts w:asciiTheme="minorEastAsia" w:eastAsiaTheme="minorEastAsia" w:hAnsiTheme="minorEastAsia" w:hint="eastAsia"/>
          <w:kern w:val="0"/>
          <w:szCs w:val="21"/>
        </w:rPr>
        <w:t>）基金会计核算</w:t>
      </w:r>
    </w:p>
    <w:p w:rsidR="00F667CE" w:rsidRPr="00757771" w:rsidP="00757771">
      <w:pPr>
        <w:autoSpaceDE w:val="0"/>
        <w:autoSpaceDN w:val="0"/>
        <w:adjustRightInd w:val="0"/>
        <w:snapToGrid w:val="0"/>
        <w:spacing w:line="360" w:lineRule="auto"/>
        <w:ind w:firstLine="420" w:firstLineChars="200"/>
        <w:jc w:val="left"/>
        <w:rPr>
          <w:rFonts w:asciiTheme="minorEastAsia" w:eastAsiaTheme="minorEastAsia" w:hAnsiTheme="minorEastAsia"/>
          <w:kern w:val="0"/>
          <w:szCs w:val="21"/>
        </w:rPr>
      </w:pPr>
      <w:r w:rsidRPr="00757771">
        <w:rPr>
          <w:rFonts w:asciiTheme="minorEastAsia" w:eastAsiaTheme="minorEastAsia" w:hAnsiTheme="minorEastAsia" w:hint="eastAsia"/>
          <w:kern w:val="0"/>
          <w:szCs w:val="21"/>
        </w:rPr>
        <w:t>公司根据法律法规及业务的要求建立会计制度，并根据风险控制点建立健全规范的系统和流程，以基金为会计核算主体，独立建账、独立核算。通过合理的估值方法和估值程序等会计措施，真实、完整、及时地记载每一笔业务并正确进行会计核算和业务核算。同时建立会计档案保管制度，确保档案真实完整。</w:t>
      </w:r>
    </w:p>
    <w:p w:rsidR="00F667CE" w:rsidRPr="00757771" w:rsidP="00757771">
      <w:pPr>
        <w:autoSpaceDE w:val="0"/>
        <w:autoSpaceDN w:val="0"/>
        <w:adjustRightInd w:val="0"/>
        <w:snapToGrid w:val="0"/>
        <w:spacing w:line="360" w:lineRule="auto"/>
        <w:ind w:firstLine="420" w:firstLineChars="200"/>
        <w:jc w:val="left"/>
        <w:rPr>
          <w:rFonts w:asciiTheme="minorEastAsia" w:eastAsiaTheme="minorEastAsia" w:hAnsiTheme="minorEastAsia"/>
          <w:kern w:val="0"/>
          <w:szCs w:val="21"/>
        </w:rPr>
      </w:pPr>
      <w:r w:rsidRPr="00757771">
        <w:rPr>
          <w:rFonts w:asciiTheme="minorEastAsia" w:eastAsiaTheme="minorEastAsia" w:hAnsiTheme="minorEastAsia" w:hint="eastAsia"/>
          <w:kern w:val="0"/>
          <w:szCs w:val="21"/>
        </w:rPr>
        <w:t>（</w:t>
      </w:r>
      <w:r w:rsidRPr="00757771">
        <w:rPr>
          <w:rFonts w:asciiTheme="minorEastAsia" w:eastAsiaTheme="minorEastAsia" w:hAnsiTheme="minorEastAsia"/>
          <w:kern w:val="0"/>
          <w:szCs w:val="21"/>
        </w:rPr>
        <w:t>6</w:t>
      </w:r>
      <w:r w:rsidRPr="00757771">
        <w:rPr>
          <w:rFonts w:asciiTheme="minorEastAsia" w:eastAsiaTheme="minorEastAsia" w:hAnsiTheme="minorEastAsia" w:hint="eastAsia"/>
          <w:kern w:val="0"/>
          <w:szCs w:val="21"/>
        </w:rPr>
        <w:t>）信息披露</w:t>
      </w:r>
    </w:p>
    <w:p w:rsidR="00F667CE" w:rsidRPr="00757771" w:rsidP="00757771">
      <w:pPr>
        <w:autoSpaceDE w:val="0"/>
        <w:autoSpaceDN w:val="0"/>
        <w:adjustRightInd w:val="0"/>
        <w:snapToGrid w:val="0"/>
        <w:spacing w:line="360" w:lineRule="auto"/>
        <w:ind w:firstLine="420" w:firstLineChars="200"/>
        <w:jc w:val="left"/>
        <w:rPr>
          <w:rFonts w:asciiTheme="minorEastAsia" w:eastAsiaTheme="minorEastAsia" w:hAnsiTheme="minorEastAsia"/>
          <w:kern w:val="0"/>
          <w:szCs w:val="21"/>
        </w:rPr>
      </w:pPr>
      <w:r w:rsidRPr="00757771">
        <w:rPr>
          <w:rFonts w:asciiTheme="minorEastAsia" w:eastAsiaTheme="minorEastAsia" w:hAnsiTheme="minorEastAsia" w:hint="eastAsia"/>
          <w:kern w:val="0"/>
          <w:szCs w:val="21"/>
        </w:rPr>
        <w:t>公司建立了完备的信息披露制度，指定了信息披露负责人，并建立了相应的制度流程规范相关信息的收集、组织、审核和发布，努力确保公开披露的信息真实、准确、完整、及时。</w:t>
      </w:r>
    </w:p>
    <w:p w:rsidR="00F667CE" w:rsidRPr="00757771" w:rsidP="00757771">
      <w:pPr>
        <w:autoSpaceDE w:val="0"/>
        <w:autoSpaceDN w:val="0"/>
        <w:adjustRightInd w:val="0"/>
        <w:snapToGrid w:val="0"/>
        <w:spacing w:line="360" w:lineRule="auto"/>
        <w:ind w:firstLine="420" w:firstLineChars="200"/>
        <w:jc w:val="left"/>
        <w:rPr>
          <w:rFonts w:asciiTheme="minorEastAsia" w:eastAsiaTheme="minorEastAsia" w:hAnsiTheme="minorEastAsia"/>
          <w:kern w:val="0"/>
          <w:szCs w:val="21"/>
        </w:rPr>
      </w:pPr>
      <w:r w:rsidRPr="00757771">
        <w:rPr>
          <w:rFonts w:asciiTheme="minorEastAsia" w:eastAsiaTheme="minorEastAsia" w:hAnsiTheme="minorEastAsia" w:hint="eastAsia"/>
          <w:kern w:val="0"/>
          <w:szCs w:val="21"/>
        </w:rPr>
        <w:t>（</w:t>
      </w:r>
      <w:r w:rsidRPr="00757771">
        <w:rPr>
          <w:rFonts w:asciiTheme="minorEastAsia" w:eastAsiaTheme="minorEastAsia" w:hAnsiTheme="minorEastAsia"/>
          <w:kern w:val="0"/>
          <w:szCs w:val="21"/>
        </w:rPr>
        <w:t>7</w:t>
      </w:r>
      <w:r w:rsidRPr="00757771">
        <w:rPr>
          <w:rFonts w:asciiTheme="minorEastAsia" w:eastAsiaTheme="minorEastAsia" w:hAnsiTheme="minorEastAsia" w:hint="eastAsia"/>
          <w:kern w:val="0"/>
          <w:szCs w:val="21"/>
        </w:rPr>
        <w:t>）监察与合规管理</w:t>
      </w:r>
    </w:p>
    <w:p w:rsidR="00F667CE" w:rsidRPr="00757771" w:rsidP="00757771">
      <w:pPr>
        <w:autoSpaceDE w:val="0"/>
        <w:autoSpaceDN w:val="0"/>
        <w:adjustRightInd w:val="0"/>
        <w:snapToGrid w:val="0"/>
        <w:spacing w:line="360" w:lineRule="auto"/>
        <w:ind w:firstLine="420" w:firstLineChars="200"/>
        <w:jc w:val="left"/>
        <w:rPr>
          <w:rFonts w:asciiTheme="minorEastAsia" w:eastAsiaTheme="minorEastAsia" w:hAnsiTheme="minorEastAsia"/>
          <w:kern w:val="0"/>
          <w:szCs w:val="21"/>
        </w:rPr>
      </w:pPr>
      <w:r w:rsidRPr="00757771">
        <w:rPr>
          <w:rFonts w:asciiTheme="minorEastAsia" w:eastAsiaTheme="minorEastAsia" w:hAnsiTheme="minorEastAsia" w:hint="eastAsia"/>
          <w:kern w:val="0"/>
          <w:szCs w:val="21"/>
        </w:rPr>
        <w:t>公司设立督察长，由董事会聘任，向董事会负责。根据公司监察与合规管理工作的需要和董事会授权，督察长可以列席公司相关会议，调阅公司相关档案资料，就内部控制制度的执行情况独立地履行检查、评价、报告、建议职能。督察长定期和不定期向董事会报告公司内部控制执行情况，董事会对督察长的报告进行审议。</w:t>
      </w:r>
    </w:p>
    <w:p w:rsidR="00F667CE" w:rsidRPr="00757771" w:rsidP="00757771">
      <w:pPr>
        <w:autoSpaceDE w:val="0"/>
        <w:autoSpaceDN w:val="0"/>
        <w:adjustRightInd w:val="0"/>
        <w:snapToGrid w:val="0"/>
        <w:spacing w:line="360" w:lineRule="auto"/>
        <w:ind w:firstLine="420" w:firstLineChars="200"/>
        <w:jc w:val="left"/>
        <w:rPr>
          <w:rFonts w:asciiTheme="minorEastAsia" w:eastAsiaTheme="minorEastAsia" w:hAnsiTheme="minorEastAsia"/>
          <w:kern w:val="0"/>
          <w:szCs w:val="21"/>
        </w:rPr>
      </w:pPr>
      <w:r w:rsidRPr="00757771">
        <w:rPr>
          <w:rFonts w:asciiTheme="minorEastAsia" w:eastAsiaTheme="minorEastAsia" w:hAnsiTheme="minorEastAsia" w:hint="eastAsia"/>
          <w:kern w:val="0"/>
          <w:szCs w:val="21"/>
        </w:rPr>
        <w:t>公司设立监察合规管理部门，并保障其独立性。监察合规管理部门按照公司规定和督察长的安排履行监察与合规管理职责。</w:t>
      </w:r>
    </w:p>
    <w:p w:rsidR="00F667CE" w:rsidRPr="00757771" w:rsidP="00757771">
      <w:pPr>
        <w:autoSpaceDE w:val="0"/>
        <w:autoSpaceDN w:val="0"/>
        <w:adjustRightInd w:val="0"/>
        <w:snapToGrid w:val="0"/>
        <w:spacing w:line="360" w:lineRule="auto"/>
        <w:ind w:firstLine="420" w:firstLineChars="200"/>
        <w:jc w:val="left"/>
        <w:rPr>
          <w:rFonts w:asciiTheme="minorEastAsia" w:eastAsiaTheme="minorEastAsia" w:hAnsiTheme="minorEastAsia"/>
          <w:kern w:val="0"/>
          <w:szCs w:val="21"/>
        </w:rPr>
      </w:pPr>
      <w:r w:rsidRPr="00757771">
        <w:rPr>
          <w:rFonts w:asciiTheme="minorEastAsia" w:eastAsiaTheme="minorEastAsia" w:hAnsiTheme="minorEastAsia" w:hint="eastAsia"/>
          <w:kern w:val="0"/>
          <w:szCs w:val="21"/>
        </w:rPr>
        <w:t>监察合规管理部门通过定期或不定期检查内部控制制度的执行情况，督促公司和旗下基金的管理运作规范进行。</w:t>
      </w:r>
    </w:p>
    <w:p w:rsidR="00F667CE" w:rsidRPr="00757771" w:rsidP="00757771">
      <w:pPr>
        <w:autoSpaceDE w:val="0"/>
        <w:autoSpaceDN w:val="0"/>
        <w:adjustRightInd w:val="0"/>
        <w:snapToGrid w:val="0"/>
        <w:spacing w:line="360" w:lineRule="auto"/>
        <w:ind w:firstLine="420" w:firstLineChars="200"/>
        <w:jc w:val="left"/>
        <w:rPr>
          <w:rFonts w:asciiTheme="minorEastAsia" w:eastAsiaTheme="minorEastAsia" w:hAnsiTheme="minorEastAsia"/>
          <w:kern w:val="0"/>
          <w:szCs w:val="21"/>
        </w:rPr>
      </w:pPr>
      <w:r w:rsidRPr="00757771">
        <w:rPr>
          <w:rFonts w:asciiTheme="minorEastAsia" w:eastAsiaTheme="minorEastAsia" w:hAnsiTheme="minorEastAsia" w:hint="eastAsia"/>
          <w:kern w:val="0"/>
          <w:szCs w:val="21"/>
        </w:rPr>
        <w:t>公司董事会和管理层充分重视和支持监察与合规管理工作，对违反法律、法规和公司内部控制制度的，追究有关部门和人员的责任。</w:t>
      </w:r>
    </w:p>
    <w:p w:rsidR="00F667CE" w:rsidRPr="00757771" w:rsidP="00757771">
      <w:pPr>
        <w:autoSpaceDE w:val="0"/>
        <w:autoSpaceDN w:val="0"/>
        <w:adjustRightInd w:val="0"/>
        <w:snapToGrid w:val="0"/>
        <w:spacing w:line="360" w:lineRule="auto"/>
        <w:ind w:firstLine="420" w:firstLineChars="200"/>
        <w:jc w:val="left"/>
        <w:rPr>
          <w:rFonts w:asciiTheme="minorEastAsia" w:eastAsiaTheme="minorEastAsia" w:hAnsiTheme="minorEastAsia"/>
          <w:kern w:val="0"/>
          <w:szCs w:val="21"/>
        </w:rPr>
      </w:pPr>
      <w:r w:rsidRPr="00757771">
        <w:rPr>
          <w:rFonts w:asciiTheme="minorEastAsia" w:eastAsiaTheme="minorEastAsia" w:hAnsiTheme="minorEastAsia"/>
          <w:kern w:val="0"/>
          <w:szCs w:val="21"/>
        </w:rPr>
        <w:t>5</w:t>
      </w:r>
      <w:r w:rsidRPr="00757771">
        <w:rPr>
          <w:rFonts w:asciiTheme="minorEastAsia" w:eastAsiaTheme="minorEastAsia" w:hAnsiTheme="minorEastAsia" w:hint="eastAsia"/>
          <w:kern w:val="0"/>
          <w:szCs w:val="21"/>
        </w:rPr>
        <w:t>、基金管理人关于内部控制制度声明书</w:t>
      </w:r>
    </w:p>
    <w:p w:rsidR="00F667CE" w:rsidRPr="00757771" w:rsidP="00757771">
      <w:pPr>
        <w:autoSpaceDE w:val="0"/>
        <w:autoSpaceDN w:val="0"/>
        <w:adjustRightInd w:val="0"/>
        <w:snapToGrid w:val="0"/>
        <w:spacing w:line="360" w:lineRule="auto"/>
        <w:ind w:firstLine="420" w:firstLineChars="200"/>
        <w:jc w:val="left"/>
        <w:rPr>
          <w:rFonts w:asciiTheme="minorEastAsia" w:eastAsiaTheme="minorEastAsia" w:hAnsiTheme="minorEastAsia"/>
          <w:kern w:val="0"/>
          <w:szCs w:val="21"/>
        </w:rPr>
      </w:pPr>
      <w:r w:rsidRPr="00757771">
        <w:rPr>
          <w:rFonts w:asciiTheme="minorEastAsia" w:eastAsiaTheme="minorEastAsia" w:hAnsiTheme="minorEastAsia" w:hint="eastAsia"/>
          <w:kern w:val="0"/>
          <w:szCs w:val="21"/>
        </w:rPr>
        <w:t>（</w:t>
      </w:r>
      <w:r w:rsidRPr="00757771">
        <w:rPr>
          <w:rFonts w:asciiTheme="minorEastAsia" w:eastAsiaTheme="minorEastAsia" w:hAnsiTheme="minorEastAsia"/>
          <w:kern w:val="0"/>
          <w:szCs w:val="21"/>
        </w:rPr>
        <w:t>1</w:t>
      </w:r>
      <w:r w:rsidRPr="00757771">
        <w:rPr>
          <w:rFonts w:asciiTheme="minorEastAsia" w:eastAsiaTheme="minorEastAsia" w:hAnsiTheme="minorEastAsia" w:hint="eastAsia"/>
          <w:kern w:val="0"/>
          <w:szCs w:val="21"/>
        </w:rPr>
        <w:t>）本公司承诺以上关于内部控制制度的披露真实、准确；</w:t>
      </w:r>
    </w:p>
    <w:p w:rsidR="00F667CE" w:rsidRPr="00757771" w:rsidP="00757771">
      <w:pPr>
        <w:autoSpaceDE w:val="0"/>
        <w:autoSpaceDN w:val="0"/>
        <w:adjustRightInd w:val="0"/>
        <w:snapToGrid w:val="0"/>
        <w:spacing w:line="360" w:lineRule="auto"/>
        <w:ind w:firstLine="420" w:firstLineChars="200"/>
        <w:jc w:val="left"/>
        <w:rPr>
          <w:rFonts w:asciiTheme="minorEastAsia" w:eastAsiaTheme="minorEastAsia" w:hAnsiTheme="minorEastAsia"/>
          <w:kern w:val="0"/>
          <w:szCs w:val="21"/>
        </w:rPr>
      </w:pPr>
      <w:r w:rsidRPr="00757771">
        <w:rPr>
          <w:rFonts w:asciiTheme="minorEastAsia" w:eastAsiaTheme="minorEastAsia" w:hAnsiTheme="minorEastAsia" w:hint="eastAsia"/>
          <w:kern w:val="0"/>
          <w:szCs w:val="21"/>
        </w:rPr>
        <w:t>（</w:t>
      </w:r>
      <w:r w:rsidRPr="00757771">
        <w:rPr>
          <w:rFonts w:asciiTheme="minorEastAsia" w:eastAsiaTheme="minorEastAsia" w:hAnsiTheme="minorEastAsia"/>
          <w:kern w:val="0"/>
          <w:szCs w:val="21"/>
        </w:rPr>
        <w:t>2</w:t>
      </w:r>
      <w:r w:rsidRPr="00757771">
        <w:rPr>
          <w:rFonts w:asciiTheme="minorEastAsia" w:eastAsiaTheme="minorEastAsia" w:hAnsiTheme="minorEastAsia" w:hint="eastAsia"/>
          <w:kern w:val="0"/>
          <w:szCs w:val="21"/>
        </w:rPr>
        <w:t>）本公司承诺根据市场变化和公司业务发展不断完善内部控制制度。</w:t>
      </w:r>
    </w:p>
    <w:p w:rsidR="003A3487" w:rsidRPr="008564FF" w:rsidP="004549E4">
      <w:pPr>
        <w:numPr>
          <w:ilvl w:val="0"/>
          <w:numId w:val="12"/>
        </w:numPr>
        <w:snapToGrid w:val="0"/>
        <w:spacing w:line="360" w:lineRule="auto"/>
        <w:rPr>
          <w:rFonts w:asciiTheme="minorEastAsia" w:eastAsiaTheme="minorEastAsia" w:hAnsiTheme="minorEastAsia"/>
        </w:rPr>
        <w:sectPr w:rsidSect="008564FF">
          <w:pgSz w:w="11907" w:h="16840"/>
          <w:pgMar w:top="1440" w:right="1800" w:bottom="1440" w:left="1800" w:header="1134" w:footer="1247" w:gutter="0"/>
          <w:cols w:space="720"/>
          <w:docGrid w:type="lines" w:linePitch="312"/>
        </w:sectPr>
      </w:pPr>
    </w:p>
    <w:p w:rsidR="00F667CE">
      <w:pPr>
        <w:widowControl/>
        <w:jc w:val="left"/>
        <w:rPr>
          <w:rFonts w:asciiTheme="minorEastAsia" w:eastAsiaTheme="minorEastAsia" w:hAnsiTheme="minorEastAsia" w:cs="宋体"/>
          <w:b/>
          <w:bCs/>
          <w:sz w:val="32"/>
          <w:szCs w:val="32"/>
        </w:rPr>
      </w:pPr>
      <w:r>
        <w:rPr>
          <w:rFonts w:asciiTheme="minorEastAsia" w:eastAsiaTheme="minorEastAsia" w:hAnsiTheme="minorEastAsia"/>
          <w:b/>
          <w:bCs/>
        </w:rPr>
        <w:br w:type="page"/>
      </w:r>
    </w:p>
    <w:p w:rsidR="003A3487" w:rsidRPr="008564FF" w:rsidP="009C2B2A">
      <w:pPr>
        <w:pStyle w:val="Heading1"/>
        <w:snapToGrid w:val="0"/>
        <w:spacing w:beforeLines="0" w:afterLines="0" w:line="360" w:lineRule="auto"/>
        <w:ind w:firstLine="643"/>
        <w:rPr>
          <w:rFonts w:asciiTheme="minorEastAsia" w:eastAsiaTheme="minorEastAsia" w:hAnsiTheme="minorEastAsia"/>
          <w:b/>
          <w:bCs/>
        </w:rPr>
      </w:pPr>
      <w:bookmarkStart w:id="21" w:name="_Toc91749203"/>
      <w:r w:rsidRPr="008564FF">
        <w:rPr>
          <w:rFonts w:asciiTheme="minorEastAsia" w:eastAsiaTheme="minorEastAsia" w:hAnsiTheme="minorEastAsia" w:hint="eastAsia"/>
          <w:b/>
          <w:bCs/>
        </w:rPr>
        <w:t>四、基金托管人</w:t>
      </w:r>
      <w:bookmarkEnd w:id="21"/>
    </w:p>
    <w:p w:rsidR="00D83048" w:rsidRPr="00063CA4" w:rsidP="00063CA4">
      <w:pPr>
        <w:autoSpaceDE w:val="0"/>
        <w:autoSpaceDN w:val="0"/>
        <w:adjustRightInd w:val="0"/>
        <w:snapToGrid w:val="0"/>
        <w:spacing w:line="360" w:lineRule="auto"/>
        <w:ind w:firstLine="420" w:firstLineChars="200"/>
        <w:rPr>
          <w:rFonts w:asciiTheme="minorEastAsia" w:eastAsiaTheme="minorEastAsia" w:hAnsiTheme="minorEastAsia"/>
          <w:szCs w:val="21"/>
        </w:rPr>
      </w:pPr>
      <w:r w:rsidRPr="00063CA4">
        <w:rPr>
          <w:rFonts w:asciiTheme="minorEastAsia" w:eastAsiaTheme="minorEastAsia" w:hAnsiTheme="minorEastAsia" w:hint="eastAsia"/>
          <w:szCs w:val="21"/>
        </w:rPr>
        <w:t xml:space="preserve">（一）基金托管人基本情况 </w:t>
      </w:r>
    </w:p>
    <w:p w:rsidR="00D83048" w:rsidRPr="00063CA4" w:rsidP="00063CA4">
      <w:pPr>
        <w:autoSpaceDE w:val="0"/>
        <w:autoSpaceDN w:val="0"/>
        <w:adjustRightInd w:val="0"/>
        <w:snapToGrid w:val="0"/>
        <w:spacing w:line="360" w:lineRule="auto"/>
        <w:ind w:firstLine="420" w:firstLineChars="200"/>
        <w:rPr>
          <w:rFonts w:asciiTheme="minorEastAsia" w:eastAsiaTheme="minorEastAsia" w:hAnsiTheme="minorEastAsia"/>
          <w:szCs w:val="21"/>
        </w:rPr>
      </w:pPr>
      <w:r w:rsidRPr="00063CA4">
        <w:rPr>
          <w:rFonts w:asciiTheme="minorEastAsia" w:eastAsiaTheme="minorEastAsia" w:hAnsiTheme="minorEastAsia" w:hint="eastAsia"/>
          <w:szCs w:val="21"/>
        </w:rPr>
        <w:t>名称：中国工商银行股份有限公司</w:t>
      </w:r>
    </w:p>
    <w:p w:rsidR="00D83048" w:rsidRPr="00063CA4" w:rsidP="00063CA4">
      <w:pPr>
        <w:autoSpaceDE w:val="0"/>
        <w:autoSpaceDN w:val="0"/>
        <w:adjustRightInd w:val="0"/>
        <w:snapToGrid w:val="0"/>
        <w:spacing w:line="360" w:lineRule="auto"/>
        <w:ind w:firstLine="420" w:firstLineChars="200"/>
        <w:rPr>
          <w:rFonts w:asciiTheme="minorEastAsia" w:eastAsiaTheme="minorEastAsia" w:hAnsiTheme="minorEastAsia"/>
          <w:szCs w:val="21"/>
        </w:rPr>
      </w:pPr>
      <w:r w:rsidRPr="00063CA4">
        <w:rPr>
          <w:rFonts w:asciiTheme="minorEastAsia" w:eastAsiaTheme="minorEastAsia" w:hAnsiTheme="minorEastAsia" w:hint="eastAsia"/>
          <w:szCs w:val="21"/>
        </w:rPr>
        <w:t>注册地址：北京市西城区复兴门内大街55号</w:t>
      </w:r>
    </w:p>
    <w:p w:rsidR="00D83048" w:rsidRPr="00063CA4" w:rsidP="00063CA4">
      <w:pPr>
        <w:autoSpaceDE w:val="0"/>
        <w:autoSpaceDN w:val="0"/>
        <w:adjustRightInd w:val="0"/>
        <w:snapToGrid w:val="0"/>
        <w:spacing w:line="360" w:lineRule="auto"/>
        <w:ind w:firstLine="420" w:firstLineChars="200"/>
        <w:rPr>
          <w:rFonts w:asciiTheme="minorEastAsia" w:eastAsiaTheme="minorEastAsia" w:hAnsiTheme="minorEastAsia"/>
          <w:szCs w:val="21"/>
        </w:rPr>
      </w:pPr>
      <w:r w:rsidRPr="00063CA4">
        <w:rPr>
          <w:rFonts w:asciiTheme="minorEastAsia" w:eastAsiaTheme="minorEastAsia" w:hAnsiTheme="minorEastAsia" w:hint="eastAsia"/>
          <w:szCs w:val="21"/>
        </w:rPr>
        <w:t>成立时间：</w:t>
      </w:r>
      <w:r w:rsidR="00731B05">
        <w:rPr>
          <w:rFonts w:ascii="宋体" w:hAnsi="宋体"/>
          <w:spacing w:val="6"/>
        </w:rPr>
        <w:t>198</w:t>
      </w:r>
      <w:r w:rsidR="00731B05">
        <w:rPr>
          <w:rFonts w:ascii="宋体" w:hAnsi="宋体" w:hint="eastAsia"/>
          <w:spacing w:val="6"/>
        </w:rPr>
        <w:t>4</w:t>
      </w:r>
      <w:r w:rsidR="00731B05">
        <w:rPr>
          <w:rFonts w:ascii="宋体" w:hAnsi="宋体"/>
          <w:spacing w:val="6"/>
        </w:rPr>
        <w:t>年</w:t>
      </w:r>
      <w:r w:rsidR="00731B05">
        <w:rPr>
          <w:rFonts w:ascii="宋体" w:hAnsi="宋体" w:hint="eastAsia"/>
          <w:spacing w:val="6"/>
        </w:rPr>
        <w:t>1</w:t>
      </w:r>
      <w:r w:rsidR="00731B05">
        <w:rPr>
          <w:rFonts w:ascii="宋体" w:hAnsi="宋体"/>
          <w:spacing w:val="6"/>
        </w:rPr>
        <w:t>月</w:t>
      </w:r>
      <w:r w:rsidR="00731B05">
        <w:rPr>
          <w:rFonts w:ascii="宋体" w:hAnsi="宋体" w:hint="eastAsia"/>
          <w:spacing w:val="6"/>
        </w:rPr>
        <w:t>1</w:t>
      </w:r>
      <w:r w:rsidR="00731B05">
        <w:rPr>
          <w:rFonts w:ascii="宋体" w:hAnsi="宋体"/>
          <w:spacing w:val="6"/>
        </w:rPr>
        <w:t>日</w:t>
      </w:r>
    </w:p>
    <w:p w:rsidR="00D83048" w:rsidRPr="00063CA4" w:rsidP="00063CA4">
      <w:pPr>
        <w:autoSpaceDE w:val="0"/>
        <w:autoSpaceDN w:val="0"/>
        <w:adjustRightInd w:val="0"/>
        <w:snapToGrid w:val="0"/>
        <w:spacing w:line="360" w:lineRule="auto"/>
        <w:ind w:firstLine="420" w:firstLineChars="200"/>
        <w:rPr>
          <w:rFonts w:asciiTheme="minorEastAsia" w:eastAsiaTheme="minorEastAsia" w:hAnsiTheme="minorEastAsia"/>
          <w:szCs w:val="21"/>
        </w:rPr>
      </w:pPr>
      <w:r w:rsidRPr="00063CA4">
        <w:rPr>
          <w:rFonts w:asciiTheme="minorEastAsia" w:eastAsiaTheme="minorEastAsia" w:hAnsiTheme="minorEastAsia" w:hint="eastAsia"/>
          <w:szCs w:val="21"/>
        </w:rPr>
        <w:t>法定代表人：</w:t>
      </w:r>
      <w:r w:rsidRPr="00063CA4" w:rsidR="007B082E">
        <w:rPr>
          <w:rFonts w:asciiTheme="minorEastAsia" w:eastAsiaTheme="minorEastAsia" w:hAnsiTheme="minorEastAsia" w:hint="eastAsia"/>
          <w:szCs w:val="21"/>
        </w:rPr>
        <w:t>陈四清</w:t>
      </w:r>
    </w:p>
    <w:p w:rsidR="00D83048" w:rsidRPr="00063CA4" w:rsidP="00063CA4">
      <w:pPr>
        <w:autoSpaceDE w:val="0"/>
        <w:autoSpaceDN w:val="0"/>
        <w:adjustRightInd w:val="0"/>
        <w:snapToGrid w:val="0"/>
        <w:spacing w:line="360" w:lineRule="auto"/>
        <w:ind w:firstLine="420" w:firstLineChars="200"/>
        <w:rPr>
          <w:rFonts w:asciiTheme="minorEastAsia" w:eastAsiaTheme="minorEastAsia" w:hAnsiTheme="minorEastAsia"/>
          <w:szCs w:val="21"/>
        </w:rPr>
      </w:pPr>
      <w:r w:rsidRPr="00063CA4">
        <w:rPr>
          <w:rFonts w:asciiTheme="minorEastAsia" w:eastAsiaTheme="minorEastAsia" w:hAnsiTheme="minorEastAsia" w:hint="eastAsia"/>
          <w:szCs w:val="21"/>
        </w:rPr>
        <w:t>注册资本：</w:t>
      </w:r>
      <w:r w:rsidRPr="00063CA4" w:rsidR="008864C4">
        <w:rPr>
          <w:rFonts w:asciiTheme="minorEastAsia" w:eastAsiaTheme="minorEastAsia" w:hAnsiTheme="minorEastAsia" w:hint="eastAsia"/>
          <w:szCs w:val="21"/>
        </w:rPr>
        <w:t>人民币35,640,625.7089万元</w:t>
      </w:r>
    </w:p>
    <w:p w:rsidR="00D83048" w:rsidRPr="00063CA4" w:rsidP="00063CA4">
      <w:pPr>
        <w:autoSpaceDE w:val="0"/>
        <w:autoSpaceDN w:val="0"/>
        <w:adjustRightInd w:val="0"/>
        <w:snapToGrid w:val="0"/>
        <w:spacing w:line="360" w:lineRule="auto"/>
        <w:ind w:firstLine="420" w:firstLineChars="200"/>
        <w:rPr>
          <w:rFonts w:asciiTheme="minorEastAsia" w:eastAsiaTheme="minorEastAsia" w:hAnsiTheme="minorEastAsia"/>
          <w:szCs w:val="21"/>
        </w:rPr>
      </w:pPr>
      <w:r w:rsidRPr="00063CA4">
        <w:rPr>
          <w:rFonts w:asciiTheme="minorEastAsia" w:eastAsiaTheme="minorEastAsia" w:hAnsiTheme="minorEastAsia" w:hint="eastAsia"/>
          <w:szCs w:val="21"/>
        </w:rPr>
        <w:t>联系电话：010-66105799</w:t>
      </w:r>
    </w:p>
    <w:p w:rsidR="00D83048" w:rsidRPr="00063CA4" w:rsidP="00063CA4">
      <w:pPr>
        <w:autoSpaceDE w:val="0"/>
        <w:autoSpaceDN w:val="0"/>
        <w:adjustRightInd w:val="0"/>
        <w:snapToGrid w:val="0"/>
        <w:spacing w:line="360" w:lineRule="auto"/>
        <w:ind w:firstLine="420" w:firstLineChars="200"/>
        <w:rPr>
          <w:rFonts w:asciiTheme="minorEastAsia" w:eastAsiaTheme="minorEastAsia" w:hAnsiTheme="minorEastAsia"/>
          <w:szCs w:val="21"/>
        </w:rPr>
      </w:pPr>
      <w:r w:rsidRPr="00063CA4">
        <w:rPr>
          <w:rFonts w:asciiTheme="minorEastAsia" w:eastAsiaTheme="minorEastAsia" w:hAnsiTheme="minorEastAsia" w:hint="eastAsia"/>
          <w:szCs w:val="21"/>
        </w:rPr>
        <w:t>联系人：郭明</w:t>
      </w:r>
    </w:p>
    <w:p w:rsidR="00D83048" w:rsidRPr="00063CA4" w:rsidP="00063CA4">
      <w:pPr>
        <w:autoSpaceDE w:val="0"/>
        <w:autoSpaceDN w:val="0"/>
        <w:adjustRightInd w:val="0"/>
        <w:snapToGrid w:val="0"/>
        <w:spacing w:line="360" w:lineRule="auto"/>
        <w:ind w:firstLine="420" w:firstLineChars="200"/>
        <w:rPr>
          <w:rFonts w:asciiTheme="minorEastAsia" w:eastAsiaTheme="minorEastAsia" w:hAnsiTheme="minorEastAsia"/>
          <w:szCs w:val="21"/>
        </w:rPr>
      </w:pPr>
      <w:r w:rsidRPr="00063CA4">
        <w:rPr>
          <w:rFonts w:asciiTheme="minorEastAsia" w:eastAsiaTheme="minorEastAsia" w:hAnsiTheme="minorEastAsia" w:hint="eastAsia"/>
          <w:szCs w:val="21"/>
        </w:rPr>
        <w:t>（二）主要人员情况</w:t>
      </w:r>
    </w:p>
    <w:p w:rsidR="00D83048" w:rsidRPr="00063CA4" w:rsidP="00063CA4">
      <w:pPr>
        <w:autoSpaceDE w:val="0"/>
        <w:autoSpaceDN w:val="0"/>
        <w:adjustRightInd w:val="0"/>
        <w:snapToGrid w:val="0"/>
        <w:spacing w:line="360" w:lineRule="auto"/>
        <w:ind w:firstLine="420" w:firstLineChars="200"/>
        <w:rPr>
          <w:rFonts w:asciiTheme="minorEastAsia" w:eastAsiaTheme="minorEastAsia" w:hAnsiTheme="minorEastAsia"/>
          <w:szCs w:val="21"/>
        </w:rPr>
      </w:pPr>
      <w:r w:rsidRPr="004539C6">
        <w:rPr>
          <w:rFonts w:ascii="宋体" w:hAnsi="宋体" w:hint="eastAsia"/>
          <w:spacing w:val="6"/>
        </w:rPr>
        <w:t>截至2021年6月，中国工商银行资产托管部共有员工214人，平均年龄34岁，95%以上员工拥有大学本科以上学历，高管人员均拥有研究生以上学历或高级技术职称</w:t>
      </w:r>
      <w:r w:rsidR="00125366">
        <w:rPr>
          <w:rFonts w:ascii="宋体" w:hAnsi="宋体" w:hint="eastAsia"/>
          <w:spacing w:val="6"/>
        </w:rPr>
        <w:t>。</w:t>
      </w:r>
    </w:p>
    <w:p w:rsidR="00D83048" w:rsidRPr="002C2AF0" w:rsidP="002C2AF0">
      <w:pPr>
        <w:autoSpaceDE w:val="0"/>
        <w:autoSpaceDN w:val="0"/>
        <w:adjustRightInd w:val="0"/>
        <w:snapToGrid w:val="0"/>
        <w:spacing w:line="360" w:lineRule="auto"/>
        <w:ind w:firstLine="420" w:firstLineChars="200"/>
        <w:rPr>
          <w:rFonts w:ascii="宋体" w:hAnsi="宋体"/>
          <w:spacing w:val="6"/>
        </w:rPr>
      </w:pPr>
      <w:r w:rsidRPr="002C2AF0">
        <w:rPr>
          <w:rFonts w:ascii="宋体" w:hAnsi="宋体" w:hint="eastAsia"/>
          <w:spacing w:val="6"/>
        </w:rPr>
        <w:t>（三）基金托管业务经营情况</w:t>
      </w:r>
    </w:p>
    <w:p w:rsidR="00AD0AAE" w:rsidP="00E862A5">
      <w:pPr>
        <w:autoSpaceDE w:val="0"/>
        <w:autoSpaceDN w:val="0"/>
        <w:adjustRightInd w:val="0"/>
        <w:snapToGrid w:val="0"/>
        <w:spacing w:line="360" w:lineRule="auto"/>
        <w:ind w:firstLine="420" w:firstLineChars="200"/>
        <w:rPr>
          <w:rFonts w:ascii="宋体" w:hAnsi="宋体"/>
          <w:spacing w:val="6"/>
        </w:rPr>
      </w:pPr>
      <w:r w:rsidRPr="004539C6">
        <w:rPr>
          <w:rFonts w:ascii="宋体" w:hAnsi="宋体" w:hint="eastAsia"/>
          <w:spacing w:val="6"/>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2021年6月，中国工商银行共托管证券投资基金1215只。自2003年以来，本行连续十八年获得香港《亚洲货币》、英国《全球托管人》、香港《财资》、美国《环球金融》、内地《证券时报》、《上海证券报》等境内外权威财经媒体评选的78项最佳托管银行大奖；是获得奖项最多的国内托管银行，优良的服务品质获得国内外金融领域的持续认可和广泛好评</w:t>
      </w:r>
      <w:r w:rsidR="00125366">
        <w:rPr>
          <w:rFonts w:ascii="宋体" w:hAnsi="宋体"/>
          <w:spacing w:val="6"/>
        </w:rPr>
        <w:t>。</w:t>
      </w:r>
    </w:p>
    <w:p w:rsidR="004D3B26" w:rsidRPr="004D3B26" w:rsidP="004D3B26">
      <w:pPr>
        <w:autoSpaceDE w:val="0"/>
        <w:autoSpaceDN w:val="0"/>
        <w:adjustRightInd w:val="0"/>
        <w:snapToGrid w:val="0"/>
        <w:spacing w:line="360" w:lineRule="auto"/>
        <w:ind w:firstLine="420" w:firstLineChars="200"/>
        <w:rPr>
          <w:rFonts w:ascii="宋体" w:hAnsi="宋体"/>
          <w:spacing w:val="6"/>
        </w:rPr>
      </w:pPr>
      <w:r w:rsidRPr="004D3B26">
        <w:rPr>
          <w:rFonts w:ascii="宋体" w:hAnsi="宋体" w:hint="eastAsia"/>
          <w:spacing w:val="6"/>
        </w:rPr>
        <w:t>（四）基金托管人的内部控制制度</w:t>
      </w:r>
    </w:p>
    <w:p w:rsidR="004D3B26" w:rsidRPr="004D3B26" w:rsidP="004D3B26">
      <w:pPr>
        <w:autoSpaceDE w:val="0"/>
        <w:autoSpaceDN w:val="0"/>
        <w:adjustRightInd w:val="0"/>
        <w:snapToGrid w:val="0"/>
        <w:spacing w:line="360" w:lineRule="auto"/>
        <w:ind w:firstLine="420" w:firstLineChars="200"/>
        <w:rPr>
          <w:rFonts w:ascii="宋体" w:hAnsi="宋体"/>
          <w:spacing w:val="6"/>
        </w:rPr>
      </w:pPr>
      <w:r w:rsidRPr="004D3B26">
        <w:rPr>
          <w:rFonts w:ascii="宋体" w:hAnsi="宋体" w:hint="eastAsia"/>
          <w:spacing w:val="6"/>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从2005年至今共</w:t>
      </w:r>
      <w:r w:rsidR="00040DAE">
        <w:rPr>
          <w:rFonts w:ascii="宋体" w:hAnsi="宋体" w:hint="eastAsia"/>
          <w:spacing w:val="6"/>
        </w:rPr>
        <w:t>十四</w:t>
      </w:r>
      <w:r w:rsidRPr="004D3B26">
        <w:rPr>
          <w:rFonts w:ascii="宋体" w:hAnsi="宋体" w:hint="eastAsia"/>
          <w:spacing w:val="6"/>
        </w:rPr>
        <w:t>次顺利通过评估组织内部控制和安全措施最权威的ISAE3402审阅，全部获得无保留意见的控制及有效性报告。充分表明独立第三方对我行托管服务在风险管理、内部控制方面的健全性和有效性的全面认可,也证明中国工商银行托管服务的风险控制能力已经与国际大型托管银行接轨，达到国际先进水平。目前，ISAE3402</w:t>
      </w:r>
      <w:r w:rsidR="00DD2F95">
        <w:rPr>
          <w:rFonts w:ascii="宋体" w:hAnsi="宋体" w:hint="eastAsia"/>
          <w:spacing w:val="6"/>
        </w:rPr>
        <w:t>审阅已经成为年度化、常规化的内控工作手段。</w:t>
      </w:r>
    </w:p>
    <w:p w:rsidR="004D3B26" w:rsidRPr="004D3B26" w:rsidP="004D3B26">
      <w:pPr>
        <w:autoSpaceDE w:val="0"/>
        <w:autoSpaceDN w:val="0"/>
        <w:adjustRightInd w:val="0"/>
        <w:snapToGrid w:val="0"/>
        <w:spacing w:line="360" w:lineRule="auto"/>
        <w:ind w:firstLine="420" w:firstLineChars="200"/>
        <w:rPr>
          <w:rFonts w:ascii="宋体" w:hAnsi="宋体"/>
          <w:spacing w:val="6"/>
        </w:rPr>
      </w:pPr>
      <w:r w:rsidRPr="004D3B26">
        <w:rPr>
          <w:rFonts w:ascii="宋体" w:hAnsi="宋体" w:hint="eastAsia"/>
          <w:spacing w:val="6"/>
        </w:rPr>
        <w:t>1、内部风险控制目标</w:t>
      </w:r>
    </w:p>
    <w:p w:rsidR="004D3B26" w:rsidRPr="004D3B26" w:rsidP="004D3B26">
      <w:pPr>
        <w:autoSpaceDE w:val="0"/>
        <w:autoSpaceDN w:val="0"/>
        <w:adjustRightInd w:val="0"/>
        <w:snapToGrid w:val="0"/>
        <w:spacing w:line="360" w:lineRule="auto"/>
        <w:ind w:firstLine="420" w:firstLineChars="200"/>
        <w:rPr>
          <w:rFonts w:ascii="宋体" w:hAnsi="宋体"/>
          <w:spacing w:val="6"/>
        </w:rPr>
      </w:pPr>
      <w:r w:rsidRPr="004D3B26">
        <w:rPr>
          <w:rFonts w:ascii="宋体" w:hAnsi="宋体" w:hint="eastAsia"/>
          <w:spacing w:val="6"/>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4D3B26" w:rsidRPr="004D3B26" w:rsidP="004D3B26">
      <w:pPr>
        <w:autoSpaceDE w:val="0"/>
        <w:autoSpaceDN w:val="0"/>
        <w:adjustRightInd w:val="0"/>
        <w:snapToGrid w:val="0"/>
        <w:spacing w:line="360" w:lineRule="auto"/>
        <w:ind w:firstLine="420" w:firstLineChars="200"/>
        <w:rPr>
          <w:rFonts w:ascii="宋体" w:hAnsi="宋体"/>
          <w:spacing w:val="6"/>
        </w:rPr>
      </w:pPr>
      <w:r w:rsidRPr="004D3B26">
        <w:rPr>
          <w:rFonts w:ascii="宋体" w:hAnsi="宋体" w:hint="eastAsia"/>
          <w:spacing w:val="6"/>
        </w:rPr>
        <w:t>2、内部风险控制组织结构</w:t>
      </w:r>
    </w:p>
    <w:p w:rsidR="004D3B26" w:rsidRPr="004D3B26" w:rsidP="004D3B26">
      <w:pPr>
        <w:autoSpaceDE w:val="0"/>
        <w:autoSpaceDN w:val="0"/>
        <w:adjustRightInd w:val="0"/>
        <w:snapToGrid w:val="0"/>
        <w:spacing w:line="360" w:lineRule="auto"/>
        <w:ind w:firstLine="420" w:firstLineChars="200"/>
        <w:rPr>
          <w:rFonts w:ascii="宋体" w:hAnsi="宋体"/>
          <w:spacing w:val="6"/>
        </w:rPr>
      </w:pPr>
      <w:r w:rsidRPr="004D3B26">
        <w:rPr>
          <w:rFonts w:ascii="宋体" w:hAnsi="宋体" w:hint="eastAsia"/>
          <w:spacing w:val="6"/>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4D3B26" w:rsidRPr="004D3B26" w:rsidP="004D3B26">
      <w:pPr>
        <w:autoSpaceDE w:val="0"/>
        <w:autoSpaceDN w:val="0"/>
        <w:adjustRightInd w:val="0"/>
        <w:snapToGrid w:val="0"/>
        <w:spacing w:line="360" w:lineRule="auto"/>
        <w:ind w:firstLine="420" w:firstLineChars="200"/>
        <w:rPr>
          <w:rFonts w:ascii="宋体" w:hAnsi="宋体"/>
          <w:spacing w:val="6"/>
        </w:rPr>
      </w:pPr>
      <w:r w:rsidRPr="004D3B26">
        <w:rPr>
          <w:rFonts w:ascii="宋体" w:hAnsi="宋体" w:hint="eastAsia"/>
          <w:spacing w:val="6"/>
        </w:rPr>
        <w:t>3、内部风险控制原则</w:t>
      </w:r>
    </w:p>
    <w:p w:rsidR="004D3B26" w:rsidRPr="004D3B26" w:rsidP="004D3B26">
      <w:pPr>
        <w:autoSpaceDE w:val="0"/>
        <w:autoSpaceDN w:val="0"/>
        <w:adjustRightInd w:val="0"/>
        <w:snapToGrid w:val="0"/>
        <w:spacing w:line="360" w:lineRule="auto"/>
        <w:ind w:firstLine="420" w:firstLineChars="200"/>
        <w:rPr>
          <w:rFonts w:ascii="宋体" w:hAnsi="宋体"/>
          <w:spacing w:val="6"/>
        </w:rPr>
      </w:pPr>
      <w:r w:rsidRPr="004D3B26">
        <w:rPr>
          <w:rFonts w:ascii="宋体" w:hAnsi="宋体" w:hint="eastAsia"/>
          <w:spacing w:val="6"/>
        </w:rPr>
        <w:t>（1）合法性原则。内控制度应当符合国家法律法规及监管机构的监管要求，并贯穿于托管业务经营管理活动的始终。</w:t>
      </w:r>
    </w:p>
    <w:p w:rsidR="004D3B26" w:rsidRPr="004D3B26" w:rsidP="004D3B26">
      <w:pPr>
        <w:autoSpaceDE w:val="0"/>
        <w:autoSpaceDN w:val="0"/>
        <w:adjustRightInd w:val="0"/>
        <w:snapToGrid w:val="0"/>
        <w:spacing w:line="360" w:lineRule="auto"/>
        <w:ind w:firstLine="420" w:firstLineChars="200"/>
        <w:rPr>
          <w:rFonts w:ascii="宋体" w:hAnsi="宋体"/>
          <w:spacing w:val="6"/>
        </w:rPr>
      </w:pPr>
      <w:r w:rsidRPr="004D3B26">
        <w:rPr>
          <w:rFonts w:ascii="宋体" w:hAnsi="宋体" w:hint="eastAsia"/>
          <w:spacing w:val="6"/>
        </w:rPr>
        <w:t>（2）完整性原则。托管业务的各项经营管理活动都必须有相应的规范程序和监督制约；监督制约应渗透到托管业务的全过程和各个操作环节，覆盖所有的部门、岗位和人员。</w:t>
      </w:r>
    </w:p>
    <w:p w:rsidR="004D3B26" w:rsidRPr="004D3B26" w:rsidP="004D3B26">
      <w:pPr>
        <w:autoSpaceDE w:val="0"/>
        <w:autoSpaceDN w:val="0"/>
        <w:adjustRightInd w:val="0"/>
        <w:snapToGrid w:val="0"/>
        <w:spacing w:line="360" w:lineRule="auto"/>
        <w:ind w:firstLine="420" w:firstLineChars="200"/>
        <w:rPr>
          <w:rFonts w:ascii="宋体" w:hAnsi="宋体"/>
          <w:spacing w:val="6"/>
        </w:rPr>
      </w:pPr>
      <w:r w:rsidRPr="004D3B26">
        <w:rPr>
          <w:rFonts w:ascii="宋体" w:hAnsi="宋体" w:hint="eastAsia"/>
          <w:spacing w:val="6"/>
        </w:rPr>
        <w:t>（3）及时性原则。托管业务经营活动必须在发生时能准确及时地记录；按照“内控优先”的原则，新设机构或新增业务品种时，必须做到已建立相关的规章制度。</w:t>
      </w:r>
    </w:p>
    <w:p w:rsidR="004D3B26" w:rsidRPr="004D3B26" w:rsidP="004D3B26">
      <w:pPr>
        <w:autoSpaceDE w:val="0"/>
        <w:autoSpaceDN w:val="0"/>
        <w:adjustRightInd w:val="0"/>
        <w:snapToGrid w:val="0"/>
        <w:spacing w:line="360" w:lineRule="auto"/>
        <w:ind w:firstLine="420" w:firstLineChars="200"/>
        <w:rPr>
          <w:rFonts w:ascii="宋体" w:hAnsi="宋体"/>
          <w:spacing w:val="6"/>
        </w:rPr>
      </w:pPr>
      <w:r w:rsidRPr="004D3B26">
        <w:rPr>
          <w:rFonts w:ascii="宋体" w:hAnsi="宋体" w:hint="eastAsia"/>
          <w:spacing w:val="6"/>
        </w:rPr>
        <w:t>（4）审慎性原则。各项业务经营活动必须防范风险，审慎经营，保证基金资产和其他委托资产的安全与完整。</w:t>
      </w:r>
    </w:p>
    <w:p w:rsidR="004D3B26" w:rsidRPr="004D3B26" w:rsidP="004D3B26">
      <w:pPr>
        <w:autoSpaceDE w:val="0"/>
        <w:autoSpaceDN w:val="0"/>
        <w:adjustRightInd w:val="0"/>
        <w:snapToGrid w:val="0"/>
        <w:spacing w:line="360" w:lineRule="auto"/>
        <w:ind w:firstLine="420" w:firstLineChars="200"/>
        <w:rPr>
          <w:rFonts w:ascii="宋体" w:hAnsi="宋体"/>
          <w:spacing w:val="6"/>
        </w:rPr>
      </w:pPr>
      <w:r w:rsidRPr="004D3B26">
        <w:rPr>
          <w:rFonts w:ascii="宋体" w:hAnsi="宋体" w:hint="eastAsia"/>
          <w:spacing w:val="6"/>
        </w:rPr>
        <w:t>（5）有效性原则。内控制度应根据国家政策、法律及经营管理的需要适时修改完善，并保证得到全面落实执行，不得有任何空间、时限及人员的例外。</w:t>
      </w:r>
    </w:p>
    <w:p w:rsidR="004D3B26" w:rsidRPr="004D3B26" w:rsidP="004D3B26">
      <w:pPr>
        <w:autoSpaceDE w:val="0"/>
        <w:autoSpaceDN w:val="0"/>
        <w:adjustRightInd w:val="0"/>
        <w:snapToGrid w:val="0"/>
        <w:spacing w:line="360" w:lineRule="auto"/>
        <w:ind w:firstLine="420" w:firstLineChars="200"/>
        <w:rPr>
          <w:rFonts w:ascii="宋体" w:hAnsi="宋体"/>
          <w:spacing w:val="6"/>
        </w:rPr>
      </w:pPr>
      <w:r w:rsidRPr="004D3B26">
        <w:rPr>
          <w:rFonts w:ascii="宋体" w:hAnsi="宋体" w:hint="eastAsia"/>
          <w:spacing w:val="6"/>
        </w:rPr>
        <w:t>（6）独立性原则。设立专门履行托管人职责的管理部门；直接操作人员和控制人员必须相对独立，适当分离；内控制度的检查、评价部门必须独立于内控制度的制定和执行部门。</w:t>
      </w:r>
    </w:p>
    <w:p w:rsidR="004D3B26" w:rsidRPr="004D3B26" w:rsidP="004D3B26">
      <w:pPr>
        <w:autoSpaceDE w:val="0"/>
        <w:autoSpaceDN w:val="0"/>
        <w:adjustRightInd w:val="0"/>
        <w:snapToGrid w:val="0"/>
        <w:spacing w:line="360" w:lineRule="auto"/>
        <w:ind w:firstLine="420" w:firstLineChars="200"/>
        <w:rPr>
          <w:rFonts w:ascii="宋体" w:hAnsi="宋体"/>
          <w:spacing w:val="6"/>
        </w:rPr>
      </w:pPr>
      <w:r w:rsidRPr="004D3B26">
        <w:rPr>
          <w:rFonts w:ascii="宋体" w:hAnsi="宋体" w:hint="eastAsia"/>
          <w:spacing w:val="6"/>
        </w:rPr>
        <w:t>4、内部风险控制措施实施</w:t>
      </w:r>
    </w:p>
    <w:p w:rsidR="004D3B26" w:rsidRPr="004D3B26" w:rsidP="004D3B26">
      <w:pPr>
        <w:autoSpaceDE w:val="0"/>
        <w:autoSpaceDN w:val="0"/>
        <w:adjustRightInd w:val="0"/>
        <w:snapToGrid w:val="0"/>
        <w:spacing w:line="360" w:lineRule="auto"/>
        <w:ind w:firstLine="420" w:firstLineChars="200"/>
        <w:rPr>
          <w:rFonts w:ascii="宋体" w:hAnsi="宋体"/>
          <w:spacing w:val="6"/>
        </w:rPr>
      </w:pPr>
      <w:r w:rsidRPr="004D3B26">
        <w:rPr>
          <w:rFonts w:ascii="宋体" w:hAnsi="宋体" w:hint="eastAsia"/>
          <w:spacing w:val="6"/>
        </w:rPr>
        <w:t>（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rsidR="004D3B26" w:rsidRPr="004D3B26" w:rsidP="004D3B26">
      <w:pPr>
        <w:autoSpaceDE w:val="0"/>
        <w:autoSpaceDN w:val="0"/>
        <w:adjustRightInd w:val="0"/>
        <w:snapToGrid w:val="0"/>
        <w:spacing w:line="360" w:lineRule="auto"/>
        <w:ind w:firstLine="420" w:firstLineChars="200"/>
        <w:rPr>
          <w:rFonts w:ascii="宋体" w:hAnsi="宋体"/>
          <w:spacing w:val="6"/>
        </w:rPr>
      </w:pPr>
      <w:r w:rsidRPr="004D3B26">
        <w:rPr>
          <w:rFonts w:ascii="宋体" w:hAnsi="宋体" w:hint="eastAsia"/>
          <w:spacing w:val="6"/>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4D3B26" w:rsidRPr="004D3B26" w:rsidP="004D3B26">
      <w:pPr>
        <w:autoSpaceDE w:val="0"/>
        <w:autoSpaceDN w:val="0"/>
        <w:adjustRightInd w:val="0"/>
        <w:snapToGrid w:val="0"/>
        <w:spacing w:line="360" w:lineRule="auto"/>
        <w:ind w:firstLine="420" w:firstLineChars="200"/>
        <w:rPr>
          <w:rFonts w:ascii="宋体" w:hAnsi="宋体"/>
          <w:spacing w:val="6"/>
        </w:rPr>
      </w:pPr>
      <w:r w:rsidRPr="004D3B26">
        <w:rPr>
          <w:rFonts w:ascii="宋体" w:hAnsi="宋体" w:hint="eastAsia"/>
          <w:spacing w:val="6"/>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4D3B26" w:rsidRPr="004D3B26" w:rsidP="004D3B26">
      <w:pPr>
        <w:autoSpaceDE w:val="0"/>
        <w:autoSpaceDN w:val="0"/>
        <w:adjustRightInd w:val="0"/>
        <w:snapToGrid w:val="0"/>
        <w:spacing w:line="360" w:lineRule="auto"/>
        <w:ind w:firstLine="420" w:firstLineChars="200"/>
        <w:rPr>
          <w:rFonts w:ascii="宋体" w:hAnsi="宋体"/>
          <w:spacing w:val="6"/>
        </w:rPr>
      </w:pPr>
      <w:r w:rsidRPr="004D3B26">
        <w:rPr>
          <w:rFonts w:ascii="宋体" w:hAnsi="宋体" w:hint="eastAsia"/>
          <w:spacing w:val="6"/>
        </w:rPr>
        <w:t>（4）经营控制。资产托管部通过制定计划、编制预算等方法开展各种业务营销活动、处理各项事务，从而有效地控制和配置组织资源，达到资源利用和效益最大化目的。</w:t>
      </w:r>
    </w:p>
    <w:p w:rsidR="004D3B26" w:rsidRPr="004D3B26" w:rsidP="004D3B26">
      <w:pPr>
        <w:autoSpaceDE w:val="0"/>
        <w:autoSpaceDN w:val="0"/>
        <w:adjustRightInd w:val="0"/>
        <w:snapToGrid w:val="0"/>
        <w:spacing w:line="360" w:lineRule="auto"/>
        <w:ind w:firstLine="420" w:firstLineChars="200"/>
        <w:rPr>
          <w:rFonts w:ascii="宋体" w:hAnsi="宋体"/>
          <w:spacing w:val="6"/>
        </w:rPr>
      </w:pPr>
      <w:r w:rsidRPr="004D3B26">
        <w:rPr>
          <w:rFonts w:ascii="宋体" w:hAnsi="宋体" w:hint="eastAsia"/>
          <w:spacing w:val="6"/>
        </w:rPr>
        <w:t>（5）内部风险管理。资产托管部通过稽核监察、风险评估等方式加强内部风险管理，定期或不定期地对业务运作状况进行检查、监控，指导业务部门进行风险识别、评估，制定并实施风险控制措施，排查风险隐患。</w:t>
      </w:r>
    </w:p>
    <w:p w:rsidR="004D3B26" w:rsidRPr="004D3B26" w:rsidP="004D3B26">
      <w:pPr>
        <w:autoSpaceDE w:val="0"/>
        <w:autoSpaceDN w:val="0"/>
        <w:adjustRightInd w:val="0"/>
        <w:snapToGrid w:val="0"/>
        <w:spacing w:line="360" w:lineRule="auto"/>
        <w:ind w:firstLine="420" w:firstLineChars="200"/>
        <w:rPr>
          <w:rFonts w:ascii="宋体" w:hAnsi="宋体"/>
          <w:spacing w:val="6"/>
        </w:rPr>
      </w:pPr>
      <w:r w:rsidRPr="004D3B26">
        <w:rPr>
          <w:rFonts w:ascii="宋体" w:hAnsi="宋体" w:hint="eastAsia"/>
          <w:spacing w:val="6"/>
        </w:rPr>
        <w:t>（6）数据安全控制。我们通过业务操作区相对独立、数据和传真加密、数据传输线路的冗余备份、监控设施的运用和保障等措施来保障数据安全。</w:t>
      </w:r>
    </w:p>
    <w:p w:rsidR="004D3B26" w:rsidRPr="004D3B26" w:rsidP="004D3B26">
      <w:pPr>
        <w:autoSpaceDE w:val="0"/>
        <w:autoSpaceDN w:val="0"/>
        <w:adjustRightInd w:val="0"/>
        <w:snapToGrid w:val="0"/>
        <w:spacing w:line="360" w:lineRule="auto"/>
        <w:ind w:firstLine="420" w:firstLineChars="200"/>
        <w:rPr>
          <w:rFonts w:ascii="宋体" w:hAnsi="宋体"/>
          <w:spacing w:val="6"/>
        </w:rPr>
      </w:pPr>
      <w:r w:rsidRPr="004D3B26">
        <w:rPr>
          <w:rFonts w:ascii="宋体" w:hAnsi="宋体" w:hint="eastAsia"/>
          <w:spacing w:val="6"/>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4D3B26" w:rsidRPr="004D3B26" w:rsidP="004D3B26">
      <w:pPr>
        <w:autoSpaceDE w:val="0"/>
        <w:autoSpaceDN w:val="0"/>
        <w:adjustRightInd w:val="0"/>
        <w:snapToGrid w:val="0"/>
        <w:spacing w:line="360" w:lineRule="auto"/>
        <w:ind w:firstLine="420" w:firstLineChars="200"/>
        <w:rPr>
          <w:rFonts w:ascii="宋体" w:hAnsi="宋体"/>
          <w:spacing w:val="6"/>
        </w:rPr>
      </w:pPr>
      <w:r w:rsidRPr="004D3B26">
        <w:rPr>
          <w:rFonts w:ascii="宋体" w:hAnsi="宋体" w:hint="eastAsia"/>
          <w:spacing w:val="6"/>
        </w:rPr>
        <w:t>5、资产托管部内部风险控制情况</w:t>
      </w:r>
    </w:p>
    <w:p w:rsidR="004D3B26" w:rsidRPr="004D3B26" w:rsidP="004D3B26">
      <w:pPr>
        <w:autoSpaceDE w:val="0"/>
        <w:autoSpaceDN w:val="0"/>
        <w:adjustRightInd w:val="0"/>
        <w:snapToGrid w:val="0"/>
        <w:spacing w:line="360" w:lineRule="auto"/>
        <w:ind w:firstLine="420" w:firstLineChars="200"/>
        <w:rPr>
          <w:rFonts w:ascii="宋体" w:hAnsi="宋体"/>
          <w:spacing w:val="6"/>
        </w:rPr>
      </w:pPr>
      <w:r w:rsidRPr="004D3B26">
        <w:rPr>
          <w:rFonts w:ascii="宋体" w:hAnsi="宋体" w:hint="eastAsia"/>
          <w:spacing w:val="6"/>
        </w:rPr>
        <w:t>（1）资产托管部内部设置专职稽核监察部门，配备专职稽核监察人员，在总经理的直接领导下，依照有关法律规章，全面贯彻落实全程监控思想，确保资产托管业务健康、稳定地发展。</w:t>
      </w:r>
    </w:p>
    <w:p w:rsidR="004D3B26" w:rsidRPr="004D3B26" w:rsidP="004D3B26">
      <w:pPr>
        <w:autoSpaceDE w:val="0"/>
        <w:autoSpaceDN w:val="0"/>
        <w:adjustRightInd w:val="0"/>
        <w:snapToGrid w:val="0"/>
        <w:spacing w:line="360" w:lineRule="auto"/>
        <w:ind w:firstLine="420" w:firstLineChars="200"/>
        <w:rPr>
          <w:rFonts w:ascii="宋体" w:hAnsi="宋体"/>
          <w:spacing w:val="6"/>
        </w:rPr>
      </w:pPr>
      <w:r w:rsidRPr="004D3B26">
        <w:rPr>
          <w:rFonts w:ascii="宋体" w:hAnsi="宋体" w:hint="eastAsia"/>
          <w:spacing w:val="6"/>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w:t>
      </w:r>
      <w:r w:rsidRPr="004D3B26">
        <w:rPr>
          <w:rFonts w:ascii="宋体" w:hAnsi="宋体" w:hint="eastAsia"/>
          <w:spacing w:val="6"/>
        </w:rPr>
        <w:t>成不同部门、不同岗位相互制衡的组织结构。</w:t>
      </w:r>
    </w:p>
    <w:p w:rsidR="004D3B26" w:rsidRPr="004D3B26" w:rsidP="004D3B26">
      <w:pPr>
        <w:autoSpaceDE w:val="0"/>
        <w:autoSpaceDN w:val="0"/>
        <w:adjustRightInd w:val="0"/>
        <w:snapToGrid w:val="0"/>
        <w:spacing w:line="360" w:lineRule="auto"/>
        <w:ind w:firstLine="420" w:firstLineChars="200"/>
        <w:rPr>
          <w:rFonts w:ascii="宋体" w:hAnsi="宋体"/>
          <w:spacing w:val="6"/>
        </w:rPr>
      </w:pPr>
      <w:r w:rsidRPr="004D3B26">
        <w:rPr>
          <w:rFonts w:ascii="宋体" w:hAnsi="宋体" w:hint="eastAsia"/>
          <w:spacing w:val="6"/>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rsidR="004D3B26" w:rsidRPr="004D3B26" w:rsidP="0024098F">
      <w:pPr>
        <w:autoSpaceDE w:val="0"/>
        <w:autoSpaceDN w:val="0"/>
        <w:adjustRightInd w:val="0"/>
        <w:snapToGrid w:val="0"/>
        <w:spacing w:line="360" w:lineRule="auto"/>
        <w:ind w:firstLine="420" w:firstLineChars="200"/>
        <w:rPr>
          <w:rFonts w:ascii="宋体" w:hAnsi="宋体"/>
          <w:spacing w:val="6"/>
        </w:rPr>
      </w:pPr>
      <w:r w:rsidRPr="004D3B26">
        <w:rPr>
          <w:rFonts w:ascii="宋体" w:hAnsi="宋体" w:hint="eastAsia"/>
          <w:spacing w:val="6"/>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4D3B26" w:rsidRPr="004D3B26" w:rsidP="004D3B26">
      <w:pPr>
        <w:autoSpaceDE w:val="0"/>
        <w:autoSpaceDN w:val="0"/>
        <w:adjustRightInd w:val="0"/>
        <w:snapToGrid w:val="0"/>
        <w:spacing w:line="360" w:lineRule="auto"/>
        <w:ind w:firstLine="420" w:firstLineChars="200"/>
        <w:rPr>
          <w:rFonts w:ascii="宋体" w:hAnsi="宋体"/>
          <w:spacing w:val="6"/>
        </w:rPr>
      </w:pPr>
      <w:r w:rsidRPr="004D3B26">
        <w:rPr>
          <w:rFonts w:ascii="宋体" w:hAnsi="宋体" w:hint="eastAsia"/>
          <w:spacing w:val="6"/>
        </w:rPr>
        <w:t>（五）基金托管人对基金管理人运作基金进行监督的方法和程序</w:t>
      </w:r>
    </w:p>
    <w:p w:rsidR="004D3B26" w:rsidRPr="004D3B26" w:rsidP="004D3B26">
      <w:pPr>
        <w:autoSpaceDE w:val="0"/>
        <w:autoSpaceDN w:val="0"/>
        <w:adjustRightInd w:val="0"/>
        <w:snapToGrid w:val="0"/>
        <w:spacing w:line="360" w:lineRule="auto"/>
        <w:ind w:firstLine="420" w:firstLineChars="200"/>
        <w:rPr>
          <w:rFonts w:ascii="宋体" w:hAnsi="宋体"/>
          <w:spacing w:val="6"/>
        </w:rPr>
      </w:pPr>
      <w:r w:rsidRPr="004D3B26">
        <w:rPr>
          <w:rFonts w:ascii="宋体" w:hAnsi="宋体" w:hint="eastAsia"/>
          <w:spacing w:val="6"/>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rsidR="004D3B26" w:rsidRPr="004D3B26" w:rsidP="004D3B26">
      <w:pPr>
        <w:autoSpaceDE w:val="0"/>
        <w:autoSpaceDN w:val="0"/>
        <w:adjustRightInd w:val="0"/>
        <w:snapToGrid w:val="0"/>
        <w:spacing w:line="360" w:lineRule="auto"/>
        <w:ind w:firstLine="420" w:firstLineChars="200"/>
        <w:rPr>
          <w:rFonts w:ascii="宋体" w:hAnsi="宋体"/>
          <w:spacing w:val="6"/>
        </w:rPr>
      </w:pPr>
      <w:r w:rsidRPr="004D3B26">
        <w:rPr>
          <w:rFonts w:ascii="宋体" w:hAnsi="宋体" w:hint="eastAsia"/>
          <w:spacing w:val="6"/>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rsidR="004D3B26" w:rsidRPr="004D3B26" w:rsidP="004D3B26">
      <w:pPr>
        <w:autoSpaceDE w:val="0"/>
        <w:autoSpaceDN w:val="0"/>
        <w:adjustRightInd w:val="0"/>
        <w:snapToGrid w:val="0"/>
        <w:spacing w:line="360" w:lineRule="auto"/>
        <w:ind w:firstLine="420" w:firstLineChars="200"/>
        <w:rPr>
          <w:rFonts w:ascii="宋体" w:hAnsi="宋体"/>
          <w:spacing w:val="6"/>
        </w:rPr>
      </w:pPr>
      <w:r w:rsidRPr="004D3B26">
        <w:rPr>
          <w:rFonts w:ascii="宋体" w:hAnsi="宋体" w:hint="eastAsia"/>
          <w:spacing w:val="6"/>
        </w:rPr>
        <w:t>基金托管人发现基金管理人有重大违规行为，应立即报告中国证监会，同时通知基金管理人限期纠正。</w:t>
      </w:r>
      <w:r w:rsidRPr="004D3B26">
        <w:rPr>
          <w:rFonts w:ascii="宋体" w:hAnsi="宋体" w:hint="eastAsia"/>
          <w:spacing w:val="6"/>
        </w:rPr>
        <w:br w:type="page"/>
      </w:r>
    </w:p>
    <w:p w:rsidR="003A3487" w:rsidRPr="008564FF" w:rsidP="00485893">
      <w:pPr>
        <w:pStyle w:val="Heading1"/>
        <w:snapToGrid w:val="0"/>
        <w:spacing w:beforeLines="0" w:afterLines="0" w:line="360" w:lineRule="auto"/>
        <w:ind w:firstLine="643"/>
        <w:rPr>
          <w:rFonts w:asciiTheme="minorEastAsia" w:eastAsiaTheme="minorEastAsia" w:hAnsiTheme="minorEastAsia"/>
          <w:b/>
          <w:bCs/>
        </w:rPr>
      </w:pPr>
      <w:bookmarkStart w:id="22" w:name="_Toc91749204"/>
      <w:r w:rsidRPr="008564FF">
        <w:rPr>
          <w:rFonts w:asciiTheme="minorEastAsia" w:eastAsiaTheme="minorEastAsia" w:hAnsiTheme="minorEastAsia" w:hint="eastAsia"/>
          <w:b/>
          <w:bCs/>
        </w:rPr>
        <w:t>五、相关服务机构</w:t>
      </w:r>
      <w:bookmarkEnd w:id="22"/>
    </w:p>
    <w:p w:rsidR="003A3487" w:rsidRPr="008564FF" w:rsidP="009C2B2A">
      <w:pPr>
        <w:pStyle w:val="Heading2"/>
        <w:snapToGrid w:val="0"/>
        <w:spacing w:beforeLines="0" w:afterLines="0" w:line="360" w:lineRule="auto"/>
        <w:ind w:firstLine="0" w:firstLineChars="0"/>
        <w:rPr>
          <w:rFonts w:asciiTheme="minorEastAsia" w:eastAsiaTheme="minorEastAsia" w:hAnsiTheme="minorEastAsia"/>
          <w:b w:val="0"/>
          <w:bCs/>
          <w:szCs w:val="21"/>
        </w:rPr>
      </w:pPr>
      <w:bookmarkStart w:id="23" w:name="_Toc91749205"/>
      <w:r w:rsidRPr="008564FF">
        <w:rPr>
          <w:rFonts w:asciiTheme="minorEastAsia" w:eastAsiaTheme="minorEastAsia" w:hAnsiTheme="minorEastAsia" w:hint="eastAsia"/>
          <w:b w:val="0"/>
          <w:bCs/>
          <w:szCs w:val="21"/>
        </w:rPr>
        <w:t>（一）基金份额</w:t>
      </w:r>
      <w:r w:rsidRPr="008564FF" w:rsidR="008B1AD2">
        <w:rPr>
          <w:rFonts w:asciiTheme="minorEastAsia" w:eastAsiaTheme="minorEastAsia" w:hAnsiTheme="minorEastAsia" w:hint="eastAsia"/>
          <w:b w:val="0"/>
          <w:bCs/>
          <w:szCs w:val="21"/>
        </w:rPr>
        <w:t>销售</w:t>
      </w:r>
      <w:r w:rsidRPr="008564FF">
        <w:rPr>
          <w:rFonts w:asciiTheme="minorEastAsia" w:eastAsiaTheme="minorEastAsia" w:hAnsiTheme="minorEastAsia" w:hint="eastAsia"/>
          <w:b w:val="0"/>
          <w:bCs/>
          <w:szCs w:val="21"/>
        </w:rPr>
        <w:t>机构</w:t>
      </w:r>
      <w:bookmarkEnd w:id="23"/>
    </w:p>
    <w:p w:rsidR="003A3487" w:rsidRPr="008564FF" w:rsidP="004549E4">
      <w:pPr>
        <w:widowControl/>
        <w:tabs>
          <w:tab w:val="num" w:pos="360"/>
        </w:tabs>
        <w:snapToGrid w:val="0"/>
        <w:spacing w:line="360" w:lineRule="auto"/>
        <w:ind w:left="359" w:leftChars="171"/>
        <w:rPr>
          <w:rFonts w:asciiTheme="minorEastAsia" w:eastAsiaTheme="minorEastAsia" w:hAnsiTheme="minorEastAsia" w:cs="宋体"/>
          <w:b/>
          <w:kern w:val="0"/>
          <w:szCs w:val="21"/>
        </w:rPr>
      </w:pPr>
      <w:r w:rsidRPr="008564FF">
        <w:rPr>
          <w:rFonts w:asciiTheme="minorEastAsia" w:eastAsiaTheme="minorEastAsia" w:hAnsiTheme="minorEastAsia" w:cs="宋体" w:hint="eastAsia"/>
          <w:b/>
          <w:kern w:val="0"/>
          <w:szCs w:val="21"/>
        </w:rPr>
        <w:t>1、直销机构</w:t>
      </w:r>
    </w:p>
    <w:p w:rsidR="004678FD" w:rsidRPr="008564FF" w:rsidP="004549E4">
      <w:pPr>
        <w:widowControl/>
        <w:tabs>
          <w:tab w:val="num" w:pos="360"/>
        </w:tabs>
        <w:snapToGrid w:val="0"/>
        <w:spacing w:line="360" w:lineRule="auto"/>
        <w:ind w:left="359" w:leftChars="171"/>
        <w:rPr>
          <w:rFonts w:asciiTheme="minorEastAsia" w:eastAsiaTheme="minorEastAsia" w:hAnsiTheme="minorEastAsia" w:cs="宋体"/>
          <w:kern w:val="0"/>
          <w:szCs w:val="21"/>
        </w:rPr>
      </w:pPr>
      <w:r w:rsidRPr="008564FF">
        <w:rPr>
          <w:rFonts w:asciiTheme="minorEastAsia" w:eastAsiaTheme="minorEastAsia" w:hAnsiTheme="minorEastAsia" w:cs="宋体" w:hint="eastAsia"/>
          <w:kern w:val="0"/>
          <w:szCs w:val="21"/>
        </w:rPr>
        <w:t>易方达基金管理有限公司</w:t>
      </w:r>
    </w:p>
    <w:p w:rsidR="004678FD" w:rsidRPr="008564FF" w:rsidP="004549E4">
      <w:pPr>
        <w:widowControl/>
        <w:tabs>
          <w:tab w:val="num" w:pos="360"/>
        </w:tabs>
        <w:snapToGrid w:val="0"/>
        <w:spacing w:line="360" w:lineRule="auto"/>
        <w:ind w:left="359" w:leftChars="171"/>
        <w:rPr>
          <w:rFonts w:asciiTheme="minorEastAsia" w:eastAsiaTheme="minorEastAsia" w:hAnsiTheme="minorEastAsia" w:cs="宋体"/>
          <w:kern w:val="0"/>
          <w:szCs w:val="21"/>
        </w:rPr>
      </w:pPr>
      <w:r w:rsidRPr="008564FF">
        <w:rPr>
          <w:rFonts w:asciiTheme="minorEastAsia" w:eastAsiaTheme="minorEastAsia" w:hAnsiTheme="minorEastAsia" w:cs="宋体" w:hint="eastAsia"/>
          <w:kern w:val="0"/>
          <w:szCs w:val="21"/>
        </w:rPr>
        <w:t>注册地址：</w:t>
      </w:r>
      <w:r w:rsidRPr="008564FF" w:rsidR="00466B10">
        <w:rPr>
          <w:rFonts w:asciiTheme="minorEastAsia" w:eastAsiaTheme="minorEastAsia" w:hAnsiTheme="minorEastAsia" w:cs="宋体" w:hint="eastAsia"/>
          <w:kern w:val="0"/>
          <w:szCs w:val="21"/>
        </w:rPr>
        <w:t>广东省珠海市横琴新区宝华路6号105室－42891（集中办公区）</w:t>
      </w:r>
    </w:p>
    <w:p w:rsidR="004678FD" w:rsidRPr="008564FF" w:rsidP="004549E4">
      <w:pPr>
        <w:widowControl/>
        <w:tabs>
          <w:tab w:val="num" w:pos="360"/>
        </w:tabs>
        <w:snapToGrid w:val="0"/>
        <w:spacing w:line="360" w:lineRule="auto"/>
        <w:ind w:left="359" w:leftChars="171"/>
        <w:rPr>
          <w:rFonts w:asciiTheme="minorEastAsia" w:eastAsiaTheme="minorEastAsia" w:hAnsiTheme="minorEastAsia" w:cs="宋体"/>
          <w:kern w:val="0"/>
          <w:szCs w:val="21"/>
        </w:rPr>
      </w:pPr>
      <w:r w:rsidRPr="008564FF">
        <w:rPr>
          <w:rFonts w:asciiTheme="minorEastAsia" w:eastAsiaTheme="minorEastAsia" w:hAnsiTheme="minorEastAsia" w:cs="宋体" w:hint="eastAsia"/>
          <w:kern w:val="0"/>
          <w:szCs w:val="21"/>
        </w:rPr>
        <w:t>办公地址：广州市天河区珠江新城珠江东路30号广州银行大厦40-43楼</w:t>
      </w:r>
    </w:p>
    <w:p w:rsidR="004678FD" w:rsidRPr="008564FF" w:rsidP="004549E4">
      <w:pPr>
        <w:widowControl/>
        <w:tabs>
          <w:tab w:val="num" w:pos="360"/>
        </w:tabs>
        <w:snapToGrid w:val="0"/>
        <w:spacing w:line="360" w:lineRule="auto"/>
        <w:ind w:left="359" w:leftChars="171"/>
        <w:rPr>
          <w:rFonts w:asciiTheme="minorEastAsia" w:eastAsiaTheme="minorEastAsia" w:hAnsiTheme="minorEastAsia" w:cs="宋体"/>
          <w:kern w:val="0"/>
          <w:szCs w:val="21"/>
        </w:rPr>
      </w:pPr>
      <w:r w:rsidRPr="008564FF">
        <w:rPr>
          <w:rFonts w:asciiTheme="minorEastAsia" w:eastAsiaTheme="minorEastAsia" w:hAnsiTheme="minorEastAsia" w:cs="宋体" w:hint="eastAsia"/>
          <w:kern w:val="0"/>
          <w:szCs w:val="21"/>
        </w:rPr>
        <w:t>法定代表人：</w:t>
      </w:r>
      <w:r w:rsidRPr="008564FF" w:rsidR="00DC61F8">
        <w:rPr>
          <w:rFonts w:asciiTheme="minorEastAsia" w:eastAsiaTheme="minorEastAsia" w:hAnsiTheme="minorEastAsia" w:cs="宋体" w:hint="eastAsia"/>
          <w:kern w:val="0"/>
          <w:szCs w:val="21"/>
        </w:rPr>
        <w:t>刘晓艳</w:t>
      </w:r>
    </w:p>
    <w:p w:rsidR="004678FD" w:rsidRPr="008564FF" w:rsidP="004549E4">
      <w:pPr>
        <w:widowControl/>
        <w:tabs>
          <w:tab w:val="num" w:pos="360"/>
        </w:tabs>
        <w:snapToGrid w:val="0"/>
        <w:spacing w:line="360" w:lineRule="auto"/>
        <w:ind w:left="359" w:leftChars="171"/>
        <w:rPr>
          <w:rFonts w:asciiTheme="minorEastAsia" w:eastAsiaTheme="minorEastAsia" w:hAnsiTheme="minorEastAsia" w:cs="宋体"/>
          <w:kern w:val="0"/>
          <w:szCs w:val="21"/>
        </w:rPr>
      </w:pPr>
      <w:r w:rsidRPr="008564FF">
        <w:rPr>
          <w:rFonts w:asciiTheme="minorEastAsia" w:eastAsiaTheme="minorEastAsia" w:hAnsiTheme="minorEastAsia" w:cs="宋体" w:hint="eastAsia"/>
          <w:kern w:val="0"/>
          <w:szCs w:val="21"/>
        </w:rPr>
        <w:t>电话：020-85102506</w:t>
      </w:r>
    </w:p>
    <w:p w:rsidR="004678FD" w:rsidRPr="008564FF" w:rsidP="004549E4">
      <w:pPr>
        <w:widowControl/>
        <w:tabs>
          <w:tab w:val="num" w:pos="360"/>
        </w:tabs>
        <w:snapToGrid w:val="0"/>
        <w:spacing w:line="360" w:lineRule="auto"/>
        <w:ind w:left="359" w:leftChars="171"/>
        <w:rPr>
          <w:rFonts w:asciiTheme="minorEastAsia" w:eastAsiaTheme="minorEastAsia" w:hAnsiTheme="minorEastAsia" w:cs="宋体"/>
          <w:kern w:val="0"/>
          <w:szCs w:val="21"/>
        </w:rPr>
      </w:pPr>
      <w:r w:rsidRPr="008564FF">
        <w:rPr>
          <w:rFonts w:asciiTheme="minorEastAsia" w:eastAsiaTheme="minorEastAsia" w:hAnsiTheme="minorEastAsia" w:cs="宋体" w:hint="eastAsia"/>
          <w:kern w:val="0"/>
          <w:szCs w:val="21"/>
        </w:rPr>
        <w:t>传真：4008818099</w:t>
      </w:r>
    </w:p>
    <w:p w:rsidR="004678FD" w:rsidRPr="008564FF" w:rsidP="004549E4">
      <w:pPr>
        <w:widowControl/>
        <w:tabs>
          <w:tab w:val="num" w:pos="360"/>
        </w:tabs>
        <w:snapToGrid w:val="0"/>
        <w:spacing w:line="360" w:lineRule="auto"/>
        <w:ind w:left="359" w:leftChars="171"/>
        <w:rPr>
          <w:rFonts w:asciiTheme="minorEastAsia" w:eastAsiaTheme="minorEastAsia" w:hAnsiTheme="minorEastAsia" w:cs="宋体"/>
          <w:kern w:val="0"/>
          <w:szCs w:val="21"/>
        </w:rPr>
      </w:pPr>
      <w:r>
        <w:t>联系人：梁美</w:t>
      </w:r>
    </w:p>
    <w:p w:rsidR="004678FD" w:rsidRPr="008564FF" w:rsidP="004549E4">
      <w:pPr>
        <w:widowControl/>
        <w:tabs>
          <w:tab w:val="num" w:pos="360"/>
        </w:tabs>
        <w:snapToGrid w:val="0"/>
        <w:spacing w:line="360" w:lineRule="auto"/>
        <w:ind w:left="359" w:leftChars="171"/>
        <w:rPr>
          <w:rFonts w:asciiTheme="minorEastAsia" w:eastAsiaTheme="minorEastAsia" w:hAnsiTheme="minorEastAsia" w:cs="宋体"/>
          <w:kern w:val="0"/>
          <w:szCs w:val="21"/>
        </w:rPr>
      </w:pPr>
      <w:r w:rsidRPr="008564FF">
        <w:rPr>
          <w:rFonts w:asciiTheme="minorEastAsia" w:eastAsiaTheme="minorEastAsia" w:hAnsiTheme="minorEastAsia" w:cs="宋体" w:hint="eastAsia"/>
          <w:kern w:val="0"/>
          <w:szCs w:val="21"/>
        </w:rPr>
        <w:t>网址：www.efunds.com.cn</w:t>
      </w:r>
    </w:p>
    <w:p w:rsidR="004678FD" w:rsidRPr="008564FF" w:rsidP="004549E4">
      <w:pPr>
        <w:widowControl/>
        <w:tabs>
          <w:tab w:val="num" w:pos="360"/>
        </w:tabs>
        <w:snapToGrid w:val="0"/>
        <w:spacing w:line="360" w:lineRule="auto"/>
        <w:ind w:left="359" w:leftChars="171"/>
        <w:rPr>
          <w:rFonts w:asciiTheme="minorEastAsia" w:eastAsiaTheme="minorEastAsia" w:hAnsiTheme="minorEastAsia" w:cs="宋体"/>
          <w:kern w:val="0"/>
          <w:szCs w:val="21"/>
        </w:rPr>
      </w:pPr>
      <w:r w:rsidRPr="008564FF">
        <w:rPr>
          <w:rFonts w:asciiTheme="minorEastAsia" w:eastAsiaTheme="minorEastAsia" w:hAnsiTheme="minorEastAsia" w:cs="宋体" w:hint="eastAsia"/>
          <w:kern w:val="0"/>
          <w:szCs w:val="21"/>
        </w:rPr>
        <w:t>直销机构网点信息：</w:t>
      </w:r>
    </w:p>
    <w:p w:rsidR="004678FD" w:rsidRPr="008564FF" w:rsidP="004549E4">
      <w:pPr>
        <w:widowControl/>
        <w:tabs>
          <w:tab w:val="num" w:pos="360"/>
        </w:tabs>
        <w:snapToGrid w:val="0"/>
        <w:spacing w:line="360" w:lineRule="auto"/>
        <w:ind w:left="359" w:leftChars="171"/>
        <w:rPr>
          <w:rFonts w:asciiTheme="minorEastAsia" w:eastAsiaTheme="minorEastAsia" w:hAnsiTheme="minorEastAsia" w:cs="宋体"/>
          <w:kern w:val="0"/>
          <w:szCs w:val="21"/>
        </w:rPr>
      </w:pPr>
      <w:r>
        <w:t>（</w:t>
      </w:r>
      <w:r>
        <w:t>1</w:t>
      </w:r>
      <w:r>
        <w:t>）易方达基金管理有限公司直销中心</w:t>
      </w:r>
    </w:p>
    <w:p w:rsidR="004678FD" w:rsidRPr="008564FF" w:rsidP="004549E4">
      <w:pPr>
        <w:widowControl/>
        <w:tabs>
          <w:tab w:val="num" w:pos="360"/>
        </w:tabs>
        <w:snapToGrid w:val="0"/>
        <w:spacing w:line="360" w:lineRule="auto"/>
        <w:ind w:left="359" w:leftChars="171"/>
        <w:rPr>
          <w:rFonts w:asciiTheme="minorEastAsia" w:eastAsiaTheme="minorEastAsia" w:hAnsiTheme="minorEastAsia" w:cs="宋体"/>
          <w:kern w:val="0"/>
          <w:szCs w:val="21"/>
        </w:rPr>
      </w:pPr>
      <w:r w:rsidRPr="008564FF">
        <w:rPr>
          <w:rFonts w:asciiTheme="minorEastAsia" w:eastAsiaTheme="minorEastAsia" w:hAnsiTheme="minorEastAsia" w:cs="宋体" w:hint="eastAsia"/>
          <w:kern w:val="0"/>
          <w:szCs w:val="21"/>
        </w:rPr>
        <w:t>办公地址：广州市天河区珠江新城珠江东路30号广州银行大厦40楼</w:t>
      </w:r>
    </w:p>
    <w:p w:rsidR="005A7F90">
      <w:pPr>
        <w:spacing w:line="360" w:lineRule="auto"/>
        <w:ind w:firstLine="420"/>
      </w:pPr>
      <w:r>
        <w:t>电话：</w:t>
      </w:r>
      <w:r>
        <w:t>020-85102506</w:t>
      </w:r>
    </w:p>
    <w:p w:rsidR="005A7F90">
      <w:pPr>
        <w:spacing w:line="360" w:lineRule="auto"/>
        <w:ind w:firstLine="420"/>
      </w:pPr>
      <w:r>
        <w:t>传真：</w:t>
      </w:r>
      <w:r>
        <w:t>4008818099</w:t>
      </w:r>
    </w:p>
    <w:p w:rsidR="004678FD" w:rsidRPr="008564FF" w:rsidP="004549E4">
      <w:pPr>
        <w:widowControl/>
        <w:tabs>
          <w:tab w:val="num" w:pos="360"/>
        </w:tabs>
        <w:snapToGrid w:val="0"/>
        <w:spacing w:line="360" w:lineRule="auto"/>
        <w:ind w:left="359" w:leftChars="171"/>
        <w:rPr>
          <w:rFonts w:asciiTheme="minorEastAsia" w:eastAsiaTheme="minorEastAsia" w:hAnsiTheme="minorEastAsia" w:cs="宋体"/>
          <w:kern w:val="0"/>
          <w:szCs w:val="21"/>
        </w:rPr>
      </w:pPr>
      <w:r>
        <w:t>联系人：梁美</w:t>
      </w:r>
    </w:p>
    <w:p w:rsidR="004678FD" w:rsidRPr="008564FF" w:rsidP="004549E4">
      <w:pPr>
        <w:widowControl/>
        <w:tabs>
          <w:tab w:val="num" w:pos="360"/>
        </w:tabs>
        <w:snapToGrid w:val="0"/>
        <w:spacing w:line="360" w:lineRule="auto"/>
        <w:ind w:left="359" w:leftChars="171"/>
        <w:rPr>
          <w:rFonts w:asciiTheme="minorEastAsia" w:eastAsiaTheme="minorEastAsia" w:hAnsiTheme="minorEastAsia" w:cs="宋体"/>
          <w:kern w:val="0"/>
          <w:szCs w:val="21"/>
        </w:rPr>
      </w:pPr>
      <w:r>
        <w:t>（</w:t>
      </w:r>
      <w:r>
        <w:t>2</w:t>
      </w:r>
      <w:r>
        <w:t>）易方达基金管理有限公司网上交易系统</w:t>
      </w:r>
    </w:p>
    <w:p w:rsidR="003A3487" w:rsidRPr="008564FF" w:rsidP="004549E4">
      <w:pPr>
        <w:widowControl/>
        <w:tabs>
          <w:tab w:val="num" w:pos="360"/>
        </w:tabs>
        <w:snapToGrid w:val="0"/>
        <w:spacing w:line="360" w:lineRule="auto"/>
        <w:ind w:left="359" w:leftChars="171"/>
        <w:rPr>
          <w:rFonts w:asciiTheme="minorEastAsia" w:eastAsiaTheme="minorEastAsia" w:hAnsiTheme="minorEastAsia" w:cs="宋体"/>
          <w:kern w:val="0"/>
          <w:szCs w:val="21"/>
        </w:rPr>
      </w:pPr>
      <w:r w:rsidRPr="008564FF">
        <w:rPr>
          <w:rFonts w:asciiTheme="minorEastAsia" w:eastAsiaTheme="minorEastAsia" w:hAnsiTheme="minorEastAsia" w:cs="宋体" w:hint="eastAsia"/>
          <w:kern w:val="0"/>
          <w:szCs w:val="21"/>
        </w:rPr>
        <w:t>网址：www.efunds.com.cn</w:t>
      </w:r>
    </w:p>
    <w:p w:rsidR="003A3487" w:rsidRPr="008564FF" w:rsidP="004549E4">
      <w:pPr>
        <w:widowControl/>
        <w:tabs>
          <w:tab w:val="num" w:pos="360"/>
        </w:tabs>
        <w:snapToGrid w:val="0"/>
        <w:spacing w:line="360" w:lineRule="auto"/>
        <w:ind w:left="359" w:leftChars="171"/>
        <w:rPr>
          <w:rFonts w:asciiTheme="minorEastAsia" w:eastAsiaTheme="minorEastAsia" w:hAnsiTheme="minorEastAsia" w:cs="宋体"/>
          <w:b/>
          <w:kern w:val="0"/>
          <w:szCs w:val="21"/>
        </w:rPr>
      </w:pPr>
      <w:r w:rsidRPr="008564FF">
        <w:rPr>
          <w:rFonts w:asciiTheme="minorEastAsia" w:eastAsiaTheme="minorEastAsia" w:hAnsiTheme="minorEastAsia" w:cs="宋体" w:hint="eastAsia"/>
          <w:b/>
          <w:kern w:val="0"/>
          <w:szCs w:val="21"/>
        </w:rPr>
        <w:t>2、</w:t>
      </w:r>
      <w:r w:rsidRPr="008564FF" w:rsidR="007F5C61">
        <w:rPr>
          <w:rFonts w:asciiTheme="minorEastAsia" w:eastAsiaTheme="minorEastAsia" w:hAnsiTheme="minorEastAsia" w:cs="宋体" w:hint="eastAsia"/>
          <w:b/>
          <w:kern w:val="0"/>
          <w:szCs w:val="21"/>
        </w:rPr>
        <w:t>非直销销售</w:t>
      </w:r>
      <w:r w:rsidRPr="008564FF">
        <w:rPr>
          <w:rFonts w:asciiTheme="minorEastAsia" w:eastAsiaTheme="minorEastAsia" w:hAnsiTheme="minorEastAsia" w:cs="宋体" w:hint="eastAsia"/>
          <w:b/>
          <w:kern w:val="0"/>
          <w:szCs w:val="21"/>
        </w:rPr>
        <w:t>机构</w:t>
      </w:r>
    </w:p>
    <w:p w:rsidR="005A7F90">
      <w:pPr>
        <w:spacing w:line="360" w:lineRule="auto"/>
        <w:ind w:firstLine="420"/>
      </w:pPr>
      <w:r>
        <w:t>本基金非直销销售机构信息详见基金管理人网站公示。</w:t>
      </w:r>
    </w:p>
    <w:p w:rsidR="003A3487" w:rsidRPr="008564FF" w:rsidP="009C2B2A">
      <w:pPr>
        <w:pStyle w:val="Heading2"/>
        <w:snapToGrid w:val="0"/>
        <w:spacing w:beforeLines="0" w:afterLines="0" w:line="360" w:lineRule="auto"/>
        <w:ind w:firstLine="0" w:firstLineChars="0"/>
        <w:rPr>
          <w:rFonts w:asciiTheme="minorEastAsia" w:eastAsiaTheme="minorEastAsia" w:hAnsiTheme="minorEastAsia"/>
          <w:b w:val="0"/>
          <w:bCs/>
          <w:szCs w:val="21"/>
        </w:rPr>
      </w:pPr>
      <w:bookmarkStart w:id="24" w:name="_Toc38432429"/>
      <w:bookmarkStart w:id="25" w:name="_Toc91749206"/>
      <w:r w:rsidRPr="008564FF">
        <w:rPr>
          <w:rFonts w:asciiTheme="minorEastAsia" w:eastAsiaTheme="minorEastAsia" w:hAnsiTheme="minorEastAsia" w:hint="eastAsia"/>
          <w:b w:val="0"/>
          <w:bCs/>
          <w:szCs w:val="21"/>
        </w:rPr>
        <w:t>（二）</w:t>
      </w:r>
      <w:r w:rsidRPr="008564FF" w:rsidR="009D7920">
        <w:rPr>
          <w:rFonts w:asciiTheme="minorEastAsia" w:eastAsiaTheme="minorEastAsia" w:hAnsiTheme="minorEastAsia" w:hint="eastAsia"/>
          <w:b w:val="0"/>
          <w:bCs/>
          <w:szCs w:val="21"/>
        </w:rPr>
        <w:t>基</w:t>
      </w:r>
      <w:r w:rsidRPr="008564FF">
        <w:rPr>
          <w:rFonts w:asciiTheme="minorEastAsia" w:eastAsiaTheme="minorEastAsia" w:hAnsiTheme="minorEastAsia" w:hint="eastAsia"/>
          <w:b w:val="0"/>
          <w:bCs/>
          <w:szCs w:val="21"/>
        </w:rPr>
        <w:t>金注册登记机构</w:t>
      </w:r>
      <w:bookmarkEnd w:id="24"/>
      <w:bookmarkEnd w:id="25"/>
    </w:p>
    <w:p w:rsidR="003A3487" w:rsidRPr="008564FF" w:rsidP="004549E4">
      <w:pPr>
        <w:snapToGrid w:val="0"/>
        <w:spacing w:line="360" w:lineRule="auto"/>
        <w:ind w:firstLine="480"/>
        <w:rPr>
          <w:rFonts w:asciiTheme="minorEastAsia" w:eastAsiaTheme="minorEastAsia" w:hAnsiTheme="minorEastAsia"/>
        </w:rPr>
      </w:pPr>
      <w:r w:rsidRPr="008564FF">
        <w:rPr>
          <w:rFonts w:asciiTheme="minorEastAsia" w:eastAsiaTheme="minorEastAsia" w:hAnsiTheme="minorEastAsia" w:hint="eastAsia"/>
        </w:rPr>
        <w:t>名称：易方达基金管理有限公司</w:t>
      </w:r>
    </w:p>
    <w:p w:rsidR="002040EA" w:rsidRPr="008564FF" w:rsidP="004549E4">
      <w:pPr>
        <w:snapToGrid w:val="0"/>
        <w:spacing w:line="360" w:lineRule="auto"/>
        <w:ind w:firstLine="480"/>
        <w:rPr>
          <w:rFonts w:asciiTheme="minorEastAsia" w:eastAsiaTheme="minorEastAsia" w:hAnsiTheme="minorEastAsia"/>
          <w:szCs w:val="21"/>
        </w:rPr>
      </w:pPr>
      <w:r w:rsidRPr="008564FF">
        <w:rPr>
          <w:rFonts w:asciiTheme="minorEastAsia" w:eastAsiaTheme="minorEastAsia" w:hAnsiTheme="minorEastAsia" w:hint="eastAsia"/>
          <w:szCs w:val="21"/>
        </w:rPr>
        <w:t>注册地址：</w:t>
      </w:r>
      <w:r w:rsidRPr="008564FF" w:rsidR="00466B10">
        <w:rPr>
          <w:rFonts w:asciiTheme="minorEastAsia" w:eastAsiaTheme="minorEastAsia" w:hAnsiTheme="minorEastAsia" w:hint="eastAsia"/>
          <w:szCs w:val="21"/>
        </w:rPr>
        <w:t>广东省珠海市横琴新区宝华路6号105室－42891（集中办公区）</w:t>
      </w:r>
    </w:p>
    <w:p w:rsidR="003A3487" w:rsidRPr="008564FF" w:rsidP="004549E4">
      <w:pPr>
        <w:snapToGrid w:val="0"/>
        <w:spacing w:line="360" w:lineRule="auto"/>
        <w:ind w:firstLine="480"/>
        <w:rPr>
          <w:rFonts w:asciiTheme="minorEastAsia" w:eastAsiaTheme="minorEastAsia" w:hAnsiTheme="minorEastAsia"/>
          <w:szCs w:val="21"/>
        </w:rPr>
      </w:pPr>
      <w:r w:rsidRPr="008564FF">
        <w:rPr>
          <w:rFonts w:asciiTheme="minorEastAsia" w:eastAsiaTheme="minorEastAsia" w:hAnsiTheme="minorEastAsia" w:hint="eastAsia"/>
          <w:szCs w:val="21"/>
        </w:rPr>
        <w:t>办公地址：广州市天河区珠江新城珠江东路30号广州银行大厦40-43楼</w:t>
      </w:r>
    </w:p>
    <w:p w:rsidR="003A3487" w:rsidRPr="008564FF" w:rsidP="004549E4">
      <w:pPr>
        <w:snapToGrid w:val="0"/>
        <w:spacing w:line="360" w:lineRule="auto"/>
        <w:ind w:firstLine="480"/>
        <w:rPr>
          <w:rFonts w:asciiTheme="minorEastAsia" w:eastAsiaTheme="minorEastAsia" w:hAnsiTheme="minorEastAsia"/>
          <w:szCs w:val="21"/>
        </w:rPr>
      </w:pPr>
      <w:r w:rsidRPr="008564FF">
        <w:rPr>
          <w:rFonts w:asciiTheme="minorEastAsia" w:eastAsiaTheme="minorEastAsia" w:hAnsiTheme="minorEastAsia" w:hint="eastAsia"/>
          <w:szCs w:val="21"/>
        </w:rPr>
        <w:t>法定代表人：</w:t>
      </w:r>
      <w:r w:rsidRPr="008564FF" w:rsidR="008A0933">
        <w:rPr>
          <w:rFonts w:asciiTheme="minorEastAsia" w:eastAsiaTheme="minorEastAsia" w:hAnsiTheme="minorEastAsia" w:hint="eastAsia"/>
          <w:szCs w:val="21"/>
        </w:rPr>
        <w:t>刘晓艳</w:t>
      </w:r>
    </w:p>
    <w:p w:rsidR="003A3487" w:rsidRPr="008564FF" w:rsidP="004549E4">
      <w:pPr>
        <w:snapToGrid w:val="0"/>
        <w:spacing w:line="360" w:lineRule="auto"/>
        <w:ind w:firstLine="480"/>
        <w:rPr>
          <w:rFonts w:asciiTheme="minorEastAsia" w:eastAsiaTheme="minorEastAsia" w:hAnsiTheme="minorEastAsia"/>
          <w:szCs w:val="21"/>
        </w:rPr>
      </w:pPr>
      <w:r w:rsidRPr="008564FF">
        <w:rPr>
          <w:rFonts w:asciiTheme="minorEastAsia" w:eastAsiaTheme="minorEastAsia" w:hAnsiTheme="minorEastAsia" w:hint="eastAsia"/>
          <w:szCs w:val="21"/>
        </w:rPr>
        <w:t>电话：4008818088</w:t>
      </w:r>
    </w:p>
    <w:p w:rsidR="003A3487" w:rsidRPr="008564FF" w:rsidP="004549E4">
      <w:pPr>
        <w:snapToGrid w:val="0"/>
        <w:spacing w:line="360" w:lineRule="auto"/>
        <w:ind w:firstLine="480"/>
        <w:rPr>
          <w:rFonts w:asciiTheme="minorEastAsia" w:eastAsiaTheme="minorEastAsia" w:hAnsiTheme="minorEastAsia"/>
          <w:szCs w:val="21"/>
        </w:rPr>
      </w:pPr>
      <w:r w:rsidRPr="008564FF">
        <w:rPr>
          <w:rFonts w:asciiTheme="minorEastAsia" w:eastAsiaTheme="minorEastAsia" w:hAnsiTheme="minorEastAsia" w:hint="eastAsia"/>
          <w:szCs w:val="21"/>
        </w:rPr>
        <w:t>传真：020-38799249</w:t>
      </w:r>
    </w:p>
    <w:p w:rsidR="003A3487" w:rsidRPr="008564FF" w:rsidP="004549E4">
      <w:pPr>
        <w:snapToGrid w:val="0"/>
        <w:spacing w:line="360" w:lineRule="auto"/>
        <w:ind w:firstLine="480"/>
        <w:rPr>
          <w:rFonts w:asciiTheme="minorEastAsia" w:eastAsiaTheme="minorEastAsia" w:hAnsiTheme="minorEastAsia"/>
          <w:szCs w:val="21"/>
        </w:rPr>
      </w:pPr>
      <w:r w:rsidRPr="008564FF">
        <w:rPr>
          <w:rFonts w:asciiTheme="minorEastAsia" w:eastAsiaTheme="minorEastAsia" w:hAnsiTheme="minorEastAsia" w:hint="eastAsia"/>
          <w:szCs w:val="21"/>
        </w:rPr>
        <w:t>联系人：余贤高</w:t>
      </w:r>
    </w:p>
    <w:p w:rsidR="003A3487" w:rsidRPr="008564FF" w:rsidP="009C2B2A">
      <w:pPr>
        <w:pStyle w:val="Heading2"/>
        <w:snapToGrid w:val="0"/>
        <w:spacing w:beforeLines="0" w:afterLines="0" w:line="360" w:lineRule="auto"/>
        <w:ind w:firstLine="0" w:firstLineChars="0"/>
        <w:rPr>
          <w:rFonts w:asciiTheme="minorEastAsia" w:eastAsiaTheme="minorEastAsia" w:hAnsiTheme="minorEastAsia"/>
          <w:b w:val="0"/>
          <w:bCs/>
          <w:szCs w:val="21"/>
        </w:rPr>
      </w:pPr>
      <w:bookmarkStart w:id="26" w:name="_Toc38432430"/>
      <w:bookmarkStart w:id="27" w:name="_Toc91749207"/>
      <w:r w:rsidRPr="008564FF">
        <w:rPr>
          <w:rFonts w:asciiTheme="minorEastAsia" w:eastAsiaTheme="minorEastAsia" w:hAnsiTheme="minorEastAsia" w:hint="eastAsia"/>
          <w:b w:val="0"/>
          <w:bCs/>
          <w:szCs w:val="21"/>
        </w:rPr>
        <w:t>（三）律师事务所和经办律师</w:t>
      </w:r>
      <w:bookmarkEnd w:id="26"/>
      <w:bookmarkEnd w:id="27"/>
    </w:p>
    <w:p w:rsidR="003A3487" w:rsidRPr="008564FF" w:rsidP="004549E4">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律师事务所：金杜律师事务所</w:t>
      </w:r>
    </w:p>
    <w:p w:rsidR="003A3487" w:rsidRPr="008564FF" w:rsidP="00B506A2">
      <w:pPr>
        <w:snapToGrid w:val="0"/>
        <w:spacing w:line="360" w:lineRule="auto"/>
        <w:ind w:firstLine="420" w:firstLineChars="200"/>
        <w:rPr>
          <w:rFonts w:asciiTheme="minorEastAsia" w:eastAsiaTheme="minorEastAsia" w:hAnsiTheme="minorEastAsia"/>
        </w:rPr>
      </w:pPr>
      <w:r w:rsidRPr="008564FF">
        <w:rPr>
          <w:rFonts w:asciiTheme="minorEastAsia" w:eastAsiaTheme="minorEastAsia" w:hAnsiTheme="minorEastAsia" w:hint="eastAsia"/>
        </w:rPr>
        <w:t>地址：北京朝阳区东三环中路7号北京财富中心写字楼A座40层</w:t>
      </w:r>
    </w:p>
    <w:p w:rsidR="00D91C7F" w:rsidRPr="008564FF" w:rsidP="00B506A2">
      <w:pPr>
        <w:snapToGrid w:val="0"/>
        <w:spacing w:line="360" w:lineRule="auto"/>
        <w:ind w:firstLine="420" w:firstLineChars="200"/>
        <w:rPr>
          <w:rFonts w:asciiTheme="minorEastAsia" w:eastAsiaTheme="minorEastAsia" w:hAnsiTheme="minorEastAsia"/>
        </w:rPr>
      </w:pPr>
      <w:r w:rsidRPr="008564FF">
        <w:rPr>
          <w:rFonts w:asciiTheme="minorEastAsia" w:eastAsiaTheme="minorEastAsia" w:hAnsiTheme="minorEastAsia" w:hint="eastAsia"/>
        </w:rPr>
        <w:t>负责人：王玲</w:t>
      </w:r>
    </w:p>
    <w:p w:rsidR="003A3487" w:rsidRPr="008564FF" w:rsidP="004549E4">
      <w:pPr>
        <w:snapToGrid w:val="0"/>
        <w:spacing w:line="360" w:lineRule="auto"/>
        <w:ind w:firstLine="420" w:firstLineChars="200"/>
        <w:rPr>
          <w:rFonts w:asciiTheme="minorEastAsia" w:eastAsiaTheme="minorEastAsia" w:hAnsiTheme="minorEastAsia"/>
        </w:rPr>
      </w:pPr>
      <w:r w:rsidRPr="008564FF">
        <w:rPr>
          <w:rFonts w:asciiTheme="minorEastAsia" w:eastAsiaTheme="minorEastAsia" w:hAnsiTheme="minorEastAsia" w:hint="eastAsia"/>
        </w:rPr>
        <w:t>电话：010-58785588</w:t>
      </w:r>
    </w:p>
    <w:p w:rsidR="003A3487" w:rsidRPr="008564FF" w:rsidP="00B506A2">
      <w:pPr>
        <w:snapToGrid w:val="0"/>
        <w:spacing w:line="360" w:lineRule="auto"/>
        <w:ind w:firstLine="420" w:firstLineChars="200"/>
        <w:rPr>
          <w:rFonts w:asciiTheme="minorEastAsia" w:eastAsiaTheme="minorEastAsia" w:hAnsiTheme="minorEastAsia"/>
        </w:rPr>
      </w:pPr>
      <w:r w:rsidRPr="008564FF">
        <w:rPr>
          <w:rFonts w:asciiTheme="minorEastAsia" w:eastAsiaTheme="minorEastAsia" w:hAnsiTheme="minorEastAsia" w:hint="eastAsia"/>
        </w:rPr>
        <w:t>传真：</w:t>
      </w:r>
      <w:r w:rsidRPr="008564FF" w:rsidR="00E73D90">
        <w:rPr>
          <w:rFonts w:asciiTheme="minorEastAsia" w:eastAsiaTheme="minorEastAsia" w:hAnsiTheme="minorEastAsia" w:hint="eastAsia"/>
        </w:rPr>
        <w:t>010-58785599</w:t>
      </w:r>
    </w:p>
    <w:p w:rsidR="003A3487" w:rsidRPr="008564FF" w:rsidP="00B506A2">
      <w:pPr>
        <w:snapToGrid w:val="0"/>
        <w:spacing w:line="360" w:lineRule="auto"/>
        <w:ind w:firstLine="420" w:firstLineChars="200"/>
        <w:rPr>
          <w:rFonts w:asciiTheme="minorEastAsia" w:eastAsiaTheme="minorEastAsia" w:hAnsiTheme="minorEastAsia"/>
        </w:rPr>
      </w:pPr>
      <w:r w:rsidRPr="008564FF">
        <w:rPr>
          <w:rFonts w:asciiTheme="minorEastAsia" w:eastAsiaTheme="minorEastAsia" w:hAnsiTheme="minorEastAsia" w:hint="eastAsia"/>
        </w:rPr>
        <w:t>经办律师：靳庆军</w:t>
      </w:r>
      <w:r w:rsidRPr="008564FF" w:rsidR="0020522C">
        <w:rPr>
          <w:rFonts w:asciiTheme="minorEastAsia" w:eastAsiaTheme="minorEastAsia" w:hAnsiTheme="minorEastAsia" w:hint="eastAsia"/>
        </w:rPr>
        <w:t>、</w:t>
      </w:r>
      <w:r w:rsidRPr="008564FF">
        <w:rPr>
          <w:rFonts w:asciiTheme="minorEastAsia" w:eastAsiaTheme="minorEastAsia" w:hAnsiTheme="minorEastAsia" w:hint="eastAsia"/>
        </w:rPr>
        <w:t>宋萍萍</w:t>
      </w:r>
    </w:p>
    <w:p w:rsidR="003A3487" w:rsidRPr="008564FF" w:rsidP="004549E4">
      <w:pPr>
        <w:snapToGrid w:val="0"/>
        <w:spacing w:line="360" w:lineRule="auto"/>
        <w:ind w:firstLine="420" w:firstLineChars="200"/>
        <w:rPr>
          <w:rFonts w:asciiTheme="minorEastAsia" w:eastAsiaTheme="minorEastAsia" w:hAnsiTheme="minorEastAsia"/>
        </w:rPr>
      </w:pPr>
      <w:r w:rsidRPr="008564FF">
        <w:rPr>
          <w:rFonts w:asciiTheme="minorEastAsia" w:eastAsiaTheme="minorEastAsia" w:hAnsiTheme="minorEastAsia" w:hint="eastAsia"/>
        </w:rPr>
        <w:t>联系人：</w:t>
      </w:r>
      <w:r w:rsidRPr="008564FF" w:rsidR="00C31B27">
        <w:rPr>
          <w:rFonts w:asciiTheme="minorEastAsia" w:eastAsiaTheme="minorEastAsia" w:hAnsiTheme="minorEastAsia" w:hint="eastAsia"/>
        </w:rPr>
        <w:t>王玲</w:t>
      </w:r>
    </w:p>
    <w:p w:rsidR="003A3487" w:rsidRPr="008564FF" w:rsidP="009C2B2A">
      <w:pPr>
        <w:pStyle w:val="Heading2"/>
        <w:snapToGrid w:val="0"/>
        <w:spacing w:beforeLines="0" w:afterLines="0" w:line="360" w:lineRule="auto"/>
        <w:ind w:firstLine="0" w:firstLineChars="0"/>
        <w:rPr>
          <w:rFonts w:asciiTheme="minorEastAsia" w:eastAsiaTheme="minorEastAsia" w:hAnsiTheme="minorEastAsia"/>
          <w:b w:val="0"/>
          <w:bCs/>
          <w:szCs w:val="21"/>
        </w:rPr>
      </w:pPr>
      <w:bookmarkStart w:id="28" w:name="_Toc38432431"/>
      <w:bookmarkStart w:id="29" w:name="_Toc91749208"/>
      <w:r w:rsidRPr="008564FF">
        <w:rPr>
          <w:rFonts w:asciiTheme="minorEastAsia" w:eastAsiaTheme="minorEastAsia" w:hAnsiTheme="minorEastAsia" w:hint="eastAsia"/>
          <w:b w:val="0"/>
          <w:bCs/>
          <w:szCs w:val="21"/>
        </w:rPr>
        <w:t>（四）会计师事务所和经办注册会计师</w:t>
      </w:r>
      <w:bookmarkEnd w:id="28"/>
      <w:bookmarkEnd w:id="29"/>
    </w:p>
    <w:p w:rsidR="00DD6E76"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会计师事务所：普华永道中天会计师事务所（特殊普通合伙）</w:t>
      </w:r>
    </w:p>
    <w:p w:rsidR="00DD6E76"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住所：</w:t>
      </w:r>
      <w:r w:rsidRPr="008564FF" w:rsidR="003D003C">
        <w:rPr>
          <w:rFonts w:asciiTheme="minorEastAsia" w:eastAsiaTheme="minorEastAsia" w:hAnsiTheme="minorEastAsia" w:hint="eastAsia"/>
        </w:rPr>
        <w:t>上海市湖滨路202号普华永道中心11楼</w:t>
      </w:r>
    </w:p>
    <w:p w:rsidR="00DD6E76"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办公地址：上海市湖滨路202号普华永道中心11楼</w:t>
      </w:r>
    </w:p>
    <w:p w:rsidR="00DD6E76"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首席合伙人：李丹</w:t>
      </w:r>
    </w:p>
    <w:p w:rsidR="00DD6E76"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电话：（021）23238888</w:t>
      </w:r>
    </w:p>
    <w:p w:rsidR="00DD6E76"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传真：（021）23238800</w:t>
      </w:r>
    </w:p>
    <w:p w:rsidR="009531DB"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经办注册会计师：</w:t>
      </w:r>
      <w:r w:rsidRPr="008564FF" w:rsidR="00280AEE">
        <w:rPr>
          <w:rFonts w:asciiTheme="minorEastAsia" w:eastAsiaTheme="minorEastAsia" w:hAnsiTheme="minorEastAsia" w:hint="eastAsia"/>
          <w:szCs w:val="21"/>
        </w:rPr>
        <w:t>陈熹、</w:t>
      </w:r>
      <w:r w:rsidRPr="008564FF" w:rsidR="008564FF">
        <w:rPr>
          <w:rFonts w:asciiTheme="minorEastAsia" w:eastAsiaTheme="minorEastAsia" w:hAnsiTheme="minorEastAsia" w:hint="eastAsia"/>
          <w:szCs w:val="21"/>
        </w:rPr>
        <w:t>陈轶杰</w:t>
      </w:r>
    </w:p>
    <w:p w:rsidR="009531DB"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联系人：</w:t>
      </w:r>
      <w:r w:rsidRPr="008564FF">
        <w:rPr>
          <w:rFonts w:asciiTheme="minorEastAsia" w:eastAsiaTheme="minorEastAsia" w:hAnsiTheme="minorEastAsia" w:hint="eastAsia"/>
        </w:rPr>
        <w:t>周祎</w:t>
      </w:r>
    </w:p>
    <w:p w:rsidR="003A3487" w:rsidRPr="008564FF" w:rsidP="00485893">
      <w:pPr>
        <w:pStyle w:val="Heading1"/>
        <w:snapToGrid w:val="0"/>
        <w:spacing w:beforeLines="0" w:afterLines="0" w:line="360" w:lineRule="auto"/>
        <w:ind w:firstLine="420"/>
        <w:rPr>
          <w:rFonts w:asciiTheme="minorEastAsia" w:eastAsiaTheme="minorEastAsia" w:hAnsiTheme="minorEastAsia"/>
          <w:b/>
          <w:bCs/>
        </w:rPr>
      </w:pPr>
      <w:r w:rsidRPr="008564FF">
        <w:rPr>
          <w:rFonts w:asciiTheme="minorEastAsia" w:eastAsiaTheme="minorEastAsia" w:hAnsiTheme="minorEastAsia" w:cs="Times New Roman" w:hint="eastAsia"/>
          <w:sz w:val="21"/>
          <w:szCs w:val="21"/>
        </w:rPr>
        <w:br w:type="page"/>
      </w:r>
      <w:bookmarkStart w:id="30" w:name="_Toc38432432"/>
      <w:bookmarkStart w:id="31" w:name="_Toc91749209"/>
      <w:r w:rsidRPr="008564FF">
        <w:rPr>
          <w:rFonts w:asciiTheme="minorEastAsia" w:eastAsiaTheme="minorEastAsia" w:hAnsiTheme="minorEastAsia" w:hint="eastAsia"/>
          <w:b/>
          <w:bCs/>
        </w:rPr>
        <w:t>六、基金的募集</w:t>
      </w:r>
      <w:bookmarkEnd w:id="30"/>
      <w:bookmarkEnd w:id="31"/>
    </w:p>
    <w:p w:rsidR="003A3487" w:rsidRPr="008564FF" w:rsidP="004549E4">
      <w:pPr>
        <w:snapToGrid w:val="0"/>
        <w:spacing w:line="360" w:lineRule="auto"/>
        <w:ind w:firstLine="420" w:firstLineChars="200"/>
        <w:rPr>
          <w:rFonts w:asciiTheme="minorEastAsia" w:eastAsiaTheme="minorEastAsia" w:hAnsiTheme="minorEastAsia"/>
        </w:rPr>
      </w:pPr>
      <w:bookmarkStart w:id="32" w:name="_Toc38432433"/>
      <w:r w:rsidRPr="008564FF">
        <w:rPr>
          <w:rFonts w:asciiTheme="minorEastAsia" w:eastAsiaTheme="minorEastAsia" w:hAnsiTheme="minorEastAsia" w:hint="eastAsia"/>
        </w:rPr>
        <w:t>本基金由基金管理人依照《基金法》、《运作办法》、《销售办法》、基金合同的相关规定、并经中国证券监督管理委员会</w:t>
      </w:r>
      <w:r w:rsidRPr="008564FF" w:rsidR="008564FF">
        <w:rPr>
          <w:rFonts w:asciiTheme="minorEastAsia" w:eastAsiaTheme="minorEastAsia" w:hAnsiTheme="minorEastAsia" w:hint="eastAsia"/>
        </w:rPr>
        <w:t>2008年11月28日</w:t>
      </w:r>
      <w:r w:rsidRPr="008564FF">
        <w:rPr>
          <w:rFonts w:asciiTheme="minorEastAsia" w:eastAsiaTheme="minorEastAsia" w:hAnsiTheme="minorEastAsia" w:hint="eastAsia"/>
        </w:rPr>
        <w:t>《关于核准易方达行业领先企业股票型证券投资基金募集的批复》（证监许可[2008]1315号）核准</w:t>
      </w:r>
      <w:r w:rsidRPr="008564FF">
        <w:rPr>
          <w:rFonts w:asciiTheme="minorEastAsia" w:eastAsiaTheme="minorEastAsia" w:hAnsiTheme="minorEastAsia" w:hint="eastAsia"/>
          <w:szCs w:val="21"/>
        </w:rPr>
        <w:t>募集</w:t>
      </w:r>
      <w:r w:rsidRPr="008564FF">
        <w:rPr>
          <w:rFonts w:asciiTheme="minorEastAsia" w:eastAsiaTheme="minorEastAsia" w:hAnsiTheme="minorEastAsia" w:hint="eastAsia"/>
        </w:rPr>
        <w:t>。</w:t>
      </w:r>
    </w:p>
    <w:p w:rsidR="003A3487" w:rsidRPr="008564FF" w:rsidP="004549E4">
      <w:pPr>
        <w:snapToGrid w:val="0"/>
        <w:spacing w:line="360" w:lineRule="auto"/>
        <w:ind w:firstLine="420" w:firstLineChars="200"/>
        <w:rPr>
          <w:rFonts w:asciiTheme="minorEastAsia" w:eastAsiaTheme="minorEastAsia" w:hAnsiTheme="minorEastAsia"/>
        </w:rPr>
      </w:pPr>
      <w:r w:rsidRPr="008564FF">
        <w:rPr>
          <w:rFonts w:asciiTheme="minorEastAsia" w:eastAsiaTheme="minorEastAsia" w:hAnsiTheme="minorEastAsia" w:hint="eastAsia"/>
        </w:rPr>
        <w:t>本基金为契约型开放式</w:t>
      </w:r>
      <w:r w:rsidRPr="008564FF" w:rsidR="00A85270">
        <w:rPr>
          <w:rFonts w:asciiTheme="minorEastAsia" w:eastAsiaTheme="minorEastAsia" w:hAnsiTheme="minorEastAsia" w:hint="eastAsia"/>
        </w:rPr>
        <w:t>混合</w:t>
      </w:r>
      <w:r w:rsidRPr="008564FF">
        <w:rPr>
          <w:rFonts w:asciiTheme="minorEastAsia" w:eastAsiaTheme="minorEastAsia" w:hAnsiTheme="minorEastAsia" w:hint="eastAsia"/>
        </w:rPr>
        <w:t>型基金。基金的存续期间为不定期。</w:t>
      </w:r>
    </w:p>
    <w:p w:rsidR="003A3487" w:rsidRPr="008564FF" w:rsidP="004549E4">
      <w:pPr>
        <w:snapToGrid w:val="0"/>
        <w:spacing w:line="360" w:lineRule="auto"/>
        <w:ind w:firstLine="420" w:firstLineChars="200"/>
        <w:rPr>
          <w:rFonts w:asciiTheme="minorEastAsia" w:eastAsiaTheme="minorEastAsia" w:hAnsiTheme="minorEastAsia"/>
        </w:rPr>
      </w:pPr>
      <w:r w:rsidRPr="008564FF">
        <w:rPr>
          <w:rFonts w:asciiTheme="minorEastAsia" w:eastAsiaTheme="minorEastAsia" w:hAnsiTheme="minorEastAsia" w:hint="eastAsia"/>
        </w:rPr>
        <w:t>本基金募集期间每份基金份额的初始面值为人民币1.00元。</w:t>
      </w:r>
    </w:p>
    <w:p w:rsidR="003A3487" w:rsidRPr="008564FF" w:rsidP="004549E4">
      <w:pPr>
        <w:snapToGrid w:val="0"/>
        <w:spacing w:line="360" w:lineRule="auto"/>
        <w:ind w:firstLine="420" w:firstLineChars="200"/>
        <w:rPr>
          <w:rFonts w:asciiTheme="minorEastAsia" w:eastAsiaTheme="minorEastAsia" w:hAnsiTheme="minorEastAsia"/>
        </w:rPr>
      </w:pPr>
      <w:r w:rsidRPr="008564FF">
        <w:rPr>
          <w:rFonts w:asciiTheme="minorEastAsia" w:eastAsiaTheme="minorEastAsia" w:hAnsiTheme="minorEastAsia" w:hint="eastAsia"/>
          <w:szCs w:val="21"/>
        </w:rPr>
        <w:t>本基金募集期自2009年2月23日至2009年3月20日。</w:t>
      </w:r>
      <w:r w:rsidRPr="008564FF">
        <w:rPr>
          <w:rFonts w:asciiTheme="minorEastAsia" w:eastAsiaTheme="minorEastAsia" w:hAnsiTheme="minorEastAsia" w:hint="eastAsia"/>
        </w:rPr>
        <w:t>募集对象为</w:t>
      </w:r>
      <w:r w:rsidRPr="008564FF">
        <w:rPr>
          <w:rFonts w:asciiTheme="minorEastAsia" w:eastAsiaTheme="minorEastAsia" w:hAnsiTheme="minorEastAsia" w:hint="eastAsia"/>
          <w:szCs w:val="21"/>
        </w:rPr>
        <w:t>符合法律法规规定的个人投资者、机构投资者及合格境外机构投资者，以及法律法规或中国证监会允许购买证券投资基金的其他投资者。</w:t>
      </w:r>
    </w:p>
    <w:bookmarkEnd w:id="32"/>
    <w:p w:rsidR="003A3487" w:rsidRPr="008564FF" w:rsidP="004549E4">
      <w:pPr>
        <w:autoSpaceDE w:val="0"/>
        <w:autoSpaceDN w:val="0"/>
        <w:adjustRightInd w:val="0"/>
        <w:snapToGrid w:val="0"/>
        <w:spacing w:line="360" w:lineRule="auto"/>
        <w:jc w:val="left"/>
        <w:rPr>
          <w:rFonts w:asciiTheme="minorEastAsia" w:eastAsiaTheme="minorEastAsia" w:hAnsiTheme="minorEastAsia"/>
          <w:kern w:val="0"/>
          <w:sz w:val="20"/>
          <w:szCs w:val="20"/>
        </w:rPr>
      </w:pPr>
    </w:p>
    <w:p w:rsidR="003A3487" w:rsidRPr="008564FF" w:rsidP="004549E4">
      <w:pPr>
        <w:autoSpaceDE w:val="0"/>
        <w:autoSpaceDN w:val="0"/>
        <w:adjustRightInd w:val="0"/>
        <w:snapToGrid w:val="0"/>
        <w:spacing w:line="360" w:lineRule="auto"/>
        <w:jc w:val="left"/>
        <w:rPr>
          <w:rFonts w:asciiTheme="minorEastAsia" w:eastAsiaTheme="minorEastAsia" w:hAnsiTheme="minorEastAsia"/>
          <w:kern w:val="0"/>
          <w:sz w:val="20"/>
          <w:szCs w:val="20"/>
        </w:rPr>
      </w:pPr>
    </w:p>
    <w:p w:rsidR="004549E4" w:rsidRPr="008564FF" w:rsidP="004549E4">
      <w:pPr>
        <w:autoSpaceDE w:val="0"/>
        <w:autoSpaceDN w:val="0"/>
        <w:adjustRightInd w:val="0"/>
        <w:snapToGrid w:val="0"/>
        <w:spacing w:line="360" w:lineRule="auto"/>
        <w:jc w:val="left"/>
        <w:rPr>
          <w:rFonts w:asciiTheme="minorEastAsia" w:eastAsiaTheme="minorEastAsia" w:hAnsiTheme="minorEastAsia"/>
          <w:kern w:val="0"/>
          <w:sz w:val="20"/>
          <w:szCs w:val="20"/>
        </w:rPr>
      </w:pPr>
    </w:p>
    <w:p w:rsidR="004549E4" w:rsidRPr="008564FF" w:rsidP="004549E4">
      <w:pPr>
        <w:autoSpaceDE w:val="0"/>
        <w:autoSpaceDN w:val="0"/>
        <w:adjustRightInd w:val="0"/>
        <w:snapToGrid w:val="0"/>
        <w:spacing w:line="360" w:lineRule="auto"/>
        <w:jc w:val="left"/>
        <w:rPr>
          <w:rFonts w:asciiTheme="minorEastAsia" w:eastAsiaTheme="minorEastAsia" w:hAnsiTheme="minorEastAsia"/>
          <w:kern w:val="0"/>
          <w:sz w:val="20"/>
          <w:szCs w:val="20"/>
        </w:rPr>
      </w:pPr>
    </w:p>
    <w:p w:rsidR="004549E4" w:rsidRPr="008564FF" w:rsidP="004549E4">
      <w:pPr>
        <w:autoSpaceDE w:val="0"/>
        <w:autoSpaceDN w:val="0"/>
        <w:adjustRightInd w:val="0"/>
        <w:snapToGrid w:val="0"/>
        <w:spacing w:line="360" w:lineRule="auto"/>
        <w:jc w:val="left"/>
        <w:rPr>
          <w:rFonts w:asciiTheme="minorEastAsia" w:eastAsiaTheme="minorEastAsia" w:hAnsiTheme="minorEastAsia"/>
          <w:kern w:val="0"/>
          <w:sz w:val="20"/>
          <w:szCs w:val="20"/>
        </w:rPr>
      </w:pPr>
    </w:p>
    <w:p w:rsidR="004549E4" w:rsidRPr="008564FF" w:rsidP="004549E4">
      <w:pPr>
        <w:autoSpaceDE w:val="0"/>
        <w:autoSpaceDN w:val="0"/>
        <w:adjustRightInd w:val="0"/>
        <w:snapToGrid w:val="0"/>
        <w:spacing w:line="360" w:lineRule="auto"/>
        <w:jc w:val="left"/>
        <w:rPr>
          <w:rFonts w:asciiTheme="minorEastAsia" w:eastAsiaTheme="minorEastAsia" w:hAnsiTheme="minorEastAsia"/>
          <w:kern w:val="0"/>
          <w:sz w:val="20"/>
          <w:szCs w:val="20"/>
        </w:rPr>
      </w:pPr>
    </w:p>
    <w:p w:rsidR="004549E4" w:rsidRPr="008564FF" w:rsidP="004549E4">
      <w:pPr>
        <w:autoSpaceDE w:val="0"/>
        <w:autoSpaceDN w:val="0"/>
        <w:adjustRightInd w:val="0"/>
        <w:snapToGrid w:val="0"/>
        <w:spacing w:line="360" w:lineRule="auto"/>
        <w:jc w:val="left"/>
        <w:rPr>
          <w:rFonts w:asciiTheme="minorEastAsia" w:eastAsiaTheme="minorEastAsia" w:hAnsiTheme="minorEastAsia"/>
          <w:kern w:val="0"/>
          <w:sz w:val="20"/>
          <w:szCs w:val="20"/>
        </w:rPr>
      </w:pPr>
    </w:p>
    <w:p w:rsidR="004549E4" w:rsidRPr="008564FF" w:rsidP="004549E4">
      <w:pPr>
        <w:autoSpaceDE w:val="0"/>
        <w:autoSpaceDN w:val="0"/>
        <w:adjustRightInd w:val="0"/>
        <w:snapToGrid w:val="0"/>
        <w:spacing w:line="360" w:lineRule="auto"/>
        <w:jc w:val="left"/>
        <w:rPr>
          <w:rFonts w:asciiTheme="minorEastAsia" w:eastAsiaTheme="minorEastAsia" w:hAnsiTheme="minorEastAsia"/>
          <w:kern w:val="0"/>
          <w:sz w:val="20"/>
          <w:szCs w:val="20"/>
        </w:rPr>
      </w:pPr>
    </w:p>
    <w:p w:rsidR="004549E4" w:rsidRPr="008564FF" w:rsidP="004549E4">
      <w:pPr>
        <w:autoSpaceDE w:val="0"/>
        <w:autoSpaceDN w:val="0"/>
        <w:adjustRightInd w:val="0"/>
        <w:snapToGrid w:val="0"/>
        <w:spacing w:line="360" w:lineRule="auto"/>
        <w:jc w:val="left"/>
        <w:rPr>
          <w:rFonts w:asciiTheme="minorEastAsia" w:eastAsiaTheme="minorEastAsia" w:hAnsiTheme="minorEastAsia"/>
          <w:kern w:val="0"/>
          <w:sz w:val="20"/>
          <w:szCs w:val="20"/>
        </w:rPr>
      </w:pPr>
    </w:p>
    <w:p w:rsidR="004549E4" w:rsidRPr="008564FF" w:rsidP="004549E4">
      <w:pPr>
        <w:autoSpaceDE w:val="0"/>
        <w:autoSpaceDN w:val="0"/>
        <w:adjustRightInd w:val="0"/>
        <w:snapToGrid w:val="0"/>
        <w:spacing w:line="360" w:lineRule="auto"/>
        <w:jc w:val="left"/>
        <w:rPr>
          <w:rFonts w:asciiTheme="minorEastAsia" w:eastAsiaTheme="minorEastAsia" w:hAnsiTheme="minorEastAsia"/>
          <w:kern w:val="0"/>
          <w:sz w:val="20"/>
          <w:szCs w:val="20"/>
        </w:rPr>
      </w:pPr>
    </w:p>
    <w:p w:rsidR="004549E4" w:rsidRPr="008564FF" w:rsidP="004549E4">
      <w:pPr>
        <w:autoSpaceDE w:val="0"/>
        <w:autoSpaceDN w:val="0"/>
        <w:adjustRightInd w:val="0"/>
        <w:snapToGrid w:val="0"/>
        <w:spacing w:line="360" w:lineRule="auto"/>
        <w:jc w:val="left"/>
        <w:rPr>
          <w:rFonts w:asciiTheme="minorEastAsia" w:eastAsiaTheme="minorEastAsia" w:hAnsiTheme="minorEastAsia"/>
          <w:kern w:val="0"/>
          <w:sz w:val="20"/>
          <w:szCs w:val="20"/>
        </w:rPr>
      </w:pPr>
    </w:p>
    <w:p w:rsidR="004549E4" w:rsidRPr="008564FF" w:rsidP="004549E4">
      <w:pPr>
        <w:autoSpaceDE w:val="0"/>
        <w:autoSpaceDN w:val="0"/>
        <w:adjustRightInd w:val="0"/>
        <w:snapToGrid w:val="0"/>
        <w:spacing w:line="360" w:lineRule="auto"/>
        <w:jc w:val="left"/>
        <w:rPr>
          <w:rFonts w:asciiTheme="minorEastAsia" w:eastAsiaTheme="minorEastAsia" w:hAnsiTheme="minorEastAsia"/>
          <w:kern w:val="0"/>
          <w:sz w:val="20"/>
          <w:szCs w:val="20"/>
        </w:rPr>
      </w:pPr>
    </w:p>
    <w:p w:rsidR="004549E4" w:rsidRPr="008564FF" w:rsidP="004549E4">
      <w:pPr>
        <w:autoSpaceDE w:val="0"/>
        <w:autoSpaceDN w:val="0"/>
        <w:adjustRightInd w:val="0"/>
        <w:snapToGrid w:val="0"/>
        <w:spacing w:line="360" w:lineRule="auto"/>
        <w:jc w:val="left"/>
        <w:rPr>
          <w:rFonts w:asciiTheme="minorEastAsia" w:eastAsiaTheme="minorEastAsia" w:hAnsiTheme="minorEastAsia"/>
          <w:kern w:val="0"/>
          <w:sz w:val="20"/>
          <w:szCs w:val="20"/>
        </w:rPr>
      </w:pPr>
    </w:p>
    <w:p w:rsidR="004549E4" w:rsidRPr="008564FF" w:rsidP="004549E4">
      <w:pPr>
        <w:autoSpaceDE w:val="0"/>
        <w:autoSpaceDN w:val="0"/>
        <w:adjustRightInd w:val="0"/>
        <w:snapToGrid w:val="0"/>
        <w:spacing w:line="360" w:lineRule="auto"/>
        <w:jc w:val="left"/>
        <w:rPr>
          <w:rFonts w:asciiTheme="minorEastAsia" w:eastAsiaTheme="minorEastAsia" w:hAnsiTheme="minorEastAsia"/>
          <w:kern w:val="0"/>
          <w:sz w:val="20"/>
          <w:szCs w:val="20"/>
        </w:rPr>
      </w:pPr>
    </w:p>
    <w:p w:rsidR="004549E4" w:rsidRPr="008564FF" w:rsidP="004549E4">
      <w:pPr>
        <w:autoSpaceDE w:val="0"/>
        <w:autoSpaceDN w:val="0"/>
        <w:adjustRightInd w:val="0"/>
        <w:snapToGrid w:val="0"/>
        <w:spacing w:line="360" w:lineRule="auto"/>
        <w:jc w:val="left"/>
        <w:rPr>
          <w:rFonts w:asciiTheme="minorEastAsia" w:eastAsiaTheme="minorEastAsia" w:hAnsiTheme="minorEastAsia"/>
          <w:kern w:val="0"/>
          <w:sz w:val="20"/>
          <w:szCs w:val="20"/>
        </w:rPr>
      </w:pPr>
    </w:p>
    <w:p w:rsidR="004549E4" w:rsidRPr="008564FF" w:rsidP="004549E4">
      <w:pPr>
        <w:autoSpaceDE w:val="0"/>
        <w:autoSpaceDN w:val="0"/>
        <w:adjustRightInd w:val="0"/>
        <w:snapToGrid w:val="0"/>
        <w:spacing w:line="360" w:lineRule="auto"/>
        <w:jc w:val="left"/>
        <w:rPr>
          <w:rFonts w:asciiTheme="minorEastAsia" w:eastAsiaTheme="minorEastAsia" w:hAnsiTheme="minorEastAsia"/>
          <w:kern w:val="0"/>
          <w:sz w:val="20"/>
          <w:szCs w:val="20"/>
        </w:rPr>
      </w:pPr>
    </w:p>
    <w:p w:rsidR="004549E4" w:rsidRPr="008564FF" w:rsidP="004549E4">
      <w:pPr>
        <w:autoSpaceDE w:val="0"/>
        <w:autoSpaceDN w:val="0"/>
        <w:adjustRightInd w:val="0"/>
        <w:snapToGrid w:val="0"/>
        <w:spacing w:line="360" w:lineRule="auto"/>
        <w:jc w:val="left"/>
        <w:rPr>
          <w:rFonts w:asciiTheme="minorEastAsia" w:eastAsiaTheme="minorEastAsia" w:hAnsiTheme="minorEastAsia"/>
          <w:kern w:val="0"/>
          <w:sz w:val="20"/>
          <w:szCs w:val="20"/>
        </w:rPr>
      </w:pPr>
    </w:p>
    <w:p w:rsidR="004549E4" w:rsidRPr="008564FF" w:rsidP="004549E4">
      <w:pPr>
        <w:autoSpaceDE w:val="0"/>
        <w:autoSpaceDN w:val="0"/>
        <w:adjustRightInd w:val="0"/>
        <w:snapToGrid w:val="0"/>
        <w:spacing w:line="360" w:lineRule="auto"/>
        <w:jc w:val="left"/>
        <w:rPr>
          <w:rFonts w:asciiTheme="minorEastAsia" w:eastAsiaTheme="minorEastAsia" w:hAnsiTheme="minorEastAsia"/>
          <w:kern w:val="0"/>
          <w:sz w:val="20"/>
          <w:szCs w:val="20"/>
        </w:rPr>
      </w:pPr>
    </w:p>
    <w:p w:rsidR="004549E4" w:rsidRPr="008564FF" w:rsidP="004549E4">
      <w:pPr>
        <w:autoSpaceDE w:val="0"/>
        <w:autoSpaceDN w:val="0"/>
        <w:adjustRightInd w:val="0"/>
        <w:snapToGrid w:val="0"/>
        <w:spacing w:line="360" w:lineRule="auto"/>
        <w:jc w:val="left"/>
        <w:rPr>
          <w:rFonts w:asciiTheme="minorEastAsia" w:eastAsiaTheme="minorEastAsia" w:hAnsiTheme="minorEastAsia"/>
          <w:kern w:val="0"/>
          <w:sz w:val="20"/>
          <w:szCs w:val="20"/>
        </w:rPr>
      </w:pPr>
    </w:p>
    <w:p w:rsidR="004549E4" w:rsidRPr="008564FF" w:rsidP="004549E4">
      <w:pPr>
        <w:autoSpaceDE w:val="0"/>
        <w:autoSpaceDN w:val="0"/>
        <w:adjustRightInd w:val="0"/>
        <w:snapToGrid w:val="0"/>
        <w:spacing w:line="360" w:lineRule="auto"/>
        <w:jc w:val="left"/>
        <w:rPr>
          <w:rFonts w:asciiTheme="minorEastAsia" w:eastAsiaTheme="minorEastAsia" w:hAnsiTheme="minorEastAsia"/>
          <w:kern w:val="0"/>
          <w:sz w:val="20"/>
          <w:szCs w:val="20"/>
        </w:rPr>
      </w:pPr>
    </w:p>
    <w:p w:rsidR="008564FF" w:rsidP="004549E4">
      <w:pPr>
        <w:snapToGrid w:val="0"/>
        <w:spacing w:line="360" w:lineRule="auto"/>
        <w:ind w:firstLine="640"/>
        <w:rPr>
          <w:rFonts w:asciiTheme="minorEastAsia" w:eastAsiaTheme="minorEastAsia" w:hAnsiTheme="minorEastAsia"/>
        </w:rPr>
        <w:sectPr w:rsidSect="008564FF">
          <w:type w:val="continuous"/>
          <w:pgSz w:w="11907" w:h="16840"/>
          <w:pgMar w:top="1440" w:right="1800" w:bottom="1440" w:left="1800" w:header="1134" w:footer="1247" w:gutter="0"/>
          <w:cols w:space="720"/>
          <w:docGrid w:type="lines" w:linePitch="312"/>
        </w:sectPr>
      </w:pPr>
    </w:p>
    <w:p w:rsidR="003A3487" w:rsidRPr="008564FF" w:rsidP="00485893">
      <w:pPr>
        <w:pStyle w:val="Heading1"/>
        <w:snapToGrid w:val="0"/>
        <w:spacing w:beforeLines="0" w:afterLines="0" w:line="360" w:lineRule="auto"/>
        <w:ind w:firstLine="643"/>
        <w:rPr>
          <w:rFonts w:asciiTheme="minorEastAsia" w:eastAsiaTheme="minorEastAsia" w:hAnsiTheme="minorEastAsia"/>
          <w:b/>
          <w:bCs/>
        </w:rPr>
      </w:pPr>
      <w:bookmarkStart w:id="33" w:name="_Toc91749210"/>
      <w:r w:rsidRPr="008564FF">
        <w:rPr>
          <w:rFonts w:asciiTheme="minorEastAsia" w:eastAsiaTheme="minorEastAsia" w:hAnsiTheme="minorEastAsia" w:hint="eastAsia"/>
          <w:b/>
          <w:bCs/>
        </w:rPr>
        <w:t>七、基金合同的生效</w:t>
      </w:r>
      <w:bookmarkEnd w:id="33"/>
    </w:p>
    <w:p w:rsidR="0055362E" w:rsidRPr="008564FF" w:rsidP="009C2B2A">
      <w:pPr>
        <w:pStyle w:val="Heading2"/>
        <w:snapToGrid w:val="0"/>
        <w:spacing w:beforeLines="0" w:afterLines="0" w:line="360" w:lineRule="auto"/>
        <w:ind w:firstLine="0" w:firstLineChars="0"/>
        <w:rPr>
          <w:rFonts w:asciiTheme="minorEastAsia" w:eastAsiaTheme="minorEastAsia" w:hAnsiTheme="minorEastAsia"/>
          <w:b w:val="0"/>
        </w:rPr>
      </w:pPr>
      <w:bookmarkStart w:id="34" w:name="_Toc91749211"/>
      <w:r w:rsidRPr="008564FF">
        <w:rPr>
          <w:rFonts w:asciiTheme="minorEastAsia" w:eastAsiaTheme="minorEastAsia" w:hAnsiTheme="minorEastAsia" w:hint="eastAsia"/>
          <w:b w:val="0"/>
        </w:rPr>
        <w:t>（一）基金合同的生效</w:t>
      </w:r>
      <w:bookmarkEnd w:id="34"/>
    </w:p>
    <w:p w:rsidR="003A3487" w:rsidRPr="008564FF" w:rsidP="004549E4">
      <w:pPr>
        <w:snapToGrid w:val="0"/>
        <w:spacing w:line="360" w:lineRule="auto"/>
        <w:ind w:firstLine="420" w:firstLineChars="200"/>
        <w:rPr>
          <w:rFonts w:asciiTheme="minorEastAsia" w:eastAsiaTheme="minorEastAsia" w:hAnsiTheme="minorEastAsia"/>
        </w:rPr>
      </w:pPr>
      <w:r w:rsidRPr="008564FF">
        <w:rPr>
          <w:rFonts w:asciiTheme="minorEastAsia" w:eastAsiaTheme="minorEastAsia" w:hAnsiTheme="minorEastAsia" w:hint="eastAsia"/>
        </w:rPr>
        <w:t>本基金基金合同于2009年3月26日正式生效。自基金合同生效日起，本基金管理人正式开始管理本基金。</w:t>
      </w:r>
    </w:p>
    <w:p w:rsidR="0055362E" w:rsidRPr="008564FF" w:rsidP="009C2B2A">
      <w:pPr>
        <w:pStyle w:val="Heading2"/>
        <w:snapToGrid w:val="0"/>
        <w:spacing w:beforeLines="0" w:afterLines="0" w:line="360" w:lineRule="auto"/>
        <w:ind w:firstLine="0" w:firstLineChars="0"/>
        <w:rPr>
          <w:rFonts w:asciiTheme="minorEastAsia" w:eastAsiaTheme="minorEastAsia" w:hAnsiTheme="minorEastAsia"/>
          <w:b w:val="0"/>
        </w:rPr>
      </w:pPr>
      <w:bookmarkStart w:id="35" w:name="_Toc91749212"/>
      <w:r w:rsidRPr="008564FF">
        <w:rPr>
          <w:rFonts w:asciiTheme="minorEastAsia" w:eastAsiaTheme="minorEastAsia" w:hAnsiTheme="minorEastAsia" w:hint="eastAsia"/>
          <w:b w:val="0"/>
        </w:rPr>
        <w:t>（二）基金存续期内的基金份额持有人数量和资产规模</w:t>
      </w:r>
      <w:bookmarkEnd w:id="35"/>
    </w:p>
    <w:p w:rsidR="0055362E"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基金合同》生效后，连续二十个工作日出现基金份额持有人数量不满二百人或者基金资产净值低于五千万元情形的，基金管理人应当在定期报告中予以披露；连续六十个工作日出现前述情形的，基金管理人应当向中国证监会报告并提出解决方案，如转换运作方式、与其他基金合并或者终止基金合同等，并召开基金份额持有人大会进行表决。法律法规另有规定时，从其规定。</w:t>
      </w:r>
    </w:p>
    <w:p w:rsidR="003A3487" w:rsidRPr="008564FF" w:rsidP="004549E4">
      <w:pPr>
        <w:autoSpaceDE w:val="0"/>
        <w:autoSpaceDN w:val="0"/>
        <w:adjustRightInd w:val="0"/>
        <w:snapToGrid w:val="0"/>
        <w:spacing w:line="360" w:lineRule="auto"/>
        <w:jc w:val="left"/>
        <w:rPr>
          <w:rFonts w:asciiTheme="minorEastAsia" w:eastAsiaTheme="minorEastAsia" w:hAnsiTheme="minorEastAsia"/>
          <w:szCs w:val="21"/>
        </w:rPr>
      </w:pPr>
    </w:p>
    <w:p w:rsidR="004549E4" w:rsidRPr="008564FF" w:rsidP="004549E4">
      <w:pPr>
        <w:autoSpaceDE w:val="0"/>
        <w:autoSpaceDN w:val="0"/>
        <w:adjustRightInd w:val="0"/>
        <w:snapToGrid w:val="0"/>
        <w:spacing w:line="360" w:lineRule="auto"/>
        <w:jc w:val="left"/>
        <w:rPr>
          <w:rFonts w:asciiTheme="minorEastAsia" w:eastAsiaTheme="minorEastAsia" w:hAnsiTheme="minorEastAsia"/>
          <w:szCs w:val="21"/>
        </w:rPr>
      </w:pPr>
    </w:p>
    <w:p w:rsidR="004549E4" w:rsidRPr="008564FF" w:rsidP="004549E4">
      <w:pPr>
        <w:autoSpaceDE w:val="0"/>
        <w:autoSpaceDN w:val="0"/>
        <w:adjustRightInd w:val="0"/>
        <w:snapToGrid w:val="0"/>
        <w:spacing w:line="360" w:lineRule="auto"/>
        <w:jc w:val="left"/>
        <w:rPr>
          <w:rFonts w:asciiTheme="minorEastAsia" w:eastAsiaTheme="minorEastAsia" w:hAnsiTheme="minorEastAsia"/>
          <w:szCs w:val="21"/>
        </w:rPr>
      </w:pPr>
    </w:p>
    <w:p w:rsidR="004549E4" w:rsidRPr="008564FF" w:rsidP="004549E4">
      <w:pPr>
        <w:autoSpaceDE w:val="0"/>
        <w:autoSpaceDN w:val="0"/>
        <w:adjustRightInd w:val="0"/>
        <w:snapToGrid w:val="0"/>
        <w:spacing w:line="360" w:lineRule="auto"/>
        <w:jc w:val="left"/>
        <w:rPr>
          <w:rFonts w:asciiTheme="minorEastAsia" w:eastAsiaTheme="minorEastAsia" w:hAnsiTheme="minorEastAsia"/>
          <w:szCs w:val="21"/>
        </w:rPr>
      </w:pPr>
    </w:p>
    <w:p w:rsidR="004549E4" w:rsidRPr="008564FF" w:rsidP="004549E4">
      <w:pPr>
        <w:autoSpaceDE w:val="0"/>
        <w:autoSpaceDN w:val="0"/>
        <w:adjustRightInd w:val="0"/>
        <w:snapToGrid w:val="0"/>
        <w:spacing w:line="360" w:lineRule="auto"/>
        <w:jc w:val="left"/>
        <w:rPr>
          <w:rFonts w:asciiTheme="minorEastAsia" w:eastAsiaTheme="minorEastAsia" w:hAnsiTheme="minorEastAsia"/>
          <w:szCs w:val="21"/>
        </w:rPr>
      </w:pPr>
    </w:p>
    <w:p w:rsidR="004549E4" w:rsidRPr="008564FF" w:rsidP="004549E4">
      <w:pPr>
        <w:autoSpaceDE w:val="0"/>
        <w:autoSpaceDN w:val="0"/>
        <w:adjustRightInd w:val="0"/>
        <w:snapToGrid w:val="0"/>
        <w:spacing w:line="360" w:lineRule="auto"/>
        <w:jc w:val="left"/>
        <w:rPr>
          <w:rFonts w:asciiTheme="minorEastAsia" w:eastAsiaTheme="minorEastAsia" w:hAnsiTheme="minorEastAsia"/>
          <w:szCs w:val="21"/>
        </w:rPr>
      </w:pPr>
    </w:p>
    <w:p w:rsidR="004549E4" w:rsidRPr="008564FF" w:rsidP="004549E4">
      <w:pPr>
        <w:autoSpaceDE w:val="0"/>
        <w:autoSpaceDN w:val="0"/>
        <w:adjustRightInd w:val="0"/>
        <w:snapToGrid w:val="0"/>
        <w:spacing w:line="360" w:lineRule="auto"/>
        <w:jc w:val="left"/>
        <w:rPr>
          <w:rFonts w:asciiTheme="minorEastAsia" w:eastAsiaTheme="minorEastAsia" w:hAnsiTheme="minorEastAsia"/>
          <w:szCs w:val="21"/>
        </w:rPr>
      </w:pPr>
    </w:p>
    <w:p w:rsidR="004549E4" w:rsidRPr="008564FF" w:rsidP="004549E4">
      <w:pPr>
        <w:autoSpaceDE w:val="0"/>
        <w:autoSpaceDN w:val="0"/>
        <w:adjustRightInd w:val="0"/>
        <w:snapToGrid w:val="0"/>
        <w:spacing w:line="360" w:lineRule="auto"/>
        <w:jc w:val="left"/>
        <w:rPr>
          <w:rFonts w:asciiTheme="minorEastAsia" w:eastAsiaTheme="minorEastAsia" w:hAnsiTheme="minorEastAsia"/>
          <w:szCs w:val="21"/>
        </w:rPr>
      </w:pPr>
    </w:p>
    <w:p w:rsidR="004549E4" w:rsidRPr="008564FF" w:rsidP="004549E4">
      <w:pPr>
        <w:autoSpaceDE w:val="0"/>
        <w:autoSpaceDN w:val="0"/>
        <w:adjustRightInd w:val="0"/>
        <w:snapToGrid w:val="0"/>
        <w:spacing w:line="360" w:lineRule="auto"/>
        <w:jc w:val="left"/>
        <w:rPr>
          <w:rFonts w:asciiTheme="minorEastAsia" w:eastAsiaTheme="minorEastAsia" w:hAnsiTheme="minorEastAsia"/>
          <w:szCs w:val="21"/>
        </w:rPr>
      </w:pPr>
    </w:p>
    <w:p w:rsidR="004549E4" w:rsidRPr="008564FF" w:rsidP="004549E4">
      <w:pPr>
        <w:autoSpaceDE w:val="0"/>
        <w:autoSpaceDN w:val="0"/>
        <w:adjustRightInd w:val="0"/>
        <w:snapToGrid w:val="0"/>
        <w:spacing w:line="360" w:lineRule="auto"/>
        <w:jc w:val="left"/>
        <w:rPr>
          <w:rFonts w:asciiTheme="minorEastAsia" w:eastAsiaTheme="minorEastAsia" w:hAnsiTheme="minorEastAsia"/>
          <w:szCs w:val="21"/>
        </w:rPr>
      </w:pPr>
    </w:p>
    <w:p w:rsidR="004549E4" w:rsidRPr="008564FF" w:rsidP="004549E4">
      <w:pPr>
        <w:autoSpaceDE w:val="0"/>
        <w:autoSpaceDN w:val="0"/>
        <w:adjustRightInd w:val="0"/>
        <w:snapToGrid w:val="0"/>
        <w:spacing w:line="360" w:lineRule="auto"/>
        <w:jc w:val="left"/>
        <w:rPr>
          <w:rFonts w:asciiTheme="minorEastAsia" w:eastAsiaTheme="minorEastAsia" w:hAnsiTheme="minorEastAsia"/>
          <w:szCs w:val="21"/>
        </w:rPr>
      </w:pPr>
    </w:p>
    <w:p w:rsidR="004549E4" w:rsidRPr="008564FF" w:rsidP="004549E4">
      <w:pPr>
        <w:autoSpaceDE w:val="0"/>
        <w:autoSpaceDN w:val="0"/>
        <w:adjustRightInd w:val="0"/>
        <w:snapToGrid w:val="0"/>
        <w:spacing w:line="360" w:lineRule="auto"/>
        <w:jc w:val="left"/>
        <w:rPr>
          <w:rFonts w:asciiTheme="minorEastAsia" w:eastAsiaTheme="minorEastAsia" w:hAnsiTheme="minorEastAsia"/>
          <w:szCs w:val="21"/>
        </w:rPr>
      </w:pPr>
    </w:p>
    <w:p w:rsidR="004549E4" w:rsidRPr="008564FF" w:rsidP="004549E4">
      <w:pPr>
        <w:autoSpaceDE w:val="0"/>
        <w:autoSpaceDN w:val="0"/>
        <w:adjustRightInd w:val="0"/>
        <w:snapToGrid w:val="0"/>
        <w:spacing w:line="360" w:lineRule="auto"/>
        <w:jc w:val="left"/>
        <w:rPr>
          <w:rFonts w:asciiTheme="minorEastAsia" w:eastAsiaTheme="minorEastAsia" w:hAnsiTheme="minorEastAsia"/>
          <w:szCs w:val="21"/>
        </w:rPr>
      </w:pPr>
    </w:p>
    <w:p w:rsidR="004549E4" w:rsidRPr="008564FF" w:rsidP="004549E4">
      <w:pPr>
        <w:autoSpaceDE w:val="0"/>
        <w:autoSpaceDN w:val="0"/>
        <w:adjustRightInd w:val="0"/>
        <w:snapToGrid w:val="0"/>
        <w:spacing w:line="360" w:lineRule="auto"/>
        <w:jc w:val="left"/>
        <w:rPr>
          <w:rFonts w:asciiTheme="minorEastAsia" w:eastAsiaTheme="minorEastAsia" w:hAnsiTheme="minorEastAsia"/>
          <w:szCs w:val="21"/>
        </w:rPr>
      </w:pPr>
    </w:p>
    <w:p w:rsidR="004549E4" w:rsidRPr="008564FF" w:rsidP="004549E4">
      <w:pPr>
        <w:autoSpaceDE w:val="0"/>
        <w:autoSpaceDN w:val="0"/>
        <w:adjustRightInd w:val="0"/>
        <w:snapToGrid w:val="0"/>
        <w:spacing w:line="360" w:lineRule="auto"/>
        <w:jc w:val="left"/>
        <w:rPr>
          <w:rFonts w:asciiTheme="minorEastAsia" w:eastAsiaTheme="minorEastAsia" w:hAnsiTheme="minorEastAsia"/>
          <w:szCs w:val="21"/>
        </w:rPr>
      </w:pPr>
    </w:p>
    <w:p w:rsidR="004549E4" w:rsidRPr="008564FF" w:rsidP="004549E4">
      <w:pPr>
        <w:autoSpaceDE w:val="0"/>
        <w:autoSpaceDN w:val="0"/>
        <w:adjustRightInd w:val="0"/>
        <w:snapToGrid w:val="0"/>
        <w:spacing w:line="360" w:lineRule="auto"/>
        <w:jc w:val="left"/>
        <w:rPr>
          <w:rFonts w:asciiTheme="minorEastAsia" w:eastAsiaTheme="minorEastAsia" w:hAnsiTheme="minorEastAsia"/>
          <w:szCs w:val="21"/>
        </w:rPr>
      </w:pPr>
    </w:p>
    <w:p w:rsidR="004549E4" w:rsidRPr="008564FF" w:rsidP="004549E4">
      <w:pPr>
        <w:autoSpaceDE w:val="0"/>
        <w:autoSpaceDN w:val="0"/>
        <w:adjustRightInd w:val="0"/>
        <w:snapToGrid w:val="0"/>
        <w:spacing w:line="360" w:lineRule="auto"/>
        <w:jc w:val="left"/>
        <w:rPr>
          <w:rFonts w:asciiTheme="minorEastAsia" w:eastAsiaTheme="minorEastAsia" w:hAnsiTheme="minorEastAsia"/>
          <w:szCs w:val="21"/>
        </w:rPr>
      </w:pPr>
    </w:p>
    <w:p w:rsidR="004549E4" w:rsidRPr="008564FF" w:rsidP="004549E4">
      <w:pPr>
        <w:autoSpaceDE w:val="0"/>
        <w:autoSpaceDN w:val="0"/>
        <w:adjustRightInd w:val="0"/>
        <w:snapToGrid w:val="0"/>
        <w:spacing w:line="360" w:lineRule="auto"/>
        <w:jc w:val="left"/>
        <w:rPr>
          <w:rFonts w:asciiTheme="minorEastAsia" w:eastAsiaTheme="minorEastAsia" w:hAnsiTheme="minorEastAsia"/>
          <w:szCs w:val="21"/>
        </w:rPr>
      </w:pPr>
    </w:p>
    <w:p w:rsidR="004549E4" w:rsidRPr="008564FF" w:rsidP="004549E4">
      <w:pPr>
        <w:autoSpaceDE w:val="0"/>
        <w:autoSpaceDN w:val="0"/>
        <w:adjustRightInd w:val="0"/>
        <w:snapToGrid w:val="0"/>
        <w:spacing w:line="360" w:lineRule="auto"/>
        <w:jc w:val="left"/>
        <w:rPr>
          <w:rFonts w:asciiTheme="minorEastAsia" w:eastAsiaTheme="minorEastAsia" w:hAnsiTheme="minorEastAsia"/>
          <w:szCs w:val="21"/>
        </w:rPr>
      </w:pPr>
    </w:p>
    <w:p w:rsidR="003A3487" w:rsidRPr="008564FF" w:rsidP="00485893">
      <w:pPr>
        <w:pStyle w:val="Heading1"/>
        <w:snapToGrid w:val="0"/>
        <w:spacing w:beforeLines="0" w:afterLines="0" w:line="360" w:lineRule="auto"/>
        <w:ind w:firstLine="643"/>
        <w:rPr>
          <w:rFonts w:asciiTheme="minorEastAsia" w:eastAsiaTheme="minorEastAsia" w:hAnsiTheme="minorEastAsia"/>
          <w:bCs/>
        </w:rPr>
      </w:pPr>
      <w:bookmarkStart w:id="36" w:name="_Toc91749213"/>
      <w:r w:rsidRPr="008564FF">
        <w:rPr>
          <w:rFonts w:asciiTheme="minorEastAsia" w:eastAsiaTheme="minorEastAsia" w:hAnsiTheme="minorEastAsia" w:hint="eastAsia"/>
          <w:b/>
          <w:bCs/>
        </w:rPr>
        <w:t>八、基金份额的申购、赎回</w:t>
      </w:r>
      <w:bookmarkEnd w:id="36"/>
    </w:p>
    <w:p w:rsidR="003A3487" w:rsidRPr="008564FF" w:rsidP="009C2B2A">
      <w:pPr>
        <w:pStyle w:val="Heading2"/>
        <w:snapToGrid w:val="0"/>
        <w:spacing w:beforeLines="0" w:afterLines="0" w:line="360" w:lineRule="auto"/>
        <w:ind w:firstLine="0" w:firstLineChars="0"/>
        <w:rPr>
          <w:rFonts w:asciiTheme="minorEastAsia" w:eastAsiaTheme="minorEastAsia" w:hAnsiTheme="minorEastAsia"/>
          <w:b w:val="0"/>
        </w:rPr>
      </w:pPr>
      <w:bookmarkStart w:id="37" w:name="_Toc91749214"/>
      <w:r w:rsidRPr="008564FF">
        <w:rPr>
          <w:rFonts w:asciiTheme="minorEastAsia" w:eastAsiaTheme="minorEastAsia" w:hAnsiTheme="minorEastAsia" w:hint="eastAsia"/>
          <w:b w:val="0"/>
        </w:rPr>
        <w:t>（一）基金投资者范围</w:t>
      </w:r>
      <w:bookmarkEnd w:id="37"/>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符合法律法规规定的个人投资者、机构投资者及合格境外机构投资者，以及法律法规或中国证监会允许购买证券投资基金的其他投资者。</w:t>
      </w:r>
    </w:p>
    <w:p w:rsidR="003A3487" w:rsidRPr="008564FF" w:rsidP="009C2B2A">
      <w:pPr>
        <w:pStyle w:val="Heading2"/>
        <w:snapToGrid w:val="0"/>
        <w:spacing w:beforeLines="0" w:afterLines="0" w:line="360" w:lineRule="auto"/>
        <w:ind w:firstLine="0" w:firstLineChars="0"/>
        <w:rPr>
          <w:rFonts w:asciiTheme="minorEastAsia" w:eastAsiaTheme="minorEastAsia" w:hAnsiTheme="minorEastAsia"/>
        </w:rPr>
      </w:pPr>
      <w:bookmarkStart w:id="38" w:name="_Toc91749215"/>
      <w:r w:rsidRPr="008564FF">
        <w:rPr>
          <w:rFonts w:asciiTheme="minorEastAsia" w:eastAsiaTheme="minorEastAsia" w:hAnsiTheme="minorEastAsia" w:hint="eastAsia"/>
          <w:b w:val="0"/>
        </w:rPr>
        <w:t>（二）申购、赎回的场所</w:t>
      </w:r>
      <w:bookmarkEnd w:id="38"/>
    </w:p>
    <w:p w:rsidR="003A3487" w:rsidRPr="008564FF" w:rsidP="004549E4">
      <w:pPr>
        <w:pStyle w:val="20"/>
        <w:autoSpaceDE w:val="0"/>
        <w:autoSpaceDN w:val="0"/>
        <w:snapToGrid w:val="0"/>
        <w:spacing w:before="0" w:beforeAutospacing="0" w:after="0" w:afterAutospacing="0"/>
        <w:ind w:firstLine="420" w:firstLineChars="0"/>
        <w:textAlignment w:val="bottom"/>
        <w:rPr>
          <w:rFonts w:asciiTheme="minorEastAsia" w:eastAsiaTheme="minorEastAsia" w:hAnsiTheme="minorEastAsia"/>
        </w:rPr>
      </w:pPr>
      <w:r w:rsidRPr="008564FF">
        <w:rPr>
          <w:rFonts w:asciiTheme="minorEastAsia" w:eastAsiaTheme="minorEastAsia" w:hAnsiTheme="minorEastAsia" w:hint="eastAsia"/>
        </w:rPr>
        <w:t>1、基金管理人的直销</w:t>
      </w:r>
      <w:r w:rsidRPr="008564FF" w:rsidR="005A63EE">
        <w:rPr>
          <w:rFonts w:asciiTheme="minorEastAsia" w:eastAsiaTheme="minorEastAsia" w:hAnsiTheme="minorEastAsia" w:hint="eastAsia"/>
        </w:rPr>
        <w:t>中心</w:t>
      </w:r>
      <w:r w:rsidRPr="008564FF">
        <w:rPr>
          <w:rFonts w:asciiTheme="minorEastAsia" w:eastAsiaTheme="minorEastAsia" w:hAnsiTheme="minorEastAsia" w:hint="eastAsia"/>
        </w:rPr>
        <w:t>、网上交易系统(www.efunds.com.cn)；</w:t>
      </w:r>
    </w:p>
    <w:p w:rsidR="003A3487" w:rsidRPr="008564FF" w:rsidP="004549E4">
      <w:pPr>
        <w:pStyle w:val="20"/>
        <w:autoSpaceDE w:val="0"/>
        <w:autoSpaceDN w:val="0"/>
        <w:snapToGrid w:val="0"/>
        <w:spacing w:before="0" w:beforeAutospacing="0" w:after="0" w:afterAutospacing="0"/>
        <w:ind w:firstLine="420" w:firstLineChars="0"/>
        <w:textAlignment w:val="bottom"/>
        <w:rPr>
          <w:rFonts w:asciiTheme="minorEastAsia" w:eastAsiaTheme="minorEastAsia" w:hAnsiTheme="minorEastAsia"/>
        </w:rPr>
      </w:pPr>
      <w:r w:rsidRPr="008564FF">
        <w:rPr>
          <w:rFonts w:asciiTheme="minorEastAsia" w:eastAsiaTheme="minorEastAsia" w:hAnsiTheme="minorEastAsia" w:hint="eastAsia"/>
        </w:rPr>
        <w:t>2、各</w:t>
      </w:r>
      <w:r w:rsidRPr="008564FF" w:rsidR="007F5C61">
        <w:rPr>
          <w:rFonts w:asciiTheme="minorEastAsia" w:eastAsiaTheme="minorEastAsia" w:hAnsiTheme="minorEastAsia" w:hint="eastAsia"/>
        </w:rPr>
        <w:t>非直销销售</w:t>
      </w:r>
      <w:r w:rsidRPr="008564FF">
        <w:rPr>
          <w:rFonts w:asciiTheme="minorEastAsia" w:eastAsiaTheme="minorEastAsia" w:hAnsiTheme="minorEastAsia" w:hint="eastAsia"/>
        </w:rPr>
        <w:t>机构开办开放式基金业务的营业网点。</w:t>
      </w:r>
    </w:p>
    <w:p w:rsidR="003A3487" w:rsidRPr="008564FF" w:rsidP="004549E4">
      <w:pPr>
        <w:pStyle w:val="20"/>
        <w:autoSpaceDE w:val="0"/>
        <w:autoSpaceDN w:val="0"/>
        <w:snapToGrid w:val="0"/>
        <w:spacing w:before="0" w:beforeAutospacing="0" w:after="0" w:afterAutospacing="0"/>
        <w:ind w:firstLine="420" w:firstLineChars="0"/>
        <w:textAlignment w:val="bottom"/>
        <w:rPr>
          <w:rFonts w:asciiTheme="minorEastAsia" w:eastAsiaTheme="minorEastAsia" w:hAnsiTheme="minorEastAsia"/>
        </w:rPr>
      </w:pPr>
      <w:r w:rsidRPr="008564FF">
        <w:rPr>
          <w:rFonts w:asciiTheme="minorEastAsia" w:eastAsiaTheme="minorEastAsia" w:hAnsiTheme="minorEastAsia" w:hint="eastAsia"/>
        </w:rPr>
        <w:t>基金管理人可根据情况变更基金的销售机构，</w:t>
      </w:r>
      <w:r w:rsidRPr="008564FF" w:rsidR="00365EC5">
        <w:rPr>
          <w:rFonts w:asciiTheme="minorEastAsia" w:eastAsiaTheme="minorEastAsia" w:hAnsiTheme="minorEastAsia" w:hint="eastAsia"/>
        </w:rPr>
        <w:t>并在基金管理人网站公示</w:t>
      </w:r>
      <w:r w:rsidRPr="008564FF">
        <w:rPr>
          <w:rFonts w:asciiTheme="minorEastAsia" w:eastAsiaTheme="minorEastAsia" w:hAnsiTheme="minorEastAsia" w:hint="eastAsia"/>
        </w:rPr>
        <w:t>。</w:t>
      </w:r>
    </w:p>
    <w:p w:rsidR="003A3487" w:rsidRPr="008564FF" w:rsidP="004549E4">
      <w:pPr>
        <w:pStyle w:val="20"/>
        <w:autoSpaceDE w:val="0"/>
        <w:autoSpaceDN w:val="0"/>
        <w:snapToGrid w:val="0"/>
        <w:spacing w:before="0" w:beforeAutospacing="0" w:after="0" w:afterAutospacing="0"/>
        <w:ind w:firstLine="420" w:firstLineChars="0"/>
        <w:textAlignment w:val="bottom"/>
        <w:rPr>
          <w:rFonts w:asciiTheme="minorEastAsia" w:eastAsiaTheme="minorEastAsia" w:hAnsiTheme="minorEastAsia"/>
        </w:rPr>
      </w:pPr>
      <w:r w:rsidRPr="008564FF">
        <w:rPr>
          <w:rFonts w:asciiTheme="minorEastAsia" w:eastAsiaTheme="minorEastAsia" w:hAnsiTheme="minorEastAsia" w:hint="eastAsia"/>
          <w:szCs w:val="21"/>
        </w:rPr>
        <w:t>投资者还可通过基金管理人或者指定的基金</w:t>
      </w:r>
      <w:r w:rsidRPr="008564FF" w:rsidR="007F5C61">
        <w:rPr>
          <w:rFonts w:asciiTheme="minorEastAsia" w:eastAsiaTheme="minorEastAsia" w:hAnsiTheme="minorEastAsia" w:hint="eastAsia"/>
          <w:szCs w:val="21"/>
        </w:rPr>
        <w:t>销售</w:t>
      </w:r>
      <w:r w:rsidRPr="008564FF">
        <w:rPr>
          <w:rFonts w:asciiTheme="minorEastAsia" w:eastAsiaTheme="minorEastAsia" w:hAnsiTheme="minorEastAsia" w:hint="eastAsia"/>
          <w:szCs w:val="21"/>
        </w:rPr>
        <w:t>机构以电话或互联网等其他电子交易方式进行申购、赎回，</w:t>
      </w:r>
      <w:r w:rsidRPr="008564FF">
        <w:rPr>
          <w:rFonts w:asciiTheme="minorEastAsia" w:eastAsiaTheme="minorEastAsia" w:hAnsiTheme="minorEastAsia" w:hint="eastAsia"/>
        </w:rPr>
        <w:t>具体以各销售机构的规定为准</w:t>
      </w:r>
      <w:r w:rsidRPr="008564FF">
        <w:rPr>
          <w:rFonts w:asciiTheme="minorEastAsia" w:eastAsiaTheme="minorEastAsia" w:hAnsiTheme="minorEastAsia" w:hint="eastAsia"/>
          <w:szCs w:val="21"/>
        </w:rPr>
        <w:t>。</w:t>
      </w:r>
    </w:p>
    <w:p w:rsidR="003A3487" w:rsidRPr="008564FF" w:rsidP="009C2B2A">
      <w:pPr>
        <w:pStyle w:val="Heading2"/>
        <w:snapToGrid w:val="0"/>
        <w:spacing w:beforeLines="0" w:afterLines="0" w:line="360" w:lineRule="auto"/>
        <w:ind w:firstLine="0" w:firstLineChars="0"/>
        <w:rPr>
          <w:rFonts w:asciiTheme="minorEastAsia" w:eastAsiaTheme="minorEastAsia" w:hAnsiTheme="minorEastAsia"/>
          <w:b w:val="0"/>
        </w:rPr>
      </w:pPr>
      <w:bookmarkStart w:id="39" w:name="_Toc91749216"/>
      <w:r w:rsidRPr="008564FF">
        <w:rPr>
          <w:rFonts w:asciiTheme="minorEastAsia" w:eastAsiaTheme="minorEastAsia" w:hAnsiTheme="minorEastAsia" w:hint="eastAsia"/>
          <w:b w:val="0"/>
        </w:rPr>
        <w:t>（三）申购、赎回的时间</w:t>
      </w:r>
      <w:bookmarkEnd w:id="39"/>
    </w:p>
    <w:p w:rsidR="003A3487" w:rsidRPr="008564FF" w:rsidP="004549E4">
      <w:pPr>
        <w:pStyle w:val="20"/>
        <w:autoSpaceDE w:val="0"/>
        <w:autoSpaceDN w:val="0"/>
        <w:snapToGrid w:val="0"/>
        <w:spacing w:before="0" w:beforeAutospacing="0" w:after="0" w:afterAutospacing="0"/>
        <w:ind w:firstLine="525" w:firstLineChars="0"/>
        <w:textAlignment w:val="bottom"/>
        <w:rPr>
          <w:rFonts w:asciiTheme="minorEastAsia" w:eastAsiaTheme="minorEastAsia" w:hAnsiTheme="minorEastAsia"/>
        </w:rPr>
      </w:pPr>
      <w:r w:rsidRPr="008564FF">
        <w:rPr>
          <w:rFonts w:asciiTheme="minorEastAsia" w:eastAsiaTheme="minorEastAsia" w:hAnsiTheme="minorEastAsia" w:hint="eastAsia"/>
        </w:rPr>
        <w:t>本基金已于</w:t>
      </w:r>
      <w:r w:rsidRPr="008564FF">
        <w:rPr>
          <w:rFonts w:asciiTheme="minorEastAsia" w:eastAsiaTheme="minorEastAsia" w:hAnsiTheme="minorEastAsia" w:cs="宋体" w:hint="eastAsia"/>
          <w:kern w:val="0"/>
          <w:szCs w:val="21"/>
        </w:rPr>
        <w:t>2009年4月17日</w:t>
      </w:r>
      <w:r w:rsidRPr="008564FF">
        <w:rPr>
          <w:rFonts w:asciiTheme="minorEastAsia" w:eastAsiaTheme="minorEastAsia" w:hAnsiTheme="minorEastAsia" w:hint="eastAsia"/>
        </w:rPr>
        <w:t>开始办理日常申购和赎回业务。</w:t>
      </w:r>
    </w:p>
    <w:p w:rsidR="003A3487" w:rsidRPr="008564FF" w:rsidP="004549E4">
      <w:pPr>
        <w:pStyle w:val="20"/>
        <w:autoSpaceDE w:val="0"/>
        <w:autoSpaceDN w:val="0"/>
        <w:snapToGrid w:val="0"/>
        <w:spacing w:before="0" w:beforeAutospacing="0" w:after="0" w:afterAutospacing="0"/>
        <w:ind w:firstLine="525" w:firstLineChars="0"/>
        <w:textAlignment w:val="bottom"/>
        <w:rPr>
          <w:rFonts w:asciiTheme="minorEastAsia" w:eastAsiaTheme="minorEastAsia" w:hAnsiTheme="minorEastAsia"/>
          <w:szCs w:val="21"/>
        </w:rPr>
      </w:pPr>
      <w:r w:rsidRPr="008564FF">
        <w:rPr>
          <w:rFonts w:asciiTheme="minorEastAsia" w:eastAsiaTheme="minorEastAsia" w:hAnsiTheme="minorEastAsia" w:hint="eastAsia"/>
          <w:szCs w:val="21"/>
        </w:rPr>
        <w:t>上海证券交易所和深圳证券交易所同时开放交易的工作日为本基金的开放日（基金管理人根据法律法规或本基金合同的规定公告暂停申购、赎回时除外）。开放日的具体业务办理时间为上海证券交易所、深圳证券交易所交易日的交易时间。若出现新的证券交易市场或交易所交易时间更改或其它原因，基金管理人将根据法律法规和基金合同规定的原则视情况进行相应的调整并按照《信息披露办法》或其他相关规定在实施日前在</w:t>
      </w:r>
      <w:r w:rsidRPr="008564FF" w:rsidR="00365EC5">
        <w:rPr>
          <w:rFonts w:asciiTheme="minorEastAsia" w:eastAsiaTheme="minorEastAsia" w:hAnsiTheme="minorEastAsia" w:hint="eastAsia"/>
          <w:szCs w:val="21"/>
        </w:rPr>
        <w:t>指定媒介</w:t>
      </w:r>
      <w:r w:rsidRPr="008564FF">
        <w:rPr>
          <w:rFonts w:asciiTheme="minorEastAsia" w:eastAsiaTheme="minorEastAsia" w:hAnsiTheme="minorEastAsia" w:hint="eastAsia"/>
          <w:szCs w:val="21"/>
        </w:rPr>
        <w:t>公告。</w:t>
      </w:r>
    </w:p>
    <w:p w:rsidR="003A3487" w:rsidRPr="008564FF" w:rsidP="004549E4">
      <w:pPr>
        <w:autoSpaceDE w:val="0"/>
        <w:autoSpaceDN w:val="0"/>
        <w:snapToGrid w:val="0"/>
        <w:spacing w:line="360" w:lineRule="auto"/>
        <w:ind w:firstLine="480"/>
        <w:textAlignment w:val="bottom"/>
        <w:rPr>
          <w:rFonts w:asciiTheme="minorEastAsia" w:eastAsiaTheme="minorEastAsia" w:hAnsiTheme="minorEastAsia"/>
          <w:szCs w:val="21"/>
        </w:rPr>
      </w:pPr>
      <w:r w:rsidRPr="008564FF">
        <w:rPr>
          <w:rFonts w:asciiTheme="minorEastAsia" w:eastAsiaTheme="minorEastAsia" w:hAnsiTheme="minorEastAsia" w:hint="eastAsia"/>
          <w:szCs w:val="21"/>
        </w:rPr>
        <w:t>投资者在基金合同约定之外的日期和时间提出申购、赎回或者转换申请的，其基金份额申购、赎回价格为下次办理基金份额申购、赎回时间所在开放日的价格。</w:t>
      </w:r>
    </w:p>
    <w:p w:rsidR="003A3487" w:rsidRPr="008564FF" w:rsidP="009C2B2A">
      <w:pPr>
        <w:pStyle w:val="Heading2"/>
        <w:snapToGrid w:val="0"/>
        <w:spacing w:beforeLines="0" w:afterLines="0" w:line="360" w:lineRule="auto"/>
        <w:ind w:firstLine="0" w:firstLineChars="0"/>
        <w:rPr>
          <w:rFonts w:asciiTheme="minorEastAsia" w:eastAsiaTheme="minorEastAsia" w:hAnsiTheme="minorEastAsia"/>
          <w:b w:val="0"/>
          <w:bCs/>
        </w:rPr>
      </w:pPr>
      <w:bookmarkStart w:id="40" w:name="_Toc91749217"/>
      <w:r w:rsidRPr="008564FF">
        <w:rPr>
          <w:rFonts w:asciiTheme="minorEastAsia" w:eastAsiaTheme="minorEastAsia" w:hAnsiTheme="minorEastAsia" w:hint="eastAsia"/>
          <w:b w:val="0"/>
          <w:bCs/>
        </w:rPr>
        <w:t>（四）申购、赎回的原则</w:t>
      </w:r>
      <w:bookmarkEnd w:id="40"/>
    </w:p>
    <w:p w:rsidR="003A3487" w:rsidRPr="008564FF" w:rsidP="004549E4">
      <w:pPr>
        <w:pStyle w:val="20"/>
        <w:autoSpaceDE w:val="0"/>
        <w:autoSpaceDN w:val="0"/>
        <w:snapToGrid w:val="0"/>
        <w:spacing w:before="0" w:beforeAutospacing="0" w:after="0" w:afterAutospacing="0"/>
        <w:ind w:firstLine="525" w:firstLineChars="0"/>
        <w:textAlignment w:val="bottom"/>
        <w:rPr>
          <w:rFonts w:asciiTheme="minorEastAsia" w:eastAsiaTheme="minorEastAsia" w:hAnsiTheme="minorEastAsia"/>
        </w:rPr>
      </w:pPr>
      <w:r w:rsidRPr="008564FF">
        <w:rPr>
          <w:rFonts w:asciiTheme="minorEastAsia" w:eastAsiaTheme="minorEastAsia" w:hAnsiTheme="minorEastAsia" w:hint="eastAsia"/>
        </w:rPr>
        <w:t>1、“未知价原则”，即本基金的申购与赎回价格以受理申请当日收市后计算的基金份额净值为基准进行计算；</w:t>
      </w:r>
    </w:p>
    <w:p w:rsidR="003A3487" w:rsidRPr="008564FF" w:rsidP="004549E4">
      <w:pPr>
        <w:pStyle w:val="20"/>
        <w:autoSpaceDE w:val="0"/>
        <w:autoSpaceDN w:val="0"/>
        <w:snapToGrid w:val="0"/>
        <w:spacing w:before="0" w:beforeAutospacing="0" w:after="0" w:afterAutospacing="0"/>
        <w:ind w:firstLine="525" w:firstLineChars="0"/>
        <w:textAlignment w:val="bottom"/>
        <w:rPr>
          <w:rFonts w:asciiTheme="minorEastAsia" w:eastAsiaTheme="minorEastAsia" w:hAnsiTheme="minorEastAsia"/>
        </w:rPr>
      </w:pPr>
      <w:r w:rsidRPr="008564FF">
        <w:rPr>
          <w:rFonts w:asciiTheme="minorEastAsia" w:eastAsiaTheme="minorEastAsia" w:hAnsiTheme="minorEastAsia" w:hint="eastAsia"/>
        </w:rPr>
        <w:t>2、本基金采用金额申购、份额赎回原则，即申购以金额申请，赎回以份额申请；</w:t>
      </w:r>
    </w:p>
    <w:p w:rsidR="003A3487" w:rsidRPr="008564FF" w:rsidP="004549E4">
      <w:pPr>
        <w:pStyle w:val="20"/>
        <w:autoSpaceDE w:val="0"/>
        <w:autoSpaceDN w:val="0"/>
        <w:snapToGrid w:val="0"/>
        <w:spacing w:before="0" w:beforeAutospacing="0" w:after="0" w:afterAutospacing="0"/>
        <w:ind w:firstLine="525" w:firstLineChars="0"/>
        <w:textAlignment w:val="bottom"/>
        <w:rPr>
          <w:rFonts w:asciiTheme="minorEastAsia" w:eastAsiaTheme="minorEastAsia" w:hAnsiTheme="minorEastAsia"/>
        </w:rPr>
      </w:pPr>
      <w:r w:rsidRPr="008564FF">
        <w:rPr>
          <w:rFonts w:asciiTheme="minorEastAsia" w:eastAsiaTheme="minorEastAsia" w:hAnsiTheme="minorEastAsia" w:hint="eastAsia"/>
        </w:rPr>
        <w:t>3、基金份额持有人赎回时，除指定赎回外，基金管理人按先进先出的原则，对该持有人账户在该销售机构托管的基金份额进行处理，即注册日期在先的基金份额先赎回，注册日期在后的基金份额后赎回，以确定所适用的赎回费率；</w:t>
      </w:r>
    </w:p>
    <w:p w:rsidR="003A3487" w:rsidRPr="008564FF" w:rsidP="004549E4">
      <w:pPr>
        <w:pStyle w:val="20"/>
        <w:autoSpaceDE w:val="0"/>
        <w:autoSpaceDN w:val="0"/>
        <w:snapToGrid w:val="0"/>
        <w:spacing w:before="0" w:beforeAutospacing="0" w:after="0" w:afterAutospacing="0"/>
        <w:ind w:firstLine="525" w:firstLineChars="0"/>
        <w:textAlignment w:val="bottom"/>
        <w:rPr>
          <w:rFonts w:asciiTheme="minorEastAsia" w:eastAsiaTheme="minorEastAsia" w:hAnsiTheme="minorEastAsia"/>
        </w:rPr>
      </w:pPr>
      <w:r w:rsidRPr="008564FF">
        <w:rPr>
          <w:rFonts w:asciiTheme="minorEastAsia" w:eastAsiaTheme="minorEastAsia" w:hAnsiTheme="minorEastAsia" w:hint="eastAsia"/>
        </w:rPr>
        <w:t>4、当日的申购、赎回申请可以在当日交易结束时间前撤销，在当日的交易时间结束后不得撤销；</w:t>
      </w:r>
    </w:p>
    <w:p w:rsidR="003A3487" w:rsidRPr="008564FF" w:rsidP="004549E4">
      <w:pPr>
        <w:pStyle w:val="20"/>
        <w:autoSpaceDE w:val="0"/>
        <w:autoSpaceDN w:val="0"/>
        <w:snapToGrid w:val="0"/>
        <w:spacing w:before="0" w:beforeAutospacing="0" w:after="0" w:afterAutospacing="0"/>
        <w:ind w:firstLine="525" w:firstLineChars="0"/>
        <w:textAlignment w:val="bottom"/>
        <w:rPr>
          <w:rFonts w:asciiTheme="minorEastAsia" w:eastAsiaTheme="minorEastAsia" w:hAnsiTheme="minorEastAsia"/>
        </w:rPr>
      </w:pPr>
      <w:r w:rsidRPr="008564FF">
        <w:rPr>
          <w:rFonts w:asciiTheme="minorEastAsia" w:eastAsiaTheme="minorEastAsia" w:hAnsiTheme="minorEastAsia" w:hint="eastAsia"/>
        </w:rPr>
        <w:t>5、基金管理人可根据基金运作的实际情况并在不影响基金份额持有人实质利益的前提下调整上述原则。基金管理人必须在新规则开始实施前按照《信息披露办法》的有关规定在</w:t>
      </w:r>
      <w:r w:rsidRPr="008564FF" w:rsidR="00365EC5">
        <w:rPr>
          <w:rFonts w:asciiTheme="minorEastAsia" w:eastAsiaTheme="minorEastAsia" w:hAnsiTheme="minorEastAsia" w:hint="eastAsia"/>
        </w:rPr>
        <w:t>指定媒介</w:t>
      </w:r>
      <w:r w:rsidRPr="008564FF">
        <w:rPr>
          <w:rFonts w:asciiTheme="minorEastAsia" w:eastAsiaTheme="minorEastAsia" w:hAnsiTheme="minorEastAsia" w:hint="eastAsia"/>
        </w:rPr>
        <w:t>公告。</w:t>
      </w:r>
    </w:p>
    <w:p w:rsidR="003A3487" w:rsidRPr="008564FF" w:rsidP="009C2B2A">
      <w:pPr>
        <w:pStyle w:val="Heading2"/>
        <w:snapToGrid w:val="0"/>
        <w:spacing w:beforeLines="0" w:afterLines="0" w:line="360" w:lineRule="auto"/>
        <w:ind w:firstLine="0" w:firstLineChars="0"/>
        <w:rPr>
          <w:rFonts w:asciiTheme="minorEastAsia" w:eastAsiaTheme="minorEastAsia" w:hAnsiTheme="minorEastAsia"/>
          <w:b w:val="0"/>
        </w:rPr>
      </w:pPr>
      <w:bookmarkStart w:id="41" w:name="_Toc91749218"/>
      <w:r w:rsidRPr="008564FF">
        <w:rPr>
          <w:rFonts w:asciiTheme="minorEastAsia" w:eastAsiaTheme="minorEastAsia" w:hAnsiTheme="minorEastAsia" w:hint="eastAsia"/>
          <w:b w:val="0"/>
        </w:rPr>
        <w:t>（五）申购、赎回的程序</w:t>
      </w:r>
      <w:bookmarkEnd w:id="41"/>
    </w:p>
    <w:p w:rsidR="003A3487" w:rsidRPr="008564FF" w:rsidP="004549E4">
      <w:pPr>
        <w:pStyle w:val="20"/>
        <w:autoSpaceDE w:val="0"/>
        <w:autoSpaceDN w:val="0"/>
        <w:snapToGrid w:val="0"/>
        <w:spacing w:before="0" w:beforeAutospacing="0" w:after="0" w:afterAutospacing="0"/>
        <w:ind w:firstLine="420"/>
        <w:textAlignment w:val="bottom"/>
        <w:rPr>
          <w:rFonts w:asciiTheme="minorEastAsia" w:eastAsiaTheme="minorEastAsia" w:hAnsiTheme="minorEastAsia"/>
        </w:rPr>
      </w:pPr>
      <w:r w:rsidRPr="008564FF">
        <w:rPr>
          <w:rFonts w:asciiTheme="minorEastAsia" w:eastAsiaTheme="minorEastAsia" w:hAnsiTheme="minorEastAsia" w:hint="eastAsia"/>
        </w:rPr>
        <w:t>1、申购、赎回的申请方式</w:t>
      </w:r>
    </w:p>
    <w:p w:rsidR="003A3487" w:rsidRPr="008564FF" w:rsidP="004549E4">
      <w:pPr>
        <w:autoSpaceDE w:val="0"/>
        <w:autoSpaceDN w:val="0"/>
        <w:snapToGrid w:val="0"/>
        <w:spacing w:line="360" w:lineRule="auto"/>
        <w:ind w:firstLine="420"/>
        <w:textAlignment w:val="bottom"/>
        <w:rPr>
          <w:rFonts w:asciiTheme="minorEastAsia" w:eastAsiaTheme="minorEastAsia" w:hAnsiTheme="minorEastAsia"/>
        </w:rPr>
      </w:pPr>
      <w:r w:rsidRPr="008564FF">
        <w:rPr>
          <w:rFonts w:asciiTheme="minorEastAsia" w:eastAsiaTheme="minorEastAsia" w:hAnsiTheme="minorEastAsia" w:hint="eastAsia"/>
        </w:rPr>
        <w:t>基金投资者必须根据基金管理人和基金</w:t>
      </w:r>
      <w:r w:rsidRPr="008564FF" w:rsidR="007F5C61">
        <w:rPr>
          <w:rFonts w:asciiTheme="minorEastAsia" w:eastAsiaTheme="minorEastAsia" w:hAnsiTheme="minorEastAsia" w:hint="eastAsia"/>
        </w:rPr>
        <w:t>销售</w:t>
      </w:r>
      <w:r w:rsidRPr="008564FF">
        <w:rPr>
          <w:rFonts w:asciiTheme="minorEastAsia" w:eastAsiaTheme="minorEastAsia" w:hAnsiTheme="minorEastAsia" w:hint="eastAsia"/>
        </w:rPr>
        <w:t>机构规定的手续，在开放日的</w:t>
      </w:r>
      <w:r w:rsidRPr="008564FF">
        <w:rPr>
          <w:rFonts w:asciiTheme="minorEastAsia" w:eastAsiaTheme="minorEastAsia" w:hAnsiTheme="minorEastAsia" w:hint="eastAsia"/>
          <w:szCs w:val="21"/>
        </w:rPr>
        <w:t>业务办理时间</w:t>
      </w:r>
      <w:r w:rsidRPr="008564FF">
        <w:rPr>
          <w:rFonts w:asciiTheme="minorEastAsia" w:eastAsiaTheme="minorEastAsia" w:hAnsiTheme="minorEastAsia" w:hint="eastAsia"/>
        </w:rPr>
        <w:t>提出申购、赎回的申请。</w:t>
      </w:r>
    </w:p>
    <w:p w:rsidR="003A3487" w:rsidRPr="008564FF" w:rsidP="004549E4">
      <w:pPr>
        <w:autoSpaceDE w:val="0"/>
        <w:autoSpaceDN w:val="0"/>
        <w:snapToGrid w:val="0"/>
        <w:spacing w:line="360" w:lineRule="auto"/>
        <w:ind w:firstLine="420"/>
        <w:textAlignment w:val="bottom"/>
        <w:rPr>
          <w:rFonts w:asciiTheme="minorEastAsia" w:eastAsiaTheme="minorEastAsia" w:hAnsiTheme="minorEastAsia"/>
        </w:rPr>
      </w:pPr>
      <w:r w:rsidRPr="008564FF">
        <w:rPr>
          <w:rFonts w:asciiTheme="minorEastAsia" w:eastAsiaTheme="minorEastAsia" w:hAnsiTheme="minorEastAsia" w:hint="eastAsia"/>
          <w:szCs w:val="21"/>
        </w:rPr>
        <w:t>投资者在提交申购申请时，须按销售机构规定的方式备足申购资金；提交赎回申请时,帐户中必须有足够的基金份额余额，否则所提交的申购、赎回的申请无效而不予成交。</w:t>
      </w:r>
    </w:p>
    <w:p w:rsidR="003A3487" w:rsidRPr="008564FF" w:rsidP="004549E4">
      <w:pPr>
        <w:pStyle w:val="20"/>
        <w:autoSpaceDE w:val="0"/>
        <w:autoSpaceDN w:val="0"/>
        <w:snapToGrid w:val="0"/>
        <w:spacing w:before="0" w:beforeAutospacing="0" w:after="0" w:afterAutospacing="0"/>
        <w:ind w:firstLine="420"/>
        <w:textAlignment w:val="bottom"/>
        <w:rPr>
          <w:rFonts w:asciiTheme="minorEastAsia" w:eastAsiaTheme="minorEastAsia" w:hAnsiTheme="minorEastAsia"/>
        </w:rPr>
      </w:pPr>
      <w:r w:rsidRPr="008564FF">
        <w:rPr>
          <w:rFonts w:asciiTheme="minorEastAsia" w:eastAsiaTheme="minorEastAsia" w:hAnsiTheme="minorEastAsia" w:hint="eastAsia"/>
        </w:rPr>
        <w:t>2、申购、赎回申请的确认</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T日规定时间受理的申请，正常情况下，基金注册登记机构在T+1日内为投资者对该交易的有效性进行确认，在T＋2日后（包括该日）投资者可向销售机构或以销售机构规定的其他方式查询申购与赎回的成交情况。</w:t>
      </w:r>
    </w:p>
    <w:p w:rsidR="003A3487" w:rsidRPr="008564FF" w:rsidP="004549E4">
      <w:pPr>
        <w:pStyle w:val="20"/>
        <w:autoSpaceDE w:val="0"/>
        <w:autoSpaceDN w:val="0"/>
        <w:snapToGrid w:val="0"/>
        <w:spacing w:before="0" w:beforeAutospacing="0" w:after="0" w:afterAutospacing="0"/>
        <w:ind w:firstLine="420"/>
        <w:textAlignment w:val="bottom"/>
        <w:rPr>
          <w:rFonts w:asciiTheme="minorEastAsia" w:eastAsiaTheme="minorEastAsia" w:hAnsiTheme="minorEastAsia"/>
        </w:rPr>
      </w:pPr>
      <w:r w:rsidRPr="008564FF">
        <w:rPr>
          <w:rFonts w:asciiTheme="minorEastAsia" w:eastAsiaTheme="minorEastAsia" w:hAnsiTheme="minorEastAsia" w:hint="eastAsia"/>
        </w:rPr>
        <w:t>3、申购和赎回的款项支付</w:t>
      </w:r>
    </w:p>
    <w:p w:rsidR="003A3487" w:rsidRPr="008564FF" w:rsidP="004549E4">
      <w:pPr>
        <w:pStyle w:val="BodyTextIndent3"/>
        <w:snapToGrid w:val="0"/>
        <w:spacing w:after="0" w:line="360" w:lineRule="auto"/>
        <w:ind w:left="0" w:firstLine="420" w:firstLineChars="200"/>
        <w:rPr>
          <w:rFonts w:asciiTheme="minorEastAsia" w:eastAsiaTheme="minorEastAsia" w:hAnsiTheme="minorEastAsia"/>
          <w:sz w:val="21"/>
          <w:szCs w:val="21"/>
        </w:rPr>
      </w:pPr>
      <w:r w:rsidRPr="008564FF">
        <w:rPr>
          <w:rFonts w:asciiTheme="minorEastAsia" w:eastAsiaTheme="minorEastAsia" w:hAnsiTheme="minorEastAsia" w:hint="eastAsia"/>
          <w:sz w:val="21"/>
        </w:rPr>
        <w:t>申购采用全额缴款方式，若申购资金在规定时间内未全额到账则申购不成功，若申购不成功或无效，申购款项将退回投资者账户。</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投资者T日赎回申请成功后，基金管理人将通过基金注册登记机构及相关基金销售机构在T＋7日（包括该日）内支付赎回款项。在发生巨额赎回的情形时，款项的支付办法参照本合同的有关条款处理。</w:t>
      </w:r>
    </w:p>
    <w:p w:rsidR="003A3487" w:rsidRPr="008564FF" w:rsidP="009C2B2A">
      <w:pPr>
        <w:pStyle w:val="Heading2"/>
        <w:snapToGrid w:val="0"/>
        <w:spacing w:beforeLines="0" w:afterLines="0" w:line="360" w:lineRule="auto"/>
        <w:ind w:firstLine="0" w:firstLineChars="0"/>
        <w:rPr>
          <w:rFonts w:asciiTheme="minorEastAsia" w:eastAsiaTheme="minorEastAsia" w:hAnsiTheme="minorEastAsia"/>
          <w:b w:val="0"/>
        </w:rPr>
      </w:pPr>
      <w:bookmarkStart w:id="42" w:name="_Toc91749219"/>
      <w:r w:rsidRPr="008564FF">
        <w:rPr>
          <w:rFonts w:asciiTheme="minorEastAsia" w:eastAsiaTheme="minorEastAsia" w:hAnsiTheme="minorEastAsia" w:hint="eastAsia"/>
          <w:b w:val="0"/>
        </w:rPr>
        <w:t>（六）申购、赎回的数额限制</w:t>
      </w:r>
      <w:bookmarkEnd w:id="42"/>
    </w:p>
    <w:p w:rsidR="003A3487" w:rsidRPr="008564FF" w:rsidP="004549E4">
      <w:pPr>
        <w:autoSpaceDE w:val="0"/>
        <w:autoSpaceDN w:val="0"/>
        <w:snapToGrid w:val="0"/>
        <w:spacing w:line="360" w:lineRule="auto"/>
        <w:ind w:firstLine="420"/>
        <w:textAlignment w:val="bottom"/>
        <w:rPr>
          <w:rFonts w:asciiTheme="minorEastAsia" w:eastAsiaTheme="minorEastAsia" w:hAnsiTheme="minorEastAsia"/>
        </w:rPr>
      </w:pPr>
      <w:r w:rsidRPr="008564FF">
        <w:rPr>
          <w:rFonts w:asciiTheme="minorEastAsia" w:eastAsiaTheme="minorEastAsia" w:hAnsiTheme="minorEastAsia" w:hint="eastAsia"/>
        </w:rPr>
        <w:t>1、申购基金的金额限制</w:t>
      </w:r>
    </w:p>
    <w:p w:rsidR="003A3487" w:rsidRPr="008564FF" w:rsidP="004549E4">
      <w:pPr>
        <w:autoSpaceDE w:val="0"/>
        <w:autoSpaceDN w:val="0"/>
        <w:snapToGrid w:val="0"/>
        <w:spacing w:line="360" w:lineRule="auto"/>
        <w:ind w:firstLine="420"/>
        <w:textAlignment w:val="bottom"/>
        <w:rPr>
          <w:rFonts w:asciiTheme="minorEastAsia" w:eastAsiaTheme="minorEastAsia" w:hAnsiTheme="minorEastAsia"/>
        </w:rPr>
      </w:pPr>
      <w:r w:rsidRPr="008564FF">
        <w:rPr>
          <w:rFonts w:asciiTheme="minorEastAsia" w:eastAsiaTheme="minorEastAsia" w:hAnsiTheme="minorEastAsia" w:hint="eastAsia"/>
        </w:rPr>
        <w:t>投资者通过</w:t>
      </w:r>
      <w:r w:rsidRPr="008564FF" w:rsidR="007F5C61">
        <w:rPr>
          <w:rFonts w:asciiTheme="minorEastAsia" w:eastAsiaTheme="minorEastAsia" w:hAnsiTheme="minorEastAsia" w:hint="eastAsia"/>
        </w:rPr>
        <w:t>非直销销售机构</w:t>
      </w:r>
      <w:r w:rsidRPr="008564FF">
        <w:rPr>
          <w:rFonts w:asciiTheme="minorEastAsia" w:eastAsiaTheme="minorEastAsia" w:hAnsiTheme="minorEastAsia" w:hint="eastAsia"/>
        </w:rPr>
        <w:t>或本公司网上交易系统首次申购的单笔最低金额为1元人民币，</w:t>
      </w:r>
      <w:r w:rsidRPr="008564FF" w:rsidR="007F5C61">
        <w:rPr>
          <w:rFonts w:asciiTheme="minorEastAsia" w:eastAsiaTheme="minorEastAsia" w:hAnsiTheme="minorEastAsia" w:hint="eastAsia"/>
        </w:rPr>
        <w:t>追加申购单笔最低金额为1元人民币</w:t>
      </w:r>
      <w:r w:rsidRPr="008564FF" w:rsidR="00CB0D05">
        <w:rPr>
          <w:rFonts w:asciiTheme="minorEastAsia" w:eastAsiaTheme="minorEastAsia" w:hAnsiTheme="minorEastAsia" w:hint="eastAsia"/>
        </w:rPr>
        <w:t>；</w:t>
      </w:r>
      <w:r w:rsidRPr="008564FF">
        <w:rPr>
          <w:rFonts w:asciiTheme="minorEastAsia" w:eastAsiaTheme="minorEastAsia" w:hAnsiTheme="minorEastAsia" w:hint="eastAsia"/>
        </w:rPr>
        <w:t>通过直销中心首次申购的单笔最低金额为50000元人民币，追加申购单笔最低金额为100</w:t>
      </w:r>
      <w:r w:rsidRPr="008564FF" w:rsidR="007F5C61">
        <w:rPr>
          <w:rFonts w:asciiTheme="minorEastAsia" w:eastAsiaTheme="minorEastAsia" w:hAnsiTheme="minorEastAsia" w:hint="eastAsia"/>
        </w:rPr>
        <w:t>0</w:t>
      </w:r>
      <w:r w:rsidRPr="008564FF">
        <w:rPr>
          <w:rFonts w:asciiTheme="minorEastAsia" w:eastAsiaTheme="minorEastAsia" w:hAnsiTheme="minorEastAsia" w:hint="eastAsia"/>
        </w:rPr>
        <w:t>元人民币。</w:t>
      </w:r>
      <w:r w:rsidRPr="008564FF" w:rsidR="008A3CF7">
        <w:rPr>
          <w:rFonts w:asciiTheme="minorEastAsia" w:eastAsiaTheme="minorEastAsia" w:hAnsiTheme="minorEastAsia" w:hint="eastAsia"/>
        </w:rPr>
        <w:t>在符合法律法规规定的前提下，</w:t>
      </w:r>
      <w:r w:rsidRPr="008564FF">
        <w:rPr>
          <w:rFonts w:asciiTheme="minorEastAsia" w:eastAsiaTheme="minorEastAsia" w:hAnsiTheme="minorEastAsia" w:hint="eastAsia"/>
        </w:rPr>
        <w:t>各</w:t>
      </w:r>
      <w:r w:rsidRPr="008564FF" w:rsidR="007F5C61">
        <w:rPr>
          <w:rFonts w:asciiTheme="minorEastAsia" w:eastAsiaTheme="minorEastAsia" w:hAnsiTheme="minorEastAsia" w:hint="eastAsia"/>
        </w:rPr>
        <w:t>销售</w:t>
      </w:r>
      <w:r w:rsidRPr="008564FF">
        <w:rPr>
          <w:rFonts w:asciiTheme="minorEastAsia" w:eastAsiaTheme="minorEastAsia" w:hAnsiTheme="minorEastAsia" w:hint="eastAsia"/>
        </w:rPr>
        <w:t>机构对最低申购限额及交易级差有其他规定的,</w:t>
      </w:r>
      <w:r w:rsidRPr="008564FF" w:rsidR="00505EA9">
        <w:rPr>
          <w:rFonts w:asciiTheme="minorEastAsia" w:eastAsiaTheme="minorEastAsia" w:hAnsiTheme="minorEastAsia" w:hint="eastAsia"/>
        </w:rPr>
        <w:t>需同时遵循该销售机构的相关规定</w:t>
      </w:r>
      <w:r w:rsidRPr="008564FF">
        <w:rPr>
          <w:rFonts w:asciiTheme="minorEastAsia" w:eastAsiaTheme="minorEastAsia" w:hAnsiTheme="minorEastAsia" w:hint="eastAsia"/>
        </w:rPr>
        <w:t>。</w:t>
      </w:r>
      <w:r w:rsidRPr="008564FF" w:rsidR="007F5C61">
        <w:rPr>
          <w:rFonts w:asciiTheme="minorEastAsia" w:eastAsiaTheme="minorEastAsia" w:hAnsiTheme="minorEastAsia" w:hint="eastAsia"/>
        </w:rPr>
        <w:t>(以上金额均含申购费)</w:t>
      </w:r>
    </w:p>
    <w:p w:rsidR="003A3487" w:rsidRPr="008564FF" w:rsidP="004549E4">
      <w:pPr>
        <w:autoSpaceDE w:val="0"/>
        <w:autoSpaceDN w:val="0"/>
        <w:snapToGrid w:val="0"/>
        <w:spacing w:line="360" w:lineRule="auto"/>
        <w:ind w:firstLine="420"/>
        <w:textAlignment w:val="bottom"/>
        <w:rPr>
          <w:rFonts w:asciiTheme="minorEastAsia" w:eastAsiaTheme="minorEastAsia" w:hAnsiTheme="minorEastAsia"/>
        </w:rPr>
      </w:pPr>
      <w:r w:rsidRPr="008564FF">
        <w:rPr>
          <w:rFonts w:asciiTheme="minorEastAsia" w:eastAsiaTheme="minorEastAsia" w:hAnsiTheme="minorEastAsia" w:hint="eastAsia"/>
        </w:rPr>
        <w:t>投资者将当期分配的基金收益转购基金份额或采用定期定额投资计划时，不受最低申购金额的限制。</w:t>
      </w:r>
    </w:p>
    <w:p w:rsidR="003A3487" w:rsidRPr="008564FF">
      <w:pPr>
        <w:autoSpaceDE w:val="0"/>
        <w:autoSpaceDN w:val="0"/>
        <w:snapToGrid w:val="0"/>
        <w:spacing w:line="360" w:lineRule="auto"/>
        <w:ind w:firstLine="420"/>
        <w:textAlignment w:val="bottom"/>
        <w:rPr>
          <w:rFonts w:asciiTheme="minorEastAsia" w:eastAsiaTheme="minorEastAsia" w:hAnsiTheme="minorEastAsia"/>
        </w:rPr>
      </w:pPr>
      <w:r w:rsidRPr="008564FF">
        <w:rPr>
          <w:rFonts w:asciiTheme="minorEastAsia" w:eastAsiaTheme="minorEastAsia" w:hAnsiTheme="minorEastAsia" w:hint="eastAsia"/>
        </w:rPr>
        <w:t>投资者可多次申购，对单个投资者累计持有份额不设上限限制。</w:t>
      </w:r>
      <w:r w:rsidRPr="008564FF" w:rsidR="00F86A39">
        <w:rPr>
          <w:rFonts w:asciiTheme="minorEastAsia" w:eastAsiaTheme="minorEastAsia" w:hAnsiTheme="minorEastAsia" w:hint="eastAsia"/>
          <w:szCs w:val="21"/>
        </w:rPr>
        <w:t>但对于可能导致单一投资者持有基金份额的比例达到或者超过50%，或者变相规避50%集中度的情形，基金管理人有权采取控制措施。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r w:rsidRPr="008564FF">
        <w:rPr>
          <w:rFonts w:asciiTheme="minorEastAsia" w:eastAsiaTheme="minorEastAsia" w:hAnsiTheme="minorEastAsia" w:hint="eastAsia"/>
        </w:rPr>
        <w:t>法律法规、中国证监会另有规定的除外。</w:t>
      </w:r>
    </w:p>
    <w:p w:rsidR="003A3487" w:rsidRPr="008564FF" w:rsidP="004549E4">
      <w:pPr>
        <w:autoSpaceDE w:val="0"/>
        <w:autoSpaceDN w:val="0"/>
        <w:snapToGrid w:val="0"/>
        <w:spacing w:line="360" w:lineRule="auto"/>
        <w:ind w:firstLine="420"/>
        <w:textAlignment w:val="bottom"/>
        <w:rPr>
          <w:rFonts w:asciiTheme="minorEastAsia" w:eastAsiaTheme="minorEastAsia" w:hAnsiTheme="minorEastAsia"/>
        </w:rPr>
      </w:pPr>
      <w:bookmarkStart w:id="43" w:name="OLE_LINK2"/>
      <w:r w:rsidRPr="008564FF">
        <w:rPr>
          <w:rFonts w:asciiTheme="minorEastAsia" w:eastAsiaTheme="minorEastAsia" w:hAnsiTheme="minorEastAsia" w:hint="eastAsia"/>
        </w:rPr>
        <w:t>2、赎回的份额限制</w:t>
      </w:r>
    </w:p>
    <w:p w:rsidR="003A3487" w:rsidRPr="008564FF" w:rsidP="004549E4">
      <w:pPr>
        <w:autoSpaceDE w:val="0"/>
        <w:autoSpaceDN w:val="0"/>
        <w:snapToGrid w:val="0"/>
        <w:spacing w:line="360" w:lineRule="auto"/>
        <w:ind w:firstLine="420"/>
        <w:textAlignment w:val="bottom"/>
        <w:rPr>
          <w:rFonts w:asciiTheme="minorEastAsia" w:eastAsiaTheme="minorEastAsia" w:hAnsiTheme="minorEastAsia"/>
        </w:rPr>
      </w:pPr>
      <w:r w:rsidRPr="008564FF">
        <w:rPr>
          <w:rFonts w:asciiTheme="minorEastAsia" w:eastAsiaTheme="minorEastAsia" w:hAnsiTheme="minorEastAsia" w:hint="eastAsia"/>
          <w:szCs w:val="21"/>
        </w:rPr>
        <w:t>投资者可将其全部或部分基金份额赎回。单笔赎回或转换不得少于1份(</w:t>
      </w:r>
      <w:r w:rsidRPr="008564FF" w:rsidR="005C239D">
        <w:rPr>
          <w:rFonts w:asciiTheme="minorEastAsia" w:eastAsiaTheme="minorEastAsia" w:hAnsiTheme="minorEastAsia" w:hint="eastAsia"/>
          <w:szCs w:val="21"/>
        </w:rPr>
        <w:t>如该账户在该销</w:t>
      </w:r>
      <w:r w:rsidRPr="008564FF" w:rsidR="005C239D">
        <w:rPr>
          <w:rFonts w:asciiTheme="minorEastAsia" w:eastAsiaTheme="minorEastAsia" w:hAnsiTheme="minorEastAsia" w:hint="eastAsia"/>
          <w:szCs w:val="21"/>
        </w:rPr>
        <w:t>售机构托管的该基金余额不足</w:t>
      </w:r>
      <w:r w:rsidRPr="008564FF">
        <w:rPr>
          <w:rFonts w:asciiTheme="minorEastAsia" w:eastAsiaTheme="minorEastAsia" w:hAnsiTheme="minorEastAsia" w:hint="eastAsia"/>
          <w:szCs w:val="21"/>
        </w:rPr>
        <w:t>1份，则必须一次性赎回或转出该基金全部份额)；若某笔赎回将导致投资者在</w:t>
      </w:r>
      <w:r w:rsidRPr="008564FF" w:rsidR="005C239D">
        <w:rPr>
          <w:rFonts w:asciiTheme="minorEastAsia" w:eastAsiaTheme="minorEastAsia" w:hAnsiTheme="minorEastAsia" w:hint="eastAsia"/>
          <w:szCs w:val="21"/>
        </w:rPr>
        <w:t>该</w:t>
      </w:r>
      <w:r w:rsidRPr="008564FF">
        <w:rPr>
          <w:rFonts w:asciiTheme="minorEastAsia" w:eastAsiaTheme="minorEastAsia" w:hAnsiTheme="minorEastAsia" w:hint="eastAsia"/>
          <w:szCs w:val="21"/>
        </w:rPr>
        <w:t>销售机构托管的</w:t>
      </w:r>
      <w:r w:rsidRPr="008564FF" w:rsidR="005C239D">
        <w:rPr>
          <w:rFonts w:asciiTheme="minorEastAsia" w:eastAsiaTheme="minorEastAsia" w:hAnsiTheme="minorEastAsia" w:hint="eastAsia"/>
          <w:szCs w:val="21"/>
        </w:rPr>
        <w:t>该</w:t>
      </w:r>
      <w:r w:rsidRPr="008564FF">
        <w:rPr>
          <w:rFonts w:asciiTheme="minorEastAsia" w:eastAsiaTheme="minorEastAsia" w:hAnsiTheme="minorEastAsia" w:hint="eastAsia"/>
          <w:szCs w:val="21"/>
        </w:rPr>
        <w:t>基金余额不足1份时，基金管理人有权将投资者在该销售机构托管的该基金剩余份额一次性全部赎回。</w:t>
      </w:r>
      <w:r w:rsidRPr="008564FF" w:rsidR="008A3CF7">
        <w:rPr>
          <w:rFonts w:asciiTheme="minorEastAsia" w:eastAsiaTheme="minorEastAsia" w:hAnsiTheme="minorEastAsia" w:hint="eastAsia"/>
        </w:rPr>
        <w:t>在符合法律法规规定的前提下，</w:t>
      </w:r>
      <w:r w:rsidRPr="008564FF">
        <w:rPr>
          <w:rFonts w:asciiTheme="minorEastAsia" w:eastAsiaTheme="minorEastAsia" w:hAnsiTheme="minorEastAsia" w:hint="eastAsia"/>
        </w:rPr>
        <w:t>各销售机构对赎回份额限制有其他规定的,</w:t>
      </w:r>
      <w:r w:rsidRPr="008564FF" w:rsidR="00505EA9">
        <w:rPr>
          <w:rFonts w:asciiTheme="minorEastAsia" w:eastAsiaTheme="minorEastAsia" w:hAnsiTheme="minorEastAsia" w:hint="eastAsia"/>
        </w:rPr>
        <w:t>需同时遵循该销售机构的相关规定</w:t>
      </w:r>
      <w:r w:rsidRPr="008564FF">
        <w:rPr>
          <w:rFonts w:asciiTheme="minorEastAsia" w:eastAsiaTheme="minorEastAsia" w:hAnsiTheme="minorEastAsia" w:hint="eastAsia"/>
        </w:rPr>
        <w:t>。</w:t>
      </w:r>
    </w:p>
    <w:p w:rsidR="003A3487" w:rsidRPr="008564FF" w:rsidP="00F86A39">
      <w:pPr>
        <w:autoSpaceDE w:val="0"/>
        <w:autoSpaceDN w:val="0"/>
        <w:snapToGrid w:val="0"/>
        <w:spacing w:line="360" w:lineRule="auto"/>
        <w:ind w:firstLine="420"/>
        <w:textAlignment w:val="bottom"/>
        <w:rPr>
          <w:rFonts w:asciiTheme="minorEastAsia" w:eastAsiaTheme="minorEastAsia" w:hAnsiTheme="minorEastAsia"/>
        </w:rPr>
      </w:pPr>
      <w:r w:rsidRPr="008564FF">
        <w:rPr>
          <w:rFonts w:asciiTheme="minorEastAsia" w:eastAsiaTheme="minorEastAsia" w:hAnsiTheme="minorEastAsia" w:hint="eastAsia"/>
        </w:rPr>
        <w:t>3、</w:t>
      </w:r>
      <w:bookmarkEnd w:id="43"/>
      <w:r w:rsidRPr="008564FF">
        <w:rPr>
          <w:rFonts w:asciiTheme="minorEastAsia" w:eastAsiaTheme="minorEastAsia" w:hAnsiTheme="minorEastAsia" w:hint="eastAsia"/>
        </w:rPr>
        <w:t>基金管理人可根据市场情况制定或调整上述申购、赎回的程序及有关限制，</w:t>
      </w:r>
      <w:r w:rsidRPr="008564FF" w:rsidR="00ED0CB8">
        <w:rPr>
          <w:rFonts w:asciiTheme="minorEastAsia" w:eastAsiaTheme="minorEastAsia" w:hAnsiTheme="minorEastAsia" w:hint="eastAsia"/>
        </w:rPr>
        <w:t>或者新增基金规模控制措施，</w:t>
      </w:r>
      <w:r w:rsidRPr="008564FF">
        <w:rPr>
          <w:rFonts w:asciiTheme="minorEastAsia" w:eastAsiaTheme="minorEastAsia" w:hAnsiTheme="minorEastAsia" w:hint="eastAsia"/>
        </w:rPr>
        <w:t>但应按照《信息披露办法》或其他相关规定在调整生效前至少在一家</w:t>
      </w:r>
      <w:r w:rsidRPr="008564FF" w:rsidR="00365EC5">
        <w:rPr>
          <w:rFonts w:asciiTheme="minorEastAsia" w:eastAsiaTheme="minorEastAsia" w:hAnsiTheme="minorEastAsia" w:hint="eastAsia"/>
        </w:rPr>
        <w:t>指定媒介</w:t>
      </w:r>
      <w:r w:rsidRPr="008564FF">
        <w:rPr>
          <w:rFonts w:asciiTheme="minorEastAsia" w:eastAsiaTheme="minorEastAsia" w:hAnsiTheme="minorEastAsia" w:hint="eastAsia"/>
        </w:rPr>
        <w:t>公告。</w:t>
      </w:r>
    </w:p>
    <w:p w:rsidR="003A3487" w:rsidRPr="008564FF" w:rsidP="009C2B2A">
      <w:pPr>
        <w:pStyle w:val="Heading2"/>
        <w:snapToGrid w:val="0"/>
        <w:spacing w:beforeLines="0" w:afterLines="0" w:line="360" w:lineRule="auto"/>
        <w:ind w:firstLine="0" w:firstLineChars="0"/>
        <w:rPr>
          <w:rFonts w:asciiTheme="minorEastAsia" w:eastAsiaTheme="minorEastAsia" w:hAnsiTheme="minorEastAsia"/>
          <w:b w:val="0"/>
        </w:rPr>
      </w:pPr>
      <w:bookmarkStart w:id="44" w:name="_Toc91749220"/>
      <w:r w:rsidRPr="008564FF">
        <w:rPr>
          <w:rFonts w:asciiTheme="minorEastAsia" w:eastAsiaTheme="minorEastAsia" w:hAnsiTheme="minorEastAsia" w:hint="eastAsia"/>
          <w:b w:val="0"/>
        </w:rPr>
        <w:t>（七）申购、赎回的费率</w:t>
      </w:r>
      <w:bookmarkEnd w:id="44"/>
    </w:p>
    <w:p w:rsidR="003A3487" w:rsidRPr="008564FF" w:rsidP="004549E4">
      <w:pPr>
        <w:autoSpaceDE w:val="0"/>
        <w:autoSpaceDN w:val="0"/>
        <w:snapToGrid w:val="0"/>
        <w:spacing w:line="360" w:lineRule="auto"/>
        <w:ind w:firstLine="420" w:firstLineChars="200"/>
        <w:textAlignment w:val="bottom"/>
        <w:rPr>
          <w:rFonts w:asciiTheme="minorEastAsia" w:eastAsiaTheme="minorEastAsia" w:hAnsiTheme="minorEastAsia"/>
        </w:rPr>
      </w:pPr>
      <w:r w:rsidRPr="008564FF">
        <w:rPr>
          <w:rFonts w:asciiTheme="minorEastAsia" w:eastAsiaTheme="minorEastAsia" w:hAnsiTheme="minorEastAsia" w:hint="eastAsia"/>
        </w:rPr>
        <w:t>1、本基金的申购、赎回费率</w:t>
      </w:r>
    </w:p>
    <w:p w:rsidR="00016E95" w:rsidRPr="008564FF" w:rsidP="004549E4">
      <w:pPr>
        <w:snapToGrid w:val="0"/>
        <w:spacing w:line="360" w:lineRule="auto"/>
        <w:ind w:firstLine="424" w:firstLineChars="202"/>
        <w:rPr>
          <w:rFonts w:asciiTheme="minorEastAsia" w:eastAsiaTheme="minorEastAsia" w:hAnsiTheme="minorEastAsia"/>
          <w:szCs w:val="21"/>
        </w:rPr>
      </w:pPr>
      <w:r w:rsidRPr="008564FF">
        <w:rPr>
          <w:rFonts w:asciiTheme="minorEastAsia" w:eastAsiaTheme="minorEastAsia" w:hAnsiTheme="minorEastAsia" w:hint="eastAsia"/>
          <w:szCs w:val="21"/>
        </w:rPr>
        <w:t>本基金对通过本公司直销中心申购的特定投资群体与除此之外的其他投资者实施差</w:t>
      </w:r>
    </w:p>
    <w:p w:rsidR="00016E95" w:rsidRPr="008564FF" w:rsidP="004549E4">
      <w:pPr>
        <w:snapToGrid w:val="0"/>
        <w:spacing w:line="360" w:lineRule="auto"/>
        <w:rPr>
          <w:rFonts w:asciiTheme="minorEastAsia" w:eastAsiaTheme="minorEastAsia" w:hAnsiTheme="minorEastAsia"/>
          <w:szCs w:val="21"/>
        </w:rPr>
      </w:pPr>
      <w:r w:rsidRPr="008564FF">
        <w:rPr>
          <w:rFonts w:asciiTheme="minorEastAsia" w:eastAsiaTheme="minorEastAsia" w:hAnsiTheme="minorEastAsia" w:hint="eastAsia"/>
          <w:szCs w:val="21"/>
        </w:rPr>
        <w:t>别的申购费率。</w:t>
      </w:r>
    </w:p>
    <w:p w:rsidR="00016E95" w:rsidRPr="008564FF" w:rsidP="004549E4">
      <w:pPr>
        <w:snapToGrid w:val="0"/>
        <w:spacing w:line="360" w:lineRule="auto"/>
        <w:ind w:firstLine="424" w:firstLineChars="202"/>
        <w:rPr>
          <w:rFonts w:asciiTheme="minorEastAsia" w:eastAsiaTheme="minorEastAsia" w:hAnsiTheme="minorEastAsia"/>
          <w:szCs w:val="21"/>
        </w:rPr>
      </w:pPr>
      <w:r w:rsidRPr="008564FF">
        <w:rPr>
          <w:rFonts w:asciiTheme="minorEastAsia" w:eastAsiaTheme="minorEastAsia" w:hAnsiTheme="minorEastAsia" w:hint="eastAsia"/>
          <w:szCs w:val="21"/>
        </w:rPr>
        <w:t>特定投资群体指全国社会保障基金、依法设立的基本养老保险基金、依法制定的企业</w:t>
      </w:r>
    </w:p>
    <w:p w:rsidR="00016E95" w:rsidRPr="008564FF" w:rsidP="004549E4">
      <w:pPr>
        <w:snapToGrid w:val="0"/>
        <w:spacing w:line="360" w:lineRule="auto"/>
        <w:rPr>
          <w:rFonts w:asciiTheme="minorEastAsia" w:eastAsiaTheme="minorEastAsia" w:hAnsiTheme="minorEastAsia"/>
          <w:szCs w:val="21"/>
        </w:rPr>
      </w:pPr>
      <w:r w:rsidRPr="008564FF">
        <w:rPr>
          <w:rFonts w:asciiTheme="minorEastAsia" w:eastAsiaTheme="minorEastAsia" w:hAnsiTheme="minorEastAsia" w:hint="eastAsia"/>
          <w:szCs w:val="21"/>
        </w:rPr>
        <w:t>年金计划筹集的资金及其投资运营收益形成的企业补充养老保险基金（包括企业年金单一计划以及集合计划），以及可以投资基金的其他社会保险基金。如将来出现可以投资基金的住房公积金、享受税收优惠的个人养老账户、经养老基金监管部门认可的新的养老基金类型，基金管理人可将其纳入特定投资群体范围。</w:t>
      </w:r>
    </w:p>
    <w:p w:rsidR="00016E95"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通过基金管理人的直销中心申购本基金的特定投资群体申购费率为：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4320"/>
      </w:tblGrid>
      <w:tr w:rsidTr="004549E4">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jc w:val="center"/>
        </w:trPr>
        <w:tc>
          <w:tcPr>
            <w:tcW w:w="2808" w:type="dxa"/>
            <w:tcBorders>
              <w:top w:val="single" w:sz="4" w:space="0" w:color="auto"/>
              <w:left w:val="single" w:sz="4" w:space="0" w:color="auto"/>
              <w:bottom w:val="single" w:sz="4" w:space="0" w:color="auto"/>
              <w:right w:val="single" w:sz="4" w:space="0" w:color="auto"/>
            </w:tcBorders>
            <w:vAlign w:val="center"/>
          </w:tcPr>
          <w:p w:rsidR="00016E95" w:rsidRPr="008564FF" w:rsidP="004549E4">
            <w:pPr>
              <w:snapToGrid w:val="0"/>
              <w:spacing w:line="360" w:lineRule="auto"/>
              <w:rPr>
                <w:rFonts w:asciiTheme="minorEastAsia" w:eastAsiaTheme="minorEastAsia" w:hAnsiTheme="minorEastAsia"/>
                <w:szCs w:val="21"/>
              </w:rPr>
            </w:pPr>
            <w:r w:rsidRPr="008564FF">
              <w:rPr>
                <w:rFonts w:asciiTheme="minorEastAsia" w:eastAsiaTheme="minorEastAsia" w:hAnsiTheme="minorEastAsia" w:hint="eastAsia"/>
                <w:szCs w:val="21"/>
              </w:rPr>
              <w:t>申购金额M（元）（含申购费）</w:t>
            </w:r>
          </w:p>
        </w:tc>
        <w:tc>
          <w:tcPr>
            <w:tcW w:w="4320" w:type="dxa"/>
            <w:tcBorders>
              <w:top w:val="single" w:sz="4" w:space="0" w:color="auto"/>
              <w:left w:val="single" w:sz="4" w:space="0" w:color="auto"/>
              <w:bottom w:val="single" w:sz="4" w:space="0" w:color="auto"/>
              <w:right w:val="single" w:sz="4" w:space="0" w:color="auto"/>
            </w:tcBorders>
            <w:vAlign w:val="center"/>
          </w:tcPr>
          <w:p w:rsidR="00016E95" w:rsidRPr="008564FF" w:rsidP="004549E4">
            <w:pPr>
              <w:snapToGrid w:val="0"/>
              <w:spacing w:line="360" w:lineRule="auto"/>
              <w:ind w:firstLine="420"/>
              <w:jc w:val="center"/>
              <w:rPr>
                <w:rFonts w:asciiTheme="minorEastAsia" w:eastAsiaTheme="minorEastAsia" w:hAnsiTheme="minorEastAsia"/>
                <w:szCs w:val="21"/>
              </w:rPr>
            </w:pPr>
            <w:r w:rsidRPr="008564FF">
              <w:rPr>
                <w:rFonts w:asciiTheme="minorEastAsia" w:eastAsiaTheme="minorEastAsia" w:hAnsiTheme="minorEastAsia" w:hint="eastAsia"/>
                <w:szCs w:val="21"/>
              </w:rPr>
              <w:t>申购费率</w:t>
            </w:r>
          </w:p>
        </w:tc>
      </w:tr>
      <w:tr w:rsidTr="004549E4">
        <w:tblPrEx>
          <w:tblW w:w="0" w:type="auto"/>
          <w:jc w:val="center"/>
          <w:tblLayout w:type="fixed"/>
          <w:tblLook w:val="01E0"/>
        </w:tblPrEx>
        <w:trPr>
          <w:jc w:val="center"/>
        </w:trPr>
        <w:tc>
          <w:tcPr>
            <w:tcW w:w="2808" w:type="dxa"/>
            <w:tcBorders>
              <w:top w:val="single" w:sz="4" w:space="0" w:color="auto"/>
              <w:left w:val="single" w:sz="4" w:space="0" w:color="auto"/>
              <w:bottom w:val="single" w:sz="4" w:space="0" w:color="auto"/>
              <w:right w:val="single" w:sz="4" w:space="0" w:color="auto"/>
            </w:tcBorders>
            <w:vAlign w:val="center"/>
          </w:tcPr>
          <w:p w:rsidR="00016E95" w:rsidRPr="008564FF" w:rsidP="004549E4">
            <w:pPr>
              <w:snapToGrid w:val="0"/>
              <w:spacing w:line="360" w:lineRule="auto"/>
              <w:ind w:firstLine="420"/>
              <w:rPr>
                <w:rFonts w:asciiTheme="minorEastAsia" w:eastAsiaTheme="minorEastAsia" w:hAnsiTheme="minorEastAsia"/>
                <w:szCs w:val="21"/>
              </w:rPr>
            </w:pPr>
            <w:r w:rsidRPr="008564FF">
              <w:rPr>
                <w:rFonts w:asciiTheme="minorEastAsia" w:eastAsiaTheme="minorEastAsia" w:hAnsiTheme="minorEastAsia" w:hint="eastAsia"/>
                <w:szCs w:val="21"/>
              </w:rPr>
              <w:t>M＜100万</w:t>
            </w:r>
          </w:p>
        </w:tc>
        <w:tc>
          <w:tcPr>
            <w:tcW w:w="4320" w:type="dxa"/>
            <w:tcBorders>
              <w:top w:val="single" w:sz="4" w:space="0" w:color="auto"/>
              <w:left w:val="single" w:sz="4" w:space="0" w:color="auto"/>
              <w:bottom w:val="single" w:sz="4" w:space="0" w:color="auto"/>
              <w:right w:val="single" w:sz="4" w:space="0" w:color="auto"/>
            </w:tcBorders>
            <w:vAlign w:val="center"/>
          </w:tcPr>
          <w:p w:rsidR="00016E95" w:rsidRPr="008564FF" w:rsidP="004549E4">
            <w:pPr>
              <w:snapToGrid w:val="0"/>
              <w:spacing w:line="360" w:lineRule="auto"/>
              <w:ind w:firstLine="420"/>
              <w:jc w:val="center"/>
              <w:rPr>
                <w:rFonts w:asciiTheme="minorEastAsia" w:eastAsiaTheme="minorEastAsia" w:hAnsiTheme="minorEastAsia"/>
                <w:szCs w:val="21"/>
              </w:rPr>
            </w:pPr>
            <w:r w:rsidRPr="008564FF">
              <w:rPr>
                <w:rFonts w:asciiTheme="minorEastAsia" w:eastAsiaTheme="minorEastAsia" w:hAnsiTheme="minorEastAsia" w:cs="宋体" w:hint="eastAsia"/>
                <w:kern w:val="0"/>
                <w:szCs w:val="21"/>
              </w:rPr>
              <w:t>0</w:t>
            </w:r>
            <w:r w:rsidRPr="008564FF">
              <w:rPr>
                <w:rFonts w:asciiTheme="minorEastAsia" w:eastAsiaTheme="minorEastAsia" w:hAnsiTheme="minorEastAsia" w:cs="宋体"/>
                <w:kern w:val="0"/>
                <w:szCs w:val="21"/>
              </w:rPr>
              <w:t>.</w:t>
            </w:r>
            <w:r w:rsidRPr="008564FF">
              <w:rPr>
                <w:rFonts w:asciiTheme="minorEastAsia" w:eastAsiaTheme="minorEastAsia" w:hAnsiTheme="minorEastAsia" w:cs="宋体" w:hint="eastAsia"/>
                <w:kern w:val="0"/>
                <w:szCs w:val="21"/>
              </w:rPr>
              <w:t>1</w:t>
            </w:r>
            <w:r w:rsidRPr="008564FF">
              <w:rPr>
                <w:rFonts w:asciiTheme="minorEastAsia" w:eastAsiaTheme="minorEastAsia" w:hAnsiTheme="minorEastAsia" w:cs="宋体"/>
                <w:kern w:val="0"/>
                <w:szCs w:val="21"/>
              </w:rPr>
              <w:t>5%</w:t>
            </w:r>
          </w:p>
        </w:tc>
      </w:tr>
      <w:tr w:rsidTr="004549E4">
        <w:tblPrEx>
          <w:tblW w:w="0" w:type="auto"/>
          <w:jc w:val="center"/>
          <w:tblLayout w:type="fixed"/>
          <w:tblLook w:val="01E0"/>
        </w:tblPrEx>
        <w:trPr>
          <w:jc w:val="center"/>
        </w:trPr>
        <w:tc>
          <w:tcPr>
            <w:tcW w:w="2808" w:type="dxa"/>
            <w:tcBorders>
              <w:top w:val="single" w:sz="4" w:space="0" w:color="auto"/>
              <w:left w:val="single" w:sz="4" w:space="0" w:color="auto"/>
              <w:bottom w:val="single" w:sz="4" w:space="0" w:color="auto"/>
              <w:right w:val="single" w:sz="4" w:space="0" w:color="auto"/>
            </w:tcBorders>
            <w:vAlign w:val="center"/>
          </w:tcPr>
          <w:p w:rsidR="00016E95" w:rsidRPr="008564FF" w:rsidP="004549E4">
            <w:pPr>
              <w:snapToGrid w:val="0"/>
              <w:spacing w:line="360" w:lineRule="auto"/>
              <w:ind w:firstLine="420"/>
              <w:rPr>
                <w:rFonts w:asciiTheme="minorEastAsia" w:eastAsiaTheme="minorEastAsia" w:hAnsiTheme="minorEastAsia"/>
                <w:szCs w:val="21"/>
              </w:rPr>
            </w:pPr>
            <w:r w:rsidRPr="008564FF">
              <w:rPr>
                <w:rFonts w:asciiTheme="minorEastAsia" w:eastAsiaTheme="minorEastAsia" w:hAnsiTheme="minorEastAsia" w:hint="eastAsia"/>
                <w:szCs w:val="21"/>
              </w:rPr>
              <w:t>100万≤M＜500万</w:t>
            </w:r>
          </w:p>
        </w:tc>
        <w:tc>
          <w:tcPr>
            <w:tcW w:w="4320" w:type="dxa"/>
            <w:tcBorders>
              <w:top w:val="single" w:sz="4" w:space="0" w:color="auto"/>
              <w:left w:val="single" w:sz="4" w:space="0" w:color="auto"/>
              <w:bottom w:val="single" w:sz="4" w:space="0" w:color="auto"/>
              <w:right w:val="single" w:sz="4" w:space="0" w:color="auto"/>
            </w:tcBorders>
            <w:vAlign w:val="center"/>
          </w:tcPr>
          <w:p w:rsidR="00016E95" w:rsidRPr="008564FF" w:rsidP="004549E4">
            <w:pPr>
              <w:snapToGrid w:val="0"/>
              <w:spacing w:line="360" w:lineRule="auto"/>
              <w:ind w:firstLine="420"/>
              <w:jc w:val="center"/>
              <w:rPr>
                <w:rFonts w:asciiTheme="minorEastAsia" w:eastAsiaTheme="minorEastAsia" w:hAnsiTheme="minorEastAsia"/>
                <w:szCs w:val="21"/>
              </w:rPr>
            </w:pPr>
            <w:r w:rsidRPr="008564FF">
              <w:rPr>
                <w:rFonts w:asciiTheme="minorEastAsia" w:eastAsiaTheme="minorEastAsia" w:hAnsiTheme="minorEastAsia" w:cs="宋体" w:hint="eastAsia"/>
                <w:kern w:val="0"/>
                <w:szCs w:val="21"/>
              </w:rPr>
              <w:t>0</w:t>
            </w:r>
            <w:r w:rsidRPr="008564FF">
              <w:rPr>
                <w:rFonts w:asciiTheme="minorEastAsia" w:eastAsiaTheme="minorEastAsia" w:hAnsiTheme="minorEastAsia" w:cs="宋体"/>
                <w:kern w:val="0"/>
                <w:szCs w:val="21"/>
              </w:rPr>
              <w:t>.</w:t>
            </w:r>
            <w:r w:rsidRPr="008564FF">
              <w:rPr>
                <w:rFonts w:asciiTheme="minorEastAsia" w:eastAsiaTheme="minorEastAsia" w:hAnsiTheme="minorEastAsia" w:cs="宋体" w:hint="eastAsia"/>
                <w:kern w:val="0"/>
                <w:szCs w:val="21"/>
              </w:rPr>
              <w:t>1</w:t>
            </w:r>
            <w:r w:rsidRPr="008564FF">
              <w:rPr>
                <w:rFonts w:asciiTheme="minorEastAsia" w:eastAsiaTheme="minorEastAsia" w:hAnsiTheme="minorEastAsia" w:cs="宋体"/>
                <w:kern w:val="0"/>
                <w:szCs w:val="21"/>
              </w:rPr>
              <w:t>2%</w:t>
            </w:r>
          </w:p>
        </w:tc>
      </w:tr>
      <w:tr w:rsidTr="004549E4">
        <w:tblPrEx>
          <w:tblW w:w="0" w:type="auto"/>
          <w:jc w:val="center"/>
          <w:tblLayout w:type="fixed"/>
          <w:tblLook w:val="01E0"/>
        </w:tblPrEx>
        <w:trPr>
          <w:jc w:val="center"/>
        </w:trPr>
        <w:tc>
          <w:tcPr>
            <w:tcW w:w="2808" w:type="dxa"/>
            <w:tcBorders>
              <w:top w:val="single" w:sz="4" w:space="0" w:color="auto"/>
              <w:left w:val="single" w:sz="4" w:space="0" w:color="auto"/>
              <w:bottom w:val="single" w:sz="4" w:space="0" w:color="auto"/>
              <w:right w:val="single" w:sz="4" w:space="0" w:color="auto"/>
            </w:tcBorders>
            <w:vAlign w:val="center"/>
          </w:tcPr>
          <w:p w:rsidR="00016E95" w:rsidRPr="008564FF" w:rsidP="004549E4">
            <w:pPr>
              <w:snapToGrid w:val="0"/>
              <w:spacing w:line="360" w:lineRule="auto"/>
              <w:ind w:firstLine="420"/>
              <w:rPr>
                <w:rFonts w:asciiTheme="minorEastAsia" w:eastAsiaTheme="minorEastAsia" w:hAnsiTheme="minorEastAsia"/>
                <w:szCs w:val="21"/>
              </w:rPr>
            </w:pPr>
            <w:r w:rsidRPr="008564FF">
              <w:rPr>
                <w:rFonts w:asciiTheme="minorEastAsia" w:eastAsiaTheme="minorEastAsia" w:hAnsiTheme="minorEastAsia" w:hint="eastAsia"/>
                <w:szCs w:val="21"/>
              </w:rPr>
              <w:t>500万≤M＜1000万</w:t>
            </w:r>
          </w:p>
        </w:tc>
        <w:tc>
          <w:tcPr>
            <w:tcW w:w="4320" w:type="dxa"/>
            <w:tcBorders>
              <w:top w:val="single" w:sz="4" w:space="0" w:color="auto"/>
              <w:left w:val="single" w:sz="4" w:space="0" w:color="auto"/>
              <w:bottom w:val="single" w:sz="4" w:space="0" w:color="auto"/>
              <w:right w:val="single" w:sz="4" w:space="0" w:color="auto"/>
            </w:tcBorders>
            <w:vAlign w:val="center"/>
          </w:tcPr>
          <w:p w:rsidR="00016E95" w:rsidRPr="008564FF" w:rsidP="004549E4">
            <w:pPr>
              <w:snapToGrid w:val="0"/>
              <w:spacing w:line="360" w:lineRule="auto"/>
              <w:ind w:firstLine="420"/>
              <w:jc w:val="center"/>
              <w:rPr>
                <w:rFonts w:asciiTheme="minorEastAsia" w:eastAsiaTheme="minorEastAsia" w:hAnsiTheme="minorEastAsia"/>
                <w:szCs w:val="21"/>
              </w:rPr>
            </w:pPr>
            <w:r w:rsidRPr="008564FF">
              <w:rPr>
                <w:rFonts w:asciiTheme="minorEastAsia" w:eastAsiaTheme="minorEastAsia" w:hAnsiTheme="minorEastAsia" w:cs="宋体"/>
                <w:kern w:val="0"/>
                <w:szCs w:val="21"/>
              </w:rPr>
              <w:t>0.</w:t>
            </w:r>
            <w:r w:rsidRPr="008564FF">
              <w:rPr>
                <w:rFonts w:asciiTheme="minorEastAsia" w:eastAsiaTheme="minorEastAsia" w:hAnsiTheme="minorEastAsia" w:cs="宋体" w:hint="eastAsia"/>
                <w:kern w:val="0"/>
                <w:szCs w:val="21"/>
              </w:rPr>
              <w:t>0</w:t>
            </w:r>
            <w:r w:rsidRPr="008564FF">
              <w:rPr>
                <w:rFonts w:asciiTheme="minorEastAsia" w:eastAsiaTheme="minorEastAsia" w:hAnsiTheme="minorEastAsia" w:cs="宋体"/>
                <w:kern w:val="0"/>
                <w:szCs w:val="21"/>
              </w:rPr>
              <w:t>3%</w:t>
            </w:r>
          </w:p>
        </w:tc>
      </w:tr>
      <w:tr w:rsidTr="004549E4">
        <w:tblPrEx>
          <w:tblW w:w="0" w:type="auto"/>
          <w:jc w:val="center"/>
          <w:tblLayout w:type="fixed"/>
          <w:tblLook w:val="01E0"/>
        </w:tblPrEx>
        <w:trPr>
          <w:jc w:val="center"/>
        </w:trPr>
        <w:tc>
          <w:tcPr>
            <w:tcW w:w="2808" w:type="dxa"/>
            <w:tcBorders>
              <w:top w:val="single" w:sz="4" w:space="0" w:color="auto"/>
              <w:left w:val="single" w:sz="4" w:space="0" w:color="auto"/>
              <w:bottom w:val="single" w:sz="4" w:space="0" w:color="auto"/>
              <w:right w:val="single" w:sz="4" w:space="0" w:color="auto"/>
            </w:tcBorders>
            <w:vAlign w:val="center"/>
          </w:tcPr>
          <w:p w:rsidR="00016E95" w:rsidRPr="008564FF" w:rsidP="004549E4">
            <w:pPr>
              <w:snapToGrid w:val="0"/>
              <w:spacing w:line="360" w:lineRule="auto"/>
              <w:ind w:firstLine="420"/>
              <w:rPr>
                <w:rFonts w:asciiTheme="minorEastAsia" w:eastAsiaTheme="minorEastAsia" w:hAnsiTheme="minorEastAsia"/>
                <w:szCs w:val="21"/>
              </w:rPr>
            </w:pPr>
            <w:r w:rsidRPr="008564FF">
              <w:rPr>
                <w:rFonts w:asciiTheme="minorEastAsia" w:eastAsiaTheme="minorEastAsia" w:hAnsiTheme="minorEastAsia" w:hint="eastAsia"/>
                <w:szCs w:val="21"/>
              </w:rPr>
              <w:t>M≥1000万</w:t>
            </w:r>
          </w:p>
        </w:tc>
        <w:tc>
          <w:tcPr>
            <w:tcW w:w="4320" w:type="dxa"/>
            <w:tcBorders>
              <w:top w:val="single" w:sz="4" w:space="0" w:color="auto"/>
              <w:left w:val="single" w:sz="4" w:space="0" w:color="auto"/>
              <w:bottom w:val="single" w:sz="4" w:space="0" w:color="auto"/>
              <w:right w:val="single" w:sz="4" w:space="0" w:color="auto"/>
            </w:tcBorders>
            <w:vAlign w:val="center"/>
          </w:tcPr>
          <w:p w:rsidR="00016E95" w:rsidRPr="008564FF" w:rsidP="004549E4">
            <w:pPr>
              <w:snapToGrid w:val="0"/>
              <w:spacing w:line="360" w:lineRule="auto"/>
              <w:ind w:firstLine="1747" w:firstLineChars="832"/>
              <w:rPr>
                <w:rFonts w:asciiTheme="minorEastAsia" w:eastAsiaTheme="minorEastAsia" w:hAnsiTheme="minorEastAsia"/>
                <w:szCs w:val="21"/>
              </w:rPr>
            </w:pPr>
            <w:r w:rsidRPr="008564FF">
              <w:rPr>
                <w:rFonts w:asciiTheme="minorEastAsia" w:eastAsiaTheme="minorEastAsia" w:hAnsiTheme="minorEastAsia" w:cs="宋体"/>
                <w:kern w:val="0"/>
                <w:szCs w:val="21"/>
              </w:rPr>
              <w:t>1000</w:t>
            </w:r>
            <w:r w:rsidRPr="008564FF">
              <w:rPr>
                <w:rFonts w:asciiTheme="minorEastAsia" w:eastAsiaTheme="minorEastAsia" w:hAnsiTheme="minorEastAsia" w:cs="宋体" w:hint="eastAsia"/>
                <w:kern w:val="0"/>
                <w:szCs w:val="21"/>
              </w:rPr>
              <w:t>元</w:t>
            </w:r>
            <w:r w:rsidRPr="008564FF">
              <w:rPr>
                <w:rFonts w:asciiTheme="minorEastAsia" w:eastAsiaTheme="minorEastAsia" w:hAnsiTheme="minorEastAsia" w:cs="宋体"/>
                <w:kern w:val="0"/>
                <w:szCs w:val="21"/>
              </w:rPr>
              <w:t>/</w:t>
            </w:r>
            <w:r w:rsidRPr="008564FF">
              <w:rPr>
                <w:rFonts w:asciiTheme="minorEastAsia" w:eastAsiaTheme="minorEastAsia" w:hAnsiTheme="minorEastAsia" w:cs="宋体" w:hint="eastAsia"/>
                <w:kern w:val="0"/>
                <w:szCs w:val="21"/>
              </w:rPr>
              <w:t>笔</w:t>
            </w:r>
          </w:p>
        </w:tc>
      </w:tr>
    </w:tbl>
    <w:p w:rsidR="003A3487" w:rsidRPr="008564FF" w:rsidP="004549E4">
      <w:pPr>
        <w:autoSpaceDE w:val="0"/>
        <w:autoSpaceDN w:val="0"/>
        <w:adjustRightInd w:val="0"/>
        <w:snapToGrid w:val="0"/>
        <w:spacing w:line="360" w:lineRule="auto"/>
        <w:ind w:left="420"/>
        <w:jc w:val="left"/>
        <w:rPr>
          <w:rFonts w:asciiTheme="minorEastAsia" w:eastAsiaTheme="minorEastAsia" w:hAnsiTheme="minorEastAsia"/>
          <w:szCs w:val="21"/>
        </w:rPr>
      </w:pPr>
      <w:r w:rsidRPr="008564FF">
        <w:rPr>
          <w:rFonts w:asciiTheme="minorEastAsia" w:eastAsiaTheme="minorEastAsia" w:hAnsiTheme="minorEastAsia" w:hint="eastAsia"/>
          <w:kern w:val="0"/>
          <w:szCs w:val="21"/>
        </w:rPr>
        <w:t>其他投资者申购本基金的</w:t>
      </w:r>
      <w:r w:rsidRPr="008564FF">
        <w:rPr>
          <w:rFonts w:asciiTheme="minorEastAsia" w:eastAsiaTheme="minorEastAsia" w:hAnsiTheme="minorEastAsia" w:hint="eastAsia"/>
          <w:szCs w:val="21"/>
        </w:rPr>
        <w:t>申购费率为：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4320"/>
      </w:tblGrid>
      <w:tr w:rsidTr="004549E4">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jc w:val="center"/>
        </w:trPr>
        <w:tc>
          <w:tcPr>
            <w:tcW w:w="2808" w:type="dxa"/>
            <w:tcBorders>
              <w:top w:val="single" w:sz="4" w:space="0" w:color="auto"/>
              <w:left w:val="single" w:sz="4" w:space="0" w:color="auto"/>
              <w:bottom w:val="single" w:sz="4" w:space="0" w:color="auto"/>
              <w:right w:val="single" w:sz="4" w:space="0" w:color="auto"/>
            </w:tcBorders>
            <w:vAlign w:val="center"/>
          </w:tcPr>
          <w:p w:rsidR="003A3487" w:rsidRPr="008564FF" w:rsidP="004549E4">
            <w:pPr>
              <w:snapToGrid w:val="0"/>
              <w:spacing w:line="360" w:lineRule="auto"/>
              <w:rPr>
                <w:rFonts w:asciiTheme="minorEastAsia" w:eastAsiaTheme="minorEastAsia" w:hAnsiTheme="minorEastAsia"/>
                <w:szCs w:val="21"/>
              </w:rPr>
            </w:pPr>
            <w:r w:rsidRPr="008564FF">
              <w:rPr>
                <w:rFonts w:asciiTheme="minorEastAsia" w:eastAsiaTheme="minorEastAsia" w:hAnsiTheme="minorEastAsia" w:hint="eastAsia"/>
                <w:szCs w:val="21"/>
              </w:rPr>
              <w:t>申购金额M（元）（含申购费）</w:t>
            </w:r>
          </w:p>
        </w:tc>
        <w:tc>
          <w:tcPr>
            <w:tcW w:w="4320" w:type="dxa"/>
            <w:tcBorders>
              <w:top w:val="single" w:sz="4" w:space="0" w:color="auto"/>
              <w:left w:val="single" w:sz="4" w:space="0" w:color="auto"/>
              <w:bottom w:val="single" w:sz="4" w:space="0" w:color="auto"/>
              <w:right w:val="single" w:sz="4" w:space="0" w:color="auto"/>
            </w:tcBorders>
            <w:vAlign w:val="center"/>
          </w:tcPr>
          <w:p w:rsidR="003A3487" w:rsidRPr="008564FF" w:rsidP="004549E4">
            <w:pPr>
              <w:snapToGrid w:val="0"/>
              <w:spacing w:line="360" w:lineRule="auto"/>
              <w:ind w:firstLine="420"/>
              <w:jc w:val="center"/>
              <w:rPr>
                <w:rFonts w:asciiTheme="minorEastAsia" w:eastAsiaTheme="minorEastAsia" w:hAnsiTheme="minorEastAsia"/>
                <w:szCs w:val="21"/>
              </w:rPr>
            </w:pPr>
            <w:r w:rsidRPr="008564FF">
              <w:rPr>
                <w:rFonts w:asciiTheme="minorEastAsia" w:eastAsiaTheme="minorEastAsia" w:hAnsiTheme="minorEastAsia" w:hint="eastAsia"/>
                <w:szCs w:val="21"/>
              </w:rPr>
              <w:t>申购费率</w:t>
            </w:r>
          </w:p>
        </w:tc>
      </w:tr>
      <w:tr w:rsidTr="004549E4">
        <w:tblPrEx>
          <w:tblW w:w="0" w:type="auto"/>
          <w:jc w:val="center"/>
          <w:tblLayout w:type="fixed"/>
          <w:tblLook w:val="01E0"/>
        </w:tblPrEx>
        <w:trPr>
          <w:jc w:val="center"/>
        </w:trPr>
        <w:tc>
          <w:tcPr>
            <w:tcW w:w="2808" w:type="dxa"/>
            <w:tcBorders>
              <w:top w:val="single" w:sz="4" w:space="0" w:color="auto"/>
              <w:left w:val="single" w:sz="4" w:space="0" w:color="auto"/>
              <w:bottom w:val="single" w:sz="4" w:space="0" w:color="auto"/>
              <w:right w:val="single" w:sz="4" w:space="0" w:color="auto"/>
            </w:tcBorders>
            <w:vAlign w:val="center"/>
          </w:tcPr>
          <w:p w:rsidR="003A3487" w:rsidRPr="008564FF" w:rsidP="004549E4">
            <w:pPr>
              <w:snapToGrid w:val="0"/>
              <w:spacing w:line="360" w:lineRule="auto"/>
              <w:ind w:firstLine="420"/>
              <w:rPr>
                <w:rFonts w:asciiTheme="minorEastAsia" w:eastAsiaTheme="minorEastAsia" w:hAnsiTheme="minorEastAsia"/>
                <w:szCs w:val="21"/>
              </w:rPr>
            </w:pPr>
            <w:r w:rsidRPr="008564FF">
              <w:rPr>
                <w:rFonts w:asciiTheme="minorEastAsia" w:eastAsiaTheme="minorEastAsia" w:hAnsiTheme="minorEastAsia" w:hint="eastAsia"/>
                <w:szCs w:val="21"/>
              </w:rPr>
              <w:t>M＜100万</w:t>
            </w:r>
          </w:p>
        </w:tc>
        <w:tc>
          <w:tcPr>
            <w:tcW w:w="4320" w:type="dxa"/>
            <w:tcBorders>
              <w:top w:val="single" w:sz="4" w:space="0" w:color="auto"/>
              <w:left w:val="single" w:sz="4" w:space="0" w:color="auto"/>
              <w:bottom w:val="single" w:sz="4" w:space="0" w:color="auto"/>
              <w:right w:val="single" w:sz="4" w:space="0" w:color="auto"/>
            </w:tcBorders>
            <w:vAlign w:val="center"/>
          </w:tcPr>
          <w:p w:rsidR="003A3487" w:rsidRPr="008564FF" w:rsidP="004549E4">
            <w:pPr>
              <w:snapToGrid w:val="0"/>
              <w:spacing w:line="360" w:lineRule="auto"/>
              <w:ind w:firstLine="420"/>
              <w:jc w:val="center"/>
              <w:rPr>
                <w:rFonts w:asciiTheme="minorEastAsia" w:eastAsiaTheme="minorEastAsia" w:hAnsiTheme="minorEastAsia"/>
                <w:szCs w:val="21"/>
              </w:rPr>
            </w:pPr>
            <w:r w:rsidRPr="008564FF">
              <w:rPr>
                <w:rFonts w:asciiTheme="minorEastAsia" w:eastAsiaTheme="minorEastAsia" w:hAnsiTheme="minorEastAsia" w:cs="宋体"/>
                <w:kern w:val="0"/>
                <w:szCs w:val="21"/>
              </w:rPr>
              <w:t>1.5%</w:t>
            </w:r>
          </w:p>
        </w:tc>
      </w:tr>
      <w:tr w:rsidTr="004549E4">
        <w:tblPrEx>
          <w:tblW w:w="0" w:type="auto"/>
          <w:jc w:val="center"/>
          <w:tblLayout w:type="fixed"/>
          <w:tblLook w:val="01E0"/>
        </w:tblPrEx>
        <w:trPr>
          <w:jc w:val="center"/>
        </w:trPr>
        <w:tc>
          <w:tcPr>
            <w:tcW w:w="2808" w:type="dxa"/>
            <w:tcBorders>
              <w:top w:val="single" w:sz="4" w:space="0" w:color="auto"/>
              <w:left w:val="single" w:sz="4" w:space="0" w:color="auto"/>
              <w:bottom w:val="single" w:sz="4" w:space="0" w:color="auto"/>
              <w:right w:val="single" w:sz="4" w:space="0" w:color="auto"/>
            </w:tcBorders>
            <w:vAlign w:val="center"/>
          </w:tcPr>
          <w:p w:rsidR="003A3487" w:rsidRPr="008564FF" w:rsidP="004549E4">
            <w:pPr>
              <w:snapToGrid w:val="0"/>
              <w:spacing w:line="360" w:lineRule="auto"/>
              <w:ind w:firstLine="420"/>
              <w:rPr>
                <w:rFonts w:asciiTheme="minorEastAsia" w:eastAsiaTheme="minorEastAsia" w:hAnsiTheme="minorEastAsia"/>
                <w:szCs w:val="21"/>
              </w:rPr>
            </w:pPr>
            <w:r w:rsidRPr="008564FF">
              <w:rPr>
                <w:rFonts w:asciiTheme="minorEastAsia" w:eastAsiaTheme="minorEastAsia" w:hAnsiTheme="minorEastAsia" w:hint="eastAsia"/>
                <w:szCs w:val="21"/>
              </w:rPr>
              <w:t>100万≤M＜500万</w:t>
            </w:r>
          </w:p>
        </w:tc>
        <w:tc>
          <w:tcPr>
            <w:tcW w:w="4320" w:type="dxa"/>
            <w:tcBorders>
              <w:top w:val="single" w:sz="4" w:space="0" w:color="auto"/>
              <w:left w:val="single" w:sz="4" w:space="0" w:color="auto"/>
              <w:bottom w:val="single" w:sz="4" w:space="0" w:color="auto"/>
              <w:right w:val="single" w:sz="4" w:space="0" w:color="auto"/>
            </w:tcBorders>
            <w:vAlign w:val="center"/>
          </w:tcPr>
          <w:p w:rsidR="003A3487" w:rsidRPr="008564FF" w:rsidP="004549E4">
            <w:pPr>
              <w:snapToGrid w:val="0"/>
              <w:spacing w:line="360" w:lineRule="auto"/>
              <w:ind w:firstLine="420"/>
              <w:jc w:val="center"/>
              <w:rPr>
                <w:rFonts w:asciiTheme="minorEastAsia" w:eastAsiaTheme="minorEastAsia" w:hAnsiTheme="minorEastAsia"/>
                <w:szCs w:val="21"/>
              </w:rPr>
            </w:pPr>
            <w:r w:rsidRPr="008564FF">
              <w:rPr>
                <w:rFonts w:asciiTheme="minorEastAsia" w:eastAsiaTheme="minorEastAsia" w:hAnsiTheme="minorEastAsia" w:cs="宋体"/>
                <w:kern w:val="0"/>
                <w:szCs w:val="21"/>
              </w:rPr>
              <w:t>1.2%</w:t>
            </w:r>
          </w:p>
        </w:tc>
      </w:tr>
      <w:tr w:rsidTr="004549E4">
        <w:tblPrEx>
          <w:tblW w:w="0" w:type="auto"/>
          <w:jc w:val="center"/>
          <w:tblLayout w:type="fixed"/>
          <w:tblLook w:val="01E0"/>
        </w:tblPrEx>
        <w:trPr>
          <w:jc w:val="center"/>
        </w:trPr>
        <w:tc>
          <w:tcPr>
            <w:tcW w:w="2808" w:type="dxa"/>
            <w:tcBorders>
              <w:top w:val="single" w:sz="4" w:space="0" w:color="auto"/>
              <w:left w:val="single" w:sz="4" w:space="0" w:color="auto"/>
              <w:bottom w:val="single" w:sz="4" w:space="0" w:color="auto"/>
              <w:right w:val="single" w:sz="4" w:space="0" w:color="auto"/>
            </w:tcBorders>
            <w:vAlign w:val="center"/>
          </w:tcPr>
          <w:p w:rsidR="003A3487" w:rsidRPr="008564FF" w:rsidP="004549E4">
            <w:pPr>
              <w:snapToGrid w:val="0"/>
              <w:spacing w:line="360" w:lineRule="auto"/>
              <w:ind w:firstLine="420"/>
              <w:rPr>
                <w:rFonts w:asciiTheme="minorEastAsia" w:eastAsiaTheme="minorEastAsia" w:hAnsiTheme="minorEastAsia"/>
                <w:szCs w:val="21"/>
              </w:rPr>
            </w:pPr>
            <w:r w:rsidRPr="008564FF">
              <w:rPr>
                <w:rFonts w:asciiTheme="minorEastAsia" w:eastAsiaTheme="minorEastAsia" w:hAnsiTheme="minorEastAsia" w:hint="eastAsia"/>
                <w:szCs w:val="21"/>
              </w:rPr>
              <w:t>500万≤M＜1000万</w:t>
            </w:r>
          </w:p>
        </w:tc>
        <w:tc>
          <w:tcPr>
            <w:tcW w:w="4320" w:type="dxa"/>
            <w:tcBorders>
              <w:top w:val="single" w:sz="4" w:space="0" w:color="auto"/>
              <w:left w:val="single" w:sz="4" w:space="0" w:color="auto"/>
              <w:bottom w:val="single" w:sz="4" w:space="0" w:color="auto"/>
              <w:right w:val="single" w:sz="4" w:space="0" w:color="auto"/>
            </w:tcBorders>
            <w:vAlign w:val="center"/>
          </w:tcPr>
          <w:p w:rsidR="003A3487" w:rsidRPr="008564FF" w:rsidP="004549E4">
            <w:pPr>
              <w:snapToGrid w:val="0"/>
              <w:spacing w:line="360" w:lineRule="auto"/>
              <w:ind w:firstLine="420"/>
              <w:jc w:val="center"/>
              <w:rPr>
                <w:rFonts w:asciiTheme="minorEastAsia" w:eastAsiaTheme="minorEastAsia" w:hAnsiTheme="minorEastAsia"/>
                <w:szCs w:val="21"/>
              </w:rPr>
            </w:pPr>
            <w:r w:rsidRPr="008564FF">
              <w:rPr>
                <w:rFonts w:asciiTheme="minorEastAsia" w:eastAsiaTheme="minorEastAsia" w:hAnsiTheme="minorEastAsia" w:cs="宋体"/>
                <w:kern w:val="0"/>
                <w:szCs w:val="21"/>
              </w:rPr>
              <w:t>0.3%</w:t>
            </w:r>
          </w:p>
        </w:tc>
      </w:tr>
      <w:tr w:rsidTr="004549E4">
        <w:tblPrEx>
          <w:tblW w:w="0" w:type="auto"/>
          <w:jc w:val="center"/>
          <w:tblLayout w:type="fixed"/>
          <w:tblLook w:val="01E0"/>
        </w:tblPrEx>
        <w:trPr>
          <w:jc w:val="center"/>
        </w:trPr>
        <w:tc>
          <w:tcPr>
            <w:tcW w:w="2808" w:type="dxa"/>
            <w:tcBorders>
              <w:top w:val="single" w:sz="4" w:space="0" w:color="auto"/>
              <w:left w:val="single" w:sz="4" w:space="0" w:color="auto"/>
              <w:bottom w:val="single" w:sz="4" w:space="0" w:color="auto"/>
              <w:right w:val="single" w:sz="4" w:space="0" w:color="auto"/>
            </w:tcBorders>
            <w:vAlign w:val="center"/>
          </w:tcPr>
          <w:p w:rsidR="003A3487" w:rsidRPr="008564FF" w:rsidP="004549E4">
            <w:pPr>
              <w:snapToGrid w:val="0"/>
              <w:spacing w:line="360" w:lineRule="auto"/>
              <w:ind w:firstLine="420"/>
              <w:rPr>
                <w:rFonts w:asciiTheme="minorEastAsia" w:eastAsiaTheme="minorEastAsia" w:hAnsiTheme="minorEastAsia"/>
                <w:szCs w:val="21"/>
              </w:rPr>
            </w:pPr>
            <w:r w:rsidRPr="008564FF">
              <w:rPr>
                <w:rFonts w:asciiTheme="minorEastAsia" w:eastAsiaTheme="minorEastAsia" w:hAnsiTheme="minorEastAsia" w:hint="eastAsia"/>
                <w:szCs w:val="21"/>
              </w:rPr>
              <w:t>M≥1000万</w:t>
            </w:r>
          </w:p>
        </w:tc>
        <w:tc>
          <w:tcPr>
            <w:tcW w:w="4320" w:type="dxa"/>
            <w:tcBorders>
              <w:top w:val="single" w:sz="4" w:space="0" w:color="auto"/>
              <w:left w:val="single" w:sz="4" w:space="0" w:color="auto"/>
              <w:bottom w:val="single" w:sz="4" w:space="0" w:color="auto"/>
              <w:right w:val="single" w:sz="4" w:space="0" w:color="auto"/>
            </w:tcBorders>
            <w:vAlign w:val="center"/>
          </w:tcPr>
          <w:p w:rsidR="003A3487" w:rsidRPr="008564FF" w:rsidP="004549E4">
            <w:pPr>
              <w:snapToGrid w:val="0"/>
              <w:spacing w:line="360" w:lineRule="auto"/>
              <w:ind w:firstLine="1747" w:firstLineChars="832"/>
              <w:rPr>
                <w:rFonts w:asciiTheme="minorEastAsia" w:eastAsiaTheme="minorEastAsia" w:hAnsiTheme="minorEastAsia"/>
                <w:szCs w:val="21"/>
              </w:rPr>
            </w:pPr>
            <w:r w:rsidRPr="008564FF">
              <w:rPr>
                <w:rFonts w:asciiTheme="minorEastAsia" w:eastAsiaTheme="minorEastAsia" w:hAnsiTheme="minorEastAsia" w:cs="宋体"/>
                <w:kern w:val="0"/>
                <w:szCs w:val="21"/>
              </w:rPr>
              <w:t>1000</w:t>
            </w:r>
            <w:r w:rsidRPr="008564FF">
              <w:rPr>
                <w:rFonts w:asciiTheme="minorEastAsia" w:eastAsiaTheme="minorEastAsia" w:hAnsiTheme="minorEastAsia" w:cs="宋体" w:hint="eastAsia"/>
                <w:kern w:val="0"/>
                <w:szCs w:val="21"/>
              </w:rPr>
              <w:t>元</w:t>
            </w:r>
            <w:r w:rsidRPr="008564FF">
              <w:rPr>
                <w:rFonts w:asciiTheme="minorEastAsia" w:eastAsiaTheme="minorEastAsia" w:hAnsiTheme="minorEastAsia" w:cs="宋体"/>
                <w:kern w:val="0"/>
                <w:szCs w:val="21"/>
              </w:rPr>
              <w:t>/</w:t>
            </w:r>
            <w:r w:rsidRPr="008564FF">
              <w:rPr>
                <w:rFonts w:asciiTheme="minorEastAsia" w:eastAsiaTheme="minorEastAsia" w:hAnsiTheme="minorEastAsia" w:cs="宋体" w:hint="eastAsia"/>
                <w:kern w:val="0"/>
                <w:szCs w:val="21"/>
              </w:rPr>
              <w:t>笔</w:t>
            </w:r>
          </w:p>
        </w:tc>
      </w:tr>
    </w:tbl>
    <w:p w:rsidR="00572446" w:rsidRPr="008564FF">
      <w:pPr>
        <w:pStyle w:val="BodyText"/>
        <w:snapToGrid w:val="0"/>
        <w:spacing w:after="0"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在申购费按金额分档的情况下，如果投资者多次申购，申购费适用单笔申购金额所对应的费率。</w:t>
      </w:r>
    </w:p>
    <w:p w:rsidR="003A3487" w:rsidRPr="008564FF" w:rsidP="004549E4">
      <w:pPr>
        <w:pStyle w:val="BodyText"/>
        <w:snapToGrid w:val="0"/>
        <w:spacing w:after="0"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赎回费率为：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3"/>
        <w:gridCol w:w="3585"/>
      </w:tblGrid>
      <w:tr w:rsidTr="004549E4">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jc w:val="center"/>
        </w:trPr>
        <w:tc>
          <w:tcPr>
            <w:tcW w:w="3543" w:type="dxa"/>
            <w:tcBorders>
              <w:top w:val="single" w:sz="4" w:space="0" w:color="auto"/>
              <w:left w:val="single" w:sz="4" w:space="0" w:color="auto"/>
              <w:bottom w:val="single" w:sz="4" w:space="0" w:color="auto"/>
              <w:right w:val="single" w:sz="4" w:space="0" w:color="auto"/>
            </w:tcBorders>
            <w:vAlign w:val="center"/>
          </w:tcPr>
          <w:p w:rsidR="003A3487" w:rsidRPr="008564FF" w:rsidP="004549E4">
            <w:pPr>
              <w:widowControl/>
              <w:snapToGrid w:val="0"/>
              <w:spacing w:line="360" w:lineRule="auto"/>
              <w:jc w:val="center"/>
              <w:rPr>
                <w:rFonts w:asciiTheme="minorEastAsia" w:eastAsiaTheme="minorEastAsia" w:hAnsiTheme="minorEastAsia" w:cs="宋体"/>
                <w:b/>
                <w:kern w:val="0"/>
                <w:szCs w:val="21"/>
              </w:rPr>
            </w:pPr>
            <w:r w:rsidRPr="008564FF">
              <w:rPr>
                <w:rFonts w:asciiTheme="minorEastAsia" w:eastAsiaTheme="minorEastAsia" w:hAnsiTheme="minorEastAsia" w:cs="宋体" w:hint="eastAsia"/>
                <w:b/>
                <w:kern w:val="0"/>
                <w:szCs w:val="21"/>
              </w:rPr>
              <w:t>持有时间（天）</w:t>
            </w:r>
          </w:p>
        </w:tc>
        <w:tc>
          <w:tcPr>
            <w:tcW w:w="3585" w:type="dxa"/>
            <w:tcBorders>
              <w:top w:val="single" w:sz="4" w:space="0" w:color="auto"/>
              <w:left w:val="single" w:sz="4" w:space="0" w:color="auto"/>
              <w:bottom w:val="single" w:sz="4" w:space="0" w:color="auto"/>
              <w:right w:val="single" w:sz="4" w:space="0" w:color="auto"/>
            </w:tcBorders>
            <w:vAlign w:val="center"/>
          </w:tcPr>
          <w:p w:rsidR="003A3487" w:rsidRPr="008564FF" w:rsidP="004549E4">
            <w:pPr>
              <w:widowControl/>
              <w:snapToGrid w:val="0"/>
              <w:spacing w:line="360" w:lineRule="auto"/>
              <w:jc w:val="center"/>
              <w:rPr>
                <w:rFonts w:asciiTheme="minorEastAsia" w:eastAsiaTheme="minorEastAsia" w:hAnsiTheme="minorEastAsia" w:cs="宋体"/>
                <w:b/>
                <w:kern w:val="0"/>
                <w:szCs w:val="21"/>
              </w:rPr>
            </w:pPr>
            <w:r w:rsidRPr="008564FF">
              <w:rPr>
                <w:rFonts w:asciiTheme="minorEastAsia" w:eastAsiaTheme="minorEastAsia" w:hAnsiTheme="minorEastAsia" w:cs="宋体" w:hint="eastAsia"/>
                <w:b/>
                <w:kern w:val="0"/>
                <w:szCs w:val="21"/>
              </w:rPr>
              <w:t>赎回费率</w:t>
            </w:r>
          </w:p>
        </w:tc>
      </w:tr>
      <w:tr w:rsidTr="004549E4">
        <w:tblPrEx>
          <w:tblW w:w="0" w:type="auto"/>
          <w:jc w:val="center"/>
          <w:tblLayout w:type="fixed"/>
          <w:tblLook w:val="01E0"/>
        </w:tblPrEx>
        <w:trPr>
          <w:jc w:val="center"/>
        </w:trPr>
        <w:tc>
          <w:tcPr>
            <w:tcW w:w="3543" w:type="dxa"/>
            <w:tcBorders>
              <w:top w:val="single" w:sz="4" w:space="0" w:color="auto"/>
              <w:left w:val="single" w:sz="4" w:space="0" w:color="auto"/>
              <w:bottom w:val="single" w:sz="4" w:space="0" w:color="auto"/>
              <w:right w:val="single" w:sz="4" w:space="0" w:color="auto"/>
            </w:tcBorders>
            <w:vAlign w:val="center"/>
          </w:tcPr>
          <w:p w:rsidR="003A0948" w:rsidRPr="008564FF" w:rsidP="004549E4">
            <w:pPr>
              <w:widowControl/>
              <w:snapToGrid w:val="0"/>
              <w:spacing w:line="360" w:lineRule="auto"/>
              <w:jc w:val="center"/>
              <w:rPr>
                <w:rFonts w:asciiTheme="minorEastAsia" w:eastAsiaTheme="minorEastAsia" w:hAnsiTheme="minorEastAsia" w:cs="宋体"/>
                <w:kern w:val="0"/>
                <w:szCs w:val="21"/>
              </w:rPr>
            </w:pPr>
            <w:r w:rsidRPr="008564FF">
              <w:rPr>
                <w:rFonts w:asciiTheme="minorEastAsia" w:eastAsiaTheme="minorEastAsia" w:hAnsiTheme="minorEastAsia" w:cs="宋体"/>
                <w:kern w:val="0"/>
                <w:szCs w:val="21"/>
              </w:rPr>
              <w:t>0-6</w:t>
            </w:r>
          </w:p>
        </w:tc>
        <w:tc>
          <w:tcPr>
            <w:tcW w:w="3585" w:type="dxa"/>
            <w:tcBorders>
              <w:top w:val="single" w:sz="4" w:space="0" w:color="auto"/>
              <w:left w:val="single" w:sz="4" w:space="0" w:color="auto"/>
              <w:bottom w:val="single" w:sz="4" w:space="0" w:color="auto"/>
              <w:right w:val="single" w:sz="4" w:space="0" w:color="auto"/>
            </w:tcBorders>
            <w:vAlign w:val="center"/>
          </w:tcPr>
          <w:p w:rsidR="003A0948" w:rsidRPr="008564FF" w:rsidP="004549E4">
            <w:pPr>
              <w:widowControl/>
              <w:snapToGrid w:val="0"/>
              <w:spacing w:line="360" w:lineRule="auto"/>
              <w:jc w:val="center"/>
              <w:rPr>
                <w:rFonts w:asciiTheme="minorEastAsia" w:eastAsiaTheme="minorEastAsia" w:hAnsiTheme="minorEastAsia" w:cs="宋体"/>
                <w:kern w:val="0"/>
                <w:szCs w:val="21"/>
              </w:rPr>
            </w:pPr>
            <w:r w:rsidRPr="008564FF">
              <w:rPr>
                <w:rFonts w:asciiTheme="minorEastAsia" w:eastAsiaTheme="minorEastAsia" w:hAnsiTheme="minorEastAsia" w:cs="宋体"/>
                <w:kern w:val="0"/>
                <w:szCs w:val="21"/>
              </w:rPr>
              <w:t>1.5</w:t>
            </w:r>
            <w:r w:rsidRPr="008564FF" w:rsidR="00572446">
              <w:rPr>
                <w:rFonts w:asciiTheme="minorEastAsia" w:eastAsiaTheme="minorEastAsia" w:hAnsiTheme="minorEastAsia" w:cs="宋体"/>
                <w:kern w:val="0"/>
                <w:szCs w:val="21"/>
              </w:rPr>
              <w:t>%</w:t>
            </w:r>
          </w:p>
        </w:tc>
      </w:tr>
      <w:tr w:rsidTr="004549E4">
        <w:tblPrEx>
          <w:tblW w:w="0" w:type="auto"/>
          <w:jc w:val="center"/>
          <w:tblLayout w:type="fixed"/>
          <w:tblLook w:val="01E0"/>
        </w:tblPrEx>
        <w:trPr>
          <w:jc w:val="center"/>
        </w:trPr>
        <w:tc>
          <w:tcPr>
            <w:tcW w:w="3543" w:type="dxa"/>
            <w:tcBorders>
              <w:top w:val="single" w:sz="4" w:space="0" w:color="auto"/>
              <w:left w:val="single" w:sz="4" w:space="0" w:color="auto"/>
              <w:bottom w:val="single" w:sz="4" w:space="0" w:color="auto"/>
              <w:right w:val="single" w:sz="4" w:space="0" w:color="auto"/>
            </w:tcBorders>
            <w:vAlign w:val="center"/>
          </w:tcPr>
          <w:p w:rsidR="003A3487" w:rsidRPr="008564FF" w:rsidP="004549E4">
            <w:pPr>
              <w:widowControl/>
              <w:snapToGrid w:val="0"/>
              <w:spacing w:line="360" w:lineRule="auto"/>
              <w:jc w:val="center"/>
              <w:rPr>
                <w:rFonts w:asciiTheme="minorEastAsia" w:eastAsiaTheme="minorEastAsia" w:hAnsiTheme="minorEastAsia" w:cs="宋体"/>
                <w:kern w:val="0"/>
                <w:szCs w:val="21"/>
              </w:rPr>
            </w:pPr>
            <w:r w:rsidRPr="008564FF">
              <w:rPr>
                <w:rFonts w:asciiTheme="minorEastAsia" w:eastAsiaTheme="minorEastAsia" w:hAnsiTheme="minorEastAsia" w:cs="宋体"/>
                <w:kern w:val="0"/>
                <w:szCs w:val="21"/>
              </w:rPr>
              <w:t>7</w:t>
            </w:r>
            <w:r w:rsidRPr="008564FF">
              <w:rPr>
                <w:rFonts w:asciiTheme="minorEastAsia" w:eastAsiaTheme="minorEastAsia" w:hAnsiTheme="minorEastAsia" w:cs="宋体" w:hint="eastAsia"/>
                <w:kern w:val="0"/>
                <w:szCs w:val="21"/>
              </w:rPr>
              <w:t>-364</w:t>
            </w:r>
          </w:p>
        </w:tc>
        <w:tc>
          <w:tcPr>
            <w:tcW w:w="3585" w:type="dxa"/>
            <w:tcBorders>
              <w:top w:val="single" w:sz="4" w:space="0" w:color="auto"/>
              <w:left w:val="single" w:sz="4" w:space="0" w:color="auto"/>
              <w:bottom w:val="single" w:sz="4" w:space="0" w:color="auto"/>
              <w:right w:val="single" w:sz="4" w:space="0" w:color="auto"/>
            </w:tcBorders>
            <w:vAlign w:val="center"/>
          </w:tcPr>
          <w:p w:rsidR="003A3487" w:rsidRPr="008564FF" w:rsidP="004549E4">
            <w:pPr>
              <w:widowControl/>
              <w:snapToGrid w:val="0"/>
              <w:spacing w:line="360" w:lineRule="auto"/>
              <w:jc w:val="center"/>
              <w:rPr>
                <w:rFonts w:asciiTheme="minorEastAsia" w:eastAsiaTheme="minorEastAsia" w:hAnsiTheme="minorEastAsia" w:cs="宋体"/>
                <w:kern w:val="0"/>
                <w:szCs w:val="21"/>
              </w:rPr>
            </w:pPr>
            <w:r w:rsidRPr="008564FF">
              <w:rPr>
                <w:rFonts w:asciiTheme="minorEastAsia" w:eastAsiaTheme="minorEastAsia" w:hAnsiTheme="minorEastAsia" w:cs="宋体" w:hint="eastAsia"/>
                <w:kern w:val="0"/>
                <w:szCs w:val="21"/>
              </w:rPr>
              <w:t>0.5%</w:t>
            </w:r>
          </w:p>
        </w:tc>
      </w:tr>
      <w:tr w:rsidTr="004549E4">
        <w:tblPrEx>
          <w:tblW w:w="0" w:type="auto"/>
          <w:jc w:val="center"/>
          <w:tblLayout w:type="fixed"/>
          <w:tblLook w:val="01E0"/>
        </w:tblPrEx>
        <w:trPr>
          <w:jc w:val="center"/>
        </w:trPr>
        <w:tc>
          <w:tcPr>
            <w:tcW w:w="3543" w:type="dxa"/>
            <w:tcBorders>
              <w:top w:val="single" w:sz="4" w:space="0" w:color="auto"/>
              <w:left w:val="single" w:sz="4" w:space="0" w:color="auto"/>
              <w:bottom w:val="single" w:sz="4" w:space="0" w:color="auto"/>
              <w:right w:val="single" w:sz="4" w:space="0" w:color="auto"/>
            </w:tcBorders>
            <w:vAlign w:val="center"/>
          </w:tcPr>
          <w:p w:rsidR="003A3487" w:rsidRPr="008564FF" w:rsidP="004549E4">
            <w:pPr>
              <w:widowControl/>
              <w:snapToGrid w:val="0"/>
              <w:spacing w:line="360" w:lineRule="auto"/>
              <w:jc w:val="center"/>
              <w:rPr>
                <w:rFonts w:asciiTheme="minorEastAsia" w:eastAsiaTheme="minorEastAsia" w:hAnsiTheme="minorEastAsia" w:cs="宋体"/>
                <w:kern w:val="0"/>
                <w:szCs w:val="21"/>
              </w:rPr>
            </w:pPr>
            <w:r w:rsidRPr="008564FF">
              <w:rPr>
                <w:rFonts w:asciiTheme="minorEastAsia" w:eastAsiaTheme="minorEastAsia" w:hAnsiTheme="minorEastAsia" w:cs="宋体" w:hint="eastAsia"/>
                <w:kern w:val="0"/>
                <w:szCs w:val="21"/>
              </w:rPr>
              <w:t>365-729</w:t>
            </w:r>
          </w:p>
        </w:tc>
        <w:tc>
          <w:tcPr>
            <w:tcW w:w="3585" w:type="dxa"/>
            <w:tcBorders>
              <w:top w:val="single" w:sz="4" w:space="0" w:color="auto"/>
              <w:left w:val="single" w:sz="4" w:space="0" w:color="auto"/>
              <w:bottom w:val="single" w:sz="4" w:space="0" w:color="auto"/>
              <w:right w:val="single" w:sz="4" w:space="0" w:color="auto"/>
            </w:tcBorders>
            <w:vAlign w:val="center"/>
          </w:tcPr>
          <w:p w:rsidR="003A3487" w:rsidRPr="008564FF" w:rsidP="004549E4">
            <w:pPr>
              <w:widowControl/>
              <w:snapToGrid w:val="0"/>
              <w:spacing w:line="360" w:lineRule="auto"/>
              <w:jc w:val="center"/>
              <w:rPr>
                <w:rFonts w:asciiTheme="minorEastAsia" w:eastAsiaTheme="minorEastAsia" w:hAnsiTheme="minorEastAsia" w:cs="宋体"/>
                <w:kern w:val="0"/>
                <w:szCs w:val="21"/>
              </w:rPr>
            </w:pPr>
            <w:r w:rsidRPr="008564FF">
              <w:rPr>
                <w:rFonts w:asciiTheme="minorEastAsia" w:eastAsiaTheme="minorEastAsia" w:hAnsiTheme="minorEastAsia" w:cs="宋体" w:hint="eastAsia"/>
                <w:kern w:val="0"/>
                <w:szCs w:val="21"/>
              </w:rPr>
              <w:t>0.25%</w:t>
            </w:r>
          </w:p>
        </w:tc>
      </w:tr>
      <w:tr w:rsidTr="004549E4">
        <w:tblPrEx>
          <w:tblW w:w="0" w:type="auto"/>
          <w:jc w:val="center"/>
          <w:tblLayout w:type="fixed"/>
          <w:tblLook w:val="01E0"/>
        </w:tblPrEx>
        <w:trPr>
          <w:jc w:val="center"/>
        </w:trPr>
        <w:tc>
          <w:tcPr>
            <w:tcW w:w="3543" w:type="dxa"/>
            <w:tcBorders>
              <w:top w:val="single" w:sz="4" w:space="0" w:color="auto"/>
              <w:left w:val="single" w:sz="4" w:space="0" w:color="auto"/>
              <w:bottom w:val="single" w:sz="4" w:space="0" w:color="auto"/>
              <w:right w:val="single" w:sz="4" w:space="0" w:color="auto"/>
            </w:tcBorders>
            <w:vAlign w:val="center"/>
          </w:tcPr>
          <w:p w:rsidR="003A3487" w:rsidRPr="008564FF" w:rsidP="004549E4">
            <w:pPr>
              <w:widowControl/>
              <w:snapToGrid w:val="0"/>
              <w:spacing w:line="360" w:lineRule="auto"/>
              <w:jc w:val="center"/>
              <w:rPr>
                <w:rFonts w:asciiTheme="minorEastAsia" w:eastAsiaTheme="minorEastAsia" w:hAnsiTheme="minorEastAsia" w:cs="宋体"/>
                <w:kern w:val="0"/>
                <w:szCs w:val="21"/>
              </w:rPr>
            </w:pPr>
            <w:r w:rsidRPr="008564FF">
              <w:rPr>
                <w:rFonts w:asciiTheme="minorEastAsia" w:eastAsiaTheme="minorEastAsia" w:hAnsiTheme="minorEastAsia" w:cs="宋体" w:hint="eastAsia"/>
                <w:kern w:val="0"/>
                <w:szCs w:val="21"/>
              </w:rPr>
              <w:t>730及以上</w:t>
            </w:r>
          </w:p>
        </w:tc>
        <w:tc>
          <w:tcPr>
            <w:tcW w:w="3585" w:type="dxa"/>
            <w:tcBorders>
              <w:top w:val="single" w:sz="4" w:space="0" w:color="auto"/>
              <w:left w:val="single" w:sz="4" w:space="0" w:color="auto"/>
              <w:bottom w:val="single" w:sz="4" w:space="0" w:color="auto"/>
              <w:right w:val="single" w:sz="4" w:space="0" w:color="auto"/>
            </w:tcBorders>
            <w:vAlign w:val="center"/>
          </w:tcPr>
          <w:p w:rsidR="003A3487" w:rsidRPr="008564FF" w:rsidP="004549E4">
            <w:pPr>
              <w:widowControl/>
              <w:snapToGrid w:val="0"/>
              <w:spacing w:line="360" w:lineRule="auto"/>
              <w:jc w:val="center"/>
              <w:rPr>
                <w:rFonts w:asciiTheme="minorEastAsia" w:eastAsiaTheme="minorEastAsia" w:hAnsiTheme="minorEastAsia" w:cs="宋体"/>
                <w:kern w:val="0"/>
                <w:szCs w:val="21"/>
              </w:rPr>
            </w:pPr>
            <w:r w:rsidRPr="008564FF">
              <w:rPr>
                <w:rFonts w:asciiTheme="minorEastAsia" w:eastAsiaTheme="minorEastAsia" w:hAnsiTheme="minorEastAsia" w:cs="宋体" w:hint="eastAsia"/>
                <w:kern w:val="0"/>
                <w:szCs w:val="21"/>
              </w:rPr>
              <w:t>0%</w:t>
            </w:r>
          </w:p>
        </w:tc>
      </w:tr>
    </w:tbl>
    <w:p w:rsidR="003A3487" w:rsidRPr="008564FF" w:rsidP="004549E4">
      <w:pPr>
        <w:snapToGrid w:val="0"/>
        <w:spacing w:line="360" w:lineRule="auto"/>
        <w:ind w:firstLine="435"/>
        <w:rPr>
          <w:rFonts w:asciiTheme="minorEastAsia" w:eastAsiaTheme="minorEastAsia" w:hAnsiTheme="minorEastAsia"/>
          <w:szCs w:val="21"/>
        </w:rPr>
      </w:pPr>
      <w:r w:rsidRPr="008564FF">
        <w:rPr>
          <w:rFonts w:asciiTheme="minorEastAsia" w:eastAsiaTheme="minorEastAsia" w:hAnsiTheme="minorEastAsia" w:hint="eastAsia"/>
          <w:szCs w:val="21"/>
        </w:rPr>
        <w:t>本基金的赎回费由赎回人承担，在基金份额持有人赎回基金份额时收取，对</w:t>
      </w:r>
      <w:r w:rsidRPr="008564FF">
        <w:rPr>
          <w:rFonts w:asciiTheme="minorEastAsia" w:eastAsiaTheme="minorEastAsia" w:hAnsiTheme="minorEastAsia"/>
          <w:szCs w:val="21"/>
        </w:rPr>
        <w:t>持有期少于</w:t>
      </w:r>
      <w:r w:rsidRPr="008564FF">
        <w:rPr>
          <w:rFonts w:asciiTheme="minorEastAsia" w:eastAsiaTheme="minorEastAsia" w:hAnsiTheme="minorEastAsia" w:hint="eastAsia"/>
          <w:szCs w:val="21"/>
        </w:rPr>
        <w:t>7天（</w:t>
      </w:r>
      <w:r w:rsidRPr="008564FF">
        <w:rPr>
          <w:rFonts w:asciiTheme="minorEastAsia" w:eastAsiaTheme="minorEastAsia" w:hAnsiTheme="minorEastAsia"/>
          <w:szCs w:val="21"/>
        </w:rPr>
        <w:t>不含</w:t>
      </w:r>
      <w:r w:rsidRPr="008564FF">
        <w:rPr>
          <w:rFonts w:asciiTheme="minorEastAsia" w:eastAsiaTheme="minorEastAsia" w:hAnsiTheme="minorEastAsia" w:hint="eastAsia"/>
          <w:szCs w:val="21"/>
        </w:rPr>
        <w:t>）</w:t>
      </w:r>
      <w:r w:rsidRPr="008564FF">
        <w:rPr>
          <w:rFonts w:asciiTheme="minorEastAsia" w:eastAsiaTheme="minorEastAsia" w:hAnsiTheme="minorEastAsia"/>
          <w:szCs w:val="21"/>
        </w:rPr>
        <w:t>的投资者收取的赎回费全额</w:t>
      </w:r>
      <w:r w:rsidRPr="008564FF">
        <w:rPr>
          <w:rFonts w:asciiTheme="minorEastAsia" w:eastAsiaTheme="minorEastAsia" w:hAnsiTheme="minorEastAsia" w:hint="eastAsia"/>
          <w:szCs w:val="21"/>
        </w:rPr>
        <w:t>计</w:t>
      </w:r>
      <w:r w:rsidRPr="008564FF">
        <w:rPr>
          <w:rFonts w:asciiTheme="minorEastAsia" w:eastAsiaTheme="minorEastAsia" w:hAnsiTheme="minorEastAsia"/>
          <w:szCs w:val="21"/>
        </w:rPr>
        <w:t>入基金资产，对持有</w:t>
      </w:r>
      <w:r w:rsidRPr="008564FF">
        <w:rPr>
          <w:rFonts w:asciiTheme="minorEastAsia" w:eastAsiaTheme="minorEastAsia" w:hAnsiTheme="minorEastAsia" w:hint="eastAsia"/>
          <w:szCs w:val="21"/>
        </w:rPr>
        <w:t>期在7天以</w:t>
      </w:r>
      <w:r w:rsidRPr="008564FF">
        <w:rPr>
          <w:rFonts w:asciiTheme="minorEastAsia" w:eastAsiaTheme="minorEastAsia" w:hAnsiTheme="minorEastAsia"/>
          <w:szCs w:val="21"/>
        </w:rPr>
        <w:t>上</w:t>
      </w:r>
      <w:r w:rsidRPr="008564FF">
        <w:rPr>
          <w:rFonts w:asciiTheme="minorEastAsia" w:eastAsiaTheme="minorEastAsia" w:hAnsiTheme="minorEastAsia" w:hint="eastAsia"/>
          <w:szCs w:val="21"/>
        </w:rPr>
        <w:t>（</w:t>
      </w:r>
      <w:r w:rsidRPr="008564FF">
        <w:rPr>
          <w:rFonts w:asciiTheme="minorEastAsia" w:eastAsiaTheme="minorEastAsia" w:hAnsiTheme="minorEastAsia"/>
          <w:szCs w:val="21"/>
        </w:rPr>
        <w:t>含）</w:t>
      </w:r>
      <w:r w:rsidRPr="008564FF">
        <w:rPr>
          <w:rFonts w:asciiTheme="minorEastAsia" w:eastAsiaTheme="minorEastAsia" w:hAnsiTheme="minorEastAsia" w:hint="eastAsia"/>
          <w:szCs w:val="21"/>
        </w:rPr>
        <w:t>的</w:t>
      </w:r>
      <w:r w:rsidRPr="008564FF">
        <w:rPr>
          <w:rFonts w:asciiTheme="minorEastAsia" w:eastAsiaTheme="minorEastAsia" w:hAnsiTheme="minorEastAsia"/>
          <w:szCs w:val="21"/>
        </w:rPr>
        <w:t>投资者收取的</w:t>
      </w:r>
      <w:r w:rsidRPr="008564FF">
        <w:rPr>
          <w:rFonts w:asciiTheme="minorEastAsia" w:eastAsiaTheme="minorEastAsia" w:hAnsiTheme="minorEastAsia" w:hint="eastAsia"/>
          <w:szCs w:val="21"/>
        </w:rPr>
        <w:t>赎回费总额的25%归基金财产，其余用于支付注册登记费和其他必要的手续费。基金管理人可以在基金合同规定的范围内调整申购费率和赎回费率，调整后的申购费率和赎回费率在《更新的招募说明书》中列示。上述费率如发生变更，基金管理人还应按照《信息披露办法》或其他相关规定于新的费率实施前</w:t>
      </w:r>
      <w:r w:rsidRPr="008564FF">
        <w:rPr>
          <w:rFonts w:asciiTheme="minorEastAsia" w:eastAsiaTheme="minorEastAsia" w:hAnsiTheme="minorEastAsia" w:hint="eastAsia"/>
        </w:rPr>
        <w:t>在</w:t>
      </w:r>
      <w:r w:rsidRPr="008564FF" w:rsidR="00365EC5">
        <w:rPr>
          <w:rFonts w:asciiTheme="minorEastAsia" w:eastAsiaTheme="minorEastAsia" w:hAnsiTheme="minorEastAsia" w:hint="eastAsia"/>
        </w:rPr>
        <w:t>指定媒介</w:t>
      </w:r>
      <w:r w:rsidRPr="008564FF">
        <w:rPr>
          <w:rFonts w:asciiTheme="minorEastAsia" w:eastAsiaTheme="minorEastAsia" w:hAnsiTheme="minorEastAsia" w:hint="eastAsia"/>
        </w:rPr>
        <w:t>公告</w:t>
      </w:r>
      <w:r w:rsidRPr="008564FF">
        <w:rPr>
          <w:rFonts w:asciiTheme="minorEastAsia" w:eastAsiaTheme="minorEastAsia" w:hAnsiTheme="minorEastAsia" w:hint="eastAsia"/>
          <w:szCs w:val="21"/>
        </w:rPr>
        <w:t>。</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rPr>
        <w:t>基金管理人可以在不违反法律法规规定及基金合同约定的情况下根据市场情况制定基金促销计划，针对基金投资者定期和不定期地开展基金促销活动。在基金促销活动期间，基金管理人可以适当调低基金销售费率，或针对特定渠道、特定投资群体开展有差别的费率优惠活动。</w:t>
      </w:r>
    </w:p>
    <w:p w:rsidR="003A3487" w:rsidRPr="008564FF" w:rsidP="009C2B2A">
      <w:pPr>
        <w:pStyle w:val="Heading2"/>
        <w:snapToGrid w:val="0"/>
        <w:spacing w:beforeLines="0" w:afterLines="0" w:line="360" w:lineRule="auto"/>
        <w:ind w:firstLine="0" w:firstLineChars="0"/>
        <w:rPr>
          <w:rFonts w:asciiTheme="minorEastAsia" w:eastAsiaTheme="minorEastAsia" w:hAnsiTheme="minorEastAsia"/>
          <w:b w:val="0"/>
        </w:rPr>
      </w:pPr>
      <w:bookmarkStart w:id="45" w:name="_Toc91749221"/>
      <w:r w:rsidRPr="008564FF">
        <w:rPr>
          <w:rFonts w:asciiTheme="minorEastAsia" w:eastAsiaTheme="minorEastAsia" w:hAnsiTheme="minorEastAsia" w:hint="eastAsia"/>
          <w:b w:val="0"/>
        </w:rPr>
        <w:t>（八）申购份额、赎回金额的计算方式</w:t>
      </w:r>
      <w:bookmarkEnd w:id="45"/>
    </w:p>
    <w:p w:rsidR="003A3487" w:rsidRPr="008564FF" w:rsidP="004549E4">
      <w:pPr>
        <w:snapToGrid w:val="0"/>
        <w:spacing w:line="360" w:lineRule="auto"/>
        <w:ind w:firstLine="480"/>
        <w:rPr>
          <w:rFonts w:asciiTheme="minorEastAsia" w:eastAsiaTheme="minorEastAsia" w:hAnsiTheme="minorEastAsia"/>
          <w:szCs w:val="21"/>
        </w:rPr>
      </w:pPr>
      <w:r w:rsidRPr="008564FF">
        <w:rPr>
          <w:rFonts w:asciiTheme="minorEastAsia" w:eastAsiaTheme="minorEastAsia" w:hAnsiTheme="minorEastAsia" w:hint="eastAsia"/>
          <w:szCs w:val="21"/>
        </w:rPr>
        <w:t>1、申购份额的计算</w:t>
      </w:r>
    </w:p>
    <w:p w:rsidR="003A3487" w:rsidRPr="008564FF" w:rsidP="004549E4">
      <w:pPr>
        <w:snapToGrid w:val="0"/>
        <w:spacing w:line="360" w:lineRule="auto"/>
        <w:ind w:firstLine="480"/>
        <w:rPr>
          <w:rFonts w:asciiTheme="minorEastAsia" w:eastAsiaTheme="minorEastAsia" w:hAnsiTheme="minorEastAsia"/>
          <w:szCs w:val="21"/>
        </w:rPr>
      </w:pPr>
      <w:r w:rsidRPr="008564FF">
        <w:rPr>
          <w:rFonts w:asciiTheme="minorEastAsia" w:eastAsiaTheme="minorEastAsia" w:hAnsiTheme="minorEastAsia" w:hint="eastAsia"/>
          <w:szCs w:val="21"/>
        </w:rPr>
        <w:t>本基金的申购金额包括申购费用和净申购金额，其中：</w:t>
      </w:r>
    </w:p>
    <w:p w:rsidR="003A3487" w:rsidRPr="008564FF" w:rsidP="004549E4">
      <w:pPr>
        <w:snapToGrid w:val="0"/>
        <w:spacing w:line="360" w:lineRule="auto"/>
        <w:ind w:firstLine="480"/>
        <w:rPr>
          <w:rFonts w:asciiTheme="minorEastAsia" w:eastAsiaTheme="minorEastAsia" w:hAnsiTheme="minorEastAsia"/>
          <w:szCs w:val="21"/>
        </w:rPr>
      </w:pPr>
      <w:r w:rsidRPr="008564FF">
        <w:rPr>
          <w:rFonts w:asciiTheme="minorEastAsia" w:eastAsiaTheme="minorEastAsia" w:hAnsiTheme="minorEastAsia" w:hint="eastAsia"/>
          <w:szCs w:val="21"/>
        </w:rPr>
        <w:t>净申购金额=申购金额/（1+申购费率）</w:t>
      </w:r>
    </w:p>
    <w:p w:rsidR="003A3487" w:rsidRPr="008564FF" w:rsidP="004549E4">
      <w:pPr>
        <w:snapToGrid w:val="0"/>
        <w:spacing w:line="360" w:lineRule="auto"/>
        <w:ind w:firstLine="480"/>
        <w:rPr>
          <w:rFonts w:asciiTheme="minorEastAsia" w:eastAsiaTheme="minorEastAsia" w:hAnsiTheme="minorEastAsia"/>
          <w:szCs w:val="21"/>
        </w:rPr>
      </w:pPr>
      <w:r w:rsidRPr="008564FF">
        <w:rPr>
          <w:rFonts w:asciiTheme="minorEastAsia" w:eastAsiaTheme="minorEastAsia" w:hAnsiTheme="minorEastAsia" w:hint="eastAsia"/>
          <w:szCs w:val="21"/>
        </w:rPr>
        <w:t>申购费用=申购金额-净申购金额</w:t>
      </w:r>
    </w:p>
    <w:p w:rsidR="003A3487" w:rsidRPr="008564FF" w:rsidP="004549E4">
      <w:pPr>
        <w:snapToGrid w:val="0"/>
        <w:spacing w:line="360" w:lineRule="auto"/>
        <w:ind w:firstLine="480"/>
        <w:rPr>
          <w:rFonts w:asciiTheme="minorEastAsia" w:eastAsiaTheme="minorEastAsia" w:hAnsiTheme="minorEastAsia"/>
          <w:szCs w:val="21"/>
        </w:rPr>
      </w:pPr>
      <w:r w:rsidRPr="008564FF">
        <w:rPr>
          <w:rFonts w:asciiTheme="minorEastAsia" w:eastAsiaTheme="minorEastAsia" w:hAnsiTheme="minorEastAsia" w:hint="eastAsia"/>
          <w:szCs w:val="21"/>
        </w:rPr>
        <w:t>申购份数=净申购金额</w:t>
      </w:r>
      <w:r w:rsidRPr="008564FF">
        <w:rPr>
          <w:rFonts w:asciiTheme="minorEastAsia" w:eastAsiaTheme="minorEastAsia" w:hAnsiTheme="minorEastAsia" w:hint="eastAsia"/>
        </w:rPr>
        <w:t>÷</w:t>
      </w:r>
      <w:r w:rsidRPr="008564FF">
        <w:rPr>
          <w:rFonts w:asciiTheme="minorEastAsia" w:eastAsiaTheme="minorEastAsia" w:hAnsiTheme="minorEastAsia" w:hint="eastAsia"/>
          <w:szCs w:val="21"/>
        </w:rPr>
        <w:t>T日基金份额净值</w:t>
      </w:r>
    </w:p>
    <w:p w:rsidR="003A3487" w:rsidRPr="008564FF" w:rsidP="004549E4">
      <w:pPr>
        <w:snapToGrid w:val="0"/>
        <w:spacing w:line="360" w:lineRule="auto"/>
        <w:ind w:firstLine="480"/>
        <w:rPr>
          <w:rFonts w:asciiTheme="minorEastAsia" w:eastAsiaTheme="minorEastAsia" w:hAnsiTheme="minorEastAsia"/>
          <w:szCs w:val="21"/>
        </w:rPr>
      </w:pPr>
      <w:r w:rsidRPr="008564FF">
        <w:rPr>
          <w:rFonts w:asciiTheme="minorEastAsia" w:eastAsiaTheme="minorEastAsia" w:hAnsiTheme="minorEastAsia" w:hint="eastAsia"/>
          <w:szCs w:val="21"/>
        </w:rPr>
        <w:t>对于1000万元</w:t>
      </w:r>
      <w:r w:rsidRPr="008564FF">
        <w:rPr>
          <w:rFonts w:asciiTheme="minorEastAsia" w:eastAsiaTheme="minorEastAsia" w:hAnsiTheme="minorEastAsia" w:hint="eastAsia"/>
        </w:rPr>
        <w:t>（含）以上的申购，净申购金额</w:t>
      </w:r>
      <w:r w:rsidRPr="008564FF">
        <w:rPr>
          <w:rFonts w:asciiTheme="minorEastAsia" w:eastAsiaTheme="minorEastAsia" w:hAnsiTheme="minorEastAsia"/>
        </w:rPr>
        <w:t>=</w:t>
      </w:r>
      <w:r w:rsidRPr="008564FF">
        <w:rPr>
          <w:rFonts w:asciiTheme="minorEastAsia" w:eastAsiaTheme="minorEastAsia" w:hAnsiTheme="minorEastAsia" w:hint="eastAsia"/>
          <w:szCs w:val="21"/>
        </w:rPr>
        <w:t>申</w:t>
      </w:r>
      <w:r w:rsidRPr="008564FF">
        <w:rPr>
          <w:rFonts w:asciiTheme="minorEastAsia" w:eastAsiaTheme="minorEastAsia" w:hAnsiTheme="minorEastAsia" w:hint="eastAsia"/>
        </w:rPr>
        <w:t>购金额-绝对数额的</w:t>
      </w:r>
      <w:r w:rsidRPr="008564FF">
        <w:rPr>
          <w:rFonts w:asciiTheme="minorEastAsia" w:eastAsiaTheme="minorEastAsia" w:hAnsiTheme="minorEastAsia" w:hint="eastAsia"/>
          <w:szCs w:val="21"/>
        </w:rPr>
        <w:t>申</w:t>
      </w:r>
      <w:r w:rsidRPr="008564FF">
        <w:rPr>
          <w:rFonts w:asciiTheme="minorEastAsia" w:eastAsiaTheme="minorEastAsia" w:hAnsiTheme="minorEastAsia" w:hint="eastAsia"/>
        </w:rPr>
        <w:t>购费金额</w:t>
      </w:r>
    </w:p>
    <w:p w:rsidR="003A3487" w:rsidRPr="008564FF" w:rsidP="004549E4">
      <w:pPr>
        <w:snapToGrid w:val="0"/>
        <w:spacing w:line="360" w:lineRule="auto"/>
        <w:ind w:firstLine="480"/>
        <w:rPr>
          <w:rFonts w:asciiTheme="minorEastAsia" w:eastAsiaTheme="minorEastAsia" w:hAnsiTheme="minorEastAsia"/>
          <w:szCs w:val="21"/>
        </w:rPr>
      </w:pPr>
      <w:r w:rsidRPr="008564FF">
        <w:rPr>
          <w:rFonts w:asciiTheme="minorEastAsia" w:eastAsiaTheme="minorEastAsia" w:hAnsiTheme="minorEastAsia" w:hint="eastAsia"/>
          <w:szCs w:val="21"/>
        </w:rPr>
        <w:t>举例说明：</w:t>
      </w:r>
    </w:p>
    <w:p w:rsidR="00016E95" w:rsidRPr="008564FF" w:rsidP="004549E4">
      <w:pPr>
        <w:snapToGrid w:val="0"/>
        <w:spacing w:line="360" w:lineRule="auto"/>
        <w:ind w:firstLine="480"/>
        <w:rPr>
          <w:rFonts w:asciiTheme="minorEastAsia" w:eastAsiaTheme="minorEastAsia" w:hAnsiTheme="minorEastAsia"/>
          <w:szCs w:val="21"/>
        </w:rPr>
      </w:pPr>
      <w:r w:rsidRPr="008564FF">
        <w:rPr>
          <w:rFonts w:asciiTheme="minorEastAsia" w:eastAsiaTheme="minorEastAsia" w:hAnsiTheme="minorEastAsia" w:hint="eastAsia"/>
          <w:kern w:val="0"/>
        </w:rPr>
        <w:t>例一：某投资者（非特定投资群体）申购本基金：</w:t>
      </w:r>
    </w:p>
    <w:tbl>
      <w:tblPr>
        <w:tblW w:w="8880" w:type="dxa"/>
        <w:jc w:val="center"/>
        <w:tblBorders>
          <w:top w:val="thinThickLargeGap" w:sz="6" w:space="0" w:color="808080"/>
          <w:left w:val="thinThickLargeGap" w:sz="6" w:space="0" w:color="808080"/>
          <w:bottom w:val="thinThickLargeGap" w:sz="6" w:space="0" w:color="808080"/>
          <w:right w:val="thinThickLargeGap" w:sz="6" w:space="0" w:color="808080"/>
          <w:insideH w:val="thinThickLargeGap" w:sz="6" w:space="0" w:color="808080"/>
          <w:insideV w:val="thinThickLargeGap" w:sz="6" w:space="0" w:color="808080"/>
        </w:tblBorders>
        <w:tblLayout w:type="fixed"/>
        <w:tblLook w:val="01E0"/>
      </w:tblPr>
      <w:tblGrid>
        <w:gridCol w:w="1581"/>
        <w:gridCol w:w="1135"/>
        <w:gridCol w:w="1419"/>
        <w:gridCol w:w="1661"/>
        <w:gridCol w:w="1661"/>
        <w:gridCol w:w="1423"/>
      </w:tblGrid>
      <w:tr w:rsidTr="00016E95">
        <w:tblPrEx>
          <w:tblW w:w="8880" w:type="dxa"/>
          <w:jc w:val="center"/>
          <w:tblBorders>
            <w:top w:val="thinThickLargeGap" w:sz="6" w:space="0" w:color="808080"/>
            <w:left w:val="thinThickLargeGap" w:sz="6" w:space="0" w:color="808080"/>
            <w:bottom w:val="thinThickLargeGap" w:sz="6" w:space="0" w:color="808080"/>
            <w:right w:val="thinThickLargeGap" w:sz="6" w:space="0" w:color="808080"/>
            <w:insideH w:val="thinThickLargeGap" w:sz="6" w:space="0" w:color="808080"/>
            <w:insideV w:val="thinThickLargeGap" w:sz="6" w:space="0" w:color="808080"/>
          </w:tblBorders>
          <w:tblLayout w:type="fixed"/>
          <w:tblLook w:val="01E0"/>
        </w:tblPrEx>
        <w:trPr>
          <w:jc w:val="center"/>
        </w:trPr>
        <w:tc>
          <w:tcPr>
            <w:tcW w:w="1581" w:type="dxa"/>
            <w:tcBorders>
              <w:top w:val="thinThickLargeGap" w:sz="6" w:space="0" w:color="808080"/>
              <w:left w:val="thinThickLargeGap" w:sz="6" w:space="0" w:color="808080"/>
              <w:bottom w:val="thinThickLargeGap" w:sz="6" w:space="0" w:color="808080"/>
              <w:right w:val="thinThickLargeGap" w:sz="6" w:space="0" w:color="808080"/>
            </w:tcBorders>
          </w:tcPr>
          <w:p w:rsidR="003A3487" w:rsidRPr="008564FF" w:rsidP="004549E4">
            <w:pPr>
              <w:snapToGrid w:val="0"/>
              <w:spacing w:line="360" w:lineRule="auto"/>
              <w:jc w:val="center"/>
              <w:rPr>
                <w:rFonts w:asciiTheme="minorEastAsia" w:eastAsiaTheme="minorEastAsia" w:hAnsiTheme="minorEastAsia"/>
                <w:b/>
                <w:szCs w:val="21"/>
              </w:rPr>
            </w:pPr>
            <w:r w:rsidRPr="008564FF">
              <w:rPr>
                <w:rFonts w:asciiTheme="minorEastAsia" w:eastAsiaTheme="minorEastAsia" w:hAnsiTheme="minorEastAsia" w:hint="eastAsia"/>
                <w:b/>
                <w:szCs w:val="21"/>
              </w:rPr>
              <w:t>申购金额</w:t>
            </w:r>
          </w:p>
        </w:tc>
        <w:tc>
          <w:tcPr>
            <w:tcW w:w="1135" w:type="dxa"/>
            <w:tcBorders>
              <w:top w:val="thinThickLargeGap" w:sz="6" w:space="0" w:color="808080"/>
              <w:left w:val="thinThickLargeGap" w:sz="6" w:space="0" w:color="808080"/>
              <w:bottom w:val="thinThickLargeGap" w:sz="6" w:space="0" w:color="808080"/>
              <w:right w:val="thinThickLargeGap" w:sz="6" w:space="0" w:color="808080"/>
            </w:tcBorders>
          </w:tcPr>
          <w:p w:rsidR="003A3487" w:rsidRPr="008564FF" w:rsidP="004549E4">
            <w:pPr>
              <w:snapToGrid w:val="0"/>
              <w:spacing w:line="360" w:lineRule="auto"/>
              <w:jc w:val="center"/>
              <w:rPr>
                <w:rFonts w:asciiTheme="minorEastAsia" w:eastAsiaTheme="minorEastAsia" w:hAnsiTheme="minorEastAsia"/>
                <w:b/>
                <w:szCs w:val="21"/>
              </w:rPr>
            </w:pPr>
            <w:r w:rsidRPr="008564FF">
              <w:rPr>
                <w:rFonts w:asciiTheme="minorEastAsia" w:eastAsiaTheme="minorEastAsia" w:hAnsiTheme="minorEastAsia" w:hint="eastAsia"/>
                <w:b/>
                <w:szCs w:val="21"/>
              </w:rPr>
              <w:t>申购费率</w:t>
            </w:r>
          </w:p>
        </w:tc>
        <w:tc>
          <w:tcPr>
            <w:tcW w:w="1419" w:type="dxa"/>
            <w:tcBorders>
              <w:top w:val="thinThickLargeGap" w:sz="6" w:space="0" w:color="808080"/>
              <w:left w:val="thinThickLargeGap" w:sz="6" w:space="0" w:color="808080"/>
              <w:bottom w:val="thinThickLargeGap" w:sz="6" w:space="0" w:color="808080"/>
              <w:right w:val="thinThickLargeGap" w:sz="6" w:space="0" w:color="808080"/>
            </w:tcBorders>
          </w:tcPr>
          <w:p w:rsidR="003A3487" w:rsidRPr="008564FF" w:rsidP="004549E4">
            <w:pPr>
              <w:snapToGrid w:val="0"/>
              <w:spacing w:line="360" w:lineRule="auto"/>
              <w:jc w:val="center"/>
              <w:rPr>
                <w:rFonts w:asciiTheme="minorEastAsia" w:eastAsiaTheme="minorEastAsia" w:hAnsiTheme="minorEastAsia"/>
                <w:b/>
                <w:szCs w:val="21"/>
              </w:rPr>
            </w:pPr>
            <w:r w:rsidRPr="008564FF">
              <w:rPr>
                <w:rFonts w:asciiTheme="minorEastAsia" w:eastAsiaTheme="minorEastAsia" w:hAnsiTheme="minorEastAsia" w:hint="eastAsia"/>
                <w:b/>
                <w:szCs w:val="21"/>
              </w:rPr>
              <w:t>净申购金额</w:t>
            </w:r>
          </w:p>
        </w:tc>
        <w:tc>
          <w:tcPr>
            <w:tcW w:w="1661" w:type="dxa"/>
            <w:tcBorders>
              <w:top w:val="thinThickLargeGap" w:sz="6" w:space="0" w:color="808080"/>
              <w:left w:val="thinThickLargeGap" w:sz="6" w:space="0" w:color="808080"/>
              <w:bottom w:val="thinThickLargeGap" w:sz="6" w:space="0" w:color="808080"/>
              <w:right w:val="thinThickLargeGap" w:sz="6" w:space="0" w:color="808080"/>
            </w:tcBorders>
          </w:tcPr>
          <w:p w:rsidR="003A3487" w:rsidRPr="008564FF" w:rsidP="004549E4">
            <w:pPr>
              <w:snapToGrid w:val="0"/>
              <w:spacing w:line="360" w:lineRule="auto"/>
              <w:jc w:val="center"/>
              <w:rPr>
                <w:rFonts w:asciiTheme="minorEastAsia" w:eastAsiaTheme="minorEastAsia" w:hAnsiTheme="minorEastAsia"/>
                <w:b/>
                <w:szCs w:val="21"/>
              </w:rPr>
            </w:pPr>
            <w:r w:rsidRPr="008564FF">
              <w:rPr>
                <w:rFonts w:asciiTheme="minorEastAsia" w:eastAsiaTheme="minorEastAsia" w:hAnsiTheme="minorEastAsia" w:hint="eastAsia"/>
                <w:b/>
                <w:szCs w:val="21"/>
              </w:rPr>
              <w:t>申购费用</w:t>
            </w:r>
          </w:p>
        </w:tc>
        <w:tc>
          <w:tcPr>
            <w:tcW w:w="1661" w:type="dxa"/>
            <w:tcBorders>
              <w:top w:val="thinThickLargeGap" w:sz="6" w:space="0" w:color="808080"/>
              <w:left w:val="thinThickLargeGap" w:sz="6" w:space="0" w:color="808080"/>
              <w:bottom w:val="thinThickLargeGap" w:sz="6" w:space="0" w:color="808080"/>
              <w:right w:val="thinThickLargeGap" w:sz="6" w:space="0" w:color="808080"/>
            </w:tcBorders>
          </w:tcPr>
          <w:p w:rsidR="003A3487" w:rsidRPr="008564FF" w:rsidP="004549E4">
            <w:pPr>
              <w:snapToGrid w:val="0"/>
              <w:spacing w:line="360" w:lineRule="auto"/>
              <w:jc w:val="center"/>
              <w:rPr>
                <w:rFonts w:asciiTheme="minorEastAsia" w:eastAsiaTheme="minorEastAsia" w:hAnsiTheme="minorEastAsia"/>
                <w:b/>
                <w:szCs w:val="21"/>
              </w:rPr>
            </w:pPr>
            <w:r w:rsidRPr="008564FF">
              <w:rPr>
                <w:rFonts w:asciiTheme="minorEastAsia" w:eastAsiaTheme="minorEastAsia" w:hAnsiTheme="minorEastAsia" w:hint="eastAsia"/>
                <w:b/>
                <w:szCs w:val="21"/>
              </w:rPr>
              <w:t>基金份额净值</w:t>
            </w:r>
          </w:p>
        </w:tc>
        <w:tc>
          <w:tcPr>
            <w:tcW w:w="1423" w:type="dxa"/>
            <w:tcBorders>
              <w:top w:val="thinThickLargeGap" w:sz="6" w:space="0" w:color="808080"/>
              <w:left w:val="thinThickLargeGap" w:sz="6" w:space="0" w:color="808080"/>
              <w:bottom w:val="thinThickLargeGap" w:sz="6" w:space="0" w:color="808080"/>
              <w:right w:val="thinThickLargeGap" w:sz="6" w:space="0" w:color="808080"/>
            </w:tcBorders>
          </w:tcPr>
          <w:p w:rsidR="003A3487" w:rsidRPr="008564FF" w:rsidP="004549E4">
            <w:pPr>
              <w:snapToGrid w:val="0"/>
              <w:spacing w:line="360" w:lineRule="auto"/>
              <w:jc w:val="center"/>
              <w:rPr>
                <w:rFonts w:asciiTheme="minorEastAsia" w:eastAsiaTheme="minorEastAsia" w:hAnsiTheme="minorEastAsia"/>
                <w:b/>
                <w:szCs w:val="21"/>
              </w:rPr>
            </w:pPr>
            <w:r w:rsidRPr="008564FF">
              <w:rPr>
                <w:rFonts w:asciiTheme="minorEastAsia" w:eastAsiaTheme="minorEastAsia" w:hAnsiTheme="minorEastAsia" w:hint="eastAsia"/>
                <w:b/>
                <w:szCs w:val="21"/>
              </w:rPr>
              <w:t>申购份数</w:t>
            </w:r>
          </w:p>
        </w:tc>
      </w:tr>
      <w:tr w:rsidTr="00016E95">
        <w:tblPrEx>
          <w:tblW w:w="8880" w:type="dxa"/>
          <w:jc w:val="center"/>
          <w:tblLayout w:type="fixed"/>
          <w:tblLook w:val="01E0"/>
        </w:tblPrEx>
        <w:trPr>
          <w:jc w:val="center"/>
        </w:trPr>
        <w:tc>
          <w:tcPr>
            <w:tcW w:w="1581" w:type="dxa"/>
            <w:tcBorders>
              <w:top w:val="thinThickLargeGap" w:sz="6" w:space="0" w:color="808080"/>
              <w:left w:val="thinThickLargeGap" w:sz="6" w:space="0" w:color="808080"/>
              <w:bottom w:val="thinThickLargeGap" w:sz="6" w:space="0" w:color="808080"/>
              <w:right w:val="thinThickLargeGap" w:sz="6" w:space="0" w:color="808080"/>
            </w:tcBorders>
          </w:tcPr>
          <w:p w:rsidR="003A3487" w:rsidRPr="008564FF" w:rsidP="004549E4">
            <w:pPr>
              <w:snapToGrid w:val="0"/>
              <w:spacing w:line="360" w:lineRule="auto"/>
              <w:jc w:val="center"/>
              <w:rPr>
                <w:rFonts w:asciiTheme="minorEastAsia" w:eastAsiaTheme="minorEastAsia" w:hAnsiTheme="minorEastAsia"/>
                <w:szCs w:val="21"/>
              </w:rPr>
            </w:pPr>
            <w:r w:rsidRPr="008564FF">
              <w:rPr>
                <w:rFonts w:asciiTheme="minorEastAsia" w:eastAsiaTheme="minorEastAsia" w:hAnsiTheme="minorEastAsia" w:hint="eastAsia"/>
                <w:szCs w:val="21"/>
              </w:rPr>
              <w:t>10,000元</w:t>
            </w:r>
          </w:p>
        </w:tc>
        <w:tc>
          <w:tcPr>
            <w:tcW w:w="1135" w:type="dxa"/>
            <w:tcBorders>
              <w:top w:val="thinThickLargeGap" w:sz="6" w:space="0" w:color="808080"/>
              <w:left w:val="thinThickLargeGap" w:sz="6" w:space="0" w:color="808080"/>
              <w:bottom w:val="thinThickLargeGap" w:sz="6" w:space="0" w:color="808080"/>
              <w:right w:val="thinThickLargeGap" w:sz="6" w:space="0" w:color="808080"/>
            </w:tcBorders>
          </w:tcPr>
          <w:p w:rsidR="003A3487" w:rsidRPr="008564FF" w:rsidP="004549E4">
            <w:pPr>
              <w:snapToGrid w:val="0"/>
              <w:spacing w:line="360" w:lineRule="auto"/>
              <w:ind w:firstLine="210" w:firstLineChars="100"/>
              <w:rPr>
                <w:rFonts w:asciiTheme="minorEastAsia" w:eastAsiaTheme="minorEastAsia" w:hAnsiTheme="minorEastAsia"/>
                <w:szCs w:val="21"/>
              </w:rPr>
            </w:pPr>
            <w:r w:rsidRPr="008564FF">
              <w:rPr>
                <w:rFonts w:asciiTheme="minorEastAsia" w:eastAsiaTheme="minorEastAsia" w:hAnsiTheme="minorEastAsia" w:hint="eastAsia"/>
                <w:szCs w:val="21"/>
              </w:rPr>
              <w:t>1.5%</w:t>
            </w:r>
          </w:p>
        </w:tc>
        <w:tc>
          <w:tcPr>
            <w:tcW w:w="1419" w:type="dxa"/>
            <w:tcBorders>
              <w:top w:val="thinThickLargeGap" w:sz="6" w:space="0" w:color="808080"/>
              <w:left w:val="thinThickLargeGap" w:sz="6" w:space="0" w:color="808080"/>
              <w:bottom w:val="thinThickLargeGap" w:sz="6" w:space="0" w:color="808080"/>
              <w:right w:val="thinThickLargeGap" w:sz="6" w:space="0" w:color="808080"/>
            </w:tcBorders>
          </w:tcPr>
          <w:p w:rsidR="003A3487" w:rsidRPr="008564FF" w:rsidP="004549E4">
            <w:pPr>
              <w:snapToGrid w:val="0"/>
              <w:spacing w:line="360" w:lineRule="auto"/>
              <w:jc w:val="center"/>
              <w:rPr>
                <w:rFonts w:asciiTheme="minorEastAsia" w:eastAsiaTheme="minorEastAsia" w:hAnsiTheme="minorEastAsia"/>
                <w:szCs w:val="21"/>
              </w:rPr>
            </w:pPr>
            <w:r w:rsidRPr="008564FF">
              <w:rPr>
                <w:rFonts w:asciiTheme="minorEastAsia" w:eastAsiaTheme="minorEastAsia" w:hAnsiTheme="minorEastAsia" w:hint="eastAsia"/>
                <w:szCs w:val="21"/>
              </w:rPr>
              <w:t>9,852.22元</w:t>
            </w:r>
          </w:p>
        </w:tc>
        <w:tc>
          <w:tcPr>
            <w:tcW w:w="1661" w:type="dxa"/>
            <w:tcBorders>
              <w:top w:val="thinThickLargeGap" w:sz="6" w:space="0" w:color="808080"/>
              <w:left w:val="thinThickLargeGap" w:sz="6" w:space="0" w:color="808080"/>
              <w:bottom w:val="thinThickLargeGap" w:sz="6" w:space="0" w:color="808080"/>
              <w:right w:val="thinThickLargeGap" w:sz="6" w:space="0" w:color="808080"/>
            </w:tcBorders>
          </w:tcPr>
          <w:p w:rsidR="003A3487" w:rsidRPr="008564FF" w:rsidP="004549E4">
            <w:pPr>
              <w:snapToGrid w:val="0"/>
              <w:spacing w:line="360" w:lineRule="auto"/>
              <w:ind w:firstLine="420"/>
              <w:rPr>
                <w:rFonts w:asciiTheme="minorEastAsia" w:eastAsiaTheme="minorEastAsia" w:hAnsiTheme="minorEastAsia"/>
                <w:szCs w:val="21"/>
              </w:rPr>
            </w:pPr>
            <w:r w:rsidRPr="008564FF">
              <w:rPr>
                <w:rFonts w:asciiTheme="minorEastAsia" w:eastAsiaTheme="minorEastAsia" w:hAnsiTheme="minorEastAsia" w:hint="eastAsia"/>
                <w:szCs w:val="21"/>
              </w:rPr>
              <w:t>147.78元</w:t>
            </w:r>
          </w:p>
        </w:tc>
        <w:tc>
          <w:tcPr>
            <w:tcW w:w="1661" w:type="dxa"/>
            <w:tcBorders>
              <w:top w:val="thinThickLargeGap" w:sz="6" w:space="0" w:color="808080"/>
              <w:left w:val="thinThickLargeGap" w:sz="6" w:space="0" w:color="808080"/>
              <w:bottom w:val="thinThickLargeGap" w:sz="6" w:space="0" w:color="808080"/>
              <w:right w:val="thinThickLargeGap" w:sz="6" w:space="0" w:color="808080"/>
            </w:tcBorders>
          </w:tcPr>
          <w:p w:rsidR="003A3487" w:rsidRPr="008564FF" w:rsidP="004549E4">
            <w:pPr>
              <w:snapToGrid w:val="0"/>
              <w:spacing w:line="360" w:lineRule="auto"/>
              <w:ind w:firstLine="420"/>
              <w:rPr>
                <w:rFonts w:asciiTheme="minorEastAsia" w:eastAsiaTheme="minorEastAsia" w:hAnsiTheme="minorEastAsia"/>
                <w:szCs w:val="21"/>
              </w:rPr>
            </w:pPr>
            <w:r w:rsidRPr="008564FF">
              <w:rPr>
                <w:rFonts w:asciiTheme="minorEastAsia" w:eastAsiaTheme="minorEastAsia" w:hAnsiTheme="minorEastAsia" w:hint="eastAsia"/>
                <w:szCs w:val="21"/>
              </w:rPr>
              <w:t>1.000元</w:t>
            </w:r>
          </w:p>
        </w:tc>
        <w:tc>
          <w:tcPr>
            <w:tcW w:w="1423" w:type="dxa"/>
            <w:tcBorders>
              <w:top w:val="thinThickLargeGap" w:sz="6" w:space="0" w:color="808080"/>
              <w:left w:val="thinThickLargeGap" w:sz="6" w:space="0" w:color="808080"/>
              <w:bottom w:val="thinThickLargeGap" w:sz="6" w:space="0" w:color="808080"/>
              <w:right w:val="thinThickLargeGap" w:sz="6" w:space="0" w:color="808080"/>
            </w:tcBorders>
          </w:tcPr>
          <w:p w:rsidR="003A3487" w:rsidRPr="008564FF" w:rsidP="004549E4">
            <w:pPr>
              <w:snapToGrid w:val="0"/>
              <w:spacing w:line="360" w:lineRule="auto"/>
              <w:jc w:val="center"/>
              <w:rPr>
                <w:rFonts w:asciiTheme="minorEastAsia" w:eastAsiaTheme="minorEastAsia" w:hAnsiTheme="minorEastAsia"/>
                <w:szCs w:val="21"/>
              </w:rPr>
            </w:pPr>
            <w:r w:rsidRPr="008564FF">
              <w:rPr>
                <w:rFonts w:asciiTheme="minorEastAsia" w:eastAsiaTheme="minorEastAsia" w:hAnsiTheme="minorEastAsia" w:hint="eastAsia"/>
                <w:szCs w:val="21"/>
              </w:rPr>
              <w:t>9,852.22份</w:t>
            </w:r>
          </w:p>
        </w:tc>
      </w:tr>
      <w:tr w:rsidTr="00016E95">
        <w:tblPrEx>
          <w:tblW w:w="8880" w:type="dxa"/>
          <w:jc w:val="center"/>
          <w:tblLayout w:type="fixed"/>
          <w:tblLook w:val="01E0"/>
        </w:tblPrEx>
        <w:trPr>
          <w:jc w:val="center"/>
        </w:trPr>
        <w:tc>
          <w:tcPr>
            <w:tcW w:w="1581" w:type="dxa"/>
            <w:tcBorders>
              <w:top w:val="thinThickLargeGap" w:sz="6" w:space="0" w:color="808080"/>
              <w:left w:val="thinThickLargeGap" w:sz="6" w:space="0" w:color="808080"/>
              <w:bottom w:val="thinThickLargeGap" w:sz="6" w:space="0" w:color="808080"/>
              <w:right w:val="thinThickLargeGap" w:sz="6" w:space="0" w:color="808080"/>
            </w:tcBorders>
          </w:tcPr>
          <w:p w:rsidR="003A3487" w:rsidRPr="008564FF" w:rsidP="004549E4">
            <w:pPr>
              <w:snapToGrid w:val="0"/>
              <w:spacing w:line="360" w:lineRule="auto"/>
              <w:jc w:val="center"/>
              <w:rPr>
                <w:rFonts w:asciiTheme="minorEastAsia" w:eastAsiaTheme="minorEastAsia" w:hAnsiTheme="minorEastAsia"/>
                <w:szCs w:val="21"/>
              </w:rPr>
            </w:pPr>
            <w:r w:rsidRPr="008564FF">
              <w:rPr>
                <w:rFonts w:asciiTheme="minorEastAsia" w:eastAsiaTheme="minorEastAsia" w:hAnsiTheme="minorEastAsia" w:hint="eastAsia"/>
                <w:szCs w:val="21"/>
              </w:rPr>
              <w:t>10,000,000元</w:t>
            </w:r>
          </w:p>
        </w:tc>
        <w:tc>
          <w:tcPr>
            <w:tcW w:w="1135" w:type="dxa"/>
            <w:tcBorders>
              <w:top w:val="thinThickLargeGap" w:sz="6" w:space="0" w:color="808080"/>
              <w:left w:val="thinThickLargeGap" w:sz="6" w:space="0" w:color="808080"/>
              <w:bottom w:val="thinThickLargeGap" w:sz="6" w:space="0" w:color="808080"/>
              <w:right w:val="thinThickLargeGap" w:sz="6" w:space="0" w:color="808080"/>
            </w:tcBorders>
          </w:tcPr>
          <w:p w:rsidR="003A3487" w:rsidRPr="008564FF" w:rsidP="004549E4">
            <w:pPr>
              <w:snapToGrid w:val="0"/>
              <w:spacing w:line="360" w:lineRule="auto"/>
              <w:jc w:val="center"/>
              <w:rPr>
                <w:rFonts w:asciiTheme="minorEastAsia" w:eastAsiaTheme="minorEastAsia" w:hAnsiTheme="minorEastAsia"/>
                <w:szCs w:val="21"/>
              </w:rPr>
            </w:pPr>
            <w:r w:rsidRPr="008564FF">
              <w:rPr>
                <w:rFonts w:asciiTheme="minorEastAsia" w:eastAsiaTheme="minorEastAsia" w:hAnsiTheme="minorEastAsia" w:hint="eastAsia"/>
                <w:szCs w:val="21"/>
              </w:rPr>
              <w:t>1000元</w:t>
            </w:r>
          </w:p>
        </w:tc>
        <w:tc>
          <w:tcPr>
            <w:tcW w:w="1419" w:type="dxa"/>
            <w:tcBorders>
              <w:top w:val="thinThickLargeGap" w:sz="6" w:space="0" w:color="808080"/>
              <w:left w:val="thinThickLargeGap" w:sz="6" w:space="0" w:color="808080"/>
              <w:bottom w:val="thinThickLargeGap" w:sz="6" w:space="0" w:color="808080"/>
              <w:right w:val="thinThickLargeGap" w:sz="6" w:space="0" w:color="808080"/>
            </w:tcBorders>
          </w:tcPr>
          <w:p w:rsidR="003A3487" w:rsidRPr="008564FF" w:rsidP="004549E4">
            <w:pPr>
              <w:snapToGrid w:val="0"/>
              <w:spacing w:line="360" w:lineRule="auto"/>
              <w:jc w:val="center"/>
              <w:rPr>
                <w:rFonts w:asciiTheme="minorEastAsia" w:eastAsiaTheme="minorEastAsia" w:hAnsiTheme="minorEastAsia"/>
                <w:szCs w:val="21"/>
              </w:rPr>
            </w:pPr>
            <w:r w:rsidRPr="008564FF">
              <w:rPr>
                <w:rFonts w:asciiTheme="minorEastAsia" w:eastAsiaTheme="minorEastAsia" w:hAnsiTheme="minorEastAsia" w:hint="eastAsia"/>
                <w:szCs w:val="21"/>
              </w:rPr>
              <w:t>9,999,000元</w:t>
            </w:r>
          </w:p>
        </w:tc>
        <w:tc>
          <w:tcPr>
            <w:tcW w:w="1661" w:type="dxa"/>
            <w:tcBorders>
              <w:top w:val="thinThickLargeGap" w:sz="6" w:space="0" w:color="808080"/>
              <w:left w:val="thinThickLargeGap" w:sz="6" w:space="0" w:color="808080"/>
              <w:bottom w:val="thinThickLargeGap" w:sz="6" w:space="0" w:color="808080"/>
              <w:right w:val="thinThickLargeGap" w:sz="6" w:space="0" w:color="808080"/>
            </w:tcBorders>
          </w:tcPr>
          <w:p w:rsidR="003A3487" w:rsidRPr="008564FF" w:rsidP="004549E4">
            <w:pPr>
              <w:snapToGrid w:val="0"/>
              <w:spacing w:line="360" w:lineRule="auto"/>
              <w:ind w:firstLine="420"/>
              <w:rPr>
                <w:rFonts w:asciiTheme="minorEastAsia" w:eastAsiaTheme="minorEastAsia" w:hAnsiTheme="minorEastAsia"/>
                <w:szCs w:val="21"/>
              </w:rPr>
            </w:pPr>
            <w:r w:rsidRPr="008564FF">
              <w:rPr>
                <w:rFonts w:asciiTheme="minorEastAsia" w:eastAsiaTheme="minorEastAsia" w:hAnsiTheme="minorEastAsia" w:hint="eastAsia"/>
                <w:szCs w:val="21"/>
              </w:rPr>
              <w:t>1000元</w:t>
            </w:r>
          </w:p>
        </w:tc>
        <w:tc>
          <w:tcPr>
            <w:tcW w:w="1661" w:type="dxa"/>
            <w:tcBorders>
              <w:top w:val="thinThickLargeGap" w:sz="6" w:space="0" w:color="808080"/>
              <w:left w:val="thinThickLargeGap" w:sz="6" w:space="0" w:color="808080"/>
              <w:bottom w:val="thinThickLargeGap" w:sz="6" w:space="0" w:color="808080"/>
              <w:right w:val="thinThickLargeGap" w:sz="6" w:space="0" w:color="808080"/>
            </w:tcBorders>
          </w:tcPr>
          <w:p w:rsidR="003A3487" w:rsidRPr="008564FF" w:rsidP="004549E4">
            <w:pPr>
              <w:snapToGrid w:val="0"/>
              <w:spacing w:line="360" w:lineRule="auto"/>
              <w:ind w:firstLine="420"/>
              <w:rPr>
                <w:rFonts w:asciiTheme="minorEastAsia" w:eastAsiaTheme="minorEastAsia" w:hAnsiTheme="minorEastAsia"/>
                <w:szCs w:val="21"/>
              </w:rPr>
            </w:pPr>
            <w:r w:rsidRPr="008564FF">
              <w:rPr>
                <w:rFonts w:asciiTheme="minorEastAsia" w:eastAsiaTheme="minorEastAsia" w:hAnsiTheme="minorEastAsia" w:hint="eastAsia"/>
                <w:szCs w:val="21"/>
              </w:rPr>
              <w:t>1.000元</w:t>
            </w:r>
          </w:p>
        </w:tc>
        <w:tc>
          <w:tcPr>
            <w:tcW w:w="1423" w:type="dxa"/>
            <w:tcBorders>
              <w:top w:val="thinThickLargeGap" w:sz="6" w:space="0" w:color="808080"/>
              <w:left w:val="thinThickLargeGap" w:sz="6" w:space="0" w:color="808080"/>
              <w:bottom w:val="thinThickLargeGap" w:sz="6" w:space="0" w:color="808080"/>
              <w:right w:val="thinThickLargeGap" w:sz="6" w:space="0" w:color="808080"/>
            </w:tcBorders>
          </w:tcPr>
          <w:p w:rsidR="003A3487" w:rsidRPr="008564FF" w:rsidP="004549E4">
            <w:pPr>
              <w:snapToGrid w:val="0"/>
              <w:spacing w:line="360" w:lineRule="auto"/>
              <w:jc w:val="center"/>
              <w:rPr>
                <w:rFonts w:asciiTheme="minorEastAsia" w:eastAsiaTheme="minorEastAsia" w:hAnsiTheme="minorEastAsia"/>
                <w:szCs w:val="21"/>
              </w:rPr>
            </w:pPr>
            <w:r w:rsidRPr="008564FF">
              <w:rPr>
                <w:rFonts w:asciiTheme="minorEastAsia" w:eastAsiaTheme="minorEastAsia" w:hAnsiTheme="minorEastAsia" w:hint="eastAsia"/>
                <w:szCs w:val="21"/>
              </w:rPr>
              <w:t>9,999,000份</w:t>
            </w:r>
          </w:p>
        </w:tc>
      </w:tr>
    </w:tbl>
    <w:p w:rsidR="00016E95" w:rsidRPr="008564FF" w:rsidP="004549E4">
      <w:pPr>
        <w:snapToGrid w:val="0"/>
        <w:spacing w:line="360" w:lineRule="auto"/>
        <w:ind w:firstLine="480"/>
        <w:rPr>
          <w:rFonts w:asciiTheme="minorEastAsia" w:eastAsiaTheme="minorEastAsia" w:hAnsiTheme="minorEastAsia"/>
          <w:szCs w:val="21"/>
        </w:rPr>
      </w:pPr>
      <w:r w:rsidRPr="008564FF">
        <w:rPr>
          <w:rFonts w:asciiTheme="minorEastAsia" w:eastAsiaTheme="minorEastAsia" w:hAnsiTheme="minorEastAsia" w:hint="eastAsia"/>
          <w:kern w:val="0"/>
        </w:rPr>
        <w:t>例二：某投资者（特定投资群体）通过基金管理人的直销中心申购本基金：</w:t>
      </w:r>
    </w:p>
    <w:tbl>
      <w:tblPr>
        <w:tblW w:w="8880" w:type="dxa"/>
        <w:jc w:val="center"/>
        <w:tblBorders>
          <w:top w:val="thinThickLargeGap" w:sz="6" w:space="0" w:color="808080"/>
          <w:left w:val="thinThickLargeGap" w:sz="6" w:space="0" w:color="808080"/>
          <w:bottom w:val="thinThickLargeGap" w:sz="6" w:space="0" w:color="808080"/>
          <w:right w:val="thinThickLargeGap" w:sz="6" w:space="0" w:color="808080"/>
          <w:insideH w:val="thinThickLargeGap" w:sz="6" w:space="0" w:color="808080"/>
          <w:insideV w:val="thinThickLargeGap" w:sz="6" w:space="0" w:color="808080"/>
        </w:tblBorders>
        <w:tblLayout w:type="fixed"/>
        <w:tblLook w:val="01E0"/>
      </w:tblPr>
      <w:tblGrid>
        <w:gridCol w:w="1581"/>
        <w:gridCol w:w="1135"/>
        <w:gridCol w:w="1419"/>
        <w:gridCol w:w="1661"/>
        <w:gridCol w:w="1661"/>
        <w:gridCol w:w="1423"/>
      </w:tblGrid>
      <w:tr w:rsidTr="00FD6695">
        <w:tblPrEx>
          <w:tblW w:w="8880" w:type="dxa"/>
          <w:jc w:val="center"/>
          <w:tblBorders>
            <w:top w:val="thinThickLargeGap" w:sz="6" w:space="0" w:color="808080"/>
            <w:left w:val="thinThickLargeGap" w:sz="6" w:space="0" w:color="808080"/>
            <w:bottom w:val="thinThickLargeGap" w:sz="6" w:space="0" w:color="808080"/>
            <w:right w:val="thinThickLargeGap" w:sz="6" w:space="0" w:color="808080"/>
            <w:insideH w:val="thinThickLargeGap" w:sz="6" w:space="0" w:color="808080"/>
            <w:insideV w:val="thinThickLargeGap" w:sz="6" w:space="0" w:color="808080"/>
          </w:tblBorders>
          <w:tblLayout w:type="fixed"/>
          <w:tblLook w:val="01E0"/>
        </w:tblPrEx>
        <w:trPr>
          <w:jc w:val="center"/>
        </w:trPr>
        <w:tc>
          <w:tcPr>
            <w:tcW w:w="1581" w:type="dxa"/>
            <w:tcBorders>
              <w:top w:val="thinThickLargeGap" w:sz="6" w:space="0" w:color="808080"/>
              <w:left w:val="thinThickLargeGap" w:sz="6" w:space="0" w:color="808080"/>
              <w:bottom w:val="thinThickLargeGap" w:sz="6" w:space="0" w:color="808080"/>
              <w:right w:val="thinThickLargeGap" w:sz="6" w:space="0" w:color="808080"/>
            </w:tcBorders>
          </w:tcPr>
          <w:p w:rsidR="00016E95" w:rsidRPr="008564FF" w:rsidP="004549E4">
            <w:pPr>
              <w:snapToGrid w:val="0"/>
              <w:spacing w:line="360" w:lineRule="auto"/>
              <w:jc w:val="center"/>
              <w:rPr>
                <w:rFonts w:asciiTheme="minorEastAsia" w:eastAsiaTheme="minorEastAsia" w:hAnsiTheme="minorEastAsia"/>
                <w:b/>
                <w:szCs w:val="21"/>
              </w:rPr>
            </w:pPr>
            <w:r w:rsidRPr="008564FF">
              <w:rPr>
                <w:rFonts w:asciiTheme="minorEastAsia" w:eastAsiaTheme="minorEastAsia" w:hAnsiTheme="minorEastAsia" w:hint="eastAsia"/>
                <w:b/>
                <w:szCs w:val="21"/>
              </w:rPr>
              <w:t>申购金额</w:t>
            </w:r>
          </w:p>
        </w:tc>
        <w:tc>
          <w:tcPr>
            <w:tcW w:w="1135" w:type="dxa"/>
            <w:tcBorders>
              <w:top w:val="thinThickLargeGap" w:sz="6" w:space="0" w:color="808080"/>
              <w:left w:val="thinThickLargeGap" w:sz="6" w:space="0" w:color="808080"/>
              <w:bottom w:val="thinThickLargeGap" w:sz="6" w:space="0" w:color="808080"/>
              <w:right w:val="thinThickLargeGap" w:sz="6" w:space="0" w:color="808080"/>
            </w:tcBorders>
          </w:tcPr>
          <w:p w:rsidR="00016E95" w:rsidRPr="008564FF" w:rsidP="004549E4">
            <w:pPr>
              <w:snapToGrid w:val="0"/>
              <w:spacing w:line="360" w:lineRule="auto"/>
              <w:jc w:val="center"/>
              <w:rPr>
                <w:rFonts w:asciiTheme="minorEastAsia" w:eastAsiaTheme="minorEastAsia" w:hAnsiTheme="minorEastAsia"/>
                <w:b/>
                <w:szCs w:val="21"/>
              </w:rPr>
            </w:pPr>
            <w:r w:rsidRPr="008564FF">
              <w:rPr>
                <w:rFonts w:asciiTheme="minorEastAsia" w:eastAsiaTheme="minorEastAsia" w:hAnsiTheme="minorEastAsia" w:hint="eastAsia"/>
                <w:b/>
                <w:szCs w:val="21"/>
              </w:rPr>
              <w:t>申购费率</w:t>
            </w:r>
          </w:p>
        </w:tc>
        <w:tc>
          <w:tcPr>
            <w:tcW w:w="1419" w:type="dxa"/>
            <w:tcBorders>
              <w:top w:val="thinThickLargeGap" w:sz="6" w:space="0" w:color="808080"/>
              <w:left w:val="thinThickLargeGap" w:sz="6" w:space="0" w:color="808080"/>
              <w:bottom w:val="thinThickLargeGap" w:sz="6" w:space="0" w:color="808080"/>
              <w:right w:val="thinThickLargeGap" w:sz="6" w:space="0" w:color="808080"/>
            </w:tcBorders>
          </w:tcPr>
          <w:p w:rsidR="00016E95" w:rsidRPr="008564FF" w:rsidP="004549E4">
            <w:pPr>
              <w:snapToGrid w:val="0"/>
              <w:spacing w:line="360" w:lineRule="auto"/>
              <w:jc w:val="center"/>
              <w:rPr>
                <w:rFonts w:asciiTheme="minorEastAsia" w:eastAsiaTheme="minorEastAsia" w:hAnsiTheme="minorEastAsia"/>
                <w:b/>
                <w:szCs w:val="21"/>
              </w:rPr>
            </w:pPr>
            <w:r w:rsidRPr="008564FF">
              <w:rPr>
                <w:rFonts w:asciiTheme="minorEastAsia" w:eastAsiaTheme="minorEastAsia" w:hAnsiTheme="minorEastAsia" w:hint="eastAsia"/>
                <w:b/>
                <w:szCs w:val="21"/>
              </w:rPr>
              <w:t>净申购金额</w:t>
            </w:r>
          </w:p>
        </w:tc>
        <w:tc>
          <w:tcPr>
            <w:tcW w:w="1661" w:type="dxa"/>
            <w:tcBorders>
              <w:top w:val="thinThickLargeGap" w:sz="6" w:space="0" w:color="808080"/>
              <w:left w:val="thinThickLargeGap" w:sz="6" w:space="0" w:color="808080"/>
              <w:bottom w:val="thinThickLargeGap" w:sz="6" w:space="0" w:color="808080"/>
              <w:right w:val="thinThickLargeGap" w:sz="6" w:space="0" w:color="808080"/>
            </w:tcBorders>
          </w:tcPr>
          <w:p w:rsidR="00016E95" w:rsidRPr="008564FF" w:rsidP="004549E4">
            <w:pPr>
              <w:snapToGrid w:val="0"/>
              <w:spacing w:line="360" w:lineRule="auto"/>
              <w:jc w:val="center"/>
              <w:rPr>
                <w:rFonts w:asciiTheme="minorEastAsia" w:eastAsiaTheme="minorEastAsia" w:hAnsiTheme="minorEastAsia"/>
                <w:b/>
                <w:szCs w:val="21"/>
              </w:rPr>
            </w:pPr>
            <w:r w:rsidRPr="008564FF">
              <w:rPr>
                <w:rFonts w:asciiTheme="minorEastAsia" w:eastAsiaTheme="minorEastAsia" w:hAnsiTheme="minorEastAsia" w:hint="eastAsia"/>
                <w:b/>
                <w:szCs w:val="21"/>
              </w:rPr>
              <w:t>申购费用</w:t>
            </w:r>
          </w:p>
        </w:tc>
        <w:tc>
          <w:tcPr>
            <w:tcW w:w="1661" w:type="dxa"/>
            <w:tcBorders>
              <w:top w:val="thinThickLargeGap" w:sz="6" w:space="0" w:color="808080"/>
              <w:left w:val="thinThickLargeGap" w:sz="6" w:space="0" w:color="808080"/>
              <w:bottom w:val="thinThickLargeGap" w:sz="6" w:space="0" w:color="808080"/>
              <w:right w:val="thinThickLargeGap" w:sz="6" w:space="0" w:color="808080"/>
            </w:tcBorders>
          </w:tcPr>
          <w:p w:rsidR="00016E95" w:rsidRPr="008564FF" w:rsidP="004549E4">
            <w:pPr>
              <w:snapToGrid w:val="0"/>
              <w:spacing w:line="360" w:lineRule="auto"/>
              <w:jc w:val="center"/>
              <w:rPr>
                <w:rFonts w:asciiTheme="minorEastAsia" w:eastAsiaTheme="minorEastAsia" w:hAnsiTheme="minorEastAsia"/>
                <w:b/>
                <w:szCs w:val="21"/>
              </w:rPr>
            </w:pPr>
            <w:r w:rsidRPr="008564FF">
              <w:rPr>
                <w:rFonts w:asciiTheme="minorEastAsia" w:eastAsiaTheme="minorEastAsia" w:hAnsiTheme="minorEastAsia" w:hint="eastAsia"/>
                <w:b/>
                <w:szCs w:val="21"/>
              </w:rPr>
              <w:t>基金份额净值</w:t>
            </w:r>
          </w:p>
        </w:tc>
        <w:tc>
          <w:tcPr>
            <w:tcW w:w="1423" w:type="dxa"/>
            <w:tcBorders>
              <w:top w:val="thinThickLargeGap" w:sz="6" w:space="0" w:color="808080"/>
              <w:left w:val="thinThickLargeGap" w:sz="6" w:space="0" w:color="808080"/>
              <w:bottom w:val="thinThickLargeGap" w:sz="6" w:space="0" w:color="808080"/>
              <w:right w:val="thinThickLargeGap" w:sz="6" w:space="0" w:color="808080"/>
            </w:tcBorders>
          </w:tcPr>
          <w:p w:rsidR="00016E95" w:rsidRPr="008564FF" w:rsidP="004549E4">
            <w:pPr>
              <w:snapToGrid w:val="0"/>
              <w:spacing w:line="360" w:lineRule="auto"/>
              <w:jc w:val="center"/>
              <w:rPr>
                <w:rFonts w:asciiTheme="minorEastAsia" w:eastAsiaTheme="minorEastAsia" w:hAnsiTheme="minorEastAsia"/>
                <w:b/>
                <w:szCs w:val="21"/>
              </w:rPr>
            </w:pPr>
            <w:r w:rsidRPr="008564FF">
              <w:rPr>
                <w:rFonts w:asciiTheme="minorEastAsia" w:eastAsiaTheme="minorEastAsia" w:hAnsiTheme="minorEastAsia" w:hint="eastAsia"/>
                <w:b/>
                <w:szCs w:val="21"/>
              </w:rPr>
              <w:t>申购份数</w:t>
            </w:r>
          </w:p>
        </w:tc>
      </w:tr>
      <w:tr w:rsidTr="00FD6695">
        <w:tblPrEx>
          <w:tblW w:w="8880" w:type="dxa"/>
          <w:jc w:val="center"/>
          <w:tblLayout w:type="fixed"/>
          <w:tblLook w:val="01E0"/>
        </w:tblPrEx>
        <w:trPr>
          <w:jc w:val="center"/>
        </w:trPr>
        <w:tc>
          <w:tcPr>
            <w:tcW w:w="1581" w:type="dxa"/>
            <w:tcBorders>
              <w:top w:val="thinThickLargeGap" w:sz="6" w:space="0" w:color="808080"/>
              <w:left w:val="thinThickLargeGap" w:sz="6" w:space="0" w:color="808080"/>
              <w:bottom w:val="thinThickLargeGap" w:sz="6" w:space="0" w:color="808080"/>
              <w:right w:val="thinThickLargeGap" w:sz="6" w:space="0" w:color="808080"/>
            </w:tcBorders>
          </w:tcPr>
          <w:p w:rsidR="00016E95" w:rsidRPr="008564FF" w:rsidP="004549E4">
            <w:pPr>
              <w:snapToGrid w:val="0"/>
              <w:spacing w:line="360" w:lineRule="auto"/>
              <w:jc w:val="center"/>
              <w:rPr>
                <w:rFonts w:asciiTheme="minorEastAsia" w:eastAsiaTheme="minorEastAsia" w:hAnsiTheme="minorEastAsia"/>
                <w:szCs w:val="21"/>
              </w:rPr>
            </w:pPr>
            <w:r w:rsidRPr="008564FF">
              <w:rPr>
                <w:rFonts w:asciiTheme="minorEastAsia" w:eastAsiaTheme="minorEastAsia" w:hAnsiTheme="minorEastAsia" w:hint="eastAsia"/>
                <w:szCs w:val="21"/>
              </w:rPr>
              <w:t>50,000元</w:t>
            </w:r>
          </w:p>
        </w:tc>
        <w:tc>
          <w:tcPr>
            <w:tcW w:w="1135" w:type="dxa"/>
            <w:tcBorders>
              <w:top w:val="thinThickLargeGap" w:sz="6" w:space="0" w:color="808080"/>
              <w:left w:val="thinThickLargeGap" w:sz="6" w:space="0" w:color="808080"/>
              <w:bottom w:val="thinThickLargeGap" w:sz="6" w:space="0" w:color="808080"/>
              <w:right w:val="thinThickLargeGap" w:sz="6" w:space="0" w:color="808080"/>
            </w:tcBorders>
          </w:tcPr>
          <w:p w:rsidR="00016E95" w:rsidRPr="008564FF" w:rsidP="004549E4">
            <w:pPr>
              <w:snapToGrid w:val="0"/>
              <w:spacing w:line="360" w:lineRule="auto"/>
              <w:ind w:firstLine="210" w:firstLineChars="100"/>
              <w:rPr>
                <w:rFonts w:asciiTheme="minorEastAsia" w:eastAsiaTheme="minorEastAsia" w:hAnsiTheme="minorEastAsia"/>
                <w:szCs w:val="21"/>
              </w:rPr>
            </w:pPr>
            <w:r w:rsidRPr="008564FF">
              <w:rPr>
                <w:rFonts w:asciiTheme="minorEastAsia" w:eastAsiaTheme="minorEastAsia" w:hAnsiTheme="minorEastAsia" w:hint="eastAsia"/>
                <w:szCs w:val="21"/>
              </w:rPr>
              <w:t>0.15%</w:t>
            </w:r>
          </w:p>
        </w:tc>
        <w:tc>
          <w:tcPr>
            <w:tcW w:w="1419" w:type="dxa"/>
            <w:tcBorders>
              <w:top w:val="thinThickLargeGap" w:sz="6" w:space="0" w:color="808080"/>
              <w:left w:val="thinThickLargeGap" w:sz="6" w:space="0" w:color="808080"/>
              <w:bottom w:val="thinThickLargeGap" w:sz="6" w:space="0" w:color="808080"/>
              <w:right w:val="thinThickLargeGap" w:sz="6" w:space="0" w:color="808080"/>
            </w:tcBorders>
          </w:tcPr>
          <w:p w:rsidR="00016E95" w:rsidRPr="008564FF" w:rsidP="004549E4">
            <w:pPr>
              <w:snapToGrid w:val="0"/>
              <w:spacing w:line="360" w:lineRule="auto"/>
              <w:jc w:val="center"/>
              <w:rPr>
                <w:rFonts w:asciiTheme="minorEastAsia" w:eastAsiaTheme="minorEastAsia" w:hAnsiTheme="minorEastAsia"/>
                <w:szCs w:val="21"/>
              </w:rPr>
            </w:pPr>
            <w:r w:rsidRPr="008564FF">
              <w:rPr>
                <w:rFonts w:asciiTheme="minorEastAsia" w:eastAsiaTheme="minorEastAsia" w:hAnsiTheme="minorEastAsia" w:hint="eastAsia"/>
                <w:szCs w:val="21"/>
              </w:rPr>
              <w:t>49,925.11元</w:t>
            </w:r>
          </w:p>
        </w:tc>
        <w:tc>
          <w:tcPr>
            <w:tcW w:w="1661" w:type="dxa"/>
            <w:tcBorders>
              <w:top w:val="thinThickLargeGap" w:sz="6" w:space="0" w:color="808080"/>
              <w:left w:val="thinThickLargeGap" w:sz="6" w:space="0" w:color="808080"/>
              <w:bottom w:val="thinThickLargeGap" w:sz="6" w:space="0" w:color="808080"/>
              <w:right w:val="thinThickLargeGap" w:sz="6" w:space="0" w:color="808080"/>
            </w:tcBorders>
          </w:tcPr>
          <w:p w:rsidR="00016E95" w:rsidRPr="008564FF" w:rsidP="004549E4">
            <w:pPr>
              <w:snapToGrid w:val="0"/>
              <w:spacing w:line="360" w:lineRule="auto"/>
              <w:ind w:firstLine="420"/>
              <w:rPr>
                <w:rFonts w:asciiTheme="minorEastAsia" w:eastAsiaTheme="minorEastAsia" w:hAnsiTheme="minorEastAsia"/>
                <w:szCs w:val="21"/>
              </w:rPr>
            </w:pPr>
            <w:r w:rsidRPr="008564FF">
              <w:rPr>
                <w:rFonts w:asciiTheme="minorEastAsia" w:eastAsiaTheme="minorEastAsia" w:hAnsiTheme="minorEastAsia" w:hint="eastAsia"/>
                <w:szCs w:val="21"/>
              </w:rPr>
              <w:t>74.89元</w:t>
            </w:r>
          </w:p>
        </w:tc>
        <w:tc>
          <w:tcPr>
            <w:tcW w:w="1661" w:type="dxa"/>
            <w:tcBorders>
              <w:top w:val="thinThickLargeGap" w:sz="6" w:space="0" w:color="808080"/>
              <w:left w:val="thinThickLargeGap" w:sz="6" w:space="0" w:color="808080"/>
              <w:bottom w:val="thinThickLargeGap" w:sz="6" w:space="0" w:color="808080"/>
              <w:right w:val="thinThickLargeGap" w:sz="6" w:space="0" w:color="808080"/>
            </w:tcBorders>
          </w:tcPr>
          <w:p w:rsidR="00016E95" w:rsidRPr="008564FF" w:rsidP="004549E4">
            <w:pPr>
              <w:snapToGrid w:val="0"/>
              <w:spacing w:line="360" w:lineRule="auto"/>
              <w:ind w:firstLine="420"/>
              <w:rPr>
                <w:rFonts w:asciiTheme="minorEastAsia" w:eastAsiaTheme="minorEastAsia" w:hAnsiTheme="minorEastAsia"/>
                <w:szCs w:val="21"/>
              </w:rPr>
            </w:pPr>
            <w:r w:rsidRPr="008564FF">
              <w:rPr>
                <w:rFonts w:asciiTheme="minorEastAsia" w:eastAsiaTheme="minorEastAsia" w:hAnsiTheme="minorEastAsia" w:hint="eastAsia"/>
                <w:szCs w:val="21"/>
              </w:rPr>
              <w:t>1.000元</w:t>
            </w:r>
          </w:p>
        </w:tc>
        <w:tc>
          <w:tcPr>
            <w:tcW w:w="1423" w:type="dxa"/>
            <w:tcBorders>
              <w:top w:val="thinThickLargeGap" w:sz="6" w:space="0" w:color="808080"/>
              <w:left w:val="thinThickLargeGap" w:sz="6" w:space="0" w:color="808080"/>
              <w:bottom w:val="thinThickLargeGap" w:sz="6" w:space="0" w:color="808080"/>
              <w:right w:val="thinThickLargeGap" w:sz="6" w:space="0" w:color="808080"/>
            </w:tcBorders>
          </w:tcPr>
          <w:p w:rsidR="00016E95" w:rsidRPr="008564FF" w:rsidP="004549E4">
            <w:pPr>
              <w:snapToGrid w:val="0"/>
              <w:spacing w:line="360" w:lineRule="auto"/>
              <w:jc w:val="center"/>
              <w:rPr>
                <w:rFonts w:asciiTheme="minorEastAsia" w:eastAsiaTheme="minorEastAsia" w:hAnsiTheme="minorEastAsia"/>
                <w:szCs w:val="21"/>
              </w:rPr>
            </w:pPr>
            <w:r w:rsidRPr="008564FF">
              <w:rPr>
                <w:rFonts w:asciiTheme="minorEastAsia" w:eastAsiaTheme="minorEastAsia" w:hAnsiTheme="minorEastAsia" w:hint="eastAsia"/>
                <w:szCs w:val="21"/>
              </w:rPr>
              <w:t>49,925.11份</w:t>
            </w:r>
          </w:p>
        </w:tc>
      </w:tr>
      <w:tr w:rsidTr="00FD6695">
        <w:tblPrEx>
          <w:tblW w:w="8880" w:type="dxa"/>
          <w:jc w:val="center"/>
          <w:tblLayout w:type="fixed"/>
          <w:tblLook w:val="01E0"/>
        </w:tblPrEx>
        <w:trPr>
          <w:jc w:val="center"/>
        </w:trPr>
        <w:tc>
          <w:tcPr>
            <w:tcW w:w="1581" w:type="dxa"/>
            <w:tcBorders>
              <w:top w:val="thinThickLargeGap" w:sz="6" w:space="0" w:color="808080"/>
              <w:left w:val="thinThickLargeGap" w:sz="6" w:space="0" w:color="808080"/>
              <w:bottom w:val="thinThickLargeGap" w:sz="6" w:space="0" w:color="808080"/>
              <w:right w:val="thinThickLargeGap" w:sz="6" w:space="0" w:color="808080"/>
            </w:tcBorders>
          </w:tcPr>
          <w:p w:rsidR="00016E95" w:rsidRPr="008564FF" w:rsidP="004549E4">
            <w:pPr>
              <w:snapToGrid w:val="0"/>
              <w:spacing w:line="360" w:lineRule="auto"/>
              <w:jc w:val="center"/>
              <w:rPr>
                <w:rFonts w:asciiTheme="minorEastAsia" w:eastAsiaTheme="minorEastAsia" w:hAnsiTheme="minorEastAsia"/>
                <w:szCs w:val="21"/>
              </w:rPr>
            </w:pPr>
            <w:r w:rsidRPr="008564FF">
              <w:rPr>
                <w:rFonts w:asciiTheme="minorEastAsia" w:eastAsiaTheme="minorEastAsia" w:hAnsiTheme="minorEastAsia" w:hint="eastAsia"/>
                <w:szCs w:val="21"/>
              </w:rPr>
              <w:t>10,000,000元</w:t>
            </w:r>
          </w:p>
        </w:tc>
        <w:tc>
          <w:tcPr>
            <w:tcW w:w="1135" w:type="dxa"/>
            <w:tcBorders>
              <w:top w:val="thinThickLargeGap" w:sz="6" w:space="0" w:color="808080"/>
              <w:left w:val="thinThickLargeGap" w:sz="6" w:space="0" w:color="808080"/>
              <w:bottom w:val="thinThickLargeGap" w:sz="6" w:space="0" w:color="808080"/>
              <w:right w:val="thinThickLargeGap" w:sz="6" w:space="0" w:color="808080"/>
            </w:tcBorders>
          </w:tcPr>
          <w:p w:rsidR="00016E95" w:rsidRPr="008564FF" w:rsidP="004549E4">
            <w:pPr>
              <w:snapToGrid w:val="0"/>
              <w:spacing w:line="360" w:lineRule="auto"/>
              <w:jc w:val="center"/>
              <w:rPr>
                <w:rFonts w:asciiTheme="minorEastAsia" w:eastAsiaTheme="minorEastAsia" w:hAnsiTheme="minorEastAsia"/>
                <w:szCs w:val="21"/>
              </w:rPr>
            </w:pPr>
            <w:r w:rsidRPr="008564FF">
              <w:rPr>
                <w:rFonts w:asciiTheme="minorEastAsia" w:eastAsiaTheme="minorEastAsia" w:hAnsiTheme="minorEastAsia" w:hint="eastAsia"/>
                <w:szCs w:val="21"/>
              </w:rPr>
              <w:t>1000元</w:t>
            </w:r>
          </w:p>
        </w:tc>
        <w:tc>
          <w:tcPr>
            <w:tcW w:w="1419" w:type="dxa"/>
            <w:tcBorders>
              <w:top w:val="thinThickLargeGap" w:sz="6" w:space="0" w:color="808080"/>
              <w:left w:val="thinThickLargeGap" w:sz="6" w:space="0" w:color="808080"/>
              <w:bottom w:val="thinThickLargeGap" w:sz="6" w:space="0" w:color="808080"/>
              <w:right w:val="thinThickLargeGap" w:sz="6" w:space="0" w:color="808080"/>
            </w:tcBorders>
          </w:tcPr>
          <w:p w:rsidR="00016E95" w:rsidRPr="008564FF" w:rsidP="004549E4">
            <w:pPr>
              <w:snapToGrid w:val="0"/>
              <w:spacing w:line="360" w:lineRule="auto"/>
              <w:jc w:val="center"/>
              <w:rPr>
                <w:rFonts w:asciiTheme="minorEastAsia" w:eastAsiaTheme="minorEastAsia" w:hAnsiTheme="minorEastAsia"/>
                <w:szCs w:val="21"/>
              </w:rPr>
            </w:pPr>
            <w:r w:rsidRPr="008564FF">
              <w:rPr>
                <w:rFonts w:asciiTheme="minorEastAsia" w:eastAsiaTheme="minorEastAsia" w:hAnsiTheme="minorEastAsia" w:hint="eastAsia"/>
                <w:szCs w:val="21"/>
              </w:rPr>
              <w:t>9,999,000元</w:t>
            </w:r>
          </w:p>
        </w:tc>
        <w:tc>
          <w:tcPr>
            <w:tcW w:w="1661" w:type="dxa"/>
            <w:tcBorders>
              <w:top w:val="thinThickLargeGap" w:sz="6" w:space="0" w:color="808080"/>
              <w:left w:val="thinThickLargeGap" w:sz="6" w:space="0" w:color="808080"/>
              <w:bottom w:val="thinThickLargeGap" w:sz="6" w:space="0" w:color="808080"/>
              <w:right w:val="thinThickLargeGap" w:sz="6" w:space="0" w:color="808080"/>
            </w:tcBorders>
          </w:tcPr>
          <w:p w:rsidR="00016E95" w:rsidRPr="008564FF" w:rsidP="004549E4">
            <w:pPr>
              <w:snapToGrid w:val="0"/>
              <w:spacing w:line="360" w:lineRule="auto"/>
              <w:ind w:firstLine="420"/>
              <w:rPr>
                <w:rFonts w:asciiTheme="minorEastAsia" w:eastAsiaTheme="minorEastAsia" w:hAnsiTheme="minorEastAsia"/>
                <w:szCs w:val="21"/>
              </w:rPr>
            </w:pPr>
            <w:r w:rsidRPr="008564FF">
              <w:rPr>
                <w:rFonts w:asciiTheme="minorEastAsia" w:eastAsiaTheme="minorEastAsia" w:hAnsiTheme="minorEastAsia" w:hint="eastAsia"/>
                <w:szCs w:val="21"/>
              </w:rPr>
              <w:t>1000元</w:t>
            </w:r>
          </w:p>
        </w:tc>
        <w:tc>
          <w:tcPr>
            <w:tcW w:w="1661" w:type="dxa"/>
            <w:tcBorders>
              <w:top w:val="thinThickLargeGap" w:sz="6" w:space="0" w:color="808080"/>
              <w:left w:val="thinThickLargeGap" w:sz="6" w:space="0" w:color="808080"/>
              <w:bottom w:val="thinThickLargeGap" w:sz="6" w:space="0" w:color="808080"/>
              <w:right w:val="thinThickLargeGap" w:sz="6" w:space="0" w:color="808080"/>
            </w:tcBorders>
          </w:tcPr>
          <w:p w:rsidR="00016E95" w:rsidRPr="008564FF" w:rsidP="004549E4">
            <w:pPr>
              <w:snapToGrid w:val="0"/>
              <w:spacing w:line="360" w:lineRule="auto"/>
              <w:ind w:firstLine="420"/>
              <w:rPr>
                <w:rFonts w:asciiTheme="minorEastAsia" w:eastAsiaTheme="minorEastAsia" w:hAnsiTheme="minorEastAsia"/>
                <w:szCs w:val="21"/>
              </w:rPr>
            </w:pPr>
            <w:r w:rsidRPr="008564FF">
              <w:rPr>
                <w:rFonts w:asciiTheme="minorEastAsia" w:eastAsiaTheme="minorEastAsia" w:hAnsiTheme="minorEastAsia" w:hint="eastAsia"/>
                <w:szCs w:val="21"/>
              </w:rPr>
              <w:t>1.000元</w:t>
            </w:r>
          </w:p>
        </w:tc>
        <w:tc>
          <w:tcPr>
            <w:tcW w:w="1423" w:type="dxa"/>
            <w:tcBorders>
              <w:top w:val="thinThickLargeGap" w:sz="6" w:space="0" w:color="808080"/>
              <w:left w:val="thinThickLargeGap" w:sz="6" w:space="0" w:color="808080"/>
              <w:bottom w:val="thinThickLargeGap" w:sz="6" w:space="0" w:color="808080"/>
              <w:right w:val="thinThickLargeGap" w:sz="6" w:space="0" w:color="808080"/>
            </w:tcBorders>
          </w:tcPr>
          <w:p w:rsidR="00016E95" w:rsidRPr="008564FF" w:rsidP="004549E4">
            <w:pPr>
              <w:snapToGrid w:val="0"/>
              <w:spacing w:line="360" w:lineRule="auto"/>
              <w:jc w:val="center"/>
              <w:rPr>
                <w:rFonts w:asciiTheme="minorEastAsia" w:eastAsiaTheme="minorEastAsia" w:hAnsiTheme="minorEastAsia"/>
                <w:szCs w:val="21"/>
              </w:rPr>
            </w:pPr>
            <w:r w:rsidRPr="008564FF">
              <w:rPr>
                <w:rFonts w:asciiTheme="minorEastAsia" w:eastAsiaTheme="minorEastAsia" w:hAnsiTheme="minorEastAsia" w:hint="eastAsia"/>
                <w:szCs w:val="21"/>
              </w:rPr>
              <w:t>9,999,000份</w:t>
            </w:r>
          </w:p>
        </w:tc>
      </w:tr>
    </w:tbl>
    <w:p w:rsidR="003A3487" w:rsidRPr="008564FF" w:rsidP="004549E4">
      <w:pPr>
        <w:snapToGrid w:val="0"/>
        <w:spacing w:line="360" w:lineRule="auto"/>
        <w:ind w:firstLine="480"/>
        <w:rPr>
          <w:rFonts w:asciiTheme="minorEastAsia" w:eastAsiaTheme="minorEastAsia" w:hAnsiTheme="minorEastAsia"/>
          <w:szCs w:val="21"/>
        </w:rPr>
      </w:pPr>
      <w:r w:rsidRPr="008564FF">
        <w:rPr>
          <w:rFonts w:asciiTheme="minorEastAsia" w:eastAsiaTheme="minorEastAsia" w:hAnsiTheme="minorEastAsia" w:hint="eastAsia"/>
        </w:rPr>
        <w:t>上述涉及金额的计算结果均以人民币元为单位，四舍五入，保留到小数点后两位，由此产生的收益或损失由基金财产承担</w:t>
      </w:r>
      <w:r w:rsidRPr="008564FF">
        <w:rPr>
          <w:rFonts w:asciiTheme="minorEastAsia" w:eastAsiaTheme="minorEastAsia" w:hAnsiTheme="minorEastAsia" w:hint="eastAsia"/>
          <w:szCs w:val="21"/>
        </w:rPr>
        <w:t>；申购份数采取四舍五入的方法保留小数点后二位，由</w:t>
      </w:r>
      <w:r w:rsidRPr="008564FF">
        <w:rPr>
          <w:rFonts w:asciiTheme="minorEastAsia" w:eastAsiaTheme="minorEastAsia" w:hAnsiTheme="minorEastAsia" w:hint="eastAsia"/>
          <w:szCs w:val="21"/>
        </w:rPr>
        <w:t>此产生的误差计入基金财产。</w:t>
      </w:r>
    </w:p>
    <w:p w:rsidR="003A3487" w:rsidRPr="008564FF" w:rsidP="004549E4">
      <w:pPr>
        <w:snapToGrid w:val="0"/>
        <w:spacing w:line="360" w:lineRule="auto"/>
        <w:ind w:firstLine="480"/>
        <w:rPr>
          <w:rFonts w:asciiTheme="minorEastAsia" w:eastAsiaTheme="minorEastAsia" w:hAnsiTheme="minorEastAsia"/>
          <w:szCs w:val="21"/>
        </w:rPr>
      </w:pPr>
      <w:r w:rsidRPr="008564FF">
        <w:rPr>
          <w:rFonts w:asciiTheme="minorEastAsia" w:eastAsiaTheme="minorEastAsia" w:hAnsiTheme="minorEastAsia" w:hint="eastAsia"/>
          <w:szCs w:val="21"/>
        </w:rPr>
        <w:t>2</w:t>
      </w:r>
      <w:r w:rsidRPr="008564FF" w:rsidR="004549E4">
        <w:rPr>
          <w:rFonts w:asciiTheme="minorEastAsia" w:eastAsiaTheme="minorEastAsia" w:hAnsiTheme="minorEastAsia" w:hint="eastAsia"/>
          <w:szCs w:val="21"/>
        </w:rPr>
        <w:t>、</w:t>
      </w:r>
      <w:r w:rsidRPr="008564FF">
        <w:rPr>
          <w:rFonts w:asciiTheme="minorEastAsia" w:eastAsiaTheme="minorEastAsia" w:hAnsiTheme="minorEastAsia" w:hint="eastAsia"/>
          <w:szCs w:val="21"/>
        </w:rPr>
        <w:t>基金赎回金额的计算</w:t>
      </w:r>
    </w:p>
    <w:p w:rsidR="003A3487" w:rsidRPr="008564FF" w:rsidP="004549E4">
      <w:pPr>
        <w:snapToGrid w:val="0"/>
        <w:spacing w:line="360" w:lineRule="auto"/>
        <w:ind w:firstLine="482"/>
        <w:rPr>
          <w:rFonts w:asciiTheme="minorEastAsia" w:eastAsiaTheme="minorEastAsia" w:hAnsiTheme="minorEastAsia"/>
          <w:szCs w:val="21"/>
        </w:rPr>
      </w:pPr>
      <w:r w:rsidRPr="008564FF">
        <w:rPr>
          <w:rFonts w:asciiTheme="minorEastAsia" w:eastAsiaTheme="minorEastAsia" w:hAnsiTheme="minorEastAsia" w:hint="eastAsia"/>
          <w:szCs w:val="21"/>
        </w:rPr>
        <w:t>本基金的赎回金额为赎回总额扣减赎回费用，其中：</w:t>
      </w:r>
    </w:p>
    <w:p w:rsidR="003A3487" w:rsidRPr="008564FF" w:rsidP="004549E4">
      <w:pPr>
        <w:snapToGrid w:val="0"/>
        <w:spacing w:line="360" w:lineRule="auto"/>
        <w:ind w:firstLine="482"/>
        <w:rPr>
          <w:rFonts w:asciiTheme="minorEastAsia" w:eastAsiaTheme="minorEastAsia" w:hAnsiTheme="minorEastAsia"/>
          <w:szCs w:val="21"/>
        </w:rPr>
      </w:pPr>
      <w:r w:rsidRPr="008564FF">
        <w:rPr>
          <w:rFonts w:asciiTheme="minorEastAsia" w:eastAsiaTheme="minorEastAsia" w:hAnsiTheme="minorEastAsia" w:hint="eastAsia"/>
          <w:szCs w:val="21"/>
        </w:rPr>
        <w:t>赎回总额=赎回数量</w:t>
      </w:r>
      <w:r w:rsidRPr="008564FF">
        <w:rPr>
          <w:rFonts w:ascii="Symbol" w:hAnsi="Symbol" w:eastAsiaTheme="minorEastAsia"/>
          <w:szCs w:val="21"/>
        </w:rPr>
        <w:sym w:font="Symbol" w:char="F0B4"/>
      </w:r>
      <w:r w:rsidRPr="008564FF">
        <w:rPr>
          <w:rFonts w:asciiTheme="minorEastAsia" w:eastAsiaTheme="minorEastAsia" w:hAnsiTheme="minorEastAsia" w:hint="eastAsia"/>
          <w:szCs w:val="21"/>
        </w:rPr>
        <w:t>T日基金份额净值</w:t>
      </w:r>
    </w:p>
    <w:p w:rsidR="003A3487" w:rsidRPr="008564FF" w:rsidP="004549E4">
      <w:pPr>
        <w:snapToGrid w:val="0"/>
        <w:spacing w:line="360" w:lineRule="auto"/>
        <w:ind w:firstLine="482"/>
        <w:rPr>
          <w:rFonts w:asciiTheme="minorEastAsia" w:eastAsiaTheme="minorEastAsia" w:hAnsiTheme="minorEastAsia"/>
          <w:szCs w:val="21"/>
        </w:rPr>
      </w:pPr>
      <w:r w:rsidRPr="008564FF">
        <w:rPr>
          <w:rFonts w:asciiTheme="minorEastAsia" w:eastAsiaTheme="minorEastAsia" w:hAnsiTheme="minorEastAsia" w:hint="eastAsia"/>
          <w:szCs w:val="21"/>
        </w:rPr>
        <w:t>赎回费用=赎回总额</w:t>
      </w:r>
      <w:r w:rsidRPr="008564FF">
        <w:rPr>
          <w:rFonts w:ascii="Symbol" w:hAnsi="Symbol" w:eastAsiaTheme="minorEastAsia"/>
          <w:szCs w:val="21"/>
        </w:rPr>
        <w:sym w:font="Symbol" w:char="F0B4"/>
      </w:r>
      <w:r w:rsidRPr="008564FF">
        <w:rPr>
          <w:rFonts w:asciiTheme="minorEastAsia" w:eastAsiaTheme="minorEastAsia" w:hAnsiTheme="minorEastAsia" w:hint="eastAsia"/>
          <w:szCs w:val="21"/>
        </w:rPr>
        <w:t>赎回费率</w:t>
      </w:r>
    </w:p>
    <w:p w:rsidR="003A3487" w:rsidRPr="008564FF" w:rsidP="004549E4">
      <w:pPr>
        <w:snapToGrid w:val="0"/>
        <w:spacing w:line="360" w:lineRule="auto"/>
        <w:ind w:firstLine="482"/>
        <w:rPr>
          <w:rFonts w:asciiTheme="minorEastAsia" w:eastAsiaTheme="minorEastAsia" w:hAnsiTheme="minorEastAsia"/>
          <w:szCs w:val="21"/>
        </w:rPr>
      </w:pPr>
      <w:r w:rsidRPr="008564FF">
        <w:rPr>
          <w:rFonts w:asciiTheme="minorEastAsia" w:eastAsiaTheme="minorEastAsia" w:hAnsiTheme="minorEastAsia" w:hint="eastAsia"/>
          <w:szCs w:val="21"/>
        </w:rPr>
        <w:t>赎回金额=赎回总额</w:t>
      </w:r>
      <w:r w:rsidRPr="008564FF">
        <w:rPr>
          <w:rFonts w:ascii="Symbol" w:hAnsi="Symbol" w:eastAsiaTheme="minorEastAsia"/>
          <w:szCs w:val="21"/>
        </w:rPr>
        <w:sym w:font="Symbol" w:char="F02D"/>
      </w:r>
      <w:r w:rsidRPr="008564FF">
        <w:rPr>
          <w:rFonts w:asciiTheme="minorEastAsia" w:eastAsiaTheme="minorEastAsia" w:hAnsiTheme="minorEastAsia" w:hint="eastAsia"/>
          <w:szCs w:val="21"/>
        </w:rPr>
        <w:t>赎回费用</w:t>
      </w:r>
    </w:p>
    <w:p w:rsidR="003A3487" w:rsidRPr="008564FF" w:rsidP="004549E4">
      <w:pPr>
        <w:snapToGrid w:val="0"/>
        <w:spacing w:line="360" w:lineRule="auto"/>
        <w:ind w:firstLine="480"/>
        <w:rPr>
          <w:rFonts w:asciiTheme="minorEastAsia" w:eastAsiaTheme="minorEastAsia" w:hAnsiTheme="minorEastAsia"/>
          <w:szCs w:val="21"/>
        </w:rPr>
      </w:pPr>
      <w:r w:rsidRPr="008564FF">
        <w:rPr>
          <w:rFonts w:asciiTheme="minorEastAsia" w:eastAsiaTheme="minorEastAsia" w:hAnsiTheme="minorEastAsia" w:hint="eastAsia"/>
          <w:szCs w:val="21"/>
        </w:rPr>
        <w:t>举例说明：</w:t>
      </w:r>
    </w:p>
    <w:tbl>
      <w:tblPr>
        <w:tblW w:w="8625" w:type="dxa"/>
        <w:jc w:val="center"/>
        <w:tblBorders>
          <w:top w:val="thinThickLargeGap" w:sz="6" w:space="0" w:color="808080"/>
          <w:left w:val="thinThickLargeGap" w:sz="6" w:space="0" w:color="808080"/>
          <w:bottom w:val="thinThickLargeGap" w:sz="6" w:space="0" w:color="808080"/>
          <w:right w:val="thinThickLargeGap" w:sz="6" w:space="0" w:color="808080"/>
          <w:insideH w:val="thinThickLargeGap" w:sz="6" w:space="0" w:color="808080"/>
          <w:insideV w:val="thinThickLargeGap" w:sz="6" w:space="0" w:color="808080"/>
        </w:tblBorders>
        <w:tblLayout w:type="fixed"/>
        <w:tblLook w:val="0160"/>
      </w:tblPr>
      <w:tblGrid>
        <w:gridCol w:w="1242"/>
        <w:gridCol w:w="1648"/>
        <w:gridCol w:w="1435"/>
        <w:gridCol w:w="1436"/>
        <w:gridCol w:w="1408"/>
        <w:gridCol w:w="1456"/>
      </w:tblGrid>
      <w:tr w:rsidTr="003A3487">
        <w:tblPrEx>
          <w:tblW w:w="8625" w:type="dxa"/>
          <w:jc w:val="center"/>
          <w:tblBorders>
            <w:top w:val="thinThickLargeGap" w:sz="6" w:space="0" w:color="808080"/>
            <w:left w:val="thinThickLargeGap" w:sz="6" w:space="0" w:color="808080"/>
            <w:bottom w:val="thinThickLargeGap" w:sz="6" w:space="0" w:color="808080"/>
            <w:right w:val="thinThickLargeGap" w:sz="6" w:space="0" w:color="808080"/>
            <w:insideH w:val="thinThickLargeGap" w:sz="6" w:space="0" w:color="808080"/>
            <w:insideV w:val="thinThickLargeGap" w:sz="6" w:space="0" w:color="808080"/>
          </w:tblBorders>
          <w:tblLayout w:type="fixed"/>
          <w:tblLook w:val="0160"/>
        </w:tblPrEx>
        <w:trPr>
          <w:jc w:val="center"/>
        </w:trPr>
        <w:tc>
          <w:tcPr>
            <w:tcW w:w="1243" w:type="dxa"/>
            <w:tcBorders>
              <w:top w:val="thinThickLargeGap" w:sz="6" w:space="0" w:color="808080"/>
              <w:left w:val="thinThickLargeGap" w:sz="6" w:space="0" w:color="808080"/>
              <w:bottom w:val="thinThickLargeGap" w:sz="6" w:space="0" w:color="808080"/>
              <w:right w:val="thinThickLargeGap" w:sz="6" w:space="0" w:color="808080"/>
            </w:tcBorders>
          </w:tcPr>
          <w:p w:rsidR="003A3487" w:rsidRPr="008564FF" w:rsidP="004549E4">
            <w:pPr>
              <w:snapToGrid w:val="0"/>
              <w:spacing w:line="360" w:lineRule="auto"/>
              <w:rPr>
                <w:rFonts w:asciiTheme="minorEastAsia" w:eastAsiaTheme="minorEastAsia" w:hAnsiTheme="minorEastAsia"/>
                <w:szCs w:val="21"/>
              </w:rPr>
            </w:pPr>
            <w:r w:rsidRPr="008564FF">
              <w:rPr>
                <w:rFonts w:asciiTheme="minorEastAsia" w:eastAsiaTheme="minorEastAsia" w:hAnsiTheme="minorEastAsia" w:hint="eastAsia"/>
                <w:szCs w:val="21"/>
              </w:rPr>
              <w:t>赎回份额</w:t>
            </w:r>
          </w:p>
        </w:tc>
        <w:tc>
          <w:tcPr>
            <w:tcW w:w="1650" w:type="dxa"/>
            <w:tcBorders>
              <w:top w:val="thinThickLargeGap" w:sz="6" w:space="0" w:color="808080"/>
              <w:left w:val="thinThickLargeGap" w:sz="6" w:space="0" w:color="808080"/>
              <w:bottom w:val="thinThickLargeGap" w:sz="6" w:space="0" w:color="808080"/>
              <w:right w:val="thinThickLargeGap" w:sz="6" w:space="0" w:color="808080"/>
            </w:tcBorders>
          </w:tcPr>
          <w:p w:rsidR="003A3487" w:rsidRPr="008564FF" w:rsidP="004549E4">
            <w:pPr>
              <w:snapToGrid w:val="0"/>
              <w:spacing w:line="360" w:lineRule="auto"/>
              <w:rPr>
                <w:rFonts w:asciiTheme="minorEastAsia" w:eastAsiaTheme="minorEastAsia" w:hAnsiTheme="minorEastAsia"/>
                <w:szCs w:val="21"/>
              </w:rPr>
            </w:pPr>
            <w:r w:rsidRPr="008564FF">
              <w:rPr>
                <w:rFonts w:asciiTheme="minorEastAsia" w:eastAsiaTheme="minorEastAsia" w:hAnsiTheme="minorEastAsia" w:hint="eastAsia"/>
                <w:szCs w:val="21"/>
              </w:rPr>
              <w:t>基金份额净值</w:t>
            </w:r>
          </w:p>
        </w:tc>
        <w:tc>
          <w:tcPr>
            <w:tcW w:w="1436" w:type="dxa"/>
            <w:tcBorders>
              <w:top w:val="thinThickLargeGap" w:sz="6" w:space="0" w:color="808080"/>
              <w:left w:val="thinThickLargeGap" w:sz="6" w:space="0" w:color="808080"/>
              <w:bottom w:val="thinThickLargeGap" w:sz="6" w:space="0" w:color="808080"/>
              <w:right w:val="thinThickLargeGap" w:sz="6" w:space="0" w:color="808080"/>
            </w:tcBorders>
          </w:tcPr>
          <w:p w:rsidR="003A3487" w:rsidRPr="008564FF" w:rsidP="004549E4">
            <w:pPr>
              <w:snapToGrid w:val="0"/>
              <w:spacing w:line="360" w:lineRule="auto"/>
              <w:rPr>
                <w:rFonts w:asciiTheme="minorEastAsia" w:eastAsiaTheme="minorEastAsia" w:hAnsiTheme="minorEastAsia"/>
                <w:szCs w:val="21"/>
              </w:rPr>
            </w:pPr>
            <w:r w:rsidRPr="008564FF">
              <w:rPr>
                <w:rFonts w:asciiTheme="minorEastAsia" w:eastAsiaTheme="minorEastAsia" w:hAnsiTheme="minorEastAsia" w:hint="eastAsia"/>
                <w:szCs w:val="21"/>
              </w:rPr>
              <w:t>持有时间</w:t>
            </w:r>
          </w:p>
        </w:tc>
        <w:tc>
          <w:tcPr>
            <w:tcW w:w="1437" w:type="dxa"/>
            <w:tcBorders>
              <w:top w:val="thinThickLargeGap" w:sz="6" w:space="0" w:color="808080"/>
              <w:left w:val="thinThickLargeGap" w:sz="6" w:space="0" w:color="808080"/>
              <w:bottom w:val="thinThickLargeGap" w:sz="6" w:space="0" w:color="808080"/>
              <w:right w:val="thinThickLargeGap" w:sz="6" w:space="0" w:color="808080"/>
            </w:tcBorders>
          </w:tcPr>
          <w:p w:rsidR="003A3487" w:rsidRPr="008564FF" w:rsidP="004549E4">
            <w:pPr>
              <w:snapToGrid w:val="0"/>
              <w:spacing w:line="360" w:lineRule="auto"/>
              <w:rPr>
                <w:rFonts w:asciiTheme="minorEastAsia" w:eastAsiaTheme="minorEastAsia" w:hAnsiTheme="minorEastAsia"/>
                <w:szCs w:val="21"/>
              </w:rPr>
            </w:pPr>
            <w:r w:rsidRPr="008564FF">
              <w:rPr>
                <w:rFonts w:asciiTheme="minorEastAsia" w:eastAsiaTheme="minorEastAsia" w:hAnsiTheme="minorEastAsia" w:hint="eastAsia"/>
                <w:szCs w:val="21"/>
              </w:rPr>
              <w:t>赎回费率</w:t>
            </w:r>
          </w:p>
        </w:tc>
        <w:tc>
          <w:tcPr>
            <w:tcW w:w="1409" w:type="dxa"/>
            <w:tcBorders>
              <w:top w:val="thinThickLargeGap" w:sz="6" w:space="0" w:color="808080"/>
              <w:left w:val="thinThickLargeGap" w:sz="6" w:space="0" w:color="808080"/>
              <w:bottom w:val="thinThickLargeGap" w:sz="6" w:space="0" w:color="808080"/>
              <w:right w:val="thinThickLargeGap" w:sz="6" w:space="0" w:color="808080"/>
            </w:tcBorders>
          </w:tcPr>
          <w:p w:rsidR="003A3487" w:rsidRPr="008564FF" w:rsidP="004549E4">
            <w:pPr>
              <w:snapToGrid w:val="0"/>
              <w:spacing w:line="360" w:lineRule="auto"/>
              <w:rPr>
                <w:rFonts w:asciiTheme="minorEastAsia" w:eastAsiaTheme="minorEastAsia" w:hAnsiTheme="minorEastAsia"/>
                <w:szCs w:val="21"/>
              </w:rPr>
            </w:pPr>
            <w:r w:rsidRPr="008564FF">
              <w:rPr>
                <w:rFonts w:asciiTheme="minorEastAsia" w:eastAsiaTheme="minorEastAsia" w:hAnsiTheme="minorEastAsia" w:hint="eastAsia"/>
                <w:szCs w:val="21"/>
              </w:rPr>
              <w:t>赎回费用</w:t>
            </w:r>
          </w:p>
        </w:tc>
        <w:tc>
          <w:tcPr>
            <w:tcW w:w="1457" w:type="dxa"/>
            <w:tcBorders>
              <w:top w:val="thinThickLargeGap" w:sz="6" w:space="0" w:color="808080"/>
              <w:left w:val="thinThickLargeGap" w:sz="6" w:space="0" w:color="808080"/>
              <w:bottom w:val="thinThickLargeGap" w:sz="6" w:space="0" w:color="808080"/>
              <w:right w:val="thinThickLargeGap" w:sz="6" w:space="0" w:color="808080"/>
            </w:tcBorders>
          </w:tcPr>
          <w:p w:rsidR="003A3487" w:rsidRPr="008564FF" w:rsidP="004549E4">
            <w:pPr>
              <w:snapToGrid w:val="0"/>
              <w:spacing w:line="360" w:lineRule="auto"/>
              <w:rPr>
                <w:rFonts w:asciiTheme="minorEastAsia" w:eastAsiaTheme="minorEastAsia" w:hAnsiTheme="minorEastAsia"/>
                <w:szCs w:val="21"/>
              </w:rPr>
            </w:pPr>
            <w:r w:rsidRPr="008564FF">
              <w:rPr>
                <w:rFonts w:asciiTheme="minorEastAsia" w:eastAsiaTheme="minorEastAsia" w:hAnsiTheme="minorEastAsia" w:hint="eastAsia"/>
                <w:szCs w:val="21"/>
              </w:rPr>
              <w:t>赎回金额</w:t>
            </w:r>
          </w:p>
        </w:tc>
      </w:tr>
      <w:tr w:rsidTr="003A3487">
        <w:tblPrEx>
          <w:tblW w:w="8625" w:type="dxa"/>
          <w:jc w:val="center"/>
          <w:tblLayout w:type="fixed"/>
          <w:tblLook w:val="0160"/>
        </w:tblPrEx>
        <w:trPr>
          <w:jc w:val="center"/>
        </w:trPr>
        <w:tc>
          <w:tcPr>
            <w:tcW w:w="1243" w:type="dxa"/>
            <w:tcBorders>
              <w:top w:val="thinThickLargeGap" w:sz="6" w:space="0" w:color="808080"/>
              <w:left w:val="thinThickLargeGap" w:sz="6" w:space="0" w:color="808080"/>
              <w:bottom w:val="thinThickLargeGap" w:sz="6" w:space="0" w:color="808080"/>
              <w:right w:val="thinThickLargeGap" w:sz="6" w:space="0" w:color="808080"/>
            </w:tcBorders>
          </w:tcPr>
          <w:p w:rsidR="003A3487" w:rsidRPr="008564FF" w:rsidP="004549E4">
            <w:pPr>
              <w:snapToGrid w:val="0"/>
              <w:spacing w:line="360" w:lineRule="auto"/>
              <w:rPr>
                <w:rFonts w:asciiTheme="minorEastAsia" w:eastAsiaTheme="minorEastAsia" w:hAnsiTheme="minorEastAsia"/>
                <w:szCs w:val="21"/>
              </w:rPr>
            </w:pPr>
            <w:r w:rsidRPr="008564FF">
              <w:rPr>
                <w:rFonts w:asciiTheme="minorEastAsia" w:eastAsiaTheme="minorEastAsia" w:hAnsiTheme="minorEastAsia" w:hint="eastAsia"/>
                <w:szCs w:val="21"/>
              </w:rPr>
              <w:t>10,000</w:t>
            </w:r>
          </w:p>
        </w:tc>
        <w:tc>
          <w:tcPr>
            <w:tcW w:w="1650" w:type="dxa"/>
            <w:tcBorders>
              <w:top w:val="thinThickLargeGap" w:sz="6" w:space="0" w:color="808080"/>
              <w:left w:val="thinThickLargeGap" w:sz="6" w:space="0" w:color="808080"/>
              <w:bottom w:val="thinThickLargeGap" w:sz="6" w:space="0" w:color="808080"/>
              <w:right w:val="thinThickLargeGap" w:sz="6" w:space="0" w:color="808080"/>
            </w:tcBorders>
          </w:tcPr>
          <w:p w:rsidR="003A3487" w:rsidRPr="008564FF" w:rsidP="004549E4">
            <w:pPr>
              <w:snapToGrid w:val="0"/>
              <w:spacing w:line="360" w:lineRule="auto"/>
              <w:ind w:firstLine="420"/>
              <w:rPr>
                <w:rFonts w:asciiTheme="minorEastAsia" w:eastAsiaTheme="minorEastAsia" w:hAnsiTheme="minorEastAsia"/>
                <w:szCs w:val="21"/>
              </w:rPr>
            </w:pPr>
            <w:r w:rsidRPr="008564FF">
              <w:rPr>
                <w:rFonts w:asciiTheme="minorEastAsia" w:eastAsiaTheme="minorEastAsia" w:hAnsiTheme="minorEastAsia" w:hint="eastAsia"/>
                <w:szCs w:val="21"/>
              </w:rPr>
              <w:t>1.000元</w:t>
            </w:r>
          </w:p>
        </w:tc>
        <w:tc>
          <w:tcPr>
            <w:tcW w:w="1436" w:type="dxa"/>
            <w:tcBorders>
              <w:top w:val="thinThickLargeGap" w:sz="6" w:space="0" w:color="808080"/>
              <w:left w:val="thinThickLargeGap" w:sz="6" w:space="0" w:color="808080"/>
              <w:bottom w:val="thinThickLargeGap" w:sz="6" w:space="0" w:color="808080"/>
              <w:right w:val="thinThickLargeGap" w:sz="6" w:space="0" w:color="808080"/>
            </w:tcBorders>
          </w:tcPr>
          <w:p w:rsidR="003A3487" w:rsidRPr="008564FF" w:rsidP="004549E4">
            <w:pPr>
              <w:snapToGrid w:val="0"/>
              <w:spacing w:line="360" w:lineRule="auto"/>
              <w:ind w:firstLine="420"/>
              <w:rPr>
                <w:rFonts w:asciiTheme="minorEastAsia" w:eastAsiaTheme="minorEastAsia" w:hAnsiTheme="minorEastAsia"/>
                <w:szCs w:val="21"/>
              </w:rPr>
            </w:pPr>
            <w:r w:rsidRPr="008564FF">
              <w:rPr>
                <w:rFonts w:asciiTheme="minorEastAsia" w:eastAsiaTheme="minorEastAsia" w:hAnsiTheme="minorEastAsia" w:hint="eastAsia"/>
                <w:szCs w:val="21"/>
              </w:rPr>
              <w:t>100天</w:t>
            </w:r>
          </w:p>
        </w:tc>
        <w:tc>
          <w:tcPr>
            <w:tcW w:w="1437" w:type="dxa"/>
            <w:tcBorders>
              <w:top w:val="thinThickLargeGap" w:sz="6" w:space="0" w:color="808080"/>
              <w:left w:val="thinThickLargeGap" w:sz="6" w:space="0" w:color="808080"/>
              <w:bottom w:val="thinThickLargeGap" w:sz="6" w:space="0" w:color="808080"/>
              <w:right w:val="thinThickLargeGap" w:sz="6" w:space="0" w:color="808080"/>
            </w:tcBorders>
          </w:tcPr>
          <w:p w:rsidR="003A3487" w:rsidRPr="008564FF" w:rsidP="004549E4">
            <w:pPr>
              <w:snapToGrid w:val="0"/>
              <w:spacing w:line="360" w:lineRule="auto"/>
              <w:ind w:firstLine="420"/>
              <w:rPr>
                <w:rFonts w:asciiTheme="minorEastAsia" w:eastAsiaTheme="minorEastAsia" w:hAnsiTheme="minorEastAsia"/>
                <w:szCs w:val="21"/>
              </w:rPr>
            </w:pPr>
            <w:r w:rsidRPr="008564FF">
              <w:rPr>
                <w:rFonts w:asciiTheme="minorEastAsia" w:eastAsiaTheme="minorEastAsia" w:hAnsiTheme="minorEastAsia" w:hint="eastAsia"/>
                <w:szCs w:val="21"/>
              </w:rPr>
              <w:t>0.5%</w:t>
            </w:r>
          </w:p>
        </w:tc>
        <w:tc>
          <w:tcPr>
            <w:tcW w:w="1409" w:type="dxa"/>
            <w:tcBorders>
              <w:top w:val="thinThickLargeGap" w:sz="6" w:space="0" w:color="808080"/>
              <w:left w:val="thinThickLargeGap" w:sz="6" w:space="0" w:color="808080"/>
              <w:bottom w:val="thinThickLargeGap" w:sz="6" w:space="0" w:color="808080"/>
              <w:right w:val="thinThickLargeGap" w:sz="6" w:space="0" w:color="808080"/>
            </w:tcBorders>
          </w:tcPr>
          <w:p w:rsidR="003A3487" w:rsidRPr="008564FF" w:rsidP="004549E4">
            <w:pPr>
              <w:snapToGrid w:val="0"/>
              <w:spacing w:line="360" w:lineRule="auto"/>
              <w:ind w:firstLine="420"/>
              <w:rPr>
                <w:rFonts w:asciiTheme="minorEastAsia" w:eastAsiaTheme="minorEastAsia" w:hAnsiTheme="minorEastAsia"/>
                <w:szCs w:val="21"/>
              </w:rPr>
            </w:pPr>
            <w:r w:rsidRPr="008564FF">
              <w:rPr>
                <w:rFonts w:asciiTheme="minorEastAsia" w:eastAsiaTheme="minorEastAsia" w:hAnsiTheme="minorEastAsia" w:hint="eastAsia"/>
                <w:szCs w:val="21"/>
              </w:rPr>
              <w:t>50元</w:t>
            </w:r>
          </w:p>
        </w:tc>
        <w:tc>
          <w:tcPr>
            <w:tcW w:w="1457" w:type="dxa"/>
            <w:tcBorders>
              <w:top w:val="thinThickLargeGap" w:sz="6" w:space="0" w:color="808080"/>
              <w:left w:val="thinThickLargeGap" w:sz="6" w:space="0" w:color="808080"/>
              <w:bottom w:val="thinThickLargeGap" w:sz="6" w:space="0" w:color="808080"/>
              <w:right w:val="thinThickLargeGap" w:sz="6" w:space="0" w:color="808080"/>
            </w:tcBorders>
          </w:tcPr>
          <w:p w:rsidR="003A3487" w:rsidRPr="008564FF" w:rsidP="004549E4">
            <w:pPr>
              <w:snapToGrid w:val="0"/>
              <w:spacing w:line="360" w:lineRule="auto"/>
              <w:ind w:firstLine="420"/>
              <w:rPr>
                <w:rFonts w:asciiTheme="minorEastAsia" w:eastAsiaTheme="minorEastAsia" w:hAnsiTheme="minorEastAsia"/>
                <w:szCs w:val="21"/>
              </w:rPr>
            </w:pPr>
            <w:r w:rsidRPr="008564FF">
              <w:rPr>
                <w:rFonts w:asciiTheme="minorEastAsia" w:eastAsiaTheme="minorEastAsia" w:hAnsiTheme="minorEastAsia" w:hint="eastAsia"/>
                <w:szCs w:val="21"/>
              </w:rPr>
              <w:t>9,950元</w:t>
            </w:r>
          </w:p>
        </w:tc>
      </w:tr>
      <w:tr w:rsidTr="003A3487">
        <w:tblPrEx>
          <w:tblW w:w="8625" w:type="dxa"/>
          <w:jc w:val="center"/>
          <w:tblLayout w:type="fixed"/>
          <w:tblLook w:val="0160"/>
        </w:tblPrEx>
        <w:trPr>
          <w:jc w:val="center"/>
        </w:trPr>
        <w:tc>
          <w:tcPr>
            <w:tcW w:w="1243" w:type="dxa"/>
            <w:tcBorders>
              <w:top w:val="thinThickLargeGap" w:sz="6" w:space="0" w:color="808080"/>
              <w:left w:val="thinThickLargeGap" w:sz="6" w:space="0" w:color="808080"/>
              <w:bottom w:val="thinThickLargeGap" w:sz="6" w:space="0" w:color="808080"/>
              <w:right w:val="thinThickLargeGap" w:sz="6" w:space="0" w:color="808080"/>
            </w:tcBorders>
          </w:tcPr>
          <w:p w:rsidR="003A3487" w:rsidRPr="008564FF" w:rsidP="004549E4">
            <w:pPr>
              <w:snapToGrid w:val="0"/>
              <w:spacing w:line="360" w:lineRule="auto"/>
              <w:rPr>
                <w:rFonts w:asciiTheme="minorEastAsia" w:eastAsiaTheme="minorEastAsia" w:hAnsiTheme="minorEastAsia"/>
                <w:szCs w:val="21"/>
              </w:rPr>
            </w:pPr>
            <w:r w:rsidRPr="008564FF">
              <w:rPr>
                <w:rFonts w:asciiTheme="minorEastAsia" w:eastAsiaTheme="minorEastAsia" w:hAnsiTheme="minorEastAsia" w:hint="eastAsia"/>
                <w:szCs w:val="21"/>
              </w:rPr>
              <w:t>10,000</w:t>
            </w:r>
          </w:p>
        </w:tc>
        <w:tc>
          <w:tcPr>
            <w:tcW w:w="1650" w:type="dxa"/>
            <w:tcBorders>
              <w:top w:val="thinThickLargeGap" w:sz="6" w:space="0" w:color="808080"/>
              <w:left w:val="thinThickLargeGap" w:sz="6" w:space="0" w:color="808080"/>
              <w:bottom w:val="thinThickLargeGap" w:sz="6" w:space="0" w:color="808080"/>
              <w:right w:val="thinThickLargeGap" w:sz="6" w:space="0" w:color="808080"/>
            </w:tcBorders>
          </w:tcPr>
          <w:p w:rsidR="003A3487" w:rsidRPr="008564FF" w:rsidP="004549E4">
            <w:pPr>
              <w:snapToGrid w:val="0"/>
              <w:spacing w:line="360" w:lineRule="auto"/>
              <w:ind w:firstLine="420"/>
              <w:rPr>
                <w:rFonts w:asciiTheme="minorEastAsia" w:eastAsiaTheme="minorEastAsia" w:hAnsiTheme="minorEastAsia"/>
                <w:szCs w:val="21"/>
              </w:rPr>
            </w:pPr>
            <w:r w:rsidRPr="008564FF">
              <w:rPr>
                <w:rFonts w:asciiTheme="minorEastAsia" w:eastAsiaTheme="minorEastAsia" w:hAnsiTheme="minorEastAsia" w:hint="eastAsia"/>
                <w:szCs w:val="21"/>
              </w:rPr>
              <w:t>1.000元</w:t>
            </w:r>
          </w:p>
        </w:tc>
        <w:tc>
          <w:tcPr>
            <w:tcW w:w="1436" w:type="dxa"/>
            <w:tcBorders>
              <w:top w:val="thinThickLargeGap" w:sz="6" w:space="0" w:color="808080"/>
              <w:left w:val="thinThickLargeGap" w:sz="6" w:space="0" w:color="808080"/>
              <w:bottom w:val="thinThickLargeGap" w:sz="6" w:space="0" w:color="808080"/>
              <w:right w:val="thinThickLargeGap" w:sz="6" w:space="0" w:color="808080"/>
            </w:tcBorders>
          </w:tcPr>
          <w:p w:rsidR="003A3487" w:rsidRPr="008564FF" w:rsidP="004549E4">
            <w:pPr>
              <w:snapToGrid w:val="0"/>
              <w:spacing w:line="360" w:lineRule="auto"/>
              <w:ind w:firstLine="480"/>
              <w:rPr>
                <w:rFonts w:asciiTheme="minorEastAsia" w:eastAsiaTheme="minorEastAsia" w:hAnsiTheme="minorEastAsia"/>
                <w:szCs w:val="21"/>
              </w:rPr>
            </w:pPr>
            <w:r w:rsidRPr="008564FF">
              <w:rPr>
                <w:rFonts w:asciiTheme="minorEastAsia" w:eastAsiaTheme="minorEastAsia" w:hAnsiTheme="minorEastAsia" w:hint="eastAsia"/>
                <w:szCs w:val="21"/>
              </w:rPr>
              <w:t>500天</w:t>
            </w:r>
          </w:p>
        </w:tc>
        <w:tc>
          <w:tcPr>
            <w:tcW w:w="1437" w:type="dxa"/>
            <w:tcBorders>
              <w:top w:val="thinThickLargeGap" w:sz="6" w:space="0" w:color="808080"/>
              <w:left w:val="thinThickLargeGap" w:sz="6" w:space="0" w:color="808080"/>
              <w:bottom w:val="thinThickLargeGap" w:sz="6" w:space="0" w:color="808080"/>
              <w:right w:val="thinThickLargeGap" w:sz="6" w:space="0" w:color="808080"/>
            </w:tcBorders>
          </w:tcPr>
          <w:p w:rsidR="003A3487" w:rsidRPr="008564FF" w:rsidP="004549E4">
            <w:pPr>
              <w:snapToGrid w:val="0"/>
              <w:spacing w:line="360" w:lineRule="auto"/>
              <w:ind w:firstLine="420"/>
              <w:rPr>
                <w:rFonts w:asciiTheme="minorEastAsia" w:eastAsiaTheme="minorEastAsia" w:hAnsiTheme="minorEastAsia"/>
                <w:szCs w:val="21"/>
              </w:rPr>
            </w:pPr>
            <w:r w:rsidRPr="008564FF">
              <w:rPr>
                <w:rFonts w:asciiTheme="minorEastAsia" w:eastAsiaTheme="minorEastAsia" w:hAnsiTheme="minorEastAsia" w:hint="eastAsia"/>
                <w:szCs w:val="21"/>
              </w:rPr>
              <w:t>0.25%</w:t>
            </w:r>
          </w:p>
        </w:tc>
        <w:tc>
          <w:tcPr>
            <w:tcW w:w="1409" w:type="dxa"/>
            <w:tcBorders>
              <w:top w:val="thinThickLargeGap" w:sz="6" w:space="0" w:color="808080"/>
              <w:left w:val="thinThickLargeGap" w:sz="6" w:space="0" w:color="808080"/>
              <w:bottom w:val="thinThickLargeGap" w:sz="6" w:space="0" w:color="808080"/>
              <w:right w:val="thinThickLargeGap" w:sz="6" w:space="0" w:color="808080"/>
            </w:tcBorders>
          </w:tcPr>
          <w:p w:rsidR="003A3487" w:rsidRPr="008564FF" w:rsidP="004549E4">
            <w:pPr>
              <w:snapToGrid w:val="0"/>
              <w:spacing w:line="360" w:lineRule="auto"/>
              <w:ind w:firstLine="420"/>
              <w:rPr>
                <w:rFonts w:asciiTheme="minorEastAsia" w:eastAsiaTheme="minorEastAsia" w:hAnsiTheme="minorEastAsia"/>
                <w:szCs w:val="21"/>
              </w:rPr>
            </w:pPr>
            <w:r w:rsidRPr="008564FF">
              <w:rPr>
                <w:rFonts w:asciiTheme="minorEastAsia" w:eastAsiaTheme="minorEastAsia" w:hAnsiTheme="minorEastAsia" w:hint="eastAsia"/>
                <w:szCs w:val="21"/>
              </w:rPr>
              <w:t>25元</w:t>
            </w:r>
          </w:p>
        </w:tc>
        <w:tc>
          <w:tcPr>
            <w:tcW w:w="1457" w:type="dxa"/>
            <w:tcBorders>
              <w:top w:val="thinThickLargeGap" w:sz="6" w:space="0" w:color="808080"/>
              <w:left w:val="thinThickLargeGap" w:sz="6" w:space="0" w:color="808080"/>
              <w:bottom w:val="thinThickLargeGap" w:sz="6" w:space="0" w:color="808080"/>
              <w:right w:val="thinThickLargeGap" w:sz="6" w:space="0" w:color="808080"/>
            </w:tcBorders>
          </w:tcPr>
          <w:p w:rsidR="003A3487" w:rsidRPr="008564FF" w:rsidP="004549E4">
            <w:pPr>
              <w:snapToGrid w:val="0"/>
              <w:spacing w:line="360" w:lineRule="auto"/>
              <w:ind w:firstLine="420"/>
              <w:rPr>
                <w:rFonts w:asciiTheme="minorEastAsia" w:eastAsiaTheme="minorEastAsia" w:hAnsiTheme="minorEastAsia"/>
                <w:szCs w:val="21"/>
              </w:rPr>
            </w:pPr>
            <w:r w:rsidRPr="008564FF">
              <w:rPr>
                <w:rFonts w:asciiTheme="minorEastAsia" w:eastAsiaTheme="minorEastAsia" w:hAnsiTheme="minorEastAsia" w:hint="eastAsia"/>
                <w:szCs w:val="21"/>
              </w:rPr>
              <w:t>9,975元</w:t>
            </w:r>
          </w:p>
        </w:tc>
      </w:tr>
      <w:tr w:rsidTr="003A3487">
        <w:tblPrEx>
          <w:tblW w:w="8625" w:type="dxa"/>
          <w:jc w:val="center"/>
          <w:tblLayout w:type="fixed"/>
          <w:tblLook w:val="0160"/>
        </w:tblPrEx>
        <w:trPr>
          <w:jc w:val="center"/>
        </w:trPr>
        <w:tc>
          <w:tcPr>
            <w:tcW w:w="1243" w:type="dxa"/>
            <w:tcBorders>
              <w:top w:val="thinThickLargeGap" w:sz="6" w:space="0" w:color="808080"/>
              <w:left w:val="thinThickLargeGap" w:sz="6" w:space="0" w:color="808080"/>
              <w:bottom w:val="thinThickLargeGap" w:sz="6" w:space="0" w:color="808080"/>
              <w:right w:val="thinThickLargeGap" w:sz="6" w:space="0" w:color="808080"/>
            </w:tcBorders>
          </w:tcPr>
          <w:p w:rsidR="003A3487" w:rsidRPr="008564FF" w:rsidP="004549E4">
            <w:pPr>
              <w:snapToGrid w:val="0"/>
              <w:spacing w:line="360" w:lineRule="auto"/>
              <w:rPr>
                <w:rFonts w:asciiTheme="minorEastAsia" w:eastAsiaTheme="minorEastAsia" w:hAnsiTheme="minorEastAsia"/>
                <w:szCs w:val="21"/>
              </w:rPr>
            </w:pPr>
            <w:r w:rsidRPr="008564FF">
              <w:rPr>
                <w:rFonts w:asciiTheme="minorEastAsia" w:eastAsiaTheme="minorEastAsia" w:hAnsiTheme="minorEastAsia" w:hint="eastAsia"/>
                <w:szCs w:val="21"/>
              </w:rPr>
              <w:t>10,000</w:t>
            </w:r>
          </w:p>
        </w:tc>
        <w:tc>
          <w:tcPr>
            <w:tcW w:w="1650" w:type="dxa"/>
            <w:tcBorders>
              <w:top w:val="thinThickLargeGap" w:sz="6" w:space="0" w:color="808080"/>
              <w:left w:val="thinThickLargeGap" w:sz="6" w:space="0" w:color="808080"/>
              <w:bottom w:val="thinThickLargeGap" w:sz="6" w:space="0" w:color="808080"/>
              <w:right w:val="thinThickLargeGap" w:sz="6" w:space="0" w:color="808080"/>
            </w:tcBorders>
          </w:tcPr>
          <w:p w:rsidR="003A3487" w:rsidRPr="008564FF" w:rsidP="004549E4">
            <w:pPr>
              <w:snapToGrid w:val="0"/>
              <w:spacing w:line="360" w:lineRule="auto"/>
              <w:ind w:firstLine="420"/>
              <w:rPr>
                <w:rFonts w:asciiTheme="minorEastAsia" w:eastAsiaTheme="minorEastAsia" w:hAnsiTheme="minorEastAsia"/>
                <w:szCs w:val="21"/>
              </w:rPr>
            </w:pPr>
            <w:r w:rsidRPr="008564FF">
              <w:rPr>
                <w:rFonts w:asciiTheme="minorEastAsia" w:eastAsiaTheme="minorEastAsia" w:hAnsiTheme="minorEastAsia" w:hint="eastAsia"/>
                <w:szCs w:val="21"/>
              </w:rPr>
              <w:t>1.000元</w:t>
            </w:r>
          </w:p>
        </w:tc>
        <w:tc>
          <w:tcPr>
            <w:tcW w:w="1436" w:type="dxa"/>
            <w:tcBorders>
              <w:top w:val="thinThickLargeGap" w:sz="6" w:space="0" w:color="808080"/>
              <w:left w:val="thinThickLargeGap" w:sz="6" w:space="0" w:color="808080"/>
              <w:bottom w:val="thinThickLargeGap" w:sz="6" w:space="0" w:color="808080"/>
              <w:right w:val="thinThickLargeGap" w:sz="6" w:space="0" w:color="808080"/>
            </w:tcBorders>
          </w:tcPr>
          <w:p w:rsidR="003A3487" w:rsidRPr="008564FF" w:rsidP="004549E4">
            <w:pPr>
              <w:snapToGrid w:val="0"/>
              <w:spacing w:line="360" w:lineRule="auto"/>
              <w:ind w:firstLine="480"/>
              <w:rPr>
                <w:rFonts w:asciiTheme="minorEastAsia" w:eastAsiaTheme="minorEastAsia" w:hAnsiTheme="minorEastAsia"/>
                <w:szCs w:val="21"/>
              </w:rPr>
            </w:pPr>
            <w:r w:rsidRPr="008564FF">
              <w:rPr>
                <w:rFonts w:asciiTheme="minorEastAsia" w:eastAsiaTheme="minorEastAsia" w:hAnsiTheme="minorEastAsia" w:hint="eastAsia"/>
                <w:szCs w:val="21"/>
              </w:rPr>
              <w:t>800天</w:t>
            </w:r>
          </w:p>
        </w:tc>
        <w:tc>
          <w:tcPr>
            <w:tcW w:w="1437" w:type="dxa"/>
            <w:tcBorders>
              <w:top w:val="thinThickLargeGap" w:sz="6" w:space="0" w:color="808080"/>
              <w:left w:val="thinThickLargeGap" w:sz="6" w:space="0" w:color="808080"/>
              <w:bottom w:val="thinThickLargeGap" w:sz="6" w:space="0" w:color="808080"/>
              <w:right w:val="thinThickLargeGap" w:sz="6" w:space="0" w:color="808080"/>
            </w:tcBorders>
          </w:tcPr>
          <w:p w:rsidR="003A3487" w:rsidRPr="008564FF" w:rsidP="004549E4">
            <w:pPr>
              <w:snapToGrid w:val="0"/>
              <w:spacing w:line="360" w:lineRule="auto"/>
              <w:ind w:firstLine="420"/>
              <w:rPr>
                <w:rFonts w:asciiTheme="minorEastAsia" w:eastAsiaTheme="minorEastAsia" w:hAnsiTheme="minorEastAsia"/>
                <w:szCs w:val="21"/>
              </w:rPr>
            </w:pPr>
            <w:r w:rsidRPr="008564FF">
              <w:rPr>
                <w:rFonts w:asciiTheme="minorEastAsia" w:eastAsiaTheme="minorEastAsia" w:hAnsiTheme="minorEastAsia" w:hint="eastAsia"/>
                <w:szCs w:val="21"/>
              </w:rPr>
              <w:t>0%</w:t>
            </w:r>
          </w:p>
        </w:tc>
        <w:tc>
          <w:tcPr>
            <w:tcW w:w="1409" w:type="dxa"/>
            <w:tcBorders>
              <w:top w:val="thinThickLargeGap" w:sz="6" w:space="0" w:color="808080"/>
              <w:left w:val="thinThickLargeGap" w:sz="6" w:space="0" w:color="808080"/>
              <w:bottom w:val="thinThickLargeGap" w:sz="6" w:space="0" w:color="808080"/>
              <w:right w:val="thinThickLargeGap" w:sz="6" w:space="0" w:color="808080"/>
            </w:tcBorders>
          </w:tcPr>
          <w:p w:rsidR="003A3487" w:rsidRPr="008564FF" w:rsidP="004549E4">
            <w:pPr>
              <w:snapToGrid w:val="0"/>
              <w:spacing w:line="360" w:lineRule="auto"/>
              <w:ind w:firstLine="420"/>
              <w:rPr>
                <w:rFonts w:asciiTheme="minorEastAsia" w:eastAsiaTheme="minorEastAsia" w:hAnsiTheme="minorEastAsia"/>
                <w:szCs w:val="21"/>
              </w:rPr>
            </w:pPr>
            <w:r w:rsidRPr="008564FF">
              <w:rPr>
                <w:rFonts w:asciiTheme="minorEastAsia" w:eastAsiaTheme="minorEastAsia" w:hAnsiTheme="minorEastAsia" w:hint="eastAsia"/>
                <w:szCs w:val="21"/>
              </w:rPr>
              <w:t>0</w:t>
            </w:r>
          </w:p>
        </w:tc>
        <w:tc>
          <w:tcPr>
            <w:tcW w:w="1457" w:type="dxa"/>
            <w:tcBorders>
              <w:top w:val="thinThickLargeGap" w:sz="6" w:space="0" w:color="808080"/>
              <w:left w:val="thinThickLargeGap" w:sz="6" w:space="0" w:color="808080"/>
              <w:bottom w:val="thinThickLargeGap" w:sz="6" w:space="0" w:color="808080"/>
              <w:right w:val="thinThickLargeGap" w:sz="6" w:space="0" w:color="808080"/>
            </w:tcBorders>
          </w:tcPr>
          <w:p w:rsidR="003A3487" w:rsidRPr="008564FF" w:rsidP="004549E4">
            <w:pPr>
              <w:snapToGrid w:val="0"/>
              <w:spacing w:line="360" w:lineRule="auto"/>
              <w:ind w:firstLine="210" w:firstLineChars="100"/>
              <w:rPr>
                <w:rFonts w:asciiTheme="minorEastAsia" w:eastAsiaTheme="minorEastAsia" w:hAnsiTheme="minorEastAsia"/>
                <w:szCs w:val="21"/>
              </w:rPr>
            </w:pPr>
            <w:r w:rsidRPr="008564FF">
              <w:rPr>
                <w:rFonts w:asciiTheme="minorEastAsia" w:eastAsiaTheme="minorEastAsia" w:hAnsiTheme="minorEastAsia" w:hint="eastAsia"/>
                <w:szCs w:val="21"/>
              </w:rPr>
              <w:t>10,000元</w:t>
            </w:r>
          </w:p>
        </w:tc>
      </w:tr>
    </w:tbl>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赎回总额、赎回费用以人民币元为单位，四舍五入，保留小数点后两位，由此产生的误差计入基金财产。</w:t>
      </w:r>
    </w:p>
    <w:p w:rsidR="003A3487" w:rsidRPr="008564FF" w:rsidP="004549E4">
      <w:pPr>
        <w:pStyle w:val="a"/>
        <w:snapToGrid w:val="0"/>
        <w:spacing w:line="360" w:lineRule="auto"/>
        <w:ind w:firstLine="420" w:firstLineChars="200"/>
        <w:rPr>
          <w:rFonts w:asciiTheme="minorEastAsia" w:eastAsiaTheme="minorEastAsia" w:hAnsiTheme="minorEastAsia"/>
        </w:rPr>
      </w:pPr>
      <w:r w:rsidRPr="008564FF">
        <w:rPr>
          <w:rFonts w:asciiTheme="minorEastAsia" w:eastAsiaTheme="minorEastAsia" w:hAnsiTheme="minorEastAsia" w:hint="eastAsia"/>
        </w:rPr>
        <w:t>3、T日的基金份额净值在当天收市后计算，并在T+1日内公告。遇特殊情况，可以适当延迟计算或公告。其计算公式为：</w:t>
      </w:r>
    </w:p>
    <w:p w:rsidR="003A3487" w:rsidRPr="008564FF" w:rsidP="004549E4">
      <w:pPr>
        <w:pStyle w:val="a"/>
        <w:snapToGrid w:val="0"/>
        <w:spacing w:line="360" w:lineRule="auto"/>
        <w:ind w:firstLine="200"/>
        <w:rPr>
          <w:rFonts w:asciiTheme="minorEastAsia" w:eastAsiaTheme="minorEastAsia" w:hAnsiTheme="minorEastAsia"/>
        </w:rPr>
      </w:pPr>
      <w:r w:rsidRPr="008564FF">
        <w:rPr>
          <w:rFonts w:asciiTheme="minorEastAsia" w:eastAsiaTheme="minorEastAsia" w:hAnsiTheme="minorEastAsia" w:hint="eastAsia"/>
        </w:rPr>
        <w:t>基金份额净值</w:t>
      </w:r>
      <w:r w:rsidRPr="008564FF">
        <w:rPr>
          <w:rFonts w:asciiTheme="minorEastAsia" w:eastAsiaTheme="minorEastAsia" w:hAnsiTheme="minorEastAsia" w:hint="eastAsia"/>
          <w:szCs w:val="21"/>
        </w:rPr>
        <w:t>=</w:t>
      </w:r>
      <w:r w:rsidRPr="008564FF">
        <w:rPr>
          <w:rFonts w:asciiTheme="minorEastAsia" w:eastAsiaTheme="minorEastAsia" w:hAnsiTheme="minorEastAsia" w:hint="eastAsia"/>
        </w:rPr>
        <w:t>计算日</w:t>
      </w:r>
      <w:r w:rsidRPr="008564FF">
        <w:rPr>
          <w:rFonts w:asciiTheme="minorEastAsia" w:eastAsiaTheme="minorEastAsia" w:hAnsiTheme="minorEastAsia" w:hint="eastAsia"/>
          <w:szCs w:val="21"/>
        </w:rPr>
        <w:t>基金资产净值</w:t>
      </w:r>
      <w:r w:rsidRPr="008564FF">
        <w:rPr>
          <w:rFonts w:asciiTheme="minorEastAsia" w:eastAsiaTheme="minorEastAsia" w:hAnsiTheme="minorEastAsia" w:hint="eastAsia"/>
        </w:rPr>
        <w:t>÷计算日基金总份额</w:t>
      </w:r>
    </w:p>
    <w:p w:rsidR="003A3487" w:rsidRPr="008564FF" w:rsidP="004549E4">
      <w:pPr>
        <w:snapToGrid w:val="0"/>
        <w:spacing w:line="360" w:lineRule="auto"/>
        <w:ind w:firstLine="424" w:firstLineChars="202"/>
        <w:rPr>
          <w:rFonts w:asciiTheme="minorEastAsia" w:eastAsiaTheme="minorEastAsia" w:hAnsiTheme="minorEastAsia"/>
          <w:szCs w:val="21"/>
        </w:rPr>
      </w:pPr>
      <w:r w:rsidRPr="008564FF">
        <w:rPr>
          <w:rFonts w:asciiTheme="minorEastAsia" w:eastAsiaTheme="minorEastAsia" w:hAnsiTheme="minorEastAsia" w:hint="eastAsia"/>
          <w:szCs w:val="21"/>
        </w:rPr>
        <w:t>4、本基金的申购费由申购人承担，不计入基金财产；本基金的赎回费由赎回人承担，在基金份额持有人赎回基金份额时收取，</w:t>
      </w:r>
      <w:r w:rsidRPr="008564FF" w:rsidR="003A0948">
        <w:rPr>
          <w:rFonts w:asciiTheme="minorEastAsia" w:eastAsiaTheme="minorEastAsia" w:hAnsiTheme="minorEastAsia" w:hint="eastAsia"/>
          <w:szCs w:val="21"/>
        </w:rPr>
        <w:t>对</w:t>
      </w:r>
      <w:r w:rsidRPr="008564FF" w:rsidR="003A0948">
        <w:rPr>
          <w:rFonts w:asciiTheme="minorEastAsia" w:eastAsiaTheme="minorEastAsia" w:hAnsiTheme="minorEastAsia"/>
          <w:szCs w:val="21"/>
        </w:rPr>
        <w:t>持有期少于</w:t>
      </w:r>
      <w:r w:rsidRPr="008564FF" w:rsidR="003A0948">
        <w:rPr>
          <w:rFonts w:asciiTheme="minorEastAsia" w:eastAsiaTheme="minorEastAsia" w:hAnsiTheme="minorEastAsia" w:hint="eastAsia"/>
          <w:szCs w:val="21"/>
        </w:rPr>
        <w:t>7天（</w:t>
      </w:r>
      <w:r w:rsidRPr="008564FF" w:rsidR="003A0948">
        <w:rPr>
          <w:rFonts w:asciiTheme="minorEastAsia" w:eastAsiaTheme="minorEastAsia" w:hAnsiTheme="minorEastAsia"/>
          <w:szCs w:val="21"/>
        </w:rPr>
        <w:t>不含</w:t>
      </w:r>
      <w:r w:rsidRPr="008564FF" w:rsidR="003A0948">
        <w:rPr>
          <w:rFonts w:asciiTheme="minorEastAsia" w:eastAsiaTheme="minorEastAsia" w:hAnsiTheme="minorEastAsia" w:hint="eastAsia"/>
          <w:szCs w:val="21"/>
        </w:rPr>
        <w:t>）</w:t>
      </w:r>
      <w:r w:rsidRPr="008564FF" w:rsidR="003A0948">
        <w:rPr>
          <w:rFonts w:asciiTheme="minorEastAsia" w:eastAsiaTheme="minorEastAsia" w:hAnsiTheme="minorEastAsia"/>
          <w:szCs w:val="21"/>
        </w:rPr>
        <w:t>的投资者收取的赎回费全额</w:t>
      </w:r>
      <w:r w:rsidRPr="008564FF" w:rsidR="003A0948">
        <w:rPr>
          <w:rFonts w:asciiTheme="minorEastAsia" w:eastAsiaTheme="minorEastAsia" w:hAnsiTheme="minorEastAsia" w:hint="eastAsia"/>
          <w:szCs w:val="21"/>
        </w:rPr>
        <w:t>计</w:t>
      </w:r>
      <w:r w:rsidRPr="008564FF" w:rsidR="003A0948">
        <w:rPr>
          <w:rFonts w:asciiTheme="minorEastAsia" w:eastAsiaTheme="minorEastAsia" w:hAnsiTheme="minorEastAsia"/>
          <w:szCs w:val="21"/>
        </w:rPr>
        <w:t>入基金资产，对持有</w:t>
      </w:r>
      <w:r w:rsidRPr="008564FF" w:rsidR="003A0948">
        <w:rPr>
          <w:rFonts w:asciiTheme="minorEastAsia" w:eastAsiaTheme="minorEastAsia" w:hAnsiTheme="minorEastAsia" w:hint="eastAsia"/>
          <w:szCs w:val="21"/>
        </w:rPr>
        <w:t>期</w:t>
      </w:r>
      <w:r w:rsidRPr="008564FF" w:rsidR="00572446">
        <w:rPr>
          <w:rFonts w:asciiTheme="minorEastAsia" w:eastAsiaTheme="minorEastAsia" w:hAnsiTheme="minorEastAsia" w:hint="eastAsia"/>
          <w:szCs w:val="21"/>
        </w:rPr>
        <w:t>在</w:t>
      </w:r>
      <w:r w:rsidRPr="008564FF" w:rsidR="003A0948">
        <w:rPr>
          <w:rFonts w:asciiTheme="minorEastAsia" w:eastAsiaTheme="minorEastAsia" w:hAnsiTheme="minorEastAsia" w:hint="eastAsia"/>
          <w:szCs w:val="21"/>
        </w:rPr>
        <w:t>7天</w:t>
      </w:r>
      <w:r w:rsidRPr="008564FF" w:rsidR="00572446">
        <w:rPr>
          <w:rFonts w:asciiTheme="minorEastAsia" w:eastAsiaTheme="minorEastAsia" w:hAnsiTheme="minorEastAsia" w:hint="eastAsia"/>
          <w:szCs w:val="21"/>
        </w:rPr>
        <w:t>以</w:t>
      </w:r>
      <w:r w:rsidRPr="008564FF" w:rsidR="00572446">
        <w:rPr>
          <w:rFonts w:asciiTheme="minorEastAsia" w:eastAsiaTheme="minorEastAsia" w:hAnsiTheme="minorEastAsia"/>
          <w:szCs w:val="21"/>
        </w:rPr>
        <w:t>上</w:t>
      </w:r>
      <w:r w:rsidRPr="008564FF" w:rsidR="003A0948">
        <w:rPr>
          <w:rFonts w:asciiTheme="minorEastAsia" w:eastAsiaTheme="minorEastAsia" w:hAnsiTheme="minorEastAsia" w:hint="eastAsia"/>
          <w:szCs w:val="21"/>
        </w:rPr>
        <w:t>（</w:t>
      </w:r>
      <w:r w:rsidRPr="008564FF" w:rsidR="003A0948">
        <w:rPr>
          <w:rFonts w:asciiTheme="minorEastAsia" w:eastAsiaTheme="minorEastAsia" w:hAnsiTheme="minorEastAsia"/>
          <w:szCs w:val="21"/>
        </w:rPr>
        <w:t>含）</w:t>
      </w:r>
      <w:r w:rsidRPr="008564FF" w:rsidR="003A0948">
        <w:rPr>
          <w:rFonts w:asciiTheme="minorEastAsia" w:eastAsiaTheme="minorEastAsia" w:hAnsiTheme="minorEastAsia" w:hint="eastAsia"/>
          <w:szCs w:val="21"/>
        </w:rPr>
        <w:t>的</w:t>
      </w:r>
      <w:r w:rsidRPr="008564FF" w:rsidR="003A0948">
        <w:rPr>
          <w:rFonts w:asciiTheme="minorEastAsia" w:eastAsiaTheme="minorEastAsia" w:hAnsiTheme="minorEastAsia"/>
          <w:szCs w:val="21"/>
        </w:rPr>
        <w:t>投资者收取的</w:t>
      </w:r>
      <w:r w:rsidRPr="008564FF">
        <w:rPr>
          <w:rFonts w:asciiTheme="minorEastAsia" w:eastAsiaTheme="minorEastAsia" w:hAnsiTheme="minorEastAsia" w:hint="eastAsia"/>
          <w:szCs w:val="21"/>
        </w:rPr>
        <w:t>赎回费总额的25%归基金财产，其余用于支付注册登记费和其他必要的手续费。</w:t>
      </w:r>
    </w:p>
    <w:p w:rsidR="003A3487" w:rsidRPr="008564FF" w:rsidP="009C2B2A">
      <w:pPr>
        <w:pStyle w:val="Heading2"/>
        <w:snapToGrid w:val="0"/>
        <w:spacing w:beforeLines="0" w:afterLines="0" w:line="360" w:lineRule="auto"/>
        <w:ind w:firstLine="0" w:firstLineChars="0"/>
        <w:rPr>
          <w:rFonts w:asciiTheme="minorEastAsia" w:eastAsiaTheme="minorEastAsia" w:hAnsiTheme="minorEastAsia"/>
          <w:szCs w:val="21"/>
        </w:rPr>
      </w:pPr>
      <w:bookmarkStart w:id="46" w:name="_Toc91749222"/>
      <w:r w:rsidRPr="008564FF">
        <w:rPr>
          <w:rFonts w:asciiTheme="minorEastAsia" w:eastAsiaTheme="minorEastAsia" w:hAnsiTheme="minorEastAsia" w:hint="eastAsia"/>
          <w:b w:val="0"/>
        </w:rPr>
        <w:t>（九）申购、赎回的注册登记</w:t>
      </w:r>
      <w:bookmarkEnd w:id="46"/>
    </w:p>
    <w:p w:rsidR="003A3487" w:rsidRPr="008564FF" w:rsidP="004549E4">
      <w:pPr>
        <w:snapToGrid w:val="0"/>
        <w:spacing w:line="360" w:lineRule="auto"/>
        <w:ind w:firstLine="424" w:firstLineChars="202"/>
        <w:rPr>
          <w:rFonts w:asciiTheme="minorEastAsia" w:eastAsiaTheme="minorEastAsia" w:hAnsiTheme="minorEastAsia"/>
          <w:szCs w:val="21"/>
        </w:rPr>
      </w:pPr>
      <w:r w:rsidRPr="008564FF">
        <w:rPr>
          <w:rFonts w:asciiTheme="minorEastAsia" w:eastAsiaTheme="minorEastAsia" w:hAnsiTheme="minorEastAsia" w:hint="eastAsia"/>
          <w:szCs w:val="21"/>
        </w:rPr>
        <w:t>1、投资者申购基金成功后，正常情况下，基金注册登记机构在T+1工作日为投资者增加权益并办理注册登记手续，投资者自T+2工作日起有权赎回该部分基金份额。</w:t>
      </w:r>
    </w:p>
    <w:p w:rsidR="003A3487" w:rsidRPr="008564FF" w:rsidP="004549E4">
      <w:pPr>
        <w:snapToGrid w:val="0"/>
        <w:spacing w:line="360" w:lineRule="auto"/>
        <w:ind w:firstLine="424" w:firstLineChars="202"/>
        <w:rPr>
          <w:rFonts w:asciiTheme="minorEastAsia" w:eastAsiaTheme="minorEastAsia" w:hAnsiTheme="minorEastAsia"/>
          <w:szCs w:val="21"/>
        </w:rPr>
      </w:pPr>
      <w:r w:rsidRPr="008564FF">
        <w:rPr>
          <w:rFonts w:asciiTheme="minorEastAsia" w:eastAsiaTheme="minorEastAsia" w:hAnsiTheme="minorEastAsia" w:hint="eastAsia"/>
          <w:szCs w:val="21"/>
        </w:rPr>
        <w:t>2、投资者赎回基金成功后，正常情况下，基金注册登记机构在T+1工作日为投资者扣</w:t>
      </w:r>
    </w:p>
    <w:p w:rsidR="003A3487" w:rsidRPr="008564FF" w:rsidP="004549E4">
      <w:pPr>
        <w:snapToGrid w:val="0"/>
        <w:spacing w:line="360" w:lineRule="auto"/>
        <w:rPr>
          <w:rFonts w:asciiTheme="minorEastAsia" w:eastAsiaTheme="minorEastAsia" w:hAnsiTheme="minorEastAsia"/>
          <w:szCs w:val="21"/>
        </w:rPr>
      </w:pPr>
      <w:r w:rsidRPr="008564FF">
        <w:rPr>
          <w:rFonts w:asciiTheme="minorEastAsia" w:eastAsiaTheme="minorEastAsia" w:hAnsiTheme="minorEastAsia" w:hint="eastAsia"/>
          <w:szCs w:val="21"/>
        </w:rPr>
        <w:t>除权益并办理相应的注册登记手续。</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基金管理人可在法律法规允许的范围内，对上述注册登记办理时间进行调整，并最迟于开始实施前2个工作日予以公告。</w:t>
      </w:r>
    </w:p>
    <w:p w:rsidR="003A3487" w:rsidRPr="008564FF" w:rsidP="009C2B2A">
      <w:pPr>
        <w:pStyle w:val="Heading2"/>
        <w:snapToGrid w:val="0"/>
        <w:spacing w:beforeLines="0" w:afterLines="0" w:line="360" w:lineRule="auto"/>
        <w:ind w:firstLine="0" w:firstLineChars="0"/>
        <w:rPr>
          <w:rFonts w:asciiTheme="minorEastAsia" w:eastAsiaTheme="minorEastAsia" w:hAnsiTheme="minorEastAsia"/>
          <w:b w:val="0"/>
        </w:rPr>
      </w:pPr>
      <w:bookmarkStart w:id="47" w:name="_Toc91749223"/>
      <w:r w:rsidRPr="008564FF">
        <w:rPr>
          <w:rFonts w:asciiTheme="minorEastAsia" w:eastAsiaTheme="minorEastAsia" w:hAnsiTheme="minorEastAsia" w:hint="eastAsia"/>
          <w:b w:val="0"/>
        </w:rPr>
        <w:t>（十）巨额赎回的认定及处理方式</w:t>
      </w:r>
      <w:bookmarkEnd w:id="47"/>
    </w:p>
    <w:p w:rsidR="003A3487" w:rsidRPr="008564FF" w:rsidP="004549E4">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1、巨额赎回的认定</w:t>
      </w:r>
    </w:p>
    <w:p w:rsidR="003A3487" w:rsidRPr="008564FF" w:rsidP="004549E4">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本基金单个开放日，基金净赎回申请（赎回申请总数加上基金转换中转出申请份额总数后扣除申购申请总数及基金转换中转入申请份额总数后的余额）超过上一日基金总份额的10%时，即认为发生了巨额赎回。</w:t>
      </w:r>
    </w:p>
    <w:p w:rsidR="003A3487" w:rsidRPr="008564FF" w:rsidP="004549E4">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2、巨额赎回的处理方式</w:t>
      </w:r>
    </w:p>
    <w:p w:rsidR="003A3487" w:rsidRPr="008564FF" w:rsidP="004549E4">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当出现巨额赎回时，基金管理人可以根据该基金当时的资产组合状况决定全额赎回或部分顺延赎回。</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（1）全额赎回：当基金管理人认为有能力支付投资者的全部赎回申请时，按正常赎回程序执行。</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2）部分顺延赎回：当基金管理人认为支付投资者的赎回申请有困难或认为支付投资者的赎回申请可能会对基金的资产净值造成较大波动时，基金管理人在当日接受赎回比例不低于上一日基金总份额的10%的前提下，对其余赎回申请延期予以办理。对于单个基金份额持有人的赎回申请，应当按照其申请赎回份额占当日申请赎回总份额的比例，确定该单个基金份额持有人当日办理的赎回份额；投资者未能赎回部分，除投资者在提交赎回申请时选择将当日未获办理部分予以撤销外，延迟至下一个开放日办理，赎回价格为下一个开放日的价格。依照上述规定转入下一个开放日的赎回不享有赎回优先权，并以此类推，直到全部赎回为止。部分顺延赎回不受单笔赎回最低份额的限制。</w:t>
      </w:r>
    </w:p>
    <w:p w:rsidR="0083185E" w:rsidRPr="008564FF" w:rsidP="00AF6805">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若本基金发生巨额赎回且单个基金份额持有人的赎回申请超过上一开放日基金总份额</w:t>
      </w:r>
      <w:r w:rsidRPr="008564FF">
        <w:rPr>
          <w:rFonts w:asciiTheme="minorEastAsia" w:eastAsiaTheme="minorEastAsia" w:hAnsiTheme="minorEastAsia"/>
          <w:szCs w:val="21"/>
        </w:rPr>
        <w:t>10%的，基金管理人有权对该单个基金份额持有人超出该比例的赎回申请实施延期办理，对该单个基金份额持有人剩余赎回申请与其他账户赎回申请按前述条款处理。</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（3）巨额赎回的公告：当发生巨额赎回并顺延赎回时，基金管理人应在2日内通过</w:t>
      </w:r>
      <w:r w:rsidRPr="008564FF" w:rsidR="00EB13A0">
        <w:rPr>
          <w:rFonts w:asciiTheme="minorEastAsia" w:eastAsiaTheme="minorEastAsia" w:hAnsiTheme="minorEastAsia" w:hint="eastAsia"/>
          <w:szCs w:val="21"/>
        </w:rPr>
        <w:t>指定媒介</w:t>
      </w:r>
      <w:r w:rsidRPr="008564FF">
        <w:rPr>
          <w:rFonts w:asciiTheme="minorEastAsia" w:eastAsiaTheme="minorEastAsia" w:hAnsiTheme="minorEastAsia" w:hint="eastAsia"/>
          <w:szCs w:val="21"/>
        </w:rPr>
        <w:t>刊登公告。同时以邮寄、传真或《招募说明书》规定的其他方式通知基金份额持有人，并说明有关处理方法。</w:t>
      </w:r>
    </w:p>
    <w:p w:rsidR="003A3487" w:rsidRPr="008564FF" w:rsidP="004549E4">
      <w:pPr>
        <w:snapToGrid w:val="0"/>
        <w:spacing w:line="360" w:lineRule="auto"/>
        <w:ind w:firstLine="420" w:firstLineChars="200"/>
        <w:rPr>
          <w:rFonts w:asciiTheme="minorEastAsia" w:eastAsiaTheme="minorEastAsia" w:hAnsiTheme="minorEastAsia"/>
        </w:rPr>
      </w:pPr>
      <w:r w:rsidRPr="008564FF">
        <w:rPr>
          <w:rFonts w:asciiTheme="minorEastAsia" w:eastAsiaTheme="minorEastAsia" w:hAnsiTheme="minorEastAsia" w:hint="eastAsia"/>
        </w:rPr>
        <w:t>（</w:t>
      </w:r>
      <w:r w:rsidRPr="008564FF">
        <w:rPr>
          <w:rFonts w:asciiTheme="minorEastAsia" w:eastAsiaTheme="minorEastAsia" w:hAnsiTheme="minorEastAsia"/>
        </w:rPr>
        <w:t>4</w:t>
      </w:r>
      <w:r w:rsidRPr="008564FF">
        <w:rPr>
          <w:rFonts w:asciiTheme="minorEastAsia" w:eastAsiaTheme="minorEastAsia" w:hAnsiTheme="minorEastAsia" w:hint="eastAsia"/>
        </w:rPr>
        <w:t>）</w:t>
      </w:r>
      <w:r w:rsidRPr="008564FF">
        <w:rPr>
          <w:rFonts w:asciiTheme="minorEastAsia" w:eastAsiaTheme="minorEastAsia" w:hAnsiTheme="minorEastAsia" w:hint="eastAsia"/>
          <w:szCs w:val="21"/>
        </w:rPr>
        <w:t>本基金连续2个开放日以上发生巨额赎回，如基金管理人认为有必要，可暂停接受赎回申请；已经接受的赎回申请可以延缓支付赎回款项，但延缓期限不得超过20个工作日，并应当在</w:t>
      </w:r>
      <w:r w:rsidRPr="008564FF" w:rsidR="00EB13A0">
        <w:rPr>
          <w:rFonts w:asciiTheme="minorEastAsia" w:eastAsiaTheme="minorEastAsia" w:hAnsiTheme="minorEastAsia" w:hint="eastAsia"/>
          <w:szCs w:val="21"/>
        </w:rPr>
        <w:t>指定媒介</w:t>
      </w:r>
      <w:r w:rsidRPr="008564FF">
        <w:rPr>
          <w:rFonts w:asciiTheme="minorEastAsia" w:eastAsiaTheme="minorEastAsia" w:hAnsiTheme="minorEastAsia" w:hint="eastAsia"/>
          <w:szCs w:val="21"/>
        </w:rPr>
        <w:t>公告。</w:t>
      </w:r>
    </w:p>
    <w:p w:rsidR="003A3487" w:rsidRPr="008564FF" w:rsidP="009C2B2A">
      <w:pPr>
        <w:pStyle w:val="Heading2"/>
        <w:snapToGrid w:val="0"/>
        <w:spacing w:beforeLines="0" w:afterLines="0" w:line="360" w:lineRule="auto"/>
        <w:ind w:firstLine="0" w:firstLineChars="0"/>
        <w:rPr>
          <w:rFonts w:asciiTheme="minorEastAsia" w:eastAsiaTheme="minorEastAsia" w:hAnsiTheme="minorEastAsia"/>
          <w:b w:val="0"/>
        </w:rPr>
      </w:pPr>
      <w:bookmarkStart w:id="48" w:name="_Toc91749224"/>
      <w:r w:rsidRPr="008564FF">
        <w:rPr>
          <w:rFonts w:asciiTheme="minorEastAsia" w:eastAsiaTheme="minorEastAsia" w:hAnsiTheme="minorEastAsia" w:hint="eastAsia"/>
          <w:b w:val="0"/>
        </w:rPr>
        <w:t>（十一）拒绝或暂停申购、赎回的情形及处理方式</w:t>
      </w:r>
      <w:bookmarkEnd w:id="48"/>
    </w:p>
    <w:p w:rsidR="003A3487" w:rsidRPr="008564FF" w:rsidP="004549E4">
      <w:pPr>
        <w:snapToGrid w:val="0"/>
        <w:spacing w:line="360" w:lineRule="auto"/>
        <w:ind w:firstLine="480"/>
        <w:rPr>
          <w:rFonts w:asciiTheme="minorEastAsia" w:eastAsiaTheme="minorEastAsia" w:hAnsiTheme="minorEastAsia"/>
          <w:szCs w:val="21"/>
        </w:rPr>
      </w:pPr>
      <w:r w:rsidRPr="008564FF">
        <w:rPr>
          <w:rFonts w:asciiTheme="minorEastAsia" w:eastAsiaTheme="minorEastAsia" w:hAnsiTheme="minorEastAsia" w:hint="eastAsia"/>
          <w:szCs w:val="21"/>
        </w:rPr>
        <w:t>1、除出现如下情形，基金管理人不得拒绝或暂停接受基金投资者的申购申请：</w:t>
      </w:r>
    </w:p>
    <w:p w:rsidR="003A3487" w:rsidRPr="008564FF" w:rsidP="004549E4">
      <w:pPr>
        <w:snapToGrid w:val="0"/>
        <w:spacing w:line="360" w:lineRule="auto"/>
        <w:ind w:left="420" w:leftChars="200"/>
        <w:rPr>
          <w:rFonts w:asciiTheme="minorEastAsia" w:eastAsiaTheme="minorEastAsia" w:hAnsiTheme="minorEastAsia"/>
        </w:rPr>
      </w:pPr>
      <w:r w:rsidRPr="008564FF">
        <w:rPr>
          <w:rFonts w:asciiTheme="minorEastAsia" w:eastAsiaTheme="minorEastAsia" w:hAnsiTheme="minorEastAsia" w:hint="eastAsia"/>
        </w:rPr>
        <w:t>（1）不可抗力的原因导致基金无法正常运作；</w:t>
      </w:r>
    </w:p>
    <w:p w:rsidR="003A3487" w:rsidRPr="008564FF" w:rsidP="004549E4">
      <w:pPr>
        <w:snapToGrid w:val="0"/>
        <w:spacing w:line="360" w:lineRule="auto"/>
        <w:ind w:left="420" w:leftChars="200"/>
        <w:rPr>
          <w:rFonts w:asciiTheme="minorEastAsia" w:eastAsiaTheme="minorEastAsia" w:hAnsiTheme="minorEastAsia"/>
        </w:rPr>
      </w:pPr>
      <w:r w:rsidRPr="008564FF">
        <w:rPr>
          <w:rFonts w:asciiTheme="minorEastAsia" w:eastAsiaTheme="minorEastAsia" w:hAnsiTheme="minorEastAsia" w:hint="eastAsia"/>
        </w:rPr>
        <w:t>（2）证券交易场所在交易时间非正常停市</w:t>
      </w:r>
      <w:r w:rsidRPr="008564FF">
        <w:rPr>
          <w:rFonts w:asciiTheme="minorEastAsia" w:eastAsiaTheme="minorEastAsia" w:hAnsiTheme="minorEastAsia" w:hint="eastAsia"/>
          <w:szCs w:val="21"/>
        </w:rPr>
        <w:t>或证券交易场所依法决定临时停市</w:t>
      </w:r>
      <w:r w:rsidRPr="008564FF">
        <w:rPr>
          <w:rFonts w:asciiTheme="minorEastAsia" w:eastAsiaTheme="minorEastAsia" w:hAnsiTheme="minorEastAsia" w:hint="eastAsia"/>
        </w:rPr>
        <w:t>，导致当日基金资产净值无法计算；</w:t>
      </w:r>
    </w:p>
    <w:p w:rsidR="003A3487" w:rsidRPr="008564FF" w:rsidP="004549E4">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（3）基金资产规模过大，使基金管理人无法找到合适的投资品种，或可能对基金业绩产生负面影响，从而损害现有基金份额持有人的利益；</w:t>
      </w:r>
    </w:p>
    <w:p w:rsidR="00436ED0" w:rsidRPr="008564FF" w:rsidP="00436ED0">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w:t>
      </w:r>
      <w:r w:rsidRPr="008564FF">
        <w:rPr>
          <w:rFonts w:asciiTheme="minorEastAsia" w:eastAsiaTheme="minorEastAsia" w:hAnsiTheme="minorEastAsia"/>
        </w:rPr>
        <w:t>4</w:t>
      </w:r>
      <w:r w:rsidRPr="008564FF">
        <w:rPr>
          <w:rFonts w:asciiTheme="minorEastAsia" w:eastAsiaTheme="minorEastAsia" w:hAnsiTheme="minorEastAsia" w:hint="eastAsia"/>
        </w:rPr>
        <w:t>）基金管理人认为会有损于现有基金份额持有人利益的某笔申购</w:t>
      </w:r>
      <w:r w:rsidRPr="008564FF" w:rsidR="00AC0C70">
        <w:rPr>
          <w:rFonts w:asciiTheme="minorEastAsia" w:eastAsiaTheme="minorEastAsia" w:hAnsiTheme="minorEastAsia" w:hint="eastAsia"/>
        </w:rPr>
        <w:t>；</w:t>
      </w:r>
      <w:r w:rsidRPr="008564FF">
        <w:rPr>
          <w:rFonts w:asciiTheme="minorEastAsia" w:eastAsiaTheme="minorEastAsia" w:hAnsiTheme="minorEastAsia" w:hint="eastAsia"/>
        </w:rPr>
        <w:t>（5）基金管理人接受某笔或者某些申购申请有可能导致单一投资者持有基金份额的比例达到或者超过50%，或者变相规避50%集中度的情形时；</w:t>
      </w:r>
    </w:p>
    <w:p w:rsidR="00436ED0" w:rsidRPr="008564FF" w:rsidP="00436ED0">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（6）当一笔新的申购申请被确认成功，使本基金总规模超过基金管理人规定的本基金</w:t>
      </w:r>
      <w:r w:rsidRPr="008564FF">
        <w:rPr>
          <w:rFonts w:asciiTheme="minorEastAsia" w:eastAsiaTheme="minorEastAsia" w:hAnsiTheme="minorEastAsia" w:hint="eastAsia"/>
        </w:rPr>
        <w:t>总规模上限时；或使本基金单日申购金额或净申购比例超过基金管理人规定的当日申购金额或净申购比例上限时；或该投资人累计持有的份额超过单个投资人累计持有的份额上限时；或该投资人当日申购金额超过单个投资人单日或单笔申购金额上限时</w:t>
      </w:r>
      <w:r w:rsidRPr="008564FF" w:rsidR="00AC0C70">
        <w:rPr>
          <w:rFonts w:asciiTheme="minorEastAsia" w:eastAsiaTheme="minorEastAsia" w:hAnsiTheme="minorEastAsia" w:hint="eastAsia"/>
        </w:rPr>
        <w:t>；</w:t>
      </w:r>
    </w:p>
    <w:p w:rsidR="00436ED0" w:rsidRPr="008564FF" w:rsidP="00436ED0">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（7）当前一估值日基金资产净值50%以上的资产出现无可参考的活跃市场价格且采用估值技术仍导致公允价值存在重大不确定性时，经与基金托管人协商确认后，基金管理人应当采取暂停接受基金申购申请的措施</w:t>
      </w:r>
      <w:r w:rsidRPr="008564FF" w:rsidR="00AC0C70">
        <w:rPr>
          <w:rFonts w:asciiTheme="minorEastAsia" w:eastAsiaTheme="minorEastAsia" w:hAnsiTheme="minorEastAsia" w:hint="eastAsia"/>
        </w:rPr>
        <w:t>；</w:t>
      </w:r>
    </w:p>
    <w:p w:rsidR="00436ED0" w:rsidRPr="008564FF">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w:t>
      </w:r>
      <w:r w:rsidRPr="008564FF">
        <w:rPr>
          <w:rFonts w:asciiTheme="minorEastAsia" w:eastAsiaTheme="minorEastAsia" w:hAnsiTheme="minorEastAsia"/>
        </w:rPr>
        <w:t>8</w:t>
      </w:r>
      <w:r w:rsidRPr="008564FF">
        <w:rPr>
          <w:rFonts w:asciiTheme="minorEastAsia" w:eastAsiaTheme="minorEastAsia" w:hAnsiTheme="minorEastAsia" w:hint="eastAsia"/>
        </w:rPr>
        <w:t>）法律、法规规定或中国证监会认定的其他</w:t>
      </w:r>
      <w:r w:rsidRPr="008564FF">
        <w:rPr>
          <w:rFonts w:asciiTheme="minorEastAsia" w:eastAsiaTheme="minorEastAsia" w:hAnsiTheme="minorEastAsia" w:hint="eastAsia"/>
          <w:szCs w:val="21"/>
        </w:rPr>
        <w:t>可暂停申购的</w:t>
      </w:r>
      <w:r w:rsidRPr="008564FF">
        <w:rPr>
          <w:rFonts w:asciiTheme="minorEastAsia" w:eastAsiaTheme="minorEastAsia" w:hAnsiTheme="minorEastAsia" w:hint="eastAsia"/>
        </w:rPr>
        <w:t>情形；</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发生上述情形之一</w:t>
      </w:r>
      <w:r w:rsidRPr="008564FF" w:rsidR="005A5A75">
        <w:rPr>
          <w:rFonts w:asciiTheme="minorEastAsia" w:eastAsiaTheme="minorEastAsia" w:hAnsiTheme="minorEastAsia" w:hint="eastAsia"/>
          <w:szCs w:val="21"/>
        </w:rPr>
        <w:t>且基金管理人决定暂停或拒绝基金投资者的申购申请</w:t>
      </w:r>
      <w:r w:rsidRPr="008564FF">
        <w:rPr>
          <w:rFonts w:asciiTheme="minorEastAsia" w:eastAsiaTheme="minorEastAsia" w:hAnsiTheme="minorEastAsia" w:hint="eastAsia"/>
          <w:szCs w:val="21"/>
        </w:rPr>
        <w:t>的，申购款项将全额退还投资者。发生上述（1）</w:t>
      </w:r>
      <w:r w:rsidRPr="008564FF" w:rsidR="00436ED0">
        <w:rPr>
          <w:rFonts w:asciiTheme="minorEastAsia" w:eastAsiaTheme="minorEastAsia" w:hAnsiTheme="minorEastAsia" w:hint="eastAsia"/>
          <w:szCs w:val="21"/>
        </w:rPr>
        <w:t>、（</w:t>
      </w:r>
      <w:r w:rsidRPr="008564FF" w:rsidR="00436ED0">
        <w:rPr>
          <w:rFonts w:asciiTheme="minorEastAsia" w:eastAsiaTheme="minorEastAsia" w:hAnsiTheme="minorEastAsia"/>
          <w:szCs w:val="21"/>
        </w:rPr>
        <w:t>2</w:t>
      </w:r>
      <w:r w:rsidRPr="008564FF" w:rsidR="00436ED0">
        <w:rPr>
          <w:rFonts w:asciiTheme="minorEastAsia" w:eastAsiaTheme="minorEastAsia" w:hAnsiTheme="minorEastAsia" w:hint="eastAsia"/>
          <w:szCs w:val="21"/>
        </w:rPr>
        <w:t>）、（</w:t>
      </w:r>
      <w:r w:rsidRPr="008564FF" w:rsidR="00436ED0">
        <w:rPr>
          <w:rFonts w:asciiTheme="minorEastAsia" w:eastAsiaTheme="minorEastAsia" w:hAnsiTheme="minorEastAsia"/>
          <w:szCs w:val="21"/>
        </w:rPr>
        <w:t>3</w:t>
      </w:r>
      <w:r w:rsidRPr="008564FF" w:rsidR="00436ED0">
        <w:rPr>
          <w:rFonts w:asciiTheme="minorEastAsia" w:eastAsiaTheme="minorEastAsia" w:hAnsiTheme="minorEastAsia" w:hint="eastAsia"/>
          <w:szCs w:val="21"/>
        </w:rPr>
        <w:t>）、（</w:t>
      </w:r>
      <w:r w:rsidRPr="008564FF" w:rsidR="00436ED0">
        <w:rPr>
          <w:rFonts w:asciiTheme="minorEastAsia" w:eastAsiaTheme="minorEastAsia" w:hAnsiTheme="minorEastAsia"/>
          <w:szCs w:val="21"/>
        </w:rPr>
        <w:t>6</w:t>
      </w:r>
      <w:r w:rsidRPr="008564FF" w:rsidR="00436ED0">
        <w:rPr>
          <w:rFonts w:asciiTheme="minorEastAsia" w:eastAsiaTheme="minorEastAsia" w:hAnsiTheme="minorEastAsia" w:hint="eastAsia"/>
          <w:szCs w:val="21"/>
        </w:rPr>
        <w:t>）、（</w:t>
      </w:r>
      <w:r w:rsidRPr="008564FF" w:rsidR="00436ED0">
        <w:rPr>
          <w:rFonts w:asciiTheme="minorEastAsia" w:eastAsiaTheme="minorEastAsia" w:hAnsiTheme="minorEastAsia"/>
          <w:szCs w:val="21"/>
        </w:rPr>
        <w:t>7</w:t>
      </w:r>
      <w:r w:rsidRPr="008564FF" w:rsidR="00436ED0">
        <w:rPr>
          <w:rFonts w:asciiTheme="minorEastAsia" w:eastAsiaTheme="minorEastAsia" w:hAnsiTheme="minorEastAsia" w:hint="eastAsia"/>
          <w:szCs w:val="21"/>
        </w:rPr>
        <w:t>）、（</w:t>
      </w:r>
      <w:r w:rsidRPr="008564FF" w:rsidR="00436ED0">
        <w:rPr>
          <w:rFonts w:asciiTheme="minorEastAsia" w:eastAsiaTheme="minorEastAsia" w:hAnsiTheme="minorEastAsia"/>
          <w:szCs w:val="21"/>
        </w:rPr>
        <w:t>8</w:t>
      </w:r>
      <w:r w:rsidRPr="008564FF" w:rsidR="00436ED0">
        <w:rPr>
          <w:rFonts w:asciiTheme="minorEastAsia" w:eastAsiaTheme="minorEastAsia" w:hAnsiTheme="minorEastAsia" w:hint="eastAsia"/>
          <w:szCs w:val="21"/>
        </w:rPr>
        <w:t>）</w:t>
      </w:r>
      <w:r w:rsidRPr="008564FF">
        <w:rPr>
          <w:rFonts w:asciiTheme="minorEastAsia" w:eastAsiaTheme="minorEastAsia" w:hAnsiTheme="minorEastAsia" w:hint="eastAsia"/>
          <w:szCs w:val="21"/>
        </w:rPr>
        <w:t>项暂停申购情形时，基金管理人应当在</w:t>
      </w:r>
      <w:r w:rsidRPr="008564FF" w:rsidR="00777681">
        <w:rPr>
          <w:rFonts w:asciiTheme="minorEastAsia" w:eastAsiaTheme="minorEastAsia" w:hAnsiTheme="minorEastAsia" w:hint="eastAsia"/>
          <w:szCs w:val="21"/>
        </w:rPr>
        <w:t>指定</w:t>
      </w:r>
      <w:r w:rsidRPr="008564FF" w:rsidR="00777681">
        <w:rPr>
          <w:rFonts w:asciiTheme="minorEastAsia" w:eastAsiaTheme="minorEastAsia" w:hAnsiTheme="minorEastAsia"/>
          <w:szCs w:val="21"/>
        </w:rPr>
        <w:t>媒介</w:t>
      </w:r>
      <w:r w:rsidRPr="008564FF">
        <w:rPr>
          <w:rFonts w:asciiTheme="minorEastAsia" w:eastAsiaTheme="minorEastAsia" w:hAnsiTheme="minorEastAsia" w:hint="eastAsia"/>
          <w:szCs w:val="21"/>
        </w:rPr>
        <w:t>刊登暂停申购公告。</w:t>
      </w:r>
    </w:p>
    <w:p w:rsidR="003A3487" w:rsidRPr="008564FF" w:rsidP="004549E4">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基金管理人拒绝或暂停接受申购的方式包括：</w:t>
      </w:r>
    </w:p>
    <w:p w:rsidR="003A3487" w:rsidRPr="008564FF" w:rsidP="004549E4">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（1）拒绝接受、暂停接受某笔或某数笔申购申请；</w:t>
      </w:r>
    </w:p>
    <w:p w:rsidR="003A3487" w:rsidRPr="008564FF" w:rsidP="004549E4">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（2）拒绝接受、暂停接受某个或某数个工作日的全部申购申请；</w:t>
      </w:r>
    </w:p>
    <w:p w:rsidR="003A3487" w:rsidRPr="008564FF" w:rsidP="004549E4">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（3）按比例拒绝接受、暂停接受某个或某数个工作日的申购申请。</w:t>
      </w:r>
    </w:p>
    <w:p w:rsidR="003A3487" w:rsidRPr="008564FF" w:rsidP="004549E4">
      <w:pPr>
        <w:snapToGrid w:val="0"/>
        <w:spacing w:line="360" w:lineRule="auto"/>
        <w:ind w:firstLine="480"/>
        <w:rPr>
          <w:rFonts w:asciiTheme="minorEastAsia" w:eastAsiaTheme="minorEastAsia" w:hAnsiTheme="minorEastAsia"/>
          <w:szCs w:val="21"/>
        </w:rPr>
      </w:pPr>
      <w:r w:rsidRPr="008564FF">
        <w:rPr>
          <w:rFonts w:asciiTheme="minorEastAsia" w:eastAsiaTheme="minorEastAsia" w:hAnsiTheme="minorEastAsia" w:hint="eastAsia"/>
          <w:szCs w:val="21"/>
        </w:rPr>
        <w:t>2、除非出现如下情形，基金管理人不得拒绝接受或暂停基金份额持有人的赎回申请或者延缓支付赎回款项：</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（1）不可抗力的原因导致基金管理人不能支付赎回款项；</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（2）证券交易场所在交易时间非正常停市或依法决定临时停市，导致基金管理人无法计算当日基金资产净值；</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（3）因市场剧烈波动或其他原因而出现连续2个或2个以上开放日巨额赎回，导致本基金的现金支付出现困难；</w:t>
      </w:r>
    </w:p>
    <w:p w:rsidR="00436ED0"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4）当前一估值日基金资产净值50%以上的资产出现无可参考的活跃市场价格且采用估值技术仍导致公允价值存在重大不确定性时，经与基金托管人协商确认后，基金管理人应当采取延缓支付赎回款项或暂停接受基金赎回申请的措施；</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w:t>
      </w:r>
      <w:r w:rsidRPr="008564FF" w:rsidR="00436ED0">
        <w:rPr>
          <w:rFonts w:asciiTheme="minorEastAsia" w:eastAsiaTheme="minorEastAsia" w:hAnsiTheme="minorEastAsia"/>
          <w:szCs w:val="21"/>
        </w:rPr>
        <w:t>5</w:t>
      </w:r>
      <w:r w:rsidRPr="008564FF">
        <w:rPr>
          <w:rFonts w:asciiTheme="minorEastAsia" w:eastAsiaTheme="minorEastAsia" w:hAnsiTheme="minorEastAsia" w:hint="eastAsia"/>
          <w:szCs w:val="21"/>
        </w:rPr>
        <w:t>）法律法规规定或中国证监会认定的其他情形。</w:t>
      </w:r>
    </w:p>
    <w:p w:rsidR="003A3487" w:rsidRPr="008564FF" w:rsidP="004549E4">
      <w:pPr>
        <w:snapToGrid w:val="0"/>
        <w:spacing w:line="360" w:lineRule="auto"/>
        <w:ind w:firstLine="420"/>
        <w:rPr>
          <w:rFonts w:asciiTheme="minorEastAsia" w:eastAsiaTheme="minorEastAsia" w:hAnsiTheme="minorEastAsia"/>
          <w:szCs w:val="21"/>
        </w:rPr>
      </w:pPr>
      <w:r w:rsidRPr="008564FF">
        <w:rPr>
          <w:rFonts w:asciiTheme="minorEastAsia" w:eastAsiaTheme="minorEastAsia" w:hAnsiTheme="minorEastAsia" w:hint="eastAsia"/>
          <w:szCs w:val="21"/>
        </w:rPr>
        <w:t>发生上述情形之一的，基金管理人应在当日立即向中国证监会备案。已接受的赎回申请，基金管理人将足额支付；如暂时不能足额支付的，可延期支付部分赎回款项，按每个赎回申请人已被接受的赎回申请量占已接受赎回申请总量的比例分配给赎回申请人，未支付部分由基金管理人按照发生的情况制定相应的处理办法在后续开放日予以支付。</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同时，在出现上述第（3）款的情形时，对已接受的赎回申请可延期支付赎回款项，但延缓期限不得超过20个工作日，并在</w:t>
      </w:r>
      <w:r w:rsidRPr="008564FF" w:rsidR="00E121F8">
        <w:rPr>
          <w:rFonts w:asciiTheme="minorEastAsia" w:eastAsiaTheme="minorEastAsia" w:hAnsiTheme="minorEastAsia" w:hint="eastAsia"/>
          <w:szCs w:val="21"/>
        </w:rPr>
        <w:t>指定媒介</w:t>
      </w:r>
      <w:r w:rsidRPr="008564FF">
        <w:rPr>
          <w:rFonts w:asciiTheme="minorEastAsia" w:eastAsiaTheme="minorEastAsia" w:hAnsiTheme="minorEastAsia" w:hint="eastAsia"/>
          <w:szCs w:val="21"/>
        </w:rPr>
        <w:t>公告。投资者在申请赎回时可事先选择将当日可能未获受理部分予以撤销。</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暂停基金的赎回，基金管理人应及时在</w:t>
      </w:r>
      <w:r w:rsidRPr="008564FF" w:rsidR="00E121F8">
        <w:rPr>
          <w:rFonts w:asciiTheme="minorEastAsia" w:eastAsiaTheme="minorEastAsia" w:hAnsiTheme="minorEastAsia" w:hint="eastAsia"/>
          <w:szCs w:val="21"/>
        </w:rPr>
        <w:t>指定媒介</w:t>
      </w:r>
      <w:r w:rsidRPr="008564FF">
        <w:rPr>
          <w:rFonts w:asciiTheme="minorEastAsia" w:eastAsiaTheme="minorEastAsia" w:hAnsiTheme="minorEastAsia" w:hint="eastAsia"/>
          <w:szCs w:val="21"/>
        </w:rPr>
        <w:t>上刊登暂停赎回公告。</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在暂停赎回的情况消除时，基金管理人应及时恢复赎回业务的办理，并依照有关规定在</w:t>
      </w:r>
      <w:r w:rsidRPr="008564FF" w:rsidR="00EB13A0">
        <w:rPr>
          <w:rFonts w:asciiTheme="minorEastAsia" w:eastAsiaTheme="minorEastAsia" w:hAnsiTheme="minorEastAsia" w:hint="eastAsia"/>
          <w:szCs w:val="21"/>
        </w:rPr>
        <w:t>指定媒介</w:t>
      </w:r>
      <w:r w:rsidRPr="008564FF">
        <w:rPr>
          <w:rFonts w:asciiTheme="minorEastAsia" w:eastAsiaTheme="minorEastAsia" w:hAnsiTheme="minorEastAsia" w:hint="eastAsia"/>
          <w:szCs w:val="21"/>
        </w:rPr>
        <w:t>上公告。</w:t>
      </w:r>
    </w:p>
    <w:p w:rsidR="003A3487" w:rsidRPr="008564FF" w:rsidP="004549E4">
      <w:pPr>
        <w:snapToGrid w:val="0"/>
        <w:spacing w:line="360" w:lineRule="auto"/>
        <w:ind w:firstLine="480"/>
        <w:rPr>
          <w:rFonts w:asciiTheme="minorEastAsia" w:eastAsiaTheme="minorEastAsia" w:hAnsiTheme="minorEastAsia"/>
          <w:szCs w:val="21"/>
        </w:rPr>
      </w:pPr>
      <w:r w:rsidRPr="008564FF">
        <w:rPr>
          <w:rFonts w:asciiTheme="minorEastAsia" w:eastAsiaTheme="minorEastAsia" w:hAnsiTheme="minorEastAsia" w:hint="eastAsia"/>
          <w:szCs w:val="21"/>
        </w:rPr>
        <w:t>3、重新开放申购或赎回的公告</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如果发生暂停的时间为一天，基金管理人应于重新开放日在</w:t>
      </w:r>
      <w:r w:rsidRPr="008564FF" w:rsidR="00EB13A0">
        <w:rPr>
          <w:rFonts w:asciiTheme="minorEastAsia" w:eastAsiaTheme="minorEastAsia" w:hAnsiTheme="minorEastAsia" w:hint="eastAsia"/>
          <w:szCs w:val="21"/>
        </w:rPr>
        <w:t>指定媒介</w:t>
      </w:r>
      <w:r w:rsidRPr="008564FF">
        <w:rPr>
          <w:rFonts w:asciiTheme="minorEastAsia" w:eastAsiaTheme="minorEastAsia" w:hAnsiTheme="minorEastAsia" w:hint="eastAsia"/>
          <w:szCs w:val="21"/>
        </w:rPr>
        <w:t>刊登基金重新开放申购或赎回的公告并公布最近一个工作日的</w:t>
      </w:r>
      <w:r w:rsidRPr="008564FF">
        <w:rPr>
          <w:rFonts w:asciiTheme="minorEastAsia" w:eastAsiaTheme="minorEastAsia" w:hAnsiTheme="minorEastAsia" w:cs="宋体" w:hint="eastAsia"/>
          <w:kern w:val="0"/>
          <w:szCs w:val="21"/>
        </w:rPr>
        <w:t>基金份额净值</w:t>
      </w:r>
      <w:r w:rsidRPr="008564FF">
        <w:rPr>
          <w:rFonts w:asciiTheme="minorEastAsia" w:eastAsiaTheme="minorEastAsia" w:hAnsiTheme="minorEastAsia" w:hint="eastAsia"/>
          <w:szCs w:val="21"/>
        </w:rPr>
        <w:t>。</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如果发生暂停的时间超过一天但少于两周，暂停结束基金重新开放申购或赎回时，基金管理人应按照《信息披露办法》或其他相关规定于重新开放申购或赎回日前在</w:t>
      </w:r>
      <w:r w:rsidRPr="008564FF" w:rsidR="00EB13A0">
        <w:rPr>
          <w:rFonts w:asciiTheme="minorEastAsia" w:eastAsiaTheme="minorEastAsia" w:hAnsiTheme="minorEastAsia" w:hint="eastAsia"/>
          <w:szCs w:val="21"/>
        </w:rPr>
        <w:t>指定媒介</w:t>
      </w:r>
      <w:r w:rsidRPr="008564FF">
        <w:rPr>
          <w:rFonts w:asciiTheme="minorEastAsia" w:eastAsiaTheme="minorEastAsia" w:hAnsiTheme="minorEastAsia" w:hint="eastAsia"/>
          <w:szCs w:val="21"/>
        </w:rPr>
        <w:t>刊登基金重新开放申购或赎回的公告，并在重新开始办理申购或赎回的开放日公告最近一个工作日的</w:t>
      </w:r>
      <w:r w:rsidRPr="008564FF">
        <w:rPr>
          <w:rFonts w:asciiTheme="minorEastAsia" w:eastAsiaTheme="minorEastAsia" w:hAnsiTheme="minorEastAsia" w:cs="宋体" w:hint="eastAsia"/>
          <w:kern w:val="0"/>
          <w:szCs w:val="21"/>
        </w:rPr>
        <w:t>基金份额净值</w:t>
      </w:r>
      <w:r w:rsidRPr="008564FF">
        <w:rPr>
          <w:rFonts w:asciiTheme="minorEastAsia" w:eastAsiaTheme="minorEastAsia" w:hAnsiTheme="minorEastAsia" w:hint="eastAsia"/>
          <w:szCs w:val="21"/>
        </w:rPr>
        <w:t>。</w:t>
      </w:r>
    </w:p>
    <w:p w:rsidR="008564FF" w:rsidP="004549E4">
      <w:pPr>
        <w:snapToGrid w:val="0"/>
        <w:spacing w:line="360" w:lineRule="auto"/>
        <w:ind w:firstLine="420" w:firstLineChars="200"/>
        <w:rPr>
          <w:rFonts w:asciiTheme="minorEastAsia" w:eastAsiaTheme="minorEastAsia" w:hAnsiTheme="minorEastAsia"/>
          <w:szCs w:val="21"/>
        </w:rPr>
        <w:sectPr w:rsidSect="008564FF">
          <w:pgSz w:w="11907" w:h="16840"/>
          <w:pgMar w:top="1440" w:right="1800" w:bottom="1440" w:left="1800" w:header="1134" w:footer="1247" w:gutter="0"/>
          <w:cols w:space="720"/>
          <w:docGrid w:type="lines" w:linePitch="312"/>
        </w:sectPr>
      </w:pPr>
      <w:r w:rsidRPr="008564FF">
        <w:rPr>
          <w:rFonts w:asciiTheme="minorEastAsia" w:eastAsiaTheme="minorEastAsia" w:hAnsiTheme="minorEastAsia" w:hint="eastAsia"/>
          <w:szCs w:val="21"/>
        </w:rPr>
        <w:t>如果发生暂停的时间超过两周，暂停期间，基金管理人应每两周至少重复刊登暂停公告一次。暂停结束基金重新开放申购或赎回时，基金管理人应按照《信息披露办法》或其他相关规定提前在</w:t>
      </w:r>
      <w:r w:rsidRPr="008564FF" w:rsidR="00EB13A0">
        <w:rPr>
          <w:rFonts w:asciiTheme="minorEastAsia" w:eastAsiaTheme="minorEastAsia" w:hAnsiTheme="minorEastAsia" w:hint="eastAsia"/>
          <w:szCs w:val="21"/>
        </w:rPr>
        <w:t>指定媒介</w:t>
      </w:r>
      <w:r w:rsidRPr="008564FF">
        <w:rPr>
          <w:rFonts w:asciiTheme="minorEastAsia" w:eastAsiaTheme="minorEastAsia" w:hAnsiTheme="minorEastAsia" w:hint="eastAsia"/>
          <w:szCs w:val="21"/>
        </w:rPr>
        <w:t>刊登基金重新开放申购或赎回的公告，并在重新开放申购或赎回日公告最近一个</w:t>
      </w:r>
      <w:r w:rsidRPr="008564FF">
        <w:rPr>
          <w:rFonts w:asciiTheme="minorEastAsia" w:eastAsiaTheme="minorEastAsia" w:hAnsiTheme="minorEastAsia" w:cs="宋体" w:hint="eastAsia"/>
          <w:kern w:val="0"/>
          <w:szCs w:val="21"/>
        </w:rPr>
        <w:t>工作日</w:t>
      </w:r>
      <w:r w:rsidRPr="008564FF">
        <w:rPr>
          <w:rFonts w:asciiTheme="minorEastAsia" w:eastAsiaTheme="minorEastAsia" w:hAnsiTheme="minorEastAsia" w:hint="eastAsia"/>
          <w:szCs w:val="21"/>
        </w:rPr>
        <w:t>的</w:t>
      </w:r>
      <w:r w:rsidRPr="008564FF">
        <w:rPr>
          <w:rFonts w:asciiTheme="minorEastAsia" w:eastAsiaTheme="minorEastAsia" w:hAnsiTheme="minorEastAsia" w:cs="宋体" w:hint="eastAsia"/>
          <w:kern w:val="0"/>
          <w:szCs w:val="21"/>
        </w:rPr>
        <w:t>基金份额净值</w:t>
      </w:r>
      <w:r w:rsidRPr="008564FF">
        <w:rPr>
          <w:rFonts w:asciiTheme="minorEastAsia" w:eastAsiaTheme="minorEastAsia" w:hAnsiTheme="minorEastAsia" w:hint="eastAsia"/>
          <w:szCs w:val="21"/>
        </w:rPr>
        <w:t>。</w:t>
      </w:r>
    </w:p>
    <w:p w:rsidR="0057740E" w:rsidRPr="008564FF" w:rsidP="004549E4">
      <w:pPr>
        <w:snapToGrid w:val="0"/>
        <w:spacing w:line="360" w:lineRule="auto"/>
        <w:ind w:firstLine="420" w:firstLineChars="200"/>
        <w:rPr>
          <w:rFonts w:asciiTheme="minorEastAsia" w:eastAsiaTheme="minorEastAsia" w:hAnsiTheme="minorEastAsia"/>
          <w:szCs w:val="21"/>
        </w:rPr>
        <w:sectPr w:rsidSect="008564FF">
          <w:pgSz w:w="11907" w:h="16840"/>
          <w:pgMar w:top="1440" w:right="1800" w:bottom="1440" w:left="1800" w:header="1134" w:footer="1247" w:gutter="0"/>
          <w:cols w:space="720"/>
          <w:docGrid w:type="lines" w:linePitch="312"/>
        </w:sectPr>
      </w:pPr>
    </w:p>
    <w:p w:rsidR="003A3487" w:rsidRPr="008564FF" w:rsidP="0057740E">
      <w:pPr>
        <w:pStyle w:val="Heading1"/>
        <w:snapToGrid w:val="0"/>
        <w:spacing w:beforeLines="0" w:afterLines="0" w:line="360" w:lineRule="auto"/>
        <w:ind w:firstLine="643"/>
        <w:rPr>
          <w:rFonts w:asciiTheme="minorEastAsia" w:eastAsiaTheme="minorEastAsia" w:hAnsiTheme="minorEastAsia"/>
          <w:b/>
          <w:bCs/>
        </w:rPr>
      </w:pPr>
      <w:bookmarkStart w:id="49" w:name="_Toc91334992"/>
      <w:bookmarkStart w:id="50" w:name="_Toc91749225"/>
      <w:r w:rsidRPr="008564FF">
        <w:rPr>
          <w:rFonts w:asciiTheme="minorEastAsia" w:eastAsiaTheme="minorEastAsia" w:hAnsiTheme="minorEastAsia" w:hint="eastAsia"/>
          <w:b/>
          <w:bCs/>
        </w:rPr>
        <w:t>九、基金转换</w:t>
      </w:r>
      <w:bookmarkEnd w:id="49"/>
      <w:bookmarkEnd w:id="50"/>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rPr>
        <w:t>基金转换是指基金份额持有人按基金管理人规定的条件将其持有的某一只基金的基金份额转换为同一基金管理人管理的另一只基金的基金份额的行为。</w:t>
      </w:r>
    </w:p>
    <w:p w:rsidR="003A3487" w:rsidRPr="008564FF" w:rsidP="009C2B2A">
      <w:pPr>
        <w:pStyle w:val="Heading2"/>
        <w:snapToGrid w:val="0"/>
        <w:spacing w:beforeLines="0" w:afterLines="0" w:line="360" w:lineRule="auto"/>
        <w:ind w:firstLine="562"/>
        <w:rPr>
          <w:rFonts w:asciiTheme="minorEastAsia" w:eastAsiaTheme="minorEastAsia" w:hAnsiTheme="minorEastAsia"/>
        </w:rPr>
      </w:pPr>
      <w:bookmarkStart w:id="51" w:name="_Toc229996707"/>
      <w:bookmarkStart w:id="52" w:name="_Toc198959616"/>
      <w:bookmarkStart w:id="53" w:name="_Toc91749226"/>
      <w:r w:rsidRPr="008564FF">
        <w:rPr>
          <w:rFonts w:asciiTheme="minorEastAsia" w:eastAsiaTheme="minorEastAsia" w:hAnsiTheme="minorEastAsia" w:hint="eastAsia"/>
        </w:rPr>
        <w:t>（一）基金转换开始日及时间</w:t>
      </w:r>
      <w:bookmarkEnd w:id="51"/>
      <w:bookmarkEnd w:id="52"/>
      <w:bookmarkEnd w:id="53"/>
    </w:p>
    <w:p w:rsidR="003A3487" w:rsidRPr="008564FF" w:rsidP="004549E4">
      <w:pPr>
        <w:pStyle w:val="NormalIndent"/>
        <w:snapToGrid w:val="0"/>
        <w:spacing w:line="360" w:lineRule="auto"/>
        <w:rPr>
          <w:rFonts w:asciiTheme="minorEastAsia" w:eastAsiaTheme="minorEastAsia" w:hAnsiTheme="minorEastAsia"/>
        </w:rPr>
      </w:pPr>
      <w:r w:rsidRPr="008564FF">
        <w:rPr>
          <w:rFonts w:asciiTheme="minorEastAsia" w:eastAsiaTheme="minorEastAsia" w:hAnsiTheme="minorEastAsia" w:hint="eastAsia"/>
        </w:rPr>
        <w:t>本基金已于2009年4月24日开始办理转换业务</w:t>
      </w:r>
      <w:r w:rsidRPr="008564FF">
        <w:rPr>
          <w:rFonts w:asciiTheme="minorEastAsia" w:eastAsiaTheme="minorEastAsia" w:hAnsiTheme="minorEastAsia" w:cs="宋体" w:hint="eastAsia"/>
          <w:kern w:val="0"/>
          <w:szCs w:val="21"/>
        </w:rPr>
        <w:t>。</w:t>
      </w:r>
    </w:p>
    <w:p w:rsidR="003A3487" w:rsidRPr="008564FF" w:rsidP="004549E4">
      <w:pPr>
        <w:widowControl/>
        <w:snapToGrid w:val="0"/>
        <w:spacing w:line="360" w:lineRule="auto"/>
        <w:ind w:firstLine="420" w:firstLineChars="200"/>
        <w:jc w:val="left"/>
        <w:rPr>
          <w:rFonts w:asciiTheme="minorEastAsia" w:eastAsiaTheme="minorEastAsia" w:hAnsiTheme="minorEastAsia" w:cs="宋体"/>
          <w:kern w:val="0"/>
          <w:szCs w:val="21"/>
        </w:rPr>
      </w:pPr>
      <w:r w:rsidRPr="008564FF">
        <w:rPr>
          <w:rFonts w:asciiTheme="minorEastAsia" w:eastAsiaTheme="minorEastAsia" w:hAnsiTheme="minorEastAsia" w:hint="eastAsia"/>
          <w:szCs w:val="21"/>
        </w:rPr>
        <w:t>上海证券交易所和深圳证券交易所同时开放交易的工作日为本基金办理转换业务的开放日（基金管理人根据法律法规或本基金合同的规定公告暂停转换时除外）。开放日的具体业务办理时间为上海证券交易所、深圳证券交易所交易日的交易时间。若出现新的证券交易市场或交易所交易时间更改或其它原因，基金管理人将根据法律法规和基金合同规定的原则视情况进行相应的调整并按照《信息披露办法》或其他相关规定在实施日前在</w:t>
      </w:r>
      <w:r w:rsidRPr="008564FF" w:rsidR="00123EC2">
        <w:rPr>
          <w:rFonts w:asciiTheme="minorEastAsia" w:eastAsiaTheme="minorEastAsia" w:hAnsiTheme="minorEastAsia" w:hint="eastAsia"/>
          <w:szCs w:val="21"/>
        </w:rPr>
        <w:t>指定媒介</w:t>
      </w:r>
      <w:r w:rsidRPr="008564FF">
        <w:rPr>
          <w:rFonts w:asciiTheme="minorEastAsia" w:eastAsiaTheme="minorEastAsia" w:hAnsiTheme="minorEastAsia" w:hint="eastAsia"/>
          <w:szCs w:val="21"/>
        </w:rPr>
        <w:t>公告。</w:t>
      </w:r>
    </w:p>
    <w:p w:rsidR="003A3487" w:rsidRPr="008564FF" w:rsidP="004549E4">
      <w:pPr>
        <w:pStyle w:val="NormalIndent"/>
        <w:snapToGrid w:val="0"/>
        <w:spacing w:line="360" w:lineRule="auto"/>
        <w:rPr>
          <w:rFonts w:asciiTheme="minorEastAsia" w:eastAsiaTheme="minorEastAsia" w:hAnsiTheme="minorEastAsia"/>
        </w:rPr>
      </w:pPr>
      <w:r w:rsidRPr="008564FF">
        <w:rPr>
          <w:rFonts w:asciiTheme="minorEastAsia" w:eastAsiaTheme="minorEastAsia" w:hAnsiTheme="minorEastAsia" w:hint="eastAsia"/>
        </w:rPr>
        <w:t>投资者需在转出基金和转入基金均有交易的当日，方可办理基金转换业务。</w:t>
      </w:r>
    </w:p>
    <w:p w:rsidR="003A3487" w:rsidRPr="008564FF" w:rsidP="009C2B2A">
      <w:pPr>
        <w:pStyle w:val="Heading2"/>
        <w:snapToGrid w:val="0"/>
        <w:spacing w:beforeLines="0" w:afterLines="0" w:line="360" w:lineRule="auto"/>
        <w:ind w:firstLine="562"/>
        <w:rPr>
          <w:rFonts w:asciiTheme="minorEastAsia" w:eastAsiaTheme="minorEastAsia" w:hAnsiTheme="minorEastAsia"/>
        </w:rPr>
      </w:pPr>
      <w:bookmarkStart w:id="54" w:name="_Toc229996708"/>
      <w:bookmarkStart w:id="55" w:name="_Toc198959617"/>
      <w:bookmarkStart w:id="56" w:name="_Toc91749227"/>
      <w:r w:rsidRPr="008564FF">
        <w:rPr>
          <w:rFonts w:asciiTheme="minorEastAsia" w:eastAsiaTheme="minorEastAsia" w:hAnsiTheme="minorEastAsia" w:hint="eastAsia"/>
        </w:rPr>
        <w:t>（二）基金转换的原则</w:t>
      </w:r>
      <w:bookmarkEnd w:id="54"/>
      <w:bookmarkEnd w:id="55"/>
      <w:bookmarkEnd w:id="56"/>
    </w:p>
    <w:p w:rsidR="003A3487" w:rsidRPr="008564FF" w:rsidP="00485893">
      <w:pPr>
        <w:pStyle w:val="NormalIndent"/>
        <w:snapToGrid w:val="0"/>
        <w:spacing w:line="360" w:lineRule="auto"/>
        <w:rPr>
          <w:rFonts w:asciiTheme="minorEastAsia" w:eastAsiaTheme="minorEastAsia" w:hAnsiTheme="minorEastAsia"/>
        </w:rPr>
      </w:pPr>
      <w:r w:rsidRPr="008564FF">
        <w:rPr>
          <w:rFonts w:asciiTheme="minorEastAsia" w:eastAsiaTheme="minorEastAsia" w:hAnsiTheme="minorEastAsia" w:hint="eastAsia"/>
        </w:rPr>
        <w:t>1、基金转换以份额为单位进行申请。投资者可以发起多次基金转换业务，基金转换费用按每笔申请单独计算。转换费用以人民币元为单位，计算结果按照四舍五入方法，保留小数点后两位。</w:t>
      </w:r>
    </w:p>
    <w:p w:rsidR="003A3487" w:rsidRPr="008564FF" w:rsidP="004549E4">
      <w:pPr>
        <w:pStyle w:val="NormalIndent"/>
        <w:snapToGrid w:val="0"/>
        <w:spacing w:line="360" w:lineRule="auto"/>
        <w:rPr>
          <w:rFonts w:asciiTheme="minorEastAsia" w:eastAsiaTheme="minorEastAsia" w:hAnsiTheme="minorEastAsia"/>
        </w:rPr>
      </w:pPr>
      <w:r w:rsidRPr="008564FF">
        <w:rPr>
          <w:rFonts w:asciiTheme="minorEastAsia" w:eastAsiaTheme="minorEastAsia" w:hAnsiTheme="minorEastAsia" w:hint="eastAsia"/>
        </w:rPr>
        <w:t>2、当日的转换申请可以在当日交易结束时间前撤销，在当日的交易时间结束后不得撤销。</w:t>
      </w:r>
    </w:p>
    <w:p w:rsidR="003A3487" w:rsidRPr="008564FF" w:rsidP="004549E4">
      <w:pPr>
        <w:pStyle w:val="NormalIndent"/>
        <w:snapToGrid w:val="0"/>
        <w:spacing w:line="360" w:lineRule="auto"/>
        <w:rPr>
          <w:rFonts w:asciiTheme="minorEastAsia" w:eastAsiaTheme="minorEastAsia" w:hAnsiTheme="minorEastAsia"/>
        </w:rPr>
      </w:pPr>
      <w:r w:rsidRPr="008564FF">
        <w:rPr>
          <w:rFonts w:asciiTheme="minorEastAsia" w:eastAsiaTheme="minorEastAsia" w:hAnsiTheme="minorEastAsia" w:hint="eastAsia"/>
        </w:rPr>
        <w:t>3、基金转换采取未知价法，即基金的转换价格以转换申请受理当日各转出、转入基金的份额净值为基准进行计算。</w:t>
      </w:r>
    </w:p>
    <w:p w:rsidR="003A3487" w:rsidRPr="008564FF" w:rsidP="004549E4">
      <w:pPr>
        <w:pStyle w:val="NormalIndent"/>
        <w:snapToGrid w:val="0"/>
        <w:spacing w:line="360" w:lineRule="auto"/>
        <w:rPr>
          <w:rFonts w:asciiTheme="minorEastAsia" w:eastAsiaTheme="minorEastAsia" w:hAnsiTheme="minorEastAsia"/>
        </w:rPr>
      </w:pPr>
      <w:r w:rsidRPr="008564FF">
        <w:rPr>
          <w:rFonts w:asciiTheme="minorEastAsia" w:eastAsiaTheme="minorEastAsia" w:hAnsiTheme="minorEastAsia" w:hint="eastAsia"/>
        </w:rPr>
        <w:t>4、基金转换只能在同一销售机构进行。转换的两只基金必须都是该销售机构</w:t>
      </w:r>
      <w:r w:rsidRPr="008564FF" w:rsidR="009144A9">
        <w:rPr>
          <w:rFonts w:asciiTheme="minorEastAsia" w:eastAsiaTheme="minorEastAsia" w:hAnsiTheme="minorEastAsia" w:hint="eastAsia"/>
        </w:rPr>
        <w:t>销售</w:t>
      </w:r>
      <w:r w:rsidRPr="008564FF">
        <w:rPr>
          <w:rFonts w:asciiTheme="minorEastAsia" w:eastAsiaTheme="minorEastAsia" w:hAnsiTheme="minorEastAsia" w:hint="eastAsia"/>
        </w:rPr>
        <w:t>的同一基金管理人管理的、在同一注册登记机构注册登记的基金。</w:t>
      </w:r>
    </w:p>
    <w:p w:rsidR="003A3487" w:rsidRPr="008564FF" w:rsidP="004549E4">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5</w:t>
      </w:r>
      <w:r w:rsidRPr="008564FF" w:rsidR="004549E4">
        <w:rPr>
          <w:rFonts w:asciiTheme="minorEastAsia" w:eastAsiaTheme="minorEastAsia" w:hAnsiTheme="minorEastAsia" w:hint="eastAsia"/>
        </w:rPr>
        <w:t>、</w:t>
      </w:r>
      <w:r w:rsidRPr="008564FF">
        <w:rPr>
          <w:rFonts w:asciiTheme="minorEastAsia" w:eastAsiaTheme="minorEastAsia" w:hAnsiTheme="minorEastAsia" w:hint="eastAsia"/>
          <w:kern w:val="0"/>
          <w:szCs w:val="21"/>
        </w:rPr>
        <w:t>投资者办理基金转换业务时，转出方的基金必须处于可赎回状态，转入方的基金必须处于可申购状态。</w:t>
      </w:r>
    </w:p>
    <w:p w:rsidR="003A3487" w:rsidRPr="008564FF" w:rsidP="004549E4">
      <w:pPr>
        <w:pStyle w:val="NormalIndent"/>
        <w:snapToGrid w:val="0"/>
        <w:spacing w:line="360" w:lineRule="auto"/>
        <w:ind w:firstLine="420" w:firstLineChars="200"/>
        <w:rPr>
          <w:rFonts w:asciiTheme="minorEastAsia" w:eastAsiaTheme="minorEastAsia" w:hAnsiTheme="minorEastAsia"/>
        </w:rPr>
      </w:pPr>
      <w:r w:rsidRPr="008564FF">
        <w:rPr>
          <w:rFonts w:asciiTheme="minorEastAsia" w:eastAsiaTheme="minorEastAsia" w:hAnsiTheme="minorEastAsia" w:hint="eastAsia"/>
        </w:rPr>
        <w:t>6</w:t>
      </w:r>
      <w:r w:rsidRPr="008564FF" w:rsidR="004549E4">
        <w:rPr>
          <w:rFonts w:asciiTheme="minorEastAsia" w:eastAsiaTheme="minorEastAsia" w:hAnsiTheme="minorEastAsia" w:hint="eastAsia"/>
        </w:rPr>
        <w:t>、</w:t>
      </w:r>
      <w:r w:rsidRPr="008564FF">
        <w:rPr>
          <w:rFonts w:asciiTheme="minorEastAsia" w:eastAsiaTheme="minorEastAsia" w:hAnsiTheme="minorEastAsia" w:hint="eastAsia"/>
          <w:kern w:val="0"/>
          <w:szCs w:val="21"/>
        </w:rPr>
        <w:t>转换业务遵循“先进先出”的业务规则，即份额注册日期在前的先转换出，份额注册日期在后的后转换出，如果转换申请当日，同时有赎回申请的情况下，则遵循先赎回后转换的处理原则。</w:t>
      </w:r>
    </w:p>
    <w:p w:rsidR="003A3487" w:rsidRPr="008564FF" w:rsidP="004549E4">
      <w:pPr>
        <w:pStyle w:val="NormalIndent"/>
        <w:snapToGrid w:val="0"/>
        <w:spacing w:line="360" w:lineRule="auto"/>
        <w:ind w:firstLine="420" w:firstLineChars="200"/>
        <w:rPr>
          <w:rFonts w:asciiTheme="minorEastAsia" w:eastAsiaTheme="minorEastAsia" w:hAnsiTheme="minorEastAsia"/>
        </w:rPr>
      </w:pPr>
      <w:r w:rsidRPr="008564FF">
        <w:rPr>
          <w:rFonts w:asciiTheme="minorEastAsia" w:eastAsiaTheme="minorEastAsia" w:hAnsiTheme="minorEastAsia" w:hint="eastAsia"/>
          <w:kern w:val="0"/>
          <w:szCs w:val="21"/>
        </w:rPr>
        <w:t>7、基金份额在转换后，</w:t>
      </w:r>
      <w:r w:rsidRPr="008564FF">
        <w:rPr>
          <w:rFonts w:asciiTheme="minorEastAsia" w:eastAsiaTheme="minorEastAsia" w:hAnsiTheme="minorEastAsia" w:hint="eastAsia"/>
        </w:rPr>
        <w:t>转入的基金份额的持有期将自转入的基金份额被确认之日起重新开始计算</w:t>
      </w:r>
      <w:r w:rsidRPr="008564FF">
        <w:rPr>
          <w:rFonts w:asciiTheme="minorEastAsia" w:eastAsiaTheme="minorEastAsia" w:hAnsiTheme="minorEastAsia" w:hint="eastAsia"/>
          <w:kern w:val="0"/>
          <w:szCs w:val="21"/>
        </w:rPr>
        <w:t>。</w:t>
      </w:r>
    </w:p>
    <w:p w:rsidR="003A3487" w:rsidRPr="008564FF" w:rsidP="004549E4">
      <w:pPr>
        <w:pStyle w:val="NormalIndent"/>
        <w:snapToGrid w:val="0"/>
        <w:spacing w:line="360" w:lineRule="auto"/>
        <w:rPr>
          <w:rFonts w:asciiTheme="minorEastAsia" w:eastAsiaTheme="minorEastAsia" w:hAnsiTheme="minorEastAsia"/>
        </w:rPr>
      </w:pPr>
      <w:r w:rsidRPr="008564FF">
        <w:rPr>
          <w:rFonts w:asciiTheme="minorEastAsia" w:eastAsiaTheme="minorEastAsia" w:hAnsiTheme="minorEastAsia" w:hint="eastAsia"/>
        </w:rPr>
        <w:t>基金管理人可在不损害基金份额持有人权益的情况下更改上述原则，</w:t>
      </w:r>
      <w:r w:rsidRPr="008564FF">
        <w:rPr>
          <w:rFonts w:asciiTheme="minorEastAsia" w:eastAsiaTheme="minorEastAsia" w:hAnsiTheme="minorEastAsia" w:hint="eastAsia"/>
          <w:kern w:val="0"/>
          <w:szCs w:val="21"/>
        </w:rPr>
        <w:t>但应在调整生效前在</w:t>
      </w:r>
      <w:r w:rsidRPr="008564FF" w:rsidR="002C6CC3">
        <w:rPr>
          <w:rFonts w:asciiTheme="minorEastAsia" w:eastAsiaTheme="minorEastAsia" w:hAnsiTheme="minorEastAsia" w:hint="eastAsia"/>
          <w:kern w:val="0"/>
          <w:szCs w:val="21"/>
        </w:rPr>
        <w:t>指定媒介</w:t>
      </w:r>
      <w:r w:rsidRPr="008564FF">
        <w:rPr>
          <w:rFonts w:asciiTheme="minorEastAsia" w:eastAsiaTheme="minorEastAsia" w:hAnsiTheme="minorEastAsia" w:hint="eastAsia"/>
          <w:kern w:val="0"/>
          <w:szCs w:val="21"/>
        </w:rPr>
        <w:t>上予以公告。</w:t>
      </w:r>
    </w:p>
    <w:p w:rsidR="003A3487" w:rsidRPr="008564FF" w:rsidP="009C2B2A">
      <w:pPr>
        <w:pStyle w:val="Heading2"/>
        <w:snapToGrid w:val="0"/>
        <w:spacing w:beforeLines="0" w:afterLines="0" w:line="360" w:lineRule="auto"/>
        <w:ind w:firstLine="562"/>
        <w:rPr>
          <w:rFonts w:asciiTheme="minorEastAsia" w:eastAsiaTheme="minorEastAsia" w:hAnsiTheme="minorEastAsia"/>
        </w:rPr>
      </w:pPr>
      <w:bookmarkStart w:id="57" w:name="_Toc229996709"/>
      <w:bookmarkStart w:id="58" w:name="_Toc198959618"/>
      <w:bookmarkStart w:id="59" w:name="_Toc91749228"/>
      <w:r w:rsidRPr="008564FF">
        <w:rPr>
          <w:rFonts w:asciiTheme="minorEastAsia" w:eastAsiaTheme="minorEastAsia" w:hAnsiTheme="minorEastAsia" w:hint="eastAsia"/>
        </w:rPr>
        <w:t>（三）基金转换的程序</w:t>
      </w:r>
      <w:bookmarkEnd w:id="57"/>
      <w:bookmarkEnd w:id="58"/>
      <w:bookmarkEnd w:id="59"/>
    </w:p>
    <w:p w:rsidR="003A3487" w:rsidRPr="008564FF" w:rsidP="004549E4">
      <w:pPr>
        <w:pStyle w:val="NormalIndent"/>
        <w:snapToGrid w:val="0"/>
        <w:spacing w:line="360" w:lineRule="auto"/>
        <w:rPr>
          <w:rFonts w:asciiTheme="minorEastAsia" w:eastAsiaTheme="minorEastAsia" w:hAnsiTheme="minorEastAsia"/>
        </w:rPr>
      </w:pPr>
      <w:r w:rsidRPr="008564FF">
        <w:rPr>
          <w:rFonts w:asciiTheme="minorEastAsia" w:eastAsiaTheme="minorEastAsia" w:hAnsiTheme="minorEastAsia" w:hint="eastAsia"/>
        </w:rPr>
        <w:t>1、基金转换的申请方式</w:t>
      </w:r>
    </w:p>
    <w:p w:rsidR="003A3487" w:rsidRPr="008564FF" w:rsidP="004549E4">
      <w:pPr>
        <w:pStyle w:val="NormalIndent"/>
        <w:snapToGrid w:val="0"/>
        <w:spacing w:line="360" w:lineRule="auto"/>
        <w:rPr>
          <w:rFonts w:asciiTheme="minorEastAsia" w:eastAsiaTheme="minorEastAsia" w:hAnsiTheme="minorEastAsia"/>
        </w:rPr>
      </w:pPr>
      <w:r w:rsidRPr="008564FF">
        <w:rPr>
          <w:rFonts w:asciiTheme="minorEastAsia" w:eastAsiaTheme="minorEastAsia" w:hAnsiTheme="minorEastAsia" w:hint="eastAsia"/>
        </w:rPr>
        <w:t>基金投资者必须根据基金管理人和基金</w:t>
      </w:r>
      <w:r w:rsidRPr="008564FF" w:rsidR="007F5C61">
        <w:rPr>
          <w:rFonts w:asciiTheme="minorEastAsia" w:eastAsiaTheme="minorEastAsia" w:hAnsiTheme="minorEastAsia" w:hint="eastAsia"/>
        </w:rPr>
        <w:t>销售</w:t>
      </w:r>
      <w:r w:rsidRPr="008564FF">
        <w:rPr>
          <w:rFonts w:asciiTheme="minorEastAsia" w:eastAsiaTheme="minorEastAsia" w:hAnsiTheme="minorEastAsia" w:hint="eastAsia"/>
        </w:rPr>
        <w:t>机构规定的手续，在开放日的业务办理时间提出转换的申请。</w:t>
      </w:r>
    </w:p>
    <w:p w:rsidR="003A3487" w:rsidRPr="008564FF" w:rsidP="004549E4">
      <w:pPr>
        <w:pStyle w:val="NormalIndent"/>
        <w:snapToGrid w:val="0"/>
        <w:spacing w:line="360" w:lineRule="auto"/>
        <w:rPr>
          <w:rFonts w:asciiTheme="minorEastAsia" w:eastAsiaTheme="minorEastAsia" w:hAnsiTheme="minorEastAsia"/>
        </w:rPr>
      </w:pPr>
      <w:r w:rsidRPr="008564FF">
        <w:rPr>
          <w:rFonts w:asciiTheme="minorEastAsia" w:eastAsiaTheme="minorEastAsia" w:hAnsiTheme="minorEastAsia" w:hint="eastAsia"/>
        </w:rPr>
        <w:t>提交基金转换申请时，账户中必须有足够可用的转出基金份额余额。</w:t>
      </w:r>
    </w:p>
    <w:p w:rsidR="003A3487" w:rsidRPr="008564FF" w:rsidP="004549E4">
      <w:pPr>
        <w:pStyle w:val="NormalIndent"/>
        <w:snapToGrid w:val="0"/>
        <w:spacing w:line="360" w:lineRule="auto"/>
        <w:rPr>
          <w:rFonts w:asciiTheme="minorEastAsia" w:eastAsiaTheme="minorEastAsia" w:hAnsiTheme="minorEastAsia"/>
        </w:rPr>
      </w:pPr>
      <w:r w:rsidRPr="008564FF">
        <w:rPr>
          <w:rFonts w:asciiTheme="minorEastAsia" w:eastAsiaTheme="minorEastAsia" w:hAnsiTheme="minorEastAsia" w:hint="eastAsia"/>
        </w:rPr>
        <w:t>2、基金转换申请的确认</w:t>
      </w:r>
    </w:p>
    <w:p w:rsidR="003A3487" w:rsidRPr="008564FF" w:rsidP="004549E4">
      <w:pPr>
        <w:pStyle w:val="NormalIndent"/>
        <w:snapToGrid w:val="0"/>
        <w:spacing w:line="360" w:lineRule="auto"/>
        <w:rPr>
          <w:rFonts w:asciiTheme="minorEastAsia" w:eastAsiaTheme="minorEastAsia" w:hAnsiTheme="minorEastAsia"/>
        </w:rPr>
      </w:pPr>
      <w:r w:rsidRPr="008564FF">
        <w:rPr>
          <w:rFonts w:asciiTheme="minorEastAsia" w:eastAsiaTheme="minorEastAsia" w:hAnsiTheme="minorEastAsia" w:hint="eastAsia"/>
        </w:rPr>
        <w:t>正常情况下，基金管理人以在规定的基金业务办理时间段内收到基金转换申请的当天作为基金转换的申请日（T日），并在T+1工作日对该交易的有效性进行确认。投资者可在T+2工作日及之后查询成交情况。</w:t>
      </w:r>
    </w:p>
    <w:p w:rsidR="003A3487" w:rsidRPr="008564FF" w:rsidP="009C2B2A">
      <w:pPr>
        <w:pStyle w:val="Heading2"/>
        <w:snapToGrid w:val="0"/>
        <w:spacing w:beforeLines="0" w:afterLines="0" w:line="360" w:lineRule="auto"/>
        <w:ind w:firstLine="562"/>
        <w:rPr>
          <w:rFonts w:asciiTheme="minorEastAsia" w:eastAsiaTheme="minorEastAsia" w:hAnsiTheme="minorEastAsia"/>
        </w:rPr>
      </w:pPr>
      <w:bookmarkStart w:id="60" w:name="_Toc229996710"/>
      <w:bookmarkStart w:id="61" w:name="_Toc198959619"/>
      <w:bookmarkStart w:id="62" w:name="_Toc91749229"/>
      <w:r w:rsidRPr="008564FF">
        <w:rPr>
          <w:rFonts w:asciiTheme="minorEastAsia" w:eastAsiaTheme="minorEastAsia" w:hAnsiTheme="minorEastAsia" w:hint="eastAsia"/>
        </w:rPr>
        <w:t>（四）基金转换的数额限制</w:t>
      </w:r>
      <w:bookmarkEnd w:id="60"/>
      <w:bookmarkEnd w:id="61"/>
      <w:bookmarkEnd w:id="62"/>
    </w:p>
    <w:p w:rsidR="003A3487" w:rsidRPr="008564FF" w:rsidP="004549E4">
      <w:pPr>
        <w:pStyle w:val="NormalIndent"/>
        <w:snapToGrid w:val="0"/>
        <w:spacing w:line="360" w:lineRule="auto"/>
        <w:rPr>
          <w:rFonts w:asciiTheme="minorEastAsia" w:eastAsiaTheme="minorEastAsia" w:hAnsiTheme="minorEastAsia"/>
        </w:rPr>
      </w:pPr>
      <w:r w:rsidRPr="008564FF">
        <w:rPr>
          <w:rFonts w:asciiTheme="minorEastAsia" w:eastAsiaTheme="minorEastAsia" w:hAnsiTheme="minorEastAsia" w:hint="eastAsia"/>
          <w:kern w:val="0"/>
          <w:szCs w:val="21"/>
        </w:rPr>
        <w:t>基金份额持有人可将其全部或部分基金份额转换成另一只基金，本基金单笔转出申请不得少于1份（</w:t>
      </w:r>
      <w:r w:rsidRPr="008564FF" w:rsidR="005C239D">
        <w:rPr>
          <w:rFonts w:asciiTheme="minorEastAsia" w:eastAsiaTheme="minorEastAsia" w:hAnsiTheme="minorEastAsia" w:hint="eastAsia"/>
          <w:kern w:val="0"/>
          <w:szCs w:val="21"/>
        </w:rPr>
        <w:t>如该账户在该销售机构托管的该基金余额不足</w:t>
      </w:r>
      <w:r w:rsidRPr="008564FF">
        <w:rPr>
          <w:rFonts w:asciiTheme="minorEastAsia" w:eastAsiaTheme="minorEastAsia" w:hAnsiTheme="minorEastAsia" w:hint="eastAsia"/>
          <w:kern w:val="0"/>
          <w:szCs w:val="21"/>
        </w:rPr>
        <w:t>1份，则必须一次性赎回或转出该基金全部份额）；若某笔转换导致投资者在</w:t>
      </w:r>
      <w:r w:rsidRPr="008564FF" w:rsidR="005C239D">
        <w:rPr>
          <w:rFonts w:asciiTheme="minorEastAsia" w:eastAsiaTheme="minorEastAsia" w:hAnsiTheme="minorEastAsia" w:hint="eastAsia"/>
          <w:szCs w:val="21"/>
        </w:rPr>
        <w:t>该</w:t>
      </w:r>
      <w:r w:rsidRPr="008564FF">
        <w:rPr>
          <w:rFonts w:asciiTheme="minorEastAsia" w:eastAsiaTheme="minorEastAsia" w:hAnsiTheme="minorEastAsia" w:hint="eastAsia"/>
          <w:kern w:val="0"/>
          <w:szCs w:val="21"/>
        </w:rPr>
        <w:t>销售机构托管的该基金余额不足1份时，基金管理人有权将投资者在该销售机构托管的该基金剩余份额一次性全部赎回。</w:t>
      </w:r>
    </w:p>
    <w:p w:rsidR="003A3487" w:rsidRPr="008564FF" w:rsidP="004549E4">
      <w:pPr>
        <w:pStyle w:val="NormalIndent"/>
        <w:snapToGrid w:val="0"/>
        <w:spacing w:line="360" w:lineRule="auto"/>
        <w:rPr>
          <w:rFonts w:asciiTheme="minorEastAsia" w:eastAsiaTheme="minorEastAsia" w:hAnsiTheme="minorEastAsia"/>
        </w:rPr>
      </w:pPr>
      <w:r w:rsidRPr="008564FF">
        <w:rPr>
          <w:rFonts w:asciiTheme="minorEastAsia" w:eastAsiaTheme="minorEastAsia" w:hAnsiTheme="minorEastAsia" w:hint="eastAsia"/>
        </w:rPr>
        <w:t>基金管理人可根据市场情况制定或调整上述基金转换的程序及有关限制，但</w:t>
      </w:r>
      <w:r w:rsidRPr="008564FF">
        <w:rPr>
          <w:rFonts w:asciiTheme="minorEastAsia" w:eastAsiaTheme="minorEastAsia" w:hAnsiTheme="minorEastAsia" w:hint="eastAsia"/>
          <w:kern w:val="0"/>
          <w:szCs w:val="21"/>
        </w:rPr>
        <w:t>应在调整生效前在</w:t>
      </w:r>
      <w:r w:rsidRPr="008564FF" w:rsidR="002C6CC3">
        <w:rPr>
          <w:rFonts w:asciiTheme="minorEastAsia" w:eastAsiaTheme="minorEastAsia" w:hAnsiTheme="minorEastAsia" w:hint="eastAsia"/>
          <w:kern w:val="0"/>
          <w:szCs w:val="21"/>
        </w:rPr>
        <w:t>指定媒介</w:t>
      </w:r>
      <w:r w:rsidRPr="008564FF">
        <w:rPr>
          <w:rFonts w:asciiTheme="minorEastAsia" w:eastAsiaTheme="minorEastAsia" w:hAnsiTheme="minorEastAsia" w:hint="eastAsia"/>
          <w:kern w:val="0"/>
          <w:szCs w:val="21"/>
        </w:rPr>
        <w:t>上予以公告。</w:t>
      </w:r>
    </w:p>
    <w:p w:rsidR="003A3487" w:rsidRPr="008564FF" w:rsidP="009C2B2A">
      <w:pPr>
        <w:pStyle w:val="Heading2"/>
        <w:snapToGrid w:val="0"/>
        <w:spacing w:beforeLines="0" w:afterLines="0" w:line="360" w:lineRule="auto"/>
        <w:ind w:firstLine="562"/>
        <w:rPr>
          <w:rFonts w:asciiTheme="minorEastAsia" w:eastAsiaTheme="minorEastAsia" w:hAnsiTheme="minorEastAsia"/>
        </w:rPr>
      </w:pPr>
      <w:bookmarkStart w:id="63" w:name="_Toc229996711"/>
      <w:bookmarkStart w:id="64" w:name="_Toc198959620"/>
      <w:bookmarkStart w:id="65" w:name="_Toc87367293"/>
      <w:bookmarkStart w:id="66" w:name="_Toc91749230"/>
      <w:r w:rsidRPr="008564FF">
        <w:rPr>
          <w:rFonts w:asciiTheme="minorEastAsia" w:eastAsiaTheme="minorEastAsia" w:hAnsiTheme="minorEastAsia" w:hint="eastAsia"/>
        </w:rPr>
        <w:t>（五）基金转换费率</w:t>
      </w:r>
      <w:bookmarkEnd w:id="63"/>
      <w:bookmarkEnd w:id="64"/>
      <w:bookmarkEnd w:id="65"/>
      <w:bookmarkEnd w:id="66"/>
    </w:p>
    <w:p w:rsidR="003A3487" w:rsidRPr="008564FF" w:rsidP="004549E4">
      <w:pPr>
        <w:autoSpaceDE w:val="0"/>
        <w:autoSpaceDN w:val="0"/>
        <w:snapToGrid w:val="0"/>
        <w:spacing w:line="360" w:lineRule="auto"/>
        <w:ind w:firstLine="420"/>
        <w:textAlignment w:val="bottom"/>
        <w:rPr>
          <w:rFonts w:asciiTheme="minorEastAsia" w:eastAsiaTheme="minorEastAsia" w:hAnsiTheme="minorEastAsia"/>
          <w:szCs w:val="21"/>
        </w:rPr>
      </w:pPr>
      <w:r w:rsidRPr="008564FF">
        <w:rPr>
          <w:rFonts w:asciiTheme="minorEastAsia" w:eastAsiaTheme="minorEastAsia" w:hAnsiTheme="minorEastAsia" w:hint="eastAsia"/>
          <w:szCs w:val="21"/>
        </w:rPr>
        <w:t>基金转换费由基金份额持有人承担，由转出基金赎回费用及基金申购补差费用构成，其中赎回费</w:t>
      </w:r>
      <w:r w:rsidRPr="008564FF" w:rsidR="007548D1">
        <w:rPr>
          <w:rFonts w:asciiTheme="minorEastAsia" w:eastAsiaTheme="minorEastAsia" w:hAnsiTheme="minorEastAsia" w:hint="eastAsia"/>
          <w:szCs w:val="21"/>
        </w:rPr>
        <w:t>按照</w:t>
      </w:r>
      <w:r w:rsidRPr="008564FF" w:rsidR="005C239D">
        <w:rPr>
          <w:rFonts w:asciiTheme="minorEastAsia" w:eastAsiaTheme="minorEastAsia" w:hAnsiTheme="minorEastAsia" w:hint="eastAsia"/>
          <w:szCs w:val="21"/>
        </w:rPr>
        <w:t>各基金</w:t>
      </w:r>
      <w:r w:rsidRPr="008564FF" w:rsidR="005C239D">
        <w:rPr>
          <w:rFonts w:asciiTheme="minorEastAsia" w:eastAsiaTheme="minorEastAsia" w:hAnsiTheme="minorEastAsia"/>
          <w:szCs w:val="21"/>
        </w:rPr>
        <w:t>的</w:t>
      </w:r>
      <w:r w:rsidRPr="008564FF" w:rsidR="007548D1">
        <w:rPr>
          <w:rFonts w:asciiTheme="minorEastAsia" w:eastAsiaTheme="minorEastAsia" w:hAnsiTheme="minorEastAsia" w:hint="eastAsia"/>
          <w:szCs w:val="21"/>
        </w:rPr>
        <w:t>基金合同、更新的招募说明书及最新的相关公告约定的比例归入基金财产</w:t>
      </w:r>
      <w:r w:rsidRPr="008564FF">
        <w:rPr>
          <w:rFonts w:asciiTheme="minorEastAsia" w:eastAsiaTheme="minorEastAsia" w:hAnsiTheme="minorEastAsia" w:hint="eastAsia"/>
          <w:szCs w:val="21"/>
        </w:rPr>
        <w:t>，其余部分用于支付注册登记费等相关手续费，</w:t>
      </w:r>
      <w:r w:rsidRPr="008564FF">
        <w:rPr>
          <w:rFonts w:asciiTheme="minorEastAsia" w:eastAsiaTheme="minorEastAsia" w:hAnsiTheme="minorEastAsia" w:hint="eastAsia"/>
        </w:rPr>
        <w:t>具体实施办法和转换费率详见相关公告。</w:t>
      </w:r>
      <w:r w:rsidRPr="008564FF">
        <w:rPr>
          <w:rFonts w:asciiTheme="minorEastAsia" w:eastAsiaTheme="minorEastAsia" w:hAnsiTheme="minorEastAsia" w:hint="eastAsia"/>
          <w:szCs w:val="21"/>
        </w:rPr>
        <w:t>转换费用以人民币元为单位，计算结果按照四舍五入方法，保留小数点后两位。</w:t>
      </w:r>
    </w:p>
    <w:p w:rsidR="003A3487" w:rsidRPr="008564FF" w:rsidP="004549E4">
      <w:pPr>
        <w:autoSpaceDE w:val="0"/>
        <w:autoSpaceDN w:val="0"/>
        <w:snapToGrid w:val="0"/>
        <w:spacing w:line="360" w:lineRule="auto"/>
        <w:ind w:firstLine="420"/>
        <w:textAlignment w:val="bottom"/>
        <w:rPr>
          <w:rFonts w:asciiTheme="minorEastAsia" w:eastAsiaTheme="minorEastAsia" w:hAnsiTheme="minorEastAsia"/>
        </w:rPr>
      </w:pPr>
      <w:bookmarkStart w:id="67" w:name="_Toc198959621"/>
      <w:bookmarkStart w:id="68" w:name="_Toc182826360"/>
      <w:r w:rsidRPr="008564FF">
        <w:rPr>
          <w:rFonts w:asciiTheme="minorEastAsia" w:eastAsiaTheme="minorEastAsia" w:hAnsiTheme="minorEastAsia" w:hint="eastAsia"/>
        </w:rPr>
        <w:t>基金管理人可以在基金合同规定的范围内调整上述费率。上述费率如发生变更，</w:t>
      </w:r>
      <w:r w:rsidRPr="008564FF">
        <w:rPr>
          <w:rFonts w:asciiTheme="minorEastAsia" w:eastAsiaTheme="minorEastAsia" w:hAnsiTheme="minorEastAsia" w:hint="eastAsia"/>
          <w:kern w:val="0"/>
          <w:szCs w:val="21"/>
        </w:rPr>
        <w:t>应在调整生效前在</w:t>
      </w:r>
      <w:r w:rsidRPr="008564FF" w:rsidR="002C6CC3">
        <w:rPr>
          <w:rFonts w:asciiTheme="minorEastAsia" w:eastAsiaTheme="minorEastAsia" w:hAnsiTheme="minorEastAsia" w:hint="eastAsia"/>
          <w:kern w:val="0"/>
          <w:szCs w:val="21"/>
        </w:rPr>
        <w:t>指定媒介</w:t>
      </w:r>
      <w:r w:rsidRPr="008564FF">
        <w:rPr>
          <w:rFonts w:asciiTheme="minorEastAsia" w:eastAsiaTheme="minorEastAsia" w:hAnsiTheme="minorEastAsia" w:hint="eastAsia"/>
          <w:kern w:val="0"/>
          <w:szCs w:val="21"/>
        </w:rPr>
        <w:t>上予以公告。</w:t>
      </w:r>
    </w:p>
    <w:p w:rsidR="003A3487" w:rsidRPr="008564FF" w:rsidP="004549E4">
      <w:pPr>
        <w:autoSpaceDE w:val="0"/>
        <w:autoSpaceDN w:val="0"/>
        <w:snapToGrid w:val="0"/>
        <w:spacing w:line="360" w:lineRule="auto"/>
        <w:ind w:firstLine="420"/>
        <w:textAlignment w:val="bottom"/>
        <w:rPr>
          <w:rFonts w:asciiTheme="minorEastAsia" w:eastAsiaTheme="minorEastAsia" w:hAnsiTheme="minorEastAsia"/>
        </w:rPr>
      </w:pPr>
      <w:r w:rsidRPr="008564FF">
        <w:rPr>
          <w:rFonts w:asciiTheme="minorEastAsia" w:eastAsiaTheme="minorEastAsia" w:hAnsiTheme="minorEastAsia" w:hint="eastAsia"/>
        </w:rPr>
        <w:t>基金管理人可以在不违反法律法规规定及基金合同约定的情况下根据市场情况制定基金促销计划，针对基金投资者定期和不定期地开展基金促销活动。在基金促销活动期间，基金管理人可以适当调低基金销售费率，或针对特定渠道、特定投资群体开展有差别的费率优惠活动。</w:t>
      </w:r>
    </w:p>
    <w:p w:rsidR="003A3487" w:rsidRPr="008564FF" w:rsidP="009C2B2A">
      <w:pPr>
        <w:pStyle w:val="Heading2"/>
        <w:snapToGrid w:val="0"/>
        <w:spacing w:beforeLines="0" w:afterLines="0" w:line="360" w:lineRule="auto"/>
        <w:ind w:firstLine="562"/>
        <w:rPr>
          <w:rFonts w:asciiTheme="minorEastAsia" w:eastAsiaTheme="minorEastAsia" w:hAnsiTheme="minorEastAsia"/>
        </w:rPr>
      </w:pPr>
      <w:bookmarkStart w:id="69" w:name="_Toc229996712"/>
      <w:bookmarkStart w:id="70" w:name="_Toc91749231"/>
      <w:r w:rsidRPr="008564FF">
        <w:rPr>
          <w:rFonts w:asciiTheme="minorEastAsia" w:eastAsiaTheme="minorEastAsia" w:hAnsiTheme="minorEastAsia" w:hint="eastAsia"/>
        </w:rPr>
        <w:t>（六）基金转换份额的计算方式</w:t>
      </w:r>
      <w:bookmarkEnd w:id="67"/>
      <w:bookmarkEnd w:id="68"/>
      <w:bookmarkEnd w:id="69"/>
      <w:bookmarkEnd w:id="70"/>
    </w:p>
    <w:p w:rsidR="003A3487" w:rsidRPr="008564FF" w:rsidP="00485893">
      <w:pPr>
        <w:snapToGrid w:val="0"/>
        <w:spacing w:line="360" w:lineRule="auto"/>
        <w:ind w:firstLine="482"/>
        <w:rPr>
          <w:rFonts w:asciiTheme="minorEastAsia" w:eastAsiaTheme="minorEastAsia" w:hAnsiTheme="minorEastAsia"/>
        </w:rPr>
      </w:pPr>
      <w:r w:rsidRPr="008564FF">
        <w:rPr>
          <w:rFonts w:asciiTheme="minorEastAsia" w:eastAsiaTheme="minorEastAsia" w:hAnsiTheme="minorEastAsia" w:hint="eastAsia"/>
        </w:rPr>
        <w:t>计算公式：</w:t>
      </w:r>
    </w:p>
    <w:p w:rsidR="003A3487" w:rsidRPr="008564FF" w:rsidP="00485893">
      <w:pPr>
        <w:snapToGrid w:val="0"/>
        <w:spacing w:line="360" w:lineRule="auto"/>
        <w:ind w:firstLine="482"/>
        <w:rPr>
          <w:rFonts w:asciiTheme="minorEastAsia" w:eastAsiaTheme="minorEastAsia" w:hAnsiTheme="minorEastAsia"/>
        </w:rPr>
      </w:pPr>
      <w:r w:rsidRPr="008564FF">
        <w:rPr>
          <w:rFonts w:asciiTheme="minorEastAsia" w:eastAsiaTheme="minorEastAsia" w:hAnsiTheme="minorEastAsia" w:hint="eastAsia"/>
        </w:rPr>
        <w:t>A＝［B×C×(1-D)/（1+G）+F］/E</w:t>
      </w:r>
    </w:p>
    <w:p w:rsidR="003A3487" w:rsidRPr="008564FF" w:rsidP="00485893">
      <w:pPr>
        <w:snapToGrid w:val="0"/>
        <w:spacing w:line="360" w:lineRule="auto"/>
        <w:ind w:firstLine="482"/>
        <w:rPr>
          <w:rFonts w:asciiTheme="minorEastAsia" w:eastAsiaTheme="minorEastAsia" w:hAnsiTheme="minorEastAsia"/>
        </w:rPr>
      </w:pPr>
      <w:r w:rsidRPr="008564FF">
        <w:rPr>
          <w:rFonts w:asciiTheme="minorEastAsia" w:eastAsiaTheme="minorEastAsia" w:hAnsiTheme="minorEastAsia" w:hint="eastAsia"/>
        </w:rPr>
        <w:t>H＝B×C×D</w:t>
      </w:r>
    </w:p>
    <w:p w:rsidR="003A3487" w:rsidRPr="008564FF" w:rsidP="00485893">
      <w:pPr>
        <w:snapToGrid w:val="0"/>
        <w:spacing w:line="360" w:lineRule="auto"/>
        <w:ind w:firstLine="482"/>
        <w:rPr>
          <w:rFonts w:asciiTheme="minorEastAsia" w:eastAsiaTheme="minorEastAsia" w:hAnsiTheme="minorEastAsia"/>
        </w:rPr>
      </w:pPr>
      <w:r w:rsidRPr="008564FF">
        <w:rPr>
          <w:rFonts w:asciiTheme="minorEastAsia" w:eastAsiaTheme="minorEastAsia" w:hAnsiTheme="minorEastAsia" w:hint="eastAsia"/>
        </w:rPr>
        <w:t>J＝[B×C×(1-D)/(1+G)]×G</w:t>
      </w:r>
    </w:p>
    <w:p w:rsidR="003A3487" w:rsidRPr="008564FF" w:rsidP="00485893">
      <w:pPr>
        <w:snapToGrid w:val="0"/>
        <w:spacing w:line="360" w:lineRule="auto"/>
        <w:ind w:firstLine="482"/>
        <w:rPr>
          <w:rFonts w:asciiTheme="minorEastAsia" w:eastAsiaTheme="minorEastAsia" w:hAnsiTheme="minorEastAsia"/>
        </w:rPr>
      </w:pPr>
      <w:r w:rsidRPr="008564FF">
        <w:rPr>
          <w:rFonts w:asciiTheme="minorEastAsia" w:eastAsiaTheme="minorEastAsia" w:hAnsiTheme="minorEastAsia" w:hint="eastAsia"/>
        </w:rPr>
        <w:t>其中，A为转入的基金份额；B为转出的基金份额；C为转换申请当日转出基金的基金份额净值；D为转出基金的对应赎回费率，G为对应的申购补差费率；E为转换申请当日转入基金的基金份额净值；</w:t>
      </w:r>
      <w:r w:rsidRPr="008564FF" w:rsidR="009D7920">
        <w:rPr>
          <w:rFonts w:asciiTheme="minorEastAsia" w:eastAsiaTheme="minorEastAsia" w:hAnsiTheme="minorEastAsia" w:hint="eastAsia"/>
        </w:rPr>
        <w:t>F为货币市场基金全部转出时注册登记机构已支付的未付收益</w:t>
      </w:r>
      <w:r w:rsidRPr="008564FF">
        <w:rPr>
          <w:rFonts w:asciiTheme="minorEastAsia" w:eastAsiaTheme="minorEastAsia" w:hAnsiTheme="minorEastAsia" w:hint="eastAsia"/>
        </w:rPr>
        <w:t>；H为转出基金赎回费；J为申购补差费。</w:t>
      </w:r>
    </w:p>
    <w:p w:rsidR="009D7920" w:rsidRPr="008564FF" w:rsidP="00485893">
      <w:pPr>
        <w:snapToGrid w:val="0"/>
        <w:spacing w:line="360" w:lineRule="auto"/>
        <w:ind w:firstLine="482"/>
        <w:rPr>
          <w:rFonts w:asciiTheme="minorEastAsia" w:eastAsiaTheme="minorEastAsia" w:hAnsiTheme="minorEastAsia"/>
        </w:rPr>
      </w:pPr>
      <w:r w:rsidRPr="008564FF">
        <w:rPr>
          <w:rFonts w:asciiTheme="minorEastAsia" w:eastAsiaTheme="minorEastAsia" w:hAnsiTheme="minorEastAsia" w:hint="eastAsia"/>
        </w:rPr>
        <w:t>注：当投资者在全部转换转出某类货币市场基金份额时，如其未付收益为正，基金份额对应的未付收益是否与转换转出份额对应的款项一并划转到转换转入的基金，以销售机构和注册登记机构的具体规定为准。当投资者在全部转换转出某类货币市场基金份额时，如其未付收益为负，基金份额对应的未付收益与转换转出份额对应的款项一并划转到转换转入的基金。</w:t>
      </w:r>
    </w:p>
    <w:p w:rsidR="003A3487" w:rsidRPr="008564FF" w:rsidP="004549E4">
      <w:pPr>
        <w:snapToGrid w:val="0"/>
        <w:spacing w:line="360" w:lineRule="auto"/>
        <w:ind w:firstLine="482"/>
        <w:rPr>
          <w:rFonts w:asciiTheme="minorEastAsia" w:eastAsiaTheme="minorEastAsia" w:hAnsiTheme="minorEastAsia"/>
        </w:rPr>
      </w:pPr>
      <w:r w:rsidRPr="008564FF">
        <w:rPr>
          <w:rFonts w:asciiTheme="minorEastAsia" w:eastAsiaTheme="minorEastAsia" w:hAnsiTheme="minorEastAsia" w:hint="eastAsia"/>
        </w:rPr>
        <w:t>说明：</w:t>
      </w:r>
    </w:p>
    <w:p w:rsidR="003A3487" w:rsidRPr="008564FF" w:rsidP="004549E4">
      <w:pPr>
        <w:snapToGrid w:val="0"/>
        <w:spacing w:line="360" w:lineRule="auto"/>
        <w:ind w:firstLine="482"/>
        <w:rPr>
          <w:rFonts w:asciiTheme="minorEastAsia" w:eastAsiaTheme="minorEastAsia" w:hAnsiTheme="minorEastAsia"/>
        </w:rPr>
      </w:pPr>
      <w:r w:rsidRPr="008564FF">
        <w:rPr>
          <w:rFonts w:asciiTheme="minorEastAsia" w:eastAsiaTheme="minorEastAsia" w:hAnsiTheme="minorEastAsia" w:hint="eastAsia"/>
        </w:rPr>
        <w:t>1、基金转换费用由转出基金赎回费用及基金申购补差费用构成。</w:t>
      </w:r>
    </w:p>
    <w:p w:rsidR="003A3487" w:rsidRPr="008564FF" w:rsidP="004549E4">
      <w:pPr>
        <w:snapToGrid w:val="0"/>
        <w:spacing w:line="360" w:lineRule="auto"/>
        <w:ind w:firstLine="482"/>
        <w:rPr>
          <w:rFonts w:asciiTheme="minorEastAsia" w:eastAsiaTheme="minorEastAsia" w:hAnsiTheme="minorEastAsia"/>
        </w:rPr>
      </w:pPr>
      <w:r w:rsidRPr="008564FF">
        <w:rPr>
          <w:rFonts w:asciiTheme="minorEastAsia" w:eastAsiaTheme="minorEastAsia" w:hAnsiTheme="minorEastAsia" w:hint="eastAsia"/>
        </w:rPr>
        <w:t>2、转入基金时，从申购费用低的基金向申购费用高的基金转换时，每次收取申购补差费用；从申购费用高的基金向申购费用低的基金转换时,不收取申购补差费用</w:t>
      </w:r>
      <w:r w:rsidRPr="008564FF" w:rsidR="002B3775">
        <w:rPr>
          <w:rFonts w:asciiTheme="minorEastAsia" w:eastAsiaTheme="minorEastAsia" w:hAnsiTheme="minorEastAsia" w:hint="eastAsia"/>
          <w:szCs w:val="21"/>
        </w:rPr>
        <w:t>（</w:t>
      </w:r>
      <w:r w:rsidR="006419F2">
        <w:rPr>
          <w:rFonts w:asciiTheme="minorEastAsia" w:hAnsiTheme="minorEastAsia" w:hint="eastAsia"/>
          <w:color w:val="000000" w:themeColor="text1"/>
          <w:kern w:val="0"/>
          <w:szCs w:val="21"/>
        </w:rPr>
        <w:t>注：对通过直销中心申购实施差别申购费率的投资群体基金份额的申购费，以除上述投资群体之外的其他投资者申购费为比较标准</w:t>
      </w:r>
      <w:r w:rsidRPr="008564FF" w:rsidR="002B3775">
        <w:rPr>
          <w:rFonts w:asciiTheme="minorEastAsia" w:eastAsiaTheme="minorEastAsia" w:hAnsiTheme="minorEastAsia" w:hint="eastAsia"/>
          <w:szCs w:val="21"/>
        </w:rPr>
        <w:t>）</w:t>
      </w:r>
      <w:r w:rsidRPr="008564FF">
        <w:rPr>
          <w:rFonts w:asciiTheme="minorEastAsia" w:eastAsiaTheme="minorEastAsia" w:hAnsiTheme="minorEastAsia" w:hint="eastAsia"/>
        </w:rPr>
        <w:t>。申购补差费用按照转换金额对应的转出基金与转入基金的申购费率差额进行补差，具体收取情况视每次转换时两只基金的申购费率的差异情况而定</w:t>
      </w:r>
      <w:r w:rsidRPr="008564FF" w:rsidR="0024736E">
        <w:rPr>
          <w:rFonts w:asciiTheme="minorEastAsia" w:eastAsiaTheme="minorEastAsia" w:hAnsiTheme="minorEastAsia" w:hint="eastAsia"/>
        </w:rPr>
        <w:t>并见相关公告</w:t>
      </w:r>
      <w:r w:rsidRPr="008564FF">
        <w:rPr>
          <w:rFonts w:asciiTheme="minorEastAsia" w:eastAsiaTheme="minorEastAsia" w:hAnsiTheme="minorEastAsia" w:hint="eastAsia"/>
        </w:rPr>
        <w:t>。</w:t>
      </w:r>
    </w:p>
    <w:p w:rsidR="003A3487" w:rsidRPr="008564FF" w:rsidP="004549E4">
      <w:pPr>
        <w:snapToGrid w:val="0"/>
        <w:spacing w:line="360" w:lineRule="auto"/>
        <w:ind w:firstLine="482"/>
        <w:rPr>
          <w:rFonts w:asciiTheme="minorEastAsia" w:eastAsiaTheme="minorEastAsia" w:hAnsiTheme="minorEastAsia"/>
        </w:rPr>
      </w:pPr>
      <w:r w:rsidRPr="008564FF">
        <w:rPr>
          <w:rFonts w:asciiTheme="minorEastAsia" w:eastAsiaTheme="minorEastAsia" w:hAnsiTheme="minorEastAsia" w:hint="eastAsia"/>
        </w:rPr>
        <w:t>3、转出基金时，如涉及的转出基金有赎回费用，收取该基金的赎回费用。收取的赎回费</w:t>
      </w:r>
      <w:r w:rsidRPr="008564FF" w:rsidR="00043392">
        <w:rPr>
          <w:rFonts w:asciiTheme="minorEastAsia" w:eastAsiaTheme="minorEastAsia" w:hAnsiTheme="minorEastAsia" w:hint="eastAsia"/>
        </w:rPr>
        <w:t>按照</w:t>
      </w:r>
      <w:r w:rsidRPr="008564FF" w:rsidR="000E3A46">
        <w:rPr>
          <w:rFonts w:asciiTheme="minorEastAsia" w:eastAsiaTheme="minorEastAsia" w:hAnsiTheme="minorEastAsia" w:hint="eastAsia"/>
        </w:rPr>
        <w:t>各基金的</w:t>
      </w:r>
      <w:r w:rsidRPr="008564FF" w:rsidR="00043392">
        <w:rPr>
          <w:rFonts w:asciiTheme="minorEastAsia" w:eastAsiaTheme="minorEastAsia" w:hAnsiTheme="minorEastAsia" w:hint="eastAsia"/>
        </w:rPr>
        <w:t>基金合同、更新的招募说明书及最新的相关公告约定的比例归入基金财产</w:t>
      </w:r>
      <w:r w:rsidRPr="008564FF">
        <w:rPr>
          <w:rFonts w:asciiTheme="minorEastAsia" w:eastAsiaTheme="minorEastAsia" w:hAnsiTheme="minorEastAsia" w:hint="eastAsia"/>
        </w:rPr>
        <w:t>，其余部分用于支付注册登记费等相关手续费。</w:t>
      </w:r>
    </w:p>
    <w:p w:rsidR="003A3487" w:rsidRPr="008564FF" w:rsidP="004549E4">
      <w:pPr>
        <w:snapToGrid w:val="0"/>
        <w:spacing w:line="360" w:lineRule="auto"/>
        <w:ind w:firstLine="482"/>
        <w:rPr>
          <w:rFonts w:asciiTheme="minorEastAsia" w:eastAsiaTheme="minorEastAsia" w:hAnsiTheme="minorEastAsia"/>
        </w:rPr>
      </w:pPr>
      <w:r w:rsidRPr="008564FF">
        <w:rPr>
          <w:rFonts w:asciiTheme="minorEastAsia" w:eastAsiaTheme="minorEastAsia" w:hAnsiTheme="minorEastAsia" w:hint="eastAsia"/>
        </w:rPr>
        <w:t>4、投资者可以发起多次基金转换业务，基金转换费用按每笔申请单独计算。</w:t>
      </w:r>
      <w:r w:rsidRPr="008564FF">
        <w:rPr>
          <w:rFonts w:asciiTheme="minorEastAsia" w:eastAsiaTheme="minorEastAsia" w:hAnsiTheme="minorEastAsia" w:hint="eastAsia"/>
          <w:kern w:val="0"/>
          <w:szCs w:val="21"/>
        </w:rPr>
        <w:t>转换费用以人民币元为单位，计算结果按照四舍五入方法，保留小数点后两位。</w:t>
      </w:r>
    </w:p>
    <w:p w:rsidR="003A3487" w:rsidRPr="008564FF" w:rsidP="004549E4">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举例说明：假定某投资者</w:t>
      </w:r>
      <w:r w:rsidRPr="008564FF" w:rsidR="005C239D">
        <w:rPr>
          <w:rFonts w:asciiTheme="minorEastAsia" w:eastAsiaTheme="minorEastAsia" w:hAnsiTheme="minorEastAsia" w:hint="eastAsia"/>
        </w:rPr>
        <w:t>（</w:t>
      </w:r>
      <w:r w:rsidR="006419F2">
        <w:rPr>
          <w:rFonts w:asciiTheme="minorEastAsia" w:eastAsiaTheme="minorEastAsia" w:hAnsiTheme="minorEastAsia" w:hint="eastAsia"/>
        </w:rPr>
        <w:t>其他投资者</w:t>
      </w:r>
      <w:r w:rsidRPr="008564FF" w:rsidR="005C239D">
        <w:rPr>
          <w:rFonts w:asciiTheme="minorEastAsia" w:eastAsiaTheme="minorEastAsia" w:hAnsiTheme="minorEastAsia"/>
        </w:rPr>
        <w:t>）</w:t>
      </w:r>
      <w:r w:rsidRPr="008564FF">
        <w:rPr>
          <w:rFonts w:asciiTheme="minorEastAsia" w:eastAsiaTheme="minorEastAsia" w:hAnsiTheme="minorEastAsia" w:hint="eastAsia"/>
        </w:rPr>
        <w:t>在T日转出10,000份易方达行业领先</w:t>
      </w:r>
      <w:r w:rsidRPr="008564FF">
        <w:rPr>
          <w:rFonts w:asciiTheme="minorEastAsia" w:eastAsiaTheme="minorEastAsia" w:hAnsiTheme="minorEastAsia" w:hint="eastAsia"/>
          <w:iCs/>
        </w:rPr>
        <w:t>企业</w:t>
      </w:r>
      <w:r w:rsidRPr="008564FF" w:rsidR="00A85270">
        <w:rPr>
          <w:rFonts w:asciiTheme="minorEastAsia" w:eastAsiaTheme="minorEastAsia" w:hAnsiTheme="minorEastAsia" w:hint="eastAsia"/>
          <w:iCs/>
        </w:rPr>
        <w:t>混合</w:t>
      </w:r>
      <w:r w:rsidRPr="008564FF">
        <w:rPr>
          <w:rFonts w:asciiTheme="minorEastAsia" w:eastAsiaTheme="minorEastAsia" w:hAnsiTheme="minorEastAsia" w:hint="eastAsia"/>
          <w:iCs/>
        </w:rPr>
        <w:t>型</w:t>
      </w:r>
      <w:r w:rsidRPr="008564FF">
        <w:rPr>
          <w:rFonts w:asciiTheme="minorEastAsia" w:eastAsiaTheme="minorEastAsia" w:hAnsiTheme="minorEastAsia" w:hint="eastAsia"/>
        </w:rPr>
        <w:t>基金至易方达策略成长二号混合型基金份额，转出基金T日的基金份额净值为1.100元，转入易方达策略成长二号混合型基金T日的基金份额净值为1.020元，假设该转出基金的赎回费率为0.5%，申购补差费率为0.5%，则可获得转入基金的易方达策略成长二号混合型基金基金份额计算如下：</w:t>
      </w:r>
    </w:p>
    <w:p w:rsidR="003A3487" w:rsidRPr="008564FF" w:rsidP="004549E4">
      <w:pPr>
        <w:snapToGrid w:val="0"/>
        <w:spacing w:line="360" w:lineRule="auto"/>
        <w:ind w:firstLine="420"/>
        <w:rPr>
          <w:rFonts w:asciiTheme="minorEastAsia" w:eastAsiaTheme="minorEastAsia" w:hAnsiTheme="minorEastAsia"/>
          <w:szCs w:val="20"/>
        </w:rPr>
      </w:pPr>
      <w:r w:rsidRPr="008564FF">
        <w:rPr>
          <w:rFonts w:asciiTheme="minorEastAsia" w:eastAsiaTheme="minorEastAsia" w:hAnsiTheme="minorEastAsia" w:hint="eastAsia"/>
          <w:szCs w:val="20"/>
        </w:rPr>
        <w:t>转换金额＝转出基金申请份额×转出基金份额净值=10,000×1.100＝11,000.00元</w:t>
      </w:r>
    </w:p>
    <w:p w:rsidR="003A3487" w:rsidRPr="008564FF" w:rsidP="004549E4">
      <w:pPr>
        <w:snapToGrid w:val="0"/>
        <w:spacing w:line="360" w:lineRule="auto"/>
        <w:ind w:firstLine="420"/>
        <w:rPr>
          <w:rFonts w:asciiTheme="minorEastAsia" w:eastAsiaTheme="minorEastAsia" w:hAnsiTheme="minorEastAsia"/>
          <w:szCs w:val="20"/>
        </w:rPr>
      </w:pPr>
      <w:r w:rsidRPr="008564FF">
        <w:rPr>
          <w:rFonts w:asciiTheme="minorEastAsia" w:eastAsiaTheme="minorEastAsia" w:hAnsiTheme="minorEastAsia" w:hint="eastAsia"/>
          <w:szCs w:val="20"/>
        </w:rPr>
        <w:t>转出基金赎回费＝转换金额×转出基金赎回费率=11,000.00×0.5%=55.00元</w:t>
      </w:r>
    </w:p>
    <w:p w:rsidR="003A3487" w:rsidRPr="008564FF" w:rsidP="004549E4">
      <w:pPr>
        <w:snapToGrid w:val="0"/>
        <w:spacing w:line="360" w:lineRule="auto"/>
        <w:ind w:firstLine="420"/>
        <w:rPr>
          <w:rFonts w:asciiTheme="minorEastAsia" w:eastAsiaTheme="minorEastAsia" w:hAnsiTheme="minorEastAsia"/>
          <w:szCs w:val="20"/>
        </w:rPr>
      </w:pPr>
      <w:r w:rsidRPr="008564FF">
        <w:rPr>
          <w:rFonts w:asciiTheme="minorEastAsia" w:eastAsiaTheme="minorEastAsia" w:hAnsiTheme="minorEastAsia" w:hint="eastAsia"/>
          <w:szCs w:val="20"/>
        </w:rPr>
        <w:t>申购补差费=（转换金额—转出基金赎回费）×申购补差费率÷（１＋申购补差费率）=（11,000.00-55.00）×0.</w:t>
      </w:r>
      <w:r w:rsidRPr="008564FF">
        <w:rPr>
          <w:rFonts w:asciiTheme="minorEastAsia" w:eastAsiaTheme="minorEastAsia" w:hAnsiTheme="minorEastAsia" w:hint="eastAsia"/>
        </w:rPr>
        <w:t>5</w:t>
      </w:r>
      <w:r w:rsidRPr="008564FF">
        <w:rPr>
          <w:rFonts w:asciiTheme="minorEastAsia" w:eastAsiaTheme="minorEastAsia" w:hAnsiTheme="minorEastAsia" w:hint="eastAsia"/>
          <w:szCs w:val="20"/>
        </w:rPr>
        <w:t>%÷(1+0.</w:t>
      </w:r>
      <w:r w:rsidRPr="008564FF">
        <w:rPr>
          <w:rFonts w:asciiTheme="minorEastAsia" w:eastAsiaTheme="minorEastAsia" w:hAnsiTheme="minorEastAsia" w:hint="eastAsia"/>
        </w:rPr>
        <w:t>5</w:t>
      </w:r>
      <w:r w:rsidRPr="008564FF">
        <w:rPr>
          <w:rFonts w:asciiTheme="minorEastAsia" w:eastAsiaTheme="minorEastAsia" w:hAnsiTheme="minorEastAsia" w:hint="eastAsia"/>
          <w:szCs w:val="20"/>
        </w:rPr>
        <w:t>%)=</w:t>
      </w:r>
      <w:r w:rsidRPr="008564FF">
        <w:rPr>
          <w:rFonts w:asciiTheme="minorEastAsia" w:eastAsiaTheme="minorEastAsia" w:hAnsiTheme="minorEastAsia" w:hint="eastAsia"/>
        </w:rPr>
        <w:t>54.45</w:t>
      </w:r>
      <w:r w:rsidRPr="008564FF">
        <w:rPr>
          <w:rFonts w:asciiTheme="minorEastAsia" w:eastAsiaTheme="minorEastAsia" w:hAnsiTheme="minorEastAsia" w:hint="eastAsia"/>
          <w:szCs w:val="20"/>
        </w:rPr>
        <w:t>元</w:t>
      </w:r>
    </w:p>
    <w:p w:rsidR="003A3487" w:rsidRPr="008564FF" w:rsidP="004549E4">
      <w:pPr>
        <w:snapToGrid w:val="0"/>
        <w:spacing w:line="360" w:lineRule="auto"/>
        <w:ind w:firstLine="420"/>
        <w:rPr>
          <w:rFonts w:asciiTheme="minorEastAsia" w:eastAsiaTheme="minorEastAsia" w:hAnsiTheme="minorEastAsia"/>
          <w:szCs w:val="20"/>
        </w:rPr>
      </w:pPr>
      <w:r w:rsidRPr="008564FF">
        <w:rPr>
          <w:rFonts w:asciiTheme="minorEastAsia" w:eastAsiaTheme="minorEastAsia" w:hAnsiTheme="minorEastAsia" w:hint="eastAsia"/>
          <w:szCs w:val="20"/>
        </w:rPr>
        <w:t>转换费＝转出基金赎回费+申购补差费=55.00+</w:t>
      </w:r>
      <w:r w:rsidRPr="008564FF">
        <w:rPr>
          <w:rFonts w:asciiTheme="minorEastAsia" w:eastAsiaTheme="minorEastAsia" w:hAnsiTheme="minorEastAsia" w:hint="eastAsia"/>
        </w:rPr>
        <w:t>54.45</w:t>
      </w:r>
      <w:r w:rsidRPr="008564FF">
        <w:rPr>
          <w:rFonts w:asciiTheme="minorEastAsia" w:eastAsiaTheme="minorEastAsia" w:hAnsiTheme="minorEastAsia" w:hint="eastAsia"/>
          <w:szCs w:val="20"/>
        </w:rPr>
        <w:t>＝</w:t>
      </w:r>
      <w:r w:rsidRPr="008564FF">
        <w:rPr>
          <w:rFonts w:asciiTheme="minorEastAsia" w:eastAsiaTheme="minorEastAsia" w:hAnsiTheme="minorEastAsia" w:hint="eastAsia"/>
        </w:rPr>
        <w:t>109.45</w:t>
      </w:r>
      <w:r w:rsidRPr="008564FF">
        <w:rPr>
          <w:rFonts w:asciiTheme="minorEastAsia" w:eastAsiaTheme="minorEastAsia" w:hAnsiTheme="minorEastAsia" w:hint="eastAsia"/>
          <w:szCs w:val="20"/>
        </w:rPr>
        <w:t>元</w:t>
      </w:r>
    </w:p>
    <w:p w:rsidR="003A3487" w:rsidRPr="008564FF" w:rsidP="004549E4">
      <w:pPr>
        <w:snapToGrid w:val="0"/>
        <w:spacing w:line="360" w:lineRule="auto"/>
        <w:ind w:firstLine="420"/>
        <w:rPr>
          <w:rFonts w:asciiTheme="minorEastAsia" w:eastAsiaTheme="minorEastAsia" w:hAnsiTheme="minorEastAsia"/>
          <w:szCs w:val="20"/>
        </w:rPr>
      </w:pPr>
      <w:r w:rsidRPr="008564FF">
        <w:rPr>
          <w:rFonts w:asciiTheme="minorEastAsia" w:eastAsiaTheme="minorEastAsia" w:hAnsiTheme="minorEastAsia" w:hint="eastAsia"/>
          <w:szCs w:val="20"/>
        </w:rPr>
        <w:t>转入金额=转换金额—转换费=11</w:t>
      </w:r>
      <w:r w:rsidRPr="008564FF">
        <w:rPr>
          <w:rFonts w:asciiTheme="minorEastAsia" w:eastAsiaTheme="minorEastAsia" w:hAnsiTheme="minorEastAsia" w:hint="eastAsia"/>
        </w:rPr>
        <w:t>,</w:t>
      </w:r>
      <w:r w:rsidRPr="008564FF">
        <w:rPr>
          <w:rFonts w:asciiTheme="minorEastAsia" w:eastAsiaTheme="minorEastAsia" w:hAnsiTheme="minorEastAsia" w:hint="eastAsia"/>
          <w:szCs w:val="20"/>
        </w:rPr>
        <w:t>000.00</w:t>
      </w:r>
      <w:r w:rsidRPr="008564FF">
        <w:rPr>
          <w:rFonts w:asciiTheme="minorEastAsia" w:eastAsiaTheme="minorEastAsia" w:hAnsiTheme="minorEastAsia" w:hint="eastAsia"/>
        </w:rPr>
        <w:t>-109.45</w:t>
      </w:r>
      <w:r w:rsidRPr="008564FF">
        <w:rPr>
          <w:rFonts w:asciiTheme="minorEastAsia" w:eastAsiaTheme="minorEastAsia" w:hAnsiTheme="minorEastAsia" w:hint="eastAsia"/>
          <w:szCs w:val="20"/>
        </w:rPr>
        <w:t>=10,8</w:t>
      </w:r>
      <w:r w:rsidRPr="008564FF">
        <w:rPr>
          <w:rFonts w:asciiTheme="minorEastAsia" w:eastAsiaTheme="minorEastAsia" w:hAnsiTheme="minorEastAsia" w:hint="eastAsia"/>
        </w:rPr>
        <w:t>90</w:t>
      </w:r>
      <w:r w:rsidRPr="008564FF">
        <w:rPr>
          <w:rFonts w:asciiTheme="minorEastAsia" w:eastAsiaTheme="minorEastAsia" w:hAnsiTheme="minorEastAsia" w:hint="eastAsia"/>
          <w:szCs w:val="20"/>
        </w:rPr>
        <w:t>.</w:t>
      </w:r>
      <w:r w:rsidRPr="008564FF">
        <w:rPr>
          <w:rFonts w:asciiTheme="minorEastAsia" w:eastAsiaTheme="minorEastAsia" w:hAnsiTheme="minorEastAsia" w:hint="eastAsia"/>
        </w:rPr>
        <w:t>55</w:t>
      </w:r>
      <w:r w:rsidRPr="008564FF">
        <w:rPr>
          <w:rFonts w:asciiTheme="minorEastAsia" w:eastAsiaTheme="minorEastAsia" w:hAnsiTheme="minorEastAsia" w:hint="eastAsia"/>
          <w:szCs w:val="20"/>
        </w:rPr>
        <w:t>元</w:t>
      </w:r>
    </w:p>
    <w:p w:rsidR="003A3487" w:rsidRPr="008564FF" w:rsidP="004549E4">
      <w:pPr>
        <w:snapToGrid w:val="0"/>
        <w:spacing w:line="360" w:lineRule="auto"/>
        <w:ind w:firstLine="420"/>
        <w:rPr>
          <w:rFonts w:asciiTheme="minorEastAsia" w:eastAsiaTheme="minorEastAsia" w:hAnsiTheme="minorEastAsia"/>
          <w:szCs w:val="20"/>
        </w:rPr>
      </w:pPr>
      <w:r w:rsidRPr="008564FF">
        <w:rPr>
          <w:rFonts w:asciiTheme="minorEastAsia" w:eastAsiaTheme="minorEastAsia" w:hAnsiTheme="minorEastAsia" w:hint="eastAsia"/>
          <w:szCs w:val="20"/>
        </w:rPr>
        <w:t>转入份额=转入金额÷转入基金份额净值=10,8</w:t>
      </w:r>
      <w:r w:rsidRPr="008564FF">
        <w:rPr>
          <w:rFonts w:asciiTheme="minorEastAsia" w:eastAsiaTheme="minorEastAsia" w:hAnsiTheme="minorEastAsia" w:hint="eastAsia"/>
        </w:rPr>
        <w:t>90</w:t>
      </w:r>
      <w:r w:rsidRPr="008564FF">
        <w:rPr>
          <w:rFonts w:asciiTheme="minorEastAsia" w:eastAsiaTheme="minorEastAsia" w:hAnsiTheme="minorEastAsia" w:hint="eastAsia"/>
          <w:szCs w:val="20"/>
        </w:rPr>
        <w:t>.</w:t>
      </w:r>
      <w:r w:rsidRPr="008564FF">
        <w:rPr>
          <w:rFonts w:asciiTheme="minorEastAsia" w:eastAsiaTheme="minorEastAsia" w:hAnsiTheme="minorEastAsia" w:hint="eastAsia"/>
        </w:rPr>
        <w:t>55</w:t>
      </w:r>
      <w:r w:rsidRPr="008564FF">
        <w:rPr>
          <w:rFonts w:asciiTheme="minorEastAsia" w:eastAsiaTheme="minorEastAsia" w:hAnsiTheme="minorEastAsia" w:hint="eastAsia"/>
          <w:szCs w:val="20"/>
        </w:rPr>
        <w:t>÷1.020=10,6</w:t>
      </w:r>
      <w:r w:rsidRPr="008564FF">
        <w:rPr>
          <w:rFonts w:asciiTheme="minorEastAsia" w:eastAsiaTheme="minorEastAsia" w:hAnsiTheme="minorEastAsia" w:hint="eastAsia"/>
        </w:rPr>
        <w:t>77</w:t>
      </w:r>
      <w:r w:rsidRPr="008564FF">
        <w:rPr>
          <w:rFonts w:asciiTheme="minorEastAsia" w:eastAsiaTheme="minorEastAsia" w:hAnsiTheme="minorEastAsia" w:hint="eastAsia"/>
          <w:szCs w:val="20"/>
        </w:rPr>
        <w:t>.</w:t>
      </w:r>
      <w:r w:rsidRPr="008564FF">
        <w:rPr>
          <w:rFonts w:asciiTheme="minorEastAsia" w:eastAsiaTheme="minorEastAsia" w:hAnsiTheme="minorEastAsia" w:hint="eastAsia"/>
        </w:rPr>
        <w:t>01</w:t>
      </w:r>
      <w:r w:rsidRPr="008564FF">
        <w:rPr>
          <w:rFonts w:asciiTheme="minorEastAsia" w:eastAsiaTheme="minorEastAsia" w:hAnsiTheme="minorEastAsia" w:hint="eastAsia"/>
          <w:szCs w:val="20"/>
        </w:rPr>
        <w:t>份</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900"/>
        <w:gridCol w:w="1440"/>
        <w:gridCol w:w="1260"/>
        <w:gridCol w:w="1080"/>
        <w:gridCol w:w="1440"/>
        <w:gridCol w:w="1185"/>
        <w:gridCol w:w="1335"/>
      </w:tblGrid>
      <w:tr w:rsidTr="00574CDF">
        <w:tblPrEx>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413"/>
        </w:trPr>
        <w:tc>
          <w:tcPr>
            <w:tcW w:w="1080" w:type="dxa"/>
            <w:vMerge w:val="restart"/>
            <w:tcBorders>
              <w:top w:val="single" w:sz="4" w:space="0" w:color="auto"/>
              <w:left w:val="single" w:sz="4" w:space="0" w:color="auto"/>
              <w:bottom w:val="single" w:sz="4" w:space="0" w:color="auto"/>
              <w:right w:val="single" w:sz="4" w:space="0" w:color="auto"/>
            </w:tcBorders>
          </w:tcPr>
          <w:p w:rsidR="003A3487" w:rsidRPr="008564FF" w:rsidP="004549E4">
            <w:pPr>
              <w:snapToGrid w:val="0"/>
              <w:spacing w:line="360" w:lineRule="auto"/>
              <w:ind w:left="-94" w:right="-120" w:leftChars="-45" w:rightChars="-57"/>
              <w:jc w:val="center"/>
              <w:rPr>
                <w:rFonts w:asciiTheme="minorEastAsia" w:eastAsiaTheme="minorEastAsia" w:hAnsiTheme="minorEastAsia"/>
                <w:szCs w:val="20"/>
              </w:rPr>
            </w:pPr>
            <w:r w:rsidRPr="008564FF">
              <w:rPr>
                <w:rFonts w:asciiTheme="minorEastAsia" w:eastAsiaTheme="minorEastAsia" w:hAnsiTheme="minorEastAsia" w:hint="eastAsia"/>
                <w:szCs w:val="20"/>
              </w:rPr>
              <w:t>转出份额</w:t>
            </w:r>
          </w:p>
        </w:tc>
        <w:tc>
          <w:tcPr>
            <w:tcW w:w="900" w:type="dxa"/>
            <w:vMerge w:val="restart"/>
            <w:tcBorders>
              <w:top w:val="single" w:sz="4" w:space="0" w:color="auto"/>
              <w:left w:val="single" w:sz="4" w:space="0" w:color="auto"/>
              <w:bottom w:val="single" w:sz="4" w:space="0" w:color="auto"/>
              <w:right w:val="single" w:sz="4" w:space="0" w:color="auto"/>
            </w:tcBorders>
          </w:tcPr>
          <w:p w:rsidR="003A3487" w:rsidRPr="008564FF" w:rsidP="004549E4">
            <w:pPr>
              <w:snapToGrid w:val="0"/>
              <w:spacing w:line="360" w:lineRule="auto"/>
              <w:ind w:left="-94" w:right="-120" w:leftChars="-45" w:rightChars="-57"/>
              <w:jc w:val="center"/>
              <w:rPr>
                <w:rFonts w:asciiTheme="minorEastAsia" w:eastAsiaTheme="minorEastAsia" w:hAnsiTheme="minorEastAsia"/>
                <w:szCs w:val="20"/>
              </w:rPr>
            </w:pPr>
            <w:r w:rsidRPr="008564FF">
              <w:rPr>
                <w:rFonts w:asciiTheme="minorEastAsia" w:eastAsiaTheme="minorEastAsia" w:hAnsiTheme="minorEastAsia" w:hint="eastAsia"/>
                <w:szCs w:val="20"/>
              </w:rPr>
              <w:t>转出基金份额净值</w:t>
            </w:r>
          </w:p>
        </w:tc>
        <w:tc>
          <w:tcPr>
            <w:tcW w:w="1440" w:type="dxa"/>
            <w:vMerge w:val="restart"/>
            <w:tcBorders>
              <w:top w:val="single" w:sz="4" w:space="0" w:color="auto"/>
              <w:left w:val="single" w:sz="4" w:space="0" w:color="auto"/>
              <w:bottom w:val="single" w:sz="4" w:space="0" w:color="auto"/>
              <w:right w:val="single" w:sz="4" w:space="0" w:color="auto"/>
            </w:tcBorders>
          </w:tcPr>
          <w:p w:rsidR="003A3487" w:rsidRPr="008564FF" w:rsidP="004549E4">
            <w:pPr>
              <w:snapToGrid w:val="0"/>
              <w:spacing w:line="360" w:lineRule="auto"/>
              <w:ind w:left="-94" w:right="-120" w:leftChars="-45" w:rightChars="-57"/>
              <w:jc w:val="center"/>
              <w:rPr>
                <w:rFonts w:asciiTheme="minorEastAsia" w:eastAsiaTheme="minorEastAsia" w:hAnsiTheme="minorEastAsia"/>
                <w:szCs w:val="20"/>
              </w:rPr>
            </w:pPr>
            <w:r w:rsidRPr="008564FF">
              <w:rPr>
                <w:rFonts w:asciiTheme="minorEastAsia" w:eastAsiaTheme="minorEastAsia" w:hAnsiTheme="minorEastAsia" w:hint="eastAsia"/>
                <w:szCs w:val="20"/>
              </w:rPr>
              <w:t>转换金额</w:t>
            </w:r>
          </w:p>
        </w:tc>
        <w:tc>
          <w:tcPr>
            <w:tcW w:w="2340" w:type="dxa"/>
            <w:gridSpan w:val="2"/>
            <w:tcBorders>
              <w:top w:val="single" w:sz="4" w:space="0" w:color="auto"/>
              <w:left w:val="single" w:sz="4" w:space="0" w:color="auto"/>
              <w:bottom w:val="single" w:sz="4" w:space="0" w:color="auto"/>
              <w:right w:val="single" w:sz="4" w:space="0" w:color="auto"/>
            </w:tcBorders>
          </w:tcPr>
          <w:p w:rsidR="003A3487" w:rsidRPr="008564FF" w:rsidP="004549E4">
            <w:pPr>
              <w:snapToGrid w:val="0"/>
              <w:spacing w:line="360" w:lineRule="auto"/>
              <w:ind w:left="-94" w:right="-120" w:leftChars="-45" w:rightChars="-57"/>
              <w:jc w:val="center"/>
              <w:rPr>
                <w:rFonts w:asciiTheme="minorEastAsia" w:eastAsiaTheme="minorEastAsia" w:hAnsiTheme="minorEastAsia"/>
                <w:szCs w:val="20"/>
              </w:rPr>
            </w:pPr>
            <w:r w:rsidRPr="008564FF">
              <w:rPr>
                <w:rFonts w:asciiTheme="minorEastAsia" w:eastAsiaTheme="minorEastAsia" w:hAnsiTheme="minorEastAsia" w:hint="eastAsia"/>
                <w:szCs w:val="20"/>
              </w:rPr>
              <w:t>转换费</w:t>
            </w:r>
          </w:p>
        </w:tc>
        <w:tc>
          <w:tcPr>
            <w:tcW w:w="1440" w:type="dxa"/>
            <w:vMerge w:val="restart"/>
            <w:tcBorders>
              <w:top w:val="single" w:sz="4" w:space="0" w:color="auto"/>
              <w:left w:val="single" w:sz="4" w:space="0" w:color="auto"/>
              <w:bottom w:val="single" w:sz="4" w:space="0" w:color="auto"/>
              <w:right w:val="single" w:sz="4" w:space="0" w:color="auto"/>
            </w:tcBorders>
          </w:tcPr>
          <w:p w:rsidR="003A3487" w:rsidRPr="008564FF" w:rsidP="004549E4">
            <w:pPr>
              <w:snapToGrid w:val="0"/>
              <w:spacing w:line="360" w:lineRule="auto"/>
              <w:ind w:left="-94" w:right="-120" w:leftChars="-45" w:rightChars="-57"/>
              <w:jc w:val="center"/>
              <w:rPr>
                <w:rFonts w:asciiTheme="minorEastAsia" w:eastAsiaTheme="minorEastAsia" w:hAnsiTheme="minorEastAsia"/>
                <w:szCs w:val="20"/>
              </w:rPr>
            </w:pPr>
            <w:r w:rsidRPr="008564FF">
              <w:rPr>
                <w:rFonts w:asciiTheme="minorEastAsia" w:eastAsiaTheme="minorEastAsia" w:hAnsiTheme="minorEastAsia" w:hint="eastAsia"/>
                <w:szCs w:val="20"/>
              </w:rPr>
              <w:t>转入金额</w:t>
            </w:r>
          </w:p>
        </w:tc>
        <w:tc>
          <w:tcPr>
            <w:tcW w:w="1185" w:type="dxa"/>
            <w:vMerge w:val="restart"/>
            <w:tcBorders>
              <w:top w:val="single" w:sz="4" w:space="0" w:color="auto"/>
              <w:left w:val="single" w:sz="4" w:space="0" w:color="auto"/>
              <w:bottom w:val="single" w:sz="4" w:space="0" w:color="auto"/>
              <w:right w:val="single" w:sz="4" w:space="0" w:color="auto"/>
            </w:tcBorders>
          </w:tcPr>
          <w:p w:rsidR="003A3487" w:rsidRPr="008564FF" w:rsidP="004549E4">
            <w:pPr>
              <w:snapToGrid w:val="0"/>
              <w:spacing w:line="360" w:lineRule="auto"/>
              <w:ind w:left="-94" w:right="-120" w:leftChars="-45" w:rightChars="-57"/>
              <w:jc w:val="center"/>
              <w:rPr>
                <w:rFonts w:asciiTheme="minorEastAsia" w:eastAsiaTheme="minorEastAsia" w:hAnsiTheme="minorEastAsia"/>
                <w:szCs w:val="20"/>
              </w:rPr>
            </w:pPr>
            <w:r w:rsidRPr="008564FF">
              <w:rPr>
                <w:rFonts w:asciiTheme="minorEastAsia" w:eastAsiaTheme="minorEastAsia" w:hAnsiTheme="minorEastAsia" w:hint="eastAsia"/>
                <w:szCs w:val="20"/>
              </w:rPr>
              <w:t>转入基金份额净值</w:t>
            </w:r>
          </w:p>
        </w:tc>
        <w:tc>
          <w:tcPr>
            <w:tcW w:w="1335" w:type="dxa"/>
            <w:vMerge w:val="restart"/>
            <w:tcBorders>
              <w:top w:val="single" w:sz="4" w:space="0" w:color="auto"/>
              <w:left w:val="single" w:sz="4" w:space="0" w:color="auto"/>
              <w:bottom w:val="single" w:sz="4" w:space="0" w:color="auto"/>
              <w:right w:val="single" w:sz="4" w:space="0" w:color="auto"/>
            </w:tcBorders>
          </w:tcPr>
          <w:p w:rsidR="003A3487" w:rsidRPr="008564FF" w:rsidP="004549E4">
            <w:pPr>
              <w:snapToGrid w:val="0"/>
              <w:spacing w:line="360" w:lineRule="auto"/>
              <w:ind w:left="-94" w:right="-120" w:leftChars="-45" w:rightChars="-57"/>
              <w:jc w:val="center"/>
              <w:rPr>
                <w:rFonts w:asciiTheme="minorEastAsia" w:eastAsiaTheme="minorEastAsia" w:hAnsiTheme="minorEastAsia"/>
                <w:szCs w:val="20"/>
              </w:rPr>
            </w:pPr>
            <w:r w:rsidRPr="008564FF">
              <w:rPr>
                <w:rFonts w:asciiTheme="minorEastAsia" w:eastAsiaTheme="minorEastAsia" w:hAnsiTheme="minorEastAsia" w:hint="eastAsia"/>
                <w:szCs w:val="20"/>
              </w:rPr>
              <w:t>转入份额</w:t>
            </w:r>
          </w:p>
        </w:tc>
      </w:tr>
      <w:tr w:rsidTr="00574CDF">
        <w:tblPrEx>
          <w:tblW w:w="9720" w:type="dxa"/>
          <w:tblLayout w:type="fixed"/>
          <w:tblLook w:val="04A0"/>
        </w:tblPrEx>
        <w:trPr>
          <w:trHeight w:val="412"/>
        </w:trPr>
        <w:tc>
          <w:tcPr>
            <w:tcW w:w="1080" w:type="dxa"/>
            <w:vMerge/>
            <w:tcBorders>
              <w:top w:val="single" w:sz="4" w:space="0" w:color="auto"/>
              <w:left w:val="single" w:sz="4" w:space="0" w:color="auto"/>
              <w:bottom w:val="single" w:sz="4" w:space="0" w:color="auto"/>
              <w:right w:val="single" w:sz="4" w:space="0" w:color="auto"/>
            </w:tcBorders>
            <w:vAlign w:val="center"/>
          </w:tcPr>
          <w:p w:rsidR="003A3487" w:rsidRPr="008564FF" w:rsidP="004549E4">
            <w:pPr>
              <w:widowControl/>
              <w:snapToGrid w:val="0"/>
              <w:spacing w:line="360" w:lineRule="auto"/>
              <w:jc w:val="left"/>
              <w:rPr>
                <w:rFonts w:asciiTheme="minorEastAsia" w:eastAsiaTheme="minorEastAsia" w:hAnsiTheme="minorEastAsia"/>
                <w:szCs w:val="20"/>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3A3487" w:rsidRPr="008564FF" w:rsidP="004549E4">
            <w:pPr>
              <w:widowControl/>
              <w:snapToGrid w:val="0"/>
              <w:spacing w:line="360" w:lineRule="auto"/>
              <w:jc w:val="left"/>
              <w:rPr>
                <w:rFonts w:asciiTheme="minorEastAsia" w:eastAsiaTheme="minorEastAsia" w:hAnsiTheme="minorEastAsia"/>
                <w:szCs w:val="2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3A3487" w:rsidRPr="008564FF" w:rsidP="004549E4">
            <w:pPr>
              <w:widowControl/>
              <w:snapToGrid w:val="0"/>
              <w:spacing w:line="360" w:lineRule="auto"/>
              <w:jc w:val="left"/>
              <w:rPr>
                <w:rFonts w:asciiTheme="minorEastAsia" w:eastAsiaTheme="minorEastAsia" w:hAnsiTheme="minorEastAsia"/>
                <w:szCs w:val="20"/>
              </w:rPr>
            </w:pPr>
          </w:p>
        </w:tc>
        <w:tc>
          <w:tcPr>
            <w:tcW w:w="1260" w:type="dxa"/>
            <w:tcBorders>
              <w:top w:val="single" w:sz="4" w:space="0" w:color="auto"/>
              <w:left w:val="single" w:sz="4" w:space="0" w:color="auto"/>
              <w:bottom w:val="single" w:sz="4" w:space="0" w:color="auto"/>
              <w:right w:val="single" w:sz="4" w:space="0" w:color="auto"/>
            </w:tcBorders>
          </w:tcPr>
          <w:p w:rsidR="003A3487" w:rsidRPr="008564FF" w:rsidP="004549E4">
            <w:pPr>
              <w:snapToGrid w:val="0"/>
              <w:spacing w:line="360" w:lineRule="auto"/>
              <w:ind w:left="-94" w:right="-120" w:leftChars="-45" w:rightChars="-57"/>
              <w:jc w:val="center"/>
              <w:rPr>
                <w:rFonts w:asciiTheme="minorEastAsia" w:eastAsiaTheme="minorEastAsia" w:hAnsiTheme="minorEastAsia"/>
                <w:szCs w:val="20"/>
              </w:rPr>
            </w:pPr>
            <w:r w:rsidRPr="008564FF">
              <w:rPr>
                <w:rFonts w:asciiTheme="minorEastAsia" w:eastAsiaTheme="minorEastAsia" w:hAnsiTheme="minorEastAsia" w:hint="eastAsia"/>
                <w:szCs w:val="20"/>
              </w:rPr>
              <w:t>转出基金赎回费</w:t>
            </w:r>
          </w:p>
        </w:tc>
        <w:tc>
          <w:tcPr>
            <w:tcW w:w="1080" w:type="dxa"/>
            <w:tcBorders>
              <w:top w:val="single" w:sz="4" w:space="0" w:color="auto"/>
              <w:left w:val="single" w:sz="4" w:space="0" w:color="auto"/>
              <w:bottom w:val="single" w:sz="4" w:space="0" w:color="auto"/>
              <w:right w:val="single" w:sz="4" w:space="0" w:color="auto"/>
            </w:tcBorders>
          </w:tcPr>
          <w:p w:rsidR="003A3487" w:rsidRPr="008564FF" w:rsidP="004549E4">
            <w:pPr>
              <w:snapToGrid w:val="0"/>
              <w:spacing w:line="360" w:lineRule="auto"/>
              <w:ind w:left="-94" w:right="-120" w:leftChars="-45" w:rightChars="-57"/>
              <w:jc w:val="center"/>
              <w:rPr>
                <w:rFonts w:asciiTheme="minorEastAsia" w:eastAsiaTheme="minorEastAsia" w:hAnsiTheme="minorEastAsia"/>
                <w:szCs w:val="20"/>
              </w:rPr>
            </w:pPr>
            <w:r w:rsidRPr="008564FF">
              <w:rPr>
                <w:rFonts w:asciiTheme="minorEastAsia" w:eastAsiaTheme="minorEastAsia" w:hAnsiTheme="minorEastAsia" w:hint="eastAsia"/>
                <w:szCs w:val="20"/>
              </w:rPr>
              <w:t>申购补差费</w:t>
            </w:r>
          </w:p>
        </w:tc>
        <w:tc>
          <w:tcPr>
            <w:tcW w:w="1440" w:type="dxa"/>
            <w:vMerge/>
            <w:tcBorders>
              <w:top w:val="single" w:sz="4" w:space="0" w:color="auto"/>
              <w:left w:val="single" w:sz="4" w:space="0" w:color="auto"/>
              <w:bottom w:val="single" w:sz="4" w:space="0" w:color="auto"/>
              <w:right w:val="single" w:sz="4" w:space="0" w:color="auto"/>
            </w:tcBorders>
            <w:vAlign w:val="center"/>
          </w:tcPr>
          <w:p w:rsidR="003A3487" w:rsidRPr="008564FF" w:rsidP="004549E4">
            <w:pPr>
              <w:widowControl/>
              <w:snapToGrid w:val="0"/>
              <w:spacing w:line="360" w:lineRule="auto"/>
              <w:jc w:val="left"/>
              <w:rPr>
                <w:rFonts w:asciiTheme="minorEastAsia" w:eastAsiaTheme="minorEastAsia" w:hAnsiTheme="minorEastAsia"/>
                <w:szCs w:val="20"/>
              </w:rPr>
            </w:pPr>
          </w:p>
        </w:tc>
        <w:tc>
          <w:tcPr>
            <w:tcW w:w="1185" w:type="dxa"/>
            <w:vMerge/>
            <w:tcBorders>
              <w:top w:val="single" w:sz="4" w:space="0" w:color="auto"/>
              <w:left w:val="single" w:sz="4" w:space="0" w:color="auto"/>
              <w:bottom w:val="single" w:sz="4" w:space="0" w:color="auto"/>
              <w:right w:val="single" w:sz="4" w:space="0" w:color="auto"/>
            </w:tcBorders>
            <w:vAlign w:val="center"/>
          </w:tcPr>
          <w:p w:rsidR="003A3487" w:rsidRPr="008564FF" w:rsidP="004549E4">
            <w:pPr>
              <w:widowControl/>
              <w:snapToGrid w:val="0"/>
              <w:spacing w:line="360" w:lineRule="auto"/>
              <w:jc w:val="left"/>
              <w:rPr>
                <w:rFonts w:asciiTheme="minorEastAsia" w:eastAsiaTheme="minorEastAsia" w:hAnsiTheme="minorEastAsia"/>
                <w:szCs w:val="20"/>
              </w:rPr>
            </w:pPr>
          </w:p>
        </w:tc>
        <w:tc>
          <w:tcPr>
            <w:tcW w:w="1335" w:type="dxa"/>
            <w:vMerge/>
            <w:tcBorders>
              <w:top w:val="single" w:sz="4" w:space="0" w:color="auto"/>
              <w:left w:val="single" w:sz="4" w:space="0" w:color="auto"/>
              <w:bottom w:val="single" w:sz="4" w:space="0" w:color="auto"/>
              <w:right w:val="single" w:sz="4" w:space="0" w:color="auto"/>
            </w:tcBorders>
            <w:vAlign w:val="center"/>
          </w:tcPr>
          <w:p w:rsidR="003A3487" w:rsidRPr="008564FF" w:rsidP="004549E4">
            <w:pPr>
              <w:widowControl/>
              <w:snapToGrid w:val="0"/>
              <w:spacing w:line="360" w:lineRule="auto"/>
              <w:jc w:val="left"/>
              <w:rPr>
                <w:rFonts w:asciiTheme="minorEastAsia" w:eastAsiaTheme="minorEastAsia" w:hAnsiTheme="minorEastAsia"/>
                <w:szCs w:val="20"/>
              </w:rPr>
            </w:pPr>
          </w:p>
        </w:tc>
      </w:tr>
      <w:tr w:rsidTr="00574CDF">
        <w:tblPrEx>
          <w:tblW w:w="9720" w:type="dxa"/>
          <w:tblLayout w:type="fixed"/>
          <w:tblLook w:val="04A0"/>
        </w:tblPrEx>
        <w:tc>
          <w:tcPr>
            <w:tcW w:w="1080" w:type="dxa"/>
            <w:tcBorders>
              <w:top w:val="single" w:sz="4" w:space="0" w:color="auto"/>
              <w:left w:val="single" w:sz="4" w:space="0" w:color="auto"/>
              <w:bottom w:val="single" w:sz="4" w:space="0" w:color="auto"/>
              <w:right w:val="single" w:sz="4" w:space="0" w:color="auto"/>
            </w:tcBorders>
          </w:tcPr>
          <w:p w:rsidR="003A3487" w:rsidRPr="008564FF" w:rsidP="004549E4">
            <w:pPr>
              <w:snapToGrid w:val="0"/>
              <w:spacing w:line="360" w:lineRule="auto"/>
              <w:ind w:left="-94" w:right="-120" w:leftChars="-45" w:rightChars="-57"/>
              <w:jc w:val="center"/>
              <w:rPr>
                <w:rFonts w:asciiTheme="minorEastAsia" w:eastAsiaTheme="minorEastAsia" w:hAnsiTheme="minorEastAsia"/>
                <w:szCs w:val="20"/>
              </w:rPr>
            </w:pPr>
            <w:r w:rsidRPr="008564FF">
              <w:rPr>
                <w:rFonts w:asciiTheme="minorEastAsia" w:eastAsiaTheme="minorEastAsia" w:hAnsiTheme="minorEastAsia" w:hint="eastAsia"/>
                <w:szCs w:val="20"/>
              </w:rPr>
              <w:t>10,000份</w:t>
            </w:r>
          </w:p>
        </w:tc>
        <w:tc>
          <w:tcPr>
            <w:tcW w:w="900" w:type="dxa"/>
            <w:tcBorders>
              <w:top w:val="single" w:sz="4" w:space="0" w:color="auto"/>
              <w:left w:val="single" w:sz="4" w:space="0" w:color="auto"/>
              <w:bottom w:val="single" w:sz="4" w:space="0" w:color="auto"/>
              <w:right w:val="single" w:sz="4" w:space="0" w:color="auto"/>
            </w:tcBorders>
          </w:tcPr>
          <w:p w:rsidR="003A3487" w:rsidRPr="008564FF" w:rsidP="004549E4">
            <w:pPr>
              <w:snapToGrid w:val="0"/>
              <w:spacing w:line="360" w:lineRule="auto"/>
              <w:ind w:left="-94" w:right="-120" w:leftChars="-45" w:rightChars="-57"/>
              <w:jc w:val="center"/>
              <w:rPr>
                <w:rFonts w:asciiTheme="minorEastAsia" w:eastAsiaTheme="minorEastAsia" w:hAnsiTheme="minorEastAsia"/>
                <w:szCs w:val="20"/>
              </w:rPr>
            </w:pPr>
            <w:r w:rsidRPr="008564FF">
              <w:rPr>
                <w:rFonts w:asciiTheme="minorEastAsia" w:eastAsiaTheme="minorEastAsia" w:hAnsiTheme="minorEastAsia" w:hint="eastAsia"/>
                <w:szCs w:val="20"/>
              </w:rPr>
              <w:t>1.100元</w:t>
            </w:r>
          </w:p>
        </w:tc>
        <w:tc>
          <w:tcPr>
            <w:tcW w:w="1440" w:type="dxa"/>
            <w:tcBorders>
              <w:top w:val="single" w:sz="4" w:space="0" w:color="auto"/>
              <w:left w:val="single" w:sz="4" w:space="0" w:color="auto"/>
              <w:bottom w:val="single" w:sz="4" w:space="0" w:color="auto"/>
              <w:right w:val="single" w:sz="4" w:space="0" w:color="auto"/>
            </w:tcBorders>
          </w:tcPr>
          <w:p w:rsidR="003A3487" w:rsidRPr="008564FF" w:rsidP="004549E4">
            <w:pPr>
              <w:snapToGrid w:val="0"/>
              <w:spacing w:line="360" w:lineRule="auto"/>
              <w:ind w:left="-94" w:right="-120" w:leftChars="-45" w:rightChars="-57"/>
              <w:jc w:val="center"/>
              <w:rPr>
                <w:rFonts w:asciiTheme="minorEastAsia" w:eastAsiaTheme="minorEastAsia" w:hAnsiTheme="minorEastAsia"/>
                <w:szCs w:val="20"/>
              </w:rPr>
            </w:pPr>
            <w:r w:rsidRPr="008564FF">
              <w:rPr>
                <w:rFonts w:asciiTheme="minorEastAsia" w:eastAsiaTheme="minorEastAsia" w:hAnsiTheme="minorEastAsia" w:hint="eastAsia"/>
                <w:szCs w:val="20"/>
              </w:rPr>
              <w:t>11,000.00元</w:t>
            </w:r>
          </w:p>
        </w:tc>
        <w:tc>
          <w:tcPr>
            <w:tcW w:w="1260" w:type="dxa"/>
            <w:tcBorders>
              <w:top w:val="single" w:sz="4" w:space="0" w:color="auto"/>
              <w:left w:val="single" w:sz="4" w:space="0" w:color="auto"/>
              <w:bottom w:val="single" w:sz="4" w:space="0" w:color="auto"/>
              <w:right w:val="single" w:sz="4" w:space="0" w:color="auto"/>
            </w:tcBorders>
          </w:tcPr>
          <w:p w:rsidR="003A3487" w:rsidRPr="008564FF" w:rsidP="004549E4">
            <w:pPr>
              <w:snapToGrid w:val="0"/>
              <w:spacing w:line="360" w:lineRule="auto"/>
              <w:ind w:left="-94" w:right="-120" w:leftChars="-45" w:rightChars="-57"/>
              <w:jc w:val="center"/>
              <w:rPr>
                <w:rFonts w:asciiTheme="minorEastAsia" w:eastAsiaTheme="minorEastAsia" w:hAnsiTheme="minorEastAsia"/>
                <w:szCs w:val="20"/>
              </w:rPr>
            </w:pPr>
            <w:r w:rsidRPr="008564FF">
              <w:rPr>
                <w:rFonts w:asciiTheme="minorEastAsia" w:eastAsiaTheme="minorEastAsia" w:hAnsiTheme="minorEastAsia" w:hint="eastAsia"/>
                <w:szCs w:val="20"/>
              </w:rPr>
              <w:t>55.00元</w:t>
            </w:r>
          </w:p>
        </w:tc>
        <w:tc>
          <w:tcPr>
            <w:tcW w:w="1080" w:type="dxa"/>
            <w:tcBorders>
              <w:top w:val="single" w:sz="4" w:space="0" w:color="auto"/>
              <w:left w:val="single" w:sz="4" w:space="0" w:color="auto"/>
              <w:bottom w:val="single" w:sz="4" w:space="0" w:color="auto"/>
              <w:right w:val="single" w:sz="4" w:space="0" w:color="auto"/>
            </w:tcBorders>
          </w:tcPr>
          <w:p w:rsidR="003A3487" w:rsidRPr="008564FF" w:rsidP="004549E4">
            <w:pPr>
              <w:snapToGrid w:val="0"/>
              <w:spacing w:line="360" w:lineRule="auto"/>
              <w:ind w:left="-94" w:right="-120" w:leftChars="-45" w:rightChars="-57"/>
              <w:jc w:val="center"/>
              <w:rPr>
                <w:rFonts w:asciiTheme="minorEastAsia" w:eastAsiaTheme="minorEastAsia" w:hAnsiTheme="minorEastAsia"/>
                <w:szCs w:val="20"/>
              </w:rPr>
            </w:pPr>
            <w:r w:rsidRPr="008564FF">
              <w:rPr>
                <w:rFonts w:asciiTheme="minorEastAsia" w:eastAsiaTheme="minorEastAsia" w:hAnsiTheme="minorEastAsia" w:hint="eastAsia"/>
              </w:rPr>
              <w:t>54.45</w:t>
            </w:r>
            <w:r w:rsidRPr="008564FF">
              <w:rPr>
                <w:rFonts w:asciiTheme="minorEastAsia" w:eastAsiaTheme="minorEastAsia" w:hAnsiTheme="minorEastAsia" w:hint="eastAsia"/>
                <w:szCs w:val="20"/>
              </w:rPr>
              <w:t>元</w:t>
            </w:r>
          </w:p>
        </w:tc>
        <w:tc>
          <w:tcPr>
            <w:tcW w:w="1440" w:type="dxa"/>
            <w:tcBorders>
              <w:top w:val="single" w:sz="4" w:space="0" w:color="auto"/>
              <w:left w:val="single" w:sz="4" w:space="0" w:color="auto"/>
              <w:bottom w:val="single" w:sz="4" w:space="0" w:color="auto"/>
              <w:right w:val="single" w:sz="4" w:space="0" w:color="auto"/>
            </w:tcBorders>
          </w:tcPr>
          <w:p w:rsidR="003A3487" w:rsidRPr="008564FF" w:rsidP="004549E4">
            <w:pPr>
              <w:snapToGrid w:val="0"/>
              <w:spacing w:line="360" w:lineRule="auto"/>
              <w:ind w:left="-94" w:right="-120" w:leftChars="-45" w:rightChars="-57"/>
              <w:jc w:val="center"/>
              <w:rPr>
                <w:rFonts w:asciiTheme="minorEastAsia" w:eastAsiaTheme="minorEastAsia" w:hAnsiTheme="minorEastAsia"/>
                <w:szCs w:val="20"/>
              </w:rPr>
            </w:pPr>
            <w:r w:rsidRPr="008564FF">
              <w:rPr>
                <w:rFonts w:asciiTheme="minorEastAsia" w:eastAsiaTheme="minorEastAsia" w:hAnsiTheme="minorEastAsia" w:hint="eastAsia"/>
                <w:szCs w:val="20"/>
              </w:rPr>
              <w:t>10,8</w:t>
            </w:r>
            <w:r w:rsidRPr="008564FF">
              <w:rPr>
                <w:rFonts w:asciiTheme="minorEastAsia" w:eastAsiaTheme="minorEastAsia" w:hAnsiTheme="minorEastAsia" w:hint="eastAsia"/>
              </w:rPr>
              <w:t>90</w:t>
            </w:r>
            <w:r w:rsidRPr="008564FF">
              <w:rPr>
                <w:rFonts w:asciiTheme="minorEastAsia" w:eastAsiaTheme="minorEastAsia" w:hAnsiTheme="minorEastAsia" w:hint="eastAsia"/>
                <w:szCs w:val="20"/>
              </w:rPr>
              <w:t>.</w:t>
            </w:r>
            <w:r w:rsidRPr="008564FF">
              <w:rPr>
                <w:rFonts w:asciiTheme="minorEastAsia" w:eastAsiaTheme="minorEastAsia" w:hAnsiTheme="minorEastAsia" w:hint="eastAsia"/>
              </w:rPr>
              <w:t>55</w:t>
            </w:r>
            <w:r w:rsidRPr="008564FF">
              <w:rPr>
                <w:rFonts w:asciiTheme="minorEastAsia" w:eastAsiaTheme="minorEastAsia" w:hAnsiTheme="minorEastAsia" w:hint="eastAsia"/>
                <w:szCs w:val="20"/>
              </w:rPr>
              <w:t>元</w:t>
            </w:r>
          </w:p>
        </w:tc>
        <w:tc>
          <w:tcPr>
            <w:tcW w:w="1185" w:type="dxa"/>
            <w:tcBorders>
              <w:top w:val="single" w:sz="4" w:space="0" w:color="auto"/>
              <w:left w:val="single" w:sz="4" w:space="0" w:color="auto"/>
              <w:bottom w:val="single" w:sz="4" w:space="0" w:color="auto"/>
              <w:right w:val="single" w:sz="4" w:space="0" w:color="auto"/>
            </w:tcBorders>
          </w:tcPr>
          <w:p w:rsidR="003A3487" w:rsidRPr="008564FF" w:rsidP="004549E4">
            <w:pPr>
              <w:snapToGrid w:val="0"/>
              <w:spacing w:line="360" w:lineRule="auto"/>
              <w:ind w:left="-94" w:right="-120" w:leftChars="-45" w:rightChars="-57"/>
              <w:jc w:val="center"/>
              <w:rPr>
                <w:rFonts w:asciiTheme="minorEastAsia" w:eastAsiaTheme="minorEastAsia" w:hAnsiTheme="minorEastAsia"/>
                <w:szCs w:val="20"/>
              </w:rPr>
            </w:pPr>
            <w:r w:rsidRPr="008564FF">
              <w:rPr>
                <w:rFonts w:asciiTheme="minorEastAsia" w:eastAsiaTheme="minorEastAsia" w:hAnsiTheme="minorEastAsia" w:hint="eastAsia"/>
                <w:szCs w:val="20"/>
              </w:rPr>
              <w:t>1.020元</w:t>
            </w:r>
          </w:p>
        </w:tc>
        <w:tc>
          <w:tcPr>
            <w:tcW w:w="1335" w:type="dxa"/>
            <w:tcBorders>
              <w:top w:val="single" w:sz="4" w:space="0" w:color="auto"/>
              <w:left w:val="single" w:sz="4" w:space="0" w:color="auto"/>
              <w:bottom w:val="single" w:sz="4" w:space="0" w:color="auto"/>
              <w:right w:val="single" w:sz="4" w:space="0" w:color="auto"/>
            </w:tcBorders>
          </w:tcPr>
          <w:p w:rsidR="003A3487" w:rsidRPr="008564FF" w:rsidP="004549E4">
            <w:pPr>
              <w:snapToGrid w:val="0"/>
              <w:spacing w:line="360" w:lineRule="auto"/>
              <w:ind w:left="-94" w:right="-120" w:leftChars="-45" w:rightChars="-57"/>
              <w:jc w:val="center"/>
              <w:rPr>
                <w:rFonts w:asciiTheme="minorEastAsia" w:eastAsiaTheme="minorEastAsia" w:hAnsiTheme="minorEastAsia"/>
                <w:szCs w:val="20"/>
              </w:rPr>
            </w:pPr>
            <w:r w:rsidRPr="008564FF">
              <w:rPr>
                <w:rFonts w:asciiTheme="minorEastAsia" w:eastAsiaTheme="minorEastAsia" w:hAnsiTheme="minorEastAsia" w:hint="eastAsia"/>
                <w:szCs w:val="20"/>
              </w:rPr>
              <w:t>10,6</w:t>
            </w:r>
            <w:r w:rsidRPr="008564FF">
              <w:rPr>
                <w:rFonts w:asciiTheme="minorEastAsia" w:eastAsiaTheme="minorEastAsia" w:hAnsiTheme="minorEastAsia" w:hint="eastAsia"/>
              </w:rPr>
              <w:t>77</w:t>
            </w:r>
            <w:r w:rsidRPr="008564FF">
              <w:rPr>
                <w:rFonts w:asciiTheme="minorEastAsia" w:eastAsiaTheme="minorEastAsia" w:hAnsiTheme="minorEastAsia" w:hint="eastAsia"/>
                <w:szCs w:val="20"/>
              </w:rPr>
              <w:t>.</w:t>
            </w:r>
            <w:r w:rsidRPr="008564FF">
              <w:rPr>
                <w:rFonts w:asciiTheme="minorEastAsia" w:eastAsiaTheme="minorEastAsia" w:hAnsiTheme="minorEastAsia" w:hint="eastAsia"/>
              </w:rPr>
              <w:t>01</w:t>
            </w:r>
            <w:r w:rsidRPr="008564FF">
              <w:rPr>
                <w:rFonts w:asciiTheme="minorEastAsia" w:eastAsiaTheme="minorEastAsia" w:hAnsiTheme="minorEastAsia" w:hint="eastAsia"/>
                <w:szCs w:val="20"/>
              </w:rPr>
              <w:t>份</w:t>
            </w:r>
          </w:p>
        </w:tc>
      </w:tr>
    </w:tbl>
    <w:p w:rsidR="00487BAC" w:rsidRPr="008564FF" w:rsidP="008564FF">
      <w:pPr>
        <w:snapToGrid w:val="0"/>
        <w:spacing w:line="360" w:lineRule="auto"/>
        <w:ind w:firstLine="420"/>
        <w:rPr>
          <w:rFonts w:asciiTheme="minorEastAsia" w:eastAsiaTheme="minorEastAsia" w:hAnsiTheme="minorEastAsia"/>
          <w:szCs w:val="20"/>
        </w:rPr>
      </w:pPr>
      <w:r w:rsidRPr="008564FF">
        <w:rPr>
          <w:rFonts w:asciiTheme="minorEastAsia" w:eastAsiaTheme="minorEastAsia" w:hAnsiTheme="minorEastAsia" w:hint="eastAsia"/>
          <w:szCs w:val="20"/>
        </w:rPr>
        <w:t>注：本基金开通与易方达旗下其它开放式基金（由同一注册登记机构办理注册登记的、且已公告开通基金转换业务）之间的转换业务，各基金转换业务的开放状态及交易限制详见各基金相关公告。投资者需到同时销售拟转出和转入两只基金的同一销售机构办理基金的转换业务，具体的业务流程、办理时间和办理方式以销售机构的规定为准。转入本基金时转入份额的计算结果保留到小数点后两位，小数点后两位以后的部分四舍五入，由此误差产生的损失由基金财产承担，产生的收益归基金财产所有。</w:t>
      </w:r>
    </w:p>
    <w:p w:rsidR="003A3487" w:rsidRPr="008564FF" w:rsidP="009C2B2A">
      <w:pPr>
        <w:pStyle w:val="Heading2"/>
        <w:snapToGrid w:val="0"/>
        <w:spacing w:beforeLines="0" w:afterLines="0" w:line="360" w:lineRule="auto"/>
        <w:ind w:firstLine="562"/>
        <w:rPr>
          <w:rFonts w:asciiTheme="minorEastAsia" w:eastAsiaTheme="minorEastAsia" w:hAnsiTheme="minorEastAsia"/>
        </w:rPr>
      </w:pPr>
      <w:bookmarkStart w:id="71" w:name="_Toc229996713"/>
      <w:bookmarkStart w:id="72" w:name="_Toc198959622"/>
      <w:bookmarkStart w:id="73" w:name="_Toc91749232"/>
      <w:r w:rsidRPr="008564FF">
        <w:rPr>
          <w:rFonts w:asciiTheme="minorEastAsia" w:eastAsiaTheme="minorEastAsia" w:hAnsiTheme="minorEastAsia" w:hint="eastAsia"/>
        </w:rPr>
        <w:t>（七）基金转换的注册登记</w:t>
      </w:r>
      <w:bookmarkEnd w:id="71"/>
      <w:bookmarkEnd w:id="72"/>
      <w:bookmarkEnd w:id="73"/>
    </w:p>
    <w:p w:rsidR="003A3487" w:rsidRPr="008564FF" w:rsidP="004549E4">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cs="宋体" w:hint="eastAsia"/>
          <w:snapToGrid w:val="0"/>
          <w:kern w:val="0"/>
          <w:szCs w:val="21"/>
        </w:rPr>
        <w:t>投资者T日申请基金转换成功后，注册登记机构将在T＋1工作日为投资者办理减少转出基金份额、增加转入基金份额的权益登记手续，一般情况下，投资者自T＋2工作日起有权赎回转入部分的基金份额。</w:t>
      </w:r>
    </w:p>
    <w:p w:rsidR="003A3487" w:rsidRPr="008564FF" w:rsidP="004549E4">
      <w:pPr>
        <w:pStyle w:val="BodyTextFirstIndent"/>
        <w:snapToGrid w:val="0"/>
        <w:spacing w:after="0" w:line="360" w:lineRule="auto"/>
        <w:ind w:firstLine="420" w:firstLineChars="200"/>
        <w:rPr>
          <w:rFonts w:asciiTheme="minorEastAsia" w:eastAsiaTheme="minorEastAsia" w:hAnsiTheme="minorEastAsia"/>
        </w:rPr>
      </w:pPr>
      <w:r w:rsidRPr="008564FF">
        <w:rPr>
          <w:rFonts w:asciiTheme="minorEastAsia" w:eastAsiaTheme="minorEastAsia" w:hAnsiTheme="minorEastAsia" w:hint="eastAsia"/>
        </w:rPr>
        <w:t>基金管理人可在法律法规允许的范围内，对上述注册登记办理时间进行调整，并</w:t>
      </w:r>
      <w:r w:rsidRPr="008564FF">
        <w:rPr>
          <w:rFonts w:asciiTheme="minorEastAsia" w:eastAsiaTheme="minorEastAsia" w:hAnsiTheme="minorEastAsia" w:hint="eastAsia"/>
          <w:kern w:val="0"/>
          <w:szCs w:val="21"/>
        </w:rPr>
        <w:t>应在调整生效前在</w:t>
      </w:r>
      <w:r w:rsidRPr="008564FF" w:rsidR="002C6CC3">
        <w:rPr>
          <w:rFonts w:asciiTheme="minorEastAsia" w:eastAsiaTheme="minorEastAsia" w:hAnsiTheme="minorEastAsia" w:hint="eastAsia"/>
          <w:kern w:val="0"/>
          <w:szCs w:val="21"/>
        </w:rPr>
        <w:t>指定媒介</w:t>
      </w:r>
      <w:r w:rsidRPr="008564FF">
        <w:rPr>
          <w:rFonts w:asciiTheme="minorEastAsia" w:eastAsiaTheme="minorEastAsia" w:hAnsiTheme="minorEastAsia" w:hint="eastAsia"/>
          <w:kern w:val="0"/>
          <w:szCs w:val="21"/>
        </w:rPr>
        <w:t>上予以公告。</w:t>
      </w:r>
    </w:p>
    <w:p w:rsidR="003A3487" w:rsidRPr="008564FF" w:rsidP="009C2B2A">
      <w:pPr>
        <w:pStyle w:val="Heading2"/>
        <w:snapToGrid w:val="0"/>
        <w:spacing w:beforeLines="0" w:afterLines="0" w:line="360" w:lineRule="auto"/>
        <w:ind w:firstLine="562"/>
        <w:rPr>
          <w:rFonts w:asciiTheme="minorEastAsia" w:eastAsiaTheme="minorEastAsia" w:hAnsiTheme="minorEastAsia"/>
        </w:rPr>
      </w:pPr>
      <w:bookmarkStart w:id="74" w:name="_Toc229996714"/>
      <w:bookmarkStart w:id="75" w:name="_Toc198959623"/>
      <w:bookmarkStart w:id="76" w:name="_Toc91749233"/>
      <w:r w:rsidRPr="008564FF">
        <w:rPr>
          <w:rFonts w:asciiTheme="minorEastAsia" w:eastAsiaTheme="minorEastAsia" w:hAnsiTheme="minorEastAsia" w:hint="eastAsia"/>
        </w:rPr>
        <w:t>（八）基金转换与巨额赎回</w:t>
      </w:r>
      <w:bookmarkEnd w:id="74"/>
      <w:bookmarkEnd w:id="75"/>
      <w:bookmarkEnd w:id="76"/>
    </w:p>
    <w:p w:rsidR="003A3487" w:rsidRPr="008564FF" w:rsidP="004549E4">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当</w:t>
      </w:r>
      <w:r w:rsidRPr="008564FF">
        <w:rPr>
          <w:rFonts w:asciiTheme="minorEastAsia" w:eastAsiaTheme="minorEastAsia" w:hAnsiTheme="minorEastAsia" w:cs="宋体" w:hint="eastAsia"/>
          <w:kern w:val="0"/>
          <w:szCs w:val="21"/>
        </w:rPr>
        <w:t>发生巨额赎回时，基金转出与基金赎回具有相同的优先级，基金管理人可根据基金资产组合情况，决定全额转出或部分转出，并且对于基金转出和基金赎回，将采取相同的比例确认（另有公告的除外）；在转出申请得到部分确认的情况下，未确认的转出申请将不予以顺延。</w:t>
      </w:r>
    </w:p>
    <w:p w:rsidR="003A3487" w:rsidRPr="008564FF" w:rsidP="009C2B2A">
      <w:pPr>
        <w:pStyle w:val="Heading2"/>
        <w:snapToGrid w:val="0"/>
        <w:spacing w:beforeLines="0" w:afterLines="0" w:line="360" w:lineRule="auto"/>
        <w:ind w:firstLine="562"/>
        <w:rPr>
          <w:rFonts w:asciiTheme="minorEastAsia" w:eastAsiaTheme="minorEastAsia" w:hAnsiTheme="minorEastAsia"/>
        </w:rPr>
      </w:pPr>
      <w:bookmarkStart w:id="77" w:name="_Toc229996715"/>
      <w:bookmarkStart w:id="78" w:name="_Toc198959624"/>
      <w:bookmarkStart w:id="79" w:name="_Toc91749234"/>
      <w:r w:rsidRPr="008564FF">
        <w:rPr>
          <w:rFonts w:asciiTheme="minorEastAsia" w:eastAsiaTheme="minorEastAsia" w:hAnsiTheme="minorEastAsia" w:hint="eastAsia"/>
        </w:rPr>
        <w:t>（九）拒绝或暂停基金转换的情形</w:t>
      </w:r>
      <w:bookmarkEnd w:id="77"/>
      <w:bookmarkEnd w:id="78"/>
      <w:bookmarkEnd w:id="79"/>
    </w:p>
    <w:p w:rsidR="003A3487" w:rsidRPr="008564FF" w:rsidP="004549E4">
      <w:pPr>
        <w:snapToGrid w:val="0"/>
        <w:spacing w:line="360" w:lineRule="auto"/>
        <w:ind w:firstLine="420" w:firstLineChars="200"/>
        <w:rPr>
          <w:rFonts w:asciiTheme="minorEastAsia" w:eastAsiaTheme="minorEastAsia" w:hAnsiTheme="minorEastAsia"/>
          <w:kern w:val="0"/>
          <w:szCs w:val="21"/>
        </w:rPr>
      </w:pPr>
      <w:r w:rsidRPr="008564FF">
        <w:rPr>
          <w:rFonts w:asciiTheme="minorEastAsia" w:eastAsiaTheme="minorEastAsia" w:hAnsiTheme="minorEastAsia" w:hint="eastAsia"/>
          <w:kern w:val="0"/>
          <w:szCs w:val="21"/>
        </w:rPr>
        <w:t>出现下列情况之一时,基金管理人可以暂停接受基金份额持有人的基金转换申请：</w:t>
      </w:r>
    </w:p>
    <w:p w:rsidR="003A3487" w:rsidRPr="008564FF" w:rsidP="00485893">
      <w:pPr>
        <w:snapToGrid w:val="0"/>
        <w:spacing w:line="360" w:lineRule="auto"/>
        <w:ind w:firstLine="420" w:firstLineChars="200"/>
        <w:rPr>
          <w:rFonts w:asciiTheme="minorEastAsia" w:eastAsiaTheme="minorEastAsia" w:hAnsiTheme="minorEastAsia"/>
          <w:kern w:val="0"/>
          <w:szCs w:val="21"/>
        </w:rPr>
      </w:pPr>
      <w:r w:rsidRPr="008564FF">
        <w:rPr>
          <w:rFonts w:asciiTheme="minorEastAsia" w:eastAsiaTheme="minorEastAsia" w:hAnsiTheme="minorEastAsia" w:hint="eastAsia"/>
          <w:kern w:val="0"/>
          <w:szCs w:val="21"/>
        </w:rPr>
        <w:t>1、不可抗力的原因导致基金无法正常运作；</w:t>
      </w:r>
    </w:p>
    <w:p w:rsidR="003A3487" w:rsidRPr="008564FF" w:rsidP="004549E4">
      <w:pPr>
        <w:snapToGrid w:val="0"/>
        <w:spacing w:line="360" w:lineRule="auto"/>
        <w:ind w:firstLine="420" w:firstLineChars="200"/>
        <w:rPr>
          <w:rFonts w:asciiTheme="minorEastAsia" w:eastAsiaTheme="minorEastAsia" w:hAnsiTheme="minorEastAsia"/>
          <w:kern w:val="0"/>
          <w:szCs w:val="21"/>
        </w:rPr>
      </w:pPr>
      <w:r w:rsidRPr="008564FF">
        <w:rPr>
          <w:rFonts w:asciiTheme="minorEastAsia" w:eastAsiaTheme="minorEastAsia" w:hAnsiTheme="minorEastAsia" w:hint="eastAsia"/>
          <w:kern w:val="0"/>
          <w:szCs w:val="21"/>
        </w:rPr>
        <w:t>2、证券交易场所在交易时间非正常停市或证券交易场所依法决定临时停市，导致当日基金资产净值无法计算；</w:t>
      </w:r>
    </w:p>
    <w:p w:rsidR="003A3487" w:rsidRPr="008564FF" w:rsidP="00485893">
      <w:pPr>
        <w:snapToGrid w:val="0"/>
        <w:spacing w:line="360" w:lineRule="auto"/>
        <w:ind w:firstLine="420" w:firstLineChars="200"/>
        <w:rPr>
          <w:rFonts w:asciiTheme="minorEastAsia" w:eastAsiaTheme="minorEastAsia" w:hAnsiTheme="minorEastAsia"/>
          <w:kern w:val="0"/>
          <w:szCs w:val="21"/>
        </w:rPr>
      </w:pPr>
      <w:r w:rsidRPr="008564FF">
        <w:rPr>
          <w:rFonts w:asciiTheme="minorEastAsia" w:eastAsiaTheme="minorEastAsia" w:hAnsiTheme="minorEastAsia" w:hint="eastAsia"/>
          <w:kern w:val="0"/>
          <w:szCs w:val="21"/>
        </w:rPr>
        <w:t>3、因市场剧烈波动或其它原因而出现连续巨额赎回，导致本基金的现金支付出现困难；</w:t>
      </w:r>
    </w:p>
    <w:p w:rsidR="003A3487" w:rsidRPr="008564FF" w:rsidP="004549E4">
      <w:pPr>
        <w:snapToGrid w:val="0"/>
        <w:spacing w:line="360" w:lineRule="auto"/>
        <w:ind w:firstLine="420" w:firstLineChars="200"/>
        <w:rPr>
          <w:rFonts w:asciiTheme="minorEastAsia" w:eastAsiaTheme="minorEastAsia" w:hAnsiTheme="minorEastAsia"/>
          <w:kern w:val="0"/>
          <w:szCs w:val="21"/>
        </w:rPr>
      </w:pPr>
      <w:r w:rsidRPr="008564FF">
        <w:rPr>
          <w:rFonts w:asciiTheme="minorEastAsia" w:eastAsiaTheme="minorEastAsia" w:hAnsiTheme="minorEastAsia" w:hint="eastAsia"/>
          <w:kern w:val="0"/>
          <w:szCs w:val="21"/>
        </w:rPr>
        <w:t>4、基金管理人认为会有损于现有基金份额持有人利益的某笔转入或某笔转出；</w:t>
      </w:r>
    </w:p>
    <w:p w:rsidR="003A3487" w:rsidRPr="008564FF" w:rsidP="00485893">
      <w:pPr>
        <w:snapToGrid w:val="0"/>
        <w:spacing w:line="360" w:lineRule="auto"/>
        <w:ind w:firstLine="420" w:firstLineChars="200"/>
        <w:rPr>
          <w:rFonts w:asciiTheme="minorEastAsia" w:eastAsiaTheme="minorEastAsia" w:hAnsiTheme="minorEastAsia"/>
          <w:kern w:val="0"/>
          <w:szCs w:val="21"/>
        </w:rPr>
      </w:pPr>
      <w:r w:rsidRPr="008564FF">
        <w:rPr>
          <w:rFonts w:asciiTheme="minorEastAsia" w:eastAsiaTheme="minorEastAsia" w:hAnsiTheme="minorEastAsia" w:hint="eastAsia"/>
          <w:kern w:val="0"/>
          <w:szCs w:val="21"/>
        </w:rPr>
        <w:t>5、发生基金合同规定的暂停基金资产估值情况；</w:t>
      </w:r>
    </w:p>
    <w:p w:rsidR="003A3487" w:rsidRPr="008564FF" w:rsidP="004549E4">
      <w:pPr>
        <w:snapToGrid w:val="0"/>
        <w:spacing w:line="360" w:lineRule="auto"/>
        <w:ind w:firstLine="420" w:firstLineChars="200"/>
        <w:rPr>
          <w:rFonts w:asciiTheme="minorEastAsia" w:eastAsiaTheme="minorEastAsia" w:hAnsiTheme="minorEastAsia"/>
          <w:kern w:val="0"/>
          <w:szCs w:val="21"/>
        </w:rPr>
      </w:pPr>
      <w:r w:rsidRPr="008564FF">
        <w:rPr>
          <w:rFonts w:asciiTheme="minorEastAsia" w:eastAsiaTheme="minorEastAsia" w:hAnsiTheme="minorEastAsia" w:hint="eastAsia"/>
          <w:kern w:val="0"/>
          <w:szCs w:val="21"/>
        </w:rPr>
        <w:t>6、基金资产规模过大，使基金管理人无法找到合适的投资品种，或可能对基金业绩产生负面影响，从而损害现有基金份额持有人的利益；</w:t>
      </w:r>
    </w:p>
    <w:p w:rsidR="00D41716" w:rsidRPr="008564FF" w:rsidP="00D41716">
      <w:pPr>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szCs w:val="21"/>
        </w:rPr>
        <w:t>7</w:t>
      </w:r>
      <w:r w:rsidRPr="008564FF">
        <w:rPr>
          <w:rFonts w:asciiTheme="minorEastAsia" w:eastAsiaTheme="minorEastAsia" w:hAnsiTheme="minorEastAsia" w:hint="eastAsia"/>
          <w:kern w:val="0"/>
          <w:szCs w:val="21"/>
        </w:rPr>
        <w:t>、</w:t>
      </w:r>
      <w:r w:rsidRPr="008564FF">
        <w:rPr>
          <w:rFonts w:asciiTheme="minorEastAsia" w:eastAsiaTheme="minorEastAsia" w:hAnsiTheme="minorEastAsia" w:hint="eastAsia"/>
          <w:szCs w:val="21"/>
        </w:rPr>
        <w:t>基金管理人接受某笔或者某些转换转入申请有可能导致单一投资者持有基金份额的比例达到或者超过50%，或者变相规避50%集中度的情形时；</w:t>
      </w:r>
    </w:p>
    <w:p w:rsidR="00D41716" w:rsidRPr="008564FF" w:rsidP="00D41716">
      <w:pPr>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8</w:t>
      </w:r>
      <w:r w:rsidRPr="008564FF">
        <w:rPr>
          <w:rFonts w:asciiTheme="minorEastAsia" w:eastAsiaTheme="minorEastAsia" w:hAnsiTheme="minorEastAsia"/>
          <w:szCs w:val="21"/>
        </w:rPr>
        <w:t>、当一笔新的</w:t>
      </w:r>
      <w:r w:rsidRPr="008564FF">
        <w:rPr>
          <w:rFonts w:asciiTheme="minorEastAsia" w:eastAsiaTheme="minorEastAsia" w:hAnsiTheme="minorEastAsia" w:hint="eastAsia"/>
          <w:szCs w:val="21"/>
        </w:rPr>
        <w:t>转换转入申请被确认成功，使本基金总规模超过基金管理人规定的本基金总规模上限时；或使本基金单日申购金额或</w:t>
      </w:r>
      <w:r w:rsidRPr="008564FF">
        <w:rPr>
          <w:rFonts w:asciiTheme="minorEastAsia" w:eastAsiaTheme="minorEastAsia" w:hAnsiTheme="minorEastAsia"/>
          <w:szCs w:val="21"/>
        </w:rPr>
        <w:t>净申购比例</w:t>
      </w:r>
      <w:r w:rsidRPr="008564FF">
        <w:rPr>
          <w:rFonts w:asciiTheme="minorEastAsia" w:eastAsiaTheme="minorEastAsia" w:hAnsiTheme="minorEastAsia" w:hint="eastAsia"/>
          <w:szCs w:val="21"/>
        </w:rPr>
        <w:t>超过基金管理人规定的当日申购金额或</w:t>
      </w:r>
      <w:r w:rsidRPr="008564FF">
        <w:rPr>
          <w:rFonts w:asciiTheme="minorEastAsia" w:eastAsiaTheme="minorEastAsia" w:hAnsiTheme="minorEastAsia"/>
          <w:szCs w:val="21"/>
        </w:rPr>
        <w:t>净申购比例</w:t>
      </w:r>
      <w:r w:rsidRPr="008564FF">
        <w:rPr>
          <w:rFonts w:asciiTheme="minorEastAsia" w:eastAsiaTheme="minorEastAsia" w:hAnsiTheme="minorEastAsia" w:hint="eastAsia"/>
          <w:szCs w:val="21"/>
        </w:rPr>
        <w:t>上限时；或该投资人累计持有的份额超过单个投资人累计持有的份额上限时；或该投资人当日申购金额超过单个投资人单日或</w:t>
      </w:r>
      <w:r w:rsidRPr="008564FF">
        <w:rPr>
          <w:rFonts w:asciiTheme="minorEastAsia" w:eastAsiaTheme="minorEastAsia" w:hAnsiTheme="minorEastAsia"/>
          <w:szCs w:val="21"/>
        </w:rPr>
        <w:t>单笔</w:t>
      </w:r>
      <w:r w:rsidRPr="008564FF">
        <w:rPr>
          <w:rFonts w:asciiTheme="minorEastAsia" w:eastAsiaTheme="minorEastAsia" w:hAnsiTheme="minorEastAsia" w:hint="eastAsia"/>
          <w:szCs w:val="21"/>
        </w:rPr>
        <w:t>申购金额上限时</w:t>
      </w:r>
      <w:r w:rsidRPr="008564FF" w:rsidR="00A124CA">
        <w:rPr>
          <w:rFonts w:asciiTheme="minorEastAsia" w:eastAsiaTheme="minorEastAsia" w:hAnsiTheme="minorEastAsia" w:hint="eastAsia"/>
          <w:szCs w:val="21"/>
        </w:rPr>
        <w:t>；</w:t>
      </w:r>
    </w:p>
    <w:p w:rsidR="00D41716" w:rsidRPr="008564FF" w:rsidP="00D41716">
      <w:pPr>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9、当前一估值日基金资产净值</w:t>
      </w:r>
      <w:r w:rsidRPr="008564FF">
        <w:rPr>
          <w:rFonts w:asciiTheme="minorEastAsia" w:eastAsiaTheme="minorEastAsia" w:hAnsiTheme="minorEastAsia"/>
          <w:szCs w:val="21"/>
        </w:rPr>
        <w:t>50%</w:t>
      </w:r>
      <w:r w:rsidRPr="008564FF">
        <w:rPr>
          <w:rFonts w:asciiTheme="minorEastAsia" w:eastAsiaTheme="minorEastAsia" w:hAnsiTheme="minorEastAsia" w:hint="eastAsia"/>
          <w:szCs w:val="21"/>
        </w:rPr>
        <w:t>以上的资产出现无可参考的活跃市场价格且采用估值技术仍导致公允价值存在重大不确定性时，经与基金托管人协商确认后，基金管理人应当采取暂停接受基金转换申请的措施</w:t>
      </w:r>
      <w:r w:rsidRPr="008564FF" w:rsidR="00A124CA">
        <w:rPr>
          <w:rFonts w:asciiTheme="minorEastAsia" w:eastAsiaTheme="minorEastAsia" w:hAnsiTheme="minorEastAsia" w:hint="eastAsia"/>
          <w:szCs w:val="21"/>
        </w:rPr>
        <w:t>；</w:t>
      </w:r>
    </w:p>
    <w:p w:rsidR="003A3487" w:rsidRPr="008564FF" w:rsidP="004549E4">
      <w:pPr>
        <w:snapToGrid w:val="0"/>
        <w:spacing w:line="360" w:lineRule="auto"/>
        <w:ind w:firstLine="420" w:firstLineChars="200"/>
        <w:rPr>
          <w:rFonts w:asciiTheme="minorEastAsia" w:eastAsiaTheme="minorEastAsia" w:hAnsiTheme="minorEastAsia"/>
          <w:kern w:val="0"/>
          <w:szCs w:val="21"/>
        </w:rPr>
      </w:pPr>
      <w:r w:rsidRPr="008564FF">
        <w:rPr>
          <w:rFonts w:asciiTheme="minorEastAsia" w:eastAsiaTheme="minorEastAsia" w:hAnsiTheme="minorEastAsia"/>
          <w:kern w:val="0"/>
          <w:szCs w:val="21"/>
        </w:rPr>
        <w:t>10</w:t>
      </w:r>
      <w:r w:rsidRPr="008564FF" w:rsidR="0007535E">
        <w:rPr>
          <w:rFonts w:asciiTheme="minorEastAsia" w:eastAsiaTheme="minorEastAsia" w:hAnsiTheme="minorEastAsia" w:hint="eastAsia"/>
          <w:kern w:val="0"/>
          <w:szCs w:val="21"/>
        </w:rPr>
        <w:t>、</w:t>
      </w:r>
      <w:r w:rsidRPr="008564FF">
        <w:rPr>
          <w:rFonts w:asciiTheme="minorEastAsia" w:eastAsiaTheme="minorEastAsia" w:hAnsiTheme="minorEastAsia" w:hint="eastAsia"/>
          <w:kern w:val="0"/>
          <w:szCs w:val="21"/>
        </w:rPr>
        <w:t>法律、法规规定或中国证监会认定的其他情形。</w:t>
      </w:r>
    </w:p>
    <w:p w:rsidR="003A3487" w:rsidRPr="008564FF" w:rsidP="004549E4">
      <w:pPr>
        <w:snapToGrid w:val="0"/>
        <w:spacing w:line="360" w:lineRule="auto"/>
        <w:ind w:firstLine="420" w:firstLineChars="200"/>
        <w:rPr>
          <w:rFonts w:asciiTheme="minorEastAsia" w:eastAsiaTheme="minorEastAsia" w:hAnsiTheme="minorEastAsia"/>
          <w:kern w:val="0"/>
          <w:szCs w:val="21"/>
        </w:rPr>
      </w:pPr>
    </w:p>
    <w:p w:rsidR="008564FF" w:rsidP="004549E4">
      <w:pPr>
        <w:snapToGrid w:val="0"/>
        <w:spacing w:line="360" w:lineRule="auto"/>
        <w:ind w:firstLine="420" w:firstLineChars="200"/>
        <w:rPr>
          <w:rFonts w:asciiTheme="minorEastAsia" w:eastAsiaTheme="minorEastAsia" w:hAnsiTheme="minorEastAsia"/>
        </w:rPr>
        <w:sectPr w:rsidSect="008564FF">
          <w:type w:val="continuous"/>
          <w:pgSz w:w="11907" w:h="16840"/>
          <w:pgMar w:top="1440" w:right="1800" w:bottom="1440" w:left="1800" w:header="1134" w:footer="1247" w:gutter="0"/>
          <w:cols w:space="720"/>
          <w:docGrid w:type="lines" w:linePitch="312"/>
        </w:sectPr>
      </w:pPr>
    </w:p>
    <w:p w:rsidR="008564FF" w:rsidP="0057740E">
      <w:pPr>
        <w:pStyle w:val="Heading1"/>
        <w:snapToGrid w:val="0"/>
        <w:spacing w:beforeLines="0" w:afterLines="0" w:line="360" w:lineRule="auto"/>
        <w:ind w:firstLine="643"/>
        <w:rPr>
          <w:rFonts w:asciiTheme="minorEastAsia" w:eastAsiaTheme="minorEastAsia" w:hAnsiTheme="minorEastAsia"/>
          <w:b/>
          <w:bCs/>
        </w:rPr>
        <w:sectPr w:rsidSect="008564FF">
          <w:type w:val="continuous"/>
          <w:pgSz w:w="11907" w:h="16840"/>
          <w:pgMar w:top="1440" w:right="1800" w:bottom="1440" w:left="1800" w:header="1134" w:footer="1247" w:gutter="0"/>
          <w:cols w:space="720"/>
          <w:docGrid w:type="lines" w:linePitch="312"/>
        </w:sectPr>
      </w:pPr>
      <w:bookmarkStart w:id="80" w:name="_Toc91335002"/>
      <w:bookmarkStart w:id="81" w:name="_Toc86635162"/>
      <w:bookmarkStart w:id="82" w:name="_Toc86560070"/>
    </w:p>
    <w:p w:rsidR="003A3487" w:rsidRPr="008564FF" w:rsidP="0057740E">
      <w:pPr>
        <w:pStyle w:val="Heading1"/>
        <w:snapToGrid w:val="0"/>
        <w:spacing w:beforeLines="0" w:afterLines="0" w:line="360" w:lineRule="auto"/>
        <w:ind w:firstLine="643"/>
        <w:rPr>
          <w:rFonts w:asciiTheme="minorEastAsia" w:eastAsiaTheme="minorEastAsia" w:hAnsiTheme="minorEastAsia"/>
          <w:b/>
          <w:bCs/>
        </w:rPr>
      </w:pPr>
      <w:bookmarkStart w:id="83" w:name="_Toc91749235"/>
      <w:r w:rsidRPr="008564FF">
        <w:rPr>
          <w:rFonts w:asciiTheme="minorEastAsia" w:eastAsiaTheme="minorEastAsia" w:hAnsiTheme="minorEastAsia" w:hint="eastAsia"/>
          <w:b/>
          <w:bCs/>
        </w:rPr>
        <w:t>十</w:t>
      </w:r>
      <w:r w:rsidRPr="008564FF">
        <w:rPr>
          <w:rFonts w:asciiTheme="minorEastAsia" w:eastAsiaTheme="minorEastAsia" w:hAnsiTheme="minorEastAsia"/>
          <w:b/>
          <w:bCs/>
        </w:rPr>
        <w:t>、</w:t>
      </w:r>
      <w:r w:rsidRPr="008564FF">
        <w:rPr>
          <w:rFonts w:asciiTheme="minorEastAsia" w:eastAsiaTheme="minorEastAsia" w:hAnsiTheme="minorEastAsia" w:hint="eastAsia"/>
          <w:b/>
          <w:bCs/>
        </w:rPr>
        <w:t>基金的非交易过户、转托管及冻结与解冻</w:t>
      </w:r>
      <w:bookmarkEnd w:id="80"/>
      <w:bookmarkEnd w:id="81"/>
      <w:bookmarkEnd w:id="82"/>
      <w:bookmarkEnd w:id="83"/>
    </w:p>
    <w:p w:rsidR="003A3487" w:rsidRPr="008564FF" w:rsidP="009C2B2A">
      <w:pPr>
        <w:pStyle w:val="Heading2"/>
        <w:snapToGrid w:val="0"/>
        <w:spacing w:beforeLines="0" w:afterLines="0" w:line="360" w:lineRule="auto"/>
        <w:ind w:firstLine="0" w:firstLineChars="0"/>
        <w:rPr>
          <w:rFonts w:asciiTheme="minorEastAsia" w:eastAsiaTheme="minorEastAsia" w:hAnsiTheme="minorEastAsia"/>
          <w:b w:val="0"/>
        </w:rPr>
      </w:pPr>
      <w:bookmarkStart w:id="84" w:name="_Toc91749236"/>
      <w:r w:rsidRPr="008564FF">
        <w:rPr>
          <w:rFonts w:asciiTheme="minorEastAsia" w:eastAsiaTheme="minorEastAsia" w:hAnsiTheme="minorEastAsia" w:hint="eastAsia"/>
          <w:b w:val="0"/>
        </w:rPr>
        <w:t>（一）基金的非交易过户</w:t>
      </w:r>
      <w:bookmarkEnd w:id="84"/>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非交易过户是指不采用申购、赎回等基金交易方式，将一定数量的基金份额按照一定规则从某一投资者基金账户转移到另一投资者基金账户的行为。</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基金注册登记机构只受理继承、捐赠、司法强制执行和经注册登记机构认可的其他情况下的非交易过户。其中，“继承”指基金份额持有人死亡，其持有的基金份额由其合法的继承人继承；“捐赠”指基金份额持有人将其合法持有的基金份额捐赠给福利性质的基金会或社会团体的情形；“司法执行”是指司法机构依据生效司法文书将基金份额持有人持有的基金份额强制划转给其他自然人、法人、社会团体或其他组织。无论在上述何种情况下，接受划转的主体应符合相关法律法规和《基金合同》规定的持有本基金份额的投资者的条件。办理非交易过户必须提供基金注册登记机构要求提供的相关资料。</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注册登记机构办理上述情况下的非交易过户，其他销售机构可代为受理投资者的申请材料，但不得办理该项业务。</w:t>
      </w:r>
    </w:p>
    <w:p w:rsidR="003A3487" w:rsidRPr="008564FF" w:rsidP="004549E4">
      <w:pPr>
        <w:snapToGrid w:val="0"/>
        <w:spacing w:line="360" w:lineRule="auto"/>
        <w:ind w:firstLine="410" w:firstLineChars="195"/>
        <w:rPr>
          <w:rFonts w:asciiTheme="minorEastAsia" w:eastAsiaTheme="minorEastAsia" w:hAnsiTheme="minorEastAsia"/>
          <w:szCs w:val="21"/>
        </w:rPr>
      </w:pPr>
      <w:r w:rsidRPr="008564FF">
        <w:rPr>
          <w:rFonts w:asciiTheme="minorEastAsia" w:eastAsiaTheme="minorEastAsia" w:hAnsiTheme="minorEastAsia" w:hint="eastAsia"/>
          <w:szCs w:val="21"/>
        </w:rPr>
        <w:t>对于符合条件的非交易过户申请按《业务规则》的有关规定办理。</w:t>
      </w:r>
    </w:p>
    <w:p w:rsidR="003A3487" w:rsidRPr="008564FF" w:rsidP="009C2B2A">
      <w:pPr>
        <w:pStyle w:val="Heading2"/>
        <w:snapToGrid w:val="0"/>
        <w:spacing w:beforeLines="0" w:afterLines="0" w:line="360" w:lineRule="auto"/>
        <w:ind w:firstLine="0" w:firstLineChars="0"/>
        <w:rPr>
          <w:rFonts w:asciiTheme="minorEastAsia" w:eastAsiaTheme="minorEastAsia" w:hAnsiTheme="minorEastAsia"/>
          <w:b w:val="0"/>
        </w:rPr>
      </w:pPr>
      <w:bookmarkStart w:id="85" w:name="_Toc91749237"/>
      <w:r w:rsidRPr="008564FF">
        <w:rPr>
          <w:rFonts w:asciiTheme="minorEastAsia" w:eastAsiaTheme="minorEastAsia" w:hAnsiTheme="minorEastAsia" w:hint="eastAsia"/>
          <w:b w:val="0"/>
        </w:rPr>
        <w:t>（二）转托管</w:t>
      </w:r>
      <w:bookmarkEnd w:id="85"/>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本基金目前实行份额托管的交易制度。投资者可将所持有的基金份额从一个交易账户转入另一个交易账户进行交易。具体办理方法参照《业务规则》的有关规定以及基金</w:t>
      </w:r>
      <w:r w:rsidRPr="008564FF" w:rsidR="007F5C61">
        <w:rPr>
          <w:rFonts w:asciiTheme="minorEastAsia" w:eastAsiaTheme="minorEastAsia" w:hAnsiTheme="minorEastAsia" w:hint="eastAsia"/>
          <w:szCs w:val="21"/>
        </w:rPr>
        <w:t>销售</w:t>
      </w:r>
      <w:r w:rsidRPr="008564FF">
        <w:rPr>
          <w:rFonts w:asciiTheme="minorEastAsia" w:eastAsiaTheme="minorEastAsia" w:hAnsiTheme="minorEastAsia" w:hint="eastAsia"/>
          <w:szCs w:val="21"/>
        </w:rPr>
        <w:t>机构的业务规则。</w:t>
      </w:r>
    </w:p>
    <w:p w:rsidR="003A3487" w:rsidRPr="008564FF" w:rsidP="009C2B2A">
      <w:pPr>
        <w:pStyle w:val="Heading2"/>
        <w:snapToGrid w:val="0"/>
        <w:spacing w:beforeLines="0" w:afterLines="0" w:line="360" w:lineRule="auto"/>
        <w:ind w:firstLine="0" w:firstLineChars="0"/>
        <w:rPr>
          <w:rFonts w:asciiTheme="minorEastAsia" w:eastAsiaTheme="minorEastAsia" w:hAnsiTheme="minorEastAsia"/>
          <w:b w:val="0"/>
        </w:rPr>
      </w:pPr>
      <w:bookmarkStart w:id="86" w:name="_Toc91749238"/>
      <w:r w:rsidRPr="008564FF">
        <w:rPr>
          <w:rFonts w:asciiTheme="minorEastAsia" w:eastAsiaTheme="minorEastAsia" w:hAnsiTheme="minorEastAsia" w:hint="eastAsia"/>
          <w:b w:val="0"/>
        </w:rPr>
        <w:t>（三）基金的冻结与解冻</w:t>
      </w:r>
      <w:bookmarkEnd w:id="86"/>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基金注册登记机构只受理国家有权机关依法要求的基金份额的冻结与解冻以及注册登记机构认可的其他情况下的冻结与解冻。基金份额被冻结的，被冻结部分产生的权益一并冻结，被冻结部分份额仍然参与收益分配与支付。</w:t>
      </w:r>
    </w:p>
    <w:p w:rsidR="0007535E" w:rsidRPr="008564FF" w:rsidP="004549E4">
      <w:pPr>
        <w:snapToGrid w:val="0"/>
        <w:spacing w:line="360" w:lineRule="auto"/>
        <w:ind w:firstLine="420" w:firstLineChars="200"/>
        <w:rPr>
          <w:rFonts w:asciiTheme="minorEastAsia" w:eastAsiaTheme="minorEastAsia" w:hAnsiTheme="minorEastAsia"/>
          <w:szCs w:val="21"/>
        </w:rPr>
      </w:pPr>
    </w:p>
    <w:p w:rsidR="0007535E" w:rsidRPr="008564FF" w:rsidP="004549E4">
      <w:pPr>
        <w:snapToGrid w:val="0"/>
        <w:spacing w:line="360" w:lineRule="auto"/>
        <w:ind w:firstLine="420" w:firstLineChars="200"/>
        <w:rPr>
          <w:rFonts w:asciiTheme="minorEastAsia" w:eastAsiaTheme="minorEastAsia" w:hAnsiTheme="minorEastAsia"/>
          <w:szCs w:val="21"/>
        </w:rPr>
      </w:pPr>
    </w:p>
    <w:p w:rsidR="0007535E" w:rsidRPr="008564FF" w:rsidP="004549E4">
      <w:pPr>
        <w:snapToGrid w:val="0"/>
        <w:spacing w:line="360" w:lineRule="auto"/>
        <w:ind w:firstLine="420" w:firstLineChars="200"/>
        <w:rPr>
          <w:rFonts w:asciiTheme="minorEastAsia" w:eastAsiaTheme="minorEastAsia" w:hAnsiTheme="minorEastAsia"/>
          <w:szCs w:val="21"/>
        </w:rPr>
      </w:pPr>
    </w:p>
    <w:p w:rsidR="0007535E" w:rsidRPr="008564FF" w:rsidP="004549E4">
      <w:pPr>
        <w:snapToGrid w:val="0"/>
        <w:spacing w:line="360" w:lineRule="auto"/>
        <w:ind w:firstLine="420" w:firstLineChars="200"/>
        <w:rPr>
          <w:rFonts w:asciiTheme="minorEastAsia" w:eastAsiaTheme="minorEastAsia" w:hAnsiTheme="minorEastAsia"/>
          <w:szCs w:val="21"/>
        </w:rPr>
      </w:pPr>
    </w:p>
    <w:p w:rsidR="0007535E" w:rsidRPr="008564FF" w:rsidP="004549E4">
      <w:pPr>
        <w:snapToGrid w:val="0"/>
        <w:spacing w:line="360" w:lineRule="auto"/>
        <w:ind w:firstLine="420" w:firstLineChars="200"/>
        <w:rPr>
          <w:rFonts w:asciiTheme="minorEastAsia" w:eastAsiaTheme="minorEastAsia" w:hAnsiTheme="minorEastAsia"/>
          <w:szCs w:val="21"/>
        </w:rPr>
      </w:pPr>
    </w:p>
    <w:p w:rsidR="0007535E" w:rsidRPr="008564FF" w:rsidP="004549E4">
      <w:pPr>
        <w:snapToGrid w:val="0"/>
        <w:spacing w:line="360" w:lineRule="auto"/>
        <w:ind w:firstLine="420" w:firstLineChars="200"/>
        <w:rPr>
          <w:rFonts w:asciiTheme="minorEastAsia" w:eastAsiaTheme="minorEastAsia" w:hAnsiTheme="minorEastAsia"/>
          <w:szCs w:val="21"/>
        </w:rPr>
      </w:pPr>
    </w:p>
    <w:p w:rsidR="0007535E" w:rsidRPr="008564FF" w:rsidP="004549E4">
      <w:pPr>
        <w:snapToGrid w:val="0"/>
        <w:spacing w:line="360" w:lineRule="auto"/>
        <w:ind w:firstLine="420" w:firstLineChars="200"/>
        <w:rPr>
          <w:rFonts w:asciiTheme="minorEastAsia" w:eastAsiaTheme="minorEastAsia" w:hAnsiTheme="minorEastAsia"/>
          <w:szCs w:val="21"/>
        </w:rPr>
      </w:pPr>
    </w:p>
    <w:p w:rsidR="003A3487" w:rsidRPr="008564FF" w:rsidP="0057740E">
      <w:pPr>
        <w:pStyle w:val="Heading1"/>
        <w:snapToGrid w:val="0"/>
        <w:spacing w:beforeLines="0" w:afterLines="0" w:line="360" w:lineRule="auto"/>
        <w:ind w:firstLine="643"/>
        <w:rPr>
          <w:rFonts w:asciiTheme="minorEastAsia" w:eastAsiaTheme="minorEastAsia" w:hAnsiTheme="minorEastAsia"/>
          <w:b/>
          <w:bCs/>
        </w:rPr>
      </w:pPr>
      <w:bookmarkStart w:id="87" w:name="_Toc91749239"/>
      <w:bookmarkStart w:id="88" w:name="_Toc52310853"/>
      <w:r w:rsidRPr="008564FF">
        <w:rPr>
          <w:rFonts w:asciiTheme="minorEastAsia" w:eastAsiaTheme="minorEastAsia" w:hAnsiTheme="minorEastAsia" w:hint="eastAsia"/>
          <w:b/>
          <w:bCs/>
        </w:rPr>
        <w:t>十一</w:t>
      </w:r>
      <w:r w:rsidRPr="008564FF">
        <w:rPr>
          <w:rFonts w:asciiTheme="minorEastAsia" w:eastAsiaTheme="minorEastAsia" w:hAnsiTheme="minorEastAsia"/>
          <w:b/>
          <w:bCs/>
        </w:rPr>
        <w:t>、</w:t>
      </w:r>
      <w:r w:rsidRPr="008564FF">
        <w:rPr>
          <w:rFonts w:asciiTheme="minorEastAsia" w:eastAsiaTheme="minorEastAsia" w:hAnsiTheme="minorEastAsia" w:hint="eastAsia"/>
          <w:b/>
          <w:bCs/>
        </w:rPr>
        <w:t>基金的投资</w:t>
      </w:r>
      <w:bookmarkEnd w:id="87"/>
    </w:p>
    <w:p w:rsidR="003A3487" w:rsidRPr="008564FF" w:rsidP="009C2B2A">
      <w:pPr>
        <w:pStyle w:val="Heading2"/>
        <w:snapToGrid w:val="0"/>
        <w:spacing w:beforeLines="0" w:afterLines="0" w:line="360" w:lineRule="auto"/>
        <w:ind w:firstLine="0" w:firstLineChars="0"/>
        <w:rPr>
          <w:rFonts w:asciiTheme="minorEastAsia" w:eastAsiaTheme="minorEastAsia" w:hAnsiTheme="minorEastAsia"/>
          <w:b w:val="0"/>
        </w:rPr>
      </w:pPr>
      <w:bookmarkStart w:id="89" w:name="_Toc64861723"/>
      <w:bookmarkStart w:id="90" w:name="_Toc52310848"/>
      <w:bookmarkStart w:id="91" w:name="_Toc91749240"/>
      <w:r w:rsidRPr="008564FF">
        <w:rPr>
          <w:rFonts w:asciiTheme="minorEastAsia" w:eastAsiaTheme="minorEastAsia" w:hAnsiTheme="minorEastAsia" w:hint="eastAsia"/>
          <w:b w:val="0"/>
        </w:rPr>
        <w:t>（一）投资目标</w:t>
      </w:r>
      <w:bookmarkEnd w:id="89"/>
      <w:bookmarkEnd w:id="90"/>
      <w:bookmarkEnd w:id="91"/>
    </w:p>
    <w:p w:rsidR="003A3487" w:rsidRPr="008564FF" w:rsidP="004549E4">
      <w:pPr>
        <w:snapToGrid w:val="0"/>
        <w:spacing w:line="360" w:lineRule="auto"/>
        <w:ind w:firstLine="420" w:firstLineChars="200"/>
        <w:rPr>
          <w:rFonts w:asciiTheme="minorEastAsia" w:eastAsiaTheme="minorEastAsia" w:hAnsiTheme="minorEastAsia"/>
        </w:rPr>
      </w:pPr>
      <w:r w:rsidRPr="008564FF">
        <w:rPr>
          <w:rFonts w:asciiTheme="minorEastAsia" w:eastAsiaTheme="minorEastAsia" w:hAnsiTheme="minorEastAsia" w:hint="eastAsia"/>
        </w:rPr>
        <w:t>在优化行业资产配置的基础上，从行业领先企业中精选行业龙头与高成长企业进行投资，力求基金资产的长期增值。</w:t>
      </w:r>
    </w:p>
    <w:p w:rsidR="003A3487" w:rsidRPr="008564FF" w:rsidP="009C2B2A">
      <w:pPr>
        <w:pStyle w:val="Heading2"/>
        <w:snapToGrid w:val="0"/>
        <w:spacing w:beforeLines="0" w:afterLines="0" w:line="360" w:lineRule="auto"/>
        <w:ind w:firstLine="0" w:firstLineChars="0"/>
        <w:rPr>
          <w:rFonts w:asciiTheme="minorEastAsia" w:eastAsiaTheme="minorEastAsia" w:hAnsiTheme="minorEastAsia"/>
          <w:b w:val="0"/>
          <w:bCs/>
        </w:rPr>
      </w:pPr>
      <w:bookmarkStart w:id="92" w:name="_Toc64861724"/>
      <w:bookmarkStart w:id="93" w:name="_Toc52310849"/>
      <w:bookmarkStart w:id="94" w:name="_Toc91749241"/>
      <w:r w:rsidRPr="008564FF">
        <w:rPr>
          <w:rFonts w:asciiTheme="minorEastAsia" w:eastAsiaTheme="minorEastAsia" w:hAnsiTheme="minorEastAsia" w:hint="eastAsia"/>
          <w:b w:val="0"/>
        </w:rPr>
        <w:t>（</w:t>
      </w:r>
      <w:r w:rsidRPr="008564FF">
        <w:rPr>
          <w:rFonts w:asciiTheme="minorEastAsia" w:eastAsiaTheme="minorEastAsia" w:hAnsiTheme="minorEastAsia" w:hint="eastAsia"/>
          <w:b w:val="0"/>
          <w:bCs/>
        </w:rPr>
        <w:t>二</w:t>
      </w:r>
      <w:r w:rsidRPr="008564FF">
        <w:rPr>
          <w:rFonts w:asciiTheme="minorEastAsia" w:eastAsiaTheme="minorEastAsia" w:hAnsiTheme="minorEastAsia" w:hint="eastAsia"/>
          <w:b w:val="0"/>
        </w:rPr>
        <w:t>）</w:t>
      </w:r>
      <w:r w:rsidRPr="008564FF">
        <w:rPr>
          <w:rFonts w:asciiTheme="minorEastAsia" w:eastAsiaTheme="minorEastAsia" w:hAnsiTheme="minorEastAsia" w:hint="eastAsia"/>
          <w:b w:val="0"/>
          <w:bCs/>
        </w:rPr>
        <w:t>投资范围</w:t>
      </w:r>
      <w:bookmarkEnd w:id="92"/>
      <w:bookmarkEnd w:id="93"/>
      <w:bookmarkEnd w:id="94"/>
    </w:p>
    <w:p w:rsidR="003A3487" w:rsidRPr="008564FF" w:rsidP="004549E4">
      <w:pPr>
        <w:snapToGrid w:val="0"/>
        <w:spacing w:line="360" w:lineRule="auto"/>
        <w:ind w:firstLine="420" w:firstLineChars="200"/>
        <w:rPr>
          <w:rFonts w:asciiTheme="minorEastAsia" w:eastAsiaTheme="minorEastAsia" w:hAnsiTheme="minorEastAsia"/>
        </w:rPr>
      </w:pPr>
      <w:bookmarkStart w:id="95" w:name="_Toc64861725"/>
      <w:bookmarkStart w:id="96" w:name="_Toc52310850"/>
      <w:r w:rsidRPr="008564FF">
        <w:rPr>
          <w:rFonts w:asciiTheme="minorEastAsia" w:eastAsiaTheme="minorEastAsia" w:hAnsiTheme="minorEastAsia" w:hint="eastAsia"/>
        </w:rPr>
        <w:t>本基金的投资范围为具有良好流动性的金融工具，包括国内依法发行、上市的股票</w:t>
      </w:r>
      <w:r w:rsidRPr="008564FF" w:rsidR="009D1A75">
        <w:rPr>
          <w:rFonts w:asciiTheme="minorEastAsia" w:eastAsiaTheme="minorEastAsia" w:hAnsiTheme="minorEastAsia" w:hint="eastAsia"/>
        </w:rPr>
        <w:t>（含存托凭证）</w:t>
      </w:r>
      <w:r w:rsidRPr="008564FF">
        <w:rPr>
          <w:rFonts w:asciiTheme="minorEastAsia" w:eastAsiaTheme="minorEastAsia" w:hAnsiTheme="minorEastAsia" w:hint="eastAsia"/>
        </w:rPr>
        <w:t>、债券、权证、资产支持证券、货币市场工具及法律法规或中国证监会允许基金投资的其他金融工具。如法律法规或监管机构以后允许基金投资其它品种，基金管理人在履行适当程序后，可以将其纳入投资范围。</w:t>
      </w:r>
    </w:p>
    <w:p w:rsidR="003A3487" w:rsidRPr="008564FF" w:rsidP="004549E4">
      <w:pPr>
        <w:snapToGrid w:val="0"/>
        <w:spacing w:line="360" w:lineRule="auto"/>
        <w:ind w:firstLine="420" w:firstLineChars="200"/>
        <w:rPr>
          <w:rFonts w:asciiTheme="minorEastAsia" w:eastAsiaTheme="minorEastAsia" w:hAnsiTheme="minorEastAsia"/>
        </w:rPr>
      </w:pPr>
      <w:r w:rsidRPr="008564FF">
        <w:rPr>
          <w:rFonts w:asciiTheme="minorEastAsia" w:eastAsiaTheme="minorEastAsia" w:hAnsiTheme="minorEastAsia" w:hint="eastAsia"/>
        </w:rPr>
        <w:t>本基金各类资产的投资比例为：股票资产占基金资产的</w:t>
      </w:r>
      <w:r w:rsidRPr="008564FF">
        <w:rPr>
          <w:rFonts w:asciiTheme="minorEastAsia" w:eastAsiaTheme="minorEastAsia" w:hAnsiTheme="minorEastAsia"/>
        </w:rPr>
        <w:t>60%</w:t>
      </w:r>
      <w:r w:rsidRPr="008564FF">
        <w:rPr>
          <w:rFonts w:asciiTheme="minorEastAsia" w:eastAsiaTheme="minorEastAsia" w:hAnsiTheme="minorEastAsia" w:hint="eastAsia"/>
        </w:rPr>
        <w:t>—</w:t>
      </w:r>
      <w:r w:rsidRPr="008564FF">
        <w:rPr>
          <w:rFonts w:asciiTheme="minorEastAsia" w:eastAsiaTheme="minorEastAsia" w:hAnsiTheme="minorEastAsia"/>
        </w:rPr>
        <w:t>95%</w:t>
      </w:r>
      <w:r w:rsidRPr="008564FF">
        <w:rPr>
          <w:rFonts w:asciiTheme="minorEastAsia" w:eastAsiaTheme="minorEastAsia" w:hAnsiTheme="minorEastAsia" w:hint="eastAsia"/>
        </w:rPr>
        <w:t>；基金持有全部权证的市值不得超过基金资产净值的</w:t>
      </w:r>
      <w:r w:rsidRPr="008564FF">
        <w:rPr>
          <w:rFonts w:asciiTheme="minorEastAsia" w:eastAsiaTheme="minorEastAsia" w:hAnsiTheme="minorEastAsia"/>
        </w:rPr>
        <w:t>3%</w:t>
      </w:r>
      <w:r w:rsidRPr="008564FF">
        <w:rPr>
          <w:rFonts w:asciiTheme="minorEastAsia" w:eastAsiaTheme="minorEastAsia" w:hAnsiTheme="minorEastAsia" w:hint="eastAsia"/>
        </w:rPr>
        <w:t>，基金保留的现金以及投资于到期日在一年以内的政府债券的比例合计不低于基金资产净值的</w:t>
      </w:r>
      <w:r w:rsidRPr="008564FF">
        <w:rPr>
          <w:rFonts w:asciiTheme="minorEastAsia" w:eastAsiaTheme="minorEastAsia" w:hAnsiTheme="minorEastAsia"/>
        </w:rPr>
        <w:t>5%</w:t>
      </w:r>
      <w:r w:rsidRPr="008564FF" w:rsidR="008A1A23">
        <w:rPr>
          <w:rFonts w:asciiTheme="minorEastAsia" w:eastAsiaTheme="minorEastAsia" w:hAnsiTheme="minorEastAsia" w:hint="eastAsia"/>
          <w:szCs w:val="21"/>
        </w:rPr>
        <w:t>，现金不包括结算备付金、存出保证金、应收申购款等</w:t>
      </w:r>
      <w:r w:rsidRPr="008564FF">
        <w:rPr>
          <w:rFonts w:asciiTheme="minorEastAsia" w:eastAsiaTheme="minorEastAsia" w:hAnsiTheme="minorEastAsia" w:hint="eastAsia"/>
        </w:rPr>
        <w:t>。本基金投资行业领先企业的资产不低于股票资产的</w:t>
      </w:r>
      <w:r w:rsidRPr="008564FF">
        <w:rPr>
          <w:rFonts w:asciiTheme="minorEastAsia" w:eastAsiaTheme="minorEastAsia" w:hAnsiTheme="minorEastAsia"/>
        </w:rPr>
        <w:t>80%</w:t>
      </w:r>
      <w:r w:rsidRPr="008564FF">
        <w:rPr>
          <w:rFonts w:asciiTheme="minorEastAsia" w:eastAsiaTheme="minorEastAsia" w:hAnsiTheme="minorEastAsia" w:hint="eastAsia"/>
        </w:rPr>
        <w:t>。</w:t>
      </w:r>
    </w:p>
    <w:p w:rsidR="003A3487" w:rsidRPr="008564FF" w:rsidP="009C2B2A">
      <w:pPr>
        <w:pStyle w:val="Heading2"/>
        <w:snapToGrid w:val="0"/>
        <w:spacing w:beforeLines="0" w:afterLines="0" w:line="360" w:lineRule="auto"/>
        <w:ind w:firstLine="0" w:firstLineChars="0"/>
        <w:rPr>
          <w:rFonts w:asciiTheme="minorEastAsia" w:eastAsiaTheme="minorEastAsia" w:hAnsiTheme="minorEastAsia"/>
          <w:b w:val="0"/>
          <w:bCs/>
        </w:rPr>
      </w:pPr>
      <w:bookmarkStart w:id="97" w:name="_Toc91749242"/>
      <w:r w:rsidRPr="008564FF">
        <w:rPr>
          <w:rFonts w:asciiTheme="minorEastAsia" w:eastAsiaTheme="minorEastAsia" w:hAnsiTheme="minorEastAsia" w:hint="eastAsia"/>
          <w:b w:val="0"/>
          <w:bCs/>
        </w:rPr>
        <w:t>（三）投资理念</w:t>
      </w:r>
      <w:bookmarkEnd w:id="95"/>
      <w:bookmarkEnd w:id="96"/>
      <w:bookmarkEnd w:id="97"/>
    </w:p>
    <w:p w:rsidR="003A3487" w:rsidRPr="008564FF" w:rsidP="004549E4">
      <w:pPr>
        <w:snapToGrid w:val="0"/>
        <w:spacing w:line="360" w:lineRule="auto"/>
        <w:ind w:firstLine="420" w:firstLineChars="200"/>
        <w:rPr>
          <w:rFonts w:asciiTheme="minorEastAsia" w:eastAsiaTheme="minorEastAsia" w:hAnsiTheme="minorEastAsia"/>
        </w:rPr>
      </w:pPr>
      <w:bookmarkStart w:id="98" w:name="_Toc64861726"/>
      <w:bookmarkStart w:id="99" w:name="_Toc52310851"/>
      <w:r w:rsidRPr="008564FF">
        <w:rPr>
          <w:rFonts w:asciiTheme="minorEastAsia" w:eastAsiaTheme="minorEastAsia" w:hAnsiTheme="minorEastAsia" w:hint="eastAsia"/>
        </w:rPr>
        <w:t>投资具有较强竞争优势的行业领先企业，争取获得高于市场平均水平的回报。</w:t>
      </w:r>
    </w:p>
    <w:p w:rsidR="003A3487" w:rsidRPr="008564FF" w:rsidP="009C2B2A">
      <w:pPr>
        <w:pStyle w:val="Heading2"/>
        <w:snapToGrid w:val="0"/>
        <w:spacing w:beforeLines="0" w:afterLines="0" w:line="360" w:lineRule="auto"/>
        <w:ind w:firstLine="0" w:firstLineChars="0"/>
        <w:rPr>
          <w:rFonts w:asciiTheme="minorEastAsia" w:eastAsiaTheme="minorEastAsia" w:hAnsiTheme="minorEastAsia"/>
          <w:b w:val="0"/>
          <w:bCs/>
        </w:rPr>
      </w:pPr>
      <w:bookmarkStart w:id="100" w:name="_Toc91749243"/>
      <w:r w:rsidRPr="008564FF">
        <w:rPr>
          <w:rFonts w:asciiTheme="minorEastAsia" w:eastAsiaTheme="minorEastAsia" w:hAnsiTheme="minorEastAsia" w:hint="eastAsia"/>
          <w:b w:val="0"/>
          <w:bCs/>
        </w:rPr>
        <w:t>（四）投资策略</w:t>
      </w:r>
      <w:bookmarkEnd w:id="100"/>
    </w:p>
    <w:p w:rsidR="003A3487" w:rsidRPr="008564FF" w:rsidP="004549E4">
      <w:pPr>
        <w:snapToGrid w:val="0"/>
        <w:spacing w:line="360" w:lineRule="auto"/>
        <w:ind w:firstLine="420"/>
        <w:rPr>
          <w:rFonts w:asciiTheme="minorEastAsia" w:eastAsiaTheme="minorEastAsia" w:hAnsiTheme="minorEastAsia"/>
          <w:b/>
          <w:bCs/>
          <w:szCs w:val="21"/>
        </w:rPr>
      </w:pPr>
      <w:bookmarkStart w:id="101" w:name="_Toc52616499"/>
      <w:bookmarkStart w:id="102" w:name="_Toc44900772"/>
      <w:r w:rsidRPr="008564FF">
        <w:rPr>
          <w:rFonts w:asciiTheme="minorEastAsia" w:eastAsiaTheme="minorEastAsia" w:hAnsiTheme="minorEastAsia"/>
          <w:b/>
          <w:bCs/>
          <w:szCs w:val="21"/>
        </w:rPr>
        <w:t>1</w:t>
      </w:r>
      <w:r w:rsidRPr="008564FF" w:rsidR="0007535E">
        <w:rPr>
          <w:rFonts w:asciiTheme="minorEastAsia" w:eastAsiaTheme="minorEastAsia" w:hAnsiTheme="minorEastAsia" w:hint="eastAsia"/>
          <w:b/>
          <w:bCs/>
          <w:szCs w:val="21"/>
        </w:rPr>
        <w:t>、</w:t>
      </w:r>
      <w:r w:rsidRPr="008564FF">
        <w:rPr>
          <w:rFonts w:asciiTheme="minorEastAsia" w:eastAsiaTheme="minorEastAsia" w:hAnsiTheme="minorEastAsia" w:hint="eastAsia"/>
          <w:b/>
          <w:bCs/>
          <w:szCs w:val="21"/>
        </w:rPr>
        <w:t>资产配置策略：</w:t>
      </w:r>
    </w:p>
    <w:p w:rsidR="003A3487" w:rsidRPr="008564FF" w:rsidP="004549E4">
      <w:pPr>
        <w:snapToGrid w:val="0"/>
        <w:spacing w:line="360" w:lineRule="auto"/>
        <w:ind w:firstLine="420" w:firstLineChars="200"/>
        <w:rPr>
          <w:rFonts w:asciiTheme="minorEastAsia" w:eastAsiaTheme="minorEastAsia" w:hAnsiTheme="minorEastAsia"/>
        </w:rPr>
      </w:pPr>
      <w:r w:rsidRPr="008564FF">
        <w:rPr>
          <w:rFonts w:asciiTheme="minorEastAsia" w:eastAsiaTheme="minorEastAsia" w:hAnsiTheme="minorEastAsia" w:hint="eastAsia"/>
        </w:rPr>
        <w:t>本基金为</w:t>
      </w:r>
      <w:r w:rsidRPr="008564FF" w:rsidR="00A85270">
        <w:rPr>
          <w:rFonts w:asciiTheme="minorEastAsia" w:eastAsiaTheme="minorEastAsia" w:hAnsiTheme="minorEastAsia" w:hint="eastAsia"/>
        </w:rPr>
        <w:t>混合</w:t>
      </w:r>
      <w:r w:rsidRPr="008564FF">
        <w:rPr>
          <w:rFonts w:asciiTheme="minorEastAsia" w:eastAsiaTheme="minorEastAsia" w:hAnsiTheme="minorEastAsia" w:hint="eastAsia"/>
        </w:rPr>
        <w:t>基金，基金各类资产的投资比例为：股票资产占基金资产的</w:t>
      </w:r>
      <w:r w:rsidRPr="008564FF">
        <w:rPr>
          <w:rFonts w:asciiTheme="minorEastAsia" w:eastAsiaTheme="minorEastAsia" w:hAnsiTheme="minorEastAsia"/>
        </w:rPr>
        <w:t>60%</w:t>
      </w:r>
      <w:r w:rsidRPr="008564FF">
        <w:rPr>
          <w:rFonts w:asciiTheme="minorEastAsia" w:eastAsiaTheme="minorEastAsia" w:hAnsiTheme="minorEastAsia" w:hint="eastAsia"/>
        </w:rPr>
        <w:t>—</w:t>
      </w:r>
      <w:r w:rsidRPr="008564FF">
        <w:rPr>
          <w:rFonts w:asciiTheme="minorEastAsia" w:eastAsiaTheme="minorEastAsia" w:hAnsiTheme="minorEastAsia"/>
        </w:rPr>
        <w:t>95%</w:t>
      </w:r>
      <w:r w:rsidRPr="008564FF">
        <w:rPr>
          <w:rFonts w:asciiTheme="minorEastAsia" w:eastAsiaTheme="minorEastAsia" w:hAnsiTheme="minorEastAsia" w:hint="eastAsia"/>
        </w:rPr>
        <w:t>；基金持有全部权证的市值不得超过基金资产净值的</w:t>
      </w:r>
      <w:r w:rsidRPr="008564FF">
        <w:rPr>
          <w:rFonts w:asciiTheme="minorEastAsia" w:eastAsiaTheme="minorEastAsia" w:hAnsiTheme="minorEastAsia"/>
        </w:rPr>
        <w:t>3%</w:t>
      </w:r>
      <w:r w:rsidRPr="008564FF">
        <w:rPr>
          <w:rFonts w:asciiTheme="minorEastAsia" w:eastAsiaTheme="minorEastAsia" w:hAnsiTheme="minorEastAsia" w:hint="eastAsia"/>
        </w:rPr>
        <w:t>，基金保留的现金以及投资于到期日在一年以内的政府债券的比例合计不低于基金资产净值的</w:t>
      </w:r>
      <w:r w:rsidRPr="008564FF">
        <w:rPr>
          <w:rFonts w:asciiTheme="minorEastAsia" w:eastAsiaTheme="minorEastAsia" w:hAnsiTheme="minorEastAsia"/>
        </w:rPr>
        <w:t>5%</w:t>
      </w:r>
      <w:r w:rsidRPr="008564FF">
        <w:rPr>
          <w:rFonts w:asciiTheme="minorEastAsia" w:eastAsiaTheme="minorEastAsia" w:hAnsiTheme="minorEastAsia" w:hint="eastAsia"/>
        </w:rPr>
        <w:t>。本基金投资行业领先企业的资产不低于股票资产的</w:t>
      </w:r>
      <w:r w:rsidRPr="008564FF">
        <w:rPr>
          <w:rFonts w:asciiTheme="minorEastAsia" w:eastAsiaTheme="minorEastAsia" w:hAnsiTheme="minorEastAsia"/>
        </w:rPr>
        <w:t>80%</w:t>
      </w:r>
      <w:r w:rsidRPr="008564FF">
        <w:rPr>
          <w:rFonts w:asciiTheme="minorEastAsia" w:eastAsiaTheme="minorEastAsia" w:hAnsiTheme="minorEastAsia" w:hint="eastAsia"/>
        </w:rPr>
        <w:t>。</w:t>
      </w:r>
    </w:p>
    <w:p w:rsidR="003A3487" w:rsidRPr="008564FF" w:rsidP="004549E4">
      <w:pPr>
        <w:snapToGrid w:val="0"/>
        <w:spacing w:line="360" w:lineRule="auto"/>
        <w:ind w:firstLine="420" w:firstLineChars="200"/>
        <w:rPr>
          <w:rFonts w:asciiTheme="minorEastAsia" w:eastAsiaTheme="minorEastAsia" w:hAnsiTheme="minorEastAsia"/>
        </w:rPr>
      </w:pPr>
      <w:r w:rsidRPr="008564FF">
        <w:rPr>
          <w:rFonts w:asciiTheme="minorEastAsia" w:eastAsiaTheme="minorEastAsia" w:hAnsiTheme="minorEastAsia" w:hint="eastAsia"/>
        </w:rPr>
        <w:t>在以上战略性资产配置的基础上，本基金基于定量与定性相结合的宏观及市场分析，进行战术性资产配置，确定组合中股票、债券、货币市场工具及其他金融工具的比例，追求更高收益，回避市场风险。</w:t>
      </w:r>
    </w:p>
    <w:p w:rsidR="003A3487" w:rsidRPr="008564FF" w:rsidP="004549E4">
      <w:pPr>
        <w:snapToGrid w:val="0"/>
        <w:spacing w:line="360" w:lineRule="auto"/>
        <w:ind w:firstLine="420" w:firstLineChars="200"/>
        <w:rPr>
          <w:rFonts w:asciiTheme="minorEastAsia" w:eastAsiaTheme="minorEastAsia" w:hAnsiTheme="minorEastAsia"/>
        </w:rPr>
      </w:pPr>
      <w:r w:rsidRPr="008564FF">
        <w:rPr>
          <w:rFonts w:asciiTheme="minorEastAsia" w:eastAsiaTheme="minorEastAsia" w:hAnsiTheme="minorEastAsia" w:hint="eastAsia"/>
        </w:rPr>
        <w:t>在资产配置中，本基金主要考虑（</w:t>
      </w:r>
      <w:r w:rsidRPr="008564FF">
        <w:rPr>
          <w:rFonts w:asciiTheme="minorEastAsia" w:eastAsiaTheme="minorEastAsia" w:hAnsiTheme="minorEastAsia"/>
        </w:rPr>
        <w:t>1</w:t>
      </w:r>
      <w:r w:rsidRPr="008564FF">
        <w:rPr>
          <w:rFonts w:asciiTheme="minorEastAsia" w:eastAsiaTheme="minorEastAsia" w:hAnsiTheme="minorEastAsia" w:hint="eastAsia"/>
        </w:rPr>
        <w:t>）宏观经济指标，包括</w:t>
      </w:r>
      <w:r w:rsidRPr="008564FF">
        <w:rPr>
          <w:rFonts w:asciiTheme="minorEastAsia" w:eastAsiaTheme="minorEastAsia" w:hAnsiTheme="minorEastAsia"/>
        </w:rPr>
        <w:t>GDP</w:t>
      </w:r>
      <w:r w:rsidRPr="008564FF">
        <w:rPr>
          <w:rFonts w:asciiTheme="minorEastAsia" w:eastAsiaTheme="minorEastAsia" w:hAnsiTheme="minorEastAsia" w:hint="eastAsia"/>
        </w:rPr>
        <w:t>增长率、工业增加值、</w:t>
      </w:r>
      <w:r w:rsidRPr="008564FF">
        <w:rPr>
          <w:rFonts w:asciiTheme="minorEastAsia" w:eastAsiaTheme="minorEastAsia" w:hAnsiTheme="minorEastAsia"/>
        </w:rPr>
        <w:t>PPI</w:t>
      </w:r>
      <w:r w:rsidRPr="008564FF">
        <w:rPr>
          <w:rFonts w:asciiTheme="minorEastAsia" w:eastAsiaTheme="minorEastAsia" w:hAnsiTheme="minorEastAsia" w:hint="eastAsia"/>
        </w:rPr>
        <w:t>、</w:t>
      </w:r>
      <w:r w:rsidRPr="008564FF">
        <w:rPr>
          <w:rFonts w:asciiTheme="minorEastAsia" w:eastAsiaTheme="minorEastAsia" w:hAnsiTheme="minorEastAsia"/>
        </w:rPr>
        <w:t>CPI</w:t>
      </w:r>
      <w:r w:rsidRPr="008564FF">
        <w:rPr>
          <w:rFonts w:asciiTheme="minorEastAsia" w:eastAsiaTheme="minorEastAsia" w:hAnsiTheme="minorEastAsia" w:hint="eastAsia"/>
        </w:rPr>
        <w:t>、市场利率变化、进出口贸易数据、金融政策等，以判断经济波动对市场的影响；（</w:t>
      </w:r>
      <w:r w:rsidRPr="008564FF">
        <w:rPr>
          <w:rFonts w:asciiTheme="minorEastAsia" w:eastAsiaTheme="minorEastAsia" w:hAnsiTheme="minorEastAsia"/>
        </w:rPr>
        <w:t>2</w:t>
      </w:r>
      <w:r w:rsidRPr="008564FF">
        <w:rPr>
          <w:rFonts w:asciiTheme="minorEastAsia" w:eastAsiaTheme="minorEastAsia" w:hAnsiTheme="minorEastAsia" w:hint="eastAsia"/>
        </w:rPr>
        <w:t>）微观经济指标，包括各行业主要企业的盈利变化情况及盈利预期；（</w:t>
      </w:r>
      <w:r w:rsidRPr="008564FF">
        <w:rPr>
          <w:rFonts w:asciiTheme="minorEastAsia" w:eastAsiaTheme="minorEastAsia" w:hAnsiTheme="minorEastAsia"/>
        </w:rPr>
        <w:t>3</w:t>
      </w:r>
      <w:r w:rsidRPr="008564FF">
        <w:rPr>
          <w:rFonts w:asciiTheme="minorEastAsia" w:eastAsiaTheme="minorEastAsia" w:hAnsiTheme="minorEastAsia" w:hint="eastAsia"/>
        </w:rPr>
        <w:t>）市场方面指标，包括股票及债券市场的涨跌及预期收益率、市场整体估值水平及与国外市场的比较、市场资金供求关系及其变化；（</w:t>
      </w:r>
      <w:r w:rsidRPr="008564FF">
        <w:rPr>
          <w:rFonts w:asciiTheme="minorEastAsia" w:eastAsiaTheme="minorEastAsia" w:hAnsiTheme="minorEastAsia"/>
        </w:rPr>
        <w:t>4</w:t>
      </w:r>
      <w:r w:rsidRPr="008564FF">
        <w:rPr>
          <w:rFonts w:asciiTheme="minorEastAsia" w:eastAsiaTheme="minorEastAsia" w:hAnsiTheme="minorEastAsia" w:hint="eastAsia"/>
        </w:rPr>
        <w:t>）政策因素，与证券市场密切相关的各种政策出台对市场的影响等。</w:t>
      </w:r>
    </w:p>
    <w:p w:rsidR="003A3487" w:rsidRPr="008564FF" w:rsidP="004549E4">
      <w:pPr>
        <w:snapToGrid w:val="0"/>
        <w:spacing w:line="360" w:lineRule="auto"/>
        <w:ind w:firstLine="420" w:firstLineChars="200"/>
        <w:rPr>
          <w:rFonts w:asciiTheme="minorEastAsia" w:eastAsiaTheme="minorEastAsia" w:hAnsiTheme="minorEastAsia"/>
        </w:rPr>
      </w:pPr>
      <w:r w:rsidRPr="008564FF">
        <w:rPr>
          <w:rFonts w:asciiTheme="minorEastAsia" w:eastAsiaTheme="minorEastAsia" w:hAnsiTheme="minorEastAsia" w:hint="eastAsia"/>
        </w:rPr>
        <w:t>本基金在合同生效后六个月内达到上述规定的投资比例。</w:t>
      </w:r>
    </w:p>
    <w:p w:rsidR="003A3487" w:rsidRPr="008564FF" w:rsidP="004549E4">
      <w:pPr>
        <w:snapToGrid w:val="0"/>
        <w:spacing w:line="360" w:lineRule="auto"/>
        <w:ind w:firstLine="420"/>
        <w:rPr>
          <w:rFonts w:asciiTheme="minorEastAsia" w:eastAsiaTheme="minorEastAsia" w:hAnsiTheme="minorEastAsia"/>
          <w:b/>
          <w:bCs/>
          <w:szCs w:val="21"/>
        </w:rPr>
      </w:pPr>
      <w:r w:rsidRPr="008564FF">
        <w:rPr>
          <w:rFonts w:asciiTheme="minorEastAsia" w:eastAsiaTheme="minorEastAsia" w:hAnsiTheme="minorEastAsia"/>
          <w:b/>
          <w:bCs/>
          <w:szCs w:val="21"/>
        </w:rPr>
        <w:t>2</w:t>
      </w:r>
      <w:r w:rsidRPr="008564FF" w:rsidR="0007535E">
        <w:rPr>
          <w:rFonts w:asciiTheme="minorEastAsia" w:eastAsiaTheme="minorEastAsia" w:hAnsiTheme="minorEastAsia" w:hint="eastAsia"/>
          <w:b/>
          <w:bCs/>
          <w:szCs w:val="21"/>
        </w:rPr>
        <w:t>、</w:t>
      </w:r>
      <w:r w:rsidRPr="008564FF">
        <w:rPr>
          <w:rFonts w:asciiTheme="minorEastAsia" w:eastAsiaTheme="minorEastAsia" w:hAnsiTheme="minorEastAsia" w:hint="eastAsia"/>
          <w:b/>
          <w:bCs/>
          <w:szCs w:val="21"/>
        </w:rPr>
        <w:t>股票投资策略</w:t>
      </w:r>
    </w:p>
    <w:p w:rsidR="003A3487" w:rsidRPr="008564FF" w:rsidP="00485893">
      <w:pPr>
        <w:snapToGrid w:val="0"/>
        <w:spacing w:line="360" w:lineRule="auto"/>
        <w:ind w:firstLine="420"/>
        <w:rPr>
          <w:rFonts w:asciiTheme="minorEastAsia" w:eastAsiaTheme="minorEastAsia" w:hAnsiTheme="minorEastAsia"/>
          <w:b/>
          <w:bCs/>
          <w:szCs w:val="21"/>
        </w:rPr>
      </w:pPr>
      <w:r w:rsidRPr="008564FF">
        <w:rPr>
          <w:rFonts w:asciiTheme="minorEastAsia" w:eastAsiaTheme="minorEastAsia" w:hAnsiTheme="minorEastAsia" w:hint="eastAsia"/>
          <w:b/>
          <w:bCs/>
          <w:szCs w:val="21"/>
        </w:rPr>
        <w:t>（1）行业配置策略</w:t>
      </w:r>
    </w:p>
    <w:p w:rsidR="003A3487" w:rsidRPr="008564FF" w:rsidP="004549E4">
      <w:pPr>
        <w:snapToGrid w:val="0"/>
        <w:spacing w:line="360" w:lineRule="auto"/>
        <w:ind w:firstLine="420" w:firstLineChars="200"/>
        <w:rPr>
          <w:rFonts w:asciiTheme="minorEastAsia" w:eastAsiaTheme="minorEastAsia" w:hAnsiTheme="minorEastAsia"/>
        </w:rPr>
      </w:pPr>
      <w:r w:rsidRPr="008564FF">
        <w:rPr>
          <w:rFonts w:asciiTheme="minorEastAsia" w:eastAsiaTheme="minorEastAsia" w:hAnsiTheme="minorEastAsia" w:hint="eastAsia"/>
        </w:rPr>
        <w:t>本基金管理人以证监会《上市公司行业分类指引》为依据，进行股票的大类行业划分，当企业的营业收入结构和利润来源结构发生较大变化时，进行行业划分的调整。当市场出现更权威的行业分类标准时，本管理人将根据投资目标和投资策略的需要，选择更适合的行业分类标准。</w:t>
      </w:r>
    </w:p>
    <w:p w:rsidR="003A3487" w:rsidRPr="008564FF" w:rsidP="004549E4">
      <w:pPr>
        <w:snapToGrid w:val="0"/>
        <w:spacing w:line="360" w:lineRule="auto"/>
        <w:ind w:firstLine="200"/>
        <w:rPr>
          <w:rFonts w:asciiTheme="minorEastAsia" w:eastAsiaTheme="minorEastAsia" w:hAnsiTheme="minorEastAsia"/>
          <w:szCs w:val="21"/>
        </w:rPr>
      </w:pPr>
      <w:r w:rsidRPr="008564FF">
        <w:rPr>
          <w:rFonts w:asciiTheme="minorEastAsia" w:eastAsiaTheme="minorEastAsia" w:hAnsiTheme="minorEastAsia" w:hint="eastAsia"/>
          <w:szCs w:val="21"/>
        </w:rPr>
        <w:t>本基金管理人通过“易方达行业投资评级体系”，对各大类行业定期进行综合评估，得出对各行业前景的短期及中长期评价，并根据评估结果，制定以及调整行业资产配置比例。</w:t>
      </w:r>
    </w:p>
    <w:p w:rsidR="003A3487" w:rsidRPr="008564FF" w:rsidP="004549E4">
      <w:pPr>
        <w:snapToGrid w:val="0"/>
        <w:spacing w:line="360" w:lineRule="auto"/>
        <w:ind w:firstLine="200"/>
        <w:rPr>
          <w:rFonts w:asciiTheme="minorEastAsia" w:eastAsiaTheme="minorEastAsia" w:hAnsiTheme="minorEastAsia"/>
          <w:szCs w:val="21"/>
        </w:rPr>
      </w:pPr>
      <w:r w:rsidRPr="008564FF">
        <w:rPr>
          <w:rFonts w:asciiTheme="minorEastAsia" w:eastAsiaTheme="minorEastAsia" w:hAnsiTheme="minorEastAsia" w:hint="eastAsia"/>
          <w:szCs w:val="21"/>
        </w:rPr>
        <w:t>本基金管理人根据各行业特点，从五个方面建立行业投资评级体系，主要包括：</w:t>
      </w:r>
    </w:p>
    <w:p w:rsidR="003A3487" w:rsidRPr="008564FF" w:rsidP="004549E4">
      <w:pPr>
        <w:numPr>
          <w:ilvl w:val="2"/>
          <w:numId w:val="6"/>
        </w:numPr>
        <w:tabs>
          <w:tab w:val="num" w:pos="851"/>
        </w:tabs>
        <w:snapToGrid w:val="0"/>
        <w:spacing w:line="360" w:lineRule="auto"/>
        <w:ind w:hanging="834"/>
        <w:rPr>
          <w:rFonts w:asciiTheme="minorEastAsia" w:eastAsiaTheme="minorEastAsia" w:hAnsiTheme="minorEastAsia"/>
          <w:szCs w:val="21"/>
        </w:rPr>
      </w:pPr>
      <w:r w:rsidRPr="008564FF">
        <w:rPr>
          <w:rFonts w:asciiTheme="minorEastAsia" w:eastAsiaTheme="minorEastAsia" w:hAnsiTheme="minorEastAsia" w:hint="eastAsia"/>
          <w:szCs w:val="21"/>
        </w:rPr>
        <w:t>宏观经济的影响。主要分析</w:t>
      </w:r>
    </w:p>
    <w:p w:rsidR="003A3487" w:rsidRPr="008564FF" w:rsidP="004549E4">
      <w:pPr>
        <w:numPr>
          <w:ilvl w:val="0"/>
          <w:numId w:val="7"/>
        </w:numPr>
        <w:tabs>
          <w:tab w:val="num" w:pos="1276"/>
        </w:tabs>
        <w:snapToGrid w:val="0"/>
        <w:spacing w:line="360" w:lineRule="auto"/>
        <w:ind w:hanging="829"/>
        <w:rPr>
          <w:rFonts w:asciiTheme="minorEastAsia" w:eastAsiaTheme="minorEastAsia" w:hAnsiTheme="minorEastAsia"/>
          <w:szCs w:val="21"/>
        </w:rPr>
      </w:pPr>
      <w:r w:rsidRPr="008564FF">
        <w:rPr>
          <w:rFonts w:asciiTheme="minorEastAsia" w:eastAsiaTheme="minorEastAsia" w:hAnsiTheme="minorEastAsia" w:hint="eastAsia"/>
          <w:szCs w:val="21"/>
        </w:rPr>
        <w:t>当前宏观经济形势对行业的影响；</w:t>
      </w:r>
    </w:p>
    <w:p w:rsidR="003A3487" w:rsidRPr="008564FF" w:rsidP="004549E4">
      <w:pPr>
        <w:numPr>
          <w:ilvl w:val="0"/>
          <w:numId w:val="7"/>
        </w:numPr>
        <w:tabs>
          <w:tab w:val="num" w:pos="1276"/>
        </w:tabs>
        <w:snapToGrid w:val="0"/>
        <w:spacing w:line="360" w:lineRule="auto"/>
        <w:ind w:hanging="829"/>
        <w:rPr>
          <w:rFonts w:asciiTheme="minorEastAsia" w:eastAsiaTheme="minorEastAsia" w:hAnsiTheme="minorEastAsia"/>
          <w:szCs w:val="21"/>
        </w:rPr>
      </w:pPr>
      <w:r w:rsidRPr="008564FF">
        <w:rPr>
          <w:rFonts w:asciiTheme="minorEastAsia" w:eastAsiaTheme="minorEastAsia" w:hAnsiTheme="minorEastAsia" w:hint="eastAsia"/>
          <w:szCs w:val="21"/>
        </w:rPr>
        <w:t>经济周期与行业发展的相关性；</w:t>
      </w:r>
    </w:p>
    <w:p w:rsidR="003A3487" w:rsidRPr="008564FF" w:rsidP="004549E4">
      <w:pPr>
        <w:numPr>
          <w:ilvl w:val="0"/>
          <w:numId w:val="7"/>
        </w:numPr>
        <w:tabs>
          <w:tab w:val="num" w:pos="1276"/>
        </w:tabs>
        <w:snapToGrid w:val="0"/>
        <w:spacing w:line="360" w:lineRule="auto"/>
        <w:ind w:hanging="829"/>
        <w:rPr>
          <w:rFonts w:asciiTheme="minorEastAsia" w:eastAsiaTheme="minorEastAsia" w:hAnsiTheme="minorEastAsia"/>
          <w:szCs w:val="21"/>
        </w:rPr>
      </w:pPr>
      <w:r w:rsidRPr="008564FF">
        <w:rPr>
          <w:rFonts w:asciiTheme="minorEastAsia" w:eastAsiaTheme="minorEastAsia" w:hAnsiTheme="minorEastAsia" w:hint="eastAsia"/>
          <w:szCs w:val="21"/>
        </w:rPr>
        <w:t>行业本身的周期等。</w:t>
      </w:r>
    </w:p>
    <w:p w:rsidR="003A3487" w:rsidRPr="008564FF" w:rsidP="004549E4">
      <w:pPr>
        <w:numPr>
          <w:ilvl w:val="2"/>
          <w:numId w:val="6"/>
        </w:numPr>
        <w:tabs>
          <w:tab w:val="num" w:pos="851"/>
        </w:tabs>
        <w:snapToGrid w:val="0"/>
        <w:spacing w:line="360" w:lineRule="auto"/>
        <w:ind w:hanging="834"/>
        <w:rPr>
          <w:rFonts w:asciiTheme="minorEastAsia" w:eastAsiaTheme="minorEastAsia" w:hAnsiTheme="minorEastAsia"/>
          <w:szCs w:val="21"/>
        </w:rPr>
      </w:pPr>
      <w:r w:rsidRPr="008564FF">
        <w:rPr>
          <w:rFonts w:asciiTheme="minorEastAsia" w:eastAsiaTheme="minorEastAsia" w:hAnsiTheme="minorEastAsia" w:hint="eastAsia"/>
          <w:szCs w:val="21"/>
        </w:rPr>
        <w:t>产业政策的影响。主要分析</w:t>
      </w:r>
    </w:p>
    <w:p w:rsidR="003A3487" w:rsidRPr="008564FF" w:rsidP="004549E4">
      <w:pPr>
        <w:numPr>
          <w:ilvl w:val="0"/>
          <w:numId w:val="7"/>
        </w:numPr>
        <w:tabs>
          <w:tab w:val="num" w:pos="1276"/>
        </w:tabs>
        <w:snapToGrid w:val="0"/>
        <w:spacing w:line="360" w:lineRule="auto"/>
        <w:ind w:hanging="829"/>
        <w:rPr>
          <w:rFonts w:asciiTheme="minorEastAsia" w:eastAsiaTheme="minorEastAsia" w:hAnsiTheme="minorEastAsia"/>
          <w:szCs w:val="21"/>
        </w:rPr>
      </w:pPr>
      <w:r w:rsidRPr="008564FF">
        <w:rPr>
          <w:rFonts w:asciiTheme="minorEastAsia" w:eastAsiaTheme="minorEastAsia" w:hAnsiTheme="minorEastAsia" w:hint="eastAsia"/>
          <w:szCs w:val="21"/>
        </w:rPr>
        <w:t>国家产业政策对行业的支持或限制态度；</w:t>
      </w:r>
    </w:p>
    <w:p w:rsidR="003A3487" w:rsidRPr="008564FF" w:rsidP="004549E4">
      <w:pPr>
        <w:numPr>
          <w:ilvl w:val="0"/>
          <w:numId w:val="7"/>
        </w:numPr>
        <w:tabs>
          <w:tab w:val="num" w:pos="1276"/>
        </w:tabs>
        <w:snapToGrid w:val="0"/>
        <w:spacing w:line="360" w:lineRule="auto"/>
        <w:ind w:hanging="829"/>
        <w:rPr>
          <w:rFonts w:asciiTheme="minorEastAsia" w:eastAsiaTheme="minorEastAsia" w:hAnsiTheme="minorEastAsia"/>
          <w:szCs w:val="21"/>
        </w:rPr>
      </w:pPr>
      <w:r w:rsidRPr="008564FF">
        <w:rPr>
          <w:rFonts w:asciiTheme="minorEastAsia" w:eastAsiaTheme="minorEastAsia" w:hAnsiTheme="minorEastAsia" w:hint="eastAsia"/>
          <w:szCs w:val="21"/>
        </w:rPr>
        <w:t>产业政策对企业效益的影响程度。</w:t>
      </w:r>
    </w:p>
    <w:p w:rsidR="003A3487" w:rsidRPr="008564FF" w:rsidP="004549E4">
      <w:pPr>
        <w:numPr>
          <w:ilvl w:val="2"/>
          <w:numId w:val="6"/>
        </w:numPr>
        <w:tabs>
          <w:tab w:val="num" w:pos="851"/>
        </w:tabs>
        <w:snapToGrid w:val="0"/>
        <w:spacing w:line="360" w:lineRule="auto"/>
        <w:ind w:hanging="834"/>
        <w:rPr>
          <w:rFonts w:asciiTheme="minorEastAsia" w:eastAsiaTheme="minorEastAsia" w:hAnsiTheme="minorEastAsia"/>
          <w:szCs w:val="21"/>
        </w:rPr>
      </w:pPr>
      <w:r w:rsidRPr="008564FF">
        <w:rPr>
          <w:rFonts w:asciiTheme="minorEastAsia" w:eastAsiaTheme="minorEastAsia" w:hAnsiTheme="minorEastAsia" w:hint="eastAsia"/>
          <w:szCs w:val="21"/>
        </w:rPr>
        <w:t>行业成长性分析。主要分析</w:t>
      </w:r>
    </w:p>
    <w:p w:rsidR="003A3487" w:rsidRPr="008564FF" w:rsidP="004549E4">
      <w:pPr>
        <w:numPr>
          <w:ilvl w:val="0"/>
          <w:numId w:val="7"/>
        </w:numPr>
        <w:tabs>
          <w:tab w:val="num" w:pos="1276"/>
        </w:tabs>
        <w:snapToGrid w:val="0"/>
        <w:spacing w:line="360" w:lineRule="auto"/>
        <w:ind w:hanging="829"/>
        <w:rPr>
          <w:rFonts w:asciiTheme="minorEastAsia" w:eastAsiaTheme="minorEastAsia" w:hAnsiTheme="minorEastAsia"/>
          <w:szCs w:val="21"/>
        </w:rPr>
      </w:pPr>
      <w:r w:rsidRPr="008564FF">
        <w:rPr>
          <w:rFonts w:asciiTheme="minorEastAsia" w:eastAsiaTheme="minorEastAsia" w:hAnsiTheme="minorEastAsia" w:hint="eastAsia"/>
          <w:szCs w:val="21"/>
        </w:rPr>
        <w:t>国民经济发展与行业增长的关联度；</w:t>
      </w:r>
    </w:p>
    <w:p w:rsidR="003A3487" w:rsidRPr="008564FF" w:rsidP="004549E4">
      <w:pPr>
        <w:numPr>
          <w:ilvl w:val="0"/>
          <w:numId w:val="7"/>
        </w:numPr>
        <w:tabs>
          <w:tab w:val="num" w:pos="1276"/>
        </w:tabs>
        <w:snapToGrid w:val="0"/>
        <w:spacing w:line="360" w:lineRule="auto"/>
        <w:ind w:left="1276" w:hanging="425"/>
        <w:rPr>
          <w:rFonts w:asciiTheme="minorEastAsia" w:eastAsiaTheme="minorEastAsia" w:hAnsiTheme="minorEastAsia"/>
          <w:szCs w:val="21"/>
        </w:rPr>
      </w:pPr>
      <w:r w:rsidRPr="008564FF">
        <w:rPr>
          <w:rFonts w:asciiTheme="minorEastAsia" w:eastAsiaTheme="minorEastAsia" w:hAnsiTheme="minorEastAsia" w:hint="eastAsia"/>
          <w:szCs w:val="21"/>
        </w:rPr>
        <w:t>行业的发展空间、增长速度以及可持续的时间：主要研究行业整体供求状况的变化趋势，包括：当前是供给过剩、供求平衡还是供不应求，需求增长与生产能力增长和进出口贸易增长的关系；</w:t>
      </w:r>
    </w:p>
    <w:p w:rsidR="003A3487" w:rsidRPr="008564FF" w:rsidP="004549E4">
      <w:pPr>
        <w:numPr>
          <w:ilvl w:val="0"/>
          <w:numId w:val="7"/>
        </w:numPr>
        <w:tabs>
          <w:tab w:val="num" w:pos="1276"/>
        </w:tabs>
        <w:snapToGrid w:val="0"/>
        <w:spacing w:line="360" w:lineRule="auto"/>
        <w:ind w:hanging="829"/>
        <w:rPr>
          <w:rFonts w:asciiTheme="minorEastAsia" w:eastAsiaTheme="minorEastAsia" w:hAnsiTheme="minorEastAsia"/>
          <w:szCs w:val="21"/>
        </w:rPr>
      </w:pPr>
      <w:r w:rsidRPr="008564FF">
        <w:rPr>
          <w:rFonts w:asciiTheme="minorEastAsia" w:eastAsiaTheme="minorEastAsia" w:hAnsiTheme="minorEastAsia" w:hint="eastAsia"/>
          <w:szCs w:val="21"/>
        </w:rPr>
        <w:t>国内外行业的景气度及变化趋势；</w:t>
      </w:r>
    </w:p>
    <w:p w:rsidR="003A3487" w:rsidRPr="008564FF" w:rsidP="004549E4">
      <w:pPr>
        <w:numPr>
          <w:ilvl w:val="0"/>
          <w:numId w:val="7"/>
        </w:numPr>
        <w:tabs>
          <w:tab w:val="num" w:pos="1276"/>
        </w:tabs>
        <w:snapToGrid w:val="0"/>
        <w:spacing w:line="360" w:lineRule="auto"/>
        <w:ind w:hanging="829"/>
        <w:rPr>
          <w:rFonts w:asciiTheme="minorEastAsia" w:eastAsiaTheme="minorEastAsia" w:hAnsiTheme="minorEastAsia"/>
          <w:szCs w:val="21"/>
        </w:rPr>
      </w:pPr>
      <w:r w:rsidRPr="008564FF">
        <w:rPr>
          <w:rFonts w:asciiTheme="minorEastAsia" w:eastAsiaTheme="minorEastAsia" w:hAnsiTheme="minorEastAsia" w:hint="eastAsia"/>
          <w:szCs w:val="21"/>
        </w:rPr>
        <w:t>国内行业产业结构的演变趋势以及对行业利润率的影响；</w:t>
      </w:r>
    </w:p>
    <w:p w:rsidR="003A3487" w:rsidRPr="008564FF" w:rsidP="004549E4">
      <w:pPr>
        <w:numPr>
          <w:ilvl w:val="0"/>
          <w:numId w:val="7"/>
        </w:numPr>
        <w:tabs>
          <w:tab w:val="num" w:pos="1276"/>
        </w:tabs>
        <w:snapToGrid w:val="0"/>
        <w:spacing w:line="360" w:lineRule="auto"/>
        <w:ind w:hanging="829"/>
        <w:rPr>
          <w:rFonts w:asciiTheme="minorEastAsia" w:eastAsiaTheme="minorEastAsia" w:hAnsiTheme="minorEastAsia"/>
          <w:szCs w:val="21"/>
        </w:rPr>
      </w:pPr>
      <w:r w:rsidRPr="008564FF">
        <w:rPr>
          <w:rFonts w:asciiTheme="minorEastAsia" w:eastAsiaTheme="minorEastAsia" w:hAnsiTheme="minorEastAsia" w:hint="eastAsia"/>
          <w:szCs w:val="21"/>
        </w:rPr>
        <w:t>出现重大技术突破的可能性及对行业的影响。</w:t>
      </w:r>
    </w:p>
    <w:p w:rsidR="003A3487" w:rsidRPr="008564FF" w:rsidP="004549E4">
      <w:pPr>
        <w:numPr>
          <w:ilvl w:val="2"/>
          <w:numId w:val="6"/>
        </w:numPr>
        <w:tabs>
          <w:tab w:val="num" w:pos="851"/>
        </w:tabs>
        <w:snapToGrid w:val="0"/>
        <w:spacing w:line="360" w:lineRule="auto"/>
        <w:ind w:hanging="834"/>
        <w:rPr>
          <w:rFonts w:asciiTheme="minorEastAsia" w:eastAsiaTheme="minorEastAsia" w:hAnsiTheme="minorEastAsia"/>
          <w:szCs w:val="21"/>
        </w:rPr>
      </w:pPr>
      <w:r w:rsidRPr="008564FF">
        <w:rPr>
          <w:rFonts w:asciiTheme="minorEastAsia" w:eastAsiaTheme="minorEastAsia" w:hAnsiTheme="minorEastAsia" w:hint="eastAsia"/>
          <w:szCs w:val="21"/>
        </w:rPr>
        <w:t>市场竞争状况分析。主要分析</w:t>
      </w:r>
    </w:p>
    <w:p w:rsidR="003A3487" w:rsidRPr="008564FF" w:rsidP="004549E4">
      <w:pPr>
        <w:numPr>
          <w:ilvl w:val="0"/>
          <w:numId w:val="7"/>
        </w:numPr>
        <w:tabs>
          <w:tab w:val="num" w:pos="1276"/>
        </w:tabs>
        <w:snapToGrid w:val="0"/>
        <w:spacing w:line="360" w:lineRule="auto"/>
        <w:ind w:hanging="829"/>
        <w:rPr>
          <w:rFonts w:asciiTheme="minorEastAsia" w:eastAsiaTheme="minorEastAsia" w:hAnsiTheme="minorEastAsia"/>
          <w:szCs w:val="21"/>
        </w:rPr>
      </w:pPr>
      <w:r w:rsidRPr="008564FF">
        <w:rPr>
          <w:rFonts w:asciiTheme="minorEastAsia" w:eastAsiaTheme="minorEastAsia" w:hAnsiTheme="minorEastAsia" w:hint="eastAsia"/>
          <w:szCs w:val="21"/>
        </w:rPr>
        <w:t>行业的集中度及变化趋势；</w:t>
      </w:r>
    </w:p>
    <w:p w:rsidR="003A3487" w:rsidRPr="008564FF" w:rsidP="004549E4">
      <w:pPr>
        <w:numPr>
          <w:ilvl w:val="0"/>
          <w:numId w:val="7"/>
        </w:numPr>
        <w:tabs>
          <w:tab w:val="num" w:pos="1276"/>
        </w:tabs>
        <w:snapToGrid w:val="0"/>
        <w:spacing w:line="360" w:lineRule="auto"/>
        <w:ind w:hanging="829"/>
        <w:rPr>
          <w:rFonts w:asciiTheme="minorEastAsia" w:eastAsiaTheme="minorEastAsia" w:hAnsiTheme="minorEastAsia"/>
          <w:szCs w:val="21"/>
        </w:rPr>
      </w:pPr>
      <w:r w:rsidRPr="008564FF">
        <w:rPr>
          <w:rFonts w:asciiTheme="minorEastAsia" w:eastAsiaTheme="minorEastAsia" w:hAnsiTheme="minorEastAsia" w:hint="eastAsia"/>
          <w:szCs w:val="21"/>
        </w:rPr>
        <w:t>进出入壁垒的强弱；</w:t>
      </w:r>
    </w:p>
    <w:p w:rsidR="003A3487" w:rsidRPr="008564FF" w:rsidP="004549E4">
      <w:pPr>
        <w:numPr>
          <w:ilvl w:val="0"/>
          <w:numId w:val="7"/>
        </w:numPr>
        <w:tabs>
          <w:tab w:val="num" w:pos="1276"/>
        </w:tabs>
        <w:snapToGrid w:val="0"/>
        <w:spacing w:line="360" w:lineRule="auto"/>
        <w:ind w:hanging="829"/>
        <w:rPr>
          <w:rFonts w:asciiTheme="minorEastAsia" w:eastAsiaTheme="minorEastAsia" w:hAnsiTheme="minorEastAsia"/>
          <w:szCs w:val="21"/>
        </w:rPr>
      </w:pPr>
      <w:r w:rsidRPr="008564FF">
        <w:rPr>
          <w:rFonts w:asciiTheme="minorEastAsia" w:eastAsiaTheme="minorEastAsia" w:hAnsiTheme="minorEastAsia" w:hint="eastAsia"/>
          <w:szCs w:val="21"/>
        </w:rPr>
        <w:t>替代产品对行业的威胁；</w:t>
      </w:r>
    </w:p>
    <w:p w:rsidR="003A3487" w:rsidRPr="008564FF" w:rsidP="004549E4">
      <w:pPr>
        <w:numPr>
          <w:ilvl w:val="0"/>
          <w:numId w:val="7"/>
        </w:numPr>
        <w:tabs>
          <w:tab w:val="num" w:pos="1276"/>
        </w:tabs>
        <w:snapToGrid w:val="0"/>
        <w:spacing w:line="360" w:lineRule="auto"/>
        <w:ind w:hanging="829"/>
        <w:rPr>
          <w:rFonts w:asciiTheme="minorEastAsia" w:eastAsiaTheme="minorEastAsia" w:hAnsiTheme="minorEastAsia"/>
          <w:szCs w:val="21"/>
        </w:rPr>
      </w:pPr>
      <w:r w:rsidRPr="008564FF">
        <w:rPr>
          <w:rFonts w:asciiTheme="minorEastAsia" w:eastAsiaTheme="minorEastAsia" w:hAnsiTheme="minorEastAsia" w:hint="eastAsia"/>
          <w:szCs w:val="21"/>
        </w:rPr>
        <w:t>上下游行业的景气度及议价能力；</w:t>
      </w:r>
    </w:p>
    <w:p w:rsidR="003A3487" w:rsidRPr="008564FF" w:rsidP="004549E4">
      <w:pPr>
        <w:numPr>
          <w:ilvl w:val="0"/>
          <w:numId w:val="7"/>
        </w:numPr>
        <w:tabs>
          <w:tab w:val="num" w:pos="1276"/>
        </w:tabs>
        <w:snapToGrid w:val="0"/>
        <w:spacing w:line="360" w:lineRule="auto"/>
        <w:ind w:hanging="829"/>
        <w:rPr>
          <w:rFonts w:asciiTheme="minorEastAsia" w:eastAsiaTheme="minorEastAsia" w:hAnsiTheme="minorEastAsia"/>
          <w:szCs w:val="21"/>
        </w:rPr>
      </w:pPr>
      <w:r w:rsidRPr="008564FF">
        <w:rPr>
          <w:rFonts w:asciiTheme="minorEastAsia" w:eastAsiaTheme="minorEastAsia" w:hAnsiTheme="minorEastAsia" w:hint="eastAsia"/>
          <w:szCs w:val="21"/>
        </w:rPr>
        <w:t>与国外企业相比，国内企业的竞争力以及进出口贸易对行业的影响等。</w:t>
      </w:r>
    </w:p>
    <w:p w:rsidR="003A3487" w:rsidRPr="008564FF" w:rsidP="004549E4">
      <w:pPr>
        <w:numPr>
          <w:ilvl w:val="2"/>
          <w:numId w:val="6"/>
        </w:numPr>
        <w:tabs>
          <w:tab w:val="num" w:pos="851"/>
        </w:tabs>
        <w:snapToGrid w:val="0"/>
        <w:spacing w:line="360" w:lineRule="auto"/>
        <w:ind w:hanging="834"/>
        <w:rPr>
          <w:rFonts w:asciiTheme="minorEastAsia" w:eastAsiaTheme="minorEastAsia" w:hAnsiTheme="minorEastAsia"/>
          <w:szCs w:val="21"/>
        </w:rPr>
      </w:pPr>
      <w:r w:rsidRPr="008564FF">
        <w:rPr>
          <w:rFonts w:asciiTheme="minorEastAsia" w:eastAsiaTheme="minorEastAsia" w:hAnsiTheme="minorEastAsia" w:hint="eastAsia"/>
          <w:szCs w:val="21"/>
        </w:rPr>
        <w:t>市场估值分析</w:t>
      </w:r>
    </w:p>
    <w:p w:rsidR="004549E4"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本基金管理人根据各行业的特点，确定适合该行业的估值方法，结合对行业成长性的判断，参考历史估值水平以及类似发展状况下代表性国家和地区行业估值水平，确定该行业合理的估值，得出行业股价高估、低估或中性的判断。</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本基金管理人既会定期对大类行业的前景进行评估，也会对细分行业及产品的前景进行</w:t>
      </w:r>
      <w:r w:rsidRPr="008564FF">
        <w:rPr>
          <w:rFonts w:asciiTheme="minorEastAsia" w:eastAsiaTheme="minorEastAsia" w:hAnsiTheme="minorEastAsia" w:hint="eastAsia"/>
          <w:szCs w:val="21"/>
        </w:rPr>
        <w:t>评价。本基金管理人将以沪深</w:t>
      </w:r>
      <w:r w:rsidRPr="008564FF">
        <w:rPr>
          <w:rFonts w:asciiTheme="minorEastAsia" w:eastAsiaTheme="minorEastAsia" w:hAnsiTheme="minorEastAsia"/>
          <w:szCs w:val="21"/>
        </w:rPr>
        <w:t>300</w:t>
      </w:r>
      <w:r w:rsidRPr="008564FF">
        <w:rPr>
          <w:rFonts w:asciiTheme="minorEastAsia" w:eastAsiaTheme="minorEastAsia" w:hAnsiTheme="minorEastAsia" w:hint="eastAsia"/>
          <w:szCs w:val="21"/>
        </w:rPr>
        <w:t>指数成份股行业权重为基础，根据评估结果，首先确定大类行业的配置比例，之后根据对细分行业或产品的前景评价，进行大类行业内部的细分行业配置。</w:t>
      </w:r>
    </w:p>
    <w:p w:rsidR="003A3487" w:rsidRPr="008564FF" w:rsidP="00485893">
      <w:pPr>
        <w:snapToGrid w:val="0"/>
        <w:spacing w:line="360" w:lineRule="auto"/>
        <w:ind w:firstLine="420" w:firstLineChars="200"/>
        <w:rPr>
          <w:rFonts w:asciiTheme="minorEastAsia" w:eastAsiaTheme="minorEastAsia" w:hAnsiTheme="minorEastAsia"/>
          <w:b/>
          <w:bCs/>
          <w:szCs w:val="21"/>
        </w:rPr>
      </w:pPr>
      <w:r w:rsidRPr="008564FF">
        <w:rPr>
          <w:rFonts w:asciiTheme="minorEastAsia" w:eastAsiaTheme="minorEastAsia" w:hAnsiTheme="minorEastAsia" w:hint="eastAsia"/>
          <w:b/>
          <w:bCs/>
          <w:szCs w:val="21"/>
        </w:rPr>
        <w:t>（2）</w:t>
      </w:r>
      <w:r w:rsidRPr="008564FF">
        <w:rPr>
          <w:rFonts w:asciiTheme="minorEastAsia" w:eastAsiaTheme="minorEastAsia" w:hAnsiTheme="minorEastAsia" w:hint="eastAsia"/>
          <w:b/>
          <w:szCs w:val="21"/>
        </w:rPr>
        <w:t>个股投资策略</w:t>
      </w:r>
    </w:p>
    <w:p w:rsidR="003A3487" w:rsidRPr="008564FF" w:rsidP="004549E4">
      <w:pPr>
        <w:snapToGrid w:val="0"/>
        <w:spacing w:line="360" w:lineRule="auto"/>
        <w:ind w:firstLine="420"/>
        <w:rPr>
          <w:rFonts w:asciiTheme="minorEastAsia" w:eastAsiaTheme="minorEastAsia" w:hAnsiTheme="minorEastAsia"/>
          <w:szCs w:val="21"/>
        </w:rPr>
      </w:pPr>
      <w:r w:rsidRPr="008564FF">
        <w:rPr>
          <w:rFonts w:asciiTheme="minorEastAsia" w:eastAsiaTheme="minorEastAsia" w:hAnsiTheme="minorEastAsia" w:hint="eastAsia"/>
          <w:szCs w:val="21"/>
        </w:rPr>
        <w:t>在行业配置的基础上，本基金将从各细分行业中选择行业领先企业，然后从行业领先企业中选择行业龙头企业和具有较高成长性的公司，构造股票组合。本基金投资于行业领先企业的资产不低于股票资产的</w:t>
      </w:r>
      <w:r w:rsidRPr="008564FF">
        <w:rPr>
          <w:rFonts w:asciiTheme="minorEastAsia" w:eastAsiaTheme="minorEastAsia" w:hAnsiTheme="minorEastAsia"/>
          <w:szCs w:val="21"/>
        </w:rPr>
        <w:t>80%</w:t>
      </w:r>
      <w:r w:rsidRPr="008564FF">
        <w:rPr>
          <w:rFonts w:asciiTheme="minorEastAsia" w:eastAsiaTheme="minorEastAsia" w:hAnsiTheme="minorEastAsia" w:hint="eastAsia"/>
          <w:szCs w:val="21"/>
        </w:rPr>
        <w:t>。</w:t>
      </w:r>
    </w:p>
    <w:p w:rsidR="003A3487" w:rsidRPr="008564FF" w:rsidP="0007535E">
      <w:pPr>
        <w:snapToGrid w:val="0"/>
        <w:spacing w:line="360" w:lineRule="auto"/>
        <w:ind w:firstLine="420" w:firstLineChars="200"/>
        <w:rPr>
          <w:rFonts w:asciiTheme="minorEastAsia" w:eastAsiaTheme="minorEastAsia" w:hAnsiTheme="minorEastAsia"/>
          <w:b/>
          <w:szCs w:val="21"/>
        </w:rPr>
      </w:pPr>
      <w:r w:rsidRPr="008564FF">
        <w:rPr>
          <w:rFonts w:asciiTheme="minorEastAsia" w:eastAsiaTheme="minorEastAsia" w:hAnsiTheme="minorEastAsia"/>
          <w:b/>
          <w:szCs w:val="21"/>
        </w:rPr>
        <w:t>1</w:t>
      </w:r>
      <w:r w:rsidRPr="008564FF">
        <w:rPr>
          <w:rFonts w:asciiTheme="minorEastAsia" w:eastAsiaTheme="minorEastAsia" w:hAnsiTheme="minorEastAsia" w:hint="eastAsia"/>
          <w:b/>
          <w:szCs w:val="21"/>
        </w:rPr>
        <w:t>）行业领先企业的选择</w:t>
      </w:r>
    </w:p>
    <w:p w:rsidR="003A3487" w:rsidRPr="008564FF" w:rsidP="004549E4">
      <w:pPr>
        <w:snapToGrid w:val="0"/>
        <w:spacing w:line="360" w:lineRule="auto"/>
        <w:ind w:firstLine="420"/>
        <w:rPr>
          <w:rFonts w:asciiTheme="minorEastAsia" w:eastAsiaTheme="minorEastAsia" w:hAnsiTheme="minorEastAsia"/>
          <w:szCs w:val="21"/>
        </w:rPr>
      </w:pPr>
      <w:r w:rsidRPr="008564FF">
        <w:rPr>
          <w:rFonts w:asciiTheme="minorEastAsia" w:eastAsiaTheme="minorEastAsia" w:hAnsiTheme="minorEastAsia" w:hint="eastAsia"/>
          <w:szCs w:val="21"/>
        </w:rPr>
        <w:t>本基金所指的行业领先企业，是在细分行业中市场占有率较高并具有较强竞争优势的企业。本基金将按以下标准选择行业领先企业：</w:t>
      </w:r>
    </w:p>
    <w:p w:rsidR="003A3487" w:rsidRPr="008564FF" w:rsidP="004549E4">
      <w:pPr>
        <w:snapToGrid w:val="0"/>
        <w:spacing w:line="360" w:lineRule="auto"/>
        <w:ind w:firstLine="420"/>
        <w:rPr>
          <w:rFonts w:asciiTheme="minorEastAsia" w:eastAsiaTheme="minorEastAsia" w:hAnsiTheme="minorEastAsia"/>
          <w:szCs w:val="21"/>
        </w:rPr>
      </w:pPr>
      <w:r w:rsidRPr="008564FF">
        <w:rPr>
          <w:rFonts w:asciiTheme="minorEastAsia" w:eastAsiaTheme="minorEastAsia" w:hAnsiTheme="minorEastAsia" w:hint="eastAsia"/>
          <w:szCs w:val="21"/>
        </w:rPr>
        <w:t>首先，参考证监会《上市公司行业分类指引》和《国民经济行业分类与代码》的分类标准，对上市公司进行行业划分，根据各行业上市公司的数量以及业务的差异性，将上市公司划分到中类或小类行业；</w:t>
      </w:r>
    </w:p>
    <w:p w:rsidR="003A3487" w:rsidRPr="008564FF" w:rsidP="004549E4">
      <w:pPr>
        <w:snapToGrid w:val="0"/>
        <w:spacing w:line="360" w:lineRule="auto"/>
        <w:ind w:firstLine="420"/>
        <w:rPr>
          <w:rFonts w:asciiTheme="minorEastAsia" w:eastAsiaTheme="minorEastAsia" w:hAnsiTheme="minorEastAsia"/>
          <w:szCs w:val="21"/>
        </w:rPr>
      </w:pPr>
      <w:r w:rsidRPr="008564FF">
        <w:rPr>
          <w:rFonts w:asciiTheme="minorEastAsia" w:eastAsiaTheme="minorEastAsia" w:hAnsiTheme="minorEastAsia" w:hint="eastAsia"/>
          <w:szCs w:val="21"/>
        </w:rPr>
        <w:t>其次，按以下标准选出在所在行业或地区市场占有率较高的企业：</w:t>
      </w:r>
    </w:p>
    <w:p w:rsidR="003A3487" w:rsidRPr="008564FF" w:rsidP="004549E4">
      <w:pPr>
        <w:numPr>
          <w:ilvl w:val="0"/>
          <w:numId w:val="8"/>
        </w:numPr>
        <w:tabs>
          <w:tab w:val="num" w:pos="851"/>
        </w:tabs>
        <w:snapToGrid w:val="0"/>
        <w:spacing w:line="360" w:lineRule="auto"/>
        <w:ind w:left="851" w:hanging="425"/>
        <w:rPr>
          <w:rFonts w:asciiTheme="minorEastAsia" w:eastAsiaTheme="minorEastAsia" w:hAnsiTheme="minorEastAsia"/>
          <w:szCs w:val="21"/>
        </w:rPr>
      </w:pPr>
      <w:r w:rsidRPr="008564FF">
        <w:rPr>
          <w:rFonts w:asciiTheme="minorEastAsia" w:eastAsiaTheme="minorEastAsia" w:hAnsiTheme="minorEastAsia" w:hint="eastAsia"/>
          <w:szCs w:val="21"/>
        </w:rPr>
        <w:t>根据上年度营业收入和营业利润，选择在所在行业收入与利润综合指标排名前</w:t>
      </w:r>
      <w:r w:rsidRPr="008564FF">
        <w:rPr>
          <w:rFonts w:asciiTheme="minorEastAsia" w:eastAsiaTheme="minorEastAsia" w:hAnsiTheme="minorEastAsia"/>
          <w:szCs w:val="21"/>
        </w:rPr>
        <w:t>1/2</w:t>
      </w:r>
      <w:r w:rsidRPr="008564FF">
        <w:rPr>
          <w:rFonts w:asciiTheme="minorEastAsia" w:eastAsiaTheme="minorEastAsia" w:hAnsiTheme="minorEastAsia" w:hint="eastAsia"/>
          <w:szCs w:val="21"/>
        </w:rPr>
        <w:t>的公司；</w:t>
      </w:r>
    </w:p>
    <w:p w:rsidR="003A3487" w:rsidRPr="008564FF" w:rsidP="004549E4">
      <w:pPr>
        <w:numPr>
          <w:ilvl w:val="0"/>
          <w:numId w:val="8"/>
        </w:numPr>
        <w:tabs>
          <w:tab w:val="num" w:pos="851"/>
        </w:tabs>
        <w:snapToGrid w:val="0"/>
        <w:spacing w:line="360" w:lineRule="auto"/>
        <w:ind w:left="851" w:hanging="425"/>
        <w:rPr>
          <w:rFonts w:asciiTheme="minorEastAsia" w:eastAsiaTheme="minorEastAsia" w:hAnsiTheme="minorEastAsia"/>
          <w:szCs w:val="21"/>
        </w:rPr>
      </w:pPr>
      <w:r w:rsidRPr="008564FF">
        <w:rPr>
          <w:rFonts w:asciiTheme="minorEastAsia" w:eastAsiaTheme="minorEastAsia" w:hAnsiTheme="minorEastAsia" w:hint="eastAsia"/>
          <w:szCs w:val="21"/>
        </w:rPr>
        <w:t>以主导产品营业收入、销售数量或生产能力等指标计算，选择市场占有率位居国内企业前</w:t>
      </w:r>
      <w:r w:rsidRPr="008564FF">
        <w:rPr>
          <w:rFonts w:asciiTheme="minorEastAsia" w:eastAsiaTheme="minorEastAsia" w:hAnsiTheme="minorEastAsia"/>
          <w:szCs w:val="21"/>
        </w:rPr>
        <w:t>20</w:t>
      </w:r>
      <w:r w:rsidRPr="008564FF">
        <w:rPr>
          <w:rFonts w:asciiTheme="minorEastAsia" w:eastAsiaTheme="minorEastAsia" w:hAnsiTheme="minorEastAsia" w:hint="eastAsia"/>
          <w:szCs w:val="21"/>
        </w:rPr>
        <w:t>位的公司；</w:t>
      </w:r>
    </w:p>
    <w:p w:rsidR="003A3487" w:rsidRPr="008564FF" w:rsidP="004549E4">
      <w:pPr>
        <w:numPr>
          <w:ilvl w:val="0"/>
          <w:numId w:val="8"/>
        </w:numPr>
        <w:tabs>
          <w:tab w:val="num" w:pos="851"/>
        </w:tabs>
        <w:snapToGrid w:val="0"/>
        <w:spacing w:line="360" w:lineRule="auto"/>
        <w:ind w:left="851" w:hanging="425"/>
        <w:rPr>
          <w:rFonts w:asciiTheme="minorEastAsia" w:eastAsiaTheme="minorEastAsia" w:hAnsiTheme="minorEastAsia"/>
          <w:szCs w:val="21"/>
        </w:rPr>
      </w:pPr>
      <w:r w:rsidRPr="008564FF">
        <w:rPr>
          <w:rFonts w:asciiTheme="minorEastAsia" w:eastAsiaTheme="minorEastAsia" w:hAnsiTheme="minorEastAsia" w:hint="eastAsia"/>
          <w:szCs w:val="21"/>
        </w:rPr>
        <w:t>在市场的地域分割特征明显的行业，例如港口业、机场及航空运输辅助业、公路管理及养护业、旅游业，选择在所在地区收入与利润位居前</w:t>
      </w:r>
      <w:r w:rsidRPr="008564FF">
        <w:rPr>
          <w:rFonts w:asciiTheme="minorEastAsia" w:eastAsiaTheme="minorEastAsia" w:hAnsiTheme="minorEastAsia"/>
          <w:szCs w:val="21"/>
        </w:rPr>
        <w:t>3</w:t>
      </w:r>
      <w:r w:rsidRPr="008564FF">
        <w:rPr>
          <w:rFonts w:asciiTheme="minorEastAsia" w:eastAsiaTheme="minorEastAsia" w:hAnsiTheme="minorEastAsia" w:hint="eastAsia"/>
          <w:szCs w:val="21"/>
        </w:rPr>
        <w:t>位的企业。</w:t>
      </w:r>
    </w:p>
    <w:p w:rsidR="003A3487" w:rsidRPr="008564FF" w:rsidP="004549E4">
      <w:pPr>
        <w:snapToGrid w:val="0"/>
        <w:spacing w:line="360" w:lineRule="auto"/>
        <w:ind w:firstLine="420"/>
        <w:rPr>
          <w:rFonts w:asciiTheme="minorEastAsia" w:eastAsiaTheme="minorEastAsia" w:hAnsiTheme="minorEastAsia"/>
          <w:szCs w:val="21"/>
        </w:rPr>
      </w:pPr>
      <w:r w:rsidRPr="008564FF">
        <w:rPr>
          <w:rFonts w:asciiTheme="minorEastAsia" w:eastAsiaTheme="minorEastAsia" w:hAnsiTheme="minorEastAsia" w:hint="eastAsia"/>
          <w:szCs w:val="21"/>
        </w:rPr>
        <w:t>最后，从市场占有率较高的公司中，选出具有较强竞争优势的企业。</w:t>
      </w:r>
    </w:p>
    <w:p w:rsidR="003A3487" w:rsidRPr="008564FF" w:rsidP="004549E4">
      <w:pPr>
        <w:snapToGrid w:val="0"/>
        <w:spacing w:line="360" w:lineRule="auto"/>
        <w:ind w:firstLine="420"/>
        <w:rPr>
          <w:rFonts w:asciiTheme="minorEastAsia" w:eastAsiaTheme="minorEastAsia" w:hAnsiTheme="minorEastAsia"/>
          <w:szCs w:val="21"/>
        </w:rPr>
      </w:pPr>
      <w:r w:rsidRPr="008564FF">
        <w:rPr>
          <w:rFonts w:asciiTheme="minorEastAsia" w:eastAsiaTheme="minorEastAsia" w:hAnsiTheme="minorEastAsia" w:hint="eastAsia"/>
          <w:szCs w:val="21"/>
        </w:rPr>
        <w:t>本基金管理人主要通过对以下几方面能力的评价，判断企业竞争优势的强弱：</w:t>
      </w:r>
    </w:p>
    <w:p w:rsidR="003A3487" w:rsidRPr="008564FF" w:rsidP="004549E4">
      <w:pPr>
        <w:numPr>
          <w:ilvl w:val="0"/>
          <w:numId w:val="9"/>
        </w:numPr>
        <w:tabs>
          <w:tab w:val="num" w:pos="851"/>
        </w:tabs>
        <w:snapToGrid w:val="0"/>
        <w:spacing w:line="360" w:lineRule="auto"/>
        <w:ind w:left="851" w:hanging="425"/>
        <w:rPr>
          <w:rFonts w:asciiTheme="minorEastAsia" w:eastAsiaTheme="minorEastAsia" w:hAnsiTheme="minorEastAsia"/>
          <w:szCs w:val="21"/>
        </w:rPr>
      </w:pPr>
      <w:r w:rsidRPr="008564FF">
        <w:rPr>
          <w:rFonts w:asciiTheme="minorEastAsia" w:eastAsiaTheme="minorEastAsia" w:hAnsiTheme="minorEastAsia" w:hint="eastAsia"/>
          <w:b/>
          <w:szCs w:val="21"/>
        </w:rPr>
        <w:t>盈利能力：</w:t>
      </w:r>
      <w:r w:rsidRPr="008564FF">
        <w:rPr>
          <w:rFonts w:asciiTheme="minorEastAsia" w:eastAsiaTheme="minorEastAsia" w:hAnsiTheme="minorEastAsia" w:hint="eastAsia"/>
          <w:szCs w:val="21"/>
        </w:rPr>
        <w:t>能长期保持高于行业平均水平的盈利水平，主要通过过往两年营业毛利率和净资产收益率来衡量；</w:t>
      </w:r>
    </w:p>
    <w:p w:rsidR="003A3487" w:rsidRPr="008564FF" w:rsidP="004549E4">
      <w:pPr>
        <w:numPr>
          <w:ilvl w:val="0"/>
          <w:numId w:val="9"/>
        </w:numPr>
        <w:tabs>
          <w:tab w:val="num" w:pos="851"/>
        </w:tabs>
        <w:snapToGrid w:val="0"/>
        <w:spacing w:line="360" w:lineRule="auto"/>
        <w:ind w:left="851" w:hanging="425"/>
        <w:rPr>
          <w:rFonts w:asciiTheme="minorEastAsia" w:eastAsiaTheme="minorEastAsia" w:hAnsiTheme="minorEastAsia"/>
          <w:szCs w:val="21"/>
        </w:rPr>
      </w:pPr>
      <w:r w:rsidRPr="008564FF">
        <w:rPr>
          <w:rFonts w:asciiTheme="minorEastAsia" w:eastAsiaTheme="minorEastAsia" w:hAnsiTheme="minorEastAsia" w:hint="eastAsia"/>
          <w:b/>
          <w:szCs w:val="21"/>
        </w:rPr>
        <w:t>技术开发能力与创新能力：</w:t>
      </w:r>
      <w:r w:rsidRPr="008564FF">
        <w:rPr>
          <w:rFonts w:asciiTheme="minorEastAsia" w:eastAsiaTheme="minorEastAsia" w:hAnsiTheme="minorEastAsia" w:hint="eastAsia"/>
          <w:szCs w:val="21"/>
        </w:rPr>
        <w:t>在生产经营中的关键环节，拥有自主技术开发能力、掌握专利或专有保密技术，技术水平位居行业前列；能不断向市场提供新型的产品与服务，进行营销模式的创新、管理的创新等，从而为企业效益的持续增长提供动力；</w:t>
      </w:r>
    </w:p>
    <w:p w:rsidR="003A3487" w:rsidRPr="008564FF" w:rsidP="004549E4">
      <w:pPr>
        <w:numPr>
          <w:ilvl w:val="0"/>
          <w:numId w:val="9"/>
        </w:numPr>
        <w:tabs>
          <w:tab w:val="num" w:pos="851"/>
        </w:tabs>
        <w:snapToGrid w:val="0"/>
        <w:spacing w:line="360" w:lineRule="auto"/>
        <w:ind w:left="851" w:hanging="425"/>
        <w:rPr>
          <w:rFonts w:asciiTheme="minorEastAsia" w:eastAsiaTheme="minorEastAsia" w:hAnsiTheme="minorEastAsia"/>
          <w:szCs w:val="21"/>
        </w:rPr>
      </w:pPr>
      <w:r w:rsidRPr="008564FF">
        <w:rPr>
          <w:rFonts w:asciiTheme="minorEastAsia" w:eastAsiaTheme="minorEastAsia" w:hAnsiTheme="minorEastAsia" w:hint="eastAsia"/>
          <w:b/>
          <w:szCs w:val="21"/>
        </w:rPr>
        <w:t>客户忠诚度：</w:t>
      </w:r>
      <w:r w:rsidRPr="008564FF">
        <w:rPr>
          <w:rFonts w:asciiTheme="minorEastAsia" w:eastAsiaTheme="minorEastAsia" w:hAnsiTheme="minorEastAsia" w:hint="eastAsia"/>
          <w:szCs w:val="21"/>
        </w:rPr>
        <w:t>在生活资料生产及服务行业，企业在客户中形成了较高的品牌知名度；在生产资料生产行业，企业在过往的生产经营中与最终客户和供应商形成了较为稳定的供应关系，上下游客户忠诚度较高；</w:t>
      </w:r>
    </w:p>
    <w:p w:rsidR="003A3487" w:rsidRPr="008564FF" w:rsidP="004549E4">
      <w:pPr>
        <w:numPr>
          <w:ilvl w:val="0"/>
          <w:numId w:val="9"/>
        </w:numPr>
        <w:tabs>
          <w:tab w:val="num" w:pos="851"/>
        </w:tabs>
        <w:snapToGrid w:val="0"/>
        <w:spacing w:line="360" w:lineRule="auto"/>
        <w:ind w:left="851" w:hanging="425"/>
        <w:rPr>
          <w:rFonts w:asciiTheme="minorEastAsia" w:eastAsiaTheme="minorEastAsia" w:hAnsiTheme="minorEastAsia"/>
          <w:szCs w:val="21"/>
        </w:rPr>
      </w:pPr>
      <w:r w:rsidRPr="008564FF">
        <w:rPr>
          <w:rFonts w:asciiTheme="minorEastAsia" w:eastAsiaTheme="minorEastAsia" w:hAnsiTheme="minorEastAsia" w:hint="eastAsia"/>
          <w:b/>
          <w:szCs w:val="21"/>
        </w:rPr>
        <w:t>垄断优势：</w:t>
      </w:r>
      <w:r w:rsidRPr="008564FF">
        <w:rPr>
          <w:rFonts w:asciiTheme="minorEastAsia" w:eastAsiaTheme="minorEastAsia" w:hAnsiTheme="minorEastAsia" w:hint="eastAsia"/>
          <w:szCs w:val="21"/>
        </w:rPr>
        <w:t>企业在所处行业中具有垄断优势，包括：在规模效应较明显的行业中，企业已形成较高的市场占有率和先发优势；在市场地域分割的行业，企业在所在地</w:t>
      </w:r>
      <w:r w:rsidRPr="008564FF">
        <w:rPr>
          <w:rFonts w:asciiTheme="minorEastAsia" w:eastAsiaTheme="minorEastAsia" w:hAnsiTheme="minorEastAsia" w:hint="eastAsia"/>
          <w:szCs w:val="21"/>
        </w:rPr>
        <w:t>区已形成了垄断地位；在资源性行业中，企业已拥有了较为丰富的稀缺矿产或自然资源经营权；在高度管制的行业中，企业已优先取得了经营牌照等。</w:t>
      </w:r>
    </w:p>
    <w:p w:rsidR="003A3487" w:rsidRPr="008564FF" w:rsidP="0007535E">
      <w:pPr>
        <w:snapToGrid w:val="0"/>
        <w:spacing w:line="360" w:lineRule="auto"/>
        <w:ind w:firstLine="420" w:firstLineChars="200"/>
        <w:rPr>
          <w:rFonts w:asciiTheme="minorEastAsia" w:eastAsiaTheme="minorEastAsia" w:hAnsiTheme="minorEastAsia"/>
          <w:b/>
          <w:szCs w:val="21"/>
        </w:rPr>
      </w:pPr>
      <w:r w:rsidRPr="008564FF">
        <w:rPr>
          <w:rFonts w:asciiTheme="minorEastAsia" w:eastAsiaTheme="minorEastAsia" w:hAnsiTheme="minorEastAsia"/>
          <w:b/>
          <w:szCs w:val="21"/>
        </w:rPr>
        <w:t>2</w:t>
      </w:r>
      <w:r w:rsidRPr="008564FF">
        <w:rPr>
          <w:rFonts w:asciiTheme="minorEastAsia" w:eastAsiaTheme="minorEastAsia" w:hAnsiTheme="minorEastAsia" w:hint="eastAsia"/>
          <w:b/>
          <w:szCs w:val="21"/>
        </w:rPr>
        <w:t>）从行业领先企业中选择行业龙头以及预期实现高成长的公司作为主要的投资备选对象</w:t>
      </w:r>
    </w:p>
    <w:p w:rsidR="003A3487" w:rsidRPr="008564FF" w:rsidP="004549E4">
      <w:pPr>
        <w:snapToGrid w:val="0"/>
        <w:spacing w:line="360" w:lineRule="auto"/>
        <w:ind w:firstLine="420"/>
        <w:rPr>
          <w:rFonts w:asciiTheme="minorEastAsia" w:eastAsiaTheme="minorEastAsia" w:hAnsiTheme="minorEastAsia"/>
          <w:szCs w:val="21"/>
        </w:rPr>
      </w:pPr>
      <w:r w:rsidRPr="008564FF">
        <w:rPr>
          <w:rFonts w:asciiTheme="minorEastAsia" w:eastAsiaTheme="minorEastAsia" w:hAnsiTheme="minorEastAsia" w:hint="eastAsia"/>
          <w:szCs w:val="21"/>
        </w:rPr>
        <w:t>在行业股票组合构造层面，为了通过选股取得高于基准的平均收益，本基金采取以下策略，一方面，投资于行业龙头企业，希望以较低风险稳定地获取与基准接近的行业收益，并在此基础上争取更高回报，同时也有利于提高资产的流动性以及抗风险能力；另一方面，投资于行业中的高成长股，以相对较高的风险积极主动地争取高于基准的行业收益。为了兼顾风险与收益的平衡，本基金将在行业龙头企业和行业高成长企业中保持相对均衡的配置。</w:t>
      </w:r>
    </w:p>
    <w:p w:rsidR="003A3487" w:rsidRPr="008564FF" w:rsidP="004549E4">
      <w:pPr>
        <w:snapToGrid w:val="0"/>
        <w:spacing w:line="360" w:lineRule="auto"/>
        <w:ind w:firstLine="412" w:firstLineChars="196"/>
        <w:rPr>
          <w:rFonts w:asciiTheme="minorEastAsia" w:eastAsiaTheme="minorEastAsia" w:hAnsiTheme="minorEastAsia"/>
          <w:szCs w:val="21"/>
        </w:rPr>
      </w:pPr>
      <w:r w:rsidRPr="008564FF">
        <w:rPr>
          <w:rFonts w:asciiTheme="minorEastAsia" w:eastAsiaTheme="minorEastAsia" w:hAnsiTheme="minorEastAsia" w:hint="eastAsia"/>
          <w:b/>
          <w:szCs w:val="21"/>
        </w:rPr>
        <w:t>——行业龙头企业指的是</w:t>
      </w:r>
      <w:r w:rsidRPr="008564FF">
        <w:rPr>
          <w:rFonts w:asciiTheme="minorEastAsia" w:eastAsiaTheme="minorEastAsia" w:hAnsiTheme="minorEastAsia" w:hint="eastAsia"/>
          <w:szCs w:val="21"/>
        </w:rPr>
        <w:t>：</w:t>
      </w:r>
    </w:p>
    <w:p w:rsidR="003A3487" w:rsidRPr="008564FF" w:rsidP="004549E4">
      <w:pPr>
        <w:numPr>
          <w:ilvl w:val="0"/>
          <w:numId w:val="10"/>
        </w:numPr>
        <w:snapToGrid w:val="0"/>
        <w:spacing w:line="360" w:lineRule="auto"/>
        <w:rPr>
          <w:rFonts w:asciiTheme="minorEastAsia" w:eastAsiaTheme="minorEastAsia" w:hAnsiTheme="minorEastAsia"/>
          <w:szCs w:val="21"/>
        </w:rPr>
      </w:pPr>
      <w:r w:rsidRPr="008564FF">
        <w:rPr>
          <w:rFonts w:asciiTheme="minorEastAsia" w:eastAsiaTheme="minorEastAsia" w:hAnsiTheme="minorEastAsia" w:hint="eastAsia"/>
          <w:szCs w:val="21"/>
        </w:rPr>
        <w:t>在所在行业中，以营业收入、销售量、已建成以及即将建成的产能衡量，市场占有率在上市公司中排名前三位，或者在国内企业中，市场占有率位居前十位；同时企业净利润在同行业上市公司中位居前十位；</w:t>
      </w:r>
    </w:p>
    <w:p w:rsidR="003A3487" w:rsidRPr="008564FF" w:rsidP="004549E4">
      <w:pPr>
        <w:numPr>
          <w:ilvl w:val="0"/>
          <w:numId w:val="10"/>
        </w:numPr>
        <w:snapToGrid w:val="0"/>
        <w:spacing w:line="360" w:lineRule="auto"/>
        <w:rPr>
          <w:rFonts w:asciiTheme="minorEastAsia" w:eastAsiaTheme="minorEastAsia" w:hAnsiTheme="minorEastAsia"/>
          <w:szCs w:val="21"/>
        </w:rPr>
      </w:pPr>
      <w:r w:rsidRPr="008564FF">
        <w:rPr>
          <w:rFonts w:asciiTheme="minorEastAsia" w:eastAsiaTheme="minorEastAsia" w:hAnsiTheme="minorEastAsia" w:hint="eastAsia"/>
          <w:szCs w:val="21"/>
        </w:rPr>
        <w:t>对于市场地域分割比较明显的行业，在所在地区营业收入和利润综合指标位居前两位，并且在当地处于垄断地位的企业；</w:t>
      </w:r>
    </w:p>
    <w:p w:rsidR="003A3487" w:rsidRPr="008564FF" w:rsidP="004549E4">
      <w:pPr>
        <w:numPr>
          <w:ilvl w:val="0"/>
          <w:numId w:val="10"/>
        </w:numPr>
        <w:snapToGrid w:val="0"/>
        <w:spacing w:line="360" w:lineRule="auto"/>
        <w:rPr>
          <w:rFonts w:asciiTheme="minorEastAsia" w:eastAsiaTheme="minorEastAsia" w:hAnsiTheme="minorEastAsia"/>
          <w:szCs w:val="21"/>
        </w:rPr>
      </w:pPr>
      <w:r w:rsidRPr="008564FF">
        <w:rPr>
          <w:rFonts w:asciiTheme="minorEastAsia" w:eastAsiaTheme="minorEastAsia" w:hAnsiTheme="minorEastAsia" w:hint="eastAsia"/>
          <w:szCs w:val="21"/>
        </w:rPr>
        <w:t>产量的扩张、价格调整、新产品推出、营销策略的改变等企业行为，对所在行业或地区有较强的市场影响力。</w:t>
      </w:r>
    </w:p>
    <w:p w:rsidR="003A3487" w:rsidRPr="008564FF" w:rsidP="004549E4">
      <w:pPr>
        <w:snapToGrid w:val="0"/>
        <w:spacing w:line="360" w:lineRule="auto"/>
        <w:ind w:firstLine="412" w:firstLineChars="196"/>
        <w:rPr>
          <w:rFonts w:asciiTheme="minorEastAsia" w:eastAsiaTheme="minorEastAsia" w:hAnsiTheme="minorEastAsia"/>
          <w:szCs w:val="21"/>
        </w:rPr>
      </w:pPr>
      <w:r w:rsidRPr="008564FF">
        <w:rPr>
          <w:rFonts w:asciiTheme="minorEastAsia" w:eastAsiaTheme="minorEastAsia" w:hAnsiTheme="minorEastAsia" w:hint="eastAsia"/>
          <w:b/>
          <w:szCs w:val="21"/>
        </w:rPr>
        <w:t>——行业中的高成长企业：</w:t>
      </w:r>
      <w:r w:rsidRPr="008564FF">
        <w:rPr>
          <w:rFonts w:asciiTheme="minorEastAsia" w:eastAsiaTheme="minorEastAsia" w:hAnsiTheme="minorEastAsia" w:hint="eastAsia"/>
          <w:szCs w:val="21"/>
        </w:rPr>
        <w:t>企业未来一到两年预期净利润增长率高于所在行业的平均水平。本基金将优先选择成长率较高的企业构造投资组合。</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具有高成长性的行业龙头企业更加是本基金的投资重点。</w:t>
      </w:r>
    </w:p>
    <w:p w:rsidR="003A3487" w:rsidRPr="008564FF" w:rsidP="0007535E">
      <w:pPr>
        <w:snapToGrid w:val="0"/>
        <w:spacing w:line="360" w:lineRule="auto"/>
        <w:ind w:firstLine="420" w:firstLineChars="200"/>
        <w:rPr>
          <w:rFonts w:asciiTheme="minorEastAsia" w:eastAsiaTheme="minorEastAsia" w:hAnsiTheme="minorEastAsia"/>
          <w:b/>
          <w:szCs w:val="21"/>
        </w:rPr>
      </w:pPr>
      <w:r w:rsidRPr="008564FF">
        <w:rPr>
          <w:rFonts w:asciiTheme="minorEastAsia" w:eastAsiaTheme="minorEastAsia" w:hAnsiTheme="minorEastAsia"/>
          <w:b/>
          <w:szCs w:val="21"/>
        </w:rPr>
        <w:t>3</w:t>
      </w:r>
      <w:r w:rsidRPr="008564FF">
        <w:rPr>
          <w:rFonts w:asciiTheme="minorEastAsia" w:eastAsiaTheme="minorEastAsia" w:hAnsiTheme="minorEastAsia" w:hint="eastAsia"/>
          <w:b/>
          <w:szCs w:val="21"/>
        </w:rPr>
        <w:t>）进行备选股票的价值评估</w:t>
      </w:r>
    </w:p>
    <w:p w:rsidR="003A3487" w:rsidRPr="008564FF" w:rsidP="004549E4">
      <w:pPr>
        <w:snapToGrid w:val="0"/>
        <w:spacing w:line="360" w:lineRule="auto"/>
        <w:ind w:firstLine="420"/>
        <w:rPr>
          <w:rFonts w:asciiTheme="minorEastAsia" w:eastAsiaTheme="minorEastAsia" w:hAnsiTheme="minorEastAsia"/>
          <w:szCs w:val="21"/>
        </w:rPr>
      </w:pPr>
      <w:r w:rsidRPr="008564FF">
        <w:rPr>
          <w:rFonts w:asciiTheme="minorEastAsia" w:eastAsiaTheme="minorEastAsia" w:hAnsiTheme="minorEastAsia" w:hint="eastAsia"/>
          <w:szCs w:val="21"/>
        </w:rPr>
        <w:t>本基金将根据上市公司的行业特性及公司本身的特点，选择合适的股票估值方法。可供选择的估值方法包括市盈率法（</w:t>
      </w:r>
      <w:r w:rsidRPr="008564FF">
        <w:rPr>
          <w:rFonts w:asciiTheme="minorEastAsia" w:eastAsiaTheme="minorEastAsia" w:hAnsiTheme="minorEastAsia"/>
          <w:szCs w:val="21"/>
        </w:rPr>
        <w:t>P/E</w:t>
      </w:r>
      <w:r w:rsidRPr="008564FF">
        <w:rPr>
          <w:rFonts w:asciiTheme="minorEastAsia" w:eastAsiaTheme="minorEastAsia" w:hAnsiTheme="minorEastAsia" w:hint="eastAsia"/>
          <w:szCs w:val="21"/>
        </w:rPr>
        <w:t>）、市净率法（</w:t>
      </w:r>
      <w:r w:rsidRPr="008564FF">
        <w:rPr>
          <w:rFonts w:asciiTheme="minorEastAsia" w:eastAsiaTheme="minorEastAsia" w:hAnsiTheme="minorEastAsia"/>
          <w:szCs w:val="21"/>
        </w:rPr>
        <w:t>P/B</w:t>
      </w:r>
      <w:r w:rsidRPr="008564FF">
        <w:rPr>
          <w:rFonts w:asciiTheme="minorEastAsia" w:eastAsiaTheme="minorEastAsia" w:hAnsiTheme="minorEastAsia" w:hint="eastAsia"/>
          <w:szCs w:val="21"/>
        </w:rPr>
        <w:t>）、市盈率－长期成长法（</w:t>
      </w:r>
      <w:r w:rsidRPr="008564FF">
        <w:rPr>
          <w:rFonts w:asciiTheme="minorEastAsia" w:eastAsiaTheme="minorEastAsia" w:hAnsiTheme="minorEastAsia"/>
          <w:szCs w:val="21"/>
        </w:rPr>
        <w:t>PEG</w:t>
      </w:r>
      <w:r w:rsidRPr="008564FF">
        <w:rPr>
          <w:rFonts w:asciiTheme="minorEastAsia" w:eastAsiaTheme="minorEastAsia" w:hAnsiTheme="minorEastAsia" w:hint="eastAsia"/>
          <w:szCs w:val="21"/>
        </w:rPr>
        <w:t>）、企业价值</w:t>
      </w:r>
      <w:r w:rsidRPr="008564FF">
        <w:rPr>
          <w:rFonts w:asciiTheme="minorEastAsia" w:eastAsiaTheme="minorEastAsia" w:hAnsiTheme="minorEastAsia"/>
          <w:szCs w:val="21"/>
        </w:rPr>
        <w:t>/</w:t>
      </w:r>
      <w:r w:rsidRPr="008564FF">
        <w:rPr>
          <w:rFonts w:asciiTheme="minorEastAsia" w:eastAsiaTheme="minorEastAsia" w:hAnsiTheme="minorEastAsia" w:hint="eastAsia"/>
          <w:szCs w:val="21"/>
        </w:rPr>
        <w:t>销售收入</w:t>
      </w:r>
      <w:r w:rsidRPr="008564FF">
        <w:rPr>
          <w:rFonts w:asciiTheme="minorEastAsia" w:eastAsiaTheme="minorEastAsia" w:hAnsiTheme="minorEastAsia"/>
          <w:szCs w:val="21"/>
        </w:rPr>
        <w:t>(EV/SALES)</w:t>
      </w:r>
      <w:r w:rsidRPr="008564FF">
        <w:rPr>
          <w:rFonts w:asciiTheme="minorEastAsia" w:eastAsiaTheme="minorEastAsia" w:hAnsiTheme="minorEastAsia" w:hint="eastAsia"/>
          <w:szCs w:val="21"/>
        </w:rPr>
        <w:t>、企业价值</w:t>
      </w:r>
      <w:r w:rsidRPr="008564FF">
        <w:rPr>
          <w:rFonts w:asciiTheme="minorEastAsia" w:eastAsiaTheme="minorEastAsia" w:hAnsiTheme="minorEastAsia"/>
          <w:szCs w:val="21"/>
        </w:rPr>
        <w:t>/</w:t>
      </w:r>
      <w:r w:rsidRPr="008564FF">
        <w:rPr>
          <w:rFonts w:asciiTheme="minorEastAsia" w:eastAsiaTheme="minorEastAsia" w:hAnsiTheme="minorEastAsia" w:hint="eastAsia"/>
          <w:szCs w:val="21"/>
        </w:rPr>
        <w:t>息税折旧摊销前利润法（</w:t>
      </w:r>
      <w:r w:rsidRPr="008564FF">
        <w:rPr>
          <w:rFonts w:asciiTheme="minorEastAsia" w:eastAsiaTheme="minorEastAsia" w:hAnsiTheme="minorEastAsia"/>
          <w:szCs w:val="21"/>
        </w:rPr>
        <w:t>EV/EBITDA</w:t>
      </w:r>
      <w:r w:rsidRPr="008564FF">
        <w:rPr>
          <w:rFonts w:asciiTheme="minorEastAsia" w:eastAsiaTheme="minorEastAsia" w:hAnsiTheme="minorEastAsia" w:hint="eastAsia"/>
          <w:szCs w:val="21"/>
        </w:rPr>
        <w:t>）、自由现金流贴现模型（</w:t>
      </w:r>
      <w:r w:rsidRPr="008564FF">
        <w:rPr>
          <w:rFonts w:asciiTheme="minorEastAsia" w:eastAsiaTheme="minorEastAsia" w:hAnsiTheme="minorEastAsia"/>
          <w:szCs w:val="21"/>
        </w:rPr>
        <w:t>FCFF,FCFE</w:t>
      </w:r>
      <w:r w:rsidRPr="008564FF">
        <w:rPr>
          <w:rFonts w:asciiTheme="minorEastAsia" w:eastAsiaTheme="minorEastAsia" w:hAnsiTheme="minorEastAsia" w:hint="eastAsia"/>
          <w:szCs w:val="21"/>
        </w:rPr>
        <w:t>）或股利贴现模型（</w:t>
      </w:r>
      <w:r w:rsidRPr="008564FF">
        <w:rPr>
          <w:rFonts w:asciiTheme="minorEastAsia" w:eastAsiaTheme="minorEastAsia" w:hAnsiTheme="minorEastAsia"/>
          <w:szCs w:val="21"/>
        </w:rPr>
        <w:t>DDM</w:t>
      </w:r>
      <w:r w:rsidRPr="008564FF">
        <w:rPr>
          <w:rFonts w:asciiTheme="minorEastAsia" w:eastAsiaTheme="minorEastAsia" w:hAnsiTheme="minorEastAsia" w:hint="eastAsia"/>
          <w:szCs w:val="21"/>
        </w:rPr>
        <w:t>）等。本基金将通过比较历史估值水平、不同国家和地区的同类行业估值水平，并结合企业的成长性，对备选股票进行估值。</w:t>
      </w:r>
    </w:p>
    <w:p w:rsidR="003A3487" w:rsidRPr="008564FF" w:rsidP="0007535E">
      <w:pPr>
        <w:snapToGrid w:val="0"/>
        <w:spacing w:line="360" w:lineRule="auto"/>
        <w:ind w:firstLine="420" w:firstLineChars="200"/>
        <w:rPr>
          <w:rFonts w:asciiTheme="minorEastAsia" w:eastAsiaTheme="minorEastAsia" w:hAnsiTheme="minorEastAsia"/>
          <w:b/>
          <w:szCs w:val="21"/>
        </w:rPr>
      </w:pPr>
      <w:r w:rsidRPr="008564FF">
        <w:rPr>
          <w:rFonts w:asciiTheme="minorEastAsia" w:eastAsiaTheme="minorEastAsia" w:hAnsiTheme="minorEastAsia" w:hint="eastAsia"/>
          <w:b/>
          <w:szCs w:val="21"/>
        </w:rPr>
        <w:t>（3）股票组合的构造</w:t>
      </w:r>
    </w:p>
    <w:p w:rsidR="003A3487" w:rsidRPr="008564FF" w:rsidP="004549E4">
      <w:pPr>
        <w:snapToGrid w:val="0"/>
        <w:spacing w:line="360" w:lineRule="auto"/>
        <w:ind w:firstLine="540"/>
        <w:rPr>
          <w:rFonts w:asciiTheme="minorEastAsia" w:eastAsiaTheme="minorEastAsia" w:hAnsiTheme="minorEastAsia"/>
          <w:kern w:val="0"/>
          <w:szCs w:val="21"/>
        </w:rPr>
      </w:pPr>
      <w:bookmarkStart w:id="103" w:name="_Toc200522935"/>
      <w:bookmarkStart w:id="104" w:name="_Toc200522798"/>
      <w:bookmarkStart w:id="105" w:name="_Toc200522662"/>
      <w:r w:rsidRPr="008564FF">
        <w:rPr>
          <w:rFonts w:asciiTheme="minorEastAsia" w:eastAsiaTheme="minorEastAsia" w:hAnsiTheme="minorEastAsia" w:hint="eastAsia"/>
          <w:kern w:val="0"/>
          <w:szCs w:val="21"/>
        </w:rPr>
        <w:t>本基金管理人将根据定期的行业投资评级以及对细分行业的评价意见，确定并调整行业配置比例。在各行业中，从行业领先企业中精选行业龙头企业和行业高成长公司，结合对股票的价值评估进行相对均衡的配置。当行业与企业的基本面、股票的估值水平出现较大变化时，进行股票组合的调整。</w:t>
      </w:r>
      <w:bookmarkEnd w:id="103"/>
      <w:bookmarkEnd w:id="104"/>
      <w:bookmarkEnd w:id="105"/>
    </w:p>
    <w:p w:rsidR="009D1A75" w:rsidRPr="008564FF" w:rsidP="009D1A75">
      <w:pPr>
        <w:snapToGrid w:val="0"/>
        <w:spacing w:line="360" w:lineRule="auto"/>
        <w:ind w:firstLine="420" w:firstLineChars="200"/>
        <w:rPr>
          <w:rFonts w:asciiTheme="minorEastAsia" w:eastAsiaTheme="minorEastAsia" w:hAnsiTheme="minorEastAsia"/>
          <w:b/>
          <w:kern w:val="0"/>
          <w:szCs w:val="21"/>
        </w:rPr>
      </w:pPr>
      <w:r w:rsidRPr="008564FF">
        <w:rPr>
          <w:rFonts w:asciiTheme="minorEastAsia" w:eastAsiaTheme="minorEastAsia" w:hAnsiTheme="minorEastAsia"/>
          <w:b/>
          <w:kern w:val="0"/>
          <w:szCs w:val="21"/>
        </w:rPr>
        <w:t>3</w:t>
      </w:r>
      <w:r w:rsidRPr="008564FF">
        <w:rPr>
          <w:rFonts w:asciiTheme="minorEastAsia" w:eastAsiaTheme="minorEastAsia" w:hAnsiTheme="minorEastAsia" w:hint="eastAsia"/>
          <w:b/>
          <w:kern w:val="0"/>
          <w:szCs w:val="21"/>
        </w:rPr>
        <w:t>、存托凭证投资策略</w:t>
      </w:r>
    </w:p>
    <w:p w:rsidR="009D1A75" w:rsidRPr="008564FF" w:rsidP="009D1A75">
      <w:pPr>
        <w:snapToGrid w:val="0"/>
        <w:spacing w:line="360" w:lineRule="auto"/>
        <w:ind w:firstLine="420" w:firstLineChars="200"/>
        <w:rPr>
          <w:rFonts w:asciiTheme="minorEastAsia" w:eastAsiaTheme="minorEastAsia" w:hAnsiTheme="minorEastAsia"/>
          <w:kern w:val="0"/>
          <w:szCs w:val="21"/>
        </w:rPr>
      </w:pPr>
      <w:r w:rsidRPr="008564FF">
        <w:rPr>
          <w:rFonts w:asciiTheme="minorEastAsia" w:eastAsiaTheme="minorEastAsia" w:hAnsiTheme="minorEastAsia" w:hint="eastAsia"/>
          <w:kern w:val="0"/>
          <w:szCs w:val="21"/>
        </w:rPr>
        <w:t>本基金可投资存托凭证，本基金将结合对宏观经济状况、行业景气度、公司竞争优势、</w:t>
      </w:r>
      <w:r w:rsidRPr="008564FF">
        <w:rPr>
          <w:rFonts w:asciiTheme="minorEastAsia" w:eastAsiaTheme="minorEastAsia" w:hAnsiTheme="minorEastAsia" w:hint="eastAsia"/>
          <w:kern w:val="0"/>
          <w:szCs w:val="21"/>
        </w:rPr>
        <w:t>公司治理结构、估值水平等因素的分析判断，选择投资价值高的存托凭证进行投资。</w:t>
      </w:r>
    </w:p>
    <w:p w:rsidR="003A3487" w:rsidRPr="008564FF" w:rsidP="009D1A75">
      <w:pPr>
        <w:snapToGrid w:val="0"/>
        <w:spacing w:line="360" w:lineRule="auto"/>
        <w:ind w:firstLine="420"/>
        <w:rPr>
          <w:rFonts w:asciiTheme="minorEastAsia" w:eastAsiaTheme="minorEastAsia" w:hAnsiTheme="minorEastAsia"/>
          <w:b/>
          <w:bCs/>
          <w:szCs w:val="21"/>
        </w:rPr>
      </w:pPr>
      <w:r w:rsidRPr="008564FF">
        <w:rPr>
          <w:rFonts w:asciiTheme="minorEastAsia" w:eastAsiaTheme="minorEastAsia" w:hAnsiTheme="minorEastAsia"/>
          <w:b/>
          <w:bCs/>
          <w:szCs w:val="21"/>
        </w:rPr>
        <w:t>4</w:t>
      </w:r>
      <w:r w:rsidRPr="008564FF" w:rsidR="0007535E">
        <w:rPr>
          <w:rFonts w:asciiTheme="minorEastAsia" w:eastAsiaTheme="minorEastAsia" w:hAnsiTheme="minorEastAsia" w:hint="eastAsia"/>
          <w:b/>
          <w:bCs/>
          <w:szCs w:val="21"/>
        </w:rPr>
        <w:t>、</w:t>
      </w:r>
      <w:r w:rsidRPr="008564FF">
        <w:rPr>
          <w:rFonts w:asciiTheme="minorEastAsia" w:eastAsiaTheme="minorEastAsia" w:hAnsiTheme="minorEastAsia" w:hint="eastAsia"/>
          <w:b/>
          <w:bCs/>
          <w:szCs w:val="21"/>
        </w:rPr>
        <w:t>债券投资策略</w:t>
      </w:r>
    </w:p>
    <w:p w:rsidR="003A3487" w:rsidRPr="008564FF" w:rsidP="004549E4">
      <w:pPr>
        <w:snapToGrid w:val="0"/>
        <w:spacing w:line="360" w:lineRule="auto"/>
        <w:ind w:firstLine="540"/>
        <w:rPr>
          <w:rFonts w:asciiTheme="minorEastAsia" w:eastAsiaTheme="minorEastAsia" w:hAnsiTheme="minorEastAsia"/>
          <w:kern w:val="0"/>
          <w:szCs w:val="21"/>
        </w:rPr>
      </w:pPr>
      <w:bookmarkStart w:id="106" w:name="_Toc200522936"/>
      <w:bookmarkStart w:id="107" w:name="_Toc200522799"/>
      <w:bookmarkStart w:id="108" w:name="_Toc200522663"/>
      <w:r w:rsidRPr="008564FF">
        <w:rPr>
          <w:rFonts w:asciiTheme="minorEastAsia" w:eastAsiaTheme="minorEastAsia" w:hAnsiTheme="minorEastAsia" w:hint="eastAsia"/>
          <w:kern w:val="0"/>
          <w:szCs w:val="21"/>
        </w:rPr>
        <w:t>在债券投资方面，本基金将主要通过类属配置与券种选择两个层次进行投资管理。在类属配置层次，结合对宏观经济、市场利率、供求变化等因素的综合分析，根据交易所市场与银行间市场类属资产的风险收益特征，定期对投资组合类属资产进行优化配置和调整，确定类属资产的最优权重。</w:t>
      </w:r>
      <w:bookmarkEnd w:id="106"/>
      <w:bookmarkEnd w:id="107"/>
      <w:bookmarkEnd w:id="108"/>
    </w:p>
    <w:p w:rsidR="003A3487" w:rsidRPr="008564FF" w:rsidP="004549E4">
      <w:pPr>
        <w:snapToGrid w:val="0"/>
        <w:spacing w:line="360" w:lineRule="auto"/>
        <w:ind w:firstLine="540"/>
        <w:rPr>
          <w:rFonts w:asciiTheme="minorEastAsia" w:eastAsiaTheme="minorEastAsia" w:hAnsiTheme="minorEastAsia"/>
          <w:kern w:val="0"/>
          <w:szCs w:val="21"/>
        </w:rPr>
      </w:pPr>
      <w:bookmarkStart w:id="109" w:name="_Toc200522937"/>
      <w:bookmarkStart w:id="110" w:name="_Toc200522800"/>
      <w:bookmarkStart w:id="111" w:name="_Toc200522664"/>
      <w:r w:rsidRPr="008564FF">
        <w:rPr>
          <w:rFonts w:asciiTheme="minorEastAsia" w:eastAsiaTheme="minorEastAsia" w:hAnsiTheme="minorEastAsia" w:hint="eastAsia"/>
          <w:kern w:val="0"/>
          <w:szCs w:val="21"/>
        </w:rPr>
        <w:t>在券种选择上，本基金以长期利率趋势分析为基础，结合经济变化趋势、货币政策及不同债券品种的收益率水平、流动性和信用风险等因素，合理运用投资管理策略，实施积极主动的债券投资管理。</w:t>
      </w:r>
      <w:bookmarkEnd w:id="109"/>
      <w:bookmarkEnd w:id="110"/>
      <w:bookmarkEnd w:id="111"/>
    </w:p>
    <w:p w:rsidR="003A3487" w:rsidRPr="008564FF" w:rsidP="004549E4">
      <w:pPr>
        <w:snapToGrid w:val="0"/>
        <w:spacing w:line="360" w:lineRule="auto"/>
        <w:ind w:firstLine="420"/>
        <w:rPr>
          <w:rFonts w:asciiTheme="minorEastAsia" w:eastAsiaTheme="minorEastAsia" w:hAnsiTheme="minorEastAsia"/>
          <w:kern w:val="0"/>
          <w:szCs w:val="21"/>
        </w:rPr>
      </w:pPr>
      <w:r w:rsidRPr="008564FF">
        <w:rPr>
          <w:rFonts w:asciiTheme="minorEastAsia" w:eastAsiaTheme="minorEastAsia" w:hAnsiTheme="minorEastAsia" w:hint="eastAsia"/>
          <w:kern w:val="0"/>
          <w:szCs w:val="21"/>
        </w:rPr>
        <w:t>随着国内债券市场的深入发展和结构性变迁，更多债券新品种和交易形式将增加债券投资盈利模式，本基金会密切跟踪市场动态变化，选择合适的介入机会,谋求高于市场平均水平的投资回报。</w:t>
      </w:r>
    </w:p>
    <w:p w:rsidR="003A3487" w:rsidRPr="008564FF" w:rsidP="004549E4">
      <w:pPr>
        <w:snapToGrid w:val="0"/>
        <w:spacing w:line="360" w:lineRule="auto"/>
        <w:ind w:firstLine="420"/>
        <w:rPr>
          <w:rFonts w:asciiTheme="minorEastAsia" w:eastAsiaTheme="minorEastAsia" w:hAnsiTheme="minorEastAsia"/>
          <w:b/>
          <w:bCs/>
          <w:szCs w:val="21"/>
        </w:rPr>
      </w:pPr>
      <w:r w:rsidRPr="008564FF">
        <w:rPr>
          <w:rFonts w:asciiTheme="minorEastAsia" w:eastAsiaTheme="minorEastAsia" w:hAnsiTheme="minorEastAsia"/>
          <w:b/>
          <w:bCs/>
          <w:szCs w:val="21"/>
        </w:rPr>
        <w:t>5</w:t>
      </w:r>
      <w:r w:rsidRPr="008564FF" w:rsidR="0007535E">
        <w:rPr>
          <w:rFonts w:asciiTheme="minorEastAsia" w:eastAsiaTheme="minorEastAsia" w:hAnsiTheme="minorEastAsia" w:hint="eastAsia"/>
          <w:b/>
          <w:bCs/>
          <w:szCs w:val="21"/>
        </w:rPr>
        <w:t>、</w:t>
      </w:r>
      <w:r w:rsidRPr="008564FF">
        <w:rPr>
          <w:rFonts w:asciiTheme="minorEastAsia" w:eastAsiaTheme="minorEastAsia" w:hAnsiTheme="minorEastAsia" w:hint="eastAsia"/>
          <w:b/>
          <w:bCs/>
          <w:szCs w:val="21"/>
        </w:rPr>
        <w:t>权证的投资策略</w:t>
      </w:r>
    </w:p>
    <w:p w:rsidR="003A3487" w:rsidRPr="008564FF" w:rsidP="004549E4">
      <w:pPr>
        <w:snapToGrid w:val="0"/>
        <w:spacing w:line="360" w:lineRule="auto"/>
        <w:ind w:firstLine="420"/>
        <w:rPr>
          <w:rFonts w:asciiTheme="minorEastAsia" w:eastAsiaTheme="minorEastAsia" w:hAnsiTheme="minorEastAsia"/>
          <w:kern w:val="0"/>
          <w:szCs w:val="21"/>
        </w:rPr>
      </w:pPr>
      <w:bookmarkStart w:id="112" w:name="_Toc200522938"/>
      <w:bookmarkStart w:id="113" w:name="_Toc200522801"/>
      <w:bookmarkStart w:id="114" w:name="_Toc200522665"/>
      <w:r w:rsidRPr="008564FF">
        <w:rPr>
          <w:rFonts w:asciiTheme="minorEastAsia" w:eastAsiaTheme="minorEastAsia" w:hAnsiTheme="minorEastAsia" w:hint="eastAsia"/>
          <w:kern w:val="0"/>
          <w:szCs w:val="21"/>
        </w:rPr>
        <w:t>权证为本基金辅助性投资工具，投资原则为有利于基金资产增值、控制下跌风险、实现保值和锁定收益。</w:t>
      </w:r>
      <w:bookmarkEnd w:id="112"/>
      <w:bookmarkEnd w:id="113"/>
      <w:bookmarkEnd w:id="114"/>
    </w:p>
    <w:p w:rsidR="003A3487" w:rsidRPr="008564FF" w:rsidP="009C2B2A">
      <w:pPr>
        <w:pStyle w:val="Heading2"/>
        <w:snapToGrid w:val="0"/>
        <w:spacing w:beforeLines="0" w:afterLines="0" w:line="360" w:lineRule="auto"/>
        <w:ind w:firstLine="0" w:firstLineChars="0"/>
        <w:rPr>
          <w:rFonts w:asciiTheme="minorEastAsia" w:eastAsiaTheme="minorEastAsia" w:hAnsiTheme="minorEastAsia"/>
          <w:b w:val="0"/>
          <w:bCs/>
        </w:rPr>
      </w:pPr>
      <w:bookmarkStart w:id="115" w:name="_Toc91749244"/>
      <w:bookmarkEnd w:id="101"/>
      <w:bookmarkEnd w:id="102"/>
      <w:r w:rsidRPr="008564FF">
        <w:rPr>
          <w:rFonts w:asciiTheme="minorEastAsia" w:eastAsiaTheme="minorEastAsia" w:hAnsiTheme="minorEastAsia" w:hint="eastAsia"/>
          <w:b w:val="0"/>
          <w:bCs/>
        </w:rPr>
        <w:t>（五）业绩比较基准</w:t>
      </w:r>
      <w:bookmarkEnd w:id="98"/>
      <w:bookmarkEnd w:id="99"/>
      <w:bookmarkEnd w:id="115"/>
    </w:p>
    <w:p w:rsidR="003A3487" w:rsidRPr="008564FF" w:rsidP="004549E4">
      <w:pPr>
        <w:snapToGrid w:val="0"/>
        <w:spacing w:line="360" w:lineRule="auto"/>
        <w:ind w:firstLine="420" w:firstLineChars="200"/>
        <w:rPr>
          <w:rFonts w:asciiTheme="minorEastAsia" w:eastAsiaTheme="minorEastAsia" w:hAnsiTheme="minorEastAsia"/>
          <w:kern w:val="0"/>
          <w:szCs w:val="21"/>
        </w:rPr>
      </w:pPr>
      <w:bookmarkStart w:id="116" w:name="_Toc200522940"/>
      <w:bookmarkStart w:id="117" w:name="_Toc200522803"/>
      <w:bookmarkStart w:id="118" w:name="_Toc200522667"/>
      <w:r w:rsidRPr="008564FF">
        <w:rPr>
          <w:rFonts w:asciiTheme="minorEastAsia" w:eastAsiaTheme="minorEastAsia" w:hAnsiTheme="minorEastAsia" w:hint="eastAsia"/>
          <w:kern w:val="0"/>
          <w:szCs w:val="21"/>
        </w:rPr>
        <w:t>沪深300指数收益率×80%+中债总指数收益率×20%</w:t>
      </w:r>
      <w:bookmarkEnd w:id="116"/>
      <w:bookmarkEnd w:id="117"/>
      <w:bookmarkEnd w:id="118"/>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本基金股票投资比例为60%-95%，因此采用股票指数与债券指数加权复合的方法构建业绩比较基准。本基金选定被市场广泛认同的沪深300指数作为股票部分的业绩基准，固定收益部分的业绩基准则采用了市场上通用的中债总指数，此外，还按照预期的大类资产平均配置比例设置了复合指数的权重。</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如果指数编制单位停止计算编制该指数或更改指数名称、或有更权威的、更能为市场普遍接受的业绩比较基准推出，本基金管理人与基金托管人协商一致报中国证监会备案后，可调整业绩比较基准，并及时公告。</w:t>
      </w:r>
    </w:p>
    <w:p w:rsidR="003A3487" w:rsidRPr="008564FF" w:rsidP="009C2B2A">
      <w:pPr>
        <w:pStyle w:val="Heading2"/>
        <w:snapToGrid w:val="0"/>
        <w:spacing w:beforeLines="0" w:afterLines="0" w:line="360" w:lineRule="auto"/>
        <w:ind w:firstLine="0" w:firstLineChars="0"/>
        <w:rPr>
          <w:rFonts w:asciiTheme="minorEastAsia" w:eastAsiaTheme="minorEastAsia" w:hAnsiTheme="minorEastAsia"/>
          <w:b w:val="0"/>
          <w:bCs/>
        </w:rPr>
      </w:pPr>
      <w:bookmarkStart w:id="119" w:name="_Toc87269125"/>
      <w:bookmarkStart w:id="120" w:name="_Toc91749245"/>
      <w:bookmarkStart w:id="121" w:name="_Toc84149642"/>
      <w:r w:rsidRPr="008564FF">
        <w:rPr>
          <w:rFonts w:asciiTheme="minorEastAsia" w:eastAsiaTheme="minorEastAsia" w:hAnsiTheme="minorEastAsia" w:hint="eastAsia"/>
          <w:b w:val="0"/>
          <w:bCs/>
        </w:rPr>
        <w:t>（六）风险收益特征</w:t>
      </w:r>
      <w:bookmarkEnd w:id="119"/>
      <w:bookmarkEnd w:id="120"/>
    </w:p>
    <w:bookmarkEnd w:id="121"/>
    <w:p w:rsidR="003A3487" w:rsidRPr="008564FF" w:rsidP="004549E4">
      <w:pPr>
        <w:snapToGrid w:val="0"/>
        <w:spacing w:line="360" w:lineRule="auto"/>
        <w:ind w:firstLine="420" w:firstLineChars="200"/>
        <w:rPr>
          <w:rFonts w:asciiTheme="minorEastAsia" w:eastAsiaTheme="minorEastAsia" w:hAnsiTheme="minorEastAsia"/>
        </w:rPr>
      </w:pPr>
      <w:r w:rsidRPr="008564FF">
        <w:rPr>
          <w:rFonts w:asciiTheme="minorEastAsia" w:eastAsiaTheme="minorEastAsia" w:hAnsiTheme="minorEastAsia" w:hint="eastAsia"/>
        </w:rPr>
        <w:t>本基金是</w:t>
      </w:r>
      <w:r w:rsidRPr="008564FF" w:rsidR="00A85270">
        <w:rPr>
          <w:rFonts w:asciiTheme="minorEastAsia" w:eastAsiaTheme="minorEastAsia" w:hAnsiTheme="minorEastAsia" w:hint="eastAsia"/>
        </w:rPr>
        <w:t>混合</w:t>
      </w:r>
      <w:r w:rsidRPr="008564FF">
        <w:rPr>
          <w:rFonts w:asciiTheme="minorEastAsia" w:eastAsiaTheme="minorEastAsia" w:hAnsiTheme="minorEastAsia" w:hint="eastAsia"/>
        </w:rPr>
        <w:t>基金，理论上其风险收益水平</w:t>
      </w:r>
      <w:r w:rsidRPr="008564FF" w:rsidR="00EF31EF">
        <w:rPr>
          <w:rFonts w:asciiTheme="minorEastAsia" w:eastAsiaTheme="minorEastAsia" w:hAnsiTheme="minorEastAsia" w:hint="eastAsia"/>
        </w:rPr>
        <w:t>高于</w:t>
      </w:r>
      <w:r w:rsidRPr="008564FF">
        <w:rPr>
          <w:rFonts w:asciiTheme="minorEastAsia" w:eastAsiaTheme="minorEastAsia" w:hAnsiTheme="minorEastAsia" w:hint="eastAsia"/>
        </w:rPr>
        <w:t>债券</w:t>
      </w:r>
      <w:r w:rsidRPr="008564FF" w:rsidR="00EE3D66">
        <w:rPr>
          <w:rFonts w:asciiTheme="minorEastAsia" w:eastAsiaTheme="minorEastAsia" w:hAnsiTheme="minorEastAsia" w:hint="eastAsia"/>
        </w:rPr>
        <w:t>型</w:t>
      </w:r>
      <w:r w:rsidRPr="008564FF">
        <w:rPr>
          <w:rFonts w:asciiTheme="minorEastAsia" w:eastAsiaTheme="minorEastAsia" w:hAnsiTheme="minorEastAsia" w:hint="eastAsia"/>
        </w:rPr>
        <w:t>基金</w:t>
      </w:r>
      <w:r w:rsidRPr="008564FF" w:rsidR="00A85270">
        <w:rPr>
          <w:rFonts w:asciiTheme="minorEastAsia" w:eastAsiaTheme="minorEastAsia" w:hAnsiTheme="minorEastAsia" w:hint="eastAsia"/>
        </w:rPr>
        <w:t>和货币市场基金，低于股票基金</w:t>
      </w:r>
      <w:r w:rsidRPr="008564FF">
        <w:rPr>
          <w:rFonts w:asciiTheme="minorEastAsia" w:eastAsiaTheme="minorEastAsia" w:hAnsiTheme="minorEastAsia" w:hint="eastAsia"/>
        </w:rPr>
        <w:t>。</w:t>
      </w:r>
    </w:p>
    <w:p w:rsidR="003A3487" w:rsidRPr="008564FF" w:rsidP="009C2B2A">
      <w:pPr>
        <w:pStyle w:val="Heading2"/>
        <w:snapToGrid w:val="0"/>
        <w:spacing w:beforeLines="0" w:afterLines="0" w:line="360" w:lineRule="auto"/>
        <w:ind w:firstLine="0" w:firstLineChars="0"/>
        <w:rPr>
          <w:rFonts w:asciiTheme="minorEastAsia" w:eastAsiaTheme="minorEastAsia" w:hAnsiTheme="minorEastAsia"/>
        </w:rPr>
      </w:pPr>
      <w:bookmarkStart w:id="122" w:name="_Toc91749246"/>
      <w:r w:rsidRPr="008564FF">
        <w:rPr>
          <w:rFonts w:asciiTheme="minorEastAsia" w:eastAsiaTheme="minorEastAsia" w:hAnsiTheme="minorEastAsia" w:hint="eastAsia"/>
          <w:b w:val="0"/>
          <w:bCs/>
        </w:rPr>
        <w:t>（七）</w:t>
      </w:r>
      <w:bookmarkStart w:id="123" w:name="_Toc64861727"/>
      <w:bookmarkStart w:id="124" w:name="_Toc52310852"/>
      <w:r w:rsidRPr="008564FF">
        <w:rPr>
          <w:rFonts w:asciiTheme="minorEastAsia" w:eastAsiaTheme="minorEastAsia" w:hAnsiTheme="minorEastAsia" w:hint="eastAsia"/>
          <w:b w:val="0"/>
          <w:bCs/>
        </w:rPr>
        <w:t>投资决策</w:t>
      </w:r>
      <w:bookmarkEnd w:id="123"/>
      <w:bookmarkEnd w:id="124"/>
      <w:bookmarkEnd w:id="122"/>
    </w:p>
    <w:p w:rsidR="003A3487" w:rsidRPr="008564FF" w:rsidP="004549E4">
      <w:pPr>
        <w:snapToGrid w:val="0"/>
        <w:spacing w:line="360" w:lineRule="auto"/>
        <w:ind w:firstLine="424" w:firstLineChars="202"/>
        <w:rPr>
          <w:rFonts w:asciiTheme="minorEastAsia" w:eastAsiaTheme="minorEastAsia" w:hAnsiTheme="minorEastAsia"/>
        </w:rPr>
      </w:pPr>
      <w:r w:rsidRPr="008564FF">
        <w:rPr>
          <w:rFonts w:asciiTheme="minorEastAsia" w:eastAsiaTheme="minorEastAsia" w:hAnsiTheme="minorEastAsia" w:hint="eastAsia"/>
        </w:rPr>
        <w:t>1、资产配置决策</w:t>
      </w:r>
    </w:p>
    <w:p w:rsidR="00A50671" w:rsidRPr="008564FF" w:rsidP="004549E4">
      <w:pPr>
        <w:snapToGrid w:val="0"/>
        <w:spacing w:line="360" w:lineRule="auto"/>
        <w:ind w:firstLine="424" w:firstLineChars="202"/>
        <w:rPr>
          <w:rFonts w:asciiTheme="minorEastAsia" w:eastAsiaTheme="minorEastAsia" w:hAnsiTheme="minorEastAsia"/>
        </w:rPr>
      </w:pPr>
      <w:r w:rsidRPr="008564FF">
        <w:rPr>
          <w:rFonts w:asciiTheme="minorEastAsia" w:eastAsiaTheme="minorEastAsia" w:hAnsiTheme="minorEastAsia" w:hint="eastAsia"/>
        </w:rPr>
        <w:t>基金经理根据基金合同的要求以及投资决策委员会的指导性意见，确定基金资产的配置比例。</w:t>
      </w:r>
    </w:p>
    <w:p w:rsidR="003A3487" w:rsidRPr="008564FF" w:rsidP="004549E4">
      <w:pPr>
        <w:snapToGrid w:val="0"/>
        <w:spacing w:line="360" w:lineRule="auto"/>
        <w:ind w:firstLine="424" w:firstLineChars="202"/>
        <w:rPr>
          <w:rFonts w:asciiTheme="minorEastAsia" w:eastAsiaTheme="minorEastAsia" w:hAnsiTheme="minorEastAsia"/>
        </w:rPr>
      </w:pPr>
      <w:r w:rsidRPr="008564FF">
        <w:rPr>
          <w:rFonts w:asciiTheme="minorEastAsia" w:eastAsiaTheme="minorEastAsia" w:hAnsiTheme="minorEastAsia" w:hint="eastAsia"/>
        </w:rPr>
        <w:t>2、类别资产投资决策</w:t>
      </w:r>
    </w:p>
    <w:p w:rsidR="003A3487" w:rsidRPr="008564FF" w:rsidP="00A50671">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基金经理根据前述各类资产的投资策略，分别进行股票、债券、货币市场工具等资产类别的投资决策。</w:t>
      </w:r>
    </w:p>
    <w:p w:rsidR="003A3487" w:rsidRPr="008564FF" w:rsidP="004549E4">
      <w:pPr>
        <w:snapToGrid w:val="0"/>
        <w:spacing w:line="360" w:lineRule="auto"/>
        <w:ind w:firstLine="420"/>
        <w:rPr>
          <w:rFonts w:asciiTheme="minorEastAsia" w:eastAsiaTheme="minorEastAsia" w:hAnsiTheme="minorEastAsia"/>
          <w:szCs w:val="21"/>
        </w:rPr>
      </w:pPr>
      <w:r w:rsidRPr="008564FF">
        <w:rPr>
          <w:rFonts w:asciiTheme="minorEastAsia" w:eastAsiaTheme="minorEastAsia" w:hAnsiTheme="minorEastAsia" w:hint="eastAsia"/>
          <w:szCs w:val="21"/>
        </w:rPr>
        <w:t>（1）股票投资决策</w:t>
      </w:r>
    </w:p>
    <w:p w:rsidR="003A3487" w:rsidRPr="008564FF" w:rsidP="004549E4">
      <w:pPr>
        <w:numPr>
          <w:ilvl w:val="0"/>
          <w:numId w:val="11"/>
        </w:numPr>
        <w:snapToGrid w:val="0"/>
        <w:spacing w:line="360" w:lineRule="auto"/>
        <w:rPr>
          <w:rFonts w:asciiTheme="minorEastAsia" w:eastAsiaTheme="minorEastAsia" w:hAnsiTheme="minorEastAsia"/>
        </w:rPr>
      </w:pPr>
      <w:r w:rsidRPr="008564FF">
        <w:rPr>
          <w:rFonts w:asciiTheme="minorEastAsia" w:eastAsiaTheme="minorEastAsia" w:hAnsiTheme="minorEastAsia" w:hint="eastAsia"/>
        </w:rPr>
        <w:t>基金经理根据行业研究员定期提供的行业投资评级结果，制定以及调整行业资产配置比例；</w:t>
      </w:r>
    </w:p>
    <w:p w:rsidR="003A3487" w:rsidRPr="008564FF" w:rsidP="004549E4">
      <w:pPr>
        <w:numPr>
          <w:ilvl w:val="0"/>
          <w:numId w:val="11"/>
        </w:numPr>
        <w:snapToGrid w:val="0"/>
        <w:spacing w:line="360" w:lineRule="auto"/>
        <w:rPr>
          <w:rFonts w:asciiTheme="minorEastAsia" w:eastAsiaTheme="minorEastAsia" w:hAnsiTheme="minorEastAsia"/>
        </w:rPr>
      </w:pPr>
      <w:r w:rsidRPr="008564FF">
        <w:rPr>
          <w:rFonts w:asciiTheme="minorEastAsia" w:eastAsiaTheme="minorEastAsia" w:hAnsiTheme="minorEastAsia" w:hint="eastAsia"/>
        </w:rPr>
        <w:t>根据行业领先企业的选择标准，从上市公司和公司备选库中，选出行业领先企业作为本基金的主要投资对象；</w:t>
      </w:r>
    </w:p>
    <w:p w:rsidR="003A3487" w:rsidRPr="008564FF" w:rsidP="004549E4">
      <w:pPr>
        <w:numPr>
          <w:ilvl w:val="0"/>
          <w:numId w:val="11"/>
        </w:numPr>
        <w:snapToGrid w:val="0"/>
        <w:spacing w:line="360" w:lineRule="auto"/>
        <w:rPr>
          <w:rFonts w:asciiTheme="minorEastAsia" w:eastAsiaTheme="minorEastAsia" w:hAnsiTheme="minorEastAsia"/>
        </w:rPr>
      </w:pPr>
      <w:r w:rsidRPr="008564FF">
        <w:rPr>
          <w:rFonts w:asciiTheme="minorEastAsia" w:eastAsiaTheme="minorEastAsia" w:hAnsiTheme="minorEastAsia" w:hint="eastAsia"/>
        </w:rPr>
        <w:t>根据研究报告，从行业领先企业中选出龙头企业和高成长企业构造投资组合；</w:t>
      </w:r>
    </w:p>
    <w:p w:rsidR="003A3487" w:rsidRPr="008564FF" w:rsidP="004549E4">
      <w:pPr>
        <w:numPr>
          <w:ilvl w:val="0"/>
          <w:numId w:val="11"/>
        </w:numPr>
        <w:snapToGrid w:val="0"/>
        <w:spacing w:line="360" w:lineRule="auto"/>
        <w:rPr>
          <w:rFonts w:asciiTheme="minorEastAsia" w:eastAsiaTheme="minorEastAsia" w:hAnsiTheme="minorEastAsia"/>
          <w:szCs w:val="21"/>
        </w:rPr>
      </w:pPr>
      <w:r w:rsidRPr="008564FF">
        <w:rPr>
          <w:rFonts w:asciiTheme="minorEastAsia" w:eastAsiaTheme="minorEastAsia" w:hAnsiTheme="minorEastAsia" w:hint="eastAsia"/>
          <w:szCs w:val="21"/>
        </w:rPr>
        <w:t>根据上市公司及行业基本面的变化以及对组合风险的评估，持续地对组合进行优化调整。</w:t>
      </w:r>
    </w:p>
    <w:p w:rsidR="003A3487" w:rsidRPr="008564FF" w:rsidP="004549E4">
      <w:pPr>
        <w:snapToGrid w:val="0"/>
        <w:spacing w:line="360" w:lineRule="auto"/>
        <w:ind w:firstLine="420"/>
        <w:rPr>
          <w:rFonts w:asciiTheme="minorEastAsia" w:eastAsiaTheme="minorEastAsia" w:hAnsiTheme="minorEastAsia"/>
          <w:szCs w:val="21"/>
        </w:rPr>
      </w:pPr>
      <w:r w:rsidRPr="008564FF">
        <w:rPr>
          <w:rFonts w:asciiTheme="minorEastAsia" w:eastAsiaTheme="minorEastAsia" w:hAnsiTheme="minorEastAsia" w:hint="eastAsia"/>
          <w:szCs w:val="21"/>
        </w:rPr>
        <w:t>（2）债券及货币工具的投资决策</w:t>
      </w:r>
    </w:p>
    <w:p w:rsidR="003A3487" w:rsidRPr="008564FF" w:rsidP="004549E4">
      <w:pPr>
        <w:snapToGrid w:val="0"/>
        <w:spacing w:line="360" w:lineRule="auto"/>
        <w:ind w:left="420" w:firstLine="420"/>
        <w:rPr>
          <w:rFonts w:asciiTheme="minorEastAsia" w:eastAsiaTheme="minorEastAsia" w:hAnsiTheme="minorEastAsia"/>
          <w:szCs w:val="21"/>
        </w:rPr>
      </w:pPr>
      <w:r w:rsidRPr="008564FF">
        <w:rPr>
          <w:rFonts w:asciiTheme="minorEastAsia" w:eastAsiaTheme="minorEastAsia" w:hAnsiTheme="minorEastAsia" w:hint="eastAsia"/>
          <w:szCs w:val="21"/>
        </w:rPr>
        <w:t>基金经理根据宏观研究员及债券研究员提供的研究报告，结合自身的分析判断，选择具体的债券（含可转债）和货币市场工具品种构造投资组合。</w:t>
      </w:r>
    </w:p>
    <w:p w:rsidR="003A3487" w:rsidRPr="008564FF" w:rsidP="009C2B2A">
      <w:pPr>
        <w:pStyle w:val="Heading2"/>
        <w:snapToGrid w:val="0"/>
        <w:spacing w:beforeLines="0" w:afterLines="0" w:line="360" w:lineRule="auto"/>
        <w:ind w:firstLine="0" w:firstLineChars="0"/>
        <w:rPr>
          <w:rFonts w:asciiTheme="minorEastAsia" w:eastAsiaTheme="minorEastAsia" w:hAnsiTheme="minorEastAsia"/>
        </w:rPr>
      </w:pPr>
      <w:bookmarkStart w:id="125" w:name="_Toc91749247"/>
      <w:r w:rsidRPr="008564FF">
        <w:rPr>
          <w:rFonts w:asciiTheme="minorEastAsia" w:eastAsiaTheme="minorEastAsia" w:hAnsiTheme="minorEastAsia" w:hint="eastAsia"/>
          <w:b w:val="0"/>
          <w:bCs/>
        </w:rPr>
        <w:t>（八）投资</w:t>
      </w:r>
      <w:bookmarkEnd w:id="88"/>
      <w:r w:rsidRPr="008564FF">
        <w:rPr>
          <w:rFonts w:asciiTheme="minorEastAsia" w:eastAsiaTheme="minorEastAsia" w:hAnsiTheme="minorEastAsia" w:hint="eastAsia"/>
          <w:b w:val="0"/>
          <w:bCs/>
        </w:rPr>
        <w:t>限制</w:t>
      </w:r>
      <w:bookmarkEnd w:id="125"/>
    </w:p>
    <w:p w:rsidR="003A3487" w:rsidRPr="008564FF" w:rsidP="004549E4">
      <w:pPr>
        <w:snapToGrid w:val="0"/>
        <w:spacing w:line="360" w:lineRule="auto"/>
        <w:ind w:firstLine="482"/>
        <w:rPr>
          <w:rStyle w:val="da"/>
          <w:rFonts w:asciiTheme="minorEastAsia" w:eastAsiaTheme="minorEastAsia" w:hAnsiTheme="minorEastAsia"/>
        </w:rPr>
      </w:pPr>
      <w:r w:rsidRPr="008564FF">
        <w:rPr>
          <w:rStyle w:val="da"/>
          <w:rFonts w:asciiTheme="minorEastAsia" w:eastAsiaTheme="minorEastAsia" w:hAnsiTheme="minorEastAsia" w:hint="eastAsia"/>
        </w:rPr>
        <w:t>根据目前法律法规的规定，以及本基金的投资策略，本基金的投资组合将遵循以下限制：</w:t>
      </w:r>
    </w:p>
    <w:p w:rsidR="003A3487" w:rsidRPr="008564FF" w:rsidP="004549E4">
      <w:pPr>
        <w:snapToGrid w:val="0"/>
        <w:spacing w:line="360" w:lineRule="auto"/>
        <w:ind w:firstLine="424" w:firstLineChars="202"/>
        <w:rPr>
          <w:rFonts w:asciiTheme="minorEastAsia" w:eastAsiaTheme="minorEastAsia" w:hAnsiTheme="minorEastAsia"/>
        </w:rPr>
      </w:pPr>
      <w:r w:rsidRPr="008564FF">
        <w:rPr>
          <w:rFonts w:asciiTheme="minorEastAsia" w:eastAsiaTheme="minorEastAsia" w:hAnsiTheme="minorEastAsia" w:hint="eastAsia"/>
        </w:rPr>
        <w:t>1、本基金持有一家上市公司的股票，其市值不得超过基金资产净值的10%；</w:t>
      </w:r>
    </w:p>
    <w:p w:rsidR="003A3487" w:rsidRPr="008564FF" w:rsidP="004549E4">
      <w:pPr>
        <w:snapToGrid w:val="0"/>
        <w:spacing w:line="360" w:lineRule="auto"/>
        <w:ind w:firstLine="424" w:firstLineChars="202"/>
        <w:rPr>
          <w:rFonts w:asciiTheme="minorEastAsia" w:eastAsiaTheme="minorEastAsia" w:hAnsiTheme="minorEastAsia"/>
        </w:rPr>
      </w:pPr>
      <w:r w:rsidRPr="008564FF">
        <w:rPr>
          <w:rFonts w:asciiTheme="minorEastAsia" w:eastAsiaTheme="minorEastAsia" w:hAnsiTheme="minorEastAsia" w:hint="eastAsia"/>
        </w:rPr>
        <w:t>2、本基金与由本基金管理人管理的其他基金共同持有一家公司发行的证券，不得超过该证券的10%；</w:t>
      </w:r>
    </w:p>
    <w:p w:rsidR="003A3487" w:rsidRPr="008564FF" w:rsidP="004549E4">
      <w:pPr>
        <w:snapToGrid w:val="0"/>
        <w:spacing w:line="360" w:lineRule="auto"/>
        <w:ind w:firstLine="424" w:firstLineChars="202"/>
        <w:rPr>
          <w:rFonts w:asciiTheme="minorEastAsia" w:eastAsiaTheme="minorEastAsia" w:hAnsiTheme="minorEastAsia"/>
        </w:rPr>
      </w:pPr>
      <w:r w:rsidRPr="008564FF">
        <w:rPr>
          <w:rFonts w:asciiTheme="minorEastAsia" w:eastAsiaTheme="minorEastAsia" w:hAnsiTheme="minorEastAsia" w:hint="eastAsia"/>
        </w:rPr>
        <w:t>3、本基金进入全国银行间同业市场进行债券回购的资金余额不得超过基金资产净值的40%；</w:t>
      </w:r>
    </w:p>
    <w:p w:rsidR="003A3487" w:rsidRPr="008564FF" w:rsidP="004549E4">
      <w:pPr>
        <w:snapToGrid w:val="0"/>
        <w:spacing w:line="360" w:lineRule="auto"/>
        <w:ind w:firstLine="424" w:firstLineChars="202"/>
        <w:rPr>
          <w:rFonts w:asciiTheme="minorEastAsia" w:eastAsiaTheme="minorEastAsia" w:hAnsiTheme="minorEastAsia"/>
        </w:rPr>
      </w:pPr>
      <w:r w:rsidRPr="008564FF">
        <w:rPr>
          <w:rFonts w:asciiTheme="minorEastAsia" w:eastAsiaTheme="minorEastAsia" w:hAnsiTheme="minorEastAsia" w:hint="eastAsia"/>
        </w:rPr>
        <w:t>4、本基金持有的现金和到期日在一年以内的政府债券为基金资产净值5%以上</w:t>
      </w:r>
      <w:r w:rsidRPr="008564FF" w:rsidR="008A1A23">
        <w:rPr>
          <w:rFonts w:asciiTheme="minorEastAsia" w:eastAsiaTheme="minorEastAsia" w:hAnsiTheme="minorEastAsia" w:hint="eastAsia"/>
          <w:szCs w:val="21"/>
        </w:rPr>
        <w:t>，现金不包括结算备付金、存出保证金、应收申购款等</w:t>
      </w:r>
      <w:r w:rsidRPr="008564FF">
        <w:rPr>
          <w:rFonts w:asciiTheme="minorEastAsia" w:eastAsiaTheme="minorEastAsia" w:hAnsiTheme="minorEastAsia" w:hint="eastAsia"/>
        </w:rPr>
        <w:t>；</w:t>
      </w:r>
    </w:p>
    <w:p w:rsidR="003A3487" w:rsidRPr="008564FF" w:rsidP="004549E4">
      <w:pPr>
        <w:snapToGrid w:val="0"/>
        <w:spacing w:line="360" w:lineRule="auto"/>
        <w:ind w:firstLine="424" w:firstLineChars="202"/>
        <w:rPr>
          <w:rFonts w:asciiTheme="minorEastAsia" w:eastAsiaTheme="minorEastAsia" w:hAnsiTheme="minorEastAsia"/>
        </w:rPr>
      </w:pPr>
      <w:r w:rsidRPr="008564FF">
        <w:rPr>
          <w:rFonts w:asciiTheme="minorEastAsia" w:eastAsiaTheme="minorEastAsia" w:hAnsiTheme="minorEastAsia" w:hint="eastAsia"/>
        </w:rPr>
        <w:t>5、本基金不得违反《基金合同》关于投资范围、投资策略和投资比例的约定；</w:t>
      </w:r>
    </w:p>
    <w:p w:rsidR="003A3487" w:rsidRPr="008564FF" w:rsidP="004549E4">
      <w:pPr>
        <w:snapToGrid w:val="0"/>
        <w:spacing w:line="360" w:lineRule="auto"/>
        <w:ind w:firstLine="424" w:firstLineChars="202"/>
        <w:rPr>
          <w:rFonts w:asciiTheme="minorEastAsia" w:eastAsiaTheme="minorEastAsia" w:hAnsiTheme="minorEastAsia"/>
        </w:rPr>
      </w:pPr>
      <w:r w:rsidRPr="008564FF">
        <w:rPr>
          <w:rFonts w:asciiTheme="minorEastAsia" w:eastAsiaTheme="minorEastAsia" w:hAnsiTheme="minorEastAsia" w:hint="eastAsia"/>
        </w:rPr>
        <w:t>6、本基金在任何交易日买入权证的总金额，不超过上一交易日基金资产净值的0.5%，基金持有的全部权证的市值不超过基金资产净值的3%，基金管理人管理的全部基金持有同一权证的比例不超过该权证的10%。法律法规或中国证监会另有规定的，遵从其规定；</w:t>
      </w:r>
    </w:p>
    <w:p w:rsidR="003A3487" w:rsidRPr="008564FF" w:rsidP="004549E4">
      <w:pPr>
        <w:snapToGrid w:val="0"/>
        <w:spacing w:line="360" w:lineRule="auto"/>
        <w:ind w:firstLine="424" w:firstLineChars="202"/>
        <w:rPr>
          <w:rFonts w:asciiTheme="minorEastAsia" w:eastAsiaTheme="minorEastAsia" w:hAnsiTheme="minorEastAsia"/>
        </w:rPr>
      </w:pPr>
      <w:r w:rsidRPr="008564FF">
        <w:rPr>
          <w:rFonts w:asciiTheme="minorEastAsia" w:eastAsiaTheme="minorEastAsia" w:hAnsiTheme="minorEastAsia" w:hint="eastAsia"/>
        </w:rPr>
        <w:t>7、基金财产参与股票发行申购，本基金所申报的金额不得超过本基金的总资产，所申报的股票数量不得超过拟发行股票公司本次发行股票的总量；</w:t>
      </w:r>
    </w:p>
    <w:p w:rsidR="0083185E" w:rsidRPr="008564FF" w:rsidP="00AF6805">
      <w:pPr>
        <w:snapToGrid w:val="0"/>
        <w:spacing w:line="360" w:lineRule="auto"/>
        <w:ind w:firstLine="424" w:firstLineChars="202"/>
        <w:rPr>
          <w:rFonts w:asciiTheme="minorEastAsia" w:eastAsiaTheme="minorEastAsia" w:hAnsiTheme="minorEastAsia"/>
        </w:rPr>
      </w:pPr>
      <w:r w:rsidRPr="008564FF">
        <w:rPr>
          <w:rFonts w:asciiTheme="minorEastAsia" w:eastAsiaTheme="minorEastAsia" w:hAnsiTheme="minorEastAsia"/>
        </w:rPr>
        <w:t>8、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r w:rsidRPr="008564FF" w:rsidR="008A1A23">
        <w:rPr>
          <w:rFonts w:asciiTheme="minorEastAsia" w:eastAsiaTheme="minorEastAsia" w:hAnsiTheme="minorEastAsia" w:hint="eastAsia"/>
        </w:rPr>
        <w:t>；</w:t>
      </w:r>
    </w:p>
    <w:p w:rsidR="0083185E" w:rsidRPr="008564FF" w:rsidP="00AF6805">
      <w:pPr>
        <w:snapToGrid w:val="0"/>
        <w:spacing w:line="360" w:lineRule="auto"/>
        <w:ind w:firstLine="424" w:firstLineChars="202"/>
        <w:rPr>
          <w:rFonts w:asciiTheme="minorEastAsia" w:eastAsiaTheme="minorEastAsia" w:hAnsiTheme="minorEastAsia"/>
        </w:rPr>
      </w:pPr>
      <w:r w:rsidRPr="008564FF">
        <w:rPr>
          <w:rFonts w:asciiTheme="minorEastAsia" w:eastAsiaTheme="minorEastAsia" w:hAnsiTheme="minorEastAsia"/>
        </w:rPr>
        <w:t>9、本基金主动投资于流动性受限资产的市值合计不得超过该基金资产净值的15%。</w:t>
      </w:r>
    </w:p>
    <w:p w:rsidR="0083185E" w:rsidRPr="008564FF" w:rsidP="00AF6805">
      <w:pPr>
        <w:snapToGrid w:val="0"/>
        <w:spacing w:line="360" w:lineRule="auto"/>
        <w:ind w:firstLine="424" w:firstLineChars="202"/>
        <w:rPr>
          <w:rFonts w:asciiTheme="minorEastAsia" w:eastAsiaTheme="minorEastAsia" w:hAnsiTheme="minorEastAsia"/>
        </w:rPr>
      </w:pPr>
      <w:r w:rsidRPr="008564FF">
        <w:rPr>
          <w:rFonts w:asciiTheme="minorEastAsia" w:eastAsiaTheme="minorEastAsia" w:hAnsiTheme="minorEastAsia" w:hint="eastAsia"/>
        </w:rPr>
        <w:t>因证券市场波动、上市公司股票停牌、基金规模变动等基金管理人之外的因素致使基金不符合前款所规定比例限制的，基金管理人不得主动新增流动性受限资产的投资</w:t>
      </w:r>
      <w:r w:rsidRPr="008564FF" w:rsidR="008A1A23">
        <w:rPr>
          <w:rFonts w:asciiTheme="minorEastAsia" w:eastAsiaTheme="minorEastAsia" w:hAnsiTheme="minorEastAsia" w:hint="eastAsia"/>
        </w:rPr>
        <w:t>；</w:t>
      </w:r>
    </w:p>
    <w:p w:rsidR="0083185E" w:rsidRPr="008564FF" w:rsidP="00AF6805">
      <w:pPr>
        <w:snapToGrid w:val="0"/>
        <w:spacing w:line="360" w:lineRule="auto"/>
        <w:ind w:firstLine="424" w:firstLineChars="202"/>
        <w:rPr>
          <w:rFonts w:asciiTheme="minorEastAsia" w:eastAsiaTheme="minorEastAsia" w:hAnsiTheme="minorEastAsia"/>
        </w:rPr>
      </w:pPr>
      <w:r w:rsidRPr="008564FF">
        <w:rPr>
          <w:rFonts w:asciiTheme="minorEastAsia" w:eastAsiaTheme="minorEastAsia" w:hAnsiTheme="minorEastAsia"/>
        </w:rPr>
        <w:t>10、本基金与私募类证券资管产品及中国证监会认定的其他主体为交易对手开展逆回购交易的，可接受质押品的资质要求应当与基金合同约定的投资范围保持一致</w:t>
      </w:r>
      <w:r w:rsidRPr="008564FF" w:rsidR="008A1A23">
        <w:rPr>
          <w:rFonts w:asciiTheme="minorEastAsia" w:eastAsiaTheme="minorEastAsia" w:hAnsiTheme="minorEastAsia" w:hint="eastAsia"/>
        </w:rPr>
        <w:t>；</w:t>
      </w:r>
    </w:p>
    <w:p w:rsidR="009D1A75" w:rsidRPr="008564FF" w:rsidP="004549E4">
      <w:pPr>
        <w:snapToGrid w:val="0"/>
        <w:spacing w:line="360" w:lineRule="auto"/>
        <w:ind w:firstLine="424" w:firstLineChars="202"/>
        <w:rPr>
          <w:rFonts w:asciiTheme="minorEastAsia" w:eastAsiaTheme="minorEastAsia" w:hAnsiTheme="minorEastAsia"/>
        </w:rPr>
      </w:pPr>
      <w:r w:rsidRPr="008564FF">
        <w:rPr>
          <w:rFonts w:asciiTheme="minorEastAsia" w:eastAsiaTheme="minorEastAsia" w:hAnsiTheme="minorEastAsia" w:hint="eastAsia"/>
        </w:rPr>
        <w:t>11、本基金投资存托凭证的比例限制依照境内上市交易的股票执行，与境内上市交易的股票合并计算。</w:t>
      </w:r>
    </w:p>
    <w:p w:rsidR="003A3487" w:rsidRPr="008564FF" w:rsidP="004549E4">
      <w:pPr>
        <w:snapToGrid w:val="0"/>
        <w:spacing w:line="360" w:lineRule="auto"/>
        <w:ind w:firstLine="424" w:firstLineChars="202"/>
        <w:rPr>
          <w:rFonts w:asciiTheme="minorEastAsia" w:eastAsiaTheme="minorEastAsia" w:hAnsiTheme="minorEastAsia"/>
        </w:rPr>
      </w:pPr>
      <w:r w:rsidRPr="008564FF">
        <w:rPr>
          <w:rFonts w:asciiTheme="minorEastAsia" w:eastAsiaTheme="minorEastAsia" w:hAnsiTheme="minorEastAsia"/>
        </w:rPr>
        <w:t>1</w:t>
      </w:r>
      <w:r w:rsidRPr="008564FF" w:rsidR="009D1A75">
        <w:rPr>
          <w:rFonts w:asciiTheme="minorEastAsia" w:eastAsiaTheme="minorEastAsia" w:hAnsiTheme="minorEastAsia"/>
        </w:rPr>
        <w:t>2</w:t>
      </w:r>
      <w:r w:rsidRPr="008564FF" w:rsidR="0007535E">
        <w:rPr>
          <w:rFonts w:asciiTheme="minorEastAsia" w:eastAsiaTheme="minorEastAsia" w:hAnsiTheme="minorEastAsia" w:hint="eastAsia"/>
        </w:rPr>
        <w:t>、</w:t>
      </w:r>
      <w:r w:rsidRPr="008564FF">
        <w:rPr>
          <w:rFonts w:asciiTheme="minorEastAsia" w:eastAsiaTheme="minorEastAsia" w:hAnsiTheme="minorEastAsia" w:hint="eastAsia"/>
        </w:rPr>
        <w:t>相关法律法规以及监管部门规定的其它投资限制。</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如法律法规或监管部门取消上述限制性规定，履行适当程序后，本基金不受上述规定的限制。</w:t>
      </w:r>
    </w:p>
    <w:p w:rsidR="003A3487" w:rsidRPr="008564FF" w:rsidP="004549E4">
      <w:pPr>
        <w:snapToGrid w:val="0"/>
        <w:spacing w:line="360" w:lineRule="auto"/>
        <w:ind w:firstLine="420" w:firstLineChars="200"/>
        <w:rPr>
          <w:rFonts w:asciiTheme="minorEastAsia" w:eastAsiaTheme="minorEastAsia" w:hAnsiTheme="minorEastAsia"/>
          <w:b/>
          <w:bCs/>
          <w:szCs w:val="21"/>
        </w:rPr>
      </w:pPr>
      <w:r w:rsidRPr="008564FF">
        <w:rPr>
          <w:rFonts w:asciiTheme="minorEastAsia" w:eastAsiaTheme="minorEastAsia" w:hAnsiTheme="minorEastAsia" w:hint="eastAsia"/>
          <w:szCs w:val="21"/>
        </w:rPr>
        <w:t>除上述4、7、9、10以外，由于证券市场波动、上市公司合并或基金规模变动等基金管理人之外的原因导致的投资组合不符合上述约定的比例不在限制之内，但基金管理人应在10个交易日内进行调整，以达到标准。法律法规另有规定的从其规定。</w:t>
      </w:r>
    </w:p>
    <w:p w:rsidR="003A3487" w:rsidRPr="008564FF" w:rsidP="009C2B2A">
      <w:pPr>
        <w:pStyle w:val="Heading2"/>
        <w:snapToGrid w:val="0"/>
        <w:spacing w:beforeLines="0" w:afterLines="0" w:line="360" w:lineRule="auto"/>
        <w:ind w:firstLine="0" w:firstLineChars="0"/>
        <w:rPr>
          <w:rFonts w:asciiTheme="minorEastAsia" w:eastAsiaTheme="minorEastAsia" w:hAnsiTheme="minorEastAsia"/>
        </w:rPr>
      </w:pPr>
      <w:bookmarkStart w:id="126" w:name="_Toc91749248"/>
      <w:r w:rsidRPr="008564FF">
        <w:rPr>
          <w:rFonts w:asciiTheme="minorEastAsia" w:eastAsiaTheme="minorEastAsia" w:hAnsiTheme="minorEastAsia" w:hint="eastAsia"/>
          <w:b w:val="0"/>
          <w:bCs/>
        </w:rPr>
        <w:t>（九）</w:t>
      </w:r>
      <w:bookmarkStart w:id="127" w:name="_Toc52310854"/>
      <w:r w:rsidRPr="008564FF">
        <w:rPr>
          <w:rFonts w:asciiTheme="minorEastAsia" w:eastAsiaTheme="minorEastAsia" w:hAnsiTheme="minorEastAsia" w:hint="eastAsia"/>
          <w:b w:val="0"/>
          <w:bCs/>
        </w:rPr>
        <w:t>禁止行为</w:t>
      </w:r>
      <w:bookmarkEnd w:id="127"/>
      <w:bookmarkEnd w:id="126"/>
    </w:p>
    <w:p w:rsidR="003A3487" w:rsidRPr="008564FF" w:rsidP="004549E4">
      <w:pPr>
        <w:snapToGrid w:val="0"/>
        <w:spacing w:line="360" w:lineRule="auto"/>
        <w:ind w:firstLine="424" w:firstLineChars="202"/>
        <w:rPr>
          <w:rFonts w:asciiTheme="minorEastAsia" w:eastAsiaTheme="minorEastAsia" w:hAnsiTheme="minorEastAsia"/>
        </w:rPr>
      </w:pPr>
      <w:r w:rsidRPr="008564FF">
        <w:rPr>
          <w:rFonts w:asciiTheme="minorEastAsia" w:eastAsiaTheme="minorEastAsia" w:hAnsiTheme="minorEastAsia" w:hint="eastAsia"/>
        </w:rPr>
        <w:t>为维护基金份额持有人的合法权益，本基金禁止从事下列行为：</w:t>
      </w:r>
    </w:p>
    <w:p w:rsidR="003A3487" w:rsidRPr="008564FF" w:rsidP="004549E4">
      <w:pPr>
        <w:snapToGrid w:val="0"/>
        <w:spacing w:line="360" w:lineRule="auto"/>
        <w:ind w:firstLine="424" w:firstLineChars="202"/>
        <w:rPr>
          <w:rFonts w:asciiTheme="minorEastAsia" w:eastAsiaTheme="minorEastAsia" w:hAnsiTheme="minorEastAsia"/>
        </w:rPr>
      </w:pPr>
      <w:r w:rsidRPr="008564FF">
        <w:rPr>
          <w:rFonts w:asciiTheme="minorEastAsia" w:eastAsiaTheme="minorEastAsia" w:hAnsiTheme="minorEastAsia" w:hint="eastAsia"/>
        </w:rPr>
        <w:t>1</w:t>
      </w:r>
      <w:r w:rsidRPr="008564FF" w:rsidR="0007535E">
        <w:rPr>
          <w:rFonts w:asciiTheme="minorEastAsia" w:eastAsiaTheme="minorEastAsia" w:hAnsiTheme="minorEastAsia" w:hint="eastAsia"/>
        </w:rPr>
        <w:t>、</w:t>
      </w:r>
      <w:r w:rsidRPr="008564FF">
        <w:rPr>
          <w:rFonts w:asciiTheme="minorEastAsia" w:eastAsiaTheme="minorEastAsia" w:hAnsiTheme="minorEastAsia" w:hint="eastAsia"/>
        </w:rPr>
        <w:t>承销证券；</w:t>
      </w:r>
    </w:p>
    <w:p w:rsidR="003A3487" w:rsidRPr="008564FF" w:rsidP="004549E4">
      <w:pPr>
        <w:snapToGrid w:val="0"/>
        <w:spacing w:line="360" w:lineRule="auto"/>
        <w:ind w:firstLine="424" w:firstLineChars="202"/>
        <w:rPr>
          <w:rFonts w:asciiTheme="minorEastAsia" w:eastAsiaTheme="minorEastAsia" w:hAnsiTheme="minorEastAsia"/>
        </w:rPr>
      </w:pPr>
      <w:r w:rsidRPr="008564FF">
        <w:rPr>
          <w:rFonts w:asciiTheme="minorEastAsia" w:eastAsiaTheme="minorEastAsia" w:hAnsiTheme="minorEastAsia" w:hint="eastAsia"/>
        </w:rPr>
        <w:t>2、向他人贷款或提供担保；</w:t>
      </w:r>
    </w:p>
    <w:p w:rsidR="003A3487" w:rsidRPr="008564FF" w:rsidP="004549E4">
      <w:pPr>
        <w:snapToGrid w:val="0"/>
        <w:spacing w:line="360" w:lineRule="auto"/>
        <w:ind w:firstLine="424" w:firstLineChars="202"/>
        <w:rPr>
          <w:rFonts w:asciiTheme="minorEastAsia" w:eastAsiaTheme="minorEastAsia" w:hAnsiTheme="minorEastAsia"/>
        </w:rPr>
      </w:pPr>
      <w:r w:rsidRPr="008564FF">
        <w:rPr>
          <w:rFonts w:asciiTheme="minorEastAsia" w:eastAsiaTheme="minorEastAsia" w:hAnsiTheme="minorEastAsia" w:hint="eastAsia"/>
        </w:rPr>
        <w:t>3、从事承担无限责任的投资；</w:t>
      </w:r>
    </w:p>
    <w:p w:rsidR="003A3487" w:rsidRPr="008564FF" w:rsidP="004549E4">
      <w:pPr>
        <w:snapToGrid w:val="0"/>
        <w:spacing w:line="360" w:lineRule="auto"/>
        <w:ind w:firstLine="424" w:firstLineChars="202"/>
        <w:rPr>
          <w:rFonts w:asciiTheme="minorEastAsia" w:eastAsiaTheme="minorEastAsia" w:hAnsiTheme="minorEastAsia"/>
        </w:rPr>
      </w:pPr>
      <w:r w:rsidRPr="008564FF">
        <w:rPr>
          <w:rFonts w:asciiTheme="minorEastAsia" w:eastAsiaTheme="minorEastAsia" w:hAnsiTheme="minorEastAsia" w:hint="eastAsia"/>
        </w:rPr>
        <w:t>4、买卖其他基金份额，</w:t>
      </w:r>
      <w:r w:rsidRPr="008564FF">
        <w:rPr>
          <w:rFonts w:asciiTheme="minorEastAsia" w:eastAsiaTheme="minorEastAsia" w:hAnsiTheme="minorEastAsia" w:hint="eastAsia"/>
          <w:szCs w:val="21"/>
        </w:rPr>
        <w:t>但法律法规或中国证监会另有规定的除外</w:t>
      </w:r>
      <w:r w:rsidRPr="008564FF">
        <w:rPr>
          <w:rFonts w:asciiTheme="minorEastAsia" w:eastAsiaTheme="minorEastAsia" w:hAnsiTheme="minorEastAsia" w:hint="eastAsia"/>
        </w:rPr>
        <w:t>；</w:t>
      </w:r>
    </w:p>
    <w:p w:rsidR="003A3487" w:rsidRPr="008564FF" w:rsidP="004549E4">
      <w:pPr>
        <w:snapToGrid w:val="0"/>
        <w:spacing w:line="360" w:lineRule="auto"/>
        <w:ind w:firstLine="424" w:firstLineChars="202"/>
        <w:rPr>
          <w:rFonts w:asciiTheme="minorEastAsia" w:eastAsiaTheme="minorEastAsia" w:hAnsiTheme="minorEastAsia"/>
        </w:rPr>
      </w:pPr>
      <w:r w:rsidRPr="008564FF">
        <w:rPr>
          <w:rFonts w:asciiTheme="minorEastAsia" w:eastAsiaTheme="minorEastAsia" w:hAnsiTheme="minorEastAsia" w:hint="eastAsia"/>
        </w:rPr>
        <w:t>5、向基金管理人、基金托管人出资或者买卖其基金管理人、基金托管人发行的股票或债券；</w:t>
      </w:r>
    </w:p>
    <w:p w:rsidR="003A3487" w:rsidRPr="008564FF" w:rsidP="004549E4">
      <w:pPr>
        <w:snapToGrid w:val="0"/>
        <w:spacing w:line="360" w:lineRule="auto"/>
        <w:ind w:firstLine="424" w:firstLineChars="202"/>
        <w:rPr>
          <w:rFonts w:asciiTheme="minorEastAsia" w:eastAsiaTheme="minorEastAsia" w:hAnsiTheme="minorEastAsia"/>
        </w:rPr>
      </w:pPr>
      <w:r w:rsidRPr="008564FF">
        <w:rPr>
          <w:rFonts w:asciiTheme="minorEastAsia" w:eastAsiaTheme="minorEastAsia" w:hAnsiTheme="minorEastAsia" w:hint="eastAsia"/>
        </w:rPr>
        <w:t>6、买卖与基金管理人、基金托管人有控股关系的股东或者与基金管理人、基金托管人有其他重大利害关系的公司发行的证券或者承销期内承销的证券；</w:t>
      </w:r>
    </w:p>
    <w:p w:rsidR="003A3487" w:rsidRPr="008564FF" w:rsidP="00485893">
      <w:pPr>
        <w:snapToGrid w:val="0"/>
        <w:spacing w:line="360" w:lineRule="auto"/>
        <w:ind w:firstLine="424" w:firstLineChars="202"/>
        <w:rPr>
          <w:rFonts w:asciiTheme="minorEastAsia" w:eastAsiaTheme="minorEastAsia" w:hAnsiTheme="minorEastAsia"/>
        </w:rPr>
      </w:pPr>
      <w:r w:rsidRPr="008564FF">
        <w:rPr>
          <w:rFonts w:asciiTheme="minorEastAsia" w:eastAsiaTheme="minorEastAsia" w:hAnsiTheme="minorEastAsia" w:hint="eastAsia"/>
        </w:rPr>
        <w:t>7、从事内幕交易、操纵证券价格及其他不正当的证券交易活动；</w:t>
      </w:r>
    </w:p>
    <w:p w:rsidR="003A3487" w:rsidRPr="008564FF" w:rsidP="004549E4">
      <w:pPr>
        <w:snapToGrid w:val="0"/>
        <w:spacing w:line="360" w:lineRule="auto"/>
        <w:ind w:firstLine="424" w:firstLineChars="202"/>
        <w:rPr>
          <w:rFonts w:asciiTheme="minorEastAsia" w:eastAsiaTheme="minorEastAsia" w:hAnsiTheme="minorEastAsia"/>
        </w:rPr>
      </w:pPr>
      <w:r w:rsidRPr="008564FF">
        <w:rPr>
          <w:rFonts w:asciiTheme="minorEastAsia" w:eastAsiaTheme="minorEastAsia" w:hAnsiTheme="minorEastAsia" w:hint="eastAsia"/>
        </w:rPr>
        <w:t>8、当时有效的法律法规、中国证监会及《基金合同》规定禁止从事的其他行为。</w:t>
      </w:r>
    </w:p>
    <w:p w:rsidR="003A3487" w:rsidRPr="008564FF" w:rsidP="004549E4">
      <w:pPr>
        <w:snapToGrid w:val="0"/>
        <w:spacing w:line="360" w:lineRule="auto"/>
        <w:ind w:firstLine="424" w:firstLineChars="202"/>
        <w:rPr>
          <w:rFonts w:asciiTheme="minorEastAsia" w:eastAsiaTheme="minorEastAsia" w:hAnsiTheme="minorEastAsia"/>
          <w:szCs w:val="21"/>
        </w:rPr>
      </w:pPr>
      <w:r w:rsidRPr="008564FF">
        <w:rPr>
          <w:rFonts w:asciiTheme="minorEastAsia" w:eastAsiaTheme="minorEastAsia" w:hAnsiTheme="minorEastAsia" w:hint="eastAsia"/>
        </w:rPr>
        <w:t>如法律法规或监管部门取消上述禁止性规定，本基金管理人在履行适当程序后可不受上述规定的限制。</w:t>
      </w:r>
    </w:p>
    <w:p w:rsidR="003A3487" w:rsidRPr="008564FF" w:rsidP="009C2B2A">
      <w:pPr>
        <w:pStyle w:val="Heading2"/>
        <w:snapToGrid w:val="0"/>
        <w:spacing w:beforeLines="0" w:afterLines="0" w:line="360" w:lineRule="auto"/>
        <w:ind w:firstLine="0" w:firstLineChars="0"/>
        <w:rPr>
          <w:rFonts w:asciiTheme="minorEastAsia" w:eastAsiaTheme="minorEastAsia" w:hAnsiTheme="minorEastAsia"/>
          <w:b w:val="0"/>
          <w:bCs/>
        </w:rPr>
      </w:pPr>
      <w:bookmarkStart w:id="128" w:name="_Toc91749249"/>
      <w:r w:rsidRPr="008564FF">
        <w:rPr>
          <w:rFonts w:asciiTheme="minorEastAsia" w:eastAsiaTheme="minorEastAsia" w:hAnsiTheme="minorEastAsia" w:hint="eastAsia"/>
          <w:b w:val="0"/>
          <w:bCs/>
        </w:rPr>
        <w:t>（十）</w:t>
      </w:r>
      <w:r w:rsidRPr="008564FF">
        <w:rPr>
          <w:rFonts w:asciiTheme="minorEastAsia" w:eastAsiaTheme="minorEastAsia" w:hAnsiTheme="minorEastAsia" w:hint="eastAsia"/>
          <w:b w:val="0"/>
          <w:bCs/>
          <w:spacing w:val="-6"/>
        </w:rPr>
        <w:t>基金管理人代表基金行使所投资证券产生权利的处理原则及方法</w:t>
      </w:r>
      <w:bookmarkEnd w:id="128"/>
    </w:p>
    <w:p w:rsidR="003A3487" w:rsidRPr="008564FF" w:rsidP="004549E4">
      <w:pPr>
        <w:tabs>
          <w:tab w:val="left" w:pos="709"/>
        </w:tabs>
        <w:snapToGrid w:val="0"/>
        <w:spacing w:line="360" w:lineRule="auto"/>
        <w:ind w:left="420"/>
        <w:rPr>
          <w:rFonts w:asciiTheme="minorEastAsia" w:eastAsiaTheme="minorEastAsia" w:hAnsiTheme="minorEastAsia"/>
        </w:rPr>
      </w:pPr>
      <w:r w:rsidRPr="008564FF">
        <w:rPr>
          <w:rFonts w:asciiTheme="minorEastAsia" w:eastAsiaTheme="minorEastAsia" w:hAnsiTheme="minorEastAsia" w:hint="eastAsia"/>
        </w:rPr>
        <w:t>1、不谋求对上市公司的控股，不参与所投资上市公司的经营管理；</w:t>
      </w:r>
    </w:p>
    <w:p w:rsidR="003A3487" w:rsidRPr="008564FF" w:rsidP="004549E4">
      <w:pPr>
        <w:tabs>
          <w:tab w:val="left" w:pos="709"/>
        </w:tabs>
        <w:snapToGrid w:val="0"/>
        <w:spacing w:line="360" w:lineRule="auto"/>
        <w:ind w:left="420"/>
        <w:rPr>
          <w:rFonts w:asciiTheme="minorEastAsia" w:eastAsiaTheme="minorEastAsia" w:hAnsiTheme="minorEastAsia"/>
        </w:rPr>
      </w:pPr>
      <w:r w:rsidRPr="008564FF">
        <w:rPr>
          <w:rFonts w:asciiTheme="minorEastAsia" w:eastAsiaTheme="minorEastAsia" w:hAnsiTheme="minorEastAsia" w:hint="eastAsia"/>
        </w:rPr>
        <w:t>2、有利于基金资产的安全与增值；</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3、基金管理人按照国家有关规定代表基金独立行使股东权利，保护基金份额持有人的利益。</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4、基金管理人按照国家有关规定代表基金独立行使债权人权利，保护基金份额持有人的利益。</w:t>
      </w:r>
    </w:p>
    <w:p w:rsidR="003A3487" w:rsidRPr="008564FF" w:rsidP="009C2B2A">
      <w:pPr>
        <w:pStyle w:val="Heading2"/>
        <w:snapToGrid w:val="0"/>
        <w:spacing w:beforeLines="0" w:afterLines="0" w:line="360" w:lineRule="auto"/>
        <w:ind w:firstLine="0" w:firstLineChars="0"/>
        <w:rPr>
          <w:rFonts w:asciiTheme="minorEastAsia" w:eastAsiaTheme="minorEastAsia" w:hAnsiTheme="minorEastAsia"/>
          <w:b w:val="0"/>
          <w:bCs/>
        </w:rPr>
      </w:pPr>
      <w:bookmarkStart w:id="129" w:name="_Toc91749250"/>
      <w:r w:rsidRPr="008564FF">
        <w:rPr>
          <w:rFonts w:asciiTheme="minorEastAsia" w:eastAsiaTheme="minorEastAsia" w:hAnsiTheme="minorEastAsia" w:hint="eastAsia"/>
          <w:b w:val="0"/>
          <w:bCs/>
        </w:rPr>
        <w:t>（十</w:t>
      </w:r>
      <w:r w:rsidRPr="008564FF">
        <w:rPr>
          <w:rFonts w:asciiTheme="minorEastAsia" w:eastAsiaTheme="minorEastAsia" w:hAnsiTheme="minorEastAsia" w:hint="eastAsia"/>
          <w:b w:val="0"/>
        </w:rPr>
        <w:t>一</w:t>
      </w:r>
      <w:r w:rsidRPr="008564FF">
        <w:rPr>
          <w:rFonts w:asciiTheme="minorEastAsia" w:eastAsiaTheme="minorEastAsia" w:hAnsiTheme="minorEastAsia" w:hint="eastAsia"/>
          <w:b w:val="0"/>
          <w:bCs/>
        </w:rPr>
        <w:t>）基金的融资融券</w:t>
      </w:r>
      <w:bookmarkEnd w:id="129"/>
    </w:p>
    <w:p w:rsidR="003A3487" w:rsidRPr="008564FF" w:rsidP="004549E4">
      <w:pPr>
        <w:pStyle w:val="CharCharCharCharCharCharChar"/>
        <w:numPr>
          <w:ilvl w:val="0"/>
          <w:numId w:val="0"/>
        </w:numPr>
        <w:tabs>
          <w:tab w:val="left" w:pos="420"/>
        </w:tabs>
        <w:snapToGrid w:val="0"/>
        <w:spacing w:after="0" w:line="360" w:lineRule="auto"/>
        <w:ind w:firstLine="320"/>
        <w:rPr>
          <w:rFonts w:asciiTheme="minorEastAsia" w:eastAsiaTheme="minorEastAsia" w:hAnsiTheme="minorEastAsia"/>
          <w:sz w:val="21"/>
          <w:szCs w:val="21"/>
        </w:rPr>
      </w:pPr>
      <w:r w:rsidRPr="008564FF">
        <w:rPr>
          <w:rFonts w:asciiTheme="minorEastAsia" w:eastAsiaTheme="minorEastAsia" w:hAnsiTheme="minorEastAsia" w:hint="eastAsia"/>
          <w:sz w:val="21"/>
          <w:szCs w:val="21"/>
        </w:rPr>
        <w:t>本基金可以根据届时有效的有关法律法规和政策的规定进行融资融券。</w:t>
      </w:r>
    </w:p>
    <w:p w:rsidR="003A3487" w:rsidRPr="008564FF" w:rsidP="009C2B2A">
      <w:pPr>
        <w:pStyle w:val="Heading2"/>
        <w:snapToGrid w:val="0"/>
        <w:spacing w:beforeLines="0" w:afterLines="0" w:line="360" w:lineRule="auto"/>
        <w:ind w:firstLine="0" w:firstLineChars="0"/>
        <w:rPr>
          <w:rFonts w:asciiTheme="minorEastAsia" w:eastAsiaTheme="minorEastAsia" w:hAnsiTheme="minorEastAsia"/>
          <w:b w:val="0"/>
          <w:bCs/>
        </w:rPr>
      </w:pPr>
      <w:bookmarkStart w:id="130" w:name="_Toc91749251"/>
      <w:r w:rsidRPr="008564FF">
        <w:rPr>
          <w:rFonts w:asciiTheme="minorEastAsia" w:eastAsiaTheme="minorEastAsia" w:hAnsiTheme="minorEastAsia" w:hint="eastAsia"/>
          <w:b w:val="0"/>
          <w:bCs/>
        </w:rPr>
        <w:t>（十二）基金投资组合报告(未经审计)</w:t>
      </w:r>
      <w:bookmarkEnd w:id="130"/>
    </w:p>
    <w:p w:rsidR="003A3487" w:rsidRPr="008564FF" w:rsidP="004549E4">
      <w:pPr>
        <w:snapToGrid w:val="0"/>
        <w:spacing w:line="360" w:lineRule="auto"/>
        <w:ind w:firstLine="480"/>
        <w:rPr>
          <w:rFonts w:asciiTheme="minorEastAsia" w:eastAsiaTheme="minorEastAsia" w:hAnsiTheme="minorEastAsia"/>
          <w:szCs w:val="21"/>
        </w:rPr>
      </w:pPr>
      <w:r w:rsidRPr="008564FF">
        <w:rPr>
          <w:rFonts w:asciiTheme="minorEastAsia" w:eastAsiaTheme="minorEastAsia" w:hAnsiTheme="minorEastAsia" w:hint="eastAsia"/>
          <w:szCs w:val="21"/>
        </w:rPr>
        <w:t>本基金管理人的董事会及董事保证本报告所载资料不存在虚假记载、误导性陈述或重大遗漏，并对其内容的真实性、准确性和完整性承担个别及连带责任。</w:t>
      </w:r>
    </w:p>
    <w:p w:rsidR="003A3487" w:rsidRPr="008564FF" w:rsidP="004549E4">
      <w:pPr>
        <w:snapToGrid w:val="0"/>
        <w:spacing w:line="360" w:lineRule="auto"/>
        <w:ind w:firstLine="480"/>
        <w:rPr>
          <w:rFonts w:asciiTheme="minorEastAsia" w:eastAsiaTheme="minorEastAsia" w:hAnsiTheme="minorEastAsia"/>
          <w:szCs w:val="21"/>
        </w:rPr>
      </w:pPr>
      <w:r w:rsidRPr="008564FF">
        <w:rPr>
          <w:rFonts w:asciiTheme="minorEastAsia" w:eastAsiaTheme="minorEastAsia" w:hAnsiTheme="minorEastAsia" w:hint="eastAsia"/>
          <w:szCs w:val="21"/>
        </w:rPr>
        <w:t>本基金的托管人中国工商银行股份有限公司根据本基金合同的规定，复核了本报告的内容，保证复核内容不存在虚假记载、误导性陈述或者重大遗漏。</w:t>
      </w:r>
    </w:p>
    <w:p w:rsidR="003A3487" w:rsidRPr="008564FF" w:rsidP="004549E4">
      <w:pPr>
        <w:snapToGrid w:val="0"/>
        <w:spacing w:line="360" w:lineRule="auto"/>
        <w:ind w:firstLine="480"/>
        <w:rPr>
          <w:rFonts w:asciiTheme="minorEastAsia" w:eastAsiaTheme="minorEastAsia" w:hAnsiTheme="minorEastAsia"/>
          <w:szCs w:val="21"/>
        </w:rPr>
      </w:pPr>
      <w:r>
        <w:t>本投资组合报告有关数据的期间为</w:t>
      </w:r>
      <w:r>
        <w:t>2021</w:t>
      </w:r>
      <w:r>
        <w:t>年</w:t>
      </w:r>
      <w:r>
        <w:t>7</w:t>
      </w:r>
      <w:r>
        <w:t>月</w:t>
      </w:r>
      <w:r>
        <w:t>1</w:t>
      </w:r>
      <w:r>
        <w:t>日至</w:t>
      </w:r>
      <w:r>
        <w:t>2021</w:t>
      </w:r>
      <w:r>
        <w:t>年</w:t>
      </w:r>
      <w:r>
        <w:t>9</w:t>
      </w:r>
      <w:r>
        <w:t>月</w:t>
      </w:r>
      <w:r>
        <w:t>30</w:t>
      </w:r>
      <w:r>
        <w:t>日。</w:t>
      </w:r>
    </w:p>
    <w:p w:rsidR="005A7F90">
      <w:pPr>
        <w:spacing w:line="360" w:lineRule="auto"/>
        <w:jc w:val="left"/>
      </w:pPr>
      <w:r>
        <w:t>1</w:t>
      </w:r>
      <w:r>
        <w:t>、</w:t>
      </w:r>
      <w:r>
        <w:t xml:space="preserve"> </w:t>
      </w:r>
      <w:r>
        <w:t>报告期末基金资产组合情况</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3357"/>
        <w:gridCol w:w="2977"/>
        <w:gridCol w:w="1843"/>
      </w:tblGrid>
      <w:tr>
        <w:tblPrEx>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5A7F90">
            <w:pPr>
              <w:ind w:left="17"/>
              <w:jc w:val="center"/>
              <w:rPr>
                <w:color w:val="000000"/>
                <w:kern w:val="0"/>
                <w:sz w:val="24"/>
              </w:rPr>
            </w:pPr>
            <w:r>
              <w:rPr>
                <w:color w:val="000000"/>
                <w:kern w:val="0"/>
              </w:rPr>
              <w:t>序号</w:t>
            </w:r>
          </w:p>
        </w:tc>
        <w:tc>
          <w:tcPr>
            <w:tcW w:w="3357" w:type="dxa"/>
            <w:tcBorders>
              <w:top w:val="single" w:sz="0" w:space="0" w:color="000000"/>
              <w:left w:val="single" w:sz="0" w:space="0" w:color="000000"/>
              <w:bottom w:val="single" w:sz="0" w:space="0" w:color="000000"/>
              <w:right w:val="single" w:sz="0" w:space="0" w:color="000000"/>
            </w:tcBorders>
            <w:vAlign w:val="center"/>
          </w:tcPr>
          <w:p w:rsidR="005A7F90">
            <w:pPr>
              <w:ind w:left="17"/>
              <w:jc w:val="center"/>
              <w:rPr>
                <w:color w:val="000000"/>
                <w:kern w:val="0"/>
                <w:sz w:val="24"/>
              </w:rPr>
            </w:pPr>
            <w:r>
              <w:rPr>
                <w:color w:val="000000"/>
                <w:kern w:val="0"/>
              </w:rPr>
              <w:t>项目</w:t>
            </w:r>
          </w:p>
        </w:tc>
        <w:tc>
          <w:tcPr>
            <w:tcW w:w="2977" w:type="dxa"/>
            <w:tcBorders>
              <w:top w:val="single" w:sz="0" w:space="0" w:color="000000"/>
              <w:left w:val="single" w:sz="0" w:space="0" w:color="000000"/>
              <w:bottom w:val="single" w:sz="0" w:space="0" w:color="000000"/>
              <w:right w:val="single" w:sz="0" w:space="0" w:color="000000"/>
            </w:tcBorders>
            <w:vAlign w:val="center"/>
          </w:tcPr>
          <w:p w:rsidR="005A7F90">
            <w:pPr>
              <w:ind w:left="17"/>
              <w:jc w:val="center"/>
              <w:rPr>
                <w:color w:val="000000"/>
                <w:kern w:val="0"/>
                <w:sz w:val="24"/>
              </w:rPr>
            </w:pPr>
            <w:r>
              <w:rPr>
                <w:color w:val="000000"/>
                <w:kern w:val="0"/>
              </w:rPr>
              <w:t>金额（元）</w:t>
            </w:r>
          </w:p>
        </w:tc>
        <w:tc>
          <w:tcPr>
            <w:tcW w:w="1843" w:type="dxa"/>
            <w:tcBorders>
              <w:top w:val="single" w:sz="0" w:space="0" w:color="000000"/>
              <w:left w:val="single" w:sz="0" w:space="0" w:color="000000"/>
              <w:bottom w:val="single" w:sz="0" w:space="0" w:color="000000"/>
              <w:right w:val="single" w:sz="0" w:space="0" w:color="000000"/>
            </w:tcBorders>
            <w:vAlign w:val="center"/>
          </w:tcPr>
          <w:p w:rsidR="005A7F90">
            <w:pPr>
              <w:ind w:left="17"/>
              <w:jc w:val="center"/>
              <w:rPr>
                <w:color w:val="000000"/>
                <w:kern w:val="0"/>
                <w:sz w:val="24"/>
              </w:rPr>
            </w:pPr>
            <w:r>
              <w:rPr>
                <w:color w:val="000000"/>
                <w:kern w:val="0"/>
              </w:rPr>
              <w:t>占基金总资产的比例（</w:t>
            </w:r>
            <w:r>
              <w:rPr>
                <w:color w:val="000000"/>
                <w:kern w:val="0"/>
              </w:rPr>
              <w:t>%</w:t>
            </w:r>
            <w:r>
              <w:rPr>
                <w:color w:val="000000"/>
                <w:kern w:val="0"/>
              </w:rPr>
              <w:t>）</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5A7F90">
            <w:pPr>
              <w:ind w:left="17"/>
              <w:jc w:val="center"/>
              <w:rPr>
                <w:color w:val="000000"/>
                <w:kern w:val="0"/>
                <w:sz w:val="24"/>
              </w:rPr>
            </w:pPr>
            <w:r>
              <w:rPr>
                <w:color w:val="000000"/>
                <w:kern w:val="0"/>
              </w:rPr>
              <w:t>1</w:t>
            </w:r>
          </w:p>
        </w:tc>
        <w:tc>
          <w:tcPr>
            <w:tcW w:w="3357" w:type="dxa"/>
            <w:tcBorders>
              <w:top w:val="single" w:sz="0" w:space="0" w:color="000000"/>
              <w:left w:val="single" w:sz="0" w:space="0" w:color="000000"/>
              <w:bottom w:val="single" w:sz="0" w:space="0" w:color="000000"/>
              <w:right w:val="single" w:sz="0" w:space="0" w:color="000000"/>
            </w:tcBorders>
            <w:vAlign w:val="center"/>
          </w:tcPr>
          <w:p w:rsidR="005A7F90">
            <w:pPr>
              <w:ind w:left="17"/>
              <w:jc w:val="left"/>
              <w:rPr>
                <w:kern w:val="0"/>
                <w:sz w:val="24"/>
              </w:rPr>
            </w:pPr>
            <w:r>
              <w:rPr>
                <w:color w:val="000000"/>
                <w:kern w:val="0"/>
              </w:rPr>
              <w:t>权益投资</w:t>
            </w:r>
          </w:p>
        </w:tc>
        <w:tc>
          <w:tcPr>
            <w:tcW w:w="2977" w:type="dxa"/>
            <w:tcBorders>
              <w:top w:val="single" w:sz="0" w:space="0" w:color="000000"/>
              <w:left w:val="single" w:sz="0" w:space="0" w:color="000000"/>
              <w:bottom w:val="single" w:sz="0" w:space="0" w:color="000000"/>
              <w:right w:val="single" w:sz="0" w:space="0" w:color="000000"/>
            </w:tcBorders>
            <w:vAlign w:val="center"/>
          </w:tcPr>
          <w:p w:rsidR="005A7F90">
            <w:pPr>
              <w:ind w:left="17"/>
              <w:jc w:val="right"/>
              <w:rPr>
                <w:color w:val="000000"/>
                <w:kern w:val="0"/>
                <w:sz w:val="24"/>
              </w:rPr>
            </w:pPr>
            <w:r>
              <w:rPr>
                <w:color w:val="000000"/>
                <w:kern w:val="0"/>
              </w:rPr>
              <w:t>1,801,946,687.63</w:t>
            </w:r>
          </w:p>
        </w:tc>
        <w:tc>
          <w:tcPr>
            <w:tcW w:w="1843" w:type="dxa"/>
            <w:tcBorders>
              <w:top w:val="single" w:sz="0" w:space="0" w:color="000000"/>
              <w:left w:val="single" w:sz="0" w:space="0" w:color="000000"/>
              <w:bottom w:val="single" w:sz="0" w:space="0" w:color="000000"/>
              <w:right w:val="single" w:sz="0" w:space="0" w:color="000000"/>
            </w:tcBorders>
            <w:vAlign w:val="center"/>
          </w:tcPr>
          <w:p w:rsidR="005A7F90">
            <w:pPr>
              <w:ind w:left="17"/>
              <w:jc w:val="right"/>
              <w:rPr>
                <w:color w:val="000000"/>
                <w:kern w:val="0"/>
                <w:sz w:val="24"/>
              </w:rPr>
            </w:pPr>
            <w:r>
              <w:rPr>
                <w:color w:val="000000"/>
                <w:kern w:val="0"/>
              </w:rPr>
              <w:t>85.14</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5A7F90">
            <w:pPr>
              <w:ind w:left="17"/>
              <w:jc w:val="center"/>
              <w:rPr>
                <w:color w:val="000000"/>
                <w:kern w:val="0"/>
                <w:sz w:val="24"/>
              </w:rPr>
            </w:pPr>
          </w:p>
        </w:tc>
        <w:tc>
          <w:tcPr>
            <w:tcW w:w="3357" w:type="dxa"/>
            <w:tcBorders>
              <w:top w:val="single" w:sz="0" w:space="0" w:color="000000"/>
              <w:left w:val="single" w:sz="0" w:space="0" w:color="000000"/>
              <w:bottom w:val="single" w:sz="0" w:space="0" w:color="000000"/>
              <w:right w:val="single" w:sz="0" w:space="0" w:color="000000"/>
            </w:tcBorders>
            <w:vAlign w:val="center"/>
          </w:tcPr>
          <w:p w:rsidR="005A7F90">
            <w:pPr>
              <w:ind w:left="17"/>
              <w:jc w:val="left"/>
              <w:rPr>
                <w:kern w:val="0"/>
                <w:sz w:val="24"/>
              </w:rPr>
            </w:pPr>
            <w:r>
              <w:rPr>
                <w:color w:val="000000"/>
                <w:kern w:val="0"/>
              </w:rPr>
              <w:t>其中：股票</w:t>
            </w:r>
          </w:p>
        </w:tc>
        <w:tc>
          <w:tcPr>
            <w:tcW w:w="2977" w:type="dxa"/>
            <w:tcBorders>
              <w:top w:val="single" w:sz="0" w:space="0" w:color="000000"/>
              <w:left w:val="single" w:sz="0" w:space="0" w:color="000000"/>
              <w:bottom w:val="single" w:sz="0" w:space="0" w:color="000000"/>
              <w:right w:val="single" w:sz="0" w:space="0" w:color="000000"/>
            </w:tcBorders>
            <w:vAlign w:val="center"/>
          </w:tcPr>
          <w:p w:rsidR="005A7F90">
            <w:pPr>
              <w:ind w:left="17"/>
              <w:jc w:val="right"/>
              <w:rPr>
                <w:color w:val="000000"/>
                <w:kern w:val="0"/>
                <w:sz w:val="24"/>
              </w:rPr>
            </w:pPr>
            <w:r>
              <w:rPr>
                <w:color w:val="000000"/>
                <w:kern w:val="0"/>
              </w:rPr>
              <w:t>1,801,946,687.63</w:t>
            </w:r>
          </w:p>
        </w:tc>
        <w:tc>
          <w:tcPr>
            <w:tcW w:w="1843" w:type="dxa"/>
            <w:tcBorders>
              <w:top w:val="single" w:sz="0" w:space="0" w:color="000000"/>
              <w:left w:val="single" w:sz="0" w:space="0" w:color="000000"/>
              <w:bottom w:val="single" w:sz="0" w:space="0" w:color="000000"/>
              <w:right w:val="single" w:sz="0" w:space="0" w:color="000000"/>
            </w:tcBorders>
            <w:vAlign w:val="center"/>
          </w:tcPr>
          <w:p w:rsidR="005A7F90">
            <w:pPr>
              <w:ind w:left="17"/>
              <w:jc w:val="right"/>
              <w:rPr>
                <w:color w:val="000000"/>
                <w:kern w:val="0"/>
                <w:sz w:val="24"/>
              </w:rPr>
            </w:pPr>
            <w:r>
              <w:rPr>
                <w:color w:val="000000"/>
                <w:kern w:val="0"/>
              </w:rPr>
              <w:t>85.14</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5A7F90">
            <w:pPr>
              <w:ind w:left="17"/>
              <w:jc w:val="center"/>
              <w:rPr>
                <w:color w:val="000000"/>
                <w:kern w:val="0"/>
                <w:sz w:val="24"/>
              </w:rPr>
            </w:pPr>
            <w:r>
              <w:rPr>
                <w:color w:val="000000"/>
                <w:kern w:val="0"/>
              </w:rPr>
              <w:t>2</w:t>
            </w:r>
          </w:p>
        </w:tc>
        <w:tc>
          <w:tcPr>
            <w:tcW w:w="3357" w:type="dxa"/>
            <w:tcBorders>
              <w:top w:val="single" w:sz="0" w:space="0" w:color="000000"/>
              <w:left w:val="single" w:sz="0" w:space="0" w:color="000000"/>
              <w:bottom w:val="single" w:sz="0" w:space="0" w:color="000000"/>
              <w:right w:val="single" w:sz="0" w:space="0" w:color="000000"/>
            </w:tcBorders>
            <w:vAlign w:val="center"/>
          </w:tcPr>
          <w:p w:rsidR="005A7F90">
            <w:pPr>
              <w:ind w:left="17"/>
              <w:jc w:val="left"/>
              <w:rPr>
                <w:kern w:val="0"/>
                <w:sz w:val="24"/>
              </w:rPr>
            </w:pPr>
            <w:r>
              <w:rPr>
                <w:color w:val="000000"/>
                <w:kern w:val="0"/>
              </w:rPr>
              <w:t>固定收益投资</w:t>
            </w:r>
          </w:p>
        </w:tc>
        <w:tc>
          <w:tcPr>
            <w:tcW w:w="2977" w:type="dxa"/>
            <w:tcBorders>
              <w:top w:val="single" w:sz="0" w:space="0" w:color="000000"/>
              <w:left w:val="single" w:sz="0" w:space="0" w:color="000000"/>
              <w:bottom w:val="single" w:sz="0" w:space="0" w:color="000000"/>
              <w:right w:val="single" w:sz="0" w:space="0" w:color="000000"/>
            </w:tcBorders>
            <w:vAlign w:val="center"/>
          </w:tcPr>
          <w:p w:rsidR="005A7F90">
            <w:pPr>
              <w:ind w:left="17"/>
              <w:jc w:val="right"/>
              <w:rPr>
                <w:color w:val="000000"/>
                <w:kern w:val="0"/>
                <w:sz w:val="24"/>
              </w:rPr>
            </w:pPr>
            <w:r>
              <w:rPr>
                <w:color w:val="000000"/>
                <w:kern w:val="0"/>
              </w:rPr>
              <w:t>-</w:t>
            </w:r>
          </w:p>
        </w:tc>
        <w:tc>
          <w:tcPr>
            <w:tcW w:w="1843" w:type="dxa"/>
            <w:tcBorders>
              <w:top w:val="single" w:sz="0" w:space="0" w:color="000000"/>
              <w:left w:val="single" w:sz="0" w:space="0" w:color="000000"/>
              <w:bottom w:val="single" w:sz="0" w:space="0" w:color="000000"/>
              <w:right w:val="single" w:sz="0" w:space="0" w:color="000000"/>
            </w:tcBorders>
            <w:vAlign w:val="center"/>
          </w:tcPr>
          <w:p w:rsidR="005A7F90">
            <w:pPr>
              <w:ind w:left="17"/>
              <w:jc w:val="right"/>
              <w:rPr>
                <w:color w:val="000000"/>
                <w:kern w:val="0"/>
                <w:sz w:val="24"/>
              </w:rPr>
            </w:pPr>
            <w:r>
              <w:rPr>
                <w:color w:val="000000"/>
                <w:kern w:val="0"/>
              </w:rPr>
              <w:t>-</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5A7F90">
            <w:pPr>
              <w:ind w:left="17"/>
              <w:jc w:val="center"/>
              <w:rPr>
                <w:color w:val="000000"/>
                <w:kern w:val="0"/>
                <w:sz w:val="24"/>
              </w:rPr>
            </w:pPr>
          </w:p>
        </w:tc>
        <w:tc>
          <w:tcPr>
            <w:tcW w:w="3357" w:type="dxa"/>
            <w:tcBorders>
              <w:top w:val="single" w:sz="0" w:space="0" w:color="000000"/>
              <w:left w:val="single" w:sz="0" w:space="0" w:color="000000"/>
              <w:bottom w:val="single" w:sz="0" w:space="0" w:color="000000"/>
              <w:right w:val="single" w:sz="0" w:space="0" w:color="000000"/>
            </w:tcBorders>
            <w:vAlign w:val="center"/>
          </w:tcPr>
          <w:p w:rsidR="005A7F90">
            <w:pPr>
              <w:ind w:left="17"/>
              <w:jc w:val="left"/>
              <w:rPr>
                <w:kern w:val="0"/>
                <w:sz w:val="24"/>
              </w:rPr>
            </w:pPr>
            <w:r>
              <w:rPr>
                <w:color w:val="000000"/>
                <w:kern w:val="0"/>
              </w:rPr>
              <w:t>其中：债券</w:t>
            </w:r>
          </w:p>
        </w:tc>
        <w:tc>
          <w:tcPr>
            <w:tcW w:w="2977" w:type="dxa"/>
            <w:tcBorders>
              <w:top w:val="single" w:sz="0" w:space="0" w:color="000000"/>
              <w:left w:val="single" w:sz="0" w:space="0" w:color="000000"/>
              <w:bottom w:val="single" w:sz="0" w:space="0" w:color="000000"/>
              <w:right w:val="single" w:sz="0" w:space="0" w:color="000000"/>
            </w:tcBorders>
            <w:vAlign w:val="center"/>
          </w:tcPr>
          <w:p w:rsidR="005A7F90">
            <w:pPr>
              <w:ind w:left="17"/>
              <w:jc w:val="right"/>
              <w:rPr>
                <w:color w:val="000000"/>
                <w:kern w:val="0"/>
                <w:sz w:val="24"/>
              </w:rPr>
            </w:pPr>
            <w:r>
              <w:rPr>
                <w:color w:val="000000"/>
                <w:kern w:val="0"/>
              </w:rPr>
              <w:t>-</w:t>
            </w:r>
          </w:p>
        </w:tc>
        <w:tc>
          <w:tcPr>
            <w:tcW w:w="1843" w:type="dxa"/>
            <w:tcBorders>
              <w:top w:val="single" w:sz="0" w:space="0" w:color="000000"/>
              <w:left w:val="single" w:sz="0" w:space="0" w:color="000000"/>
              <w:bottom w:val="single" w:sz="0" w:space="0" w:color="000000"/>
              <w:right w:val="single" w:sz="0" w:space="0" w:color="000000"/>
            </w:tcBorders>
            <w:vAlign w:val="center"/>
          </w:tcPr>
          <w:p w:rsidR="005A7F90">
            <w:pPr>
              <w:ind w:left="17"/>
              <w:jc w:val="right"/>
              <w:rPr>
                <w:color w:val="000000"/>
                <w:kern w:val="0"/>
                <w:sz w:val="24"/>
              </w:rPr>
            </w:pPr>
            <w:r>
              <w:rPr>
                <w:color w:val="000000"/>
                <w:kern w:val="0"/>
              </w:rPr>
              <w:t>-</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5A7F90">
            <w:pPr>
              <w:ind w:left="17"/>
              <w:jc w:val="center"/>
              <w:rPr>
                <w:color w:val="000000"/>
                <w:kern w:val="0"/>
                <w:sz w:val="24"/>
              </w:rPr>
            </w:pPr>
          </w:p>
        </w:tc>
        <w:tc>
          <w:tcPr>
            <w:tcW w:w="3357" w:type="dxa"/>
            <w:tcBorders>
              <w:top w:val="single" w:sz="0" w:space="0" w:color="000000"/>
              <w:left w:val="single" w:sz="0" w:space="0" w:color="000000"/>
              <w:bottom w:val="single" w:sz="0" w:space="0" w:color="000000"/>
              <w:right w:val="single" w:sz="0" w:space="0" w:color="000000"/>
            </w:tcBorders>
            <w:vAlign w:val="center"/>
          </w:tcPr>
          <w:p w:rsidR="005A7F90">
            <w:pPr>
              <w:autoSpaceDE w:val="0"/>
              <w:autoSpaceDN w:val="0"/>
              <w:adjustRightInd w:val="0"/>
              <w:ind w:left="17"/>
              <w:jc w:val="left"/>
              <w:rPr>
                <w:color w:val="000000"/>
                <w:kern w:val="0"/>
                <w:sz w:val="24"/>
              </w:rPr>
            </w:pPr>
            <w:r>
              <w:rPr>
                <w:color w:val="000000"/>
                <w:kern w:val="0"/>
              </w:rPr>
              <w:t>资产支持证券</w:t>
            </w:r>
          </w:p>
        </w:tc>
        <w:tc>
          <w:tcPr>
            <w:tcW w:w="2977" w:type="dxa"/>
            <w:tcBorders>
              <w:top w:val="single" w:sz="0" w:space="0" w:color="000000"/>
              <w:left w:val="single" w:sz="0" w:space="0" w:color="000000"/>
              <w:bottom w:val="single" w:sz="0" w:space="0" w:color="000000"/>
              <w:right w:val="single" w:sz="0" w:space="0" w:color="000000"/>
            </w:tcBorders>
            <w:vAlign w:val="center"/>
          </w:tcPr>
          <w:p w:rsidR="005A7F90">
            <w:pPr>
              <w:ind w:left="17"/>
              <w:jc w:val="right"/>
              <w:rPr>
                <w:color w:val="000000"/>
                <w:kern w:val="0"/>
                <w:sz w:val="24"/>
              </w:rPr>
            </w:pPr>
            <w:r>
              <w:rPr>
                <w:color w:val="000000"/>
                <w:kern w:val="0"/>
              </w:rPr>
              <w:t>-</w:t>
            </w:r>
          </w:p>
        </w:tc>
        <w:tc>
          <w:tcPr>
            <w:tcW w:w="1843" w:type="dxa"/>
            <w:tcBorders>
              <w:top w:val="single" w:sz="0" w:space="0" w:color="000000"/>
              <w:left w:val="single" w:sz="0" w:space="0" w:color="000000"/>
              <w:bottom w:val="single" w:sz="0" w:space="0" w:color="000000"/>
              <w:right w:val="single" w:sz="0" w:space="0" w:color="000000"/>
            </w:tcBorders>
            <w:vAlign w:val="center"/>
          </w:tcPr>
          <w:p w:rsidR="005A7F90">
            <w:pPr>
              <w:ind w:left="17"/>
              <w:jc w:val="right"/>
              <w:rPr>
                <w:color w:val="000000"/>
                <w:kern w:val="0"/>
                <w:sz w:val="24"/>
              </w:rPr>
            </w:pPr>
            <w:r>
              <w:rPr>
                <w:color w:val="000000"/>
                <w:kern w:val="0"/>
              </w:rPr>
              <w:t>-</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tcPr>
          <w:p w:rsidR="005A7F90">
            <w:pPr>
              <w:ind w:left="17"/>
              <w:jc w:val="center"/>
              <w:rPr>
                <w:color w:val="000000"/>
                <w:kern w:val="0"/>
                <w:sz w:val="24"/>
              </w:rPr>
            </w:pPr>
            <w:r>
              <w:rPr>
                <w:color w:val="000000"/>
                <w:kern w:val="0"/>
              </w:rPr>
              <w:t>3</w:t>
            </w:r>
          </w:p>
        </w:tc>
        <w:tc>
          <w:tcPr>
            <w:tcW w:w="3357" w:type="dxa"/>
            <w:tcBorders>
              <w:top w:val="single" w:sz="0" w:space="0" w:color="000000"/>
              <w:left w:val="single" w:sz="0" w:space="0" w:color="000000"/>
              <w:bottom w:val="single" w:sz="0" w:space="0" w:color="000000"/>
              <w:right w:val="single" w:sz="0" w:space="0" w:color="000000"/>
            </w:tcBorders>
          </w:tcPr>
          <w:p w:rsidR="005A7F90">
            <w:pPr>
              <w:ind w:left="105" w:leftChars="50"/>
              <w:rPr>
                <w:color w:val="000000"/>
                <w:kern w:val="0"/>
                <w:sz w:val="24"/>
              </w:rPr>
            </w:pPr>
            <w:r>
              <w:rPr>
                <w:color w:val="000000"/>
                <w:kern w:val="0"/>
              </w:rPr>
              <w:t>贵金属投资</w:t>
            </w:r>
          </w:p>
        </w:tc>
        <w:tc>
          <w:tcPr>
            <w:tcW w:w="2977" w:type="dxa"/>
            <w:tcBorders>
              <w:top w:val="single" w:sz="0" w:space="0" w:color="000000"/>
              <w:left w:val="single" w:sz="0" w:space="0" w:color="000000"/>
              <w:bottom w:val="single" w:sz="0" w:space="0" w:color="000000"/>
              <w:right w:val="single" w:sz="0" w:space="0" w:color="000000"/>
            </w:tcBorders>
            <w:vAlign w:val="center"/>
          </w:tcPr>
          <w:p w:rsidR="005A7F90">
            <w:pPr>
              <w:ind w:left="17"/>
              <w:jc w:val="right"/>
              <w:rPr>
                <w:color w:val="000000"/>
                <w:kern w:val="0"/>
                <w:sz w:val="24"/>
              </w:rPr>
            </w:pPr>
            <w:r>
              <w:rPr>
                <w:color w:val="000000"/>
                <w:kern w:val="0"/>
              </w:rPr>
              <w:t>-</w:t>
            </w:r>
          </w:p>
        </w:tc>
        <w:tc>
          <w:tcPr>
            <w:tcW w:w="1843" w:type="dxa"/>
            <w:tcBorders>
              <w:top w:val="single" w:sz="0" w:space="0" w:color="000000"/>
              <w:left w:val="single" w:sz="0" w:space="0" w:color="000000"/>
              <w:bottom w:val="single" w:sz="0" w:space="0" w:color="000000"/>
              <w:right w:val="single" w:sz="0" w:space="0" w:color="000000"/>
            </w:tcBorders>
            <w:vAlign w:val="center"/>
          </w:tcPr>
          <w:p w:rsidR="005A7F90">
            <w:pPr>
              <w:ind w:left="17"/>
              <w:jc w:val="right"/>
              <w:rPr>
                <w:color w:val="000000"/>
                <w:kern w:val="0"/>
                <w:sz w:val="24"/>
              </w:rPr>
            </w:pPr>
            <w:r>
              <w:rPr>
                <w:color w:val="000000"/>
                <w:kern w:val="0"/>
              </w:rPr>
              <w:t>-</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5A7F90">
            <w:pPr>
              <w:ind w:left="17"/>
              <w:jc w:val="center"/>
              <w:rPr>
                <w:color w:val="000000"/>
                <w:kern w:val="0"/>
                <w:sz w:val="24"/>
              </w:rPr>
            </w:pPr>
            <w:r>
              <w:rPr>
                <w:color w:val="000000"/>
                <w:kern w:val="0"/>
              </w:rPr>
              <w:t>4</w:t>
            </w:r>
          </w:p>
        </w:tc>
        <w:tc>
          <w:tcPr>
            <w:tcW w:w="3357" w:type="dxa"/>
            <w:tcBorders>
              <w:top w:val="single" w:sz="0" w:space="0" w:color="000000"/>
              <w:left w:val="single" w:sz="0" w:space="0" w:color="000000"/>
              <w:bottom w:val="single" w:sz="0" w:space="0" w:color="000000"/>
              <w:right w:val="single" w:sz="0" w:space="0" w:color="000000"/>
            </w:tcBorders>
            <w:vAlign w:val="center"/>
          </w:tcPr>
          <w:p w:rsidR="005A7F90">
            <w:pPr>
              <w:ind w:left="17"/>
              <w:jc w:val="left"/>
              <w:rPr>
                <w:color w:val="000000"/>
                <w:kern w:val="0"/>
                <w:sz w:val="24"/>
              </w:rPr>
            </w:pPr>
            <w:r>
              <w:rPr>
                <w:color w:val="000000"/>
                <w:kern w:val="0"/>
              </w:rPr>
              <w:t>金融衍生品投资</w:t>
            </w:r>
          </w:p>
        </w:tc>
        <w:tc>
          <w:tcPr>
            <w:tcW w:w="2977" w:type="dxa"/>
            <w:tcBorders>
              <w:top w:val="single" w:sz="0" w:space="0" w:color="000000"/>
              <w:left w:val="single" w:sz="0" w:space="0" w:color="000000"/>
              <w:bottom w:val="single" w:sz="0" w:space="0" w:color="000000"/>
              <w:right w:val="single" w:sz="0" w:space="0" w:color="000000"/>
            </w:tcBorders>
            <w:vAlign w:val="center"/>
          </w:tcPr>
          <w:p w:rsidR="005A7F90">
            <w:pPr>
              <w:ind w:left="17"/>
              <w:jc w:val="right"/>
              <w:rPr>
                <w:color w:val="000000"/>
                <w:kern w:val="0"/>
                <w:sz w:val="24"/>
              </w:rPr>
            </w:pPr>
            <w:r>
              <w:rPr>
                <w:color w:val="000000"/>
                <w:kern w:val="0"/>
              </w:rPr>
              <w:t>-</w:t>
            </w:r>
          </w:p>
        </w:tc>
        <w:tc>
          <w:tcPr>
            <w:tcW w:w="1843" w:type="dxa"/>
            <w:tcBorders>
              <w:top w:val="single" w:sz="0" w:space="0" w:color="000000"/>
              <w:left w:val="single" w:sz="0" w:space="0" w:color="000000"/>
              <w:bottom w:val="single" w:sz="0" w:space="0" w:color="000000"/>
              <w:right w:val="single" w:sz="0" w:space="0" w:color="000000"/>
            </w:tcBorders>
            <w:vAlign w:val="center"/>
          </w:tcPr>
          <w:p w:rsidR="005A7F90">
            <w:pPr>
              <w:ind w:left="17"/>
              <w:jc w:val="right"/>
              <w:rPr>
                <w:color w:val="000000"/>
                <w:kern w:val="0"/>
                <w:sz w:val="24"/>
              </w:rPr>
            </w:pPr>
            <w:r>
              <w:rPr>
                <w:color w:val="000000"/>
                <w:kern w:val="0"/>
              </w:rPr>
              <w:t>-</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5A7F90">
            <w:pPr>
              <w:ind w:left="17"/>
              <w:jc w:val="center"/>
              <w:rPr>
                <w:color w:val="000000"/>
                <w:kern w:val="0"/>
                <w:sz w:val="24"/>
              </w:rPr>
            </w:pPr>
            <w:r>
              <w:rPr>
                <w:color w:val="000000"/>
                <w:kern w:val="0"/>
              </w:rPr>
              <w:t>5</w:t>
            </w:r>
          </w:p>
        </w:tc>
        <w:tc>
          <w:tcPr>
            <w:tcW w:w="3357" w:type="dxa"/>
            <w:tcBorders>
              <w:top w:val="single" w:sz="0" w:space="0" w:color="000000"/>
              <w:left w:val="single" w:sz="0" w:space="0" w:color="000000"/>
              <w:bottom w:val="single" w:sz="0" w:space="0" w:color="000000"/>
              <w:right w:val="single" w:sz="0" w:space="0" w:color="000000"/>
            </w:tcBorders>
            <w:vAlign w:val="center"/>
          </w:tcPr>
          <w:p w:rsidR="005A7F90">
            <w:pPr>
              <w:ind w:left="17"/>
              <w:jc w:val="left"/>
              <w:rPr>
                <w:kern w:val="0"/>
                <w:sz w:val="24"/>
              </w:rPr>
            </w:pPr>
            <w:r>
              <w:rPr>
                <w:color w:val="000000"/>
                <w:kern w:val="0"/>
              </w:rPr>
              <w:t>买入返售金融资产</w:t>
            </w:r>
          </w:p>
        </w:tc>
        <w:tc>
          <w:tcPr>
            <w:tcW w:w="2977" w:type="dxa"/>
            <w:tcBorders>
              <w:top w:val="single" w:sz="0" w:space="0" w:color="000000"/>
              <w:left w:val="single" w:sz="0" w:space="0" w:color="000000"/>
              <w:bottom w:val="single" w:sz="0" w:space="0" w:color="000000"/>
              <w:right w:val="single" w:sz="0" w:space="0" w:color="000000"/>
            </w:tcBorders>
            <w:vAlign w:val="center"/>
          </w:tcPr>
          <w:p w:rsidR="005A7F90">
            <w:pPr>
              <w:ind w:left="17"/>
              <w:jc w:val="right"/>
              <w:rPr>
                <w:color w:val="000000"/>
                <w:kern w:val="0"/>
                <w:sz w:val="24"/>
              </w:rPr>
            </w:pPr>
            <w:r>
              <w:rPr>
                <w:color w:val="000000"/>
                <w:kern w:val="0"/>
              </w:rPr>
              <w:t>-</w:t>
            </w:r>
          </w:p>
        </w:tc>
        <w:tc>
          <w:tcPr>
            <w:tcW w:w="1843" w:type="dxa"/>
            <w:tcBorders>
              <w:top w:val="single" w:sz="0" w:space="0" w:color="000000"/>
              <w:left w:val="single" w:sz="0" w:space="0" w:color="000000"/>
              <w:bottom w:val="single" w:sz="0" w:space="0" w:color="000000"/>
              <w:right w:val="single" w:sz="0" w:space="0" w:color="000000"/>
            </w:tcBorders>
            <w:vAlign w:val="center"/>
          </w:tcPr>
          <w:p w:rsidR="005A7F90">
            <w:pPr>
              <w:ind w:left="17"/>
              <w:jc w:val="right"/>
              <w:rPr>
                <w:color w:val="000000"/>
                <w:kern w:val="0"/>
                <w:sz w:val="24"/>
              </w:rPr>
            </w:pPr>
            <w:r>
              <w:rPr>
                <w:color w:val="000000"/>
                <w:kern w:val="0"/>
              </w:rPr>
              <w:t>-</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5A7F90">
            <w:pPr>
              <w:ind w:left="17"/>
              <w:jc w:val="center"/>
              <w:rPr>
                <w:color w:val="000000"/>
                <w:kern w:val="0"/>
                <w:sz w:val="24"/>
              </w:rPr>
            </w:pPr>
          </w:p>
        </w:tc>
        <w:tc>
          <w:tcPr>
            <w:tcW w:w="3357" w:type="dxa"/>
            <w:tcBorders>
              <w:top w:val="single" w:sz="0" w:space="0" w:color="000000"/>
              <w:left w:val="single" w:sz="0" w:space="0" w:color="000000"/>
              <w:bottom w:val="single" w:sz="0" w:space="0" w:color="000000"/>
              <w:right w:val="single" w:sz="0" w:space="0" w:color="000000"/>
            </w:tcBorders>
            <w:vAlign w:val="center"/>
          </w:tcPr>
          <w:p w:rsidR="005A7F90">
            <w:pPr>
              <w:ind w:left="17"/>
              <w:jc w:val="left"/>
              <w:rPr>
                <w:kern w:val="0"/>
                <w:sz w:val="24"/>
              </w:rPr>
            </w:pPr>
            <w:r>
              <w:rPr>
                <w:color w:val="000000"/>
                <w:kern w:val="0"/>
              </w:rPr>
              <w:t>其中：买断式回购的买入返售金融资产</w:t>
            </w:r>
          </w:p>
        </w:tc>
        <w:tc>
          <w:tcPr>
            <w:tcW w:w="2977" w:type="dxa"/>
            <w:tcBorders>
              <w:top w:val="single" w:sz="0" w:space="0" w:color="000000"/>
              <w:left w:val="single" w:sz="0" w:space="0" w:color="000000"/>
              <w:bottom w:val="single" w:sz="0" w:space="0" w:color="000000"/>
              <w:right w:val="single" w:sz="0" w:space="0" w:color="000000"/>
            </w:tcBorders>
            <w:vAlign w:val="center"/>
          </w:tcPr>
          <w:p w:rsidR="005A7F90">
            <w:pPr>
              <w:ind w:left="17"/>
              <w:jc w:val="right"/>
              <w:rPr>
                <w:color w:val="000000"/>
                <w:kern w:val="0"/>
                <w:sz w:val="24"/>
              </w:rPr>
            </w:pPr>
            <w:r>
              <w:rPr>
                <w:color w:val="000000"/>
                <w:kern w:val="0"/>
              </w:rPr>
              <w:t>-</w:t>
            </w:r>
          </w:p>
        </w:tc>
        <w:tc>
          <w:tcPr>
            <w:tcW w:w="1843" w:type="dxa"/>
            <w:tcBorders>
              <w:top w:val="single" w:sz="0" w:space="0" w:color="000000"/>
              <w:left w:val="single" w:sz="0" w:space="0" w:color="000000"/>
              <w:bottom w:val="single" w:sz="0" w:space="0" w:color="000000"/>
              <w:right w:val="single" w:sz="0" w:space="0" w:color="000000"/>
            </w:tcBorders>
            <w:vAlign w:val="center"/>
          </w:tcPr>
          <w:p w:rsidR="005A7F90">
            <w:pPr>
              <w:ind w:left="17"/>
              <w:jc w:val="right"/>
              <w:rPr>
                <w:color w:val="000000"/>
                <w:kern w:val="0"/>
                <w:sz w:val="24"/>
              </w:rPr>
            </w:pPr>
            <w:r>
              <w:rPr>
                <w:color w:val="000000"/>
                <w:kern w:val="0"/>
              </w:rPr>
              <w:t>-</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5A7F90">
            <w:pPr>
              <w:ind w:left="17"/>
              <w:jc w:val="center"/>
              <w:rPr>
                <w:color w:val="000000"/>
                <w:kern w:val="0"/>
                <w:sz w:val="24"/>
              </w:rPr>
            </w:pPr>
            <w:r>
              <w:rPr>
                <w:color w:val="000000"/>
                <w:kern w:val="0"/>
              </w:rPr>
              <w:t>6</w:t>
            </w:r>
          </w:p>
        </w:tc>
        <w:tc>
          <w:tcPr>
            <w:tcW w:w="3357" w:type="dxa"/>
            <w:tcBorders>
              <w:top w:val="single" w:sz="0" w:space="0" w:color="000000"/>
              <w:left w:val="single" w:sz="0" w:space="0" w:color="000000"/>
              <w:bottom w:val="single" w:sz="0" w:space="0" w:color="000000"/>
              <w:right w:val="single" w:sz="0" w:space="0" w:color="000000"/>
            </w:tcBorders>
            <w:vAlign w:val="center"/>
          </w:tcPr>
          <w:p w:rsidR="005A7F90">
            <w:pPr>
              <w:ind w:left="17"/>
              <w:jc w:val="left"/>
              <w:rPr>
                <w:kern w:val="0"/>
                <w:sz w:val="24"/>
              </w:rPr>
            </w:pPr>
            <w:r>
              <w:rPr>
                <w:color w:val="000000"/>
                <w:kern w:val="0"/>
              </w:rPr>
              <w:t>银行存款和结算备付金合计</w:t>
            </w:r>
          </w:p>
        </w:tc>
        <w:tc>
          <w:tcPr>
            <w:tcW w:w="2977" w:type="dxa"/>
            <w:tcBorders>
              <w:top w:val="single" w:sz="0" w:space="0" w:color="000000"/>
              <w:left w:val="single" w:sz="0" w:space="0" w:color="000000"/>
              <w:bottom w:val="single" w:sz="0" w:space="0" w:color="000000"/>
              <w:right w:val="single" w:sz="0" w:space="0" w:color="000000"/>
            </w:tcBorders>
            <w:vAlign w:val="center"/>
          </w:tcPr>
          <w:p w:rsidR="005A7F90">
            <w:pPr>
              <w:ind w:left="17"/>
              <w:jc w:val="right"/>
              <w:rPr>
                <w:color w:val="000000"/>
                <w:kern w:val="0"/>
                <w:sz w:val="24"/>
              </w:rPr>
            </w:pPr>
            <w:r>
              <w:rPr>
                <w:color w:val="000000"/>
                <w:kern w:val="0"/>
              </w:rPr>
              <w:t>301,437,464.36</w:t>
            </w:r>
          </w:p>
        </w:tc>
        <w:tc>
          <w:tcPr>
            <w:tcW w:w="1843" w:type="dxa"/>
            <w:tcBorders>
              <w:top w:val="single" w:sz="0" w:space="0" w:color="000000"/>
              <w:left w:val="single" w:sz="0" w:space="0" w:color="000000"/>
              <w:bottom w:val="single" w:sz="0" w:space="0" w:color="000000"/>
              <w:right w:val="single" w:sz="0" w:space="0" w:color="000000"/>
            </w:tcBorders>
            <w:vAlign w:val="center"/>
          </w:tcPr>
          <w:p w:rsidR="005A7F90">
            <w:pPr>
              <w:ind w:left="17"/>
              <w:jc w:val="right"/>
              <w:rPr>
                <w:color w:val="000000"/>
                <w:kern w:val="0"/>
                <w:sz w:val="24"/>
              </w:rPr>
            </w:pPr>
            <w:r>
              <w:rPr>
                <w:color w:val="000000"/>
                <w:kern w:val="0"/>
              </w:rPr>
              <w:t>14.24</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5A7F90">
            <w:pPr>
              <w:ind w:left="17"/>
              <w:jc w:val="center"/>
              <w:rPr>
                <w:color w:val="000000"/>
                <w:kern w:val="0"/>
                <w:sz w:val="24"/>
              </w:rPr>
            </w:pPr>
            <w:r>
              <w:rPr>
                <w:color w:val="000000"/>
                <w:kern w:val="0"/>
              </w:rPr>
              <w:t>7</w:t>
            </w:r>
          </w:p>
        </w:tc>
        <w:tc>
          <w:tcPr>
            <w:tcW w:w="3357" w:type="dxa"/>
            <w:tcBorders>
              <w:top w:val="single" w:sz="0" w:space="0" w:color="000000"/>
              <w:left w:val="single" w:sz="0" w:space="0" w:color="000000"/>
              <w:bottom w:val="single" w:sz="0" w:space="0" w:color="000000"/>
              <w:right w:val="single" w:sz="0" w:space="0" w:color="000000"/>
            </w:tcBorders>
            <w:vAlign w:val="center"/>
          </w:tcPr>
          <w:p w:rsidR="005A7F90">
            <w:pPr>
              <w:jc w:val="left"/>
              <w:rPr>
                <w:kern w:val="0"/>
                <w:sz w:val="24"/>
              </w:rPr>
            </w:pPr>
            <w:r>
              <w:rPr>
                <w:color w:val="000000"/>
                <w:kern w:val="0"/>
              </w:rPr>
              <w:t>其他资产</w:t>
            </w:r>
          </w:p>
        </w:tc>
        <w:tc>
          <w:tcPr>
            <w:tcW w:w="2977" w:type="dxa"/>
            <w:tcBorders>
              <w:top w:val="single" w:sz="0" w:space="0" w:color="000000"/>
              <w:left w:val="single" w:sz="0" w:space="0" w:color="000000"/>
              <w:bottom w:val="single" w:sz="0" w:space="0" w:color="000000"/>
              <w:right w:val="single" w:sz="0" w:space="0" w:color="000000"/>
            </w:tcBorders>
            <w:vAlign w:val="center"/>
          </w:tcPr>
          <w:p w:rsidR="005A7F90">
            <w:pPr>
              <w:jc w:val="right"/>
              <w:rPr>
                <w:color w:val="000000"/>
                <w:kern w:val="0"/>
                <w:sz w:val="24"/>
              </w:rPr>
            </w:pPr>
            <w:r>
              <w:rPr>
                <w:color w:val="000000"/>
                <w:kern w:val="0"/>
              </w:rPr>
              <w:t>13,122,305.87</w:t>
            </w:r>
          </w:p>
        </w:tc>
        <w:tc>
          <w:tcPr>
            <w:tcW w:w="1843" w:type="dxa"/>
            <w:tcBorders>
              <w:top w:val="single" w:sz="0" w:space="0" w:color="000000"/>
              <w:left w:val="single" w:sz="0" w:space="0" w:color="000000"/>
              <w:bottom w:val="single" w:sz="0" w:space="0" w:color="000000"/>
              <w:right w:val="single" w:sz="0" w:space="0" w:color="000000"/>
            </w:tcBorders>
            <w:vAlign w:val="center"/>
          </w:tcPr>
          <w:p w:rsidR="005A7F90">
            <w:pPr>
              <w:jc w:val="right"/>
              <w:rPr>
                <w:color w:val="000000"/>
                <w:kern w:val="0"/>
                <w:sz w:val="24"/>
              </w:rPr>
            </w:pPr>
            <w:r>
              <w:rPr>
                <w:color w:val="000000"/>
                <w:kern w:val="0"/>
              </w:rPr>
              <w:t>0.62</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5A7F90">
            <w:pPr>
              <w:ind w:left="17"/>
              <w:jc w:val="center"/>
              <w:rPr>
                <w:color w:val="000000"/>
                <w:kern w:val="0"/>
                <w:sz w:val="24"/>
              </w:rPr>
            </w:pPr>
            <w:r>
              <w:rPr>
                <w:color w:val="000000"/>
                <w:kern w:val="0"/>
              </w:rPr>
              <w:t>8</w:t>
            </w:r>
          </w:p>
        </w:tc>
        <w:tc>
          <w:tcPr>
            <w:tcW w:w="3357" w:type="dxa"/>
            <w:tcBorders>
              <w:top w:val="single" w:sz="0" w:space="0" w:color="000000"/>
              <w:left w:val="single" w:sz="0" w:space="0" w:color="000000"/>
              <w:bottom w:val="single" w:sz="0" w:space="0" w:color="000000"/>
              <w:right w:val="single" w:sz="0" w:space="0" w:color="000000"/>
            </w:tcBorders>
            <w:vAlign w:val="center"/>
          </w:tcPr>
          <w:p w:rsidR="005A7F90">
            <w:pPr>
              <w:jc w:val="left"/>
              <w:rPr>
                <w:kern w:val="0"/>
                <w:sz w:val="24"/>
              </w:rPr>
            </w:pPr>
            <w:r>
              <w:rPr>
                <w:color w:val="000000"/>
                <w:kern w:val="0"/>
              </w:rPr>
              <w:t>合计</w:t>
            </w:r>
          </w:p>
        </w:tc>
        <w:tc>
          <w:tcPr>
            <w:tcW w:w="2977" w:type="dxa"/>
            <w:tcBorders>
              <w:top w:val="single" w:sz="0" w:space="0" w:color="000000"/>
              <w:left w:val="single" w:sz="0" w:space="0" w:color="000000"/>
              <w:bottom w:val="single" w:sz="0" w:space="0" w:color="000000"/>
              <w:right w:val="single" w:sz="0" w:space="0" w:color="000000"/>
            </w:tcBorders>
            <w:vAlign w:val="center"/>
          </w:tcPr>
          <w:p w:rsidR="005A7F90">
            <w:pPr>
              <w:jc w:val="right"/>
              <w:rPr>
                <w:color w:val="000000"/>
                <w:kern w:val="0"/>
                <w:sz w:val="24"/>
              </w:rPr>
            </w:pPr>
            <w:r>
              <w:rPr>
                <w:color w:val="000000"/>
                <w:kern w:val="0"/>
              </w:rPr>
              <w:t>2,116,506,457.86</w:t>
            </w:r>
          </w:p>
        </w:tc>
        <w:tc>
          <w:tcPr>
            <w:tcW w:w="1843" w:type="dxa"/>
            <w:tcBorders>
              <w:top w:val="single" w:sz="0" w:space="0" w:color="000000"/>
              <w:left w:val="single" w:sz="0" w:space="0" w:color="000000"/>
              <w:bottom w:val="single" w:sz="0" w:space="0" w:color="000000"/>
              <w:right w:val="single" w:sz="0" w:space="0" w:color="000000"/>
            </w:tcBorders>
            <w:vAlign w:val="center"/>
          </w:tcPr>
          <w:p w:rsidR="005A7F90">
            <w:pPr>
              <w:jc w:val="right"/>
              <w:rPr>
                <w:color w:val="000000"/>
                <w:kern w:val="0"/>
                <w:sz w:val="24"/>
              </w:rPr>
            </w:pPr>
            <w:r>
              <w:rPr>
                <w:color w:val="000000"/>
                <w:kern w:val="0"/>
              </w:rPr>
              <w:t>100.00</w:t>
            </w:r>
          </w:p>
        </w:tc>
      </w:tr>
    </w:tbl>
    <w:p w:rsidR="005A7F90">
      <w:pPr>
        <w:spacing w:line="360" w:lineRule="auto"/>
        <w:jc w:val="left"/>
      </w:pPr>
      <w:r>
        <w:t>2</w:t>
      </w:r>
      <w:r>
        <w:t>、</w:t>
      </w:r>
      <w:r>
        <w:t xml:space="preserve"> </w:t>
      </w:r>
      <w:r>
        <w:t>报告期末按行业分类的股票投资组合</w:t>
      </w:r>
    </w:p>
    <w:p w:rsidR="005A7F90">
      <w:pPr>
        <w:spacing w:line="360" w:lineRule="auto"/>
        <w:jc w:val="left"/>
      </w:pPr>
      <w:r>
        <w:t>（</w:t>
      </w:r>
      <w:r>
        <w:t>1</w:t>
      </w:r>
      <w:r>
        <w:t>）报告期末按行业分类的境内股票投资组合</w:t>
      </w:r>
    </w:p>
    <w:tbl>
      <w:tblPr>
        <w:tblW w:w="878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9"/>
        <w:gridCol w:w="3544"/>
        <w:gridCol w:w="2977"/>
        <w:gridCol w:w="1559"/>
      </w:tblGrid>
      <w:tr>
        <w:tblPrEx>
          <w:tblW w:w="878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val="390"/>
        </w:trPr>
        <w:tc>
          <w:tcPr>
            <w:tcW w:w="709" w:type="dxa"/>
            <w:tcBorders>
              <w:top w:val="single" w:sz="0" w:space="0" w:color="000000"/>
              <w:left w:val="single" w:sz="0" w:space="0" w:color="000000"/>
              <w:bottom w:val="single" w:sz="0" w:space="0" w:color="000000"/>
              <w:right w:val="single" w:sz="0" w:space="0" w:color="000000"/>
            </w:tcBorders>
            <w:vAlign w:val="center"/>
          </w:tcPr>
          <w:p w:rsidR="005A7F90">
            <w:pPr>
              <w:adjustRightInd w:val="0"/>
              <w:snapToGrid w:val="0"/>
              <w:jc w:val="center"/>
              <w:rPr>
                <w:rFonts w:eastAsiaTheme="minorEastAsia"/>
                <w:color w:val="000000" w:themeColor="text1"/>
                <w:kern w:val="0"/>
                <w:sz w:val="24"/>
              </w:rPr>
            </w:pPr>
            <w:r>
              <w:rPr>
                <w:rFonts w:eastAsiaTheme="minorEastAsia"/>
                <w:color w:val="000000" w:themeColor="text1"/>
                <w:kern w:val="0"/>
              </w:rPr>
              <w:t>代码</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A7F90">
            <w:pPr>
              <w:adjustRightInd w:val="0"/>
              <w:snapToGrid w:val="0"/>
              <w:jc w:val="center"/>
              <w:rPr>
                <w:rFonts w:eastAsiaTheme="minorEastAsia"/>
                <w:color w:val="000000" w:themeColor="text1"/>
                <w:kern w:val="0"/>
                <w:sz w:val="24"/>
              </w:rPr>
            </w:pPr>
            <w:r>
              <w:rPr>
                <w:rFonts w:eastAsiaTheme="minorEastAsia"/>
                <w:color w:val="000000" w:themeColor="text1"/>
                <w:kern w:val="0"/>
              </w:rPr>
              <w:t>行业类别</w:t>
            </w:r>
          </w:p>
        </w:tc>
        <w:tc>
          <w:tcPr>
            <w:tcW w:w="2977" w:type="dxa"/>
            <w:tcBorders>
              <w:top w:val="single" w:sz="0" w:space="0" w:color="000000"/>
              <w:left w:val="single" w:sz="0" w:space="0" w:color="000000"/>
              <w:bottom w:val="single" w:sz="0" w:space="0" w:color="000000"/>
              <w:right w:val="single" w:sz="0" w:space="0" w:color="000000"/>
            </w:tcBorders>
            <w:vAlign w:val="center"/>
          </w:tcPr>
          <w:p w:rsidR="005A7F90">
            <w:pPr>
              <w:adjustRightInd w:val="0"/>
              <w:snapToGrid w:val="0"/>
              <w:jc w:val="center"/>
              <w:rPr>
                <w:rFonts w:eastAsiaTheme="minorEastAsia"/>
                <w:color w:val="000000" w:themeColor="text1"/>
                <w:kern w:val="0"/>
                <w:sz w:val="24"/>
              </w:rPr>
            </w:pPr>
            <w:r>
              <w:rPr>
                <w:rFonts w:eastAsiaTheme="minorEastAsia"/>
                <w:color w:val="000000" w:themeColor="text1"/>
                <w:kern w:val="0"/>
              </w:rPr>
              <w:t>公允价值（元）</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A7F90">
            <w:pPr>
              <w:adjustRightInd w:val="0"/>
              <w:snapToGrid w:val="0"/>
              <w:jc w:val="center"/>
              <w:rPr>
                <w:rFonts w:eastAsiaTheme="minorEastAsia"/>
                <w:color w:val="000000" w:themeColor="text1"/>
                <w:kern w:val="0"/>
                <w:sz w:val="24"/>
              </w:rPr>
            </w:pPr>
            <w:r>
              <w:rPr>
                <w:rFonts w:eastAsiaTheme="minorEastAsia"/>
                <w:color w:val="000000" w:themeColor="text1"/>
                <w:kern w:val="0"/>
              </w:rPr>
              <w:t>占基金资产净值比例（％）</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A7F90">
            <w:pPr>
              <w:adjustRightInd w:val="0"/>
              <w:snapToGrid w:val="0"/>
              <w:jc w:val="center"/>
              <w:rPr>
                <w:rFonts w:eastAsiaTheme="minorEastAsia"/>
                <w:color w:val="000000" w:themeColor="text1"/>
                <w:kern w:val="0"/>
                <w:sz w:val="24"/>
              </w:rPr>
            </w:pPr>
            <w:r>
              <w:rPr>
                <w:rFonts w:eastAsiaTheme="minorEastAsia"/>
                <w:color w:val="000000" w:themeColor="text1"/>
                <w:kern w:val="0"/>
              </w:rPr>
              <w:t>A</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A7F90">
            <w:pPr>
              <w:adjustRightInd w:val="0"/>
              <w:snapToGrid w:val="0"/>
              <w:rPr>
                <w:rFonts w:eastAsiaTheme="minorEastAsia"/>
                <w:color w:val="000000" w:themeColor="text1"/>
                <w:kern w:val="0"/>
                <w:sz w:val="24"/>
              </w:rPr>
            </w:pPr>
            <w:r>
              <w:rPr>
                <w:rFonts w:eastAsiaTheme="minorEastAsia"/>
                <w:color w:val="000000" w:themeColor="text1"/>
                <w:kern w:val="0"/>
              </w:rPr>
              <w:t>农、林、牧、渔业</w:t>
            </w:r>
          </w:p>
        </w:tc>
        <w:tc>
          <w:tcPr>
            <w:tcW w:w="2977" w:type="dxa"/>
            <w:tcBorders>
              <w:top w:val="single" w:sz="0" w:space="0" w:color="000000"/>
              <w:left w:val="single" w:sz="0" w:space="0" w:color="000000"/>
              <w:bottom w:val="single" w:sz="0" w:space="0" w:color="000000"/>
              <w:right w:val="single" w:sz="0" w:space="0" w:color="000000"/>
            </w:tcBorders>
            <w:vAlign w:val="center"/>
          </w:tcPr>
          <w:p w:rsidR="005A7F90">
            <w:pPr>
              <w:autoSpaceDE w:val="0"/>
              <w:autoSpaceDN w:val="0"/>
              <w:adjustRightInd w:val="0"/>
              <w:ind w:left="15"/>
              <w:jc w:val="right"/>
              <w:rPr>
                <w:rFonts w:eastAsiaTheme="minorEastAsia"/>
                <w:color w:val="000000" w:themeColor="text1"/>
                <w:kern w:val="0"/>
                <w:sz w:val="24"/>
              </w:rPr>
            </w:pPr>
            <w:r>
              <w:rPr>
                <w:rFonts w:eastAsiaTheme="minorEastAsia"/>
                <w:color w:val="000000" w:themeColor="text1"/>
                <w:kern w:val="0"/>
              </w:rPr>
              <w:t>5,766.30</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A7F90">
            <w:pPr>
              <w:autoSpaceDE w:val="0"/>
              <w:autoSpaceDN w:val="0"/>
              <w:adjustRightInd w:val="0"/>
              <w:ind w:left="15"/>
              <w:jc w:val="right"/>
              <w:rPr>
                <w:rFonts w:eastAsiaTheme="minorEastAsia"/>
                <w:color w:val="000000" w:themeColor="text1"/>
                <w:kern w:val="0"/>
                <w:sz w:val="24"/>
              </w:rPr>
            </w:pPr>
            <w:r>
              <w:rPr>
                <w:rFonts w:eastAsiaTheme="minorEastAsia"/>
                <w:color w:val="000000" w:themeColor="text1"/>
                <w:kern w:val="0"/>
              </w:rPr>
              <w:t>0.00</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A7F90">
            <w:pPr>
              <w:adjustRightInd w:val="0"/>
              <w:snapToGrid w:val="0"/>
              <w:jc w:val="center"/>
              <w:rPr>
                <w:rFonts w:eastAsiaTheme="minorEastAsia"/>
                <w:color w:val="000000" w:themeColor="text1"/>
                <w:kern w:val="0"/>
                <w:sz w:val="24"/>
              </w:rPr>
            </w:pPr>
            <w:r>
              <w:rPr>
                <w:rFonts w:eastAsiaTheme="minorEastAsia"/>
                <w:color w:val="000000" w:themeColor="text1"/>
                <w:kern w:val="0"/>
              </w:rPr>
              <w:t>B</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A7F90">
            <w:pPr>
              <w:adjustRightInd w:val="0"/>
              <w:snapToGrid w:val="0"/>
              <w:rPr>
                <w:rFonts w:eastAsiaTheme="minorEastAsia"/>
                <w:color w:val="000000" w:themeColor="text1"/>
                <w:kern w:val="0"/>
                <w:sz w:val="24"/>
              </w:rPr>
            </w:pPr>
            <w:r>
              <w:rPr>
                <w:rFonts w:eastAsiaTheme="minorEastAsia"/>
                <w:color w:val="000000" w:themeColor="text1"/>
                <w:kern w:val="0"/>
              </w:rPr>
              <w:t>采矿业</w:t>
            </w:r>
          </w:p>
        </w:tc>
        <w:tc>
          <w:tcPr>
            <w:tcW w:w="2977" w:type="dxa"/>
            <w:tcBorders>
              <w:top w:val="single" w:sz="0" w:space="0" w:color="000000"/>
              <w:left w:val="single" w:sz="0" w:space="0" w:color="000000"/>
              <w:bottom w:val="single" w:sz="0" w:space="0" w:color="000000"/>
              <w:right w:val="single" w:sz="0" w:space="0" w:color="000000"/>
            </w:tcBorders>
            <w:vAlign w:val="center"/>
          </w:tcPr>
          <w:p w:rsidR="005A7F90">
            <w:pPr>
              <w:jc w:val="right"/>
              <w:rPr>
                <w:rFonts w:eastAsiaTheme="minorEastAsia"/>
                <w:color w:val="000000" w:themeColor="text1"/>
                <w:kern w:val="0"/>
                <w:sz w:val="24"/>
              </w:rPr>
            </w:pPr>
            <w:r>
              <w:rPr>
                <w:rFonts w:eastAsiaTheme="minorEastAsia"/>
                <w:color w:val="000000" w:themeColor="text1"/>
                <w:kern w:val="0"/>
              </w:rPr>
              <w:t>-</w:t>
            </w:r>
          </w:p>
          <w:p w:rsidR="005A7F90">
            <w:pPr>
              <w:jc w:val="right"/>
              <w:rPr>
                <w:rFonts w:eastAsiaTheme="minorEastAsia"/>
                <w:color w:val="000000" w:themeColor="text1"/>
                <w:kern w:val="0"/>
                <w:sz w:val="24"/>
              </w:rPr>
            </w:pP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A7F90">
            <w:pPr>
              <w:jc w:val="right"/>
              <w:rPr>
                <w:rFonts w:eastAsiaTheme="minorEastAsia"/>
                <w:color w:val="000000" w:themeColor="text1"/>
                <w:kern w:val="0"/>
                <w:sz w:val="24"/>
              </w:rPr>
            </w:pPr>
            <w:r>
              <w:rPr>
                <w:rFonts w:eastAsiaTheme="minorEastAsia"/>
                <w:color w:val="000000" w:themeColor="text1"/>
                <w:kern w:val="0"/>
              </w:rPr>
              <w:t>-</w:t>
            </w:r>
          </w:p>
          <w:p w:rsidR="005A7F90">
            <w:pPr>
              <w:jc w:val="right"/>
              <w:rPr>
                <w:rFonts w:eastAsiaTheme="minorEastAsia"/>
                <w:color w:val="000000" w:themeColor="text1"/>
                <w:kern w:val="0"/>
                <w:sz w:val="24"/>
              </w:rPr>
            </w:pP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A7F90">
            <w:pPr>
              <w:adjustRightInd w:val="0"/>
              <w:snapToGrid w:val="0"/>
              <w:jc w:val="center"/>
              <w:rPr>
                <w:rFonts w:eastAsiaTheme="minorEastAsia"/>
                <w:color w:val="000000" w:themeColor="text1"/>
                <w:kern w:val="0"/>
                <w:sz w:val="24"/>
              </w:rPr>
            </w:pPr>
            <w:r>
              <w:rPr>
                <w:rFonts w:eastAsiaTheme="minorEastAsia"/>
                <w:color w:val="000000" w:themeColor="text1"/>
                <w:kern w:val="0"/>
              </w:rPr>
              <w:t>C</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A7F90">
            <w:pPr>
              <w:adjustRightInd w:val="0"/>
              <w:snapToGrid w:val="0"/>
              <w:rPr>
                <w:rFonts w:eastAsiaTheme="minorEastAsia"/>
                <w:color w:val="000000" w:themeColor="text1"/>
                <w:kern w:val="0"/>
                <w:sz w:val="24"/>
              </w:rPr>
            </w:pPr>
            <w:r>
              <w:rPr>
                <w:rFonts w:eastAsiaTheme="minorEastAsia"/>
                <w:color w:val="000000" w:themeColor="text1"/>
                <w:kern w:val="0"/>
              </w:rPr>
              <w:t>制造业</w:t>
            </w:r>
          </w:p>
        </w:tc>
        <w:tc>
          <w:tcPr>
            <w:tcW w:w="2977" w:type="dxa"/>
            <w:tcBorders>
              <w:top w:val="single" w:sz="0" w:space="0" w:color="000000"/>
              <w:left w:val="single" w:sz="0" w:space="0" w:color="000000"/>
              <w:bottom w:val="single" w:sz="0" w:space="0" w:color="000000"/>
              <w:right w:val="single" w:sz="0" w:space="0" w:color="000000"/>
            </w:tcBorders>
            <w:vAlign w:val="center"/>
          </w:tcPr>
          <w:p w:rsidR="005A7F90">
            <w:pPr>
              <w:jc w:val="right"/>
              <w:rPr>
                <w:rFonts w:eastAsiaTheme="minorEastAsia"/>
                <w:color w:val="000000" w:themeColor="text1"/>
                <w:kern w:val="0"/>
                <w:sz w:val="24"/>
              </w:rPr>
            </w:pPr>
            <w:r>
              <w:rPr>
                <w:rFonts w:eastAsiaTheme="minorEastAsia"/>
                <w:color w:val="000000" w:themeColor="text1"/>
                <w:kern w:val="0"/>
              </w:rPr>
              <w:t>1,593,230,456.06</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A7F90">
            <w:pPr>
              <w:jc w:val="right"/>
              <w:rPr>
                <w:rFonts w:eastAsiaTheme="minorEastAsia"/>
                <w:color w:val="000000" w:themeColor="text1"/>
                <w:kern w:val="0"/>
                <w:sz w:val="24"/>
              </w:rPr>
            </w:pPr>
            <w:r>
              <w:rPr>
                <w:rFonts w:eastAsiaTheme="minorEastAsia"/>
                <w:color w:val="000000" w:themeColor="text1"/>
                <w:kern w:val="0"/>
              </w:rPr>
              <w:t>75.58</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A7F90">
            <w:pPr>
              <w:adjustRightInd w:val="0"/>
              <w:snapToGrid w:val="0"/>
              <w:jc w:val="center"/>
              <w:rPr>
                <w:rFonts w:eastAsiaTheme="minorEastAsia"/>
                <w:color w:val="000000" w:themeColor="text1"/>
                <w:kern w:val="0"/>
                <w:sz w:val="24"/>
              </w:rPr>
            </w:pPr>
            <w:r>
              <w:rPr>
                <w:rFonts w:eastAsiaTheme="minorEastAsia"/>
                <w:color w:val="000000" w:themeColor="text1"/>
                <w:kern w:val="0"/>
              </w:rPr>
              <w:t>D</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A7F90">
            <w:pPr>
              <w:adjustRightInd w:val="0"/>
              <w:snapToGrid w:val="0"/>
              <w:rPr>
                <w:rFonts w:eastAsiaTheme="minorEastAsia"/>
                <w:color w:val="000000" w:themeColor="text1"/>
                <w:kern w:val="0"/>
                <w:sz w:val="24"/>
              </w:rPr>
            </w:pPr>
            <w:r>
              <w:rPr>
                <w:rFonts w:eastAsiaTheme="minorEastAsia"/>
                <w:color w:val="000000" w:themeColor="text1"/>
                <w:kern w:val="0"/>
              </w:rPr>
              <w:t>电力、热力、燃气及水生产和供应业</w:t>
            </w:r>
          </w:p>
        </w:tc>
        <w:tc>
          <w:tcPr>
            <w:tcW w:w="2977" w:type="dxa"/>
            <w:tcBorders>
              <w:top w:val="single" w:sz="0" w:space="0" w:color="000000"/>
              <w:left w:val="single" w:sz="0" w:space="0" w:color="000000"/>
              <w:bottom w:val="single" w:sz="0" w:space="0" w:color="000000"/>
              <w:right w:val="single" w:sz="0" w:space="0" w:color="000000"/>
            </w:tcBorders>
            <w:vAlign w:val="center"/>
          </w:tcPr>
          <w:p w:rsidR="005A7F90">
            <w:pPr>
              <w:jc w:val="right"/>
              <w:rPr>
                <w:rFonts w:eastAsiaTheme="minorEastAsia"/>
                <w:color w:val="000000" w:themeColor="text1"/>
                <w:kern w:val="0"/>
                <w:sz w:val="24"/>
              </w:rPr>
            </w:pPr>
            <w:r>
              <w:rPr>
                <w:rFonts w:eastAsiaTheme="minorEastAsia"/>
                <w:color w:val="000000" w:themeColor="text1"/>
                <w:kern w:val="0"/>
              </w:rPr>
              <w:t>6,299,875.22</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A7F90">
            <w:pPr>
              <w:jc w:val="right"/>
              <w:rPr>
                <w:rFonts w:eastAsiaTheme="minorEastAsia"/>
                <w:color w:val="000000" w:themeColor="text1"/>
                <w:kern w:val="0"/>
                <w:sz w:val="24"/>
              </w:rPr>
            </w:pPr>
            <w:r>
              <w:rPr>
                <w:rFonts w:eastAsiaTheme="minorEastAsia"/>
                <w:color w:val="000000" w:themeColor="text1"/>
                <w:kern w:val="0"/>
              </w:rPr>
              <w:t>0.30</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A7F90">
            <w:pPr>
              <w:adjustRightInd w:val="0"/>
              <w:snapToGrid w:val="0"/>
              <w:jc w:val="center"/>
              <w:rPr>
                <w:rFonts w:eastAsiaTheme="minorEastAsia"/>
                <w:color w:val="000000" w:themeColor="text1"/>
                <w:kern w:val="0"/>
                <w:sz w:val="24"/>
              </w:rPr>
            </w:pPr>
            <w:r>
              <w:rPr>
                <w:rFonts w:eastAsiaTheme="minorEastAsia"/>
                <w:color w:val="000000" w:themeColor="text1"/>
                <w:kern w:val="0"/>
              </w:rPr>
              <w:t>E</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A7F90">
            <w:pPr>
              <w:adjustRightInd w:val="0"/>
              <w:snapToGrid w:val="0"/>
              <w:rPr>
                <w:rFonts w:eastAsiaTheme="minorEastAsia"/>
                <w:color w:val="000000" w:themeColor="text1"/>
                <w:kern w:val="0"/>
                <w:sz w:val="24"/>
              </w:rPr>
            </w:pPr>
            <w:r>
              <w:rPr>
                <w:rFonts w:eastAsiaTheme="minorEastAsia"/>
                <w:color w:val="000000" w:themeColor="text1"/>
                <w:kern w:val="0"/>
              </w:rPr>
              <w:t>建筑业</w:t>
            </w:r>
          </w:p>
        </w:tc>
        <w:tc>
          <w:tcPr>
            <w:tcW w:w="2977" w:type="dxa"/>
            <w:tcBorders>
              <w:top w:val="single" w:sz="0" w:space="0" w:color="000000"/>
              <w:left w:val="single" w:sz="0" w:space="0" w:color="000000"/>
              <w:bottom w:val="single" w:sz="0" w:space="0" w:color="000000"/>
              <w:right w:val="single" w:sz="0" w:space="0" w:color="000000"/>
            </w:tcBorders>
            <w:vAlign w:val="center"/>
          </w:tcPr>
          <w:p w:rsidR="005A7F90">
            <w:pPr>
              <w:jc w:val="right"/>
              <w:rPr>
                <w:rFonts w:eastAsiaTheme="minorEastAsia"/>
                <w:color w:val="000000" w:themeColor="text1"/>
                <w:kern w:val="0"/>
                <w:sz w:val="24"/>
              </w:rPr>
            </w:pPr>
            <w:r>
              <w:rPr>
                <w:rFonts w:eastAsiaTheme="minorEastAsia"/>
                <w:color w:val="000000" w:themeColor="text1"/>
                <w:kern w:val="0"/>
              </w:rPr>
              <w:t>20,183.39</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A7F90">
            <w:pPr>
              <w:jc w:val="right"/>
              <w:rPr>
                <w:rFonts w:eastAsiaTheme="minorEastAsia"/>
                <w:color w:val="000000" w:themeColor="text1"/>
                <w:kern w:val="0"/>
                <w:sz w:val="24"/>
              </w:rPr>
            </w:pPr>
            <w:r>
              <w:rPr>
                <w:rFonts w:eastAsiaTheme="minorEastAsia"/>
                <w:color w:val="000000" w:themeColor="text1"/>
                <w:kern w:val="0"/>
              </w:rPr>
              <w:t>0.00</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A7F90">
            <w:pPr>
              <w:adjustRightInd w:val="0"/>
              <w:snapToGrid w:val="0"/>
              <w:jc w:val="center"/>
              <w:rPr>
                <w:rFonts w:eastAsiaTheme="minorEastAsia"/>
                <w:color w:val="000000" w:themeColor="text1"/>
                <w:kern w:val="0"/>
                <w:sz w:val="24"/>
              </w:rPr>
            </w:pPr>
            <w:r>
              <w:rPr>
                <w:rFonts w:eastAsiaTheme="minorEastAsia"/>
                <w:color w:val="000000" w:themeColor="text1"/>
                <w:kern w:val="0"/>
              </w:rPr>
              <w:t>F</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A7F90">
            <w:pPr>
              <w:adjustRightInd w:val="0"/>
              <w:snapToGrid w:val="0"/>
              <w:rPr>
                <w:rFonts w:eastAsiaTheme="minorEastAsia"/>
                <w:color w:val="000000" w:themeColor="text1"/>
                <w:kern w:val="0"/>
                <w:sz w:val="24"/>
              </w:rPr>
            </w:pPr>
            <w:r>
              <w:rPr>
                <w:rFonts w:eastAsiaTheme="minorEastAsia"/>
                <w:color w:val="000000" w:themeColor="text1"/>
                <w:kern w:val="0"/>
              </w:rPr>
              <w:t>批发和零售业</w:t>
            </w:r>
          </w:p>
        </w:tc>
        <w:tc>
          <w:tcPr>
            <w:tcW w:w="2977" w:type="dxa"/>
            <w:tcBorders>
              <w:top w:val="single" w:sz="0" w:space="0" w:color="000000"/>
              <w:left w:val="single" w:sz="0" w:space="0" w:color="000000"/>
              <w:bottom w:val="single" w:sz="0" w:space="0" w:color="000000"/>
              <w:right w:val="single" w:sz="0" w:space="0" w:color="000000"/>
            </w:tcBorders>
            <w:vAlign w:val="center"/>
          </w:tcPr>
          <w:p w:rsidR="005A7F90">
            <w:pPr>
              <w:jc w:val="right"/>
              <w:rPr>
                <w:rFonts w:eastAsiaTheme="minorEastAsia"/>
                <w:color w:val="000000" w:themeColor="text1"/>
                <w:kern w:val="0"/>
                <w:sz w:val="24"/>
              </w:rPr>
            </w:pPr>
            <w:r>
              <w:rPr>
                <w:rFonts w:eastAsiaTheme="minorEastAsia"/>
                <w:color w:val="000000" w:themeColor="text1"/>
                <w:kern w:val="0"/>
              </w:rPr>
              <w:t>77,729.83</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A7F90">
            <w:pPr>
              <w:jc w:val="right"/>
              <w:rPr>
                <w:rFonts w:eastAsiaTheme="minorEastAsia"/>
                <w:color w:val="000000" w:themeColor="text1"/>
                <w:kern w:val="0"/>
                <w:sz w:val="24"/>
              </w:rPr>
            </w:pPr>
            <w:r>
              <w:rPr>
                <w:rFonts w:eastAsiaTheme="minorEastAsia"/>
                <w:color w:val="000000" w:themeColor="text1"/>
                <w:kern w:val="0"/>
              </w:rPr>
              <w:t>0.00</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A7F90">
            <w:pPr>
              <w:adjustRightInd w:val="0"/>
              <w:snapToGrid w:val="0"/>
              <w:jc w:val="center"/>
              <w:rPr>
                <w:rFonts w:eastAsiaTheme="minorEastAsia"/>
                <w:color w:val="000000" w:themeColor="text1"/>
                <w:kern w:val="0"/>
                <w:sz w:val="24"/>
              </w:rPr>
            </w:pPr>
            <w:r>
              <w:rPr>
                <w:rFonts w:eastAsiaTheme="minorEastAsia"/>
                <w:color w:val="000000" w:themeColor="text1"/>
                <w:kern w:val="0"/>
              </w:rPr>
              <w:t>G</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A7F90">
            <w:pPr>
              <w:adjustRightInd w:val="0"/>
              <w:snapToGrid w:val="0"/>
              <w:rPr>
                <w:rFonts w:eastAsiaTheme="minorEastAsia"/>
                <w:color w:val="000000" w:themeColor="text1"/>
                <w:kern w:val="0"/>
                <w:sz w:val="24"/>
              </w:rPr>
            </w:pPr>
            <w:r>
              <w:rPr>
                <w:rFonts w:eastAsiaTheme="minorEastAsia"/>
                <w:color w:val="000000" w:themeColor="text1"/>
                <w:kern w:val="0"/>
              </w:rPr>
              <w:t>交通运输、仓储和邮政业</w:t>
            </w:r>
          </w:p>
        </w:tc>
        <w:tc>
          <w:tcPr>
            <w:tcW w:w="2977" w:type="dxa"/>
            <w:tcBorders>
              <w:top w:val="single" w:sz="0" w:space="0" w:color="000000"/>
              <w:left w:val="single" w:sz="0" w:space="0" w:color="000000"/>
              <w:bottom w:val="single" w:sz="0" w:space="0" w:color="000000"/>
              <w:right w:val="single" w:sz="0" w:space="0" w:color="000000"/>
            </w:tcBorders>
            <w:vAlign w:val="center"/>
          </w:tcPr>
          <w:p w:rsidR="005A7F90">
            <w:pPr>
              <w:jc w:val="right"/>
              <w:rPr>
                <w:rFonts w:eastAsiaTheme="minorEastAsia"/>
                <w:color w:val="000000" w:themeColor="text1"/>
                <w:kern w:val="0"/>
                <w:sz w:val="24"/>
              </w:rPr>
            </w:pPr>
            <w:r>
              <w:rPr>
                <w:rFonts w:eastAsiaTheme="minorEastAsia"/>
                <w:color w:val="000000" w:themeColor="text1"/>
                <w:kern w:val="0"/>
              </w:rPr>
              <w:t>-</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A7F90">
            <w:pPr>
              <w:jc w:val="right"/>
              <w:rPr>
                <w:rFonts w:eastAsiaTheme="minorEastAsia"/>
                <w:color w:val="000000" w:themeColor="text1"/>
                <w:kern w:val="0"/>
                <w:sz w:val="24"/>
              </w:rPr>
            </w:pPr>
            <w:r>
              <w:rPr>
                <w:rFonts w:eastAsiaTheme="minorEastAsia"/>
                <w:color w:val="000000" w:themeColor="text1"/>
                <w:kern w:val="0"/>
              </w:rPr>
              <w:t>-</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A7F90">
            <w:pPr>
              <w:adjustRightInd w:val="0"/>
              <w:snapToGrid w:val="0"/>
              <w:jc w:val="center"/>
              <w:rPr>
                <w:rFonts w:eastAsiaTheme="minorEastAsia"/>
                <w:color w:val="000000" w:themeColor="text1"/>
                <w:kern w:val="0"/>
                <w:sz w:val="24"/>
              </w:rPr>
            </w:pPr>
            <w:r>
              <w:rPr>
                <w:rFonts w:eastAsiaTheme="minorEastAsia"/>
                <w:color w:val="000000" w:themeColor="text1"/>
                <w:kern w:val="0"/>
              </w:rPr>
              <w:t>H</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A7F90">
            <w:pPr>
              <w:adjustRightInd w:val="0"/>
              <w:snapToGrid w:val="0"/>
              <w:rPr>
                <w:rFonts w:eastAsiaTheme="minorEastAsia"/>
                <w:color w:val="000000" w:themeColor="text1"/>
                <w:kern w:val="0"/>
                <w:sz w:val="24"/>
              </w:rPr>
            </w:pPr>
            <w:r>
              <w:rPr>
                <w:rFonts w:eastAsiaTheme="minorEastAsia"/>
                <w:color w:val="000000" w:themeColor="text1"/>
                <w:kern w:val="0"/>
              </w:rPr>
              <w:t>住宿和餐饮业</w:t>
            </w:r>
          </w:p>
        </w:tc>
        <w:tc>
          <w:tcPr>
            <w:tcW w:w="2977" w:type="dxa"/>
            <w:tcBorders>
              <w:top w:val="single" w:sz="0" w:space="0" w:color="000000"/>
              <w:left w:val="single" w:sz="0" w:space="0" w:color="000000"/>
              <w:bottom w:val="single" w:sz="0" w:space="0" w:color="000000"/>
              <w:right w:val="single" w:sz="0" w:space="0" w:color="000000"/>
            </w:tcBorders>
            <w:vAlign w:val="center"/>
          </w:tcPr>
          <w:p w:rsidR="005A7F90">
            <w:pPr>
              <w:jc w:val="right"/>
              <w:rPr>
                <w:rFonts w:eastAsiaTheme="minorEastAsia"/>
                <w:color w:val="000000" w:themeColor="text1"/>
                <w:kern w:val="0"/>
                <w:sz w:val="24"/>
              </w:rPr>
            </w:pPr>
            <w:r>
              <w:rPr>
                <w:rFonts w:eastAsiaTheme="minorEastAsia"/>
                <w:color w:val="000000" w:themeColor="text1"/>
                <w:kern w:val="0"/>
              </w:rPr>
              <w:t>40,233.44</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A7F90">
            <w:pPr>
              <w:jc w:val="right"/>
              <w:rPr>
                <w:rFonts w:eastAsiaTheme="minorEastAsia"/>
                <w:color w:val="000000" w:themeColor="text1"/>
                <w:kern w:val="0"/>
                <w:sz w:val="24"/>
              </w:rPr>
            </w:pPr>
            <w:r>
              <w:rPr>
                <w:rFonts w:eastAsiaTheme="minorEastAsia"/>
                <w:color w:val="000000" w:themeColor="text1"/>
                <w:kern w:val="0"/>
              </w:rPr>
              <w:t>0.00</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A7F90">
            <w:pPr>
              <w:adjustRightInd w:val="0"/>
              <w:snapToGrid w:val="0"/>
              <w:jc w:val="center"/>
              <w:rPr>
                <w:rFonts w:eastAsiaTheme="minorEastAsia"/>
                <w:color w:val="000000" w:themeColor="text1"/>
                <w:kern w:val="0"/>
                <w:sz w:val="24"/>
              </w:rPr>
            </w:pPr>
            <w:r>
              <w:rPr>
                <w:rFonts w:eastAsiaTheme="minorEastAsia"/>
                <w:color w:val="000000" w:themeColor="text1"/>
                <w:kern w:val="0"/>
              </w:rPr>
              <w:t>I</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A7F90">
            <w:pPr>
              <w:adjustRightInd w:val="0"/>
              <w:snapToGrid w:val="0"/>
              <w:rPr>
                <w:rFonts w:eastAsiaTheme="minorEastAsia"/>
                <w:color w:val="000000" w:themeColor="text1"/>
                <w:kern w:val="0"/>
                <w:sz w:val="24"/>
              </w:rPr>
            </w:pPr>
            <w:r>
              <w:rPr>
                <w:rFonts w:eastAsiaTheme="minorEastAsia"/>
                <w:color w:val="000000" w:themeColor="text1"/>
                <w:kern w:val="0"/>
              </w:rPr>
              <w:t>信息传输、软件和信息技术服务业</w:t>
            </w:r>
          </w:p>
        </w:tc>
        <w:tc>
          <w:tcPr>
            <w:tcW w:w="2977" w:type="dxa"/>
            <w:tcBorders>
              <w:top w:val="single" w:sz="0" w:space="0" w:color="000000"/>
              <w:left w:val="single" w:sz="0" w:space="0" w:color="000000"/>
              <w:bottom w:val="single" w:sz="0" w:space="0" w:color="000000"/>
              <w:right w:val="single" w:sz="0" w:space="0" w:color="000000"/>
            </w:tcBorders>
            <w:vAlign w:val="center"/>
          </w:tcPr>
          <w:p w:rsidR="005A7F90">
            <w:pPr>
              <w:jc w:val="right"/>
              <w:rPr>
                <w:rFonts w:eastAsiaTheme="minorEastAsia"/>
                <w:color w:val="000000" w:themeColor="text1"/>
                <w:kern w:val="0"/>
                <w:sz w:val="24"/>
              </w:rPr>
            </w:pPr>
            <w:r>
              <w:rPr>
                <w:rFonts w:eastAsiaTheme="minorEastAsia"/>
                <w:color w:val="000000" w:themeColor="text1"/>
                <w:kern w:val="0"/>
              </w:rPr>
              <w:t>68,856.64</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A7F90">
            <w:pPr>
              <w:jc w:val="right"/>
              <w:rPr>
                <w:rFonts w:eastAsiaTheme="minorEastAsia"/>
                <w:color w:val="000000" w:themeColor="text1"/>
                <w:kern w:val="0"/>
                <w:sz w:val="24"/>
              </w:rPr>
            </w:pPr>
            <w:r>
              <w:rPr>
                <w:rFonts w:eastAsiaTheme="minorEastAsia"/>
                <w:color w:val="000000" w:themeColor="text1"/>
                <w:kern w:val="0"/>
              </w:rPr>
              <w:t>0.00</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A7F90">
            <w:pPr>
              <w:adjustRightInd w:val="0"/>
              <w:snapToGrid w:val="0"/>
              <w:jc w:val="center"/>
              <w:rPr>
                <w:rFonts w:eastAsiaTheme="minorEastAsia"/>
                <w:color w:val="000000" w:themeColor="text1"/>
                <w:kern w:val="0"/>
                <w:sz w:val="24"/>
              </w:rPr>
            </w:pPr>
            <w:r>
              <w:rPr>
                <w:rFonts w:eastAsiaTheme="minorEastAsia"/>
                <w:color w:val="000000" w:themeColor="text1"/>
                <w:kern w:val="0"/>
              </w:rPr>
              <w:t>J</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A7F90">
            <w:pPr>
              <w:adjustRightInd w:val="0"/>
              <w:snapToGrid w:val="0"/>
              <w:rPr>
                <w:rFonts w:eastAsiaTheme="minorEastAsia"/>
                <w:color w:val="000000" w:themeColor="text1"/>
                <w:kern w:val="0"/>
                <w:sz w:val="24"/>
              </w:rPr>
            </w:pPr>
            <w:r>
              <w:rPr>
                <w:rFonts w:eastAsiaTheme="minorEastAsia"/>
                <w:color w:val="000000" w:themeColor="text1"/>
                <w:kern w:val="0"/>
              </w:rPr>
              <w:t>金融业</w:t>
            </w:r>
          </w:p>
        </w:tc>
        <w:tc>
          <w:tcPr>
            <w:tcW w:w="2977" w:type="dxa"/>
            <w:tcBorders>
              <w:top w:val="single" w:sz="0" w:space="0" w:color="000000"/>
              <w:left w:val="single" w:sz="0" w:space="0" w:color="000000"/>
              <w:bottom w:val="single" w:sz="0" w:space="0" w:color="000000"/>
              <w:right w:val="single" w:sz="0" w:space="0" w:color="000000"/>
            </w:tcBorders>
            <w:vAlign w:val="center"/>
          </w:tcPr>
          <w:p w:rsidR="005A7F90">
            <w:pPr>
              <w:jc w:val="right"/>
              <w:rPr>
                <w:rFonts w:eastAsiaTheme="minorEastAsia"/>
                <w:color w:val="000000" w:themeColor="text1"/>
                <w:kern w:val="0"/>
                <w:sz w:val="24"/>
              </w:rPr>
            </w:pPr>
            <w:r>
              <w:rPr>
                <w:rFonts w:eastAsiaTheme="minorEastAsia"/>
                <w:color w:val="000000" w:themeColor="text1"/>
                <w:kern w:val="0"/>
              </w:rPr>
              <w:t>170,093,889.20</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A7F90">
            <w:pPr>
              <w:jc w:val="right"/>
              <w:rPr>
                <w:rFonts w:eastAsiaTheme="minorEastAsia"/>
                <w:color w:val="000000" w:themeColor="text1"/>
                <w:kern w:val="0"/>
                <w:sz w:val="24"/>
              </w:rPr>
            </w:pPr>
            <w:r>
              <w:rPr>
                <w:rFonts w:eastAsiaTheme="minorEastAsia"/>
                <w:color w:val="000000" w:themeColor="text1"/>
                <w:kern w:val="0"/>
              </w:rPr>
              <w:t>8.07</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A7F90">
            <w:pPr>
              <w:adjustRightInd w:val="0"/>
              <w:snapToGrid w:val="0"/>
              <w:jc w:val="center"/>
              <w:rPr>
                <w:rFonts w:eastAsiaTheme="minorEastAsia"/>
                <w:color w:val="000000" w:themeColor="text1"/>
                <w:kern w:val="0"/>
                <w:sz w:val="24"/>
              </w:rPr>
            </w:pPr>
            <w:r>
              <w:rPr>
                <w:rFonts w:eastAsiaTheme="minorEastAsia"/>
                <w:color w:val="000000" w:themeColor="text1"/>
                <w:kern w:val="0"/>
              </w:rPr>
              <w:t>K</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A7F90">
            <w:pPr>
              <w:adjustRightInd w:val="0"/>
              <w:snapToGrid w:val="0"/>
              <w:rPr>
                <w:rFonts w:eastAsiaTheme="minorEastAsia"/>
                <w:color w:val="000000" w:themeColor="text1"/>
                <w:kern w:val="0"/>
                <w:sz w:val="24"/>
              </w:rPr>
            </w:pPr>
            <w:r>
              <w:rPr>
                <w:rFonts w:eastAsiaTheme="minorEastAsia"/>
                <w:color w:val="000000" w:themeColor="text1"/>
                <w:kern w:val="0"/>
              </w:rPr>
              <w:t>房地产业</w:t>
            </w:r>
          </w:p>
        </w:tc>
        <w:tc>
          <w:tcPr>
            <w:tcW w:w="2977" w:type="dxa"/>
            <w:tcBorders>
              <w:top w:val="single" w:sz="0" w:space="0" w:color="000000"/>
              <w:left w:val="single" w:sz="0" w:space="0" w:color="000000"/>
              <w:bottom w:val="single" w:sz="0" w:space="0" w:color="000000"/>
              <w:right w:val="single" w:sz="0" w:space="0" w:color="000000"/>
            </w:tcBorders>
            <w:vAlign w:val="center"/>
          </w:tcPr>
          <w:p w:rsidR="005A7F90">
            <w:pPr>
              <w:jc w:val="right"/>
              <w:rPr>
                <w:rFonts w:eastAsiaTheme="minorEastAsia"/>
                <w:color w:val="000000" w:themeColor="text1"/>
                <w:kern w:val="0"/>
                <w:sz w:val="24"/>
              </w:rPr>
            </w:pPr>
            <w:r>
              <w:rPr>
                <w:rFonts w:eastAsiaTheme="minorEastAsia"/>
                <w:color w:val="000000" w:themeColor="text1"/>
                <w:kern w:val="0"/>
              </w:rPr>
              <w:t>-</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A7F90">
            <w:pPr>
              <w:jc w:val="right"/>
              <w:rPr>
                <w:rFonts w:eastAsiaTheme="minorEastAsia"/>
                <w:color w:val="000000" w:themeColor="text1"/>
                <w:kern w:val="0"/>
                <w:sz w:val="24"/>
              </w:rPr>
            </w:pPr>
            <w:r>
              <w:rPr>
                <w:rFonts w:eastAsiaTheme="minorEastAsia"/>
                <w:color w:val="000000" w:themeColor="text1"/>
                <w:kern w:val="0"/>
              </w:rPr>
              <w:t>-</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A7F90">
            <w:pPr>
              <w:adjustRightInd w:val="0"/>
              <w:snapToGrid w:val="0"/>
              <w:jc w:val="center"/>
              <w:rPr>
                <w:rFonts w:eastAsiaTheme="minorEastAsia"/>
                <w:color w:val="000000" w:themeColor="text1"/>
                <w:kern w:val="0"/>
                <w:sz w:val="24"/>
              </w:rPr>
            </w:pPr>
            <w:r>
              <w:rPr>
                <w:rFonts w:eastAsiaTheme="minorEastAsia"/>
                <w:color w:val="000000" w:themeColor="text1"/>
                <w:kern w:val="0"/>
              </w:rPr>
              <w:t>L</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A7F90">
            <w:pPr>
              <w:adjustRightInd w:val="0"/>
              <w:snapToGrid w:val="0"/>
              <w:rPr>
                <w:rFonts w:eastAsiaTheme="minorEastAsia"/>
                <w:color w:val="000000" w:themeColor="text1"/>
                <w:kern w:val="0"/>
                <w:sz w:val="24"/>
              </w:rPr>
            </w:pPr>
            <w:r>
              <w:rPr>
                <w:rFonts w:eastAsiaTheme="minorEastAsia"/>
                <w:color w:val="000000" w:themeColor="text1"/>
                <w:kern w:val="0"/>
              </w:rPr>
              <w:t>租赁和商务服务业</w:t>
            </w:r>
          </w:p>
        </w:tc>
        <w:tc>
          <w:tcPr>
            <w:tcW w:w="2977" w:type="dxa"/>
            <w:tcBorders>
              <w:top w:val="single" w:sz="0" w:space="0" w:color="000000"/>
              <w:left w:val="single" w:sz="0" w:space="0" w:color="000000"/>
              <w:bottom w:val="single" w:sz="0" w:space="0" w:color="000000"/>
              <w:right w:val="single" w:sz="0" w:space="0" w:color="000000"/>
            </w:tcBorders>
            <w:vAlign w:val="center"/>
          </w:tcPr>
          <w:p w:rsidR="005A7F90">
            <w:pPr>
              <w:jc w:val="right"/>
              <w:rPr>
                <w:rFonts w:eastAsiaTheme="minorEastAsia"/>
                <w:color w:val="000000" w:themeColor="text1"/>
                <w:kern w:val="0"/>
                <w:sz w:val="24"/>
              </w:rPr>
            </w:pPr>
            <w:r>
              <w:rPr>
                <w:rFonts w:eastAsiaTheme="minorEastAsia"/>
                <w:color w:val="000000" w:themeColor="text1"/>
                <w:kern w:val="0"/>
              </w:rPr>
              <w:t>32,038,908.00</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A7F90">
            <w:pPr>
              <w:jc w:val="right"/>
              <w:rPr>
                <w:rFonts w:eastAsiaTheme="minorEastAsia"/>
                <w:color w:val="000000" w:themeColor="text1"/>
                <w:kern w:val="0"/>
                <w:sz w:val="24"/>
              </w:rPr>
            </w:pPr>
            <w:r>
              <w:rPr>
                <w:rFonts w:eastAsiaTheme="minorEastAsia"/>
                <w:color w:val="000000" w:themeColor="text1"/>
                <w:kern w:val="0"/>
              </w:rPr>
              <w:t>1.52</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A7F90">
            <w:pPr>
              <w:adjustRightInd w:val="0"/>
              <w:snapToGrid w:val="0"/>
              <w:jc w:val="center"/>
              <w:rPr>
                <w:rFonts w:eastAsiaTheme="minorEastAsia"/>
                <w:color w:val="000000" w:themeColor="text1"/>
                <w:kern w:val="0"/>
                <w:sz w:val="24"/>
              </w:rPr>
            </w:pPr>
            <w:r>
              <w:rPr>
                <w:rFonts w:eastAsiaTheme="minorEastAsia"/>
                <w:color w:val="000000" w:themeColor="text1"/>
                <w:kern w:val="0"/>
              </w:rPr>
              <w:t>M</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A7F90">
            <w:pPr>
              <w:adjustRightInd w:val="0"/>
              <w:snapToGrid w:val="0"/>
              <w:rPr>
                <w:rFonts w:eastAsiaTheme="minorEastAsia"/>
                <w:color w:val="000000" w:themeColor="text1"/>
                <w:kern w:val="0"/>
                <w:sz w:val="24"/>
              </w:rPr>
            </w:pPr>
            <w:r>
              <w:rPr>
                <w:rFonts w:eastAsiaTheme="minorEastAsia"/>
                <w:color w:val="000000" w:themeColor="text1"/>
                <w:kern w:val="0"/>
              </w:rPr>
              <w:t>科学研究和技术服务业</w:t>
            </w:r>
          </w:p>
        </w:tc>
        <w:tc>
          <w:tcPr>
            <w:tcW w:w="2977" w:type="dxa"/>
            <w:tcBorders>
              <w:top w:val="single" w:sz="0" w:space="0" w:color="000000"/>
              <w:left w:val="single" w:sz="0" w:space="0" w:color="000000"/>
              <w:bottom w:val="single" w:sz="0" w:space="0" w:color="000000"/>
              <w:right w:val="single" w:sz="0" w:space="0" w:color="000000"/>
            </w:tcBorders>
            <w:vAlign w:val="center"/>
          </w:tcPr>
          <w:p w:rsidR="005A7F90">
            <w:pPr>
              <w:jc w:val="right"/>
              <w:rPr>
                <w:rFonts w:eastAsiaTheme="minorEastAsia"/>
                <w:color w:val="000000" w:themeColor="text1"/>
                <w:kern w:val="0"/>
                <w:sz w:val="24"/>
              </w:rPr>
            </w:pPr>
            <w:r>
              <w:rPr>
                <w:rFonts w:eastAsiaTheme="minorEastAsia"/>
                <w:color w:val="000000" w:themeColor="text1"/>
                <w:kern w:val="0"/>
              </w:rPr>
              <w:t>32,194.84</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A7F90">
            <w:pPr>
              <w:jc w:val="right"/>
              <w:rPr>
                <w:rFonts w:eastAsiaTheme="minorEastAsia"/>
                <w:color w:val="000000" w:themeColor="text1"/>
                <w:kern w:val="0"/>
                <w:sz w:val="24"/>
              </w:rPr>
            </w:pPr>
            <w:r>
              <w:rPr>
                <w:rFonts w:eastAsiaTheme="minorEastAsia"/>
                <w:color w:val="000000" w:themeColor="text1"/>
                <w:kern w:val="0"/>
              </w:rPr>
              <w:t>0.00</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A7F90">
            <w:pPr>
              <w:adjustRightInd w:val="0"/>
              <w:snapToGrid w:val="0"/>
              <w:jc w:val="center"/>
              <w:rPr>
                <w:rFonts w:eastAsiaTheme="minorEastAsia"/>
                <w:color w:val="000000" w:themeColor="text1"/>
                <w:kern w:val="0"/>
                <w:sz w:val="24"/>
              </w:rPr>
            </w:pPr>
            <w:r>
              <w:rPr>
                <w:rFonts w:eastAsiaTheme="minorEastAsia"/>
                <w:color w:val="000000" w:themeColor="text1"/>
                <w:kern w:val="0"/>
              </w:rPr>
              <w:t>N</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A7F90">
            <w:pPr>
              <w:adjustRightInd w:val="0"/>
              <w:snapToGrid w:val="0"/>
              <w:rPr>
                <w:rFonts w:eastAsiaTheme="minorEastAsia"/>
                <w:color w:val="000000" w:themeColor="text1"/>
                <w:kern w:val="0"/>
                <w:sz w:val="24"/>
              </w:rPr>
            </w:pPr>
            <w:r>
              <w:rPr>
                <w:rFonts w:eastAsiaTheme="minorEastAsia"/>
                <w:color w:val="000000" w:themeColor="text1"/>
                <w:kern w:val="0"/>
              </w:rPr>
              <w:t>水利、环境和公共设施管理业</w:t>
            </w:r>
          </w:p>
        </w:tc>
        <w:tc>
          <w:tcPr>
            <w:tcW w:w="2977" w:type="dxa"/>
            <w:tcBorders>
              <w:top w:val="single" w:sz="0" w:space="0" w:color="000000"/>
              <w:left w:val="single" w:sz="0" w:space="0" w:color="000000"/>
              <w:bottom w:val="single" w:sz="0" w:space="0" w:color="000000"/>
              <w:right w:val="single" w:sz="0" w:space="0" w:color="000000"/>
            </w:tcBorders>
            <w:vAlign w:val="center"/>
          </w:tcPr>
          <w:p w:rsidR="005A7F90">
            <w:pPr>
              <w:jc w:val="right"/>
              <w:rPr>
                <w:rFonts w:eastAsiaTheme="minorEastAsia"/>
                <w:color w:val="000000" w:themeColor="text1"/>
                <w:kern w:val="0"/>
                <w:sz w:val="24"/>
              </w:rPr>
            </w:pPr>
            <w:r>
              <w:rPr>
                <w:rFonts w:eastAsiaTheme="minorEastAsia"/>
                <w:color w:val="000000" w:themeColor="text1"/>
                <w:kern w:val="0"/>
              </w:rPr>
              <w:t>34,669.49</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A7F90">
            <w:pPr>
              <w:jc w:val="right"/>
              <w:rPr>
                <w:rFonts w:eastAsiaTheme="minorEastAsia"/>
                <w:color w:val="000000" w:themeColor="text1"/>
                <w:kern w:val="0"/>
                <w:sz w:val="24"/>
              </w:rPr>
            </w:pPr>
            <w:r>
              <w:rPr>
                <w:rFonts w:eastAsiaTheme="minorEastAsia"/>
                <w:color w:val="000000" w:themeColor="text1"/>
                <w:kern w:val="0"/>
              </w:rPr>
              <w:t>0.00</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A7F90">
            <w:pPr>
              <w:adjustRightInd w:val="0"/>
              <w:snapToGrid w:val="0"/>
              <w:jc w:val="center"/>
              <w:rPr>
                <w:rFonts w:eastAsiaTheme="minorEastAsia"/>
                <w:color w:val="000000" w:themeColor="text1"/>
                <w:kern w:val="0"/>
                <w:sz w:val="24"/>
              </w:rPr>
            </w:pPr>
            <w:r>
              <w:rPr>
                <w:rFonts w:eastAsiaTheme="minorEastAsia"/>
                <w:color w:val="000000" w:themeColor="text1"/>
                <w:kern w:val="0"/>
              </w:rPr>
              <w:t>O</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A7F90">
            <w:pPr>
              <w:adjustRightInd w:val="0"/>
              <w:snapToGrid w:val="0"/>
              <w:rPr>
                <w:rFonts w:eastAsiaTheme="minorEastAsia"/>
                <w:color w:val="000000" w:themeColor="text1"/>
                <w:kern w:val="0"/>
                <w:sz w:val="24"/>
              </w:rPr>
            </w:pPr>
            <w:r>
              <w:rPr>
                <w:rFonts w:eastAsiaTheme="minorEastAsia"/>
                <w:color w:val="000000" w:themeColor="text1"/>
                <w:kern w:val="0"/>
              </w:rPr>
              <w:t>居民服务、修理和其他服务业</w:t>
            </w:r>
          </w:p>
        </w:tc>
        <w:tc>
          <w:tcPr>
            <w:tcW w:w="2977" w:type="dxa"/>
            <w:tcBorders>
              <w:top w:val="single" w:sz="0" w:space="0" w:color="000000"/>
              <w:left w:val="single" w:sz="0" w:space="0" w:color="000000"/>
              <w:bottom w:val="single" w:sz="0" w:space="0" w:color="000000"/>
              <w:right w:val="single" w:sz="0" w:space="0" w:color="000000"/>
            </w:tcBorders>
            <w:vAlign w:val="center"/>
          </w:tcPr>
          <w:p w:rsidR="005A7F90">
            <w:pPr>
              <w:jc w:val="right"/>
              <w:rPr>
                <w:rFonts w:eastAsiaTheme="minorEastAsia"/>
                <w:color w:val="000000" w:themeColor="text1"/>
                <w:kern w:val="0"/>
                <w:sz w:val="24"/>
              </w:rPr>
            </w:pPr>
            <w:r>
              <w:rPr>
                <w:rFonts w:eastAsiaTheme="minorEastAsia"/>
                <w:color w:val="000000" w:themeColor="text1"/>
                <w:kern w:val="0"/>
              </w:rPr>
              <w:t>-</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A7F90">
            <w:pPr>
              <w:jc w:val="right"/>
              <w:rPr>
                <w:rFonts w:eastAsiaTheme="minorEastAsia"/>
                <w:color w:val="000000" w:themeColor="text1"/>
                <w:kern w:val="0"/>
                <w:sz w:val="24"/>
              </w:rPr>
            </w:pPr>
            <w:r>
              <w:rPr>
                <w:rFonts w:eastAsiaTheme="minorEastAsia"/>
                <w:color w:val="000000" w:themeColor="text1"/>
                <w:kern w:val="0"/>
              </w:rPr>
              <w:t>-</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A7F90">
            <w:pPr>
              <w:adjustRightInd w:val="0"/>
              <w:snapToGrid w:val="0"/>
              <w:jc w:val="center"/>
              <w:rPr>
                <w:rFonts w:eastAsiaTheme="minorEastAsia"/>
                <w:color w:val="000000" w:themeColor="text1"/>
                <w:kern w:val="0"/>
                <w:sz w:val="24"/>
              </w:rPr>
            </w:pPr>
            <w:r>
              <w:rPr>
                <w:rFonts w:eastAsiaTheme="minorEastAsia"/>
                <w:color w:val="000000" w:themeColor="text1"/>
                <w:kern w:val="0"/>
              </w:rPr>
              <w:t>P</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A7F90">
            <w:pPr>
              <w:adjustRightInd w:val="0"/>
              <w:snapToGrid w:val="0"/>
              <w:rPr>
                <w:rFonts w:eastAsiaTheme="minorEastAsia"/>
                <w:color w:val="000000" w:themeColor="text1"/>
                <w:kern w:val="0"/>
                <w:sz w:val="24"/>
              </w:rPr>
            </w:pPr>
            <w:r>
              <w:rPr>
                <w:rFonts w:eastAsiaTheme="minorEastAsia"/>
                <w:color w:val="000000" w:themeColor="text1"/>
                <w:kern w:val="0"/>
              </w:rPr>
              <w:t>教育</w:t>
            </w:r>
          </w:p>
        </w:tc>
        <w:tc>
          <w:tcPr>
            <w:tcW w:w="2977" w:type="dxa"/>
            <w:tcBorders>
              <w:top w:val="single" w:sz="0" w:space="0" w:color="000000"/>
              <w:left w:val="single" w:sz="0" w:space="0" w:color="000000"/>
              <w:bottom w:val="single" w:sz="0" w:space="0" w:color="000000"/>
              <w:right w:val="single" w:sz="0" w:space="0" w:color="000000"/>
            </w:tcBorders>
            <w:vAlign w:val="center"/>
          </w:tcPr>
          <w:p w:rsidR="005A7F90">
            <w:pPr>
              <w:jc w:val="right"/>
              <w:rPr>
                <w:rFonts w:eastAsiaTheme="minorEastAsia"/>
                <w:color w:val="000000" w:themeColor="text1"/>
                <w:kern w:val="0"/>
                <w:sz w:val="24"/>
              </w:rPr>
            </w:pPr>
            <w:r>
              <w:rPr>
                <w:rFonts w:eastAsiaTheme="minorEastAsia"/>
                <w:color w:val="000000" w:themeColor="text1"/>
                <w:kern w:val="0"/>
              </w:rPr>
              <w:t>-</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A7F90">
            <w:pPr>
              <w:jc w:val="right"/>
              <w:rPr>
                <w:rFonts w:eastAsiaTheme="minorEastAsia"/>
                <w:color w:val="000000" w:themeColor="text1"/>
                <w:kern w:val="0"/>
                <w:sz w:val="24"/>
              </w:rPr>
            </w:pPr>
            <w:r>
              <w:rPr>
                <w:rFonts w:eastAsiaTheme="minorEastAsia"/>
                <w:color w:val="000000" w:themeColor="text1"/>
                <w:kern w:val="0"/>
              </w:rPr>
              <w:t>-</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A7F90">
            <w:pPr>
              <w:adjustRightInd w:val="0"/>
              <w:snapToGrid w:val="0"/>
              <w:jc w:val="center"/>
              <w:rPr>
                <w:rFonts w:eastAsiaTheme="minorEastAsia"/>
                <w:color w:val="000000" w:themeColor="text1"/>
                <w:kern w:val="0"/>
                <w:sz w:val="24"/>
              </w:rPr>
            </w:pPr>
            <w:r>
              <w:rPr>
                <w:rFonts w:eastAsiaTheme="minorEastAsia"/>
                <w:color w:val="000000" w:themeColor="text1"/>
                <w:kern w:val="0"/>
              </w:rPr>
              <w:t>Q</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A7F90">
            <w:pPr>
              <w:adjustRightInd w:val="0"/>
              <w:snapToGrid w:val="0"/>
              <w:rPr>
                <w:rFonts w:eastAsiaTheme="minorEastAsia"/>
                <w:color w:val="000000" w:themeColor="text1"/>
                <w:kern w:val="0"/>
                <w:sz w:val="24"/>
              </w:rPr>
            </w:pPr>
            <w:r>
              <w:rPr>
                <w:rFonts w:eastAsiaTheme="minorEastAsia"/>
                <w:color w:val="000000" w:themeColor="text1"/>
                <w:kern w:val="0"/>
              </w:rPr>
              <w:t>卫生和社会工作</w:t>
            </w:r>
          </w:p>
        </w:tc>
        <w:tc>
          <w:tcPr>
            <w:tcW w:w="2977" w:type="dxa"/>
            <w:tcBorders>
              <w:top w:val="single" w:sz="0" w:space="0" w:color="000000"/>
              <w:left w:val="single" w:sz="0" w:space="0" w:color="000000"/>
              <w:bottom w:val="single" w:sz="0" w:space="0" w:color="000000"/>
              <w:right w:val="single" w:sz="0" w:space="0" w:color="000000"/>
            </w:tcBorders>
            <w:vAlign w:val="center"/>
          </w:tcPr>
          <w:p w:rsidR="005A7F90">
            <w:pPr>
              <w:jc w:val="right"/>
              <w:rPr>
                <w:rFonts w:eastAsiaTheme="minorEastAsia"/>
                <w:color w:val="000000" w:themeColor="text1"/>
                <w:kern w:val="0"/>
                <w:sz w:val="24"/>
              </w:rPr>
            </w:pPr>
            <w:r>
              <w:rPr>
                <w:rFonts w:eastAsiaTheme="minorEastAsia"/>
                <w:color w:val="000000" w:themeColor="text1"/>
                <w:kern w:val="0"/>
              </w:rPr>
              <w:t>-</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A7F90">
            <w:pPr>
              <w:jc w:val="right"/>
              <w:rPr>
                <w:rFonts w:eastAsiaTheme="minorEastAsia"/>
                <w:color w:val="000000" w:themeColor="text1"/>
                <w:kern w:val="0"/>
                <w:sz w:val="24"/>
              </w:rPr>
            </w:pPr>
            <w:r>
              <w:rPr>
                <w:rFonts w:eastAsiaTheme="minorEastAsia"/>
                <w:color w:val="000000" w:themeColor="text1"/>
                <w:kern w:val="0"/>
              </w:rPr>
              <w:t>-</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A7F90">
            <w:pPr>
              <w:adjustRightInd w:val="0"/>
              <w:snapToGrid w:val="0"/>
              <w:jc w:val="center"/>
              <w:rPr>
                <w:rFonts w:eastAsiaTheme="minorEastAsia"/>
                <w:color w:val="000000" w:themeColor="text1"/>
                <w:kern w:val="0"/>
                <w:sz w:val="24"/>
              </w:rPr>
            </w:pPr>
            <w:r>
              <w:rPr>
                <w:rFonts w:eastAsiaTheme="minorEastAsia"/>
                <w:color w:val="000000" w:themeColor="text1"/>
                <w:kern w:val="0"/>
              </w:rPr>
              <w:t>R</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A7F90">
            <w:pPr>
              <w:adjustRightInd w:val="0"/>
              <w:snapToGrid w:val="0"/>
              <w:rPr>
                <w:rFonts w:eastAsiaTheme="minorEastAsia"/>
                <w:color w:val="000000" w:themeColor="text1"/>
                <w:kern w:val="0"/>
                <w:sz w:val="24"/>
              </w:rPr>
            </w:pPr>
            <w:r>
              <w:rPr>
                <w:rFonts w:eastAsiaTheme="minorEastAsia"/>
                <w:color w:val="000000" w:themeColor="text1"/>
                <w:kern w:val="0"/>
              </w:rPr>
              <w:t>文化、体育和娱乐业</w:t>
            </w:r>
          </w:p>
        </w:tc>
        <w:tc>
          <w:tcPr>
            <w:tcW w:w="2977" w:type="dxa"/>
            <w:tcBorders>
              <w:top w:val="single" w:sz="0" w:space="0" w:color="000000"/>
              <w:left w:val="single" w:sz="0" w:space="0" w:color="000000"/>
              <w:bottom w:val="single" w:sz="0" w:space="0" w:color="000000"/>
              <w:right w:val="single" w:sz="0" w:space="0" w:color="000000"/>
            </w:tcBorders>
            <w:vAlign w:val="center"/>
          </w:tcPr>
          <w:p w:rsidR="005A7F90">
            <w:pPr>
              <w:jc w:val="right"/>
              <w:rPr>
                <w:rFonts w:eastAsiaTheme="minorEastAsia"/>
                <w:color w:val="000000" w:themeColor="text1"/>
                <w:kern w:val="0"/>
                <w:sz w:val="24"/>
              </w:rPr>
            </w:pPr>
            <w:r>
              <w:rPr>
                <w:rFonts w:eastAsiaTheme="minorEastAsia"/>
                <w:color w:val="000000" w:themeColor="text1"/>
                <w:kern w:val="0"/>
              </w:rPr>
              <w:t>3,925.22</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A7F90">
            <w:pPr>
              <w:jc w:val="right"/>
              <w:rPr>
                <w:rFonts w:eastAsiaTheme="minorEastAsia"/>
                <w:color w:val="000000" w:themeColor="text1"/>
                <w:kern w:val="0"/>
                <w:sz w:val="24"/>
              </w:rPr>
            </w:pPr>
            <w:r>
              <w:rPr>
                <w:rFonts w:eastAsiaTheme="minorEastAsia"/>
                <w:color w:val="000000" w:themeColor="text1"/>
                <w:kern w:val="0"/>
              </w:rPr>
              <w:t>0.00</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A7F90">
            <w:pPr>
              <w:adjustRightInd w:val="0"/>
              <w:snapToGrid w:val="0"/>
              <w:jc w:val="center"/>
              <w:rPr>
                <w:rFonts w:eastAsiaTheme="minorEastAsia"/>
                <w:color w:val="000000" w:themeColor="text1"/>
                <w:kern w:val="0"/>
                <w:sz w:val="24"/>
              </w:rPr>
            </w:pPr>
            <w:r>
              <w:rPr>
                <w:rFonts w:eastAsiaTheme="minorEastAsia"/>
                <w:color w:val="000000" w:themeColor="text1"/>
                <w:kern w:val="0"/>
              </w:rPr>
              <w:t>S</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A7F90">
            <w:pPr>
              <w:adjustRightInd w:val="0"/>
              <w:snapToGrid w:val="0"/>
              <w:rPr>
                <w:rFonts w:eastAsiaTheme="minorEastAsia"/>
                <w:color w:val="000000" w:themeColor="text1"/>
                <w:kern w:val="0"/>
                <w:sz w:val="24"/>
              </w:rPr>
            </w:pPr>
            <w:r>
              <w:rPr>
                <w:rFonts w:eastAsiaTheme="minorEastAsia"/>
                <w:color w:val="000000" w:themeColor="text1"/>
                <w:kern w:val="0"/>
              </w:rPr>
              <w:t>综合</w:t>
            </w:r>
          </w:p>
        </w:tc>
        <w:tc>
          <w:tcPr>
            <w:tcW w:w="2977" w:type="dxa"/>
            <w:tcBorders>
              <w:top w:val="single" w:sz="0" w:space="0" w:color="000000"/>
              <w:left w:val="single" w:sz="0" w:space="0" w:color="000000"/>
              <w:bottom w:val="single" w:sz="0" w:space="0" w:color="000000"/>
              <w:right w:val="single" w:sz="0" w:space="0" w:color="000000"/>
            </w:tcBorders>
            <w:vAlign w:val="center"/>
          </w:tcPr>
          <w:p w:rsidR="005A7F90">
            <w:pPr>
              <w:jc w:val="right"/>
              <w:rPr>
                <w:rFonts w:eastAsiaTheme="minorEastAsia"/>
                <w:color w:val="000000" w:themeColor="text1"/>
                <w:kern w:val="0"/>
                <w:sz w:val="24"/>
              </w:rPr>
            </w:pPr>
            <w:r>
              <w:rPr>
                <w:rFonts w:eastAsiaTheme="minorEastAsia"/>
                <w:color w:val="000000" w:themeColor="text1"/>
                <w:kern w:val="0"/>
              </w:rPr>
              <w:t>-</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A7F90">
            <w:pPr>
              <w:jc w:val="right"/>
              <w:rPr>
                <w:rFonts w:eastAsiaTheme="minorEastAsia"/>
                <w:color w:val="000000" w:themeColor="text1"/>
                <w:kern w:val="0"/>
                <w:sz w:val="24"/>
              </w:rPr>
            </w:pPr>
            <w:r>
              <w:rPr>
                <w:rFonts w:eastAsiaTheme="minorEastAsia"/>
                <w:color w:val="000000" w:themeColor="text1"/>
                <w:kern w:val="0"/>
              </w:rPr>
              <w:t>-</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A7F90">
            <w:pPr>
              <w:adjustRightInd w:val="0"/>
              <w:snapToGrid w:val="0"/>
              <w:jc w:val="center"/>
              <w:rPr>
                <w:rFonts w:eastAsiaTheme="minorEastAsia"/>
                <w:color w:val="000000" w:themeColor="text1"/>
                <w:kern w:val="0"/>
                <w:sz w:val="24"/>
              </w:rPr>
            </w:pP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A7F90">
            <w:pPr>
              <w:adjustRightInd w:val="0"/>
              <w:snapToGrid w:val="0"/>
              <w:rPr>
                <w:rFonts w:eastAsiaTheme="minorEastAsia"/>
                <w:color w:val="000000" w:themeColor="text1"/>
                <w:kern w:val="0"/>
                <w:sz w:val="24"/>
              </w:rPr>
            </w:pPr>
            <w:r>
              <w:rPr>
                <w:rFonts w:eastAsiaTheme="minorEastAsia"/>
                <w:color w:val="000000" w:themeColor="text1"/>
                <w:kern w:val="0"/>
              </w:rPr>
              <w:t>合计</w:t>
            </w:r>
          </w:p>
        </w:tc>
        <w:tc>
          <w:tcPr>
            <w:tcW w:w="2977" w:type="dxa"/>
            <w:tcBorders>
              <w:top w:val="single" w:sz="0" w:space="0" w:color="000000"/>
              <w:left w:val="single" w:sz="0" w:space="0" w:color="000000"/>
              <w:bottom w:val="single" w:sz="0" w:space="0" w:color="000000"/>
              <w:right w:val="single" w:sz="0" w:space="0" w:color="000000"/>
            </w:tcBorders>
            <w:vAlign w:val="center"/>
          </w:tcPr>
          <w:p w:rsidR="005A7F90">
            <w:pPr>
              <w:jc w:val="right"/>
              <w:rPr>
                <w:rFonts w:eastAsiaTheme="minorEastAsia"/>
                <w:color w:val="000000" w:themeColor="text1"/>
                <w:kern w:val="0"/>
                <w:sz w:val="24"/>
              </w:rPr>
            </w:pPr>
            <w:r>
              <w:rPr>
                <w:rFonts w:eastAsiaTheme="minorEastAsia"/>
                <w:color w:val="000000" w:themeColor="text1"/>
                <w:kern w:val="0"/>
              </w:rPr>
              <w:t>1,801,946,687.63</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A7F90">
            <w:pPr>
              <w:jc w:val="right"/>
              <w:rPr>
                <w:rFonts w:eastAsiaTheme="minorEastAsia"/>
                <w:color w:val="000000" w:themeColor="text1"/>
                <w:kern w:val="0"/>
                <w:sz w:val="24"/>
              </w:rPr>
            </w:pPr>
            <w:r>
              <w:rPr>
                <w:rFonts w:eastAsiaTheme="minorEastAsia"/>
                <w:color w:val="000000" w:themeColor="text1"/>
                <w:kern w:val="0"/>
              </w:rPr>
              <w:t>85.48</w:t>
            </w:r>
          </w:p>
        </w:tc>
      </w:tr>
    </w:tbl>
    <w:p w:rsidR="005A7F90">
      <w:pPr>
        <w:spacing w:line="360" w:lineRule="auto"/>
        <w:jc w:val="left"/>
      </w:pPr>
      <w:r>
        <w:t>3</w:t>
      </w:r>
      <w:r>
        <w:t>、</w:t>
      </w:r>
      <w:r>
        <w:t xml:space="preserve"> </w:t>
      </w:r>
      <w:r>
        <w:t>期末按公允价值占基金资产净值比例大小排序的股票投资明细</w:t>
      </w:r>
    </w:p>
    <w:p w:rsidR="005A7F90">
      <w:pPr>
        <w:spacing w:line="360" w:lineRule="auto"/>
        <w:jc w:val="left"/>
      </w:pPr>
      <w:r>
        <w:t>（</w:t>
      </w:r>
      <w:r>
        <w:t>1</w:t>
      </w:r>
      <w:r>
        <w:t>）</w:t>
      </w:r>
      <w:r>
        <w:t xml:space="preserve"> </w:t>
      </w:r>
      <w:r>
        <w:t>报告期末按公允价值占基金资产净值比例大小排序的前十名股票投资明细</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276"/>
        <w:gridCol w:w="1418"/>
        <w:gridCol w:w="1701"/>
        <w:gridCol w:w="1984"/>
        <w:gridCol w:w="1559"/>
      </w:tblGrid>
      <w:tr>
        <w:tblPrEx>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5A7F90">
            <w:pPr>
              <w:ind w:left="17"/>
              <w:jc w:val="center"/>
              <w:rPr>
                <w:color w:val="000000"/>
                <w:kern w:val="0"/>
                <w:sz w:val="24"/>
              </w:rPr>
            </w:pPr>
            <w:r>
              <w:rPr>
                <w:color w:val="000000"/>
                <w:kern w:val="0"/>
              </w:rPr>
              <w:t>序号</w:t>
            </w:r>
          </w:p>
        </w:tc>
        <w:tc>
          <w:tcPr>
            <w:tcW w:w="1276" w:type="dxa"/>
            <w:tcBorders>
              <w:top w:val="single" w:sz="0" w:space="0" w:color="000000"/>
              <w:left w:val="single" w:sz="0" w:space="0" w:color="000000"/>
              <w:bottom w:val="single" w:sz="0" w:space="0" w:color="000000"/>
              <w:right w:val="single" w:sz="0" w:space="0" w:color="000000"/>
            </w:tcBorders>
            <w:vAlign w:val="center"/>
          </w:tcPr>
          <w:p w:rsidR="005A7F90">
            <w:pPr>
              <w:ind w:left="17"/>
              <w:jc w:val="center"/>
              <w:rPr>
                <w:color w:val="000000"/>
                <w:kern w:val="0"/>
                <w:sz w:val="24"/>
              </w:rPr>
            </w:pPr>
            <w:r>
              <w:rPr>
                <w:color w:val="000000"/>
                <w:kern w:val="0"/>
              </w:rPr>
              <w:t>股票代码</w:t>
            </w:r>
          </w:p>
        </w:tc>
        <w:tc>
          <w:tcPr>
            <w:tcW w:w="1418" w:type="dxa"/>
            <w:tcBorders>
              <w:top w:val="single" w:sz="0" w:space="0" w:color="000000"/>
              <w:left w:val="single" w:sz="0" w:space="0" w:color="000000"/>
              <w:bottom w:val="single" w:sz="0" w:space="0" w:color="000000"/>
              <w:right w:val="single" w:sz="0" w:space="0" w:color="000000"/>
            </w:tcBorders>
            <w:vAlign w:val="center"/>
          </w:tcPr>
          <w:p w:rsidR="005A7F90">
            <w:pPr>
              <w:ind w:left="17"/>
              <w:jc w:val="center"/>
              <w:rPr>
                <w:color w:val="000000"/>
                <w:kern w:val="0"/>
                <w:sz w:val="24"/>
              </w:rPr>
            </w:pPr>
            <w:r>
              <w:rPr>
                <w:color w:val="000000"/>
                <w:kern w:val="0"/>
              </w:rPr>
              <w:t>股票名称</w:t>
            </w:r>
          </w:p>
        </w:tc>
        <w:tc>
          <w:tcPr>
            <w:tcW w:w="1701" w:type="dxa"/>
            <w:tcBorders>
              <w:top w:val="single" w:sz="0" w:space="0" w:color="000000"/>
              <w:left w:val="single" w:sz="0" w:space="0" w:color="000000"/>
              <w:bottom w:val="single" w:sz="0" w:space="0" w:color="000000"/>
              <w:right w:val="single" w:sz="0" w:space="0" w:color="000000"/>
            </w:tcBorders>
            <w:vAlign w:val="center"/>
          </w:tcPr>
          <w:p w:rsidR="005A7F90">
            <w:pPr>
              <w:ind w:left="17"/>
              <w:jc w:val="center"/>
              <w:rPr>
                <w:color w:val="000000"/>
                <w:kern w:val="0"/>
                <w:sz w:val="24"/>
              </w:rPr>
            </w:pPr>
            <w:r>
              <w:rPr>
                <w:color w:val="000000"/>
                <w:kern w:val="0"/>
              </w:rPr>
              <w:t>数量（股）</w:t>
            </w:r>
          </w:p>
        </w:tc>
        <w:tc>
          <w:tcPr>
            <w:tcW w:w="1984" w:type="dxa"/>
            <w:tcBorders>
              <w:top w:val="single" w:sz="0" w:space="0" w:color="000000"/>
              <w:left w:val="single" w:sz="0" w:space="0" w:color="000000"/>
              <w:bottom w:val="single" w:sz="0" w:space="0" w:color="000000"/>
              <w:right w:val="single" w:sz="0" w:space="0" w:color="000000"/>
            </w:tcBorders>
            <w:vAlign w:val="center"/>
          </w:tcPr>
          <w:p w:rsidR="005A7F90">
            <w:pPr>
              <w:autoSpaceDE w:val="0"/>
              <w:autoSpaceDN w:val="0"/>
              <w:adjustRightInd w:val="0"/>
              <w:ind w:left="17"/>
              <w:jc w:val="center"/>
              <w:rPr>
                <w:color w:val="000000"/>
                <w:kern w:val="0"/>
                <w:sz w:val="24"/>
              </w:rPr>
            </w:pPr>
            <w:r>
              <w:rPr>
                <w:color w:val="000000"/>
                <w:kern w:val="0"/>
              </w:rPr>
              <w:t>公允价值（元）</w:t>
            </w:r>
          </w:p>
        </w:tc>
        <w:tc>
          <w:tcPr>
            <w:tcW w:w="1559" w:type="dxa"/>
            <w:tcBorders>
              <w:top w:val="single" w:sz="0" w:space="0" w:color="000000"/>
              <w:left w:val="single" w:sz="0" w:space="0" w:color="000000"/>
              <w:bottom w:val="single" w:sz="0" w:space="0" w:color="000000"/>
              <w:right w:val="single" w:sz="0" w:space="0" w:color="000000"/>
            </w:tcBorders>
            <w:vAlign w:val="center"/>
          </w:tcPr>
          <w:p w:rsidR="005A7F90">
            <w:pPr>
              <w:ind w:left="17"/>
              <w:jc w:val="center"/>
              <w:rPr>
                <w:color w:val="000000"/>
                <w:kern w:val="0"/>
                <w:sz w:val="24"/>
              </w:rPr>
            </w:pPr>
            <w:r>
              <w:rPr>
                <w:color w:val="000000"/>
                <w:kern w:val="0"/>
              </w:rPr>
              <w:t>占基金资产净值比例（％）</w:t>
            </w:r>
          </w:p>
        </w:tc>
      </w:tr>
      <w:tr>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5A7F90">
            <w:pPr>
              <w:jc w:val="center"/>
            </w:pPr>
            <w:r>
              <w:rPr>
                <w:color w:val="000000"/>
                <w:kern w:val="0"/>
              </w:rPr>
              <w:t>1</w:t>
            </w:r>
          </w:p>
        </w:tc>
        <w:tc>
          <w:tcPr>
            <w:tcW w:w="1276" w:type="dxa"/>
            <w:tcBorders>
              <w:top w:val="single" w:sz="0" w:space="0" w:color="000000"/>
              <w:left w:val="single" w:sz="0" w:space="0" w:color="000000"/>
              <w:bottom w:val="single" w:sz="0" w:space="0" w:color="000000"/>
              <w:right w:val="single" w:sz="0" w:space="0" w:color="000000"/>
            </w:tcBorders>
            <w:vAlign w:val="center"/>
          </w:tcPr>
          <w:p w:rsidR="005A7F90">
            <w:pPr>
              <w:jc w:val="center"/>
            </w:pPr>
            <w:r>
              <w:rPr>
                <w:color w:val="000000"/>
                <w:kern w:val="0"/>
              </w:rPr>
              <w:t>601012</w:t>
            </w:r>
          </w:p>
        </w:tc>
        <w:tc>
          <w:tcPr>
            <w:tcW w:w="1418" w:type="dxa"/>
            <w:tcBorders>
              <w:top w:val="single" w:sz="0" w:space="0" w:color="000000"/>
              <w:left w:val="single" w:sz="0" w:space="0" w:color="000000"/>
              <w:bottom w:val="single" w:sz="0" w:space="0" w:color="000000"/>
              <w:right w:val="single" w:sz="0" w:space="0" w:color="000000"/>
            </w:tcBorders>
            <w:vAlign w:val="center"/>
          </w:tcPr>
          <w:p w:rsidR="005A7F90">
            <w:pPr>
              <w:jc w:val="center"/>
            </w:pPr>
            <w:r>
              <w:rPr>
                <w:color w:val="000000"/>
                <w:kern w:val="0"/>
              </w:rPr>
              <w:t>隆基股份</w:t>
            </w:r>
          </w:p>
        </w:tc>
        <w:tc>
          <w:tcPr>
            <w:tcW w:w="1701" w:type="dxa"/>
            <w:tcBorders>
              <w:top w:val="single" w:sz="0" w:space="0" w:color="000000"/>
              <w:left w:val="single" w:sz="0" w:space="0" w:color="000000"/>
              <w:bottom w:val="single" w:sz="0" w:space="0" w:color="000000"/>
              <w:right w:val="single" w:sz="0" w:space="0" w:color="000000"/>
            </w:tcBorders>
            <w:vAlign w:val="center"/>
          </w:tcPr>
          <w:p w:rsidR="005A7F90">
            <w:pPr>
              <w:jc w:val="right"/>
            </w:pPr>
            <w:r>
              <w:rPr>
                <w:color w:val="000000"/>
                <w:kern w:val="0"/>
              </w:rPr>
              <w:t>2,364,144</w:t>
            </w:r>
          </w:p>
        </w:tc>
        <w:tc>
          <w:tcPr>
            <w:tcW w:w="1984" w:type="dxa"/>
            <w:tcBorders>
              <w:top w:val="single" w:sz="0" w:space="0" w:color="000000"/>
              <w:left w:val="single" w:sz="0" w:space="0" w:color="000000"/>
              <w:bottom w:val="single" w:sz="0" w:space="0" w:color="000000"/>
              <w:right w:val="single" w:sz="0" w:space="0" w:color="000000"/>
            </w:tcBorders>
            <w:vAlign w:val="center"/>
          </w:tcPr>
          <w:p w:rsidR="005A7F90">
            <w:pPr>
              <w:jc w:val="right"/>
            </w:pPr>
            <w:r>
              <w:rPr>
                <w:color w:val="000000"/>
                <w:kern w:val="0"/>
              </w:rPr>
              <w:t>194,994,597.12</w:t>
            </w:r>
          </w:p>
        </w:tc>
        <w:tc>
          <w:tcPr>
            <w:tcW w:w="1559" w:type="dxa"/>
            <w:tcBorders>
              <w:top w:val="single" w:sz="0" w:space="0" w:color="000000"/>
              <w:left w:val="single" w:sz="0" w:space="0" w:color="000000"/>
              <w:bottom w:val="single" w:sz="0" w:space="0" w:color="000000"/>
              <w:right w:val="single" w:sz="0" w:space="0" w:color="000000"/>
            </w:tcBorders>
            <w:vAlign w:val="center"/>
          </w:tcPr>
          <w:p w:rsidR="005A7F90">
            <w:pPr>
              <w:jc w:val="right"/>
            </w:pPr>
            <w:r>
              <w:rPr>
                <w:color w:val="000000"/>
                <w:kern w:val="0"/>
              </w:rPr>
              <w:t>9.25</w:t>
            </w:r>
          </w:p>
        </w:tc>
      </w:tr>
      <w:tr>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5A7F90">
            <w:pPr>
              <w:jc w:val="center"/>
            </w:pPr>
            <w:r>
              <w:rPr>
                <w:color w:val="000000"/>
                <w:kern w:val="0"/>
              </w:rPr>
              <w:t>2</w:t>
            </w:r>
          </w:p>
        </w:tc>
        <w:tc>
          <w:tcPr>
            <w:tcW w:w="1276" w:type="dxa"/>
            <w:tcBorders>
              <w:top w:val="single" w:sz="0" w:space="0" w:color="000000"/>
              <w:left w:val="single" w:sz="0" w:space="0" w:color="000000"/>
              <w:bottom w:val="single" w:sz="0" w:space="0" w:color="000000"/>
              <w:right w:val="single" w:sz="0" w:space="0" w:color="000000"/>
            </w:tcBorders>
            <w:vAlign w:val="center"/>
          </w:tcPr>
          <w:p w:rsidR="005A7F90">
            <w:pPr>
              <w:jc w:val="center"/>
            </w:pPr>
            <w:r>
              <w:rPr>
                <w:color w:val="000000"/>
                <w:kern w:val="0"/>
              </w:rPr>
              <w:t>600519</w:t>
            </w:r>
          </w:p>
        </w:tc>
        <w:tc>
          <w:tcPr>
            <w:tcW w:w="1418" w:type="dxa"/>
            <w:tcBorders>
              <w:top w:val="single" w:sz="0" w:space="0" w:color="000000"/>
              <w:left w:val="single" w:sz="0" w:space="0" w:color="000000"/>
              <w:bottom w:val="single" w:sz="0" w:space="0" w:color="000000"/>
              <w:right w:val="single" w:sz="0" w:space="0" w:color="000000"/>
            </w:tcBorders>
            <w:vAlign w:val="center"/>
          </w:tcPr>
          <w:p w:rsidR="005A7F90">
            <w:pPr>
              <w:jc w:val="center"/>
            </w:pPr>
            <w:r>
              <w:rPr>
                <w:color w:val="000000"/>
                <w:kern w:val="0"/>
              </w:rPr>
              <w:t>贵州茅台</w:t>
            </w:r>
          </w:p>
        </w:tc>
        <w:tc>
          <w:tcPr>
            <w:tcW w:w="1701" w:type="dxa"/>
            <w:tcBorders>
              <w:top w:val="single" w:sz="0" w:space="0" w:color="000000"/>
              <w:left w:val="single" w:sz="0" w:space="0" w:color="000000"/>
              <w:bottom w:val="single" w:sz="0" w:space="0" w:color="000000"/>
              <w:right w:val="single" w:sz="0" w:space="0" w:color="000000"/>
            </w:tcBorders>
            <w:vAlign w:val="center"/>
          </w:tcPr>
          <w:p w:rsidR="005A7F90">
            <w:pPr>
              <w:jc w:val="right"/>
            </w:pPr>
            <w:r>
              <w:rPr>
                <w:color w:val="000000"/>
                <w:kern w:val="0"/>
              </w:rPr>
              <w:t>90,193</w:t>
            </w:r>
          </w:p>
        </w:tc>
        <w:tc>
          <w:tcPr>
            <w:tcW w:w="1984" w:type="dxa"/>
            <w:tcBorders>
              <w:top w:val="single" w:sz="0" w:space="0" w:color="000000"/>
              <w:left w:val="single" w:sz="0" w:space="0" w:color="000000"/>
              <w:bottom w:val="single" w:sz="0" w:space="0" w:color="000000"/>
              <w:right w:val="single" w:sz="0" w:space="0" w:color="000000"/>
            </w:tcBorders>
            <w:vAlign w:val="center"/>
          </w:tcPr>
          <w:p w:rsidR="005A7F90">
            <w:pPr>
              <w:jc w:val="right"/>
            </w:pPr>
            <w:r>
              <w:rPr>
                <w:color w:val="000000"/>
                <w:kern w:val="0"/>
              </w:rPr>
              <w:t>165,053,190.00</w:t>
            </w:r>
          </w:p>
        </w:tc>
        <w:tc>
          <w:tcPr>
            <w:tcW w:w="1559" w:type="dxa"/>
            <w:tcBorders>
              <w:top w:val="single" w:sz="0" w:space="0" w:color="000000"/>
              <w:left w:val="single" w:sz="0" w:space="0" w:color="000000"/>
              <w:bottom w:val="single" w:sz="0" w:space="0" w:color="000000"/>
              <w:right w:val="single" w:sz="0" w:space="0" w:color="000000"/>
            </w:tcBorders>
            <w:vAlign w:val="center"/>
          </w:tcPr>
          <w:p w:rsidR="005A7F90">
            <w:pPr>
              <w:jc w:val="right"/>
            </w:pPr>
            <w:r>
              <w:rPr>
                <w:color w:val="000000"/>
                <w:kern w:val="0"/>
              </w:rPr>
              <w:t>7.83</w:t>
            </w:r>
          </w:p>
        </w:tc>
      </w:tr>
      <w:tr>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5A7F90">
            <w:pPr>
              <w:jc w:val="center"/>
            </w:pPr>
            <w:r>
              <w:rPr>
                <w:color w:val="000000"/>
                <w:kern w:val="0"/>
              </w:rPr>
              <w:t>3</w:t>
            </w:r>
          </w:p>
        </w:tc>
        <w:tc>
          <w:tcPr>
            <w:tcW w:w="1276" w:type="dxa"/>
            <w:tcBorders>
              <w:top w:val="single" w:sz="0" w:space="0" w:color="000000"/>
              <w:left w:val="single" w:sz="0" w:space="0" w:color="000000"/>
              <w:bottom w:val="single" w:sz="0" w:space="0" w:color="000000"/>
              <w:right w:val="single" w:sz="0" w:space="0" w:color="000000"/>
            </w:tcBorders>
            <w:vAlign w:val="center"/>
          </w:tcPr>
          <w:p w:rsidR="005A7F90">
            <w:pPr>
              <w:jc w:val="center"/>
            </w:pPr>
            <w:r>
              <w:rPr>
                <w:color w:val="000000"/>
                <w:kern w:val="0"/>
              </w:rPr>
              <w:t>000858</w:t>
            </w:r>
          </w:p>
        </w:tc>
        <w:tc>
          <w:tcPr>
            <w:tcW w:w="1418" w:type="dxa"/>
            <w:tcBorders>
              <w:top w:val="single" w:sz="0" w:space="0" w:color="000000"/>
              <w:left w:val="single" w:sz="0" w:space="0" w:color="000000"/>
              <w:bottom w:val="single" w:sz="0" w:space="0" w:color="000000"/>
              <w:right w:val="single" w:sz="0" w:space="0" w:color="000000"/>
            </w:tcBorders>
            <w:vAlign w:val="center"/>
          </w:tcPr>
          <w:p w:rsidR="005A7F90">
            <w:pPr>
              <w:jc w:val="center"/>
            </w:pPr>
            <w:r>
              <w:rPr>
                <w:color w:val="000000"/>
                <w:kern w:val="0"/>
              </w:rPr>
              <w:t>五粮液</w:t>
            </w:r>
          </w:p>
        </w:tc>
        <w:tc>
          <w:tcPr>
            <w:tcW w:w="1701" w:type="dxa"/>
            <w:tcBorders>
              <w:top w:val="single" w:sz="0" w:space="0" w:color="000000"/>
              <w:left w:val="single" w:sz="0" w:space="0" w:color="000000"/>
              <w:bottom w:val="single" w:sz="0" w:space="0" w:color="000000"/>
              <w:right w:val="single" w:sz="0" w:space="0" w:color="000000"/>
            </w:tcBorders>
            <w:vAlign w:val="center"/>
          </w:tcPr>
          <w:p w:rsidR="005A7F90">
            <w:pPr>
              <w:jc w:val="right"/>
            </w:pPr>
            <w:r>
              <w:rPr>
                <w:color w:val="000000"/>
                <w:kern w:val="0"/>
              </w:rPr>
              <w:t>746,843</w:t>
            </w:r>
          </w:p>
        </w:tc>
        <w:tc>
          <w:tcPr>
            <w:tcW w:w="1984" w:type="dxa"/>
            <w:tcBorders>
              <w:top w:val="single" w:sz="0" w:space="0" w:color="000000"/>
              <w:left w:val="single" w:sz="0" w:space="0" w:color="000000"/>
              <w:bottom w:val="single" w:sz="0" w:space="0" w:color="000000"/>
              <w:right w:val="single" w:sz="0" w:space="0" w:color="000000"/>
            </w:tcBorders>
            <w:vAlign w:val="center"/>
          </w:tcPr>
          <w:p w:rsidR="005A7F90">
            <w:pPr>
              <w:jc w:val="right"/>
            </w:pPr>
            <w:r>
              <w:rPr>
                <w:color w:val="000000"/>
                <w:kern w:val="0"/>
              </w:rPr>
              <w:t>163,849,885.77</w:t>
            </w:r>
          </w:p>
        </w:tc>
        <w:tc>
          <w:tcPr>
            <w:tcW w:w="1559" w:type="dxa"/>
            <w:tcBorders>
              <w:top w:val="single" w:sz="0" w:space="0" w:color="000000"/>
              <w:left w:val="single" w:sz="0" w:space="0" w:color="000000"/>
              <w:bottom w:val="single" w:sz="0" w:space="0" w:color="000000"/>
              <w:right w:val="single" w:sz="0" w:space="0" w:color="000000"/>
            </w:tcBorders>
            <w:vAlign w:val="center"/>
          </w:tcPr>
          <w:p w:rsidR="005A7F90">
            <w:pPr>
              <w:jc w:val="right"/>
            </w:pPr>
            <w:r>
              <w:rPr>
                <w:color w:val="000000"/>
                <w:kern w:val="0"/>
              </w:rPr>
              <w:t>7.77</w:t>
            </w:r>
          </w:p>
        </w:tc>
      </w:tr>
      <w:tr>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5A7F90">
            <w:pPr>
              <w:jc w:val="center"/>
            </w:pPr>
            <w:r>
              <w:rPr>
                <w:color w:val="000000"/>
                <w:kern w:val="0"/>
              </w:rPr>
              <w:t>4</w:t>
            </w:r>
          </w:p>
        </w:tc>
        <w:tc>
          <w:tcPr>
            <w:tcW w:w="1276" w:type="dxa"/>
            <w:tcBorders>
              <w:top w:val="single" w:sz="0" w:space="0" w:color="000000"/>
              <w:left w:val="single" w:sz="0" w:space="0" w:color="000000"/>
              <w:bottom w:val="single" w:sz="0" w:space="0" w:color="000000"/>
              <w:right w:val="single" w:sz="0" w:space="0" w:color="000000"/>
            </w:tcBorders>
            <w:vAlign w:val="center"/>
          </w:tcPr>
          <w:p w:rsidR="005A7F90">
            <w:pPr>
              <w:jc w:val="center"/>
            </w:pPr>
            <w:r>
              <w:rPr>
                <w:color w:val="000000"/>
                <w:kern w:val="0"/>
              </w:rPr>
              <w:t>000333</w:t>
            </w:r>
          </w:p>
        </w:tc>
        <w:tc>
          <w:tcPr>
            <w:tcW w:w="1418" w:type="dxa"/>
            <w:tcBorders>
              <w:top w:val="single" w:sz="0" w:space="0" w:color="000000"/>
              <w:left w:val="single" w:sz="0" w:space="0" w:color="000000"/>
              <w:bottom w:val="single" w:sz="0" w:space="0" w:color="000000"/>
              <w:right w:val="single" w:sz="0" w:space="0" w:color="000000"/>
            </w:tcBorders>
            <w:vAlign w:val="center"/>
          </w:tcPr>
          <w:p w:rsidR="005A7F90">
            <w:pPr>
              <w:jc w:val="center"/>
            </w:pPr>
            <w:r>
              <w:rPr>
                <w:color w:val="000000"/>
                <w:kern w:val="0"/>
              </w:rPr>
              <w:t>美的集团</w:t>
            </w:r>
          </w:p>
        </w:tc>
        <w:tc>
          <w:tcPr>
            <w:tcW w:w="1701" w:type="dxa"/>
            <w:tcBorders>
              <w:top w:val="single" w:sz="0" w:space="0" w:color="000000"/>
              <w:left w:val="single" w:sz="0" w:space="0" w:color="000000"/>
              <w:bottom w:val="single" w:sz="0" w:space="0" w:color="000000"/>
              <w:right w:val="single" w:sz="0" w:space="0" w:color="000000"/>
            </w:tcBorders>
            <w:vAlign w:val="center"/>
          </w:tcPr>
          <w:p w:rsidR="005A7F90">
            <w:pPr>
              <w:jc w:val="right"/>
            </w:pPr>
            <w:r>
              <w:rPr>
                <w:color w:val="000000"/>
                <w:kern w:val="0"/>
              </w:rPr>
              <w:t>2,202,675</w:t>
            </w:r>
          </w:p>
        </w:tc>
        <w:tc>
          <w:tcPr>
            <w:tcW w:w="1984" w:type="dxa"/>
            <w:tcBorders>
              <w:top w:val="single" w:sz="0" w:space="0" w:color="000000"/>
              <w:left w:val="single" w:sz="0" w:space="0" w:color="000000"/>
              <w:bottom w:val="single" w:sz="0" w:space="0" w:color="000000"/>
              <w:right w:val="single" w:sz="0" w:space="0" w:color="000000"/>
            </w:tcBorders>
            <w:vAlign w:val="center"/>
          </w:tcPr>
          <w:p w:rsidR="005A7F90">
            <w:pPr>
              <w:jc w:val="right"/>
            </w:pPr>
            <w:r>
              <w:rPr>
                <w:color w:val="000000"/>
                <w:kern w:val="0"/>
              </w:rPr>
              <w:t>153,306,180.00</w:t>
            </w:r>
          </w:p>
        </w:tc>
        <w:tc>
          <w:tcPr>
            <w:tcW w:w="1559" w:type="dxa"/>
            <w:tcBorders>
              <w:top w:val="single" w:sz="0" w:space="0" w:color="000000"/>
              <w:left w:val="single" w:sz="0" w:space="0" w:color="000000"/>
              <w:bottom w:val="single" w:sz="0" w:space="0" w:color="000000"/>
              <w:right w:val="single" w:sz="0" w:space="0" w:color="000000"/>
            </w:tcBorders>
            <w:vAlign w:val="center"/>
          </w:tcPr>
          <w:p w:rsidR="005A7F90">
            <w:pPr>
              <w:jc w:val="right"/>
            </w:pPr>
            <w:r>
              <w:rPr>
                <w:color w:val="000000"/>
                <w:kern w:val="0"/>
              </w:rPr>
              <w:t>7.27</w:t>
            </w:r>
          </w:p>
        </w:tc>
      </w:tr>
      <w:tr>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5A7F90">
            <w:pPr>
              <w:jc w:val="center"/>
            </w:pPr>
            <w:r>
              <w:rPr>
                <w:color w:val="000000"/>
                <w:kern w:val="0"/>
              </w:rPr>
              <w:t>5</w:t>
            </w:r>
          </w:p>
        </w:tc>
        <w:tc>
          <w:tcPr>
            <w:tcW w:w="1276" w:type="dxa"/>
            <w:tcBorders>
              <w:top w:val="single" w:sz="0" w:space="0" w:color="000000"/>
              <w:left w:val="single" w:sz="0" w:space="0" w:color="000000"/>
              <w:bottom w:val="single" w:sz="0" w:space="0" w:color="000000"/>
              <w:right w:val="single" w:sz="0" w:space="0" w:color="000000"/>
            </w:tcBorders>
            <w:vAlign w:val="center"/>
          </w:tcPr>
          <w:p w:rsidR="005A7F90">
            <w:pPr>
              <w:jc w:val="center"/>
            </w:pPr>
            <w:r>
              <w:rPr>
                <w:color w:val="000000"/>
                <w:kern w:val="0"/>
              </w:rPr>
              <w:t>600036</w:t>
            </w:r>
          </w:p>
        </w:tc>
        <w:tc>
          <w:tcPr>
            <w:tcW w:w="1418" w:type="dxa"/>
            <w:tcBorders>
              <w:top w:val="single" w:sz="0" w:space="0" w:color="000000"/>
              <w:left w:val="single" w:sz="0" w:space="0" w:color="000000"/>
              <w:bottom w:val="single" w:sz="0" w:space="0" w:color="000000"/>
              <w:right w:val="single" w:sz="0" w:space="0" w:color="000000"/>
            </w:tcBorders>
            <w:vAlign w:val="center"/>
          </w:tcPr>
          <w:p w:rsidR="005A7F90">
            <w:pPr>
              <w:jc w:val="center"/>
            </w:pPr>
            <w:r>
              <w:rPr>
                <w:color w:val="000000"/>
                <w:kern w:val="0"/>
              </w:rPr>
              <w:t>招商银行</w:t>
            </w:r>
          </w:p>
        </w:tc>
        <w:tc>
          <w:tcPr>
            <w:tcW w:w="1701" w:type="dxa"/>
            <w:tcBorders>
              <w:top w:val="single" w:sz="0" w:space="0" w:color="000000"/>
              <w:left w:val="single" w:sz="0" w:space="0" w:color="000000"/>
              <w:bottom w:val="single" w:sz="0" w:space="0" w:color="000000"/>
              <w:right w:val="single" w:sz="0" w:space="0" w:color="000000"/>
            </w:tcBorders>
            <w:vAlign w:val="center"/>
          </w:tcPr>
          <w:p w:rsidR="005A7F90">
            <w:pPr>
              <w:jc w:val="right"/>
            </w:pPr>
            <w:r>
              <w:rPr>
                <w:color w:val="000000"/>
                <w:kern w:val="0"/>
              </w:rPr>
              <w:t>2,827,876</w:t>
            </w:r>
          </w:p>
        </w:tc>
        <w:tc>
          <w:tcPr>
            <w:tcW w:w="1984" w:type="dxa"/>
            <w:tcBorders>
              <w:top w:val="single" w:sz="0" w:space="0" w:color="000000"/>
              <w:left w:val="single" w:sz="0" w:space="0" w:color="000000"/>
              <w:bottom w:val="single" w:sz="0" w:space="0" w:color="000000"/>
              <w:right w:val="single" w:sz="0" w:space="0" w:color="000000"/>
            </w:tcBorders>
            <w:vAlign w:val="center"/>
          </w:tcPr>
          <w:p w:rsidR="005A7F90">
            <w:pPr>
              <w:jc w:val="right"/>
            </w:pPr>
            <w:r>
              <w:rPr>
                <w:color w:val="000000"/>
                <w:kern w:val="0"/>
              </w:rPr>
              <w:t>142,666,344.20</w:t>
            </w:r>
          </w:p>
        </w:tc>
        <w:tc>
          <w:tcPr>
            <w:tcW w:w="1559" w:type="dxa"/>
            <w:tcBorders>
              <w:top w:val="single" w:sz="0" w:space="0" w:color="000000"/>
              <w:left w:val="single" w:sz="0" w:space="0" w:color="000000"/>
              <w:bottom w:val="single" w:sz="0" w:space="0" w:color="000000"/>
              <w:right w:val="single" w:sz="0" w:space="0" w:color="000000"/>
            </w:tcBorders>
            <w:vAlign w:val="center"/>
          </w:tcPr>
          <w:p w:rsidR="005A7F90">
            <w:pPr>
              <w:jc w:val="right"/>
            </w:pPr>
            <w:r>
              <w:rPr>
                <w:color w:val="000000"/>
                <w:kern w:val="0"/>
              </w:rPr>
              <w:t>6.77</w:t>
            </w:r>
          </w:p>
        </w:tc>
      </w:tr>
      <w:tr>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5A7F90">
            <w:pPr>
              <w:jc w:val="center"/>
            </w:pPr>
            <w:r>
              <w:rPr>
                <w:color w:val="000000"/>
                <w:kern w:val="0"/>
              </w:rPr>
              <w:t>6</w:t>
            </w:r>
          </w:p>
        </w:tc>
        <w:tc>
          <w:tcPr>
            <w:tcW w:w="1276" w:type="dxa"/>
            <w:tcBorders>
              <w:top w:val="single" w:sz="0" w:space="0" w:color="000000"/>
              <w:left w:val="single" w:sz="0" w:space="0" w:color="000000"/>
              <w:bottom w:val="single" w:sz="0" w:space="0" w:color="000000"/>
              <w:right w:val="single" w:sz="0" w:space="0" w:color="000000"/>
            </w:tcBorders>
            <w:vAlign w:val="center"/>
          </w:tcPr>
          <w:p w:rsidR="005A7F90">
            <w:pPr>
              <w:jc w:val="center"/>
            </w:pPr>
            <w:r>
              <w:rPr>
                <w:color w:val="000000"/>
                <w:kern w:val="0"/>
              </w:rPr>
              <w:t>002241</w:t>
            </w:r>
          </w:p>
        </w:tc>
        <w:tc>
          <w:tcPr>
            <w:tcW w:w="1418" w:type="dxa"/>
            <w:tcBorders>
              <w:top w:val="single" w:sz="0" w:space="0" w:color="000000"/>
              <w:left w:val="single" w:sz="0" w:space="0" w:color="000000"/>
              <w:bottom w:val="single" w:sz="0" w:space="0" w:color="000000"/>
              <w:right w:val="single" w:sz="0" w:space="0" w:color="000000"/>
            </w:tcBorders>
            <w:vAlign w:val="center"/>
          </w:tcPr>
          <w:p w:rsidR="005A7F90">
            <w:pPr>
              <w:jc w:val="center"/>
            </w:pPr>
            <w:r>
              <w:rPr>
                <w:color w:val="000000"/>
                <w:kern w:val="0"/>
              </w:rPr>
              <w:t>歌尔股份</w:t>
            </w:r>
          </w:p>
        </w:tc>
        <w:tc>
          <w:tcPr>
            <w:tcW w:w="1701" w:type="dxa"/>
            <w:tcBorders>
              <w:top w:val="single" w:sz="0" w:space="0" w:color="000000"/>
              <w:left w:val="single" w:sz="0" w:space="0" w:color="000000"/>
              <w:bottom w:val="single" w:sz="0" w:space="0" w:color="000000"/>
              <w:right w:val="single" w:sz="0" w:space="0" w:color="000000"/>
            </w:tcBorders>
            <w:vAlign w:val="center"/>
          </w:tcPr>
          <w:p w:rsidR="005A7F90">
            <w:pPr>
              <w:jc w:val="right"/>
            </w:pPr>
            <w:r>
              <w:rPr>
                <w:color w:val="000000"/>
                <w:kern w:val="0"/>
              </w:rPr>
              <w:t>3,290,876</w:t>
            </w:r>
          </w:p>
        </w:tc>
        <w:tc>
          <w:tcPr>
            <w:tcW w:w="1984" w:type="dxa"/>
            <w:tcBorders>
              <w:top w:val="single" w:sz="0" w:space="0" w:color="000000"/>
              <w:left w:val="single" w:sz="0" w:space="0" w:color="000000"/>
              <w:bottom w:val="single" w:sz="0" w:space="0" w:color="000000"/>
              <w:right w:val="single" w:sz="0" w:space="0" w:color="000000"/>
            </w:tcBorders>
            <w:vAlign w:val="center"/>
          </w:tcPr>
          <w:p w:rsidR="005A7F90">
            <w:pPr>
              <w:jc w:val="right"/>
            </w:pPr>
            <w:r>
              <w:rPr>
                <w:color w:val="000000"/>
                <w:kern w:val="0"/>
              </w:rPr>
              <w:t>141,836,755.60</w:t>
            </w:r>
          </w:p>
        </w:tc>
        <w:tc>
          <w:tcPr>
            <w:tcW w:w="1559" w:type="dxa"/>
            <w:tcBorders>
              <w:top w:val="single" w:sz="0" w:space="0" w:color="000000"/>
              <w:left w:val="single" w:sz="0" w:space="0" w:color="000000"/>
              <w:bottom w:val="single" w:sz="0" w:space="0" w:color="000000"/>
              <w:right w:val="single" w:sz="0" w:space="0" w:color="000000"/>
            </w:tcBorders>
            <w:vAlign w:val="center"/>
          </w:tcPr>
          <w:p w:rsidR="005A7F90">
            <w:pPr>
              <w:jc w:val="right"/>
            </w:pPr>
            <w:r>
              <w:rPr>
                <w:color w:val="000000"/>
                <w:kern w:val="0"/>
              </w:rPr>
              <w:t>6.73</w:t>
            </w:r>
          </w:p>
        </w:tc>
      </w:tr>
      <w:tr>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5A7F90">
            <w:pPr>
              <w:jc w:val="center"/>
            </w:pPr>
            <w:r>
              <w:rPr>
                <w:color w:val="000000"/>
                <w:kern w:val="0"/>
              </w:rPr>
              <w:t>7</w:t>
            </w:r>
          </w:p>
        </w:tc>
        <w:tc>
          <w:tcPr>
            <w:tcW w:w="1276" w:type="dxa"/>
            <w:tcBorders>
              <w:top w:val="single" w:sz="0" w:space="0" w:color="000000"/>
              <w:left w:val="single" w:sz="0" w:space="0" w:color="000000"/>
              <w:bottom w:val="single" w:sz="0" w:space="0" w:color="000000"/>
              <w:right w:val="single" w:sz="0" w:space="0" w:color="000000"/>
            </w:tcBorders>
            <w:vAlign w:val="center"/>
          </w:tcPr>
          <w:p w:rsidR="005A7F90">
            <w:pPr>
              <w:jc w:val="center"/>
            </w:pPr>
            <w:r>
              <w:rPr>
                <w:color w:val="000000"/>
                <w:kern w:val="0"/>
              </w:rPr>
              <w:t>600809</w:t>
            </w:r>
          </w:p>
        </w:tc>
        <w:tc>
          <w:tcPr>
            <w:tcW w:w="1418" w:type="dxa"/>
            <w:tcBorders>
              <w:top w:val="single" w:sz="0" w:space="0" w:color="000000"/>
              <w:left w:val="single" w:sz="0" w:space="0" w:color="000000"/>
              <w:bottom w:val="single" w:sz="0" w:space="0" w:color="000000"/>
              <w:right w:val="single" w:sz="0" w:space="0" w:color="000000"/>
            </w:tcBorders>
            <w:vAlign w:val="center"/>
          </w:tcPr>
          <w:p w:rsidR="005A7F90">
            <w:pPr>
              <w:jc w:val="center"/>
            </w:pPr>
            <w:r>
              <w:rPr>
                <w:color w:val="000000"/>
                <w:kern w:val="0"/>
              </w:rPr>
              <w:t>山西汾酒</w:t>
            </w:r>
          </w:p>
        </w:tc>
        <w:tc>
          <w:tcPr>
            <w:tcW w:w="1701" w:type="dxa"/>
            <w:tcBorders>
              <w:top w:val="single" w:sz="0" w:space="0" w:color="000000"/>
              <w:left w:val="single" w:sz="0" w:space="0" w:color="000000"/>
              <w:bottom w:val="single" w:sz="0" w:space="0" w:color="000000"/>
              <w:right w:val="single" w:sz="0" w:space="0" w:color="000000"/>
            </w:tcBorders>
            <w:vAlign w:val="center"/>
          </w:tcPr>
          <w:p w:rsidR="005A7F90">
            <w:pPr>
              <w:jc w:val="right"/>
            </w:pPr>
            <w:r>
              <w:rPr>
                <w:color w:val="000000"/>
                <w:kern w:val="0"/>
              </w:rPr>
              <w:t>422,894</w:t>
            </w:r>
          </w:p>
        </w:tc>
        <w:tc>
          <w:tcPr>
            <w:tcW w:w="1984" w:type="dxa"/>
            <w:tcBorders>
              <w:top w:val="single" w:sz="0" w:space="0" w:color="000000"/>
              <w:left w:val="single" w:sz="0" w:space="0" w:color="000000"/>
              <w:bottom w:val="single" w:sz="0" w:space="0" w:color="000000"/>
              <w:right w:val="single" w:sz="0" w:space="0" w:color="000000"/>
            </w:tcBorders>
            <w:vAlign w:val="center"/>
          </w:tcPr>
          <w:p w:rsidR="005A7F90">
            <w:pPr>
              <w:jc w:val="right"/>
            </w:pPr>
            <w:r>
              <w:rPr>
                <w:color w:val="000000"/>
                <w:kern w:val="0"/>
              </w:rPr>
              <w:t>133,423,057.00</w:t>
            </w:r>
          </w:p>
        </w:tc>
        <w:tc>
          <w:tcPr>
            <w:tcW w:w="1559" w:type="dxa"/>
            <w:tcBorders>
              <w:top w:val="single" w:sz="0" w:space="0" w:color="000000"/>
              <w:left w:val="single" w:sz="0" w:space="0" w:color="000000"/>
              <w:bottom w:val="single" w:sz="0" w:space="0" w:color="000000"/>
              <w:right w:val="single" w:sz="0" w:space="0" w:color="000000"/>
            </w:tcBorders>
            <w:vAlign w:val="center"/>
          </w:tcPr>
          <w:p w:rsidR="005A7F90">
            <w:pPr>
              <w:jc w:val="right"/>
            </w:pPr>
            <w:r>
              <w:rPr>
                <w:color w:val="000000"/>
                <w:kern w:val="0"/>
              </w:rPr>
              <w:t>6.33</w:t>
            </w:r>
          </w:p>
        </w:tc>
      </w:tr>
      <w:tr>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5A7F90">
            <w:pPr>
              <w:jc w:val="center"/>
            </w:pPr>
            <w:r>
              <w:rPr>
                <w:color w:val="000000"/>
                <w:kern w:val="0"/>
              </w:rPr>
              <w:t>8</w:t>
            </w:r>
          </w:p>
        </w:tc>
        <w:tc>
          <w:tcPr>
            <w:tcW w:w="1276" w:type="dxa"/>
            <w:tcBorders>
              <w:top w:val="single" w:sz="0" w:space="0" w:color="000000"/>
              <w:left w:val="single" w:sz="0" w:space="0" w:color="000000"/>
              <w:bottom w:val="single" w:sz="0" w:space="0" w:color="000000"/>
              <w:right w:val="single" w:sz="0" w:space="0" w:color="000000"/>
            </w:tcBorders>
            <w:vAlign w:val="center"/>
          </w:tcPr>
          <w:p w:rsidR="005A7F90">
            <w:pPr>
              <w:jc w:val="center"/>
            </w:pPr>
            <w:r>
              <w:rPr>
                <w:color w:val="000000"/>
                <w:kern w:val="0"/>
              </w:rPr>
              <w:t>000568</w:t>
            </w:r>
          </w:p>
        </w:tc>
        <w:tc>
          <w:tcPr>
            <w:tcW w:w="1418" w:type="dxa"/>
            <w:tcBorders>
              <w:top w:val="single" w:sz="0" w:space="0" w:color="000000"/>
              <w:left w:val="single" w:sz="0" w:space="0" w:color="000000"/>
              <w:bottom w:val="single" w:sz="0" w:space="0" w:color="000000"/>
              <w:right w:val="single" w:sz="0" w:space="0" w:color="000000"/>
            </w:tcBorders>
            <w:vAlign w:val="center"/>
          </w:tcPr>
          <w:p w:rsidR="005A7F90">
            <w:pPr>
              <w:jc w:val="center"/>
            </w:pPr>
            <w:r>
              <w:rPr>
                <w:color w:val="000000"/>
                <w:kern w:val="0"/>
              </w:rPr>
              <w:t>泸州老窖</w:t>
            </w:r>
          </w:p>
        </w:tc>
        <w:tc>
          <w:tcPr>
            <w:tcW w:w="1701" w:type="dxa"/>
            <w:tcBorders>
              <w:top w:val="single" w:sz="0" w:space="0" w:color="000000"/>
              <w:left w:val="single" w:sz="0" w:space="0" w:color="000000"/>
              <w:bottom w:val="single" w:sz="0" w:space="0" w:color="000000"/>
              <w:right w:val="single" w:sz="0" w:space="0" w:color="000000"/>
            </w:tcBorders>
            <w:vAlign w:val="center"/>
          </w:tcPr>
          <w:p w:rsidR="005A7F90">
            <w:pPr>
              <w:jc w:val="right"/>
            </w:pPr>
            <w:r>
              <w:rPr>
                <w:color w:val="000000"/>
                <w:kern w:val="0"/>
              </w:rPr>
              <w:t>494,288</w:t>
            </w:r>
          </w:p>
        </w:tc>
        <w:tc>
          <w:tcPr>
            <w:tcW w:w="1984" w:type="dxa"/>
            <w:tcBorders>
              <w:top w:val="single" w:sz="0" w:space="0" w:color="000000"/>
              <w:left w:val="single" w:sz="0" w:space="0" w:color="000000"/>
              <w:bottom w:val="single" w:sz="0" w:space="0" w:color="000000"/>
              <w:right w:val="single" w:sz="0" w:space="0" w:color="000000"/>
            </w:tcBorders>
            <w:vAlign w:val="center"/>
          </w:tcPr>
          <w:p w:rsidR="005A7F90">
            <w:pPr>
              <w:jc w:val="right"/>
            </w:pPr>
            <w:r>
              <w:rPr>
                <w:color w:val="000000"/>
                <w:kern w:val="0"/>
              </w:rPr>
              <w:t>109,524,335.04</w:t>
            </w:r>
          </w:p>
        </w:tc>
        <w:tc>
          <w:tcPr>
            <w:tcW w:w="1559" w:type="dxa"/>
            <w:tcBorders>
              <w:top w:val="single" w:sz="0" w:space="0" w:color="000000"/>
              <w:left w:val="single" w:sz="0" w:space="0" w:color="000000"/>
              <w:bottom w:val="single" w:sz="0" w:space="0" w:color="000000"/>
              <w:right w:val="single" w:sz="0" w:space="0" w:color="000000"/>
            </w:tcBorders>
            <w:vAlign w:val="center"/>
          </w:tcPr>
          <w:p w:rsidR="005A7F90">
            <w:pPr>
              <w:jc w:val="right"/>
            </w:pPr>
            <w:r>
              <w:rPr>
                <w:color w:val="000000"/>
                <w:kern w:val="0"/>
              </w:rPr>
              <w:t>5.20</w:t>
            </w:r>
          </w:p>
        </w:tc>
      </w:tr>
      <w:tr>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5A7F90">
            <w:pPr>
              <w:jc w:val="center"/>
            </w:pPr>
            <w:r>
              <w:rPr>
                <w:color w:val="000000"/>
                <w:kern w:val="0"/>
              </w:rPr>
              <w:t>9</w:t>
            </w:r>
          </w:p>
        </w:tc>
        <w:tc>
          <w:tcPr>
            <w:tcW w:w="1276" w:type="dxa"/>
            <w:tcBorders>
              <w:top w:val="single" w:sz="0" w:space="0" w:color="000000"/>
              <w:left w:val="single" w:sz="0" w:space="0" w:color="000000"/>
              <w:bottom w:val="single" w:sz="0" w:space="0" w:color="000000"/>
              <w:right w:val="single" w:sz="0" w:space="0" w:color="000000"/>
            </w:tcBorders>
            <w:vAlign w:val="center"/>
          </w:tcPr>
          <w:p w:rsidR="005A7F90">
            <w:pPr>
              <w:jc w:val="center"/>
            </w:pPr>
            <w:r>
              <w:rPr>
                <w:color w:val="000000"/>
                <w:kern w:val="0"/>
              </w:rPr>
              <w:t>000661</w:t>
            </w:r>
          </w:p>
        </w:tc>
        <w:tc>
          <w:tcPr>
            <w:tcW w:w="1418" w:type="dxa"/>
            <w:tcBorders>
              <w:top w:val="single" w:sz="0" w:space="0" w:color="000000"/>
              <w:left w:val="single" w:sz="0" w:space="0" w:color="000000"/>
              <w:bottom w:val="single" w:sz="0" w:space="0" w:color="000000"/>
              <w:right w:val="single" w:sz="0" w:space="0" w:color="000000"/>
            </w:tcBorders>
            <w:vAlign w:val="center"/>
          </w:tcPr>
          <w:p w:rsidR="005A7F90">
            <w:pPr>
              <w:jc w:val="center"/>
            </w:pPr>
            <w:r>
              <w:rPr>
                <w:color w:val="000000"/>
                <w:kern w:val="0"/>
              </w:rPr>
              <w:t>长春高新</w:t>
            </w:r>
          </w:p>
        </w:tc>
        <w:tc>
          <w:tcPr>
            <w:tcW w:w="1701" w:type="dxa"/>
            <w:tcBorders>
              <w:top w:val="single" w:sz="0" w:space="0" w:color="000000"/>
              <w:left w:val="single" w:sz="0" w:space="0" w:color="000000"/>
              <w:bottom w:val="single" w:sz="0" w:space="0" w:color="000000"/>
              <w:right w:val="single" w:sz="0" w:space="0" w:color="000000"/>
            </w:tcBorders>
            <w:vAlign w:val="center"/>
          </w:tcPr>
          <w:p w:rsidR="005A7F90">
            <w:pPr>
              <w:jc w:val="right"/>
            </w:pPr>
            <w:r>
              <w:rPr>
                <w:color w:val="000000"/>
                <w:kern w:val="0"/>
              </w:rPr>
              <w:t>355,595</w:t>
            </w:r>
          </w:p>
        </w:tc>
        <w:tc>
          <w:tcPr>
            <w:tcW w:w="1984" w:type="dxa"/>
            <w:tcBorders>
              <w:top w:val="single" w:sz="0" w:space="0" w:color="000000"/>
              <w:left w:val="single" w:sz="0" w:space="0" w:color="000000"/>
              <w:bottom w:val="single" w:sz="0" w:space="0" w:color="000000"/>
              <w:right w:val="single" w:sz="0" w:space="0" w:color="000000"/>
            </w:tcBorders>
            <w:vAlign w:val="center"/>
          </w:tcPr>
          <w:p w:rsidR="005A7F90">
            <w:pPr>
              <w:jc w:val="right"/>
            </w:pPr>
            <w:r>
              <w:rPr>
                <w:color w:val="000000"/>
                <w:kern w:val="0"/>
              </w:rPr>
              <w:t>97,667,722.70</w:t>
            </w:r>
          </w:p>
        </w:tc>
        <w:tc>
          <w:tcPr>
            <w:tcW w:w="1559" w:type="dxa"/>
            <w:tcBorders>
              <w:top w:val="single" w:sz="0" w:space="0" w:color="000000"/>
              <w:left w:val="single" w:sz="0" w:space="0" w:color="000000"/>
              <w:bottom w:val="single" w:sz="0" w:space="0" w:color="000000"/>
              <w:right w:val="single" w:sz="0" w:space="0" w:color="000000"/>
            </w:tcBorders>
            <w:vAlign w:val="center"/>
          </w:tcPr>
          <w:p w:rsidR="005A7F90">
            <w:pPr>
              <w:jc w:val="right"/>
            </w:pPr>
            <w:r>
              <w:rPr>
                <w:color w:val="000000"/>
                <w:kern w:val="0"/>
              </w:rPr>
              <w:t>4.63</w:t>
            </w:r>
          </w:p>
        </w:tc>
      </w:tr>
      <w:tr>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5A7F90">
            <w:pPr>
              <w:jc w:val="center"/>
            </w:pPr>
            <w:r>
              <w:rPr>
                <w:color w:val="000000"/>
                <w:kern w:val="0"/>
              </w:rPr>
              <w:t>10</w:t>
            </w:r>
          </w:p>
        </w:tc>
        <w:tc>
          <w:tcPr>
            <w:tcW w:w="1276" w:type="dxa"/>
            <w:tcBorders>
              <w:top w:val="single" w:sz="0" w:space="0" w:color="000000"/>
              <w:left w:val="single" w:sz="0" w:space="0" w:color="000000"/>
              <w:bottom w:val="single" w:sz="0" w:space="0" w:color="000000"/>
              <w:right w:val="single" w:sz="0" w:space="0" w:color="000000"/>
            </w:tcBorders>
            <w:vAlign w:val="center"/>
          </w:tcPr>
          <w:p w:rsidR="005A7F90">
            <w:pPr>
              <w:jc w:val="center"/>
            </w:pPr>
            <w:r>
              <w:rPr>
                <w:color w:val="000000"/>
                <w:kern w:val="0"/>
              </w:rPr>
              <w:t>300850</w:t>
            </w:r>
          </w:p>
        </w:tc>
        <w:tc>
          <w:tcPr>
            <w:tcW w:w="1418" w:type="dxa"/>
            <w:tcBorders>
              <w:top w:val="single" w:sz="0" w:space="0" w:color="000000"/>
              <w:left w:val="single" w:sz="0" w:space="0" w:color="000000"/>
              <w:bottom w:val="single" w:sz="0" w:space="0" w:color="000000"/>
              <w:right w:val="single" w:sz="0" w:space="0" w:color="000000"/>
            </w:tcBorders>
            <w:vAlign w:val="center"/>
          </w:tcPr>
          <w:p w:rsidR="005A7F90">
            <w:pPr>
              <w:jc w:val="center"/>
            </w:pPr>
            <w:r>
              <w:rPr>
                <w:color w:val="000000"/>
                <w:kern w:val="0"/>
              </w:rPr>
              <w:t>新强联</w:t>
            </w:r>
          </w:p>
        </w:tc>
        <w:tc>
          <w:tcPr>
            <w:tcW w:w="1701" w:type="dxa"/>
            <w:tcBorders>
              <w:top w:val="single" w:sz="0" w:space="0" w:color="000000"/>
              <w:left w:val="single" w:sz="0" w:space="0" w:color="000000"/>
              <w:bottom w:val="single" w:sz="0" w:space="0" w:color="000000"/>
              <w:right w:val="single" w:sz="0" w:space="0" w:color="000000"/>
            </w:tcBorders>
            <w:vAlign w:val="center"/>
          </w:tcPr>
          <w:p w:rsidR="005A7F90">
            <w:pPr>
              <w:jc w:val="right"/>
            </w:pPr>
            <w:r>
              <w:rPr>
                <w:color w:val="000000"/>
                <w:kern w:val="0"/>
              </w:rPr>
              <w:t>516,695</w:t>
            </w:r>
          </w:p>
        </w:tc>
        <w:tc>
          <w:tcPr>
            <w:tcW w:w="1984" w:type="dxa"/>
            <w:tcBorders>
              <w:top w:val="single" w:sz="0" w:space="0" w:color="000000"/>
              <w:left w:val="single" w:sz="0" w:space="0" w:color="000000"/>
              <w:bottom w:val="single" w:sz="0" w:space="0" w:color="000000"/>
              <w:right w:val="single" w:sz="0" w:space="0" w:color="000000"/>
            </w:tcBorders>
            <w:vAlign w:val="center"/>
          </w:tcPr>
          <w:p w:rsidR="005A7F90">
            <w:pPr>
              <w:jc w:val="right"/>
            </w:pPr>
            <w:r>
              <w:rPr>
                <w:color w:val="000000"/>
                <w:kern w:val="0"/>
              </w:rPr>
              <w:t>92,611,323.95</w:t>
            </w:r>
          </w:p>
        </w:tc>
        <w:tc>
          <w:tcPr>
            <w:tcW w:w="1559" w:type="dxa"/>
            <w:tcBorders>
              <w:top w:val="single" w:sz="0" w:space="0" w:color="000000"/>
              <w:left w:val="single" w:sz="0" w:space="0" w:color="000000"/>
              <w:bottom w:val="single" w:sz="0" w:space="0" w:color="000000"/>
              <w:right w:val="single" w:sz="0" w:space="0" w:color="000000"/>
            </w:tcBorders>
            <w:vAlign w:val="center"/>
          </w:tcPr>
          <w:p w:rsidR="005A7F90">
            <w:pPr>
              <w:jc w:val="right"/>
            </w:pPr>
            <w:r>
              <w:rPr>
                <w:color w:val="000000"/>
                <w:kern w:val="0"/>
              </w:rPr>
              <w:t>4.39</w:t>
            </w:r>
          </w:p>
        </w:tc>
      </w:tr>
    </w:tbl>
    <w:p w:rsidR="005A7F90">
      <w:pPr>
        <w:spacing w:line="360" w:lineRule="auto"/>
        <w:jc w:val="left"/>
      </w:pPr>
      <w:r>
        <w:t>4</w:t>
      </w:r>
      <w:r>
        <w:t>、</w:t>
      </w:r>
      <w:r>
        <w:t xml:space="preserve"> </w:t>
      </w:r>
      <w:r>
        <w:t>报告期末按债券品种分类的债券投资组合</w:t>
      </w:r>
    </w:p>
    <w:p w:rsidR="005A7F90">
      <w:pPr>
        <w:spacing w:line="360" w:lineRule="auto"/>
        <w:ind w:firstLine="420"/>
        <w:jc w:val="left"/>
      </w:pPr>
      <w:r>
        <w:t>本基金本报告期末未持有债券。</w:t>
      </w:r>
    </w:p>
    <w:p w:rsidR="005A7F90">
      <w:pPr>
        <w:spacing w:line="360" w:lineRule="auto"/>
        <w:jc w:val="left"/>
      </w:pPr>
      <w:r>
        <w:t>5</w:t>
      </w:r>
      <w:r>
        <w:t>、</w:t>
      </w:r>
      <w:r>
        <w:t xml:space="preserve"> </w:t>
      </w:r>
      <w:r>
        <w:t>报告期末按公允价值占基金资产净值比例大小排序的前五名债券投资明细</w:t>
      </w:r>
    </w:p>
    <w:p w:rsidR="005A7F90">
      <w:pPr>
        <w:spacing w:line="360" w:lineRule="auto"/>
        <w:ind w:firstLine="420"/>
        <w:jc w:val="left"/>
      </w:pPr>
      <w:r>
        <w:t>本基金本报告期末未持有债券。</w:t>
      </w:r>
    </w:p>
    <w:p w:rsidR="005A7F90">
      <w:pPr>
        <w:spacing w:line="360" w:lineRule="auto"/>
        <w:jc w:val="left"/>
      </w:pPr>
      <w:r>
        <w:t>6</w:t>
      </w:r>
      <w:r>
        <w:t>、</w:t>
      </w:r>
      <w:r>
        <w:t xml:space="preserve"> </w:t>
      </w:r>
      <w:r>
        <w:t>报告期末按公允价值占基金资产净值比例大小排序的前十名资产支持证券投资明细</w:t>
      </w:r>
    </w:p>
    <w:p w:rsidR="005A7F90">
      <w:pPr>
        <w:spacing w:line="360" w:lineRule="auto"/>
        <w:ind w:firstLine="420"/>
        <w:jc w:val="left"/>
      </w:pPr>
      <w:r>
        <w:t>本基金本报告期末未持有资产支持证券。</w:t>
      </w:r>
    </w:p>
    <w:p w:rsidR="005A7F90">
      <w:pPr>
        <w:spacing w:line="360" w:lineRule="auto"/>
        <w:jc w:val="left"/>
      </w:pPr>
      <w:r>
        <w:t>7</w:t>
      </w:r>
      <w:r>
        <w:t>、</w:t>
      </w:r>
      <w:r>
        <w:t xml:space="preserve"> </w:t>
      </w:r>
      <w:r>
        <w:t>报告期末按公允价值占基金资产净值比例大小排序的前五名贵金属投资明细</w:t>
      </w:r>
    </w:p>
    <w:p w:rsidR="005A7F90">
      <w:pPr>
        <w:spacing w:line="360" w:lineRule="auto"/>
        <w:ind w:firstLine="420"/>
        <w:jc w:val="left"/>
      </w:pPr>
      <w:r>
        <w:t>本基金本报告期末未持有贵金属。</w:t>
      </w:r>
    </w:p>
    <w:p w:rsidR="005A7F90">
      <w:pPr>
        <w:spacing w:line="360" w:lineRule="auto"/>
        <w:jc w:val="left"/>
      </w:pPr>
      <w:r>
        <w:t>8</w:t>
      </w:r>
      <w:r>
        <w:t>、</w:t>
      </w:r>
      <w:r>
        <w:t xml:space="preserve"> </w:t>
      </w:r>
      <w:r>
        <w:t>报告期末按公允价值占基金资产净值比例大小排序的前五名权证投资明细</w:t>
      </w:r>
    </w:p>
    <w:p w:rsidR="005A7F90">
      <w:pPr>
        <w:spacing w:line="360" w:lineRule="auto"/>
        <w:ind w:firstLine="420"/>
        <w:jc w:val="left"/>
      </w:pPr>
      <w:r>
        <w:t>本基金本报告期末未持有权证。</w:t>
      </w:r>
    </w:p>
    <w:p w:rsidR="005A7F90">
      <w:pPr>
        <w:spacing w:line="360" w:lineRule="auto"/>
        <w:jc w:val="left"/>
      </w:pPr>
      <w:r>
        <w:t>9</w:t>
      </w:r>
      <w:r>
        <w:t>、</w:t>
      </w:r>
      <w:r>
        <w:t xml:space="preserve"> </w:t>
      </w:r>
      <w:r>
        <w:t>报告期末本基金投资的股指期货交易情况说明</w:t>
      </w:r>
    </w:p>
    <w:p w:rsidR="005A7F90">
      <w:pPr>
        <w:spacing w:line="360" w:lineRule="auto"/>
        <w:ind w:firstLine="420"/>
        <w:jc w:val="left"/>
      </w:pPr>
      <w:r>
        <w:t>本基金本报告期末未投资股指期货。</w:t>
      </w:r>
    </w:p>
    <w:p w:rsidR="005A7F90">
      <w:pPr>
        <w:spacing w:line="360" w:lineRule="auto"/>
        <w:jc w:val="left"/>
      </w:pPr>
      <w:r>
        <w:t>10</w:t>
      </w:r>
      <w:r>
        <w:t>、</w:t>
      </w:r>
      <w:r>
        <w:t xml:space="preserve"> </w:t>
      </w:r>
      <w:r>
        <w:t>报告期末本基金投资的国债期货交易情况说明</w:t>
      </w:r>
    </w:p>
    <w:p w:rsidR="005A7F90">
      <w:pPr>
        <w:spacing w:line="360" w:lineRule="auto"/>
        <w:ind w:firstLine="420"/>
        <w:jc w:val="left"/>
      </w:pPr>
      <w:r>
        <w:t>本基金本报告期末未投资国债期货。</w:t>
      </w:r>
    </w:p>
    <w:p w:rsidR="005A7F90">
      <w:pPr>
        <w:spacing w:line="360" w:lineRule="auto"/>
        <w:jc w:val="left"/>
      </w:pPr>
      <w:r>
        <w:t>11</w:t>
      </w:r>
      <w:r>
        <w:t>、</w:t>
      </w:r>
      <w:r>
        <w:t xml:space="preserve"> </w:t>
      </w:r>
      <w:r>
        <w:t>投资组合报告附注</w:t>
      </w:r>
    </w:p>
    <w:p w:rsidR="005A7F90">
      <w:pPr>
        <w:spacing w:line="360" w:lineRule="auto"/>
        <w:jc w:val="left"/>
      </w:pPr>
      <w:r>
        <w:t>（</w:t>
      </w:r>
      <w:r>
        <w:t>1</w:t>
      </w:r>
      <w:r>
        <w:t>）</w:t>
      </w:r>
      <w:r>
        <w:t xml:space="preserve"> </w:t>
      </w:r>
      <w:r>
        <w:t>本基金投资的前十名证券的发行主体中，招商银行股份有限公司在报告编制日前一年内曾受到中国银行保险监督管理委员会、国家外汇管理局深圳市分局处罚。</w:t>
      </w:r>
    </w:p>
    <w:p w:rsidR="005A7F90">
      <w:pPr>
        <w:spacing w:line="360" w:lineRule="auto"/>
        <w:ind w:firstLine="420"/>
        <w:jc w:val="left"/>
      </w:pPr>
      <w:r>
        <w:t>本基金投资的前十名证券中，上述主体所发行证券的投资决策程序符合公司投资制度的规定。</w:t>
      </w:r>
    </w:p>
    <w:p w:rsidR="005A7F90">
      <w:pPr>
        <w:spacing w:line="360" w:lineRule="auto"/>
        <w:ind w:firstLine="420"/>
        <w:jc w:val="left"/>
      </w:pPr>
      <w:r>
        <w:t>除上述主体外，本基金投资的前十名证券的发行主体本期没有出现被监管部门立案调查，或在报告编制日前一年内受到公开谴责、处罚的情形。</w:t>
      </w:r>
    </w:p>
    <w:p w:rsidR="005A7F90">
      <w:pPr>
        <w:spacing w:line="360" w:lineRule="auto"/>
        <w:jc w:val="left"/>
      </w:pPr>
      <w:r>
        <w:t>（</w:t>
      </w:r>
      <w:r>
        <w:t>2</w:t>
      </w:r>
      <w:r>
        <w:t>）</w:t>
      </w:r>
      <w:r>
        <w:t xml:space="preserve"> </w:t>
      </w:r>
      <w:r>
        <w:t>本基金投资的前十名股票没有超出基金合同规定的备选股票库。</w:t>
      </w:r>
    </w:p>
    <w:p w:rsidR="005A7F90">
      <w:pPr>
        <w:spacing w:line="360" w:lineRule="auto"/>
        <w:jc w:val="left"/>
      </w:pPr>
      <w:r>
        <w:t>（</w:t>
      </w:r>
      <w:r>
        <w:t>3</w:t>
      </w:r>
      <w:r>
        <w:t>）</w:t>
      </w:r>
      <w:r>
        <w:t xml:space="preserve"> </w:t>
      </w:r>
      <w:r>
        <w:t>其他资产构成</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5"/>
        <w:gridCol w:w="2468"/>
        <w:gridCol w:w="4805"/>
      </w:tblGrid>
      <w:tr>
        <w:tblPrEx>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5A7F90">
            <w:pPr>
              <w:autoSpaceDE w:val="0"/>
              <w:autoSpaceDN w:val="0"/>
              <w:adjustRightInd w:val="0"/>
              <w:ind w:left="17"/>
              <w:jc w:val="center"/>
              <w:rPr>
                <w:color w:val="000000"/>
                <w:kern w:val="0"/>
                <w:sz w:val="24"/>
              </w:rPr>
            </w:pPr>
            <w:r>
              <w:rPr>
                <w:color w:val="000000"/>
                <w:kern w:val="0"/>
              </w:rPr>
              <w:t>序号</w:t>
            </w:r>
          </w:p>
        </w:tc>
        <w:tc>
          <w:tcPr>
            <w:tcW w:w="2470" w:type="dxa"/>
            <w:tcBorders>
              <w:top w:val="single" w:sz="0" w:space="0" w:color="000000"/>
              <w:left w:val="single" w:sz="0" w:space="0" w:color="000000"/>
              <w:bottom w:val="single" w:sz="0" w:space="0" w:color="000000"/>
              <w:right w:val="single" w:sz="0" w:space="0" w:color="000000"/>
            </w:tcBorders>
            <w:vAlign w:val="center"/>
          </w:tcPr>
          <w:p w:rsidR="005A7F90">
            <w:pPr>
              <w:autoSpaceDE w:val="0"/>
              <w:autoSpaceDN w:val="0"/>
              <w:adjustRightInd w:val="0"/>
              <w:ind w:left="17"/>
              <w:jc w:val="center"/>
              <w:rPr>
                <w:color w:val="000000"/>
                <w:kern w:val="0"/>
                <w:sz w:val="24"/>
              </w:rPr>
            </w:pPr>
            <w:r>
              <w:rPr>
                <w:color w:val="000000"/>
                <w:kern w:val="0"/>
              </w:rPr>
              <w:t>名称</w:t>
            </w:r>
          </w:p>
        </w:tc>
        <w:tc>
          <w:tcPr>
            <w:tcW w:w="4808" w:type="dxa"/>
            <w:tcBorders>
              <w:top w:val="single" w:sz="0" w:space="0" w:color="000000"/>
              <w:left w:val="single" w:sz="0" w:space="0" w:color="000000"/>
              <w:bottom w:val="single" w:sz="0" w:space="0" w:color="000000"/>
              <w:right w:val="single" w:sz="0" w:space="0" w:color="000000"/>
            </w:tcBorders>
            <w:vAlign w:val="center"/>
          </w:tcPr>
          <w:p w:rsidR="005A7F90">
            <w:pPr>
              <w:autoSpaceDE w:val="0"/>
              <w:autoSpaceDN w:val="0"/>
              <w:adjustRightInd w:val="0"/>
              <w:ind w:left="17"/>
              <w:jc w:val="center"/>
              <w:rPr>
                <w:color w:val="000000"/>
                <w:kern w:val="0"/>
                <w:sz w:val="24"/>
              </w:rPr>
            </w:pPr>
            <w:r>
              <w:rPr>
                <w:color w:val="000000"/>
                <w:kern w:val="0"/>
              </w:rPr>
              <w:t>金额（元）</w:t>
            </w:r>
          </w:p>
        </w:tc>
      </w:tr>
      <w:tr>
        <w:tblPrEx>
          <w:tblW w:w="0" w:type="auto"/>
          <w:tblInd w:w="15" w:type="dxa"/>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5A7F90">
            <w:pPr>
              <w:autoSpaceDE w:val="0"/>
              <w:autoSpaceDN w:val="0"/>
              <w:adjustRightInd w:val="0"/>
              <w:ind w:left="15"/>
              <w:jc w:val="center"/>
              <w:rPr>
                <w:color w:val="000000"/>
                <w:kern w:val="0"/>
                <w:sz w:val="24"/>
              </w:rPr>
            </w:pPr>
            <w:r>
              <w:rPr>
                <w:color w:val="000000"/>
                <w:kern w:val="0"/>
              </w:rPr>
              <w:t>1</w:t>
            </w:r>
          </w:p>
        </w:tc>
        <w:tc>
          <w:tcPr>
            <w:tcW w:w="2470" w:type="dxa"/>
            <w:tcBorders>
              <w:top w:val="single" w:sz="0" w:space="0" w:color="000000"/>
              <w:left w:val="single" w:sz="0" w:space="0" w:color="000000"/>
              <w:bottom w:val="single" w:sz="0" w:space="0" w:color="000000"/>
              <w:right w:val="single" w:sz="0" w:space="0" w:color="000000"/>
            </w:tcBorders>
            <w:vAlign w:val="center"/>
          </w:tcPr>
          <w:p w:rsidR="005A7F90">
            <w:pPr>
              <w:autoSpaceDE w:val="0"/>
              <w:autoSpaceDN w:val="0"/>
              <w:adjustRightInd w:val="0"/>
              <w:ind w:left="15"/>
              <w:jc w:val="left"/>
              <w:rPr>
                <w:color w:val="000000"/>
                <w:kern w:val="0"/>
                <w:sz w:val="24"/>
              </w:rPr>
            </w:pPr>
            <w:r>
              <w:rPr>
                <w:color w:val="000000"/>
                <w:kern w:val="0"/>
              </w:rPr>
              <w:t>存出保证金</w:t>
            </w:r>
          </w:p>
        </w:tc>
        <w:tc>
          <w:tcPr>
            <w:tcW w:w="4808" w:type="dxa"/>
            <w:tcBorders>
              <w:top w:val="single" w:sz="0" w:space="0" w:color="000000"/>
              <w:left w:val="single" w:sz="0" w:space="0" w:color="000000"/>
              <w:bottom w:val="single" w:sz="0" w:space="0" w:color="000000"/>
              <w:right w:val="single" w:sz="0" w:space="0" w:color="000000"/>
            </w:tcBorders>
            <w:vAlign w:val="center"/>
          </w:tcPr>
          <w:p w:rsidR="005A7F90">
            <w:pPr>
              <w:autoSpaceDE w:val="0"/>
              <w:autoSpaceDN w:val="0"/>
              <w:adjustRightInd w:val="0"/>
              <w:ind w:left="15"/>
              <w:jc w:val="right"/>
              <w:rPr>
                <w:color w:val="000000"/>
                <w:kern w:val="0"/>
                <w:sz w:val="24"/>
              </w:rPr>
            </w:pPr>
            <w:r>
              <w:rPr>
                <w:color w:val="000000"/>
                <w:kern w:val="0"/>
              </w:rPr>
              <w:t>316,681.89</w:t>
            </w:r>
          </w:p>
        </w:tc>
      </w:tr>
      <w:tr>
        <w:tblPrEx>
          <w:tblW w:w="0" w:type="auto"/>
          <w:tblInd w:w="15" w:type="dxa"/>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5A7F90">
            <w:pPr>
              <w:autoSpaceDE w:val="0"/>
              <w:autoSpaceDN w:val="0"/>
              <w:adjustRightInd w:val="0"/>
              <w:ind w:left="15"/>
              <w:jc w:val="center"/>
              <w:rPr>
                <w:color w:val="000000"/>
                <w:kern w:val="0"/>
                <w:sz w:val="24"/>
              </w:rPr>
            </w:pPr>
            <w:r>
              <w:rPr>
                <w:color w:val="000000"/>
                <w:kern w:val="0"/>
              </w:rPr>
              <w:t>2</w:t>
            </w:r>
          </w:p>
        </w:tc>
        <w:tc>
          <w:tcPr>
            <w:tcW w:w="2470" w:type="dxa"/>
            <w:tcBorders>
              <w:top w:val="single" w:sz="0" w:space="0" w:color="000000"/>
              <w:left w:val="single" w:sz="0" w:space="0" w:color="000000"/>
              <w:bottom w:val="single" w:sz="0" w:space="0" w:color="000000"/>
              <w:right w:val="single" w:sz="0" w:space="0" w:color="000000"/>
            </w:tcBorders>
            <w:vAlign w:val="center"/>
          </w:tcPr>
          <w:p w:rsidR="005A7F90">
            <w:pPr>
              <w:autoSpaceDE w:val="0"/>
              <w:autoSpaceDN w:val="0"/>
              <w:adjustRightInd w:val="0"/>
              <w:ind w:left="15"/>
              <w:jc w:val="left"/>
              <w:rPr>
                <w:color w:val="000000"/>
                <w:kern w:val="0"/>
                <w:sz w:val="24"/>
              </w:rPr>
            </w:pPr>
            <w:r>
              <w:rPr>
                <w:color w:val="000000"/>
                <w:kern w:val="0"/>
              </w:rPr>
              <w:t>应收证券清算款</w:t>
            </w:r>
          </w:p>
        </w:tc>
        <w:tc>
          <w:tcPr>
            <w:tcW w:w="4808" w:type="dxa"/>
            <w:tcBorders>
              <w:top w:val="single" w:sz="0" w:space="0" w:color="000000"/>
              <w:left w:val="single" w:sz="0" w:space="0" w:color="000000"/>
              <w:bottom w:val="single" w:sz="0" w:space="0" w:color="000000"/>
              <w:right w:val="single" w:sz="0" w:space="0" w:color="000000"/>
            </w:tcBorders>
            <w:vAlign w:val="center"/>
          </w:tcPr>
          <w:p w:rsidR="005A7F90">
            <w:pPr>
              <w:autoSpaceDE w:val="0"/>
              <w:autoSpaceDN w:val="0"/>
              <w:adjustRightInd w:val="0"/>
              <w:ind w:left="15"/>
              <w:jc w:val="right"/>
              <w:rPr>
                <w:color w:val="000000"/>
                <w:kern w:val="0"/>
                <w:sz w:val="24"/>
              </w:rPr>
            </w:pPr>
            <w:r>
              <w:rPr>
                <w:color w:val="000000"/>
                <w:kern w:val="0"/>
              </w:rPr>
              <w:t>-</w:t>
            </w:r>
          </w:p>
        </w:tc>
      </w:tr>
      <w:tr>
        <w:tblPrEx>
          <w:tblW w:w="0" w:type="auto"/>
          <w:tblInd w:w="15" w:type="dxa"/>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5A7F90">
            <w:pPr>
              <w:autoSpaceDE w:val="0"/>
              <w:autoSpaceDN w:val="0"/>
              <w:adjustRightInd w:val="0"/>
              <w:ind w:left="15"/>
              <w:jc w:val="center"/>
              <w:rPr>
                <w:color w:val="000000"/>
                <w:kern w:val="0"/>
                <w:sz w:val="24"/>
              </w:rPr>
            </w:pPr>
            <w:r>
              <w:rPr>
                <w:color w:val="000000"/>
                <w:kern w:val="0"/>
              </w:rPr>
              <w:t>3</w:t>
            </w:r>
          </w:p>
        </w:tc>
        <w:tc>
          <w:tcPr>
            <w:tcW w:w="2470" w:type="dxa"/>
            <w:tcBorders>
              <w:top w:val="single" w:sz="0" w:space="0" w:color="000000"/>
              <w:left w:val="single" w:sz="0" w:space="0" w:color="000000"/>
              <w:bottom w:val="single" w:sz="0" w:space="0" w:color="000000"/>
              <w:right w:val="single" w:sz="0" w:space="0" w:color="000000"/>
            </w:tcBorders>
            <w:vAlign w:val="center"/>
          </w:tcPr>
          <w:p w:rsidR="005A7F90">
            <w:pPr>
              <w:autoSpaceDE w:val="0"/>
              <w:autoSpaceDN w:val="0"/>
              <w:adjustRightInd w:val="0"/>
              <w:ind w:left="15"/>
              <w:jc w:val="left"/>
              <w:rPr>
                <w:color w:val="000000"/>
                <w:kern w:val="0"/>
                <w:sz w:val="24"/>
              </w:rPr>
            </w:pPr>
            <w:r>
              <w:rPr>
                <w:color w:val="000000"/>
                <w:kern w:val="0"/>
              </w:rPr>
              <w:t>应收股利</w:t>
            </w:r>
          </w:p>
        </w:tc>
        <w:tc>
          <w:tcPr>
            <w:tcW w:w="4808" w:type="dxa"/>
            <w:tcBorders>
              <w:top w:val="single" w:sz="0" w:space="0" w:color="000000"/>
              <w:left w:val="single" w:sz="0" w:space="0" w:color="000000"/>
              <w:bottom w:val="single" w:sz="0" w:space="0" w:color="000000"/>
              <w:right w:val="single" w:sz="0" w:space="0" w:color="000000"/>
            </w:tcBorders>
            <w:vAlign w:val="center"/>
          </w:tcPr>
          <w:p w:rsidR="005A7F90">
            <w:pPr>
              <w:autoSpaceDE w:val="0"/>
              <w:autoSpaceDN w:val="0"/>
              <w:adjustRightInd w:val="0"/>
              <w:ind w:left="15"/>
              <w:jc w:val="right"/>
              <w:rPr>
                <w:color w:val="000000"/>
                <w:kern w:val="0"/>
                <w:sz w:val="24"/>
              </w:rPr>
            </w:pPr>
            <w:r>
              <w:rPr>
                <w:color w:val="000000"/>
                <w:kern w:val="0"/>
              </w:rPr>
              <w:t>-</w:t>
            </w:r>
          </w:p>
        </w:tc>
      </w:tr>
      <w:tr>
        <w:tblPrEx>
          <w:tblW w:w="0" w:type="auto"/>
          <w:tblInd w:w="15" w:type="dxa"/>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5A7F90">
            <w:pPr>
              <w:autoSpaceDE w:val="0"/>
              <w:autoSpaceDN w:val="0"/>
              <w:adjustRightInd w:val="0"/>
              <w:ind w:left="15"/>
              <w:jc w:val="center"/>
              <w:rPr>
                <w:color w:val="000000"/>
                <w:kern w:val="0"/>
                <w:sz w:val="24"/>
              </w:rPr>
            </w:pPr>
            <w:r>
              <w:rPr>
                <w:color w:val="000000"/>
                <w:kern w:val="0"/>
              </w:rPr>
              <w:t>4</w:t>
            </w:r>
          </w:p>
        </w:tc>
        <w:tc>
          <w:tcPr>
            <w:tcW w:w="2470" w:type="dxa"/>
            <w:tcBorders>
              <w:top w:val="single" w:sz="0" w:space="0" w:color="000000"/>
              <w:left w:val="single" w:sz="0" w:space="0" w:color="000000"/>
              <w:bottom w:val="single" w:sz="0" w:space="0" w:color="000000"/>
              <w:right w:val="single" w:sz="0" w:space="0" w:color="000000"/>
            </w:tcBorders>
            <w:vAlign w:val="center"/>
          </w:tcPr>
          <w:p w:rsidR="005A7F90">
            <w:pPr>
              <w:autoSpaceDE w:val="0"/>
              <w:autoSpaceDN w:val="0"/>
              <w:adjustRightInd w:val="0"/>
              <w:ind w:left="15"/>
              <w:jc w:val="left"/>
              <w:rPr>
                <w:color w:val="000000"/>
                <w:kern w:val="0"/>
                <w:sz w:val="24"/>
              </w:rPr>
            </w:pPr>
            <w:r>
              <w:rPr>
                <w:color w:val="000000"/>
                <w:kern w:val="0"/>
              </w:rPr>
              <w:t>应收利息</w:t>
            </w:r>
          </w:p>
        </w:tc>
        <w:tc>
          <w:tcPr>
            <w:tcW w:w="4808" w:type="dxa"/>
            <w:tcBorders>
              <w:top w:val="single" w:sz="0" w:space="0" w:color="000000"/>
              <w:left w:val="single" w:sz="0" w:space="0" w:color="000000"/>
              <w:bottom w:val="single" w:sz="0" w:space="0" w:color="000000"/>
              <w:right w:val="single" w:sz="0" w:space="0" w:color="000000"/>
            </w:tcBorders>
            <w:vAlign w:val="center"/>
          </w:tcPr>
          <w:p w:rsidR="005A7F90">
            <w:pPr>
              <w:autoSpaceDE w:val="0"/>
              <w:autoSpaceDN w:val="0"/>
              <w:adjustRightInd w:val="0"/>
              <w:ind w:left="15"/>
              <w:jc w:val="right"/>
              <w:rPr>
                <w:color w:val="000000"/>
                <w:kern w:val="0"/>
                <w:sz w:val="24"/>
              </w:rPr>
            </w:pPr>
            <w:r>
              <w:rPr>
                <w:color w:val="000000"/>
                <w:kern w:val="0"/>
              </w:rPr>
              <w:t>26,387.15</w:t>
            </w:r>
          </w:p>
        </w:tc>
      </w:tr>
      <w:tr>
        <w:tblPrEx>
          <w:tblW w:w="0" w:type="auto"/>
          <w:tblInd w:w="15" w:type="dxa"/>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5A7F90">
            <w:pPr>
              <w:autoSpaceDE w:val="0"/>
              <w:autoSpaceDN w:val="0"/>
              <w:adjustRightInd w:val="0"/>
              <w:ind w:left="15"/>
              <w:jc w:val="center"/>
              <w:rPr>
                <w:color w:val="000000"/>
                <w:kern w:val="0"/>
                <w:sz w:val="24"/>
              </w:rPr>
            </w:pPr>
            <w:r>
              <w:rPr>
                <w:color w:val="000000"/>
                <w:kern w:val="0"/>
              </w:rPr>
              <w:t>5</w:t>
            </w:r>
          </w:p>
        </w:tc>
        <w:tc>
          <w:tcPr>
            <w:tcW w:w="2470" w:type="dxa"/>
            <w:tcBorders>
              <w:top w:val="single" w:sz="0" w:space="0" w:color="000000"/>
              <w:left w:val="single" w:sz="0" w:space="0" w:color="000000"/>
              <w:bottom w:val="single" w:sz="0" w:space="0" w:color="000000"/>
              <w:right w:val="single" w:sz="0" w:space="0" w:color="000000"/>
            </w:tcBorders>
            <w:vAlign w:val="center"/>
          </w:tcPr>
          <w:p w:rsidR="005A7F90">
            <w:pPr>
              <w:autoSpaceDE w:val="0"/>
              <w:autoSpaceDN w:val="0"/>
              <w:adjustRightInd w:val="0"/>
              <w:ind w:left="15"/>
              <w:jc w:val="left"/>
              <w:rPr>
                <w:color w:val="000000"/>
                <w:kern w:val="0"/>
                <w:sz w:val="24"/>
              </w:rPr>
            </w:pPr>
            <w:r>
              <w:rPr>
                <w:color w:val="000000"/>
                <w:kern w:val="0"/>
              </w:rPr>
              <w:t>应收申购款</w:t>
            </w:r>
          </w:p>
        </w:tc>
        <w:tc>
          <w:tcPr>
            <w:tcW w:w="4808" w:type="dxa"/>
            <w:tcBorders>
              <w:top w:val="single" w:sz="0" w:space="0" w:color="000000"/>
              <w:left w:val="single" w:sz="0" w:space="0" w:color="000000"/>
              <w:bottom w:val="single" w:sz="0" w:space="0" w:color="000000"/>
              <w:right w:val="single" w:sz="0" w:space="0" w:color="000000"/>
            </w:tcBorders>
            <w:vAlign w:val="center"/>
          </w:tcPr>
          <w:p w:rsidR="005A7F90">
            <w:pPr>
              <w:autoSpaceDE w:val="0"/>
              <w:autoSpaceDN w:val="0"/>
              <w:adjustRightInd w:val="0"/>
              <w:ind w:left="15"/>
              <w:jc w:val="right"/>
              <w:rPr>
                <w:color w:val="000000"/>
                <w:kern w:val="0"/>
                <w:sz w:val="24"/>
              </w:rPr>
            </w:pPr>
            <w:r>
              <w:rPr>
                <w:color w:val="000000"/>
                <w:kern w:val="0"/>
              </w:rPr>
              <w:t>12,779,236.83</w:t>
            </w:r>
          </w:p>
        </w:tc>
      </w:tr>
      <w:tr>
        <w:tblPrEx>
          <w:tblW w:w="0" w:type="auto"/>
          <w:tblInd w:w="15" w:type="dxa"/>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5A7F90">
            <w:pPr>
              <w:autoSpaceDE w:val="0"/>
              <w:autoSpaceDN w:val="0"/>
              <w:adjustRightInd w:val="0"/>
              <w:ind w:left="15"/>
              <w:jc w:val="center"/>
              <w:rPr>
                <w:color w:val="000000"/>
                <w:kern w:val="0"/>
                <w:sz w:val="24"/>
              </w:rPr>
            </w:pPr>
            <w:r>
              <w:rPr>
                <w:color w:val="000000"/>
                <w:kern w:val="0"/>
              </w:rPr>
              <w:t>6</w:t>
            </w:r>
          </w:p>
        </w:tc>
        <w:tc>
          <w:tcPr>
            <w:tcW w:w="2470" w:type="dxa"/>
            <w:tcBorders>
              <w:top w:val="single" w:sz="0" w:space="0" w:color="000000"/>
              <w:left w:val="single" w:sz="0" w:space="0" w:color="000000"/>
              <w:bottom w:val="single" w:sz="0" w:space="0" w:color="000000"/>
              <w:right w:val="single" w:sz="0" w:space="0" w:color="000000"/>
            </w:tcBorders>
            <w:vAlign w:val="center"/>
          </w:tcPr>
          <w:p w:rsidR="005A7F90">
            <w:pPr>
              <w:autoSpaceDE w:val="0"/>
              <w:autoSpaceDN w:val="0"/>
              <w:adjustRightInd w:val="0"/>
              <w:ind w:left="15"/>
              <w:jc w:val="left"/>
              <w:rPr>
                <w:color w:val="000000"/>
                <w:kern w:val="0"/>
                <w:sz w:val="24"/>
              </w:rPr>
            </w:pPr>
            <w:r>
              <w:rPr>
                <w:color w:val="000000"/>
                <w:kern w:val="0"/>
              </w:rPr>
              <w:t>其他应收款</w:t>
            </w:r>
          </w:p>
        </w:tc>
        <w:tc>
          <w:tcPr>
            <w:tcW w:w="4808" w:type="dxa"/>
            <w:tcBorders>
              <w:top w:val="single" w:sz="0" w:space="0" w:color="000000"/>
              <w:left w:val="single" w:sz="0" w:space="0" w:color="000000"/>
              <w:bottom w:val="single" w:sz="0" w:space="0" w:color="000000"/>
              <w:right w:val="single" w:sz="0" w:space="0" w:color="000000"/>
            </w:tcBorders>
            <w:vAlign w:val="center"/>
          </w:tcPr>
          <w:p w:rsidR="005A7F90">
            <w:pPr>
              <w:autoSpaceDE w:val="0"/>
              <w:autoSpaceDN w:val="0"/>
              <w:adjustRightInd w:val="0"/>
              <w:ind w:left="15"/>
              <w:jc w:val="right"/>
              <w:rPr>
                <w:color w:val="000000"/>
                <w:kern w:val="0"/>
                <w:sz w:val="24"/>
              </w:rPr>
            </w:pPr>
            <w:r>
              <w:rPr>
                <w:color w:val="000000"/>
                <w:kern w:val="0"/>
              </w:rPr>
              <w:t>-</w:t>
            </w:r>
          </w:p>
        </w:tc>
      </w:tr>
      <w:tr>
        <w:tblPrEx>
          <w:tblW w:w="0" w:type="auto"/>
          <w:tblInd w:w="15" w:type="dxa"/>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5A7F90">
            <w:pPr>
              <w:autoSpaceDE w:val="0"/>
              <w:autoSpaceDN w:val="0"/>
              <w:adjustRightInd w:val="0"/>
              <w:ind w:left="15"/>
              <w:jc w:val="center"/>
              <w:rPr>
                <w:color w:val="000000"/>
                <w:kern w:val="0"/>
                <w:sz w:val="24"/>
              </w:rPr>
            </w:pPr>
            <w:r>
              <w:rPr>
                <w:color w:val="000000"/>
                <w:kern w:val="0"/>
              </w:rPr>
              <w:t>7</w:t>
            </w:r>
          </w:p>
        </w:tc>
        <w:tc>
          <w:tcPr>
            <w:tcW w:w="2470" w:type="dxa"/>
            <w:tcBorders>
              <w:top w:val="single" w:sz="0" w:space="0" w:color="000000"/>
              <w:left w:val="single" w:sz="0" w:space="0" w:color="000000"/>
              <w:bottom w:val="single" w:sz="0" w:space="0" w:color="000000"/>
              <w:right w:val="single" w:sz="0" w:space="0" w:color="000000"/>
            </w:tcBorders>
            <w:vAlign w:val="center"/>
          </w:tcPr>
          <w:p w:rsidR="005A7F90">
            <w:pPr>
              <w:autoSpaceDE w:val="0"/>
              <w:autoSpaceDN w:val="0"/>
              <w:adjustRightInd w:val="0"/>
              <w:ind w:left="15"/>
              <w:jc w:val="left"/>
              <w:rPr>
                <w:color w:val="000000"/>
                <w:kern w:val="0"/>
                <w:sz w:val="24"/>
              </w:rPr>
            </w:pPr>
            <w:r>
              <w:rPr>
                <w:color w:val="000000"/>
                <w:kern w:val="0"/>
              </w:rPr>
              <w:t>待摊费用</w:t>
            </w:r>
          </w:p>
        </w:tc>
        <w:tc>
          <w:tcPr>
            <w:tcW w:w="4808" w:type="dxa"/>
            <w:tcBorders>
              <w:top w:val="single" w:sz="0" w:space="0" w:color="000000"/>
              <w:left w:val="single" w:sz="0" w:space="0" w:color="000000"/>
              <w:bottom w:val="single" w:sz="0" w:space="0" w:color="000000"/>
              <w:right w:val="single" w:sz="0" w:space="0" w:color="000000"/>
            </w:tcBorders>
            <w:vAlign w:val="center"/>
          </w:tcPr>
          <w:p w:rsidR="005A7F90">
            <w:pPr>
              <w:autoSpaceDE w:val="0"/>
              <w:autoSpaceDN w:val="0"/>
              <w:adjustRightInd w:val="0"/>
              <w:ind w:left="15"/>
              <w:jc w:val="right"/>
              <w:rPr>
                <w:color w:val="000000"/>
                <w:kern w:val="0"/>
                <w:sz w:val="24"/>
              </w:rPr>
            </w:pPr>
            <w:r>
              <w:rPr>
                <w:color w:val="000000"/>
                <w:kern w:val="0"/>
              </w:rPr>
              <w:t>-</w:t>
            </w:r>
          </w:p>
        </w:tc>
      </w:tr>
      <w:tr>
        <w:tblPrEx>
          <w:tblW w:w="0" w:type="auto"/>
          <w:tblInd w:w="15" w:type="dxa"/>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5A7F90">
            <w:pPr>
              <w:autoSpaceDE w:val="0"/>
              <w:autoSpaceDN w:val="0"/>
              <w:adjustRightInd w:val="0"/>
              <w:ind w:left="15"/>
              <w:jc w:val="center"/>
              <w:rPr>
                <w:color w:val="000000"/>
                <w:kern w:val="0"/>
                <w:sz w:val="24"/>
              </w:rPr>
            </w:pPr>
            <w:r>
              <w:rPr>
                <w:color w:val="000000"/>
                <w:kern w:val="0"/>
              </w:rPr>
              <w:t>8</w:t>
            </w:r>
          </w:p>
        </w:tc>
        <w:tc>
          <w:tcPr>
            <w:tcW w:w="2470" w:type="dxa"/>
            <w:tcBorders>
              <w:top w:val="single" w:sz="0" w:space="0" w:color="000000"/>
              <w:left w:val="single" w:sz="0" w:space="0" w:color="000000"/>
              <w:bottom w:val="single" w:sz="0" w:space="0" w:color="000000"/>
              <w:right w:val="single" w:sz="0" w:space="0" w:color="000000"/>
            </w:tcBorders>
            <w:vAlign w:val="center"/>
          </w:tcPr>
          <w:p w:rsidR="005A7F90">
            <w:pPr>
              <w:autoSpaceDE w:val="0"/>
              <w:autoSpaceDN w:val="0"/>
              <w:adjustRightInd w:val="0"/>
              <w:ind w:left="15"/>
              <w:jc w:val="left"/>
              <w:rPr>
                <w:color w:val="000000"/>
                <w:kern w:val="0"/>
                <w:sz w:val="24"/>
              </w:rPr>
            </w:pPr>
            <w:r>
              <w:rPr>
                <w:color w:val="000000"/>
                <w:kern w:val="0"/>
              </w:rPr>
              <w:t>其他</w:t>
            </w:r>
          </w:p>
        </w:tc>
        <w:tc>
          <w:tcPr>
            <w:tcW w:w="4808" w:type="dxa"/>
            <w:tcBorders>
              <w:top w:val="single" w:sz="0" w:space="0" w:color="000000"/>
              <w:left w:val="single" w:sz="0" w:space="0" w:color="000000"/>
              <w:bottom w:val="single" w:sz="0" w:space="0" w:color="000000"/>
              <w:right w:val="single" w:sz="0" w:space="0" w:color="000000"/>
            </w:tcBorders>
            <w:vAlign w:val="center"/>
          </w:tcPr>
          <w:p w:rsidR="005A7F90">
            <w:pPr>
              <w:autoSpaceDE w:val="0"/>
              <w:autoSpaceDN w:val="0"/>
              <w:adjustRightInd w:val="0"/>
              <w:ind w:left="15"/>
              <w:jc w:val="right"/>
              <w:rPr>
                <w:color w:val="000000"/>
                <w:kern w:val="0"/>
                <w:sz w:val="24"/>
              </w:rPr>
            </w:pPr>
            <w:r>
              <w:rPr>
                <w:color w:val="000000"/>
                <w:kern w:val="0"/>
              </w:rPr>
              <w:t>-</w:t>
            </w:r>
          </w:p>
        </w:tc>
      </w:tr>
      <w:tr>
        <w:tblPrEx>
          <w:tblW w:w="0" w:type="auto"/>
          <w:tblInd w:w="15" w:type="dxa"/>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5A7F90">
            <w:pPr>
              <w:autoSpaceDE w:val="0"/>
              <w:autoSpaceDN w:val="0"/>
              <w:adjustRightInd w:val="0"/>
              <w:ind w:left="15"/>
              <w:jc w:val="center"/>
              <w:rPr>
                <w:color w:val="000000"/>
                <w:kern w:val="0"/>
                <w:sz w:val="24"/>
              </w:rPr>
            </w:pPr>
            <w:r>
              <w:rPr>
                <w:color w:val="000000"/>
                <w:kern w:val="0"/>
              </w:rPr>
              <w:t>9</w:t>
            </w:r>
          </w:p>
        </w:tc>
        <w:tc>
          <w:tcPr>
            <w:tcW w:w="2470" w:type="dxa"/>
            <w:tcBorders>
              <w:top w:val="single" w:sz="0" w:space="0" w:color="000000"/>
              <w:left w:val="single" w:sz="0" w:space="0" w:color="000000"/>
              <w:bottom w:val="single" w:sz="0" w:space="0" w:color="000000"/>
              <w:right w:val="single" w:sz="0" w:space="0" w:color="000000"/>
            </w:tcBorders>
            <w:vAlign w:val="center"/>
          </w:tcPr>
          <w:p w:rsidR="005A7F90">
            <w:pPr>
              <w:autoSpaceDE w:val="0"/>
              <w:autoSpaceDN w:val="0"/>
              <w:adjustRightInd w:val="0"/>
              <w:ind w:left="15"/>
              <w:jc w:val="left"/>
              <w:rPr>
                <w:color w:val="000000"/>
                <w:kern w:val="0"/>
                <w:sz w:val="24"/>
              </w:rPr>
            </w:pPr>
            <w:r>
              <w:rPr>
                <w:color w:val="000000"/>
                <w:kern w:val="0"/>
              </w:rPr>
              <w:t>合计</w:t>
            </w:r>
          </w:p>
        </w:tc>
        <w:tc>
          <w:tcPr>
            <w:tcW w:w="4808" w:type="dxa"/>
            <w:tcBorders>
              <w:top w:val="single" w:sz="0" w:space="0" w:color="000000"/>
              <w:left w:val="single" w:sz="0" w:space="0" w:color="000000"/>
              <w:bottom w:val="single" w:sz="0" w:space="0" w:color="000000"/>
              <w:right w:val="single" w:sz="0" w:space="0" w:color="000000"/>
            </w:tcBorders>
            <w:vAlign w:val="center"/>
          </w:tcPr>
          <w:p w:rsidR="005A7F90">
            <w:pPr>
              <w:autoSpaceDE w:val="0"/>
              <w:autoSpaceDN w:val="0"/>
              <w:adjustRightInd w:val="0"/>
              <w:ind w:left="15"/>
              <w:jc w:val="right"/>
              <w:rPr>
                <w:color w:val="000000"/>
                <w:kern w:val="0"/>
                <w:sz w:val="24"/>
              </w:rPr>
            </w:pPr>
            <w:r>
              <w:rPr>
                <w:color w:val="000000"/>
                <w:kern w:val="0"/>
              </w:rPr>
              <w:t>13,122,305.87</w:t>
            </w:r>
          </w:p>
        </w:tc>
      </w:tr>
    </w:tbl>
    <w:p w:rsidR="005A7F90">
      <w:pPr>
        <w:spacing w:line="360" w:lineRule="auto"/>
        <w:jc w:val="left"/>
      </w:pPr>
      <w:r>
        <w:t>（</w:t>
      </w:r>
      <w:r>
        <w:t>4</w:t>
      </w:r>
      <w:r>
        <w:t>）报告期末持有的处于转股期的可转换债券明细</w:t>
      </w:r>
    </w:p>
    <w:p w:rsidR="005A7F90">
      <w:pPr>
        <w:spacing w:line="360" w:lineRule="auto"/>
        <w:ind w:firstLine="420"/>
        <w:jc w:val="left"/>
      </w:pPr>
      <w:r>
        <w:t>本基金本报告期末未持有处于转股期的可转换债券。</w:t>
      </w:r>
    </w:p>
    <w:p w:rsidR="005A7F90">
      <w:pPr>
        <w:spacing w:line="360" w:lineRule="auto"/>
        <w:jc w:val="left"/>
      </w:pPr>
      <w:r>
        <w:t>（</w:t>
      </w:r>
      <w:r>
        <w:t>5</w:t>
      </w:r>
      <w:r>
        <w:t>）报告期末前十名股票中存在流通受限情况的说明</w:t>
      </w:r>
      <w:r>
        <w:br w:type="page"/>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3"/>
        <w:gridCol w:w="1302"/>
        <w:gridCol w:w="1301"/>
        <w:gridCol w:w="1805"/>
        <w:gridCol w:w="1655"/>
        <w:gridCol w:w="1367"/>
      </w:tblGrid>
      <w:tr>
        <w:tblPrEx>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083" w:type="dxa"/>
            <w:tcBorders>
              <w:top w:val="single" w:sz="0" w:space="0" w:color="000000"/>
              <w:left w:val="single" w:sz="0" w:space="0" w:color="000000"/>
              <w:bottom w:val="single" w:sz="0" w:space="0" w:color="000000"/>
              <w:right w:val="single" w:sz="0" w:space="0" w:color="000000"/>
            </w:tcBorders>
            <w:vAlign w:val="center"/>
          </w:tcPr>
          <w:p w:rsidR="005A7F90">
            <w:pPr>
              <w:ind w:left="17"/>
              <w:jc w:val="center"/>
              <w:rPr>
                <w:color w:val="000000"/>
                <w:kern w:val="0"/>
                <w:sz w:val="24"/>
              </w:rPr>
            </w:pPr>
            <w:r>
              <w:rPr>
                <w:color w:val="000000"/>
                <w:kern w:val="0"/>
              </w:rPr>
              <w:t>序号</w:t>
            </w:r>
          </w:p>
        </w:tc>
        <w:tc>
          <w:tcPr>
            <w:tcW w:w="1302" w:type="dxa"/>
            <w:tcBorders>
              <w:top w:val="single" w:sz="0" w:space="0" w:color="000000"/>
              <w:left w:val="single" w:sz="0" w:space="0" w:color="000000"/>
              <w:bottom w:val="single" w:sz="0" w:space="0" w:color="000000"/>
              <w:right w:val="single" w:sz="0" w:space="0" w:color="000000"/>
            </w:tcBorders>
            <w:vAlign w:val="center"/>
          </w:tcPr>
          <w:p w:rsidR="005A7F90">
            <w:pPr>
              <w:ind w:left="17"/>
              <w:jc w:val="center"/>
              <w:rPr>
                <w:color w:val="000000"/>
                <w:kern w:val="0"/>
                <w:sz w:val="24"/>
              </w:rPr>
            </w:pPr>
            <w:r>
              <w:rPr>
                <w:color w:val="000000"/>
                <w:kern w:val="0"/>
              </w:rPr>
              <w:t>股票代码</w:t>
            </w:r>
          </w:p>
        </w:tc>
        <w:tc>
          <w:tcPr>
            <w:tcW w:w="1301" w:type="dxa"/>
            <w:tcBorders>
              <w:top w:val="single" w:sz="0" w:space="0" w:color="000000"/>
              <w:left w:val="single" w:sz="0" w:space="0" w:color="000000"/>
              <w:bottom w:val="single" w:sz="0" w:space="0" w:color="000000"/>
              <w:right w:val="single" w:sz="0" w:space="0" w:color="000000"/>
            </w:tcBorders>
            <w:vAlign w:val="center"/>
          </w:tcPr>
          <w:p w:rsidR="005A7F90">
            <w:pPr>
              <w:ind w:left="17"/>
              <w:jc w:val="center"/>
              <w:rPr>
                <w:color w:val="000000"/>
                <w:kern w:val="0"/>
                <w:sz w:val="24"/>
              </w:rPr>
            </w:pPr>
            <w:r>
              <w:rPr>
                <w:color w:val="000000"/>
                <w:kern w:val="0"/>
              </w:rPr>
              <w:t>股票名称</w:t>
            </w:r>
          </w:p>
        </w:tc>
        <w:tc>
          <w:tcPr>
            <w:tcW w:w="1805" w:type="dxa"/>
            <w:tcBorders>
              <w:top w:val="single" w:sz="0" w:space="0" w:color="000000"/>
              <w:left w:val="single" w:sz="0" w:space="0" w:color="000000"/>
              <w:bottom w:val="single" w:sz="0" w:space="0" w:color="000000"/>
              <w:right w:val="single" w:sz="0" w:space="0" w:color="000000"/>
            </w:tcBorders>
            <w:vAlign w:val="center"/>
          </w:tcPr>
          <w:p w:rsidR="005A7F90">
            <w:pPr>
              <w:ind w:left="17"/>
              <w:jc w:val="center"/>
              <w:rPr>
                <w:color w:val="000000"/>
                <w:kern w:val="0"/>
                <w:sz w:val="24"/>
              </w:rPr>
            </w:pPr>
            <w:r>
              <w:rPr>
                <w:color w:val="000000"/>
                <w:kern w:val="0"/>
              </w:rPr>
              <w:t>流通受限部分的公允价值（元）</w:t>
            </w:r>
          </w:p>
        </w:tc>
        <w:tc>
          <w:tcPr>
            <w:tcW w:w="1655" w:type="dxa"/>
            <w:tcBorders>
              <w:top w:val="single" w:sz="0" w:space="0" w:color="000000"/>
              <w:left w:val="single" w:sz="0" w:space="0" w:color="000000"/>
              <w:bottom w:val="single" w:sz="0" w:space="0" w:color="000000"/>
              <w:right w:val="single" w:sz="0" w:space="0" w:color="000000"/>
            </w:tcBorders>
            <w:vAlign w:val="center"/>
          </w:tcPr>
          <w:p w:rsidR="005A7F90">
            <w:pPr>
              <w:ind w:left="17"/>
              <w:jc w:val="center"/>
              <w:rPr>
                <w:color w:val="000000"/>
                <w:kern w:val="0"/>
                <w:sz w:val="24"/>
              </w:rPr>
            </w:pPr>
            <w:r>
              <w:rPr>
                <w:color w:val="000000"/>
                <w:kern w:val="0"/>
              </w:rPr>
              <w:t>占基金资产净值比例（</w:t>
            </w:r>
            <w:r>
              <w:rPr>
                <w:color w:val="000000"/>
                <w:kern w:val="0"/>
              </w:rPr>
              <w:t>%</w:t>
            </w:r>
            <w:r>
              <w:rPr>
                <w:color w:val="000000"/>
                <w:kern w:val="0"/>
              </w:rPr>
              <w:t>）</w:t>
            </w:r>
          </w:p>
        </w:tc>
        <w:tc>
          <w:tcPr>
            <w:tcW w:w="1367" w:type="dxa"/>
            <w:tcBorders>
              <w:top w:val="single" w:sz="0" w:space="0" w:color="000000"/>
              <w:left w:val="single" w:sz="0" w:space="0" w:color="000000"/>
              <w:bottom w:val="single" w:sz="0" w:space="0" w:color="000000"/>
              <w:right w:val="single" w:sz="0" w:space="0" w:color="000000"/>
            </w:tcBorders>
            <w:vAlign w:val="center"/>
          </w:tcPr>
          <w:p w:rsidR="005A7F90">
            <w:pPr>
              <w:ind w:left="17"/>
              <w:jc w:val="center"/>
              <w:rPr>
                <w:color w:val="000000"/>
                <w:kern w:val="0"/>
                <w:sz w:val="24"/>
              </w:rPr>
            </w:pPr>
            <w:r>
              <w:rPr>
                <w:color w:val="000000"/>
                <w:kern w:val="0"/>
              </w:rPr>
              <w:t>流通受限情况说明</w:t>
            </w:r>
          </w:p>
        </w:tc>
      </w:tr>
      <w:tr>
        <w:tblPrEx>
          <w:tblW w:w="0" w:type="auto"/>
          <w:tblInd w:w="15" w:type="dxa"/>
          <w:tblLayout w:type="fixed"/>
          <w:tblLook w:val="04A0"/>
        </w:tblPrEx>
        <w:tc>
          <w:tcPr>
            <w:tcW w:w="1083" w:type="dxa"/>
            <w:tcBorders>
              <w:top w:val="single" w:sz="0" w:space="0" w:color="000000"/>
              <w:left w:val="single" w:sz="0" w:space="0" w:color="000000"/>
              <w:bottom w:val="single" w:sz="0" w:space="0" w:color="000000"/>
              <w:right w:val="single" w:sz="0" w:space="0" w:color="000000"/>
            </w:tcBorders>
            <w:vAlign w:val="center"/>
          </w:tcPr>
          <w:p w:rsidR="005A7F90">
            <w:pPr>
              <w:jc w:val="center"/>
            </w:pPr>
            <w:r>
              <w:rPr>
                <w:color w:val="000000"/>
                <w:kern w:val="0"/>
              </w:rPr>
              <w:t>1</w:t>
            </w:r>
          </w:p>
        </w:tc>
        <w:tc>
          <w:tcPr>
            <w:tcW w:w="1302" w:type="dxa"/>
            <w:tcBorders>
              <w:top w:val="single" w:sz="0" w:space="0" w:color="000000"/>
              <w:left w:val="single" w:sz="0" w:space="0" w:color="000000"/>
              <w:bottom w:val="single" w:sz="0" w:space="0" w:color="000000"/>
              <w:right w:val="single" w:sz="0" w:space="0" w:color="000000"/>
            </w:tcBorders>
            <w:vAlign w:val="center"/>
          </w:tcPr>
          <w:p w:rsidR="005A7F90">
            <w:pPr>
              <w:jc w:val="center"/>
            </w:pPr>
            <w:r>
              <w:rPr>
                <w:color w:val="000000"/>
                <w:kern w:val="0"/>
              </w:rPr>
              <w:t>300850</w:t>
            </w:r>
          </w:p>
        </w:tc>
        <w:tc>
          <w:tcPr>
            <w:tcW w:w="1301" w:type="dxa"/>
            <w:tcBorders>
              <w:top w:val="single" w:sz="0" w:space="0" w:color="000000"/>
              <w:left w:val="single" w:sz="0" w:space="0" w:color="000000"/>
              <w:bottom w:val="single" w:sz="0" w:space="0" w:color="000000"/>
              <w:right w:val="single" w:sz="0" w:space="0" w:color="000000"/>
            </w:tcBorders>
            <w:vAlign w:val="center"/>
          </w:tcPr>
          <w:p w:rsidR="005A7F90">
            <w:pPr>
              <w:jc w:val="center"/>
            </w:pPr>
            <w:r>
              <w:rPr>
                <w:color w:val="000000"/>
                <w:kern w:val="0"/>
              </w:rPr>
              <w:t>新强联</w:t>
            </w:r>
          </w:p>
        </w:tc>
        <w:tc>
          <w:tcPr>
            <w:tcW w:w="1805" w:type="dxa"/>
            <w:tcBorders>
              <w:top w:val="single" w:sz="0" w:space="0" w:color="000000"/>
              <w:left w:val="single" w:sz="0" w:space="0" w:color="000000"/>
              <w:bottom w:val="single" w:sz="0" w:space="0" w:color="000000"/>
              <w:right w:val="single" w:sz="0" w:space="0" w:color="000000"/>
            </w:tcBorders>
            <w:vAlign w:val="center"/>
          </w:tcPr>
          <w:p w:rsidR="005A7F90">
            <w:pPr>
              <w:jc w:val="right"/>
            </w:pPr>
            <w:r>
              <w:rPr>
                <w:color w:val="000000"/>
                <w:kern w:val="0"/>
              </w:rPr>
              <w:t>2,955,388.75</w:t>
            </w:r>
          </w:p>
        </w:tc>
        <w:tc>
          <w:tcPr>
            <w:tcW w:w="1655" w:type="dxa"/>
            <w:tcBorders>
              <w:top w:val="single" w:sz="0" w:space="0" w:color="000000"/>
              <w:left w:val="single" w:sz="0" w:space="0" w:color="000000"/>
              <w:bottom w:val="single" w:sz="0" w:space="0" w:color="000000"/>
              <w:right w:val="single" w:sz="0" w:space="0" w:color="000000"/>
            </w:tcBorders>
            <w:vAlign w:val="center"/>
          </w:tcPr>
          <w:p w:rsidR="005A7F90">
            <w:pPr>
              <w:jc w:val="right"/>
            </w:pPr>
            <w:r>
              <w:rPr>
                <w:color w:val="000000"/>
                <w:kern w:val="0"/>
              </w:rPr>
              <w:t>0.14</w:t>
            </w:r>
          </w:p>
        </w:tc>
        <w:tc>
          <w:tcPr>
            <w:tcW w:w="1367" w:type="dxa"/>
            <w:tcBorders>
              <w:top w:val="single" w:sz="0" w:space="0" w:color="000000"/>
              <w:left w:val="single" w:sz="0" w:space="0" w:color="000000"/>
              <w:bottom w:val="single" w:sz="0" w:space="0" w:color="000000"/>
              <w:right w:val="single" w:sz="0" w:space="0" w:color="000000"/>
            </w:tcBorders>
            <w:vAlign w:val="center"/>
          </w:tcPr>
          <w:p w:rsidR="005A7F90">
            <w:pPr>
              <w:jc w:val="right"/>
            </w:pPr>
            <w:r>
              <w:rPr>
                <w:color w:val="000000"/>
                <w:kern w:val="0"/>
              </w:rPr>
              <w:t>非公开发行流通受限</w:t>
            </w:r>
          </w:p>
        </w:tc>
      </w:tr>
    </w:tbl>
    <w:p w:rsidR="004822EC">
      <w:pPr>
        <w:widowControl/>
        <w:jc w:val="left"/>
        <w:rPr>
          <w:rFonts w:asciiTheme="minorEastAsia" w:eastAsiaTheme="minorEastAsia" w:hAnsiTheme="minorEastAsia" w:cs="宋体"/>
          <w:b/>
          <w:bCs/>
          <w:sz w:val="32"/>
          <w:szCs w:val="32"/>
        </w:rPr>
      </w:pPr>
      <w:bookmarkStart w:id="131" w:name="_Toc229319817"/>
      <w:bookmarkStart w:id="132" w:name="_Toc182826379"/>
      <w:bookmarkStart w:id="133" w:name="_Toc132448650"/>
      <w:bookmarkStart w:id="134" w:name="_Toc92774755"/>
      <w:r>
        <w:rPr>
          <w:rFonts w:asciiTheme="minorEastAsia" w:eastAsiaTheme="minorEastAsia" w:hAnsiTheme="minorEastAsia"/>
          <w:b/>
          <w:bCs/>
        </w:rPr>
        <w:br w:type="page"/>
      </w:r>
    </w:p>
    <w:p w:rsidR="003A3487" w:rsidRPr="008564FF" w:rsidP="009C2B2A">
      <w:pPr>
        <w:pStyle w:val="Heading1"/>
        <w:snapToGrid w:val="0"/>
        <w:spacing w:beforeLines="0" w:afterLines="0" w:line="360" w:lineRule="auto"/>
        <w:ind w:firstLine="643"/>
        <w:rPr>
          <w:rFonts w:asciiTheme="minorEastAsia" w:eastAsiaTheme="minorEastAsia" w:hAnsiTheme="minorEastAsia"/>
          <w:b/>
          <w:bCs/>
        </w:rPr>
      </w:pPr>
      <w:bookmarkStart w:id="135" w:name="_Toc91749252"/>
      <w:r w:rsidRPr="008564FF">
        <w:rPr>
          <w:rFonts w:asciiTheme="minorEastAsia" w:eastAsiaTheme="minorEastAsia" w:hAnsiTheme="minorEastAsia" w:hint="eastAsia"/>
          <w:b/>
          <w:bCs/>
        </w:rPr>
        <w:t>十二、基金的业绩</w:t>
      </w:r>
      <w:bookmarkEnd w:id="131"/>
      <w:bookmarkEnd w:id="132"/>
      <w:bookmarkEnd w:id="133"/>
      <w:bookmarkEnd w:id="134"/>
      <w:bookmarkEnd w:id="135"/>
    </w:p>
    <w:p w:rsidR="003A3487" w:rsidRPr="008564FF" w:rsidP="004549E4">
      <w:pPr>
        <w:snapToGrid w:val="0"/>
        <w:spacing w:line="360" w:lineRule="auto"/>
        <w:ind w:firstLine="480"/>
        <w:rPr>
          <w:rFonts w:asciiTheme="minorEastAsia" w:eastAsiaTheme="minorEastAsia" w:hAnsiTheme="minorEastAsia"/>
          <w:szCs w:val="21"/>
        </w:rPr>
      </w:pPr>
      <w:r w:rsidRPr="008564FF">
        <w:rPr>
          <w:rFonts w:asciiTheme="minorEastAsia" w:eastAsiaTheme="minorEastAsia" w:hAnsiTheme="minorEastAsia" w:hint="eastAsia"/>
          <w:szCs w:val="21"/>
        </w:rPr>
        <w:t>基金管理人依照恪尽职守、诚实信用、谨慎勤勉的原则管理和运用基金财产，但不保证基金一定盈利，也不保证最低收益。基金的过往业绩并不代表其未来表现。投资有风险，投资者在作出投资决策前应仔细阅读本基金的招募说明书。</w:t>
      </w:r>
    </w:p>
    <w:p w:rsidR="003A3487" w:rsidRPr="008564FF" w:rsidP="0007535E">
      <w:pPr>
        <w:snapToGrid w:val="0"/>
        <w:spacing w:line="360" w:lineRule="auto"/>
        <w:ind w:firstLine="480"/>
        <w:rPr>
          <w:rFonts w:asciiTheme="minorEastAsia" w:eastAsiaTheme="minorEastAsia" w:hAnsiTheme="minorEastAsia"/>
          <w:szCs w:val="21"/>
        </w:rPr>
      </w:pPr>
      <w:r w:rsidRPr="008564FF">
        <w:rPr>
          <w:rFonts w:asciiTheme="minorEastAsia" w:eastAsiaTheme="minorEastAsia" w:hAnsiTheme="minorEastAsia" w:hint="eastAsia"/>
          <w:szCs w:val="21"/>
        </w:rPr>
        <w:t>本基金合同生效日为2009年3月26日，</w:t>
      </w:r>
      <w:r w:rsidRPr="008564FF" w:rsidR="002878B0">
        <w:rPr>
          <w:rFonts w:asciiTheme="minorEastAsia" w:eastAsiaTheme="minorEastAsia" w:hAnsiTheme="minorEastAsia" w:hint="eastAsia"/>
          <w:kern w:val="0"/>
          <w:szCs w:val="21"/>
        </w:rPr>
        <w:t>本基金</w:t>
      </w:r>
      <w:r w:rsidRPr="008564FF" w:rsidR="002878B0">
        <w:rPr>
          <w:rFonts w:asciiTheme="minorEastAsia" w:eastAsiaTheme="minorEastAsia" w:hAnsiTheme="minorEastAsia"/>
          <w:kern w:val="0"/>
          <w:szCs w:val="21"/>
        </w:rPr>
        <w:t>最近</w:t>
      </w:r>
      <w:r w:rsidRPr="008564FF" w:rsidR="002878B0">
        <w:rPr>
          <w:rFonts w:asciiTheme="minorEastAsia" w:eastAsiaTheme="minorEastAsia" w:hAnsiTheme="minorEastAsia" w:hint="eastAsia"/>
          <w:kern w:val="0"/>
          <w:szCs w:val="21"/>
        </w:rPr>
        <w:t>十个</w:t>
      </w:r>
      <w:r w:rsidRPr="008564FF" w:rsidR="002878B0">
        <w:rPr>
          <w:rFonts w:asciiTheme="minorEastAsia" w:eastAsiaTheme="minorEastAsia" w:hAnsiTheme="minorEastAsia"/>
          <w:kern w:val="0"/>
          <w:szCs w:val="21"/>
        </w:rPr>
        <w:t>完整会计年度</w:t>
      </w:r>
      <w:r w:rsidRPr="008564FF" w:rsidR="007F55C4">
        <w:rPr>
          <w:rFonts w:asciiTheme="minorEastAsia" w:eastAsiaTheme="minorEastAsia" w:hAnsiTheme="minorEastAsia" w:hint="eastAsia"/>
          <w:szCs w:val="21"/>
        </w:rPr>
        <w:t>（截至20</w:t>
      </w:r>
      <w:r w:rsidRPr="008564FF" w:rsidR="00BF5398">
        <w:rPr>
          <w:rFonts w:asciiTheme="minorEastAsia" w:eastAsiaTheme="minorEastAsia" w:hAnsiTheme="minorEastAsia" w:hint="eastAsia"/>
          <w:szCs w:val="21"/>
        </w:rPr>
        <w:t>20</w:t>
      </w:r>
      <w:r w:rsidRPr="008564FF" w:rsidR="007F55C4">
        <w:rPr>
          <w:rFonts w:asciiTheme="minorEastAsia" w:eastAsiaTheme="minorEastAsia" w:hAnsiTheme="minorEastAsia" w:hint="eastAsia"/>
          <w:szCs w:val="21"/>
        </w:rPr>
        <w:t>年12月31日）的投资业绩及与同期基准的比较如下表所示</w:t>
      </w:r>
      <w:r w:rsidRPr="008564FF">
        <w:rPr>
          <w:rFonts w:asciiTheme="minorEastAsia" w:eastAsiaTheme="minorEastAsia" w:hAnsiTheme="minorEastAsia" w:hint="eastAsia"/>
          <w:szCs w:val="21"/>
        </w:rPr>
        <w:t>：</w:t>
      </w:r>
    </w:p>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6"/>
        <w:gridCol w:w="1134"/>
        <w:gridCol w:w="1418"/>
        <w:gridCol w:w="1276"/>
        <w:gridCol w:w="1275"/>
        <w:gridCol w:w="993"/>
        <w:gridCol w:w="976"/>
      </w:tblGrid>
      <w:tr w:rsidTr="0007535E">
        <w:tblPrEx>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315"/>
          <w:jc w:val="center"/>
        </w:trPr>
        <w:tc>
          <w:tcPr>
            <w:tcW w:w="2196" w:type="dxa"/>
            <w:tcBorders>
              <w:top w:val="single" w:sz="4" w:space="0" w:color="auto"/>
              <w:left w:val="single" w:sz="4" w:space="0" w:color="auto"/>
              <w:bottom w:val="single" w:sz="4" w:space="0" w:color="auto"/>
              <w:right w:val="single" w:sz="4" w:space="0" w:color="auto"/>
            </w:tcBorders>
          </w:tcPr>
          <w:p w:rsidR="003A3487" w:rsidRPr="008564FF" w:rsidP="004549E4">
            <w:pPr>
              <w:tabs>
                <w:tab w:val="left" w:pos="5400"/>
              </w:tabs>
              <w:snapToGrid w:val="0"/>
              <w:spacing w:line="360" w:lineRule="auto"/>
              <w:ind w:firstLine="420"/>
              <w:jc w:val="center"/>
              <w:rPr>
                <w:rFonts w:asciiTheme="minorEastAsia" w:eastAsiaTheme="minorEastAsia" w:hAnsiTheme="minorEastAsia"/>
                <w:szCs w:val="21"/>
              </w:rPr>
            </w:pPr>
          </w:p>
          <w:p w:rsidR="003A3487" w:rsidRPr="008564FF" w:rsidP="004549E4">
            <w:pPr>
              <w:tabs>
                <w:tab w:val="left" w:pos="5400"/>
              </w:tabs>
              <w:snapToGrid w:val="0"/>
              <w:spacing w:line="360" w:lineRule="auto"/>
              <w:jc w:val="center"/>
              <w:rPr>
                <w:rFonts w:asciiTheme="minorEastAsia" w:eastAsiaTheme="minorEastAsia" w:hAnsiTheme="minorEastAsia"/>
                <w:szCs w:val="21"/>
              </w:rPr>
            </w:pPr>
            <w:r w:rsidRPr="008564FF">
              <w:rPr>
                <w:rFonts w:asciiTheme="minorEastAsia" w:eastAsiaTheme="minorEastAsia" w:hAnsiTheme="minorEastAsia" w:hint="eastAsia"/>
                <w:szCs w:val="21"/>
              </w:rPr>
              <w:t>阶段</w:t>
            </w:r>
          </w:p>
        </w:tc>
        <w:tc>
          <w:tcPr>
            <w:tcW w:w="1134" w:type="dxa"/>
            <w:tcBorders>
              <w:top w:val="single" w:sz="4" w:space="0" w:color="auto"/>
              <w:left w:val="single" w:sz="4" w:space="0" w:color="auto"/>
              <w:bottom w:val="single" w:sz="4" w:space="0" w:color="auto"/>
              <w:right w:val="single" w:sz="4" w:space="0" w:color="auto"/>
            </w:tcBorders>
          </w:tcPr>
          <w:p w:rsidR="003A3487" w:rsidRPr="008564FF" w:rsidP="004549E4">
            <w:pPr>
              <w:tabs>
                <w:tab w:val="left" w:pos="5400"/>
              </w:tabs>
              <w:snapToGrid w:val="0"/>
              <w:spacing w:line="360" w:lineRule="auto"/>
              <w:rPr>
                <w:rFonts w:asciiTheme="minorEastAsia" w:eastAsiaTheme="minorEastAsia" w:hAnsiTheme="minorEastAsia"/>
                <w:szCs w:val="21"/>
              </w:rPr>
            </w:pPr>
            <w:r w:rsidRPr="008564FF">
              <w:rPr>
                <w:rFonts w:asciiTheme="minorEastAsia" w:eastAsiaTheme="minorEastAsia" w:hAnsiTheme="minorEastAsia" w:hint="eastAsia"/>
                <w:szCs w:val="21"/>
              </w:rPr>
              <w:t>净值增长率①</w:t>
            </w:r>
          </w:p>
        </w:tc>
        <w:tc>
          <w:tcPr>
            <w:tcW w:w="1418" w:type="dxa"/>
            <w:tcBorders>
              <w:top w:val="single" w:sz="4" w:space="0" w:color="auto"/>
              <w:left w:val="single" w:sz="4" w:space="0" w:color="auto"/>
              <w:bottom w:val="single" w:sz="4" w:space="0" w:color="auto"/>
              <w:right w:val="single" w:sz="4" w:space="0" w:color="auto"/>
            </w:tcBorders>
          </w:tcPr>
          <w:p w:rsidR="003A3487" w:rsidRPr="008564FF" w:rsidP="004549E4">
            <w:pPr>
              <w:tabs>
                <w:tab w:val="left" w:pos="5400"/>
              </w:tabs>
              <w:snapToGrid w:val="0"/>
              <w:spacing w:line="360" w:lineRule="auto"/>
              <w:rPr>
                <w:rFonts w:asciiTheme="minorEastAsia" w:eastAsiaTheme="minorEastAsia" w:hAnsiTheme="minorEastAsia"/>
                <w:szCs w:val="21"/>
              </w:rPr>
            </w:pPr>
            <w:r w:rsidRPr="008564FF">
              <w:rPr>
                <w:rFonts w:asciiTheme="minorEastAsia" w:eastAsiaTheme="minorEastAsia" w:hAnsiTheme="minorEastAsia" w:hint="eastAsia"/>
                <w:szCs w:val="21"/>
              </w:rPr>
              <w:t>净值增长率标准差②</w:t>
            </w:r>
          </w:p>
        </w:tc>
        <w:tc>
          <w:tcPr>
            <w:tcW w:w="1276" w:type="dxa"/>
            <w:tcBorders>
              <w:top w:val="single" w:sz="4" w:space="0" w:color="auto"/>
              <w:left w:val="single" w:sz="4" w:space="0" w:color="auto"/>
              <w:bottom w:val="single" w:sz="4" w:space="0" w:color="auto"/>
              <w:right w:val="single" w:sz="4" w:space="0" w:color="auto"/>
            </w:tcBorders>
          </w:tcPr>
          <w:p w:rsidR="003A3487" w:rsidRPr="008564FF" w:rsidP="004549E4">
            <w:pPr>
              <w:tabs>
                <w:tab w:val="left" w:pos="5400"/>
              </w:tabs>
              <w:snapToGrid w:val="0"/>
              <w:spacing w:line="360" w:lineRule="auto"/>
              <w:rPr>
                <w:rFonts w:asciiTheme="minorEastAsia" w:eastAsiaTheme="minorEastAsia" w:hAnsiTheme="minorEastAsia"/>
                <w:szCs w:val="21"/>
              </w:rPr>
            </w:pPr>
            <w:r w:rsidRPr="008564FF">
              <w:rPr>
                <w:rFonts w:asciiTheme="minorEastAsia" w:eastAsiaTheme="minorEastAsia" w:hAnsiTheme="minorEastAsia" w:hint="eastAsia"/>
                <w:szCs w:val="21"/>
              </w:rPr>
              <w:t>业绩比较基准收益率③</w:t>
            </w:r>
          </w:p>
        </w:tc>
        <w:tc>
          <w:tcPr>
            <w:tcW w:w="1275" w:type="dxa"/>
            <w:tcBorders>
              <w:top w:val="single" w:sz="4" w:space="0" w:color="auto"/>
              <w:left w:val="single" w:sz="4" w:space="0" w:color="auto"/>
              <w:bottom w:val="single" w:sz="4" w:space="0" w:color="auto"/>
              <w:right w:val="single" w:sz="4" w:space="0" w:color="auto"/>
            </w:tcBorders>
          </w:tcPr>
          <w:p w:rsidR="003A3487" w:rsidRPr="008564FF" w:rsidP="004549E4">
            <w:pPr>
              <w:tabs>
                <w:tab w:val="left" w:pos="5400"/>
              </w:tabs>
              <w:snapToGrid w:val="0"/>
              <w:spacing w:line="360" w:lineRule="auto"/>
              <w:rPr>
                <w:rFonts w:asciiTheme="minorEastAsia" w:eastAsiaTheme="minorEastAsia" w:hAnsiTheme="minorEastAsia"/>
                <w:szCs w:val="21"/>
              </w:rPr>
            </w:pPr>
            <w:r w:rsidRPr="008564FF">
              <w:rPr>
                <w:rFonts w:asciiTheme="minorEastAsia" w:eastAsiaTheme="minorEastAsia" w:hAnsiTheme="minorEastAsia" w:hint="eastAsia"/>
                <w:szCs w:val="21"/>
              </w:rPr>
              <w:t>业绩比较基准收益率标准差④</w:t>
            </w:r>
          </w:p>
        </w:tc>
        <w:tc>
          <w:tcPr>
            <w:tcW w:w="993" w:type="dxa"/>
            <w:tcBorders>
              <w:top w:val="single" w:sz="4" w:space="0" w:color="auto"/>
              <w:left w:val="single" w:sz="4" w:space="0" w:color="auto"/>
              <w:bottom w:val="single" w:sz="4" w:space="0" w:color="auto"/>
              <w:right w:val="single" w:sz="4" w:space="0" w:color="auto"/>
            </w:tcBorders>
          </w:tcPr>
          <w:p w:rsidR="003A3487" w:rsidRPr="008564FF" w:rsidP="004549E4">
            <w:pPr>
              <w:tabs>
                <w:tab w:val="left" w:pos="5400"/>
              </w:tabs>
              <w:snapToGrid w:val="0"/>
              <w:spacing w:line="360" w:lineRule="auto"/>
              <w:ind w:firstLine="420"/>
              <w:jc w:val="center"/>
              <w:rPr>
                <w:rFonts w:asciiTheme="minorEastAsia" w:eastAsiaTheme="minorEastAsia" w:hAnsiTheme="minorEastAsia"/>
                <w:szCs w:val="21"/>
              </w:rPr>
            </w:pPr>
          </w:p>
          <w:p w:rsidR="003A3487" w:rsidRPr="008564FF" w:rsidP="004549E4">
            <w:pPr>
              <w:tabs>
                <w:tab w:val="left" w:pos="5400"/>
              </w:tabs>
              <w:snapToGrid w:val="0"/>
              <w:spacing w:line="360" w:lineRule="auto"/>
              <w:jc w:val="center"/>
              <w:rPr>
                <w:rFonts w:asciiTheme="minorEastAsia" w:eastAsiaTheme="minorEastAsia" w:hAnsiTheme="minorEastAsia"/>
                <w:szCs w:val="21"/>
              </w:rPr>
            </w:pPr>
            <w:r w:rsidRPr="008564FF">
              <w:rPr>
                <w:rFonts w:asciiTheme="minorEastAsia" w:eastAsiaTheme="minorEastAsia" w:hAnsiTheme="minorEastAsia" w:hint="eastAsia"/>
                <w:szCs w:val="21"/>
              </w:rPr>
              <w:t>①-③</w:t>
            </w:r>
          </w:p>
        </w:tc>
        <w:tc>
          <w:tcPr>
            <w:tcW w:w="976" w:type="dxa"/>
            <w:tcBorders>
              <w:top w:val="single" w:sz="4" w:space="0" w:color="auto"/>
              <w:left w:val="single" w:sz="4" w:space="0" w:color="auto"/>
              <w:bottom w:val="single" w:sz="4" w:space="0" w:color="auto"/>
              <w:right w:val="single" w:sz="4" w:space="0" w:color="auto"/>
            </w:tcBorders>
          </w:tcPr>
          <w:p w:rsidR="003A3487" w:rsidRPr="008564FF" w:rsidP="004549E4">
            <w:pPr>
              <w:tabs>
                <w:tab w:val="left" w:pos="5400"/>
              </w:tabs>
              <w:snapToGrid w:val="0"/>
              <w:spacing w:line="360" w:lineRule="auto"/>
              <w:ind w:firstLine="420"/>
              <w:jc w:val="center"/>
              <w:rPr>
                <w:rFonts w:asciiTheme="minorEastAsia" w:eastAsiaTheme="minorEastAsia" w:hAnsiTheme="minorEastAsia"/>
                <w:szCs w:val="21"/>
              </w:rPr>
            </w:pPr>
          </w:p>
          <w:p w:rsidR="003A3487" w:rsidRPr="008564FF" w:rsidP="004549E4">
            <w:pPr>
              <w:tabs>
                <w:tab w:val="left" w:pos="5400"/>
              </w:tabs>
              <w:snapToGrid w:val="0"/>
              <w:spacing w:line="360" w:lineRule="auto"/>
              <w:jc w:val="center"/>
              <w:rPr>
                <w:rFonts w:asciiTheme="minorEastAsia" w:eastAsiaTheme="minorEastAsia" w:hAnsiTheme="minorEastAsia"/>
                <w:szCs w:val="21"/>
              </w:rPr>
            </w:pPr>
            <w:r w:rsidRPr="008564FF">
              <w:rPr>
                <w:rFonts w:asciiTheme="minorEastAsia" w:eastAsiaTheme="minorEastAsia" w:hAnsiTheme="minorEastAsia" w:hint="eastAsia"/>
                <w:szCs w:val="21"/>
              </w:rPr>
              <w:t>②-④</w:t>
            </w:r>
          </w:p>
        </w:tc>
      </w:tr>
      <w:tr>
        <w:tblPrEx>
          <w:tblW w:w="9268" w:type="dxa"/>
          <w:jc w:val="center"/>
          <w:tblLayout w:type="fixed"/>
          <w:tblLook w:val="04A0"/>
        </w:tblPrEx>
        <w:trPr>
          <w:jc w:val="center"/>
        </w:trPr>
        <w:tc>
          <w:tcPr>
            <w:tcW w:w="2196" w:type="dxa"/>
          </w:tcPr>
          <w:p w:rsidR="005A7F90">
            <w:pPr>
              <w:jc w:val="center"/>
            </w:pPr>
            <w:r>
              <w:t>2011</w:t>
            </w:r>
            <w:r>
              <w:t>年</w:t>
            </w:r>
            <w:r>
              <w:t>1</w:t>
            </w:r>
            <w:r>
              <w:t>月</w:t>
            </w:r>
            <w:r>
              <w:t>1</w:t>
            </w:r>
            <w:r>
              <w:t>日至</w:t>
            </w:r>
            <w:r>
              <w:t>2011</w:t>
            </w:r>
            <w:r>
              <w:t>年</w:t>
            </w:r>
            <w:r>
              <w:t>12</w:t>
            </w:r>
            <w:r>
              <w:t>月</w:t>
            </w:r>
            <w:r>
              <w:t>31</w:t>
            </w:r>
            <w:r>
              <w:t>日</w:t>
            </w:r>
          </w:p>
        </w:tc>
        <w:tc>
          <w:tcPr>
            <w:tcW w:w="1134" w:type="dxa"/>
          </w:tcPr>
          <w:p w:rsidR="005A7F90">
            <w:r>
              <w:t>-29.59%</w:t>
            </w:r>
          </w:p>
        </w:tc>
        <w:tc>
          <w:tcPr>
            <w:tcW w:w="1418" w:type="dxa"/>
          </w:tcPr>
          <w:p w:rsidR="005A7F90">
            <w:r>
              <w:t>1.25%</w:t>
            </w:r>
          </w:p>
        </w:tc>
        <w:tc>
          <w:tcPr>
            <w:tcW w:w="1276" w:type="dxa"/>
          </w:tcPr>
          <w:p w:rsidR="005A7F90">
            <w:r>
              <w:t>-19.51%</w:t>
            </w:r>
          </w:p>
        </w:tc>
        <w:tc>
          <w:tcPr>
            <w:tcW w:w="1275" w:type="dxa"/>
          </w:tcPr>
          <w:p w:rsidR="005A7F90">
            <w:r>
              <w:t>1.04%</w:t>
            </w:r>
          </w:p>
        </w:tc>
        <w:tc>
          <w:tcPr>
            <w:tcW w:w="993" w:type="dxa"/>
          </w:tcPr>
          <w:p w:rsidR="005A7F90">
            <w:pPr>
              <w:jc w:val="center"/>
            </w:pPr>
            <w:r>
              <w:t>-10.08%</w:t>
            </w:r>
          </w:p>
        </w:tc>
        <w:tc>
          <w:tcPr>
            <w:tcW w:w="976" w:type="dxa"/>
          </w:tcPr>
          <w:p w:rsidR="005A7F90">
            <w:pPr>
              <w:jc w:val="center"/>
            </w:pPr>
            <w:r>
              <w:t>0.21%</w:t>
            </w:r>
          </w:p>
        </w:tc>
      </w:tr>
      <w:tr>
        <w:tblPrEx>
          <w:tblW w:w="9268" w:type="dxa"/>
          <w:jc w:val="center"/>
          <w:tblLayout w:type="fixed"/>
          <w:tblLook w:val="04A0"/>
        </w:tblPrEx>
        <w:trPr>
          <w:jc w:val="center"/>
        </w:trPr>
        <w:tc>
          <w:tcPr>
            <w:tcW w:w="2196" w:type="dxa"/>
          </w:tcPr>
          <w:p w:rsidR="005A7F90">
            <w:pPr>
              <w:jc w:val="center"/>
            </w:pPr>
            <w:r>
              <w:t>2012</w:t>
            </w:r>
            <w:r>
              <w:t>年</w:t>
            </w:r>
            <w:r>
              <w:t>1</w:t>
            </w:r>
            <w:r>
              <w:t>月</w:t>
            </w:r>
            <w:r>
              <w:t>1</w:t>
            </w:r>
            <w:r>
              <w:t>日至</w:t>
            </w:r>
            <w:r>
              <w:t>2012</w:t>
            </w:r>
            <w:r>
              <w:t>年</w:t>
            </w:r>
            <w:r>
              <w:t>12</w:t>
            </w:r>
            <w:r>
              <w:t>月</w:t>
            </w:r>
            <w:r>
              <w:t>31</w:t>
            </w:r>
            <w:r>
              <w:t>日</w:t>
            </w:r>
          </w:p>
        </w:tc>
        <w:tc>
          <w:tcPr>
            <w:tcW w:w="1134" w:type="dxa"/>
          </w:tcPr>
          <w:p w:rsidR="005A7F90">
            <w:r>
              <w:t>4.66%</w:t>
            </w:r>
          </w:p>
        </w:tc>
        <w:tc>
          <w:tcPr>
            <w:tcW w:w="1418" w:type="dxa"/>
          </w:tcPr>
          <w:p w:rsidR="005A7F90">
            <w:r>
              <w:t>1.22%</w:t>
            </w:r>
          </w:p>
        </w:tc>
        <w:tc>
          <w:tcPr>
            <w:tcW w:w="1276" w:type="dxa"/>
          </w:tcPr>
          <w:p w:rsidR="005A7F90">
            <w:r>
              <w:t>5.91%</w:t>
            </w:r>
          </w:p>
        </w:tc>
        <w:tc>
          <w:tcPr>
            <w:tcW w:w="1275" w:type="dxa"/>
          </w:tcPr>
          <w:p w:rsidR="005A7F90">
            <w:r>
              <w:t>1.02%</w:t>
            </w:r>
          </w:p>
        </w:tc>
        <w:tc>
          <w:tcPr>
            <w:tcW w:w="993" w:type="dxa"/>
          </w:tcPr>
          <w:p w:rsidR="005A7F90">
            <w:pPr>
              <w:jc w:val="center"/>
            </w:pPr>
            <w:r>
              <w:t>-1.25%</w:t>
            </w:r>
          </w:p>
        </w:tc>
        <w:tc>
          <w:tcPr>
            <w:tcW w:w="976" w:type="dxa"/>
          </w:tcPr>
          <w:p w:rsidR="005A7F90">
            <w:pPr>
              <w:jc w:val="center"/>
            </w:pPr>
            <w:r>
              <w:t>0.20%</w:t>
            </w:r>
          </w:p>
        </w:tc>
      </w:tr>
      <w:tr>
        <w:tblPrEx>
          <w:tblW w:w="9268" w:type="dxa"/>
          <w:jc w:val="center"/>
          <w:tblLayout w:type="fixed"/>
          <w:tblLook w:val="04A0"/>
        </w:tblPrEx>
        <w:trPr>
          <w:jc w:val="center"/>
        </w:trPr>
        <w:tc>
          <w:tcPr>
            <w:tcW w:w="2196" w:type="dxa"/>
          </w:tcPr>
          <w:p w:rsidR="005A7F90">
            <w:pPr>
              <w:jc w:val="center"/>
            </w:pPr>
            <w:r>
              <w:t>2013</w:t>
            </w:r>
            <w:r>
              <w:t>年</w:t>
            </w:r>
            <w:r>
              <w:t>1</w:t>
            </w:r>
            <w:r>
              <w:t>月</w:t>
            </w:r>
            <w:r>
              <w:t>1</w:t>
            </w:r>
            <w:r>
              <w:t>日至</w:t>
            </w:r>
            <w:r>
              <w:t>2013</w:t>
            </w:r>
            <w:r>
              <w:t>年</w:t>
            </w:r>
            <w:r>
              <w:t>12</w:t>
            </w:r>
            <w:r>
              <w:t>月</w:t>
            </w:r>
            <w:r>
              <w:t>31</w:t>
            </w:r>
            <w:r>
              <w:t>日</w:t>
            </w:r>
          </w:p>
        </w:tc>
        <w:tc>
          <w:tcPr>
            <w:tcW w:w="1134" w:type="dxa"/>
          </w:tcPr>
          <w:p w:rsidR="005A7F90">
            <w:r>
              <w:t>29.11%</w:t>
            </w:r>
          </w:p>
        </w:tc>
        <w:tc>
          <w:tcPr>
            <w:tcW w:w="1418" w:type="dxa"/>
          </w:tcPr>
          <w:p w:rsidR="005A7F90">
            <w:r>
              <w:t>1.32%</w:t>
            </w:r>
          </w:p>
        </w:tc>
        <w:tc>
          <w:tcPr>
            <w:tcW w:w="1276" w:type="dxa"/>
          </w:tcPr>
          <w:p w:rsidR="005A7F90">
            <w:r>
              <w:t>-7.17%</w:t>
            </w:r>
          </w:p>
        </w:tc>
        <w:tc>
          <w:tcPr>
            <w:tcW w:w="1275" w:type="dxa"/>
          </w:tcPr>
          <w:p w:rsidR="005A7F90">
            <w:r>
              <w:t>1.12%</w:t>
            </w:r>
          </w:p>
        </w:tc>
        <w:tc>
          <w:tcPr>
            <w:tcW w:w="993" w:type="dxa"/>
          </w:tcPr>
          <w:p w:rsidR="005A7F90">
            <w:pPr>
              <w:jc w:val="center"/>
            </w:pPr>
            <w:r>
              <w:t>36.28%</w:t>
            </w:r>
          </w:p>
        </w:tc>
        <w:tc>
          <w:tcPr>
            <w:tcW w:w="976" w:type="dxa"/>
          </w:tcPr>
          <w:p w:rsidR="005A7F90">
            <w:pPr>
              <w:jc w:val="center"/>
            </w:pPr>
            <w:r>
              <w:t>0.20%</w:t>
            </w:r>
          </w:p>
        </w:tc>
      </w:tr>
      <w:tr>
        <w:tblPrEx>
          <w:tblW w:w="9268" w:type="dxa"/>
          <w:jc w:val="center"/>
          <w:tblLayout w:type="fixed"/>
          <w:tblLook w:val="04A0"/>
        </w:tblPrEx>
        <w:trPr>
          <w:jc w:val="center"/>
        </w:trPr>
        <w:tc>
          <w:tcPr>
            <w:tcW w:w="2196" w:type="dxa"/>
          </w:tcPr>
          <w:p w:rsidR="005A7F90">
            <w:pPr>
              <w:jc w:val="center"/>
            </w:pPr>
            <w:r>
              <w:t>2014</w:t>
            </w:r>
            <w:r>
              <w:t>年</w:t>
            </w:r>
            <w:r>
              <w:t>1</w:t>
            </w:r>
            <w:r>
              <w:t>月</w:t>
            </w:r>
            <w:r>
              <w:t>1</w:t>
            </w:r>
            <w:r>
              <w:t>日至</w:t>
            </w:r>
            <w:r>
              <w:t>2014</w:t>
            </w:r>
            <w:r>
              <w:t>年</w:t>
            </w:r>
            <w:r>
              <w:t>12</w:t>
            </w:r>
            <w:r>
              <w:t>月</w:t>
            </w:r>
            <w:r>
              <w:t>31</w:t>
            </w:r>
            <w:r>
              <w:t>日</w:t>
            </w:r>
          </w:p>
        </w:tc>
        <w:tc>
          <w:tcPr>
            <w:tcW w:w="1134" w:type="dxa"/>
          </w:tcPr>
          <w:p w:rsidR="005A7F90">
            <w:r>
              <w:t>1.06%</w:t>
            </w:r>
          </w:p>
        </w:tc>
        <w:tc>
          <w:tcPr>
            <w:tcW w:w="1418" w:type="dxa"/>
          </w:tcPr>
          <w:p w:rsidR="005A7F90">
            <w:r>
              <w:t>1.17%</w:t>
            </w:r>
          </w:p>
        </w:tc>
        <w:tc>
          <w:tcPr>
            <w:tcW w:w="1276" w:type="dxa"/>
          </w:tcPr>
          <w:p w:rsidR="005A7F90">
            <w:r>
              <w:t>42.82%</w:t>
            </w:r>
          </w:p>
        </w:tc>
        <w:tc>
          <w:tcPr>
            <w:tcW w:w="1275" w:type="dxa"/>
          </w:tcPr>
          <w:p w:rsidR="005A7F90">
            <w:r>
              <w:t>0.97%</w:t>
            </w:r>
          </w:p>
        </w:tc>
        <w:tc>
          <w:tcPr>
            <w:tcW w:w="993" w:type="dxa"/>
          </w:tcPr>
          <w:p w:rsidR="005A7F90">
            <w:pPr>
              <w:jc w:val="center"/>
            </w:pPr>
            <w:r>
              <w:t>-41.76%</w:t>
            </w:r>
          </w:p>
        </w:tc>
        <w:tc>
          <w:tcPr>
            <w:tcW w:w="976" w:type="dxa"/>
          </w:tcPr>
          <w:p w:rsidR="005A7F90">
            <w:pPr>
              <w:jc w:val="center"/>
            </w:pPr>
            <w:r>
              <w:t>0.20%</w:t>
            </w:r>
          </w:p>
        </w:tc>
      </w:tr>
      <w:tr>
        <w:tblPrEx>
          <w:tblW w:w="9268" w:type="dxa"/>
          <w:jc w:val="center"/>
          <w:tblLayout w:type="fixed"/>
          <w:tblLook w:val="04A0"/>
        </w:tblPrEx>
        <w:trPr>
          <w:jc w:val="center"/>
        </w:trPr>
        <w:tc>
          <w:tcPr>
            <w:tcW w:w="2196" w:type="dxa"/>
          </w:tcPr>
          <w:p w:rsidR="005A7F90">
            <w:pPr>
              <w:jc w:val="center"/>
            </w:pPr>
            <w:r>
              <w:t>2015</w:t>
            </w:r>
            <w:r>
              <w:t>年</w:t>
            </w:r>
            <w:r>
              <w:t>1</w:t>
            </w:r>
            <w:r>
              <w:t>月</w:t>
            </w:r>
            <w:r>
              <w:t>1</w:t>
            </w:r>
            <w:r>
              <w:t>日至</w:t>
            </w:r>
            <w:r>
              <w:t>2015</w:t>
            </w:r>
            <w:r>
              <w:t>年</w:t>
            </w:r>
            <w:r>
              <w:t>12</w:t>
            </w:r>
            <w:r>
              <w:t>月</w:t>
            </w:r>
            <w:r>
              <w:t>31</w:t>
            </w:r>
            <w:r>
              <w:t>日</w:t>
            </w:r>
          </w:p>
        </w:tc>
        <w:tc>
          <w:tcPr>
            <w:tcW w:w="1134" w:type="dxa"/>
          </w:tcPr>
          <w:p w:rsidR="005A7F90">
            <w:r>
              <w:t>68.26%</w:t>
            </w:r>
          </w:p>
        </w:tc>
        <w:tc>
          <w:tcPr>
            <w:tcW w:w="1418" w:type="dxa"/>
          </w:tcPr>
          <w:p w:rsidR="005A7F90">
            <w:r>
              <w:t>2.90%</w:t>
            </w:r>
          </w:p>
        </w:tc>
        <w:tc>
          <w:tcPr>
            <w:tcW w:w="1276" w:type="dxa"/>
          </w:tcPr>
          <w:p w:rsidR="005A7F90">
            <w:r>
              <w:t>5.37%</w:t>
            </w:r>
          </w:p>
        </w:tc>
        <w:tc>
          <w:tcPr>
            <w:tcW w:w="1275" w:type="dxa"/>
          </w:tcPr>
          <w:p w:rsidR="005A7F90">
            <w:r>
              <w:t>1.99%</w:t>
            </w:r>
          </w:p>
        </w:tc>
        <w:tc>
          <w:tcPr>
            <w:tcW w:w="993" w:type="dxa"/>
          </w:tcPr>
          <w:p w:rsidR="005A7F90">
            <w:pPr>
              <w:jc w:val="center"/>
            </w:pPr>
            <w:r>
              <w:t>62.89%</w:t>
            </w:r>
          </w:p>
        </w:tc>
        <w:tc>
          <w:tcPr>
            <w:tcW w:w="976" w:type="dxa"/>
          </w:tcPr>
          <w:p w:rsidR="005A7F90">
            <w:pPr>
              <w:jc w:val="center"/>
            </w:pPr>
            <w:r>
              <w:t>0.91%</w:t>
            </w:r>
          </w:p>
        </w:tc>
      </w:tr>
      <w:tr>
        <w:tblPrEx>
          <w:tblW w:w="9268" w:type="dxa"/>
          <w:jc w:val="center"/>
          <w:tblLayout w:type="fixed"/>
          <w:tblLook w:val="04A0"/>
        </w:tblPrEx>
        <w:trPr>
          <w:jc w:val="center"/>
        </w:trPr>
        <w:tc>
          <w:tcPr>
            <w:tcW w:w="2196" w:type="dxa"/>
          </w:tcPr>
          <w:p w:rsidR="005A7F90">
            <w:pPr>
              <w:jc w:val="center"/>
            </w:pPr>
            <w:r>
              <w:t>2016</w:t>
            </w:r>
            <w:r>
              <w:t>年</w:t>
            </w:r>
            <w:r>
              <w:t>1</w:t>
            </w:r>
            <w:r>
              <w:t>月</w:t>
            </w:r>
            <w:r>
              <w:t>1</w:t>
            </w:r>
            <w:r>
              <w:t>日至</w:t>
            </w:r>
            <w:r>
              <w:t>2016</w:t>
            </w:r>
            <w:r>
              <w:t>年</w:t>
            </w:r>
            <w:r>
              <w:t>12</w:t>
            </w:r>
            <w:r>
              <w:t>月</w:t>
            </w:r>
            <w:r>
              <w:t>31</w:t>
            </w:r>
            <w:r>
              <w:t>日</w:t>
            </w:r>
          </w:p>
        </w:tc>
        <w:tc>
          <w:tcPr>
            <w:tcW w:w="1134" w:type="dxa"/>
          </w:tcPr>
          <w:p w:rsidR="005A7F90">
            <w:r>
              <w:t>-19.77%</w:t>
            </w:r>
          </w:p>
        </w:tc>
        <w:tc>
          <w:tcPr>
            <w:tcW w:w="1418" w:type="dxa"/>
          </w:tcPr>
          <w:p w:rsidR="005A7F90">
            <w:r>
              <w:t>1.92%</w:t>
            </w:r>
          </w:p>
        </w:tc>
        <w:tc>
          <w:tcPr>
            <w:tcW w:w="1276" w:type="dxa"/>
          </w:tcPr>
          <w:p w:rsidR="005A7F90">
            <w:r>
              <w:t>-9.39%</w:t>
            </w:r>
          </w:p>
        </w:tc>
        <w:tc>
          <w:tcPr>
            <w:tcW w:w="1275" w:type="dxa"/>
          </w:tcPr>
          <w:p w:rsidR="005A7F90">
            <w:r>
              <w:t>1.12%</w:t>
            </w:r>
          </w:p>
        </w:tc>
        <w:tc>
          <w:tcPr>
            <w:tcW w:w="993" w:type="dxa"/>
          </w:tcPr>
          <w:p w:rsidR="005A7F90">
            <w:pPr>
              <w:jc w:val="center"/>
            </w:pPr>
            <w:r>
              <w:t>-10.38%</w:t>
            </w:r>
          </w:p>
        </w:tc>
        <w:tc>
          <w:tcPr>
            <w:tcW w:w="976" w:type="dxa"/>
          </w:tcPr>
          <w:p w:rsidR="005A7F90">
            <w:pPr>
              <w:jc w:val="center"/>
            </w:pPr>
            <w:r>
              <w:t>0.80%</w:t>
            </w:r>
          </w:p>
        </w:tc>
      </w:tr>
      <w:tr>
        <w:tblPrEx>
          <w:tblW w:w="9268" w:type="dxa"/>
          <w:jc w:val="center"/>
          <w:tblLayout w:type="fixed"/>
          <w:tblLook w:val="04A0"/>
        </w:tblPrEx>
        <w:trPr>
          <w:jc w:val="center"/>
        </w:trPr>
        <w:tc>
          <w:tcPr>
            <w:tcW w:w="2196" w:type="dxa"/>
          </w:tcPr>
          <w:p w:rsidR="005A7F90">
            <w:pPr>
              <w:jc w:val="center"/>
            </w:pPr>
            <w:r>
              <w:t>2017</w:t>
            </w:r>
            <w:r>
              <w:t>年</w:t>
            </w:r>
            <w:r>
              <w:t>1</w:t>
            </w:r>
            <w:r>
              <w:t>月</w:t>
            </w:r>
            <w:r>
              <w:t>1</w:t>
            </w:r>
            <w:r>
              <w:t>日至</w:t>
            </w:r>
            <w:r>
              <w:t>2017</w:t>
            </w:r>
            <w:r>
              <w:t>年</w:t>
            </w:r>
            <w:r>
              <w:t>12</w:t>
            </w:r>
            <w:r>
              <w:t>月</w:t>
            </w:r>
            <w:r>
              <w:t>31</w:t>
            </w:r>
            <w:r>
              <w:t>日</w:t>
            </w:r>
          </w:p>
        </w:tc>
        <w:tc>
          <w:tcPr>
            <w:tcW w:w="1134" w:type="dxa"/>
          </w:tcPr>
          <w:p w:rsidR="005A7F90">
            <w:r>
              <w:t>42.10%</w:t>
            </w:r>
          </w:p>
        </w:tc>
        <w:tc>
          <w:tcPr>
            <w:tcW w:w="1418" w:type="dxa"/>
          </w:tcPr>
          <w:p w:rsidR="005A7F90">
            <w:r>
              <w:t>0.89%</w:t>
            </w:r>
          </w:p>
        </w:tc>
        <w:tc>
          <w:tcPr>
            <w:tcW w:w="1276" w:type="dxa"/>
          </w:tcPr>
          <w:p w:rsidR="005A7F90">
            <w:r>
              <w:t>16.57%</w:t>
            </w:r>
          </w:p>
        </w:tc>
        <w:tc>
          <w:tcPr>
            <w:tcW w:w="1275" w:type="dxa"/>
          </w:tcPr>
          <w:p w:rsidR="005A7F90">
            <w:r>
              <w:t>0.51%</w:t>
            </w:r>
          </w:p>
        </w:tc>
        <w:tc>
          <w:tcPr>
            <w:tcW w:w="993" w:type="dxa"/>
          </w:tcPr>
          <w:p w:rsidR="005A7F90">
            <w:pPr>
              <w:jc w:val="center"/>
            </w:pPr>
            <w:r>
              <w:t>25.53%</w:t>
            </w:r>
          </w:p>
        </w:tc>
        <w:tc>
          <w:tcPr>
            <w:tcW w:w="976" w:type="dxa"/>
          </w:tcPr>
          <w:p w:rsidR="005A7F90">
            <w:pPr>
              <w:jc w:val="center"/>
            </w:pPr>
            <w:r>
              <w:t>0.38%</w:t>
            </w:r>
          </w:p>
        </w:tc>
      </w:tr>
      <w:tr>
        <w:tblPrEx>
          <w:tblW w:w="9268" w:type="dxa"/>
          <w:jc w:val="center"/>
          <w:tblLayout w:type="fixed"/>
          <w:tblLook w:val="04A0"/>
        </w:tblPrEx>
        <w:trPr>
          <w:jc w:val="center"/>
        </w:trPr>
        <w:tc>
          <w:tcPr>
            <w:tcW w:w="2196" w:type="dxa"/>
          </w:tcPr>
          <w:p w:rsidR="005A7F90">
            <w:pPr>
              <w:jc w:val="center"/>
            </w:pPr>
            <w:r>
              <w:t>2018</w:t>
            </w:r>
            <w:r>
              <w:t>年</w:t>
            </w:r>
            <w:r>
              <w:t>1</w:t>
            </w:r>
            <w:r>
              <w:t>月</w:t>
            </w:r>
            <w:r>
              <w:t>1</w:t>
            </w:r>
            <w:r>
              <w:t>日至</w:t>
            </w:r>
            <w:r>
              <w:t>2018</w:t>
            </w:r>
            <w:r>
              <w:t>年</w:t>
            </w:r>
            <w:r>
              <w:t>12</w:t>
            </w:r>
            <w:r>
              <w:t>月</w:t>
            </w:r>
            <w:r>
              <w:t>31</w:t>
            </w:r>
            <w:r>
              <w:t>日</w:t>
            </w:r>
          </w:p>
        </w:tc>
        <w:tc>
          <w:tcPr>
            <w:tcW w:w="1134" w:type="dxa"/>
          </w:tcPr>
          <w:p w:rsidR="005A7F90">
            <w:r>
              <w:t>-25.26%</w:t>
            </w:r>
          </w:p>
        </w:tc>
        <w:tc>
          <w:tcPr>
            <w:tcW w:w="1418" w:type="dxa"/>
          </w:tcPr>
          <w:p w:rsidR="005A7F90">
            <w:r>
              <w:t>1.46%</w:t>
            </w:r>
          </w:p>
        </w:tc>
        <w:tc>
          <w:tcPr>
            <w:tcW w:w="1276" w:type="dxa"/>
          </w:tcPr>
          <w:p w:rsidR="005A7F90">
            <w:r>
              <w:t>-19.01%</w:t>
            </w:r>
          </w:p>
        </w:tc>
        <w:tc>
          <w:tcPr>
            <w:tcW w:w="1275" w:type="dxa"/>
          </w:tcPr>
          <w:p w:rsidR="005A7F90">
            <w:r>
              <w:t>1.07%</w:t>
            </w:r>
          </w:p>
        </w:tc>
        <w:tc>
          <w:tcPr>
            <w:tcW w:w="993" w:type="dxa"/>
          </w:tcPr>
          <w:p w:rsidR="005A7F90">
            <w:pPr>
              <w:jc w:val="center"/>
            </w:pPr>
            <w:r>
              <w:t>-6.25%</w:t>
            </w:r>
          </w:p>
        </w:tc>
        <w:tc>
          <w:tcPr>
            <w:tcW w:w="976" w:type="dxa"/>
          </w:tcPr>
          <w:p w:rsidR="005A7F90">
            <w:pPr>
              <w:jc w:val="center"/>
            </w:pPr>
            <w:r>
              <w:t>0.39%</w:t>
            </w:r>
          </w:p>
        </w:tc>
      </w:tr>
      <w:tr>
        <w:tblPrEx>
          <w:tblW w:w="9268" w:type="dxa"/>
          <w:jc w:val="center"/>
          <w:tblLayout w:type="fixed"/>
          <w:tblLook w:val="04A0"/>
        </w:tblPrEx>
        <w:trPr>
          <w:jc w:val="center"/>
        </w:trPr>
        <w:tc>
          <w:tcPr>
            <w:tcW w:w="2196" w:type="dxa"/>
          </w:tcPr>
          <w:p w:rsidR="005A7F90">
            <w:pPr>
              <w:jc w:val="center"/>
            </w:pPr>
            <w:r>
              <w:t>2019</w:t>
            </w:r>
            <w:r>
              <w:t>年</w:t>
            </w:r>
            <w:r>
              <w:t>1</w:t>
            </w:r>
            <w:r>
              <w:t>月</w:t>
            </w:r>
            <w:r>
              <w:t>1</w:t>
            </w:r>
            <w:r>
              <w:t>日至</w:t>
            </w:r>
            <w:r>
              <w:t>2019</w:t>
            </w:r>
            <w:r>
              <w:t>年</w:t>
            </w:r>
            <w:r>
              <w:t>12</w:t>
            </w:r>
            <w:r>
              <w:t>月</w:t>
            </w:r>
            <w:r>
              <w:t>31</w:t>
            </w:r>
            <w:r>
              <w:t>日</w:t>
            </w:r>
          </w:p>
        </w:tc>
        <w:tc>
          <w:tcPr>
            <w:tcW w:w="1134" w:type="dxa"/>
          </w:tcPr>
          <w:p w:rsidR="005A7F90">
            <w:r>
              <w:t>62.93%</w:t>
            </w:r>
          </w:p>
        </w:tc>
        <w:tc>
          <w:tcPr>
            <w:tcW w:w="1418" w:type="dxa"/>
          </w:tcPr>
          <w:p w:rsidR="005A7F90">
            <w:r>
              <w:t>1.32%</w:t>
            </w:r>
          </w:p>
        </w:tc>
        <w:tc>
          <w:tcPr>
            <w:tcW w:w="1276" w:type="dxa"/>
          </w:tcPr>
          <w:p w:rsidR="005A7F90">
            <w:r>
              <w:t>29.07%</w:t>
            </w:r>
          </w:p>
        </w:tc>
        <w:tc>
          <w:tcPr>
            <w:tcW w:w="1275" w:type="dxa"/>
          </w:tcPr>
          <w:p w:rsidR="005A7F90">
            <w:r>
              <w:t>0.99%</w:t>
            </w:r>
          </w:p>
        </w:tc>
        <w:tc>
          <w:tcPr>
            <w:tcW w:w="993" w:type="dxa"/>
          </w:tcPr>
          <w:p w:rsidR="005A7F90">
            <w:pPr>
              <w:jc w:val="center"/>
            </w:pPr>
            <w:r>
              <w:t>33.86%</w:t>
            </w:r>
          </w:p>
        </w:tc>
        <w:tc>
          <w:tcPr>
            <w:tcW w:w="976" w:type="dxa"/>
          </w:tcPr>
          <w:p w:rsidR="005A7F90">
            <w:pPr>
              <w:jc w:val="center"/>
            </w:pPr>
            <w:r>
              <w:t>0.33%</w:t>
            </w:r>
          </w:p>
        </w:tc>
      </w:tr>
      <w:tr>
        <w:tblPrEx>
          <w:tblW w:w="9268" w:type="dxa"/>
          <w:jc w:val="center"/>
          <w:tblLayout w:type="fixed"/>
          <w:tblLook w:val="04A0"/>
        </w:tblPrEx>
        <w:trPr>
          <w:jc w:val="center"/>
        </w:trPr>
        <w:tc>
          <w:tcPr>
            <w:tcW w:w="2196" w:type="dxa"/>
          </w:tcPr>
          <w:p w:rsidR="005A7F90">
            <w:pPr>
              <w:jc w:val="center"/>
            </w:pPr>
            <w:r>
              <w:t>2020</w:t>
            </w:r>
            <w:r>
              <w:t>年</w:t>
            </w:r>
            <w:r>
              <w:t>1</w:t>
            </w:r>
            <w:r>
              <w:t>月</w:t>
            </w:r>
            <w:r>
              <w:t>1</w:t>
            </w:r>
            <w:r>
              <w:t>日至</w:t>
            </w:r>
            <w:r>
              <w:t>2020</w:t>
            </w:r>
            <w:r>
              <w:t>年</w:t>
            </w:r>
            <w:r>
              <w:t>12</w:t>
            </w:r>
            <w:r>
              <w:t>月</w:t>
            </w:r>
            <w:r>
              <w:t>31</w:t>
            </w:r>
            <w:r>
              <w:t>日</w:t>
            </w:r>
          </w:p>
        </w:tc>
        <w:tc>
          <w:tcPr>
            <w:tcW w:w="1134" w:type="dxa"/>
          </w:tcPr>
          <w:p w:rsidR="005A7F90">
            <w:r>
              <w:t>79.16%</w:t>
            </w:r>
          </w:p>
        </w:tc>
        <w:tc>
          <w:tcPr>
            <w:tcW w:w="1418" w:type="dxa"/>
          </w:tcPr>
          <w:p w:rsidR="005A7F90">
            <w:r>
              <w:t>1.51%</w:t>
            </w:r>
          </w:p>
        </w:tc>
        <w:tc>
          <w:tcPr>
            <w:tcW w:w="1276" w:type="dxa"/>
          </w:tcPr>
          <w:p w:rsidR="005A7F90">
            <w:r>
              <w:t>21.74%</w:t>
            </w:r>
          </w:p>
        </w:tc>
        <w:tc>
          <w:tcPr>
            <w:tcW w:w="1275" w:type="dxa"/>
          </w:tcPr>
          <w:p w:rsidR="005A7F90">
            <w:r>
              <w:t>1.14%</w:t>
            </w:r>
          </w:p>
        </w:tc>
        <w:tc>
          <w:tcPr>
            <w:tcW w:w="993" w:type="dxa"/>
          </w:tcPr>
          <w:p w:rsidR="005A7F90">
            <w:pPr>
              <w:jc w:val="center"/>
            </w:pPr>
            <w:r>
              <w:t>57.42%</w:t>
            </w:r>
          </w:p>
        </w:tc>
        <w:tc>
          <w:tcPr>
            <w:tcW w:w="976" w:type="dxa"/>
          </w:tcPr>
          <w:p w:rsidR="005A7F90">
            <w:pPr>
              <w:jc w:val="center"/>
            </w:pPr>
            <w:r>
              <w:t>0.37%</w:t>
            </w:r>
          </w:p>
        </w:tc>
      </w:tr>
    </w:tbl>
    <w:p w:rsidR="000065A8" w:rsidRPr="008564FF" w:rsidP="008564FF">
      <w:pPr>
        <w:spacing w:line="360" w:lineRule="auto"/>
        <w:ind w:firstLine="420"/>
        <w:rPr>
          <w:rFonts w:asciiTheme="minorEastAsia" w:eastAsiaTheme="minorEastAsia" w:hAnsiTheme="minorEastAsia"/>
        </w:rPr>
      </w:pPr>
      <w:r>
        <w:t>本基金历任基金经理情况：伍卫，管理时间为</w:t>
      </w:r>
      <w:r>
        <w:t>2009</w:t>
      </w:r>
      <w:r>
        <w:t>年</w:t>
      </w:r>
      <w:r>
        <w:t>3</w:t>
      </w:r>
      <w:r>
        <w:t>月</w:t>
      </w:r>
      <w:r>
        <w:t>26</w:t>
      </w:r>
      <w:r>
        <w:t>日至</w:t>
      </w:r>
      <w:r>
        <w:t>2010</w:t>
      </w:r>
      <w:r>
        <w:t>年</w:t>
      </w:r>
      <w:r>
        <w:t>12</w:t>
      </w:r>
      <w:r>
        <w:t>月</w:t>
      </w:r>
      <w:r>
        <w:t>30</w:t>
      </w:r>
      <w:r>
        <w:t>日。</w:t>
      </w:r>
    </w:p>
    <w:p w:rsidR="003A3487" w:rsidRPr="008564FF" w:rsidP="009C2B2A">
      <w:pPr>
        <w:pStyle w:val="Heading1"/>
        <w:snapToGrid w:val="0"/>
        <w:spacing w:beforeLines="0" w:afterLines="0" w:line="360" w:lineRule="auto"/>
        <w:ind w:firstLine="640"/>
        <w:rPr>
          <w:rFonts w:asciiTheme="minorEastAsia" w:eastAsiaTheme="minorEastAsia" w:hAnsiTheme="minorEastAsia"/>
          <w:bCs/>
        </w:rPr>
      </w:pPr>
      <w:r w:rsidRPr="008564FF">
        <w:rPr>
          <w:rFonts w:asciiTheme="minorEastAsia" w:eastAsiaTheme="minorEastAsia" w:hAnsiTheme="minorEastAsia"/>
        </w:rPr>
        <w:br w:type="page"/>
      </w:r>
      <w:bookmarkStart w:id="136" w:name="_Toc91749253"/>
      <w:r w:rsidRPr="008564FF">
        <w:rPr>
          <w:rFonts w:asciiTheme="minorEastAsia" w:eastAsiaTheme="minorEastAsia" w:hAnsiTheme="minorEastAsia" w:hint="eastAsia"/>
          <w:b/>
          <w:bCs/>
        </w:rPr>
        <w:t>十三、基金的财产</w:t>
      </w:r>
      <w:bookmarkEnd w:id="136"/>
    </w:p>
    <w:p w:rsidR="003A3487" w:rsidRPr="008564FF" w:rsidP="009C2B2A">
      <w:pPr>
        <w:pStyle w:val="Heading2"/>
        <w:snapToGrid w:val="0"/>
        <w:spacing w:beforeLines="0" w:afterLines="0" w:line="360" w:lineRule="auto"/>
        <w:ind w:firstLine="0" w:firstLineChars="0"/>
        <w:rPr>
          <w:rFonts w:asciiTheme="minorEastAsia" w:eastAsiaTheme="minorEastAsia" w:hAnsiTheme="minorEastAsia"/>
        </w:rPr>
      </w:pPr>
      <w:bookmarkStart w:id="137" w:name="_Toc91749254"/>
      <w:r w:rsidRPr="008564FF">
        <w:rPr>
          <w:rFonts w:asciiTheme="minorEastAsia" w:eastAsiaTheme="minorEastAsia" w:hAnsiTheme="minorEastAsia" w:hint="eastAsia"/>
        </w:rPr>
        <w:t>（一）基金资产总值</w:t>
      </w:r>
      <w:bookmarkEnd w:id="137"/>
    </w:p>
    <w:p w:rsidR="003A3487" w:rsidRPr="008564FF" w:rsidP="004549E4">
      <w:pPr>
        <w:snapToGrid w:val="0"/>
        <w:spacing w:line="360" w:lineRule="auto"/>
        <w:ind w:firstLine="420" w:firstLineChars="200"/>
        <w:rPr>
          <w:rFonts w:asciiTheme="minorEastAsia" w:eastAsiaTheme="minorEastAsia" w:hAnsiTheme="minorEastAsia"/>
          <w:szCs w:val="21"/>
        </w:rPr>
      </w:pPr>
      <w:bookmarkStart w:id="138" w:name="_Toc79556449"/>
      <w:bookmarkStart w:id="139" w:name="_Toc79392635"/>
      <w:r w:rsidRPr="008564FF">
        <w:rPr>
          <w:rFonts w:asciiTheme="minorEastAsia" w:eastAsiaTheme="minorEastAsia" w:hAnsiTheme="minorEastAsia" w:hint="eastAsia"/>
          <w:szCs w:val="21"/>
        </w:rPr>
        <w:t>基金资产总值是指购买的各类证券及票据价值、银行存款本息和基金应收的申购基金款以及其他投资所形成的价值总和。</w:t>
      </w:r>
    </w:p>
    <w:bookmarkEnd w:id="138"/>
    <w:bookmarkEnd w:id="139"/>
    <w:p w:rsidR="003A3487" w:rsidRPr="008564FF" w:rsidP="004549E4">
      <w:pPr>
        <w:snapToGrid w:val="0"/>
        <w:spacing w:line="360" w:lineRule="auto"/>
        <w:ind w:firstLine="420" w:firstLineChars="200"/>
        <w:rPr>
          <w:rFonts w:asciiTheme="minorEastAsia" w:eastAsiaTheme="minorEastAsia" w:hAnsiTheme="minorEastAsia"/>
        </w:rPr>
      </w:pPr>
      <w:r w:rsidRPr="008564FF">
        <w:rPr>
          <w:rFonts w:asciiTheme="minorEastAsia" w:eastAsiaTheme="minorEastAsia" w:hAnsiTheme="minorEastAsia" w:hint="eastAsia"/>
        </w:rPr>
        <w:t>其构成主要有：</w:t>
      </w:r>
    </w:p>
    <w:p w:rsidR="003A3487" w:rsidRPr="008564FF" w:rsidP="004549E4">
      <w:pPr>
        <w:snapToGrid w:val="0"/>
        <w:spacing w:line="360" w:lineRule="auto"/>
        <w:ind w:firstLine="420" w:firstLineChars="200"/>
        <w:rPr>
          <w:rFonts w:asciiTheme="minorEastAsia" w:eastAsiaTheme="minorEastAsia" w:hAnsiTheme="minorEastAsia"/>
        </w:rPr>
      </w:pPr>
      <w:r w:rsidRPr="008564FF">
        <w:rPr>
          <w:rFonts w:asciiTheme="minorEastAsia" w:eastAsiaTheme="minorEastAsia" w:hAnsiTheme="minorEastAsia" w:hint="eastAsia"/>
        </w:rPr>
        <w:t>1、银行存款及其应计利息；</w:t>
      </w:r>
    </w:p>
    <w:p w:rsidR="003A3487" w:rsidRPr="008564FF" w:rsidP="004549E4">
      <w:pPr>
        <w:snapToGrid w:val="0"/>
        <w:spacing w:line="360" w:lineRule="auto"/>
        <w:ind w:firstLine="420" w:firstLineChars="200"/>
        <w:rPr>
          <w:rFonts w:asciiTheme="minorEastAsia" w:eastAsiaTheme="minorEastAsia" w:hAnsiTheme="minorEastAsia"/>
        </w:rPr>
      </w:pPr>
      <w:r w:rsidRPr="008564FF">
        <w:rPr>
          <w:rFonts w:asciiTheme="minorEastAsia" w:eastAsiaTheme="minorEastAsia" w:hAnsiTheme="minorEastAsia" w:hint="eastAsia"/>
        </w:rPr>
        <w:t>2、结算备付金及其应计利息；</w:t>
      </w:r>
    </w:p>
    <w:p w:rsidR="003A3487" w:rsidRPr="008564FF" w:rsidP="004549E4">
      <w:pPr>
        <w:snapToGrid w:val="0"/>
        <w:spacing w:line="360" w:lineRule="auto"/>
        <w:ind w:firstLine="420" w:firstLineChars="200"/>
        <w:rPr>
          <w:rFonts w:asciiTheme="minorEastAsia" w:eastAsiaTheme="minorEastAsia" w:hAnsiTheme="minorEastAsia"/>
        </w:rPr>
      </w:pPr>
      <w:r w:rsidRPr="008564FF">
        <w:rPr>
          <w:rFonts w:asciiTheme="minorEastAsia" w:eastAsiaTheme="minorEastAsia" w:hAnsiTheme="minorEastAsia" w:hint="eastAsia"/>
        </w:rPr>
        <w:t>3、根据有关规定缴纳的保证金</w:t>
      </w:r>
      <w:r w:rsidRPr="008564FF">
        <w:rPr>
          <w:rFonts w:asciiTheme="minorEastAsia" w:eastAsiaTheme="minorEastAsia" w:hAnsiTheme="minorEastAsia" w:hint="eastAsia"/>
          <w:szCs w:val="21"/>
        </w:rPr>
        <w:t>及其应收利息</w:t>
      </w:r>
      <w:r w:rsidRPr="008564FF">
        <w:rPr>
          <w:rFonts w:asciiTheme="minorEastAsia" w:eastAsiaTheme="minorEastAsia" w:hAnsiTheme="minorEastAsia" w:hint="eastAsia"/>
        </w:rPr>
        <w:t>；</w:t>
      </w:r>
    </w:p>
    <w:p w:rsidR="003A3487" w:rsidRPr="008564FF" w:rsidP="004549E4">
      <w:pPr>
        <w:snapToGrid w:val="0"/>
        <w:spacing w:line="360" w:lineRule="auto"/>
        <w:ind w:firstLine="420" w:firstLineChars="200"/>
        <w:rPr>
          <w:rFonts w:asciiTheme="minorEastAsia" w:eastAsiaTheme="minorEastAsia" w:hAnsiTheme="minorEastAsia"/>
        </w:rPr>
      </w:pPr>
      <w:r w:rsidRPr="008564FF">
        <w:rPr>
          <w:rFonts w:asciiTheme="minorEastAsia" w:eastAsiaTheme="minorEastAsia" w:hAnsiTheme="minorEastAsia" w:hint="eastAsia"/>
        </w:rPr>
        <w:t>4、应收证券交易清算款；</w:t>
      </w:r>
    </w:p>
    <w:p w:rsidR="003A3487" w:rsidRPr="008564FF" w:rsidP="004549E4">
      <w:pPr>
        <w:snapToGrid w:val="0"/>
        <w:spacing w:line="360" w:lineRule="auto"/>
        <w:ind w:firstLine="420" w:firstLineChars="200"/>
        <w:rPr>
          <w:rFonts w:asciiTheme="minorEastAsia" w:eastAsiaTheme="minorEastAsia" w:hAnsiTheme="minorEastAsia"/>
        </w:rPr>
      </w:pPr>
      <w:r w:rsidRPr="008564FF">
        <w:rPr>
          <w:rFonts w:asciiTheme="minorEastAsia" w:eastAsiaTheme="minorEastAsia" w:hAnsiTheme="minorEastAsia" w:hint="eastAsia"/>
        </w:rPr>
        <w:t>5、应收申购款；</w:t>
      </w:r>
    </w:p>
    <w:p w:rsidR="003A3487" w:rsidRPr="008564FF" w:rsidP="004549E4">
      <w:pPr>
        <w:snapToGrid w:val="0"/>
        <w:spacing w:line="360" w:lineRule="auto"/>
        <w:ind w:firstLine="420" w:firstLineChars="200"/>
        <w:rPr>
          <w:rFonts w:asciiTheme="minorEastAsia" w:eastAsiaTheme="minorEastAsia" w:hAnsiTheme="minorEastAsia"/>
        </w:rPr>
      </w:pPr>
      <w:r w:rsidRPr="008564FF">
        <w:rPr>
          <w:rFonts w:asciiTheme="minorEastAsia" w:eastAsiaTheme="minorEastAsia" w:hAnsiTheme="minorEastAsia" w:hint="eastAsia"/>
        </w:rPr>
        <w:t>6、股票投资及其估值调整；</w:t>
      </w:r>
    </w:p>
    <w:p w:rsidR="003A3487" w:rsidRPr="008564FF" w:rsidP="004549E4">
      <w:pPr>
        <w:snapToGrid w:val="0"/>
        <w:spacing w:line="360" w:lineRule="auto"/>
        <w:ind w:firstLine="420" w:firstLineChars="200"/>
        <w:rPr>
          <w:rFonts w:asciiTheme="minorEastAsia" w:eastAsiaTheme="minorEastAsia" w:hAnsiTheme="minorEastAsia"/>
        </w:rPr>
      </w:pPr>
      <w:r w:rsidRPr="008564FF">
        <w:rPr>
          <w:rFonts w:asciiTheme="minorEastAsia" w:eastAsiaTheme="minorEastAsia" w:hAnsiTheme="minorEastAsia" w:hint="eastAsia"/>
        </w:rPr>
        <w:t>7、债券投资及其估值调整和应计利息；</w:t>
      </w:r>
    </w:p>
    <w:p w:rsidR="003A3487" w:rsidRPr="008564FF" w:rsidP="004549E4">
      <w:pPr>
        <w:snapToGrid w:val="0"/>
        <w:spacing w:line="360" w:lineRule="auto"/>
        <w:ind w:firstLine="420" w:firstLineChars="200"/>
        <w:rPr>
          <w:rFonts w:asciiTheme="minorEastAsia" w:eastAsiaTheme="minorEastAsia" w:hAnsiTheme="minorEastAsia"/>
        </w:rPr>
      </w:pPr>
      <w:r w:rsidRPr="008564FF">
        <w:rPr>
          <w:rFonts w:asciiTheme="minorEastAsia" w:eastAsiaTheme="minorEastAsia" w:hAnsiTheme="minorEastAsia" w:hint="eastAsia"/>
        </w:rPr>
        <w:t>8、权证投资及其估值调整；</w:t>
      </w:r>
    </w:p>
    <w:p w:rsidR="003A3487" w:rsidRPr="008564FF" w:rsidP="004549E4">
      <w:pPr>
        <w:snapToGrid w:val="0"/>
        <w:spacing w:line="360" w:lineRule="auto"/>
        <w:ind w:firstLine="420" w:firstLineChars="200"/>
        <w:rPr>
          <w:rFonts w:asciiTheme="minorEastAsia" w:eastAsiaTheme="minorEastAsia" w:hAnsiTheme="minorEastAsia"/>
        </w:rPr>
      </w:pPr>
      <w:r w:rsidRPr="008564FF">
        <w:rPr>
          <w:rFonts w:asciiTheme="minorEastAsia" w:eastAsiaTheme="minorEastAsia" w:hAnsiTheme="minorEastAsia" w:hint="eastAsia"/>
        </w:rPr>
        <w:t>9、其他投资及其估值调整；</w:t>
      </w:r>
    </w:p>
    <w:p w:rsidR="003A3487" w:rsidRPr="008564FF" w:rsidP="004549E4">
      <w:pPr>
        <w:snapToGrid w:val="0"/>
        <w:spacing w:line="360" w:lineRule="auto"/>
        <w:ind w:firstLine="420" w:firstLineChars="200"/>
        <w:rPr>
          <w:rFonts w:asciiTheme="minorEastAsia" w:eastAsiaTheme="minorEastAsia" w:hAnsiTheme="minorEastAsia"/>
        </w:rPr>
      </w:pPr>
      <w:r w:rsidRPr="008564FF">
        <w:rPr>
          <w:rFonts w:asciiTheme="minorEastAsia" w:eastAsiaTheme="minorEastAsia" w:hAnsiTheme="minorEastAsia" w:hint="eastAsia"/>
        </w:rPr>
        <w:t>10、其他资产等。</w:t>
      </w:r>
    </w:p>
    <w:p w:rsidR="003A3487" w:rsidRPr="008564FF" w:rsidP="009C2B2A">
      <w:pPr>
        <w:pStyle w:val="Heading2"/>
        <w:snapToGrid w:val="0"/>
        <w:spacing w:beforeLines="0" w:afterLines="0" w:line="360" w:lineRule="auto"/>
        <w:ind w:firstLine="0" w:firstLineChars="0"/>
        <w:rPr>
          <w:rFonts w:asciiTheme="minorEastAsia" w:eastAsiaTheme="minorEastAsia" w:hAnsiTheme="minorEastAsia"/>
        </w:rPr>
      </w:pPr>
      <w:bookmarkStart w:id="140" w:name="_Toc91749255"/>
      <w:r w:rsidRPr="008564FF">
        <w:rPr>
          <w:rFonts w:asciiTheme="minorEastAsia" w:eastAsiaTheme="minorEastAsia" w:hAnsiTheme="minorEastAsia" w:hint="eastAsia"/>
        </w:rPr>
        <w:t>（二）基金资产净值</w:t>
      </w:r>
      <w:bookmarkEnd w:id="140"/>
    </w:p>
    <w:p w:rsidR="003A3487" w:rsidRPr="008564FF" w:rsidP="004549E4">
      <w:pPr>
        <w:snapToGrid w:val="0"/>
        <w:spacing w:line="360" w:lineRule="auto"/>
        <w:ind w:firstLine="420" w:firstLineChars="200"/>
        <w:rPr>
          <w:rFonts w:asciiTheme="minorEastAsia" w:eastAsiaTheme="minorEastAsia" w:hAnsiTheme="minorEastAsia"/>
        </w:rPr>
      </w:pPr>
      <w:r w:rsidRPr="008564FF">
        <w:rPr>
          <w:rFonts w:asciiTheme="minorEastAsia" w:eastAsiaTheme="minorEastAsia" w:hAnsiTheme="minorEastAsia" w:hint="eastAsia"/>
        </w:rPr>
        <w:t>基金资产净值是指基金资产总值减去基金负债后的价值。</w:t>
      </w:r>
    </w:p>
    <w:p w:rsidR="003A3487" w:rsidRPr="008564FF" w:rsidP="009C2B2A">
      <w:pPr>
        <w:pStyle w:val="Heading2"/>
        <w:snapToGrid w:val="0"/>
        <w:spacing w:beforeLines="0" w:afterLines="0" w:line="360" w:lineRule="auto"/>
        <w:ind w:firstLine="0" w:firstLineChars="0"/>
        <w:rPr>
          <w:rFonts w:asciiTheme="minorEastAsia" w:eastAsiaTheme="minorEastAsia" w:hAnsiTheme="minorEastAsia"/>
        </w:rPr>
      </w:pPr>
      <w:bookmarkStart w:id="141" w:name="_Toc91749256"/>
      <w:r w:rsidRPr="008564FF">
        <w:rPr>
          <w:rFonts w:asciiTheme="minorEastAsia" w:eastAsiaTheme="minorEastAsia" w:hAnsiTheme="minorEastAsia" w:hint="eastAsia"/>
        </w:rPr>
        <w:t>（三）基金财产的账户</w:t>
      </w:r>
      <w:bookmarkEnd w:id="141"/>
    </w:p>
    <w:p w:rsidR="003A3487" w:rsidRPr="008564FF" w:rsidP="004549E4">
      <w:pPr>
        <w:snapToGrid w:val="0"/>
        <w:spacing w:line="360" w:lineRule="auto"/>
        <w:ind w:firstLine="420" w:firstLineChars="200"/>
        <w:rPr>
          <w:rFonts w:asciiTheme="minorEastAsia" w:eastAsiaTheme="minorEastAsia" w:hAnsiTheme="minorEastAsia"/>
        </w:rPr>
      </w:pPr>
      <w:r w:rsidRPr="008564FF">
        <w:rPr>
          <w:rFonts w:asciiTheme="minorEastAsia" w:eastAsiaTheme="minorEastAsia" w:hAnsiTheme="minorEastAsia" w:hint="eastAsia"/>
        </w:rPr>
        <w:t>本基金以基金托管人的名义开立资金结算账户和托管专户用于基金的资金结算业务，并以基金托管人和本基金联名的方式开立基金证券账户、以本基金的名义开立银行间债券托管账户并报中国人民银行备案。开立的基金专用账户与基金管理人、基金托管人、基金</w:t>
      </w:r>
      <w:r w:rsidRPr="008564FF" w:rsidR="009E0634">
        <w:rPr>
          <w:rFonts w:asciiTheme="minorEastAsia" w:eastAsiaTheme="minorEastAsia" w:hAnsiTheme="minorEastAsia" w:hint="eastAsia"/>
        </w:rPr>
        <w:t>销售</w:t>
      </w:r>
      <w:r w:rsidRPr="008564FF">
        <w:rPr>
          <w:rFonts w:asciiTheme="minorEastAsia" w:eastAsiaTheme="minorEastAsia" w:hAnsiTheme="minorEastAsia" w:hint="eastAsia"/>
        </w:rPr>
        <w:t>机构和基金注册登记人自有的财产账户以及其他基金财产账户相独立。</w:t>
      </w:r>
    </w:p>
    <w:p w:rsidR="003A3487" w:rsidRPr="008564FF" w:rsidP="009C2B2A">
      <w:pPr>
        <w:pStyle w:val="Heading2"/>
        <w:snapToGrid w:val="0"/>
        <w:spacing w:beforeLines="0" w:afterLines="0" w:line="360" w:lineRule="auto"/>
        <w:ind w:firstLine="0" w:firstLineChars="0"/>
        <w:rPr>
          <w:rFonts w:asciiTheme="minorEastAsia" w:eastAsiaTheme="minorEastAsia" w:hAnsiTheme="minorEastAsia"/>
        </w:rPr>
      </w:pPr>
      <w:bookmarkStart w:id="142" w:name="_Toc91749257"/>
      <w:r w:rsidRPr="008564FF">
        <w:rPr>
          <w:rFonts w:asciiTheme="minorEastAsia" w:eastAsiaTheme="minorEastAsia" w:hAnsiTheme="minorEastAsia" w:hint="eastAsia"/>
        </w:rPr>
        <w:t>（四）基金财产的保管和处分</w:t>
      </w:r>
      <w:bookmarkEnd w:id="142"/>
    </w:p>
    <w:p w:rsidR="003A3487" w:rsidRPr="008564FF" w:rsidP="004549E4">
      <w:pPr>
        <w:snapToGrid w:val="0"/>
        <w:spacing w:line="360" w:lineRule="auto"/>
        <w:ind w:firstLine="420" w:firstLineChars="200"/>
        <w:rPr>
          <w:rFonts w:asciiTheme="minorEastAsia" w:eastAsiaTheme="minorEastAsia" w:hAnsiTheme="minorEastAsia"/>
        </w:rPr>
      </w:pPr>
      <w:r w:rsidRPr="008564FF">
        <w:rPr>
          <w:rFonts w:asciiTheme="minorEastAsia" w:eastAsiaTheme="minorEastAsia" w:hAnsiTheme="minorEastAsia" w:hint="eastAsia"/>
        </w:rPr>
        <w:t>本基金财产独立于基金管理人、基金托管人和基金</w:t>
      </w:r>
      <w:r w:rsidRPr="008564FF" w:rsidR="009E0634">
        <w:rPr>
          <w:rFonts w:asciiTheme="minorEastAsia" w:eastAsiaTheme="minorEastAsia" w:hAnsiTheme="minorEastAsia" w:hint="eastAsia"/>
        </w:rPr>
        <w:t>销售</w:t>
      </w:r>
      <w:r w:rsidRPr="008564FF">
        <w:rPr>
          <w:rFonts w:asciiTheme="minorEastAsia" w:eastAsiaTheme="minorEastAsia" w:hAnsiTheme="minorEastAsia" w:hint="eastAsia"/>
        </w:rPr>
        <w:t>机构的财产，并由基金托管人保管。基金管理人、基金托管人不得将基金财产归入其固有财产；基金管理人、基金托管人因基金财产的管理、运用或其他情形而取得的财产和收益，归入基金财产。基金管理人、基金托管人、基金注册登记机构和基金</w:t>
      </w:r>
      <w:r w:rsidRPr="008564FF" w:rsidR="009E0634">
        <w:rPr>
          <w:rFonts w:asciiTheme="minorEastAsia" w:eastAsiaTheme="minorEastAsia" w:hAnsiTheme="minorEastAsia" w:hint="eastAsia"/>
        </w:rPr>
        <w:t>销售</w:t>
      </w:r>
      <w:r w:rsidRPr="008564FF">
        <w:rPr>
          <w:rFonts w:asciiTheme="minorEastAsia" w:eastAsiaTheme="minorEastAsia" w:hAnsiTheme="minorEastAsia" w:hint="eastAsia"/>
        </w:rPr>
        <w:t>机构以其自有的财产承担其自身的法律责任，其债权人不得对本基金财产行使请求冻结、扣押或其他权利。除依法律法规和《基金合同》的规定处分外，基金财产不得被处分。</w:t>
      </w:r>
    </w:p>
    <w:p w:rsidR="003A3487" w:rsidRPr="008564FF" w:rsidP="004549E4">
      <w:pPr>
        <w:snapToGrid w:val="0"/>
        <w:spacing w:line="360" w:lineRule="auto"/>
        <w:ind w:firstLine="480"/>
        <w:rPr>
          <w:rFonts w:asciiTheme="minorEastAsia" w:eastAsiaTheme="minorEastAsia" w:hAnsiTheme="minorEastAsia"/>
          <w:kern w:val="0"/>
          <w:szCs w:val="21"/>
        </w:rPr>
      </w:pPr>
      <w:r w:rsidRPr="008564FF">
        <w:rPr>
          <w:rFonts w:asciiTheme="minorEastAsia" w:eastAsiaTheme="minorEastAsia" w:hAnsiTheme="minorEastAsia" w:hint="eastAsia"/>
        </w:rPr>
        <w:t>基金管理人管理运作基金财产所产生的债权，不得与其固有资产产生的债务相互抵消；基金管理人管理运作不同基金的基金财产所产生的债权债务不得相互</w:t>
      </w:r>
      <w:r w:rsidRPr="008564FF">
        <w:rPr>
          <w:rFonts w:asciiTheme="minorEastAsia" w:eastAsiaTheme="minorEastAsia" w:hAnsiTheme="minorEastAsia" w:hint="eastAsia"/>
          <w:sz w:val="24"/>
        </w:rPr>
        <w:t>抵消。</w:t>
      </w:r>
    </w:p>
    <w:p w:rsidR="003A3487" w:rsidRPr="008564FF" w:rsidP="009C2B2A">
      <w:pPr>
        <w:pStyle w:val="Heading1"/>
        <w:snapToGrid w:val="0"/>
        <w:spacing w:beforeLines="0" w:afterLines="0" w:line="360" w:lineRule="auto"/>
        <w:ind w:firstLine="643"/>
        <w:rPr>
          <w:rFonts w:asciiTheme="minorEastAsia" w:eastAsiaTheme="minorEastAsia" w:hAnsiTheme="minorEastAsia"/>
          <w:bCs/>
        </w:rPr>
      </w:pPr>
      <w:bookmarkStart w:id="143" w:name="_Toc91749258"/>
      <w:r w:rsidRPr="008564FF">
        <w:rPr>
          <w:rFonts w:asciiTheme="minorEastAsia" w:eastAsiaTheme="minorEastAsia" w:hAnsiTheme="minorEastAsia" w:hint="eastAsia"/>
          <w:b/>
          <w:bCs/>
        </w:rPr>
        <w:t>十四、基金资产估值</w:t>
      </w:r>
      <w:bookmarkEnd w:id="143"/>
    </w:p>
    <w:p w:rsidR="003A3487" w:rsidRPr="008564FF" w:rsidP="009C2B2A">
      <w:pPr>
        <w:pStyle w:val="Heading2"/>
        <w:snapToGrid w:val="0"/>
        <w:spacing w:beforeLines="0" w:afterLines="0" w:line="360" w:lineRule="auto"/>
        <w:ind w:firstLine="562"/>
        <w:rPr>
          <w:rFonts w:asciiTheme="minorEastAsia" w:eastAsiaTheme="minorEastAsia" w:hAnsiTheme="minorEastAsia"/>
        </w:rPr>
      </w:pPr>
      <w:bookmarkStart w:id="144" w:name="_Toc44229106"/>
      <w:bookmarkStart w:id="145" w:name="_Toc44229201"/>
      <w:bookmarkStart w:id="146" w:name="_Toc44229107"/>
      <w:bookmarkStart w:id="147" w:name="_Toc44229202"/>
      <w:bookmarkStart w:id="148" w:name="_Toc44229108"/>
      <w:bookmarkStart w:id="149" w:name="_Toc44229203"/>
      <w:bookmarkStart w:id="150" w:name="_Toc44229109"/>
      <w:bookmarkStart w:id="151" w:name="_Toc44229204"/>
      <w:bookmarkStart w:id="152" w:name="_Toc44229110"/>
      <w:bookmarkStart w:id="153" w:name="_Toc44229205"/>
      <w:bookmarkStart w:id="154" w:name="_Toc44229111"/>
      <w:bookmarkStart w:id="155" w:name="_Toc44229206"/>
      <w:bookmarkStart w:id="156" w:name="_Toc44229112"/>
      <w:bookmarkStart w:id="157" w:name="_Toc44229207"/>
      <w:bookmarkStart w:id="158" w:name="_Toc44229113"/>
      <w:bookmarkStart w:id="159" w:name="_Toc44229208"/>
      <w:bookmarkStart w:id="160" w:name="_Toc97031289"/>
      <w:bookmarkStart w:id="161" w:name="_Toc97107249"/>
      <w:bookmarkStart w:id="162" w:name="_Toc91749259"/>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8564FF">
        <w:rPr>
          <w:rFonts w:asciiTheme="minorEastAsia" w:eastAsiaTheme="minorEastAsia" w:hAnsiTheme="minorEastAsia" w:hint="eastAsia"/>
        </w:rPr>
        <w:t>(一)估值目的</w:t>
      </w:r>
      <w:bookmarkEnd w:id="162"/>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基金资产估值的目的是客观、准确地反映基金资产是否保值、增值，依据经基金资产估值后确定的基金资产净值而计算出的基金份额净值，是计算基金申购与赎回价格的基础。</w:t>
      </w:r>
    </w:p>
    <w:p w:rsidR="003A3487" w:rsidRPr="008564FF" w:rsidP="009C2B2A">
      <w:pPr>
        <w:pStyle w:val="Heading2"/>
        <w:snapToGrid w:val="0"/>
        <w:spacing w:beforeLines="0" w:afterLines="0" w:line="360" w:lineRule="auto"/>
        <w:ind w:firstLine="562"/>
        <w:rPr>
          <w:rFonts w:asciiTheme="minorEastAsia" w:eastAsiaTheme="minorEastAsia" w:hAnsiTheme="minorEastAsia"/>
        </w:rPr>
      </w:pPr>
      <w:bookmarkStart w:id="163" w:name="_Toc91749260"/>
      <w:r w:rsidRPr="008564FF">
        <w:rPr>
          <w:rFonts w:asciiTheme="minorEastAsia" w:eastAsiaTheme="minorEastAsia" w:hAnsiTheme="minorEastAsia" w:hint="eastAsia"/>
        </w:rPr>
        <w:t>(二)估值日</w:t>
      </w:r>
      <w:bookmarkEnd w:id="163"/>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本基金的估值日为相关的证券交易场所的正常营业日以及国家法律法规规定需要对外披露基金净值的非营业日。</w:t>
      </w:r>
    </w:p>
    <w:p w:rsidR="003A3487" w:rsidRPr="008564FF" w:rsidP="009C2B2A">
      <w:pPr>
        <w:pStyle w:val="Heading2"/>
        <w:snapToGrid w:val="0"/>
        <w:spacing w:beforeLines="0" w:afterLines="0" w:line="360" w:lineRule="auto"/>
        <w:ind w:firstLine="562"/>
        <w:rPr>
          <w:rFonts w:asciiTheme="minorEastAsia" w:eastAsiaTheme="minorEastAsia" w:hAnsiTheme="minorEastAsia"/>
        </w:rPr>
      </w:pPr>
      <w:bookmarkStart w:id="164" w:name="_Toc91749261"/>
      <w:r w:rsidRPr="008564FF">
        <w:rPr>
          <w:rFonts w:asciiTheme="minorEastAsia" w:eastAsiaTheme="minorEastAsia" w:hAnsiTheme="minorEastAsia" w:hint="eastAsia"/>
        </w:rPr>
        <w:t>(三)估值对象</w:t>
      </w:r>
      <w:bookmarkEnd w:id="164"/>
    </w:p>
    <w:p w:rsidR="003A3487" w:rsidRPr="008564FF" w:rsidP="004549E4">
      <w:pPr>
        <w:snapToGrid w:val="0"/>
        <w:spacing w:line="360" w:lineRule="auto"/>
        <w:ind w:firstLine="420" w:firstLineChars="200"/>
        <w:rPr>
          <w:rFonts w:asciiTheme="minorEastAsia" w:eastAsiaTheme="minorEastAsia" w:hAnsiTheme="minorEastAsia"/>
          <w:b/>
          <w:bCs/>
          <w:szCs w:val="21"/>
        </w:rPr>
      </w:pPr>
      <w:r w:rsidRPr="008564FF">
        <w:rPr>
          <w:rFonts w:asciiTheme="minorEastAsia" w:eastAsiaTheme="minorEastAsia" w:hAnsiTheme="minorEastAsia" w:hint="eastAsia"/>
          <w:szCs w:val="21"/>
        </w:rPr>
        <w:t>基金所拥有的股票、债券、权证和银行存款本息等资产和负债。</w:t>
      </w:r>
    </w:p>
    <w:p w:rsidR="003A3487" w:rsidRPr="008564FF" w:rsidP="009C2B2A">
      <w:pPr>
        <w:pStyle w:val="Heading2"/>
        <w:snapToGrid w:val="0"/>
        <w:spacing w:beforeLines="0" w:afterLines="0" w:line="360" w:lineRule="auto"/>
        <w:ind w:firstLine="562"/>
        <w:rPr>
          <w:rFonts w:asciiTheme="minorEastAsia" w:eastAsiaTheme="minorEastAsia" w:hAnsiTheme="minorEastAsia"/>
        </w:rPr>
      </w:pPr>
      <w:bookmarkStart w:id="165" w:name="_Toc91749262"/>
      <w:r w:rsidRPr="008564FF">
        <w:rPr>
          <w:rFonts w:asciiTheme="minorEastAsia" w:eastAsiaTheme="minorEastAsia" w:hAnsiTheme="minorEastAsia" w:hint="eastAsia"/>
        </w:rPr>
        <w:t>(四)估值程序</w:t>
      </w:r>
      <w:bookmarkEnd w:id="165"/>
    </w:p>
    <w:p w:rsidR="003A3487" w:rsidRPr="008564FF" w:rsidP="004549E4">
      <w:pPr>
        <w:snapToGrid w:val="0"/>
        <w:spacing w:line="360" w:lineRule="auto"/>
        <w:ind w:firstLine="420" w:firstLineChars="200"/>
        <w:rPr>
          <w:rFonts w:asciiTheme="minorEastAsia" w:eastAsiaTheme="minorEastAsia" w:hAnsiTheme="minorEastAsia"/>
          <w:b/>
          <w:bCs/>
          <w:szCs w:val="21"/>
        </w:rPr>
      </w:pPr>
      <w:r w:rsidRPr="008564FF">
        <w:rPr>
          <w:rFonts w:asciiTheme="minorEastAsia" w:eastAsiaTheme="minorEastAsia" w:hAnsiTheme="minorEastAsia" w:hint="eastAsia"/>
          <w:szCs w:val="21"/>
        </w:rPr>
        <w:t>基金日常估值由基金管理人进行。基金管理人完成估值后，将估值结果加盖业务公章以书面形式传真至基金托管人，基金托管人按法律法规、《基金合同》规定的估值方法、时间、程序进行复核，复核无误后在基金管理人传真的书面估值结果上加盖业务公章返回给基金管理人；月末、年中和年末估值复核与基金会计账目的核对同时进行。</w:t>
      </w:r>
    </w:p>
    <w:p w:rsidR="003A3487" w:rsidRPr="008564FF" w:rsidP="009C2B2A">
      <w:pPr>
        <w:pStyle w:val="Heading2"/>
        <w:snapToGrid w:val="0"/>
        <w:spacing w:beforeLines="0" w:afterLines="0" w:line="360" w:lineRule="auto"/>
        <w:ind w:firstLine="562"/>
        <w:rPr>
          <w:rFonts w:asciiTheme="minorEastAsia" w:eastAsiaTheme="minorEastAsia" w:hAnsiTheme="minorEastAsia"/>
        </w:rPr>
      </w:pPr>
      <w:bookmarkStart w:id="166" w:name="_Toc91749263"/>
      <w:r w:rsidRPr="008564FF">
        <w:rPr>
          <w:rFonts w:asciiTheme="minorEastAsia" w:eastAsiaTheme="minorEastAsia" w:hAnsiTheme="minorEastAsia" w:hint="eastAsia"/>
        </w:rPr>
        <w:t>(五)估值方法</w:t>
      </w:r>
      <w:bookmarkEnd w:id="166"/>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本基金按以下方式进行估值：</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1、证券交易所上市的有价证券的估值</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1）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3）交易所上市未实行净价交易的债券按估值日收盘价减去债券收盘价中所含的债券应收利息得到的净价进行估值；估值日没有交易的，且最近交易日后经济环境未发生重大变化，按有交易的最近交易日所采用的净价估值。如最近交易日后经济环境发生了重大变化的，可参考类似投资品种的现行市价及重大变化因素，调整最近交易市价，确定公允价格；</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（4）交易所上市不存在活跃市场的有价证券，采用估值技术确定公允价值。交易所上市的资产支持证券，采用估值技术确定公允价值，在估值技术难以可靠计量公允价值的情况</w:t>
      </w:r>
      <w:r w:rsidRPr="008564FF">
        <w:rPr>
          <w:rFonts w:asciiTheme="minorEastAsia" w:eastAsiaTheme="minorEastAsia" w:hAnsiTheme="minorEastAsia" w:hint="eastAsia"/>
          <w:szCs w:val="21"/>
        </w:rPr>
        <w:t>下，按成本估值。</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2、处于未上市期间的有价证券应区分如下情况处理：</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（1）送股、转增股、配股和公开增发的新股，按估值日在证券交易所挂牌的同一股票的市价（收盘价）估值；该日无交易的，以最近一日的市价（收盘价）估值；</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（2）首次公开发行未上市的股票、债券和权证，采用估值技术确定公允价值，在估值技术难以可靠计量公允价值的情况下，按成本估值。</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（3）首次公开发行有明确锁定期的股票，同一股票在交易所上市后，按交易所上市的同一股票的市价（收盘价）估值；非公开发行有明确锁定期的股票，按监管机构或行业协会有关规定确定公允价值。</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3、因持有股票而享有的配股权，以及停止交易、但未行权的权证，采用估值技术确定公允价值。</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4、全国银行间债券市场交易的债券、资产支持证券等固定收益品种，采用估值技术确定公允价值。</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5、同一债券同时在两个或两个以上市场交易的，按债券所处的市场分别估值。</w:t>
      </w:r>
    </w:p>
    <w:p w:rsidR="009D1A75"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6、本基金投资存托凭证的估值核算，依照境内上市交易的股票执行。</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7</w:t>
      </w:r>
      <w:r w:rsidRPr="008564FF" w:rsidR="0007535E">
        <w:rPr>
          <w:rFonts w:asciiTheme="minorEastAsia" w:eastAsiaTheme="minorEastAsia" w:hAnsiTheme="minorEastAsia" w:hint="eastAsia"/>
          <w:szCs w:val="21"/>
        </w:rPr>
        <w:t>、</w:t>
      </w:r>
      <w:r w:rsidRPr="008564FF">
        <w:rPr>
          <w:rFonts w:asciiTheme="minorEastAsia" w:eastAsiaTheme="minorEastAsia" w:hAnsiTheme="minorEastAsia" w:hint="eastAsia"/>
          <w:szCs w:val="21"/>
        </w:rPr>
        <w:t>如有确凿证据表明按上述方法进行估值不能客观反映其公允价值的，基金管理人可根据具体情况与基金托管人商定后，按最能反映公允价值的价格估值。</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8</w:t>
      </w:r>
      <w:r w:rsidRPr="008564FF" w:rsidR="0007535E">
        <w:rPr>
          <w:rFonts w:asciiTheme="minorEastAsia" w:eastAsiaTheme="minorEastAsia" w:hAnsiTheme="minorEastAsia" w:hint="eastAsia"/>
          <w:szCs w:val="21"/>
        </w:rPr>
        <w:t>、</w:t>
      </w:r>
      <w:r w:rsidRPr="008564FF">
        <w:rPr>
          <w:rFonts w:asciiTheme="minorEastAsia" w:eastAsiaTheme="minorEastAsia" w:hAnsiTheme="minorEastAsia" w:hint="eastAsia"/>
          <w:szCs w:val="21"/>
        </w:rPr>
        <w:t>相关法律法规以及监管部门有强制规定的，从其规定。如有新增事项，按国家最新规定估值。</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根据《基金法》，基金管理人计算并公告基金资产净值，基金托管人复核、审查基金管理人计算的基金资产净值。因此，就与本基金有关的会计问题，如经相关各方在平等基础上充分讨论后，仍无法达成一致的意见，按照基金管理人对基金资产净值的计算结果对外予以公布。</w:t>
      </w:r>
    </w:p>
    <w:p w:rsidR="003A3487" w:rsidRPr="008564FF" w:rsidP="009C2B2A">
      <w:pPr>
        <w:pStyle w:val="Heading2"/>
        <w:snapToGrid w:val="0"/>
        <w:spacing w:beforeLines="0" w:afterLines="0" w:line="360" w:lineRule="auto"/>
        <w:ind w:firstLine="562"/>
        <w:rPr>
          <w:rFonts w:asciiTheme="minorEastAsia" w:eastAsiaTheme="minorEastAsia" w:hAnsiTheme="minorEastAsia"/>
        </w:rPr>
      </w:pPr>
      <w:bookmarkStart w:id="167" w:name="_Toc91749264"/>
      <w:r w:rsidRPr="008564FF">
        <w:rPr>
          <w:rFonts w:asciiTheme="minorEastAsia" w:eastAsiaTheme="minorEastAsia" w:hAnsiTheme="minorEastAsia" w:hint="eastAsia"/>
        </w:rPr>
        <w:t>(六)基金份额净值的确认和估值错误的处理</w:t>
      </w:r>
      <w:bookmarkEnd w:id="167"/>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基金份额净值的计算保留到小数点后3位，小数点后第4位四舍五入。当基金估值出现影响基金份额净值的错误时，基金管理人应当立即纠正，并采取合理的措施防止损失进一步扩大。当错误达到或超过基金资产净值的0.25%时，基金管理人应报中国证监会备案；估值错误偏差达到基金份额净值的0.5%时，基金管理人应当公告，并报中国证监会备案。因基金估值错误给投资者造成损失的，应先由基金管理人承担，基金管理人对不应由其承担的责任，有权向责任方追偿。</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关于差错处理，本合同的当事人按照以下约定处理：</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1、差错类型</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本基金运作过程中，如果由于基金管理人或基金托管人、或注册登记机构、或代理销售</w:t>
      </w:r>
      <w:r w:rsidRPr="008564FF">
        <w:rPr>
          <w:rFonts w:asciiTheme="minorEastAsia" w:eastAsiaTheme="minorEastAsia" w:hAnsiTheme="minorEastAsia" w:hint="eastAsia"/>
          <w:szCs w:val="21"/>
        </w:rPr>
        <w:t>机构、或投资者自身的过错造成差错，导致其他当事人遭受损失的，过错的责任人应当对由于该差错遭受损失的当事人（“受损方”）按下述“差错处理原则”给予赔偿承担赔偿责任。</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上述差错的主要类型包括但不限于：资料申报差错、数据传输差错、数据计算差错、系统故障差错、下达指令差错等；对于因技术原因引起的差错，若系同行业现有技术水平无法预见、无法避免、无法抗拒，则属不可抗力，按照下述规定执行。</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2、差错处理原则</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1）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其应当承担相应赔偿责任。差错责任方应对更正的情况向有关当事人进行确认，确保差错已得到更正。</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（2）差错的责任方对可能导致有关当事人的直接损失负责，不对间接损失负责，并且仅对差错的有关直接当事人负责，不对第三方负责。</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（4）差错调整采用尽量恢复至假设未发生差错的正确情形的方式。</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5）差错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6）如果出现差错的当事人未按规定对受损方进行赔偿，并且依据法律、行政法规、《基金合同》或其他规定，基金管理人自行或依据法院判决、仲裁裁决对受损方承担了赔偿责任，则基金管理人有权向出现过错的当事人进行追索，并有权要求其赔偿或补偿由此发生的费用和遭受的损失。</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（7）按法律法规规定的其他原则处理差错。</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3、差错处理程序</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差错被发现后，有关的当事人应当及时进行处理，处理的程序如下：</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（1）查明差错发生的原因，列明所有的当事人，并根据差错发生的原因确定差错的责任方；</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（2）根据差错处理原则或当事人协商的方法对因差错造成的损失进行评估；</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（3）根据差错处理原则或当事人协商的方法由差错的责任方进行更正和赔偿损失；</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（4）根据差错处理的方法，需要修改基金注册登记机构的交易数据的，由基金注册登记机构进行更正，并就差错的更正向有关当事人进行确认；</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5）基金管理人及基金托管人基金份额净值计算错误偏差达到基金份额净值的0.25%时，基金管理人应当报告中国证监会；基金管理人及基金托管人基金份额净值计算错误偏差达到基金份额净值的0.5%时，基金管理人应当公告并报中国证监会备案。</w:t>
      </w:r>
    </w:p>
    <w:p w:rsidR="003A3487" w:rsidRPr="008564FF" w:rsidP="009C2B2A">
      <w:pPr>
        <w:pStyle w:val="Heading2"/>
        <w:snapToGrid w:val="0"/>
        <w:spacing w:beforeLines="0" w:afterLines="0" w:line="360" w:lineRule="auto"/>
        <w:ind w:firstLine="562"/>
        <w:rPr>
          <w:rFonts w:asciiTheme="minorEastAsia" w:eastAsiaTheme="minorEastAsia" w:hAnsiTheme="minorEastAsia"/>
        </w:rPr>
      </w:pPr>
      <w:bookmarkStart w:id="168" w:name="_Toc91749265"/>
      <w:r w:rsidRPr="008564FF">
        <w:rPr>
          <w:rFonts w:asciiTheme="minorEastAsia" w:eastAsiaTheme="minorEastAsia" w:hAnsiTheme="minorEastAsia" w:hint="eastAsia"/>
        </w:rPr>
        <w:t>(七)暂停估值的情形</w:t>
      </w:r>
      <w:bookmarkEnd w:id="168"/>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1、与本基金投资有关的证券交易场所遇法定节假日或因其他原因暂停营业时；</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2、因不可抗力或其他情形致使基金管理人无法准确评估基金资产价值时；</w:t>
      </w:r>
    </w:p>
    <w:p w:rsidR="0083185E" w:rsidRPr="008564FF" w:rsidP="00AF6805">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szCs w:val="21"/>
        </w:rPr>
        <w:t>3、当前一估值日基金资产净值50%以上的资产出现无可参考的活跃市场价格且采用估值技术仍导致公允价值存在重大不确定性时，经与基金托管人协商一致的；</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szCs w:val="21"/>
        </w:rPr>
        <w:t>4</w:t>
      </w:r>
      <w:r w:rsidRPr="008564FF" w:rsidR="0007535E">
        <w:rPr>
          <w:rFonts w:asciiTheme="minorEastAsia" w:eastAsiaTheme="minorEastAsia" w:hAnsiTheme="minorEastAsia" w:hint="eastAsia"/>
          <w:szCs w:val="21"/>
        </w:rPr>
        <w:t>、</w:t>
      </w:r>
      <w:r w:rsidRPr="008564FF">
        <w:rPr>
          <w:rFonts w:asciiTheme="minorEastAsia" w:eastAsiaTheme="minorEastAsia" w:hAnsiTheme="minorEastAsia" w:hint="eastAsia"/>
          <w:szCs w:val="21"/>
        </w:rPr>
        <w:t>中国证监会认定的其他情形。</w:t>
      </w:r>
    </w:p>
    <w:p w:rsidR="003A3487" w:rsidRPr="008564FF" w:rsidP="009C2B2A">
      <w:pPr>
        <w:pStyle w:val="Heading2"/>
        <w:snapToGrid w:val="0"/>
        <w:spacing w:beforeLines="0" w:afterLines="0" w:line="360" w:lineRule="auto"/>
        <w:ind w:firstLine="562"/>
        <w:rPr>
          <w:rFonts w:asciiTheme="minorEastAsia" w:eastAsiaTheme="minorEastAsia" w:hAnsiTheme="minorEastAsia"/>
        </w:rPr>
      </w:pPr>
      <w:bookmarkStart w:id="169" w:name="_Toc91749266"/>
      <w:r w:rsidRPr="008564FF">
        <w:rPr>
          <w:rFonts w:asciiTheme="minorEastAsia" w:eastAsiaTheme="minorEastAsia" w:hAnsiTheme="minorEastAsia" w:hint="eastAsia"/>
        </w:rPr>
        <w:t>(八)特殊情形的处理</w:t>
      </w:r>
      <w:bookmarkEnd w:id="169"/>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1、基金管理人按估值方法的第</w:t>
      </w:r>
      <w:r w:rsidRPr="008564FF" w:rsidR="009D1A75">
        <w:rPr>
          <w:rFonts w:asciiTheme="minorEastAsia" w:eastAsiaTheme="minorEastAsia" w:hAnsiTheme="minorEastAsia" w:hint="eastAsia"/>
          <w:szCs w:val="21"/>
        </w:rPr>
        <w:t>7</w:t>
      </w:r>
      <w:r w:rsidRPr="008564FF">
        <w:rPr>
          <w:rFonts w:asciiTheme="minorEastAsia" w:eastAsiaTheme="minorEastAsia" w:hAnsiTheme="minorEastAsia" w:hint="eastAsia"/>
          <w:szCs w:val="21"/>
        </w:rPr>
        <w:t>项进行估值时，所造成的误差不作为基金资产估值错误处理；</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2、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基金托管人应当积极采取必要的措施消除由此造成的影响。</w:t>
      </w:r>
    </w:p>
    <w:p w:rsidR="003A3487" w:rsidRPr="008564FF" w:rsidP="004549E4">
      <w:pPr>
        <w:snapToGrid w:val="0"/>
        <w:spacing w:line="360" w:lineRule="auto"/>
        <w:ind w:firstLine="480"/>
        <w:rPr>
          <w:rFonts w:asciiTheme="minorEastAsia" w:eastAsiaTheme="minorEastAsia" w:hAnsiTheme="minorEastAsia"/>
          <w:szCs w:val="21"/>
        </w:rPr>
      </w:pPr>
    </w:p>
    <w:p w:rsidR="003A3487" w:rsidRPr="008564FF" w:rsidP="004549E4">
      <w:pPr>
        <w:snapToGrid w:val="0"/>
        <w:spacing w:line="360" w:lineRule="auto"/>
        <w:ind w:firstLine="480"/>
        <w:rPr>
          <w:rFonts w:asciiTheme="minorEastAsia" w:eastAsiaTheme="minorEastAsia" w:hAnsiTheme="minorEastAsia"/>
          <w:szCs w:val="21"/>
        </w:rPr>
      </w:pPr>
    </w:p>
    <w:p w:rsidR="003A3487" w:rsidRPr="008564FF" w:rsidP="009C2B2A">
      <w:pPr>
        <w:pStyle w:val="Heading1"/>
        <w:snapToGrid w:val="0"/>
        <w:spacing w:beforeLines="0" w:afterLines="0" w:line="360" w:lineRule="auto"/>
        <w:ind w:firstLine="643"/>
        <w:rPr>
          <w:rFonts w:asciiTheme="minorEastAsia" w:eastAsiaTheme="minorEastAsia" w:hAnsiTheme="minorEastAsia"/>
          <w:bCs/>
        </w:rPr>
      </w:pPr>
      <w:r w:rsidRPr="008564FF">
        <w:rPr>
          <w:rFonts w:asciiTheme="minorEastAsia" w:eastAsiaTheme="minorEastAsia" w:hAnsiTheme="minorEastAsia" w:hint="eastAsia"/>
          <w:b/>
          <w:bCs/>
        </w:rPr>
        <w:br w:type="page"/>
      </w:r>
      <w:bookmarkStart w:id="170" w:name="_Toc91749267"/>
      <w:r w:rsidRPr="008564FF">
        <w:rPr>
          <w:rFonts w:asciiTheme="minorEastAsia" w:eastAsiaTheme="minorEastAsia" w:hAnsiTheme="minorEastAsia" w:hint="eastAsia"/>
          <w:b/>
          <w:bCs/>
        </w:rPr>
        <w:t>十五、基金的收益与分配</w:t>
      </w:r>
      <w:bookmarkEnd w:id="170"/>
    </w:p>
    <w:p w:rsidR="003A3487" w:rsidRPr="008564FF" w:rsidP="009C2B2A">
      <w:pPr>
        <w:pStyle w:val="Heading2"/>
        <w:snapToGrid w:val="0"/>
        <w:spacing w:beforeLines="0" w:afterLines="0" w:line="360" w:lineRule="auto"/>
        <w:ind w:firstLine="562"/>
        <w:rPr>
          <w:rFonts w:asciiTheme="minorEastAsia" w:eastAsiaTheme="minorEastAsia" w:hAnsiTheme="minorEastAsia"/>
          <w:b w:val="0"/>
        </w:rPr>
      </w:pPr>
      <w:bookmarkStart w:id="171" w:name="_Toc86584639"/>
      <w:bookmarkStart w:id="172" w:name="_Toc84149664"/>
      <w:bookmarkStart w:id="173" w:name="_Toc91749268"/>
      <w:r w:rsidRPr="008564FF">
        <w:rPr>
          <w:rFonts w:asciiTheme="minorEastAsia" w:eastAsiaTheme="minorEastAsia" w:hAnsiTheme="minorEastAsia" w:hint="eastAsia"/>
        </w:rPr>
        <w:t>（一）收益的构成</w:t>
      </w:r>
      <w:bookmarkEnd w:id="171"/>
      <w:bookmarkEnd w:id="172"/>
      <w:bookmarkEnd w:id="173"/>
    </w:p>
    <w:p w:rsidR="003A3487" w:rsidRPr="008564FF" w:rsidP="004549E4">
      <w:pPr>
        <w:snapToGrid w:val="0"/>
        <w:spacing w:line="360" w:lineRule="auto"/>
        <w:ind w:firstLine="420"/>
        <w:rPr>
          <w:rFonts w:asciiTheme="minorEastAsia" w:eastAsiaTheme="minorEastAsia" w:hAnsiTheme="minorEastAsia"/>
          <w:szCs w:val="21"/>
        </w:rPr>
      </w:pPr>
      <w:r w:rsidRPr="008564FF">
        <w:rPr>
          <w:rFonts w:asciiTheme="minorEastAsia" w:eastAsiaTheme="minorEastAsia" w:hAnsiTheme="minorEastAsia" w:hint="eastAsia"/>
          <w:szCs w:val="21"/>
        </w:rPr>
        <w:t>基金收益包括：基金投资所得红利、股息、债券利息、票据投资收益、买卖证券差价、银行存款利息以及其他收入。因运用基金</w:t>
      </w:r>
      <w:r w:rsidRPr="008564FF">
        <w:rPr>
          <w:rFonts w:asciiTheme="minorEastAsia" w:eastAsiaTheme="minorEastAsia" w:hAnsiTheme="minorEastAsia" w:hint="eastAsia"/>
        </w:rPr>
        <w:t>资</w:t>
      </w:r>
      <w:r w:rsidRPr="008564FF">
        <w:rPr>
          <w:rFonts w:asciiTheme="minorEastAsia" w:eastAsiaTheme="minorEastAsia" w:hAnsiTheme="minorEastAsia" w:hint="eastAsia"/>
          <w:szCs w:val="21"/>
        </w:rPr>
        <w:t>产带来的成本或费用的节约计入收益。</w:t>
      </w:r>
    </w:p>
    <w:p w:rsidR="003A3487" w:rsidRPr="008564FF" w:rsidP="004549E4">
      <w:pPr>
        <w:snapToGrid w:val="0"/>
        <w:spacing w:line="360" w:lineRule="auto"/>
        <w:ind w:firstLine="420"/>
        <w:rPr>
          <w:rFonts w:asciiTheme="minorEastAsia" w:eastAsiaTheme="minorEastAsia" w:hAnsiTheme="minorEastAsia"/>
          <w:szCs w:val="21"/>
        </w:rPr>
      </w:pPr>
      <w:r w:rsidRPr="008564FF">
        <w:rPr>
          <w:rFonts w:asciiTheme="minorEastAsia" w:eastAsiaTheme="minorEastAsia" w:hAnsiTheme="minorEastAsia" w:hint="eastAsia"/>
          <w:szCs w:val="21"/>
        </w:rPr>
        <w:t>基金净收益为基金收益扣除按照有关规定可以在基金收益中扣除的费用后的余额。</w:t>
      </w:r>
    </w:p>
    <w:p w:rsidR="003A3487" w:rsidRPr="008564FF" w:rsidP="009C2B2A">
      <w:pPr>
        <w:pStyle w:val="Heading2"/>
        <w:snapToGrid w:val="0"/>
        <w:spacing w:beforeLines="0" w:afterLines="0" w:line="360" w:lineRule="auto"/>
        <w:ind w:firstLine="562"/>
        <w:rPr>
          <w:rFonts w:asciiTheme="minorEastAsia" w:eastAsiaTheme="minorEastAsia" w:hAnsiTheme="minorEastAsia"/>
          <w:b w:val="0"/>
        </w:rPr>
      </w:pPr>
      <w:bookmarkStart w:id="174" w:name="_Toc86584640"/>
      <w:bookmarkStart w:id="175" w:name="_Toc84149665"/>
      <w:bookmarkStart w:id="176" w:name="_Toc91749269"/>
      <w:r w:rsidRPr="008564FF">
        <w:rPr>
          <w:rFonts w:asciiTheme="minorEastAsia" w:eastAsiaTheme="minorEastAsia" w:hAnsiTheme="minorEastAsia" w:hint="eastAsia"/>
        </w:rPr>
        <w:t>（二）收益分配原则</w:t>
      </w:r>
      <w:bookmarkEnd w:id="174"/>
      <w:bookmarkEnd w:id="175"/>
      <w:bookmarkEnd w:id="176"/>
    </w:p>
    <w:p w:rsidR="003A3487" w:rsidRPr="008564FF" w:rsidP="004549E4">
      <w:pPr>
        <w:snapToGrid w:val="0"/>
        <w:spacing w:line="360" w:lineRule="auto"/>
        <w:ind w:firstLine="480"/>
        <w:rPr>
          <w:rFonts w:asciiTheme="minorEastAsia" w:eastAsiaTheme="minorEastAsia" w:hAnsiTheme="minorEastAsia"/>
          <w:szCs w:val="21"/>
        </w:rPr>
      </w:pPr>
      <w:r w:rsidRPr="008564FF">
        <w:rPr>
          <w:rFonts w:asciiTheme="minorEastAsia" w:eastAsiaTheme="minorEastAsia" w:hAnsiTheme="minorEastAsia" w:hint="eastAsia"/>
          <w:szCs w:val="21"/>
        </w:rPr>
        <w:t>1、</w:t>
      </w:r>
      <w:r w:rsidRPr="008564FF">
        <w:rPr>
          <w:rFonts w:asciiTheme="minorEastAsia" w:eastAsiaTheme="minorEastAsia" w:hAnsiTheme="minorEastAsia" w:hint="eastAsia"/>
        </w:rPr>
        <w:t>在符合有关基金分红条件的前提下，本基金每年收益分配次数最多为12次，</w:t>
      </w:r>
      <w:r w:rsidRPr="008564FF">
        <w:rPr>
          <w:rFonts w:asciiTheme="minorEastAsia" w:eastAsiaTheme="minorEastAsia" w:hAnsiTheme="minorEastAsia" w:hint="eastAsia"/>
          <w:szCs w:val="21"/>
        </w:rPr>
        <w:t>全年分配比例不得低于年度可供分配收益的10%</w:t>
      </w:r>
      <w:r w:rsidRPr="008564FF">
        <w:rPr>
          <w:rFonts w:asciiTheme="minorEastAsia" w:eastAsiaTheme="minorEastAsia" w:hAnsiTheme="minorEastAsia" w:hint="eastAsia"/>
        </w:rPr>
        <w:t>，若《基金合同》生效不满3个月可不进行收益分配；</w:t>
      </w:r>
    </w:p>
    <w:p w:rsidR="003A3487" w:rsidRPr="008564FF" w:rsidP="004549E4">
      <w:pPr>
        <w:snapToGrid w:val="0"/>
        <w:spacing w:line="360" w:lineRule="auto"/>
        <w:ind w:firstLine="480"/>
        <w:rPr>
          <w:rFonts w:asciiTheme="minorEastAsia" w:eastAsiaTheme="minorEastAsia" w:hAnsiTheme="minorEastAsia"/>
          <w:szCs w:val="21"/>
        </w:rPr>
      </w:pPr>
      <w:r w:rsidRPr="008564FF">
        <w:rPr>
          <w:rFonts w:asciiTheme="minorEastAsia" w:eastAsiaTheme="minorEastAsia" w:hAnsiTheme="minorEastAsia" w:hint="eastAsia"/>
          <w:szCs w:val="21"/>
        </w:rPr>
        <w:t>2、本基金收益分配方式分两种：现金分红与红利再投资，投资者可选择现金红利或将现金红利自动转为基金份额进行再投资；若投资者不选择，本基金默认的收益分配方式是现金分红；</w:t>
      </w:r>
    </w:p>
    <w:p w:rsidR="003A3487" w:rsidRPr="008564FF" w:rsidP="004549E4">
      <w:pPr>
        <w:snapToGrid w:val="0"/>
        <w:spacing w:line="360" w:lineRule="auto"/>
        <w:ind w:firstLine="480"/>
        <w:rPr>
          <w:rFonts w:asciiTheme="minorEastAsia" w:eastAsiaTheme="minorEastAsia" w:hAnsiTheme="minorEastAsia"/>
          <w:szCs w:val="21"/>
        </w:rPr>
      </w:pPr>
      <w:r w:rsidRPr="008564FF">
        <w:rPr>
          <w:rFonts w:asciiTheme="minorEastAsia" w:eastAsiaTheme="minorEastAsia" w:hAnsiTheme="minorEastAsia" w:hint="eastAsia"/>
          <w:szCs w:val="21"/>
        </w:rPr>
        <w:t>3、基金投资当期出现净亏损，则不进行收益分配；</w:t>
      </w:r>
    </w:p>
    <w:p w:rsidR="003A3487" w:rsidRPr="008564FF" w:rsidP="004549E4">
      <w:pPr>
        <w:snapToGrid w:val="0"/>
        <w:spacing w:line="360" w:lineRule="auto"/>
        <w:ind w:firstLine="480"/>
        <w:rPr>
          <w:rFonts w:asciiTheme="minorEastAsia" w:eastAsiaTheme="minorEastAsia" w:hAnsiTheme="minorEastAsia"/>
          <w:szCs w:val="21"/>
        </w:rPr>
      </w:pPr>
      <w:r w:rsidRPr="008564FF">
        <w:rPr>
          <w:rFonts w:asciiTheme="minorEastAsia" w:eastAsiaTheme="minorEastAsia" w:hAnsiTheme="minorEastAsia" w:hint="eastAsia"/>
          <w:szCs w:val="21"/>
        </w:rPr>
        <w:t>4、基金收益分配后每份基金份额的净值不能低于面值；</w:t>
      </w:r>
    </w:p>
    <w:p w:rsidR="003A3487" w:rsidRPr="008564FF" w:rsidP="004549E4">
      <w:pPr>
        <w:snapToGrid w:val="0"/>
        <w:spacing w:line="360" w:lineRule="auto"/>
        <w:ind w:firstLine="480"/>
        <w:rPr>
          <w:rFonts w:asciiTheme="minorEastAsia" w:eastAsiaTheme="minorEastAsia" w:hAnsiTheme="minorEastAsia"/>
          <w:szCs w:val="21"/>
        </w:rPr>
      </w:pPr>
      <w:r w:rsidRPr="008564FF">
        <w:rPr>
          <w:rFonts w:asciiTheme="minorEastAsia" w:eastAsiaTheme="minorEastAsia" w:hAnsiTheme="minorEastAsia" w:hint="eastAsia"/>
          <w:szCs w:val="21"/>
        </w:rPr>
        <w:t>5、基金当年收益应先弥补上一年度亏损后，才可进行当年收益分配；</w:t>
      </w:r>
    </w:p>
    <w:p w:rsidR="003A3487" w:rsidRPr="008564FF" w:rsidP="004549E4">
      <w:pPr>
        <w:snapToGrid w:val="0"/>
        <w:spacing w:line="360" w:lineRule="auto"/>
        <w:ind w:firstLine="480"/>
        <w:rPr>
          <w:rFonts w:asciiTheme="minorEastAsia" w:eastAsiaTheme="minorEastAsia" w:hAnsiTheme="minorEastAsia"/>
          <w:szCs w:val="21"/>
        </w:rPr>
      </w:pPr>
      <w:r w:rsidRPr="008564FF">
        <w:rPr>
          <w:rFonts w:asciiTheme="minorEastAsia" w:eastAsiaTheme="minorEastAsia" w:hAnsiTheme="minorEastAsia" w:hint="eastAsia"/>
          <w:szCs w:val="21"/>
        </w:rPr>
        <w:t>6、每一基金份额享有同等分配权；</w:t>
      </w:r>
    </w:p>
    <w:p w:rsidR="003A3487" w:rsidRPr="008564FF" w:rsidP="004549E4">
      <w:pPr>
        <w:snapToGrid w:val="0"/>
        <w:spacing w:line="360" w:lineRule="auto"/>
        <w:ind w:firstLine="480"/>
        <w:rPr>
          <w:rFonts w:asciiTheme="minorEastAsia" w:eastAsiaTheme="minorEastAsia" w:hAnsiTheme="minorEastAsia"/>
          <w:szCs w:val="21"/>
        </w:rPr>
      </w:pPr>
      <w:r w:rsidRPr="008564FF">
        <w:rPr>
          <w:rFonts w:asciiTheme="minorEastAsia" w:eastAsiaTheme="minorEastAsia" w:hAnsiTheme="minorEastAsia" w:hint="eastAsia"/>
          <w:szCs w:val="21"/>
        </w:rPr>
        <w:t>7、法律法规或监管机关另有规定的，从其规定。</w:t>
      </w:r>
    </w:p>
    <w:p w:rsidR="003A3487" w:rsidRPr="008564FF" w:rsidP="009C2B2A">
      <w:pPr>
        <w:pStyle w:val="Heading2"/>
        <w:snapToGrid w:val="0"/>
        <w:spacing w:beforeLines="0" w:afterLines="0" w:line="360" w:lineRule="auto"/>
        <w:ind w:firstLine="562"/>
        <w:rPr>
          <w:rFonts w:asciiTheme="minorEastAsia" w:eastAsiaTheme="minorEastAsia" w:hAnsiTheme="minorEastAsia"/>
        </w:rPr>
      </w:pPr>
      <w:bookmarkStart w:id="177" w:name="_Toc91749270"/>
      <w:r w:rsidRPr="008564FF">
        <w:rPr>
          <w:rFonts w:asciiTheme="minorEastAsia" w:eastAsiaTheme="minorEastAsia" w:hAnsiTheme="minorEastAsia" w:hint="eastAsia"/>
        </w:rPr>
        <w:t>（三）收益分配方案</w:t>
      </w:r>
      <w:bookmarkEnd w:id="177"/>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基金收益分配方案中应载明基金收益分配对象、分配时间、分配数额、分配方式等内容。</w:t>
      </w:r>
    </w:p>
    <w:p w:rsidR="003A3487" w:rsidRPr="008564FF" w:rsidP="009C2B2A">
      <w:pPr>
        <w:pStyle w:val="Heading2"/>
        <w:snapToGrid w:val="0"/>
        <w:spacing w:beforeLines="0" w:afterLines="0" w:line="360" w:lineRule="auto"/>
        <w:ind w:firstLine="562"/>
        <w:rPr>
          <w:rFonts w:asciiTheme="minorEastAsia" w:eastAsiaTheme="minorEastAsia" w:hAnsiTheme="minorEastAsia"/>
        </w:rPr>
      </w:pPr>
      <w:bookmarkStart w:id="178" w:name="_Toc86584642"/>
      <w:bookmarkStart w:id="179" w:name="_Toc84149666"/>
      <w:bookmarkStart w:id="180" w:name="_Toc91749271"/>
      <w:r w:rsidRPr="008564FF">
        <w:rPr>
          <w:rFonts w:asciiTheme="minorEastAsia" w:eastAsiaTheme="minorEastAsia" w:hAnsiTheme="minorEastAsia" w:hint="eastAsia"/>
        </w:rPr>
        <w:t>（四）收益分配方案的确定、公告与实施</w:t>
      </w:r>
      <w:bookmarkEnd w:id="178"/>
      <w:bookmarkEnd w:id="179"/>
      <w:bookmarkEnd w:id="180"/>
    </w:p>
    <w:p w:rsidR="003A3487" w:rsidRPr="008564FF" w:rsidP="004549E4">
      <w:pPr>
        <w:snapToGrid w:val="0"/>
        <w:spacing w:line="360" w:lineRule="auto"/>
        <w:ind w:firstLine="420"/>
        <w:rPr>
          <w:rFonts w:asciiTheme="minorEastAsia" w:eastAsiaTheme="minorEastAsia" w:hAnsiTheme="minorEastAsia"/>
          <w:szCs w:val="21"/>
        </w:rPr>
      </w:pPr>
      <w:r w:rsidRPr="008564FF">
        <w:rPr>
          <w:rFonts w:asciiTheme="minorEastAsia" w:eastAsiaTheme="minorEastAsia" w:hAnsiTheme="minorEastAsia" w:hint="eastAsia"/>
          <w:szCs w:val="21"/>
        </w:rPr>
        <w:t>本基金收益分配方案由基金管理人拟定，并由基金托管人复核，</w:t>
      </w:r>
      <w:r w:rsidRPr="008564FF" w:rsidR="002C6CC3">
        <w:rPr>
          <w:rFonts w:asciiTheme="minorEastAsia" w:eastAsiaTheme="minorEastAsia" w:hAnsiTheme="minorEastAsia" w:hint="eastAsia"/>
          <w:szCs w:val="21"/>
        </w:rPr>
        <w:t>在2日内在指定媒介公告。</w:t>
      </w:r>
    </w:p>
    <w:p w:rsidR="003A3487" w:rsidRPr="008564FF" w:rsidP="009C2B2A">
      <w:pPr>
        <w:pStyle w:val="Heading2"/>
        <w:snapToGrid w:val="0"/>
        <w:spacing w:beforeLines="0" w:afterLines="0" w:line="360" w:lineRule="auto"/>
        <w:ind w:firstLine="562"/>
        <w:rPr>
          <w:rFonts w:asciiTheme="minorEastAsia" w:eastAsiaTheme="minorEastAsia" w:hAnsiTheme="minorEastAsia"/>
          <w:b w:val="0"/>
        </w:rPr>
      </w:pPr>
      <w:bookmarkStart w:id="181" w:name="_Toc86584643"/>
      <w:bookmarkStart w:id="182" w:name="_Toc84149667"/>
      <w:bookmarkStart w:id="183" w:name="_Toc91749272"/>
      <w:r w:rsidRPr="008564FF">
        <w:rPr>
          <w:rFonts w:asciiTheme="minorEastAsia" w:eastAsiaTheme="minorEastAsia" w:hAnsiTheme="minorEastAsia" w:hint="eastAsia"/>
        </w:rPr>
        <w:t>（五）基金收益分配中发生的费用</w:t>
      </w:r>
      <w:bookmarkEnd w:id="181"/>
      <w:bookmarkEnd w:id="182"/>
      <w:bookmarkEnd w:id="183"/>
    </w:p>
    <w:p w:rsidR="003A3487" w:rsidRPr="008564FF" w:rsidP="004549E4">
      <w:pPr>
        <w:snapToGrid w:val="0"/>
        <w:spacing w:line="360" w:lineRule="auto"/>
        <w:ind w:firstLine="420"/>
        <w:rPr>
          <w:rFonts w:asciiTheme="minorEastAsia" w:eastAsiaTheme="minorEastAsia" w:hAnsiTheme="minorEastAsia"/>
          <w:szCs w:val="21"/>
        </w:rPr>
      </w:pPr>
      <w:r w:rsidRPr="008564FF">
        <w:rPr>
          <w:rFonts w:asciiTheme="minorEastAsia" w:eastAsiaTheme="minorEastAsia" w:hAnsiTheme="minorEastAsia" w:hint="eastAsia"/>
          <w:szCs w:val="21"/>
        </w:rPr>
        <w:t>红利分配时所发生的银行转账或其他手续费用由投资者自行承担。当投资者的现金红利小于一定金额，不足于支付银行转账或其他手续费用时，基金注册登记机构可将基金份额持有人的现金红利自动转为基金份额。红利再投资的计算方法，依照《业务规则》执行。</w:t>
      </w:r>
    </w:p>
    <w:p w:rsidR="003A3487" w:rsidRPr="008564FF" w:rsidP="009C2B2A">
      <w:pPr>
        <w:pStyle w:val="Heading1"/>
        <w:snapToGrid w:val="0"/>
        <w:spacing w:beforeLines="0" w:afterLines="0" w:line="360" w:lineRule="auto"/>
        <w:ind w:firstLine="643"/>
        <w:rPr>
          <w:rFonts w:asciiTheme="minorEastAsia" w:eastAsiaTheme="minorEastAsia" w:hAnsiTheme="minorEastAsia"/>
          <w:bCs/>
        </w:rPr>
      </w:pPr>
      <w:r w:rsidRPr="008564FF">
        <w:rPr>
          <w:rFonts w:asciiTheme="minorEastAsia" w:eastAsiaTheme="minorEastAsia" w:hAnsiTheme="minorEastAsia" w:hint="eastAsia"/>
          <w:b/>
          <w:bCs/>
        </w:rPr>
        <w:br w:type="page"/>
      </w:r>
      <w:bookmarkStart w:id="184" w:name="_Toc91749273"/>
      <w:r w:rsidRPr="008564FF">
        <w:rPr>
          <w:rFonts w:asciiTheme="minorEastAsia" w:eastAsiaTheme="minorEastAsia" w:hAnsiTheme="minorEastAsia" w:hint="eastAsia"/>
          <w:b/>
          <w:bCs/>
        </w:rPr>
        <w:t>十六、基金的费用与税收</w:t>
      </w:r>
      <w:bookmarkEnd w:id="184"/>
    </w:p>
    <w:p w:rsidR="003A3487" w:rsidRPr="008564FF" w:rsidP="009C2B2A">
      <w:pPr>
        <w:pStyle w:val="Heading2"/>
        <w:snapToGrid w:val="0"/>
        <w:spacing w:beforeLines="0" w:afterLines="0" w:line="360" w:lineRule="auto"/>
        <w:ind w:firstLine="0" w:firstLineChars="0"/>
        <w:rPr>
          <w:rFonts w:asciiTheme="minorEastAsia" w:eastAsiaTheme="minorEastAsia" w:hAnsiTheme="minorEastAsia"/>
        </w:rPr>
      </w:pPr>
      <w:bookmarkStart w:id="185" w:name="_Toc86584633"/>
      <w:bookmarkStart w:id="186" w:name="_Toc84149669"/>
      <w:bookmarkStart w:id="187" w:name="_Toc91749274"/>
      <w:r w:rsidRPr="008564FF">
        <w:rPr>
          <w:rFonts w:asciiTheme="minorEastAsia" w:eastAsiaTheme="minorEastAsia" w:hAnsiTheme="minorEastAsia" w:hint="eastAsia"/>
        </w:rPr>
        <w:t>（一）与基金运作相关的费用</w:t>
      </w:r>
      <w:bookmarkEnd w:id="185"/>
      <w:bookmarkEnd w:id="186"/>
      <w:bookmarkEnd w:id="187"/>
    </w:p>
    <w:p w:rsidR="003A3487" w:rsidRPr="008564FF" w:rsidP="004549E4">
      <w:pPr>
        <w:snapToGrid w:val="0"/>
        <w:spacing w:line="360" w:lineRule="auto"/>
        <w:ind w:firstLine="420" w:firstLineChars="200"/>
        <w:rPr>
          <w:rFonts w:asciiTheme="minorEastAsia" w:eastAsiaTheme="minorEastAsia" w:hAnsiTheme="minorEastAsia"/>
          <w:b/>
          <w:bCs/>
          <w:sz w:val="24"/>
        </w:rPr>
      </w:pPr>
      <w:r w:rsidRPr="008564FF">
        <w:rPr>
          <w:rFonts w:asciiTheme="minorEastAsia" w:eastAsiaTheme="minorEastAsia" w:hAnsiTheme="minorEastAsia" w:hint="eastAsia"/>
          <w:szCs w:val="21"/>
        </w:rPr>
        <w:t>1、基金费用的种类</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（1）基金管理人的管理费；</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（2）基金托管人的托管费；</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（3）《基金合同》生效后与基金相关的信息披露费用；</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（4）《基金合同》生效后与基金相关的会计师费和律师费；</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（5）基金份额持有人大会费用；</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（6）基金的证券交易费用；</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（7）基金的银行汇划费用；</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（8）按照国家有关规定和《基金合同》约定，可以在基金财产中列支的其他费用。</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本基金终止清算时所发生费用，按实际支出额从基金财产总值中扣除。</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bCs/>
          <w:szCs w:val="21"/>
        </w:rPr>
        <w:t>2、基金费用计提方法、计提标准和支付方式</w:t>
      </w:r>
    </w:p>
    <w:p w:rsidR="003A3487" w:rsidRPr="008564FF" w:rsidP="004549E4">
      <w:pPr>
        <w:snapToGrid w:val="0"/>
        <w:spacing w:line="360" w:lineRule="auto"/>
        <w:ind w:firstLine="420"/>
        <w:rPr>
          <w:rFonts w:asciiTheme="minorEastAsia" w:eastAsiaTheme="minorEastAsia" w:hAnsiTheme="minorEastAsia"/>
          <w:szCs w:val="21"/>
        </w:rPr>
      </w:pPr>
      <w:r w:rsidRPr="008564FF">
        <w:rPr>
          <w:rFonts w:asciiTheme="minorEastAsia" w:eastAsiaTheme="minorEastAsia" w:hAnsiTheme="minorEastAsia" w:hint="eastAsia"/>
          <w:szCs w:val="21"/>
        </w:rPr>
        <w:t>（1）基金管理人的管理费</w:t>
      </w:r>
    </w:p>
    <w:p w:rsidR="003A3487" w:rsidRPr="008564FF" w:rsidP="004549E4">
      <w:pPr>
        <w:snapToGrid w:val="0"/>
        <w:spacing w:line="360" w:lineRule="auto"/>
        <w:ind w:firstLine="420"/>
        <w:rPr>
          <w:rFonts w:asciiTheme="minorEastAsia" w:eastAsiaTheme="minorEastAsia" w:hAnsiTheme="minorEastAsia"/>
          <w:szCs w:val="21"/>
        </w:rPr>
      </w:pPr>
      <w:r w:rsidRPr="008564FF">
        <w:rPr>
          <w:rFonts w:asciiTheme="minorEastAsia" w:eastAsiaTheme="minorEastAsia" w:hAnsiTheme="minorEastAsia" w:hint="eastAsia"/>
          <w:szCs w:val="21"/>
        </w:rPr>
        <w:t>本基金的管理费按前一日基金资产净值的1.5%年费率计提。管理费的计算方法如下：</w:t>
      </w:r>
    </w:p>
    <w:p w:rsidR="003A3487" w:rsidRPr="008564FF" w:rsidP="004549E4">
      <w:pPr>
        <w:snapToGrid w:val="0"/>
        <w:spacing w:line="360" w:lineRule="auto"/>
        <w:ind w:firstLine="420"/>
        <w:rPr>
          <w:rFonts w:asciiTheme="minorEastAsia" w:eastAsiaTheme="minorEastAsia" w:hAnsiTheme="minorEastAsia"/>
          <w:szCs w:val="21"/>
        </w:rPr>
      </w:pPr>
      <w:r w:rsidRPr="008564FF">
        <w:rPr>
          <w:rFonts w:asciiTheme="minorEastAsia" w:eastAsiaTheme="minorEastAsia" w:hAnsiTheme="minorEastAsia" w:hint="eastAsia"/>
          <w:szCs w:val="21"/>
        </w:rPr>
        <w:t>H＝E×1.5%÷当年天数</w:t>
      </w:r>
    </w:p>
    <w:p w:rsidR="003A3487" w:rsidRPr="008564FF" w:rsidP="004549E4">
      <w:pPr>
        <w:snapToGrid w:val="0"/>
        <w:spacing w:line="360" w:lineRule="auto"/>
        <w:ind w:firstLine="420"/>
        <w:rPr>
          <w:rFonts w:asciiTheme="minorEastAsia" w:eastAsiaTheme="minorEastAsia" w:hAnsiTheme="minorEastAsia"/>
          <w:szCs w:val="21"/>
        </w:rPr>
      </w:pPr>
      <w:r w:rsidRPr="008564FF">
        <w:rPr>
          <w:rFonts w:asciiTheme="minorEastAsia" w:eastAsiaTheme="minorEastAsia" w:hAnsiTheme="minorEastAsia" w:hint="eastAsia"/>
          <w:szCs w:val="21"/>
        </w:rPr>
        <w:t>H为每日应计提的基金管理费</w:t>
      </w:r>
    </w:p>
    <w:p w:rsidR="003A3487" w:rsidRPr="008564FF" w:rsidP="004549E4">
      <w:pPr>
        <w:snapToGrid w:val="0"/>
        <w:spacing w:line="360" w:lineRule="auto"/>
        <w:ind w:firstLine="420"/>
        <w:rPr>
          <w:rFonts w:asciiTheme="minorEastAsia" w:eastAsiaTheme="minorEastAsia" w:hAnsiTheme="minorEastAsia"/>
          <w:szCs w:val="21"/>
        </w:rPr>
      </w:pPr>
      <w:r w:rsidRPr="008564FF">
        <w:rPr>
          <w:rFonts w:asciiTheme="minorEastAsia" w:eastAsiaTheme="minorEastAsia" w:hAnsiTheme="minorEastAsia" w:hint="eastAsia"/>
          <w:szCs w:val="21"/>
        </w:rPr>
        <w:t>E为前一日的基金资产净值</w:t>
      </w:r>
    </w:p>
    <w:p w:rsidR="003A3487" w:rsidRPr="008564FF" w:rsidP="004549E4">
      <w:pPr>
        <w:snapToGrid w:val="0"/>
        <w:spacing w:line="360" w:lineRule="auto"/>
        <w:ind w:firstLine="420"/>
        <w:rPr>
          <w:rFonts w:asciiTheme="minorEastAsia" w:eastAsiaTheme="minorEastAsia" w:hAnsiTheme="minorEastAsia"/>
          <w:szCs w:val="21"/>
        </w:rPr>
      </w:pPr>
      <w:r w:rsidRPr="008564FF">
        <w:rPr>
          <w:rFonts w:asciiTheme="minorEastAsia" w:eastAsiaTheme="minorEastAsia" w:hAnsiTheme="minorEastAsia" w:hint="eastAsia"/>
          <w:szCs w:val="21"/>
        </w:rPr>
        <w:t>基金管理费每日计算，逐日累计至每月月末，按月支付，由基金管理人向基金托管人发送基金管理费划款指令，基金托管人复核后于次月前2个工作日内从基金财产中一次性支付给基金管理人。若遇法定节假日、公休假等,支付日期顺延。</w:t>
      </w:r>
    </w:p>
    <w:p w:rsidR="003A3487" w:rsidRPr="008564FF" w:rsidP="004549E4">
      <w:pPr>
        <w:snapToGrid w:val="0"/>
        <w:spacing w:line="360" w:lineRule="auto"/>
        <w:ind w:firstLine="420"/>
        <w:rPr>
          <w:rFonts w:asciiTheme="minorEastAsia" w:eastAsiaTheme="minorEastAsia" w:hAnsiTheme="minorEastAsia"/>
          <w:szCs w:val="21"/>
        </w:rPr>
      </w:pPr>
      <w:r w:rsidRPr="008564FF">
        <w:rPr>
          <w:rFonts w:asciiTheme="minorEastAsia" w:eastAsiaTheme="minorEastAsia" w:hAnsiTheme="minorEastAsia" w:hint="eastAsia"/>
          <w:szCs w:val="21"/>
        </w:rPr>
        <w:t>（2）基金托管人的托管费</w:t>
      </w:r>
    </w:p>
    <w:p w:rsidR="003A3487" w:rsidRPr="008564FF" w:rsidP="004549E4">
      <w:pPr>
        <w:snapToGrid w:val="0"/>
        <w:spacing w:line="360" w:lineRule="auto"/>
        <w:ind w:firstLine="420"/>
        <w:rPr>
          <w:rFonts w:asciiTheme="minorEastAsia" w:eastAsiaTheme="minorEastAsia" w:hAnsiTheme="minorEastAsia"/>
          <w:szCs w:val="21"/>
        </w:rPr>
      </w:pPr>
      <w:r w:rsidRPr="008564FF">
        <w:rPr>
          <w:rFonts w:asciiTheme="minorEastAsia" w:eastAsiaTheme="minorEastAsia" w:hAnsiTheme="minorEastAsia" w:hint="eastAsia"/>
          <w:szCs w:val="21"/>
        </w:rPr>
        <w:t>本基金的托管费按前一日基金资产净值的2.5‰的年费率计提。托管费的计算方法如下：</w:t>
      </w:r>
    </w:p>
    <w:p w:rsidR="003A3487" w:rsidRPr="008564FF" w:rsidP="004549E4">
      <w:pPr>
        <w:snapToGrid w:val="0"/>
        <w:spacing w:line="360" w:lineRule="auto"/>
        <w:ind w:firstLine="420"/>
        <w:rPr>
          <w:rFonts w:asciiTheme="minorEastAsia" w:eastAsiaTheme="minorEastAsia" w:hAnsiTheme="minorEastAsia"/>
          <w:szCs w:val="21"/>
        </w:rPr>
      </w:pPr>
      <w:r w:rsidRPr="008564FF">
        <w:rPr>
          <w:rFonts w:asciiTheme="minorEastAsia" w:eastAsiaTheme="minorEastAsia" w:hAnsiTheme="minorEastAsia" w:hint="eastAsia"/>
          <w:szCs w:val="21"/>
        </w:rPr>
        <w:t>H＝E×2.5‰÷当年天数</w:t>
      </w:r>
    </w:p>
    <w:p w:rsidR="003A3487" w:rsidRPr="008564FF" w:rsidP="004549E4">
      <w:pPr>
        <w:snapToGrid w:val="0"/>
        <w:spacing w:line="360" w:lineRule="auto"/>
        <w:ind w:firstLine="420"/>
        <w:rPr>
          <w:rFonts w:asciiTheme="minorEastAsia" w:eastAsiaTheme="minorEastAsia" w:hAnsiTheme="minorEastAsia"/>
          <w:szCs w:val="21"/>
        </w:rPr>
      </w:pPr>
      <w:r w:rsidRPr="008564FF">
        <w:rPr>
          <w:rFonts w:asciiTheme="minorEastAsia" w:eastAsiaTheme="minorEastAsia" w:hAnsiTheme="minorEastAsia" w:hint="eastAsia"/>
          <w:szCs w:val="21"/>
        </w:rPr>
        <w:t>H为每日应计提的基金托管费</w:t>
      </w:r>
    </w:p>
    <w:p w:rsidR="003A3487" w:rsidRPr="008564FF" w:rsidP="004549E4">
      <w:pPr>
        <w:snapToGrid w:val="0"/>
        <w:spacing w:line="360" w:lineRule="auto"/>
        <w:ind w:firstLine="420"/>
        <w:rPr>
          <w:rFonts w:asciiTheme="minorEastAsia" w:eastAsiaTheme="minorEastAsia" w:hAnsiTheme="minorEastAsia"/>
          <w:szCs w:val="21"/>
        </w:rPr>
      </w:pPr>
      <w:r w:rsidRPr="008564FF">
        <w:rPr>
          <w:rFonts w:asciiTheme="minorEastAsia" w:eastAsiaTheme="minorEastAsia" w:hAnsiTheme="minorEastAsia" w:hint="eastAsia"/>
          <w:szCs w:val="21"/>
        </w:rPr>
        <w:t>E为前一日的基金资产净值</w:t>
      </w:r>
    </w:p>
    <w:p w:rsidR="003A3487" w:rsidRPr="008564FF" w:rsidP="004549E4">
      <w:pPr>
        <w:snapToGrid w:val="0"/>
        <w:spacing w:line="360" w:lineRule="auto"/>
        <w:ind w:firstLine="420"/>
        <w:rPr>
          <w:rFonts w:asciiTheme="minorEastAsia" w:eastAsiaTheme="minorEastAsia" w:hAnsiTheme="minorEastAsia"/>
          <w:szCs w:val="21"/>
        </w:rPr>
      </w:pPr>
      <w:r w:rsidRPr="008564FF">
        <w:rPr>
          <w:rFonts w:asciiTheme="minorEastAsia" w:eastAsiaTheme="minorEastAsia" w:hAnsiTheme="minorEastAsia" w:hint="eastAsia"/>
          <w:szCs w:val="21"/>
        </w:rPr>
        <w:t>基金托管费每日计算，逐日累计至每月月末，按月支付，由基金管理人向基金托管人发送基金托管费划款指令，基金托管人复核后于次月前2个工作日内从基金财产中一次性支取。若遇法定节假日、公休日等,支付日期顺延。</w:t>
      </w:r>
    </w:p>
    <w:p w:rsidR="003A3487" w:rsidRPr="008564FF" w:rsidP="004549E4">
      <w:pPr>
        <w:snapToGrid w:val="0"/>
        <w:spacing w:line="360" w:lineRule="auto"/>
        <w:ind w:firstLine="420"/>
        <w:rPr>
          <w:rFonts w:asciiTheme="minorEastAsia" w:eastAsiaTheme="minorEastAsia" w:hAnsiTheme="minorEastAsia"/>
          <w:szCs w:val="21"/>
        </w:rPr>
      </w:pPr>
      <w:r w:rsidRPr="008564FF">
        <w:rPr>
          <w:rFonts w:asciiTheme="minorEastAsia" w:eastAsiaTheme="minorEastAsia" w:hAnsiTheme="minorEastAsia" w:hint="eastAsia"/>
        </w:rPr>
        <w:t>上述“1、基金费用的种类”中第（3）－（7）项费用，根据有关法规及相应协议规定，按费用实际支出金额列入当期费用，由基金托管人从基金财产中支付。</w:t>
      </w:r>
    </w:p>
    <w:p w:rsidR="003A3487" w:rsidRPr="008564FF" w:rsidP="004549E4">
      <w:pPr>
        <w:snapToGrid w:val="0"/>
        <w:spacing w:line="360" w:lineRule="auto"/>
        <w:ind w:firstLine="480"/>
        <w:rPr>
          <w:rFonts w:asciiTheme="minorEastAsia" w:eastAsiaTheme="minorEastAsia" w:hAnsiTheme="minorEastAsia"/>
          <w:szCs w:val="21"/>
        </w:rPr>
      </w:pPr>
      <w:r w:rsidRPr="008564FF">
        <w:rPr>
          <w:rFonts w:asciiTheme="minorEastAsia" w:eastAsiaTheme="minorEastAsia" w:hAnsiTheme="minorEastAsia" w:hint="eastAsia"/>
          <w:szCs w:val="21"/>
        </w:rPr>
        <w:t>3、不列入基金费用的项目</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下列费用不列入基金费用：</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（1）基金管理人和基金托管人因未履行或未完全履行义务导致的费用支出或基金财产的损失；</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（2）基金管理人和基金托管人处理与基金运作无关的事项发生的费用；</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（3）基金合同生效前的相关费用，包括但不限于验资费、会计师和律师费、信息披露费用等费用；</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（4）其他根据相关法律法规及中国证监会的有关规定不得列入基金费用的项目。</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4、基金费用的调整</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基金管理人和基金托管人协商一致后，可根据基金发展情况调整基金管理费率、基金托管费率等相关费率。</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调高基金管理费率和基金托管费率，须召开基金份额持有人大会审议，</w:t>
      </w:r>
      <w:r w:rsidRPr="008564FF">
        <w:rPr>
          <w:rFonts w:asciiTheme="minorEastAsia" w:eastAsiaTheme="minorEastAsia" w:hAnsiTheme="minorEastAsia" w:hint="eastAsia"/>
        </w:rPr>
        <w:t>除非基金合同、相关法律法规或监管机构另有规定</w:t>
      </w:r>
      <w:r w:rsidRPr="008564FF">
        <w:rPr>
          <w:rFonts w:asciiTheme="minorEastAsia" w:eastAsiaTheme="minorEastAsia" w:hAnsiTheme="minorEastAsia" w:hint="eastAsia"/>
          <w:szCs w:val="21"/>
        </w:rPr>
        <w:t>；调低基金管理费率和基金托管费率，无须召开基金份额持有人大会。</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基金管理人必须按照《信息披露办法》或其他相关规定在新的费率实施日前在</w:t>
      </w:r>
      <w:r w:rsidRPr="008564FF" w:rsidR="002C6CC3">
        <w:rPr>
          <w:rFonts w:asciiTheme="minorEastAsia" w:eastAsiaTheme="minorEastAsia" w:hAnsiTheme="minorEastAsia" w:hint="eastAsia"/>
          <w:szCs w:val="21"/>
        </w:rPr>
        <w:t>指定媒介</w:t>
      </w:r>
      <w:r w:rsidRPr="008564FF">
        <w:rPr>
          <w:rFonts w:asciiTheme="minorEastAsia" w:eastAsiaTheme="minorEastAsia" w:hAnsiTheme="minorEastAsia" w:hint="eastAsia"/>
          <w:szCs w:val="21"/>
        </w:rPr>
        <w:t>公告。</w:t>
      </w:r>
    </w:p>
    <w:p w:rsidR="003A3487" w:rsidRPr="008564FF" w:rsidP="009C2B2A">
      <w:pPr>
        <w:pStyle w:val="Heading2"/>
        <w:snapToGrid w:val="0"/>
        <w:spacing w:beforeLines="0" w:afterLines="0" w:line="360" w:lineRule="auto"/>
        <w:ind w:firstLine="0" w:firstLineChars="0"/>
        <w:rPr>
          <w:rFonts w:asciiTheme="minorEastAsia" w:eastAsiaTheme="minorEastAsia" w:hAnsiTheme="minorEastAsia"/>
        </w:rPr>
      </w:pPr>
      <w:bookmarkStart w:id="188" w:name="_Toc91749275"/>
      <w:r w:rsidRPr="008564FF">
        <w:rPr>
          <w:rFonts w:asciiTheme="minorEastAsia" w:eastAsiaTheme="minorEastAsia" w:hAnsiTheme="minorEastAsia" w:hint="eastAsia"/>
        </w:rPr>
        <w:t>（二）与基金销售有关的费用</w:t>
      </w:r>
      <w:bookmarkEnd w:id="188"/>
    </w:p>
    <w:p w:rsidR="004B4AD0" w:rsidRPr="008564FF" w:rsidP="004549E4">
      <w:pPr>
        <w:autoSpaceDE w:val="0"/>
        <w:autoSpaceDN w:val="0"/>
        <w:adjustRightInd w:val="0"/>
        <w:snapToGrid w:val="0"/>
        <w:spacing w:line="360" w:lineRule="auto"/>
        <w:ind w:firstLine="420" w:firstLineChars="200"/>
        <w:jc w:val="left"/>
        <w:rPr>
          <w:rFonts w:asciiTheme="minorEastAsia" w:eastAsiaTheme="minorEastAsia" w:hAnsiTheme="minorEastAsia"/>
          <w:szCs w:val="21"/>
        </w:rPr>
      </w:pPr>
      <w:r w:rsidRPr="008564FF">
        <w:rPr>
          <w:rFonts w:asciiTheme="minorEastAsia" w:eastAsiaTheme="minorEastAsia" w:hAnsiTheme="minorEastAsia" w:hint="eastAsia"/>
        </w:rPr>
        <w:t>1、</w:t>
      </w:r>
      <w:r w:rsidRPr="008564FF" w:rsidR="008D717D">
        <w:rPr>
          <w:rFonts w:asciiTheme="minorEastAsia" w:eastAsiaTheme="minorEastAsia" w:hAnsiTheme="minorEastAsia" w:hint="eastAsia"/>
          <w:szCs w:val="21"/>
        </w:rPr>
        <w:t>申购费、赎回费的费率水平、收取方式和计算公式详见本招募说明书“八、基金份额的申购、赎回”中的“（七）申购、赎回的费率”和“（八）申购份额、赎回金额的计算方式”的相关规定。</w:t>
      </w:r>
      <w:bookmarkStart w:id="189" w:name="_Toc86584637"/>
      <w:bookmarkStart w:id="190" w:name="_Toc84149673"/>
    </w:p>
    <w:p w:rsidR="004B4AD0" w:rsidRPr="008564FF" w:rsidP="004549E4">
      <w:pPr>
        <w:autoSpaceDE w:val="0"/>
        <w:autoSpaceDN w:val="0"/>
        <w:snapToGrid w:val="0"/>
        <w:spacing w:line="360" w:lineRule="auto"/>
        <w:ind w:left="420"/>
        <w:textAlignment w:val="bottom"/>
        <w:rPr>
          <w:rFonts w:asciiTheme="minorEastAsia" w:eastAsiaTheme="minorEastAsia" w:hAnsiTheme="minorEastAsia"/>
          <w:szCs w:val="21"/>
        </w:rPr>
      </w:pPr>
      <w:r w:rsidRPr="008564FF">
        <w:rPr>
          <w:rFonts w:asciiTheme="minorEastAsia" w:eastAsiaTheme="minorEastAsia" w:hAnsiTheme="minorEastAsia" w:hint="eastAsia"/>
          <w:szCs w:val="21"/>
        </w:rPr>
        <w:t>2</w:t>
      </w:r>
      <w:r w:rsidRPr="008564FF" w:rsidR="0007535E">
        <w:rPr>
          <w:rFonts w:asciiTheme="minorEastAsia" w:eastAsiaTheme="minorEastAsia" w:hAnsiTheme="minorEastAsia" w:hint="eastAsia"/>
          <w:szCs w:val="21"/>
        </w:rPr>
        <w:t>、</w:t>
      </w:r>
      <w:r w:rsidRPr="008564FF" w:rsidR="003A3487">
        <w:rPr>
          <w:rFonts w:asciiTheme="minorEastAsia" w:eastAsiaTheme="minorEastAsia" w:hAnsiTheme="minorEastAsia" w:hint="eastAsia"/>
          <w:szCs w:val="21"/>
        </w:rPr>
        <w:t>转换费率</w:t>
      </w:r>
    </w:p>
    <w:p w:rsidR="003A3487" w:rsidRPr="008564FF" w:rsidP="004549E4">
      <w:pPr>
        <w:autoSpaceDE w:val="0"/>
        <w:autoSpaceDN w:val="0"/>
        <w:snapToGrid w:val="0"/>
        <w:spacing w:line="360" w:lineRule="auto"/>
        <w:ind w:firstLine="420"/>
        <w:textAlignment w:val="bottom"/>
        <w:rPr>
          <w:rFonts w:asciiTheme="minorEastAsia" w:eastAsiaTheme="minorEastAsia" w:hAnsiTheme="minorEastAsia"/>
          <w:szCs w:val="21"/>
        </w:rPr>
      </w:pPr>
      <w:r w:rsidRPr="008564FF">
        <w:rPr>
          <w:rFonts w:asciiTheme="minorEastAsia" w:eastAsiaTheme="minorEastAsia" w:hAnsiTheme="minorEastAsia" w:hint="eastAsia"/>
          <w:szCs w:val="21"/>
        </w:rPr>
        <w:t>目前，基金管理人已开通了本基金与旗下部分开放式基金之间的转换业务，具体实施办法和转换费率详见相关公告。基金转换费用由投资者承担，基金转换费按照</w:t>
      </w:r>
      <w:r w:rsidRPr="008564FF" w:rsidR="005C239D">
        <w:rPr>
          <w:rFonts w:asciiTheme="minorEastAsia" w:eastAsiaTheme="minorEastAsia" w:hAnsiTheme="minorEastAsia" w:hint="eastAsia"/>
          <w:szCs w:val="21"/>
        </w:rPr>
        <w:t>各基金</w:t>
      </w:r>
      <w:r w:rsidRPr="008564FF" w:rsidR="005C239D">
        <w:rPr>
          <w:rFonts w:asciiTheme="minorEastAsia" w:eastAsiaTheme="minorEastAsia" w:hAnsiTheme="minorEastAsia"/>
          <w:szCs w:val="21"/>
        </w:rPr>
        <w:t>的</w:t>
      </w:r>
      <w:r w:rsidRPr="008564FF">
        <w:rPr>
          <w:rFonts w:asciiTheme="minorEastAsia" w:eastAsiaTheme="minorEastAsia" w:hAnsiTheme="minorEastAsia" w:hint="eastAsia"/>
          <w:szCs w:val="21"/>
        </w:rPr>
        <w:t>基金合同、更新的招募说明书及最新的相关公告约定的比例归入基金财产，其余部分用于支付注册登记费等相关手续费。转换费用以人民币元为单位，计算结果按照四舍五入方法，保留小数点后两位。</w:t>
      </w:r>
    </w:p>
    <w:p w:rsidR="003A3487" w:rsidRPr="008564FF" w:rsidP="004549E4">
      <w:pPr>
        <w:pStyle w:val="NormalIndent"/>
        <w:tabs>
          <w:tab w:val="left" w:pos="735"/>
        </w:tabs>
        <w:snapToGrid w:val="0"/>
        <w:spacing w:line="360" w:lineRule="auto"/>
        <w:ind w:firstLine="420" w:firstLineChars="200"/>
        <w:rPr>
          <w:rFonts w:asciiTheme="minorEastAsia" w:eastAsiaTheme="minorEastAsia" w:hAnsiTheme="minorEastAsia"/>
        </w:rPr>
      </w:pPr>
      <w:r w:rsidRPr="008564FF">
        <w:rPr>
          <w:rFonts w:asciiTheme="minorEastAsia" w:eastAsiaTheme="minorEastAsia" w:hAnsiTheme="minorEastAsia" w:hint="eastAsia"/>
          <w:szCs w:val="21"/>
        </w:rPr>
        <w:t>3</w:t>
      </w:r>
      <w:r w:rsidRPr="008564FF" w:rsidR="0007535E">
        <w:rPr>
          <w:rFonts w:asciiTheme="minorEastAsia" w:eastAsiaTheme="minorEastAsia" w:hAnsiTheme="minorEastAsia" w:hint="eastAsia"/>
          <w:szCs w:val="21"/>
        </w:rPr>
        <w:t>、</w:t>
      </w:r>
      <w:r w:rsidRPr="008564FF">
        <w:rPr>
          <w:rFonts w:asciiTheme="minorEastAsia" w:eastAsiaTheme="minorEastAsia" w:hAnsiTheme="minorEastAsia" w:hint="eastAsia"/>
          <w:szCs w:val="21"/>
        </w:rPr>
        <w:t>投资者通过本公司网上交易系统（www.efunds.com.cn）进行申购、赎回和转换的交易费率，请具体参照我公司网站上的相关说明。</w:t>
      </w:r>
    </w:p>
    <w:p w:rsidR="003A3487" w:rsidRPr="008564FF" w:rsidP="004549E4">
      <w:pPr>
        <w:pStyle w:val="NormalIndent"/>
        <w:tabs>
          <w:tab w:val="left" w:pos="420"/>
        </w:tabs>
        <w:snapToGrid w:val="0"/>
        <w:spacing w:line="360" w:lineRule="auto"/>
        <w:ind w:firstLine="420" w:firstLineChars="200"/>
        <w:rPr>
          <w:rFonts w:asciiTheme="minorEastAsia" w:eastAsiaTheme="minorEastAsia" w:hAnsiTheme="minorEastAsia"/>
        </w:rPr>
      </w:pPr>
      <w:r w:rsidRPr="008564FF">
        <w:rPr>
          <w:rFonts w:asciiTheme="minorEastAsia" w:eastAsiaTheme="minorEastAsia" w:hAnsiTheme="minorEastAsia" w:hint="eastAsia"/>
        </w:rPr>
        <w:t>4</w:t>
      </w:r>
      <w:r w:rsidRPr="008564FF" w:rsidR="0007535E">
        <w:rPr>
          <w:rFonts w:asciiTheme="minorEastAsia" w:eastAsiaTheme="minorEastAsia" w:hAnsiTheme="minorEastAsia" w:hint="eastAsia"/>
        </w:rPr>
        <w:t>、</w:t>
      </w:r>
      <w:r w:rsidRPr="008564FF">
        <w:rPr>
          <w:rFonts w:asciiTheme="minorEastAsia" w:eastAsiaTheme="minorEastAsia" w:hAnsiTheme="minorEastAsia" w:hint="eastAsia"/>
        </w:rPr>
        <w:t>基金管理人可以在基金合同规定的范围内调整上述费率。上述费率如发生变更，基金管理人应</w:t>
      </w:r>
      <w:r w:rsidRPr="008564FF">
        <w:rPr>
          <w:rFonts w:asciiTheme="minorEastAsia" w:eastAsiaTheme="minorEastAsia" w:hAnsiTheme="minorEastAsia" w:hint="eastAsia"/>
          <w:szCs w:val="21"/>
        </w:rPr>
        <w:t>按照《信息披露办法》或其他相关规定</w:t>
      </w:r>
      <w:r w:rsidRPr="008564FF">
        <w:rPr>
          <w:rFonts w:asciiTheme="minorEastAsia" w:eastAsiaTheme="minorEastAsia" w:hAnsiTheme="minorEastAsia" w:hint="eastAsia"/>
        </w:rPr>
        <w:t>于新的费率实施前在</w:t>
      </w:r>
      <w:r w:rsidRPr="008564FF" w:rsidR="00123EC2">
        <w:rPr>
          <w:rFonts w:asciiTheme="minorEastAsia" w:eastAsiaTheme="minorEastAsia" w:hAnsiTheme="minorEastAsia" w:hint="eastAsia"/>
        </w:rPr>
        <w:t>指定媒介</w:t>
      </w:r>
      <w:r w:rsidRPr="008564FF">
        <w:rPr>
          <w:rFonts w:asciiTheme="minorEastAsia" w:eastAsiaTheme="minorEastAsia" w:hAnsiTheme="minorEastAsia" w:hint="eastAsia"/>
        </w:rPr>
        <w:t>公告。</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rPr>
        <w:t>5</w:t>
      </w:r>
      <w:r w:rsidRPr="008564FF" w:rsidR="0007535E">
        <w:rPr>
          <w:rFonts w:asciiTheme="minorEastAsia" w:eastAsiaTheme="minorEastAsia" w:hAnsiTheme="minorEastAsia" w:hint="eastAsia"/>
        </w:rPr>
        <w:t>、</w:t>
      </w:r>
      <w:r w:rsidRPr="008564FF" w:rsidR="00475370">
        <w:rPr>
          <w:rFonts w:asciiTheme="minorEastAsia" w:eastAsiaTheme="minorEastAsia" w:hAnsiTheme="minorEastAsia" w:hint="eastAsia"/>
        </w:rPr>
        <w:t>基金管理人可以在不违反法律法规规定及基金合同约定的情况下根据市场情况制定基金促销计划，针对基金投资者定期和不定期地开展基金促销活动。在基金促销活动期间，基金管理人可以适当调低基金销售费率，或针对特定渠道、特定投资群体开展有差别的费率优惠活动。</w:t>
      </w:r>
    </w:p>
    <w:p w:rsidR="003A3487" w:rsidRPr="008564FF" w:rsidP="009C2B2A">
      <w:pPr>
        <w:pStyle w:val="Heading2"/>
        <w:snapToGrid w:val="0"/>
        <w:spacing w:beforeLines="0" w:afterLines="0" w:line="360" w:lineRule="auto"/>
        <w:ind w:firstLine="0" w:firstLineChars="0"/>
        <w:rPr>
          <w:rFonts w:asciiTheme="minorEastAsia" w:eastAsiaTheme="minorEastAsia" w:hAnsiTheme="minorEastAsia"/>
          <w:b w:val="0"/>
        </w:rPr>
      </w:pPr>
      <w:bookmarkStart w:id="191" w:name="_Toc91749276"/>
      <w:r w:rsidRPr="008564FF">
        <w:rPr>
          <w:rFonts w:asciiTheme="minorEastAsia" w:eastAsiaTheme="minorEastAsia" w:hAnsiTheme="minorEastAsia" w:hint="eastAsia"/>
        </w:rPr>
        <w:t>（三）基金税收</w:t>
      </w:r>
      <w:bookmarkEnd w:id="189"/>
      <w:bookmarkEnd w:id="190"/>
      <w:bookmarkEnd w:id="191"/>
    </w:p>
    <w:p w:rsidR="003A3487" w:rsidRPr="008564FF" w:rsidP="004549E4">
      <w:pPr>
        <w:snapToGrid w:val="0"/>
        <w:spacing w:line="360" w:lineRule="auto"/>
        <w:ind w:firstLine="480"/>
        <w:rPr>
          <w:rFonts w:asciiTheme="minorEastAsia" w:eastAsiaTheme="minorEastAsia" w:hAnsiTheme="minorEastAsia"/>
          <w:szCs w:val="21"/>
        </w:rPr>
      </w:pPr>
      <w:r w:rsidRPr="008564FF">
        <w:rPr>
          <w:rFonts w:asciiTheme="minorEastAsia" w:eastAsiaTheme="minorEastAsia" w:hAnsiTheme="minorEastAsia" w:hint="eastAsia"/>
          <w:szCs w:val="21"/>
        </w:rPr>
        <w:t>本基金运作过程中涉及的各纳税主体，应按国家税收法律、法规履行其纳税义务。</w:t>
      </w:r>
    </w:p>
    <w:p w:rsidR="003A3487" w:rsidRPr="008564FF" w:rsidP="004549E4">
      <w:pPr>
        <w:snapToGrid w:val="0"/>
        <w:spacing w:line="360" w:lineRule="auto"/>
        <w:ind w:firstLine="480"/>
        <w:rPr>
          <w:rFonts w:asciiTheme="minorEastAsia" w:eastAsiaTheme="minorEastAsia" w:hAnsiTheme="minorEastAsia"/>
          <w:szCs w:val="21"/>
        </w:rPr>
      </w:pPr>
    </w:p>
    <w:p w:rsidR="003A3487" w:rsidRPr="008564FF" w:rsidP="004549E4">
      <w:pPr>
        <w:snapToGrid w:val="0"/>
        <w:spacing w:line="360" w:lineRule="auto"/>
        <w:ind w:firstLine="480"/>
        <w:rPr>
          <w:rFonts w:asciiTheme="minorEastAsia" w:eastAsiaTheme="minorEastAsia" w:hAnsiTheme="minorEastAsia"/>
          <w:szCs w:val="21"/>
        </w:rPr>
      </w:pPr>
    </w:p>
    <w:p w:rsidR="003A3487" w:rsidRPr="008564FF" w:rsidP="009C2B2A">
      <w:pPr>
        <w:pStyle w:val="Heading1"/>
        <w:snapToGrid w:val="0"/>
        <w:spacing w:beforeLines="0" w:afterLines="0" w:line="360" w:lineRule="auto"/>
        <w:ind w:firstLine="643"/>
        <w:rPr>
          <w:rFonts w:asciiTheme="minorEastAsia" w:eastAsiaTheme="minorEastAsia" w:hAnsiTheme="minorEastAsia"/>
          <w:bCs/>
        </w:rPr>
      </w:pPr>
      <w:r w:rsidRPr="008564FF">
        <w:rPr>
          <w:rFonts w:asciiTheme="minorEastAsia" w:eastAsiaTheme="minorEastAsia" w:hAnsiTheme="minorEastAsia" w:hint="eastAsia"/>
          <w:b/>
          <w:bCs/>
        </w:rPr>
        <w:br w:type="page"/>
      </w:r>
      <w:bookmarkStart w:id="192" w:name="_Toc91749277"/>
      <w:r w:rsidRPr="008564FF">
        <w:rPr>
          <w:rFonts w:asciiTheme="minorEastAsia" w:eastAsiaTheme="minorEastAsia" w:hAnsiTheme="minorEastAsia" w:hint="eastAsia"/>
          <w:b/>
          <w:bCs/>
        </w:rPr>
        <w:t>十七、基金的会计与审计</w:t>
      </w:r>
      <w:bookmarkEnd w:id="192"/>
    </w:p>
    <w:p w:rsidR="003A3487" w:rsidRPr="008564FF" w:rsidP="009C2B2A">
      <w:pPr>
        <w:pStyle w:val="Heading2"/>
        <w:snapToGrid w:val="0"/>
        <w:spacing w:beforeLines="0" w:afterLines="0" w:line="360" w:lineRule="auto"/>
        <w:ind w:firstLine="0" w:firstLineChars="0"/>
        <w:rPr>
          <w:rFonts w:asciiTheme="minorEastAsia" w:eastAsiaTheme="minorEastAsia" w:hAnsiTheme="minorEastAsia"/>
          <w:b w:val="0"/>
        </w:rPr>
      </w:pPr>
      <w:bookmarkStart w:id="193" w:name="_Toc91749278"/>
      <w:r w:rsidRPr="008564FF">
        <w:rPr>
          <w:rFonts w:asciiTheme="minorEastAsia" w:eastAsiaTheme="minorEastAsia" w:hAnsiTheme="minorEastAsia" w:hint="eastAsia"/>
          <w:b w:val="0"/>
        </w:rPr>
        <w:t>（一）基金会计政策</w:t>
      </w:r>
      <w:bookmarkEnd w:id="193"/>
    </w:p>
    <w:p w:rsidR="003A3487" w:rsidRPr="008564FF" w:rsidP="0007535E">
      <w:pPr>
        <w:pStyle w:val="NormalIndent"/>
        <w:tabs>
          <w:tab w:val="left" w:pos="735"/>
        </w:tabs>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1、基金管理人为本基金的基金会计责任方；</w:t>
      </w:r>
    </w:p>
    <w:p w:rsidR="003A3487" w:rsidRPr="008564FF" w:rsidP="0007535E">
      <w:pPr>
        <w:pStyle w:val="NormalIndent"/>
        <w:tabs>
          <w:tab w:val="left" w:pos="735"/>
        </w:tabs>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2、基金的会计年度为公历每年1月1日至12月31日；基金首次募集的会计年度按如下原则：如果基金合同生效少于2个月，可以并入下一个会计年度；</w:t>
      </w:r>
    </w:p>
    <w:p w:rsidR="003A3487" w:rsidRPr="008564FF" w:rsidP="0007535E">
      <w:pPr>
        <w:pStyle w:val="NormalIndent"/>
        <w:tabs>
          <w:tab w:val="left" w:pos="735"/>
        </w:tabs>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3、基金核算以人民币为记帐本位币，以人民币元为记账单位；</w:t>
      </w:r>
    </w:p>
    <w:p w:rsidR="003A3487" w:rsidRPr="008564FF" w:rsidP="0007535E">
      <w:pPr>
        <w:pStyle w:val="NormalIndent"/>
        <w:tabs>
          <w:tab w:val="left" w:pos="735"/>
        </w:tabs>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4、会计制度执行国家有关的会计制度；</w:t>
      </w:r>
    </w:p>
    <w:p w:rsidR="003A3487" w:rsidRPr="008564FF" w:rsidP="0007535E">
      <w:pPr>
        <w:pStyle w:val="NormalIndent"/>
        <w:tabs>
          <w:tab w:val="left" w:pos="735"/>
        </w:tabs>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5、本基金独立建帐、独立核算；</w:t>
      </w:r>
    </w:p>
    <w:p w:rsidR="003A3487" w:rsidRPr="008564FF" w:rsidP="0007535E">
      <w:pPr>
        <w:pStyle w:val="NormalIndent"/>
        <w:tabs>
          <w:tab w:val="left" w:pos="735"/>
        </w:tabs>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6、基金管理人及基金托管人各自保留完整的会计帐目、凭证并进行日常的会计核算，按照有关规定编制基金会计报表；</w:t>
      </w:r>
    </w:p>
    <w:p w:rsidR="003A3487" w:rsidRPr="008564FF" w:rsidP="0007535E">
      <w:pPr>
        <w:pStyle w:val="NormalIndent"/>
        <w:tabs>
          <w:tab w:val="left" w:pos="735"/>
        </w:tabs>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7、基金托管人每月与基金管理人就基金的会计核算、报表编制等进行核对并以书面方式确认。</w:t>
      </w:r>
    </w:p>
    <w:p w:rsidR="003A3487" w:rsidRPr="008564FF" w:rsidP="009C2B2A">
      <w:pPr>
        <w:pStyle w:val="Heading2"/>
        <w:snapToGrid w:val="0"/>
        <w:spacing w:beforeLines="0" w:afterLines="0" w:line="360" w:lineRule="auto"/>
        <w:ind w:firstLine="0" w:firstLineChars="0"/>
        <w:rPr>
          <w:rFonts w:asciiTheme="minorEastAsia" w:eastAsiaTheme="minorEastAsia" w:hAnsiTheme="minorEastAsia"/>
          <w:b w:val="0"/>
        </w:rPr>
      </w:pPr>
      <w:bookmarkStart w:id="194" w:name="_Toc91749279"/>
      <w:r w:rsidRPr="008564FF">
        <w:rPr>
          <w:rFonts w:asciiTheme="minorEastAsia" w:eastAsiaTheme="minorEastAsia" w:hAnsiTheme="minorEastAsia" w:hint="eastAsia"/>
          <w:b w:val="0"/>
        </w:rPr>
        <w:t>（二）基金年度审计</w:t>
      </w:r>
      <w:bookmarkEnd w:id="194"/>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1、基金管理人聘请与基金管理人、基金托管人相互独立的具有证券</w:t>
      </w:r>
      <w:r w:rsidRPr="008564FF" w:rsidR="00B478EA">
        <w:rPr>
          <w:rFonts w:asciiTheme="minorEastAsia" w:eastAsiaTheme="minorEastAsia" w:hAnsiTheme="minorEastAsia" w:hint="eastAsia"/>
          <w:szCs w:val="21"/>
        </w:rPr>
        <w:t>、期货相关业务资格</w:t>
      </w:r>
      <w:r w:rsidRPr="008564FF">
        <w:rPr>
          <w:rFonts w:asciiTheme="minorEastAsia" w:eastAsiaTheme="minorEastAsia" w:hAnsiTheme="minorEastAsia" w:hint="eastAsia"/>
          <w:szCs w:val="21"/>
        </w:rPr>
        <w:t>的会计师事务所及其注册会计师对本基金的年度财务报表进行审计。</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2、会计师事务所更换经办注册会计师时，须事先征得基金管理人和基金托管人同意；</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3、基金管理人认为有充足理由更换会计师事务所，须通报基金托管人。更换会计师事务所需在2日内</w:t>
      </w:r>
      <w:r w:rsidRPr="008564FF" w:rsidR="00B478EA">
        <w:rPr>
          <w:rFonts w:asciiTheme="minorEastAsia" w:eastAsiaTheme="minorEastAsia" w:hAnsiTheme="minorEastAsia" w:hint="eastAsia"/>
          <w:szCs w:val="21"/>
        </w:rPr>
        <w:t>在指定媒介公告</w:t>
      </w:r>
      <w:r w:rsidRPr="008564FF">
        <w:rPr>
          <w:rFonts w:asciiTheme="minorEastAsia" w:eastAsiaTheme="minorEastAsia" w:hAnsiTheme="minorEastAsia" w:hint="eastAsia"/>
          <w:szCs w:val="21"/>
        </w:rPr>
        <w:t>。</w:t>
      </w:r>
    </w:p>
    <w:p w:rsidR="003A3487" w:rsidRPr="008564FF" w:rsidP="004549E4">
      <w:pPr>
        <w:snapToGrid w:val="0"/>
        <w:spacing w:line="360" w:lineRule="auto"/>
        <w:ind w:firstLine="420" w:firstLineChars="200"/>
        <w:rPr>
          <w:rFonts w:asciiTheme="minorEastAsia" w:eastAsiaTheme="minorEastAsia" w:hAnsiTheme="minorEastAsia"/>
          <w:szCs w:val="21"/>
        </w:rPr>
      </w:pPr>
    </w:p>
    <w:p w:rsidR="003A3487" w:rsidRPr="008564FF" w:rsidP="009C2B2A">
      <w:pPr>
        <w:pStyle w:val="Heading1"/>
        <w:snapToGrid w:val="0"/>
        <w:spacing w:beforeLines="0" w:afterLines="0" w:line="360" w:lineRule="auto"/>
        <w:ind w:firstLine="643"/>
        <w:rPr>
          <w:rFonts w:asciiTheme="minorEastAsia" w:eastAsiaTheme="minorEastAsia" w:hAnsiTheme="minorEastAsia"/>
          <w:bCs/>
        </w:rPr>
      </w:pPr>
      <w:r w:rsidRPr="008564FF">
        <w:rPr>
          <w:rFonts w:asciiTheme="minorEastAsia" w:eastAsiaTheme="minorEastAsia" w:hAnsiTheme="minorEastAsia" w:hint="eastAsia"/>
          <w:b/>
          <w:bCs/>
        </w:rPr>
        <w:br w:type="page"/>
      </w:r>
      <w:bookmarkStart w:id="195" w:name="_Toc91749280"/>
      <w:r w:rsidRPr="008564FF">
        <w:rPr>
          <w:rFonts w:asciiTheme="minorEastAsia" w:eastAsiaTheme="minorEastAsia" w:hAnsiTheme="minorEastAsia" w:hint="eastAsia"/>
          <w:b/>
          <w:bCs/>
        </w:rPr>
        <w:t>十八、基金的信息披露</w:t>
      </w:r>
      <w:bookmarkEnd w:id="195"/>
    </w:p>
    <w:p w:rsidR="003A3487" w:rsidRPr="008564FF" w:rsidP="004549E4">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（一）本基金的信息披露应符合《基金法》、《运作办法》、《信息披露办法》、《基金合同》及其他有关规定。</w:t>
      </w:r>
    </w:p>
    <w:p w:rsidR="003A3487" w:rsidRPr="008564FF" w:rsidP="004549E4">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（二）信息披露义务人</w:t>
      </w:r>
    </w:p>
    <w:p w:rsidR="001D2E3F" w:rsidRPr="008564FF" w:rsidP="001D2E3F">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本基金信息披露义务人包括基金管理人、基金托管人、召集基金份额持有人大会的基金份额持有人等法律、行政法规和中国证监会规定的自然人、法人和非法人组织。</w:t>
      </w:r>
    </w:p>
    <w:p w:rsidR="001D2E3F" w:rsidRPr="008564FF" w:rsidP="001D2E3F">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本基金信息披露义务人以保护基金份额持有人利益为根本出发点，按照法律法规和中国证监会的规定披露基金信息，并保证所披露信息的真实性、准确性、完整性、及时性、简明性和易得性。</w:t>
      </w:r>
    </w:p>
    <w:p w:rsidR="003A3487" w:rsidRPr="008564FF" w:rsidP="004549E4">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本基金信息披露义务人应当在中国证监会规定时间内，将应予披露的基金信息通过指定媒介披露，并保证基金投资者能够按照《基金合同》约定的时间和方式查阅或者复制公开披露的信息资料。</w:t>
      </w:r>
    </w:p>
    <w:p w:rsidR="003A3487" w:rsidRPr="008564FF" w:rsidP="004549E4">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（三）本基金信息披露义务人承诺公开披露的基金信息，不得有下列行为：</w:t>
      </w:r>
    </w:p>
    <w:p w:rsidR="003A3487" w:rsidRPr="008564FF" w:rsidP="004549E4">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1、虚假记载、误导性陈述或者重大遗漏；</w:t>
      </w:r>
    </w:p>
    <w:p w:rsidR="003A3487" w:rsidRPr="008564FF" w:rsidP="004549E4">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2、对证券投资业绩进行预测；</w:t>
      </w:r>
    </w:p>
    <w:p w:rsidR="003A3487" w:rsidRPr="008564FF" w:rsidP="004549E4">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3、违规承诺收益或者承担损失；</w:t>
      </w:r>
    </w:p>
    <w:p w:rsidR="003A3487" w:rsidRPr="008564FF" w:rsidP="004549E4">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4、诋毁其他基金管理人、基金托管人或者基金份额发售机构；</w:t>
      </w:r>
    </w:p>
    <w:p w:rsidR="003A3487" w:rsidRPr="008564FF" w:rsidP="004549E4">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5、登载任何自然人、法人和非法人组织的祝贺性、恭维性或推荐性的文字；</w:t>
      </w:r>
    </w:p>
    <w:p w:rsidR="003A3487" w:rsidRPr="008564FF" w:rsidP="004549E4">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6、中国证监会禁止的其他行为。</w:t>
      </w:r>
    </w:p>
    <w:p w:rsidR="003A3487" w:rsidRPr="008564FF" w:rsidP="004549E4">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（四）本基金公开披露的信息应采用中文文本。如同时采用外文文本的，</w:t>
      </w:r>
      <w:r w:rsidRPr="008564FF" w:rsidR="001D2E3F">
        <w:rPr>
          <w:rFonts w:asciiTheme="minorEastAsia" w:eastAsiaTheme="minorEastAsia" w:hAnsiTheme="minorEastAsia" w:hint="eastAsia"/>
        </w:rPr>
        <w:t>基金信息披露义务人应保证不同文本的内容一致。不同文本之间发生歧义的</w:t>
      </w:r>
      <w:r w:rsidRPr="008564FF">
        <w:rPr>
          <w:rFonts w:asciiTheme="minorEastAsia" w:eastAsiaTheme="minorEastAsia" w:hAnsiTheme="minorEastAsia" w:hint="eastAsia"/>
        </w:rPr>
        <w:t>。两种文本发生歧义的，以中文文本为准。</w:t>
      </w:r>
    </w:p>
    <w:p w:rsidR="003A3487" w:rsidRPr="008564FF" w:rsidP="004549E4">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本基金公开披露的信息采用阿拉伯数字；除特别说明外，货币单位为人民币元。</w:t>
      </w:r>
    </w:p>
    <w:p w:rsidR="003A3487" w:rsidRPr="008564FF" w:rsidP="004549E4">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（五）公开披露的基金信息</w:t>
      </w:r>
    </w:p>
    <w:p w:rsidR="003A3487" w:rsidRPr="008564FF" w:rsidP="004549E4">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公开披露的基金信息包括：</w:t>
      </w:r>
    </w:p>
    <w:p w:rsidR="003A3487" w:rsidRPr="008564FF" w:rsidP="004549E4">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1、招募说明书、《基金合同》、《托管协议》</w:t>
      </w:r>
      <w:r w:rsidRPr="008564FF" w:rsidR="001D2E3F">
        <w:rPr>
          <w:rFonts w:asciiTheme="minorEastAsia" w:eastAsiaTheme="minorEastAsia" w:hAnsiTheme="minorEastAsia" w:hint="eastAsia"/>
        </w:rPr>
        <w:t>、基金产品资料概要</w:t>
      </w:r>
    </w:p>
    <w:p w:rsidR="003A3487" w:rsidRPr="008564FF" w:rsidP="004549E4">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基金募集申请经中国证监会核准后，基金管理人在基金份额发售的</w:t>
      </w:r>
      <w:r w:rsidRPr="008564FF">
        <w:rPr>
          <w:rFonts w:asciiTheme="minorEastAsia" w:eastAsiaTheme="minorEastAsia" w:hAnsiTheme="minorEastAsia"/>
        </w:rPr>
        <w:t>3</w:t>
      </w:r>
      <w:r w:rsidRPr="008564FF">
        <w:rPr>
          <w:rFonts w:asciiTheme="minorEastAsia" w:eastAsiaTheme="minorEastAsia" w:hAnsiTheme="minorEastAsia" w:hint="eastAsia"/>
        </w:rPr>
        <w:t>日前，将基金招募说明书、《基金合同》摘要登载在</w:t>
      </w:r>
      <w:r w:rsidRPr="008564FF" w:rsidR="001D2E3F">
        <w:rPr>
          <w:rFonts w:asciiTheme="minorEastAsia" w:eastAsiaTheme="minorEastAsia" w:hAnsiTheme="minorEastAsia" w:hint="eastAsia"/>
        </w:rPr>
        <w:t>指定媒介</w:t>
      </w:r>
      <w:r w:rsidRPr="008564FF">
        <w:rPr>
          <w:rFonts w:asciiTheme="minorEastAsia" w:eastAsiaTheme="minorEastAsia" w:hAnsiTheme="minorEastAsia" w:hint="eastAsia"/>
        </w:rPr>
        <w:t>上；基金管理人、基金托管人应当将《基金合同》、《托管协议》登载在网站上。</w:t>
      </w:r>
    </w:p>
    <w:p w:rsidR="003A3487" w:rsidRPr="008564FF" w:rsidP="004549E4">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w:t>
      </w:r>
      <w:r w:rsidRPr="008564FF">
        <w:rPr>
          <w:rFonts w:asciiTheme="minorEastAsia" w:eastAsiaTheme="minorEastAsia" w:hAnsiTheme="minorEastAsia"/>
        </w:rPr>
        <w:t>1</w:t>
      </w:r>
      <w:r w:rsidRPr="008564FF">
        <w:rPr>
          <w:rFonts w:asciiTheme="minorEastAsia" w:eastAsiaTheme="minorEastAsia" w:hAnsiTheme="minorEastAsia" w:hint="eastAsia"/>
        </w:rPr>
        <w:t>）招募说明书应当最大限度地披露影响基金投资者决策的全部事项，说明基金认购、申购和赎回安排、基金投资、基金产品特性、风险揭示、信息披露及基金份额持有人服务等内容。</w:t>
      </w:r>
      <w:r w:rsidRPr="008564FF" w:rsidR="001D2E3F">
        <w:rPr>
          <w:rFonts w:asciiTheme="minorEastAsia" w:eastAsiaTheme="minorEastAsia" w:hAnsiTheme="minorEastAsia" w:hint="eastAsia"/>
        </w:rPr>
        <w:t>基金合同生效后，基金招募说明书的信息发生重大变更的，基金管理人应当在三个工作日内，更新基金招募说明书并登载在指定网站上；基金招募说明书其他信息发生变更的，</w:t>
      </w:r>
      <w:r w:rsidRPr="008564FF" w:rsidR="001D2E3F">
        <w:rPr>
          <w:rFonts w:asciiTheme="minorEastAsia" w:eastAsiaTheme="minorEastAsia" w:hAnsiTheme="minorEastAsia" w:hint="eastAsia"/>
        </w:rPr>
        <w:t>基金管理人至少每年更新一次。基金终止运作的，基金管理人不再更新基金招募说明书。</w:t>
      </w:r>
    </w:p>
    <w:p w:rsidR="003A3487" w:rsidRPr="008564FF" w:rsidP="004549E4">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w:t>
      </w:r>
      <w:r w:rsidRPr="008564FF">
        <w:rPr>
          <w:rFonts w:asciiTheme="minorEastAsia" w:eastAsiaTheme="minorEastAsia" w:hAnsiTheme="minorEastAsia"/>
        </w:rPr>
        <w:t>2</w:t>
      </w:r>
      <w:r w:rsidRPr="008564FF">
        <w:rPr>
          <w:rFonts w:asciiTheme="minorEastAsia" w:eastAsiaTheme="minorEastAsia" w:hAnsiTheme="minorEastAsia" w:hint="eastAsia"/>
        </w:rPr>
        <w:t>）《基金合同》是界定《基金合同》当事人的各项权利、义务关系，明确基金份额持有人大会召开的规则及具体程序，说明基金产品的特性等涉及基金投资者重大利益的事项的法律文件。</w:t>
      </w:r>
    </w:p>
    <w:p w:rsidR="003A3487" w:rsidRPr="008564FF" w:rsidP="004549E4">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w:t>
      </w:r>
      <w:r w:rsidRPr="008564FF">
        <w:rPr>
          <w:rFonts w:asciiTheme="minorEastAsia" w:eastAsiaTheme="minorEastAsia" w:hAnsiTheme="minorEastAsia"/>
        </w:rPr>
        <w:t>3</w:t>
      </w:r>
      <w:r w:rsidRPr="008564FF">
        <w:rPr>
          <w:rFonts w:asciiTheme="minorEastAsia" w:eastAsiaTheme="minorEastAsia" w:hAnsiTheme="minorEastAsia" w:hint="eastAsia"/>
        </w:rPr>
        <w:t>）《托管协议》是界定基金托管人和基金管理人在基金财产保管及基金运作监督等活动中的权利、义务关系的法律文件。</w:t>
      </w:r>
    </w:p>
    <w:p w:rsidR="001D2E3F" w:rsidRPr="008564FF" w:rsidP="004549E4">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3A3487" w:rsidRPr="008564FF" w:rsidP="004549E4">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2、基金份额发售公告</w:t>
      </w:r>
    </w:p>
    <w:p w:rsidR="003A3487" w:rsidRPr="008564FF" w:rsidP="004549E4">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基金管理人应当就基金份额发售的具体事宜编制基金份额发售公告，并在披露招募说明书的当日登载于</w:t>
      </w:r>
      <w:r w:rsidRPr="008564FF" w:rsidR="001D2E3F">
        <w:rPr>
          <w:rFonts w:asciiTheme="minorEastAsia" w:eastAsiaTheme="minorEastAsia" w:hAnsiTheme="minorEastAsia" w:hint="eastAsia"/>
        </w:rPr>
        <w:t>指定媒介</w:t>
      </w:r>
      <w:r w:rsidRPr="008564FF">
        <w:rPr>
          <w:rFonts w:asciiTheme="minorEastAsia" w:eastAsiaTheme="minorEastAsia" w:hAnsiTheme="minorEastAsia" w:hint="eastAsia"/>
        </w:rPr>
        <w:t>上。</w:t>
      </w:r>
    </w:p>
    <w:p w:rsidR="003A3487" w:rsidRPr="008564FF" w:rsidP="004549E4">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3、《基金合同》生效公告</w:t>
      </w:r>
    </w:p>
    <w:p w:rsidR="003A3487" w:rsidRPr="008564FF" w:rsidP="004549E4">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基金管理人应当在《基金合同》生效的次日在</w:t>
      </w:r>
      <w:r w:rsidRPr="008564FF" w:rsidR="001D2E3F">
        <w:rPr>
          <w:rFonts w:asciiTheme="minorEastAsia" w:eastAsiaTheme="minorEastAsia" w:hAnsiTheme="minorEastAsia" w:hint="eastAsia"/>
        </w:rPr>
        <w:t>指定媒介</w:t>
      </w:r>
      <w:r w:rsidRPr="008564FF">
        <w:rPr>
          <w:rFonts w:asciiTheme="minorEastAsia" w:eastAsiaTheme="minorEastAsia" w:hAnsiTheme="minorEastAsia" w:hint="eastAsia"/>
        </w:rPr>
        <w:t>上登载《基金合同》生效公告。</w:t>
      </w:r>
    </w:p>
    <w:p w:rsidR="001D2E3F" w:rsidRPr="008564FF" w:rsidP="001D2E3F">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4、基金净值信息</w:t>
      </w:r>
    </w:p>
    <w:p w:rsidR="001D2E3F" w:rsidRPr="008564FF" w:rsidP="001D2E3F">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《基金合同》生效后，在开始办理基金份额申购或者赎回前，基金管理人应当至少每周在指定网站披露一次基金份额净值和基金份额累计净值。</w:t>
      </w:r>
    </w:p>
    <w:p w:rsidR="001D2E3F" w:rsidRPr="008564FF" w:rsidP="001D2E3F">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在开始办理基金份额申购或者赎回后，基金管理人应当在不晚于每个开放日的次日，通过指定网站、基金销售机构网站或者营业网点披露开放日的基金份额净值和基金份额累计净值。</w:t>
      </w:r>
    </w:p>
    <w:p w:rsidR="001D2E3F" w:rsidRPr="008564FF" w:rsidP="001D2E3F">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基金管理人应当在不晚于半年度和年度最后一日的次日，在指定网站披露半年度和年度最后一日的基金份额净值和基金份额累计净值。</w:t>
      </w:r>
    </w:p>
    <w:p w:rsidR="001D2E3F" w:rsidRPr="008564FF" w:rsidP="001D2E3F">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5、基金份额申购、赎回价格</w:t>
      </w:r>
    </w:p>
    <w:p w:rsidR="001D2E3F" w:rsidRPr="008564FF" w:rsidP="001D2E3F">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基金管理人应当在《基金合同》、招募说明书等信息披露文件上载明基金份额申购、赎回价格的计算方式及有关申购、赎回费率，并保证投资者能够在基金销售机构网站或营业网点查阅或者复制前述信息资料。</w:t>
      </w:r>
    </w:p>
    <w:p w:rsidR="001D2E3F" w:rsidRPr="008564FF" w:rsidP="001D2E3F">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6、基金定期报告，包括基金年度报告、基金中期报告和基金季度报告</w:t>
      </w:r>
    </w:p>
    <w:p w:rsidR="001D2E3F" w:rsidRPr="008564FF" w:rsidP="001D2E3F">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1D2E3F" w:rsidRPr="008564FF" w:rsidP="001D2E3F">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基金管理人应当在上半年结束之日起两个月内，编制完成基金中期报告，将中期报告登</w:t>
      </w:r>
      <w:r w:rsidRPr="008564FF">
        <w:rPr>
          <w:rFonts w:asciiTheme="minorEastAsia" w:eastAsiaTheme="minorEastAsia" w:hAnsiTheme="minorEastAsia" w:hint="eastAsia"/>
        </w:rPr>
        <w:t>载在指定网站上，并将中期报告提示性公告登载在指定报刊上。</w:t>
      </w:r>
    </w:p>
    <w:p w:rsidR="001D2E3F" w:rsidRPr="008564FF" w:rsidP="001D2E3F">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基金管理人应当在季度结束之日起15个工作日内，编制完成基金季度报告，将季度报告登载在指定网站上，并将季度报告提示性公告登载在指定报刊上。</w:t>
      </w:r>
    </w:p>
    <w:p w:rsidR="001D2E3F" w:rsidRPr="008564FF" w:rsidP="001D2E3F">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《基金合同》生效不足2个月的，基金管理人可以不编制当期季度报告、中期报告或者年度报告。</w:t>
      </w:r>
    </w:p>
    <w:p w:rsidR="001D2E3F" w:rsidRPr="008564FF" w:rsidP="001D2E3F">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1D2E3F" w:rsidRPr="008564FF" w:rsidP="001D2E3F">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基金管理人应当在基金年度报告和中期报告中披露基金组合资产情况及其流动性风险分析等。</w:t>
      </w:r>
    </w:p>
    <w:p w:rsidR="001D2E3F" w:rsidRPr="008564FF" w:rsidP="001D2E3F">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7、临时报告</w:t>
      </w:r>
    </w:p>
    <w:p w:rsidR="001D2E3F" w:rsidRPr="008564FF" w:rsidP="001D2E3F">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本基金发生重大事件，有关信息披露义务人应当在2日内编制临时报告书，并登载在指定报刊和指定网站上。</w:t>
      </w:r>
    </w:p>
    <w:p w:rsidR="001D2E3F" w:rsidRPr="008564FF" w:rsidP="001D2E3F">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前款所称重大事件，是指可能对基金份额持有人权益或者基金份额的价格产生重大影响的下列事件：</w:t>
      </w:r>
    </w:p>
    <w:p w:rsidR="001D2E3F" w:rsidRPr="008564FF" w:rsidP="001D2E3F">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（1）基金份额持有人大会的召开及决定的事项；</w:t>
      </w:r>
    </w:p>
    <w:p w:rsidR="001D2E3F" w:rsidRPr="008564FF" w:rsidP="001D2E3F">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（2）基金合同终止、基金清算；</w:t>
      </w:r>
    </w:p>
    <w:p w:rsidR="001D2E3F" w:rsidRPr="008564FF" w:rsidP="001D2E3F">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（3）转换基金运作方式、基金合并；</w:t>
      </w:r>
    </w:p>
    <w:p w:rsidR="001D2E3F" w:rsidRPr="008564FF" w:rsidP="001D2E3F">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（4）更换基金管理人、基金托管人、基金份额登记机构，基金改聘会计师事务所；</w:t>
      </w:r>
    </w:p>
    <w:p w:rsidR="001D2E3F" w:rsidRPr="008564FF" w:rsidP="001D2E3F">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（5）基金管理人委托基金服务机构代为办理基金的份额登记、核算、估值等事项，基金托管人委托基金服务机构代为办理基金的核算、估值、复核等事项；</w:t>
      </w:r>
    </w:p>
    <w:p w:rsidR="001D2E3F" w:rsidRPr="008564FF" w:rsidP="001D2E3F">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（6）基金管理人、基金托管人的法定名称、住所发生变更；</w:t>
      </w:r>
    </w:p>
    <w:p w:rsidR="001D2E3F" w:rsidRPr="008564FF" w:rsidP="001D2E3F">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（7）基金管理公司变更持有百分之五以上股权的股东、基金管理人的实际控制人变更；</w:t>
      </w:r>
    </w:p>
    <w:p w:rsidR="001D2E3F" w:rsidRPr="008564FF" w:rsidP="001D2E3F">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（8）基金募集期延长或提前结束募集；</w:t>
      </w:r>
    </w:p>
    <w:p w:rsidR="001D2E3F" w:rsidRPr="008564FF" w:rsidP="001D2E3F">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（9）基金管理人的高级管理人员、基金经理和基金托管人专门基金托管部门负责人发生变动；</w:t>
      </w:r>
    </w:p>
    <w:p w:rsidR="001D2E3F" w:rsidRPr="008564FF" w:rsidP="001D2E3F">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（10）基金管理人的董事在最近12个月内变更超过百分之五十，基金管理人、基金托管人专门基金托管部门的主要业务人员在最近12个月内变动超过百分之三十；</w:t>
      </w:r>
    </w:p>
    <w:p w:rsidR="001D2E3F" w:rsidRPr="008564FF" w:rsidP="001D2E3F">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（11）涉及基金财产、基金管理业务、基金托管业务的诉讼或仲裁；</w:t>
      </w:r>
    </w:p>
    <w:p w:rsidR="001D2E3F" w:rsidRPr="008564FF" w:rsidP="001D2E3F">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（12）基金管理人或其高级管理人员、基金经理因基金管理业务相关行为受到重大行政处罚、刑事处罚，基金托管人或其专门基金托管部门负责人因基金托管业务相关行为受到重大行政处罚、刑事处罚；</w:t>
      </w:r>
    </w:p>
    <w:p w:rsidR="001D2E3F" w:rsidRPr="008564FF" w:rsidP="001D2E3F">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13）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1D2E3F" w:rsidRPr="008564FF" w:rsidP="001D2E3F">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（14）基金收益分配事项；</w:t>
      </w:r>
    </w:p>
    <w:p w:rsidR="001D2E3F" w:rsidRPr="008564FF" w:rsidP="001D2E3F">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（15）管理费、托管费、申购费、赎回费等费用计提标准、计提方式和费率发生变更；</w:t>
      </w:r>
    </w:p>
    <w:p w:rsidR="001D2E3F" w:rsidRPr="008564FF" w:rsidP="001D2E3F">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（16）基金份额净值计价错误达基金份额净值百分之零点五；</w:t>
      </w:r>
    </w:p>
    <w:p w:rsidR="001D2E3F" w:rsidRPr="008564FF" w:rsidP="001D2E3F">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（17）本基金开始办理申购、赎回；</w:t>
      </w:r>
    </w:p>
    <w:p w:rsidR="001D2E3F" w:rsidRPr="008564FF" w:rsidP="001D2E3F">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（18）本基金暂停接受申购、赎回申请或重新接受申购、赎回申请；</w:t>
      </w:r>
    </w:p>
    <w:p w:rsidR="001D2E3F" w:rsidRPr="008564FF" w:rsidP="001D2E3F">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（19）调整基金份额类别的设置；</w:t>
      </w:r>
    </w:p>
    <w:p w:rsidR="001D2E3F" w:rsidRPr="008564FF" w:rsidP="001D2E3F">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（2</w:t>
      </w:r>
      <w:r w:rsidRPr="008564FF">
        <w:rPr>
          <w:rFonts w:asciiTheme="minorEastAsia" w:eastAsiaTheme="minorEastAsia" w:hAnsiTheme="minorEastAsia"/>
        </w:rPr>
        <w:t>0</w:t>
      </w:r>
      <w:r w:rsidRPr="008564FF">
        <w:rPr>
          <w:rFonts w:asciiTheme="minorEastAsia" w:eastAsiaTheme="minorEastAsia" w:hAnsiTheme="minorEastAsia" w:hint="eastAsia"/>
        </w:rPr>
        <w:t>）基金推出新业务或服务；</w:t>
      </w:r>
    </w:p>
    <w:p w:rsidR="001D2E3F" w:rsidRPr="008564FF" w:rsidP="001D2E3F">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（21）基金信息披露义务人认为可能对基金份额持有人权益或者基金份额的价格产生重大影响的其他事项或中国证监会规定的其他事项。</w:t>
      </w:r>
    </w:p>
    <w:p w:rsidR="001D2E3F" w:rsidRPr="008564FF" w:rsidP="001D2E3F">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8、澄清公告</w:t>
      </w:r>
    </w:p>
    <w:p w:rsidR="001D2E3F" w:rsidRPr="008564FF" w:rsidP="001D2E3F">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在基金合同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1D2E3F" w:rsidRPr="008564FF" w:rsidP="001D2E3F">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9、清算报告</w:t>
      </w:r>
    </w:p>
    <w:p w:rsidR="003A3487" w:rsidRPr="008564FF" w:rsidP="004549E4">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基金合同终止的，基金管理人应当依法组织基金财产清算小组对基金财产进行清算并作出清算报告。基金财产清算小组应当将清算报告登载在指定网站上，并将清算报告提示性公告登载在指定报刊上。</w:t>
      </w:r>
    </w:p>
    <w:p w:rsidR="003A3487" w:rsidRPr="008564FF" w:rsidP="004549E4">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rPr>
        <w:t>10</w:t>
      </w:r>
      <w:r w:rsidRPr="008564FF" w:rsidR="0007535E">
        <w:rPr>
          <w:rFonts w:asciiTheme="minorEastAsia" w:eastAsiaTheme="minorEastAsia" w:hAnsiTheme="minorEastAsia" w:hint="eastAsia"/>
        </w:rPr>
        <w:t>、</w:t>
      </w:r>
      <w:r w:rsidRPr="008564FF">
        <w:rPr>
          <w:rFonts w:asciiTheme="minorEastAsia" w:eastAsiaTheme="minorEastAsia" w:hAnsiTheme="minorEastAsia" w:hint="eastAsia"/>
        </w:rPr>
        <w:t>基金份额持有人大会决议</w:t>
      </w:r>
    </w:p>
    <w:p w:rsidR="003A3487" w:rsidRPr="008564FF" w:rsidP="004549E4">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基金份额持有人大会决定的事项，应当依法报</w:t>
      </w:r>
      <w:r w:rsidRPr="008564FF">
        <w:rPr>
          <w:rFonts w:asciiTheme="minorEastAsia" w:eastAsiaTheme="minorEastAsia" w:hAnsiTheme="minorEastAsia" w:hint="eastAsia"/>
          <w:szCs w:val="21"/>
        </w:rPr>
        <w:t>国务院证券监督管理机构</w:t>
      </w:r>
      <w:r w:rsidRPr="008564FF">
        <w:rPr>
          <w:rFonts w:asciiTheme="minorEastAsia" w:eastAsiaTheme="minorEastAsia" w:hAnsiTheme="minorEastAsia" w:hint="eastAsia"/>
        </w:rPr>
        <w:t>备案，并予以公告。召开基金份额持有人大会的，召集人应当至少提前</w:t>
      </w:r>
      <w:r w:rsidRPr="008564FF">
        <w:rPr>
          <w:rFonts w:asciiTheme="minorEastAsia" w:eastAsiaTheme="minorEastAsia" w:hAnsiTheme="minorEastAsia"/>
        </w:rPr>
        <w:t>40</w:t>
      </w:r>
      <w:r w:rsidRPr="008564FF">
        <w:rPr>
          <w:rFonts w:asciiTheme="minorEastAsia" w:eastAsiaTheme="minorEastAsia" w:hAnsiTheme="minorEastAsia" w:hint="eastAsia"/>
        </w:rPr>
        <w:t>日公告基金份额持有人大会的召开时间、会议形式、审议事项、议事程序和表决方式等事项。</w:t>
      </w:r>
    </w:p>
    <w:p w:rsidR="003A3487" w:rsidRPr="008564FF" w:rsidP="004549E4">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基金份额持有人依法自行召集基金份额持有人大会，基金管理人、基金托管人对基金份额持有人大会决定的事项不依法履行信息披露义务的，召集人应当履行相关信息披露义务。</w:t>
      </w:r>
    </w:p>
    <w:p w:rsidR="003A3487" w:rsidRPr="008564FF" w:rsidP="004549E4">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rPr>
        <w:t>11、</w:t>
      </w:r>
      <w:r w:rsidRPr="008564FF" w:rsidR="0007535E">
        <w:rPr>
          <w:rFonts w:asciiTheme="minorEastAsia" w:eastAsiaTheme="minorEastAsia" w:hAnsiTheme="minorEastAsia" w:hint="eastAsia"/>
        </w:rPr>
        <w:t>、</w:t>
      </w:r>
      <w:r w:rsidRPr="008564FF">
        <w:rPr>
          <w:rFonts w:asciiTheme="minorEastAsia" w:eastAsiaTheme="minorEastAsia" w:hAnsiTheme="minorEastAsia" w:hint="eastAsia"/>
        </w:rPr>
        <w:t>中国证监会规定的其他信息。</w:t>
      </w:r>
    </w:p>
    <w:p w:rsidR="003A3487" w:rsidRPr="008564FF" w:rsidP="004549E4">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（六）信息披露事务管理</w:t>
      </w:r>
    </w:p>
    <w:p w:rsidR="001D2E3F" w:rsidRPr="008564FF" w:rsidP="001D2E3F">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基金管理人、基金托管人应当建立健全信息披露管理制度，指定专门部门及高级管理人员负责管理信息披露事务。</w:t>
      </w:r>
    </w:p>
    <w:p w:rsidR="001D2E3F" w:rsidRPr="008564FF" w:rsidP="001D2E3F">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基金信息披露义务人公开披露基金信息，应当符合中国证监会相关基金信息披露内容与格式准则等法规的规定。</w:t>
      </w:r>
    </w:p>
    <w:p w:rsidR="001D2E3F" w:rsidRPr="008564FF" w:rsidP="001D2E3F">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基金托管人应当按照相关法律法规、中国证监会的规定和《基金合同》的约定，对基金</w:t>
      </w:r>
      <w:r w:rsidRPr="008564FF">
        <w:rPr>
          <w:rFonts w:asciiTheme="minorEastAsia" w:eastAsiaTheme="minorEastAsia" w:hAnsiTheme="minorEastAsia" w:hint="eastAsia"/>
        </w:rPr>
        <w:t>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1D2E3F" w:rsidRPr="008564FF" w:rsidP="001D2E3F">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基金管理人、基金托管人应当在指定报刊中选择一家报刊披露本基金信息。基金管理人、基金托管人应当向中国证监会基金电子披露网站报送拟披露的基金信息，并保证相关报送信息的真实、准确、完整、及时。</w:t>
      </w:r>
    </w:p>
    <w:p w:rsidR="001D2E3F" w:rsidRPr="008564FF" w:rsidP="001D2E3F">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3A3487" w:rsidRPr="008564FF" w:rsidP="004549E4">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3A3487" w:rsidRPr="008564FF" w:rsidP="004549E4">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（七）信息披露文件的存放与查阅</w:t>
      </w:r>
    </w:p>
    <w:p w:rsidR="003A3487" w:rsidRPr="008564FF" w:rsidP="004549E4">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依法必须披露的信息发布后，基金管理人、基金托管人应当按照相关法律法规规定将信息置备于公司办公场所，供社会公众查阅、复制。</w:t>
      </w:r>
    </w:p>
    <w:p w:rsidR="003A3487" w:rsidRPr="008564FF" w:rsidP="009C2B2A">
      <w:pPr>
        <w:pStyle w:val="Heading1"/>
        <w:snapToGrid w:val="0"/>
        <w:spacing w:beforeLines="0" w:afterLines="0" w:line="360" w:lineRule="auto"/>
        <w:ind w:firstLine="643"/>
        <w:rPr>
          <w:rFonts w:asciiTheme="minorEastAsia" w:eastAsiaTheme="minorEastAsia" w:hAnsiTheme="minorEastAsia"/>
        </w:rPr>
      </w:pPr>
      <w:r w:rsidRPr="008564FF">
        <w:rPr>
          <w:rFonts w:asciiTheme="minorEastAsia" w:eastAsiaTheme="minorEastAsia" w:hAnsiTheme="minorEastAsia" w:hint="eastAsia"/>
          <w:b/>
          <w:bCs/>
        </w:rPr>
        <w:br w:type="page"/>
      </w:r>
      <w:bookmarkStart w:id="196" w:name="_Toc91749281"/>
      <w:r w:rsidRPr="008564FF">
        <w:rPr>
          <w:rFonts w:asciiTheme="minorEastAsia" w:eastAsiaTheme="minorEastAsia" w:hAnsiTheme="minorEastAsia" w:hint="eastAsia"/>
          <w:b/>
          <w:bCs/>
        </w:rPr>
        <w:t>十九、风险揭示</w:t>
      </w:r>
      <w:bookmarkEnd w:id="196"/>
    </w:p>
    <w:p w:rsidR="003A3487" w:rsidRPr="008564FF" w:rsidP="009C2B2A">
      <w:pPr>
        <w:pStyle w:val="Heading2"/>
        <w:snapToGrid w:val="0"/>
        <w:spacing w:beforeLines="0" w:afterLines="0" w:line="360" w:lineRule="auto"/>
        <w:ind w:firstLine="0" w:firstLineChars="0"/>
        <w:rPr>
          <w:rFonts w:asciiTheme="minorEastAsia" w:eastAsiaTheme="minorEastAsia" w:hAnsiTheme="minorEastAsia"/>
          <w:b w:val="0"/>
        </w:rPr>
      </w:pPr>
      <w:bookmarkStart w:id="197" w:name="_Toc91749282"/>
      <w:r w:rsidRPr="008564FF">
        <w:rPr>
          <w:rFonts w:asciiTheme="minorEastAsia" w:eastAsiaTheme="minorEastAsia" w:hAnsiTheme="minorEastAsia" w:hint="eastAsia"/>
          <w:b w:val="0"/>
        </w:rPr>
        <w:t>（一）市场风险</w:t>
      </w:r>
      <w:bookmarkEnd w:id="197"/>
    </w:p>
    <w:p w:rsidR="003A3487" w:rsidRPr="008564FF" w:rsidP="004549E4">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本基金主要投资于证券市场，而证券市场价格因受到经济因素、政治因素、投资者心理和交易制度等各种因素的影响而产生波动，从而导致基金收益水平发生变化，产生风险。主要的风险因素包括：</w:t>
      </w:r>
    </w:p>
    <w:p w:rsidR="003A3487" w:rsidRPr="008564FF" w:rsidP="0007535E">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1、政策风险</w:t>
      </w:r>
    </w:p>
    <w:p w:rsidR="003A3487" w:rsidRPr="008564FF" w:rsidP="004549E4">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因财政政策、货币政策、产业政策、地区发展政策等国家宏观政策发生变化，导致市场价格波动，影响基金收益而产生风险。</w:t>
      </w:r>
    </w:p>
    <w:p w:rsidR="003A3487" w:rsidRPr="008564FF" w:rsidP="0007535E">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2、经济周期风险</w:t>
      </w:r>
    </w:p>
    <w:p w:rsidR="003A3487" w:rsidRPr="008564FF" w:rsidP="004549E4">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随着经济运行的周期性变化，证券市场的收益水平也呈周期性变化，基金投资的收益水平也会随之变化，从而产生风险。</w:t>
      </w:r>
    </w:p>
    <w:p w:rsidR="003A3487" w:rsidRPr="008564FF" w:rsidP="0007535E">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3、利率风险</w:t>
      </w:r>
    </w:p>
    <w:p w:rsidR="003A3487" w:rsidRPr="008564FF" w:rsidP="004549E4">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金融市场利率的波动会导致证券市场价格和收益率的变动。利率直接影响着债券的价格和收益率，影响着企业的融资成本和利润。基金投资于债券和股票，其收益水平可能会受到利率变化的影响。</w:t>
      </w:r>
    </w:p>
    <w:p w:rsidR="003A3487" w:rsidRPr="008564FF" w:rsidP="0007535E">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4、上市公司经营风险</w:t>
      </w:r>
    </w:p>
    <w:p w:rsidR="003A3487" w:rsidRPr="008564FF" w:rsidP="004549E4">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上市公司的经营状况受多种因素的影响，如管理能力、行业竞争、市场前景、技术更新、新产品研究开发等都会导致公司盈利发生变化。如果基金所投资的上市公司经营不善，其股票价格可能下跌，或者能够用于分配的利润减少，使基金投资收益下降。虽然基金可以通过投资多样化来分散这种非系统风险，但不能完全避免。</w:t>
      </w:r>
    </w:p>
    <w:p w:rsidR="003A3487" w:rsidRPr="008564FF" w:rsidP="0007535E">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5、购买力风险</w:t>
      </w:r>
    </w:p>
    <w:p w:rsidR="003A3487" w:rsidRPr="008564FF" w:rsidP="004549E4">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基金份额持有人收益将主要通过现金形式来分配，而现金可能因为通货膨胀因素而使其购买力下降</w:t>
      </w:r>
      <w:r w:rsidRPr="008564FF">
        <w:rPr>
          <w:rFonts w:asciiTheme="minorEastAsia" w:eastAsiaTheme="minorEastAsia" w:hAnsiTheme="minorEastAsia"/>
        </w:rPr>
        <w:t>,</w:t>
      </w:r>
      <w:r w:rsidRPr="008564FF">
        <w:rPr>
          <w:rFonts w:asciiTheme="minorEastAsia" w:eastAsiaTheme="minorEastAsia" w:hAnsiTheme="minorEastAsia" w:hint="eastAsia"/>
        </w:rPr>
        <w:t>从而使基金的实际收益下降。</w:t>
      </w:r>
    </w:p>
    <w:p w:rsidR="003A3487" w:rsidRPr="008564FF" w:rsidP="009C2B2A">
      <w:pPr>
        <w:pStyle w:val="Heading2"/>
        <w:snapToGrid w:val="0"/>
        <w:spacing w:beforeLines="0" w:afterLines="0" w:line="360" w:lineRule="auto"/>
        <w:ind w:firstLine="0" w:firstLineChars="0"/>
        <w:rPr>
          <w:rFonts w:asciiTheme="minorEastAsia" w:eastAsiaTheme="minorEastAsia" w:hAnsiTheme="minorEastAsia"/>
          <w:b w:val="0"/>
        </w:rPr>
      </w:pPr>
      <w:bookmarkStart w:id="198" w:name="_Toc91749283"/>
      <w:r w:rsidRPr="008564FF">
        <w:rPr>
          <w:rFonts w:asciiTheme="minorEastAsia" w:eastAsiaTheme="minorEastAsia" w:hAnsiTheme="minorEastAsia" w:hint="eastAsia"/>
          <w:b w:val="0"/>
        </w:rPr>
        <w:t>（二）管理风险</w:t>
      </w:r>
      <w:bookmarkEnd w:id="198"/>
    </w:p>
    <w:p w:rsidR="003A3487" w:rsidRPr="008564FF" w:rsidP="0007535E">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1、在基金管理运作过程中，基金管理人的知识、经验、判断、决策、技能等，会影响其对信息的占有以及对经济形势、证券价格走势的判断，从而影响基金收益水平；</w:t>
      </w:r>
    </w:p>
    <w:p w:rsidR="003A3487" w:rsidRPr="008564FF" w:rsidP="0007535E">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2、基金管理人和基金托管人的管理手段和管理技术等因素的变化也会影响基金收益水平。</w:t>
      </w:r>
    </w:p>
    <w:p w:rsidR="003A3487" w:rsidRPr="008564FF" w:rsidP="009C2B2A">
      <w:pPr>
        <w:pStyle w:val="Heading2"/>
        <w:snapToGrid w:val="0"/>
        <w:spacing w:beforeLines="0" w:afterLines="0" w:line="360" w:lineRule="auto"/>
        <w:ind w:firstLine="0" w:firstLineChars="0"/>
        <w:rPr>
          <w:rFonts w:asciiTheme="minorEastAsia" w:eastAsiaTheme="minorEastAsia" w:hAnsiTheme="minorEastAsia"/>
          <w:b w:val="0"/>
        </w:rPr>
      </w:pPr>
      <w:bookmarkStart w:id="199" w:name="_Toc91749284"/>
      <w:r w:rsidRPr="008564FF">
        <w:rPr>
          <w:rFonts w:asciiTheme="minorEastAsia" w:eastAsiaTheme="minorEastAsia" w:hAnsiTheme="minorEastAsia" w:hint="eastAsia"/>
          <w:b w:val="0"/>
        </w:rPr>
        <w:t>（三）流动性风险</w:t>
      </w:r>
      <w:bookmarkEnd w:id="199"/>
    </w:p>
    <w:p w:rsidR="005625E9" w:rsidRPr="008564FF" w:rsidP="005625E9">
      <w:pPr>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1、流动性风险评估</w:t>
      </w:r>
    </w:p>
    <w:p w:rsidR="005625E9" w:rsidRPr="008564FF" w:rsidP="005625E9">
      <w:pPr>
        <w:spacing w:line="360" w:lineRule="auto"/>
        <w:ind w:firstLine="420" w:firstLineChars="200"/>
        <w:rPr>
          <w:rFonts w:asciiTheme="minorEastAsia" w:eastAsiaTheme="minorEastAsia" w:hAnsiTheme="minorEastAsia"/>
        </w:rPr>
      </w:pPr>
      <w:r w:rsidRPr="008564FF">
        <w:rPr>
          <w:rFonts w:asciiTheme="minorEastAsia" w:eastAsiaTheme="minorEastAsia" w:hAnsiTheme="minorEastAsia" w:hint="eastAsia"/>
        </w:rPr>
        <w:t>本基金为混合基金，可投资于股票、债券、货币市场工具等，一般情况下，这些资产市</w:t>
      </w:r>
      <w:r w:rsidRPr="008564FF">
        <w:rPr>
          <w:rFonts w:asciiTheme="minorEastAsia" w:eastAsiaTheme="minorEastAsia" w:hAnsiTheme="minorEastAsia" w:hint="eastAsia"/>
        </w:rPr>
        <w:t>场流动性较好。</w:t>
      </w:r>
    </w:p>
    <w:p w:rsidR="0083185E" w:rsidRPr="008564FF" w:rsidP="00AF6805">
      <w:pPr>
        <w:spacing w:line="360" w:lineRule="auto"/>
        <w:ind w:firstLine="420" w:firstLineChars="200"/>
        <w:rPr>
          <w:rFonts w:asciiTheme="minorEastAsia" w:eastAsiaTheme="minorEastAsia" w:hAnsiTheme="minorEastAsia"/>
        </w:rPr>
      </w:pPr>
      <w:r w:rsidRPr="008564FF">
        <w:rPr>
          <w:rFonts w:asciiTheme="minorEastAsia" w:eastAsiaTheme="minorEastAsia" w:hAnsiTheme="minorEastAsia" w:hint="eastAsia"/>
        </w:rPr>
        <w:t>但本基金投资于上述资产时，仍存在以下流动性风险：</w:t>
      </w:r>
      <w:r w:rsidRPr="008564FF" w:rsidR="003A3487">
        <w:rPr>
          <w:rFonts w:asciiTheme="minorEastAsia" w:eastAsiaTheme="minorEastAsia" w:hAnsiTheme="minorEastAsia" w:hint="eastAsia"/>
        </w:rPr>
        <w:t>一是基金管理人建仓时或为实现收益而进行组合调整时，可能由于</w:t>
      </w:r>
      <w:r w:rsidRPr="008564FF">
        <w:rPr>
          <w:rFonts w:asciiTheme="minorEastAsia" w:eastAsiaTheme="minorEastAsia" w:hAnsiTheme="minorEastAsia" w:hint="eastAsia"/>
        </w:rPr>
        <w:t>特定投资标的</w:t>
      </w:r>
      <w:r w:rsidRPr="008564FF" w:rsidR="003A3487">
        <w:rPr>
          <w:rFonts w:asciiTheme="minorEastAsia" w:eastAsiaTheme="minorEastAsia" w:hAnsiTheme="minorEastAsia" w:hint="eastAsia"/>
        </w:rPr>
        <w:t>市场流动性相对不足而无法按预期的价格买进或卖出；二是为应付投资者的赎回，基金管理人的现金支付出现困难，被迫在不适当的价格大量抛售股票</w:t>
      </w:r>
      <w:r w:rsidRPr="008564FF">
        <w:rPr>
          <w:rFonts w:asciiTheme="minorEastAsia" w:eastAsiaTheme="minorEastAsia" w:hAnsiTheme="minorEastAsia" w:hint="eastAsia"/>
        </w:rPr>
        <w:t>、</w:t>
      </w:r>
      <w:r w:rsidRPr="008564FF" w:rsidR="003A3487">
        <w:rPr>
          <w:rFonts w:asciiTheme="minorEastAsia" w:eastAsiaTheme="minorEastAsia" w:hAnsiTheme="minorEastAsia" w:hint="eastAsia"/>
        </w:rPr>
        <w:t>债券</w:t>
      </w:r>
      <w:r w:rsidRPr="008564FF">
        <w:rPr>
          <w:rFonts w:asciiTheme="minorEastAsia" w:eastAsiaTheme="minorEastAsia" w:hAnsiTheme="minorEastAsia" w:hint="eastAsia"/>
        </w:rPr>
        <w:t>或其他资产</w:t>
      </w:r>
      <w:r w:rsidRPr="008564FF" w:rsidR="003A3487">
        <w:rPr>
          <w:rFonts w:asciiTheme="minorEastAsia" w:eastAsiaTheme="minorEastAsia" w:hAnsiTheme="minorEastAsia" w:hint="eastAsia"/>
        </w:rPr>
        <w:t>。两者均可能使基金净值受到不利影响。</w:t>
      </w:r>
    </w:p>
    <w:p w:rsidR="005625E9" w:rsidRPr="008564FF" w:rsidP="005625E9">
      <w:pPr>
        <w:spacing w:line="360" w:lineRule="auto"/>
        <w:ind w:firstLine="420" w:firstLineChars="200"/>
        <w:rPr>
          <w:rFonts w:asciiTheme="minorEastAsia" w:eastAsiaTheme="minorEastAsia" w:hAnsiTheme="minorEastAsia"/>
        </w:rPr>
      </w:pPr>
      <w:r w:rsidRPr="008564FF">
        <w:rPr>
          <w:rFonts w:asciiTheme="minorEastAsia" w:eastAsiaTheme="minorEastAsia" w:hAnsiTheme="minorEastAsia" w:hint="eastAsia"/>
        </w:rPr>
        <w:t>2、巨额赎回情形下的流动性风险管理措施</w:t>
      </w:r>
    </w:p>
    <w:p w:rsidR="005625E9" w:rsidRPr="008564FF" w:rsidP="005625E9">
      <w:pPr>
        <w:spacing w:line="360" w:lineRule="auto"/>
        <w:ind w:firstLine="420" w:firstLineChars="200"/>
        <w:rPr>
          <w:rFonts w:asciiTheme="minorEastAsia" w:eastAsiaTheme="minorEastAsia" w:hAnsiTheme="minorEastAsia"/>
        </w:rPr>
      </w:pPr>
      <w:r w:rsidRPr="008564FF">
        <w:rPr>
          <w:rFonts w:asciiTheme="minorEastAsia" w:eastAsiaTheme="minorEastAsia" w:hAnsiTheme="minorEastAsia" w:hint="eastAsia"/>
        </w:rPr>
        <w:t>当本基金发生巨额赎回时</w:t>
      </w:r>
      <w:r w:rsidRPr="008564FF" w:rsidR="004F04EF">
        <w:rPr>
          <w:rFonts w:asciiTheme="minorEastAsia" w:eastAsiaTheme="minorEastAsia" w:hAnsiTheme="minorEastAsia" w:hint="eastAsia"/>
        </w:rPr>
        <w:t>，基金管理人可以根据基金当时的资产组合状况决定全额赎回或部分顺延</w:t>
      </w:r>
      <w:r w:rsidRPr="008564FF">
        <w:rPr>
          <w:rFonts w:asciiTheme="minorEastAsia" w:eastAsiaTheme="minorEastAsia" w:hAnsiTheme="minorEastAsia" w:hint="eastAsia"/>
        </w:rPr>
        <w:t>赎回；此外，如出现连续两个或两个以上开放日发生巨额赎回，可暂停接受投资人的赎回申请或延缓支付赎回款项；当本基金发生巨额赎回且单个基金份额持有人的赎回申请超过上一开放日基金总份额10%的，基金管理人有权对该单个基金份额持有人超出该比例的赎回申请实施延期办理。具体情形、程序见招募说明书“八、基金份额的申购、赎回”“（十）巨额赎回的认定及处理方式”。</w:t>
      </w:r>
    </w:p>
    <w:p w:rsidR="005625E9" w:rsidRPr="008564FF" w:rsidP="005625E9">
      <w:pPr>
        <w:spacing w:line="360" w:lineRule="auto"/>
        <w:ind w:firstLine="420" w:firstLineChars="200"/>
        <w:rPr>
          <w:rFonts w:asciiTheme="minorEastAsia" w:eastAsiaTheme="minorEastAsia" w:hAnsiTheme="minorEastAsia"/>
        </w:rPr>
      </w:pPr>
      <w:r w:rsidRPr="008564FF">
        <w:rPr>
          <w:rFonts w:asciiTheme="minorEastAsia" w:eastAsiaTheme="minorEastAsia" w:hAnsiTheme="minorEastAsia" w:hint="eastAsia"/>
        </w:rPr>
        <w:t>发生上述情形时，投资人面临无法全部赎回或无法及时获得赎回资金的风险。在本基金暂停或延期办理投资者赎回申请的情况下，投资者未能赎回的基金份额还将面临净值波动的风险。</w:t>
      </w:r>
    </w:p>
    <w:p w:rsidR="005625E9" w:rsidRPr="008564FF" w:rsidP="005625E9">
      <w:pPr>
        <w:spacing w:line="360" w:lineRule="auto"/>
        <w:ind w:firstLine="420" w:firstLineChars="200"/>
        <w:rPr>
          <w:rFonts w:asciiTheme="minorEastAsia" w:eastAsiaTheme="minorEastAsia" w:hAnsiTheme="minorEastAsia"/>
        </w:rPr>
      </w:pPr>
      <w:r w:rsidRPr="008564FF">
        <w:rPr>
          <w:rFonts w:asciiTheme="minorEastAsia" w:eastAsiaTheme="minorEastAsia" w:hAnsiTheme="minorEastAsia" w:hint="eastAsia"/>
        </w:rPr>
        <w:t>3、除巨额赎回情形外实施备用的流动性风险管理工具的情形、程序及对投资者的潜在影响</w:t>
      </w:r>
    </w:p>
    <w:p w:rsidR="005625E9" w:rsidRPr="008564FF" w:rsidP="005625E9">
      <w:pPr>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除巨额赎回情形外，本基金备用流动性风险管理工具包括但不限于暂停接受赎回申请、延缓支付赎回款项、收取短期赎回费、暂停基金估值以及证监会认定的其他措施。</w:t>
      </w:r>
    </w:p>
    <w:p w:rsidR="005625E9" w:rsidRPr="008564FF" w:rsidP="005625E9">
      <w:pPr>
        <w:spacing w:line="360" w:lineRule="auto"/>
        <w:ind w:firstLine="420" w:firstLineChars="200"/>
        <w:rPr>
          <w:rFonts w:asciiTheme="minorEastAsia" w:eastAsiaTheme="minorEastAsia" w:hAnsiTheme="minorEastAsia"/>
        </w:rPr>
      </w:pPr>
      <w:r w:rsidRPr="008564FF">
        <w:rPr>
          <w:rFonts w:asciiTheme="minorEastAsia" w:eastAsiaTheme="minorEastAsia" w:hAnsiTheme="minorEastAsia" w:hint="eastAsia"/>
          <w:szCs w:val="21"/>
        </w:rPr>
        <w:t>暂停接受赎回申请、延缓支付赎回款项等工具的情形、程序见招募说明书“八、基金份额的申购、赎回”之“（十一）</w:t>
      </w:r>
      <w:r w:rsidRPr="008564FF" w:rsidR="00D7370E">
        <w:rPr>
          <w:rFonts w:asciiTheme="minorEastAsia" w:eastAsiaTheme="minorEastAsia" w:hAnsiTheme="minorEastAsia" w:hint="eastAsia"/>
          <w:szCs w:val="21"/>
        </w:rPr>
        <w:t>拒绝或暂停申购、赎回的情形及处理方式</w:t>
      </w:r>
      <w:r w:rsidRPr="008564FF">
        <w:rPr>
          <w:rFonts w:asciiTheme="minorEastAsia" w:eastAsiaTheme="minorEastAsia" w:hAnsiTheme="minorEastAsia" w:hint="eastAsia"/>
          <w:szCs w:val="21"/>
        </w:rPr>
        <w:t>”</w:t>
      </w:r>
      <w:r w:rsidRPr="008564FF">
        <w:rPr>
          <w:rFonts w:asciiTheme="minorEastAsia" w:eastAsiaTheme="minorEastAsia" w:hAnsiTheme="minorEastAsia" w:hint="eastAsia"/>
        </w:rPr>
        <w:t>的相关规定。</w:t>
      </w:r>
      <w:r w:rsidRPr="008564FF">
        <w:rPr>
          <w:rFonts w:asciiTheme="minorEastAsia" w:eastAsiaTheme="minorEastAsia" w:hAnsiTheme="minorEastAsia" w:hint="eastAsia"/>
          <w:szCs w:val="21"/>
        </w:rPr>
        <w:t>若本基金暂停赎回申请，投</w:t>
      </w:r>
      <w:r w:rsidRPr="008564FF">
        <w:rPr>
          <w:rFonts w:asciiTheme="minorEastAsia" w:eastAsiaTheme="minorEastAsia" w:hAnsiTheme="minorEastAsia" w:hint="eastAsia"/>
        </w:rPr>
        <w:t>资者在暂停赎回期间将无法赎回其持有的基金份额。若</w:t>
      </w:r>
      <w:r w:rsidRPr="008564FF">
        <w:rPr>
          <w:rFonts w:asciiTheme="minorEastAsia" w:eastAsiaTheme="minorEastAsia" w:hAnsiTheme="minorEastAsia" w:hint="eastAsia"/>
          <w:szCs w:val="21"/>
        </w:rPr>
        <w:t>本基金延缓支付赎回款项，赎回款支付时间将后延，可能对投资者的资金安排带来不利影响。</w:t>
      </w:r>
    </w:p>
    <w:p w:rsidR="005625E9" w:rsidRPr="008564FF" w:rsidP="005625E9">
      <w:pPr>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短期赎回费适用于持续持有期少于7日的投资者，费率为1.5%。短期赎回费由赎回基金份额的基金份额持有人承担，在基金份额持有人赎回基金份额时收取，并全额计入基金财产。短期赎回费的收取将</w:t>
      </w:r>
      <w:r w:rsidRPr="008564FF">
        <w:rPr>
          <w:rFonts w:asciiTheme="minorEastAsia" w:eastAsiaTheme="minorEastAsia" w:hAnsiTheme="minorEastAsia" w:hint="eastAsia"/>
        </w:rPr>
        <w:t>使得投资者在持续持有期限少于7日时会承担较高的赎回费。</w:t>
      </w:r>
    </w:p>
    <w:p w:rsidR="005625E9" w:rsidRPr="008564FF" w:rsidP="005625E9">
      <w:pPr>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暂停基金估值</w:t>
      </w:r>
      <w:r w:rsidRPr="008564FF">
        <w:rPr>
          <w:rFonts w:asciiTheme="minorEastAsia" w:eastAsiaTheme="minorEastAsia" w:hAnsiTheme="minorEastAsia" w:hint="eastAsia"/>
        </w:rPr>
        <w:t>的情形、程序见招募说明书“十四、基金资产估值”之“（七）暂停估值的情形”的相关规定</w:t>
      </w:r>
      <w:r w:rsidRPr="008564FF">
        <w:rPr>
          <w:rFonts w:asciiTheme="minorEastAsia" w:eastAsiaTheme="minorEastAsia" w:hAnsiTheme="minorEastAsia" w:hint="eastAsia"/>
          <w:szCs w:val="21"/>
        </w:rPr>
        <w:t>。若本基金暂停基金估值，一方面投资者将无法知晓本基金的基金份额净值，</w:t>
      </w:r>
      <w:r w:rsidRPr="008564FF" w:rsidR="00795A19">
        <w:rPr>
          <w:rFonts w:asciiTheme="minorEastAsia" w:eastAsiaTheme="minorEastAsia" w:hAnsiTheme="minorEastAsia" w:hint="eastAsia"/>
          <w:szCs w:val="21"/>
        </w:rPr>
        <w:t>另一方面基金将</w:t>
      </w:r>
      <w:r w:rsidRPr="008564FF" w:rsidR="00795A19">
        <w:rPr>
          <w:rFonts w:asciiTheme="minorEastAsia" w:eastAsiaTheme="minorEastAsia" w:hAnsiTheme="minorEastAsia" w:hint="eastAsia"/>
        </w:rPr>
        <w:t>延缓支付赎回款项或</w:t>
      </w:r>
      <w:r w:rsidRPr="008564FF" w:rsidR="00795A19">
        <w:rPr>
          <w:rFonts w:asciiTheme="minorEastAsia" w:eastAsiaTheme="minorEastAsia" w:hAnsiTheme="minorEastAsia" w:hint="eastAsia"/>
          <w:szCs w:val="21"/>
        </w:rPr>
        <w:t>暂停接受申购赎回申请，</w:t>
      </w:r>
      <w:r w:rsidRPr="008564FF" w:rsidR="00795A19">
        <w:rPr>
          <w:rFonts w:asciiTheme="minorEastAsia" w:eastAsiaTheme="minorEastAsia" w:hAnsiTheme="minorEastAsia" w:hint="eastAsia"/>
        </w:rPr>
        <w:t>延缓支付赎回款项可能</w:t>
      </w:r>
      <w:r w:rsidRPr="008564FF" w:rsidR="00795A19">
        <w:rPr>
          <w:rFonts w:asciiTheme="minorEastAsia" w:eastAsiaTheme="minorEastAsia" w:hAnsiTheme="minorEastAsia" w:hint="eastAsia"/>
        </w:rPr>
        <w:t>影响投资者的资金安排，</w:t>
      </w:r>
      <w:r w:rsidRPr="008564FF" w:rsidR="00795A19">
        <w:rPr>
          <w:rFonts w:asciiTheme="minorEastAsia" w:eastAsiaTheme="minorEastAsia" w:hAnsiTheme="minorEastAsia" w:hint="eastAsia"/>
          <w:szCs w:val="21"/>
        </w:rPr>
        <w:t>暂停接受申购赎回申请将导致投资者无法申购或赎回本基金</w:t>
      </w:r>
      <w:r w:rsidRPr="008564FF">
        <w:rPr>
          <w:rFonts w:asciiTheme="minorEastAsia" w:eastAsiaTheme="minorEastAsia" w:hAnsiTheme="minorEastAsia" w:hint="eastAsia"/>
          <w:szCs w:val="21"/>
        </w:rPr>
        <w:t>。</w:t>
      </w:r>
    </w:p>
    <w:p w:rsidR="001D2E3F" w:rsidRPr="008564FF" w:rsidP="00E81401">
      <w:pPr>
        <w:pStyle w:val="Heading2"/>
        <w:snapToGrid w:val="0"/>
        <w:spacing w:beforeLines="0" w:afterLines="0" w:line="360" w:lineRule="auto"/>
        <w:ind w:firstLine="0" w:firstLineChars="0"/>
        <w:rPr>
          <w:rFonts w:asciiTheme="minorEastAsia" w:eastAsiaTheme="minorEastAsia" w:hAnsiTheme="minorEastAsia"/>
        </w:rPr>
      </w:pPr>
      <w:bookmarkStart w:id="200" w:name="_Toc91749285"/>
      <w:r w:rsidRPr="008564FF">
        <w:rPr>
          <w:rFonts w:asciiTheme="minorEastAsia" w:eastAsiaTheme="minorEastAsia" w:hAnsiTheme="minorEastAsia" w:hint="eastAsia"/>
          <w:b w:val="0"/>
        </w:rPr>
        <w:t>（四）本基金法律文件中涉及基金风险特征的表述与销售机构对基金的风险评级可能不一致的风险</w:t>
      </w:r>
      <w:bookmarkEnd w:id="200"/>
    </w:p>
    <w:p w:rsidR="001D2E3F" w:rsidRPr="008564FF" w:rsidP="001D2E3F">
      <w:pPr>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本基金基金合同、招募说明书等法律文件中涉及基金风险收益特征或风险状况的表述仅为主要基于基金投资方向与策略特点的概括性表述；而本基金各销售机构依据中国证券投资基金业协会发布的《基金募集机构投资者适当性管理实施指引（试行）》及内部评级标准，将基金产品按照风险由低到高顺序进行风险级别评定划分，其风险评级结果所依据的评价要素可能更多、范围更广，与本基金法律文件中的风险收益特征或风险状况表述并不必然一致或存在对应关系。同时，不同销售机构因其采取的具体评价标准和方法的差异，对同一产品风险级别的评定也可能各有不同；销售机构还可能根据监管要求、市场变化及基金实际运作情况等适时调整对本基金的风险评级。敬请投资人知悉，在购买本基金时按照销售机构的要求完成风险承受能力与产品风险之间的匹配检验，并须及时关注销售机构对于本基金风险评级的调整情况，谨慎作出投资决策。</w:t>
      </w:r>
    </w:p>
    <w:p w:rsidR="003A3487" w:rsidRPr="008564FF" w:rsidP="009C2B2A">
      <w:pPr>
        <w:pStyle w:val="Heading2"/>
        <w:snapToGrid w:val="0"/>
        <w:spacing w:beforeLines="0" w:afterLines="0" w:line="360" w:lineRule="auto"/>
        <w:ind w:firstLine="0" w:firstLineChars="0"/>
        <w:rPr>
          <w:rFonts w:asciiTheme="minorEastAsia" w:eastAsiaTheme="minorEastAsia" w:hAnsiTheme="minorEastAsia"/>
          <w:b w:val="0"/>
        </w:rPr>
      </w:pPr>
      <w:bookmarkStart w:id="201" w:name="_Toc91749286"/>
      <w:r w:rsidRPr="008564FF">
        <w:rPr>
          <w:rFonts w:asciiTheme="minorEastAsia" w:eastAsiaTheme="minorEastAsia" w:hAnsiTheme="minorEastAsia" w:hint="eastAsia"/>
          <w:b w:val="0"/>
        </w:rPr>
        <w:t>（</w:t>
      </w:r>
      <w:r w:rsidRPr="008564FF" w:rsidR="001D2E3F">
        <w:rPr>
          <w:rFonts w:asciiTheme="minorEastAsia" w:eastAsiaTheme="minorEastAsia" w:hAnsiTheme="minorEastAsia" w:hint="eastAsia"/>
          <w:b w:val="0"/>
        </w:rPr>
        <w:t>五</w:t>
      </w:r>
      <w:r w:rsidRPr="008564FF">
        <w:rPr>
          <w:rFonts w:asciiTheme="minorEastAsia" w:eastAsiaTheme="minorEastAsia" w:hAnsiTheme="minorEastAsia" w:hint="eastAsia"/>
          <w:b w:val="0"/>
        </w:rPr>
        <w:t>）本基金特有的风险</w:t>
      </w:r>
      <w:bookmarkEnd w:id="201"/>
    </w:p>
    <w:p w:rsidR="003E1878" w:rsidRPr="008564FF" w:rsidP="003E1878">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rPr>
        <w:t>1、资产配置风险。本基金股票资产占基金资产的比例为60%-95%</w:t>
      </w:r>
      <w:r w:rsidRPr="008564FF">
        <w:rPr>
          <w:rFonts w:asciiTheme="minorEastAsia" w:eastAsiaTheme="minorEastAsia" w:hAnsiTheme="minorEastAsia" w:hint="eastAsia"/>
        </w:rPr>
        <w:t>，属于股票仓位偏高且相对稳定的基金品种，受股票市场系统性风险影响较大，</w:t>
      </w:r>
      <w:r w:rsidRPr="008564FF">
        <w:rPr>
          <w:rFonts w:asciiTheme="minorEastAsia" w:eastAsiaTheme="minorEastAsia" w:hAnsiTheme="minorEastAsia"/>
        </w:rPr>
        <w:t>如果</w:t>
      </w:r>
      <w:r w:rsidRPr="008564FF">
        <w:rPr>
          <w:rFonts w:asciiTheme="minorEastAsia" w:eastAsiaTheme="minorEastAsia" w:hAnsiTheme="minorEastAsia" w:hint="eastAsia"/>
        </w:rPr>
        <w:t>股票</w:t>
      </w:r>
      <w:r w:rsidRPr="008564FF">
        <w:rPr>
          <w:rFonts w:asciiTheme="minorEastAsia" w:eastAsiaTheme="minorEastAsia" w:hAnsiTheme="minorEastAsia"/>
        </w:rPr>
        <w:t>市场出现整体下跌，本基金的净值表现将受到影响</w:t>
      </w:r>
      <w:r w:rsidRPr="008564FF">
        <w:rPr>
          <w:rFonts w:asciiTheme="minorEastAsia" w:eastAsiaTheme="minorEastAsia" w:hAnsiTheme="minorEastAsia" w:hint="eastAsia"/>
        </w:rPr>
        <w:t>，</w:t>
      </w:r>
      <w:r w:rsidRPr="008564FF">
        <w:rPr>
          <w:rFonts w:asciiTheme="minorEastAsia" w:eastAsiaTheme="minorEastAsia" w:hAnsiTheme="minorEastAsia"/>
        </w:rPr>
        <w:t>投资者面临无法获得收益甚至</w:t>
      </w:r>
      <w:r w:rsidRPr="008564FF">
        <w:rPr>
          <w:rFonts w:asciiTheme="minorEastAsia" w:eastAsiaTheme="minorEastAsia" w:hAnsiTheme="minorEastAsia" w:hint="eastAsia"/>
        </w:rPr>
        <w:t>可能</w:t>
      </w:r>
      <w:r w:rsidRPr="008564FF">
        <w:rPr>
          <w:rFonts w:asciiTheme="minorEastAsia" w:eastAsiaTheme="minorEastAsia" w:hAnsiTheme="minorEastAsia"/>
        </w:rPr>
        <w:t>发生较大亏损的风险</w:t>
      </w:r>
      <w:r w:rsidRPr="008564FF">
        <w:rPr>
          <w:rFonts w:asciiTheme="minorEastAsia" w:eastAsiaTheme="minorEastAsia" w:hAnsiTheme="minorEastAsia" w:hint="eastAsia"/>
        </w:rPr>
        <w:t>。</w:t>
      </w:r>
    </w:p>
    <w:p w:rsidR="003E1878" w:rsidRPr="008564FF" w:rsidP="003E1878">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2、投资于大型企业的风险</w:t>
      </w:r>
    </w:p>
    <w:p w:rsidR="003A3487" w:rsidRPr="008564FF" w:rsidP="004549E4">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本基金主要投资在行业中营业收入和营业利润较高的大型企业，具有大盘股基金的特征。当市场上中小盘股票或中小型企业表现较好时，本基金的净值收益率可能低于中小盘基金。</w:t>
      </w:r>
    </w:p>
    <w:p w:rsidR="003E1878" w:rsidRPr="008564FF" w:rsidP="003E1878">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rPr>
        <w:t>3、</w:t>
      </w:r>
      <w:r w:rsidRPr="008564FF">
        <w:rPr>
          <w:rFonts w:asciiTheme="minorEastAsia" w:eastAsiaTheme="minorEastAsia" w:hAnsiTheme="minorEastAsia" w:hint="eastAsia"/>
        </w:rPr>
        <w:t>本基金可投资科创板股票，可能面临退市风险、市场风险、流动性风险等特有风险，从而可能给基金净值带来不利影响或损失。本基金根据投资策略需要或市场环境变化，可选择将部分基金资产投资于科创板股票或选择不将基金资产投资于科创板股票，基金资产并非必然投资于科创板股票。</w:t>
      </w:r>
    </w:p>
    <w:p w:rsidR="003E1878" w:rsidRPr="008564FF" w:rsidP="003E1878">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科创板股票在发行、上市、交易、退市等方面的规则与其他板块存在差异，基金投资科创板股票的风险包括但不限于：</w:t>
      </w:r>
    </w:p>
    <w:p w:rsidR="003E1878" w:rsidRPr="008564FF" w:rsidP="003E1878">
      <w:pPr>
        <w:snapToGrid w:val="0"/>
        <w:spacing w:line="360" w:lineRule="auto"/>
        <w:ind w:firstLine="420" w:firstLineChars="200"/>
        <w:rPr>
          <w:rFonts w:asciiTheme="minorEastAsia" w:eastAsiaTheme="minorEastAsia" w:hAnsiTheme="minorEastAsia"/>
          <w:kern w:val="0"/>
          <w:szCs w:val="21"/>
        </w:rPr>
      </w:pPr>
      <w:r w:rsidRPr="008564FF">
        <w:rPr>
          <w:rFonts w:asciiTheme="minorEastAsia" w:eastAsiaTheme="minorEastAsia" w:hAnsiTheme="minorEastAsia"/>
          <w:kern w:val="0"/>
          <w:szCs w:val="21"/>
        </w:rPr>
        <w:t>（1</w:t>
      </w:r>
      <w:r w:rsidRPr="008564FF">
        <w:rPr>
          <w:rFonts w:asciiTheme="minorEastAsia" w:eastAsiaTheme="minorEastAsia" w:hAnsiTheme="minorEastAsia" w:hint="eastAsia"/>
          <w:kern w:val="0"/>
          <w:szCs w:val="21"/>
        </w:rPr>
        <w:t>）科创板企业退市风险</w:t>
      </w:r>
    </w:p>
    <w:p w:rsidR="003E1878" w:rsidRPr="008564FF" w:rsidP="003E1878">
      <w:pPr>
        <w:snapToGrid w:val="0"/>
        <w:spacing w:line="360" w:lineRule="auto"/>
        <w:ind w:firstLine="420" w:firstLineChars="200"/>
        <w:rPr>
          <w:rFonts w:asciiTheme="minorEastAsia" w:eastAsiaTheme="minorEastAsia" w:hAnsiTheme="minorEastAsia"/>
          <w:kern w:val="0"/>
          <w:szCs w:val="21"/>
        </w:rPr>
      </w:pPr>
      <w:r w:rsidRPr="008564FF">
        <w:rPr>
          <w:rFonts w:asciiTheme="minorEastAsia" w:eastAsiaTheme="minorEastAsia" w:hAnsiTheme="minorEastAsia" w:hint="eastAsia"/>
          <w:kern w:val="0"/>
          <w:szCs w:val="21"/>
        </w:rPr>
        <w:t>科创板退市制度较主板更为严格，退市时间更短，退市速度更快，退市情形更多，且不再设置暂停上市、恢复上市和重新上市环节。一旦所投资的科创板股票进入退市流程，将面临退出难度较大、成本较高的风险。</w:t>
      </w:r>
    </w:p>
    <w:p w:rsidR="003E1878" w:rsidRPr="008564FF" w:rsidP="003E1878">
      <w:pPr>
        <w:snapToGrid w:val="0"/>
        <w:spacing w:line="360" w:lineRule="auto"/>
        <w:ind w:firstLine="420" w:firstLineChars="200"/>
        <w:rPr>
          <w:rFonts w:asciiTheme="minorEastAsia" w:eastAsiaTheme="minorEastAsia" w:hAnsiTheme="minorEastAsia"/>
          <w:kern w:val="0"/>
          <w:szCs w:val="21"/>
        </w:rPr>
      </w:pPr>
      <w:r w:rsidRPr="008564FF">
        <w:rPr>
          <w:rFonts w:asciiTheme="minorEastAsia" w:eastAsiaTheme="minorEastAsia" w:hAnsiTheme="minorEastAsia"/>
          <w:kern w:val="0"/>
          <w:szCs w:val="21"/>
        </w:rPr>
        <w:t>（2</w:t>
      </w:r>
      <w:r w:rsidRPr="008564FF">
        <w:rPr>
          <w:rFonts w:asciiTheme="minorEastAsia" w:eastAsiaTheme="minorEastAsia" w:hAnsiTheme="minorEastAsia" w:hint="eastAsia"/>
          <w:kern w:val="0"/>
          <w:szCs w:val="21"/>
        </w:rPr>
        <w:t>）市场风险</w:t>
      </w:r>
    </w:p>
    <w:p w:rsidR="003E1878" w:rsidRPr="008564FF" w:rsidP="003E1878">
      <w:pPr>
        <w:snapToGrid w:val="0"/>
        <w:spacing w:line="360" w:lineRule="auto"/>
        <w:ind w:firstLine="420" w:firstLineChars="200"/>
        <w:rPr>
          <w:rFonts w:asciiTheme="minorEastAsia" w:eastAsiaTheme="minorEastAsia" w:hAnsiTheme="minorEastAsia"/>
          <w:kern w:val="0"/>
          <w:szCs w:val="21"/>
        </w:rPr>
      </w:pPr>
      <w:r w:rsidRPr="008564FF">
        <w:rPr>
          <w:rFonts w:asciiTheme="minorEastAsia" w:eastAsiaTheme="minorEastAsia" w:hAnsiTheme="minorEastAsia" w:hint="eastAsia"/>
          <w:kern w:val="0"/>
          <w:szCs w:val="21"/>
        </w:rPr>
        <w:t>科创板企业相对集中于新一代信息技术、高端装备、新材料、新能源、节能环保及生物医药等高新技术和战略新兴产业领域，大多数企业为初创型公司，上市门槛略低于</w:t>
      </w:r>
      <w:r w:rsidRPr="008564FF">
        <w:rPr>
          <w:rFonts w:asciiTheme="minorEastAsia" w:eastAsiaTheme="minorEastAsia" w:hAnsiTheme="minorEastAsia"/>
          <w:kern w:val="0"/>
          <w:szCs w:val="21"/>
        </w:rPr>
        <w:t>A</w:t>
      </w:r>
      <w:r w:rsidRPr="008564FF">
        <w:rPr>
          <w:rFonts w:asciiTheme="minorEastAsia" w:eastAsiaTheme="minorEastAsia" w:hAnsiTheme="minorEastAsia" w:hint="eastAsia"/>
          <w:kern w:val="0"/>
          <w:szCs w:val="21"/>
        </w:rPr>
        <w:t>股其他板块，企业未来盈利、现金流、估值等均存在不确定性，个股投资风险加大。此外，科创板企业普遍具有前景不确定、业绩波动大、风险高的特征，市场可比公司较少，估值与发行定价难度较大。同时，科创板竞价交易较主板设置了更宽的涨跌幅限制（上市后的前</w:t>
      </w:r>
      <w:r w:rsidRPr="008564FF">
        <w:rPr>
          <w:rFonts w:asciiTheme="minorEastAsia" w:eastAsiaTheme="minorEastAsia" w:hAnsiTheme="minorEastAsia"/>
          <w:kern w:val="0"/>
          <w:szCs w:val="21"/>
        </w:rPr>
        <w:t>5</w:t>
      </w:r>
      <w:r w:rsidRPr="008564FF">
        <w:rPr>
          <w:rFonts w:asciiTheme="minorEastAsia" w:eastAsiaTheme="minorEastAsia" w:hAnsiTheme="minorEastAsia" w:hint="eastAsia"/>
          <w:kern w:val="0"/>
          <w:szCs w:val="21"/>
        </w:rPr>
        <w:t>个交易日不设涨跌幅限制，其后涨跌幅限制为</w:t>
      </w:r>
      <w:r w:rsidRPr="008564FF">
        <w:rPr>
          <w:rFonts w:asciiTheme="minorEastAsia" w:eastAsiaTheme="minorEastAsia" w:hAnsiTheme="minorEastAsia"/>
          <w:kern w:val="0"/>
          <w:szCs w:val="21"/>
        </w:rPr>
        <w:t>20%</w:t>
      </w:r>
      <w:r w:rsidRPr="008564FF">
        <w:rPr>
          <w:rFonts w:asciiTheme="minorEastAsia" w:eastAsiaTheme="minorEastAsia" w:hAnsiTheme="minorEastAsia" w:hint="eastAsia"/>
          <w:kern w:val="0"/>
          <w:szCs w:val="21"/>
        </w:rPr>
        <w:t>）、科创板股票上市首日即可作为融资融券标的，可能导致较大的股票价格波动。</w:t>
      </w:r>
    </w:p>
    <w:p w:rsidR="003E1878" w:rsidRPr="008564FF" w:rsidP="003E1878">
      <w:pPr>
        <w:snapToGrid w:val="0"/>
        <w:spacing w:line="360" w:lineRule="auto"/>
        <w:ind w:firstLine="420" w:firstLineChars="200"/>
        <w:rPr>
          <w:rFonts w:asciiTheme="minorEastAsia" w:eastAsiaTheme="minorEastAsia" w:hAnsiTheme="minorEastAsia"/>
          <w:kern w:val="0"/>
          <w:szCs w:val="21"/>
        </w:rPr>
      </w:pPr>
      <w:r w:rsidRPr="008564FF">
        <w:rPr>
          <w:rFonts w:asciiTheme="minorEastAsia" w:eastAsiaTheme="minorEastAsia" w:hAnsiTheme="minorEastAsia"/>
          <w:kern w:val="0"/>
          <w:szCs w:val="21"/>
        </w:rPr>
        <w:t>（3</w:t>
      </w:r>
      <w:r w:rsidRPr="008564FF">
        <w:rPr>
          <w:rFonts w:asciiTheme="minorEastAsia" w:eastAsiaTheme="minorEastAsia" w:hAnsiTheme="minorEastAsia" w:hint="eastAsia"/>
          <w:kern w:val="0"/>
          <w:szCs w:val="21"/>
        </w:rPr>
        <w:t>）流动性风险</w:t>
      </w:r>
    </w:p>
    <w:p w:rsidR="003E1878" w:rsidRPr="008564FF" w:rsidP="003E1878">
      <w:pPr>
        <w:snapToGrid w:val="0"/>
        <w:spacing w:line="360" w:lineRule="auto"/>
        <w:ind w:firstLine="420" w:firstLineChars="200"/>
        <w:rPr>
          <w:rFonts w:asciiTheme="minorEastAsia" w:eastAsiaTheme="minorEastAsia" w:hAnsiTheme="minorEastAsia"/>
          <w:kern w:val="0"/>
          <w:szCs w:val="21"/>
        </w:rPr>
      </w:pPr>
      <w:r w:rsidRPr="008564FF">
        <w:rPr>
          <w:rFonts w:asciiTheme="minorEastAsia" w:eastAsiaTheme="minorEastAsia" w:hAnsiTheme="minorEastAsia" w:hint="eastAsia"/>
          <w:kern w:val="0"/>
          <w:szCs w:val="21"/>
        </w:rPr>
        <w:t>科创板投资门槛较高，由此可能导致整体流动性相对较弱。此外，科创板股票网下发行时，获配账户存在被随机抽中设置一定期限限售期的可能，由此可能导致基金面临无法及时变现及其他相关流动性风险。</w:t>
      </w:r>
    </w:p>
    <w:p w:rsidR="003E1878" w:rsidRPr="008564FF" w:rsidP="003E1878">
      <w:pPr>
        <w:snapToGrid w:val="0"/>
        <w:spacing w:line="360" w:lineRule="auto"/>
        <w:ind w:firstLine="420" w:firstLineChars="200"/>
        <w:rPr>
          <w:rFonts w:asciiTheme="minorEastAsia" w:eastAsiaTheme="minorEastAsia" w:hAnsiTheme="minorEastAsia"/>
          <w:kern w:val="0"/>
          <w:szCs w:val="21"/>
        </w:rPr>
      </w:pPr>
      <w:r w:rsidRPr="008564FF">
        <w:rPr>
          <w:rFonts w:asciiTheme="minorEastAsia" w:eastAsiaTheme="minorEastAsia" w:hAnsiTheme="minorEastAsia"/>
          <w:kern w:val="0"/>
          <w:szCs w:val="21"/>
        </w:rPr>
        <w:t>（4</w:t>
      </w:r>
      <w:r w:rsidRPr="008564FF">
        <w:rPr>
          <w:rFonts w:asciiTheme="minorEastAsia" w:eastAsiaTheme="minorEastAsia" w:hAnsiTheme="minorEastAsia" w:hint="eastAsia"/>
          <w:kern w:val="0"/>
          <w:szCs w:val="21"/>
        </w:rPr>
        <w:t>）监管规则变化的风险</w:t>
      </w:r>
    </w:p>
    <w:p w:rsidR="003E1878" w:rsidRPr="008564FF" w:rsidP="003E1878">
      <w:pPr>
        <w:snapToGrid w:val="0"/>
        <w:spacing w:line="360" w:lineRule="auto"/>
        <w:ind w:firstLine="420" w:firstLineChars="200"/>
        <w:rPr>
          <w:rFonts w:asciiTheme="minorEastAsia" w:eastAsiaTheme="minorEastAsia" w:hAnsiTheme="minorEastAsia"/>
          <w:kern w:val="0"/>
          <w:szCs w:val="21"/>
        </w:rPr>
      </w:pPr>
      <w:r w:rsidRPr="008564FF">
        <w:rPr>
          <w:rFonts w:asciiTheme="minorEastAsia" w:eastAsiaTheme="minorEastAsia" w:hAnsiTheme="minorEastAsia" w:hint="eastAsia"/>
          <w:kern w:val="0"/>
          <w:szCs w:val="21"/>
        </w:rPr>
        <w:t>科创板股票相关法律、行政法规、部门规章、规范性文件和交易所业务规则，可能根据市场情况进行修改完善，或者补充制定新的法律法规和业务规则，导致基金投资运作产生相应调整变化。</w:t>
      </w:r>
    </w:p>
    <w:p w:rsidR="009D1A75" w:rsidRPr="008564FF" w:rsidP="004549E4">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4、本基金的投资范围包括存托凭证，除与其他仅投资于沪深市场股票的基金所面临的共同风险外，本基金还将面临存托凭证价格大幅波动甚至出现较大亏损的风险，以及与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3A3487" w:rsidRPr="008564FF" w:rsidP="009C2B2A">
      <w:pPr>
        <w:pStyle w:val="Heading2"/>
        <w:snapToGrid w:val="0"/>
        <w:spacing w:beforeLines="0" w:afterLines="0" w:line="360" w:lineRule="auto"/>
        <w:ind w:firstLine="0" w:firstLineChars="0"/>
        <w:rPr>
          <w:rFonts w:asciiTheme="minorEastAsia" w:eastAsiaTheme="minorEastAsia" w:hAnsiTheme="minorEastAsia"/>
          <w:b w:val="0"/>
        </w:rPr>
      </w:pPr>
      <w:bookmarkStart w:id="202" w:name="_Toc91749287"/>
      <w:r w:rsidRPr="008564FF">
        <w:rPr>
          <w:rFonts w:asciiTheme="minorEastAsia" w:eastAsiaTheme="minorEastAsia" w:hAnsiTheme="minorEastAsia" w:hint="eastAsia"/>
          <w:b w:val="0"/>
        </w:rPr>
        <w:t>（</w:t>
      </w:r>
      <w:r w:rsidRPr="008564FF" w:rsidR="001D2E3F">
        <w:rPr>
          <w:rFonts w:asciiTheme="minorEastAsia" w:eastAsiaTheme="minorEastAsia" w:hAnsiTheme="minorEastAsia" w:hint="eastAsia"/>
          <w:b w:val="0"/>
        </w:rPr>
        <w:t>六</w:t>
      </w:r>
      <w:r w:rsidRPr="008564FF">
        <w:rPr>
          <w:rFonts w:asciiTheme="minorEastAsia" w:eastAsiaTheme="minorEastAsia" w:hAnsiTheme="minorEastAsia" w:hint="eastAsia"/>
          <w:b w:val="0"/>
        </w:rPr>
        <w:t>）其他风险</w:t>
      </w:r>
      <w:bookmarkEnd w:id="202"/>
    </w:p>
    <w:p w:rsidR="003A3487" w:rsidRPr="008564FF" w:rsidP="0007535E">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1、因技术因素而产生的风险，如电脑系统不可靠产生的风险；</w:t>
      </w:r>
    </w:p>
    <w:p w:rsidR="003A3487" w:rsidRPr="008564FF" w:rsidP="0007535E">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2、因战争、自然灾害等不可抗力导致的基金管理人、</w:t>
      </w:r>
      <w:r w:rsidRPr="008564FF" w:rsidR="000349F0">
        <w:rPr>
          <w:rFonts w:asciiTheme="minorEastAsia" w:eastAsiaTheme="minorEastAsia" w:hAnsiTheme="minorEastAsia" w:hint="eastAsia"/>
        </w:rPr>
        <w:t>基金托管人、</w:t>
      </w:r>
      <w:r w:rsidRPr="008564FF">
        <w:rPr>
          <w:rFonts w:asciiTheme="minorEastAsia" w:eastAsiaTheme="minorEastAsia" w:hAnsiTheme="minorEastAsia" w:hint="eastAsia"/>
        </w:rPr>
        <w:t>基金</w:t>
      </w:r>
      <w:r w:rsidRPr="008564FF" w:rsidR="009E0634">
        <w:rPr>
          <w:rFonts w:asciiTheme="minorEastAsia" w:eastAsiaTheme="minorEastAsia" w:hAnsiTheme="minorEastAsia" w:hint="eastAsia"/>
        </w:rPr>
        <w:t>销售</w:t>
      </w:r>
      <w:r w:rsidRPr="008564FF">
        <w:rPr>
          <w:rFonts w:asciiTheme="minorEastAsia" w:eastAsiaTheme="minorEastAsia" w:hAnsiTheme="minorEastAsia" w:hint="eastAsia"/>
        </w:rPr>
        <w:t>机构等机构无法正常工作，从而影响基金</w:t>
      </w:r>
      <w:r w:rsidRPr="008564FF" w:rsidR="000349F0">
        <w:rPr>
          <w:rFonts w:asciiTheme="minorEastAsia" w:eastAsiaTheme="minorEastAsia" w:hAnsiTheme="minorEastAsia" w:hint="eastAsia"/>
        </w:rPr>
        <w:t>运作</w:t>
      </w:r>
      <w:r w:rsidRPr="008564FF">
        <w:rPr>
          <w:rFonts w:asciiTheme="minorEastAsia" w:eastAsiaTheme="minorEastAsia" w:hAnsiTheme="minorEastAsia" w:hint="eastAsia"/>
        </w:rPr>
        <w:t>的风险；</w:t>
      </w:r>
    </w:p>
    <w:p w:rsidR="000349F0" w:rsidRPr="008564FF" w:rsidP="0007535E">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rPr>
        <w:t>3、因金融市场危机、代理商违约、基金托管人违约等超出基金管理人自身控制能力的因素出现，可能导致基金或者基金份额持有人利益受损的风险。</w:t>
      </w:r>
    </w:p>
    <w:p w:rsidR="003A3487" w:rsidRPr="008564FF" w:rsidP="004549E4">
      <w:pPr>
        <w:snapToGrid w:val="0"/>
        <w:spacing w:line="360" w:lineRule="auto"/>
        <w:rPr>
          <w:rFonts w:asciiTheme="minorEastAsia" w:eastAsiaTheme="minorEastAsia" w:hAnsiTheme="minorEastAsia"/>
        </w:rPr>
      </w:pPr>
      <w:r w:rsidRPr="008564FF">
        <w:rPr>
          <w:rFonts w:asciiTheme="minorEastAsia" w:eastAsiaTheme="minorEastAsia" w:hAnsiTheme="minorEastAsia"/>
          <w:b/>
          <w:bCs/>
          <w:sz w:val="24"/>
        </w:rPr>
        <w:tab/>
      </w:r>
      <w:r w:rsidRPr="008564FF">
        <w:rPr>
          <w:rFonts w:asciiTheme="minorEastAsia" w:eastAsiaTheme="minorEastAsia" w:hAnsiTheme="minorEastAsia"/>
          <w:b/>
          <w:bCs/>
          <w:sz w:val="24"/>
        </w:rPr>
        <w:tab/>
      </w:r>
      <w:r w:rsidRPr="008564FF">
        <w:rPr>
          <w:rFonts w:asciiTheme="minorEastAsia" w:eastAsiaTheme="minorEastAsia" w:hAnsiTheme="minorEastAsia"/>
          <w:b/>
          <w:bCs/>
          <w:sz w:val="24"/>
        </w:rPr>
        <w:tab/>
      </w:r>
    </w:p>
    <w:p w:rsidR="003A3487" w:rsidRPr="008564FF" w:rsidP="004549E4">
      <w:pPr>
        <w:widowControl/>
        <w:snapToGrid w:val="0"/>
        <w:spacing w:line="360" w:lineRule="auto"/>
        <w:jc w:val="left"/>
        <w:rPr>
          <w:rFonts w:asciiTheme="minorEastAsia" w:eastAsiaTheme="minorEastAsia" w:hAnsiTheme="minorEastAsia"/>
          <w:b/>
          <w:bCs/>
          <w:sz w:val="32"/>
          <w:szCs w:val="32"/>
        </w:rPr>
        <w:sectPr w:rsidSect="008564FF">
          <w:pgSz w:w="11907" w:h="16840"/>
          <w:pgMar w:top="1440" w:right="1800" w:bottom="1440" w:left="1800" w:header="1134" w:footer="1247" w:gutter="0"/>
          <w:cols w:space="720"/>
          <w:docGrid w:type="lines" w:linePitch="312"/>
        </w:sectPr>
      </w:pPr>
    </w:p>
    <w:p w:rsidR="003A3487" w:rsidRPr="008564FF" w:rsidP="009C2B2A">
      <w:pPr>
        <w:pStyle w:val="Heading1"/>
        <w:snapToGrid w:val="0"/>
        <w:spacing w:beforeLines="0" w:afterLines="0" w:line="360" w:lineRule="auto"/>
        <w:ind w:firstLine="0" w:firstLineChars="0"/>
        <w:rPr>
          <w:rFonts w:asciiTheme="minorEastAsia" w:eastAsiaTheme="minorEastAsia" w:hAnsiTheme="minorEastAsia"/>
          <w:bCs/>
        </w:rPr>
      </w:pPr>
      <w:bookmarkStart w:id="203" w:name="_Toc91749288"/>
      <w:r w:rsidRPr="008564FF">
        <w:rPr>
          <w:rFonts w:asciiTheme="minorEastAsia" w:eastAsiaTheme="minorEastAsia" w:hAnsiTheme="minorEastAsia" w:hint="eastAsia"/>
          <w:b/>
          <w:bCs/>
        </w:rPr>
        <w:t>二十、基金合同的终止与基金财产的清算</w:t>
      </w:r>
      <w:bookmarkEnd w:id="203"/>
    </w:p>
    <w:p w:rsidR="003A3487" w:rsidRPr="008564FF" w:rsidP="009C2B2A">
      <w:pPr>
        <w:pStyle w:val="Heading2"/>
        <w:snapToGrid w:val="0"/>
        <w:spacing w:beforeLines="0" w:afterLines="0" w:line="360" w:lineRule="auto"/>
        <w:ind w:firstLine="420" w:firstLineChars="0"/>
        <w:rPr>
          <w:rFonts w:asciiTheme="minorEastAsia" w:eastAsiaTheme="minorEastAsia" w:hAnsiTheme="minorEastAsia"/>
        </w:rPr>
      </w:pPr>
      <w:bookmarkStart w:id="204" w:name="_Toc97031319"/>
      <w:bookmarkStart w:id="205" w:name="_Toc97107279"/>
      <w:bookmarkStart w:id="206" w:name="_Toc86584659"/>
      <w:bookmarkStart w:id="207" w:name="_Toc91749289"/>
      <w:bookmarkEnd w:id="204"/>
      <w:bookmarkEnd w:id="205"/>
      <w:r w:rsidRPr="008564FF">
        <w:rPr>
          <w:rFonts w:asciiTheme="minorEastAsia" w:eastAsiaTheme="minorEastAsia" w:hAnsiTheme="minorEastAsia" w:hint="eastAsia"/>
        </w:rPr>
        <w:t>（一）基金合同的终止</w:t>
      </w:r>
      <w:bookmarkEnd w:id="206"/>
      <w:bookmarkEnd w:id="207"/>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有下列情形之一的，《基金合同》应当终止：</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1、基金份额持有人大会决定终止的；</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2、基金管理人、基金托管人职责终止，在6个月内没有新基金管理人、新基金托管人承接的；</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3、《基金合同》约定的其他情形；</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4、相关法律法规和中国证监会规定的其他情况。</w:t>
      </w:r>
    </w:p>
    <w:p w:rsidR="003A3487" w:rsidRPr="008564FF" w:rsidP="009C2B2A">
      <w:pPr>
        <w:pStyle w:val="Heading2"/>
        <w:snapToGrid w:val="0"/>
        <w:spacing w:beforeLines="0" w:afterLines="0" w:line="360" w:lineRule="auto"/>
        <w:ind w:firstLine="420" w:firstLineChars="0"/>
        <w:rPr>
          <w:rFonts w:asciiTheme="minorEastAsia" w:eastAsiaTheme="minorEastAsia" w:hAnsiTheme="minorEastAsia"/>
        </w:rPr>
      </w:pPr>
      <w:bookmarkStart w:id="208" w:name="_Toc86584660"/>
      <w:bookmarkStart w:id="209" w:name="_Toc91749290"/>
      <w:r w:rsidRPr="008564FF">
        <w:rPr>
          <w:rFonts w:asciiTheme="minorEastAsia" w:eastAsiaTheme="minorEastAsia" w:hAnsiTheme="minorEastAsia" w:hint="eastAsia"/>
        </w:rPr>
        <w:t>（二）基金财产的清算</w:t>
      </w:r>
      <w:bookmarkEnd w:id="208"/>
      <w:bookmarkEnd w:id="209"/>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1、基金财产清算小组：自出现《基金合同》终止事由之日起30个工作日内成立清算小组，基金管理人组织基金财产清算小组并在中国证监会的监督下进行基金清算。</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3、基金财产清算小组职责：基金财产清算小组负责基金财产的保管、清理、估价、变现和分配。基金财产清算小组可以依法进行必要的民事活动。</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4、基金财产清算程序：</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（1）《基金合同》终止</w:t>
      </w:r>
      <w:r w:rsidRPr="008564FF" w:rsidR="001F26B1">
        <w:rPr>
          <w:rFonts w:asciiTheme="minorEastAsia" w:eastAsiaTheme="minorEastAsia" w:hAnsiTheme="minorEastAsia" w:hint="eastAsia"/>
          <w:szCs w:val="21"/>
        </w:rPr>
        <w:t>情形出现</w:t>
      </w:r>
      <w:r w:rsidRPr="008564FF">
        <w:rPr>
          <w:rFonts w:asciiTheme="minorEastAsia" w:eastAsiaTheme="minorEastAsia" w:hAnsiTheme="minorEastAsia" w:hint="eastAsia"/>
          <w:szCs w:val="21"/>
        </w:rPr>
        <w:t>后，由基金财产清算小组统一接管基金；</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（2）对基金财产和债权债务进行清理和确认；</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（3）对基金财产进行估值和变现；</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（4）制作清算报告；</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（5）聘请会计师事务所对清算报告进行外部审计，聘请律师事务所对清算报告出具法律意见书；</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（6）将清算报告报中国证监会备案并公告。</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（7）对基金财产进行分配；</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5、基金财产清算的期限为6个月。</w:t>
      </w:r>
    </w:p>
    <w:p w:rsidR="003A3487" w:rsidRPr="008564FF" w:rsidP="009C2B2A">
      <w:pPr>
        <w:pStyle w:val="Heading2"/>
        <w:snapToGrid w:val="0"/>
        <w:spacing w:beforeLines="0" w:afterLines="0" w:line="360" w:lineRule="auto"/>
        <w:ind w:firstLine="420" w:firstLineChars="0"/>
        <w:rPr>
          <w:rFonts w:asciiTheme="minorEastAsia" w:eastAsiaTheme="minorEastAsia" w:hAnsiTheme="minorEastAsia"/>
        </w:rPr>
      </w:pPr>
      <w:bookmarkStart w:id="210" w:name="_Toc91749291"/>
      <w:r w:rsidRPr="008564FF">
        <w:rPr>
          <w:rFonts w:asciiTheme="minorEastAsia" w:eastAsiaTheme="minorEastAsia" w:hAnsiTheme="minorEastAsia" w:hint="eastAsia"/>
        </w:rPr>
        <w:t>（三）清算费用</w:t>
      </w:r>
      <w:bookmarkEnd w:id="210"/>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清算费用是指基金财产清算小组在进行基金清算过程中发生的所有合理费用，清算费用由基金财产清算小组优先从基金财产中支付。</w:t>
      </w:r>
    </w:p>
    <w:p w:rsidR="003A3487" w:rsidRPr="008564FF" w:rsidP="009C2B2A">
      <w:pPr>
        <w:pStyle w:val="Heading2"/>
        <w:snapToGrid w:val="0"/>
        <w:spacing w:beforeLines="0" w:afterLines="0" w:line="360" w:lineRule="auto"/>
        <w:ind w:firstLine="420" w:firstLineChars="0"/>
        <w:rPr>
          <w:rFonts w:asciiTheme="minorEastAsia" w:eastAsiaTheme="minorEastAsia" w:hAnsiTheme="minorEastAsia"/>
        </w:rPr>
      </w:pPr>
      <w:bookmarkStart w:id="211" w:name="_Toc91749292"/>
      <w:r w:rsidRPr="008564FF">
        <w:rPr>
          <w:rFonts w:asciiTheme="minorEastAsia" w:eastAsiaTheme="minorEastAsia" w:hAnsiTheme="minorEastAsia" w:hint="eastAsia"/>
        </w:rPr>
        <w:t>（四）基金财产清算剩余资产的分配</w:t>
      </w:r>
      <w:bookmarkEnd w:id="211"/>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依据基金财产清算的分配方案，将基金财产清算后的全部剩余资产扣除基金财产清算费用、交纳所欠税款并清偿基金债务后，按基金份额持有人持有的基金份额比例进行分配。</w:t>
      </w:r>
    </w:p>
    <w:p w:rsidR="003A3487" w:rsidRPr="008564FF" w:rsidP="009C2B2A">
      <w:pPr>
        <w:pStyle w:val="Heading2"/>
        <w:snapToGrid w:val="0"/>
        <w:spacing w:beforeLines="0" w:afterLines="0" w:line="360" w:lineRule="auto"/>
        <w:ind w:firstLine="420" w:firstLineChars="0"/>
        <w:rPr>
          <w:rFonts w:asciiTheme="minorEastAsia" w:eastAsiaTheme="minorEastAsia" w:hAnsiTheme="minorEastAsia"/>
        </w:rPr>
      </w:pPr>
      <w:bookmarkStart w:id="212" w:name="_Toc91749293"/>
      <w:r w:rsidRPr="008564FF">
        <w:rPr>
          <w:rFonts w:asciiTheme="minorEastAsia" w:eastAsiaTheme="minorEastAsia" w:hAnsiTheme="minorEastAsia" w:hint="eastAsia"/>
        </w:rPr>
        <w:t>（五）基金财产清算的公告</w:t>
      </w:r>
      <w:bookmarkEnd w:id="212"/>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清算过程中的有关重大事项须及时公告；基金财产清算报告经会计师事务所审计并由律师事务所出具法律意见书后报中国证监会备案并公告。基金财产清算</w:t>
      </w:r>
      <w:r w:rsidRPr="008564FF" w:rsidR="001F26B1">
        <w:rPr>
          <w:rFonts w:asciiTheme="minorEastAsia" w:eastAsiaTheme="minorEastAsia" w:hAnsiTheme="minorEastAsia" w:hint="eastAsia"/>
          <w:szCs w:val="21"/>
        </w:rPr>
        <w:t>报告</w:t>
      </w:r>
      <w:r w:rsidRPr="008564FF">
        <w:rPr>
          <w:rFonts w:asciiTheme="minorEastAsia" w:eastAsiaTheme="minorEastAsia" w:hAnsiTheme="minorEastAsia" w:hint="eastAsia"/>
          <w:szCs w:val="21"/>
        </w:rPr>
        <w:t>报中国证监会备案后5个工作日内由基金财产清算小组进行公告。</w:t>
      </w:r>
    </w:p>
    <w:p w:rsidR="003A3487" w:rsidRPr="008564FF" w:rsidP="009C2B2A">
      <w:pPr>
        <w:pStyle w:val="Heading2"/>
        <w:snapToGrid w:val="0"/>
        <w:spacing w:beforeLines="0" w:afterLines="0" w:line="360" w:lineRule="auto"/>
        <w:ind w:firstLine="420" w:firstLineChars="0"/>
        <w:rPr>
          <w:rFonts w:asciiTheme="minorEastAsia" w:eastAsiaTheme="minorEastAsia" w:hAnsiTheme="minorEastAsia"/>
        </w:rPr>
      </w:pPr>
      <w:bookmarkStart w:id="213" w:name="_Toc91749294"/>
      <w:r w:rsidRPr="008564FF">
        <w:rPr>
          <w:rFonts w:asciiTheme="minorEastAsia" w:eastAsiaTheme="minorEastAsia" w:hAnsiTheme="minorEastAsia" w:hint="eastAsia"/>
        </w:rPr>
        <w:t>（六）基金财产清算账册及文件的保存</w:t>
      </w:r>
      <w:bookmarkEnd w:id="213"/>
    </w:p>
    <w:p w:rsidR="003A3487" w:rsidRPr="008564FF" w:rsidP="004549E4">
      <w:pPr>
        <w:snapToGrid w:val="0"/>
        <w:spacing w:line="360" w:lineRule="auto"/>
        <w:ind w:firstLine="420" w:firstLineChars="200"/>
        <w:rPr>
          <w:rFonts w:asciiTheme="minorEastAsia" w:eastAsiaTheme="minorEastAsia" w:hAnsiTheme="minorEastAsia"/>
          <w:szCs w:val="21"/>
        </w:rPr>
      </w:pPr>
      <w:bookmarkStart w:id="214" w:name="_Toc200522988"/>
      <w:r w:rsidRPr="008564FF">
        <w:rPr>
          <w:rFonts w:asciiTheme="minorEastAsia" w:eastAsiaTheme="minorEastAsia" w:hAnsiTheme="minorEastAsia" w:hint="eastAsia"/>
          <w:szCs w:val="21"/>
        </w:rPr>
        <w:t>基金财产清算账册及有关文件由基金托管人保存15年以上。</w:t>
      </w:r>
    </w:p>
    <w:p w:rsidR="003A3487" w:rsidRPr="008564FF" w:rsidP="009C2B2A">
      <w:pPr>
        <w:pStyle w:val="Heading1"/>
        <w:snapToGrid w:val="0"/>
        <w:spacing w:beforeLines="0" w:afterLines="0" w:line="360" w:lineRule="auto"/>
        <w:ind w:firstLine="0" w:firstLineChars="0"/>
        <w:rPr>
          <w:rFonts w:asciiTheme="minorEastAsia" w:eastAsiaTheme="minorEastAsia" w:hAnsiTheme="minorEastAsia"/>
          <w:b/>
          <w:bCs/>
        </w:rPr>
      </w:pPr>
      <w:r w:rsidRPr="008564FF">
        <w:rPr>
          <w:rFonts w:asciiTheme="minorEastAsia" w:eastAsiaTheme="minorEastAsia" w:hAnsiTheme="minorEastAsia" w:hint="eastAsia"/>
          <w:szCs w:val="21"/>
        </w:rPr>
        <w:br w:type="page"/>
      </w:r>
      <w:bookmarkStart w:id="215" w:name="_Toc91749295"/>
      <w:r w:rsidRPr="008564FF">
        <w:rPr>
          <w:rFonts w:asciiTheme="minorEastAsia" w:eastAsiaTheme="minorEastAsia" w:hAnsiTheme="minorEastAsia" w:hint="eastAsia"/>
          <w:b/>
          <w:bCs/>
        </w:rPr>
        <w:t>二十一、基金合同内容摘要</w:t>
      </w:r>
      <w:bookmarkEnd w:id="214"/>
      <w:bookmarkEnd w:id="215"/>
    </w:p>
    <w:p w:rsidR="003A3487" w:rsidRPr="008564FF" w:rsidP="009C2B2A">
      <w:pPr>
        <w:pStyle w:val="Heading2"/>
        <w:snapToGrid w:val="0"/>
        <w:spacing w:beforeLines="0" w:afterLines="0" w:line="360" w:lineRule="auto"/>
        <w:ind w:firstLine="0" w:firstLineChars="0"/>
        <w:rPr>
          <w:rFonts w:asciiTheme="minorEastAsia" w:eastAsiaTheme="minorEastAsia" w:hAnsiTheme="minorEastAsia"/>
          <w:b w:val="0"/>
        </w:rPr>
      </w:pPr>
      <w:bookmarkStart w:id="216" w:name="_Toc91749296"/>
      <w:r w:rsidRPr="008564FF">
        <w:rPr>
          <w:rFonts w:asciiTheme="minorEastAsia" w:eastAsiaTheme="minorEastAsia" w:hAnsiTheme="minorEastAsia" w:hint="eastAsia"/>
          <w:b w:val="0"/>
          <w:bCs/>
        </w:rPr>
        <w:t>（一）基金管理人的权利与义务</w:t>
      </w:r>
      <w:bookmarkEnd w:id="216"/>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1、根据《基金法》、《运作办法》及其他有关规定，基金管理人的权利包括但不限于：</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（1）</w:t>
      </w:r>
      <w:r w:rsidRPr="008564FF">
        <w:rPr>
          <w:rFonts w:asciiTheme="minorEastAsia" w:eastAsiaTheme="minorEastAsia" w:hAnsiTheme="minorEastAsia" w:hint="eastAsia"/>
          <w:szCs w:val="21"/>
        </w:rPr>
        <w:tab/>
        <w:t>依法募集基金；</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（2）</w:t>
      </w:r>
      <w:r w:rsidRPr="008564FF">
        <w:rPr>
          <w:rFonts w:asciiTheme="minorEastAsia" w:eastAsiaTheme="minorEastAsia" w:hAnsiTheme="minorEastAsia" w:hint="eastAsia"/>
          <w:szCs w:val="21"/>
        </w:rPr>
        <w:tab/>
        <w:t>自《基金合同》生效之日起，根据法律法规和《基金合同》独立运用并管理基金财产；</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（3）</w:t>
      </w:r>
      <w:r w:rsidRPr="008564FF">
        <w:rPr>
          <w:rFonts w:asciiTheme="minorEastAsia" w:eastAsiaTheme="minorEastAsia" w:hAnsiTheme="minorEastAsia" w:hint="eastAsia"/>
          <w:szCs w:val="21"/>
        </w:rPr>
        <w:tab/>
        <w:t>依照《基金合同》收取基金管理费以及法律法规规定或中国证监会批准的其他费用；</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（4）</w:t>
      </w:r>
      <w:r w:rsidRPr="008564FF">
        <w:rPr>
          <w:rFonts w:asciiTheme="minorEastAsia" w:eastAsiaTheme="minorEastAsia" w:hAnsiTheme="minorEastAsia" w:hint="eastAsia"/>
          <w:szCs w:val="21"/>
        </w:rPr>
        <w:tab/>
        <w:t>销售基金份额；</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（5）</w:t>
      </w:r>
      <w:r w:rsidRPr="008564FF">
        <w:rPr>
          <w:rFonts w:asciiTheme="minorEastAsia" w:eastAsiaTheme="minorEastAsia" w:hAnsiTheme="minorEastAsia" w:hint="eastAsia"/>
          <w:szCs w:val="21"/>
        </w:rPr>
        <w:tab/>
        <w:t>召集基金份额持有人大会；</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（6）</w:t>
      </w:r>
      <w:r w:rsidRPr="008564FF">
        <w:rPr>
          <w:rFonts w:asciiTheme="minorEastAsia" w:eastAsiaTheme="minorEastAsia" w:hAnsiTheme="minorEastAsia" w:hint="eastAsia"/>
          <w:szCs w:val="21"/>
        </w:rPr>
        <w:tab/>
        <w:t>依据《基金合同》及有关法律规定监督基金托管人，如认为基金托管人违反了《基金合同》及国家有关法律规定，应呈报中国证监会和其他监管部门，并采取必要措施保护基金投资者的利益；</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（7）</w:t>
      </w:r>
      <w:r w:rsidRPr="008564FF">
        <w:rPr>
          <w:rFonts w:asciiTheme="minorEastAsia" w:eastAsiaTheme="minorEastAsia" w:hAnsiTheme="minorEastAsia" w:hint="eastAsia"/>
          <w:szCs w:val="21"/>
        </w:rPr>
        <w:tab/>
        <w:t>在基金托管人更换时，提名新的基金托管人；</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（8）</w:t>
      </w:r>
      <w:r w:rsidRPr="008564FF">
        <w:rPr>
          <w:rFonts w:asciiTheme="minorEastAsia" w:eastAsiaTheme="minorEastAsia" w:hAnsiTheme="minorEastAsia" w:hint="eastAsia"/>
          <w:szCs w:val="21"/>
        </w:rPr>
        <w:tab/>
        <w:t>选择、委托、更换基金代销机构，对基金代销机构的相关行为进行监督和处理；</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（9）</w:t>
      </w:r>
      <w:r w:rsidRPr="008564FF">
        <w:rPr>
          <w:rFonts w:asciiTheme="minorEastAsia" w:eastAsiaTheme="minorEastAsia" w:hAnsiTheme="minorEastAsia" w:hint="eastAsia"/>
          <w:szCs w:val="21"/>
        </w:rPr>
        <w:tab/>
        <w:t>担任或委托其他符合条件的机构担任基金注册登记机构办理基金注册登记业务并获得《基金合同》规定的费用；</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（10）依据《基金合同》及有关法律规定决定基金收益的分配方案；</w:t>
      </w:r>
      <w:r w:rsidRPr="008564FF">
        <w:rPr>
          <w:rFonts w:asciiTheme="minorEastAsia" w:eastAsiaTheme="minorEastAsia" w:hAnsiTheme="minorEastAsia" w:hint="eastAsia"/>
          <w:szCs w:val="21"/>
        </w:rPr>
        <w:tab/>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（11）</w:t>
      </w:r>
      <w:r w:rsidRPr="008564FF">
        <w:rPr>
          <w:rFonts w:asciiTheme="minorEastAsia" w:eastAsiaTheme="minorEastAsia" w:hAnsiTheme="minorEastAsia" w:hint="eastAsia"/>
          <w:szCs w:val="21"/>
        </w:rPr>
        <w:tab/>
        <w:t>在《基金合同》约定的范围内，拒绝或暂停受理申购与赎回申请；</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（12）在符合有关法律法规和《基金合同》的前提下，制订和调整《业务规则》，决定和调整除调高管理费率和托管费率之外的基金相关费率结构和收费方式；</w:t>
      </w:r>
      <w:r w:rsidRPr="008564FF">
        <w:rPr>
          <w:rFonts w:asciiTheme="minorEastAsia" w:eastAsiaTheme="minorEastAsia" w:hAnsiTheme="minorEastAsia" w:hint="eastAsia"/>
          <w:szCs w:val="21"/>
        </w:rPr>
        <w:tab/>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（13）依照法律法规为基金的利益对被投资公司行使股东权利，为基金的利益行使因基金财产投资于证券所产生的权利；</w:t>
      </w:r>
      <w:r w:rsidRPr="008564FF">
        <w:rPr>
          <w:rFonts w:asciiTheme="minorEastAsia" w:eastAsiaTheme="minorEastAsia" w:hAnsiTheme="minorEastAsia" w:hint="eastAsia"/>
          <w:szCs w:val="21"/>
        </w:rPr>
        <w:tab/>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（14）</w:t>
      </w:r>
      <w:r w:rsidRPr="008564FF">
        <w:rPr>
          <w:rFonts w:asciiTheme="minorEastAsia" w:eastAsiaTheme="minorEastAsia" w:hAnsiTheme="minorEastAsia" w:hint="eastAsia"/>
          <w:szCs w:val="21"/>
        </w:rPr>
        <w:tab/>
        <w:t>在法律法规允许的前提下，为基金的利益依法为基金进行融资；</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（15）以基金管理人的名义，代表基金份额持有人的利益行使诉讼权利或者实施其他法律行为；</w:t>
      </w:r>
      <w:r w:rsidRPr="008564FF">
        <w:rPr>
          <w:rFonts w:asciiTheme="minorEastAsia" w:eastAsiaTheme="minorEastAsia" w:hAnsiTheme="minorEastAsia" w:hint="eastAsia"/>
          <w:szCs w:val="21"/>
        </w:rPr>
        <w:tab/>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（16）选择、更换律师事务所、会计师事务所、证券经纪商或其他为基金提供服务的外部机构；</w:t>
      </w:r>
      <w:r w:rsidRPr="008564FF">
        <w:rPr>
          <w:rFonts w:asciiTheme="minorEastAsia" w:eastAsiaTheme="minorEastAsia" w:hAnsiTheme="minorEastAsia" w:hint="eastAsia"/>
          <w:szCs w:val="21"/>
        </w:rPr>
        <w:tab/>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（17）法律法规和《基金合同》规定的其他权利。</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2、根据《基金法》、《运作办法》及其他有关规定，基金管理人的义务包括但不限于：</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（1）</w:t>
      </w:r>
      <w:r w:rsidRPr="008564FF">
        <w:rPr>
          <w:rFonts w:asciiTheme="minorEastAsia" w:eastAsiaTheme="minorEastAsia" w:hAnsiTheme="minorEastAsia" w:hint="eastAsia"/>
          <w:szCs w:val="21"/>
        </w:rPr>
        <w:tab/>
        <w:t>依法募集基金，办理或者委托经中国证监会认定的其他机构代为办理基金份额的发售、申购、赎回和登记事宜;如认为基金代销机构违反《基金合同》、基金销售与服务代理协议及国家有关法律规定，应呈报中国证监会和其他监管部门，并采取必要措施保护基金</w:t>
      </w:r>
      <w:r w:rsidRPr="008564FF">
        <w:rPr>
          <w:rFonts w:asciiTheme="minorEastAsia" w:eastAsiaTheme="minorEastAsia" w:hAnsiTheme="minorEastAsia" w:hint="eastAsia"/>
          <w:szCs w:val="21"/>
        </w:rPr>
        <w:t>投资者的利益；</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（2）办理基金备案手续；</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（3）</w:t>
      </w:r>
      <w:r w:rsidRPr="008564FF">
        <w:rPr>
          <w:rFonts w:asciiTheme="minorEastAsia" w:eastAsiaTheme="minorEastAsia" w:hAnsiTheme="minorEastAsia" w:hint="eastAsia"/>
          <w:szCs w:val="21"/>
        </w:rPr>
        <w:tab/>
        <w:t>自《基金合同》生效之日起,以诚实信用、谨慎勤勉的原则管理和运用基金财产；</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（4）</w:t>
      </w:r>
      <w:r w:rsidRPr="008564FF">
        <w:rPr>
          <w:rFonts w:asciiTheme="minorEastAsia" w:eastAsiaTheme="minorEastAsia" w:hAnsiTheme="minorEastAsia" w:hint="eastAsia"/>
          <w:szCs w:val="21"/>
        </w:rPr>
        <w:tab/>
        <w:t>配备足够的具有专业资格的人员进行基金投资分析、决策，以专业化的经营方式管理和运作基金财产；</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（5）</w:t>
      </w:r>
      <w:r w:rsidRPr="008564FF">
        <w:rPr>
          <w:rFonts w:asciiTheme="minorEastAsia" w:eastAsiaTheme="minorEastAsia" w:hAnsiTheme="minorEastAsia" w:hint="eastAsia"/>
          <w:szCs w:val="21"/>
        </w:rPr>
        <w:tab/>
        <w:t>建立健全内部风险控制、监察与稽核、财务管理及人事管理等制度，保证所管理的基金财产和基金管理人的财产相互独立,对所管理的不同基金分别管理，分别记账，进行证券投资；</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（6）</w:t>
      </w:r>
      <w:r w:rsidRPr="008564FF">
        <w:rPr>
          <w:rFonts w:asciiTheme="minorEastAsia" w:eastAsiaTheme="minorEastAsia" w:hAnsiTheme="minorEastAsia" w:hint="eastAsia"/>
          <w:szCs w:val="21"/>
        </w:rPr>
        <w:tab/>
        <w:t>除依据《基金法》、《基金合同》及其他有关规定外,不得利用基金财产为自己及任何第三人谋取利益，不得委托第三人运作基金财产；</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（7）</w:t>
      </w:r>
      <w:r w:rsidRPr="008564FF">
        <w:rPr>
          <w:rFonts w:asciiTheme="minorEastAsia" w:eastAsiaTheme="minorEastAsia" w:hAnsiTheme="minorEastAsia" w:hint="eastAsia"/>
          <w:szCs w:val="21"/>
        </w:rPr>
        <w:tab/>
        <w:t>依法接受基金托管人的监督；</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（8）</w:t>
      </w:r>
      <w:r w:rsidRPr="008564FF">
        <w:rPr>
          <w:rFonts w:asciiTheme="minorEastAsia" w:eastAsiaTheme="minorEastAsia" w:hAnsiTheme="minorEastAsia" w:hint="eastAsia"/>
          <w:szCs w:val="21"/>
        </w:rPr>
        <w:tab/>
        <w:t>采取适当合理的措施使计算基金份额认购、申购、赎回和注销价格的方法符合《基金合同》等法律文件的规定，按有关规定计算并公告基金</w:t>
      </w:r>
      <w:r w:rsidRPr="008564FF" w:rsidR="002A55C6">
        <w:rPr>
          <w:rFonts w:asciiTheme="minorEastAsia" w:eastAsiaTheme="minorEastAsia" w:hAnsiTheme="minorEastAsia" w:hint="eastAsia"/>
          <w:szCs w:val="21"/>
        </w:rPr>
        <w:t>净值信息</w:t>
      </w:r>
      <w:r w:rsidRPr="008564FF">
        <w:rPr>
          <w:rFonts w:asciiTheme="minorEastAsia" w:eastAsiaTheme="minorEastAsia" w:hAnsiTheme="minorEastAsia" w:hint="eastAsia"/>
          <w:szCs w:val="21"/>
        </w:rPr>
        <w:t>，确定基金份额申购、赎回的价格；</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（9）</w:t>
      </w:r>
      <w:r w:rsidRPr="008564FF">
        <w:rPr>
          <w:rFonts w:asciiTheme="minorEastAsia" w:eastAsiaTheme="minorEastAsia" w:hAnsiTheme="minorEastAsia" w:hint="eastAsia"/>
          <w:szCs w:val="21"/>
        </w:rPr>
        <w:tab/>
        <w:t>进行基金会计核算并编制基金财务会计报告；</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（10）</w:t>
      </w:r>
      <w:r w:rsidRPr="008564FF">
        <w:rPr>
          <w:rFonts w:asciiTheme="minorEastAsia" w:eastAsiaTheme="minorEastAsia" w:hAnsiTheme="minorEastAsia" w:hint="eastAsia"/>
          <w:szCs w:val="21"/>
        </w:rPr>
        <w:tab/>
        <w:t>编制</w:t>
      </w:r>
      <w:r w:rsidRPr="008564FF" w:rsidR="002A55C6">
        <w:rPr>
          <w:rFonts w:asciiTheme="minorEastAsia" w:eastAsiaTheme="minorEastAsia" w:hAnsiTheme="minorEastAsia" w:hint="eastAsia"/>
          <w:szCs w:val="21"/>
        </w:rPr>
        <w:t>季度报告、中期报告和年度报告</w:t>
      </w:r>
      <w:r w:rsidRPr="008564FF">
        <w:rPr>
          <w:rFonts w:asciiTheme="minorEastAsia" w:eastAsiaTheme="minorEastAsia" w:hAnsiTheme="minorEastAsia" w:hint="eastAsia"/>
          <w:szCs w:val="21"/>
        </w:rPr>
        <w:t>；</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（11）</w:t>
      </w:r>
      <w:r w:rsidRPr="008564FF">
        <w:rPr>
          <w:rFonts w:asciiTheme="minorEastAsia" w:eastAsiaTheme="minorEastAsia" w:hAnsiTheme="minorEastAsia" w:hint="eastAsia"/>
          <w:szCs w:val="21"/>
        </w:rPr>
        <w:tab/>
        <w:t>严格按照《基金法》、《基金合同》及其他有关规定，履行信息披露及报告义务；</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（12）</w:t>
      </w:r>
      <w:r w:rsidRPr="008564FF">
        <w:rPr>
          <w:rFonts w:asciiTheme="minorEastAsia" w:eastAsiaTheme="minorEastAsia" w:hAnsiTheme="minorEastAsia" w:hint="eastAsia"/>
          <w:szCs w:val="21"/>
        </w:rPr>
        <w:tab/>
        <w:t>保守基金商业秘密，不泄露基金投资计划、投资意向等。除《基金法》、《基金合同》及其他有关规定另有规定外，在基金信息公开披露前应予保密，不向他人泄露；</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（13）</w:t>
      </w:r>
      <w:r w:rsidRPr="008564FF">
        <w:rPr>
          <w:rFonts w:asciiTheme="minorEastAsia" w:eastAsiaTheme="minorEastAsia" w:hAnsiTheme="minorEastAsia" w:hint="eastAsia"/>
          <w:szCs w:val="21"/>
        </w:rPr>
        <w:tab/>
        <w:t>按《基金合同》的约定确定基金收益分配方案，及时向基金份额持有人分配基金收益；</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（14）</w:t>
      </w:r>
      <w:r w:rsidRPr="008564FF">
        <w:rPr>
          <w:rFonts w:asciiTheme="minorEastAsia" w:eastAsiaTheme="minorEastAsia" w:hAnsiTheme="minorEastAsia" w:hint="eastAsia"/>
          <w:szCs w:val="21"/>
        </w:rPr>
        <w:tab/>
        <w:t>按规定受理申购与赎回申请，及时、足额支付赎回款项；</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（15）</w:t>
      </w:r>
      <w:r w:rsidRPr="008564FF">
        <w:rPr>
          <w:rFonts w:asciiTheme="minorEastAsia" w:eastAsiaTheme="minorEastAsia" w:hAnsiTheme="minorEastAsia" w:hint="eastAsia"/>
          <w:szCs w:val="21"/>
        </w:rPr>
        <w:tab/>
        <w:t>依据《基金法》、《基金合同》及其他有关规定召集基金份额持有人大会或配合基金托管人、基金份额持有人依法召集基金份额持有人大会；</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（16）</w:t>
      </w:r>
      <w:r w:rsidRPr="008564FF">
        <w:rPr>
          <w:rFonts w:asciiTheme="minorEastAsia" w:eastAsiaTheme="minorEastAsia" w:hAnsiTheme="minorEastAsia" w:hint="eastAsia"/>
          <w:szCs w:val="21"/>
        </w:rPr>
        <w:tab/>
      </w:r>
      <w:r w:rsidRPr="008564FF">
        <w:rPr>
          <w:rFonts w:asciiTheme="minorEastAsia" w:eastAsiaTheme="minorEastAsia" w:hAnsiTheme="minorEastAsia" w:hint="eastAsia"/>
          <w:bCs/>
          <w:szCs w:val="21"/>
        </w:rPr>
        <w:t>按规定保存基金财产管理业务活动的会计账册、报表、记录和其他相关资料15年以上</w:t>
      </w:r>
      <w:r w:rsidRPr="008564FF">
        <w:rPr>
          <w:rFonts w:asciiTheme="minorEastAsia" w:eastAsiaTheme="minorEastAsia" w:hAnsiTheme="minorEastAsia" w:hint="eastAsia"/>
          <w:szCs w:val="21"/>
        </w:rPr>
        <w:t>；</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（17）</w:t>
      </w:r>
      <w:r w:rsidRPr="008564FF">
        <w:rPr>
          <w:rFonts w:asciiTheme="minorEastAsia" w:eastAsiaTheme="minorEastAsia" w:hAnsiTheme="minorEastAsia" w:hint="eastAsia"/>
          <w:szCs w:val="21"/>
        </w:rPr>
        <w:tab/>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（18）</w:t>
      </w:r>
      <w:r w:rsidRPr="008564FF">
        <w:rPr>
          <w:rFonts w:asciiTheme="minorEastAsia" w:eastAsiaTheme="minorEastAsia" w:hAnsiTheme="minorEastAsia" w:hint="eastAsia"/>
          <w:szCs w:val="21"/>
        </w:rPr>
        <w:tab/>
        <w:t>组织并参加基金财产清算小组,参与基金财产的保管、清理、估价、变现和分配；</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（19）</w:t>
      </w:r>
      <w:r w:rsidRPr="008564FF">
        <w:rPr>
          <w:rFonts w:asciiTheme="minorEastAsia" w:eastAsiaTheme="minorEastAsia" w:hAnsiTheme="minorEastAsia" w:hint="eastAsia"/>
          <w:szCs w:val="21"/>
        </w:rPr>
        <w:tab/>
        <w:t>面临解散、依法被撤销或者被依法宣告破产时，及时报告中国证监会并通知基</w:t>
      </w:r>
      <w:r w:rsidRPr="008564FF">
        <w:rPr>
          <w:rFonts w:asciiTheme="minorEastAsia" w:eastAsiaTheme="minorEastAsia" w:hAnsiTheme="minorEastAsia" w:hint="eastAsia"/>
          <w:szCs w:val="21"/>
        </w:rPr>
        <w:t>金托管人；</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（20）</w:t>
      </w:r>
      <w:r w:rsidRPr="008564FF">
        <w:rPr>
          <w:rFonts w:asciiTheme="minorEastAsia" w:eastAsiaTheme="minorEastAsia" w:hAnsiTheme="minorEastAsia" w:hint="eastAsia"/>
          <w:szCs w:val="21"/>
        </w:rPr>
        <w:tab/>
        <w:t>因违反《基金合同》导致基金财产的损失或损害基金份额持有人合法权益时，应当承担赔偿责任，其赔偿责任不因其退任而免除；</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（21）监督基金托管人按法律法规和《基金合同》规定履行自己的义务，基金托管人违反《基金合同》造成基金财产损失时，基金管理人应为基金份额持有人利益向基金托管人追偿；</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（22）</w:t>
      </w:r>
      <w:r w:rsidRPr="008564FF">
        <w:rPr>
          <w:rFonts w:asciiTheme="minorEastAsia" w:eastAsiaTheme="minorEastAsia" w:hAnsiTheme="minorEastAsia" w:hint="eastAsia"/>
          <w:szCs w:val="21"/>
        </w:rPr>
        <w:tab/>
        <w:t>当基金管理人将其义务委托第三方处理时，应当对第三方处理有关基金事务的行为承担责任；但因第三方责任导致基金财产或基金份额持有人利益受到损失，而基金管理人首先承担了责任的情况下，基金管理人有权向第三方追偿；</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（23）以基金管理人名义，代表基金份额持有人利益行使诉讼权利或实施其他法律行为；</w:t>
      </w:r>
      <w:r w:rsidRPr="008564FF">
        <w:rPr>
          <w:rFonts w:asciiTheme="minorEastAsia" w:eastAsiaTheme="minorEastAsia" w:hAnsiTheme="minorEastAsia" w:hint="eastAsia"/>
          <w:szCs w:val="21"/>
        </w:rPr>
        <w:tab/>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（24）基金管理人在募集期间未能达到基金的备案条件，《基金合同》不能生效，基金管理人承担全部募集费用，将已募集资金并加计银行同期存款利息在基金募集期结束后30日内退还基金认购人；</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（25）执行生效的基金份额持有人大会的决定；</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（26）建立并保存基金份额持有人名册，根据托管协议的约定向基金托管人提供基金份额持有人名册；</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（27）法律法规及中国证监会规定的和《基金合同》约定的其他义务。</w:t>
      </w:r>
    </w:p>
    <w:p w:rsidR="003A3487" w:rsidRPr="008564FF" w:rsidP="009C2B2A">
      <w:pPr>
        <w:pStyle w:val="Heading2"/>
        <w:adjustRightInd w:val="0"/>
        <w:snapToGrid w:val="0"/>
        <w:spacing w:beforeLines="0" w:afterLines="0" w:line="360" w:lineRule="auto"/>
        <w:ind w:firstLine="0" w:firstLineChars="0"/>
        <w:rPr>
          <w:rFonts w:asciiTheme="minorEastAsia" w:eastAsiaTheme="minorEastAsia" w:hAnsiTheme="minorEastAsia"/>
          <w:b w:val="0"/>
          <w:bCs/>
          <w:szCs w:val="21"/>
        </w:rPr>
      </w:pPr>
      <w:bookmarkStart w:id="217" w:name="_Toc91749297"/>
      <w:r w:rsidRPr="008564FF">
        <w:rPr>
          <w:rFonts w:asciiTheme="minorEastAsia" w:eastAsiaTheme="minorEastAsia" w:hAnsiTheme="minorEastAsia" w:hint="eastAsia"/>
          <w:b w:val="0"/>
          <w:bCs/>
        </w:rPr>
        <w:t>（二）基金托管人的权利与义务</w:t>
      </w:r>
      <w:bookmarkEnd w:id="217"/>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1、根据《基金法》、《运作办法》及其他有关规定，基金托管人的权利包括但不限于：</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（1）</w:t>
      </w:r>
      <w:r w:rsidRPr="008564FF">
        <w:rPr>
          <w:rFonts w:asciiTheme="minorEastAsia" w:eastAsiaTheme="minorEastAsia" w:hAnsiTheme="minorEastAsia" w:hint="eastAsia"/>
          <w:szCs w:val="21"/>
        </w:rPr>
        <w:tab/>
        <w:t>自《基金合同》生效之日起，依法律法规和《基金合同》的规定安全保管基金财产；</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（2）</w:t>
      </w:r>
      <w:r w:rsidRPr="008564FF">
        <w:rPr>
          <w:rFonts w:asciiTheme="minorEastAsia" w:eastAsiaTheme="minorEastAsia" w:hAnsiTheme="minorEastAsia" w:hint="eastAsia"/>
          <w:szCs w:val="21"/>
        </w:rPr>
        <w:tab/>
        <w:t>依《基金合同》约定获得基金托管费以及法律法规规定或监管部门批准的其他收入；</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（3）</w:t>
      </w:r>
      <w:r w:rsidRPr="008564FF">
        <w:rPr>
          <w:rFonts w:asciiTheme="minorEastAsia" w:eastAsiaTheme="minorEastAsia" w:hAnsiTheme="minorEastAsia" w:hint="eastAsia"/>
          <w:szCs w:val="21"/>
        </w:rPr>
        <w:tab/>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（4）</w:t>
      </w:r>
      <w:r w:rsidRPr="008564FF">
        <w:rPr>
          <w:rFonts w:asciiTheme="minorEastAsia" w:eastAsiaTheme="minorEastAsia" w:hAnsiTheme="minorEastAsia" w:hint="eastAsia"/>
          <w:szCs w:val="21"/>
        </w:rPr>
        <w:tab/>
        <w:t>以基金托管人和基金联名的方式在中国证券登记结算有限公司上海分公司和深圳分公司开设证券账户；</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（5）</w:t>
      </w:r>
      <w:r w:rsidRPr="008564FF">
        <w:rPr>
          <w:rFonts w:asciiTheme="minorEastAsia" w:eastAsiaTheme="minorEastAsia" w:hAnsiTheme="minorEastAsia" w:hint="eastAsia"/>
          <w:szCs w:val="21"/>
        </w:rPr>
        <w:tab/>
        <w:t>以基金托管人名义开立证券交易资金账户，用于证券交易资金清算；</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（6）</w:t>
      </w:r>
      <w:r w:rsidRPr="008564FF">
        <w:rPr>
          <w:rFonts w:asciiTheme="minorEastAsia" w:eastAsiaTheme="minorEastAsia" w:hAnsiTheme="minorEastAsia" w:hint="eastAsia"/>
          <w:szCs w:val="21"/>
        </w:rPr>
        <w:tab/>
        <w:t>以基金的名义在中央国债登记结算有限公司开设银行间债券托管账户，负责基金投资债券的后台匹配及资金的清算；</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（7）</w:t>
      </w:r>
      <w:r w:rsidRPr="008564FF">
        <w:rPr>
          <w:rFonts w:asciiTheme="minorEastAsia" w:eastAsiaTheme="minorEastAsia" w:hAnsiTheme="minorEastAsia" w:hint="eastAsia"/>
          <w:szCs w:val="21"/>
        </w:rPr>
        <w:tab/>
        <w:t>提议召开或召集基金份额持有人大会；</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（8）</w:t>
      </w:r>
      <w:r w:rsidRPr="008564FF">
        <w:rPr>
          <w:rFonts w:asciiTheme="minorEastAsia" w:eastAsiaTheme="minorEastAsia" w:hAnsiTheme="minorEastAsia" w:hint="eastAsia"/>
          <w:szCs w:val="21"/>
        </w:rPr>
        <w:tab/>
        <w:t>在基金管理人更换时，提名新的基金管理人；</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（9）</w:t>
      </w:r>
      <w:r w:rsidRPr="008564FF">
        <w:rPr>
          <w:rFonts w:asciiTheme="minorEastAsia" w:eastAsiaTheme="minorEastAsia" w:hAnsiTheme="minorEastAsia" w:hint="eastAsia"/>
          <w:szCs w:val="21"/>
        </w:rPr>
        <w:tab/>
        <w:t>法律法规和《基金合同》规定的其他权利。</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2、根据《基金法》、《运作办法》及其他有关规定，基金托管人的义务包括但不限于：</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（1）</w:t>
      </w:r>
      <w:r w:rsidRPr="008564FF">
        <w:rPr>
          <w:rFonts w:asciiTheme="minorEastAsia" w:eastAsiaTheme="minorEastAsia" w:hAnsiTheme="minorEastAsia" w:hint="eastAsia"/>
          <w:szCs w:val="21"/>
        </w:rPr>
        <w:tab/>
        <w:t>以诚实信用、勤勉尽责的原则持有并安全保管基金财产；</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（2）</w:t>
      </w:r>
      <w:r w:rsidRPr="008564FF">
        <w:rPr>
          <w:rFonts w:asciiTheme="minorEastAsia" w:eastAsiaTheme="minorEastAsia" w:hAnsiTheme="minorEastAsia" w:hint="eastAsia"/>
          <w:szCs w:val="21"/>
        </w:rPr>
        <w:tab/>
        <w:t>设立专门的基金托管部门，具有符合要求的营业场所，配备足够的、合格的熟悉基金托管业务的专职人员，负责基金财产托管事宜；</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（3）</w:t>
      </w:r>
      <w:r w:rsidRPr="008564FF">
        <w:rPr>
          <w:rFonts w:asciiTheme="minorEastAsia" w:eastAsiaTheme="minorEastAsia" w:hAnsiTheme="minorEastAsia" w:hint="eastAsia"/>
          <w:szCs w:val="21"/>
        </w:rPr>
        <w:tab/>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名册登记、账户设置、资金划拨、账册记录等方面相互独立；</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（4）</w:t>
      </w:r>
      <w:r w:rsidRPr="008564FF">
        <w:rPr>
          <w:rFonts w:asciiTheme="minorEastAsia" w:eastAsiaTheme="minorEastAsia" w:hAnsiTheme="minorEastAsia" w:hint="eastAsia"/>
          <w:szCs w:val="21"/>
        </w:rPr>
        <w:tab/>
        <w:t>除依据《基金法》、《基金合同》及其他有关规定外，不得利用基金财产为自己及任何第三人谋取利益，不得委托第三人托管基金财产；</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（5）</w:t>
      </w:r>
      <w:r w:rsidRPr="008564FF">
        <w:rPr>
          <w:rFonts w:asciiTheme="minorEastAsia" w:eastAsiaTheme="minorEastAsia" w:hAnsiTheme="minorEastAsia" w:hint="eastAsia"/>
          <w:szCs w:val="21"/>
        </w:rPr>
        <w:tab/>
        <w:t>保管由基金管理人代表基金签订的与基金有关的重大合同及有关凭证；</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（6）</w:t>
      </w:r>
      <w:r w:rsidRPr="008564FF">
        <w:rPr>
          <w:rFonts w:asciiTheme="minorEastAsia" w:eastAsiaTheme="minorEastAsia" w:hAnsiTheme="minorEastAsia" w:hint="eastAsia"/>
          <w:szCs w:val="21"/>
        </w:rPr>
        <w:tab/>
        <w:t>按规定开设基金财产的资金账户和证券账户,按照《基金合同》的约定，根据基金管理人的投资指令，及时办理清算、交割事宜；</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（7）</w:t>
      </w:r>
      <w:r w:rsidRPr="008564FF">
        <w:rPr>
          <w:rFonts w:asciiTheme="minorEastAsia" w:eastAsiaTheme="minorEastAsia" w:hAnsiTheme="minorEastAsia" w:hint="eastAsia"/>
          <w:szCs w:val="21"/>
        </w:rPr>
        <w:tab/>
        <w:t>保守基金商业秘密，除《基金法》、《基金合同》及其他有关规定另有规定外，在基金信息公开披露前予以保密，不得向他人泄露；</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（8）</w:t>
      </w:r>
      <w:r w:rsidRPr="008564FF">
        <w:rPr>
          <w:rFonts w:asciiTheme="minorEastAsia" w:eastAsiaTheme="minorEastAsia" w:hAnsiTheme="minorEastAsia" w:hint="eastAsia"/>
          <w:szCs w:val="21"/>
        </w:rPr>
        <w:tab/>
        <w:t>复核、审查基金管理人计算的基金资产净值、</w:t>
      </w:r>
      <w:r w:rsidRPr="008564FF" w:rsidR="002A55C6">
        <w:rPr>
          <w:rFonts w:asciiTheme="minorEastAsia" w:eastAsiaTheme="minorEastAsia" w:hAnsiTheme="minorEastAsia" w:hint="eastAsia"/>
          <w:szCs w:val="21"/>
        </w:rPr>
        <w:t>基金份额净值、</w:t>
      </w:r>
      <w:r w:rsidRPr="008564FF">
        <w:rPr>
          <w:rFonts w:asciiTheme="minorEastAsia" w:eastAsiaTheme="minorEastAsia" w:hAnsiTheme="minorEastAsia" w:hint="eastAsia"/>
          <w:szCs w:val="21"/>
        </w:rPr>
        <w:t>基金份额申购、赎回价格；</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（9）</w:t>
      </w:r>
      <w:r w:rsidRPr="008564FF">
        <w:rPr>
          <w:rFonts w:asciiTheme="minorEastAsia" w:eastAsiaTheme="minorEastAsia" w:hAnsiTheme="minorEastAsia" w:hint="eastAsia"/>
          <w:szCs w:val="21"/>
        </w:rPr>
        <w:tab/>
        <w:t>办理与基金托管业务活动有关的信息披露事项；</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（10）</w:t>
      </w:r>
      <w:r w:rsidRPr="008564FF">
        <w:rPr>
          <w:rFonts w:asciiTheme="minorEastAsia" w:eastAsiaTheme="minorEastAsia" w:hAnsiTheme="minorEastAsia" w:hint="eastAsia"/>
          <w:szCs w:val="21"/>
        </w:rPr>
        <w:tab/>
        <w:t>对基金财务会计报告、</w:t>
      </w:r>
      <w:r w:rsidRPr="008564FF" w:rsidR="002A55C6">
        <w:rPr>
          <w:rFonts w:asciiTheme="minorEastAsia" w:eastAsiaTheme="minorEastAsia" w:hAnsiTheme="minorEastAsia" w:hint="eastAsia"/>
          <w:szCs w:val="21"/>
        </w:rPr>
        <w:t>季度报告、中期报告和年度报告</w:t>
      </w:r>
      <w:r w:rsidRPr="008564FF">
        <w:rPr>
          <w:rFonts w:asciiTheme="minorEastAsia" w:eastAsiaTheme="minorEastAsia" w:hAnsiTheme="minorEastAsia" w:hint="eastAsia"/>
          <w:szCs w:val="21"/>
        </w:rPr>
        <w:t>出具意见，说明基金管理人在各重要方面的运作是否严格按照《基金合同》的规定进行；如果基金管理人有未执行《基金合同》规定的行为，还应当说明基金托管人是否采取了适当的措施；</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（11）</w:t>
      </w:r>
      <w:r w:rsidRPr="008564FF">
        <w:rPr>
          <w:rFonts w:asciiTheme="minorEastAsia" w:eastAsiaTheme="minorEastAsia" w:hAnsiTheme="minorEastAsia" w:hint="eastAsia"/>
          <w:szCs w:val="21"/>
        </w:rPr>
        <w:tab/>
        <w:t>保存基金托管业务活动的记录、账册、报表和其他相关资料15年以上；</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（12）</w:t>
      </w:r>
      <w:r w:rsidRPr="008564FF">
        <w:rPr>
          <w:rFonts w:asciiTheme="minorEastAsia" w:eastAsiaTheme="minorEastAsia" w:hAnsiTheme="minorEastAsia" w:hint="eastAsia"/>
          <w:szCs w:val="21"/>
        </w:rPr>
        <w:tab/>
        <w:t>建立并保存基金份额持有人名册；</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（13）</w:t>
      </w:r>
      <w:r w:rsidRPr="008564FF">
        <w:rPr>
          <w:rFonts w:asciiTheme="minorEastAsia" w:eastAsiaTheme="minorEastAsia" w:hAnsiTheme="minorEastAsia" w:hint="eastAsia"/>
          <w:szCs w:val="21"/>
        </w:rPr>
        <w:tab/>
        <w:t>按规定制作相关账册并与基金管理人核对；</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（14）</w:t>
      </w:r>
      <w:r w:rsidRPr="008564FF">
        <w:rPr>
          <w:rFonts w:asciiTheme="minorEastAsia" w:eastAsiaTheme="minorEastAsia" w:hAnsiTheme="minorEastAsia" w:hint="eastAsia"/>
          <w:szCs w:val="21"/>
        </w:rPr>
        <w:tab/>
        <w:t>依据基金管理人的指令或有关规定向基金份额持有人支付基金收益和赎回款项；</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（15）</w:t>
      </w:r>
      <w:r w:rsidRPr="008564FF">
        <w:rPr>
          <w:rFonts w:asciiTheme="minorEastAsia" w:eastAsiaTheme="minorEastAsia" w:hAnsiTheme="minorEastAsia" w:hint="eastAsia"/>
          <w:szCs w:val="21"/>
        </w:rPr>
        <w:tab/>
        <w:t>按照规定召集基金份额持有人大会或配合基金份额持有人依法自行召集基金份额持有人大会；</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（16）</w:t>
      </w:r>
      <w:r w:rsidRPr="008564FF">
        <w:rPr>
          <w:rFonts w:asciiTheme="minorEastAsia" w:eastAsiaTheme="minorEastAsia" w:hAnsiTheme="minorEastAsia" w:hint="eastAsia"/>
          <w:szCs w:val="21"/>
        </w:rPr>
        <w:tab/>
        <w:t>按照法律法规和《基金合同》的规定监督基金管理人的投资运作；</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（17）</w:t>
      </w:r>
      <w:r w:rsidRPr="008564FF">
        <w:rPr>
          <w:rFonts w:asciiTheme="minorEastAsia" w:eastAsiaTheme="minorEastAsia" w:hAnsiTheme="minorEastAsia" w:hint="eastAsia"/>
          <w:szCs w:val="21"/>
        </w:rPr>
        <w:tab/>
        <w:t>参加基金财产清算小组，参与基金财产的保管、清理、估价、变现和分配；</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（18）</w:t>
      </w:r>
      <w:r w:rsidRPr="008564FF">
        <w:rPr>
          <w:rFonts w:asciiTheme="minorEastAsia" w:eastAsiaTheme="minorEastAsia" w:hAnsiTheme="minorEastAsia" w:hint="eastAsia"/>
          <w:szCs w:val="21"/>
        </w:rPr>
        <w:tab/>
        <w:t>面临解散、依法被撤销或者被依法宣告破产时，及时报告中国证监会和银行监</w:t>
      </w:r>
      <w:r w:rsidRPr="008564FF">
        <w:rPr>
          <w:rFonts w:asciiTheme="minorEastAsia" w:eastAsiaTheme="minorEastAsia" w:hAnsiTheme="minorEastAsia" w:hint="eastAsia"/>
          <w:szCs w:val="21"/>
        </w:rPr>
        <w:t>管机构，并通知基金管理人；</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（19）</w:t>
      </w:r>
      <w:r w:rsidRPr="008564FF">
        <w:rPr>
          <w:rFonts w:asciiTheme="minorEastAsia" w:eastAsiaTheme="minorEastAsia" w:hAnsiTheme="minorEastAsia" w:hint="eastAsia"/>
          <w:szCs w:val="21"/>
        </w:rPr>
        <w:tab/>
        <w:t>因违反《基金合同》导致基金财产损失时，应承担赔偿责任，其赔偿责任不因其退任而免除；</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（20）</w:t>
      </w:r>
      <w:r w:rsidRPr="008564FF">
        <w:rPr>
          <w:rFonts w:asciiTheme="minorEastAsia" w:eastAsiaTheme="minorEastAsia" w:hAnsiTheme="minorEastAsia" w:hint="eastAsia"/>
          <w:szCs w:val="21"/>
        </w:rPr>
        <w:tab/>
        <w:t>按规定监督基金管理人按法律法规和《基金合同》规定履行自己的义务，基金管理人因违反《基金合同》造成基金财产损失时，应为基金利益向基金管理人追偿；</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（21）</w:t>
      </w:r>
      <w:r w:rsidRPr="008564FF">
        <w:rPr>
          <w:rFonts w:asciiTheme="minorEastAsia" w:eastAsiaTheme="minorEastAsia" w:hAnsiTheme="minorEastAsia" w:hint="eastAsia"/>
          <w:szCs w:val="21"/>
        </w:rPr>
        <w:tab/>
        <w:t>执行生效的基金份额持有人大会的决定；</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（22）</w:t>
      </w:r>
      <w:r w:rsidRPr="008564FF">
        <w:rPr>
          <w:rFonts w:asciiTheme="minorEastAsia" w:eastAsiaTheme="minorEastAsia" w:hAnsiTheme="minorEastAsia" w:hint="eastAsia"/>
          <w:szCs w:val="21"/>
        </w:rPr>
        <w:tab/>
        <w:t>法律法规及中国证监会规定的和《基金合同》约定的其他义务。</w:t>
      </w:r>
    </w:p>
    <w:p w:rsidR="003A3487" w:rsidRPr="008564FF" w:rsidP="009C2B2A">
      <w:pPr>
        <w:pStyle w:val="Heading2"/>
        <w:adjustRightInd w:val="0"/>
        <w:snapToGrid w:val="0"/>
        <w:spacing w:beforeLines="0" w:afterLines="0" w:line="360" w:lineRule="auto"/>
        <w:ind w:firstLine="0" w:firstLineChars="0"/>
        <w:rPr>
          <w:rFonts w:asciiTheme="minorEastAsia" w:eastAsiaTheme="minorEastAsia" w:hAnsiTheme="minorEastAsia"/>
          <w:szCs w:val="21"/>
        </w:rPr>
      </w:pPr>
      <w:bookmarkStart w:id="218" w:name="_Toc91749298"/>
      <w:r w:rsidRPr="008564FF">
        <w:rPr>
          <w:rFonts w:asciiTheme="minorEastAsia" w:eastAsiaTheme="minorEastAsia" w:hAnsiTheme="minorEastAsia" w:hint="eastAsia"/>
          <w:b w:val="0"/>
          <w:bCs/>
        </w:rPr>
        <w:t>（三）基金份额持有人的权利与义务</w:t>
      </w:r>
      <w:bookmarkEnd w:id="218"/>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基金投资者购买本基金基金份额的行为即视为对《基金合同》的承认和接受，基金投资者自取得依据《基金合同》募集的基金份额，即成为本基金份额持有人和《基金合同》的当事人，直至其不再持有本基金的基金份额。基金份额持有人作为《基金合同》当事人并不以在《基金合同》上书面签章或签字为必要条件。</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每份基金份额具有同等的合法权益。</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1、根据《基金法》、《运作办法》及其他有关规定，基金份额持有人的权利包括但不限于：</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（1）</w:t>
      </w:r>
      <w:r w:rsidRPr="008564FF">
        <w:rPr>
          <w:rFonts w:asciiTheme="minorEastAsia" w:eastAsiaTheme="minorEastAsia" w:hAnsiTheme="minorEastAsia" w:hint="eastAsia"/>
          <w:szCs w:val="21"/>
        </w:rPr>
        <w:tab/>
        <w:t>分享基金财产收益；</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（2）</w:t>
      </w:r>
      <w:r w:rsidRPr="008564FF">
        <w:rPr>
          <w:rFonts w:asciiTheme="minorEastAsia" w:eastAsiaTheme="minorEastAsia" w:hAnsiTheme="minorEastAsia" w:hint="eastAsia"/>
          <w:szCs w:val="21"/>
        </w:rPr>
        <w:tab/>
        <w:t>参与分配清算后的剩余基金财产；</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（3）</w:t>
      </w:r>
      <w:r w:rsidRPr="008564FF">
        <w:rPr>
          <w:rFonts w:asciiTheme="minorEastAsia" w:eastAsiaTheme="minorEastAsia" w:hAnsiTheme="minorEastAsia" w:hint="eastAsia"/>
          <w:szCs w:val="21"/>
        </w:rPr>
        <w:tab/>
        <w:t>依法申请赎回其持有的基金份额；</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（4）</w:t>
      </w:r>
      <w:r w:rsidRPr="008564FF">
        <w:rPr>
          <w:rFonts w:asciiTheme="minorEastAsia" w:eastAsiaTheme="minorEastAsia" w:hAnsiTheme="minorEastAsia" w:hint="eastAsia"/>
          <w:szCs w:val="21"/>
        </w:rPr>
        <w:tab/>
        <w:t>按照规定要求召开基金份额持有人大会；</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（5）</w:t>
      </w:r>
      <w:r w:rsidRPr="008564FF">
        <w:rPr>
          <w:rFonts w:asciiTheme="minorEastAsia" w:eastAsiaTheme="minorEastAsia" w:hAnsiTheme="minorEastAsia" w:hint="eastAsia"/>
          <w:szCs w:val="21"/>
        </w:rPr>
        <w:tab/>
        <w:t>出席或者委派代表出席基金份额持有人大会，对基金份额持有人大会审议事项行使表决权；</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（6）</w:t>
      </w:r>
      <w:r w:rsidRPr="008564FF">
        <w:rPr>
          <w:rFonts w:asciiTheme="minorEastAsia" w:eastAsiaTheme="minorEastAsia" w:hAnsiTheme="minorEastAsia" w:hint="eastAsia"/>
          <w:szCs w:val="21"/>
        </w:rPr>
        <w:tab/>
        <w:t>查阅或者复制公开披露的基金信息资料；</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（7）</w:t>
      </w:r>
      <w:r w:rsidRPr="008564FF">
        <w:rPr>
          <w:rFonts w:asciiTheme="minorEastAsia" w:eastAsiaTheme="minorEastAsia" w:hAnsiTheme="minorEastAsia" w:hint="eastAsia"/>
          <w:szCs w:val="21"/>
        </w:rPr>
        <w:tab/>
        <w:t>监督基金管理人的投资运作；</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（8）</w:t>
      </w:r>
      <w:r w:rsidRPr="008564FF">
        <w:rPr>
          <w:rFonts w:asciiTheme="minorEastAsia" w:eastAsiaTheme="minorEastAsia" w:hAnsiTheme="minorEastAsia" w:hint="eastAsia"/>
          <w:szCs w:val="21"/>
        </w:rPr>
        <w:tab/>
        <w:t>对基金管理人、基金托管人、基金销售机构损害其合法权益的行为依法提起诉讼；</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（9）</w:t>
      </w:r>
      <w:r w:rsidRPr="008564FF">
        <w:rPr>
          <w:rFonts w:asciiTheme="minorEastAsia" w:eastAsiaTheme="minorEastAsia" w:hAnsiTheme="minorEastAsia" w:hint="eastAsia"/>
          <w:szCs w:val="21"/>
        </w:rPr>
        <w:tab/>
        <w:t>法律法规和《基金合同》规定的其他权利。</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2、根据《基金法》、《运作办法》及其他有关规定，基金份额持有人的义务包括但不限于：</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（1）</w:t>
      </w:r>
      <w:r w:rsidRPr="008564FF">
        <w:rPr>
          <w:rFonts w:asciiTheme="minorEastAsia" w:eastAsiaTheme="minorEastAsia" w:hAnsiTheme="minorEastAsia" w:hint="eastAsia"/>
          <w:szCs w:val="21"/>
        </w:rPr>
        <w:tab/>
        <w:t>遵守《基金合同》；</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（2）</w:t>
      </w:r>
      <w:r w:rsidRPr="008564FF">
        <w:rPr>
          <w:rFonts w:asciiTheme="minorEastAsia" w:eastAsiaTheme="minorEastAsia" w:hAnsiTheme="minorEastAsia" w:hint="eastAsia"/>
          <w:szCs w:val="21"/>
        </w:rPr>
        <w:tab/>
        <w:t>缴纳基金认购、申购、赎回款项及法律法规和《基金合同》所规定的费用；</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（3）</w:t>
      </w:r>
      <w:r w:rsidRPr="008564FF">
        <w:rPr>
          <w:rFonts w:asciiTheme="minorEastAsia" w:eastAsiaTheme="minorEastAsia" w:hAnsiTheme="minorEastAsia" w:hint="eastAsia"/>
          <w:szCs w:val="21"/>
        </w:rPr>
        <w:tab/>
        <w:t>在其持有的基金份额范围内，承担基金亏损或者《基金合同》终止的有限责任；</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（4）</w:t>
      </w:r>
      <w:r w:rsidRPr="008564FF">
        <w:rPr>
          <w:rFonts w:asciiTheme="minorEastAsia" w:eastAsiaTheme="minorEastAsia" w:hAnsiTheme="minorEastAsia" w:hint="eastAsia"/>
          <w:szCs w:val="21"/>
        </w:rPr>
        <w:tab/>
        <w:t>不从事任何有损基金及其他《基金合同》当事人合法权益的活动；</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（5）</w:t>
      </w:r>
      <w:r w:rsidRPr="008564FF">
        <w:rPr>
          <w:rFonts w:asciiTheme="minorEastAsia" w:eastAsiaTheme="minorEastAsia" w:hAnsiTheme="minorEastAsia" w:hint="eastAsia"/>
          <w:szCs w:val="21"/>
        </w:rPr>
        <w:tab/>
        <w:t>返还在基金交易过程中因任何原因，自基金管理人、基金托管人及代销机构处</w:t>
      </w:r>
      <w:r w:rsidRPr="008564FF">
        <w:rPr>
          <w:rFonts w:asciiTheme="minorEastAsia" w:eastAsiaTheme="minorEastAsia" w:hAnsiTheme="minorEastAsia" w:hint="eastAsia"/>
          <w:szCs w:val="21"/>
        </w:rPr>
        <w:t>获得的不当得利；</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（6）执行生效的基金份额持有人大会的决定；</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（7）</w:t>
      </w:r>
      <w:r w:rsidRPr="008564FF">
        <w:rPr>
          <w:rFonts w:asciiTheme="minorEastAsia" w:eastAsiaTheme="minorEastAsia" w:hAnsiTheme="minorEastAsia" w:hint="eastAsia"/>
          <w:szCs w:val="21"/>
        </w:rPr>
        <w:tab/>
        <w:t>法律法规及中国证监会规定的和《基金合同》约定的其他义务。</w:t>
      </w:r>
    </w:p>
    <w:p w:rsidR="003A3487" w:rsidRPr="008564FF" w:rsidP="009C2B2A">
      <w:pPr>
        <w:pStyle w:val="Heading2"/>
        <w:adjustRightInd w:val="0"/>
        <w:snapToGrid w:val="0"/>
        <w:spacing w:beforeLines="0" w:afterLines="0" w:line="360" w:lineRule="auto"/>
        <w:ind w:firstLine="0" w:firstLineChars="0"/>
        <w:rPr>
          <w:rFonts w:asciiTheme="minorEastAsia" w:eastAsiaTheme="minorEastAsia" w:hAnsiTheme="minorEastAsia"/>
        </w:rPr>
      </w:pPr>
      <w:bookmarkStart w:id="219" w:name="_Toc91749299"/>
      <w:r w:rsidRPr="008564FF">
        <w:rPr>
          <w:rFonts w:asciiTheme="minorEastAsia" w:eastAsiaTheme="minorEastAsia" w:hAnsiTheme="minorEastAsia" w:hint="eastAsia"/>
          <w:b w:val="0"/>
          <w:bCs/>
        </w:rPr>
        <w:t>（四）基金份额持有人大会</w:t>
      </w:r>
      <w:bookmarkEnd w:id="219"/>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1、基金份额持有人大会由基金份额持有人或基金份额持有人的合法授权代表共同组成。基金份额持有人持有的每一基金份额拥有平等的投票权。</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2、召开事由</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（1）当出现或需要决定下列事由之一的，应当召开基金份额持有人大会：</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1）终止《基金合同》；</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2）更换基金管理人；</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3）更换基金托管人；</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4）转换基金运作方式；</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5）提高基金管理人、基金托管人的报酬标准；</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6）变更基金类别；</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7）本基金与其他基金的合并；</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8）变更基金投资目标、范围或策略（法律法规和中国证监会另有规定的除外）；；</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9）变更基金份额持有人大会程序；</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10）基金管理人或基金托管人要求召开基金份额持有人大会；</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11）单独或合计持有本基金总份额10%以上（含10%）基金份额的基金份额持有人（以基金管理人收到提议当日的基金份额计算，下同）就同一事项书面要求召开基金份额持有人大会；</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12)对基金当事人权利和义务产生重大影响的其他事项；</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13）法律法规、《基金合同》或中国证监会规定的其他应当召开基金份额持有人大会的事项。</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（2）以下情况可由基金管理人和基金托管人协商后修改，不需召开基金份额持有人大会：</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1）调低基金管理费、基金托管费；</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2）法律法规要求增加的基金费用的收取；</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3）在法律法规和《基金合同》规定的范围内调整本基金的申购费率、调低赎回费率；</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4）因相应的法律法规发生变动而应当对《基金合同》进行修改；</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5）对《基金合同》的修改对基金份额持有人利益无实质性不利影响或修改不涉及《基金合同》当事人权利义务关系发生变化；</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6）除按照法律法规和《基金合同》规定应当召开基金份额持有人大会的以外的其他情</w:t>
      </w:r>
      <w:r w:rsidRPr="008564FF">
        <w:rPr>
          <w:rFonts w:asciiTheme="minorEastAsia" w:eastAsiaTheme="minorEastAsia" w:hAnsiTheme="minorEastAsia" w:hint="eastAsia"/>
          <w:szCs w:val="21"/>
        </w:rPr>
        <w:t>形。</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3、会议召集人及召集方式</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（1）除法律法规规定或《基金合同》另有约定外，基金份额持有人大会由基金管理人召集；</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（2）基金管理人未按规定召集或不能召集时，由基金托管人召集；</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w:t>
      </w:r>
      <w:r w:rsidRPr="008564FF" w:rsidR="00500FD5">
        <w:rPr>
          <w:rFonts w:asciiTheme="minorEastAsia" w:eastAsiaTheme="minorEastAsia" w:hAnsiTheme="minorEastAsia" w:hint="eastAsia"/>
          <w:szCs w:val="21"/>
        </w:rPr>
        <w:t>，并自出具书面决定之日起六十日内召开并告知基金管理人，基金管理人应当配合</w:t>
      </w:r>
      <w:r w:rsidRPr="008564FF">
        <w:rPr>
          <w:rFonts w:asciiTheme="minorEastAsia" w:eastAsiaTheme="minorEastAsia" w:hAnsiTheme="minorEastAsia" w:hint="eastAsia"/>
          <w:szCs w:val="21"/>
        </w:rPr>
        <w:t>。</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4）代表基金份额10%以上（含10%）的基金份额持有人就同一事项书面要求召开基金份额持有人大会的，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（6）基金份额持有人会议的召集人负责选择确定开会时间、地点、方式和权益登记日。</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4、召开基金份额持有人大会的通知时间、通知内容、通知方式</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（1）召开基金份额持有人大会，召集人应于会议召开前40天，在</w:t>
      </w:r>
      <w:r w:rsidRPr="008564FF" w:rsidR="00123EC2">
        <w:rPr>
          <w:rFonts w:asciiTheme="minorEastAsia" w:eastAsiaTheme="minorEastAsia" w:hAnsiTheme="minorEastAsia" w:hint="eastAsia"/>
          <w:szCs w:val="21"/>
        </w:rPr>
        <w:t>指定媒介</w:t>
      </w:r>
      <w:r w:rsidRPr="008564FF">
        <w:rPr>
          <w:rFonts w:asciiTheme="minorEastAsia" w:eastAsiaTheme="minorEastAsia" w:hAnsiTheme="minorEastAsia" w:hint="eastAsia"/>
          <w:szCs w:val="21"/>
        </w:rPr>
        <w:t>公告。基金份额持有人大会通知应至少载明以下内容：</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1）会议召开的时间、地点、方式和会议形式；</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2）会议拟审议的事项、议事程序和表决形式；</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3）有权出席基金份额持有人大会的基金份额持有人的权益登记日；</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4）授权委托书的内容要求（包括但不限于代理人身份，代理权限和代理有效期限等）、送达时间和地点；</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5）会务常设联系人姓名及联系电话。</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2）采取通讯开会方式并进行表决的情况下，由会议召集人决定通讯方式和书面表决方式，并在会议通知中说明本次基金份额持有人大会所采取的具体通讯方式、委托的公证机关及其联系方式和联系人、书面表决意见寄交的截止时间和收取方式。</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3）如召集人为基金管理人，还应另行书面通知基金托管人到指定地点对书面表决意见的计票进行监督；如召集人为基金托管人，则应另行书面通知基金管理人到指定地点对书面表决意见的计票进行监督；如召集人为基金份额持有人，则应另行书面通知基金管理人和基金托管人到指定地点对书面表决意见的计票进行监督。基金管理人或基金托管人拒不派代表对书面表决意见的计票进行监督的，不影响表决意见的计票结果。</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5、基金份额持有人出席会议的方式</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基金份额持有人大会可通过现场开会方式或通讯开会方式召开。</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会议的召开方式由会议召集人确定，但更换基金管理人和基金托管人必须以现场开会方式召开。</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1）现场开会。由基金份额持有人本人出席或以代理投票授权委托书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1）亲自出席会议者持有基金份额的凭证、受托出席会议者出具的委托人持有基金份额的凭证及委托人的代理投票授权委托书符合法律法规、《基金合同》和会议通知的规定，并且持有基金份额的凭证与基金管理人持有的登记资料相符；</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2）经核对，汇总到会者出示的在权益登记日持有基金份额的凭证显示，有效的基金份额不少于本基金在权益登记日基金总份额的50%（含50%）。</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（2）通讯开会。通讯开会系指基金份额持有人将其对表决事项的投票以书面形式在表决截止日以前送达至召集人指定的地址。通讯开会应以书面方式进行表决。</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在同时符合以下条件时，通讯开会的方式视为有效：</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1）会议召集人按《基金合同》规定公布会议通知后，在2个工作日内连续公布相关提示性公告；</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2）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3）本人直接出具书面意见或授权他人代表出具书面意见的，基金份额持有人所持有的基金份额不小于在权益登记日基金总份额的50%（含50%）；</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4）上述第3）项中直接出具书面意见的基金份额持有人或受托代表他人出具书面意见的代理人，同时提交的持有基金份额的凭证、受托出具书面意见的代理人出具的委托人持有</w:t>
      </w:r>
      <w:r w:rsidRPr="008564FF">
        <w:rPr>
          <w:rFonts w:asciiTheme="minorEastAsia" w:eastAsiaTheme="minorEastAsia" w:hAnsiTheme="minorEastAsia" w:hint="eastAsia"/>
          <w:szCs w:val="21"/>
        </w:rPr>
        <w:t>基金份额的凭证及委托人的代理投票授权委托书符合法律法规、《基金合同》和会议通知的规定,并与基金登记注册机构记录相符，并且委托人出具的代理投票授权委托书符合法律法规、《基金合同》和会议通知的规定；</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5）会议通知公布前报中国证监会备案。</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采取通讯方式进行表决时，除非在计票时有充分的相反证据证明，否则提交符合会议通知中规定的确认投资者身份文件的表决视为有效出席的投资者；表面符合法律法规和会议通知规定的书面表决意见即视为有效的表决，表决意见模糊不清或相互矛盾的视为弃权表决，但应当计入出具书面意见的基金份额持有人所代表的基金份额总数。</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6、议事内容与程序</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（1）议事内容及提案权</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基金管理人、基金托管人、单独或合并持有权益登记日基金总份额10%（含10%）以上的基金份额持有人可以在大会召集人发出会议通知前向大会召集人提交需由基金份额持有人大会审议表决的提案；也可以在会议通知发出后向大会召集人提交临时提案，临时提案应当在大会召开日至少35天前提交召集人并由召集人公告。</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基金份额持有人大会的召集人发出召集会议的通知后，对原有提案的修改应当在基金份额持有人大会召开日30天前公告。</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基金份额持有人大会不得对未事先公告的议事内容进行表决。</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召集人对于基金管理人、基金托管人和基金份额持有人提交的临时提案进行审核，符合条件的应当在大会召开日30天前公告。大会召集人应当按照以下原则对提案进行审核：</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1）关联性。大会召集人对于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2）程序性。大会召集人可以对提案涉及的程序性问题做出决定。如将提案进行分拆或合并表决，需征得原提案人同意；原提案人不同意变更的，大会主持人可以就程序性问题提请基金份额持有人大会做出决定，并按照基金份额持有人大会决定的程序进行审议。</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单独或合并持有权益登记日基金总份额10%（含10%）以上的基金份额持有人提交基金份额持有人大会审议表决的提案，或基金管理人或基金托管人提交基金份额持有人大会审议表决的提案，未获基金份额持有人大会审议通过，就同一提案再次提请基金份额持有人大会审议，其时间间隔不少于6个月。法律法规另有规定除外。</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基金份额持有人大会的召集人发出召开会议的通知后，如果需要对原有提案进行修改，应当最迟在基金份额持有人大会召开前30日公告。否则，会议的召开日期应当顺延并保证至少与公告日期有30日的间隔期。</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（2）议事程序</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1）现场开会</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所持表决权的50%以上（含50%）选举产生一名基金份额持有人作为该次基金份额持有人大会的主持人。基金管理人和基金托管人不出席或主持基金份额持有人大会，不影响基金份额持有人大会作出的决议的效力。</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会议召集人应当制作出席会议人员的签名册。签名册载明参加会议人员姓名（或单位名称）、身份证号码、住所地址、持有或代表有表决权的基金份额、委托人姓名（或单位名称）等事项。</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2）通讯开会</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在通讯开会的情况下，首先由召集人提前30日公布提案，在所通知的表决截止日期后2个工作日内在公证机关监督下由召集人统计全部有效表决，在公证机关监督下形成决议。</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7、表决</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基金份额持有人所持每份基金份额有一票表决权。</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基金份额持有人大会决议分为一般决议和特别决议：</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（1）一般决议，一般决议须经参加大会的基金份额持有人或其代理人所持表决权的50%以上（含50%）通过方为有效；除下列第2项所规定的须以特别决议通过事项以外的其他事项均以一般决议的方式通过。</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（2）特别决议，特别决议应当经参加大会的基金份额持有人或其代理人所持表决权的三分之二以上（含三分之二）通过方可做出。转换基金运作方式、更换基金管理人或者基金托管人、终止《基金合同》</w:t>
      </w:r>
      <w:r w:rsidRPr="008564FF" w:rsidR="00500FD5">
        <w:rPr>
          <w:rFonts w:asciiTheme="minorEastAsia" w:eastAsiaTheme="minorEastAsia" w:hAnsiTheme="minorEastAsia" w:hint="eastAsia"/>
          <w:szCs w:val="21"/>
        </w:rPr>
        <w:t>、本基金与其他基金合并</w:t>
      </w:r>
      <w:r w:rsidRPr="008564FF">
        <w:rPr>
          <w:rFonts w:asciiTheme="minorEastAsia" w:eastAsiaTheme="minorEastAsia" w:hAnsiTheme="minorEastAsia" w:hint="eastAsia"/>
          <w:szCs w:val="21"/>
        </w:rPr>
        <w:t>以特别决议通过方为有效。</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基金份额持有人大会采取记名方式进行投票表决。</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采取通讯方式进行表决时，除非在计票时有充分的相反证据证明，提交符合会议通知中规定的确认投资者身份文件的表决视为有效出席的投资者，符合会议通知规定的书面表决意见视为有效表决，表决意见模糊不清或相互矛盾的视为弃权表决，但应当计入出具书面意见的基金份额持有人所代表的基金份额总数。</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基金份额持有人大会的各项提案或同一项提案内并列的各项议题应当分开审议、逐项表</w:t>
      </w:r>
      <w:r w:rsidRPr="008564FF">
        <w:rPr>
          <w:rFonts w:asciiTheme="minorEastAsia" w:eastAsiaTheme="minorEastAsia" w:hAnsiTheme="minorEastAsia" w:hint="eastAsia"/>
          <w:szCs w:val="21"/>
        </w:rPr>
        <w:t>决。</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8、计票</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（1）现场开会</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1）如大会由基金管理人或基金托管人召集，基金份额持有人大会的主持人应当在会议开始后宣布在出席会议的基金份额持有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2）监票人应当在基金份额持有人表决后立即进行清点并由大会主持人当场公布计票结果。</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3）如果会议主持人或基金份额持有人对于提交的表决结果有怀疑，可以在宣布表决结果后立即对所投票数要求进行重新清点。监票人应当进行重新清点，重新清点以一次为限。重新清点后，大会主持人应当当场公布重新清点结果。</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4）计票过程应由公证机关予以公证,基金管理人或基金托管人拒不出席大会的，不影响计票的效力。</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（2）通讯开会</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9、生效与公告</w:t>
      </w:r>
    </w:p>
    <w:p w:rsidR="00500FD5"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基金份额持有人大会的决议，召集人应当自通过之日起5日内报中国证监会备案。</w:t>
      </w:r>
    </w:p>
    <w:p w:rsidR="00500FD5"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基金份额持有人大会的决议自表决通过之日起生效。</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基金份额持有人大会决议自生效之日起</w:t>
      </w:r>
      <w:r w:rsidRPr="008564FF" w:rsidR="00123EC2">
        <w:rPr>
          <w:rFonts w:asciiTheme="minorEastAsia" w:eastAsiaTheme="minorEastAsia" w:hAnsiTheme="minorEastAsia" w:hint="eastAsia"/>
          <w:szCs w:val="21"/>
        </w:rPr>
        <w:t>2日内在指定媒介</w:t>
      </w:r>
      <w:r w:rsidRPr="008564FF">
        <w:rPr>
          <w:rFonts w:asciiTheme="minorEastAsia" w:eastAsiaTheme="minorEastAsia" w:hAnsiTheme="minorEastAsia" w:hint="eastAsia"/>
          <w:szCs w:val="21"/>
        </w:rPr>
        <w:t>上公告。如果采用通讯方式进行表决，在公告基金份额持有人大会决议时，必须将公证书全文、公证机构、公证员姓名等一同公告。</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基金管理人、基金托管人和基金份额持有人应当执行生效的基金份额持有人大会的决议。</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基金份额持有人大会决议对全体基金份额持有人、基金管理人、基金托管人均有约束力。</w:t>
      </w:r>
    </w:p>
    <w:p w:rsidR="003A3487" w:rsidRPr="008564FF" w:rsidP="009C2B2A">
      <w:pPr>
        <w:pStyle w:val="Heading2"/>
        <w:snapToGrid w:val="0"/>
        <w:spacing w:beforeLines="0" w:afterLines="0" w:line="360" w:lineRule="auto"/>
        <w:ind w:firstLine="0" w:firstLineChars="0"/>
        <w:rPr>
          <w:rFonts w:asciiTheme="minorEastAsia" w:eastAsiaTheme="minorEastAsia" w:hAnsiTheme="minorEastAsia"/>
          <w:b w:val="0"/>
          <w:bCs/>
          <w:sz w:val="21"/>
        </w:rPr>
      </w:pPr>
      <w:bookmarkStart w:id="220" w:name="_Toc91749300"/>
      <w:r w:rsidRPr="008564FF">
        <w:rPr>
          <w:rFonts w:asciiTheme="minorEastAsia" w:eastAsiaTheme="minorEastAsia" w:hAnsiTheme="minorEastAsia" w:hint="eastAsia"/>
          <w:b w:val="0"/>
          <w:bCs/>
          <w:sz w:val="21"/>
        </w:rPr>
        <w:t>（五）基金合同的变更和终止</w:t>
      </w:r>
      <w:bookmarkEnd w:id="220"/>
    </w:p>
    <w:p w:rsidR="003A3487" w:rsidRPr="008564FF" w:rsidP="004549E4">
      <w:pPr>
        <w:snapToGrid w:val="0"/>
        <w:spacing w:line="360" w:lineRule="auto"/>
        <w:ind w:firstLine="420"/>
        <w:rPr>
          <w:rFonts w:asciiTheme="minorEastAsia" w:eastAsiaTheme="minorEastAsia" w:hAnsiTheme="minorEastAsia"/>
        </w:rPr>
      </w:pPr>
      <w:r w:rsidRPr="008564FF">
        <w:rPr>
          <w:rFonts w:asciiTheme="minorEastAsia" w:eastAsiaTheme="minorEastAsia" w:hAnsiTheme="minorEastAsia" w:hint="eastAsia"/>
          <w:szCs w:val="21"/>
        </w:rPr>
        <w:t>1、《基金合同》的变更</w:t>
      </w:r>
    </w:p>
    <w:p w:rsidR="003A3487" w:rsidRPr="008564FF" w:rsidP="004549E4">
      <w:pPr>
        <w:snapToGrid w:val="0"/>
        <w:spacing w:line="360" w:lineRule="auto"/>
        <w:ind w:firstLine="420"/>
        <w:rPr>
          <w:rFonts w:asciiTheme="minorEastAsia" w:eastAsiaTheme="minorEastAsia" w:hAnsiTheme="minorEastAsia"/>
          <w:szCs w:val="21"/>
        </w:rPr>
      </w:pPr>
      <w:r w:rsidRPr="008564FF">
        <w:rPr>
          <w:rFonts w:asciiTheme="minorEastAsia" w:eastAsiaTheme="minorEastAsia" w:hAnsiTheme="minorEastAsia" w:hint="eastAsia"/>
          <w:szCs w:val="21"/>
        </w:rPr>
        <w:t>(1)按照法律法规或《基金合同》的规定，对《基金合同》的变更应当召开基金份额持有人大会的，《基金合同》变更的内容应经基金份额持有人大会决议通过，并依法报中国证</w:t>
      </w:r>
      <w:r w:rsidRPr="008564FF">
        <w:rPr>
          <w:rFonts w:asciiTheme="minorEastAsia" w:eastAsiaTheme="minorEastAsia" w:hAnsiTheme="minorEastAsia" w:hint="eastAsia"/>
          <w:szCs w:val="21"/>
        </w:rPr>
        <w:t>监会</w:t>
      </w:r>
      <w:r w:rsidRPr="008564FF" w:rsidR="00500FD5">
        <w:rPr>
          <w:rFonts w:asciiTheme="minorEastAsia" w:eastAsiaTheme="minorEastAsia" w:hAnsiTheme="minorEastAsia" w:hint="eastAsia"/>
          <w:szCs w:val="21"/>
        </w:rPr>
        <w:t>备案</w:t>
      </w:r>
      <w:r w:rsidRPr="008564FF">
        <w:rPr>
          <w:rFonts w:asciiTheme="minorEastAsia" w:eastAsiaTheme="minorEastAsia" w:hAnsiTheme="minorEastAsia" w:hint="eastAsia"/>
          <w:szCs w:val="21"/>
        </w:rPr>
        <w:t>。</w:t>
      </w:r>
    </w:p>
    <w:p w:rsidR="003A3487" w:rsidRPr="008564FF" w:rsidP="004549E4">
      <w:pPr>
        <w:snapToGrid w:val="0"/>
        <w:spacing w:line="360" w:lineRule="auto"/>
        <w:ind w:firstLine="420"/>
        <w:rPr>
          <w:rFonts w:asciiTheme="minorEastAsia" w:eastAsiaTheme="minorEastAsia" w:hAnsiTheme="minorEastAsia"/>
          <w:szCs w:val="21"/>
        </w:rPr>
      </w:pPr>
      <w:r w:rsidRPr="008564FF">
        <w:rPr>
          <w:rFonts w:asciiTheme="minorEastAsia" w:eastAsiaTheme="minorEastAsia" w:hAnsiTheme="minorEastAsia" w:hint="eastAsia"/>
          <w:szCs w:val="21"/>
        </w:rPr>
        <w:t>(2)上述对《基金合同》的变更事项自</w:t>
      </w:r>
      <w:r w:rsidRPr="008564FF" w:rsidR="00500FD5">
        <w:rPr>
          <w:rFonts w:asciiTheme="minorEastAsia" w:eastAsiaTheme="minorEastAsia" w:hAnsiTheme="minorEastAsia" w:hint="eastAsia"/>
          <w:szCs w:val="21"/>
        </w:rPr>
        <w:t>表决通过</w:t>
      </w:r>
      <w:r w:rsidRPr="008564FF">
        <w:rPr>
          <w:rFonts w:asciiTheme="minorEastAsia" w:eastAsiaTheme="minorEastAsia" w:hAnsiTheme="minorEastAsia" w:hint="eastAsia"/>
          <w:szCs w:val="21"/>
        </w:rPr>
        <w:t>之日起生效。</w:t>
      </w:r>
    </w:p>
    <w:p w:rsidR="003A3487" w:rsidRPr="008564FF" w:rsidP="004549E4">
      <w:pPr>
        <w:snapToGrid w:val="0"/>
        <w:spacing w:line="360" w:lineRule="auto"/>
        <w:ind w:firstLine="420"/>
        <w:rPr>
          <w:rFonts w:asciiTheme="minorEastAsia" w:eastAsiaTheme="minorEastAsia" w:hAnsiTheme="minorEastAsia"/>
          <w:szCs w:val="21"/>
        </w:rPr>
      </w:pPr>
      <w:r w:rsidRPr="008564FF">
        <w:rPr>
          <w:rFonts w:asciiTheme="minorEastAsia" w:eastAsiaTheme="minorEastAsia" w:hAnsiTheme="minorEastAsia" w:hint="eastAsia"/>
          <w:szCs w:val="21"/>
        </w:rPr>
        <w:t>(3)但出现下列情况时，可不经基金份额持有人大会决议，由基金管理人和基金托管人同意后变更并公告，并报中国证监会备案：</w:t>
      </w:r>
    </w:p>
    <w:p w:rsidR="003A3487" w:rsidRPr="008564FF" w:rsidP="004549E4">
      <w:pPr>
        <w:snapToGrid w:val="0"/>
        <w:spacing w:line="360" w:lineRule="auto"/>
        <w:ind w:firstLine="420"/>
        <w:rPr>
          <w:rFonts w:asciiTheme="minorEastAsia" w:eastAsiaTheme="minorEastAsia" w:hAnsiTheme="minorEastAsia"/>
          <w:szCs w:val="21"/>
        </w:rPr>
      </w:pPr>
      <w:r w:rsidRPr="008564FF">
        <w:rPr>
          <w:rFonts w:asciiTheme="minorEastAsia" w:eastAsiaTheme="minorEastAsia" w:hAnsiTheme="minorEastAsia" w:hint="eastAsia"/>
          <w:szCs w:val="21"/>
        </w:rPr>
        <w:t>1）调低基金管理费、基金托管费；</w:t>
      </w:r>
    </w:p>
    <w:p w:rsidR="003A3487" w:rsidRPr="008564FF" w:rsidP="004549E4">
      <w:pPr>
        <w:snapToGrid w:val="0"/>
        <w:spacing w:line="360" w:lineRule="auto"/>
        <w:ind w:firstLine="420"/>
        <w:rPr>
          <w:rFonts w:asciiTheme="minorEastAsia" w:eastAsiaTheme="minorEastAsia" w:hAnsiTheme="minorEastAsia"/>
          <w:szCs w:val="21"/>
        </w:rPr>
      </w:pPr>
      <w:r w:rsidRPr="008564FF">
        <w:rPr>
          <w:rFonts w:asciiTheme="minorEastAsia" w:eastAsiaTheme="minorEastAsia" w:hAnsiTheme="minorEastAsia" w:hint="eastAsia"/>
          <w:szCs w:val="21"/>
        </w:rPr>
        <w:t>2）法律法规要求增加的基金费用的收取；</w:t>
      </w:r>
    </w:p>
    <w:p w:rsidR="003A3487" w:rsidRPr="008564FF" w:rsidP="004549E4">
      <w:pPr>
        <w:snapToGrid w:val="0"/>
        <w:spacing w:line="360" w:lineRule="auto"/>
        <w:ind w:firstLine="420"/>
        <w:rPr>
          <w:rFonts w:asciiTheme="minorEastAsia" w:eastAsiaTheme="minorEastAsia" w:hAnsiTheme="minorEastAsia"/>
          <w:szCs w:val="21"/>
        </w:rPr>
      </w:pPr>
      <w:r w:rsidRPr="008564FF">
        <w:rPr>
          <w:rFonts w:asciiTheme="minorEastAsia" w:eastAsiaTheme="minorEastAsia" w:hAnsiTheme="minorEastAsia" w:hint="eastAsia"/>
          <w:szCs w:val="21"/>
        </w:rPr>
        <w:t>3）在法律法规和《基金合同》规定的范围内调整本基金的申购费率、调低赎回费率；</w:t>
      </w:r>
    </w:p>
    <w:p w:rsidR="003A3487" w:rsidRPr="008564FF" w:rsidP="00485893">
      <w:pPr>
        <w:snapToGrid w:val="0"/>
        <w:spacing w:line="360" w:lineRule="auto"/>
        <w:ind w:firstLine="420"/>
        <w:rPr>
          <w:rFonts w:asciiTheme="minorEastAsia" w:eastAsiaTheme="minorEastAsia" w:hAnsiTheme="minorEastAsia"/>
          <w:szCs w:val="21"/>
        </w:rPr>
      </w:pPr>
      <w:r w:rsidRPr="008564FF">
        <w:rPr>
          <w:rFonts w:asciiTheme="minorEastAsia" w:eastAsiaTheme="minorEastAsia" w:hAnsiTheme="minorEastAsia" w:hint="eastAsia"/>
          <w:szCs w:val="21"/>
        </w:rPr>
        <w:t>4）因相应的法律法规发生变动而应当对《基金合同》进行修改；</w:t>
      </w:r>
    </w:p>
    <w:p w:rsidR="003A3487" w:rsidRPr="008564FF" w:rsidP="004549E4">
      <w:pPr>
        <w:snapToGrid w:val="0"/>
        <w:spacing w:line="360" w:lineRule="auto"/>
        <w:ind w:firstLine="420"/>
        <w:rPr>
          <w:rFonts w:asciiTheme="minorEastAsia" w:eastAsiaTheme="minorEastAsia" w:hAnsiTheme="minorEastAsia"/>
          <w:szCs w:val="21"/>
        </w:rPr>
      </w:pPr>
      <w:r w:rsidRPr="008564FF">
        <w:rPr>
          <w:rFonts w:asciiTheme="minorEastAsia" w:eastAsiaTheme="minorEastAsia" w:hAnsiTheme="minorEastAsia" w:hint="eastAsia"/>
          <w:szCs w:val="21"/>
        </w:rPr>
        <w:t>5）对《基金合同》的修改对基金份额持有人利益无实质性不利影响或修改不涉及《基金合同》当事人权利义务关系发生变化；</w:t>
      </w:r>
    </w:p>
    <w:p w:rsidR="003A3487" w:rsidRPr="008564FF" w:rsidP="004549E4">
      <w:pPr>
        <w:snapToGrid w:val="0"/>
        <w:spacing w:line="360" w:lineRule="auto"/>
        <w:ind w:firstLine="420"/>
        <w:rPr>
          <w:rFonts w:asciiTheme="minorEastAsia" w:eastAsiaTheme="minorEastAsia" w:hAnsiTheme="minorEastAsia"/>
          <w:szCs w:val="21"/>
        </w:rPr>
      </w:pPr>
      <w:r w:rsidRPr="008564FF">
        <w:rPr>
          <w:rFonts w:asciiTheme="minorEastAsia" w:eastAsiaTheme="minorEastAsia" w:hAnsiTheme="minorEastAsia" w:hint="eastAsia"/>
          <w:szCs w:val="21"/>
        </w:rPr>
        <w:t>6）除按照法律法规和《基金合同》规定应当召开基金份额持有人大会的以外的其他情形。</w:t>
      </w:r>
    </w:p>
    <w:p w:rsidR="003A3487" w:rsidRPr="008564FF" w:rsidP="004549E4">
      <w:pPr>
        <w:snapToGrid w:val="0"/>
        <w:spacing w:line="360" w:lineRule="auto"/>
        <w:ind w:firstLine="420"/>
        <w:rPr>
          <w:rFonts w:asciiTheme="minorEastAsia" w:eastAsiaTheme="minorEastAsia" w:hAnsiTheme="minorEastAsia"/>
          <w:szCs w:val="21"/>
        </w:rPr>
      </w:pPr>
      <w:r w:rsidRPr="008564FF">
        <w:rPr>
          <w:rFonts w:asciiTheme="minorEastAsia" w:eastAsiaTheme="minorEastAsia" w:hAnsiTheme="minorEastAsia" w:hint="eastAsia"/>
          <w:szCs w:val="21"/>
        </w:rPr>
        <w:t>(4)法律法规对基金合同变更另有规定的，从其规定。</w:t>
      </w:r>
    </w:p>
    <w:p w:rsidR="003A3487" w:rsidRPr="008564FF" w:rsidP="004549E4">
      <w:pPr>
        <w:snapToGrid w:val="0"/>
        <w:spacing w:line="360" w:lineRule="auto"/>
        <w:ind w:firstLine="420"/>
        <w:rPr>
          <w:rFonts w:asciiTheme="minorEastAsia" w:eastAsiaTheme="minorEastAsia" w:hAnsiTheme="minorEastAsia"/>
          <w:szCs w:val="21"/>
        </w:rPr>
      </w:pPr>
      <w:r w:rsidRPr="008564FF">
        <w:rPr>
          <w:rFonts w:asciiTheme="minorEastAsia" w:eastAsiaTheme="minorEastAsia" w:hAnsiTheme="minorEastAsia" w:hint="eastAsia"/>
          <w:szCs w:val="21"/>
        </w:rPr>
        <w:t>2、《基金合同》的终止</w:t>
      </w:r>
    </w:p>
    <w:p w:rsidR="003A3487" w:rsidRPr="008564FF" w:rsidP="004549E4">
      <w:pPr>
        <w:snapToGrid w:val="0"/>
        <w:spacing w:line="360" w:lineRule="auto"/>
        <w:ind w:firstLine="420"/>
        <w:rPr>
          <w:rFonts w:asciiTheme="minorEastAsia" w:eastAsiaTheme="minorEastAsia" w:hAnsiTheme="minorEastAsia"/>
          <w:szCs w:val="21"/>
        </w:rPr>
      </w:pPr>
      <w:r w:rsidRPr="008564FF">
        <w:rPr>
          <w:rFonts w:asciiTheme="minorEastAsia" w:eastAsiaTheme="minorEastAsia" w:hAnsiTheme="minorEastAsia" w:hint="eastAsia"/>
          <w:szCs w:val="21"/>
        </w:rPr>
        <w:t>有下列情形之一的，《基金合同》应当终止：</w:t>
      </w:r>
    </w:p>
    <w:p w:rsidR="003A3487" w:rsidRPr="008564FF" w:rsidP="004549E4">
      <w:pPr>
        <w:snapToGrid w:val="0"/>
        <w:spacing w:line="360" w:lineRule="auto"/>
        <w:ind w:firstLine="420"/>
        <w:rPr>
          <w:rFonts w:asciiTheme="minorEastAsia" w:eastAsiaTheme="minorEastAsia" w:hAnsiTheme="minorEastAsia"/>
          <w:szCs w:val="21"/>
        </w:rPr>
      </w:pPr>
      <w:r w:rsidRPr="008564FF">
        <w:rPr>
          <w:rFonts w:asciiTheme="minorEastAsia" w:eastAsiaTheme="minorEastAsia" w:hAnsiTheme="minorEastAsia" w:hint="eastAsia"/>
          <w:szCs w:val="21"/>
        </w:rPr>
        <w:t>（1）基金份额持有人大会决定终止的；</w:t>
      </w:r>
    </w:p>
    <w:p w:rsidR="003A3487" w:rsidRPr="008564FF" w:rsidP="004549E4">
      <w:pPr>
        <w:snapToGrid w:val="0"/>
        <w:spacing w:line="360" w:lineRule="auto"/>
        <w:ind w:firstLine="420"/>
        <w:rPr>
          <w:rFonts w:asciiTheme="minorEastAsia" w:eastAsiaTheme="minorEastAsia" w:hAnsiTheme="minorEastAsia"/>
          <w:szCs w:val="21"/>
        </w:rPr>
      </w:pPr>
      <w:r w:rsidRPr="008564FF">
        <w:rPr>
          <w:rFonts w:asciiTheme="minorEastAsia" w:eastAsiaTheme="minorEastAsia" w:hAnsiTheme="minorEastAsia" w:hint="eastAsia"/>
          <w:szCs w:val="21"/>
        </w:rPr>
        <w:t>（2）</w:t>
      </w:r>
      <w:r w:rsidRPr="008564FF">
        <w:rPr>
          <w:rFonts w:asciiTheme="minorEastAsia" w:eastAsiaTheme="minorEastAsia" w:hAnsiTheme="minorEastAsia" w:hint="eastAsia"/>
        </w:rPr>
        <w:t>基金管理人、基金托管人职责终止，在6个月内没有新基金管理人、新基金托管人承接的</w:t>
      </w:r>
      <w:r w:rsidRPr="008564FF">
        <w:rPr>
          <w:rFonts w:asciiTheme="minorEastAsia" w:eastAsiaTheme="minorEastAsia" w:hAnsiTheme="minorEastAsia" w:hint="eastAsia"/>
          <w:szCs w:val="21"/>
        </w:rPr>
        <w:t>；</w:t>
      </w:r>
    </w:p>
    <w:p w:rsidR="003A3487" w:rsidRPr="008564FF" w:rsidP="004549E4">
      <w:pPr>
        <w:snapToGrid w:val="0"/>
        <w:spacing w:line="360" w:lineRule="auto"/>
        <w:ind w:firstLine="420"/>
        <w:rPr>
          <w:rFonts w:asciiTheme="minorEastAsia" w:eastAsiaTheme="minorEastAsia" w:hAnsiTheme="minorEastAsia"/>
          <w:szCs w:val="21"/>
        </w:rPr>
      </w:pPr>
      <w:r w:rsidRPr="008564FF">
        <w:rPr>
          <w:rFonts w:asciiTheme="minorEastAsia" w:eastAsiaTheme="minorEastAsia" w:hAnsiTheme="minorEastAsia" w:hint="eastAsia"/>
          <w:szCs w:val="21"/>
        </w:rPr>
        <w:t>（3）《基金合同》约定的其他情形；</w:t>
      </w:r>
    </w:p>
    <w:p w:rsidR="003A3487" w:rsidRPr="008564FF" w:rsidP="004549E4">
      <w:pPr>
        <w:snapToGrid w:val="0"/>
        <w:spacing w:line="360" w:lineRule="auto"/>
        <w:ind w:firstLine="420"/>
        <w:rPr>
          <w:rFonts w:asciiTheme="minorEastAsia" w:eastAsiaTheme="minorEastAsia" w:hAnsiTheme="minorEastAsia"/>
          <w:szCs w:val="21"/>
        </w:rPr>
      </w:pPr>
      <w:r w:rsidRPr="008564FF">
        <w:rPr>
          <w:rFonts w:asciiTheme="minorEastAsia" w:eastAsiaTheme="minorEastAsia" w:hAnsiTheme="minorEastAsia" w:hint="eastAsia"/>
          <w:szCs w:val="21"/>
        </w:rPr>
        <w:t>（4）相关法律法规和中国证监会规定的其他情况。</w:t>
      </w:r>
    </w:p>
    <w:p w:rsidR="003A3487" w:rsidRPr="008564FF" w:rsidP="009C2B2A">
      <w:pPr>
        <w:pStyle w:val="Heading2"/>
        <w:snapToGrid w:val="0"/>
        <w:spacing w:beforeLines="0" w:afterLines="0" w:line="360" w:lineRule="auto"/>
        <w:ind w:firstLine="0" w:firstLineChars="0"/>
        <w:rPr>
          <w:rFonts w:asciiTheme="minorEastAsia" w:eastAsiaTheme="minorEastAsia" w:hAnsiTheme="minorEastAsia"/>
          <w:b w:val="0"/>
          <w:bCs/>
          <w:sz w:val="21"/>
        </w:rPr>
      </w:pPr>
      <w:bookmarkStart w:id="221" w:name="_Toc38437218"/>
      <w:bookmarkStart w:id="222" w:name="_Toc38437354"/>
      <w:bookmarkStart w:id="223" w:name="_Toc38437490"/>
      <w:bookmarkStart w:id="224" w:name="_Toc38437626"/>
      <w:bookmarkStart w:id="225" w:name="_Toc38437772"/>
      <w:bookmarkStart w:id="226" w:name="_Toc38437918"/>
      <w:bookmarkStart w:id="227" w:name="_Toc38438064"/>
      <w:bookmarkStart w:id="228" w:name="_Toc38438210"/>
      <w:bookmarkStart w:id="229" w:name="_Toc38438547"/>
      <w:bookmarkStart w:id="230" w:name="_Toc38438884"/>
      <w:bookmarkStart w:id="231" w:name="_Toc38439221"/>
      <w:bookmarkStart w:id="232" w:name="_Toc38439558"/>
      <w:bookmarkStart w:id="233" w:name="_Toc38439895"/>
      <w:bookmarkStart w:id="234" w:name="_Toc38440232"/>
      <w:bookmarkStart w:id="235" w:name="_Toc38440569"/>
      <w:bookmarkStart w:id="236" w:name="_Toc38440768"/>
      <w:bookmarkStart w:id="237" w:name="_Toc38441101"/>
      <w:bookmarkStart w:id="238" w:name="_Toc38441433"/>
      <w:bookmarkStart w:id="239" w:name="_Toc38441765"/>
      <w:bookmarkStart w:id="240" w:name="_Toc38442093"/>
      <w:bookmarkStart w:id="241" w:name="_Toc38442425"/>
      <w:bookmarkStart w:id="242" w:name="_Toc38442757"/>
      <w:bookmarkStart w:id="243" w:name="_Toc38443088"/>
      <w:bookmarkStart w:id="244" w:name="_Toc38443419"/>
      <w:bookmarkStart w:id="245" w:name="_Toc38443750"/>
      <w:bookmarkStart w:id="246" w:name="_Toc38433500"/>
      <w:bookmarkStart w:id="247" w:name="_Toc38433635"/>
      <w:bookmarkStart w:id="248" w:name="_Toc38433769"/>
      <w:bookmarkStart w:id="249" w:name="_Toc38433919"/>
      <w:bookmarkStart w:id="250" w:name="_Toc38434067"/>
      <w:bookmarkStart w:id="251" w:name="_Toc38434215"/>
      <w:bookmarkStart w:id="252" w:name="_Toc38434361"/>
      <w:bookmarkStart w:id="253" w:name="_Toc38434504"/>
      <w:bookmarkStart w:id="254" w:name="_Toc38434647"/>
      <w:bookmarkStart w:id="255" w:name="_Toc38434790"/>
      <w:bookmarkStart w:id="256" w:name="_Toc38434934"/>
      <w:bookmarkStart w:id="257" w:name="_Toc38437630"/>
      <w:bookmarkStart w:id="258" w:name="_Toc38437776"/>
      <w:bookmarkStart w:id="259" w:name="_Toc38437922"/>
      <w:bookmarkStart w:id="260" w:name="_Toc38438068"/>
      <w:bookmarkStart w:id="261" w:name="_Toc38438214"/>
      <w:bookmarkStart w:id="262" w:name="_Toc38438551"/>
      <w:bookmarkStart w:id="263" w:name="_Toc38438888"/>
      <w:bookmarkStart w:id="264" w:name="_Toc38439225"/>
      <w:bookmarkStart w:id="265" w:name="_Toc38439562"/>
      <w:bookmarkStart w:id="266" w:name="_Toc38439899"/>
      <w:bookmarkStart w:id="267" w:name="_Toc38440236"/>
      <w:bookmarkStart w:id="268" w:name="_Toc38440573"/>
      <w:bookmarkStart w:id="269" w:name="_Toc38440772"/>
      <w:bookmarkStart w:id="270" w:name="_Toc38441105"/>
      <w:bookmarkStart w:id="271" w:name="_Toc38441437"/>
      <w:bookmarkStart w:id="272" w:name="_Toc38441769"/>
      <w:bookmarkStart w:id="273" w:name="_Toc38442097"/>
      <w:bookmarkStart w:id="274" w:name="_Toc38442429"/>
      <w:bookmarkStart w:id="275" w:name="_Toc38442761"/>
      <w:bookmarkStart w:id="276" w:name="_Toc38443092"/>
      <w:bookmarkStart w:id="277" w:name="_Toc38443423"/>
      <w:bookmarkStart w:id="278" w:name="_Toc38443754"/>
      <w:bookmarkStart w:id="279" w:name="_Toc38433501"/>
      <w:bookmarkStart w:id="280" w:name="_Toc38433636"/>
      <w:bookmarkStart w:id="281" w:name="_Toc38433770"/>
      <w:bookmarkStart w:id="282" w:name="_Toc38433920"/>
      <w:bookmarkStart w:id="283" w:name="_Toc38434068"/>
      <w:bookmarkStart w:id="284" w:name="_Toc38434216"/>
      <w:bookmarkStart w:id="285" w:name="_Toc38434362"/>
      <w:bookmarkStart w:id="286" w:name="_Toc38434505"/>
      <w:bookmarkStart w:id="287" w:name="_Toc38434648"/>
      <w:bookmarkStart w:id="288" w:name="_Toc38434791"/>
      <w:bookmarkStart w:id="289" w:name="_Toc38434935"/>
      <w:bookmarkStart w:id="290" w:name="_Toc38437631"/>
      <w:bookmarkStart w:id="291" w:name="_Toc38437777"/>
      <w:bookmarkStart w:id="292" w:name="_Toc38437923"/>
      <w:bookmarkStart w:id="293" w:name="_Toc38438069"/>
      <w:bookmarkStart w:id="294" w:name="_Toc38438215"/>
      <w:bookmarkStart w:id="295" w:name="_Toc38438552"/>
      <w:bookmarkStart w:id="296" w:name="_Toc38438889"/>
      <w:bookmarkStart w:id="297" w:name="_Toc38439226"/>
      <w:bookmarkStart w:id="298" w:name="_Toc38439563"/>
      <w:bookmarkStart w:id="299" w:name="_Toc38439900"/>
      <w:bookmarkStart w:id="300" w:name="_Toc38440237"/>
      <w:bookmarkStart w:id="301" w:name="_Toc38440574"/>
      <w:bookmarkStart w:id="302" w:name="_Toc38440773"/>
      <w:bookmarkStart w:id="303" w:name="_Toc38441106"/>
      <w:bookmarkStart w:id="304" w:name="_Toc38441438"/>
      <w:bookmarkStart w:id="305" w:name="_Toc38441770"/>
      <w:bookmarkStart w:id="306" w:name="_Toc38442098"/>
      <w:bookmarkStart w:id="307" w:name="_Toc38442430"/>
      <w:bookmarkStart w:id="308" w:name="_Toc38442762"/>
      <w:bookmarkStart w:id="309" w:name="_Toc38443093"/>
      <w:bookmarkStart w:id="310" w:name="_Toc38443424"/>
      <w:bookmarkStart w:id="311" w:name="_Toc38443755"/>
      <w:bookmarkStart w:id="312" w:name="_Toc38433502"/>
      <w:bookmarkStart w:id="313" w:name="_Toc38433637"/>
      <w:bookmarkStart w:id="314" w:name="_Toc38433771"/>
      <w:bookmarkStart w:id="315" w:name="_Toc38433921"/>
      <w:bookmarkStart w:id="316" w:name="_Toc38434069"/>
      <w:bookmarkStart w:id="317" w:name="_Toc38434217"/>
      <w:bookmarkStart w:id="318" w:name="_Toc38434363"/>
      <w:bookmarkStart w:id="319" w:name="_Toc38434506"/>
      <w:bookmarkStart w:id="320" w:name="_Toc38434649"/>
      <w:bookmarkStart w:id="321" w:name="_Toc38434792"/>
      <w:bookmarkStart w:id="322" w:name="_Toc38434936"/>
      <w:bookmarkStart w:id="323" w:name="_Toc38437632"/>
      <w:bookmarkStart w:id="324" w:name="_Toc38437778"/>
      <w:bookmarkStart w:id="325" w:name="_Toc38437924"/>
      <w:bookmarkStart w:id="326" w:name="_Toc38438070"/>
      <w:bookmarkStart w:id="327" w:name="_Toc38438216"/>
      <w:bookmarkStart w:id="328" w:name="_Toc38438553"/>
      <w:bookmarkStart w:id="329" w:name="_Toc38438890"/>
      <w:bookmarkStart w:id="330" w:name="_Toc38439227"/>
      <w:bookmarkStart w:id="331" w:name="_Toc38439564"/>
      <w:bookmarkStart w:id="332" w:name="_Toc38439901"/>
      <w:bookmarkStart w:id="333" w:name="_Toc38440238"/>
      <w:bookmarkStart w:id="334" w:name="_Toc38440575"/>
      <w:bookmarkStart w:id="335" w:name="_Toc38440774"/>
      <w:bookmarkStart w:id="336" w:name="_Toc38441107"/>
      <w:bookmarkStart w:id="337" w:name="_Toc38441439"/>
      <w:bookmarkStart w:id="338" w:name="_Toc38441771"/>
      <w:bookmarkStart w:id="339" w:name="_Toc38442099"/>
      <w:bookmarkStart w:id="340" w:name="_Toc38442431"/>
      <w:bookmarkStart w:id="341" w:name="_Toc38442763"/>
      <w:bookmarkStart w:id="342" w:name="_Toc38443094"/>
      <w:bookmarkStart w:id="343" w:name="_Toc38443425"/>
      <w:bookmarkStart w:id="344" w:name="_Toc38443756"/>
      <w:bookmarkStart w:id="345" w:name="_Toc38433503"/>
      <w:bookmarkStart w:id="346" w:name="_Toc38433638"/>
      <w:bookmarkStart w:id="347" w:name="_Toc38433772"/>
      <w:bookmarkStart w:id="348" w:name="_Toc38433922"/>
      <w:bookmarkStart w:id="349" w:name="_Toc38434070"/>
      <w:bookmarkStart w:id="350" w:name="_Toc38434218"/>
      <w:bookmarkStart w:id="351" w:name="_Toc38434364"/>
      <w:bookmarkStart w:id="352" w:name="_Toc38434507"/>
      <w:bookmarkStart w:id="353" w:name="_Toc38434650"/>
      <w:bookmarkStart w:id="354" w:name="_Toc38434793"/>
      <w:bookmarkStart w:id="355" w:name="_Toc38434937"/>
      <w:bookmarkStart w:id="356" w:name="_Toc38437633"/>
      <w:bookmarkStart w:id="357" w:name="_Toc38437779"/>
      <w:bookmarkStart w:id="358" w:name="_Toc38437925"/>
      <w:bookmarkStart w:id="359" w:name="_Toc38438071"/>
      <w:bookmarkStart w:id="360" w:name="_Toc38438217"/>
      <w:bookmarkStart w:id="361" w:name="_Toc38438554"/>
      <w:bookmarkStart w:id="362" w:name="_Toc38438891"/>
      <w:bookmarkStart w:id="363" w:name="_Toc38439228"/>
      <w:bookmarkStart w:id="364" w:name="_Toc38439565"/>
      <w:bookmarkStart w:id="365" w:name="_Toc38439902"/>
      <w:bookmarkStart w:id="366" w:name="_Toc38440239"/>
      <w:bookmarkStart w:id="367" w:name="_Toc38440576"/>
      <w:bookmarkStart w:id="368" w:name="_Toc38440775"/>
      <w:bookmarkStart w:id="369" w:name="_Toc38441108"/>
      <w:bookmarkStart w:id="370" w:name="_Toc38441440"/>
      <w:bookmarkStart w:id="371" w:name="_Toc38441772"/>
      <w:bookmarkStart w:id="372" w:name="_Toc38442100"/>
      <w:bookmarkStart w:id="373" w:name="_Toc38442432"/>
      <w:bookmarkStart w:id="374" w:name="_Toc38442764"/>
      <w:bookmarkStart w:id="375" w:name="_Toc38443095"/>
      <w:bookmarkStart w:id="376" w:name="_Toc38443426"/>
      <w:bookmarkStart w:id="377" w:name="_Toc38443757"/>
      <w:bookmarkStart w:id="378" w:name="_Toc38433504"/>
      <w:bookmarkStart w:id="379" w:name="_Toc38433639"/>
      <w:bookmarkStart w:id="380" w:name="_Toc38433773"/>
      <w:bookmarkStart w:id="381" w:name="_Toc38433923"/>
      <w:bookmarkStart w:id="382" w:name="_Toc38434071"/>
      <w:bookmarkStart w:id="383" w:name="_Toc38434219"/>
      <w:bookmarkStart w:id="384" w:name="_Toc38434365"/>
      <w:bookmarkStart w:id="385" w:name="_Toc38434508"/>
      <w:bookmarkStart w:id="386" w:name="_Toc38434651"/>
      <w:bookmarkStart w:id="387" w:name="_Toc38434794"/>
      <w:bookmarkStart w:id="388" w:name="_Toc38434938"/>
      <w:bookmarkStart w:id="389" w:name="_Toc38437634"/>
      <w:bookmarkStart w:id="390" w:name="_Toc38437780"/>
      <w:bookmarkStart w:id="391" w:name="_Toc38437926"/>
      <w:bookmarkStart w:id="392" w:name="_Toc38438072"/>
      <w:bookmarkStart w:id="393" w:name="_Toc38438218"/>
      <w:bookmarkStart w:id="394" w:name="_Toc38438555"/>
      <w:bookmarkStart w:id="395" w:name="_Toc38438892"/>
      <w:bookmarkStart w:id="396" w:name="_Toc38439229"/>
      <w:bookmarkStart w:id="397" w:name="_Toc38439566"/>
      <w:bookmarkStart w:id="398" w:name="_Toc38439903"/>
      <w:bookmarkStart w:id="399" w:name="_Toc38440240"/>
      <w:bookmarkStart w:id="400" w:name="_Toc38440577"/>
      <w:bookmarkStart w:id="401" w:name="_Toc38440776"/>
      <w:bookmarkStart w:id="402" w:name="_Toc38441109"/>
      <w:bookmarkStart w:id="403" w:name="_Toc38441441"/>
      <w:bookmarkStart w:id="404" w:name="_Toc38441773"/>
      <w:bookmarkStart w:id="405" w:name="_Toc38442101"/>
      <w:bookmarkStart w:id="406" w:name="_Toc38442433"/>
      <w:bookmarkStart w:id="407" w:name="_Toc38442765"/>
      <w:bookmarkStart w:id="408" w:name="_Toc38443096"/>
      <w:bookmarkStart w:id="409" w:name="_Toc38443427"/>
      <w:bookmarkStart w:id="410" w:name="_Toc38443758"/>
      <w:bookmarkStart w:id="411" w:name="_Toc38433505"/>
      <w:bookmarkStart w:id="412" w:name="_Toc38433640"/>
      <w:bookmarkStart w:id="413" w:name="_Toc38433774"/>
      <w:bookmarkStart w:id="414" w:name="_Toc38433924"/>
      <w:bookmarkStart w:id="415" w:name="_Toc38434072"/>
      <w:bookmarkStart w:id="416" w:name="_Toc38434220"/>
      <w:bookmarkStart w:id="417" w:name="_Toc38434366"/>
      <w:bookmarkStart w:id="418" w:name="_Toc38434509"/>
      <w:bookmarkStart w:id="419" w:name="_Toc38434652"/>
      <w:bookmarkStart w:id="420" w:name="_Toc38434795"/>
      <w:bookmarkStart w:id="421" w:name="_Toc38434939"/>
      <w:bookmarkStart w:id="422" w:name="_Toc38437635"/>
      <w:bookmarkStart w:id="423" w:name="_Toc38437781"/>
      <w:bookmarkStart w:id="424" w:name="_Toc38437927"/>
      <w:bookmarkStart w:id="425" w:name="_Toc38438073"/>
      <w:bookmarkStart w:id="426" w:name="_Toc38438219"/>
      <w:bookmarkStart w:id="427" w:name="_Toc38438556"/>
      <w:bookmarkStart w:id="428" w:name="_Toc38438893"/>
      <w:bookmarkStart w:id="429" w:name="_Toc38439230"/>
      <w:bookmarkStart w:id="430" w:name="_Toc38439567"/>
      <w:bookmarkStart w:id="431" w:name="_Toc38439904"/>
      <w:bookmarkStart w:id="432" w:name="_Toc38440241"/>
      <w:bookmarkStart w:id="433" w:name="_Toc38440578"/>
      <w:bookmarkStart w:id="434" w:name="_Toc38440777"/>
      <w:bookmarkStart w:id="435" w:name="_Toc38441110"/>
      <w:bookmarkStart w:id="436" w:name="_Toc38441442"/>
      <w:bookmarkStart w:id="437" w:name="_Toc38441774"/>
      <w:bookmarkStart w:id="438" w:name="_Toc38442102"/>
      <w:bookmarkStart w:id="439" w:name="_Toc38442434"/>
      <w:bookmarkStart w:id="440" w:name="_Toc38442766"/>
      <w:bookmarkStart w:id="441" w:name="_Toc38443097"/>
      <w:bookmarkStart w:id="442" w:name="_Toc38443428"/>
      <w:bookmarkStart w:id="443" w:name="_Toc38443759"/>
      <w:bookmarkStart w:id="444" w:name="_Toc38433506"/>
      <w:bookmarkStart w:id="445" w:name="_Toc38433641"/>
      <w:bookmarkStart w:id="446" w:name="_Toc38433775"/>
      <w:bookmarkStart w:id="447" w:name="_Toc38433925"/>
      <w:bookmarkStart w:id="448" w:name="_Toc38434073"/>
      <w:bookmarkStart w:id="449" w:name="_Toc38434221"/>
      <w:bookmarkStart w:id="450" w:name="_Toc38434367"/>
      <w:bookmarkStart w:id="451" w:name="_Toc38434510"/>
      <w:bookmarkStart w:id="452" w:name="_Toc38434653"/>
      <w:bookmarkStart w:id="453" w:name="_Toc38434796"/>
      <w:bookmarkStart w:id="454" w:name="_Toc38434940"/>
      <w:bookmarkStart w:id="455" w:name="_Toc38437636"/>
      <w:bookmarkStart w:id="456" w:name="_Toc38437782"/>
      <w:bookmarkStart w:id="457" w:name="_Toc38437928"/>
      <w:bookmarkStart w:id="458" w:name="_Toc38438074"/>
      <w:bookmarkStart w:id="459" w:name="_Toc38438220"/>
      <w:bookmarkStart w:id="460" w:name="_Toc38438557"/>
      <w:bookmarkStart w:id="461" w:name="_Toc38438894"/>
      <w:bookmarkStart w:id="462" w:name="_Toc38439231"/>
      <w:bookmarkStart w:id="463" w:name="_Toc38439568"/>
      <w:bookmarkStart w:id="464" w:name="_Toc38439905"/>
      <w:bookmarkStart w:id="465" w:name="_Toc38440242"/>
      <w:bookmarkStart w:id="466" w:name="_Toc38440579"/>
      <w:bookmarkStart w:id="467" w:name="_Toc38440778"/>
      <w:bookmarkStart w:id="468" w:name="_Toc38441111"/>
      <w:bookmarkStart w:id="469" w:name="_Toc38441443"/>
      <w:bookmarkStart w:id="470" w:name="_Toc38441775"/>
      <w:bookmarkStart w:id="471" w:name="_Toc38442103"/>
      <w:bookmarkStart w:id="472" w:name="_Toc38442435"/>
      <w:bookmarkStart w:id="473" w:name="_Toc38442767"/>
      <w:bookmarkStart w:id="474" w:name="_Toc38443098"/>
      <w:bookmarkStart w:id="475" w:name="_Toc38443429"/>
      <w:bookmarkStart w:id="476" w:name="_Toc38443760"/>
      <w:bookmarkStart w:id="477" w:name="_Toc38433507"/>
      <w:bookmarkStart w:id="478" w:name="_Toc38433642"/>
      <w:bookmarkStart w:id="479" w:name="_Toc38433776"/>
      <w:bookmarkStart w:id="480" w:name="_Toc38433926"/>
      <w:bookmarkStart w:id="481" w:name="_Toc38434074"/>
      <w:bookmarkStart w:id="482" w:name="_Toc38434222"/>
      <w:bookmarkStart w:id="483" w:name="_Toc38434368"/>
      <w:bookmarkStart w:id="484" w:name="_Toc38434511"/>
      <w:bookmarkStart w:id="485" w:name="_Toc38434654"/>
      <w:bookmarkStart w:id="486" w:name="_Toc38434797"/>
      <w:bookmarkStart w:id="487" w:name="_Toc38434941"/>
      <w:bookmarkStart w:id="488" w:name="_Toc38437637"/>
      <w:bookmarkStart w:id="489" w:name="_Toc38437783"/>
      <w:bookmarkStart w:id="490" w:name="_Toc38437929"/>
      <w:bookmarkStart w:id="491" w:name="_Toc38438075"/>
      <w:bookmarkStart w:id="492" w:name="_Toc38438221"/>
      <w:bookmarkStart w:id="493" w:name="_Toc38438558"/>
      <w:bookmarkStart w:id="494" w:name="_Toc38438895"/>
      <w:bookmarkStart w:id="495" w:name="_Toc38439232"/>
      <w:bookmarkStart w:id="496" w:name="_Toc38439569"/>
      <w:bookmarkStart w:id="497" w:name="_Toc38439906"/>
      <w:bookmarkStart w:id="498" w:name="_Toc38440243"/>
      <w:bookmarkStart w:id="499" w:name="_Toc38440580"/>
      <w:bookmarkStart w:id="500" w:name="_Toc38440779"/>
      <w:bookmarkStart w:id="501" w:name="_Toc38441112"/>
      <w:bookmarkStart w:id="502" w:name="_Toc38441444"/>
      <w:bookmarkStart w:id="503" w:name="_Toc38441776"/>
      <w:bookmarkStart w:id="504" w:name="_Toc38442104"/>
      <w:bookmarkStart w:id="505" w:name="_Toc38442436"/>
      <w:bookmarkStart w:id="506" w:name="_Toc38442768"/>
      <w:bookmarkStart w:id="507" w:name="_Toc38443099"/>
      <w:bookmarkStart w:id="508" w:name="_Toc38443430"/>
      <w:bookmarkStart w:id="509" w:name="_Toc38443761"/>
      <w:bookmarkStart w:id="510" w:name="_Toc38433508"/>
      <w:bookmarkStart w:id="511" w:name="_Toc38433643"/>
      <w:bookmarkStart w:id="512" w:name="_Toc38433777"/>
      <w:bookmarkStart w:id="513" w:name="_Toc38433927"/>
      <w:bookmarkStart w:id="514" w:name="_Toc38434075"/>
      <w:bookmarkStart w:id="515" w:name="_Toc38434223"/>
      <w:bookmarkStart w:id="516" w:name="_Toc38434369"/>
      <w:bookmarkStart w:id="517" w:name="_Toc38434512"/>
      <w:bookmarkStart w:id="518" w:name="_Toc38434655"/>
      <w:bookmarkStart w:id="519" w:name="_Toc38434798"/>
      <w:bookmarkStart w:id="520" w:name="_Toc38434942"/>
      <w:bookmarkStart w:id="521" w:name="_Toc38437638"/>
      <w:bookmarkStart w:id="522" w:name="_Toc38437784"/>
      <w:bookmarkStart w:id="523" w:name="_Toc38437930"/>
      <w:bookmarkStart w:id="524" w:name="_Toc38438076"/>
      <w:bookmarkStart w:id="525" w:name="_Toc38438222"/>
      <w:bookmarkStart w:id="526" w:name="_Toc38438559"/>
      <w:bookmarkStart w:id="527" w:name="_Toc38438896"/>
      <w:bookmarkStart w:id="528" w:name="_Toc38439233"/>
      <w:bookmarkStart w:id="529" w:name="_Toc38439570"/>
      <w:bookmarkStart w:id="530" w:name="_Toc38439907"/>
      <w:bookmarkStart w:id="531" w:name="_Toc38440244"/>
      <w:bookmarkStart w:id="532" w:name="_Toc38440581"/>
      <w:bookmarkStart w:id="533" w:name="_Toc38440780"/>
      <w:bookmarkStart w:id="534" w:name="_Toc38441113"/>
      <w:bookmarkStart w:id="535" w:name="_Toc38441445"/>
      <w:bookmarkStart w:id="536" w:name="_Toc38441777"/>
      <w:bookmarkStart w:id="537" w:name="_Toc38442105"/>
      <w:bookmarkStart w:id="538" w:name="_Toc38442437"/>
      <w:bookmarkStart w:id="539" w:name="_Toc38442769"/>
      <w:bookmarkStart w:id="540" w:name="_Toc38443100"/>
      <w:bookmarkStart w:id="541" w:name="_Toc38443431"/>
      <w:bookmarkStart w:id="542" w:name="_Toc38443762"/>
      <w:bookmarkStart w:id="543" w:name="_Toc38433510"/>
      <w:bookmarkStart w:id="544" w:name="_Toc38433645"/>
      <w:bookmarkStart w:id="545" w:name="_Toc38433779"/>
      <w:bookmarkStart w:id="546" w:name="_Toc38433929"/>
      <w:bookmarkStart w:id="547" w:name="_Toc38434077"/>
      <w:bookmarkStart w:id="548" w:name="_Toc38434225"/>
      <w:bookmarkStart w:id="549" w:name="_Toc38434371"/>
      <w:bookmarkStart w:id="550" w:name="_Toc38434514"/>
      <w:bookmarkStart w:id="551" w:name="_Toc38434657"/>
      <w:bookmarkStart w:id="552" w:name="_Toc38434800"/>
      <w:bookmarkStart w:id="553" w:name="_Toc38434944"/>
      <w:bookmarkStart w:id="554" w:name="_Toc38437640"/>
      <w:bookmarkStart w:id="555" w:name="_Toc38437786"/>
      <w:bookmarkStart w:id="556" w:name="_Toc38437932"/>
      <w:bookmarkStart w:id="557" w:name="_Toc38438078"/>
      <w:bookmarkStart w:id="558" w:name="_Toc38438224"/>
      <w:bookmarkStart w:id="559" w:name="_Toc38438561"/>
      <w:bookmarkStart w:id="560" w:name="_Toc38438898"/>
      <w:bookmarkStart w:id="561" w:name="_Toc38439235"/>
      <w:bookmarkStart w:id="562" w:name="_Toc38439572"/>
      <w:bookmarkStart w:id="563" w:name="_Toc38439909"/>
      <w:bookmarkStart w:id="564" w:name="_Toc38440246"/>
      <w:bookmarkStart w:id="565" w:name="_Toc38440583"/>
      <w:bookmarkStart w:id="566" w:name="_Toc38440782"/>
      <w:bookmarkStart w:id="567" w:name="_Toc38441115"/>
      <w:bookmarkStart w:id="568" w:name="_Toc38441447"/>
      <w:bookmarkStart w:id="569" w:name="_Toc38441779"/>
      <w:bookmarkStart w:id="570" w:name="_Toc38442107"/>
      <w:bookmarkStart w:id="571" w:name="_Toc38442439"/>
      <w:bookmarkStart w:id="572" w:name="_Toc38442771"/>
      <w:bookmarkStart w:id="573" w:name="_Toc38443102"/>
      <w:bookmarkStart w:id="574" w:name="_Toc38443433"/>
      <w:bookmarkStart w:id="575" w:name="_Toc38443764"/>
      <w:bookmarkStart w:id="576" w:name="_Toc13148353"/>
      <w:bookmarkStart w:id="577" w:name="_Toc13150581"/>
      <w:bookmarkStart w:id="578" w:name="_Toc13291966"/>
      <w:bookmarkStart w:id="579" w:name="_Toc13504692"/>
      <w:bookmarkStart w:id="580" w:name="_Toc13504808"/>
      <w:bookmarkStart w:id="581" w:name="_Toc13556301"/>
      <w:bookmarkStart w:id="582" w:name="_Toc14337423"/>
      <w:bookmarkStart w:id="583" w:name="_Toc13148354"/>
      <w:bookmarkStart w:id="584" w:name="_Toc13150582"/>
      <w:bookmarkStart w:id="585" w:name="_Toc13291967"/>
      <w:bookmarkStart w:id="586" w:name="_Toc13504693"/>
      <w:bookmarkStart w:id="587" w:name="_Toc13504809"/>
      <w:bookmarkStart w:id="588" w:name="_Toc13556302"/>
      <w:bookmarkStart w:id="589" w:name="_Toc14337424"/>
      <w:bookmarkStart w:id="590" w:name="_Toc13148355"/>
      <w:bookmarkStart w:id="591" w:name="_Toc13150583"/>
      <w:bookmarkStart w:id="592" w:name="_Toc13291968"/>
      <w:bookmarkStart w:id="593" w:name="_Toc13504694"/>
      <w:bookmarkStart w:id="594" w:name="_Toc13504810"/>
      <w:bookmarkStart w:id="595" w:name="_Toc13556303"/>
      <w:bookmarkStart w:id="596" w:name="_Toc14337425"/>
      <w:bookmarkStart w:id="597" w:name="_Toc13148356"/>
      <w:bookmarkStart w:id="598" w:name="_Toc13150584"/>
      <w:bookmarkStart w:id="599" w:name="_Toc13291969"/>
      <w:bookmarkStart w:id="600" w:name="_Toc13504695"/>
      <w:bookmarkStart w:id="601" w:name="_Toc13504811"/>
      <w:bookmarkStart w:id="602" w:name="_Toc13556304"/>
      <w:bookmarkStart w:id="603" w:name="_Toc14337426"/>
      <w:bookmarkStart w:id="604" w:name="_Toc13148357"/>
      <w:bookmarkStart w:id="605" w:name="_Toc13150585"/>
      <w:bookmarkStart w:id="606" w:name="_Toc13291970"/>
      <w:bookmarkStart w:id="607" w:name="_Toc13504696"/>
      <w:bookmarkStart w:id="608" w:name="_Toc13504812"/>
      <w:bookmarkStart w:id="609" w:name="_Toc13556305"/>
      <w:bookmarkStart w:id="610" w:name="_Toc14337427"/>
      <w:bookmarkStart w:id="611" w:name="_Toc13148358"/>
      <w:bookmarkStart w:id="612" w:name="_Toc13150586"/>
      <w:bookmarkStart w:id="613" w:name="_Toc13291971"/>
      <w:bookmarkStart w:id="614" w:name="_Toc13504697"/>
      <w:bookmarkStart w:id="615" w:name="_Toc13504813"/>
      <w:bookmarkStart w:id="616" w:name="_Toc13556306"/>
      <w:bookmarkStart w:id="617" w:name="_Toc14337428"/>
      <w:bookmarkStart w:id="618" w:name="_Toc13148359"/>
      <w:bookmarkStart w:id="619" w:name="_Toc13150587"/>
      <w:bookmarkStart w:id="620" w:name="_Toc13291972"/>
      <w:bookmarkStart w:id="621" w:name="_Toc13504698"/>
      <w:bookmarkStart w:id="622" w:name="_Toc13504814"/>
      <w:bookmarkStart w:id="623" w:name="_Toc13556307"/>
      <w:bookmarkStart w:id="624" w:name="_Toc14337429"/>
      <w:bookmarkStart w:id="625" w:name="_Toc13148360"/>
      <w:bookmarkStart w:id="626" w:name="_Toc13150588"/>
      <w:bookmarkStart w:id="627" w:name="_Toc13291973"/>
      <w:bookmarkStart w:id="628" w:name="_Toc13504699"/>
      <w:bookmarkStart w:id="629" w:name="_Toc13504815"/>
      <w:bookmarkStart w:id="630" w:name="_Toc13556308"/>
      <w:bookmarkStart w:id="631" w:name="_Toc14337430"/>
      <w:bookmarkStart w:id="632" w:name="_Toc13148361"/>
      <w:bookmarkStart w:id="633" w:name="_Toc13150589"/>
      <w:bookmarkStart w:id="634" w:name="_Toc13291974"/>
      <w:bookmarkStart w:id="635" w:name="_Toc13504700"/>
      <w:bookmarkStart w:id="636" w:name="_Toc13504816"/>
      <w:bookmarkStart w:id="637" w:name="_Toc13556309"/>
      <w:bookmarkStart w:id="638" w:name="_Toc14337431"/>
      <w:bookmarkStart w:id="639" w:name="_Toc13148362"/>
      <w:bookmarkStart w:id="640" w:name="_Toc13150590"/>
      <w:bookmarkStart w:id="641" w:name="_Toc13291975"/>
      <w:bookmarkStart w:id="642" w:name="_Toc13504701"/>
      <w:bookmarkStart w:id="643" w:name="_Toc13504817"/>
      <w:bookmarkStart w:id="644" w:name="_Toc13556310"/>
      <w:bookmarkStart w:id="645" w:name="_Toc14337432"/>
      <w:bookmarkStart w:id="646" w:name="_Toc13148369"/>
      <w:bookmarkStart w:id="647" w:name="_Toc13150597"/>
      <w:bookmarkStart w:id="648" w:name="_Toc13291982"/>
      <w:bookmarkStart w:id="649" w:name="_Toc13504708"/>
      <w:bookmarkStart w:id="650" w:name="_Toc13504824"/>
      <w:bookmarkStart w:id="651" w:name="_Toc13556317"/>
      <w:bookmarkStart w:id="652" w:name="_Toc14337439"/>
      <w:bookmarkStart w:id="653" w:name="_Toc13148370"/>
      <w:bookmarkStart w:id="654" w:name="_Toc13150598"/>
      <w:bookmarkStart w:id="655" w:name="_Toc13291983"/>
      <w:bookmarkStart w:id="656" w:name="_Toc13504709"/>
      <w:bookmarkStart w:id="657" w:name="_Toc13504825"/>
      <w:bookmarkStart w:id="658" w:name="_Toc13556318"/>
      <w:bookmarkStart w:id="659" w:name="_Toc14337440"/>
      <w:bookmarkStart w:id="660" w:name="_Toc13148371"/>
      <w:bookmarkStart w:id="661" w:name="_Toc13150599"/>
      <w:bookmarkStart w:id="662" w:name="_Toc13291984"/>
      <w:bookmarkStart w:id="663" w:name="_Toc13504710"/>
      <w:bookmarkStart w:id="664" w:name="_Toc13504826"/>
      <w:bookmarkStart w:id="665" w:name="_Toc13556319"/>
      <w:bookmarkStart w:id="666" w:name="_Toc14337441"/>
      <w:bookmarkStart w:id="667" w:name="_Toc13148372"/>
      <w:bookmarkStart w:id="668" w:name="_Toc13150600"/>
      <w:bookmarkStart w:id="669" w:name="_Toc13291985"/>
      <w:bookmarkStart w:id="670" w:name="_Toc13504711"/>
      <w:bookmarkStart w:id="671" w:name="_Toc13504827"/>
      <w:bookmarkStart w:id="672" w:name="_Toc13556320"/>
      <w:bookmarkStart w:id="673" w:name="_Toc14337442"/>
      <w:bookmarkStart w:id="674" w:name="_Toc13148373"/>
      <w:bookmarkStart w:id="675" w:name="_Toc13150601"/>
      <w:bookmarkStart w:id="676" w:name="_Toc13291986"/>
      <w:bookmarkStart w:id="677" w:name="_Toc13504712"/>
      <w:bookmarkStart w:id="678" w:name="_Toc13504828"/>
      <w:bookmarkStart w:id="679" w:name="_Toc13556321"/>
      <w:bookmarkStart w:id="680" w:name="_Toc14337443"/>
      <w:bookmarkStart w:id="681" w:name="_Toc13148374"/>
      <w:bookmarkStart w:id="682" w:name="_Toc13150602"/>
      <w:bookmarkStart w:id="683" w:name="_Toc13291987"/>
      <w:bookmarkStart w:id="684" w:name="_Toc13504713"/>
      <w:bookmarkStart w:id="685" w:name="_Toc13504829"/>
      <w:bookmarkStart w:id="686" w:name="_Toc13556322"/>
      <w:bookmarkStart w:id="687" w:name="_Toc14337444"/>
      <w:bookmarkStart w:id="688" w:name="_Toc13148376"/>
      <w:bookmarkStart w:id="689" w:name="_Toc13150604"/>
      <w:bookmarkStart w:id="690" w:name="_Toc13291989"/>
      <w:bookmarkStart w:id="691" w:name="_Toc13504715"/>
      <w:bookmarkStart w:id="692" w:name="_Toc13504831"/>
      <w:bookmarkStart w:id="693" w:name="_Toc13556324"/>
      <w:bookmarkStart w:id="694" w:name="_Toc14337446"/>
      <w:bookmarkStart w:id="695" w:name="_Toc13148377"/>
      <w:bookmarkStart w:id="696" w:name="_Toc13150605"/>
      <w:bookmarkStart w:id="697" w:name="_Toc13291990"/>
      <w:bookmarkStart w:id="698" w:name="_Toc13504716"/>
      <w:bookmarkStart w:id="699" w:name="_Toc13504832"/>
      <w:bookmarkStart w:id="700" w:name="_Toc13556325"/>
      <w:bookmarkStart w:id="701" w:name="_Toc14337447"/>
      <w:bookmarkStart w:id="702" w:name="_Toc13148379"/>
      <w:bookmarkStart w:id="703" w:name="_Toc13150607"/>
      <w:bookmarkStart w:id="704" w:name="_Toc13291992"/>
      <w:bookmarkStart w:id="705" w:name="_Toc13504718"/>
      <w:bookmarkStart w:id="706" w:name="_Toc13504834"/>
      <w:bookmarkStart w:id="707" w:name="_Toc13556327"/>
      <w:bookmarkStart w:id="708" w:name="_Toc14337449"/>
      <w:bookmarkStart w:id="709" w:name="_Toc13148381"/>
      <w:bookmarkStart w:id="710" w:name="_Toc13150609"/>
      <w:bookmarkStart w:id="711" w:name="_Toc13291994"/>
      <w:bookmarkStart w:id="712" w:name="_Toc13504720"/>
      <w:bookmarkStart w:id="713" w:name="_Toc13504836"/>
      <w:bookmarkStart w:id="714" w:name="_Toc13556329"/>
      <w:bookmarkStart w:id="715" w:name="_Toc14337451"/>
      <w:bookmarkStart w:id="716" w:name="_Toc13148384"/>
      <w:bookmarkStart w:id="717" w:name="_Toc13150612"/>
      <w:bookmarkStart w:id="718" w:name="_Toc13291997"/>
      <w:bookmarkStart w:id="719" w:name="_Toc13504723"/>
      <w:bookmarkStart w:id="720" w:name="_Toc13504839"/>
      <w:bookmarkStart w:id="721" w:name="_Toc13556332"/>
      <w:bookmarkStart w:id="722" w:name="_Toc14337454"/>
      <w:bookmarkStart w:id="723" w:name="_Toc13148385"/>
      <w:bookmarkStart w:id="724" w:name="_Toc13150613"/>
      <w:bookmarkStart w:id="725" w:name="_Toc13291998"/>
      <w:bookmarkStart w:id="726" w:name="_Toc13504724"/>
      <w:bookmarkStart w:id="727" w:name="_Toc13504840"/>
      <w:bookmarkStart w:id="728" w:name="_Toc13556333"/>
      <w:bookmarkStart w:id="729" w:name="_Toc14337455"/>
      <w:bookmarkStart w:id="730" w:name="_Toc13148390"/>
      <w:bookmarkStart w:id="731" w:name="_Toc13150618"/>
      <w:bookmarkStart w:id="732" w:name="_Toc13292003"/>
      <w:bookmarkStart w:id="733" w:name="_Toc13504729"/>
      <w:bookmarkStart w:id="734" w:name="_Toc13504845"/>
      <w:bookmarkStart w:id="735" w:name="_Toc13556338"/>
      <w:bookmarkStart w:id="736" w:name="_Toc14337460"/>
      <w:bookmarkStart w:id="737" w:name="_Toc13148391"/>
      <w:bookmarkStart w:id="738" w:name="_Toc13150619"/>
      <w:bookmarkStart w:id="739" w:name="_Toc13292004"/>
      <w:bookmarkStart w:id="740" w:name="_Toc13504730"/>
      <w:bookmarkStart w:id="741" w:name="_Toc13504846"/>
      <w:bookmarkStart w:id="742" w:name="_Toc13556339"/>
      <w:bookmarkStart w:id="743" w:name="_Toc14337461"/>
      <w:bookmarkStart w:id="744" w:name="_Toc13148392"/>
      <w:bookmarkStart w:id="745" w:name="_Toc13150620"/>
      <w:bookmarkStart w:id="746" w:name="_Toc13292005"/>
      <w:bookmarkStart w:id="747" w:name="_Toc13504731"/>
      <w:bookmarkStart w:id="748" w:name="_Toc13504847"/>
      <w:bookmarkStart w:id="749" w:name="_Toc13556340"/>
      <w:bookmarkStart w:id="750" w:name="_Toc14337462"/>
      <w:bookmarkStart w:id="751" w:name="_Toc13148393"/>
      <w:bookmarkStart w:id="752" w:name="_Toc13150621"/>
      <w:bookmarkStart w:id="753" w:name="_Toc13292006"/>
      <w:bookmarkStart w:id="754" w:name="_Toc13504732"/>
      <w:bookmarkStart w:id="755" w:name="_Toc13504848"/>
      <w:bookmarkStart w:id="756" w:name="_Toc13556341"/>
      <w:bookmarkStart w:id="757" w:name="_Toc14337463"/>
      <w:bookmarkStart w:id="758" w:name="_Toc13148394"/>
      <w:bookmarkStart w:id="759" w:name="_Toc13150622"/>
      <w:bookmarkStart w:id="760" w:name="_Toc13292007"/>
      <w:bookmarkStart w:id="761" w:name="_Toc13504733"/>
      <w:bookmarkStart w:id="762" w:name="_Toc13504849"/>
      <w:bookmarkStart w:id="763" w:name="_Toc13556342"/>
      <w:bookmarkStart w:id="764" w:name="_Toc14337464"/>
      <w:bookmarkStart w:id="765" w:name="_Toc13148395"/>
      <w:bookmarkStart w:id="766" w:name="_Toc13150623"/>
      <w:bookmarkStart w:id="767" w:name="_Toc13292008"/>
      <w:bookmarkStart w:id="768" w:name="_Toc13504734"/>
      <w:bookmarkStart w:id="769" w:name="_Toc13504850"/>
      <w:bookmarkStart w:id="770" w:name="_Toc13556343"/>
      <w:bookmarkStart w:id="771" w:name="_Toc14337465"/>
      <w:bookmarkStart w:id="772" w:name="_Toc13148396"/>
      <w:bookmarkStart w:id="773" w:name="_Toc13150624"/>
      <w:bookmarkStart w:id="774" w:name="_Toc13292009"/>
      <w:bookmarkStart w:id="775" w:name="_Toc13504735"/>
      <w:bookmarkStart w:id="776" w:name="_Toc13504851"/>
      <w:bookmarkStart w:id="777" w:name="_Toc13556344"/>
      <w:bookmarkStart w:id="778" w:name="_Toc14337466"/>
      <w:bookmarkStart w:id="779" w:name="_Toc13148397"/>
      <w:bookmarkStart w:id="780" w:name="_Toc13150625"/>
      <w:bookmarkStart w:id="781" w:name="_Toc13292010"/>
      <w:bookmarkStart w:id="782" w:name="_Toc13504736"/>
      <w:bookmarkStart w:id="783" w:name="_Toc13504852"/>
      <w:bookmarkStart w:id="784" w:name="_Toc13556345"/>
      <w:bookmarkStart w:id="785" w:name="_Toc14337467"/>
      <w:bookmarkStart w:id="786" w:name="_Toc13148398"/>
      <w:bookmarkStart w:id="787" w:name="_Toc13150626"/>
      <w:bookmarkStart w:id="788" w:name="_Toc13292011"/>
      <w:bookmarkStart w:id="789" w:name="_Toc13504737"/>
      <w:bookmarkStart w:id="790" w:name="_Toc13504853"/>
      <w:bookmarkStart w:id="791" w:name="_Toc13556346"/>
      <w:bookmarkStart w:id="792" w:name="_Toc14337468"/>
      <w:bookmarkStart w:id="793" w:name="_Toc13148399"/>
      <w:bookmarkStart w:id="794" w:name="_Toc13150627"/>
      <w:bookmarkStart w:id="795" w:name="_Toc13292012"/>
      <w:bookmarkStart w:id="796" w:name="_Toc13504738"/>
      <w:bookmarkStart w:id="797" w:name="_Toc13504854"/>
      <w:bookmarkStart w:id="798" w:name="_Toc13556347"/>
      <w:bookmarkStart w:id="799" w:name="_Toc14337469"/>
      <w:bookmarkStart w:id="800" w:name="_Toc13148400"/>
      <w:bookmarkStart w:id="801" w:name="_Toc13150628"/>
      <w:bookmarkStart w:id="802" w:name="_Toc13292013"/>
      <w:bookmarkStart w:id="803" w:name="_Toc13504739"/>
      <w:bookmarkStart w:id="804" w:name="_Toc13504855"/>
      <w:bookmarkStart w:id="805" w:name="_Toc13556348"/>
      <w:bookmarkStart w:id="806" w:name="_Toc14337470"/>
      <w:bookmarkStart w:id="807" w:name="_Toc13148401"/>
      <w:bookmarkStart w:id="808" w:name="_Toc13150629"/>
      <w:bookmarkStart w:id="809" w:name="_Toc13292014"/>
      <w:bookmarkStart w:id="810" w:name="_Toc13504740"/>
      <w:bookmarkStart w:id="811" w:name="_Toc13504856"/>
      <w:bookmarkStart w:id="812" w:name="_Toc13556349"/>
      <w:bookmarkStart w:id="813" w:name="_Toc14337471"/>
      <w:bookmarkStart w:id="814" w:name="_Toc13148402"/>
      <w:bookmarkStart w:id="815" w:name="_Toc13150630"/>
      <w:bookmarkStart w:id="816" w:name="_Toc13292015"/>
      <w:bookmarkStart w:id="817" w:name="_Toc13504741"/>
      <w:bookmarkStart w:id="818" w:name="_Toc13504857"/>
      <w:bookmarkStart w:id="819" w:name="_Toc13556350"/>
      <w:bookmarkStart w:id="820" w:name="_Toc14337472"/>
      <w:bookmarkStart w:id="821" w:name="_Toc13148408"/>
      <w:bookmarkStart w:id="822" w:name="_Toc13150636"/>
      <w:bookmarkStart w:id="823" w:name="_Toc13292021"/>
      <w:bookmarkStart w:id="824" w:name="_Toc13504747"/>
      <w:bookmarkStart w:id="825" w:name="_Toc13504863"/>
      <w:bookmarkStart w:id="826" w:name="_Toc13556356"/>
      <w:bookmarkStart w:id="827" w:name="_Toc14337478"/>
      <w:bookmarkStart w:id="828" w:name="_Toc13148409"/>
      <w:bookmarkStart w:id="829" w:name="_Toc13150637"/>
      <w:bookmarkStart w:id="830" w:name="_Toc13292022"/>
      <w:bookmarkStart w:id="831" w:name="_Toc13504748"/>
      <w:bookmarkStart w:id="832" w:name="_Toc13504864"/>
      <w:bookmarkStart w:id="833" w:name="_Toc13556357"/>
      <w:bookmarkStart w:id="834" w:name="_Toc14337479"/>
      <w:bookmarkStart w:id="835" w:name="_Toc13148411"/>
      <w:bookmarkStart w:id="836" w:name="_Toc13150639"/>
      <w:bookmarkStart w:id="837" w:name="_Toc13292024"/>
      <w:bookmarkStart w:id="838" w:name="_Toc13504750"/>
      <w:bookmarkStart w:id="839" w:name="_Toc13504866"/>
      <w:bookmarkStart w:id="840" w:name="_Toc13556359"/>
      <w:bookmarkStart w:id="841" w:name="_Toc14337481"/>
      <w:bookmarkStart w:id="842" w:name="_Toc13148412"/>
      <w:bookmarkStart w:id="843" w:name="_Toc13150640"/>
      <w:bookmarkStart w:id="844" w:name="_Toc13292025"/>
      <w:bookmarkStart w:id="845" w:name="_Toc13504751"/>
      <w:bookmarkStart w:id="846" w:name="_Toc13504867"/>
      <w:bookmarkStart w:id="847" w:name="_Toc13556360"/>
      <w:bookmarkStart w:id="848" w:name="_Toc14337482"/>
      <w:bookmarkStart w:id="849" w:name="_Toc13148413"/>
      <w:bookmarkStart w:id="850" w:name="_Toc13150641"/>
      <w:bookmarkStart w:id="851" w:name="_Toc13292026"/>
      <w:bookmarkStart w:id="852" w:name="_Toc13504752"/>
      <w:bookmarkStart w:id="853" w:name="_Toc13504868"/>
      <w:bookmarkStart w:id="854" w:name="_Toc13556361"/>
      <w:bookmarkStart w:id="855" w:name="_Toc14337483"/>
      <w:bookmarkStart w:id="856" w:name="_Toc91749301"/>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rsidRPr="008564FF">
        <w:rPr>
          <w:rFonts w:asciiTheme="minorEastAsia" w:eastAsiaTheme="minorEastAsia" w:hAnsiTheme="minorEastAsia" w:hint="eastAsia"/>
          <w:b w:val="0"/>
          <w:bCs/>
          <w:sz w:val="21"/>
        </w:rPr>
        <w:t>（六）争议的处理</w:t>
      </w:r>
      <w:bookmarkStart w:id="857" w:name="_Toc38438236"/>
      <w:bookmarkStart w:id="858" w:name="_Toc38438573"/>
      <w:bookmarkStart w:id="859" w:name="_Toc38438910"/>
      <w:bookmarkStart w:id="860" w:name="_Toc38439247"/>
      <w:bookmarkStart w:id="861" w:name="_Toc38439584"/>
      <w:bookmarkStart w:id="862" w:name="_Toc38439921"/>
      <w:bookmarkStart w:id="863" w:name="_Toc38440258"/>
      <w:bookmarkStart w:id="864" w:name="_Toc38440595"/>
      <w:bookmarkStart w:id="865" w:name="_Toc38440794"/>
      <w:bookmarkStart w:id="866" w:name="_Toc38441127"/>
      <w:bookmarkStart w:id="867" w:name="_Toc38441459"/>
      <w:bookmarkStart w:id="868" w:name="_Toc38441791"/>
      <w:bookmarkStart w:id="869" w:name="_Toc38442119"/>
      <w:bookmarkStart w:id="870" w:name="_Toc38442451"/>
      <w:bookmarkStart w:id="871" w:name="_Toc38442783"/>
      <w:bookmarkStart w:id="872" w:name="_Toc38443114"/>
      <w:bookmarkStart w:id="873" w:name="_Toc38443445"/>
      <w:bookmarkStart w:id="874" w:name="_Toc3844377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r w:rsidRPr="008564FF">
        <w:rPr>
          <w:rFonts w:asciiTheme="minorEastAsia" w:eastAsiaTheme="minorEastAsia" w:hAnsiTheme="minorEastAsia" w:hint="eastAsia"/>
          <w:b w:val="0"/>
          <w:bCs/>
          <w:sz w:val="21"/>
        </w:rPr>
        <w:t>和适用的法律</w:t>
      </w:r>
      <w:bookmarkEnd w:id="856"/>
    </w:p>
    <w:p w:rsidR="003A3487" w:rsidRPr="008564FF" w:rsidP="004549E4">
      <w:pPr>
        <w:autoSpaceDE w:val="0"/>
        <w:autoSpaceDN w:val="0"/>
        <w:snapToGrid w:val="0"/>
        <w:spacing w:line="360" w:lineRule="auto"/>
        <w:ind w:firstLine="420" w:firstLineChars="200"/>
        <w:textAlignment w:val="bottom"/>
        <w:rPr>
          <w:rFonts w:asciiTheme="minorEastAsia" w:eastAsiaTheme="minorEastAsia" w:hAnsiTheme="minorEastAsia"/>
          <w:szCs w:val="21"/>
        </w:rPr>
      </w:pPr>
      <w:r w:rsidRPr="008564FF">
        <w:rPr>
          <w:rFonts w:asciiTheme="minorEastAsia" w:eastAsiaTheme="minorEastAsia" w:hAnsiTheme="minorEastAsia" w:hint="eastAsia"/>
          <w:szCs w:val="21"/>
        </w:rPr>
        <w:t>各方当事人同意，因《基金合同》而产生的或与《基金合同》有关的一切争议，如经友好协商未能解决的，应提交中国国际经济贸易仲裁委员会根据该会当时有效的仲裁规则进行仲裁，仲裁的地点在北京，仲裁裁决是终局性的并对各方当事人具有约束力，仲裁费由败诉方承担。</w:t>
      </w:r>
    </w:p>
    <w:p w:rsidR="003A3487" w:rsidRPr="008564FF" w:rsidP="004549E4">
      <w:pPr>
        <w:autoSpaceDE w:val="0"/>
        <w:autoSpaceDN w:val="0"/>
        <w:snapToGrid w:val="0"/>
        <w:spacing w:line="360" w:lineRule="auto"/>
        <w:ind w:firstLine="420" w:firstLineChars="200"/>
        <w:textAlignment w:val="bottom"/>
        <w:rPr>
          <w:rFonts w:asciiTheme="minorEastAsia" w:eastAsiaTheme="minorEastAsia" w:hAnsiTheme="minorEastAsia"/>
          <w:szCs w:val="21"/>
        </w:rPr>
      </w:pPr>
      <w:r w:rsidRPr="008564FF">
        <w:rPr>
          <w:rFonts w:asciiTheme="minorEastAsia" w:eastAsiaTheme="minorEastAsia" w:hAnsiTheme="minorEastAsia" w:hint="eastAsia"/>
          <w:szCs w:val="21"/>
        </w:rPr>
        <w:t>《基金合同》受中国法律管辖。</w:t>
      </w:r>
    </w:p>
    <w:p w:rsidR="003A3487" w:rsidRPr="008564FF" w:rsidP="009C2B2A">
      <w:pPr>
        <w:pStyle w:val="Heading2"/>
        <w:snapToGrid w:val="0"/>
        <w:spacing w:beforeLines="0" w:afterLines="0" w:line="360" w:lineRule="auto"/>
        <w:ind w:firstLine="0" w:firstLineChars="0"/>
        <w:rPr>
          <w:rFonts w:asciiTheme="minorEastAsia" w:eastAsiaTheme="minorEastAsia" w:hAnsiTheme="minorEastAsia"/>
          <w:b w:val="0"/>
          <w:bCs/>
          <w:sz w:val="21"/>
        </w:rPr>
      </w:pPr>
      <w:bookmarkStart w:id="875" w:name="_Toc136870035"/>
      <w:bookmarkStart w:id="876" w:name="_Toc110945633"/>
      <w:bookmarkStart w:id="877" w:name="_Toc91749302"/>
      <w:r w:rsidRPr="008564FF">
        <w:rPr>
          <w:rFonts w:asciiTheme="minorEastAsia" w:eastAsiaTheme="minorEastAsia" w:hAnsiTheme="minorEastAsia" w:hint="eastAsia"/>
          <w:b w:val="0"/>
          <w:bCs/>
          <w:sz w:val="21"/>
        </w:rPr>
        <w:t>（七）基金合同的存放及查阅方式</w:t>
      </w:r>
      <w:bookmarkEnd w:id="875"/>
      <w:bookmarkEnd w:id="876"/>
      <w:bookmarkEnd w:id="877"/>
    </w:p>
    <w:p w:rsidR="003A3487" w:rsidRPr="008564FF" w:rsidP="004549E4">
      <w:pPr>
        <w:autoSpaceDE w:val="0"/>
        <w:autoSpaceDN w:val="0"/>
        <w:snapToGrid w:val="0"/>
        <w:spacing w:line="360" w:lineRule="auto"/>
        <w:ind w:firstLine="420" w:firstLineChars="200"/>
        <w:textAlignment w:val="bottom"/>
        <w:rPr>
          <w:rFonts w:asciiTheme="minorEastAsia" w:eastAsiaTheme="minorEastAsia" w:hAnsiTheme="minorEastAsia"/>
          <w:szCs w:val="21"/>
        </w:rPr>
      </w:pPr>
      <w:r w:rsidRPr="008564FF">
        <w:rPr>
          <w:rFonts w:asciiTheme="minorEastAsia" w:eastAsiaTheme="minorEastAsia" w:hAnsiTheme="minorEastAsia" w:hint="eastAsia"/>
          <w:szCs w:val="21"/>
        </w:rPr>
        <w:t>《基金合同》可印制成册，供投资者在基金管理人、基金托管人、代销机构的办公场所和营业场所查阅；投资者也可按工本费购买《基金合同》复制件或复印件，但内容应以《基金合同》正本为准。</w:t>
      </w:r>
    </w:p>
    <w:p w:rsidR="003A3487" w:rsidRPr="008564FF" w:rsidP="004549E4">
      <w:pPr>
        <w:snapToGrid w:val="0"/>
        <w:spacing w:line="360" w:lineRule="auto"/>
        <w:ind w:firstLine="420"/>
        <w:rPr>
          <w:rFonts w:asciiTheme="minorEastAsia" w:eastAsiaTheme="minorEastAsia" w:hAnsiTheme="minorEastAsia"/>
          <w:kern w:val="0"/>
          <w:sz w:val="20"/>
          <w:szCs w:val="20"/>
        </w:rPr>
      </w:pPr>
    </w:p>
    <w:p w:rsidR="003A3487" w:rsidRPr="008564FF" w:rsidP="009C2B2A">
      <w:pPr>
        <w:pStyle w:val="Heading1"/>
        <w:snapToGrid w:val="0"/>
        <w:spacing w:beforeLines="0" w:afterLines="0" w:line="360" w:lineRule="auto"/>
        <w:ind w:firstLine="643"/>
        <w:rPr>
          <w:rFonts w:asciiTheme="minorEastAsia" w:eastAsiaTheme="minorEastAsia" w:hAnsiTheme="minorEastAsia"/>
          <w:bCs/>
        </w:rPr>
      </w:pPr>
      <w:r w:rsidRPr="008564FF">
        <w:rPr>
          <w:rFonts w:asciiTheme="minorEastAsia" w:eastAsiaTheme="minorEastAsia" w:hAnsiTheme="minorEastAsia" w:hint="eastAsia"/>
          <w:b/>
          <w:bCs/>
        </w:rPr>
        <w:br w:type="page"/>
      </w:r>
      <w:bookmarkStart w:id="878" w:name="_Toc91749303"/>
      <w:r w:rsidRPr="008564FF">
        <w:rPr>
          <w:rFonts w:asciiTheme="minorEastAsia" w:eastAsiaTheme="minorEastAsia" w:hAnsiTheme="minorEastAsia" w:hint="eastAsia"/>
          <w:b/>
          <w:bCs/>
        </w:rPr>
        <w:t>二十二、基金托管协议的内容摘要</w:t>
      </w:r>
      <w:bookmarkEnd w:id="878"/>
    </w:p>
    <w:p w:rsidR="003A3487" w:rsidRPr="008564FF" w:rsidP="009C2B2A">
      <w:pPr>
        <w:pStyle w:val="Heading2"/>
        <w:snapToGrid w:val="0"/>
        <w:spacing w:beforeLines="0" w:afterLines="0" w:line="360" w:lineRule="auto"/>
        <w:ind w:firstLine="0" w:firstLineChars="0"/>
        <w:rPr>
          <w:rFonts w:asciiTheme="minorEastAsia" w:eastAsiaTheme="minorEastAsia" w:hAnsiTheme="minorEastAsia"/>
          <w:sz w:val="24"/>
        </w:rPr>
      </w:pPr>
      <w:bookmarkStart w:id="879" w:name="_Toc40511576"/>
      <w:bookmarkStart w:id="880" w:name="_Toc91749304"/>
      <w:r w:rsidRPr="008564FF">
        <w:rPr>
          <w:rFonts w:asciiTheme="minorEastAsia" w:eastAsiaTheme="minorEastAsia" w:hAnsiTheme="minorEastAsia" w:hint="eastAsia"/>
          <w:b w:val="0"/>
          <w:bCs/>
        </w:rPr>
        <w:t>（一）托管协议当事人</w:t>
      </w:r>
      <w:bookmarkEnd w:id="879"/>
      <w:bookmarkEnd w:id="880"/>
    </w:p>
    <w:p w:rsidR="003A3487" w:rsidRPr="008564FF" w:rsidP="004549E4">
      <w:pPr>
        <w:pStyle w:val="PlainText"/>
        <w:snapToGrid w:val="0"/>
        <w:spacing w:line="360" w:lineRule="auto"/>
        <w:ind w:firstLine="403" w:firstLineChars="192"/>
        <w:rPr>
          <w:rFonts w:asciiTheme="minorEastAsia" w:eastAsiaTheme="minorEastAsia" w:hAnsiTheme="minorEastAsia"/>
        </w:rPr>
      </w:pPr>
      <w:r w:rsidRPr="008564FF">
        <w:rPr>
          <w:rFonts w:asciiTheme="minorEastAsia" w:eastAsiaTheme="minorEastAsia" w:hAnsiTheme="minorEastAsia" w:hint="eastAsia"/>
        </w:rPr>
        <w:t>1、基金管理人（或简称“管理人”）</w:t>
      </w:r>
    </w:p>
    <w:p w:rsidR="00C55C0F" w:rsidRPr="008564FF" w:rsidP="004549E4">
      <w:pPr>
        <w:snapToGrid w:val="0"/>
        <w:spacing w:line="360" w:lineRule="auto"/>
        <w:ind w:firstLine="420" w:firstLineChars="200"/>
        <w:rPr>
          <w:rFonts w:asciiTheme="minorEastAsia" w:eastAsiaTheme="minorEastAsia" w:hAnsiTheme="minorEastAsia"/>
          <w:szCs w:val="21"/>
        </w:rPr>
      </w:pPr>
      <w:bookmarkStart w:id="881" w:name="_Toc15118236"/>
      <w:r w:rsidRPr="008564FF">
        <w:rPr>
          <w:rFonts w:asciiTheme="minorEastAsia" w:eastAsiaTheme="minorEastAsia" w:hAnsiTheme="minorEastAsia" w:hint="eastAsia"/>
          <w:szCs w:val="21"/>
        </w:rPr>
        <w:t>名称：易方达基金管理有限公司</w:t>
      </w:r>
    </w:p>
    <w:p w:rsidR="00C55C0F"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住所：</w:t>
      </w:r>
      <w:r w:rsidRPr="008564FF" w:rsidR="00466B10">
        <w:rPr>
          <w:rFonts w:asciiTheme="minorEastAsia" w:eastAsiaTheme="minorEastAsia" w:hAnsiTheme="minorEastAsia" w:hint="eastAsia"/>
          <w:szCs w:val="21"/>
        </w:rPr>
        <w:t>广东省珠海市横琴新区宝华路6号105室－42891（集中办公区）</w:t>
      </w:r>
    </w:p>
    <w:p w:rsidR="00C55C0F"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法定代表人：刘晓艳</w:t>
      </w:r>
    </w:p>
    <w:p w:rsidR="00C55C0F"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设立日期：</w:t>
      </w:r>
      <w:r w:rsidRPr="008564FF">
        <w:rPr>
          <w:rFonts w:asciiTheme="minorEastAsia" w:eastAsiaTheme="minorEastAsia" w:hAnsiTheme="minorEastAsia"/>
          <w:szCs w:val="21"/>
        </w:rPr>
        <w:t>2001年4月17日</w:t>
      </w:r>
    </w:p>
    <w:p w:rsidR="00C55C0F"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批准设立机关：中国证券监督管理委员会</w:t>
      </w:r>
    </w:p>
    <w:p w:rsidR="00C55C0F"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批准设立文号：证监基金字</w:t>
      </w:r>
      <w:r w:rsidRPr="008564FF">
        <w:rPr>
          <w:rFonts w:asciiTheme="minorEastAsia" w:eastAsiaTheme="minorEastAsia" w:hAnsiTheme="minorEastAsia"/>
          <w:szCs w:val="21"/>
        </w:rPr>
        <w:t>[2001]4号</w:t>
      </w:r>
    </w:p>
    <w:p w:rsidR="00C55C0F"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组织形式：有限责任公司</w:t>
      </w:r>
    </w:p>
    <w:p w:rsidR="00C55C0F"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注册资本：13,244.2万元人民币</w:t>
      </w:r>
    </w:p>
    <w:p w:rsidR="00C55C0F"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存续期限：持续经营</w:t>
      </w:r>
    </w:p>
    <w:p w:rsidR="00C55C0F"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联系电话：</w:t>
      </w:r>
      <w:r w:rsidRPr="008564FF" w:rsidR="00A378DB">
        <w:rPr>
          <w:rFonts w:asciiTheme="minorEastAsia" w:eastAsiaTheme="minorEastAsia" w:hAnsiTheme="minorEastAsia"/>
          <w:szCs w:val="21"/>
        </w:rPr>
        <w:t>4008818088</w:t>
      </w:r>
    </w:p>
    <w:p w:rsidR="00C55C0F"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传真：</w:t>
      </w:r>
      <w:r w:rsidRPr="008564FF">
        <w:rPr>
          <w:rFonts w:asciiTheme="minorEastAsia" w:eastAsiaTheme="minorEastAsia" w:hAnsiTheme="minorEastAsia"/>
          <w:szCs w:val="21"/>
        </w:rPr>
        <w:t>020-38799488</w:t>
      </w:r>
    </w:p>
    <w:p w:rsidR="00C55C0F" w:rsidRPr="008564FF" w:rsidP="004549E4">
      <w:pPr>
        <w:snapToGrid w:val="0"/>
        <w:spacing w:line="360" w:lineRule="auto"/>
        <w:ind w:right="28"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联系人：李红枫</w:t>
      </w:r>
    </w:p>
    <w:bookmarkEnd w:id="881"/>
    <w:p w:rsidR="003A3487" w:rsidRPr="008564FF" w:rsidP="004549E4">
      <w:pPr>
        <w:pStyle w:val="PlainText"/>
        <w:snapToGrid w:val="0"/>
        <w:spacing w:line="360" w:lineRule="auto"/>
        <w:ind w:firstLine="403" w:firstLineChars="192"/>
        <w:rPr>
          <w:rFonts w:asciiTheme="minorEastAsia" w:eastAsiaTheme="minorEastAsia" w:hAnsiTheme="minorEastAsia"/>
        </w:rPr>
      </w:pPr>
      <w:r w:rsidRPr="008564FF">
        <w:rPr>
          <w:rFonts w:asciiTheme="minorEastAsia" w:eastAsiaTheme="minorEastAsia" w:hAnsiTheme="minorEastAsia" w:hint="eastAsia"/>
        </w:rPr>
        <w:t>2、基金托管人（或简称“托管人”）</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名称：中国工商银行股份有限公司</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住所：北京市西城区复兴门内大街55号（100032）</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法定代表人：</w:t>
      </w:r>
      <w:r w:rsidRPr="008564FF" w:rsidR="004248B3">
        <w:rPr>
          <w:rFonts w:asciiTheme="minorEastAsia" w:eastAsiaTheme="minorEastAsia" w:hAnsiTheme="minorEastAsia" w:hint="eastAsia"/>
          <w:szCs w:val="21"/>
        </w:rPr>
        <w:t>陈四清</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电话：</w:t>
      </w:r>
      <w:r w:rsidRPr="008564FF" w:rsidR="005A2E2E">
        <w:rPr>
          <w:rFonts w:asciiTheme="minorEastAsia" w:eastAsiaTheme="minorEastAsia" w:hAnsiTheme="minorEastAsia"/>
          <w:szCs w:val="21"/>
        </w:rPr>
        <w:t>010-66105799</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传真：010</w:t>
      </w:r>
      <w:r w:rsidRPr="008564FF" w:rsidR="00E237D5">
        <w:rPr>
          <w:rFonts w:asciiTheme="minorEastAsia" w:eastAsiaTheme="minorEastAsia" w:hAnsiTheme="minorEastAsia" w:hint="eastAsia"/>
          <w:szCs w:val="21"/>
        </w:rPr>
        <w:t>-</w:t>
      </w:r>
      <w:r w:rsidRPr="008564FF">
        <w:rPr>
          <w:rFonts w:asciiTheme="minorEastAsia" w:eastAsiaTheme="minorEastAsia" w:hAnsiTheme="minorEastAsia" w:hint="eastAsia"/>
          <w:szCs w:val="21"/>
        </w:rPr>
        <w:t>66106904</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联系人：</w:t>
      </w:r>
      <w:r w:rsidRPr="008564FF" w:rsidR="00123EC2">
        <w:rPr>
          <w:rFonts w:asciiTheme="minorEastAsia" w:eastAsiaTheme="minorEastAsia" w:hAnsiTheme="minorEastAsia" w:hint="eastAsia"/>
          <w:szCs w:val="21"/>
        </w:rPr>
        <w:t>郭明</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成立时间：1984年1月1日</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组织形式：股份有限公司</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注册资本：</w:t>
      </w:r>
      <w:r w:rsidRPr="008564FF" w:rsidR="00123EC2">
        <w:rPr>
          <w:rFonts w:asciiTheme="minorEastAsia" w:eastAsiaTheme="minorEastAsia" w:hAnsiTheme="minorEastAsia" w:hint="eastAsia"/>
          <w:szCs w:val="21"/>
        </w:rPr>
        <w:t>人民币35,640,625.7089万元</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批准设立机关和设立文号：国务院《关于中国人民银行专门行使中央银行职能的决定》（国发[1983]146号）</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存续期间：持续经营</w:t>
      </w:r>
    </w:p>
    <w:p w:rsidR="003A3487" w:rsidRPr="008564FF" w:rsidP="004549E4">
      <w:pPr>
        <w:snapToGrid w:val="0"/>
        <w:spacing w:line="360" w:lineRule="auto"/>
        <w:ind w:right="28"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经营范围：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转账）；保险兼业代理业务；代理政策性银行、外国政府和国际金融机构贷款业务；保管箱服务；发行金融债券；买卖政府债券、金融债券；证券投资基金、企业年金托管业务；</w:t>
      </w:r>
      <w:r w:rsidRPr="008564FF">
        <w:rPr>
          <w:rFonts w:asciiTheme="minorEastAsia" w:eastAsiaTheme="minorEastAsia" w:hAnsiTheme="minorEastAsia" w:hint="eastAsia"/>
          <w:szCs w:val="21"/>
        </w:rPr>
        <w:t>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rsidR="003A3487" w:rsidRPr="008564FF" w:rsidP="009C2B2A">
      <w:pPr>
        <w:pStyle w:val="Heading2"/>
        <w:snapToGrid w:val="0"/>
        <w:spacing w:beforeLines="0" w:afterLines="0" w:line="360" w:lineRule="auto"/>
        <w:ind w:firstLine="0" w:firstLineChars="0"/>
        <w:rPr>
          <w:rFonts w:asciiTheme="minorEastAsia" w:eastAsiaTheme="minorEastAsia" w:hAnsiTheme="minorEastAsia"/>
          <w:b w:val="0"/>
          <w:bCs/>
        </w:rPr>
      </w:pPr>
      <w:bookmarkStart w:id="882" w:name="_Toc40511578"/>
      <w:bookmarkStart w:id="883" w:name="_Toc91749305"/>
      <w:r w:rsidRPr="008564FF">
        <w:rPr>
          <w:rFonts w:asciiTheme="minorEastAsia" w:eastAsiaTheme="minorEastAsia" w:hAnsiTheme="minorEastAsia" w:hint="eastAsia"/>
          <w:b w:val="0"/>
          <w:bCs/>
        </w:rPr>
        <w:t>（二）</w:t>
      </w:r>
      <w:bookmarkStart w:id="884" w:name="_Toc125361075"/>
      <w:bookmarkStart w:id="885" w:name="_Toc124749938"/>
      <w:bookmarkStart w:id="886" w:name="_Toc124749227"/>
      <w:r w:rsidRPr="008564FF">
        <w:rPr>
          <w:rFonts w:asciiTheme="minorEastAsia" w:eastAsiaTheme="minorEastAsia" w:hAnsiTheme="minorEastAsia" w:hint="eastAsia"/>
          <w:b w:val="0"/>
          <w:bCs/>
        </w:rPr>
        <w:t>基金托管人对基金管理人的业务监督和核查</w:t>
      </w:r>
      <w:bookmarkEnd w:id="882"/>
      <w:bookmarkEnd w:id="884"/>
      <w:bookmarkEnd w:id="885"/>
      <w:bookmarkEnd w:id="886"/>
      <w:bookmarkEnd w:id="883"/>
    </w:p>
    <w:p w:rsidR="003A3487" w:rsidRPr="008564FF" w:rsidP="0007535E">
      <w:pPr>
        <w:snapToGrid w:val="0"/>
        <w:spacing w:line="360" w:lineRule="auto"/>
        <w:ind w:firstLine="420" w:firstLineChars="200"/>
        <w:rPr>
          <w:rFonts w:asciiTheme="minorEastAsia" w:eastAsiaTheme="minorEastAsia" w:hAnsiTheme="minorEastAsia"/>
          <w:szCs w:val="21"/>
        </w:rPr>
      </w:pPr>
      <w:bookmarkStart w:id="887" w:name="_Toc200523000"/>
      <w:r w:rsidRPr="008564FF">
        <w:rPr>
          <w:rFonts w:asciiTheme="minorEastAsia" w:eastAsiaTheme="minorEastAsia" w:hAnsiTheme="minorEastAsia" w:hint="eastAsia"/>
          <w:szCs w:val="21"/>
        </w:rPr>
        <w:t>1、基金托管人对基金管理人的投资行为行使监督权</w:t>
      </w:r>
      <w:bookmarkEnd w:id="887"/>
    </w:p>
    <w:p w:rsidR="003A3487" w:rsidRPr="008564FF" w:rsidP="004549E4">
      <w:pPr>
        <w:widowControl/>
        <w:snapToGrid w:val="0"/>
        <w:spacing w:line="360" w:lineRule="auto"/>
        <w:ind w:firstLine="420" w:firstLineChars="200"/>
        <w:jc w:val="left"/>
        <w:rPr>
          <w:rFonts w:asciiTheme="minorEastAsia" w:eastAsiaTheme="minorEastAsia" w:hAnsiTheme="minorEastAsia"/>
          <w:szCs w:val="21"/>
        </w:rPr>
      </w:pPr>
      <w:r w:rsidRPr="008564FF">
        <w:rPr>
          <w:rFonts w:asciiTheme="minorEastAsia" w:eastAsiaTheme="minorEastAsia" w:hAnsiTheme="minorEastAsia" w:hint="eastAsia"/>
          <w:szCs w:val="21"/>
        </w:rPr>
        <w:t>（1）基金托管人根据有关法律法规的规定和《基金合同》的约定，对下述基金投资范围、投资对象进行监督。</w:t>
      </w:r>
    </w:p>
    <w:p w:rsidR="003A3487" w:rsidRPr="008564FF" w:rsidP="004549E4">
      <w:pPr>
        <w:widowControl/>
        <w:snapToGrid w:val="0"/>
        <w:spacing w:line="360" w:lineRule="auto"/>
        <w:ind w:firstLine="420" w:firstLineChars="200"/>
        <w:jc w:val="left"/>
        <w:rPr>
          <w:rFonts w:asciiTheme="minorEastAsia" w:eastAsiaTheme="minorEastAsia" w:hAnsiTheme="minorEastAsia" w:cs="宋体"/>
          <w:kern w:val="0"/>
          <w:szCs w:val="21"/>
        </w:rPr>
      </w:pPr>
      <w:r w:rsidRPr="008564FF">
        <w:rPr>
          <w:rFonts w:asciiTheme="minorEastAsia" w:eastAsiaTheme="minorEastAsia" w:hAnsiTheme="minorEastAsia" w:hint="eastAsia"/>
          <w:szCs w:val="21"/>
        </w:rPr>
        <w:t>本</w:t>
      </w:r>
      <w:r w:rsidRPr="008564FF">
        <w:rPr>
          <w:rFonts w:asciiTheme="minorEastAsia" w:eastAsiaTheme="minorEastAsia" w:hAnsiTheme="minorEastAsia" w:cs="宋体" w:hint="eastAsia"/>
          <w:kern w:val="0"/>
          <w:szCs w:val="21"/>
        </w:rPr>
        <w:t>基金将投资于以下金融工具：</w:t>
      </w:r>
    </w:p>
    <w:p w:rsidR="003A3487" w:rsidRPr="008564FF" w:rsidP="004549E4">
      <w:pPr>
        <w:snapToGrid w:val="0"/>
        <w:spacing w:line="360" w:lineRule="auto"/>
        <w:ind w:firstLine="420"/>
        <w:rPr>
          <w:rFonts w:asciiTheme="minorEastAsia" w:eastAsiaTheme="minorEastAsia" w:hAnsiTheme="minorEastAsia"/>
          <w:szCs w:val="21"/>
        </w:rPr>
      </w:pPr>
      <w:r w:rsidRPr="008564FF">
        <w:rPr>
          <w:rFonts w:asciiTheme="minorEastAsia" w:eastAsiaTheme="minorEastAsia" w:hAnsiTheme="minorEastAsia" w:hint="eastAsia"/>
          <w:szCs w:val="21"/>
        </w:rPr>
        <w:t>本基金的投资范围为具有良好流动性的金融工具，包括国内依法发行、上市的股票</w:t>
      </w:r>
      <w:r w:rsidRPr="008564FF" w:rsidR="009D1A75">
        <w:rPr>
          <w:rFonts w:asciiTheme="minorEastAsia" w:eastAsiaTheme="minorEastAsia" w:hAnsiTheme="minorEastAsia" w:hint="eastAsia"/>
          <w:szCs w:val="21"/>
        </w:rPr>
        <w:t>（含存托凭证）</w:t>
      </w:r>
      <w:r w:rsidRPr="008564FF">
        <w:rPr>
          <w:rFonts w:asciiTheme="minorEastAsia" w:eastAsiaTheme="minorEastAsia" w:hAnsiTheme="minorEastAsia" w:hint="eastAsia"/>
          <w:szCs w:val="21"/>
        </w:rPr>
        <w:t>、债券、权证、资产支持证券、货币市场工具及法律法规或中国证监会允许基金投资的其他金融工具。如法律法规或监管机构以后允许基金投资其它品种，基金管理人在履行适当程序后，可以将其纳入投资范围。</w:t>
      </w:r>
    </w:p>
    <w:p w:rsidR="003A3487" w:rsidRPr="008564FF" w:rsidP="004549E4">
      <w:pPr>
        <w:widowControl/>
        <w:snapToGrid w:val="0"/>
        <w:spacing w:line="360" w:lineRule="auto"/>
        <w:ind w:firstLine="420" w:firstLineChars="200"/>
        <w:jc w:val="left"/>
        <w:rPr>
          <w:rFonts w:asciiTheme="minorEastAsia" w:eastAsiaTheme="minorEastAsia" w:hAnsiTheme="minorEastAsia" w:cs="宋体"/>
          <w:kern w:val="0"/>
          <w:szCs w:val="21"/>
        </w:rPr>
      </w:pPr>
      <w:r w:rsidRPr="008564FF">
        <w:rPr>
          <w:rFonts w:asciiTheme="minorEastAsia" w:eastAsiaTheme="minorEastAsia" w:hAnsiTheme="minorEastAsia" w:hint="eastAsia"/>
          <w:kern w:val="0"/>
          <w:szCs w:val="21"/>
        </w:rPr>
        <w:t>本基金不得投资于相关法律、法规、部门规章及《基金合同》禁止投资的投资工具。</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（2）基金托管人根据有关法律法规的规定及《基金合同》的约定对下述基金投融资比例进行监督：</w:t>
      </w:r>
    </w:p>
    <w:p w:rsidR="003A3487" w:rsidRPr="008564FF" w:rsidP="004549E4">
      <w:pPr>
        <w:snapToGrid w:val="0"/>
        <w:spacing w:line="360" w:lineRule="auto"/>
        <w:ind w:firstLine="480"/>
        <w:rPr>
          <w:rFonts w:asciiTheme="minorEastAsia" w:eastAsiaTheme="minorEastAsia" w:hAnsiTheme="minorEastAsia"/>
          <w:szCs w:val="21"/>
        </w:rPr>
      </w:pPr>
      <w:r w:rsidRPr="008564FF">
        <w:rPr>
          <w:rFonts w:asciiTheme="minorEastAsia" w:eastAsiaTheme="minorEastAsia" w:hAnsiTheme="minorEastAsia" w:hint="eastAsia"/>
          <w:szCs w:val="21"/>
        </w:rPr>
        <w:t>1）按法律法规的规定及《基金合同》的约定，本基金的投资资产配置比例为：</w:t>
      </w:r>
    </w:p>
    <w:p w:rsidR="003A3487" w:rsidRPr="008564FF" w:rsidP="004549E4">
      <w:pPr>
        <w:snapToGrid w:val="0"/>
        <w:spacing w:line="360" w:lineRule="auto"/>
        <w:ind w:firstLine="420"/>
        <w:rPr>
          <w:rFonts w:asciiTheme="minorEastAsia" w:eastAsiaTheme="minorEastAsia" w:hAnsiTheme="minorEastAsia"/>
          <w:szCs w:val="21"/>
        </w:rPr>
      </w:pPr>
      <w:r w:rsidRPr="008564FF">
        <w:rPr>
          <w:rFonts w:asciiTheme="minorEastAsia" w:eastAsiaTheme="minorEastAsia" w:hAnsiTheme="minorEastAsia" w:hint="eastAsia"/>
          <w:szCs w:val="21"/>
        </w:rPr>
        <w:t>股票资产占基金资产的60%—95%；基金持有全部权证的市值不得超过基金资产净值的3%，基金保留的现金以及投资于到期日在一年以内的政府债券的比例合计不低于基金资产净值的5%</w:t>
      </w:r>
      <w:r w:rsidRPr="008564FF" w:rsidR="008A1A23">
        <w:rPr>
          <w:rFonts w:asciiTheme="minorEastAsia" w:eastAsiaTheme="minorEastAsia" w:hAnsiTheme="minorEastAsia" w:hint="eastAsia"/>
          <w:szCs w:val="21"/>
        </w:rPr>
        <w:t>，现金不包括结算备付金、存出保证金、应收申购款等</w:t>
      </w:r>
      <w:r w:rsidRPr="008564FF">
        <w:rPr>
          <w:rFonts w:asciiTheme="minorEastAsia" w:eastAsiaTheme="minorEastAsia" w:hAnsiTheme="minorEastAsia" w:hint="eastAsia"/>
          <w:szCs w:val="21"/>
        </w:rPr>
        <w:t>。本基金投资行业领先企业的资产不低于股票资产的80%。</w:t>
      </w:r>
    </w:p>
    <w:p w:rsidR="003A3487" w:rsidRPr="008564FF" w:rsidP="004549E4">
      <w:pPr>
        <w:snapToGrid w:val="0"/>
        <w:spacing w:line="360" w:lineRule="auto"/>
        <w:ind w:firstLine="420"/>
        <w:rPr>
          <w:rFonts w:asciiTheme="minorEastAsia" w:eastAsiaTheme="minorEastAsia" w:hAnsiTheme="minorEastAsia"/>
          <w:szCs w:val="21"/>
        </w:rPr>
      </w:pPr>
      <w:r w:rsidRPr="008564FF">
        <w:rPr>
          <w:rFonts w:asciiTheme="minorEastAsia" w:eastAsiaTheme="minorEastAsia" w:hAnsiTheme="minorEastAsia" w:hint="eastAsia"/>
          <w:szCs w:val="21"/>
        </w:rPr>
        <w:t>因基金规模或市场变化等因素导致投资组合不符合上述规定的，基金管理人应在合理的期限内调整基金的投资组合，以符合上述比例限定。法律法规另有规定时，从其规定。</w:t>
      </w:r>
    </w:p>
    <w:p w:rsidR="003A3487" w:rsidRPr="008564FF" w:rsidP="004549E4">
      <w:pPr>
        <w:snapToGrid w:val="0"/>
        <w:spacing w:line="360" w:lineRule="auto"/>
        <w:ind w:firstLine="420"/>
        <w:rPr>
          <w:rFonts w:asciiTheme="minorEastAsia" w:eastAsiaTheme="minorEastAsia" w:hAnsiTheme="minorEastAsia"/>
          <w:szCs w:val="21"/>
        </w:rPr>
      </w:pPr>
      <w:r w:rsidRPr="008564FF">
        <w:rPr>
          <w:rFonts w:asciiTheme="minorEastAsia" w:eastAsiaTheme="minorEastAsia" w:hAnsiTheme="minorEastAsia" w:hint="eastAsia"/>
          <w:szCs w:val="21"/>
        </w:rPr>
        <w:t>如法律法规或监管机构以后允许本基金投资其他品种，基金管理人在履行适当程序后，可以将其纳入投资范围，并可依据届时有效的法律法规适时合理地调整投资范围。</w:t>
      </w:r>
    </w:p>
    <w:p w:rsidR="003A3487" w:rsidRPr="008564FF" w:rsidP="004549E4">
      <w:pPr>
        <w:snapToGrid w:val="0"/>
        <w:spacing w:line="360" w:lineRule="auto"/>
        <w:ind w:firstLine="480"/>
        <w:rPr>
          <w:rFonts w:asciiTheme="minorEastAsia" w:eastAsiaTheme="minorEastAsia" w:hAnsiTheme="minorEastAsia"/>
          <w:szCs w:val="21"/>
        </w:rPr>
      </w:pPr>
      <w:r w:rsidRPr="008564FF">
        <w:rPr>
          <w:rFonts w:asciiTheme="minorEastAsia" w:eastAsiaTheme="minorEastAsia" w:hAnsiTheme="minorEastAsia" w:hint="eastAsia"/>
          <w:szCs w:val="21"/>
        </w:rPr>
        <w:t>2）根据法律法规的规定及《基金合同》的约定，本基金投资组合遵循以下投资限制：</w:t>
      </w:r>
    </w:p>
    <w:p w:rsidR="003A3487" w:rsidRPr="008564FF" w:rsidP="004549E4">
      <w:pPr>
        <w:snapToGrid w:val="0"/>
        <w:spacing w:line="360" w:lineRule="auto"/>
        <w:ind w:firstLine="630" w:firstLineChars="300"/>
        <w:rPr>
          <w:rFonts w:asciiTheme="minorEastAsia" w:eastAsiaTheme="minorEastAsia" w:hAnsiTheme="minorEastAsia"/>
          <w:szCs w:val="21"/>
        </w:rPr>
      </w:pPr>
      <w:r w:rsidRPr="008564FF">
        <w:rPr>
          <w:rFonts w:asciiTheme="minorEastAsia" w:eastAsiaTheme="minorEastAsia" w:hAnsiTheme="minorEastAsia" w:hint="eastAsia"/>
          <w:szCs w:val="21"/>
        </w:rPr>
        <w:t>①持有一家上市公司的股票，其市值不得超过基金资产净值的10%；</w:t>
      </w:r>
    </w:p>
    <w:p w:rsidR="003A3487" w:rsidRPr="008564FF" w:rsidP="004549E4">
      <w:pPr>
        <w:snapToGrid w:val="0"/>
        <w:spacing w:line="360" w:lineRule="auto"/>
        <w:ind w:firstLine="630" w:firstLineChars="300"/>
        <w:rPr>
          <w:rFonts w:asciiTheme="minorEastAsia" w:eastAsiaTheme="minorEastAsia" w:hAnsiTheme="minorEastAsia"/>
          <w:szCs w:val="21"/>
        </w:rPr>
      </w:pPr>
      <w:r w:rsidRPr="008564FF">
        <w:rPr>
          <w:rFonts w:asciiTheme="minorEastAsia" w:eastAsiaTheme="minorEastAsia" w:hAnsiTheme="minorEastAsia" w:hint="eastAsia"/>
          <w:szCs w:val="21"/>
        </w:rPr>
        <w:t>②</w:t>
      </w:r>
      <w:r w:rsidRPr="008564FF" w:rsidR="002A491D">
        <w:rPr>
          <w:rFonts w:asciiTheme="minorEastAsia" w:eastAsiaTheme="minorEastAsia" w:hAnsiTheme="minorEastAsia" w:hint="eastAsia"/>
          <w:szCs w:val="21"/>
        </w:rPr>
        <w:t>基金管理人管理且由基金托管人托管的全部基金</w:t>
      </w:r>
      <w:r w:rsidRPr="008564FF">
        <w:rPr>
          <w:rFonts w:asciiTheme="minorEastAsia" w:eastAsiaTheme="minorEastAsia" w:hAnsiTheme="minorEastAsia" w:hint="eastAsia"/>
          <w:szCs w:val="21"/>
        </w:rPr>
        <w:t>共同持有一家公司发行的证券，不得超过该证券的10%；本基金进入全国银行间同业市场进行债券回购的资金余额不得超过基金资产净值的40%；</w:t>
      </w:r>
    </w:p>
    <w:p w:rsidR="003A3487" w:rsidRPr="008564FF" w:rsidP="004549E4">
      <w:pPr>
        <w:snapToGrid w:val="0"/>
        <w:spacing w:line="360" w:lineRule="auto"/>
        <w:ind w:firstLine="630" w:firstLineChars="300"/>
        <w:rPr>
          <w:rFonts w:asciiTheme="minorEastAsia" w:eastAsiaTheme="minorEastAsia" w:hAnsiTheme="minorEastAsia"/>
          <w:szCs w:val="21"/>
        </w:rPr>
      </w:pPr>
      <w:r w:rsidRPr="008564FF">
        <w:rPr>
          <w:rFonts w:asciiTheme="minorEastAsia" w:eastAsiaTheme="minorEastAsia" w:hAnsiTheme="minorEastAsia" w:hint="eastAsia"/>
          <w:szCs w:val="21"/>
        </w:rPr>
        <w:t>③</w:t>
      </w:r>
      <w:r w:rsidRPr="008564FF">
        <w:rPr>
          <w:rFonts w:asciiTheme="minorEastAsia" w:eastAsiaTheme="minorEastAsia" w:hAnsiTheme="minorEastAsia" w:cs="楷体_GB2312" w:hint="eastAsia"/>
          <w:szCs w:val="21"/>
        </w:rPr>
        <w:t>本</w:t>
      </w:r>
      <w:r w:rsidRPr="008564FF">
        <w:rPr>
          <w:rFonts w:asciiTheme="minorEastAsia" w:eastAsiaTheme="minorEastAsia" w:hAnsiTheme="minorEastAsia" w:hint="eastAsia"/>
          <w:szCs w:val="21"/>
        </w:rPr>
        <w:t>基金在任何交易日买入权证的总金额，不超过上一交易日基金资产净值的0.5%，</w:t>
      </w:r>
      <w:r w:rsidRPr="008564FF">
        <w:rPr>
          <w:rFonts w:asciiTheme="minorEastAsia" w:eastAsiaTheme="minorEastAsia" w:hAnsiTheme="minorEastAsia" w:hint="eastAsia"/>
          <w:szCs w:val="21"/>
        </w:rPr>
        <w:t>基金持有的全部权证的市值不超过基金资产净值的3%，</w:t>
      </w:r>
      <w:r w:rsidRPr="008564FF" w:rsidR="002A491D">
        <w:rPr>
          <w:rFonts w:asciiTheme="minorEastAsia" w:eastAsiaTheme="minorEastAsia" w:hAnsiTheme="minorEastAsia" w:hint="eastAsia"/>
          <w:szCs w:val="21"/>
        </w:rPr>
        <w:t>基金管理人管理且由基金托管人托管的全部基金</w:t>
      </w:r>
      <w:r w:rsidRPr="008564FF">
        <w:rPr>
          <w:rFonts w:asciiTheme="minorEastAsia" w:eastAsiaTheme="minorEastAsia" w:hAnsiTheme="minorEastAsia" w:hint="eastAsia"/>
          <w:szCs w:val="21"/>
        </w:rPr>
        <w:t>持有同一权证的比例不超过该权证的10%。法律法规或中国证监会另有规定的，遵从其规定；</w:t>
      </w:r>
    </w:p>
    <w:p w:rsidR="003A3487" w:rsidRPr="008564FF" w:rsidP="004549E4">
      <w:pPr>
        <w:snapToGrid w:val="0"/>
        <w:spacing w:line="360" w:lineRule="auto"/>
        <w:ind w:firstLine="720"/>
        <w:rPr>
          <w:rFonts w:asciiTheme="minorEastAsia" w:eastAsiaTheme="minorEastAsia" w:hAnsiTheme="minorEastAsia"/>
          <w:szCs w:val="21"/>
        </w:rPr>
      </w:pPr>
      <w:r w:rsidRPr="008564FF">
        <w:rPr>
          <w:rFonts w:asciiTheme="minorEastAsia" w:eastAsiaTheme="minorEastAsia" w:hAnsiTheme="minorEastAsia" w:hint="eastAsia"/>
          <w:szCs w:val="21"/>
        </w:rPr>
        <w:t>④现金和到期日不超过1年的政府债券不低于5%</w:t>
      </w:r>
      <w:r w:rsidRPr="008564FF" w:rsidR="008A1A23">
        <w:rPr>
          <w:rFonts w:asciiTheme="minorEastAsia" w:eastAsiaTheme="minorEastAsia" w:hAnsiTheme="minorEastAsia" w:hint="eastAsia"/>
          <w:szCs w:val="21"/>
        </w:rPr>
        <w:t>，现金不包括结算备付金、存出保证金、应收申购款等</w:t>
      </w:r>
      <w:r w:rsidRPr="008564FF">
        <w:rPr>
          <w:rFonts w:asciiTheme="minorEastAsia" w:eastAsiaTheme="minorEastAsia" w:hAnsiTheme="minorEastAsia" w:hint="eastAsia"/>
          <w:szCs w:val="21"/>
        </w:rPr>
        <w:t>；</w:t>
      </w:r>
    </w:p>
    <w:p w:rsidR="003A3487" w:rsidRPr="008564FF" w:rsidP="004549E4">
      <w:pPr>
        <w:snapToGrid w:val="0"/>
        <w:spacing w:line="360" w:lineRule="auto"/>
        <w:ind w:firstLine="720"/>
        <w:rPr>
          <w:rFonts w:asciiTheme="minorEastAsia" w:eastAsiaTheme="minorEastAsia" w:hAnsiTheme="minorEastAsia"/>
          <w:szCs w:val="21"/>
        </w:rPr>
      </w:pPr>
      <w:r w:rsidRPr="008564FF">
        <w:rPr>
          <w:rFonts w:asciiTheme="minorEastAsia" w:eastAsiaTheme="minorEastAsia" w:hAnsiTheme="minorEastAsia" w:hint="eastAsia"/>
          <w:szCs w:val="21"/>
        </w:rPr>
        <w:t>⑤本基金财产参与股票发行申购，所申报的金额不得超过本基金的总资产，所申报的股票数量不得超过拟发行股票公司本次发行股票的总量；</w:t>
      </w:r>
    </w:p>
    <w:p w:rsidR="003A3487" w:rsidRPr="008564FF" w:rsidP="004549E4">
      <w:pPr>
        <w:snapToGrid w:val="0"/>
        <w:spacing w:line="360" w:lineRule="auto"/>
        <w:ind w:firstLine="630" w:firstLineChars="300"/>
        <w:rPr>
          <w:rFonts w:asciiTheme="minorEastAsia" w:eastAsiaTheme="minorEastAsia" w:hAnsiTheme="minorEastAsia"/>
          <w:szCs w:val="21"/>
        </w:rPr>
      </w:pPr>
      <w:r w:rsidRPr="008564FF">
        <w:rPr>
          <w:rFonts w:asciiTheme="minorEastAsia" w:eastAsiaTheme="minorEastAsia" w:hAnsiTheme="minorEastAsia" w:hint="eastAsia"/>
          <w:szCs w:val="21"/>
        </w:rPr>
        <w:t>⑥一只基金持有一家公司发行的流通受限证券，其市值不得超过基金资产净值的百分之二；一只基金持有的所有流通受限证券，其市值不得超过该基金资产净值的百分之十；经基金管理人和托管人协商，可对以上比例进行调整；</w:t>
      </w:r>
    </w:p>
    <w:p w:rsidR="003A3487" w:rsidRPr="008564FF" w:rsidP="004549E4">
      <w:pPr>
        <w:snapToGrid w:val="0"/>
        <w:spacing w:line="360" w:lineRule="auto"/>
        <w:ind w:firstLine="630" w:firstLineChars="300"/>
        <w:rPr>
          <w:rFonts w:asciiTheme="minorEastAsia" w:eastAsiaTheme="minorEastAsia" w:hAnsiTheme="minorEastAsia"/>
          <w:szCs w:val="21"/>
        </w:rPr>
      </w:pPr>
      <w:r w:rsidRPr="008564FF">
        <w:rPr>
          <w:rFonts w:asciiTheme="minorEastAsia" w:eastAsiaTheme="minorEastAsia" w:hAnsiTheme="minorEastAsia" w:hint="eastAsia"/>
          <w:szCs w:val="21"/>
        </w:rPr>
        <w:fldChar w:fldCharType="begin"/>
      </w:r>
      <w:r w:rsidRPr="008564FF">
        <w:rPr>
          <w:rFonts w:asciiTheme="minorEastAsia" w:eastAsiaTheme="minorEastAsia" w:hAnsiTheme="minorEastAsia" w:hint="eastAsia"/>
          <w:szCs w:val="21"/>
        </w:rPr>
        <w:instrText xml:space="preserve"> = 7 \* GB3 </w:instrText>
      </w:r>
      <w:r w:rsidRPr="008564FF">
        <w:rPr>
          <w:rFonts w:asciiTheme="minorEastAsia" w:eastAsiaTheme="minorEastAsia" w:hAnsiTheme="minorEastAsia" w:hint="eastAsia"/>
          <w:szCs w:val="21"/>
        </w:rPr>
        <w:fldChar w:fldCharType="separate"/>
      </w:r>
      <w:r w:rsidRPr="008564FF">
        <w:rPr>
          <w:rFonts w:asciiTheme="minorEastAsia" w:eastAsiaTheme="minorEastAsia" w:hAnsiTheme="minorEastAsia" w:hint="eastAsia"/>
          <w:noProof/>
          <w:szCs w:val="21"/>
        </w:rPr>
        <w:t>⑦</w:t>
      </w:r>
      <w:r w:rsidRPr="008564FF">
        <w:rPr>
          <w:rFonts w:asciiTheme="minorEastAsia" w:eastAsiaTheme="minorEastAsia" w:hAnsiTheme="minorEastAsia" w:hint="eastAsia"/>
          <w:szCs w:val="21"/>
        </w:rPr>
        <w:fldChar w:fldCharType="end"/>
      </w:r>
      <w:r w:rsidRPr="008564FF">
        <w:rPr>
          <w:rFonts w:asciiTheme="minorEastAsia" w:eastAsiaTheme="minorEastAsia" w:hAnsiTheme="minorEastAsia" w:hint="eastAsia"/>
          <w:szCs w:val="21"/>
        </w:rPr>
        <w:t>本基金不得违反《基金合同》关于投资范围和投资比例的约定；</w:t>
      </w:r>
    </w:p>
    <w:p w:rsidR="008A1A23" w:rsidRPr="008564FF" w:rsidP="008A1A23">
      <w:pPr>
        <w:spacing w:line="324" w:lineRule="auto"/>
        <w:ind w:firstLine="630" w:firstLineChars="300"/>
        <w:rPr>
          <w:rFonts w:asciiTheme="minorEastAsia" w:eastAsiaTheme="minorEastAsia" w:hAnsiTheme="minorEastAsia"/>
          <w:szCs w:val="21"/>
        </w:rPr>
      </w:pPr>
      <w:r w:rsidRPr="008564FF">
        <w:rPr>
          <w:rFonts w:asciiTheme="minorEastAsia" w:eastAsiaTheme="minorEastAsia" w:hAnsiTheme="minorEastAsia" w:hint="eastAsia"/>
          <w:szCs w:val="21"/>
        </w:rPr>
        <w:t>⑧本基金管理人管理且由基金托管人托管的全部开放式基金持有一家上市公司发行的可流通股票，不得超过该上市公司可流通股票的15%；本基金管理人管理且由基金托管人托管的全部投资组合持有一家上市公司发行的可流通股票，不得超过该上市公司可流通股票的30%；</w:t>
      </w:r>
    </w:p>
    <w:p w:rsidR="009D1A75" w:rsidRPr="008564FF" w:rsidP="008A1A23">
      <w:pPr>
        <w:snapToGrid w:val="0"/>
        <w:spacing w:line="360" w:lineRule="auto"/>
        <w:ind w:firstLine="630" w:firstLineChars="300"/>
        <w:rPr>
          <w:rFonts w:asciiTheme="minorEastAsia" w:eastAsiaTheme="minorEastAsia" w:hAnsiTheme="minorEastAsia"/>
          <w:szCs w:val="21"/>
        </w:rPr>
      </w:pPr>
      <w:r w:rsidRPr="008564FF">
        <w:rPr>
          <w:rFonts w:asciiTheme="minorEastAsia" w:eastAsiaTheme="minorEastAsia" w:hAnsiTheme="minorEastAsia" w:hint="eastAsia"/>
          <w:szCs w:val="21"/>
        </w:rPr>
        <w:t>⑨本基金主动投资于流动性受限资产的市值合计不得超过该基金资产净值的15%；</w:t>
      </w:r>
    </w:p>
    <w:p w:rsidR="008A1A23" w:rsidRPr="008564FF" w:rsidP="008A1A23">
      <w:pPr>
        <w:snapToGrid w:val="0"/>
        <w:spacing w:line="360" w:lineRule="auto"/>
        <w:ind w:firstLine="630" w:firstLineChars="300"/>
        <w:rPr>
          <w:rFonts w:asciiTheme="minorEastAsia" w:eastAsiaTheme="minorEastAsia" w:hAnsiTheme="minorEastAsia"/>
          <w:szCs w:val="21"/>
        </w:rPr>
      </w:pPr>
      <w:r w:rsidRPr="008564FF">
        <w:rPr>
          <w:rFonts w:asciiTheme="minorEastAsia" w:eastAsiaTheme="minorEastAsia" w:hAnsiTheme="minorEastAsia" w:hint="eastAsia"/>
          <w:szCs w:val="21"/>
        </w:rPr>
        <w:t>⑩本基金投资存托凭证的比例限制依照境内上市交易的股票执行，与境内上市交易的股票合并计算。</w:t>
      </w:r>
    </w:p>
    <w:p w:rsidR="003A3487" w:rsidRPr="008564FF" w:rsidP="004549E4">
      <w:pPr>
        <w:snapToGrid w:val="0"/>
        <w:spacing w:line="360" w:lineRule="auto"/>
        <w:ind w:firstLine="630" w:firstLineChars="300"/>
        <w:rPr>
          <w:rFonts w:asciiTheme="minorEastAsia" w:eastAsiaTheme="minorEastAsia" w:hAnsiTheme="minorEastAsia"/>
          <w:szCs w:val="21"/>
        </w:rPr>
      </w:pPr>
      <w:r w:rsidRPr="008564FF">
        <w:rPr>
          <w:rFonts w:asciiTheme="minorEastAsia" w:eastAsiaTheme="minorEastAsia" w:hAnsiTheme="minorEastAsia" w:hint="eastAsia"/>
          <w:szCs w:val="21"/>
        </w:rPr>
        <w:t>相关法律法规以及监管部门规定的其它投资限制。</w:t>
      </w:r>
    </w:p>
    <w:p w:rsidR="003A3487" w:rsidRPr="008564FF" w:rsidP="004549E4">
      <w:pPr>
        <w:snapToGrid w:val="0"/>
        <w:spacing w:line="360" w:lineRule="auto"/>
        <w:ind w:firstLine="630" w:firstLineChars="300"/>
        <w:rPr>
          <w:rFonts w:asciiTheme="minorEastAsia" w:eastAsiaTheme="minorEastAsia" w:hAnsiTheme="minorEastAsia"/>
          <w:szCs w:val="21"/>
        </w:rPr>
      </w:pPr>
      <w:r w:rsidRPr="008564FF">
        <w:rPr>
          <w:rFonts w:asciiTheme="minorEastAsia" w:eastAsiaTheme="minorEastAsia" w:hAnsiTheme="minorEastAsia" w:hint="eastAsia"/>
          <w:szCs w:val="21"/>
        </w:rPr>
        <w:t>《基金法》及其他有关法律法规或监管部门取消上述限制的，基金不受上述限制。</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3）法规允许的基金投资比例调整期限</w:t>
      </w:r>
    </w:p>
    <w:p w:rsidR="003A3487" w:rsidRPr="008564FF" w:rsidP="004549E4">
      <w:pPr>
        <w:snapToGrid w:val="0"/>
        <w:spacing w:line="360" w:lineRule="auto"/>
        <w:ind w:right="28"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除上述④、⑤、⑨以外，由于证券市场波动、上市公司合并或基金规模变动等基金管理人之外的原因导致的投资组合不符合上述约定的比例，不在限制之内，但基金管理人应在10个交易日内进行调整，以达到规定的投资比例限制要求。法律法规另有规定的从其规定。</w:t>
      </w:r>
    </w:p>
    <w:p w:rsidR="003A3487" w:rsidRPr="008564FF" w:rsidP="004549E4">
      <w:pPr>
        <w:snapToGrid w:val="0"/>
        <w:spacing w:line="360" w:lineRule="auto"/>
        <w:ind w:right="28"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基金管理人应在出现可预见资产规模大幅变动的情况下，至少提前2个工作日正式向基金托管人发函说明基金可能变动规模和公司应对措施，便于托管人实施交易监督。</w:t>
      </w:r>
    </w:p>
    <w:p w:rsidR="003A3487" w:rsidRPr="008564FF" w:rsidP="004549E4">
      <w:pPr>
        <w:snapToGrid w:val="0"/>
        <w:spacing w:line="360" w:lineRule="auto"/>
        <w:ind w:right="28"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4）本基金可以按照国家的有关规定进行融资融券。</w:t>
      </w:r>
    </w:p>
    <w:p w:rsidR="003A3487" w:rsidRPr="008564FF" w:rsidP="004549E4">
      <w:pPr>
        <w:widowControl/>
        <w:snapToGrid w:val="0"/>
        <w:spacing w:line="360" w:lineRule="auto"/>
        <w:ind w:firstLine="420" w:firstLineChars="200"/>
        <w:jc w:val="left"/>
        <w:rPr>
          <w:rFonts w:asciiTheme="minorEastAsia" w:eastAsiaTheme="minorEastAsia" w:hAnsiTheme="minorEastAsia" w:cs="宋体"/>
          <w:kern w:val="0"/>
          <w:szCs w:val="21"/>
        </w:rPr>
      </w:pPr>
      <w:r w:rsidRPr="008564FF">
        <w:rPr>
          <w:rFonts w:asciiTheme="minorEastAsia" w:eastAsiaTheme="minorEastAsia" w:hAnsiTheme="minorEastAsia" w:cs="宋体" w:hint="eastAsia"/>
          <w:kern w:val="0"/>
          <w:szCs w:val="21"/>
        </w:rPr>
        <w:t>5）相关法律、法规或部门规章规定的其他比例限制。</w:t>
      </w:r>
    </w:p>
    <w:p w:rsidR="003A3487" w:rsidRPr="008564FF" w:rsidP="004549E4">
      <w:pPr>
        <w:snapToGrid w:val="0"/>
        <w:spacing w:line="360" w:lineRule="auto"/>
        <w:ind w:firstLine="397"/>
        <w:rPr>
          <w:rFonts w:asciiTheme="minorEastAsia" w:eastAsiaTheme="minorEastAsia" w:hAnsiTheme="minorEastAsia"/>
          <w:szCs w:val="21"/>
        </w:rPr>
      </w:pPr>
      <w:r w:rsidRPr="008564FF">
        <w:rPr>
          <w:rFonts w:asciiTheme="minorEastAsia" w:eastAsiaTheme="minorEastAsia" w:hAnsiTheme="minorEastAsia" w:hint="eastAsia"/>
          <w:szCs w:val="21"/>
        </w:rPr>
        <w:t>基金托管人对基金投资的监督和检查自《基金合同》生效之日起开始。</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（3）基金托管人根据有关法律法规的规定及《基金合同》的约定对下述基金投资禁止行为进行监督：</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根据法律法规的规定及《基金合同》的约定，本基金禁止从事下列行为：</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1）承销证券；</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2）向他人贷款或提供担保；</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3）从事承担无限责任的投资；</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4）买卖其他基金份额，但法律法规或中国证监会另有规定的除外；</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5）向基金管理人、基金托管人出资或者买卖其基金管理人、基金托管人发行的股票或债券；</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6）买卖与基金管理人、基金托管人有控股关系的股东或者与基金管理人、基金托管人有其他重大利害关系的公司发行的证券或者承销期内承销的证券；</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7）从事内幕交易、操纵证券价格及其他不正当的证券交易活动；</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8）当时有效的法律法规、中国证监会及《基金合同》规定禁止从事的其他行为。</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如法律法规或监管部门取消上述禁止性规定，基金管理人可不受上述规定的限制。</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cs="宋体" w:hint="eastAsia"/>
          <w:kern w:val="0"/>
          <w:szCs w:val="21"/>
        </w:rPr>
        <w:t>（4）基金托管人依据有关法律法规的规定和《基金合同》的约定对于基金关联投资限制进行监督。</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根据法律法规有关基金禁止从事的关联交易的规定，基金管理人和基金托管人应事先相互提供与本机构有控股关系的股东或与本机构有其他重大利害关系的公司名单及其更新，加盖公章并书面提交，并确保所提供的关联交易名单的真实性、完整性、全面性。基金管理人有责任保管真实、完整、全面的关联交易名单，并负责及时更新该名单。名单变更后基金管理人应及时发送基金托管人，基金托管人于2个工作日内进行回函确认已知名单的变更。如果基金托管人在运作中严格遵循了监督流程，基金管理人仍违规进行关联交易，并造成基金资产损失的，由基金管理人承担责任。</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若基金托管人发现基金管理人与关联交易名单中列示的关联方进行法律法规禁止基金从事的关联交易时，基金托管人应及时提醒并协助基金管理人采取必要措施阻止该关联交易的发生，若基金托管人采取必要措施后仍无法阻止关联交易发生时，基金托管人有权向中国证监会报告。对于交易所场内已成交的违规关联交易，基金托管人应按相关法律法规和交易所规则的规定进行结算，同时向中国证监会报告。</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（5）基金托管人</w:t>
      </w:r>
      <w:r w:rsidRPr="008564FF">
        <w:rPr>
          <w:rFonts w:asciiTheme="minorEastAsia" w:eastAsiaTheme="minorEastAsia" w:hAnsiTheme="minorEastAsia" w:cs="宋体" w:hint="eastAsia"/>
          <w:kern w:val="0"/>
          <w:szCs w:val="21"/>
        </w:rPr>
        <w:t>依据有关法律法规的规定和《基金合同》的约定</w:t>
      </w:r>
      <w:r w:rsidRPr="008564FF">
        <w:rPr>
          <w:rFonts w:asciiTheme="minorEastAsia" w:eastAsiaTheme="minorEastAsia" w:hAnsiTheme="minorEastAsia" w:hint="eastAsia"/>
          <w:szCs w:val="21"/>
        </w:rPr>
        <w:t>对基金管理人参与银行间债券市场进行监督。</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1）基金托管人</w:t>
      </w:r>
      <w:r w:rsidRPr="008564FF">
        <w:rPr>
          <w:rFonts w:asciiTheme="minorEastAsia" w:eastAsiaTheme="minorEastAsia" w:hAnsiTheme="minorEastAsia" w:cs="宋体" w:hint="eastAsia"/>
          <w:kern w:val="0"/>
          <w:szCs w:val="21"/>
        </w:rPr>
        <w:t>依据有关法律法规的规定和《基金合同》的约定</w:t>
      </w:r>
      <w:r w:rsidRPr="008564FF">
        <w:rPr>
          <w:rFonts w:asciiTheme="minorEastAsia" w:eastAsiaTheme="minorEastAsia" w:hAnsiTheme="minorEastAsia" w:hint="eastAsia"/>
          <w:szCs w:val="21"/>
        </w:rPr>
        <w:t>对于基金管理人参与银行间市场交易时面临的交易对手资信风险进行监督。</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向基金托</w:t>
      </w:r>
      <w:r w:rsidRPr="008564FF">
        <w:rPr>
          <w:rFonts w:asciiTheme="minorEastAsia" w:eastAsiaTheme="minorEastAsia" w:hAnsiTheme="minorEastAsia" w:hint="eastAsia"/>
          <w:szCs w:val="21"/>
        </w:rPr>
        <w:t>管人发出书面通知，基金托管人于2个工作日内回函确认收到后，对名单进行更新。基金管理人收到基金托管人书面确认后，被确认调整的名单开始生效，新名单生效前已与本次剔除的交易对手所进行但尚未结算的交易，仍应按照协议进行结算。</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如果基金托管人发现基金管理人与不在名单内的银行间市场交易对手进行交易，应及时提醒基金管理人撤销交易，经提醒后基金管理人仍执行交易并造成基金资产损失的，基金托管人不承担责任，发生此种情形时，托管人有权报告中国证监会。</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2）基金托管人对于基金管理人参与银行间市场交易的交易方式的控制</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基金管理人在银行间市场进行现券买卖和回购交易时，需按交易对手名单中约定的该交易对手所适用的交易结算方式进行交易。如果基金托管人发现基金管理人没有按照事先约定的有利于信用风险控制的交易方式进行交易时，基金托管人应及时提醒基金管理人与交易对手重新确定交易方式，经提醒后仍未改正时造成基金资产损失的，基金托管人不承担责任。</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3）基金管理人参与银行间市场交易的核心交易对手为中国工商银行、中国银行、中国建设银行、中国农业银行和交通银行，基金管理人与基金托管人协商一致后，可以根据当时的市场情况调整核心交易对手名单。基金管理人有责任控制交易对手的资信风险，在与核心交易对手以外的交易对手进行交易时，由于交易对手资信风险引起的损失先由基金管理人承担，其后有权要求相关责任人进行赔偿</w:t>
      </w:r>
      <w:r w:rsidRPr="008564FF" w:rsidR="002A491D">
        <w:rPr>
          <w:rFonts w:asciiTheme="minorEastAsia" w:eastAsiaTheme="minorEastAsia" w:hAnsiTheme="minorEastAsia" w:hint="eastAsia"/>
          <w:szCs w:val="21"/>
        </w:rPr>
        <w:t>。基金托管人的监督责任仅限于根据已提供的名单，审核交易对手是否在名单内列明。</w:t>
      </w:r>
      <w:r w:rsidRPr="008564FF">
        <w:rPr>
          <w:rFonts w:asciiTheme="minorEastAsia" w:eastAsiaTheme="minorEastAsia" w:hAnsiTheme="minorEastAsia" w:hint="eastAsia"/>
          <w:szCs w:val="21"/>
        </w:rPr>
        <w:t>如果基金托管人在运作中严格遵循了上述监督流程，则对于由于交易对手资信风险引起的损失，不承担赔偿责任。</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（6）基金托管人对基金管理人选择存款银行进行监督。</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kern w:val="0"/>
          <w:szCs w:val="21"/>
        </w:rPr>
        <w:t>本基金投资银行存款的信用风险主要包括存款银行的信用等级、存款银行的支付能力等涉及到存款银行选择方面的风险。本基金核心存款银行名单为</w:t>
      </w:r>
      <w:r w:rsidRPr="008564FF">
        <w:rPr>
          <w:rFonts w:asciiTheme="minorEastAsia" w:eastAsiaTheme="minorEastAsia" w:hAnsiTheme="minorEastAsia" w:hint="eastAsia"/>
          <w:szCs w:val="21"/>
        </w:rPr>
        <w:t>中国工商银行、中国银行、中国建设银行、中国农业银行和交通银行，</w:t>
      </w:r>
      <w:r w:rsidRPr="008564FF">
        <w:rPr>
          <w:rFonts w:asciiTheme="minorEastAsia" w:eastAsiaTheme="minorEastAsia" w:hAnsiTheme="minorEastAsia" w:hint="eastAsia"/>
          <w:kern w:val="0"/>
          <w:szCs w:val="21"/>
        </w:rPr>
        <w:t>本</w:t>
      </w:r>
      <w:r w:rsidRPr="008564FF">
        <w:rPr>
          <w:rFonts w:asciiTheme="minorEastAsia" w:eastAsiaTheme="minorEastAsia" w:hAnsiTheme="minorEastAsia" w:hint="eastAsia"/>
          <w:szCs w:val="21"/>
        </w:rPr>
        <w:t>基金投资除核心存款银行以外的银行存款出现由于存款银行信用风险而造成的损失时，先由基金管理人负责赔偿，之后有权要求相关责任人进行赔偿</w:t>
      </w:r>
      <w:r w:rsidRPr="008564FF" w:rsidR="002A491D">
        <w:rPr>
          <w:rFonts w:asciiTheme="minorEastAsia" w:eastAsiaTheme="minorEastAsia" w:hAnsiTheme="minorEastAsia" w:hint="eastAsia"/>
          <w:szCs w:val="21"/>
        </w:rPr>
        <w:t>。基金托管人的监督责任仅限于审核基金管理人选择的存款银行是否在核心存款银行名单内列明。</w:t>
      </w:r>
      <w:r w:rsidRPr="008564FF">
        <w:rPr>
          <w:rFonts w:asciiTheme="minorEastAsia" w:eastAsiaTheme="minorEastAsia" w:hAnsiTheme="minorEastAsia" w:hint="eastAsia"/>
          <w:szCs w:val="21"/>
        </w:rPr>
        <w:t>如果基金托管人在运作过程中遵循上述监督流程，则对于由于存款银行信用风险引起的损失，不承担赔偿责任。基金管理人与基金托管人协商一致后，可以根据当时的市场情况对于核心存款银行名单进行调整。</w:t>
      </w:r>
    </w:p>
    <w:p w:rsidR="003A3487" w:rsidRPr="008564FF" w:rsidP="004549E4">
      <w:pPr>
        <w:snapToGrid w:val="0"/>
        <w:spacing w:line="360" w:lineRule="auto"/>
        <w:ind w:firstLine="452" w:firstLineChars="215"/>
        <w:rPr>
          <w:rFonts w:asciiTheme="minorEastAsia" w:eastAsiaTheme="minorEastAsia" w:hAnsiTheme="minorEastAsia"/>
          <w:szCs w:val="21"/>
        </w:rPr>
      </w:pPr>
      <w:r w:rsidRPr="008564FF">
        <w:rPr>
          <w:rFonts w:asciiTheme="minorEastAsia" w:eastAsiaTheme="minorEastAsia" w:hAnsiTheme="minorEastAsia" w:hint="eastAsia"/>
          <w:szCs w:val="21"/>
        </w:rPr>
        <w:t>（7）基金托管人对基金投资流通受限证券的监督</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1）基金投资流通受限证券，应遵守《关于规范基金投资非公开发行证券行为的紧急通知》、《关于基金投资非公开发行股票等流通受限证券有关问题的通知》等有关法律法规规定。</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w:t>
      </w:r>
      <w:r w:rsidRPr="008564FF">
        <w:rPr>
          <w:rFonts w:asciiTheme="minorEastAsia" w:eastAsiaTheme="minorEastAsia" w:hAnsiTheme="minorEastAsia" w:hint="eastAsia"/>
          <w:szCs w:val="21"/>
        </w:rPr>
        <w:t>证券。</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3）基金管理人应在所管理的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基金管理人应至少于首次执行投资指令之前两个工作日将上述资料书面发至基金托管人，保证基金托管人有足够的时间进行审核。基金托管人应在收到上述资料后两个工作日内，以书面或其他双方认可的方式进行确认。</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w:t>
      </w:r>
    </w:p>
    <w:p w:rsidR="003A3487" w:rsidRPr="008564FF" w:rsidP="004549E4">
      <w:pPr>
        <w:snapToGrid w:val="0"/>
        <w:spacing w:line="360" w:lineRule="auto"/>
        <w:ind w:firstLine="200"/>
        <w:rPr>
          <w:rFonts w:asciiTheme="minorEastAsia" w:eastAsiaTheme="minorEastAsia" w:hAnsiTheme="minorEastAsia"/>
          <w:szCs w:val="21"/>
        </w:rPr>
      </w:pPr>
      <w:r w:rsidRPr="008564FF">
        <w:rPr>
          <w:rFonts w:asciiTheme="minorEastAsia" w:eastAsiaTheme="minorEastAsia" w:hAnsiTheme="minorEastAsia" w:hint="eastAsia"/>
          <w:szCs w:val="21"/>
        </w:rPr>
        <w:t>有流通受限证券市值占资产净值的比例、资金划付时间等。基金管理人应保证上述信息的真实、完整，并于拟执行投资指令前将上述信息书面发至基金托管人，保证基金托管人有足够的时间进行审核。</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5）基金托管人应对基金管理人是否遵守法律法规、投资决策流程、风险控制制度、流动性风险处置预案情况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如基金管理人和基金托管人无法达成一致，应及时上报中国证监会请求解决。如果基金托管人切实履行监督职责，则不承担任何责任。如果基金托管人没有切实履行监督职责，导致基金出现风险，基金托管人应承担连带责任。</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8）由于本基金投资重点是行业领先企业，因而基金管理人将每季度按照双方约定的形式向基金托管人提供相关股票库，并有责任确保该股票库符合基金合同的有关规定。基金托管人据此股票库监督本基金投资于该类上市公司股票的比例。基金管理人对该股票库的临时调整（首次公开发行的股票除外）应事先发函通知基金托管人并加盖公司公章，基金托管人在收到发函的2个工作日内回函确认。对该股票库的调整自基金托管人发出回函确认之日起第2日生效。</w:t>
      </w:r>
    </w:p>
    <w:p w:rsidR="003A3487" w:rsidRPr="008564FF" w:rsidP="004549E4">
      <w:pPr>
        <w:snapToGrid w:val="0"/>
        <w:spacing w:line="360" w:lineRule="auto"/>
        <w:ind w:firstLine="420" w:firstLineChars="200"/>
        <w:rPr>
          <w:rFonts w:asciiTheme="minorEastAsia" w:eastAsiaTheme="minorEastAsia" w:hAnsiTheme="minorEastAsia"/>
          <w:szCs w:val="21"/>
        </w:rPr>
      </w:pPr>
      <w:bookmarkStart w:id="888" w:name="_Toc200523001"/>
      <w:r w:rsidRPr="008564FF">
        <w:rPr>
          <w:rFonts w:asciiTheme="minorEastAsia" w:eastAsiaTheme="minorEastAsia" w:hAnsiTheme="minorEastAsia" w:hint="eastAsia"/>
          <w:szCs w:val="21"/>
        </w:rPr>
        <w:t>2、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bookmarkEnd w:id="888"/>
    </w:p>
    <w:p w:rsidR="003A3487" w:rsidRPr="008564FF" w:rsidP="004549E4">
      <w:pPr>
        <w:snapToGrid w:val="0"/>
        <w:spacing w:line="360" w:lineRule="auto"/>
        <w:ind w:firstLine="420" w:firstLineChars="200"/>
        <w:rPr>
          <w:rFonts w:asciiTheme="minorEastAsia" w:eastAsiaTheme="minorEastAsia" w:hAnsiTheme="minorEastAsia"/>
          <w:szCs w:val="21"/>
        </w:rPr>
      </w:pPr>
      <w:bookmarkStart w:id="889" w:name="_Toc200523002"/>
      <w:r w:rsidRPr="008564FF">
        <w:rPr>
          <w:rFonts w:asciiTheme="minorEastAsia" w:eastAsiaTheme="minorEastAsia" w:hAnsiTheme="minorEastAsia" w:hint="eastAsia"/>
          <w:szCs w:val="21"/>
        </w:rPr>
        <w:t>3、基金托管人发现基金管理人的投资运作及其他运作违反《基金法》、《基金合同》、基金托管协议及其他有关规定时，应及时以书面形式通知基金管理人限期纠正，基金管理人收到通知后应在下一个工作日及时核对，并以书面形式向基金托管人发出回函，进行解释或举证。</w:t>
      </w:r>
      <w:bookmarkEnd w:id="889"/>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rsidR="003A3487" w:rsidRPr="008564FF" w:rsidP="004549E4">
      <w:pPr>
        <w:pStyle w:val="PlainText"/>
        <w:snapToGrid w:val="0"/>
        <w:spacing w:line="360" w:lineRule="auto"/>
        <w:ind w:firstLine="420" w:firstLineChars="200"/>
        <w:rPr>
          <w:rFonts w:asciiTheme="minorEastAsia" w:eastAsiaTheme="minorEastAsia" w:hAnsiTheme="minorEastAsia"/>
        </w:rPr>
      </w:pPr>
      <w:r w:rsidRPr="008564FF">
        <w:rPr>
          <w:rFonts w:asciiTheme="minorEastAsia" w:eastAsiaTheme="minorEastAsia" w:hAnsiTheme="minorEastAsia" w:hint="eastAsia"/>
        </w:rPr>
        <w:t>基金托管人发现基金管理人的投资指令违反相关法律法规规定或者违反《基金合同》约定的，应当拒绝执行，立即通知基金管理人，并向中国证监会报告。</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基金托管人发现基金管理人依据交易程序已经生效的投资指令违反法律、行政法规和其他有关规定，或者违反《基金合同》约定的，应当立即通知基金管理人，并报告中国证监会。</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基金托管人发现基金管理人有重大违规行为，应立即报告中国证监会，同时通知基金管理人限期纠正。</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3A3487" w:rsidRPr="008564FF" w:rsidP="009C2B2A">
      <w:pPr>
        <w:pStyle w:val="Heading2"/>
        <w:snapToGrid w:val="0"/>
        <w:spacing w:beforeLines="0" w:afterLines="0" w:line="360" w:lineRule="auto"/>
        <w:ind w:firstLine="0" w:firstLineChars="0"/>
        <w:rPr>
          <w:rFonts w:asciiTheme="minorEastAsia" w:eastAsiaTheme="minorEastAsia" w:hAnsiTheme="minorEastAsia"/>
          <w:b w:val="0"/>
          <w:bCs/>
        </w:rPr>
      </w:pPr>
      <w:bookmarkStart w:id="890" w:name="_Toc91749306"/>
      <w:r w:rsidRPr="008564FF">
        <w:rPr>
          <w:rFonts w:asciiTheme="minorEastAsia" w:eastAsiaTheme="minorEastAsia" w:hAnsiTheme="minorEastAsia" w:hint="eastAsia"/>
          <w:b w:val="0"/>
          <w:bCs/>
        </w:rPr>
        <w:t>（三）</w:t>
      </w:r>
      <w:bookmarkStart w:id="891" w:name="_Toc125361076"/>
      <w:bookmarkStart w:id="892" w:name="_Toc124749939"/>
      <w:bookmarkStart w:id="893" w:name="_Toc124749228"/>
      <w:bookmarkStart w:id="894" w:name="_Toc123705448"/>
      <w:r w:rsidRPr="008564FF">
        <w:rPr>
          <w:rFonts w:asciiTheme="minorEastAsia" w:eastAsiaTheme="minorEastAsia" w:hAnsiTheme="minorEastAsia" w:hint="eastAsia"/>
          <w:b w:val="0"/>
          <w:bCs/>
        </w:rPr>
        <w:t>基金管理人对基金托管人的业务核查</w:t>
      </w:r>
      <w:bookmarkEnd w:id="891"/>
      <w:bookmarkEnd w:id="892"/>
      <w:bookmarkEnd w:id="893"/>
      <w:bookmarkEnd w:id="894"/>
      <w:bookmarkEnd w:id="890"/>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基金管理人对基金托管人履行托管职责情况进行核查，核查事项包括但不限于基金托管人安全保管基金财产、开设基金财产的资金账户和证券账户、复核基金管理人计算的基金资产净值和基金份额净值、根据管理人指令办理清算交收、相关信息披露和监督基金投资运作等行为。</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基金管理人发现基金托管人擅自挪用基金财产、未对基金财产实行分账管理、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w:t>
      </w:r>
      <w:r w:rsidRPr="008564FF">
        <w:rPr>
          <w:rFonts w:asciiTheme="minorEastAsia" w:eastAsiaTheme="minorEastAsia" w:hAnsiTheme="minorEastAsia" w:hint="eastAsia"/>
          <w:kern w:val="0"/>
          <w:szCs w:val="21"/>
        </w:rPr>
        <w:t>基金管理人有义务要求基金托管人赔偿基金因此所遭受的损失。</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基金管理人发现基金托管人有重大违规行为，应立即报告中国证监会和银行业监督管理机构，同时通知基金托管人限期纠正。</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基金托管人应积极配合基金管理人的核查行为，包括但不限于：提交相关资料以供基金管理人核查托管财产的完整性和真实性，在规定时间内答复基金管理人并改正。</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3A3487" w:rsidRPr="008564FF" w:rsidP="009C2B2A">
      <w:pPr>
        <w:pStyle w:val="Heading2"/>
        <w:snapToGrid w:val="0"/>
        <w:spacing w:beforeLines="0" w:afterLines="0" w:line="360" w:lineRule="auto"/>
        <w:ind w:firstLine="0" w:firstLineChars="0"/>
        <w:rPr>
          <w:rFonts w:asciiTheme="minorEastAsia" w:eastAsiaTheme="minorEastAsia" w:hAnsiTheme="minorEastAsia"/>
          <w:b w:val="0"/>
          <w:bCs/>
        </w:rPr>
      </w:pPr>
      <w:bookmarkStart w:id="895" w:name="_Toc40511579"/>
      <w:bookmarkStart w:id="896" w:name="_Toc91749307"/>
      <w:r w:rsidRPr="008564FF">
        <w:rPr>
          <w:rFonts w:asciiTheme="minorEastAsia" w:eastAsiaTheme="minorEastAsia" w:hAnsiTheme="minorEastAsia" w:hint="eastAsia"/>
          <w:b w:val="0"/>
          <w:bCs/>
        </w:rPr>
        <w:t>（四）基金财产保管</w:t>
      </w:r>
      <w:bookmarkEnd w:id="895"/>
      <w:bookmarkEnd w:id="896"/>
    </w:p>
    <w:p w:rsidR="003A3487" w:rsidRPr="008564FF" w:rsidP="0007535E">
      <w:pPr>
        <w:snapToGrid w:val="0"/>
        <w:spacing w:line="360" w:lineRule="auto"/>
        <w:ind w:firstLine="420" w:firstLineChars="200"/>
        <w:rPr>
          <w:rFonts w:asciiTheme="minorEastAsia" w:eastAsiaTheme="minorEastAsia" w:hAnsiTheme="minorEastAsia"/>
          <w:szCs w:val="21"/>
        </w:rPr>
      </w:pPr>
      <w:bookmarkStart w:id="897" w:name="_Toc200523005"/>
      <w:bookmarkStart w:id="898" w:name="_Toc37159173"/>
      <w:r w:rsidRPr="008564FF">
        <w:rPr>
          <w:rFonts w:asciiTheme="minorEastAsia" w:eastAsiaTheme="minorEastAsia" w:hAnsiTheme="minorEastAsia" w:hint="eastAsia"/>
          <w:szCs w:val="21"/>
        </w:rPr>
        <w:t>1、基金财产保管的原则</w:t>
      </w:r>
      <w:bookmarkEnd w:id="897"/>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（1）基金财产应独立于基金管理人、基金托管人的固有财产。</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（2）基金托管人应安全保管基金财产。未经基金管理人的正当指令，不得自行运用、处分、分配基金的任何财产。</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（3）基金托管人按照规定开设基金财产的资金账户和证券账户。</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（4）基金托管人对所托管的不同基金财产分别设置账户，与基金托管人的其他业务和其他基金的托管业务实行严格的分账管理，确保基金财产的完整与独立。</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5）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p>
    <w:p w:rsidR="003A3487" w:rsidRPr="008564FF" w:rsidP="0007535E">
      <w:pPr>
        <w:snapToGrid w:val="0"/>
        <w:spacing w:line="360" w:lineRule="auto"/>
        <w:ind w:firstLine="420" w:firstLineChars="200"/>
        <w:rPr>
          <w:rFonts w:asciiTheme="minorEastAsia" w:eastAsiaTheme="minorEastAsia" w:hAnsiTheme="minorEastAsia"/>
          <w:szCs w:val="21"/>
        </w:rPr>
      </w:pPr>
      <w:bookmarkStart w:id="899" w:name="_Toc200523006"/>
      <w:r w:rsidRPr="008564FF">
        <w:rPr>
          <w:rFonts w:asciiTheme="minorEastAsia" w:eastAsiaTheme="minorEastAsia" w:hAnsiTheme="minorEastAsia" w:hint="eastAsia"/>
          <w:szCs w:val="21"/>
        </w:rPr>
        <w:t>2、募集资金的验证</w:t>
      </w:r>
      <w:bookmarkEnd w:id="899"/>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募集期内销售机构按销售与服务代理协议的约定，将认购资金划入基金管理人在具有托管资格的商业银行开设的易方达基金管理有限公司基金认购专户。该账户由基金管理人开立并管理。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2名以上（含2名）中国注册会计师签字有效。验资完成，基金管理人应将募集的属于本基金财产的全部资金划入基金托管人为基金开立的资产托管专户中，基金托管人在收到资金当日出具确认文件。</w:t>
      </w:r>
    </w:p>
    <w:p w:rsidR="003A3487" w:rsidRPr="008564FF" w:rsidP="004549E4">
      <w:pPr>
        <w:pStyle w:val="BodyTextIndent"/>
        <w:snapToGrid w:val="0"/>
        <w:spacing w:after="0" w:line="360" w:lineRule="auto"/>
        <w:ind w:left="13" w:firstLine="420" w:leftChars="6" w:firstLineChars="200"/>
        <w:rPr>
          <w:rFonts w:asciiTheme="minorEastAsia" w:eastAsiaTheme="minorEastAsia" w:hAnsiTheme="minorEastAsia" w:cs="Arial"/>
          <w:szCs w:val="21"/>
        </w:rPr>
      </w:pPr>
      <w:r w:rsidRPr="008564FF">
        <w:rPr>
          <w:rFonts w:asciiTheme="minorEastAsia" w:eastAsiaTheme="minorEastAsia" w:hAnsiTheme="minorEastAsia" w:cs="Arial" w:hint="eastAsia"/>
          <w:szCs w:val="21"/>
        </w:rPr>
        <w:t>若基金募集期限届满，未能达到《基金合同》生效的条件，由基金管理人按规定办理退款事宜。</w:t>
      </w:r>
    </w:p>
    <w:p w:rsidR="003A3487" w:rsidRPr="008564FF" w:rsidP="0007535E">
      <w:pPr>
        <w:snapToGrid w:val="0"/>
        <w:spacing w:line="360" w:lineRule="auto"/>
        <w:ind w:firstLine="420" w:firstLineChars="200"/>
        <w:rPr>
          <w:rFonts w:asciiTheme="minorEastAsia" w:eastAsiaTheme="minorEastAsia" w:hAnsiTheme="minorEastAsia"/>
          <w:szCs w:val="21"/>
        </w:rPr>
      </w:pPr>
      <w:bookmarkStart w:id="900" w:name="_Toc200523007"/>
      <w:r w:rsidRPr="008564FF">
        <w:rPr>
          <w:rFonts w:asciiTheme="minorEastAsia" w:eastAsiaTheme="minorEastAsia" w:hAnsiTheme="minorEastAsia" w:hint="eastAsia"/>
          <w:szCs w:val="21"/>
        </w:rPr>
        <w:t>3、基金的银行账户的开立和管理</w:t>
      </w:r>
      <w:bookmarkEnd w:id="900"/>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基金托管人以基金托管人的名义在其营业机构开设资产托管专户，保管基金的银行存款。该资产托管专户是指基金托管人在集中托管模式下，代表所托管的基金与中国证券登记结算有限责任公司进行一级结算的专用账户。该账户的开设和管理由基金托管人承担。本基金的一切货币收支活动，均需通过基金托管人的资产托管专户进行。</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资产托管专户的开立和使用，限于满足开展本基金业务的需要。基金托管人和基金管理</w:t>
      </w:r>
      <w:r w:rsidRPr="008564FF">
        <w:rPr>
          <w:rFonts w:asciiTheme="minorEastAsia" w:eastAsiaTheme="minorEastAsia" w:hAnsiTheme="minorEastAsia" w:hint="eastAsia"/>
          <w:szCs w:val="21"/>
        </w:rPr>
        <w:t>人不得假借本基金的名义开立其他任何银行账户；亦不得使用基金的任何银行账户进行本基金业务以外的活动。</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资产托管专户的管理应符合《银行账户管理办法》、《现金管理条例》、《中国人民银行利率管理的有关规定》、《关于大额现金支付管理的通知》、《支付结算办法》以及银行业监督管理机构的其他规定。</w:t>
      </w:r>
    </w:p>
    <w:p w:rsidR="003A3487" w:rsidRPr="008564FF" w:rsidP="0007535E">
      <w:pPr>
        <w:snapToGrid w:val="0"/>
        <w:spacing w:line="360" w:lineRule="auto"/>
        <w:ind w:firstLine="420" w:firstLineChars="200"/>
        <w:rPr>
          <w:rFonts w:asciiTheme="minorEastAsia" w:eastAsiaTheme="minorEastAsia" w:hAnsiTheme="minorEastAsia"/>
          <w:szCs w:val="21"/>
        </w:rPr>
      </w:pPr>
      <w:bookmarkStart w:id="901" w:name="_Toc200523008"/>
      <w:r w:rsidRPr="008564FF">
        <w:rPr>
          <w:rFonts w:asciiTheme="minorEastAsia" w:eastAsiaTheme="minorEastAsia" w:hAnsiTheme="minorEastAsia" w:hint="eastAsia"/>
          <w:szCs w:val="21"/>
        </w:rPr>
        <w:t>4、基金证券账户与证券交易资金账户的开设和管理</w:t>
      </w:r>
      <w:bookmarkEnd w:id="901"/>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基金托管人以基金托管人和本基金联名的方式在中国证券登记结算有限公司上海分公司/深圳分公司开设证券账户。</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基金托管人以基金托管人的名义在中国证券登记结算有限责任公司上海分公司/深圳分公司开立基金证券交易资金账户，用于证券清算。</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3A3487" w:rsidRPr="008564FF" w:rsidP="0007535E">
      <w:pPr>
        <w:snapToGrid w:val="0"/>
        <w:spacing w:line="360" w:lineRule="auto"/>
        <w:ind w:firstLine="420" w:firstLineChars="200"/>
        <w:rPr>
          <w:rFonts w:asciiTheme="minorEastAsia" w:eastAsiaTheme="minorEastAsia" w:hAnsiTheme="minorEastAsia"/>
          <w:szCs w:val="21"/>
        </w:rPr>
      </w:pPr>
      <w:bookmarkStart w:id="902" w:name="_Toc200523009"/>
      <w:r w:rsidRPr="008564FF">
        <w:rPr>
          <w:rFonts w:asciiTheme="minorEastAsia" w:eastAsiaTheme="minorEastAsia" w:hAnsiTheme="minorEastAsia" w:hint="eastAsia"/>
          <w:szCs w:val="21"/>
        </w:rPr>
        <w:t>5、债券托管账户的开立和管理</w:t>
      </w:r>
      <w:bookmarkEnd w:id="902"/>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1）《基金合同》生效后，基金管理人负责以基金的名义申请并取得进入全国银行间同业拆借市场的交易资格，并代表基金进行交易；基金托管人负责以基金的名义在中央国债登记结算有限责任公司开设银行间债券市场债券托管自营账户，并由基金托管人负责基金的债券的后台匹配及资金的清算。</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（2）基金管理人和基金托管人应一起负责为基金对外签订全国银行间国债市场回购主协议，正本由基金托管人保管，基金管理人保存副本。</w:t>
      </w:r>
    </w:p>
    <w:p w:rsidR="003A3487" w:rsidRPr="008564FF" w:rsidP="0007535E">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6、其他账户的开设和管理</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3A3487" w:rsidRPr="008564FF" w:rsidP="0007535E">
      <w:pPr>
        <w:snapToGrid w:val="0"/>
        <w:spacing w:line="360" w:lineRule="auto"/>
        <w:ind w:firstLine="420" w:firstLineChars="200"/>
        <w:rPr>
          <w:rFonts w:asciiTheme="minorEastAsia" w:eastAsiaTheme="minorEastAsia" w:hAnsiTheme="minorEastAsia"/>
          <w:szCs w:val="21"/>
        </w:rPr>
      </w:pPr>
      <w:bookmarkStart w:id="903" w:name="_Toc200523010"/>
      <w:r w:rsidRPr="008564FF">
        <w:rPr>
          <w:rFonts w:asciiTheme="minorEastAsia" w:eastAsiaTheme="minorEastAsia" w:hAnsiTheme="minorEastAsia" w:hint="eastAsia"/>
          <w:szCs w:val="21"/>
        </w:rPr>
        <w:t>7、基金财产投资的有关实物证券、银行定期存款存单等有价凭证的保管</w:t>
      </w:r>
      <w:bookmarkEnd w:id="903"/>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基金财产投资的有关实物证券由基金托管人存放于基金托管人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的实物证券不承担保管责任。</w:t>
      </w:r>
    </w:p>
    <w:p w:rsidR="003A3487" w:rsidRPr="008564FF" w:rsidP="0007535E">
      <w:pPr>
        <w:snapToGrid w:val="0"/>
        <w:spacing w:line="360" w:lineRule="auto"/>
        <w:ind w:firstLine="420" w:firstLineChars="200"/>
        <w:rPr>
          <w:rFonts w:asciiTheme="minorEastAsia" w:eastAsiaTheme="minorEastAsia" w:hAnsiTheme="minorEastAsia"/>
          <w:szCs w:val="21"/>
        </w:rPr>
      </w:pPr>
      <w:bookmarkStart w:id="904" w:name="_Toc200523011"/>
      <w:bookmarkStart w:id="905" w:name="_Toc37159180"/>
      <w:r w:rsidRPr="008564FF">
        <w:rPr>
          <w:rFonts w:asciiTheme="minorEastAsia" w:eastAsiaTheme="minorEastAsia" w:hAnsiTheme="minorEastAsia" w:hint="eastAsia"/>
          <w:szCs w:val="21"/>
        </w:rPr>
        <w:t>8、与基金财产有关的重大合同的保管</w:t>
      </w:r>
      <w:bookmarkEnd w:id="904"/>
      <w:bookmarkEnd w:id="905"/>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10个工作日内通过专人送达、挂号邮寄等安全方式将合同原件送达基金托管人处。合同原件应存放于基金管理人和基金托管人各自文件保管部门15年以上。</w:t>
      </w:r>
    </w:p>
    <w:p w:rsidR="003A3487" w:rsidRPr="008564FF" w:rsidP="009C2B2A">
      <w:pPr>
        <w:pStyle w:val="Heading2"/>
        <w:snapToGrid w:val="0"/>
        <w:spacing w:beforeLines="0" w:afterLines="0" w:line="360" w:lineRule="auto"/>
        <w:ind w:firstLine="0" w:firstLineChars="0"/>
        <w:rPr>
          <w:rFonts w:asciiTheme="minorEastAsia" w:eastAsiaTheme="minorEastAsia" w:hAnsiTheme="minorEastAsia"/>
          <w:b w:val="0"/>
          <w:bCs/>
        </w:rPr>
      </w:pPr>
      <w:bookmarkStart w:id="906" w:name="_Toc91749308"/>
      <w:bookmarkEnd w:id="898"/>
      <w:r w:rsidRPr="008564FF">
        <w:rPr>
          <w:rFonts w:asciiTheme="minorEastAsia" w:eastAsiaTheme="minorEastAsia" w:hAnsiTheme="minorEastAsia" w:hint="eastAsia"/>
          <w:b w:val="0"/>
          <w:bCs/>
        </w:rPr>
        <w:t>（五）基金资产净值计算与复核</w:t>
      </w:r>
      <w:bookmarkEnd w:id="906"/>
    </w:p>
    <w:p w:rsidR="003A3487" w:rsidRPr="008564FF" w:rsidP="004549E4">
      <w:pPr>
        <w:snapToGrid w:val="0"/>
        <w:spacing w:line="360" w:lineRule="auto"/>
        <w:ind w:right="28"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1、基金资产净值是指基金资产总值减去负债后的价值。基金份额净值是指计算日基金资产净值除以该计算日基金份额总份额后的数值。基金份额净值的计算保留到小数点后3位，小数点后第4位四舍五入。</w:t>
      </w:r>
    </w:p>
    <w:p w:rsidR="003A3487" w:rsidRPr="008564FF" w:rsidP="004549E4">
      <w:pPr>
        <w:snapToGrid w:val="0"/>
        <w:spacing w:line="360" w:lineRule="auto"/>
        <w:ind w:right="28"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2、基金管理人应每工作日对基金资产估值。估值原则应符合《基金合同》、《证券投资基金会计核算</w:t>
      </w:r>
      <w:r w:rsidRPr="008564FF" w:rsidR="002A491D">
        <w:rPr>
          <w:rFonts w:asciiTheme="minorEastAsia" w:eastAsiaTheme="minorEastAsia" w:hAnsiTheme="minorEastAsia" w:hint="eastAsia"/>
          <w:szCs w:val="21"/>
        </w:rPr>
        <w:t>业务指引</w:t>
      </w:r>
      <w:r w:rsidRPr="008564FF">
        <w:rPr>
          <w:rFonts w:asciiTheme="minorEastAsia" w:eastAsiaTheme="minorEastAsia" w:hAnsiTheme="minorEastAsia" w:hint="eastAsia"/>
          <w:szCs w:val="21"/>
        </w:rPr>
        <w:t>》及其他法律、法规的规定。用于基金信息披露的基金资产净值和基金份额净值由基金管理人负责计算，基金托管人复核。基金管理人应于每个工作日交易结束后计算当日的基金份额资产净值并以传真方式发送给基金托管人。基金托管人对净值计算结果复核后，签名、盖章并以传真方式传送给基金管理人，由基金管理人对基金净值予以公布。</w:t>
      </w:r>
    </w:p>
    <w:p w:rsidR="003A3487" w:rsidRPr="008564FF" w:rsidP="004549E4">
      <w:pPr>
        <w:snapToGrid w:val="0"/>
        <w:spacing w:line="360" w:lineRule="auto"/>
        <w:ind w:right="28" w:firstLine="420" w:firstLineChars="200"/>
        <w:rPr>
          <w:rFonts w:asciiTheme="minorEastAsia" w:eastAsiaTheme="minorEastAsia" w:hAnsiTheme="minorEastAsia"/>
        </w:rPr>
      </w:pPr>
      <w:r w:rsidRPr="008564FF">
        <w:rPr>
          <w:rFonts w:asciiTheme="minorEastAsia" w:eastAsiaTheme="minorEastAsia" w:hAnsiTheme="minorEastAsia" w:hint="eastAsia"/>
          <w:szCs w:val="21"/>
        </w:rPr>
        <w:t>3、</w:t>
      </w:r>
      <w:r w:rsidRPr="008564FF">
        <w:rPr>
          <w:rFonts w:asciiTheme="minorEastAsia" w:eastAsiaTheme="minorEastAsia" w:hAnsiTheme="minorEastAsia" w:hint="eastAsia"/>
        </w:rPr>
        <w:t>本基金的估值方法为：</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（1）证券交易所上市的有价证券的估值</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1）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3）交易所上市未实行净价交易的债券按估值日收盘价减去债券收盘价中所含的债券应收利息得到的净价进行估值；估值日没有交易的，且最近交易日后经济环境未发生重大变化，按有交易的最近交易日所采用的净价估值。如最近交易日后经济环境发生了重大变化的，可参考类似投资品种的现行市价及重大变化因素，调整最近交易市价，确定公允价格；</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4）交易所上市不存在活跃市场的有价证券，采用估值技术确定公允价值。交易所上市的资产支持证券，采用估值技术确定公允价值，在估值技术难以可靠计量公允价值的情况下，按成本估值。</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（2）处于未上市期间的有价证券应区分如下情况处理：</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1）送股、转增股、配股和公开增发的新股，按估值日在证券交易所挂牌的同一股票的市价（收盘价）估值；该日无交易的，以最近一日的市价（收盘价）估值；</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2）首次公开发行未上市的股票、债券和权证，采用估值技术确定公允价值，在估值技术难以可靠计量公允价值的情况下，按成本估值。</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3）首次公开发行有明确锁定期的股票，同一股票在交易所上市后，按交易所上市的同一股票的市价（收盘价）估值；非公开发行有明确锁定期的股票，按监管机构或行业协会有关规定确定公允价值。</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（3）因持有股票而享有的配股权，以及停止交易、但未行权的权证，采用估值技术确定公允价值。</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（4）全国银行间债券市场交易的债券、资产支持证券等固定收益品种，采用估值技术确定公允价值。</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（5）同一债券同时在两个或两个以上市场交易的，按债券所处的市场分别估值。</w:t>
      </w:r>
    </w:p>
    <w:p w:rsidR="009D1A75"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（6）本基金投资存托凭证的估值核算，依照境内上市交易的股票执行。</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w:t>
      </w:r>
      <w:r w:rsidRPr="008564FF" w:rsidR="009D1A75">
        <w:rPr>
          <w:rFonts w:asciiTheme="minorEastAsia" w:eastAsiaTheme="minorEastAsia" w:hAnsiTheme="minorEastAsia" w:hint="eastAsia"/>
          <w:szCs w:val="21"/>
        </w:rPr>
        <w:t>7</w:t>
      </w:r>
      <w:r w:rsidRPr="008564FF">
        <w:rPr>
          <w:rFonts w:asciiTheme="minorEastAsia" w:eastAsiaTheme="minorEastAsia" w:hAnsiTheme="minorEastAsia" w:hint="eastAsia"/>
          <w:szCs w:val="21"/>
        </w:rPr>
        <w:t>）如有确凿证据表明按上述方法进行估值不能客观反映其公允价值的，基金管理人可根据具体情况与基金托管人商定后，按最能反映公允价值的价格估值。</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w:t>
      </w:r>
      <w:r w:rsidRPr="008564FF" w:rsidR="009D1A75">
        <w:rPr>
          <w:rFonts w:asciiTheme="minorEastAsia" w:eastAsiaTheme="minorEastAsia" w:hAnsiTheme="minorEastAsia" w:hint="eastAsia"/>
          <w:szCs w:val="21"/>
        </w:rPr>
        <w:t>8</w:t>
      </w:r>
      <w:r w:rsidRPr="008564FF">
        <w:rPr>
          <w:rFonts w:asciiTheme="minorEastAsia" w:eastAsiaTheme="minorEastAsia" w:hAnsiTheme="minorEastAsia" w:hint="eastAsia"/>
          <w:szCs w:val="21"/>
        </w:rPr>
        <w:t>）相关法律法规以及监管部门有强制规定的，从其规定。如有新增事项，按国家最新规定估值。</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根据《基金法》，基金管理人计算并公告基金资产净值，基金托管人复核、审查基金管理人计算的基金资产净值。因此，就与本基金有关的会计问题，如经相关各方在平等基础上充分讨论后，仍无法达成一致的意见，按照基金管理人对基金资产净值的计算结果对外予以公布。</w:t>
      </w:r>
    </w:p>
    <w:p w:rsidR="003A3487" w:rsidRPr="008564FF" w:rsidP="009C2B2A">
      <w:pPr>
        <w:pStyle w:val="Heading2"/>
        <w:snapToGrid w:val="0"/>
        <w:spacing w:beforeLines="0" w:afterLines="0" w:line="360" w:lineRule="auto"/>
        <w:ind w:firstLine="0" w:firstLineChars="0"/>
        <w:rPr>
          <w:rFonts w:asciiTheme="minorEastAsia" w:eastAsiaTheme="minorEastAsia" w:hAnsiTheme="minorEastAsia"/>
          <w:b w:val="0"/>
          <w:bCs/>
          <w:sz w:val="21"/>
        </w:rPr>
      </w:pPr>
      <w:bookmarkStart w:id="907" w:name="_Toc91749309"/>
      <w:r w:rsidRPr="008564FF">
        <w:rPr>
          <w:rFonts w:asciiTheme="minorEastAsia" w:eastAsiaTheme="minorEastAsia" w:hAnsiTheme="minorEastAsia" w:hint="eastAsia"/>
          <w:b w:val="0"/>
          <w:bCs/>
        </w:rPr>
        <w:t>（六）基金份额持有人名册的保管</w:t>
      </w:r>
      <w:bookmarkEnd w:id="907"/>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基金管理人和基金托管人须分别妥善保管的基金份额持有人名册，包括</w:t>
      </w:r>
      <w:r w:rsidRPr="008564FF">
        <w:rPr>
          <w:rFonts w:asciiTheme="minorEastAsia" w:eastAsiaTheme="minorEastAsia" w:hAnsiTheme="minorEastAsia" w:cs="Arial" w:hint="eastAsia"/>
          <w:szCs w:val="21"/>
        </w:rPr>
        <w:t>《基金合同》生效日、《基金合同》终止日、基金份额持有人大会权利登记日、每年6月30日、12月31日的基金份额持有人名册。</w:t>
      </w:r>
      <w:r w:rsidRPr="008564FF">
        <w:rPr>
          <w:rFonts w:asciiTheme="minorEastAsia" w:eastAsiaTheme="minorEastAsia" w:hAnsiTheme="minorEastAsia" w:hint="eastAsia"/>
          <w:szCs w:val="21"/>
        </w:rPr>
        <w:t>基金份额持有人名册的内容必须包括基金份额持有人的名称和持有的基金份额。</w:t>
      </w:r>
    </w:p>
    <w:p w:rsidR="003A3487" w:rsidRPr="008564FF" w:rsidP="004549E4">
      <w:pPr>
        <w:snapToGrid w:val="0"/>
        <w:spacing w:line="360" w:lineRule="auto"/>
        <w:ind w:firstLine="420" w:firstLineChars="200"/>
        <w:rPr>
          <w:rFonts w:asciiTheme="minorEastAsia" w:eastAsiaTheme="minorEastAsia" w:hAnsiTheme="minorEastAsia" w:cs="Arial"/>
          <w:szCs w:val="21"/>
        </w:rPr>
      </w:pPr>
      <w:r w:rsidRPr="008564FF">
        <w:rPr>
          <w:rFonts w:asciiTheme="minorEastAsia" w:eastAsiaTheme="minorEastAsia" w:hAnsiTheme="minorEastAsia" w:hint="eastAsia"/>
          <w:szCs w:val="21"/>
        </w:rPr>
        <w:t>基金份额持有人名册由基金的</w:t>
      </w:r>
      <w:r w:rsidRPr="008564FF">
        <w:rPr>
          <w:rFonts w:asciiTheme="minorEastAsia" w:eastAsiaTheme="minorEastAsia" w:hAnsiTheme="minorEastAsia" w:cs="Arial" w:hint="eastAsia"/>
          <w:szCs w:val="21"/>
        </w:rPr>
        <w:t>基金注册登记机构根据基金管理人的指令编制和保管</w:t>
      </w:r>
      <w:r w:rsidRPr="008564FF">
        <w:rPr>
          <w:rFonts w:asciiTheme="minorEastAsia" w:eastAsiaTheme="minorEastAsia" w:hAnsiTheme="minorEastAsia" w:hint="eastAsia"/>
          <w:szCs w:val="21"/>
        </w:rPr>
        <w:t>，基金管理人和基金托管人应按照目前相关规则分别保管基金份额持有人名册。保管方式可以采用电子或文档的形式。保管期限为</w:t>
      </w:r>
      <w:r w:rsidRPr="008564FF" w:rsidR="002A491D">
        <w:rPr>
          <w:rFonts w:asciiTheme="minorEastAsia" w:eastAsiaTheme="minorEastAsia" w:hAnsiTheme="minorEastAsia" w:hint="eastAsia"/>
          <w:szCs w:val="21"/>
        </w:rPr>
        <w:t>20</w:t>
      </w:r>
      <w:r w:rsidRPr="008564FF">
        <w:rPr>
          <w:rFonts w:asciiTheme="minorEastAsia" w:eastAsiaTheme="minorEastAsia" w:hAnsiTheme="minorEastAsia" w:hint="eastAsia"/>
          <w:szCs w:val="21"/>
        </w:rPr>
        <w:t>年。</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cs="Arial" w:hint="eastAsia"/>
          <w:szCs w:val="21"/>
        </w:rPr>
        <w:t>基金管理人应当及时向基金托管人提交下列日期的基金份额持有人名册：《基金合同》生效日、《基金合同》终止日、基金份额持有人大会权利登记日、每年6月30日、每年12月31日的基金份额持有人名册。基金份额持有人名册的内容必须包括基金份额持有人的名</w:t>
      </w:r>
      <w:r w:rsidRPr="008564FF">
        <w:rPr>
          <w:rFonts w:asciiTheme="minorEastAsia" w:eastAsiaTheme="minorEastAsia" w:hAnsiTheme="minorEastAsia" w:cs="Arial" w:hint="eastAsia"/>
          <w:szCs w:val="21"/>
        </w:rPr>
        <w:t>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rsidR="003A3487" w:rsidRPr="008564FF" w:rsidP="004549E4">
      <w:pPr>
        <w:snapToGrid w:val="0"/>
        <w:spacing w:line="360" w:lineRule="auto"/>
        <w:ind w:firstLine="420" w:firstLineChars="200"/>
        <w:rPr>
          <w:rFonts w:asciiTheme="minorEastAsia" w:eastAsiaTheme="minorEastAsia" w:hAnsiTheme="minorEastAsia" w:cs="Arial"/>
          <w:szCs w:val="21"/>
        </w:rPr>
      </w:pPr>
      <w:r w:rsidRPr="008564FF">
        <w:rPr>
          <w:rFonts w:asciiTheme="minorEastAsia" w:eastAsiaTheme="minorEastAsia" w:hAnsiTheme="minorEastAsia" w:cs="Arial" w:hint="eastAsia"/>
          <w:szCs w:val="21"/>
        </w:rPr>
        <w:t>基金托管人以电子版形式妥善保管基金份额持有人名册，并定期刻成光盘备份，保存期限为</w:t>
      </w:r>
      <w:r w:rsidRPr="008564FF" w:rsidR="002A491D">
        <w:rPr>
          <w:rFonts w:asciiTheme="minorEastAsia" w:eastAsiaTheme="minorEastAsia" w:hAnsiTheme="minorEastAsia" w:cs="Arial" w:hint="eastAsia"/>
          <w:szCs w:val="21"/>
        </w:rPr>
        <w:t>20</w:t>
      </w:r>
      <w:r w:rsidRPr="008564FF">
        <w:rPr>
          <w:rFonts w:asciiTheme="minorEastAsia" w:eastAsiaTheme="minorEastAsia" w:hAnsiTheme="minorEastAsia" w:cs="Arial" w:hint="eastAsia"/>
          <w:szCs w:val="21"/>
        </w:rPr>
        <w:t>年。基金托管人不得将所保管的基金份额持有人名册用于基金托管业务以外的其他用途，并应遵守保密义务。</w:t>
      </w:r>
    </w:p>
    <w:p w:rsidR="003A3487" w:rsidRPr="008564FF" w:rsidP="004549E4">
      <w:pPr>
        <w:snapToGrid w:val="0"/>
        <w:spacing w:line="360" w:lineRule="auto"/>
        <w:ind w:firstLine="420" w:firstLineChars="200"/>
        <w:rPr>
          <w:rFonts w:asciiTheme="minorEastAsia" w:eastAsiaTheme="minorEastAsia" w:hAnsiTheme="minorEastAsia" w:cs="Arial"/>
          <w:szCs w:val="21"/>
        </w:rPr>
      </w:pPr>
      <w:r w:rsidRPr="008564FF">
        <w:rPr>
          <w:rFonts w:asciiTheme="minorEastAsia" w:eastAsiaTheme="minorEastAsia" w:hAnsiTheme="minorEastAsia" w:cs="Arial" w:hint="eastAsia"/>
          <w:szCs w:val="21"/>
        </w:rPr>
        <w:t>若基金管理人或基金托管人由于自身原因无法妥善保管基金份额持有人名册，应按有关法规规定各自</w:t>
      </w:r>
      <w:r w:rsidRPr="008564FF">
        <w:rPr>
          <w:rFonts w:asciiTheme="minorEastAsia" w:eastAsiaTheme="minorEastAsia" w:hAnsiTheme="minorEastAsia" w:hint="eastAsia"/>
          <w:szCs w:val="21"/>
        </w:rPr>
        <w:t>承担相应的责任。</w:t>
      </w:r>
    </w:p>
    <w:p w:rsidR="003A3487" w:rsidRPr="008564FF" w:rsidP="009C2B2A">
      <w:pPr>
        <w:pStyle w:val="Heading2"/>
        <w:snapToGrid w:val="0"/>
        <w:spacing w:beforeLines="0" w:afterLines="0" w:line="360" w:lineRule="auto"/>
        <w:ind w:firstLine="0" w:firstLineChars="0"/>
        <w:rPr>
          <w:rFonts w:asciiTheme="minorEastAsia" w:eastAsiaTheme="minorEastAsia" w:hAnsiTheme="minorEastAsia"/>
          <w:b w:val="0"/>
          <w:bCs/>
          <w:sz w:val="21"/>
        </w:rPr>
      </w:pPr>
      <w:bookmarkStart w:id="908" w:name="_Toc91749310"/>
      <w:r w:rsidRPr="008564FF">
        <w:rPr>
          <w:rFonts w:asciiTheme="minorEastAsia" w:eastAsiaTheme="minorEastAsia" w:hAnsiTheme="minorEastAsia" w:hint="eastAsia"/>
          <w:b w:val="0"/>
          <w:bCs/>
        </w:rPr>
        <w:t>（七）争议解决方式</w:t>
      </w:r>
      <w:bookmarkEnd w:id="908"/>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仲裁费用由败诉方承担。</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争议处理期间，相关各方当事人应恪守基金管理人和基金托管人职责，继续忠实、勤勉、尽责地履行《基金合同》和托管协议规定的义务，维护基金份额持有人的合法权益。</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本协议受中国法律管辖。</w:t>
      </w:r>
    </w:p>
    <w:p w:rsidR="003A3487" w:rsidRPr="008564FF" w:rsidP="009C2B2A">
      <w:pPr>
        <w:pStyle w:val="Heading2"/>
        <w:snapToGrid w:val="0"/>
        <w:spacing w:beforeLines="0" w:afterLines="0" w:line="360" w:lineRule="auto"/>
        <w:ind w:firstLine="0" w:firstLineChars="0"/>
        <w:rPr>
          <w:rFonts w:asciiTheme="minorEastAsia" w:eastAsiaTheme="minorEastAsia" w:hAnsiTheme="minorEastAsia"/>
          <w:b w:val="0"/>
          <w:bCs/>
          <w:sz w:val="21"/>
        </w:rPr>
      </w:pPr>
      <w:bookmarkStart w:id="909" w:name="_Toc91749311"/>
      <w:r w:rsidRPr="008564FF">
        <w:rPr>
          <w:rFonts w:asciiTheme="minorEastAsia" w:eastAsiaTheme="minorEastAsia" w:hAnsiTheme="minorEastAsia" w:hint="eastAsia"/>
          <w:b w:val="0"/>
          <w:bCs/>
        </w:rPr>
        <w:t>（八）托管协议的变更与终止</w:t>
      </w:r>
      <w:bookmarkEnd w:id="909"/>
    </w:p>
    <w:p w:rsidR="003A3487" w:rsidRPr="008564FF" w:rsidP="004549E4">
      <w:pPr>
        <w:autoSpaceDE w:val="0"/>
        <w:autoSpaceDN w:val="0"/>
        <w:adjustRightInd w:val="0"/>
        <w:snapToGrid w:val="0"/>
        <w:spacing w:line="360" w:lineRule="auto"/>
        <w:ind w:firstLine="420" w:firstLineChars="200"/>
        <w:jc w:val="left"/>
        <w:rPr>
          <w:rFonts w:asciiTheme="minorEastAsia" w:eastAsiaTheme="minorEastAsia" w:hAnsiTheme="minorEastAsia"/>
          <w:spacing w:val="6"/>
          <w:szCs w:val="21"/>
        </w:rPr>
      </w:pPr>
      <w:r w:rsidRPr="008564FF">
        <w:rPr>
          <w:rFonts w:asciiTheme="minorEastAsia" w:eastAsiaTheme="minorEastAsia" w:hAnsiTheme="minorEastAsia" w:hint="eastAsia"/>
        </w:rPr>
        <w:t>1</w:t>
      </w:r>
      <w:r w:rsidRPr="008564FF" w:rsidR="0007535E">
        <w:rPr>
          <w:rFonts w:asciiTheme="minorEastAsia" w:eastAsiaTheme="minorEastAsia" w:hAnsiTheme="minorEastAsia" w:hint="eastAsia"/>
        </w:rPr>
        <w:t>、</w:t>
      </w:r>
      <w:r w:rsidRPr="008564FF">
        <w:rPr>
          <w:rFonts w:asciiTheme="minorEastAsia" w:eastAsiaTheme="minorEastAsia" w:hAnsiTheme="minorEastAsia" w:hint="eastAsia"/>
          <w:spacing w:val="6"/>
          <w:szCs w:val="21"/>
        </w:rPr>
        <w:t>本协议双方当事人经协商一致，可以对协议的内容进行变更。变更后的托管协议，其内容不得与《基金合同》的规定有任何冲突。基金托管协议的变更报中国证监会</w:t>
      </w:r>
      <w:r w:rsidRPr="008564FF" w:rsidR="002A491D">
        <w:rPr>
          <w:rFonts w:asciiTheme="minorEastAsia" w:eastAsiaTheme="minorEastAsia" w:hAnsiTheme="minorEastAsia" w:hint="eastAsia"/>
          <w:spacing w:val="6"/>
          <w:szCs w:val="21"/>
        </w:rPr>
        <w:t>备案</w:t>
      </w:r>
      <w:r w:rsidRPr="008564FF">
        <w:rPr>
          <w:rFonts w:asciiTheme="minorEastAsia" w:eastAsiaTheme="minorEastAsia" w:hAnsiTheme="minorEastAsia" w:hint="eastAsia"/>
          <w:spacing w:val="6"/>
          <w:szCs w:val="21"/>
        </w:rPr>
        <w:t>。</w:t>
      </w:r>
    </w:p>
    <w:p w:rsidR="003A3487" w:rsidRPr="008564FF" w:rsidP="004549E4">
      <w:pPr>
        <w:snapToGrid w:val="0"/>
        <w:spacing w:line="360" w:lineRule="auto"/>
        <w:ind w:right="28"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2、发生以下情况，本托管协议终止：</w:t>
      </w:r>
    </w:p>
    <w:p w:rsidR="003A3487" w:rsidRPr="008564FF" w:rsidP="004549E4">
      <w:pPr>
        <w:autoSpaceDE w:val="0"/>
        <w:autoSpaceDN w:val="0"/>
        <w:adjustRightInd w:val="0"/>
        <w:snapToGrid w:val="0"/>
        <w:spacing w:line="360" w:lineRule="auto"/>
        <w:ind w:firstLine="420" w:firstLineChars="200"/>
        <w:jc w:val="left"/>
        <w:rPr>
          <w:rFonts w:asciiTheme="minorEastAsia" w:eastAsiaTheme="minorEastAsia" w:hAnsiTheme="minorEastAsia"/>
          <w:szCs w:val="21"/>
        </w:rPr>
      </w:pPr>
      <w:r w:rsidRPr="008564FF">
        <w:rPr>
          <w:rFonts w:asciiTheme="minorEastAsia" w:eastAsiaTheme="minorEastAsia" w:hAnsiTheme="minorEastAsia" w:hint="eastAsia"/>
          <w:szCs w:val="21"/>
        </w:rPr>
        <w:t>（1）《基金合同》终止；</w:t>
      </w:r>
    </w:p>
    <w:p w:rsidR="003A3487" w:rsidRPr="008564FF" w:rsidP="004549E4">
      <w:pPr>
        <w:autoSpaceDE w:val="0"/>
        <w:autoSpaceDN w:val="0"/>
        <w:adjustRightInd w:val="0"/>
        <w:snapToGrid w:val="0"/>
        <w:spacing w:line="360" w:lineRule="auto"/>
        <w:ind w:firstLine="420" w:firstLineChars="200"/>
        <w:jc w:val="left"/>
        <w:rPr>
          <w:rFonts w:asciiTheme="minorEastAsia" w:eastAsiaTheme="minorEastAsia" w:hAnsiTheme="minorEastAsia"/>
          <w:szCs w:val="21"/>
        </w:rPr>
      </w:pPr>
      <w:r w:rsidRPr="008564FF">
        <w:rPr>
          <w:rFonts w:asciiTheme="minorEastAsia" w:eastAsiaTheme="minorEastAsia" w:hAnsiTheme="minorEastAsia" w:hint="eastAsia"/>
          <w:szCs w:val="21"/>
        </w:rPr>
        <w:t>（2）基金托管人解散、依法被撤销、破产或有其他基金托管人接管基金财产；</w:t>
      </w:r>
    </w:p>
    <w:p w:rsidR="003A3487" w:rsidRPr="008564FF" w:rsidP="004549E4">
      <w:pPr>
        <w:autoSpaceDE w:val="0"/>
        <w:autoSpaceDN w:val="0"/>
        <w:adjustRightInd w:val="0"/>
        <w:snapToGrid w:val="0"/>
        <w:spacing w:line="360" w:lineRule="auto"/>
        <w:ind w:firstLine="420" w:firstLineChars="200"/>
        <w:jc w:val="left"/>
        <w:rPr>
          <w:rFonts w:asciiTheme="minorEastAsia" w:eastAsiaTheme="minorEastAsia" w:hAnsiTheme="minorEastAsia"/>
          <w:szCs w:val="21"/>
        </w:rPr>
      </w:pPr>
      <w:r w:rsidRPr="008564FF">
        <w:rPr>
          <w:rFonts w:asciiTheme="minorEastAsia" w:eastAsiaTheme="minorEastAsia" w:hAnsiTheme="minorEastAsia" w:hint="eastAsia"/>
          <w:szCs w:val="21"/>
        </w:rPr>
        <w:t>（3）基金管理人解散、依法被撤销、破产或有其他基金管理人接管基金管理权；</w:t>
      </w:r>
    </w:p>
    <w:p w:rsidR="003A3487" w:rsidRPr="008564FF" w:rsidP="004549E4">
      <w:pPr>
        <w:autoSpaceDE w:val="0"/>
        <w:autoSpaceDN w:val="0"/>
        <w:adjustRightInd w:val="0"/>
        <w:snapToGrid w:val="0"/>
        <w:spacing w:line="360" w:lineRule="auto"/>
        <w:ind w:firstLine="420" w:firstLineChars="200"/>
        <w:jc w:val="left"/>
        <w:rPr>
          <w:rFonts w:asciiTheme="minorEastAsia" w:eastAsiaTheme="minorEastAsia" w:hAnsiTheme="minorEastAsia"/>
          <w:szCs w:val="21"/>
        </w:rPr>
      </w:pPr>
      <w:r w:rsidRPr="008564FF">
        <w:rPr>
          <w:rFonts w:asciiTheme="minorEastAsia" w:eastAsiaTheme="minorEastAsia" w:hAnsiTheme="minorEastAsia" w:hint="eastAsia"/>
          <w:szCs w:val="21"/>
        </w:rPr>
        <w:t>（4）发生法律法规或《基金合同》规定的终止事项。</w:t>
      </w:r>
    </w:p>
    <w:p w:rsidR="008564FF" w:rsidP="004549E4">
      <w:pPr>
        <w:widowControl/>
        <w:snapToGrid w:val="0"/>
        <w:spacing w:line="360" w:lineRule="auto"/>
        <w:jc w:val="left"/>
        <w:rPr>
          <w:rFonts w:asciiTheme="minorEastAsia" w:eastAsiaTheme="minorEastAsia" w:hAnsiTheme="minorEastAsia"/>
          <w:b/>
          <w:bCs/>
          <w:sz w:val="32"/>
          <w:szCs w:val="32"/>
        </w:rPr>
        <w:sectPr w:rsidSect="008564FF">
          <w:type w:val="continuous"/>
          <w:pgSz w:w="11907" w:h="16840"/>
          <w:pgMar w:top="1440" w:right="1800" w:bottom="1440" w:left="1800" w:header="1134" w:footer="1247" w:gutter="0"/>
          <w:cols w:space="720"/>
          <w:docGrid w:type="lines" w:linePitch="312"/>
        </w:sectPr>
      </w:pPr>
    </w:p>
    <w:p w:rsidR="003A3487" w:rsidRPr="008564FF" w:rsidP="004549E4">
      <w:pPr>
        <w:widowControl/>
        <w:snapToGrid w:val="0"/>
        <w:spacing w:line="360" w:lineRule="auto"/>
        <w:jc w:val="left"/>
        <w:rPr>
          <w:rFonts w:asciiTheme="minorEastAsia" w:eastAsiaTheme="minorEastAsia" w:hAnsiTheme="minorEastAsia"/>
          <w:b/>
          <w:bCs/>
          <w:sz w:val="32"/>
          <w:szCs w:val="32"/>
        </w:rPr>
        <w:sectPr w:rsidSect="008564FF">
          <w:pgSz w:w="11907" w:h="16840"/>
          <w:pgMar w:top="1440" w:right="1800" w:bottom="1440" w:left="1800" w:header="1134" w:footer="1247" w:gutter="0"/>
          <w:cols w:space="720"/>
          <w:docGrid w:type="lines" w:linePitch="312"/>
        </w:sectPr>
      </w:pPr>
    </w:p>
    <w:p w:rsidR="003A3487" w:rsidRPr="008564FF" w:rsidP="009C2B2A">
      <w:pPr>
        <w:pStyle w:val="Heading1"/>
        <w:snapToGrid w:val="0"/>
        <w:spacing w:beforeLines="0" w:afterLines="0" w:line="360" w:lineRule="auto"/>
        <w:ind w:firstLine="0" w:firstLineChars="0"/>
        <w:rPr>
          <w:rFonts w:asciiTheme="minorEastAsia" w:eastAsiaTheme="minorEastAsia" w:hAnsiTheme="minorEastAsia"/>
          <w:b/>
          <w:bCs/>
        </w:rPr>
      </w:pPr>
      <w:bookmarkStart w:id="910" w:name="_Toc91749312"/>
      <w:r w:rsidRPr="008564FF">
        <w:rPr>
          <w:rFonts w:asciiTheme="minorEastAsia" w:eastAsiaTheme="minorEastAsia" w:hAnsiTheme="minorEastAsia" w:hint="eastAsia"/>
          <w:b/>
          <w:bCs/>
        </w:rPr>
        <w:t>二</w:t>
      </w:r>
      <w:bookmarkStart w:id="911" w:name="_Toc38438238"/>
      <w:bookmarkStart w:id="912" w:name="_Toc38438575"/>
      <w:bookmarkStart w:id="913" w:name="_Toc38438912"/>
      <w:bookmarkStart w:id="914" w:name="_Toc38439249"/>
      <w:bookmarkStart w:id="915" w:name="_Toc38439586"/>
      <w:bookmarkStart w:id="916" w:name="_Toc38439923"/>
      <w:bookmarkStart w:id="917" w:name="_Toc38440260"/>
      <w:bookmarkStart w:id="918" w:name="_Toc38440597"/>
      <w:bookmarkStart w:id="919" w:name="_Toc38440796"/>
      <w:bookmarkStart w:id="920" w:name="_Toc38441129"/>
      <w:bookmarkStart w:id="921" w:name="_Toc38441461"/>
      <w:bookmarkStart w:id="922" w:name="_Toc38441793"/>
      <w:bookmarkStart w:id="923" w:name="_Toc38442121"/>
      <w:bookmarkStart w:id="924" w:name="_Toc38442453"/>
      <w:bookmarkStart w:id="925" w:name="_Toc38442785"/>
      <w:bookmarkStart w:id="926" w:name="_Toc38443116"/>
      <w:bookmarkStart w:id="927" w:name="_Toc38443447"/>
      <w:bookmarkStart w:id="928" w:name="_Toc38443778"/>
      <w:bookmarkStart w:id="929" w:name="_Toc38438239"/>
      <w:bookmarkStart w:id="930" w:name="_Toc38438576"/>
      <w:bookmarkStart w:id="931" w:name="_Toc38438913"/>
      <w:bookmarkStart w:id="932" w:name="_Toc38439250"/>
      <w:bookmarkStart w:id="933" w:name="_Toc38439587"/>
      <w:bookmarkStart w:id="934" w:name="_Toc38439924"/>
      <w:bookmarkStart w:id="935" w:name="_Toc38440261"/>
      <w:bookmarkStart w:id="936" w:name="_Toc38440598"/>
      <w:bookmarkStart w:id="937" w:name="_Toc38440797"/>
      <w:bookmarkStart w:id="938" w:name="_Toc38441130"/>
      <w:bookmarkStart w:id="939" w:name="_Toc38441462"/>
      <w:bookmarkStart w:id="940" w:name="_Toc38441794"/>
      <w:bookmarkStart w:id="941" w:name="_Toc38442122"/>
      <w:bookmarkStart w:id="942" w:name="_Toc38442454"/>
      <w:bookmarkStart w:id="943" w:name="_Toc38442786"/>
      <w:bookmarkStart w:id="944" w:name="_Toc38443117"/>
      <w:bookmarkStart w:id="945" w:name="_Toc38443448"/>
      <w:bookmarkStart w:id="946" w:name="_Toc38443779"/>
      <w:bookmarkStart w:id="947" w:name="_Toc38438240"/>
      <w:bookmarkStart w:id="948" w:name="_Toc38438577"/>
      <w:bookmarkStart w:id="949" w:name="_Toc38438914"/>
      <w:bookmarkStart w:id="950" w:name="_Toc38439251"/>
      <w:bookmarkStart w:id="951" w:name="_Toc38439588"/>
      <w:bookmarkStart w:id="952" w:name="_Toc38439925"/>
      <w:bookmarkStart w:id="953" w:name="_Toc38440262"/>
      <w:bookmarkStart w:id="954" w:name="_Toc38440599"/>
      <w:bookmarkStart w:id="955" w:name="_Toc38440798"/>
      <w:bookmarkStart w:id="956" w:name="_Toc38441131"/>
      <w:bookmarkStart w:id="957" w:name="_Toc38441463"/>
      <w:bookmarkStart w:id="958" w:name="_Toc38441795"/>
      <w:bookmarkStart w:id="959" w:name="_Toc38442123"/>
      <w:bookmarkStart w:id="960" w:name="_Toc38442455"/>
      <w:bookmarkStart w:id="961" w:name="_Toc38442787"/>
      <w:bookmarkStart w:id="962" w:name="_Toc38443118"/>
      <w:bookmarkStart w:id="963" w:name="_Toc38443449"/>
      <w:bookmarkStart w:id="964" w:name="_Toc38443780"/>
      <w:bookmarkStart w:id="965" w:name="_Toc38438241"/>
      <w:bookmarkStart w:id="966" w:name="_Toc38438578"/>
      <w:bookmarkStart w:id="967" w:name="_Toc38438915"/>
      <w:bookmarkStart w:id="968" w:name="_Toc38439252"/>
      <w:bookmarkStart w:id="969" w:name="_Toc38439589"/>
      <w:bookmarkStart w:id="970" w:name="_Toc38439926"/>
      <w:bookmarkStart w:id="971" w:name="_Toc38440263"/>
      <w:bookmarkStart w:id="972" w:name="_Toc38440600"/>
      <w:bookmarkStart w:id="973" w:name="_Toc38440799"/>
      <w:bookmarkStart w:id="974" w:name="_Toc38441132"/>
      <w:bookmarkStart w:id="975" w:name="_Toc38441464"/>
      <w:bookmarkStart w:id="976" w:name="_Toc38441796"/>
      <w:bookmarkStart w:id="977" w:name="_Toc38442124"/>
      <w:bookmarkStart w:id="978" w:name="_Toc38442456"/>
      <w:bookmarkStart w:id="979" w:name="_Toc38442788"/>
      <w:bookmarkStart w:id="980" w:name="_Toc38443119"/>
      <w:bookmarkStart w:id="981" w:name="_Toc38443450"/>
      <w:bookmarkStart w:id="982" w:name="_Toc38443781"/>
      <w:bookmarkStart w:id="983" w:name="_Toc38438242"/>
      <w:bookmarkStart w:id="984" w:name="_Toc38438579"/>
      <w:bookmarkStart w:id="985" w:name="_Toc38438916"/>
      <w:bookmarkStart w:id="986" w:name="_Toc38439253"/>
      <w:bookmarkStart w:id="987" w:name="_Toc38439590"/>
      <w:bookmarkStart w:id="988" w:name="_Toc38439927"/>
      <w:bookmarkStart w:id="989" w:name="_Toc38440264"/>
      <w:bookmarkStart w:id="990" w:name="_Toc38440601"/>
      <w:bookmarkStart w:id="991" w:name="_Toc38440800"/>
      <w:bookmarkStart w:id="992" w:name="_Toc38441133"/>
      <w:bookmarkStart w:id="993" w:name="_Toc38441465"/>
      <w:bookmarkStart w:id="994" w:name="_Toc38441797"/>
      <w:bookmarkStart w:id="995" w:name="_Toc38442125"/>
      <w:bookmarkStart w:id="996" w:name="_Toc38442457"/>
      <w:bookmarkStart w:id="997" w:name="_Toc38442789"/>
      <w:bookmarkStart w:id="998" w:name="_Toc38443120"/>
      <w:bookmarkStart w:id="999" w:name="_Toc38443451"/>
      <w:bookmarkStart w:id="1000" w:name="_Toc38443782"/>
      <w:bookmarkStart w:id="1001" w:name="_Toc38438243"/>
      <w:bookmarkStart w:id="1002" w:name="_Toc38438580"/>
      <w:bookmarkStart w:id="1003" w:name="_Toc38438917"/>
      <w:bookmarkStart w:id="1004" w:name="_Toc38439254"/>
      <w:bookmarkStart w:id="1005" w:name="_Toc38439591"/>
      <w:bookmarkStart w:id="1006" w:name="_Toc38439928"/>
      <w:bookmarkStart w:id="1007" w:name="_Toc38440265"/>
      <w:bookmarkStart w:id="1008" w:name="_Toc38440602"/>
      <w:bookmarkStart w:id="1009" w:name="_Toc38440801"/>
      <w:bookmarkStart w:id="1010" w:name="_Toc38441134"/>
      <w:bookmarkStart w:id="1011" w:name="_Toc38441466"/>
      <w:bookmarkStart w:id="1012" w:name="_Toc38441798"/>
      <w:bookmarkStart w:id="1013" w:name="_Toc38442126"/>
      <w:bookmarkStart w:id="1014" w:name="_Toc38442458"/>
      <w:bookmarkStart w:id="1015" w:name="_Toc38442790"/>
      <w:bookmarkStart w:id="1016" w:name="_Toc38443121"/>
      <w:bookmarkStart w:id="1017" w:name="_Toc38443452"/>
      <w:bookmarkStart w:id="1018" w:name="_Toc38443783"/>
      <w:bookmarkStart w:id="1019" w:name="_Toc38438244"/>
      <w:bookmarkStart w:id="1020" w:name="_Toc38438581"/>
      <w:bookmarkStart w:id="1021" w:name="_Toc38438918"/>
      <w:bookmarkStart w:id="1022" w:name="_Toc38439255"/>
      <w:bookmarkStart w:id="1023" w:name="_Toc38439592"/>
      <w:bookmarkStart w:id="1024" w:name="_Toc38439929"/>
      <w:bookmarkStart w:id="1025" w:name="_Toc38440266"/>
      <w:bookmarkStart w:id="1026" w:name="_Toc38440603"/>
      <w:bookmarkStart w:id="1027" w:name="_Toc38440802"/>
      <w:bookmarkStart w:id="1028" w:name="_Toc38441135"/>
      <w:bookmarkStart w:id="1029" w:name="_Toc38441467"/>
      <w:bookmarkStart w:id="1030" w:name="_Toc38441799"/>
      <w:bookmarkStart w:id="1031" w:name="_Toc38442127"/>
      <w:bookmarkStart w:id="1032" w:name="_Toc38442459"/>
      <w:bookmarkStart w:id="1033" w:name="_Toc38442791"/>
      <w:bookmarkStart w:id="1034" w:name="_Toc38443122"/>
      <w:bookmarkStart w:id="1035" w:name="_Toc38443453"/>
      <w:bookmarkStart w:id="1036" w:name="_Toc38443784"/>
      <w:bookmarkStart w:id="1037" w:name="_Toc38438245"/>
      <w:bookmarkStart w:id="1038" w:name="_Toc38438582"/>
      <w:bookmarkStart w:id="1039" w:name="_Toc38438919"/>
      <w:bookmarkStart w:id="1040" w:name="_Toc38439256"/>
      <w:bookmarkStart w:id="1041" w:name="_Toc38439593"/>
      <w:bookmarkStart w:id="1042" w:name="_Toc38439930"/>
      <w:bookmarkStart w:id="1043" w:name="_Toc38440267"/>
      <w:bookmarkStart w:id="1044" w:name="_Toc38440604"/>
      <w:bookmarkStart w:id="1045" w:name="_Toc38440803"/>
      <w:bookmarkStart w:id="1046" w:name="_Toc38441136"/>
      <w:bookmarkStart w:id="1047" w:name="_Toc38441468"/>
      <w:bookmarkStart w:id="1048" w:name="_Toc38441800"/>
      <w:bookmarkStart w:id="1049" w:name="_Toc38442128"/>
      <w:bookmarkStart w:id="1050" w:name="_Toc38442460"/>
      <w:bookmarkStart w:id="1051" w:name="_Toc38442792"/>
      <w:bookmarkStart w:id="1052" w:name="_Toc38443123"/>
      <w:bookmarkStart w:id="1053" w:name="_Toc38443454"/>
      <w:bookmarkStart w:id="1054" w:name="_Toc38443785"/>
      <w:bookmarkStart w:id="1055" w:name="_Toc38438246"/>
      <w:bookmarkStart w:id="1056" w:name="_Toc38438583"/>
      <w:bookmarkStart w:id="1057" w:name="_Toc38438920"/>
      <w:bookmarkStart w:id="1058" w:name="_Toc38439257"/>
      <w:bookmarkStart w:id="1059" w:name="_Toc38439594"/>
      <w:bookmarkStart w:id="1060" w:name="_Toc38439931"/>
      <w:bookmarkStart w:id="1061" w:name="_Toc38440268"/>
      <w:bookmarkStart w:id="1062" w:name="_Toc38440605"/>
      <w:bookmarkStart w:id="1063" w:name="_Toc38440804"/>
      <w:bookmarkStart w:id="1064" w:name="_Toc38441137"/>
      <w:bookmarkStart w:id="1065" w:name="_Toc38441469"/>
      <w:bookmarkStart w:id="1066" w:name="_Toc38441801"/>
      <w:bookmarkStart w:id="1067" w:name="_Toc38442129"/>
      <w:bookmarkStart w:id="1068" w:name="_Toc38442461"/>
      <w:bookmarkStart w:id="1069" w:name="_Toc38442793"/>
      <w:bookmarkStart w:id="1070" w:name="_Toc38443124"/>
      <w:bookmarkStart w:id="1071" w:name="_Toc38443455"/>
      <w:bookmarkStart w:id="1072" w:name="_Toc38443786"/>
      <w:bookmarkStart w:id="1073" w:name="_Toc38438247"/>
      <w:bookmarkStart w:id="1074" w:name="_Toc38438584"/>
      <w:bookmarkStart w:id="1075" w:name="_Toc38438921"/>
      <w:bookmarkStart w:id="1076" w:name="_Toc38439258"/>
      <w:bookmarkStart w:id="1077" w:name="_Toc38439595"/>
      <w:bookmarkStart w:id="1078" w:name="_Toc38439932"/>
      <w:bookmarkStart w:id="1079" w:name="_Toc38440269"/>
      <w:bookmarkStart w:id="1080" w:name="_Toc38440606"/>
      <w:bookmarkStart w:id="1081" w:name="_Toc38440805"/>
      <w:bookmarkStart w:id="1082" w:name="_Toc38441138"/>
      <w:bookmarkStart w:id="1083" w:name="_Toc38441470"/>
      <w:bookmarkStart w:id="1084" w:name="_Toc38441802"/>
      <w:bookmarkStart w:id="1085" w:name="_Toc38442130"/>
      <w:bookmarkStart w:id="1086" w:name="_Toc38442462"/>
      <w:bookmarkStart w:id="1087" w:name="_Toc38442794"/>
      <w:bookmarkStart w:id="1088" w:name="_Toc38443125"/>
      <w:bookmarkStart w:id="1089" w:name="_Toc38443456"/>
      <w:bookmarkStart w:id="1090" w:name="_Toc38443787"/>
      <w:bookmarkStart w:id="1091" w:name="_Toc38438248"/>
      <w:bookmarkStart w:id="1092" w:name="_Toc38438585"/>
      <w:bookmarkStart w:id="1093" w:name="_Toc38438922"/>
      <w:bookmarkStart w:id="1094" w:name="_Toc38439259"/>
      <w:bookmarkStart w:id="1095" w:name="_Toc38439596"/>
      <w:bookmarkStart w:id="1096" w:name="_Toc38439933"/>
      <w:bookmarkStart w:id="1097" w:name="_Toc38440270"/>
      <w:bookmarkStart w:id="1098" w:name="_Toc38440607"/>
      <w:bookmarkStart w:id="1099" w:name="_Toc38440806"/>
      <w:bookmarkStart w:id="1100" w:name="_Toc38441139"/>
      <w:bookmarkStart w:id="1101" w:name="_Toc38441471"/>
      <w:bookmarkStart w:id="1102" w:name="_Toc38441803"/>
      <w:bookmarkStart w:id="1103" w:name="_Toc38442131"/>
      <w:bookmarkStart w:id="1104" w:name="_Toc38442463"/>
      <w:bookmarkStart w:id="1105" w:name="_Toc38442795"/>
      <w:bookmarkStart w:id="1106" w:name="_Toc38443126"/>
      <w:bookmarkStart w:id="1107" w:name="_Toc38443457"/>
      <w:bookmarkStart w:id="1108" w:name="_Toc38443788"/>
      <w:bookmarkStart w:id="1109" w:name="_Toc38438249"/>
      <w:bookmarkStart w:id="1110" w:name="_Toc38438586"/>
      <w:bookmarkStart w:id="1111" w:name="_Toc38438923"/>
      <w:bookmarkStart w:id="1112" w:name="_Toc38439260"/>
      <w:bookmarkStart w:id="1113" w:name="_Toc38439597"/>
      <w:bookmarkStart w:id="1114" w:name="_Toc38439934"/>
      <w:bookmarkStart w:id="1115" w:name="_Toc38440271"/>
      <w:bookmarkStart w:id="1116" w:name="_Toc38440608"/>
      <w:bookmarkStart w:id="1117" w:name="_Toc38440807"/>
      <w:bookmarkStart w:id="1118" w:name="_Toc38441140"/>
      <w:bookmarkStart w:id="1119" w:name="_Toc38441472"/>
      <w:bookmarkStart w:id="1120" w:name="_Toc38441804"/>
      <w:bookmarkStart w:id="1121" w:name="_Toc38442132"/>
      <w:bookmarkStart w:id="1122" w:name="_Toc38442464"/>
      <w:bookmarkStart w:id="1123" w:name="_Toc38442796"/>
      <w:bookmarkStart w:id="1124" w:name="_Toc38443127"/>
      <w:bookmarkStart w:id="1125" w:name="_Toc38443458"/>
      <w:bookmarkStart w:id="1126" w:name="_Toc38443789"/>
      <w:bookmarkStart w:id="1127" w:name="_Toc38438250"/>
      <w:bookmarkStart w:id="1128" w:name="_Toc38438587"/>
      <w:bookmarkStart w:id="1129" w:name="_Toc38438924"/>
      <w:bookmarkStart w:id="1130" w:name="_Toc38439261"/>
      <w:bookmarkStart w:id="1131" w:name="_Toc38439598"/>
      <w:bookmarkStart w:id="1132" w:name="_Toc38439935"/>
      <w:bookmarkStart w:id="1133" w:name="_Toc38440272"/>
      <w:bookmarkStart w:id="1134" w:name="_Toc38440609"/>
      <w:bookmarkStart w:id="1135" w:name="_Toc38440808"/>
      <w:bookmarkStart w:id="1136" w:name="_Toc38441141"/>
      <w:bookmarkStart w:id="1137" w:name="_Toc38441473"/>
      <w:bookmarkStart w:id="1138" w:name="_Toc38441805"/>
      <w:bookmarkStart w:id="1139" w:name="_Toc38442133"/>
      <w:bookmarkStart w:id="1140" w:name="_Toc38442465"/>
      <w:bookmarkStart w:id="1141" w:name="_Toc38442797"/>
      <w:bookmarkStart w:id="1142" w:name="_Toc38443128"/>
      <w:bookmarkStart w:id="1143" w:name="_Toc38443459"/>
      <w:bookmarkStart w:id="1144" w:name="_Toc38443790"/>
      <w:bookmarkStart w:id="1145" w:name="_Toc38438251"/>
      <w:bookmarkStart w:id="1146" w:name="_Toc38438588"/>
      <w:bookmarkStart w:id="1147" w:name="_Toc38438925"/>
      <w:bookmarkStart w:id="1148" w:name="_Toc38439262"/>
      <w:bookmarkStart w:id="1149" w:name="_Toc38439599"/>
      <w:bookmarkStart w:id="1150" w:name="_Toc38439936"/>
      <w:bookmarkStart w:id="1151" w:name="_Toc38440273"/>
      <w:bookmarkStart w:id="1152" w:name="_Toc38440610"/>
      <w:bookmarkStart w:id="1153" w:name="_Toc38440809"/>
      <w:bookmarkStart w:id="1154" w:name="_Toc38441142"/>
      <w:bookmarkStart w:id="1155" w:name="_Toc38441474"/>
      <w:bookmarkStart w:id="1156" w:name="_Toc38441806"/>
      <w:bookmarkStart w:id="1157" w:name="_Toc38442134"/>
      <w:bookmarkStart w:id="1158" w:name="_Toc38442466"/>
      <w:bookmarkStart w:id="1159" w:name="_Toc38442798"/>
      <w:bookmarkStart w:id="1160" w:name="_Toc38443129"/>
      <w:bookmarkStart w:id="1161" w:name="_Toc38443460"/>
      <w:bookmarkStart w:id="1162" w:name="_Toc38443791"/>
      <w:bookmarkStart w:id="1163" w:name="_Toc38438252"/>
      <w:bookmarkStart w:id="1164" w:name="_Toc38438589"/>
      <w:bookmarkStart w:id="1165" w:name="_Toc38438926"/>
      <w:bookmarkStart w:id="1166" w:name="_Toc38439263"/>
      <w:bookmarkStart w:id="1167" w:name="_Toc38439600"/>
      <w:bookmarkStart w:id="1168" w:name="_Toc38439937"/>
      <w:bookmarkStart w:id="1169" w:name="_Toc38440274"/>
      <w:bookmarkStart w:id="1170" w:name="_Toc38440611"/>
      <w:bookmarkStart w:id="1171" w:name="_Toc38440810"/>
      <w:bookmarkStart w:id="1172" w:name="_Toc38441143"/>
      <w:bookmarkStart w:id="1173" w:name="_Toc38441475"/>
      <w:bookmarkStart w:id="1174" w:name="_Toc38441807"/>
      <w:bookmarkStart w:id="1175" w:name="_Toc38442135"/>
      <w:bookmarkStart w:id="1176" w:name="_Toc38442467"/>
      <w:bookmarkStart w:id="1177" w:name="_Toc38442799"/>
      <w:bookmarkStart w:id="1178" w:name="_Toc38443130"/>
      <w:bookmarkStart w:id="1179" w:name="_Toc38443461"/>
      <w:bookmarkStart w:id="1180" w:name="_Toc38443792"/>
      <w:bookmarkStart w:id="1181" w:name="_Toc38438253"/>
      <w:bookmarkStart w:id="1182" w:name="_Toc38438590"/>
      <w:bookmarkStart w:id="1183" w:name="_Toc38438927"/>
      <w:bookmarkStart w:id="1184" w:name="_Toc38439264"/>
      <w:bookmarkStart w:id="1185" w:name="_Toc38439601"/>
      <w:bookmarkStart w:id="1186" w:name="_Toc38439938"/>
      <w:bookmarkStart w:id="1187" w:name="_Toc38440275"/>
      <w:bookmarkStart w:id="1188" w:name="_Toc38440612"/>
      <w:bookmarkStart w:id="1189" w:name="_Toc38440811"/>
      <w:bookmarkStart w:id="1190" w:name="_Toc38441144"/>
      <w:bookmarkStart w:id="1191" w:name="_Toc38441476"/>
      <w:bookmarkStart w:id="1192" w:name="_Toc38441808"/>
      <w:bookmarkStart w:id="1193" w:name="_Toc38442136"/>
      <w:bookmarkStart w:id="1194" w:name="_Toc38442468"/>
      <w:bookmarkStart w:id="1195" w:name="_Toc38442800"/>
      <w:bookmarkStart w:id="1196" w:name="_Toc38443131"/>
      <w:bookmarkStart w:id="1197" w:name="_Toc38443462"/>
      <w:bookmarkStart w:id="1198" w:name="_Toc38443793"/>
      <w:bookmarkStart w:id="1199" w:name="_Toc38438254"/>
      <w:bookmarkStart w:id="1200" w:name="_Toc38438591"/>
      <w:bookmarkStart w:id="1201" w:name="_Toc38438928"/>
      <w:bookmarkStart w:id="1202" w:name="_Toc38439265"/>
      <w:bookmarkStart w:id="1203" w:name="_Toc38439602"/>
      <w:bookmarkStart w:id="1204" w:name="_Toc38439939"/>
      <w:bookmarkStart w:id="1205" w:name="_Toc38440276"/>
      <w:bookmarkStart w:id="1206" w:name="_Toc38440613"/>
      <w:bookmarkStart w:id="1207" w:name="_Toc38440812"/>
      <w:bookmarkStart w:id="1208" w:name="_Toc38441145"/>
      <w:bookmarkStart w:id="1209" w:name="_Toc38441477"/>
      <w:bookmarkStart w:id="1210" w:name="_Toc38441809"/>
      <w:bookmarkStart w:id="1211" w:name="_Toc38442137"/>
      <w:bookmarkStart w:id="1212" w:name="_Toc38442469"/>
      <w:bookmarkStart w:id="1213" w:name="_Toc38442801"/>
      <w:bookmarkStart w:id="1214" w:name="_Toc38443132"/>
      <w:bookmarkStart w:id="1215" w:name="_Toc38443463"/>
      <w:bookmarkStart w:id="1216" w:name="_Toc38443794"/>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r w:rsidRPr="008564FF">
        <w:rPr>
          <w:rFonts w:asciiTheme="minorEastAsia" w:eastAsiaTheme="minorEastAsia" w:hAnsiTheme="minorEastAsia" w:hint="eastAsia"/>
          <w:b/>
          <w:bCs/>
        </w:rPr>
        <w:t>十三、对基金份额持有人的服务</w:t>
      </w:r>
      <w:bookmarkStart w:id="1217" w:name="_Toc38186634"/>
      <w:bookmarkEnd w:id="910"/>
    </w:p>
    <w:p w:rsidR="003A3487" w:rsidRPr="008564FF" w:rsidP="004549E4">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rPr>
      </w:pPr>
      <w:r w:rsidRPr="008564FF">
        <w:rPr>
          <w:rFonts w:asciiTheme="minorEastAsia" w:eastAsiaTheme="minorEastAsia" w:hAnsiTheme="minorEastAsia" w:hint="eastAsia"/>
        </w:rPr>
        <w:t>基金管理人承诺为基金份额持有人提供一系列的服务。以下是主要的服务内容，基金管理人根据基金份额持有人的需要和市场的变化，有权增加、修改这些服务项目：</w:t>
      </w:r>
    </w:p>
    <w:p w:rsidR="003A3487" w:rsidRPr="008564FF" w:rsidP="009C2B2A">
      <w:pPr>
        <w:pStyle w:val="Heading2"/>
        <w:snapToGrid w:val="0"/>
        <w:spacing w:beforeLines="0" w:afterLines="0" w:line="360" w:lineRule="auto"/>
        <w:ind w:firstLine="0" w:firstLineChars="0"/>
        <w:rPr>
          <w:rFonts w:asciiTheme="minorEastAsia" w:eastAsiaTheme="minorEastAsia" w:hAnsiTheme="minorEastAsia"/>
        </w:rPr>
      </w:pPr>
      <w:bookmarkStart w:id="1218" w:name="_Toc91749313"/>
      <w:r w:rsidRPr="008564FF">
        <w:rPr>
          <w:rFonts w:asciiTheme="minorEastAsia" w:eastAsiaTheme="minorEastAsia" w:hAnsiTheme="minorEastAsia" w:hint="eastAsia"/>
        </w:rPr>
        <w:t>（一）基金份额持有人投资交易确认服务</w:t>
      </w:r>
      <w:bookmarkEnd w:id="1218"/>
    </w:p>
    <w:p w:rsidR="003A3487" w:rsidRPr="008564FF" w:rsidP="004549E4">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rPr>
      </w:pPr>
      <w:r w:rsidRPr="008564FF">
        <w:rPr>
          <w:rFonts w:asciiTheme="minorEastAsia" w:eastAsiaTheme="minorEastAsia" w:hAnsiTheme="minorEastAsia" w:hint="eastAsia"/>
        </w:rPr>
        <w:t>注册登记机构保留基金份额持有人名册上列明的所有基金份额持有人的基金交易记录。</w:t>
      </w:r>
    </w:p>
    <w:p w:rsidR="003A3487" w:rsidRPr="008564FF" w:rsidP="004549E4">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rPr>
      </w:pPr>
      <w:r w:rsidRPr="008564FF">
        <w:rPr>
          <w:rFonts w:asciiTheme="minorEastAsia" w:eastAsiaTheme="minorEastAsia" w:hAnsiTheme="minorEastAsia" w:hint="eastAsia"/>
        </w:rPr>
        <w:t>基金管理人直销</w:t>
      </w:r>
      <w:r w:rsidRPr="008564FF" w:rsidR="005A63EE">
        <w:rPr>
          <w:rFonts w:asciiTheme="minorEastAsia" w:eastAsiaTheme="minorEastAsia" w:hAnsiTheme="minorEastAsia" w:hint="eastAsia"/>
        </w:rPr>
        <w:t>网点</w:t>
      </w:r>
      <w:r w:rsidRPr="008564FF">
        <w:rPr>
          <w:rFonts w:asciiTheme="minorEastAsia" w:eastAsiaTheme="minorEastAsia" w:hAnsiTheme="minorEastAsia" w:hint="eastAsia"/>
        </w:rPr>
        <w:t>应根据在基金管理人直销</w:t>
      </w:r>
      <w:r w:rsidRPr="008564FF" w:rsidR="005A63EE">
        <w:rPr>
          <w:rFonts w:asciiTheme="minorEastAsia" w:eastAsiaTheme="minorEastAsia" w:hAnsiTheme="minorEastAsia" w:hint="eastAsia"/>
        </w:rPr>
        <w:t>网点</w:t>
      </w:r>
      <w:r w:rsidRPr="008564FF">
        <w:rPr>
          <w:rFonts w:asciiTheme="minorEastAsia" w:eastAsiaTheme="minorEastAsia" w:hAnsiTheme="minorEastAsia" w:hint="eastAsia"/>
        </w:rPr>
        <w:t>进行交易的投资者的要求</w:t>
      </w:r>
      <w:r w:rsidRPr="008564FF" w:rsidR="002C0C43">
        <w:rPr>
          <w:rFonts w:asciiTheme="minorEastAsia" w:eastAsiaTheme="minorEastAsia" w:hAnsiTheme="minorEastAsia" w:hint="eastAsia"/>
        </w:rPr>
        <w:t>提</w:t>
      </w:r>
      <w:r w:rsidRPr="008564FF" w:rsidR="004C7272">
        <w:rPr>
          <w:rFonts w:asciiTheme="minorEastAsia" w:eastAsiaTheme="minorEastAsia" w:hAnsiTheme="minorEastAsia" w:hint="eastAsia"/>
        </w:rPr>
        <w:t>供</w:t>
      </w:r>
      <w:r w:rsidRPr="008564FF">
        <w:rPr>
          <w:rFonts w:asciiTheme="minorEastAsia" w:eastAsiaTheme="minorEastAsia" w:hAnsiTheme="minorEastAsia" w:hint="eastAsia"/>
        </w:rPr>
        <w:t>成交确认单。</w:t>
      </w:r>
      <w:r w:rsidRPr="008564FF" w:rsidR="009144A9">
        <w:rPr>
          <w:rFonts w:asciiTheme="minorEastAsia" w:eastAsiaTheme="minorEastAsia" w:hAnsiTheme="minorEastAsia" w:hint="eastAsia"/>
        </w:rPr>
        <w:t>基金非直销销售机构应根据在销售网点进行交易的投资者的要求提供成交确认单。</w:t>
      </w:r>
    </w:p>
    <w:p w:rsidR="003A3487" w:rsidRPr="008564FF" w:rsidP="009C2B2A">
      <w:pPr>
        <w:pStyle w:val="Heading2"/>
        <w:snapToGrid w:val="0"/>
        <w:spacing w:beforeLines="0" w:afterLines="0" w:line="360" w:lineRule="auto"/>
        <w:ind w:firstLine="0" w:firstLineChars="0"/>
        <w:rPr>
          <w:rFonts w:asciiTheme="minorEastAsia" w:eastAsiaTheme="minorEastAsia" w:hAnsiTheme="minorEastAsia"/>
        </w:rPr>
      </w:pPr>
      <w:bookmarkStart w:id="1219" w:name="_Toc91749314"/>
      <w:r w:rsidRPr="008564FF">
        <w:rPr>
          <w:rFonts w:asciiTheme="minorEastAsia" w:eastAsiaTheme="minorEastAsia" w:hAnsiTheme="minorEastAsia" w:hint="eastAsia"/>
        </w:rPr>
        <w:t>（二）基金份额持有人交易记录查询服务</w:t>
      </w:r>
      <w:bookmarkEnd w:id="1219"/>
    </w:p>
    <w:p w:rsidR="003A3487" w:rsidRPr="008564FF" w:rsidP="004549E4">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rPr>
      </w:pPr>
      <w:r w:rsidRPr="008564FF">
        <w:rPr>
          <w:rFonts w:asciiTheme="minorEastAsia" w:eastAsiaTheme="minorEastAsia" w:hAnsiTheme="minorEastAsia" w:hint="eastAsia"/>
        </w:rPr>
        <w:t>本基金份额持有人可通过基金管理人的客户服务中心查询历史交易记录。</w:t>
      </w:r>
    </w:p>
    <w:p w:rsidR="003A3487" w:rsidRPr="008564FF" w:rsidP="009C2B2A">
      <w:pPr>
        <w:pStyle w:val="Heading2"/>
        <w:snapToGrid w:val="0"/>
        <w:spacing w:beforeLines="0" w:afterLines="0" w:line="360" w:lineRule="auto"/>
        <w:ind w:firstLine="0" w:firstLineChars="0"/>
        <w:rPr>
          <w:rFonts w:asciiTheme="minorEastAsia" w:eastAsiaTheme="minorEastAsia" w:hAnsiTheme="minorEastAsia"/>
        </w:rPr>
      </w:pPr>
      <w:bookmarkStart w:id="1220" w:name="_Toc91749315"/>
      <w:r w:rsidRPr="008564FF">
        <w:rPr>
          <w:rFonts w:asciiTheme="minorEastAsia" w:eastAsiaTheme="minorEastAsia" w:hAnsiTheme="minorEastAsia" w:hint="eastAsia"/>
        </w:rPr>
        <w:t>（三）基金份额持有人的对</w:t>
      </w:r>
      <w:r w:rsidRPr="008564FF" w:rsidR="00D47C7E">
        <w:rPr>
          <w:rFonts w:asciiTheme="minorEastAsia" w:eastAsiaTheme="minorEastAsia" w:hAnsiTheme="minorEastAsia" w:hint="eastAsia"/>
        </w:rPr>
        <w:t>账单</w:t>
      </w:r>
      <w:r w:rsidRPr="008564FF">
        <w:rPr>
          <w:rFonts w:asciiTheme="minorEastAsia" w:eastAsiaTheme="minorEastAsia" w:hAnsiTheme="minorEastAsia" w:hint="eastAsia"/>
        </w:rPr>
        <w:t>服务</w:t>
      </w:r>
      <w:bookmarkEnd w:id="1220"/>
    </w:p>
    <w:p w:rsidR="003A3487" w:rsidRPr="008564FF" w:rsidP="004549E4">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rPr>
      </w:pPr>
      <w:r w:rsidRPr="008564FF">
        <w:rPr>
          <w:rFonts w:asciiTheme="minorEastAsia" w:eastAsiaTheme="minorEastAsia" w:hAnsiTheme="minorEastAsia" w:hint="eastAsia"/>
        </w:rPr>
        <w:t>1</w:t>
      </w:r>
      <w:r w:rsidRPr="008564FF" w:rsidR="0007535E">
        <w:rPr>
          <w:rFonts w:asciiTheme="minorEastAsia" w:eastAsiaTheme="minorEastAsia" w:hAnsiTheme="minorEastAsia" w:hint="eastAsia"/>
        </w:rPr>
        <w:t>、</w:t>
      </w:r>
      <w:r w:rsidRPr="008564FF">
        <w:rPr>
          <w:rFonts w:asciiTheme="minorEastAsia" w:eastAsiaTheme="minorEastAsia" w:hAnsiTheme="minorEastAsia" w:hint="eastAsia"/>
        </w:rPr>
        <w:t>基金份额持有人可登录本公司网站（</w:t>
      </w:r>
      <w:hyperlink r:id="rId12" w:history="1">
        <w:r w:rsidRPr="008564FF">
          <w:rPr>
            <w:rStyle w:val="Hyperlink"/>
            <w:rFonts w:asciiTheme="minorEastAsia" w:eastAsiaTheme="minorEastAsia" w:hAnsiTheme="minorEastAsia" w:hint="eastAsia"/>
            <w:color w:val="auto"/>
            <w:u w:val="none"/>
          </w:rPr>
          <w:t>http://www.efunds.com.cn</w:t>
        </w:r>
      </w:hyperlink>
      <w:r w:rsidRPr="008564FF">
        <w:rPr>
          <w:rFonts w:asciiTheme="minorEastAsia" w:eastAsiaTheme="minorEastAsia" w:hAnsiTheme="minorEastAsia" w:hint="eastAsia"/>
        </w:rPr>
        <w:t>）查阅对账单。</w:t>
      </w:r>
    </w:p>
    <w:p w:rsidR="003A3487" w:rsidRPr="008564FF" w:rsidP="004549E4">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rPr>
      </w:pPr>
      <w:r w:rsidRPr="008564FF">
        <w:rPr>
          <w:rFonts w:asciiTheme="minorEastAsia" w:eastAsiaTheme="minorEastAsia" w:hAnsiTheme="minorEastAsia" w:hint="eastAsia"/>
        </w:rPr>
        <w:t>2</w:t>
      </w:r>
      <w:r w:rsidRPr="008564FF" w:rsidR="0007535E">
        <w:rPr>
          <w:rFonts w:asciiTheme="minorEastAsia" w:eastAsiaTheme="minorEastAsia" w:hAnsiTheme="minorEastAsia" w:hint="eastAsia"/>
        </w:rPr>
        <w:t>、</w:t>
      </w:r>
      <w:r w:rsidRPr="008564FF" w:rsidR="008564FF">
        <w:rPr>
          <w:rFonts w:asciiTheme="minorEastAsia" w:eastAsiaTheme="minorEastAsia" w:hAnsiTheme="minorEastAsia" w:hint="eastAsia"/>
        </w:rPr>
        <w:t>本公司至少每年度以电子邮件、短信或其他形式向通过易方达直销系统持有本公司基金份额的持有人提供基金保有情况信息，基金份额持有人也可以向本公司定制电子邮件形式的月度对账单。</w:t>
      </w:r>
    </w:p>
    <w:p w:rsidR="00B16F1F"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具体查阅和定制账单的方法可参见本公司网站或拨打客服热线咨询。</w:t>
      </w:r>
    </w:p>
    <w:p w:rsidR="003A3487" w:rsidRPr="008564FF" w:rsidP="009C2B2A">
      <w:pPr>
        <w:pStyle w:val="Heading2"/>
        <w:snapToGrid w:val="0"/>
        <w:spacing w:beforeLines="0" w:afterLines="0" w:line="360" w:lineRule="auto"/>
        <w:ind w:firstLine="0" w:firstLineChars="0"/>
        <w:rPr>
          <w:rFonts w:asciiTheme="minorEastAsia" w:eastAsiaTheme="minorEastAsia" w:hAnsiTheme="minorEastAsia"/>
        </w:rPr>
      </w:pPr>
      <w:bookmarkStart w:id="1221" w:name="_Toc91749316"/>
      <w:r w:rsidRPr="008564FF">
        <w:rPr>
          <w:rFonts w:asciiTheme="minorEastAsia" w:eastAsiaTheme="minorEastAsia" w:hAnsiTheme="minorEastAsia" w:hint="eastAsia"/>
        </w:rPr>
        <w:t>（</w:t>
      </w:r>
      <w:r w:rsidRPr="008564FF" w:rsidR="002C0C43">
        <w:rPr>
          <w:rFonts w:asciiTheme="minorEastAsia" w:eastAsiaTheme="minorEastAsia" w:hAnsiTheme="minorEastAsia" w:hint="eastAsia"/>
        </w:rPr>
        <w:t>四</w:t>
      </w:r>
      <w:r w:rsidRPr="008564FF">
        <w:rPr>
          <w:rFonts w:asciiTheme="minorEastAsia" w:eastAsiaTheme="minorEastAsia" w:hAnsiTheme="minorEastAsia" w:hint="eastAsia"/>
        </w:rPr>
        <w:t>）定期定额投资计划</w:t>
      </w:r>
      <w:bookmarkEnd w:id="1221"/>
    </w:p>
    <w:p w:rsidR="004512C1" w:rsidRPr="008564FF" w:rsidP="004549E4">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szCs w:val="21"/>
        </w:rPr>
        <w:t>基金管理人可利用</w:t>
      </w:r>
      <w:r w:rsidRPr="008564FF" w:rsidR="009144A9">
        <w:rPr>
          <w:rFonts w:asciiTheme="minorEastAsia" w:eastAsiaTheme="minorEastAsia" w:hAnsiTheme="minorEastAsia" w:hint="eastAsia"/>
          <w:szCs w:val="21"/>
        </w:rPr>
        <w:t>非直销销售</w:t>
      </w:r>
      <w:r w:rsidRPr="008564FF">
        <w:rPr>
          <w:rFonts w:asciiTheme="minorEastAsia" w:eastAsiaTheme="minorEastAsia" w:hAnsiTheme="minorEastAsia" w:hint="eastAsia"/>
          <w:szCs w:val="21"/>
        </w:rPr>
        <w:t>机构网点和本公司网上交易系统为投资者提供定期定额投资的服务（本公司网上交易系统的定期定额投资服务目前仅对个人投资者开通）。通过定期定额投资计划，投资者可以通过固定的渠道，定期定额申购基金份额，具体实施方法见</w:t>
      </w:r>
      <w:r w:rsidRPr="008564FF" w:rsidR="002C0C43">
        <w:rPr>
          <w:rFonts w:asciiTheme="minorEastAsia" w:eastAsiaTheme="minorEastAsia" w:hAnsiTheme="minorEastAsia" w:hint="eastAsia"/>
          <w:szCs w:val="21"/>
        </w:rPr>
        <w:t>相关</w:t>
      </w:r>
      <w:r w:rsidRPr="008564FF">
        <w:rPr>
          <w:rFonts w:asciiTheme="minorEastAsia" w:eastAsiaTheme="minorEastAsia" w:hAnsiTheme="minorEastAsia" w:hint="eastAsia"/>
          <w:szCs w:val="21"/>
        </w:rPr>
        <w:t>公告。</w:t>
      </w:r>
    </w:p>
    <w:p w:rsidR="003A3487" w:rsidRPr="008564FF" w:rsidP="009C2B2A">
      <w:pPr>
        <w:pStyle w:val="Heading2"/>
        <w:snapToGrid w:val="0"/>
        <w:spacing w:beforeLines="0" w:afterLines="0" w:line="360" w:lineRule="auto"/>
        <w:ind w:firstLine="0" w:firstLineChars="0"/>
        <w:rPr>
          <w:rFonts w:asciiTheme="minorEastAsia" w:eastAsiaTheme="minorEastAsia" w:hAnsiTheme="minorEastAsia"/>
        </w:rPr>
      </w:pPr>
      <w:bookmarkStart w:id="1222" w:name="_Toc91749317"/>
      <w:r w:rsidRPr="008564FF">
        <w:rPr>
          <w:rFonts w:asciiTheme="minorEastAsia" w:eastAsiaTheme="minorEastAsia" w:hAnsiTheme="minorEastAsia" w:hint="eastAsia"/>
        </w:rPr>
        <w:t>（</w:t>
      </w:r>
      <w:r w:rsidRPr="008564FF" w:rsidR="002C0C43">
        <w:rPr>
          <w:rFonts w:asciiTheme="minorEastAsia" w:eastAsiaTheme="minorEastAsia" w:hAnsiTheme="minorEastAsia" w:hint="eastAsia"/>
        </w:rPr>
        <w:t>五</w:t>
      </w:r>
      <w:r w:rsidRPr="008564FF">
        <w:rPr>
          <w:rFonts w:asciiTheme="minorEastAsia" w:eastAsiaTheme="minorEastAsia" w:hAnsiTheme="minorEastAsia" w:hint="eastAsia"/>
        </w:rPr>
        <w:t>）资讯服务</w:t>
      </w:r>
      <w:bookmarkEnd w:id="1222"/>
    </w:p>
    <w:p w:rsidR="003A3487" w:rsidRPr="008564FF" w:rsidP="004549E4">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rPr>
      </w:pPr>
      <w:r w:rsidRPr="008564FF">
        <w:rPr>
          <w:rFonts w:asciiTheme="minorEastAsia" w:eastAsiaTheme="minorEastAsia" w:hAnsiTheme="minorEastAsia" w:hint="eastAsia"/>
        </w:rPr>
        <w:t>1、客户服务电话</w:t>
      </w:r>
    </w:p>
    <w:p w:rsidR="003A3487" w:rsidRPr="008564FF" w:rsidP="004549E4">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rPr>
      </w:pPr>
      <w:r w:rsidRPr="008564FF">
        <w:rPr>
          <w:rFonts w:asciiTheme="minorEastAsia" w:eastAsiaTheme="minorEastAsia" w:hAnsiTheme="minorEastAsia" w:hint="eastAsia"/>
        </w:rPr>
        <w:t>投资者如果想了解申购与赎回的交易情况、基金账户余额、基金产品与服务等信息，</w:t>
      </w:r>
      <w:r w:rsidRPr="008564FF" w:rsidR="004C7272">
        <w:rPr>
          <w:rFonts w:asciiTheme="minorEastAsia" w:eastAsiaTheme="minorEastAsia" w:hAnsiTheme="minorEastAsia" w:hint="eastAsia"/>
          <w:kern w:val="0"/>
        </w:rPr>
        <w:t>或反馈投资过程中需要投诉与建议的情况，</w:t>
      </w:r>
      <w:r w:rsidRPr="008564FF">
        <w:rPr>
          <w:rFonts w:asciiTheme="minorEastAsia" w:eastAsiaTheme="minorEastAsia" w:hAnsiTheme="minorEastAsia" w:hint="eastAsia"/>
        </w:rPr>
        <w:t>可拨打如下电话：4008818088。</w:t>
      </w:r>
      <w:r w:rsidRPr="008564FF" w:rsidR="004C7272">
        <w:rPr>
          <w:rFonts w:asciiTheme="minorEastAsia" w:eastAsiaTheme="minorEastAsia" w:hAnsiTheme="minorEastAsia" w:hint="eastAsia"/>
          <w:kern w:val="0"/>
          <w:szCs w:val="21"/>
        </w:rPr>
        <w:t>投资者如果认为自己不能准确理解本基金《招募说明书》、《基金合同》的具体内容，也可拨打上述电话详询。</w:t>
      </w:r>
    </w:p>
    <w:p w:rsidR="003A3487" w:rsidRPr="008564FF" w:rsidP="004549E4">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rPr>
      </w:pPr>
      <w:r w:rsidRPr="008564FF">
        <w:rPr>
          <w:rFonts w:asciiTheme="minorEastAsia" w:eastAsiaTheme="minorEastAsia" w:hAnsiTheme="minorEastAsia" w:hint="eastAsia"/>
        </w:rPr>
        <w:t>2、互联网站及电子信箱</w:t>
      </w:r>
    </w:p>
    <w:p w:rsidR="003A3487" w:rsidRPr="008564FF" w:rsidP="004549E4">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rPr>
      </w:pPr>
      <w:r w:rsidRPr="008564FF">
        <w:rPr>
          <w:rFonts w:asciiTheme="minorEastAsia" w:eastAsiaTheme="minorEastAsia" w:hAnsiTheme="minorEastAsia" w:hint="eastAsia"/>
        </w:rPr>
        <w:t>网址：http://www.efunds.com.cn</w:t>
      </w:r>
    </w:p>
    <w:p w:rsidR="003A3487" w:rsidRPr="008564FF" w:rsidP="004549E4">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rPr>
      </w:pPr>
      <w:r w:rsidRPr="008564FF">
        <w:rPr>
          <w:rFonts w:asciiTheme="minorEastAsia" w:eastAsiaTheme="minorEastAsia" w:hAnsiTheme="minorEastAsia" w:hint="eastAsia"/>
        </w:rPr>
        <w:t>电子信箱：service@efunds.com.cn</w:t>
      </w:r>
    </w:p>
    <w:p w:rsidR="003A3487" w:rsidRPr="008564FF" w:rsidP="004549E4">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rPr>
      </w:pPr>
    </w:p>
    <w:p w:rsidR="003A3487" w:rsidRPr="008564FF" w:rsidP="004549E4">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rPr>
      </w:pPr>
    </w:p>
    <w:p w:rsidR="004549E4" w:rsidRPr="008564FF" w:rsidP="009C2B2A">
      <w:pPr>
        <w:pStyle w:val="Heading1"/>
        <w:snapToGrid w:val="0"/>
        <w:spacing w:beforeLines="0" w:afterLines="0" w:line="360" w:lineRule="auto"/>
        <w:ind w:firstLine="0" w:firstLineChars="0"/>
        <w:rPr>
          <w:rFonts w:asciiTheme="minorEastAsia" w:eastAsiaTheme="minorEastAsia" w:hAnsiTheme="minorEastAsia"/>
          <w:b/>
          <w:bCs/>
        </w:rPr>
      </w:pPr>
      <w:bookmarkStart w:id="1223" w:name="_Toc38438275"/>
      <w:bookmarkStart w:id="1224" w:name="_Toc38438612"/>
      <w:bookmarkStart w:id="1225" w:name="_Toc38438949"/>
      <w:bookmarkStart w:id="1226" w:name="_Toc38439286"/>
      <w:bookmarkStart w:id="1227" w:name="_Toc38439623"/>
      <w:bookmarkStart w:id="1228" w:name="_Toc38439960"/>
      <w:bookmarkStart w:id="1229" w:name="_Toc38440297"/>
      <w:bookmarkStart w:id="1230" w:name="_Toc38440630"/>
      <w:bookmarkStart w:id="1231" w:name="_Toc38440829"/>
      <w:bookmarkStart w:id="1232" w:name="_Toc38441161"/>
      <w:bookmarkStart w:id="1233" w:name="_Toc38441493"/>
      <w:bookmarkStart w:id="1234" w:name="_Toc38441821"/>
      <w:bookmarkStart w:id="1235" w:name="_Toc38442153"/>
      <w:bookmarkStart w:id="1236" w:name="_Toc38442485"/>
      <w:bookmarkStart w:id="1237" w:name="_Toc38442816"/>
      <w:bookmarkStart w:id="1238" w:name="_Toc38443147"/>
      <w:bookmarkStart w:id="1239" w:name="_Toc38443478"/>
      <w:bookmarkStart w:id="1240" w:name="_Toc38443809"/>
      <w:bookmarkStart w:id="1241" w:name="_Toc38438277"/>
      <w:bookmarkStart w:id="1242" w:name="_Toc38438614"/>
      <w:bookmarkStart w:id="1243" w:name="_Toc38438951"/>
      <w:bookmarkStart w:id="1244" w:name="_Toc38439288"/>
      <w:bookmarkStart w:id="1245" w:name="_Toc38439625"/>
      <w:bookmarkStart w:id="1246" w:name="_Toc38439962"/>
      <w:bookmarkStart w:id="1247" w:name="_Toc38440299"/>
      <w:bookmarkStart w:id="1248" w:name="_Toc38440632"/>
      <w:bookmarkStart w:id="1249" w:name="_Toc38440831"/>
      <w:bookmarkStart w:id="1250" w:name="_Toc38441163"/>
      <w:bookmarkStart w:id="1251" w:name="_Toc38441495"/>
      <w:bookmarkStart w:id="1252" w:name="_Toc38441823"/>
      <w:bookmarkStart w:id="1253" w:name="_Toc38442155"/>
      <w:bookmarkStart w:id="1254" w:name="_Toc38442487"/>
      <w:bookmarkStart w:id="1255" w:name="_Toc38442818"/>
      <w:bookmarkStart w:id="1256" w:name="_Toc38443149"/>
      <w:bookmarkStart w:id="1257" w:name="_Toc38443480"/>
      <w:bookmarkStart w:id="1258" w:name="_Toc38443811"/>
      <w:bookmarkStart w:id="1259" w:name="_Toc38438278"/>
      <w:bookmarkStart w:id="1260" w:name="_Toc38438615"/>
      <w:bookmarkStart w:id="1261" w:name="_Toc38438952"/>
      <w:bookmarkStart w:id="1262" w:name="_Toc38439289"/>
      <w:bookmarkStart w:id="1263" w:name="_Toc38439626"/>
      <w:bookmarkStart w:id="1264" w:name="_Toc38439963"/>
      <w:bookmarkStart w:id="1265" w:name="_Toc38440300"/>
      <w:bookmarkStart w:id="1266" w:name="_Toc38440633"/>
      <w:bookmarkStart w:id="1267" w:name="_Toc38440832"/>
      <w:bookmarkStart w:id="1268" w:name="_Toc38441164"/>
      <w:bookmarkStart w:id="1269" w:name="_Toc38441496"/>
      <w:bookmarkStart w:id="1270" w:name="_Toc38441824"/>
      <w:bookmarkStart w:id="1271" w:name="_Toc38442156"/>
      <w:bookmarkStart w:id="1272" w:name="_Toc38442488"/>
      <w:bookmarkStart w:id="1273" w:name="_Toc38442819"/>
      <w:bookmarkStart w:id="1274" w:name="_Toc38443150"/>
      <w:bookmarkStart w:id="1275" w:name="_Toc38443481"/>
      <w:bookmarkStart w:id="1276" w:name="_Toc38443812"/>
      <w:bookmarkStart w:id="1277" w:name="_Toc38438279"/>
      <w:bookmarkStart w:id="1278" w:name="_Toc38438616"/>
      <w:bookmarkStart w:id="1279" w:name="_Toc38438953"/>
      <w:bookmarkStart w:id="1280" w:name="_Toc38439290"/>
      <w:bookmarkStart w:id="1281" w:name="_Toc38439627"/>
      <w:bookmarkStart w:id="1282" w:name="_Toc38439964"/>
      <w:bookmarkStart w:id="1283" w:name="_Toc38440301"/>
      <w:bookmarkStart w:id="1284" w:name="_Toc38440634"/>
      <w:bookmarkStart w:id="1285" w:name="_Toc38440833"/>
      <w:bookmarkStart w:id="1286" w:name="_Toc38441165"/>
      <w:bookmarkStart w:id="1287" w:name="_Toc38441497"/>
      <w:bookmarkStart w:id="1288" w:name="_Toc38441825"/>
      <w:bookmarkStart w:id="1289" w:name="_Toc38442157"/>
      <w:bookmarkStart w:id="1290" w:name="_Toc38442489"/>
      <w:bookmarkStart w:id="1291" w:name="_Toc38442820"/>
      <w:bookmarkStart w:id="1292" w:name="_Toc38443151"/>
      <w:bookmarkStart w:id="1293" w:name="_Toc38443482"/>
      <w:bookmarkStart w:id="1294" w:name="_Toc38443813"/>
      <w:bookmarkStart w:id="1295" w:name="_Toc38438280"/>
      <w:bookmarkStart w:id="1296" w:name="_Toc38438617"/>
      <w:bookmarkStart w:id="1297" w:name="_Toc38438954"/>
      <w:bookmarkStart w:id="1298" w:name="_Toc38439291"/>
      <w:bookmarkStart w:id="1299" w:name="_Toc38439628"/>
      <w:bookmarkStart w:id="1300" w:name="_Toc38439965"/>
      <w:bookmarkStart w:id="1301" w:name="_Toc38440302"/>
      <w:bookmarkStart w:id="1302" w:name="_Toc38440635"/>
      <w:bookmarkStart w:id="1303" w:name="_Toc38440834"/>
      <w:bookmarkStart w:id="1304" w:name="_Toc38441166"/>
      <w:bookmarkStart w:id="1305" w:name="_Toc38441498"/>
      <w:bookmarkStart w:id="1306" w:name="_Toc38441826"/>
      <w:bookmarkStart w:id="1307" w:name="_Toc38442158"/>
      <w:bookmarkStart w:id="1308" w:name="_Toc38442490"/>
      <w:bookmarkStart w:id="1309" w:name="_Toc38442821"/>
      <w:bookmarkStart w:id="1310" w:name="_Toc38443152"/>
      <w:bookmarkStart w:id="1311" w:name="_Toc38443483"/>
      <w:bookmarkStart w:id="1312" w:name="_Toc38443814"/>
      <w:bookmarkStart w:id="1313" w:name="_Toc38438281"/>
      <w:bookmarkStart w:id="1314" w:name="_Toc38438618"/>
      <w:bookmarkStart w:id="1315" w:name="_Toc38438955"/>
      <w:bookmarkStart w:id="1316" w:name="_Toc38439292"/>
      <w:bookmarkStart w:id="1317" w:name="_Toc38439629"/>
      <w:bookmarkStart w:id="1318" w:name="_Toc38439966"/>
      <w:bookmarkStart w:id="1319" w:name="_Toc38440303"/>
      <w:bookmarkStart w:id="1320" w:name="_Toc38440636"/>
      <w:bookmarkStart w:id="1321" w:name="_Toc38440835"/>
      <w:bookmarkStart w:id="1322" w:name="_Toc38441167"/>
      <w:bookmarkStart w:id="1323" w:name="_Toc38441499"/>
      <w:bookmarkStart w:id="1324" w:name="_Toc38441827"/>
      <w:bookmarkStart w:id="1325" w:name="_Toc38442159"/>
      <w:bookmarkStart w:id="1326" w:name="_Toc38442491"/>
      <w:bookmarkStart w:id="1327" w:name="_Toc38442822"/>
      <w:bookmarkStart w:id="1328" w:name="_Toc38443153"/>
      <w:bookmarkStart w:id="1329" w:name="_Toc38443484"/>
      <w:bookmarkStart w:id="1330" w:name="_Toc38443815"/>
      <w:bookmarkStart w:id="1331" w:name="_Toc38438282"/>
      <w:bookmarkStart w:id="1332" w:name="_Toc38438619"/>
      <w:bookmarkStart w:id="1333" w:name="_Toc38438956"/>
      <w:bookmarkStart w:id="1334" w:name="_Toc38439293"/>
      <w:bookmarkStart w:id="1335" w:name="_Toc38439630"/>
      <w:bookmarkStart w:id="1336" w:name="_Toc38439967"/>
      <w:bookmarkStart w:id="1337" w:name="_Toc38440304"/>
      <w:bookmarkStart w:id="1338" w:name="_Toc38440637"/>
      <w:bookmarkStart w:id="1339" w:name="_Toc38440836"/>
      <w:bookmarkStart w:id="1340" w:name="_Toc38441168"/>
      <w:bookmarkStart w:id="1341" w:name="_Toc38441500"/>
      <w:bookmarkStart w:id="1342" w:name="_Toc38441828"/>
      <w:bookmarkStart w:id="1343" w:name="_Toc38442160"/>
      <w:bookmarkStart w:id="1344" w:name="_Toc38442492"/>
      <w:bookmarkStart w:id="1345" w:name="_Toc38442823"/>
      <w:bookmarkStart w:id="1346" w:name="_Toc38443154"/>
      <w:bookmarkStart w:id="1347" w:name="_Toc38443485"/>
      <w:bookmarkStart w:id="1348" w:name="_Toc38443816"/>
      <w:bookmarkStart w:id="1349" w:name="_Toc38438283"/>
      <w:bookmarkStart w:id="1350" w:name="_Toc38438620"/>
      <w:bookmarkStart w:id="1351" w:name="_Toc38438957"/>
      <w:bookmarkStart w:id="1352" w:name="_Toc38439294"/>
      <w:bookmarkStart w:id="1353" w:name="_Toc38439631"/>
      <w:bookmarkStart w:id="1354" w:name="_Toc38439968"/>
      <w:bookmarkStart w:id="1355" w:name="_Toc38440305"/>
      <w:bookmarkStart w:id="1356" w:name="_Toc38440638"/>
      <w:bookmarkStart w:id="1357" w:name="_Toc38440837"/>
      <w:bookmarkStart w:id="1358" w:name="_Toc38441169"/>
      <w:bookmarkStart w:id="1359" w:name="_Toc38441501"/>
      <w:bookmarkStart w:id="1360" w:name="_Toc38441829"/>
      <w:bookmarkStart w:id="1361" w:name="_Toc38442161"/>
      <w:bookmarkStart w:id="1362" w:name="_Toc38442493"/>
      <w:bookmarkStart w:id="1363" w:name="_Toc38442824"/>
      <w:bookmarkStart w:id="1364" w:name="_Toc38443155"/>
      <w:bookmarkStart w:id="1365" w:name="_Toc38443486"/>
      <w:bookmarkStart w:id="1366" w:name="_Toc38443817"/>
      <w:bookmarkStart w:id="1367" w:name="_Toc38438284"/>
      <w:bookmarkStart w:id="1368" w:name="_Toc38438621"/>
      <w:bookmarkStart w:id="1369" w:name="_Toc38438958"/>
      <w:bookmarkStart w:id="1370" w:name="_Toc38439295"/>
      <w:bookmarkStart w:id="1371" w:name="_Toc38439632"/>
      <w:bookmarkStart w:id="1372" w:name="_Toc38439969"/>
      <w:bookmarkStart w:id="1373" w:name="_Toc38440306"/>
      <w:bookmarkStart w:id="1374" w:name="_Toc38440639"/>
      <w:bookmarkStart w:id="1375" w:name="_Toc38440838"/>
      <w:bookmarkStart w:id="1376" w:name="_Toc38441170"/>
      <w:bookmarkStart w:id="1377" w:name="_Toc38441502"/>
      <w:bookmarkStart w:id="1378" w:name="_Toc38441830"/>
      <w:bookmarkStart w:id="1379" w:name="_Toc38442162"/>
      <w:bookmarkStart w:id="1380" w:name="_Toc38442494"/>
      <w:bookmarkStart w:id="1381" w:name="_Toc38442825"/>
      <w:bookmarkStart w:id="1382" w:name="_Toc38443156"/>
      <w:bookmarkStart w:id="1383" w:name="_Toc38443487"/>
      <w:bookmarkStart w:id="1384" w:name="_Toc38443818"/>
      <w:bookmarkStart w:id="1385" w:name="_Toc38438285"/>
      <w:bookmarkStart w:id="1386" w:name="_Toc38438622"/>
      <w:bookmarkStart w:id="1387" w:name="_Toc38438959"/>
      <w:bookmarkStart w:id="1388" w:name="_Toc38439296"/>
      <w:bookmarkStart w:id="1389" w:name="_Toc38439633"/>
      <w:bookmarkStart w:id="1390" w:name="_Toc38439970"/>
      <w:bookmarkStart w:id="1391" w:name="_Toc38440307"/>
      <w:bookmarkStart w:id="1392" w:name="_Toc38440640"/>
      <w:bookmarkStart w:id="1393" w:name="_Toc38440839"/>
      <w:bookmarkStart w:id="1394" w:name="_Toc38441171"/>
      <w:bookmarkStart w:id="1395" w:name="_Toc38441503"/>
      <w:bookmarkStart w:id="1396" w:name="_Toc38441831"/>
      <w:bookmarkStart w:id="1397" w:name="_Toc38442163"/>
      <w:bookmarkStart w:id="1398" w:name="_Toc38442495"/>
      <w:bookmarkStart w:id="1399" w:name="_Toc38442826"/>
      <w:bookmarkStart w:id="1400" w:name="_Toc38443157"/>
      <w:bookmarkStart w:id="1401" w:name="_Toc38443488"/>
      <w:bookmarkStart w:id="1402" w:name="_Toc38443819"/>
      <w:bookmarkStart w:id="1403" w:name="_Toc38438286"/>
      <w:bookmarkStart w:id="1404" w:name="_Toc38438623"/>
      <w:bookmarkStart w:id="1405" w:name="_Toc38438960"/>
      <w:bookmarkStart w:id="1406" w:name="_Toc38439297"/>
      <w:bookmarkStart w:id="1407" w:name="_Toc38439634"/>
      <w:bookmarkStart w:id="1408" w:name="_Toc38439971"/>
      <w:bookmarkStart w:id="1409" w:name="_Toc38440308"/>
      <w:bookmarkStart w:id="1410" w:name="_Toc38440641"/>
      <w:bookmarkStart w:id="1411" w:name="_Toc38440840"/>
      <w:bookmarkStart w:id="1412" w:name="_Toc38441172"/>
      <w:bookmarkStart w:id="1413" w:name="_Toc38441504"/>
      <w:bookmarkStart w:id="1414" w:name="_Toc38441832"/>
      <w:bookmarkStart w:id="1415" w:name="_Toc38442164"/>
      <w:bookmarkStart w:id="1416" w:name="_Toc38442496"/>
      <w:bookmarkStart w:id="1417" w:name="_Toc38442827"/>
      <w:bookmarkStart w:id="1418" w:name="_Toc38443158"/>
      <w:bookmarkStart w:id="1419" w:name="_Toc38443489"/>
      <w:bookmarkStart w:id="1420" w:name="_Toc38443820"/>
      <w:bookmarkStart w:id="1421" w:name="_Toc38438287"/>
      <w:bookmarkStart w:id="1422" w:name="_Toc38438624"/>
      <w:bookmarkStart w:id="1423" w:name="_Toc38438961"/>
      <w:bookmarkStart w:id="1424" w:name="_Toc38439298"/>
      <w:bookmarkStart w:id="1425" w:name="_Toc38439635"/>
      <w:bookmarkStart w:id="1426" w:name="_Toc38439972"/>
      <w:bookmarkStart w:id="1427" w:name="_Toc38440309"/>
      <w:bookmarkStart w:id="1428" w:name="_Toc38440642"/>
      <w:bookmarkStart w:id="1429" w:name="_Toc38440841"/>
      <w:bookmarkStart w:id="1430" w:name="_Toc38441173"/>
      <w:bookmarkStart w:id="1431" w:name="_Toc38441505"/>
      <w:bookmarkStart w:id="1432" w:name="_Toc38441833"/>
      <w:bookmarkStart w:id="1433" w:name="_Toc38442165"/>
      <w:bookmarkStart w:id="1434" w:name="_Toc38442497"/>
      <w:bookmarkStart w:id="1435" w:name="_Toc38442828"/>
      <w:bookmarkStart w:id="1436" w:name="_Toc38443159"/>
      <w:bookmarkStart w:id="1437" w:name="_Toc38443490"/>
      <w:bookmarkStart w:id="1438" w:name="_Toc38443821"/>
      <w:bookmarkStart w:id="1439" w:name="_Toc38438288"/>
      <w:bookmarkStart w:id="1440" w:name="_Toc38438625"/>
      <w:bookmarkStart w:id="1441" w:name="_Toc38438962"/>
      <w:bookmarkStart w:id="1442" w:name="_Toc38439299"/>
      <w:bookmarkStart w:id="1443" w:name="_Toc38439636"/>
      <w:bookmarkStart w:id="1444" w:name="_Toc38439973"/>
      <w:bookmarkStart w:id="1445" w:name="_Toc38440310"/>
      <w:bookmarkStart w:id="1446" w:name="_Toc38440643"/>
      <w:bookmarkStart w:id="1447" w:name="_Toc38440842"/>
      <w:bookmarkStart w:id="1448" w:name="_Toc38441174"/>
      <w:bookmarkStart w:id="1449" w:name="_Toc38441506"/>
      <w:bookmarkStart w:id="1450" w:name="_Toc38441834"/>
      <w:bookmarkStart w:id="1451" w:name="_Toc38442166"/>
      <w:bookmarkStart w:id="1452" w:name="_Toc38442498"/>
      <w:bookmarkStart w:id="1453" w:name="_Toc38442829"/>
      <w:bookmarkStart w:id="1454" w:name="_Toc38443160"/>
      <w:bookmarkStart w:id="1455" w:name="_Toc38443491"/>
      <w:bookmarkStart w:id="1456" w:name="_Toc38443822"/>
      <w:bookmarkStart w:id="1457" w:name="_Toc38438289"/>
      <w:bookmarkStart w:id="1458" w:name="_Toc38438626"/>
      <w:bookmarkStart w:id="1459" w:name="_Toc38438963"/>
      <w:bookmarkStart w:id="1460" w:name="_Toc38439300"/>
      <w:bookmarkStart w:id="1461" w:name="_Toc38439637"/>
      <w:bookmarkStart w:id="1462" w:name="_Toc38439974"/>
      <w:bookmarkStart w:id="1463" w:name="_Toc38440311"/>
      <w:bookmarkStart w:id="1464" w:name="_Toc38440644"/>
      <w:bookmarkStart w:id="1465" w:name="_Toc38440843"/>
      <w:bookmarkStart w:id="1466" w:name="_Toc38441175"/>
      <w:bookmarkStart w:id="1467" w:name="_Toc38441507"/>
      <w:bookmarkStart w:id="1468" w:name="_Toc38441835"/>
      <w:bookmarkStart w:id="1469" w:name="_Toc38442167"/>
      <w:bookmarkStart w:id="1470" w:name="_Toc38442499"/>
      <w:bookmarkStart w:id="1471" w:name="_Toc38442830"/>
      <w:bookmarkStart w:id="1472" w:name="_Toc38443161"/>
      <w:bookmarkStart w:id="1473" w:name="_Toc38443492"/>
      <w:bookmarkStart w:id="1474" w:name="_Toc38443823"/>
      <w:bookmarkStart w:id="1475" w:name="_Toc38438290"/>
      <w:bookmarkStart w:id="1476" w:name="_Toc38438627"/>
      <w:bookmarkStart w:id="1477" w:name="_Toc38438964"/>
      <w:bookmarkStart w:id="1478" w:name="_Toc38439301"/>
      <w:bookmarkStart w:id="1479" w:name="_Toc38439638"/>
      <w:bookmarkStart w:id="1480" w:name="_Toc38439975"/>
      <w:bookmarkStart w:id="1481" w:name="_Toc38440312"/>
      <w:bookmarkStart w:id="1482" w:name="_Toc38440645"/>
      <w:bookmarkStart w:id="1483" w:name="_Toc38440844"/>
      <w:bookmarkStart w:id="1484" w:name="_Toc38441176"/>
      <w:bookmarkStart w:id="1485" w:name="_Toc38441508"/>
      <w:bookmarkStart w:id="1486" w:name="_Toc38441836"/>
      <w:bookmarkStart w:id="1487" w:name="_Toc38442168"/>
      <w:bookmarkStart w:id="1488" w:name="_Toc38442500"/>
      <w:bookmarkStart w:id="1489" w:name="_Toc38442831"/>
      <w:bookmarkStart w:id="1490" w:name="_Toc38443162"/>
      <w:bookmarkStart w:id="1491" w:name="_Toc38443493"/>
      <w:bookmarkStart w:id="1492" w:name="_Toc38443824"/>
      <w:bookmarkStart w:id="1493" w:name="_Toc38438291"/>
      <w:bookmarkStart w:id="1494" w:name="_Toc38438628"/>
      <w:bookmarkStart w:id="1495" w:name="_Toc38438965"/>
      <w:bookmarkStart w:id="1496" w:name="_Toc38439302"/>
      <w:bookmarkStart w:id="1497" w:name="_Toc38439639"/>
      <w:bookmarkStart w:id="1498" w:name="_Toc38439976"/>
      <w:bookmarkStart w:id="1499" w:name="_Toc38440313"/>
      <w:bookmarkStart w:id="1500" w:name="_Toc38440646"/>
      <w:bookmarkStart w:id="1501" w:name="_Toc38440845"/>
      <w:bookmarkStart w:id="1502" w:name="_Toc38441177"/>
      <w:bookmarkStart w:id="1503" w:name="_Toc38441509"/>
      <w:bookmarkStart w:id="1504" w:name="_Toc38441837"/>
      <w:bookmarkStart w:id="1505" w:name="_Toc38442169"/>
      <w:bookmarkStart w:id="1506" w:name="_Toc38442501"/>
      <w:bookmarkStart w:id="1507" w:name="_Toc38442832"/>
      <w:bookmarkStart w:id="1508" w:name="_Toc38443163"/>
      <w:bookmarkStart w:id="1509" w:name="_Toc38443494"/>
      <w:bookmarkStart w:id="1510" w:name="_Toc38443825"/>
      <w:bookmarkStart w:id="1511" w:name="_Toc38438292"/>
      <w:bookmarkStart w:id="1512" w:name="_Toc38438629"/>
      <w:bookmarkStart w:id="1513" w:name="_Toc38438966"/>
      <w:bookmarkStart w:id="1514" w:name="_Toc38439303"/>
      <w:bookmarkStart w:id="1515" w:name="_Toc38439640"/>
      <w:bookmarkStart w:id="1516" w:name="_Toc38439977"/>
      <w:bookmarkStart w:id="1517" w:name="_Toc38440314"/>
      <w:bookmarkStart w:id="1518" w:name="_Toc38440647"/>
      <w:bookmarkStart w:id="1519" w:name="_Toc38440846"/>
      <w:bookmarkStart w:id="1520" w:name="_Toc38441178"/>
      <w:bookmarkStart w:id="1521" w:name="_Toc38441510"/>
      <w:bookmarkStart w:id="1522" w:name="_Toc38441838"/>
      <w:bookmarkStart w:id="1523" w:name="_Toc38442170"/>
      <w:bookmarkStart w:id="1524" w:name="_Toc38442502"/>
      <w:bookmarkStart w:id="1525" w:name="_Toc38442833"/>
      <w:bookmarkStart w:id="1526" w:name="_Toc38443164"/>
      <w:bookmarkStart w:id="1527" w:name="_Toc38443495"/>
      <w:bookmarkStart w:id="1528" w:name="_Toc38443826"/>
      <w:bookmarkStart w:id="1529" w:name="_Toc38438293"/>
      <w:bookmarkStart w:id="1530" w:name="_Toc38438630"/>
      <w:bookmarkStart w:id="1531" w:name="_Toc38438967"/>
      <w:bookmarkStart w:id="1532" w:name="_Toc38439304"/>
      <w:bookmarkStart w:id="1533" w:name="_Toc38439641"/>
      <w:bookmarkStart w:id="1534" w:name="_Toc38439978"/>
      <w:bookmarkStart w:id="1535" w:name="_Toc38440315"/>
      <w:bookmarkStart w:id="1536" w:name="_Toc38440648"/>
      <w:bookmarkStart w:id="1537" w:name="_Toc38440847"/>
      <w:bookmarkStart w:id="1538" w:name="_Toc38441179"/>
      <w:bookmarkStart w:id="1539" w:name="_Toc38441511"/>
      <w:bookmarkStart w:id="1540" w:name="_Toc38441839"/>
      <w:bookmarkStart w:id="1541" w:name="_Toc38442171"/>
      <w:bookmarkStart w:id="1542" w:name="_Toc38442503"/>
      <w:bookmarkStart w:id="1543" w:name="_Toc38442834"/>
      <w:bookmarkStart w:id="1544" w:name="_Toc38443165"/>
      <w:bookmarkStart w:id="1545" w:name="_Toc38443496"/>
      <w:bookmarkStart w:id="1546" w:name="_Toc38443827"/>
      <w:bookmarkStart w:id="1547" w:name="_Toc38438296"/>
      <w:bookmarkStart w:id="1548" w:name="_Toc38438633"/>
      <w:bookmarkStart w:id="1549" w:name="_Toc38438970"/>
      <w:bookmarkStart w:id="1550" w:name="_Toc38439307"/>
      <w:bookmarkStart w:id="1551" w:name="_Toc38439644"/>
      <w:bookmarkStart w:id="1552" w:name="_Toc38439981"/>
      <w:bookmarkStart w:id="1553" w:name="_Toc38440318"/>
      <w:bookmarkStart w:id="1554" w:name="_Toc38440651"/>
      <w:bookmarkStart w:id="1555" w:name="_Toc38440850"/>
      <w:bookmarkStart w:id="1556" w:name="_Toc38441182"/>
      <w:bookmarkStart w:id="1557" w:name="_Toc38441514"/>
      <w:bookmarkStart w:id="1558" w:name="_Toc38441842"/>
      <w:bookmarkStart w:id="1559" w:name="_Toc38442174"/>
      <w:bookmarkStart w:id="1560" w:name="_Toc38442506"/>
      <w:bookmarkStart w:id="1561" w:name="_Toc38442837"/>
      <w:bookmarkStart w:id="1562" w:name="_Toc38443168"/>
      <w:bookmarkStart w:id="1563" w:name="_Toc38443499"/>
      <w:bookmarkStart w:id="1564" w:name="_Toc38443830"/>
      <w:bookmarkStart w:id="1565" w:name="_Toc38438297"/>
      <w:bookmarkStart w:id="1566" w:name="_Toc38438634"/>
      <w:bookmarkStart w:id="1567" w:name="_Toc38438971"/>
      <w:bookmarkStart w:id="1568" w:name="_Toc38439308"/>
      <w:bookmarkStart w:id="1569" w:name="_Toc38439645"/>
      <w:bookmarkStart w:id="1570" w:name="_Toc38439982"/>
      <w:bookmarkStart w:id="1571" w:name="_Toc38440319"/>
      <w:bookmarkStart w:id="1572" w:name="_Toc38440652"/>
      <w:bookmarkStart w:id="1573" w:name="_Toc38440851"/>
      <w:bookmarkStart w:id="1574" w:name="_Toc38441183"/>
      <w:bookmarkStart w:id="1575" w:name="_Toc38441515"/>
      <w:bookmarkStart w:id="1576" w:name="_Toc38441843"/>
      <w:bookmarkStart w:id="1577" w:name="_Toc38442175"/>
      <w:bookmarkStart w:id="1578" w:name="_Toc38442507"/>
      <w:bookmarkStart w:id="1579" w:name="_Toc38442838"/>
      <w:bookmarkStart w:id="1580" w:name="_Toc38443169"/>
      <w:bookmarkStart w:id="1581" w:name="_Toc38443500"/>
      <w:bookmarkStart w:id="1582" w:name="_Toc38443831"/>
      <w:bookmarkStart w:id="1583" w:name="_Toc38438298"/>
      <w:bookmarkStart w:id="1584" w:name="_Toc38438635"/>
      <w:bookmarkStart w:id="1585" w:name="_Toc38438972"/>
      <w:bookmarkStart w:id="1586" w:name="_Toc38439309"/>
      <w:bookmarkStart w:id="1587" w:name="_Toc38439646"/>
      <w:bookmarkStart w:id="1588" w:name="_Toc38439983"/>
      <w:bookmarkStart w:id="1589" w:name="_Toc38440320"/>
      <w:bookmarkStart w:id="1590" w:name="_Toc38440653"/>
      <w:bookmarkStart w:id="1591" w:name="_Toc38440852"/>
      <w:bookmarkStart w:id="1592" w:name="_Toc38441184"/>
      <w:bookmarkStart w:id="1593" w:name="_Toc38441516"/>
      <w:bookmarkStart w:id="1594" w:name="_Toc38441844"/>
      <w:bookmarkStart w:id="1595" w:name="_Toc38442176"/>
      <w:bookmarkStart w:id="1596" w:name="_Toc38442508"/>
      <w:bookmarkStart w:id="1597" w:name="_Toc38442839"/>
      <w:bookmarkStart w:id="1598" w:name="_Toc38443170"/>
      <w:bookmarkStart w:id="1599" w:name="_Toc38443501"/>
      <w:bookmarkStart w:id="1600" w:name="_Toc38443832"/>
      <w:bookmarkStart w:id="1601" w:name="_Toc38438299"/>
      <w:bookmarkStart w:id="1602" w:name="_Toc38438636"/>
      <w:bookmarkStart w:id="1603" w:name="_Toc38438973"/>
      <w:bookmarkStart w:id="1604" w:name="_Toc38439310"/>
      <w:bookmarkStart w:id="1605" w:name="_Toc38439647"/>
      <w:bookmarkStart w:id="1606" w:name="_Toc38439984"/>
      <w:bookmarkStart w:id="1607" w:name="_Toc38440321"/>
      <w:bookmarkStart w:id="1608" w:name="_Toc38440654"/>
      <w:bookmarkStart w:id="1609" w:name="_Toc38440853"/>
      <w:bookmarkStart w:id="1610" w:name="_Toc38441185"/>
      <w:bookmarkStart w:id="1611" w:name="_Toc38441517"/>
      <w:bookmarkStart w:id="1612" w:name="_Toc38441845"/>
      <w:bookmarkStart w:id="1613" w:name="_Toc38442177"/>
      <w:bookmarkStart w:id="1614" w:name="_Toc38442509"/>
      <w:bookmarkStart w:id="1615" w:name="_Toc38442840"/>
      <w:bookmarkStart w:id="1616" w:name="_Toc38443171"/>
      <w:bookmarkStart w:id="1617" w:name="_Toc38443502"/>
      <w:bookmarkStart w:id="1618" w:name="_Toc38443833"/>
      <w:bookmarkStart w:id="1619" w:name="_Toc38438301"/>
      <w:bookmarkStart w:id="1620" w:name="_Toc38438638"/>
      <w:bookmarkStart w:id="1621" w:name="_Toc38438975"/>
      <w:bookmarkStart w:id="1622" w:name="_Toc38439312"/>
      <w:bookmarkStart w:id="1623" w:name="_Toc38439649"/>
      <w:bookmarkStart w:id="1624" w:name="_Toc38439986"/>
      <w:bookmarkStart w:id="1625" w:name="_Toc38440323"/>
      <w:bookmarkStart w:id="1626" w:name="_Toc38440656"/>
      <w:bookmarkStart w:id="1627" w:name="_Toc38440855"/>
      <w:bookmarkStart w:id="1628" w:name="_Toc38441187"/>
      <w:bookmarkStart w:id="1629" w:name="_Toc38441519"/>
      <w:bookmarkStart w:id="1630" w:name="_Toc38441847"/>
      <w:bookmarkStart w:id="1631" w:name="_Toc38442179"/>
      <w:bookmarkStart w:id="1632" w:name="_Toc38442511"/>
      <w:bookmarkStart w:id="1633" w:name="_Toc38442842"/>
      <w:bookmarkStart w:id="1634" w:name="_Toc38443173"/>
      <w:bookmarkStart w:id="1635" w:name="_Toc38443504"/>
      <w:bookmarkStart w:id="1636" w:name="_Toc38443835"/>
      <w:bookmarkStart w:id="1637" w:name="_Toc38438302"/>
      <w:bookmarkStart w:id="1638" w:name="_Toc38438639"/>
      <w:bookmarkStart w:id="1639" w:name="_Toc38438976"/>
      <w:bookmarkStart w:id="1640" w:name="_Toc38439313"/>
      <w:bookmarkStart w:id="1641" w:name="_Toc38439650"/>
      <w:bookmarkStart w:id="1642" w:name="_Toc38439987"/>
      <w:bookmarkStart w:id="1643" w:name="_Toc38440324"/>
      <w:bookmarkStart w:id="1644" w:name="_Toc38440657"/>
      <w:bookmarkStart w:id="1645" w:name="_Toc38440856"/>
      <w:bookmarkStart w:id="1646" w:name="_Toc38441188"/>
      <w:bookmarkStart w:id="1647" w:name="_Toc38441520"/>
      <w:bookmarkStart w:id="1648" w:name="_Toc38441848"/>
      <w:bookmarkStart w:id="1649" w:name="_Toc38442180"/>
      <w:bookmarkStart w:id="1650" w:name="_Toc38442512"/>
      <w:bookmarkStart w:id="1651" w:name="_Toc38442843"/>
      <w:bookmarkStart w:id="1652" w:name="_Toc38443174"/>
      <w:bookmarkStart w:id="1653" w:name="_Toc38443505"/>
      <w:bookmarkStart w:id="1654" w:name="_Toc38443836"/>
      <w:bookmarkStart w:id="1655" w:name="_Toc38438303"/>
      <w:bookmarkStart w:id="1656" w:name="_Toc38438640"/>
      <w:bookmarkStart w:id="1657" w:name="_Toc38438977"/>
      <w:bookmarkStart w:id="1658" w:name="_Toc38439314"/>
      <w:bookmarkStart w:id="1659" w:name="_Toc38439651"/>
      <w:bookmarkStart w:id="1660" w:name="_Toc38439988"/>
      <w:bookmarkStart w:id="1661" w:name="_Toc38440325"/>
      <w:bookmarkStart w:id="1662" w:name="_Toc38440658"/>
      <w:bookmarkStart w:id="1663" w:name="_Toc38440857"/>
      <w:bookmarkStart w:id="1664" w:name="_Toc38441189"/>
      <w:bookmarkStart w:id="1665" w:name="_Toc38441521"/>
      <w:bookmarkStart w:id="1666" w:name="_Toc38441849"/>
      <w:bookmarkStart w:id="1667" w:name="_Toc38442181"/>
      <w:bookmarkStart w:id="1668" w:name="_Toc38442513"/>
      <w:bookmarkStart w:id="1669" w:name="_Toc38442844"/>
      <w:bookmarkStart w:id="1670" w:name="_Toc38443175"/>
      <w:bookmarkStart w:id="1671" w:name="_Toc38443506"/>
      <w:bookmarkStart w:id="1672" w:name="_Toc38443837"/>
      <w:bookmarkStart w:id="1673" w:name="_Toc38438304"/>
      <w:bookmarkStart w:id="1674" w:name="_Toc38438641"/>
      <w:bookmarkStart w:id="1675" w:name="_Toc38438978"/>
      <w:bookmarkStart w:id="1676" w:name="_Toc38439315"/>
      <w:bookmarkStart w:id="1677" w:name="_Toc38439652"/>
      <w:bookmarkStart w:id="1678" w:name="_Toc38439989"/>
      <w:bookmarkStart w:id="1679" w:name="_Toc38440326"/>
      <w:bookmarkStart w:id="1680" w:name="_Toc38440659"/>
      <w:bookmarkStart w:id="1681" w:name="_Toc38440858"/>
      <w:bookmarkStart w:id="1682" w:name="_Toc38441190"/>
      <w:bookmarkStart w:id="1683" w:name="_Toc38441522"/>
      <w:bookmarkStart w:id="1684" w:name="_Toc38441850"/>
      <w:bookmarkStart w:id="1685" w:name="_Toc38442182"/>
      <w:bookmarkStart w:id="1686" w:name="_Toc38442514"/>
      <w:bookmarkStart w:id="1687" w:name="_Toc38442845"/>
      <w:bookmarkStart w:id="1688" w:name="_Toc38443176"/>
      <w:bookmarkStart w:id="1689" w:name="_Toc38443507"/>
      <w:bookmarkStart w:id="1690" w:name="_Toc38443838"/>
      <w:bookmarkStart w:id="1691" w:name="_Toc38438305"/>
      <w:bookmarkStart w:id="1692" w:name="_Toc38438642"/>
      <w:bookmarkStart w:id="1693" w:name="_Toc38438979"/>
      <w:bookmarkStart w:id="1694" w:name="_Toc38439316"/>
      <w:bookmarkStart w:id="1695" w:name="_Toc38439653"/>
      <w:bookmarkStart w:id="1696" w:name="_Toc38439990"/>
      <w:bookmarkStart w:id="1697" w:name="_Toc38440327"/>
      <w:bookmarkStart w:id="1698" w:name="_Toc38440660"/>
      <w:bookmarkStart w:id="1699" w:name="_Toc38440859"/>
      <w:bookmarkStart w:id="1700" w:name="_Toc38441191"/>
      <w:bookmarkStart w:id="1701" w:name="_Toc38441523"/>
      <w:bookmarkStart w:id="1702" w:name="_Toc38441851"/>
      <w:bookmarkStart w:id="1703" w:name="_Toc38442183"/>
      <w:bookmarkStart w:id="1704" w:name="_Toc38442515"/>
      <w:bookmarkStart w:id="1705" w:name="_Toc38442846"/>
      <w:bookmarkStart w:id="1706" w:name="_Toc38443177"/>
      <w:bookmarkStart w:id="1707" w:name="_Toc38443508"/>
      <w:bookmarkStart w:id="1708" w:name="_Toc38443839"/>
      <w:bookmarkStart w:id="1709" w:name="_Toc38438306"/>
      <w:bookmarkStart w:id="1710" w:name="_Toc38438643"/>
      <w:bookmarkStart w:id="1711" w:name="_Toc38438980"/>
      <w:bookmarkStart w:id="1712" w:name="_Toc38439317"/>
      <w:bookmarkStart w:id="1713" w:name="_Toc38439654"/>
      <w:bookmarkStart w:id="1714" w:name="_Toc38439991"/>
      <w:bookmarkStart w:id="1715" w:name="_Toc38440328"/>
      <w:bookmarkStart w:id="1716" w:name="_Toc38440661"/>
      <w:bookmarkStart w:id="1717" w:name="_Toc38440860"/>
      <w:bookmarkStart w:id="1718" w:name="_Toc38441192"/>
      <w:bookmarkStart w:id="1719" w:name="_Toc38441524"/>
      <w:bookmarkStart w:id="1720" w:name="_Toc38441852"/>
      <w:bookmarkStart w:id="1721" w:name="_Toc38442184"/>
      <w:bookmarkStart w:id="1722" w:name="_Toc38442516"/>
      <w:bookmarkStart w:id="1723" w:name="_Toc38442847"/>
      <w:bookmarkStart w:id="1724" w:name="_Toc38443178"/>
      <w:bookmarkStart w:id="1725" w:name="_Toc38443509"/>
      <w:bookmarkStart w:id="1726" w:name="_Toc38443840"/>
      <w:bookmarkStart w:id="1727" w:name="_Toc38438310"/>
      <w:bookmarkStart w:id="1728" w:name="_Toc38438647"/>
      <w:bookmarkStart w:id="1729" w:name="_Toc38438984"/>
      <w:bookmarkStart w:id="1730" w:name="_Toc38439321"/>
      <w:bookmarkStart w:id="1731" w:name="_Toc38439658"/>
      <w:bookmarkStart w:id="1732" w:name="_Toc38439995"/>
      <w:bookmarkStart w:id="1733" w:name="_Toc38440332"/>
      <w:bookmarkStart w:id="1734" w:name="_Toc38440665"/>
      <w:bookmarkStart w:id="1735" w:name="_Toc38440864"/>
      <w:bookmarkStart w:id="1736" w:name="_Toc38441196"/>
      <w:bookmarkStart w:id="1737" w:name="_Toc38441528"/>
      <w:bookmarkStart w:id="1738" w:name="_Toc38441856"/>
      <w:bookmarkStart w:id="1739" w:name="_Toc38442188"/>
      <w:bookmarkStart w:id="1740" w:name="_Toc38442520"/>
      <w:bookmarkStart w:id="1741" w:name="_Toc38442851"/>
      <w:bookmarkStart w:id="1742" w:name="_Toc38443182"/>
      <w:bookmarkStart w:id="1743" w:name="_Toc38443513"/>
      <w:bookmarkStart w:id="1744" w:name="_Toc38443844"/>
      <w:bookmarkStart w:id="1745" w:name="_Toc38438311"/>
      <w:bookmarkStart w:id="1746" w:name="_Toc38438648"/>
      <w:bookmarkStart w:id="1747" w:name="_Toc38438985"/>
      <w:bookmarkStart w:id="1748" w:name="_Toc38439322"/>
      <w:bookmarkStart w:id="1749" w:name="_Toc38439659"/>
      <w:bookmarkStart w:id="1750" w:name="_Toc38439996"/>
      <w:bookmarkStart w:id="1751" w:name="_Toc38440333"/>
      <w:bookmarkStart w:id="1752" w:name="_Toc38440666"/>
      <w:bookmarkStart w:id="1753" w:name="_Toc38440865"/>
      <w:bookmarkStart w:id="1754" w:name="_Toc38441197"/>
      <w:bookmarkStart w:id="1755" w:name="_Toc38441529"/>
      <w:bookmarkStart w:id="1756" w:name="_Toc38441857"/>
      <w:bookmarkStart w:id="1757" w:name="_Toc38442189"/>
      <w:bookmarkStart w:id="1758" w:name="_Toc38442521"/>
      <w:bookmarkStart w:id="1759" w:name="_Toc38442852"/>
      <w:bookmarkStart w:id="1760" w:name="_Toc38443183"/>
      <w:bookmarkStart w:id="1761" w:name="_Toc38443514"/>
      <w:bookmarkStart w:id="1762" w:name="_Toc38443845"/>
      <w:bookmarkStart w:id="1763" w:name="_Toc38438312"/>
      <w:bookmarkStart w:id="1764" w:name="_Toc38438649"/>
      <w:bookmarkStart w:id="1765" w:name="_Toc38438986"/>
      <w:bookmarkStart w:id="1766" w:name="_Toc38439323"/>
      <w:bookmarkStart w:id="1767" w:name="_Toc38439660"/>
      <w:bookmarkStart w:id="1768" w:name="_Toc38439997"/>
      <w:bookmarkStart w:id="1769" w:name="_Toc38440334"/>
      <w:bookmarkStart w:id="1770" w:name="_Toc38440667"/>
      <w:bookmarkStart w:id="1771" w:name="_Toc38440866"/>
      <w:bookmarkStart w:id="1772" w:name="_Toc38441198"/>
      <w:bookmarkStart w:id="1773" w:name="_Toc38441530"/>
      <w:bookmarkStart w:id="1774" w:name="_Toc38441858"/>
      <w:bookmarkStart w:id="1775" w:name="_Toc38442190"/>
      <w:bookmarkStart w:id="1776" w:name="_Toc38442522"/>
      <w:bookmarkStart w:id="1777" w:name="_Toc38442853"/>
      <w:bookmarkStart w:id="1778" w:name="_Toc38443184"/>
      <w:bookmarkStart w:id="1779" w:name="_Toc38443515"/>
      <w:bookmarkStart w:id="1780" w:name="_Toc38443846"/>
      <w:bookmarkStart w:id="1781" w:name="_Toc38438313"/>
      <w:bookmarkStart w:id="1782" w:name="_Toc38438650"/>
      <w:bookmarkStart w:id="1783" w:name="_Toc38438987"/>
      <w:bookmarkStart w:id="1784" w:name="_Toc38439324"/>
      <w:bookmarkStart w:id="1785" w:name="_Toc38439661"/>
      <w:bookmarkStart w:id="1786" w:name="_Toc38439998"/>
      <w:bookmarkStart w:id="1787" w:name="_Toc38440335"/>
      <w:bookmarkStart w:id="1788" w:name="_Toc38440668"/>
      <w:bookmarkStart w:id="1789" w:name="_Toc38440867"/>
      <w:bookmarkStart w:id="1790" w:name="_Toc38441199"/>
      <w:bookmarkStart w:id="1791" w:name="_Toc38441531"/>
      <w:bookmarkStart w:id="1792" w:name="_Toc38441859"/>
      <w:bookmarkStart w:id="1793" w:name="_Toc38442191"/>
      <w:bookmarkStart w:id="1794" w:name="_Toc38442523"/>
      <w:bookmarkStart w:id="1795" w:name="_Toc38442854"/>
      <w:bookmarkStart w:id="1796" w:name="_Toc38443185"/>
      <w:bookmarkStart w:id="1797" w:name="_Toc38443516"/>
      <w:bookmarkStart w:id="1798" w:name="_Toc38443847"/>
      <w:bookmarkStart w:id="1799" w:name="_Toc38438314"/>
      <w:bookmarkStart w:id="1800" w:name="_Toc38438651"/>
      <w:bookmarkStart w:id="1801" w:name="_Toc38438988"/>
      <w:bookmarkStart w:id="1802" w:name="_Toc38439325"/>
      <w:bookmarkStart w:id="1803" w:name="_Toc38439662"/>
      <w:bookmarkStart w:id="1804" w:name="_Toc38439999"/>
      <w:bookmarkStart w:id="1805" w:name="_Toc38440336"/>
      <w:bookmarkStart w:id="1806" w:name="_Toc38440669"/>
      <w:bookmarkStart w:id="1807" w:name="_Toc38440868"/>
      <w:bookmarkStart w:id="1808" w:name="_Toc38441200"/>
      <w:bookmarkStart w:id="1809" w:name="_Toc38441532"/>
      <w:bookmarkStart w:id="1810" w:name="_Toc38441860"/>
      <w:bookmarkStart w:id="1811" w:name="_Toc38442192"/>
      <w:bookmarkStart w:id="1812" w:name="_Toc38442524"/>
      <w:bookmarkStart w:id="1813" w:name="_Toc38442855"/>
      <w:bookmarkStart w:id="1814" w:name="_Toc38443186"/>
      <w:bookmarkStart w:id="1815" w:name="_Toc38443517"/>
      <w:bookmarkStart w:id="1816" w:name="_Toc38443848"/>
      <w:bookmarkStart w:id="1817" w:name="_Toc38438315"/>
      <w:bookmarkStart w:id="1818" w:name="_Toc38438652"/>
      <w:bookmarkStart w:id="1819" w:name="_Toc38438989"/>
      <w:bookmarkStart w:id="1820" w:name="_Toc38439326"/>
      <w:bookmarkStart w:id="1821" w:name="_Toc38439663"/>
      <w:bookmarkStart w:id="1822" w:name="_Toc38440000"/>
      <w:bookmarkStart w:id="1823" w:name="_Toc38440337"/>
      <w:bookmarkStart w:id="1824" w:name="_Toc38440670"/>
      <w:bookmarkStart w:id="1825" w:name="_Toc38440869"/>
      <w:bookmarkStart w:id="1826" w:name="_Toc38441201"/>
      <w:bookmarkStart w:id="1827" w:name="_Toc38441533"/>
      <w:bookmarkStart w:id="1828" w:name="_Toc38441861"/>
      <w:bookmarkStart w:id="1829" w:name="_Toc38442193"/>
      <w:bookmarkStart w:id="1830" w:name="_Toc38442525"/>
      <w:bookmarkStart w:id="1831" w:name="_Toc38442856"/>
      <w:bookmarkStart w:id="1832" w:name="_Toc38443187"/>
      <w:bookmarkStart w:id="1833" w:name="_Toc38443518"/>
      <w:bookmarkStart w:id="1834" w:name="_Toc38443849"/>
      <w:bookmarkStart w:id="1835" w:name="_Toc38438316"/>
      <w:bookmarkStart w:id="1836" w:name="_Toc38438653"/>
      <w:bookmarkStart w:id="1837" w:name="_Toc38438990"/>
      <w:bookmarkStart w:id="1838" w:name="_Toc38439327"/>
      <w:bookmarkStart w:id="1839" w:name="_Toc38439664"/>
      <w:bookmarkStart w:id="1840" w:name="_Toc38440001"/>
      <w:bookmarkStart w:id="1841" w:name="_Toc38440338"/>
      <w:bookmarkStart w:id="1842" w:name="_Toc38440671"/>
      <w:bookmarkStart w:id="1843" w:name="_Toc38440870"/>
      <w:bookmarkStart w:id="1844" w:name="_Toc38441202"/>
      <w:bookmarkStart w:id="1845" w:name="_Toc38441534"/>
      <w:bookmarkStart w:id="1846" w:name="_Toc38441862"/>
      <w:bookmarkStart w:id="1847" w:name="_Toc38442194"/>
      <w:bookmarkStart w:id="1848" w:name="_Toc38442526"/>
      <w:bookmarkStart w:id="1849" w:name="_Toc38442857"/>
      <w:bookmarkStart w:id="1850" w:name="_Toc38443188"/>
      <w:bookmarkStart w:id="1851" w:name="_Toc38443519"/>
      <w:bookmarkStart w:id="1852" w:name="_Toc38443850"/>
      <w:bookmarkStart w:id="1853" w:name="_Toc38438317"/>
      <w:bookmarkStart w:id="1854" w:name="_Toc38438654"/>
      <w:bookmarkStart w:id="1855" w:name="_Toc38438991"/>
      <w:bookmarkStart w:id="1856" w:name="_Toc38439328"/>
      <w:bookmarkStart w:id="1857" w:name="_Toc38439665"/>
      <w:bookmarkStart w:id="1858" w:name="_Toc38440002"/>
      <w:bookmarkStart w:id="1859" w:name="_Toc38440339"/>
      <w:bookmarkStart w:id="1860" w:name="_Toc38440672"/>
      <w:bookmarkStart w:id="1861" w:name="_Toc38440871"/>
      <w:bookmarkStart w:id="1862" w:name="_Toc38441203"/>
      <w:bookmarkStart w:id="1863" w:name="_Toc38441535"/>
      <w:bookmarkStart w:id="1864" w:name="_Toc38441863"/>
      <w:bookmarkStart w:id="1865" w:name="_Toc38442195"/>
      <w:bookmarkStart w:id="1866" w:name="_Toc38442527"/>
      <w:bookmarkStart w:id="1867" w:name="_Toc38442858"/>
      <w:bookmarkStart w:id="1868" w:name="_Toc38443189"/>
      <w:bookmarkStart w:id="1869" w:name="_Toc38443520"/>
      <w:bookmarkStart w:id="1870" w:name="_Toc38443851"/>
      <w:bookmarkStart w:id="1871" w:name="_Toc38438318"/>
      <w:bookmarkStart w:id="1872" w:name="_Toc38438655"/>
      <w:bookmarkStart w:id="1873" w:name="_Toc38438992"/>
      <w:bookmarkStart w:id="1874" w:name="_Toc38439329"/>
      <w:bookmarkStart w:id="1875" w:name="_Toc38439666"/>
      <w:bookmarkStart w:id="1876" w:name="_Toc38440003"/>
      <w:bookmarkStart w:id="1877" w:name="_Toc38440340"/>
      <w:bookmarkStart w:id="1878" w:name="_Toc38440673"/>
      <w:bookmarkStart w:id="1879" w:name="_Toc38440872"/>
      <w:bookmarkStart w:id="1880" w:name="_Toc38441204"/>
      <w:bookmarkStart w:id="1881" w:name="_Toc38441536"/>
      <w:bookmarkStart w:id="1882" w:name="_Toc38441864"/>
      <w:bookmarkStart w:id="1883" w:name="_Toc38442196"/>
      <w:bookmarkStart w:id="1884" w:name="_Toc38442528"/>
      <w:bookmarkStart w:id="1885" w:name="_Toc38442859"/>
      <w:bookmarkStart w:id="1886" w:name="_Toc38443190"/>
      <w:bookmarkStart w:id="1887" w:name="_Toc38443521"/>
      <w:bookmarkStart w:id="1888" w:name="_Toc38443852"/>
      <w:bookmarkStart w:id="1889" w:name="_Toc38438319"/>
      <w:bookmarkStart w:id="1890" w:name="_Toc38438656"/>
      <w:bookmarkStart w:id="1891" w:name="_Toc38438993"/>
      <w:bookmarkStart w:id="1892" w:name="_Toc38439330"/>
      <w:bookmarkStart w:id="1893" w:name="_Toc38439667"/>
      <w:bookmarkStart w:id="1894" w:name="_Toc38440004"/>
      <w:bookmarkStart w:id="1895" w:name="_Toc38440341"/>
      <w:bookmarkStart w:id="1896" w:name="_Toc38440674"/>
      <w:bookmarkStart w:id="1897" w:name="_Toc38440873"/>
      <w:bookmarkStart w:id="1898" w:name="_Toc38441205"/>
      <w:bookmarkStart w:id="1899" w:name="_Toc38441537"/>
      <w:bookmarkStart w:id="1900" w:name="_Toc38441865"/>
      <w:bookmarkStart w:id="1901" w:name="_Toc38442197"/>
      <w:bookmarkStart w:id="1902" w:name="_Toc38442529"/>
      <w:bookmarkStart w:id="1903" w:name="_Toc38442860"/>
      <w:bookmarkStart w:id="1904" w:name="_Toc38443191"/>
      <w:bookmarkStart w:id="1905" w:name="_Toc38443522"/>
      <w:bookmarkStart w:id="1906" w:name="_Toc38443853"/>
      <w:bookmarkStart w:id="1907" w:name="_Toc38438320"/>
      <w:bookmarkStart w:id="1908" w:name="_Toc38438657"/>
      <w:bookmarkStart w:id="1909" w:name="_Toc38438994"/>
      <w:bookmarkStart w:id="1910" w:name="_Toc38439331"/>
      <w:bookmarkStart w:id="1911" w:name="_Toc38439668"/>
      <w:bookmarkStart w:id="1912" w:name="_Toc38440005"/>
      <w:bookmarkStart w:id="1913" w:name="_Toc38440342"/>
      <w:bookmarkStart w:id="1914" w:name="_Toc38440675"/>
      <w:bookmarkStart w:id="1915" w:name="_Toc38440874"/>
      <w:bookmarkStart w:id="1916" w:name="_Toc38441206"/>
      <w:bookmarkStart w:id="1917" w:name="_Toc38441538"/>
      <w:bookmarkStart w:id="1918" w:name="_Toc38441866"/>
      <w:bookmarkStart w:id="1919" w:name="_Toc38442198"/>
      <w:bookmarkStart w:id="1920" w:name="_Toc38442530"/>
      <w:bookmarkStart w:id="1921" w:name="_Toc38442861"/>
      <w:bookmarkStart w:id="1922" w:name="_Toc38443192"/>
      <w:bookmarkStart w:id="1923" w:name="_Toc38443523"/>
      <w:bookmarkStart w:id="1924" w:name="_Toc38443854"/>
      <w:bookmarkStart w:id="1925" w:name="_Toc38438321"/>
      <w:bookmarkStart w:id="1926" w:name="_Toc38438658"/>
      <w:bookmarkStart w:id="1927" w:name="_Toc38438995"/>
      <w:bookmarkStart w:id="1928" w:name="_Toc38439332"/>
      <w:bookmarkStart w:id="1929" w:name="_Toc38439669"/>
      <w:bookmarkStart w:id="1930" w:name="_Toc38440006"/>
      <w:bookmarkStart w:id="1931" w:name="_Toc38440343"/>
      <w:bookmarkStart w:id="1932" w:name="_Toc38440676"/>
      <w:bookmarkStart w:id="1933" w:name="_Toc38440875"/>
      <w:bookmarkStart w:id="1934" w:name="_Toc38441207"/>
      <w:bookmarkStart w:id="1935" w:name="_Toc38441539"/>
      <w:bookmarkStart w:id="1936" w:name="_Toc38441867"/>
      <w:bookmarkStart w:id="1937" w:name="_Toc38442199"/>
      <w:bookmarkStart w:id="1938" w:name="_Toc38442531"/>
      <w:bookmarkStart w:id="1939" w:name="_Toc38442862"/>
      <w:bookmarkStart w:id="1940" w:name="_Toc38443193"/>
      <w:bookmarkStart w:id="1941" w:name="_Toc38443524"/>
      <w:bookmarkStart w:id="1942" w:name="_Toc38443855"/>
      <w:bookmarkStart w:id="1943" w:name="_Toc38438322"/>
      <w:bookmarkStart w:id="1944" w:name="_Toc38438659"/>
      <w:bookmarkStart w:id="1945" w:name="_Toc38438996"/>
      <w:bookmarkStart w:id="1946" w:name="_Toc38439333"/>
      <w:bookmarkStart w:id="1947" w:name="_Toc38439670"/>
      <w:bookmarkStart w:id="1948" w:name="_Toc38440007"/>
      <w:bookmarkStart w:id="1949" w:name="_Toc38440344"/>
      <w:bookmarkStart w:id="1950" w:name="_Toc38440677"/>
      <w:bookmarkStart w:id="1951" w:name="_Toc38440876"/>
      <w:bookmarkStart w:id="1952" w:name="_Toc38441208"/>
      <w:bookmarkStart w:id="1953" w:name="_Toc38441540"/>
      <w:bookmarkStart w:id="1954" w:name="_Toc38441868"/>
      <w:bookmarkStart w:id="1955" w:name="_Toc38442200"/>
      <w:bookmarkStart w:id="1956" w:name="_Toc38442532"/>
      <w:bookmarkStart w:id="1957" w:name="_Toc38442863"/>
      <w:bookmarkStart w:id="1958" w:name="_Toc38443194"/>
      <w:bookmarkStart w:id="1959" w:name="_Toc38443525"/>
      <w:bookmarkStart w:id="1960" w:name="_Toc38443856"/>
      <w:bookmarkStart w:id="1961" w:name="_Toc38438323"/>
      <w:bookmarkStart w:id="1962" w:name="_Toc38438660"/>
      <w:bookmarkStart w:id="1963" w:name="_Toc38438997"/>
      <w:bookmarkStart w:id="1964" w:name="_Toc38439334"/>
      <w:bookmarkStart w:id="1965" w:name="_Toc38439671"/>
      <w:bookmarkStart w:id="1966" w:name="_Toc38440008"/>
      <w:bookmarkStart w:id="1967" w:name="_Toc38440345"/>
      <w:bookmarkStart w:id="1968" w:name="_Toc38440678"/>
      <w:bookmarkStart w:id="1969" w:name="_Toc38440877"/>
      <w:bookmarkStart w:id="1970" w:name="_Toc38441209"/>
      <w:bookmarkStart w:id="1971" w:name="_Toc38441541"/>
      <w:bookmarkStart w:id="1972" w:name="_Toc38441869"/>
      <w:bookmarkStart w:id="1973" w:name="_Toc38442201"/>
      <w:bookmarkStart w:id="1974" w:name="_Toc38442533"/>
      <w:bookmarkStart w:id="1975" w:name="_Toc38442864"/>
      <w:bookmarkStart w:id="1976" w:name="_Toc38443195"/>
      <w:bookmarkStart w:id="1977" w:name="_Toc38443526"/>
      <w:bookmarkStart w:id="1978" w:name="_Toc38443857"/>
      <w:bookmarkStart w:id="1979" w:name="_Toc38438324"/>
      <w:bookmarkStart w:id="1980" w:name="_Toc38438661"/>
      <w:bookmarkStart w:id="1981" w:name="_Toc38438998"/>
      <w:bookmarkStart w:id="1982" w:name="_Toc38439335"/>
      <w:bookmarkStart w:id="1983" w:name="_Toc38439672"/>
      <w:bookmarkStart w:id="1984" w:name="_Toc38440009"/>
      <w:bookmarkStart w:id="1985" w:name="_Toc38440346"/>
      <w:bookmarkStart w:id="1986" w:name="_Toc38440679"/>
      <w:bookmarkStart w:id="1987" w:name="_Toc38440878"/>
      <w:bookmarkStart w:id="1988" w:name="_Toc38441210"/>
      <w:bookmarkStart w:id="1989" w:name="_Toc38441542"/>
      <w:bookmarkStart w:id="1990" w:name="_Toc38441870"/>
      <w:bookmarkStart w:id="1991" w:name="_Toc38442202"/>
      <w:bookmarkStart w:id="1992" w:name="_Toc38442534"/>
      <w:bookmarkStart w:id="1993" w:name="_Toc38442865"/>
      <w:bookmarkStart w:id="1994" w:name="_Toc38443196"/>
      <w:bookmarkStart w:id="1995" w:name="_Toc38443527"/>
      <w:bookmarkStart w:id="1996" w:name="_Toc38443858"/>
      <w:bookmarkStart w:id="1997" w:name="_Toc38438325"/>
      <w:bookmarkStart w:id="1998" w:name="_Toc38438662"/>
      <w:bookmarkStart w:id="1999" w:name="_Toc38438999"/>
      <w:bookmarkStart w:id="2000" w:name="_Toc38439336"/>
      <w:bookmarkStart w:id="2001" w:name="_Toc38439673"/>
      <w:bookmarkStart w:id="2002" w:name="_Toc38440010"/>
      <w:bookmarkStart w:id="2003" w:name="_Toc38440347"/>
      <w:bookmarkStart w:id="2004" w:name="_Toc38440879"/>
      <w:bookmarkStart w:id="2005" w:name="_Toc38441211"/>
      <w:bookmarkStart w:id="2006" w:name="_Toc38441543"/>
      <w:bookmarkStart w:id="2007" w:name="_Toc38441871"/>
      <w:bookmarkStart w:id="2008" w:name="_Toc38442203"/>
      <w:bookmarkStart w:id="2009" w:name="_Toc38442535"/>
      <w:bookmarkStart w:id="2010" w:name="_Toc38442866"/>
      <w:bookmarkStart w:id="2011" w:name="_Toc38443197"/>
      <w:bookmarkStart w:id="2012" w:name="_Toc38443528"/>
      <w:bookmarkStart w:id="2013" w:name="_Toc38443859"/>
      <w:bookmarkStart w:id="2014" w:name="_Toc38438326"/>
      <w:bookmarkStart w:id="2015" w:name="_Toc38438663"/>
      <w:bookmarkStart w:id="2016" w:name="_Toc38439000"/>
      <w:bookmarkStart w:id="2017" w:name="_Toc38439337"/>
      <w:bookmarkStart w:id="2018" w:name="_Toc38439674"/>
      <w:bookmarkStart w:id="2019" w:name="_Toc38440011"/>
      <w:bookmarkStart w:id="2020" w:name="_Toc38440348"/>
      <w:bookmarkStart w:id="2021" w:name="_Toc38440880"/>
      <w:bookmarkStart w:id="2022" w:name="_Toc38441212"/>
      <w:bookmarkStart w:id="2023" w:name="_Toc38441544"/>
      <w:bookmarkStart w:id="2024" w:name="_Toc38441872"/>
      <w:bookmarkStart w:id="2025" w:name="_Toc38442204"/>
      <w:bookmarkStart w:id="2026" w:name="_Toc38442536"/>
      <w:bookmarkStart w:id="2027" w:name="_Toc38442867"/>
      <w:bookmarkStart w:id="2028" w:name="_Toc38443198"/>
      <w:bookmarkStart w:id="2029" w:name="_Toc38443529"/>
      <w:bookmarkStart w:id="2030" w:name="_Toc38443860"/>
      <w:bookmarkStart w:id="2031" w:name="_Toc38438327"/>
      <w:bookmarkStart w:id="2032" w:name="_Toc38438664"/>
      <w:bookmarkStart w:id="2033" w:name="_Toc38439001"/>
      <w:bookmarkStart w:id="2034" w:name="_Toc38439338"/>
      <w:bookmarkStart w:id="2035" w:name="_Toc38439675"/>
      <w:bookmarkStart w:id="2036" w:name="_Toc38440012"/>
      <w:bookmarkStart w:id="2037" w:name="_Toc38440349"/>
      <w:bookmarkStart w:id="2038" w:name="_Toc38440881"/>
      <w:bookmarkStart w:id="2039" w:name="_Toc38441213"/>
      <w:bookmarkStart w:id="2040" w:name="_Toc38441545"/>
      <w:bookmarkStart w:id="2041" w:name="_Toc38441873"/>
      <w:bookmarkStart w:id="2042" w:name="_Toc38442205"/>
      <w:bookmarkStart w:id="2043" w:name="_Toc38442537"/>
      <w:bookmarkStart w:id="2044" w:name="_Toc38442868"/>
      <w:bookmarkStart w:id="2045" w:name="_Toc38443199"/>
      <w:bookmarkStart w:id="2046" w:name="_Toc38443530"/>
      <w:bookmarkStart w:id="2047" w:name="_Toc38443861"/>
      <w:bookmarkStart w:id="2048" w:name="_Toc38438328"/>
      <w:bookmarkStart w:id="2049" w:name="_Toc38438665"/>
      <w:bookmarkStart w:id="2050" w:name="_Toc38439002"/>
      <w:bookmarkStart w:id="2051" w:name="_Toc38439339"/>
      <w:bookmarkStart w:id="2052" w:name="_Toc38439676"/>
      <w:bookmarkStart w:id="2053" w:name="_Toc38440013"/>
      <w:bookmarkStart w:id="2054" w:name="_Toc38440350"/>
      <w:bookmarkStart w:id="2055" w:name="_Toc38440882"/>
      <w:bookmarkStart w:id="2056" w:name="_Toc38441214"/>
      <w:bookmarkStart w:id="2057" w:name="_Toc38441546"/>
      <w:bookmarkStart w:id="2058" w:name="_Toc38441874"/>
      <w:bookmarkStart w:id="2059" w:name="_Toc38442206"/>
      <w:bookmarkStart w:id="2060" w:name="_Toc38442538"/>
      <w:bookmarkStart w:id="2061" w:name="_Toc38442869"/>
      <w:bookmarkStart w:id="2062" w:name="_Toc38443200"/>
      <w:bookmarkStart w:id="2063" w:name="_Toc38443531"/>
      <w:bookmarkStart w:id="2064" w:name="_Toc38443862"/>
      <w:bookmarkStart w:id="2065" w:name="_Toc38438329"/>
      <w:bookmarkStart w:id="2066" w:name="_Toc38438666"/>
      <w:bookmarkStart w:id="2067" w:name="_Toc38439003"/>
      <w:bookmarkStart w:id="2068" w:name="_Toc38439340"/>
      <w:bookmarkStart w:id="2069" w:name="_Toc38439677"/>
      <w:bookmarkStart w:id="2070" w:name="_Toc38440014"/>
      <w:bookmarkStart w:id="2071" w:name="_Toc38440351"/>
      <w:bookmarkStart w:id="2072" w:name="_Toc38440883"/>
      <w:bookmarkStart w:id="2073" w:name="_Toc38441215"/>
      <w:bookmarkStart w:id="2074" w:name="_Toc38441547"/>
      <w:bookmarkStart w:id="2075" w:name="_Toc38441875"/>
      <w:bookmarkStart w:id="2076" w:name="_Toc38442207"/>
      <w:bookmarkStart w:id="2077" w:name="_Toc38442539"/>
      <w:bookmarkStart w:id="2078" w:name="_Toc38442870"/>
      <w:bookmarkStart w:id="2079" w:name="_Toc38443201"/>
      <w:bookmarkStart w:id="2080" w:name="_Toc38443532"/>
      <w:bookmarkStart w:id="2081" w:name="_Toc38443863"/>
      <w:bookmarkStart w:id="2082" w:name="_Toc38438330"/>
      <w:bookmarkStart w:id="2083" w:name="_Toc38438667"/>
      <w:bookmarkStart w:id="2084" w:name="_Toc38439004"/>
      <w:bookmarkStart w:id="2085" w:name="_Toc38439341"/>
      <w:bookmarkStart w:id="2086" w:name="_Toc38439678"/>
      <w:bookmarkStart w:id="2087" w:name="_Toc38440015"/>
      <w:bookmarkStart w:id="2088" w:name="_Toc38440352"/>
      <w:bookmarkStart w:id="2089" w:name="_Toc38440884"/>
      <w:bookmarkStart w:id="2090" w:name="_Toc38441216"/>
      <w:bookmarkStart w:id="2091" w:name="_Toc38441548"/>
      <w:bookmarkStart w:id="2092" w:name="_Toc38441876"/>
      <w:bookmarkStart w:id="2093" w:name="_Toc38442208"/>
      <w:bookmarkStart w:id="2094" w:name="_Toc38442540"/>
      <w:bookmarkStart w:id="2095" w:name="_Toc38442871"/>
      <w:bookmarkStart w:id="2096" w:name="_Toc38443202"/>
      <w:bookmarkStart w:id="2097" w:name="_Toc38443533"/>
      <w:bookmarkStart w:id="2098" w:name="_Toc38443864"/>
      <w:bookmarkStart w:id="2099" w:name="_Toc38438331"/>
      <w:bookmarkStart w:id="2100" w:name="_Toc38438668"/>
      <w:bookmarkStart w:id="2101" w:name="_Toc38439005"/>
      <w:bookmarkStart w:id="2102" w:name="_Toc38439342"/>
      <w:bookmarkStart w:id="2103" w:name="_Toc38439679"/>
      <w:bookmarkStart w:id="2104" w:name="_Toc38440016"/>
      <w:bookmarkStart w:id="2105" w:name="_Toc38440353"/>
      <w:bookmarkStart w:id="2106" w:name="_Toc38440885"/>
      <w:bookmarkStart w:id="2107" w:name="_Toc38441217"/>
      <w:bookmarkStart w:id="2108" w:name="_Toc38441549"/>
      <w:bookmarkStart w:id="2109" w:name="_Toc38441877"/>
      <w:bookmarkStart w:id="2110" w:name="_Toc38442209"/>
      <w:bookmarkStart w:id="2111" w:name="_Toc38442541"/>
      <w:bookmarkStart w:id="2112" w:name="_Toc38442872"/>
      <w:bookmarkStart w:id="2113" w:name="_Toc38443203"/>
      <w:bookmarkStart w:id="2114" w:name="_Toc38443534"/>
      <w:bookmarkStart w:id="2115" w:name="_Toc38443865"/>
      <w:bookmarkStart w:id="2116" w:name="_Toc38438332"/>
      <w:bookmarkStart w:id="2117" w:name="_Toc38438669"/>
      <w:bookmarkStart w:id="2118" w:name="_Toc38439006"/>
      <w:bookmarkStart w:id="2119" w:name="_Toc38439343"/>
      <w:bookmarkStart w:id="2120" w:name="_Toc38439680"/>
      <w:bookmarkStart w:id="2121" w:name="_Toc38440017"/>
      <w:bookmarkStart w:id="2122" w:name="_Toc38440354"/>
      <w:bookmarkStart w:id="2123" w:name="_Toc38440886"/>
      <w:bookmarkStart w:id="2124" w:name="_Toc38441218"/>
      <w:bookmarkStart w:id="2125" w:name="_Toc38441550"/>
      <w:bookmarkStart w:id="2126" w:name="_Toc38441878"/>
      <w:bookmarkStart w:id="2127" w:name="_Toc38442210"/>
      <w:bookmarkStart w:id="2128" w:name="_Toc38442542"/>
      <w:bookmarkStart w:id="2129" w:name="_Toc38442873"/>
      <w:bookmarkStart w:id="2130" w:name="_Toc38443204"/>
      <w:bookmarkStart w:id="2131" w:name="_Toc38443535"/>
      <w:bookmarkStart w:id="2132" w:name="_Toc38443866"/>
      <w:bookmarkStart w:id="2133" w:name="_Toc38438333"/>
      <w:bookmarkStart w:id="2134" w:name="_Toc38438670"/>
      <w:bookmarkStart w:id="2135" w:name="_Toc38439007"/>
      <w:bookmarkStart w:id="2136" w:name="_Toc38439344"/>
      <w:bookmarkStart w:id="2137" w:name="_Toc38439681"/>
      <w:bookmarkStart w:id="2138" w:name="_Toc38440018"/>
      <w:bookmarkStart w:id="2139" w:name="_Toc38440355"/>
      <w:bookmarkStart w:id="2140" w:name="_Toc38440887"/>
      <w:bookmarkStart w:id="2141" w:name="_Toc38441219"/>
      <w:bookmarkStart w:id="2142" w:name="_Toc38441551"/>
      <w:bookmarkStart w:id="2143" w:name="_Toc38441879"/>
      <w:bookmarkStart w:id="2144" w:name="_Toc38442211"/>
      <w:bookmarkStart w:id="2145" w:name="_Toc38442543"/>
      <w:bookmarkStart w:id="2146" w:name="_Toc38442874"/>
      <w:bookmarkStart w:id="2147" w:name="_Toc38443205"/>
      <w:bookmarkStart w:id="2148" w:name="_Toc38443536"/>
      <w:bookmarkStart w:id="2149" w:name="_Toc38443867"/>
      <w:bookmarkStart w:id="2150" w:name="_Toc38438334"/>
      <w:bookmarkStart w:id="2151" w:name="_Toc38438671"/>
      <w:bookmarkStart w:id="2152" w:name="_Toc38439008"/>
      <w:bookmarkStart w:id="2153" w:name="_Toc38439345"/>
      <w:bookmarkStart w:id="2154" w:name="_Toc38439682"/>
      <w:bookmarkStart w:id="2155" w:name="_Toc38440019"/>
      <w:bookmarkStart w:id="2156" w:name="_Toc38440356"/>
      <w:bookmarkStart w:id="2157" w:name="_Toc38440888"/>
      <w:bookmarkStart w:id="2158" w:name="_Toc38441220"/>
      <w:bookmarkStart w:id="2159" w:name="_Toc38441552"/>
      <w:bookmarkStart w:id="2160" w:name="_Toc38441880"/>
      <w:bookmarkStart w:id="2161" w:name="_Toc38442212"/>
      <w:bookmarkStart w:id="2162" w:name="_Toc38442544"/>
      <w:bookmarkStart w:id="2163" w:name="_Toc38442875"/>
      <w:bookmarkStart w:id="2164" w:name="_Toc38443206"/>
      <w:bookmarkStart w:id="2165" w:name="_Toc38443537"/>
      <w:bookmarkStart w:id="2166" w:name="_Toc38443868"/>
      <w:bookmarkStart w:id="2167" w:name="_Toc38438335"/>
      <w:bookmarkStart w:id="2168" w:name="_Toc38438672"/>
      <w:bookmarkStart w:id="2169" w:name="_Toc38439009"/>
      <w:bookmarkStart w:id="2170" w:name="_Toc38439346"/>
      <w:bookmarkStart w:id="2171" w:name="_Toc38439683"/>
      <w:bookmarkStart w:id="2172" w:name="_Toc38440020"/>
      <w:bookmarkStart w:id="2173" w:name="_Toc38440357"/>
      <w:bookmarkStart w:id="2174" w:name="_Toc38440889"/>
      <w:bookmarkStart w:id="2175" w:name="_Toc38441221"/>
      <w:bookmarkStart w:id="2176" w:name="_Toc38441553"/>
      <w:bookmarkStart w:id="2177" w:name="_Toc38441881"/>
      <w:bookmarkStart w:id="2178" w:name="_Toc38442213"/>
      <w:bookmarkStart w:id="2179" w:name="_Toc38442545"/>
      <w:bookmarkStart w:id="2180" w:name="_Toc38442876"/>
      <w:bookmarkStart w:id="2181" w:name="_Toc38443207"/>
      <w:bookmarkStart w:id="2182" w:name="_Toc38443538"/>
      <w:bookmarkStart w:id="2183" w:name="_Toc38443869"/>
      <w:bookmarkStart w:id="2184" w:name="_Toc38438336"/>
      <w:bookmarkStart w:id="2185" w:name="_Toc38438673"/>
      <w:bookmarkStart w:id="2186" w:name="_Toc38439010"/>
      <w:bookmarkStart w:id="2187" w:name="_Toc38439347"/>
      <w:bookmarkStart w:id="2188" w:name="_Toc38439684"/>
      <w:bookmarkStart w:id="2189" w:name="_Toc38440021"/>
      <w:bookmarkStart w:id="2190" w:name="_Toc38440358"/>
      <w:bookmarkStart w:id="2191" w:name="_Toc38440890"/>
      <w:bookmarkStart w:id="2192" w:name="_Toc38441222"/>
      <w:bookmarkStart w:id="2193" w:name="_Toc38441554"/>
      <w:bookmarkStart w:id="2194" w:name="_Toc38441882"/>
      <w:bookmarkStart w:id="2195" w:name="_Toc38442214"/>
      <w:bookmarkStart w:id="2196" w:name="_Toc38442546"/>
      <w:bookmarkStart w:id="2197" w:name="_Toc38442877"/>
      <w:bookmarkStart w:id="2198" w:name="_Toc38443208"/>
      <w:bookmarkStart w:id="2199" w:name="_Toc38443539"/>
      <w:bookmarkStart w:id="2200" w:name="_Toc38443870"/>
      <w:bookmarkStart w:id="2201" w:name="_Toc38438337"/>
      <w:bookmarkStart w:id="2202" w:name="_Toc38438674"/>
      <w:bookmarkStart w:id="2203" w:name="_Toc38439011"/>
      <w:bookmarkStart w:id="2204" w:name="_Toc38439348"/>
      <w:bookmarkStart w:id="2205" w:name="_Toc38439685"/>
      <w:bookmarkStart w:id="2206" w:name="_Toc38440022"/>
      <w:bookmarkStart w:id="2207" w:name="_Toc38440359"/>
      <w:bookmarkStart w:id="2208" w:name="_Toc38440891"/>
      <w:bookmarkStart w:id="2209" w:name="_Toc38441223"/>
      <w:bookmarkStart w:id="2210" w:name="_Toc38441555"/>
      <w:bookmarkStart w:id="2211" w:name="_Toc38441883"/>
      <w:bookmarkStart w:id="2212" w:name="_Toc38442215"/>
      <w:bookmarkStart w:id="2213" w:name="_Toc38442547"/>
      <w:bookmarkStart w:id="2214" w:name="_Toc38442878"/>
      <w:bookmarkStart w:id="2215" w:name="_Toc38443209"/>
      <w:bookmarkStart w:id="2216" w:name="_Toc38443540"/>
      <w:bookmarkStart w:id="2217" w:name="_Toc38443871"/>
      <w:bookmarkStart w:id="2218" w:name="_Toc38438338"/>
      <w:bookmarkStart w:id="2219" w:name="_Toc38438675"/>
      <w:bookmarkStart w:id="2220" w:name="_Toc38439012"/>
      <w:bookmarkStart w:id="2221" w:name="_Toc38439349"/>
      <w:bookmarkStart w:id="2222" w:name="_Toc38439686"/>
      <w:bookmarkStart w:id="2223" w:name="_Toc38440023"/>
      <w:bookmarkStart w:id="2224" w:name="_Toc38440360"/>
      <w:bookmarkStart w:id="2225" w:name="_Toc38440892"/>
      <w:bookmarkStart w:id="2226" w:name="_Toc38441224"/>
      <w:bookmarkStart w:id="2227" w:name="_Toc38441556"/>
      <w:bookmarkStart w:id="2228" w:name="_Toc38441884"/>
      <w:bookmarkStart w:id="2229" w:name="_Toc38442216"/>
      <w:bookmarkStart w:id="2230" w:name="_Toc38442548"/>
      <w:bookmarkStart w:id="2231" w:name="_Toc38442879"/>
      <w:bookmarkStart w:id="2232" w:name="_Toc38443210"/>
      <w:bookmarkStart w:id="2233" w:name="_Toc38443541"/>
      <w:bookmarkStart w:id="2234" w:name="_Toc38443872"/>
      <w:bookmarkStart w:id="2235" w:name="_Toc38438339"/>
      <w:bookmarkStart w:id="2236" w:name="_Toc38438676"/>
      <w:bookmarkStart w:id="2237" w:name="_Toc38439013"/>
      <w:bookmarkStart w:id="2238" w:name="_Toc38439350"/>
      <w:bookmarkStart w:id="2239" w:name="_Toc38439687"/>
      <w:bookmarkStart w:id="2240" w:name="_Toc38440024"/>
      <w:bookmarkStart w:id="2241" w:name="_Toc38440361"/>
      <w:bookmarkStart w:id="2242" w:name="_Toc38440893"/>
      <w:bookmarkStart w:id="2243" w:name="_Toc38441225"/>
      <w:bookmarkStart w:id="2244" w:name="_Toc38441557"/>
      <w:bookmarkStart w:id="2245" w:name="_Toc38441885"/>
      <w:bookmarkStart w:id="2246" w:name="_Toc38442217"/>
      <w:bookmarkStart w:id="2247" w:name="_Toc38442549"/>
      <w:bookmarkStart w:id="2248" w:name="_Toc38442880"/>
      <w:bookmarkStart w:id="2249" w:name="_Toc38443211"/>
      <w:bookmarkStart w:id="2250" w:name="_Toc38443542"/>
      <w:bookmarkStart w:id="2251" w:name="_Toc38443873"/>
      <w:bookmarkStart w:id="2252" w:name="_Toc38438340"/>
      <w:bookmarkStart w:id="2253" w:name="_Toc38438677"/>
      <w:bookmarkStart w:id="2254" w:name="_Toc38439014"/>
      <w:bookmarkStart w:id="2255" w:name="_Toc38439351"/>
      <w:bookmarkStart w:id="2256" w:name="_Toc38439688"/>
      <w:bookmarkStart w:id="2257" w:name="_Toc38440025"/>
      <w:bookmarkStart w:id="2258" w:name="_Toc38440362"/>
      <w:bookmarkStart w:id="2259" w:name="_Toc38440894"/>
      <w:bookmarkStart w:id="2260" w:name="_Toc38441226"/>
      <w:bookmarkStart w:id="2261" w:name="_Toc38441558"/>
      <w:bookmarkStart w:id="2262" w:name="_Toc38441886"/>
      <w:bookmarkStart w:id="2263" w:name="_Toc38442218"/>
      <w:bookmarkStart w:id="2264" w:name="_Toc38442550"/>
      <w:bookmarkStart w:id="2265" w:name="_Toc38442881"/>
      <w:bookmarkStart w:id="2266" w:name="_Toc38443212"/>
      <w:bookmarkStart w:id="2267" w:name="_Toc38443543"/>
      <w:bookmarkStart w:id="2268" w:name="_Toc38443874"/>
      <w:bookmarkStart w:id="2269" w:name="_Toc38438341"/>
      <w:bookmarkStart w:id="2270" w:name="_Toc38438678"/>
      <w:bookmarkStart w:id="2271" w:name="_Toc38439015"/>
      <w:bookmarkStart w:id="2272" w:name="_Toc38439352"/>
      <w:bookmarkStart w:id="2273" w:name="_Toc38439689"/>
      <w:bookmarkStart w:id="2274" w:name="_Toc38440026"/>
      <w:bookmarkStart w:id="2275" w:name="_Toc38440363"/>
      <w:bookmarkStart w:id="2276" w:name="_Toc38440895"/>
      <w:bookmarkStart w:id="2277" w:name="_Toc38441227"/>
      <w:bookmarkStart w:id="2278" w:name="_Toc38441559"/>
      <w:bookmarkStart w:id="2279" w:name="_Toc38441887"/>
      <w:bookmarkStart w:id="2280" w:name="_Toc38442219"/>
      <w:bookmarkStart w:id="2281" w:name="_Toc38442551"/>
      <w:bookmarkStart w:id="2282" w:name="_Toc38442882"/>
      <w:bookmarkStart w:id="2283" w:name="_Toc38443213"/>
      <w:bookmarkStart w:id="2284" w:name="_Toc38443544"/>
      <w:bookmarkStart w:id="2285" w:name="_Toc38443875"/>
      <w:bookmarkStart w:id="2286" w:name="_Toc38438342"/>
      <w:bookmarkStart w:id="2287" w:name="_Toc38438679"/>
      <w:bookmarkStart w:id="2288" w:name="_Toc38439016"/>
      <w:bookmarkStart w:id="2289" w:name="_Toc38439353"/>
      <w:bookmarkStart w:id="2290" w:name="_Toc38439690"/>
      <w:bookmarkStart w:id="2291" w:name="_Toc38440027"/>
      <w:bookmarkStart w:id="2292" w:name="_Toc38440364"/>
      <w:bookmarkStart w:id="2293" w:name="_Toc38440896"/>
      <w:bookmarkStart w:id="2294" w:name="_Toc38441228"/>
      <w:bookmarkStart w:id="2295" w:name="_Toc38441560"/>
      <w:bookmarkStart w:id="2296" w:name="_Toc38441888"/>
      <w:bookmarkStart w:id="2297" w:name="_Toc38442220"/>
      <w:bookmarkStart w:id="2298" w:name="_Toc38442552"/>
      <w:bookmarkStart w:id="2299" w:name="_Toc38442883"/>
      <w:bookmarkStart w:id="2300" w:name="_Toc38443214"/>
      <w:bookmarkStart w:id="2301" w:name="_Toc38443545"/>
      <w:bookmarkStart w:id="2302" w:name="_Toc38443876"/>
      <w:bookmarkStart w:id="2303" w:name="_Toc38438343"/>
      <w:bookmarkStart w:id="2304" w:name="_Toc38438680"/>
      <w:bookmarkStart w:id="2305" w:name="_Toc38439017"/>
      <w:bookmarkStart w:id="2306" w:name="_Toc38439354"/>
      <w:bookmarkStart w:id="2307" w:name="_Toc38439691"/>
      <w:bookmarkStart w:id="2308" w:name="_Toc38440028"/>
      <w:bookmarkStart w:id="2309" w:name="_Toc38440365"/>
      <w:bookmarkStart w:id="2310" w:name="_Toc38440897"/>
      <w:bookmarkStart w:id="2311" w:name="_Toc38441229"/>
      <w:bookmarkStart w:id="2312" w:name="_Toc38441561"/>
      <w:bookmarkStart w:id="2313" w:name="_Toc38441889"/>
      <w:bookmarkStart w:id="2314" w:name="_Toc38442221"/>
      <w:bookmarkStart w:id="2315" w:name="_Toc38442553"/>
      <w:bookmarkStart w:id="2316" w:name="_Toc38442884"/>
      <w:bookmarkStart w:id="2317" w:name="_Toc38443215"/>
      <w:bookmarkStart w:id="2318" w:name="_Toc38443546"/>
      <w:bookmarkStart w:id="2319" w:name="_Toc38443877"/>
      <w:bookmarkStart w:id="2320" w:name="_Toc13148422"/>
      <w:bookmarkStart w:id="2321" w:name="_Toc91749318"/>
      <w:bookmarkEnd w:id="1217"/>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r w:rsidRPr="008564FF">
        <w:rPr>
          <w:rFonts w:asciiTheme="minorEastAsia" w:eastAsiaTheme="minorEastAsia" w:hAnsiTheme="minorEastAsia" w:hint="eastAsia"/>
          <w:b/>
          <w:bCs/>
        </w:rPr>
        <w:t>二十四、</w:t>
      </w:r>
      <w:bookmarkEnd w:id="2320"/>
      <w:r w:rsidRPr="008564FF">
        <w:rPr>
          <w:rFonts w:asciiTheme="minorEastAsia" w:eastAsiaTheme="minorEastAsia" w:hAnsiTheme="minorEastAsia" w:hint="eastAsia"/>
          <w:b/>
          <w:bCs/>
        </w:rPr>
        <w:t>其他应披露事项</w:t>
      </w:r>
      <w:bookmarkEnd w:id="2321"/>
    </w:p>
    <w:tbl>
      <w:tblPr>
        <w:tblW w:w="83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3"/>
        <w:gridCol w:w="1724"/>
      </w:tblGrid>
      <w:tr w:rsidTr="000A2508">
        <w:tblPrEx>
          <w:tblW w:w="83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5"/>
        </w:trPr>
        <w:tc>
          <w:tcPr>
            <w:tcW w:w="6663" w:type="dxa"/>
            <w:shd w:val="clear" w:color="auto" w:fill="auto"/>
            <w:vAlign w:val="center"/>
            <w:hideMark/>
          </w:tcPr>
          <w:p w:rsidR="0032531E" w:rsidRPr="008564FF" w:rsidP="0032531E">
            <w:pPr>
              <w:spacing w:line="360" w:lineRule="auto"/>
              <w:ind w:left="-420" w:firstLine="420"/>
              <w:jc w:val="center"/>
              <w:rPr>
                <w:rFonts w:asciiTheme="minorEastAsia" w:eastAsiaTheme="minorEastAsia" w:hAnsiTheme="minorEastAsia"/>
                <w:szCs w:val="21"/>
              </w:rPr>
            </w:pPr>
            <w:r w:rsidRPr="008564FF">
              <w:rPr>
                <w:rFonts w:asciiTheme="minorEastAsia" w:eastAsiaTheme="minorEastAsia" w:hAnsiTheme="minorEastAsia" w:hint="eastAsia"/>
                <w:szCs w:val="21"/>
              </w:rPr>
              <w:t>公告事项</w:t>
            </w:r>
          </w:p>
        </w:tc>
        <w:tc>
          <w:tcPr>
            <w:tcW w:w="1724" w:type="dxa"/>
            <w:shd w:val="clear" w:color="auto" w:fill="auto"/>
            <w:vAlign w:val="center"/>
            <w:hideMark/>
          </w:tcPr>
          <w:p w:rsidR="0032531E" w:rsidRPr="008564FF" w:rsidP="0032531E">
            <w:pPr>
              <w:spacing w:line="360" w:lineRule="auto"/>
              <w:ind w:left="-420" w:firstLine="420"/>
              <w:jc w:val="center"/>
              <w:rPr>
                <w:rFonts w:asciiTheme="minorEastAsia" w:eastAsiaTheme="minorEastAsia" w:hAnsiTheme="minorEastAsia"/>
                <w:szCs w:val="21"/>
              </w:rPr>
            </w:pPr>
            <w:r w:rsidRPr="008564FF">
              <w:rPr>
                <w:rFonts w:asciiTheme="minorEastAsia" w:eastAsiaTheme="minorEastAsia" w:hAnsiTheme="minorEastAsia" w:hint="eastAsia"/>
                <w:szCs w:val="21"/>
              </w:rPr>
              <w:t>披露日期</w:t>
            </w:r>
          </w:p>
        </w:tc>
      </w:tr>
      <w:tr>
        <w:tblPrEx>
          <w:tblW w:w="8387" w:type="dxa"/>
          <w:tblInd w:w="108" w:type="dxa"/>
          <w:tblLook w:val="04A0"/>
        </w:tblPrEx>
        <w:tc>
          <w:tcPr>
            <w:tcW w:w="6663" w:type="dxa"/>
          </w:tcPr>
          <w:p w:rsidR="005A7F90">
            <w:pPr>
              <w:jc w:val="left"/>
            </w:pPr>
            <w:r>
              <w:t>易方达基金管理有限公司旗下部分开放式基金增加东方财富证券为销售机构的公告</w:t>
            </w:r>
          </w:p>
        </w:tc>
        <w:tc>
          <w:tcPr>
            <w:tcW w:w="1724" w:type="dxa"/>
          </w:tcPr>
          <w:p w:rsidR="005A7F90">
            <w:pPr>
              <w:jc w:val="center"/>
            </w:pPr>
            <w:r>
              <w:t>2021-01-12</w:t>
            </w:r>
          </w:p>
        </w:tc>
      </w:tr>
      <w:tr>
        <w:tblPrEx>
          <w:tblW w:w="8387" w:type="dxa"/>
          <w:tblInd w:w="108" w:type="dxa"/>
          <w:tblLook w:val="04A0"/>
        </w:tblPrEx>
        <w:tc>
          <w:tcPr>
            <w:tcW w:w="6663" w:type="dxa"/>
          </w:tcPr>
          <w:p w:rsidR="005A7F90">
            <w:pPr>
              <w:jc w:val="left"/>
            </w:pPr>
            <w:r>
              <w:t>易方达行业领先企业混合型证券投资基金暂停机构客户申购、转换转入及定期定额投资业务的公告</w:t>
            </w:r>
          </w:p>
        </w:tc>
        <w:tc>
          <w:tcPr>
            <w:tcW w:w="1724" w:type="dxa"/>
          </w:tcPr>
          <w:p w:rsidR="005A7F90">
            <w:pPr>
              <w:jc w:val="center"/>
            </w:pPr>
            <w:r>
              <w:t>2021-01-12</w:t>
            </w:r>
          </w:p>
        </w:tc>
      </w:tr>
      <w:tr>
        <w:tblPrEx>
          <w:tblW w:w="8387" w:type="dxa"/>
          <w:tblInd w:w="108" w:type="dxa"/>
          <w:tblLook w:val="04A0"/>
        </w:tblPrEx>
        <w:tc>
          <w:tcPr>
            <w:tcW w:w="6663" w:type="dxa"/>
          </w:tcPr>
          <w:p w:rsidR="005A7F90">
            <w:pPr>
              <w:jc w:val="left"/>
            </w:pPr>
            <w:r>
              <w:t>易方达行业领先企业混合型证券投资基金恢复机构客户申购、转换转入及定期定额投资业务的公告</w:t>
            </w:r>
          </w:p>
        </w:tc>
        <w:tc>
          <w:tcPr>
            <w:tcW w:w="1724" w:type="dxa"/>
          </w:tcPr>
          <w:p w:rsidR="005A7F90">
            <w:pPr>
              <w:jc w:val="center"/>
            </w:pPr>
            <w:r>
              <w:t>2021-01-13</w:t>
            </w:r>
          </w:p>
        </w:tc>
      </w:tr>
      <w:tr>
        <w:tblPrEx>
          <w:tblW w:w="8387" w:type="dxa"/>
          <w:tblInd w:w="108" w:type="dxa"/>
          <w:tblLook w:val="04A0"/>
        </w:tblPrEx>
        <w:tc>
          <w:tcPr>
            <w:tcW w:w="6663" w:type="dxa"/>
          </w:tcPr>
          <w:p w:rsidR="005A7F90">
            <w:pPr>
              <w:jc w:val="left"/>
            </w:pPr>
            <w:r>
              <w:t>易方达行业领先企业混合型证券投资基金分红公告</w:t>
            </w:r>
          </w:p>
        </w:tc>
        <w:tc>
          <w:tcPr>
            <w:tcW w:w="1724" w:type="dxa"/>
          </w:tcPr>
          <w:p w:rsidR="005A7F90">
            <w:pPr>
              <w:jc w:val="center"/>
            </w:pPr>
            <w:r>
              <w:t>2021-01-13</w:t>
            </w:r>
          </w:p>
        </w:tc>
      </w:tr>
      <w:tr>
        <w:tblPrEx>
          <w:tblW w:w="8387" w:type="dxa"/>
          <w:tblInd w:w="108" w:type="dxa"/>
          <w:tblLook w:val="04A0"/>
        </w:tblPrEx>
        <w:tc>
          <w:tcPr>
            <w:tcW w:w="6663" w:type="dxa"/>
          </w:tcPr>
          <w:p w:rsidR="005A7F90">
            <w:pPr>
              <w:jc w:val="left"/>
            </w:pPr>
            <w:r>
              <w:t>易方达基金管理有限公司旗下基金</w:t>
            </w:r>
            <w:r>
              <w:t>2020</w:t>
            </w:r>
            <w:r>
              <w:t>年第</w:t>
            </w:r>
            <w:r>
              <w:t>4</w:t>
            </w:r>
            <w:r>
              <w:t>季度报告提示性公告</w:t>
            </w:r>
          </w:p>
        </w:tc>
        <w:tc>
          <w:tcPr>
            <w:tcW w:w="1724" w:type="dxa"/>
          </w:tcPr>
          <w:p w:rsidR="005A7F90">
            <w:pPr>
              <w:jc w:val="center"/>
            </w:pPr>
            <w:r>
              <w:t>2021-01-21</w:t>
            </w:r>
          </w:p>
        </w:tc>
      </w:tr>
      <w:tr>
        <w:tblPrEx>
          <w:tblW w:w="8387" w:type="dxa"/>
          <w:tblInd w:w="108" w:type="dxa"/>
          <w:tblLook w:val="04A0"/>
        </w:tblPrEx>
        <w:tc>
          <w:tcPr>
            <w:tcW w:w="6663" w:type="dxa"/>
          </w:tcPr>
          <w:p w:rsidR="005A7F90">
            <w:pPr>
              <w:jc w:val="left"/>
            </w:pPr>
            <w:r>
              <w:t>易方达基金管理有限公司高级管理人员变更公告</w:t>
            </w:r>
          </w:p>
        </w:tc>
        <w:tc>
          <w:tcPr>
            <w:tcW w:w="1724" w:type="dxa"/>
          </w:tcPr>
          <w:p w:rsidR="005A7F90">
            <w:pPr>
              <w:jc w:val="center"/>
            </w:pPr>
            <w:r>
              <w:t>2021-01-23</w:t>
            </w:r>
          </w:p>
        </w:tc>
      </w:tr>
      <w:tr>
        <w:tblPrEx>
          <w:tblW w:w="8387" w:type="dxa"/>
          <w:tblInd w:w="108" w:type="dxa"/>
          <w:tblLook w:val="04A0"/>
        </w:tblPrEx>
        <w:tc>
          <w:tcPr>
            <w:tcW w:w="6663" w:type="dxa"/>
          </w:tcPr>
          <w:p w:rsidR="005A7F90">
            <w:pPr>
              <w:jc w:val="left"/>
            </w:pPr>
            <w:r>
              <w:t>易方达基金管理有限公司关于终止包商银行股份有限公司办理本公司旗下基金销售业务的公告</w:t>
            </w:r>
          </w:p>
        </w:tc>
        <w:tc>
          <w:tcPr>
            <w:tcW w:w="1724" w:type="dxa"/>
          </w:tcPr>
          <w:p w:rsidR="005A7F90">
            <w:pPr>
              <w:jc w:val="center"/>
            </w:pPr>
            <w:r>
              <w:t>2021-02-08</w:t>
            </w:r>
          </w:p>
        </w:tc>
      </w:tr>
      <w:tr>
        <w:tblPrEx>
          <w:tblW w:w="8387" w:type="dxa"/>
          <w:tblInd w:w="108" w:type="dxa"/>
          <w:tblLook w:val="04A0"/>
        </w:tblPrEx>
        <w:tc>
          <w:tcPr>
            <w:tcW w:w="6663" w:type="dxa"/>
          </w:tcPr>
          <w:p w:rsidR="005A7F90">
            <w:pPr>
              <w:jc w:val="left"/>
            </w:pPr>
            <w:r>
              <w:t>易方达基金管理有限公司旗下部分开放式基金增加英大证券为销售机构的公告</w:t>
            </w:r>
          </w:p>
        </w:tc>
        <w:tc>
          <w:tcPr>
            <w:tcW w:w="1724" w:type="dxa"/>
          </w:tcPr>
          <w:p w:rsidR="005A7F90">
            <w:pPr>
              <w:jc w:val="center"/>
            </w:pPr>
            <w:r>
              <w:t>2021-02-10</w:t>
            </w:r>
          </w:p>
        </w:tc>
      </w:tr>
      <w:tr>
        <w:tblPrEx>
          <w:tblW w:w="8387" w:type="dxa"/>
          <w:tblInd w:w="108" w:type="dxa"/>
          <w:tblLook w:val="04A0"/>
        </w:tblPrEx>
        <w:tc>
          <w:tcPr>
            <w:tcW w:w="6663" w:type="dxa"/>
          </w:tcPr>
          <w:p w:rsidR="005A7F90">
            <w:pPr>
              <w:jc w:val="left"/>
            </w:pPr>
            <w:r>
              <w:t>易方达基金管理有限公司旗下部分开放式基金增加植信基金为销售机构的公告</w:t>
            </w:r>
          </w:p>
        </w:tc>
        <w:tc>
          <w:tcPr>
            <w:tcW w:w="1724" w:type="dxa"/>
          </w:tcPr>
          <w:p w:rsidR="005A7F90">
            <w:pPr>
              <w:jc w:val="center"/>
            </w:pPr>
            <w:r>
              <w:t>2021-03-12</w:t>
            </w:r>
          </w:p>
        </w:tc>
      </w:tr>
      <w:tr>
        <w:tblPrEx>
          <w:tblW w:w="8387" w:type="dxa"/>
          <w:tblInd w:w="108" w:type="dxa"/>
          <w:tblLook w:val="04A0"/>
        </w:tblPrEx>
        <w:tc>
          <w:tcPr>
            <w:tcW w:w="6663" w:type="dxa"/>
          </w:tcPr>
          <w:p w:rsidR="005A7F90">
            <w:pPr>
              <w:jc w:val="left"/>
            </w:pPr>
            <w:r>
              <w:t>易方达基金管理有限公司旗下基金</w:t>
            </w:r>
            <w:r>
              <w:t>2020</w:t>
            </w:r>
            <w:r>
              <w:t>年年度报告提示性公告</w:t>
            </w:r>
          </w:p>
        </w:tc>
        <w:tc>
          <w:tcPr>
            <w:tcW w:w="1724" w:type="dxa"/>
          </w:tcPr>
          <w:p w:rsidR="005A7F90">
            <w:pPr>
              <w:jc w:val="center"/>
            </w:pPr>
            <w:r>
              <w:t>2021-03-30</w:t>
            </w:r>
          </w:p>
        </w:tc>
      </w:tr>
      <w:tr>
        <w:tblPrEx>
          <w:tblW w:w="8387" w:type="dxa"/>
          <w:tblInd w:w="108" w:type="dxa"/>
          <w:tblLook w:val="04A0"/>
        </w:tblPrEx>
        <w:tc>
          <w:tcPr>
            <w:tcW w:w="6663" w:type="dxa"/>
          </w:tcPr>
          <w:p w:rsidR="005A7F90">
            <w:pPr>
              <w:jc w:val="left"/>
            </w:pPr>
            <w:r>
              <w:t>易方达基金管理有限公司关于提醒投资者及时提供或更新身份信息资料的公告</w:t>
            </w:r>
          </w:p>
        </w:tc>
        <w:tc>
          <w:tcPr>
            <w:tcW w:w="1724" w:type="dxa"/>
          </w:tcPr>
          <w:p w:rsidR="005A7F90">
            <w:pPr>
              <w:jc w:val="center"/>
            </w:pPr>
            <w:r>
              <w:t>2021-04-02</w:t>
            </w:r>
          </w:p>
        </w:tc>
      </w:tr>
      <w:tr>
        <w:tblPrEx>
          <w:tblW w:w="8387" w:type="dxa"/>
          <w:tblInd w:w="108" w:type="dxa"/>
          <w:tblLook w:val="04A0"/>
        </w:tblPrEx>
        <w:tc>
          <w:tcPr>
            <w:tcW w:w="6663" w:type="dxa"/>
          </w:tcPr>
          <w:p w:rsidR="005A7F90">
            <w:pPr>
              <w:jc w:val="left"/>
            </w:pPr>
            <w:r>
              <w:t>易方达基金管理有限公司旗下基金</w:t>
            </w:r>
            <w:r>
              <w:t>2021</w:t>
            </w:r>
            <w:r>
              <w:t>年第</w:t>
            </w:r>
            <w:r>
              <w:t>1</w:t>
            </w:r>
            <w:r>
              <w:t>季度报告提示性公告</w:t>
            </w:r>
          </w:p>
        </w:tc>
        <w:tc>
          <w:tcPr>
            <w:tcW w:w="1724" w:type="dxa"/>
          </w:tcPr>
          <w:p w:rsidR="005A7F90">
            <w:pPr>
              <w:jc w:val="center"/>
            </w:pPr>
            <w:r>
              <w:t>2021-04-19</w:t>
            </w:r>
          </w:p>
        </w:tc>
      </w:tr>
      <w:tr>
        <w:tblPrEx>
          <w:tblW w:w="8387" w:type="dxa"/>
          <w:tblInd w:w="108" w:type="dxa"/>
          <w:tblLook w:val="04A0"/>
        </w:tblPrEx>
        <w:tc>
          <w:tcPr>
            <w:tcW w:w="6663" w:type="dxa"/>
          </w:tcPr>
          <w:p w:rsidR="005A7F90">
            <w:pPr>
              <w:jc w:val="left"/>
            </w:pPr>
            <w:r>
              <w:t>易方达基金管理有限公司高级管理人员变更公告</w:t>
            </w:r>
          </w:p>
        </w:tc>
        <w:tc>
          <w:tcPr>
            <w:tcW w:w="1724" w:type="dxa"/>
          </w:tcPr>
          <w:p w:rsidR="005A7F90">
            <w:pPr>
              <w:jc w:val="center"/>
            </w:pPr>
            <w:r>
              <w:t>2021-07-17</w:t>
            </w:r>
          </w:p>
        </w:tc>
      </w:tr>
      <w:tr>
        <w:tblPrEx>
          <w:tblW w:w="8387" w:type="dxa"/>
          <w:tblInd w:w="108" w:type="dxa"/>
          <w:tblLook w:val="04A0"/>
        </w:tblPrEx>
        <w:tc>
          <w:tcPr>
            <w:tcW w:w="6663" w:type="dxa"/>
          </w:tcPr>
          <w:p w:rsidR="005A7F90">
            <w:pPr>
              <w:jc w:val="left"/>
            </w:pPr>
            <w:r>
              <w:t>易方达基金管理有限公司旗下基金</w:t>
            </w:r>
            <w:r>
              <w:t>2021</w:t>
            </w:r>
            <w:r>
              <w:t>年第</w:t>
            </w:r>
            <w:r>
              <w:t>2</w:t>
            </w:r>
            <w:r>
              <w:t>季度报告提示性公告</w:t>
            </w:r>
          </w:p>
        </w:tc>
        <w:tc>
          <w:tcPr>
            <w:tcW w:w="1724" w:type="dxa"/>
          </w:tcPr>
          <w:p w:rsidR="005A7F90">
            <w:pPr>
              <w:jc w:val="center"/>
            </w:pPr>
            <w:r>
              <w:t>2021-07-20</w:t>
            </w:r>
          </w:p>
        </w:tc>
      </w:tr>
      <w:tr>
        <w:tblPrEx>
          <w:tblW w:w="8387" w:type="dxa"/>
          <w:tblInd w:w="108" w:type="dxa"/>
          <w:tblLook w:val="04A0"/>
        </w:tblPrEx>
        <w:tc>
          <w:tcPr>
            <w:tcW w:w="6663" w:type="dxa"/>
          </w:tcPr>
          <w:p w:rsidR="005A7F90">
            <w:pPr>
              <w:jc w:val="left"/>
            </w:pPr>
            <w:r>
              <w:t>易方达基金管理有限公司高级管理人员变更公告</w:t>
            </w:r>
          </w:p>
        </w:tc>
        <w:tc>
          <w:tcPr>
            <w:tcW w:w="1724" w:type="dxa"/>
          </w:tcPr>
          <w:p w:rsidR="005A7F90">
            <w:pPr>
              <w:jc w:val="center"/>
            </w:pPr>
            <w:r>
              <w:t>2021-07-24</w:t>
            </w:r>
          </w:p>
        </w:tc>
      </w:tr>
      <w:tr>
        <w:tblPrEx>
          <w:tblW w:w="8387" w:type="dxa"/>
          <w:tblInd w:w="108" w:type="dxa"/>
          <w:tblLook w:val="04A0"/>
        </w:tblPrEx>
        <w:tc>
          <w:tcPr>
            <w:tcW w:w="6663" w:type="dxa"/>
          </w:tcPr>
          <w:p w:rsidR="005A7F90">
            <w:pPr>
              <w:jc w:val="left"/>
            </w:pPr>
            <w:r>
              <w:t>易方达基金管理有限公司高级管理人员变更公告</w:t>
            </w:r>
          </w:p>
        </w:tc>
        <w:tc>
          <w:tcPr>
            <w:tcW w:w="1724" w:type="dxa"/>
          </w:tcPr>
          <w:p w:rsidR="005A7F90">
            <w:pPr>
              <w:jc w:val="center"/>
            </w:pPr>
            <w:r>
              <w:t>2021-07-24</w:t>
            </w:r>
          </w:p>
        </w:tc>
      </w:tr>
      <w:tr>
        <w:tblPrEx>
          <w:tblW w:w="8387" w:type="dxa"/>
          <w:tblInd w:w="108" w:type="dxa"/>
          <w:tblLook w:val="04A0"/>
        </w:tblPrEx>
        <w:tc>
          <w:tcPr>
            <w:tcW w:w="6663" w:type="dxa"/>
          </w:tcPr>
          <w:p w:rsidR="005A7F90">
            <w:pPr>
              <w:jc w:val="left"/>
            </w:pPr>
            <w:r>
              <w:t>易方达基金管理有限公司关于南京分公司营业场所变更的公告</w:t>
            </w:r>
          </w:p>
        </w:tc>
        <w:tc>
          <w:tcPr>
            <w:tcW w:w="1724" w:type="dxa"/>
          </w:tcPr>
          <w:p w:rsidR="005A7F90">
            <w:pPr>
              <w:jc w:val="center"/>
            </w:pPr>
            <w:r>
              <w:t>2021-07-28</w:t>
            </w:r>
          </w:p>
        </w:tc>
      </w:tr>
      <w:tr>
        <w:tblPrEx>
          <w:tblW w:w="8387" w:type="dxa"/>
          <w:tblInd w:w="108" w:type="dxa"/>
          <w:tblLook w:val="04A0"/>
        </w:tblPrEx>
        <w:tc>
          <w:tcPr>
            <w:tcW w:w="6663" w:type="dxa"/>
          </w:tcPr>
          <w:p w:rsidR="005A7F90">
            <w:pPr>
              <w:jc w:val="left"/>
            </w:pPr>
            <w:r>
              <w:t>易方达基金管理有限公司高级管理人员变更公告</w:t>
            </w:r>
          </w:p>
        </w:tc>
        <w:tc>
          <w:tcPr>
            <w:tcW w:w="1724" w:type="dxa"/>
          </w:tcPr>
          <w:p w:rsidR="005A7F90">
            <w:pPr>
              <w:jc w:val="center"/>
            </w:pPr>
            <w:r>
              <w:t>2021-07-30</w:t>
            </w:r>
          </w:p>
        </w:tc>
      </w:tr>
      <w:tr>
        <w:tblPrEx>
          <w:tblW w:w="8387" w:type="dxa"/>
          <w:tblInd w:w="108" w:type="dxa"/>
          <w:tblLook w:val="04A0"/>
        </w:tblPrEx>
        <w:tc>
          <w:tcPr>
            <w:tcW w:w="6663" w:type="dxa"/>
          </w:tcPr>
          <w:p w:rsidR="005A7F90">
            <w:pPr>
              <w:jc w:val="left"/>
            </w:pPr>
            <w:r>
              <w:t>易方达基金管理有限公司关于旗下部分基金获配新强联（</w:t>
            </w:r>
            <w:r>
              <w:t>300850</w:t>
            </w:r>
            <w:r>
              <w:t>）非公开发行</w:t>
            </w:r>
            <w:r>
              <w:t>A</w:t>
            </w:r>
            <w:r>
              <w:t>股的公告</w:t>
            </w:r>
          </w:p>
        </w:tc>
        <w:tc>
          <w:tcPr>
            <w:tcW w:w="1724" w:type="dxa"/>
          </w:tcPr>
          <w:p w:rsidR="005A7F90">
            <w:pPr>
              <w:jc w:val="center"/>
            </w:pPr>
            <w:r>
              <w:t>2021-08-14</w:t>
            </w:r>
          </w:p>
        </w:tc>
      </w:tr>
      <w:tr>
        <w:tblPrEx>
          <w:tblW w:w="8387" w:type="dxa"/>
          <w:tblInd w:w="108" w:type="dxa"/>
          <w:tblLook w:val="04A0"/>
        </w:tblPrEx>
        <w:tc>
          <w:tcPr>
            <w:tcW w:w="6663" w:type="dxa"/>
          </w:tcPr>
          <w:p w:rsidR="005A7F90">
            <w:pPr>
              <w:jc w:val="left"/>
            </w:pPr>
            <w:r>
              <w:t>易方达基金管理有限公司旗下基金</w:t>
            </w:r>
            <w:r>
              <w:t>2021</w:t>
            </w:r>
            <w:r>
              <w:t>年中期报告提示性公告</w:t>
            </w:r>
          </w:p>
        </w:tc>
        <w:tc>
          <w:tcPr>
            <w:tcW w:w="1724" w:type="dxa"/>
          </w:tcPr>
          <w:p w:rsidR="005A7F90">
            <w:pPr>
              <w:jc w:val="center"/>
            </w:pPr>
            <w:r>
              <w:t>2021-08-28</w:t>
            </w:r>
          </w:p>
        </w:tc>
      </w:tr>
      <w:tr>
        <w:tblPrEx>
          <w:tblW w:w="8387" w:type="dxa"/>
          <w:tblInd w:w="108" w:type="dxa"/>
          <w:tblLook w:val="04A0"/>
        </w:tblPrEx>
        <w:tc>
          <w:tcPr>
            <w:tcW w:w="6663" w:type="dxa"/>
          </w:tcPr>
          <w:p w:rsidR="005A7F90">
            <w:pPr>
              <w:jc w:val="left"/>
            </w:pPr>
            <w:r>
              <w:t>易方达基金管理有限公司关于旗下部分公开募集证券投资基金可投资于北京证券交易所股票的公告</w:t>
            </w:r>
          </w:p>
        </w:tc>
        <w:tc>
          <w:tcPr>
            <w:tcW w:w="1724" w:type="dxa"/>
          </w:tcPr>
          <w:p w:rsidR="005A7F90">
            <w:pPr>
              <w:jc w:val="center"/>
            </w:pPr>
            <w:r>
              <w:t>2021-11-15</w:t>
            </w:r>
          </w:p>
        </w:tc>
      </w:tr>
    </w:tbl>
    <w:p w:rsidR="003A3487" w:rsidRPr="008564FF" w:rsidP="004549E4">
      <w:pPr>
        <w:autoSpaceDE w:val="0"/>
        <w:autoSpaceDN w:val="0"/>
        <w:adjustRightInd w:val="0"/>
        <w:snapToGrid w:val="0"/>
        <w:spacing w:line="360" w:lineRule="auto"/>
        <w:ind w:firstLine="420" w:firstLineChars="200"/>
        <w:jc w:val="left"/>
        <w:rPr>
          <w:rFonts w:asciiTheme="minorEastAsia" w:eastAsiaTheme="minorEastAsia" w:hAnsiTheme="minorEastAsia"/>
          <w:kern w:val="0"/>
          <w:szCs w:val="21"/>
        </w:rPr>
        <w:sectPr w:rsidSect="008564FF">
          <w:type w:val="continuous"/>
          <w:pgSz w:w="11907" w:h="16840"/>
          <w:pgMar w:top="1440" w:right="1800" w:bottom="1440" w:left="1800" w:header="1134" w:footer="1247" w:gutter="0"/>
          <w:cols w:space="720"/>
          <w:docGrid w:type="lines" w:linePitch="312"/>
        </w:sectPr>
      </w:pPr>
      <w:r w:rsidRPr="008564FF">
        <w:rPr>
          <w:rFonts w:asciiTheme="minorEastAsia" w:eastAsiaTheme="minorEastAsia" w:hAnsiTheme="minorEastAsia" w:hint="eastAsia"/>
          <w:szCs w:val="21"/>
        </w:rPr>
        <w:t>注：以上公告事项披露在</w:t>
      </w:r>
      <w:r w:rsidRPr="008564FF" w:rsidR="008564FF">
        <w:rPr>
          <w:rFonts w:asciiTheme="minorEastAsia" w:eastAsiaTheme="minorEastAsia" w:hAnsiTheme="minorEastAsia" w:hint="eastAsia"/>
          <w:szCs w:val="21"/>
        </w:rPr>
        <w:t>规</w:t>
      </w:r>
      <w:r w:rsidRPr="008564FF">
        <w:rPr>
          <w:rFonts w:asciiTheme="minorEastAsia" w:eastAsiaTheme="minorEastAsia" w:hAnsiTheme="minorEastAsia" w:hint="eastAsia"/>
          <w:szCs w:val="21"/>
        </w:rPr>
        <w:t>定媒介及基金管理人网站上。</w:t>
      </w:r>
    </w:p>
    <w:p w:rsidR="003A3487" w:rsidRPr="008564FF" w:rsidP="009C2B2A">
      <w:pPr>
        <w:pStyle w:val="Heading1"/>
        <w:snapToGrid w:val="0"/>
        <w:spacing w:beforeLines="0" w:afterLines="0" w:line="360" w:lineRule="auto"/>
        <w:ind w:firstLine="643"/>
        <w:rPr>
          <w:rFonts w:asciiTheme="minorEastAsia" w:eastAsiaTheme="minorEastAsia" w:hAnsiTheme="minorEastAsia"/>
          <w:bCs/>
        </w:rPr>
      </w:pPr>
      <w:bookmarkStart w:id="2322" w:name="_Toc38438350"/>
      <w:bookmarkStart w:id="2323" w:name="_Toc38438687"/>
      <w:bookmarkStart w:id="2324" w:name="_Toc38439024"/>
      <w:bookmarkStart w:id="2325" w:name="_Toc38439361"/>
      <w:bookmarkStart w:id="2326" w:name="_Toc38439698"/>
      <w:bookmarkStart w:id="2327" w:name="_Toc38440035"/>
      <w:bookmarkStart w:id="2328" w:name="_Toc38440372"/>
      <w:bookmarkStart w:id="2329" w:name="_Toc38440904"/>
      <w:bookmarkStart w:id="2330" w:name="_Toc38441236"/>
      <w:bookmarkStart w:id="2331" w:name="_Toc38441568"/>
      <w:bookmarkStart w:id="2332" w:name="_Toc38441896"/>
      <w:bookmarkStart w:id="2333" w:name="_Toc38442228"/>
      <w:bookmarkStart w:id="2334" w:name="_Toc38442560"/>
      <w:bookmarkStart w:id="2335" w:name="_Toc38442891"/>
      <w:bookmarkStart w:id="2336" w:name="_Toc38443222"/>
      <w:bookmarkStart w:id="2337" w:name="_Toc38443553"/>
      <w:bookmarkStart w:id="2338" w:name="_Toc38443883"/>
      <w:bookmarkStart w:id="2339" w:name="_Toc38438351"/>
      <w:bookmarkStart w:id="2340" w:name="_Toc38438688"/>
      <w:bookmarkStart w:id="2341" w:name="_Toc38439025"/>
      <w:bookmarkStart w:id="2342" w:name="_Toc38439362"/>
      <w:bookmarkStart w:id="2343" w:name="_Toc38439699"/>
      <w:bookmarkStart w:id="2344" w:name="_Toc38440036"/>
      <w:bookmarkStart w:id="2345" w:name="_Toc38440373"/>
      <w:bookmarkStart w:id="2346" w:name="_Toc38440905"/>
      <w:bookmarkStart w:id="2347" w:name="_Toc38441237"/>
      <w:bookmarkStart w:id="2348" w:name="_Toc38441569"/>
      <w:bookmarkStart w:id="2349" w:name="_Toc38441897"/>
      <w:bookmarkStart w:id="2350" w:name="_Toc38442229"/>
      <w:bookmarkStart w:id="2351" w:name="_Toc38442561"/>
      <w:bookmarkStart w:id="2352" w:name="_Toc38442892"/>
      <w:bookmarkStart w:id="2353" w:name="_Toc38443223"/>
      <w:bookmarkStart w:id="2354" w:name="_Toc38443554"/>
      <w:bookmarkStart w:id="2355" w:name="_Toc38443884"/>
      <w:bookmarkStart w:id="2356" w:name="_Toc38438352"/>
      <w:bookmarkStart w:id="2357" w:name="_Toc38438689"/>
      <w:bookmarkStart w:id="2358" w:name="_Toc38439026"/>
      <w:bookmarkStart w:id="2359" w:name="_Toc38439363"/>
      <w:bookmarkStart w:id="2360" w:name="_Toc38439700"/>
      <w:bookmarkStart w:id="2361" w:name="_Toc38440037"/>
      <w:bookmarkStart w:id="2362" w:name="_Toc38440374"/>
      <w:bookmarkStart w:id="2363" w:name="_Toc38440906"/>
      <w:bookmarkStart w:id="2364" w:name="_Toc38441238"/>
      <w:bookmarkStart w:id="2365" w:name="_Toc38441570"/>
      <w:bookmarkStart w:id="2366" w:name="_Toc38441898"/>
      <w:bookmarkStart w:id="2367" w:name="_Toc38442230"/>
      <w:bookmarkStart w:id="2368" w:name="_Toc38442562"/>
      <w:bookmarkStart w:id="2369" w:name="_Toc38442893"/>
      <w:bookmarkStart w:id="2370" w:name="_Toc38443224"/>
      <w:bookmarkStart w:id="2371" w:name="_Toc38443555"/>
      <w:bookmarkStart w:id="2372" w:name="_Toc38443885"/>
      <w:bookmarkStart w:id="2373" w:name="_Toc38438353"/>
      <w:bookmarkStart w:id="2374" w:name="_Toc38438690"/>
      <w:bookmarkStart w:id="2375" w:name="_Toc38439027"/>
      <w:bookmarkStart w:id="2376" w:name="_Toc38439364"/>
      <w:bookmarkStart w:id="2377" w:name="_Toc38439701"/>
      <w:bookmarkStart w:id="2378" w:name="_Toc38440038"/>
      <w:bookmarkStart w:id="2379" w:name="_Toc38440375"/>
      <w:bookmarkStart w:id="2380" w:name="_Toc38440907"/>
      <w:bookmarkStart w:id="2381" w:name="_Toc38441239"/>
      <w:bookmarkStart w:id="2382" w:name="_Toc38441571"/>
      <w:bookmarkStart w:id="2383" w:name="_Toc38441899"/>
      <w:bookmarkStart w:id="2384" w:name="_Toc38442231"/>
      <w:bookmarkStart w:id="2385" w:name="_Toc38442563"/>
      <w:bookmarkStart w:id="2386" w:name="_Toc38442894"/>
      <w:bookmarkStart w:id="2387" w:name="_Toc38443225"/>
      <w:bookmarkStart w:id="2388" w:name="_Toc38443556"/>
      <w:bookmarkStart w:id="2389" w:name="_Toc38443886"/>
      <w:bookmarkStart w:id="2390" w:name="_Toc38438354"/>
      <w:bookmarkStart w:id="2391" w:name="_Toc38438691"/>
      <w:bookmarkStart w:id="2392" w:name="_Toc38439028"/>
      <w:bookmarkStart w:id="2393" w:name="_Toc38439365"/>
      <w:bookmarkStart w:id="2394" w:name="_Toc38439702"/>
      <w:bookmarkStart w:id="2395" w:name="_Toc38440039"/>
      <w:bookmarkStart w:id="2396" w:name="_Toc38440376"/>
      <w:bookmarkStart w:id="2397" w:name="_Toc38440908"/>
      <w:bookmarkStart w:id="2398" w:name="_Toc38441240"/>
      <w:bookmarkStart w:id="2399" w:name="_Toc38441572"/>
      <w:bookmarkStart w:id="2400" w:name="_Toc38441900"/>
      <w:bookmarkStart w:id="2401" w:name="_Toc38442232"/>
      <w:bookmarkStart w:id="2402" w:name="_Toc38442564"/>
      <w:bookmarkStart w:id="2403" w:name="_Toc38442895"/>
      <w:bookmarkStart w:id="2404" w:name="_Toc38443226"/>
      <w:bookmarkStart w:id="2405" w:name="_Toc38443557"/>
      <w:bookmarkStart w:id="2406" w:name="_Toc38443887"/>
      <w:bookmarkStart w:id="2407" w:name="_Toc38438355"/>
      <w:bookmarkStart w:id="2408" w:name="_Toc38438692"/>
      <w:bookmarkStart w:id="2409" w:name="_Toc38439029"/>
      <w:bookmarkStart w:id="2410" w:name="_Toc38439366"/>
      <w:bookmarkStart w:id="2411" w:name="_Toc38439703"/>
      <w:bookmarkStart w:id="2412" w:name="_Toc38440040"/>
      <w:bookmarkStart w:id="2413" w:name="_Toc38440377"/>
      <w:bookmarkStart w:id="2414" w:name="_Toc38440909"/>
      <w:bookmarkStart w:id="2415" w:name="_Toc38441241"/>
      <w:bookmarkStart w:id="2416" w:name="_Toc38441573"/>
      <w:bookmarkStart w:id="2417" w:name="_Toc38441901"/>
      <w:bookmarkStart w:id="2418" w:name="_Toc38442233"/>
      <w:bookmarkStart w:id="2419" w:name="_Toc38442565"/>
      <w:bookmarkStart w:id="2420" w:name="_Toc38442896"/>
      <w:bookmarkStart w:id="2421" w:name="_Toc38443227"/>
      <w:bookmarkStart w:id="2422" w:name="_Toc38443558"/>
      <w:bookmarkStart w:id="2423" w:name="_Toc38443888"/>
      <w:bookmarkStart w:id="2424" w:name="_Toc38438356"/>
      <w:bookmarkStart w:id="2425" w:name="_Toc38438693"/>
      <w:bookmarkStart w:id="2426" w:name="_Toc38439030"/>
      <w:bookmarkStart w:id="2427" w:name="_Toc38439367"/>
      <w:bookmarkStart w:id="2428" w:name="_Toc38439704"/>
      <w:bookmarkStart w:id="2429" w:name="_Toc38440041"/>
      <w:bookmarkStart w:id="2430" w:name="_Toc38440378"/>
      <w:bookmarkStart w:id="2431" w:name="_Toc38440910"/>
      <w:bookmarkStart w:id="2432" w:name="_Toc38441242"/>
      <w:bookmarkStart w:id="2433" w:name="_Toc38441574"/>
      <w:bookmarkStart w:id="2434" w:name="_Toc38441902"/>
      <w:bookmarkStart w:id="2435" w:name="_Toc38442234"/>
      <w:bookmarkStart w:id="2436" w:name="_Toc38442566"/>
      <w:bookmarkStart w:id="2437" w:name="_Toc38442897"/>
      <w:bookmarkStart w:id="2438" w:name="_Toc38443228"/>
      <w:bookmarkStart w:id="2439" w:name="_Toc38443559"/>
      <w:bookmarkStart w:id="2440" w:name="_Toc38443889"/>
      <w:bookmarkStart w:id="2441" w:name="_Toc38438357"/>
      <w:bookmarkStart w:id="2442" w:name="_Toc38438694"/>
      <w:bookmarkStart w:id="2443" w:name="_Toc38439031"/>
      <w:bookmarkStart w:id="2444" w:name="_Toc38439368"/>
      <w:bookmarkStart w:id="2445" w:name="_Toc38439705"/>
      <w:bookmarkStart w:id="2446" w:name="_Toc38440042"/>
      <w:bookmarkStart w:id="2447" w:name="_Toc38440379"/>
      <w:bookmarkStart w:id="2448" w:name="_Toc38440911"/>
      <w:bookmarkStart w:id="2449" w:name="_Toc38441243"/>
      <w:bookmarkStart w:id="2450" w:name="_Toc38441575"/>
      <w:bookmarkStart w:id="2451" w:name="_Toc38441903"/>
      <w:bookmarkStart w:id="2452" w:name="_Toc38442235"/>
      <w:bookmarkStart w:id="2453" w:name="_Toc38442567"/>
      <w:bookmarkStart w:id="2454" w:name="_Toc38442898"/>
      <w:bookmarkStart w:id="2455" w:name="_Toc38443229"/>
      <w:bookmarkStart w:id="2456" w:name="_Toc38443560"/>
      <w:bookmarkStart w:id="2457" w:name="_Toc38443890"/>
      <w:bookmarkStart w:id="2458" w:name="_Toc38438358"/>
      <w:bookmarkStart w:id="2459" w:name="_Toc38438695"/>
      <w:bookmarkStart w:id="2460" w:name="_Toc38439032"/>
      <w:bookmarkStart w:id="2461" w:name="_Toc38439369"/>
      <w:bookmarkStart w:id="2462" w:name="_Toc38439706"/>
      <w:bookmarkStart w:id="2463" w:name="_Toc38440043"/>
      <w:bookmarkStart w:id="2464" w:name="_Toc38440380"/>
      <w:bookmarkStart w:id="2465" w:name="_Toc38440912"/>
      <w:bookmarkStart w:id="2466" w:name="_Toc38441244"/>
      <w:bookmarkStart w:id="2467" w:name="_Toc38441576"/>
      <w:bookmarkStart w:id="2468" w:name="_Toc38441904"/>
      <w:bookmarkStart w:id="2469" w:name="_Toc38442236"/>
      <w:bookmarkStart w:id="2470" w:name="_Toc38442568"/>
      <w:bookmarkStart w:id="2471" w:name="_Toc38442899"/>
      <w:bookmarkStart w:id="2472" w:name="_Toc38443230"/>
      <w:bookmarkStart w:id="2473" w:name="_Toc38443561"/>
      <w:bookmarkStart w:id="2474" w:name="_Toc38443891"/>
      <w:bookmarkStart w:id="2475" w:name="_Toc38438359"/>
      <w:bookmarkStart w:id="2476" w:name="_Toc38438696"/>
      <w:bookmarkStart w:id="2477" w:name="_Toc38439033"/>
      <w:bookmarkStart w:id="2478" w:name="_Toc38439370"/>
      <w:bookmarkStart w:id="2479" w:name="_Toc38439707"/>
      <w:bookmarkStart w:id="2480" w:name="_Toc38440044"/>
      <w:bookmarkStart w:id="2481" w:name="_Toc38440381"/>
      <w:bookmarkStart w:id="2482" w:name="_Toc38440913"/>
      <w:bookmarkStart w:id="2483" w:name="_Toc38441245"/>
      <w:bookmarkStart w:id="2484" w:name="_Toc38441577"/>
      <w:bookmarkStart w:id="2485" w:name="_Toc38441905"/>
      <w:bookmarkStart w:id="2486" w:name="_Toc38442237"/>
      <w:bookmarkStart w:id="2487" w:name="_Toc38442569"/>
      <w:bookmarkStart w:id="2488" w:name="_Toc38442900"/>
      <w:bookmarkStart w:id="2489" w:name="_Toc38443231"/>
      <w:bookmarkStart w:id="2490" w:name="_Toc38443562"/>
      <w:bookmarkStart w:id="2491" w:name="_Toc38443892"/>
      <w:bookmarkStart w:id="2492" w:name="_Toc38438360"/>
      <w:bookmarkStart w:id="2493" w:name="_Toc38438697"/>
      <w:bookmarkStart w:id="2494" w:name="_Toc38439034"/>
      <w:bookmarkStart w:id="2495" w:name="_Toc38439371"/>
      <w:bookmarkStart w:id="2496" w:name="_Toc38439708"/>
      <w:bookmarkStart w:id="2497" w:name="_Toc38440045"/>
      <w:bookmarkStart w:id="2498" w:name="_Toc38440382"/>
      <w:bookmarkStart w:id="2499" w:name="_Toc38440914"/>
      <w:bookmarkStart w:id="2500" w:name="_Toc38441246"/>
      <w:bookmarkStart w:id="2501" w:name="_Toc38441578"/>
      <w:bookmarkStart w:id="2502" w:name="_Toc38441906"/>
      <w:bookmarkStart w:id="2503" w:name="_Toc38442238"/>
      <w:bookmarkStart w:id="2504" w:name="_Toc38442570"/>
      <w:bookmarkStart w:id="2505" w:name="_Toc38442901"/>
      <w:bookmarkStart w:id="2506" w:name="_Toc38443232"/>
      <w:bookmarkStart w:id="2507" w:name="_Toc38443563"/>
      <w:bookmarkStart w:id="2508" w:name="_Toc38443893"/>
      <w:bookmarkStart w:id="2509" w:name="_Toc38438361"/>
      <w:bookmarkStart w:id="2510" w:name="_Toc38438698"/>
      <w:bookmarkStart w:id="2511" w:name="_Toc38439035"/>
      <w:bookmarkStart w:id="2512" w:name="_Toc38439372"/>
      <w:bookmarkStart w:id="2513" w:name="_Toc38439709"/>
      <w:bookmarkStart w:id="2514" w:name="_Toc38440046"/>
      <w:bookmarkStart w:id="2515" w:name="_Toc38440383"/>
      <w:bookmarkStart w:id="2516" w:name="_Toc38440915"/>
      <w:bookmarkStart w:id="2517" w:name="_Toc38441247"/>
      <w:bookmarkStart w:id="2518" w:name="_Toc38441579"/>
      <w:bookmarkStart w:id="2519" w:name="_Toc38441907"/>
      <w:bookmarkStart w:id="2520" w:name="_Toc38442239"/>
      <w:bookmarkStart w:id="2521" w:name="_Toc38442571"/>
      <w:bookmarkStart w:id="2522" w:name="_Toc38442902"/>
      <w:bookmarkStart w:id="2523" w:name="_Toc38443233"/>
      <w:bookmarkStart w:id="2524" w:name="_Toc38443564"/>
      <w:bookmarkStart w:id="2525" w:name="_Toc38443894"/>
      <w:bookmarkStart w:id="2526" w:name="_Toc38438362"/>
      <w:bookmarkStart w:id="2527" w:name="_Toc38438699"/>
      <w:bookmarkStart w:id="2528" w:name="_Toc38439036"/>
      <w:bookmarkStart w:id="2529" w:name="_Toc38439373"/>
      <w:bookmarkStart w:id="2530" w:name="_Toc38439710"/>
      <w:bookmarkStart w:id="2531" w:name="_Toc38440047"/>
      <w:bookmarkStart w:id="2532" w:name="_Toc38440384"/>
      <w:bookmarkStart w:id="2533" w:name="_Toc38440916"/>
      <w:bookmarkStart w:id="2534" w:name="_Toc38441248"/>
      <w:bookmarkStart w:id="2535" w:name="_Toc38441580"/>
      <w:bookmarkStart w:id="2536" w:name="_Toc38441908"/>
      <w:bookmarkStart w:id="2537" w:name="_Toc38442240"/>
      <w:bookmarkStart w:id="2538" w:name="_Toc38442572"/>
      <w:bookmarkStart w:id="2539" w:name="_Toc38442903"/>
      <w:bookmarkStart w:id="2540" w:name="_Toc38443234"/>
      <w:bookmarkStart w:id="2541" w:name="_Toc38443565"/>
      <w:bookmarkStart w:id="2542" w:name="_Toc38443895"/>
      <w:bookmarkStart w:id="2543" w:name="_Toc38438363"/>
      <w:bookmarkStart w:id="2544" w:name="_Toc38438700"/>
      <w:bookmarkStart w:id="2545" w:name="_Toc38439037"/>
      <w:bookmarkStart w:id="2546" w:name="_Toc38439374"/>
      <w:bookmarkStart w:id="2547" w:name="_Toc38439711"/>
      <w:bookmarkStart w:id="2548" w:name="_Toc38440048"/>
      <w:bookmarkStart w:id="2549" w:name="_Toc38440385"/>
      <w:bookmarkStart w:id="2550" w:name="_Toc38440917"/>
      <w:bookmarkStart w:id="2551" w:name="_Toc38441249"/>
      <w:bookmarkStart w:id="2552" w:name="_Toc38441581"/>
      <w:bookmarkStart w:id="2553" w:name="_Toc38441909"/>
      <w:bookmarkStart w:id="2554" w:name="_Toc38442241"/>
      <w:bookmarkStart w:id="2555" w:name="_Toc38442573"/>
      <w:bookmarkStart w:id="2556" w:name="_Toc38442904"/>
      <w:bookmarkStart w:id="2557" w:name="_Toc38443235"/>
      <w:bookmarkStart w:id="2558" w:name="_Toc38443566"/>
      <w:bookmarkStart w:id="2559" w:name="_Toc38443896"/>
      <w:bookmarkStart w:id="2560" w:name="_Toc38438364"/>
      <w:bookmarkStart w:id="2561" w:name="_Toc38438701"/>
      <w:bookmarkStart w:id="2562" w:name="_Toc38439038"/>
      <w:bookmarkStart w:id="2563" w:name="_Toc38439375"/>
      <w:bookmarkStart w:id="2564" w:name="_Toc38439712"/>
      <w:bookmarkStart w:id="2565" w:name="_Toc38440049"/>
      <w:bookmarkStart w:id="2566" w:name="_Toc38440386"/>
      <w:bookmarkStart w:id="2567" w:name="_Toc38440918"/>
      <w:bookmarkStart w:id="2568" w:name="_Toc38441250"/>
      <w:bookmarkStart w:id="2569" w:name="_Toc38441582"/>
      <w:bookmarkStart w:id="2570" w:name="_Toc38441910"/>
      <w:bookmarkStart w:id="2571" w:name="_Toc38442242"/>
      <w:bookmarkStart w:id="2572" w:name="_Toc38442574"/>
      <w:bookmarkStart w:id="2573" w:name="_Toc38442905"/>
      <w:bookmarkStart w:id="2574" w:name="_Toc38443236"/>
      <w:bookmarkStart w:id="2575" w:name="_Toc38443567"/>
      <w:bookmarkStart w:id="2576" w:name="_Toc38443897"/>
      <w:bookmarkStart w:id="2577" w:name="_Toc38438365"/>
      <w:bookmarkStart w:id="2578" w:name="_Toc38438702"/>
      <w:bookmarkStart w:id="2579" w:name="_Toc38439039"/>
      <w:bookmarkStart w:id="2580" w:name="_Toc38439376"/>
      <w:bookmarkStart w:id="2581" w:name="_Toc38439713"/>
      <w:bookmarkStart w:id="2582" w:name="_Toc38440050"/>
      <w:bookmarkStart w:id="2583" w:name="_Toc38440387"/>
      <w:bookmarkStart w:id="2584" w:name="_Toc38440919"/>
      <w:bookmarkStart w:id="2585" w:name="_Toc38441251"/>
      <w:bookmarkStart w:id="2586" w:name="_Toc38441583"/>
      <w:bookmarkStart w:id="2587" w:name="_Toc38441911"/>
      <w:bookmarkStart w:id="2588" w:name="_Toc38442243"/>
      <w:bookmarkStart w:id="2589" w:name="_Toc38442575"/>
      <w:bookmarkStart w:id="2590" w:name="_Toc38442906"/>
      <w:bookmarkStart w:id="2591" w:name="_Toc38443237"/>
      <w:bookmarkStart w:id="2592" w:name="_Toc38443568"/>
      <w:bookmarkStart w:id="2593" w:name="_Toc38443898"/>
      <w:bookmarkStart w:id="2594" w:name="_Toc38438366"/>
      <w:bookmarkStart w:id="2595" w:name="_Toc38438703"/>
      <w:bookmarkStart w:id="2596" w:name="_Toc38439040"/>
      <w:bookmarkStart w:id="2597" w:name="_Toc38439377"/>
      <w:bookmarkStart w:id="2598" w:name="_Toc38439714"/>
      <w:bookmarkStart w:id="2599" w:name="_Toc38440051"/>
      <w:bookmarkStart w:id="2600" w:name="_Toc38440388"/>
      <w:bookmarkStart w:id="2601" w:name="_Toc38440920"/>
      <w:bookmarkStart w:id="2602" w:name="_Toc38441252"/>
      <w:bookmarkStart w:id="2603" w:name="_Toc38441584"/>
      <w:bookmarkStart w:id="2604" w:name="_Toc38441912"/>
      <w:bookmarkStart w:id="2605" w:name="_Toc38442244"/>
      <w:bookmarkStart w:id="2606" w:name="_Toc38442576"/>
      <w:bookmarkStart w:id="2607" w:name="_Toc38442907"/>
      <w:bookmarkStart w:id="2608" w:name="_Toc38443238"/>
      <w:bookmarkStart w:id="2609" w:name="_Toc38443569"/>
      <w:bookmarkStart w:id="2610" w:name="_Toc38443899"/>
      <w:bookmarkStart w:id="2611" w:name="_Toc38438367"/>
      <w:bookmarkStart w:id="2612" w:name="_Toc38438704"/>
      <w:bookmarkStart w:id="2613" w:name="_Toc38439041"/>
      <w:bookmarkStart w:id="2614" w:name="_Toc38439378"/>
      <w:bookmarkStart w:id="2615" w:name="_Toc38439715"/>
      <w:bookmarkStart w:id="2616" w:name="_Toc38440052"/>
      <w:bookmarkStart w:id="2617" w:name="_Toc38440389"/>
      <w:bookmarkStart w:id="2618" w:name="_Toc38440921"/>
      <w:bookmarkStart w:id="2619" w:name="_Toc38441253"/>
      <w:bookmarkStart w:id="2620" w:name="_Toc38441585"/>
      <w:bookmarkStart w:id="2621" w:name="_Toc38441913"/>
      <w:bookmarkStart w:id="2622" w:name="_Toc38442245"/>
      <w:bookmarkStart w:id="2623" w:name="_Toc38442577"/>
      <w:bookmarkStart w:id="2624" w:name="_Toc38442908"/>
      <w:bookmarkStart w:id="2625" w:name="_Toc38443239"/>
      <w:bookmarkStart w:id="2626" w:name="_Toc38443570"/>
      <w:bookmarkStart w:id="2627" w:name="_Toc38443900"/>
      <w:bookmarkStart w:id="2628" w:name="_Toc38438368"/>
      <w:bookmarkStart w:id="2629" w:name="_Toc38438705"/>
      <w:bookmarkStart w:id="2630" w:name="_Toc38439042"/>
      <w:bookmarkStart w:id="2631" w:name="_Toc38439379"/>
      <w:bookmarkStart w:id="2632" w:name="_Toc38439716"/>
      <w:bookmarkStart w:id="2633" w:name="_Toc38440053"/>
      <w:bookmarkStart w:id="2634" w:name="_Toc38440390"/>
      <w:bookmarkStart w:id="2635" w:name="_Toc38440922"/>
      <w:bookmarkStart w:id="2636" w:name="_Toc38441254"/>
      <w:bookmarkStart w:id="2637" w:name="_Toc38441586"/>
      <w:bookmarkStart w:id="2638" w:name="_Toc38441914"/>
      <w:bookmarkStart w:id="2639" w:name="_Toc38442246"/>
      <w:bookmarkStart w:id="2640" w:name="_Toc38442578"/>
      <w:bookmarkStart w:id="2641" w:name="_Toc38442909"/>
      <w:bookmarkStart w:id="2642" w:name="_Toc38443240"/>
      <w:bookmarkStart w:id="2643" w:name="_Toc38443571"/>
      <w:bookmarkStart w:id="2644" w:name="_Toc38443901"/>
      <w:bookmarkStart w:id="2645" w:name="_Toc38438369"/>
      <w:bookmarkStart w:id="2646" w:name="_Toc38438706"/>
      <w:bookmarkStart w:id="2647" w:name="_Toc38439043"/>
      <w:bookmarkStart w:id="2648" w:name="_Toc38439380"/>
      <w:bookmarkStart w:id="2649" w:name="_Toc38439717"/>
      <w:bookmarkStart w:id="2650" w:name="_Toc38440054"/>
      <w:bookmarkStart w:id="2651" w:name="_Toc38440391"/>
      <w:bookmarkStart w:id="2652" w:name="_Toc38440923"/>
      <w:bookmarkStart w:id="2653" w:name="_Toc38441255"/>
      <w:bookmarkStart w:id="2654" w:name="_Toc38441587"/>
      <w:bookmarkStart w:id="2655" w:name="_Toc38441915"/>
      <w:bookmarkStart w:id="2656" w:name="_Toc38442247"/>
      <w:bookmarkStart w:id="2657" w:name="_Toc38442579"/>
      <w:bookmarkStart w:id="2658" w:name="_Toc38442910"/>
      <w:bookmarkStart w:id="2659" w:name="_Toc38443241"/>
      <w:bookmarkStart w:id="2660" w:name="_Toc38443572"/>
      <w:bookmarkStart w:id="2661" w:name="_Toc38443902"/>
      <w:bookmarkStart w:id="2662" w:name="_Toc38438371"/>
      <w:bookmarkStart w:id="2663" w:name="_Toc38438708"/>
      <w:bookmarkStart w:id="2664" w:name="_Toc38439045"/>
      <w:bookmarkStart w:id="2665" w:name="_Toc38439382"/>
      <w:bookmarkStart w:id="2666" w:name="_Toc38439719"/>
      <w:bookmarkStart w:id="2667" w:name="_Toc38440056"/>
      <w:bookmarkStart w:id="2668" w:name="_Toc38440393"/>
      <w:bookmarkStart w:id="2669" w:name="_Toc38440925"/>
      <w:bookmarkStart w:id="2670" w:name="_Toc38441257"/>
      <w:bookmarkStart w:id="2671" w:name="_Toc38441589"/>
      <w:bookmarkStart w:id="2672" w:name="_Toc38441917"/>
      <w:bookmarkStart w:id="2673" w:name="_Toc38442249"/>
      <w:bookmarkStart w:id="2674" w:name="_Toc38442581"/>
      <w:bookmarkStart w:id="2675" w:name="_Toc38442912"/>
      <w:bookmarkStart w:id="2676" w:name="_Toc38443243"/>
      <w:bookmarkStart w:id="2677" w:name="_Toc38443574"/>
      <w:bookmarkStart w:id="2678" w:name="_Toc38443904"/>
      <w:bookmarkStart w:id="2679" w:name="_Toc38438372"/>
      <w:bookmarkStart w:id="2680" w:name="_Toc38438709"/>
      <w:bookmarkStart w:id="2681" w:name="_Toc38439046"/>
      <w:bookmarkStart w:id="2682" w:name="_Toc38439383"/>
      <w:bookmarkStart w:id="2683" w:name="_Toc38439720"/>
      <w:bookmarkStart w:id="2684" w:name="_Toc38440057"/>
      <w:bookmarkStart w:id="2685" w:name="_Toc38440394"/>
      <w:bookmarkStart w:id="2686" w:name="_Toc38440926"/>
      <w:bookmarkStart w:id="2687" w:name="_Toc38441258"/>
      <w:bookmarkStart w:id="2688" w:name="_Toc38441590"/>
      <w:bookmarkStart w:id="2689" w:name="_Toc38441918"/>
      <w:bookmarkStart w:id="2690" w:name="_Toc38442250"/>
      <w:bookmarkStart w:id="2691" w:name="_Toc38442582"/>
      <w:bookmarkStart w:id="2692" w:name="_Toc38442913"/>
      <w:bookmarkStart w:id="2693" w:name="_Toc38443244"/>
      <w:bookmarkStart w:id="2694" w:name="_Toc38443575"/>
      <w:bookmarkStart w:id="2695" w:name="_Toc38443905"/>
      <w:bookmarkStart w:id="2696" w:name="_Toc38438373"/>
      <w:bookmarkStart w:id="2697" w:name="_Toc38438710"/>
      <w:bookmarkStart w:id="2698" w:name="_Toc38439047"/>
      <w:bookmarkStart w:id="2699" w:name="_Toc38439384"/>
      <w:bookmarkStart w:id="2700" w:name="_Toc38439721"/>
      <w:bookmarkStart w:id="2701" w:name="_Toc38440058"/>
      <w:bookmarkStart w:id="2702" w:name="_Toc38440395"/>
      <w:bookmarkStart w:id="2703" w:name="_Toc38440927"/>
      <w:bookmarkStart w:id="2704" w:name="_Toc38441259"/>
      <w:bookmarkStart w:id="2705" w:name="_Toc38441591"/>
      <w:bookmarkStart w:id="2706" w:name="_Toc38441919"/>
      <w:bookmarkStart w:id="2707" w:name="_Toc38442251"/>
      <w:bookmarkStart w:id="2708" w:name="_Toc38442583"/>
      <w:bookmarkStart w:id="2709" w:name="_Toc38442914"/>
      <w:bookmarkStart w:id="2710" w:name="_Toc38443245"/>
      <w:bookmarkStart w:id="2711" w:name="_Toc38443576"/>
      <w:bookmarkStart w:id="2712" w:name="_Toc38443906"/>
      <w:bookmarkStart w:id="2713" w:name="_Toc38438374"/>
      <w:bookmarkStart w:id="2714" w:name="_Toc38438711"/>
      <w:bookmarkStart w:id="2715" w:name="_Toc38439048"/>
      <w:bookmarkStart w:id="2716" w:name="_Toc38439385"/>
      <w:bookmarkStart w:id="2717" w:name="_Toc38439722"/>
      <w:bookmarkStart w:id="2718" w:name="_Toc38440059"/>
      <w:bookmarkStart w:id="2719" w:name="_Toc38440396"/>
      <w:bookmarkStart w:id="2720" w:name="_Toc38440928"/>
      <w:bookmarkStart w:id="2721" w:name="_Toc38441260"/>
      <w:bookmarkStart w:id="2722" w:name="_Toc38441592"/>
      <w:bookmarkStart w:id="2723" w:name="_Toc38441920"/>
      <w:bookmarkStart w:id="2724" w:name="_Toc38442252"/>
      <w:bookmarkStart w:id="2725" w:name="_Toc38442584"/>
      <w:bookmarkStart w:id="2726" w:name="_Toc38442915"/>
      <w:bookmarkStart w:id="2727" w:name="_Toc38443246"/>
      <w:bookmarkStart w:id="2728" w:name="_Toc38443577"/>
      <w:bookmarkStart w:id="2729" w:name="_Toc38443907"/>
      <w:bookmarkStart w:id="2730" w:name="_Toc38438375"/>
      <w:bookmarkStart w:id="2731" w:name="_Toc38438712"/>
      <w:bookmarkStart w:id="2732" w:name="_Toc38439049"/>
      <w:bookmarkStart w:id="2733" w:name="_Toc38439386"/>
      <w:bookmarkStart w:id="2734" w:name="_Toc38439723"/>
      <w:bookmarkStart w:id="2735" w:name="_Toc38440060"/>
      <w:bookmarkStart w:id="2736" w:name="_Toc38440397"/>
      <w:bookmarkStart w:id="2737" w:name="_Toc38440929"/>
      <w:bookmarkStart w:id="2738" w:name="_Toc38441261"/>
      <w:bookmarkStart w:id="2739" w:name="_Toc38441593"/>
      <w:bookmarkStart w:id="2740" w:name="_Toc38441921"/>
      <w:bookmarkStart w:id="2741" w:name="_Toc38442253"/>
      <w:bookmarkStart w:id="2742" w:name="_Toc38442585"/>
      <w:bookmarkStart w:id="2743" w:name="_Toc38442916"/>
      <w:bookmarkStart w:id="2744" w:name="_Toc38443247"/>
      <w:bookmarkStart w:id="2745" w:name="_Toc38443578"/>
      <w:bookmarkStart w:id="2746" w:name="_Toc38443908"/>
      <w:bookmarkStart w:id="2747" w:name="_Toc38438376"/>
      <w:bookmarkStart w:id="2748" w:name="_Toc38438713"/>
      <w:bookmarkStart w:id="2749" w:name="_Toc38439050"/>
      <w:bookmarkStart w:id="2750" w:name="_Toc38439387"/>
      <w:bookmarkStart w:id="2751" w:name="_Toc38439724"/>
      <w:bookmarkStart w:id="2752" w:name="_Toc38440061"/>
      <w:bookmarkStart w:id="2753" w:name="_Toc38440398"/>
      <w:bookmarkStart w:id="2754" w:name="_Toc38440930"/>
      <w:bookmarkStart w:id="2755" w:name="_Toc38441262"/>
      <w:bookmarkStart w:id="2756" w:name="_Toc38441594"/>
      <w:bookmarkStart w:id="2757" w:name="_Toc38441922"/>
      <w:bookmarkStart w:id="2758" w:name="_Toc38442254"/>
      <w:bookmarkStart w:id="2759" w:name="_Toc38442586"/>
      <w:bookmarkStart w:id="2760" w:name="_Toc38442917"/>
      <w:bookmarkStart w:id="2761" w:name="_Toc38443248"/>
      <w:bookmarkStart w:id="2762" w:name="_Toc38443579"/>
      <w:bookmarkStart w:id="2763" w:name="_Toc38443909"/>
      <w:bookmarkStart w:id="2764" w:name="_Toc38438377"/>
      <w:bookmarkStart w:id="2765" w:name="_Toc38438714"/>
      <w:bookmarkStart w:id="2766" w:name="_Toc38439051"/>
      <w:bookmarkStart w:id="2767" w:name="_Toc38439388"/>
      <w:bookmarkStart w:id="2768" w:name="_Toc38439725"/>
      <w:bookmarkStart w:id="2769" w:name="_Toc38440062"/>
      <w:bookmarkStart w:id="2770" w:name="_Toc38440399"/>
      <w:bookmarkStart w:id="2771" w:name="_Toc38440931"/>
      <w:bookmarkStart w:id="2772" w:name="_Toc38441263"/>
      <w:bookmarkStart w:id="2773" w:name="_Toc38441595"/>
      <w:bookmarkStart w:id="2774" w:name="_Toc38441923"/>
      <w:bookmarkStart w:id="2775" w:name="_Toc38442255"/>
      <w:bookmarkStart w:id="2776" w:name="_Toc38442587"/>
      <w:bookmarkStart w:id="2777" w:name="_Toc38442918"/>
      <w:bookmarkStart w:id="2778" w:name="_Toc38443249"/>
      <w:bookmarkStart w:id="2779" w:name="_Toc38443580"/>
      <w:bookmarkStart w:id="2780" w:name="_Toc38443910"/>
      <w:bookmarkStart w:id="2781" w:name="_Toc38438378"/>
      <w:bookmarkStart w:id="2782" w:name="_Toc38438715"/>
      <w:bookmarkStart w:id="2783" w:name="_Toc38439052"/>
      <w:bookmarkStart w:id="2784" w:name="_Toc38439389"/>
      <w:bookmarkStart w:id="2785" w:name="_Toc38439726"/>
      <w:bookmarkStart w:id="2786" w:name="_Toc38440063"/>
      <w:bookmarkStart w:id="2787" w:name="_Toc38440400"/>
      <w:bookmarkStart w:id="2788" w:name="_Toc38440932"/>
      <w:bookmarkStart w:id="2789" w:name="_Toc38441264"/>
      <w:bookmarkStart w:id="2790" w:name="_Toc38441596"/>
      <w:bookmarkStart w:id="2791" w:name="_Toc38441924"/>
      <w:bookmarkStart w:id="2792" w:name="_Toc38442256"/>
      <w:bookmarkStart w:id="2793" w:name="_Toc38442588"/>
      <w:bookmarkStart w:id="2794" w:name="_Toc38442919"/>
      <w:bookmarkStart w:id="2795" w:name="_Toc38443250"/>
      <w:bookmarkStart w:id="2796" w:name="_Toc38443581"/>
      <w:bookmarkStart w:id="2797" w:name="_Toc38443911"/>
      <w:bookmarkStart w:id="2798" w:name="_Toc38438379"/>
      <w:bookmarkStart w:id="2799" w:name="_Toc38438716"/>
      <w:bookmarkStart w:id="2800" w:name="_Toc38439053"/>
      <w:bookmarkStart w:id="2801" w:name="_Toc38439390"/>
      <w:bookmarkStart w:id="2802" w:name="_Toc38439727"/>
      <w:bookmarkStart w:id="2803" w:name="_Toc38440064"/>
      <w:bookmarkStart w:id="2804" w:name="_Toc38440401"/>
      <w:bookmarkStart w:id="2805" w:name="_Toc38440933"/>
      <w:bookmarkStart w:id="2806" w:name="_Toc38441265"/>
      <w:bookmarkStart w:id="2807" w:name="_Toc38441597"/>
      <w:bookmarkStart w:id="2808" w:name="_Toc38441925"/>
      <w:bookmarkStart w:id="2809" w:name="_Toc38442257"/>
      <w:bookmarkStart w:id="2810" w:name="_Toc38442589"/>
      <w:bookmarkStart w:id="2811" w:name="_Toc38442920"/>
      <w:bookmarkStart w:id="2812" w:name="_Toc38443251"/>
      <w:bookmarkStart w:id="2813" w:name="_Toc38443582"/>
      <w:bookmarkStart w:id="2814" w:name="_Toc38443912"/>
      <w:bookmarkStart w:id="2815" w:name="_Toc38438380"/>
      <w:bookmarkStart w:id="2816" w:name="_Toc38438717"/>
      <w:bookmarkStart w:id="2817" w:name="_Toc38439054"/>
      <w:bookmarkStart w:id="2818" w:name="_Toc38439391"/>
      <w:bookmarkStart w:id="2819" w:name="_Toc38439728"/>
      <w:bookmarkStart w:id="2820" w:name="_Toc38440065"/>
      <w:bookmarkStart w:id="2821" w:name="_Toc38440402"/>
      <w:bookmarkStart w:id="2822" w:name="_Toc38440934"/>
      <w:bookmarkStart w:id="2823" w:name="_Toc38441266"/>
      <w:bookmarkStart w:id="2824" w:name="_Toc38441598"/>
      <w:bookmarkStart w:id="2825" w:name="_Toc38441926"/>
      <w:bookmarkStart w:id="2826" w:name="_Toc38442258"/>
      <w:bookmarkStart w:id="2827" w:name="_Toc38442590"/>
      <w:bookmarkStart w:id="2828" w:name="_Toc38442921"/>
      <w:bookmarkStart w:id="2829" w:name="_Toc38443252"/>
      <w:bookmarkStart w:id="2830" w:name="_Toc38443583"/>
      <w:bookmarkStart w:id="2831" w:name="_Toc38443913"/>
      <w:bookmarkStart w:id="2832" w:name="_Toc38438381"/>
      <w:bookmarkStart w:id="2833" w:name="_Toc38438718"/>
      <w:bookmarkStart w:id="2834" w:name="_Toc38439055"/>
      <w:bookmarkStart w:id="2835" w:name="_Toc38439392"/>
      <w:bookmarkStart w:id="2836" w:name="_Toc38439729"/>
      <w:bookmarkStart w:id="2837" w:name="_Toc38440066"/>
      <w:bookmarkStart w:id="2838" w:name="_Toc38440403"/>
      <w:bookmarkStart w:id="2839" w:name="_Toc38440935"/>
      <w:bookmarkStart w:id="2840" w:name="_Toc38441267"/>
      <w:bookmarkStart w:id="2841" w:name="_Toc38441599"/>
      <w:bookmarkStart w:id="2842" w:name="_Toc38441927"/>
      <w:bookmarkStart w:id="2843" w:name="_Toc38442259"/>
      <w:bookmarkStart w:id="2844" w:name="_Toc38442591"/>
      <w:bookmarkStart w:id="2845" w:name="_Toc38442922"/>
      <w:bookmarkStart w:id="2846" w:name="_Toc38443253"/>
      <w:bookmarkStart w:id="2847" w:name="_Toc38443584"/>
      <w:bookmarkStart w:id="2848" w:name="_Toc38443914"/>
      <w:bookmarkStart w:id="2849" w:name="_Toc38438382"/>
      <w:bookmarkStart w:id="2850" w:name="_Toc38438719"/>
      <w:bookmarkStart w:id="2851" w:name="_Toc38439056"/>
      <w:bookmarkStart w:id="2852" w:name="_Toc38439393"/>
      <w:bookmarkStart w:id="2853" w:name="_Toc38439730"/>
      <w:bookmarkStart w:id="2854" w:name="_Toc38440067"/>
      <w:bookmarkStart w:id="2855" w:name="_Toc38440404"/>
      <w:bookmarkStart w:id="2856" w:name="_Toc38440936"/>
      <w:bookmarkStart w:id="2857" w:name="_Toc38441268"/>
      <w:bookmarkStart w:id="2858" w:name="_Toc38441600"/>
      <w:bookmarkStart w:id="2859" w:name="_Toc38441928"/>
      <w:bookmarkStart w:id="2860" w:name="_Toc38442260"/>
      <w:bookmarkStart w:id="2861" w:name="_Toc38442592"/>
      <w:bookmarkStart w:id="2862" w:name="_Toc38442923"/>
      <w:bookmarkStart w:id="2863" w:name="_Toc38443254"/>
      <w:bookmarkStart w:id="2864" w:name="_Toc38443585"/>
      <w:bookmarkStart w:id="2865" w:name="_Toc38443915"/>
      <w:bookmarkStart w:id="2866" w:name="_Toc38438383"/>
      <w:bookmarkStart w:id="2867" w:name="_Toc38438720"/>
      <w:bookmarkStart w:id="2868" w:name="_Toc38439057"/>
      <w:bookmarkStart w:id="2869" w:name="_Toc38439394"/>
      <w:bookmarkStart w:id="2870" w:name="_Toc38439731"/>
      <w:bookmarkStart w:id="2871" w:name="_Toc38440068"/>
      <w:bookmarkStart w:id="2872" w:name="_Toc38440405"/>
      <w:bookmarkStart w:id="2873" w:name="_Toc38440937"/>
      <w:bookmarkStart w:id="2874" w:name="_Toc38441269"/>
      <w:bookmarkStart w:id="2875" w:name="_Toc38441601"/>
      <w:bookmarkStart w:id="2876" w:name="_Toc38441929"/>
      <w:bookmarkStart w:id="2877" w:name="_Toc38442261"/>
      <w:bookmarkStart w:id="2878" w:name="_Toc38442593"/>
      <w:bookmarkStart w:id="2879" w:name="_Toc38442924"/>
      <w:bookmarkStart w:id="2880" w:name="_Toc38443255"/>
      <w:bookmarkStart w:id="2881" w:name="_Toc38443586"/>
      <w:bookmarkStart w:id="2882" w:name="_Toc38443916"/>
      <w:bookmarkStart w:id="2883" w:name="_Toc38438384"/>
      <w:bookmarkStart w:id="2884" w:name="_Toc38438721"/>
      <w:bookmarkStart w:id="2885" w:name="_Toc38439058"/>
      <w:bookmarkStart w:id="2886" w:name="_Toc38439395"/>
      <w:bookmarkStart w:id="2887" w:name="_Toc38439732"/>
      <w:bookmarkStart w:id="2888" w:name="_Toc38440069"/>
      <w:bookmarkStart w:id="2889" w:name="_Toc38440406"/>
      <w:bookmarkStart w:id="2890" w:name="_Toc38440938"/>
      <w:bookmarkStart w:id="2891" w:name="_Toc38441270"/>
      <w:bookmarkStart w:id="2892" w:name="_Toc38441602"/>
      <w:bookmarkStart w:id="2893" w:name="_Toc38441930"/>
      <w:bookmarkStart w:id="2894" w:name="_Toc38442262"/>
      <w:bookmarkStart w:id="2895" w:name="_Toc38442594"/>
      <w:bookmarkStart w:id="2896" w:name="_Toc38442925"/>
      <w:bookmarkStart w:id="2897" w:name="_Toc38443256"/>
      <w:bookmarkStart w:id="2898" w:name="_Toc38443587"/>
      <w:bookmarkStart w:id="2899" w:name="_Toc38443917"/>
      <w:bookmarkStart w:id="2900" w:name="_Toc38438385"/>
      <w:bookmarkStart w:id="2901" w:name="_Toc38438722"/>
      <w:bookmarkStart w:id="2902" w:name="_Toc38439059"/>
      <w:bookmarkStart w:id="2903" w:name="_Toc38439396"/>
      <w:bookmarkStart w:id="2904" w:name="_Toc38439733"/>
      <w:bookmarkStart w:id="2905" w:name="_Toc38440070"/>
      <w:bookmarkStart w:id="2906" w:name="_Toc38440407"/>
      <w:bookmarkStart w:id="2907" w:name="_Toc38440939"/>
      <w:bookmarkStart w:id="2908" w:name="_Toc38441271"/>
      <w:bookmarkStart w:id="2909" w:name="_Toc38441603"/>
      <w:bookmarkStart w:id="2910" w:name="_Toc38441931"/>
      <w:bookmarkStart w:id="2911" w:name="_Toc38442263"/>
      <w:bookmarkStart w:id="2912" w:name="_Toc38442595"/>
      <w:bookmarkStart w:id="2913" w:name="_Toc38442926"/>
      <w:bookmarkStart w:id="2914" w:name="_Toc38443257"/>
      <w:bookmarkStart w:id="2915" w:name="_Toc38443588"/>
      <w:bookmarkStart w:id="2916" w:name="_Toc38443918"/>
      <w:bookmarkStart w:id="2917" w:name="_Toc38438386"/>
      <w:bookmarkStart w:id="2918" w:name="_Toc38438723"/>
      <w:bookmarkStart w:id="2919" w:name="_Toc38439060"/>
      <w:bookmarkStart w:id="2920" w:name="_Toc38439397"/>
      <w:bookmarkStart w:id="2921" w:name="_Toc38439734"/>
      <w:bookmarkStart w:id="2922" w:name="_Toc38440071"/>
      <w:bookmarkStart w:id="2923" w:name="_Toc38440408"/>
      <w:bookmarkStart w:id="2924" w:name="_Toc38440940"/>
      <w:bookmarkStart w:id="2925" w:name="_Toc38441272"/>
      <w:bookmarkStart w:id="2926" w:name="_Toc38441604"/>
      <w:bookmarkStart w:id="2927" w:name="_Toc38441932"/>
      <w:bookmarkStart w:id="2928" w:name="_Toc38442264"/>
      <w:bookmarkStart w:id="2929" w:name="_Toc38442596"/>
      <w:bookmarkStart w:id="2930" w:name="_Toc38442927"/>
      <w:bookmarkStart w:id="2931" w:name="_Toc38443258"/>
      <w:bookmarkStart w:id="2932" w:name="_Toc38443589"/>
      <w:bookmarkStart w:id="2933" w:name="_Toc38443919"/>
      <w:bookmarkStart w:id="2934" w:name="_Toc38438387"/>
      <w:bookmarkStart w:id="2935" w:name="_Toc38438724"/>
      <w:bookmarkStart w:id="2936" w:name="_Toc38439061"/>
      <w:bookmarkStart w:id="2937" w:name="_Toc38439398"/>
      <w:bookmarkStart w:id="2938" w:name="_Toc38439735"/>
      <w:bookmarkStart w:id="2939" w:name="_Toc38440072"/>
      <w:bookmarkStart w:id="2940" w:name="_Toc38440409"/>
      <w:bookmarkStart w:id="2941" w:name="_Toc38440941"/>
      <w:bookmarkStart w:id="2942" w:name="_Toc38441273"/>
      <w:bookmarkStart w:id="2943" w:name="_Toc38441605"/>
      <w:bookmarkStart w:id="2944" w:name="_Toc38441933"/>
      <w:bookmarkStart w:id="2945" w:name="_Toc38442265"/>
      <w:bookmarkStart w:id="2946" w:name="_Toc38442597"/>
      <w:bookmarkStart w:id="2947" w:name="_Toc38442928"/>
      <w:bookmarkStart w:id="2948" w:name="_Toc38443259"/>
      <w:bookmarkStart w:id="2949" w:name="_Toc38443590"/>
      <w:bookmarkStart w:id="2950" w:name="_Toc38443920"/>
      <w:bookmarkStart w:id="2951" w:name="_Toc38438388"/>
      <w:bookmarkStart w:id="2952" w:name="_Toc38438725"/>
      <w:bookmarkStart w:id="2953" w:name="_Toc38439062"/>
      <w:bookmarkStart w:id="2954" w:name="_Toc38439399"/>
      <w:bookmarkStart w:id="2955" w:name="_Toc38439736"/>
      <w:bookmarkStart w:id="2956" w:name="_Toc38440073"/>
      <w:bookmarkStart w:id="2957" w:name="_Toc38440410"/>
      <w:bookmarkStart w:id="2958" w:name="_Toc38440942"/>
      <w:bookmarkStart w:id="2959" w:name="_Toc38441274"/>
      <w:bookmarkStart w:id="2960" w:name="_Toc38441606"/>
      <w:bookmarkStart w:id="2961" w:name="_Toc38441934"/>
      <w:bookmarkStart w:id="2962" w:name="_Toc38442266"/>
      <w:bookmarkStart w:id="2963" w:name="_Toc38442598"/>
      <w:bookmarkStart w:id="2964" w:name="_Toc38442929"/>
      <w:bookmarkStart w:id="2965" w:name="_Toc38443260"/>
      <w:bookmarkStart w:id="2966" w:name="_Toc38443591"/>
      <w:bookmarkStart w:id="2967" w:name="_Toc38443921"/>
      <w:bookmarkStart w:id="2968" w:name="_Toc38438389"/>
      <w:bookmarkStart w:id="2969" w:name="_Toc38438726"/>
      <w:bookmarkStart w:id="2970" w:name="_Toc38439063"/>
      <w:bookmarkStart w:id="2971" w:name="_Toc38439400"/>
      <w:bookmarkStart w:id="2972" w:name="_Toc38439737"/>
      <w:bookmarkStart w:id="2973" w:name="_Toc38440074"/>
      <w:bookmarkStart w:id="2974" w:name="_Toc38440411"/>
      <w:bookmarkStart w:id="2975" w:name="_Toc38440943"/>
      <w:bookmarkStart w:id="2976" w:name="_Toc38441275"/>
      <w:bookmarkStart w:id="2977" w:name="_Toc38441607"/>
      <w:bookmarkStart w:id="2978" w:name="_Toc38441935"/>
      <w:bookmarkStart w:id="2979" w:name="_Toc38442267"/>
      <w:bookmarkStart w:id="2980" w:name="_Toc38442599"/>
      <w:bookmarkStart w:id="2981" w:name="_Toc38442930"/>
      <w:bookmarkStart w:id="2982" w:name="_Toc38443261"/>
      <w:bookmarkStart w:id="2983" w:name="_Toc38443592"/>
      <w:bookmarkStart w:id="2984" w:name="_Toc38443922"/>
      <w:bookmarkStart w:id="2985" w:name="_Toc38438390"/>
      <w:bookmarkStart w:id="2986" w:name="_Toc38438727"/>
      <w:bookmarkStart w:id="2987" w:name="_Toc38439064"/>
      <w:bookmarkStart w:id="2988" w:name="_Toc38439401"/>
      <w:bookmarkStart w:id="2989" w:name="_Toc38439738"/>
      <w:bookmarkStart w:id="2990" w:name="_Toc38440075"/>
      <w:bookmarkStart w:id="2991" w:name="_Toc38440412"/>
      <w:bookmarkStart w:id="2992" w:name="_Toc38440944"/>
      <w:bookmarkStart w:id="2993" w:name="_Toc38441276"/>
      <w:bookmarkStart w:id="2994" w:name="_Toc38441608"/>
      <w:bookmarkStart w:id="2995" w:name="_Toc38441936"/>
      <w:bookmarkStart w:id="2996" w:name="_Toc38442268"/>
      <w:bookmarkStart w:id="2997" w:name="_Toc38442600"/>
      <w:bookmarkStart w:id="2998" w:name="_Toc38442931"/>
      <w:bookmarkStart w:id="2999" w:name="_Toc38443262"/>
      <w:bookmarkStart w:id="3000" w:name="_Toc38443593"/>
      <w:bookmarkStart w:id="3001" w:name="_Toc38443923"/>
      <w:bookmarkStart w:id="3002" w:name="_Toc38438391"/>
      <w:bookmarkStart w:id="3003" w:name="_Toc38438728"/>
      <w:bookmarkStart w:id="3004" w:name="_Toc38439065"/>
      <w:bookmarkStart w:id="3005" w:name="_Toc38439402"/>
      <w:bookmarkStart w:id="3006" w:name="_Toc38439739"/>
      <w:bookmarkStart w:id="3007" w:name="_Toc38440076"/>
      <w:bookmarkStart w:id="3008" w:name="_Toc38440413"/>
      <w:bookmarkStart w:id="3009" w:name="_Toc38440945"/>
      <w:bookmarkStart w:id="3010" w:name="_Toc38441277"/>
      <w:bookmarkStart w:id="3011" w:name="_Toc38441609"/>
      <w:bookmarkStart w:id="3012" w:name="_Toc38441937"/>
      <w:bookmarkStart w:id="3013" w:name="_Toc38442269"/>
      <w:bookmarkStart w:id="3014" w:name="_Toc38442601"/>
      <w:bookmarkStart w:id="3015" w:name="_Toc38442932"/>
      <w:bookmarkStart w:id="3016" w:name="_Toc38443263"/>
      <w:bookmarkStart w:id="3017" w:name="_Toc38443594"/>
      <w:bookmarkStart w:id="3018" w:name="_Toc38443924"/>
      <w:bookmarkStart w:id="3019" w:name="_Toc38438392"/>
      <w:bookmarkStart w:id="3020" w:name="_Toc38438729"/>
      <w:bookmarkStart w:id="3021" w:name="_Toc38439066"/>
      <w:bookmarkStart w:id="3022" w:name="_Toc38439403"/>
      <w:bookmarkStart w:id="3023" w:name="_Toc38439740"/>
      <w:bookmarkStart w:id="3024" w:name="_Toc38440077"/>
      <w:bookmarkStart w:id="3025" w:name="_Toc38440414"/>
      <w:bookmarkStart w:id="3026" w:name="_Toc38440946"/>
      <w:bookmarkStart w:id="3027" w:name="_Toc38441278"/>
      <w:bookmarkStart w:id="3028" w:name="_Toc38441610"/>
      <w:bookmarkStart w:id="3029" w:name="_Toc38441938"/>
      <w:bookmarkStart w:id="3030" w:name="_Toc38442270"/>
      <w:bookmarkStart w:id="3031" w:name="_Toc38442602"/>
      <w:bookmarkStart w:id="3032" w:name="_Toc38442933"/>
      <w:bookmarkStart w:id="3033" w:name="_Toc38443264"/>
      <w:bookmarkStart w:id="3034" w:name="_Toc38443595"/>
      <w:bookmarkStart w:id="3035" w:name="_Toc38443925"/>
      <w:bookmarkStart w:id="3036" w:name="_Toc38438393"/>
      <w:bookmarkStart w:id="3037" w:name="_Toc38438730"/>
      <w:bookmarkStart w:id="3038" w:name="_Toc38439067"/>
      <w:bookmarkStart w:id="3039" w:name="_Toc38439404"/>
      <w:bookmarkStart w:id="3040" w:name="_Toc38439741"/>
      <w:bookmarkStart w:id="3041" w:name="_Toc38440078"/>
      <w:bookmarkStart w:id="3042" w:name="_Toc38440415"/>
      <w:bookmarkStart w:id="3043" w:name="_Toc38440947"/>
      <w:bookmarkStart w:id="3044" w:name="_Toc38441279"/>
      <w:bookmarkStart w:id="3045" w:name="_Toc38441611"/>
      <w:bookmarkStart w:id="3046" w:name="_Toc38441939"/>
      <w:bookmarkStart w:id="3047" w:name="_Toc38442271"/>
      <w:bookmarkStart w:id="3048" w:name="_Toc38442603"/>
      <w:bookmarkStart w:id="3049" w:name="_Toc38442934"/>
      <w:bookmarkStart w:id="3050" w:name="_Toc38443265"/>
      <w:bookmarkStart w:id="3051" w:name="_Toc38443596"/>
      <w:bookmarkStart w:id="3052" w:name="_Toc38443926"/>
      <w:bookmarkStart w:id="3053" w:name="_Toc38438394"/>
      <w:bookmarkStart w:id="3054" w:name="_Toc38438731"/>
      <w:bookmarkStart w:id="3055" w:name="_Toc38439068"/>
      <w:bookmarkStart w:id="3056" w:name="_Toc38439405"/>
      <w:bookmarkStart w:id="3057" w:name="_Toc38439742"/>
      <w:bookmarkStart w:id="3058" w:name="_Toc38440079"/>
      <w:bookmarkStart w:id="3059" w:name="_Toc38440416"/>
      <w:bookmarkStart w:id="3060" w:name="_Toc38440948"/>
      <w:bookmarkStart w:id="3061" w:name="_Toc38441280"/>
      <w:bookmarkStart w:id="3062" w:name="_Toc38441612"/>
      <w:bookmarkStart w:id="3063" w:name="_Toc38441940"/>
      <w:bookmarkStart w:id="3064" w:name="_Toc38442272"/>
      <w:bookmarkStart w:id="3065" w:name="_Toc38442604"/>
      <w:bookmarkStart w:id="3066" w:name="_Toc38442935"/>
      <w:bookmarkStart w:id="3067" w:name="_Toc38443266"/>
      <w:bookmarkStart w:id="3068" w:name="_Toc38443597"/>
      <w:bookmarkStart w:id="3069" w:name="_Toc38443927"/>
      <w:bookmarkStart w:id="3070" w:name="_Toc38438395"/>
      <w:bookmarkStart w:id="3071" w:name="_Toc38438732"/>
      <w:bookmarkStart w:id="3072" w:name="_Toc38439069"/>
      <w:bookmarkStart w:id="3073" w:name="_Toc38439406"/>
      <w:bookmarkStart w:id="3074" w:name="_Toc38439743"/>
      <w:bookmarkStart w:id="3075" w:name="_Toc38440080"/>
      <w:bookmarkStart w:id="3076" w:name="_Toc38440417"/>
      <w:bookmarkStart w:id="3077" w:name="_Toc38440949"/>
      <w:bookmarkStart w:id="3078" w:name="_Toc38441281"/>
      <w:bookmarkStart w:id="3079" w:name="_Toc38441613"/>
      <w:bookmarkStart w:id="3080" w:name="_Toc38441941"/>
      <w:bookmarkStart w:id="3081" w:name="_Toc38442273"/>
      <w:bookmarkStart w:id="3082" w:name="_Toc38442605"/>
      <w:bookmarkStart w:id="3083" w:name="_Toc38442936"/>
      <w:bookmarkStart w:id="3084" w:name="_Toc38443267"/>
      <w:bookmarkStart w:id="3085" w:name="_Toc38443598"/>
      <w:bookmarkStart w:id="3086" w:name="_Toc38443928"/>
      <w:bookmarkStart w:id="3087" w:name="_Toc38438396"/>
      <w:bookmarkStart w:id="3088" w:name="_Toc38438733"/>
      <w:bookmarkStart w:id="3089" w:name="_Toc38439070"/>
      <w:bookmarkStart w:id="3090" w:name="_Toc38439407"/>
      <w:bookmarkStart w:id="3091" w:name="_Toc38439744"/>
      <w:bookmarkStart w:id="3092" w:name="_Toc38440081"/>
      <w:bookmarkStart w:id="3093" w:name="_Toc38440418"/>
      <w:bookmarkStart w:id="3094" w:name="_Toc38440950"/>
      <w:bookmarkStart w:id="3095" w:name="_Toc38441282"/>
      <w:bookmarkStart w:id="3096" w:name="_Toc38441614"/>
      <w:bookmarkStart w:id="3097" w:name="_Toc38441942"/>
      <w:bookmarkStart w:id="3098" w:name="_Toc38442274"/>
      <w:bookmarkStart w:id="3099" w:name="_Toc38442606"/>
      <w:bookmarkStart w:id="3100" w:name="_Toc38442937"/>
      <w:bookmarkStart w:id="3101" w:name="_Toc38443268"/>
      <w:bookmarkStart w:id="3102" w:name="_Toc38443599"/>
      <w:bookmarkStart w:id="3103" w:name="_Toc38443929"/>
      <w:bookmarkStart w:id="3104" w:name="_Toc38438397"/>
      <w:bookmarkStart w:id="3105" w:name="_Toc38438734"/>
      <w:bookmarkStart w:id="3106" w:name="_Toc38439071"/>
      <w:bookmarkStart w:id="3107" w:name="_Toc38439408"/>
      <w:bookmarkStart w:id="3108" w:name="_Toc38439745"/>
      <w:bookmarkStart w:id="3109" w:name="_Toc38440082"/>
      <w:bookmarkStart w:id="3110" w:name="_Toc38440419"/>
      <w:bookmarkStart w:id="3111" w:name="_Toc38440951"/>
      <w:bookmarkStart w:id="3112" w:name="_Toc38441283"/>
      <w:bookmarkStart w:id="3113" w:name="_Toc38441615"/>
      <w:bookmarkStart w:id="3114" w:name="_Toc38441943"/>
      <w:bookmarkStart w:id="3115" w:name="_Toc38442275"/>
      <w:bookmarkStart w:id="3116" w:name="_Toc38442607"/>
      <w:bookmarkStart w:id="3117" w:name="_Toc38442938"/>
      <w:bookmarkStart w:id="3118" w:name="_Toc38443269"/>
      <w:bookmarkStart w:id="3119" w:name="_Toc38443600"/>
      <w:bookmarkStart w:id="3120" w:name="_Toc38443930"/>
      <w:bookmarkStart w:id="3121" w:name="_Toc38438398"/>
      <w:bookmarkStart w:id="3122" w:name="_Toc38438735"/>
      <w:bookmarkStart w:id="3123" w:name="_Toc38439072"/>
      <w:bookmarkStart w:id="3124" w:name="_Toc38439409"/>
      <w:bookmarkStart w:id="3125" w:name="_Toc38439746"/>
      <w:bookmarkStart w:id="3126" w:name="_Toc38440083"/>
      <w:bookmarkStart w:id="3127" w:name="_Toc38440420"/>
      <w:bookmarkStart w:id="3128" w:name="_Toc38440952"/>
      <w:bookmarkStart w:id="3129" w:name="_Toc38441284"/>
      <w:bookmarkStart w:id="3130" w:name="_Toc38441616"/>
      <w:bookmarkStart w:id="3131" w:name="_Toc38441944"/>
      <w:bookmarkStart w:id="3132" w:name="_Toc38442276"/>
      <w:bookmarkStart w:id="3133" w:name="_Toc38442608"/>
      <w:bookmarkStart w:id="3134" w:name="_Toc38442939"/>
      <w:bookmarkStart w:id="3135" w:name="_Toc38443270"/>
      <w:bookmarkStart w:id="3136" w:name="_Toc38443601"/>
      <w:bookmarkStart w:id="3137" w:name="_Toc38443931"/>
      <w:bookmarkStart w:id="3138" w:name="_Toc38438400"/>
      <w:bookmarkStart w:id="3139" w:name="_Toc38438737"/>
      <w:bookmarkStart w:id="3140" w:name="_Toc38439074"/>
      <w:bookmarkStart w:id="3141" w:name="_Toc38439411"/>
      <w:bookmarkStart w:id="3142" w:name="_Toc38439748"/>
      <w:bookmarkStart w:id="3143" w:name="_Toc38440085"/>
      <w:bookmarkStart w:id="3144" w:name="_Toc38440422"/>
      <w:bookmarkStart w:id="3145" w:name="_Toc38440954"/>
      <w:bookmarkStart w:id="3146" w:name="_Toc38441286"/>
      <w:bookmarkStart w:id="3147" w:name="_Toc38441618"/>
      <w:bookmarkStart w:id="3148" w:name="_Toc38441946"/>
      <w:bookmarkStart w:id="3149" w:name="_Toc38442278"/>
      <w:bookmarkStart w:id="3150" w:name="_Toc38442610"/>
      <w:bookmarkStart w:id="3151" w:name="_Toc38442941"/>
      <w:bookmarkStart w:id="3152" w:name="_Toc38443272"/>
      <w:bookmarkStart w:id="3153" w:name="_Toc38443603"/>
      <w:bookmarkStart w:id="3154" w:name="_Toc38443933"/>
      <w:bookmarkStart w:id="3155" w:name="_Toc38438401"/>
      <w:bookmarkStart w:id="3156" w:name="_Toc38438738"/>
      <w:bookmarkStart w:id="3157" w:name="_Toc38439075"/>
      <w:bookmarkStart w:id="3158" w:name="_Toc38439412"/>
      <w:bookmarkStart w:id="3159" w:name="_Toc38439749"/>
      <w:bookmarkStart w:id="3160" w:name="_Toc38440086"/>
      <w:bookmarkStart w:id="3161" w:name="_Toc38440423"/>
      <w:bookmarkStart w:id="3162" w:name="_Toc38440955"/>
      <w:bookmarkStart w:id="3163" w:name="_Toc38441287"/>
      <w:bookmarkStart w:id="3164" w:name="_Toc38441619"/>
      <w:bookmarkStart w:id="3165" w:name="_Toc38441947"/>
      <w:bookmarkStart w:id="3166" w:name="_Toc38442279"/>
      <w:bookmarkStart w:id="3167" w:name="_Toc38442611"/>
      <w:bookmarkStart w:id="3168" w:name="_Toc38442942"/>
      <w:bookmarkStart w:id="3169" w:name="_Toc38443273"/>
      <w:bookmarkStart w:id="3170" w:name="_Toc38443604"/>
      <w:bookmarkStart w:id="3171" w:name="_Toc38443934"/>
      <w:bookmarkStart w:id="3172" w:name="_Toc38438402"/>
      <w:bookmarkStart w:id="3173" w:name="_Toc38438739"/>
      <w:bookmarkStart w:id="3174" w:name="_Toc38439076"/>
      <w:bookmarkStart w:id="3175" w:name="_Toc38439413"/>
      <w:bookmarkStart w:id="3176" w:name="_Toc38439750"/>
      <w:bookmarkStart w:id="3177" w:name="_Toc38440087"/>
      <w:bookmarkStart w:id="3178" w:name="_Toc38440424"/>
      <w:bookmarkStart w:id="3179" w:name="_Toc38440956"/>
      <w:bookmarkStart w:id="3180" w:name="_Toc38441288"/>
      <w:bookmarkStart w:id="3181" w:name="_Toc38441620"/>
      <w:bookmarkStart w:id="3182" w:name="_Toc38441948"/>
      <w:bookmarkStart w:id="3183" w:name="_Toc38442280"/>
      <w:bookmarkStart w:id="3184" w:name="_Toc38442612"/>
      <w:bookmarkStart w:id="3185" w:name="_Toc38442943"/>
      <w:bookmarkStart w:id="3186" w:name="_Toc38443274"/>
      <w:bookmarkStart w:id="3187" w:name="_Toc38443605"/>
      <w:bookmarkStart w:id="3188" w:name="_Toc38443935"/>
      <w:bookmarkStart w:id="3189" w:name="_Toc38438404"/>
      <w:bookmarkStart w:id="3190" w:name="_Toc38438741"/>
      <w:bookmarkStart w:id="3191" w:name="_Toc38439078"/>
      <w:bookmarkStart w:id="3192" w:name="_Toc38439415"/>
      <w:bookmarkStart w:id="3193" w:name="_Toc38439752"/>
      <w:bookmarkStart w:id="3194" w:name="_Toc38440089"/>
      <w:bookmarkStart w:id="3195" w:name="_Toc38440426"/>
      <w:bookmarkStart w:id="3196" w:name="_Toc38440958"/>
      <w:bookmarkStart w:id="3197" w:name="_Toc38441290"/>
      <w:bookmarkStart w:id="3198" w:name="_Toc38441622"/>
      <w:bookmarkStart w:id="3199" w:name="_Toc38441950"/>
      <w:bookmarkStart w:id="3200" w:name="_Toc38442282"/>
      <w:bookmarkStart w:id="3201" w:name="_Toc38442614"/>
      <w:bookmarkStart w:id="3202" w:name="_Toc38442945"/>
      <w:bookmarkStart w:id="3203" w:name="_Toc38443276"/>
      <w:bookmarkStart w:id="3204" w:name="_Toc38443607"/>
      <w:bookmarkStart w:id="3205" w:name="_Toc38443937"/>
      <w:bookmarkStart w:id="3206" w:name="_Toc38438405"/>
      <w:bookmarkStart w:id="3207" w:name="_Toc38438742"/>
      <w:bookmarkStart w:id="3208" w:name="_Toc38439079"/>
      <w:bookmarkStart w:id="3209" w:name="_Toc38439416"/>
      <w:bookmarkStart w:id="3210" w:name="_Toc38439753"/>
      <w:bookmarkStart w:id="3211" w:name="_Toc38440090"/>
      <w:bookmarkStart w:id="3212" w:name="_Toc38440427"/>
      <w:bookmarkStart w:id="3213" w:name="_Toc38440959"/>
      <w:bookmarkStart w:id="3214" w:name="_Toc38441291"/>
      <w:bookmarkStart w:id="3215" w:name="_Toc38441623"/>
      <w:bookmarkStart w:id="3216" w:name="_Toc38441951"/>
      <w:bookmarkStart w:id="3217" w:name="_Toc38442283"/>
      <w:bookmarkStart w:id="3218" w:name="_Toc38442615"/>
      <w:bookmarkStart w:id="3219" w:name="_Toc38442946"/>
      <w:bookmarkStart w:id="3220" w:name="_Toc38443277"/>
      <w:bookmarkStart w:id="3221" w:name="_Toc38443608"/>
      <w:bookmarkStart w:id="3222" w:name="_Toc38443938"/>
      <w:bookmarkStart w:id="3223" w:name="_Toc38438406"/>
      <w:bookmarkStart w:id="3224" w:name="_Toc38438743"/>
      <w:bookmarkStart w:id="3225" w:name="_Toc38439080"/>
      <w:bookmarkStart w:id="3226" w:name="_Toc38439417"/>
      <w:bookmarkStart w:id="3227" w:name="_Toc38439754"/>
      <w:bookmarkStart w:id="3228" w:name="_Toc38440091"/>
      <w:bookmarkStart w:id="3229" w:name="_Toc38440428"/>
      <w:bookmarkStart w:id="3230" w:name="_Toc38440960"/>
      <w:bookmarkStart w:id="3231" w:name="_Toc38441292"/>
      <w:bookmarkStart w:id="3232" w:name="_Toc38441624"/>
      <w:bookmarkStart w:id="3233" w:name="_Toc38441952"/>
      <w:bookmarkStart w:id="3234" w:name="_Toc38442284"/>
      <w:bookmarkStart w:id="3235" w:name="_Toc38442616"/>
      <w:bookmarkStart w:id="3236" w:name="_Toc38442947"/>
      <w:bookmarkStart w:id="3237" w:name="_Toc38443278"/>
      <w:bookmarkStart w:id="3238" w:name="_Toc38443609"/>
      <w:bookmarkStart w:id="3239" w:name="_Toc38443939"/>
      <w:bookmarkStart w:id="3240" w:name="_Toc38438407"/>
      <w:bookmarkStart w:id="3241" w:name="_Toc38438744"/>
      <w:bookmarkStart w:id="3242" w:name="_Toc38439081"/>
      <w:bookmarkStart w:id="3243" w:name="_Toc38439418"/>
      <w:bookmarkStart w:id="3244" w:name="_Toc38439755"/>
      <w:bookmarkStart w:id="3245" w:name="_Toc38440092"/>
      <w:bookmarkStart w:id="3246" w:name="_Toc38440429"/>
      <w:bookmarkStart w:id="3247" w:name="_Toc38440961"/>
      <w:bookmarkStart w:id="3248" w:name="_Toc38441293"/>
      <w:bookmarkStart w:id="3249" w:name="_Toc38441625"/>
      <w:bookmarkStart w:id="3250" w:name="_Toc38441953"/>
      <w:bookmarkStart w:id="3251" w:name="_Toc38442285"/>
      <w:bookmarkStart w:id="3252" w:name="_Toc38442617"/>
      <w:bookmarkStart w:id="3253" w:name="_Toc38442948"/>
      <w:bookmarkStart w:id="3254" w:name="_Toc38443279"/>
      <w:bookmarkStart w:id="3255" w:name="_Toc38443610"/>
      <w:bookmarkStart w:id="3256" w:name="_Toc38443940"/>
      <w:bookmarkStart w:id="3257" w:name="_Toc38438408"/>
      <w:bookmarkStart w:id="3258" w:name="_Toc38438745"/>
      <w:bookmarkStart w:id="3259" w:name="_Toc38439082"/>
      <w:bookmarkStart w:id="3260" w:name="_Toc38439419"/>
      <w:bookmarkStart w:id="3261" w:name="_Toc38439756"/>
      <w:bookmarkStart w:id="3262" w:name="_Toc38440093"/>
      <w:bookmarkStart w:id="3263" w:name="_Toc38440430"/>
      <w:bookmarkStart w:id="3264" w:name="_Toc38440962"/>
      <w:bookmarkStart w:id="3265" w:name="_Toc38441294"/>
      <w:bookmarkStart w:id="3266" w:name="_Toc38441626"/>
      <w:bookmarkStart w:id="3267" w:name="_Toc38441954"/>
      <w:bookmarkStart w:id="3268" w:name="_Toc38442286"/>
      <w:bookmarkStart w:id="3269" w:name="_Toc38442618"/>
      <w:bookmarkStart w:id="3270" w:name="_Toc38442949"/>
      <w:bookmarkStart w:id="3271" w:name="_Toc38443280"/>
      <w:bookmarkStart w:id="3272" w:name="_Toc38443611"/>
      <w:bookmarkStart w:id="3273" w:name="_Toc38443941"/>
      <w:bookmarkStart w:id="3274" w:name="_Toc38438409"/>
      <w:bookmarkStart w:id="3275" w:name="_Toc38438746"/>
      <w:bookmarkStart w:id="3276" w:name="_Toc38439083"/>
      <w:bookmarkStart w:id="3277" w:name="_Toc38439420"/>
      <w:bookmarkStart w:id="3278" w:name="_Toc38439757"/>
      <w:bookmarkStart w:id="3279" w:name="_Toc38440094"/>
      <w:bookmarkStart w:id="3280" w:name="_Toc38440431"/>
      <w:bookmarkStart w:id="3281" w:name="_Toc38440963"/>
      <w:bookmarkStart w:id="3282" w:name="_Toc38441295"/>
      <w:bookmarkStart w:id="3283" w:name="_Toc38441627"/>
      <w:bookmarkStart w:id="3284" w:name="_Toc38441955"/>
      <w:bookmarkStart w:id="3285" w:name="_Toc38442287"/>
      <w:bookmarkStart w:id="3286" w:name="_Toc38442619"/>
      <w:bookmarkStart w:id="3287" w:name="_Toc38442950"/>
      <w:bookmarkStart w:id="3288" w:name="_Toc38443281"/>
      <w:bookmarkStart w:id="3289" w:name="_Toc38443612"/>
      <w:bookmarkStart w:id="3290" w:name="_Toc38443942"/>
      <w:bookmarkStart w:id="3291" w:name="_Toc38438410"/>
      <w:bookmarkStart w:id="3292" w:name="_Toc38438747"/>
      <w:bookmarkStart w:id="3293" w:name="_Toc38439084"/>
      <w:bookmarkStart w:id="3294" w:name="_Toc38439421"/>
      <w:bookmarkStart w:id="3295" w:name="_Toc38439758"/>
      <w:bookmarkStart w:id="3296" w:name="_Toc38440095"/>
      <w:bookmarkStart w:id="3297" w:name="_Toc38440432"/>
      <w:bookmarkStart w:id="3298" w:name="_Toc38440964"/>
      <w:bookmarkStart w:id="3299" w:name="_Toc38441296"/>
      <w:bookmarkStart w:id="3300" w:name="_Toc38441628"/>
      <w:bookmarkStart w:id="3301" w:name="_Toc38441956"/>
      <w:bookmarkStart w:id="3302" w:name="_Toc38442288"/>
      <w:bookmarkStart w:id="3303" w:name="_Toc38442620"/>
      <w:bookmarkStart w:id="3304" w:name="_Toc38442951"/>
      <w:bookmarkStart w:id="3305" w:name="_Toc38443282"/>
      <w:bookmarkStart w:id="3306" w:name="_Toc38443613"/>
      <w:bookmarkStart w:id="3307" w:name="_Toc38443943"/>
      <w:bookmarkStart w:id="3308" w:name="_Toc38438411"/>
      <w:bookmarkStart w:id="3309" w:name="_Toc38438748"/>
      <w:bookmarkStart w:id="3310" w:name="_Toc38439085"/>
      <w:bookmarkStart w:id="3311" w:name="_Toc38439422"/>
      <w:bookmarkStart w:id="3312" w:name="_Toc38439759"/>
      <w:bookmarkStart w:id="3313" w:name="_Toc38440096"/>
      <w:bookmarkStart w:id="3314" w:name="_Toc38440433"/>
      <w:bookmarkStart w:id="3315" w:name="_Toc38440965"/>
      <w:bookmarkStart w:id="3316" w:name="_Toc38441297"/>
      <w:bookmarkStart w:id="3317" w:name="_Toc38441629"/>
      <w:bookmarkStart w:id="3318" w:name="_Toc38441957"/>
      <w:bookmarkStart w:id="3319" w:name="_Toc38442289"/>
      <w:bookmarkStart w:id="3320" w:name="_Toc38442621"/>
      <w:bookmarkStart w:id="3321" w:name="_Toc38442952"/>
      <w:bookmarkStart w:id="3322" w:name="_Toc38443283"/>
      <w:bookmarkStart w:id="3323" w:name="_Toc38443614"/>
      <w:bookmarkStart w:id="3324" w:name="_Toc38443944"/>
      <w:bookmarkStart w:id="3325" w:name="_Toc38438412"/>
      <w:bookmarkStart w:id="3326" w:name="_Toc38438749"/>
      <w:bookmarkStart w:id="3327" w:name="_Toc38439086"/>
      <w:bookmarkStart w:id="3328" w:name="_Toc38439423"/>
      <w:bookmarkStart w:id="3329" w:name="_Toc38439760"/>
      <w:bookmarkStart w:id="3330" w:name="_Toc38440097"/>
      <w:bookmarkStart w:id="3331" w:name="_Toc38440434"/>
      <w:bookmarkStart w:id="3332" w:name="_Toc38440966"/>
      <w:bookmarkStart w:id="3333" w:name="_Toc38441298"/>
      <w:bookmarkStart w:id="3334" w:name="_Toc38441630"/>
      <w:bookmarkStart w:id="3335" w:name="_Toc38441958"/>
      <w:bookmarkStart w:id="3336" w:name="_Toc38442290"/>
      <w:bookmarkStart w:id="3337" w:name="_Toc38442622"/>
      <w:bookmarkStart w:id="3338" w:name="_Toc38442953"/>
      <w:bookmarkStart w:id="3339" w:name="_Toc38443284"/>
      <w:bookmarkStart w:id="3340" w:name="_Toc38443615"/>
      <w:bookmarkStart w:id="3341" w:name="_Toc38443945"/>
      <w:bookmarkStart w:id="3342" w:name="_Toc38438413"/>
      <w:bookmarkStart w:id="3343" w:name="_Toc38438750"/>
      <w:bookmarkStart w:id="3344" w:name="_Toc38439087"/>
      <w:bookmarkStart w:id="3345" w:name="_Toc38439424"/>
      <w:bookmarkStart w:id="3346" w:name="_Toc38439761"/>
      <w:bookmarkStart w:id="3347" w:name="_Toc38440098"/>
      <w:bookmarkStart w:id="3348" w:name="_Toc38440435"/>
      <w:bookmarkStart w:id="3349" w:name="_Toc38440967"/>
      <w:bookmarkStart w:id="3350" w:name="_Toc38441299"/>
      <w:bookmarkStart w:id="3351" w:name="_Toc38441631"/>
      <w:bookmarkStart w:id="3352" w:name="_Toc38441959"/>
      <w:bookmarkStart w:id="3353" w:name="_Toc38442291"/>
      <w:bookmarkStart w:id="3354" w:name="_Toc38442623"/>
      <w:bookmarkStart w:id="3355" w:name="_Toc38442954"/>
      <w:bookmarkStart w:id="3356" w:name="_Toc38443285"/>
      <w:bookmarkStart w:id="3357" w:name="_Toc38443616"/>
      <w:bookmarkStart w:id="3358" w:name="_Toc38443946"/>
      <w:bookmarkStart w:id="3359" w:name="_Toc38438414"/>
      <w:bookmarkStart w:id="3360" w:name="_Toc38438751"/>
      <w:bookmarkStart w:id="3361" w:name="_Toc38439088"/>
      <w:bookmarkStart w:id="3362" w:name="_Toc38439425"/>
      <w:bookmarkStart w:id="3363" w:name="_Toc38439762"/>
      <w:bookmarkStart w:id="3364" w:name="_Toc38440099"/>
      <w:bookmarkStart w:id="3365" w:name="_Toc38440436"/>
      <w:bookmarkStart w:id="3366" w:name="_Toc38440968"/>
      <w:bookmarkStart w:id="3367" w:name="_Toc38441300"/>
      <w:bookmarkStart w:id="3368" w:name="_Toc38441632"/>
      <w:bookmarkStart w:id="3369" w:name="_Toc38441960"/>
      <w:bookmarkStart w:id="3370" w:name="_Toc38442292"/>
      <w:bookmarkStart w:id="3371" w:name="_Toc38442624"/>
      <w:bookmarkStart w:id="3372" w:name="_Toc38442955"/>
      <w:bookmarkStart w:id="3373" w:name="_Toc38443286"/>
      <w:bookmarkStart w:id="3374" w:name="_Toc38443617"/>
      <w:bookmarkStart w:id="3375" w:name="_Toc38443947"/>
      <w:bookmarkStart w:id="3376" w:name="_Toc38438415"/>
      <w:bookmarkStart w:id="3377" w:name="_Toc38438752"/>
      <w:bookmarkStart w:id="3378" w:name="_Toc38439089"/>
      <w:bookmarkStart w:id="3379" w:name="_Toc38439426"/>
      <w:bookmarkStart w:id="3380" w:name="_Toc38439763"/>
      <w:bookmarkStart w:id="3381" w:name="_Toc38440100"/>
      <w:bookmarkStart w:id="3382" w:name="_Toc38440437"/>
      <w:bookmarkStart w:id="3383" w:name="_Toc38440969"/>
      <w:bookmarkStart w:id="3384" w:name="_Toc38441301"/>
      <w:bookmarkStart w:id="3385" w:name="_Toc38441633"/>
      <w:bookmarkStart w:id="3386" w:name="_Toc38441961"/>
      <w:bookmarkStart w:id="3387" w:name="_Toc38442293"/>
      <w:bookmarkStart w:id="3388" w:name="_Toc38442625"/>
      <w:bookmarkStart w:id="3389" w:name="_Toc38442956"/>
      <w:bookmarkStart w:id="3390" w:name="_Toc38443287"/>
      <w:bookmarkStart w:id="3391" w:name="_Toc38443618"/>
      <w:bookmarkStart w:id="3392" w:name="_Toc38443948"/>
      <w:bookmarkStart w:id="3393" w:name="_Toc38438416"/>
      <w:bookmarkStart w:id="3394" w:name="_Toc38438753"/>
      <w:bookmarkStart w:id="3395" w:name="_Toc38439090"/>
      <w:bookmarkStart w:id="3396" w:name="_Toc38439427"/>
      <w:bookmarkStart w:id="3397" w:name="_Toc38439764"/>
      <w:bookmarkStart w:id="3398" w:name="_Toc38440101"/>
      <w:bookmarkStart w:id="3399" w:name="_Toc38440438"/>
      <w:bookmarkStart w:id="3400" w:name="_Toc38440970"/>
      <w:bookmarkStart w:id="3401" w:name="_Toc38441302"/>
      <w:bookmarkStart w:id="3402" w:name="_Toc38441634"/>
      <w:bookmarkStart w:id="3403" w:name="_Toc38441962"/>
      <w:bookmarkStart w:id="3404" w:name="_Toc38442294"/>
      <w:bookmarkStart w:id="3405" w:name="_Toc38442626"/>
      <w:bookmarkStart w:id="3406" w:name="_Toc38442957"/>
      <w:bookmarkStart w:id="3407" w:name="_Toc38443288"/>
      <w:bookmarkStart w:id="3408" w:name="_Toc38443619"/>
      <w:bookmarkStart w:id="3409" w:name="_Toc38443949"/>
      <w:bookmarkStart w:id="3410" w:name="_Toc38438417"/>
      <w:bookmarkStart w:id="3411" w:name="_Toc38438754"/>
      <w:bookmarkStart w:id="3412" w:name="_Toc38439091"/>
      <w:bookmarkStart w:id="3413" w:name="_Toc38439428"/>
      <w:bookmarkStart w:id="3414" w:name="_Toc38439765"/>
      <w:bookmarkStart w:id="3415" w:name="_Toc38440102"/>
      <w:bookmarkStart w:id="3416" w:name="_Toc38440439"/>
      <w:bookmarkStart w:id="3417" w:name="_Toc38440971"/>
      <w:bookmarkStart w:id="3418" w:name="_Toc38441303"/>
      <w:bookmarkStart w:id="3419" w:name="_Toc38441635"/>
      <w:bookmarkStart w:id="3420" w:name="_Toc38441963"/>
      <w:bookmarkStart w:id="3421" w:name="_Toc38442295"/>
      <w:bookmarkStart w:id="3422" w:name="_Toc38442627"/>
      <w:bookmarkStart w:id="3423" w:name="_Toc38442958"/>
      <w:bookmarkStart w:id="3424" w:name="_Toc38443289"/>
      <w:bookmarkStart w:id="3425" w:name="_Toc38443620"/>
      <w:bookmarkStart w:id="3426" w:name="_Toc38443950"/>
      <w:bookmarkStart w:id="3427" w:name="_Toc38438418"/>
      <w:bookmarkStart w:id="3428" w:name="_Toc38438755"/>
      <w:bookmarkStart w:id="3429" w:name="_Toc38439092"/>
      <w:bookmarkStart w:id="3430" w:name="_Toc38439429"/>
      <w:bookmarkStart w:id="3431" w:name="_Toc38439766"/>
      <w:bookmarkStart w:id="3432" w:name="_Toc38440103"/>
      <w:bookmarkStart w:id="3433" w:name="_Toc38440440"/>
      <w:bookmarkStart w:id="3434" w:name="_Toc38440972"/>
      <w:bookmarkStart w:id="3435" w:name="_Toc38441304"/>
      <w:bookmarkStart w:id="3436" w:name="_Toc38441636"/>
      <w:bookmarkStart w:id="3437" w:name="_Toc38441964"/>
      <w:bookmarkStart w:id="3438" w:name="_Toc38442296"/>
      <w:bookmarkStart w:id="3439" w:name="_Toc38442628"/>
      <w:bookmarkStart w:id="3440" w:name="_Toc38442959"/>
      <w:bookmarkStart w:id="3441" w:name="_Toc38443290"/>
      <w:bookmarkStart w:id="3442" w:name="_Toc38443621"/>
      <w:bookmarkStart w:id="3443" w:name="_Toc38443951"/>
      <w:bookmarkStart w:id="3444" w:name="_Toc38438419"/>
      <w:bookmarkStart w:id="3445" w:name="_Toc38438756"/>
      <w:bookmarkStart w:id="3446" w:name="_Toc38439093"/>
      <w:bookmarkStart w:id="3447" w:name="_Toc38439430"/>
      <w:bookmarkStart w:id="3448" w:name="_Toc38439767"/>
      <w:bookmarkStart w:id="3449" w:name="_Toc38440104"/>
      <w:bookmarkStart w:id="3450" w:name="_Toc38440441"/>
      <w:bookmarkStart w:id="3451" w:name="_Toc38440973"/>
      <w:bookmarkStart w:id="3452" w:name="_Toc38441305"/>
      <w:bookmarkStart w:id="3453" w:name="_Toc38441637"/>
      <w:bookmarkStart w:id="3454" w:name="_Toc38441965"/>
      <w:bookmarkStart w:id="3455" w:name="_Toc38442297"/>
      <w:bookmarkStart w:id="3456" w:name="_Toc38442629"/>
      <w:bookmarkStart w:id="3457" w:name="_Toc38442960"/>
      <w:bookmarkStart w:id="3458" w:name="_Toc38443291"/>
      <w:bookmarkStart w:id="3459" w:name="_Toc38443622"/>
      <w:bookmarkStart w:id="3460" w:name="_Toc38443952"/>
      <w:bookmarkStart w:id="3461" w:name="_Toc38438420"/>
      <w:bookmarkStart w:id="3462" w:name="_Toc38438757"/>
      <w:bookmarkStart w:id="3463" w:name="_Toc38439094"/>
      <w:bookmarkStart w:id="3464" w:name="_Toc38439431"/>
      <w:bookmarkStart w:id="3465" w:name="_Toc38439768"/>
      <w:bookmarkStart w:id="3466" w:name="_Toc38440105"/>
      <w:bookmarkStart w:id="3467" w:name="_Toc38440442"/>
      <w:bookmarkStart w:id="3468" w:name="_Toc38440974"/>
      <w:bookmarkStart w:id="3469" w:name="_Toc38441306"/>
      <w:bookmarkStart w:id="3470" w:name="_Toc38441638"/>
      <w:bookmarkStart w:id="3471" w:name="_Toc38441966"/>
      <w:bookmarkStart w:id="3472" w:name="_Toc38442298"/>
      <w:bookmarkStart w:id="3473" w:name="_Toc38442630"/>
      <w:bookmarkStart w:id="3474" w:name="_Toc38442961"/>
      <w:bookmarkStart w:id="3475" w:name="_Toc38443292"/>
      <w:bookmarkStart w:id="3476" w:name="_Toc38443623"/>
      <w:bookmarkStart w:id="3477" w:name="_Toc38443953"/>
      <w:bookmarkStart w:id="3478" w:name="_Toc38438421"/>
      <w:bookmarkStart w:id="3479" w:name="_Toc38438758"/>
      <w:bookmarkStart w:id="3480" w:name="_Toc38439095"/>
      <w:bookmarkStart w:id="3481" w:name="_Toc38439432"/>
      <w:bookmarkStart w:id="3482" w:name="_Toc38439769"/>
      <w:bookmarkStart w:id="3483" w:name="_Toc38440106"/>
      <w:bookmarkStart w:id="3484" w:name="_Toc38440443"/>
      <w:bookmarkStart w:id="3485" w:name="_Toc38440975"/>
      <w:bookmarkStart w:id="3486" w:name="_Toc38441307"/>
      <w:bookmarkStart w:id="3487" w:name="_Toc38441639"/>
      <w:bookmarkStart w:id="3488" w:name="_Toc38441967"/>
      <w:bookmarkStart w:id="3489" w:name="_Toc38442299"/>
      <w:bookmarkStart w:id="3490" w:name="_Toc38442631"/>
      <w:bookmarkStart w:id="3491" w:name="_Toc38442962"/>
      <w:bookmarkStart w:id="3492" w:name="_Toc38443293"/>
      <w:bookmarkStart w:id="3493" w:name="_Toc38443624"/>
      <w:bookmarkStart w:id="3494" w:name="_Toc38443954"/>
      <w:bookmarkStart w:id="3495" w:name="_Toc38438422"/>
      <w:bookmarkStart w:id="3496" w:name="_Toc38438759"/>
      <w:bookmarkStart w:id="3497" w:name="_Toc38439096"/>
      <w:bookmarkStart w:id="3498" w:name="_Toc38439433"/>
      <w:bookmarkStart w:id="3499" w:name="_Toc38439770"/>
      <w:bookmarkStart w:id="3500" w:name="_Toc38440107"/>
      <w:bookmarkStart w:id="3501" w:name="_Toc38440444"/>
      <w:bookmarkStart w:id="3502" w:name="_Toc38440976"/>
      <w:bookmarkStart w:id="3503" w:name="_Toc38441308"/>
      <w:bookmarkStart w:id="3504" w:name="_Toc38441640"/>
      <w:bookmarkStart w:id="3505" w:name="_Toc38441968"/>
      <w:bookmarkStart w:id="3506" w:name="_Toc38442300"/>
      <w:bookmarkStart w:id="3507" w:name="_Toc38442632"/>
      <w:bookmarkStart w:id="3508" w:name="_Toc38442963"/>
      <w:bookmarkStart w:id="3509" w:name="_Toc38443294"/>
      <w:bookmarkStart w:id="3510" w:name="_Toc38443625"/>
      <w:bookmarkStart w:id="3511" w:name="_Toc38443955"/>
      <w:bookmarkStart w:id="3512" w:name="_Toc38438423"/>
      <w:bookmarkStart w:id="3513" w:name="_Toc38438760"/>
      <w:bookmarkStart w:id="3514" w:name="_Toc38439097"/>
      <w:bookmarkStart w:id="3515" w:name="_Toc38439434"/>
      <w:bookmarkStart w:id="3516" w:name="_Toc38439771"/>
      <w:bookmarkStart w:id="3517" w:name="_Toc38440108"/>
      <w:bookmarkStart w:id="3518" w:name="_Toc38440445"/>
      <w:bookmarkStart w:id="3519" w:name="_Toc38440977"/>
      <w:bookmarkStart w:id="3520" w:name="_Toc38441309"/>
      <w:bookmarkStart w:id="3521" w:name="_Toc38441641"/>
      <w:bookmarkStart w:id="3522" w:name="_Toc38441969"/>
      <w:bookmarkStart w:id="3523" w:name="_Toc38442301"/>
      <w:bookmarkStart w:id="3524" w:name="_Toc38442633"/>
      <w:bookmarkStart w:id="3525" w:name="_Toc38442964"/>
      <w:bookmarkStart w:id="3526" w:name="_Toc38443295"/>
      <w:bookmarkStart w:id="3527" w:name="_Toc38443626"/>
      <w:bookmarkStart w:id="3528" w:name="_Toc38443956"/>
      <w:bookmarkStart w:id="3529" w:name="_Toc38438424"/>
      <w:bookmarkStart w:id="3530" w:name="_Toc38438761"/>
      <w:bookmarkStart w:id="3531" w:name="_Toc38439098"/>
      <w:bookmarkStart w:id="3532" w:name="_Toc38439435"/>
      <w:bookmarkStart w:id="3533" w:name="_Toc38439772"/>
      <w:bookmarkStart w:id="3534" w:name="_Toc38440109"/>
      <w:bookmarkStart w:id="3535" w:name="_Toc38440446"/>
      <w:bookmarkStart w:id="3536" w:name="_Toc38440978"/>
      <w:bookmarkStart w:id="3537" w:name="_Toc38441310"/>
      <w:bookmarkStart w:id="3538" w:name="_Toc38441642"/>
      <w:bookmarkStart w:id="3539" w:name="_Toc38441970"/>
      <w:bookmarkStart w:id="3540" w:name="_Toc38442302"/>
      <w:bookmarkStart w:id="3541" w:name="_Toc38442634"/>
      <w:bookmarkStart w:id="3542" w:name="_Toc38442965"/>
      <w:bookmarkStart w:id="3543" w:name="_Toc38443296"/>
      <w:bookmarkStart w:id="3544" w:name="_Toc38443627"/>
      <w:bookmarkStart w:id="3545" w:name="_Toc38443957"/>
      <w:bookmarkStart w:id="3546" w:name="_Toc38438425"/>
      <w:bookmarkStart w:id="3547" w:name="_Toc38438762"/>
      <w:bookmarkStart w:id="3548" w:name="_Toc38439099"/>
      <w:bookmarkStart w:id="3549" w:name="_Toc38439436"/>
      <w:bookmarkStart w:id="3550" w:name="_Toc38439773"/>
      <w:bookmarkStart w:id="3551" w:name="_Toc38440110"/>
      <w:bookmarkStart w:id="3552" w:name="_Toc38440447"/>
      <w:bookmarkStart w:id="3553" w:name="_Toc38440979"/>
      <w:bookmarkStart w:id="3554" w:name="_Toc38441311"/>
      <w:bookmarkStart w:id="3555" w:name="_Toc38441643"/>
      <w:bookmarkStart w:id="3556" w:name="_Toc38441971"/>
      <w:bookmarkStart w:id="3557" w:name="_Toc38442303"/>
      <w:bookmarkStart w:id="3558" w:name="_Toc38442635"/>
      <w:bookmarkStart w:id="3559" w:name="_Toc38442966"/>
      <w:bookmarkStart w:id="3560" w:name="_Toc38443297"/>
      <w:bookmarkStart w:id="3561" w:name="_Toc38443628"/>
      <w:bookmarkStart w:id="3562" w:name="_Toc38443958"/>
      <w:bookmarkStart w:id="3563" w:name="_Toc38438426"/>
      <w:bookmarkStart w:id="3564" w:name="_Toc38438763"/>
      <w:bookmarkStart w:id="3565" w:name="_Toc38439100"/>
      <w:bookmarkStart w:id="3566" w:name="_Toc38439437"/>
      <w:bookmarkStart w:id="3567" w:name="_Toc38439774"/>
      <w:bookmarkStart w:id="3568" w:name="_Toc38440111"/>
      <w:bookmarkStart w:id="3569" w:name="_Toc38440448"/>
      <w:bookmarkStart w:id="3570" w:name="_Toc38440980"/>
      <w:bookmarkStart w:id="3571" w:name="_Toc38441312"/>
      <w:bookmarkStart w:id="3572" w:name="_Toc38441644"/>
      <w:bookmarkStart w:id="3573" w:name="_Toc38441972"/>
      <w:bookmarkStart w:id="3574" w:name="_Toc38442304"/>
      <w:bookmarkStart w:id="3575" w:name="_Toc38442636"/>
      <w:bookmarkStart w:id="3576" w:name="_Toc38442967"/>
      <w:bookmarkStart w:id="3577" w:name="_Toc38443298"/>
      <w:bookmarkStart w:id="3578" w:name="_Toc38443629"/>
      <w:bookmarkStart w:id="3579" w:name="_Toc38443959"/>
      <w:bookmarkStart w:id="3580" w:name="_Toc38438427"/>
      <w:bookmarkStart w:id="3581" w:name="_Toc38438764"/>
      <w:bookmarkStart w:id="3582" w:name="_Toc38439101"/>
      <w:bookmarkStart w:id="3583" w:name="_Toc38439438"/>
      <w:bookmarkStart w:id="3584" w:name="_Toc38439775"/>
      <w:bookmarkStart w:id="3585" w:name="_Toc38440112"/>
      <w:bookmarkStart w:id="3586" w:name="_Toc38440449"/>
      <w:bookmarkStart w:id="3587" w:name="_Toc38440981"/>
      <w:bookmarkStart w:id="3588" w:name="_Toc38441313"/>
      <w:bookmarkStart w:id="3589" w:name="_Toc38441645"/>
      <w:bookmarkStart w:id="3590" w:name="_Toc38441973"/>
      <w:bookmarkStart w:id="3591" w:name="_Toc38442305"/>
      <w:bookmarkStart w:id="3592" w:name="_Toc38442637"/>
      <w:bookmarkStart w:id="3593" w:name="_Toc38442968"/>
      <w:bookmarkStart w:id="3594" w:name="_Toc38443299"/>
      <w:bookmarkStart w:id="3595" w:name="_Toc38443630"/>
      <w:bookmarkStart w:id="3596" w:name="_Toc38443960"/>
      <w:bookmarkStart w:id="3597" w:name="_Toc38438428"/>
      <w:bookmarkStart w:id="3598" w:name="_Toc38438765"/>
      <w:bookmarkStart w:id="3599" w:name="_Toc38439102"/>
      <w:bookmarkStart w:id="3600" w:name="_Toc38439439"/>
      <w:bookmarkStart w:id="3601" w:name="_Toc38439776"/>
      <w:bookmarkStart w:id="3602" w:name="_Toc38440113"/>
      <w:bookmarkStart w:id="3603" w:name="_Toc38440450"/>
      <w:bookmarkStart w:id="3604" w:name="_Toc38440982"/>
      <w:bookmarkStart w:id="3605" w:name="_Toc38441314"/>
      <w:bookmarkStart w:id="3606" w:name="_Toc38441646"/>
      <w:bookmarkStart w:id="3607" w:name="_Toc38441974"/>
      <w:bookmarkStart w:id="3608" w:name="_Toc38442306"/>
      <w:bookmarkStart w:id="3609" w:name="_Toc38442638"/>
      <w:bookmarkStart w:id="3610" w:name="_Toc38442969"/>
      <w:bookmarkStart w:id="3611" w:name="_Toc38443300"/>
      <w:bookmarkStart w:id="3612" w:name="_Toc38443631"/>
      <w:bookmarkStart w:id="3613" w:name="_Toc38443961"/>
      <w:bookmarkStart w:id="3614" w:name="_Toc38438429"/>
      <w:bookmarkStart w:id="3615" w:name="_Toc38438766"/>
      <w:bookmarkStart w:id="3616" w:name="_Toc38439103"/>
      <w:bookmarkStart w:id="3617" w:name="_Toc38439440"/>
      <w:bookmarkStart w:id="3618" w:name="_Toc38439777"/>
      <w:bookmarkStart w:id="3619" w:name="_Toc38440114"/>
      <w:bookmarkStart w:id="3620" w:name="_Toc38440451"/>
      <w:bookmarkStart w:id="3621" w:name="_Toc38440983"/>
      <w:bookmarkStart w:id="3622" w:name="_Toc38441315"/>
      <w:bookmarkStart w:id="3623" w:name="_Toc38441647"/>
      <w:bookmarkStart w:id="3624" w:name="_Toc38441975"/>
      <w:bookmarkStart w:id="3625" w:name="_Toc38442307"/>
      <w:bookmarkStart w:id="3626" w:name="_Toc38442639"/>
      <w:bookmarkStart w:id="3627" w:name="_Toc38442970"/>
      <w:bookmarkStart w:id="3628" w:name="_Toc38443301"/>
      <w:bookmarkStart w:id="3629" w:name="_Toc38443632"/>
      <w:bookmarkStart w:id="3630" w:name="_Toc38443962"/>
      <w:bookmarkStart w:id="3631" w:name="_Toc38438430"/>
      <w:bookmarkStart w:id="3632" w:name="_Toc38438767"/>
      <w:bookmarkStart w:id="3633" w:name="_Toc38439104"/>
      <w:bookmarkStart w:id="3634" w:name="_Toc38439441"/>
      <w:bookmarkStart w:id="3635" w:name="_Toc38439778"/>
      <w:bookmarkStart w:id="3636" w:name="_Toc38440115"/>
      <w:bookmarkStart w:id="3637" w:name="_Toc38440452"/>
      <w:bookmarkStart w:id="3638" w:name="_Toc38440984"/>
      <w:bookmarkStart w:id="3639" w:name="_Toc38441316"/>
      <w:bookmarkStart w:id="3640" w:name="_Toc38441648"/>
      <w:bookmarkStart w:id="3641" w:name="_Toc38441976"/>
      <w:bookmarkStart w:id="3642" w:name="_Toc38442308"/>
      <w:bookmarkStart w:id="3643" w:name="_Toc38442640"/>
      <w:bookmarkStart w:id="3644" w:name="_Toc38442971"/>
      <w:bookmarkStart w:id="3645" w:name="_Toc38443302"/>
      <w:bookmarkStart w:id="3646" w:name="_Toc38443633"/>
      <w:bookmarkStart w:id="3647" w:name="_Toc38443963"/>
      <w:bookmarkStart w:id="3648" w:name="_Toc38438431"/>
      <w:bookmarkStart w:id="3649" w:name="_Toc38438768"/>
      <w:bookmarkStart w:id="3650" w:name="_Toc38439105"/>
      <w:bookmarkStart w:id="3651" w:name="_Toc38439442"/>
      <w:bookmarkStart w:id="3652" w:name="_Toc38439779"/>
      <w:bookmarkStart w:id="3653" w:name="_Toc38440116"/>
      <w:bookmarkStart w:id="3654" w:name="_Toc38440453"/>
      <w:bookmarkStart w:id="3655" w:name="_Toc38440985"/>
      <w:bookmarkStart w:id="3656" w:name="_Toc38441317"/>
      <w:bookmarkStart w:id="3657" w:name="_Toc38441649"/>
      <w:bookmarkStart w:id="3658" w:name="_Toc38441977"/>
      <w:bookmarkStart w:id="3659" w:name="_Toc38442309"/>
      <w:bookmarkStart w:id="3660" w:name="_Toc38442641"/>
      <w:bookmarkStart w:id="3661" w:name="_Toc38442972"/>
      <w:bookmarkStart w:id="3662" w:name="_Toc38443303"/>
      <w:bookmarkStart w:id="3663" w:name="_Toc38443634"/>
      <w:bookmarkStart w:id="3664" w:name="_Toc38443964"/>
      <w:bookmarkStart w:id="3665" w:name="_Toc38438432"/>
      <w:bookmarkStart w:id="3666" w:name="_Toc38438769"/>
      <w:bookmarkStart w:id="3667" w:name="_Toc38439106"/>
      <w:bookmarkStart w:id="3668" w:name="_Toc38439443"/>
      <w:bookmarkStart w:id="3669" w:name="_Toc38439780"/>
      <w:bookmarkStart w:id="3670" w:name="_Toc38440117"/>
      <w:bookmarkStart w:id="3671" w:name="_Toc38440454"/>
      <w:bookmarkStart w:id="3672" w:name="_Toc38440986"/>
      <w:bookmarkStart w:id="3673" w:name="_Toc38441318"/>
      <w:bookmarkStart w:id="3674" w:name="_Toc38441650"/>
      <w:bookmarkStart w:id="3675" w:name="_Toc38441978"/>
      <w:bookmarkStart w:id="3676" w:name="_Toc38442310"/>
      <w:bookmarkStart w:id="3677" w:name="_Toc38442642"/>
      <w:bookmarkStart w:id="3678" w:name="_Toc38442973"/>
      <w:bookmarkStart w:id="3679" w:name="_Toc38443304"/>
      <w:bookmarkStart w:id="3680" w:name="_Toc38443635"/>
      <w:bookmarkStart w:id="3681" w:name="_Toc38443965"/>
      <w:bookmarkStart w:id="3682" w:name="_Toc38438433"/>
      <w:bookmarkStart w:id="3683" w:name="_Toc38438770"/>
      <w:bookmarkStart w:id="3684" w:name="_Toc38439107"/>
      <w:bookmarkStart w:id="3685" w:name="_Toc38439444"/>
      <w:bookmarkStart w:id="3686" w:name="_Toc38439781"/>
      <w:bookmarkStart w:id="3687" w:name="_Toc38440118"/>
      <w:bookmarkStart w:id="3688" w:name="_Toc38440455"/>
      <w:bookmarkStart w:id="3689" w:name="_Toc38440987"/>
      <w:bookmarkStart w:id="3690" w:name="_Toc38441319"/>
      <w:bookmarkStart w:id="3691" w:name="_Toc38441651"/>
      <w:bookmarkStart w:id="3692" w:name="_Toc38441979"/>
      <w:bookmarkStart w:id="3693" w:name="_Toc38442311"/>
      <w:bookmarkStart w:id="3694" w:name="_Toc38442643"/>
      <w:bookmarkStart w:id="3695" w:name="_Toc38442974"/>
      <w:bookmarkStart w:id="3696" w:name="_Toc38443305"/>
      <w:bookmarkStart w:id="3697" w:name="_Toc38443636"/>
      <w:bookmarkStart w:id="3698" w:name="_Toc38443966"/>
      <w:bookmarkStart w:id="3699" w:name="_Toc38438434"/>
      <w:bookmarkStart w:id="3700" w:name="_Toc38438771"/>
      <w:bookmarkStart w:id="3701" w:name="_Toc38439108"/>
      <w:bookmarkStart w:id="3702" w:name="_Toc38439445"/>
      <w:bookmarkStart w:id="3703" w:name="_Toc38439782"/>
      <w:bookmarkStart w:id="3704" w:name="_Toc38440119"/>
      <w:bookmarkStart w:id="3705" w:name="_Toc38440456"/>
      <w:bookmarkStart w:id="3706" w:name="_Toc38440988"/>
      <w:bookmarkStart w:id="3707" w:name="_Toc38441320"/>
      <w:bookmarkStart w:id="3708" w:name="_Toc38441652"/>
      <w:bookmarkStart w:id="3709" w:name="_Toc38441980"/>
      <w:bookmarkStart w:id="3710" w:name="_Toc38442312"/>
      <w:bookmarkStart w:id="3711" w:name="_Toc38442644"/>
      <w:bookmarkStart w:id="3712" w:name="_Toc38442975"/>
      <w:bookmarkStart w:id="3713" w:name="_Toc38443306"/>
      <w:bookmarkStart w:id="3714" w:name="_Toc38443637"/>
      <w:bookmarkStart w:id="3715" w:name="_Toc38443967"/>
      <w:bookmarkStart w:id="3716" w:name="_Toc38438435"/>
      <w:bookmarkStart w:id="3717" w:name="_Toc38438772"/>
      <w:bookmarkStart w:id="3718" w:name="_Toc38439109"/>
      <w:bookmarkStart w:id="3719" w:name="_Toc38439446"/>
      <w:bookmarkStart w:id="3720" w:name="_Toc38439783"/>
      <w:bookmarkStart w:id="3721" w:name="_Toc38440120"/>
      <w:bookmarkStart w:id="3722" w:name="_Toc38440457"/>
      <w:bookmarkStart w:id="3723" w:name="_Toc38440989"/>
      <w:bookmarkStart w:id="3724" w:name="_Toc38441321"/>
      <w:bookmarkStart w:id="3725" w:name="_Toc38441653"/>
      <w:bookmarkStart w:id="3726" w:name="_Toc38441981"/>
      <w:bookmarkStart w:id="3727" w:name="_Toc38442313"/>
      <w:bookmarkStart w:id="3728" w:name="_Toc38442645"/>
      <w:bookmarkStart w:id="3729" w:name="_Toc38442976"/>
      <w:bookmarkStart w:id="3730" w:name="_Toc38443307"/>
      <w:bookmarkStart w:id="3731" w:name="_Toc38443638"/>
      <w:bookmarkStart w:id="3732" w:name="_Toc38443968"/>
      <w:bookmarkStart w:id="3733" w:name="_Toc38438436"/>
      <w:bookmarkStart w:id="3734" w:name="_Toc38438773"/>
      <w:bookmarkStart w:id="3735" w:name="_Toc38439110"/>
      <w:bookmarkStart w:id="3736" w:name="_Toc38439447"/>
      <w:bookmarkStart w:id="3737" w:name="_Toc38439784"/>
      <w:bookmarkStart w:id="3738" w:name="_Toc38440121"/>
      <w:bookmarkStart w:id="3739" w:name="_Toc38440458"/>
      <w:bookmarkStart w:id="3740" w:name="_Toc38440990"/>
      <w:bookmarkStart w:id="3741" w:name="_Toc38441322"/>
      <w:bookmarkStart w:id="3742" w:name="_Toc38441654"/>
      <w:bookmarkStart w:id="3743" w:name="_Toc38441982"/>
      <w:bookmarkStart w:id="3744" w:name="_Toc38442314"/>
      <w:bookmarkStart w:id="3745" w:name="_Toc38442646"/>
      <w:bookmarkStart w:id="3746" w:name="_Toc38442977"/>
      <w:bookmarkStart w:id="3747" w:name="_Toc38443308"/>
      <w:bookmarkStart w:id="3748" w:name="_Toc38443639"/>
      <w:bookmarkStart w:id="3749" w:name="_Toc38443969"/>
      <w:bookmarkStart w:id="3750" w:name="_Toc38438437"/>
      <w:bookmarkStart w:id="3751" w:name="_Toc38438774"/>
      <w:bookmarkStart w:id="3752" w:name="_Toc38439111"/>
      <w:bookmarkStart w:id="3753" w:name="_Toc38439448"/>
      <w:bookmarkStart w:id="3754" w:name="_Toc38439785"/>
      <w:bookmarkStart w:id="3755" w:name="_Toc38440122"/>
      <w:bookmarkStart w:id="3756" w:name="_Toc38440459"/>
      <w:bookmarkStart w:id="3757" w:name="_Toc38440991"/>
      <w:bookmarkStart w:id="3758" w:name="_Toc38441323"/>
      <w:bookmarkStart w:id="3759" w:name="_Toc38441655"/>
      <w:bookmarkStart w:id="3760" w:name="_Toc38441983"/>
      <w:bookmarkStart w:id="3761" w:name="_Toc38442315"/>
      <w:bookmarkStart w:id="3762" w:name="_Toc38442647"/>
      <w:bookmarkStart w:id="3763" w:name="_Toc38442978"/>
      <w:bookmarkStart w:id="3764" w:name="_Toc38443309"/>
      <w:bookmarkStart w:id="3765" w:name="_Toc38443640"/>
      <w:bookmarkStart w:id="3766" w:name="_Toc38443970"/>
      <w:bookmarkStart w:id="3767" w:name="_Toc38438438"/>
      <w:bookmarkStart w:id="3768" w:name="_Toc38438775"/>
      <w:bookmarkStart w:id="3769" w:name="_Toc38439112"/>
      <w:bookmarkStart w:id="3770" w:name="_Toc38439449"/>
      <w:bookmarkStart w:id="3771" w:name="_Toc38439786"/>
      <w:bookmarkStart w:id="3772" w:name="_Toc38440123"/>
      <w:bookmarkStart w:id="3773" w:name="_Toc38440460"/>
      <w:bookmarkStart w:id="3774" w:name="_Toc38440992"/>
      <w:bookmarkStart w:id="3775" w:name="_Toc38441324"/>
      <w:bookmarkStart w:id="3776" w:name="_Toc38441656"/>
      <w:bookmarkStart w:id="3777" w:name="_Toc38441984"/>
      <w:bookmarkStart w:id="3778" w:name="_Toc38442316"/>
      <w:bookmarkStart w:id="3779" w:name="_Toc38442648"/>
      <w:bookmarkStart w:id="3780" w:name="_Toc38442979"/>
      <w:bookmarkStart w:id="3781" w:name="_Toc38443310"/>
      <w:bookmarkStart w:id="3782" w:name="_Toc38443641"/>
      <w:bookmarkStart w:id="3783" w:name="_Toc38443971"/>
      <w:bookmarkStart w:id="3784" w:name="_Toc38438439"/>
      <w:bookmarkStart w:id="3785" w:name="_Toc38438776"/>
      <w:bookmarkStart w:id="3786" w:name="_Toc38439113"/>
      <w:bookmarkStart w:id="3787" w:name="_Toc38439450"/>
      <w:bookmarkStart w:id="3788" w:name="_Toc38439787"/>
      <w:bookmarkStart w:id="3789" w:name="_Toc38440124"/>
      <w:bookmarkStart w:id="3790" w:name="_Toc38440461"/>
      <w:bookmarkStart w:id="3791" w:name="_Toc38440993"/>
      <w:bookmarkStart w:id="3792" w:name="_Toc38441325"/>
      <w:bookmarkStart w:id="3793" w:name="_Toc38441657"/>
      <w:bookmarkStart w:id="3794" w:name="_Toc38441985"/>
      <w:bookmarkStart w:id="3795" w:name="_Toc38442317"/>
      <w:bookmarkStart w:id="3796" w:name="_Toc38442649"/>
      <w:bookmarkStart w:id="3797" w:name="_Toc38442980"/>
      <w:bookmarkStart w:id="3798" w:name="_Toc38443311"/>
      <w:bookmarkStart w:id="3799" w:name="_Toc38443642"/>
      <w:bookmarkStart w:id="3800" w:name="_Toc38443972"/>
      <w:bookmarkStart w:id="3801" w:name="_Toc38438440"/>
      <w:bookmarkStart w:id="3802" w:name="_Toc38438777"/>
      <w:bookmarkStart w:id="3803" w:name="_Toc38439114"/>
      <w:bookmarkStart w:id="3804" w:name="_Toc38439451"/>
      <w:bookmarkStart w:id="3805" w:name="_Toc38439788"/>
      <w:bookmarkStart w:id="3806" w:name="_Toc38440125"/>
      <w:bookmarkStart w:id="3807" w:name="_Toc38440462"/>
      <w:bookmarkStart w:id="3808" w:name="_Toc38440994"/>
      <w:bookmarkStart w:id="3809" w:name="_Toc38441326"/>
      <w:bookmarkStart w:id="3810" w:name="_Toc38441658"/>
      <w:bookmarkStart w:id="3811" w:name="_Toc38441986"/>
      <w:bookmarkStart w:id="3812" w:name="_Toc38442318"/>
      <w:bookmarkStart w:id="3813" w:name="_Toc38442650"/>
      <w:bookmarkStart w:id="3814" w:name="_Toc38442981"/>
      <w:bookmarkStart w:id="3815" w:name="_Toc38443312"/>
      <w:bookmarkStart w:id="3816" w:name="_Toc38443643"/>
      <w:bookmarkStart w:id="3817" w:name="_Toc38443973"/>
      <w:bookmarkStart w:id="3818" w:name="_Toc38438441"/>
      <w:bookmarkStart w:id="3819" w:name="_Toc38438778"/>
      <w:bookmarkStart w:id="3820" w:name="_Toc38439115"/>
      <w:bookmarkStart w:id="3821" w:name="_Toc38439452"/>
      <w:bookmarkStart w:id="3822" w:name="_Toc38439789"/>
      <w:bookmarkStart w:id="3823" w:name="_Toc38440126"/>
      <w:bookmarkStart w:id="3824" w:name="_Toc38440463"/>
      <w:bookmarkStart w:id="3825" w:name="_Toc38440995"/>
      <w:bookmarkStart w:id="3826" w:name="_Toc38441327"/>
      <w:bookmarkStart w:id="3827" w:name="_Toc38441659"/>
      <w:bookmarkStart w:id="3828" w:name="_Toc38441987"/>
      <w:bookmarkStart w:id="3829" w:name="_Toc38442319"/>
      <w:bookmarkStart w:id="3830" w:name="_Toc38442651"/>
      <w:bookmarkStart w:id="3831" w:name="_Toc38442982"/>
      <w:bookmarkStart w:id="3832" w:name="_Toc38443313"/>
      <w:bookmarkStart w:id="3833" w:name="_Toc38443644"/>
      <w:bookmarkStart w:id="3834" w:name="_Toc38443974"/>
      <w:bookmarkStart w:id="3835" w:name="_Toc38438442"/>
      <w:bookmarkStart w:id="3836" w:name="_Toc38438779"/>
      <w:bookmarkStart w:id="3837" w:name="_Toc38439116"/>
      <w:bookmarkStart w:id="3838" w:name="_Toc38439453"/>
      <w:bookmarkStart w:id="3839" w:name="_Toc38439790"/>
      <w:bookmarkStart w:id="3840" w:name="_Toc38440127"/>
      <w:bookmarkStart w:id="3841" w:name="_Toc38440464"/>
      <w:bookmarkStart w:id="3842" w:name="_Toc38440996"/>
      <w:bookmarkStart w:id="3843" w:name="_Toc38441328"/>
      <w:bookmarkStart w:id="3844" w:name="_Toc38441660"/>
      <w:bookmarkStart w:id="3845" w:name="_Toc38441988"/>
      <w:bookmarkStart w:id="3846" w:name="_Toc38442320"/>
      <w:bookmarkStart w:id="3847" w:name="_Toc38442652"/>
      <w:bookmarkStart w:id="3848" w:name="_Toc38442983"/>
      <w:bookmarkStart w:id="3849" w:name="_Toc38443314"/>
      <w:bookmarkStart w:id="3850" w:name="_Toc38443645"/>
      <w:bookmarkStart w:id="3851" w:name="_Toc38443975"/>
      <w:bookmarkStart w:id="3852" w:name="_Toc38438443"/>
      <w:bookmarkStart w:id="3853" w:name="_Toc38438780"/>
      <w:bookmarkStart w:id="3854" w:name="_Toc38439117"/>
      <w:bookmarkStart w:id="3855" w:name="_Toc38439454"/>
      <w:bookmarkStart w:id="3856" w:name="_Toc38439791"/>
      <w:bookmarkStart w:id="3857" w:name="_Toc38440128"/>
      <w:bookmarkStart w:id="3858" w:name="_Toc38440465"/>
      <w:bookmarkStart w:id="3859" w:name="_Toc38440997"/>
      <w:bookmarkStart w:id="3860" w:name="_Toc38441329"/>
      <w:bookmarkStart w:id="3861" w:name="_Toc38441661"/>
      <w:bookmarkStart w:id="3862" w:name="_Toc38441989"/>
      <w:bookmarkStart w:id="3863" w:name="_Toc38442321"/>
      <w:bookmarkStart w:id="3864" w:name="_Toc38442653"/>
      <w:bookmarkStart w:id="3865" w:name="_Toc38442984"/>
      <w:bookmarkStart w:id="3866" w:name="_Toc38443315"/>
      <w:bookmarkStart w:id="3867" w:name="_Toc38443646"/>
      <w:bookmarkStart w:id="3868" w:name="_Toc38443976"/>
      <w:bookmarkStart w:id="3869" w:name="_Toc38438444"/>
      <w:bookmarkStart w:id="3870" w:name="_Toc38438781"/>
      <w:bookmarkStart w:id="3871" w:name="_Toc38439118"/>
      <w:bookmarkStart w:id="3872" w:name="_Toc38439455"/>
      <w:bookmarkStart w:id="3873" w:name="_Toc38439792"/>
      <w:bookmarkStart w:id="3874" w:name="_Toc38440129"/>
      <w:bookmarkStart w:id="3875" w:name="_Toc38440466"/>
      <w:bookmarkStart w:id="3876" w:name="_Toc38440998"/>
      <w:bookmarkStart w:id="3877" w:name="_Toc38441330"/>
      <w:bookmarkStart w:id="3878" w:name="_Toc38441662"/>
      <w:bookmarkStart w:id="3879" w:name="_Toc38441990"/>
      <w:bookmarkStart w:id="3880" w:name="_Toc38442322"/>
      <w:bookmarkStart w:id="3881" w:name="_Toc38442654"/>
      <w:bookmarkStart w:id="3882" w:name="_Toc38442985"/>
      <w:bookmarkStart w:id="3883" w:name="_Toc38443316"/>
      <w:bookmarkStart w:id="3884" w:name="_Toc38443647"/>
      <w:bookmarkStart w:id="3885" w:name="_Toc38443977"/>
      <w:bookmarkStart w:id="3886" w:name="_Toc38438445"/>
      <w:bookmarkStart w:id="3887" w:name="_Toc38438782"/>
      <w:bookmarkStart w:id="3888" w:name="_Toc38439119"/>
      <w:bookmarkStart w:id="3889" w:name="_Toc38439456"/>
      <w:bookmarkStart w:id="3890" w:name="_Toc38439793"/>
      <w:bookmarkStart w:id="3891" w:name="_Toc38440130"/>
      <w:bookmarkStart w:id="3892" w:name="_Toc38440467"/>
      <w:bookmarkStart w:id="3893" w:name="_Toc38440999"/>
      <w:bookmarkStart w:id="3894" w:name="_Toc38441331"/>
      <w:bookmarkStart w:id="3895" w:name="_Toc38441663"/>
      <w:bookmarkStart w:id="3896" w:name="_Toc38441991"/>
      <w:bookmarkStart w:id="3897" w:name="_Toc38442323"/>
      <w:bookmarkStart w:id="3898" w:name="_Toc38442655"/>
      <w:bookmarkStart w:id="3899" w:name="_Toc38442986"/>
      <w:bookmarkStart w:id="3900" w:name="_Toc38443317"/>
      <w:bookmarkStart w:id="3901" w:name="_Toc38443648"/>
      <w:bookmarkStart w:id="3902" w:name="_Toc38443978"/>
      <w:bookmarkStart w:id="3903" w:name="_Toc38438446"/>
      <w:bookmarkStart w:id="3904" w:name="_Toc38438783"/>
      <w:bookmarkStart w:id="3905" w:name="_Toc38439120"/>
      <w:bookmarkStart w:id="3906" w:name="_Toc38439457"/>
      <w:bookmarkStart w:id="3907" w:name="_Toc38439794"/>
      <w:bookmarkStart w:id="3908" w:name="_Toc38440131"/>
      <w:bookmarkStart w:id="3909" w:name="_Toc38440468"/>
      <w:bookmarkStart w:id="3910" w:name="_Toc38441000"/>
      <w:bookmarkStart w:id="3911" w:name="_Toc38441332"/>
      <w:bookmarkStart w:id="3912" w:name="_Toc38441664"/>
      <w:bookmarkStart w:id="3913" w:name="_Toc38441992"/>
      <w:bookmarkStart w:id="3914" w:name="_Toc38442324"/>
      <w:bookmarkStart w:id="3915" w:name="_Toc38442656"/>
      <w:bookmarkStart w:id="3916" w:name="_Toc38442987"/>
      <w:bookmarkStart w:id="3917" w:name="_Toc38443318"/>
      <w:bookmarkStart w:id="3918" w:name="_Toc38443649"/>
      <w:bookmarkStart w:id="3919" w:name="_Toc38443979"/>
      <w:bookmarkStart w:id="3920" w:name="_Toc38438447"/>
      <w:bookmarkStart w:id="3921" w:name="_Toc38438784"/>
      <w:bookmarkStart w:id="3922" w:name="_Toc38439121"/>
      <w:bookmarkStart w:id="3923" w:name="_Toc38439458"/>
      <w:bookmarkStart w:id="3924" w:name="_Toc38439795"/>
      <w:bookmarkStart w:id="3925" w:name="_Toc38440132"/>
      <w:bookmarkStart w:id="3926" w:name="_Toc38440469"/>
      <w:bookmarkStart w:id="3927" w:name="_Toc38441001"/>
      <w:bookmarkStart w:id="3928" w:name="_Toc38441333"/>
      <w:bookmarkStart w:id="3929" w:name="_Toc38441665"/>
      <w:bookmarkStart w:id="3930" w:name="_Toc38441993"/>
      <w:bookmarkStart w:id="3931" w:name="_Toc38442325"/>
      <w:bookmarkStart w:id="3932" w:name="_Toc38442657"/>
      <w:bookmarkStart w:id="3933" w:name="_Toc38442988"/>
      <w:bookmarkStart w:id="3934" w:name="_Toc38443319"/>
      <w:bookmarkStart w:id="3935" w:name="_Toc38443650"/>
      <w:bookmarkStart w:id="3936" w:name="_Toc38443980"/>
      <w:bookmarkStart w:id="3937" w:name="_Toc38438448"/>
      <w:bookmarkStart w:id="3938" w:name="_Toc38438785"/>
      <w:bookmarkStart w:id="3939" w:name="_Toc38439122"/>
      <w:bookmarkStart w:id="3940" w:name="_Toc38439459"/>
      <w:bookmarkStart w:id="3941" w:name="_Toc38439796"/>
      <w:bookmarkStart w:id="3942" w:name="_Toc38440133"/>
      <w:bookmarkStart w:id="3943" w:name="_Toc38440470"/>
      <w:bookmarkStart w:id="3944" w:name="_Toc38441002"/>
      <w:bookmarkStart w:id="3945" w:name="_Toc38441334"/>
      <w:bookmarkStart w:id="3946" w:name="_Toc38441666"/>
      <w:bookmarkStart w:id="3947" w:name="_Toc38441994"/>
      <w:bookmarkStart w:id="3948" w:name="_Toc38442326"/>
      <w:bookmarkStart w:id="3949" w:name="_Toc38442658"/>
      <w:bookmarkStart w:id="3950" w:name="_Toc38442989"/>
      <w:bookmarkStart w:id="3951" w:name="_Toc38443320"/>
      <w:bookmarkStart w:id="3952" w:name="_Toc38443651"/>
      <w:bookmarkStart w:id="3953" w:name="_Toc38443981"/>
      <w:bookmarkStart w:id="3954" w:name="_Toc38438449"/>
      <w:bookmarkStart w:id="3955" w:name="_Toc38438786"/>
      <w:bookmarkStart w:id="3956" w:name="_Toc38439123"/>
      <w:bookmarkStart w:id="3957" w:name="_Toc38439460"/>
      <w:bookmarkStart w:id="3958" w:name="_Toc38439797"/>
      <w:bookmarkStart w:id="3959" w:name="_Toc38440134"/>
      <w:bookmarkStart w:id="3960" w:name="_Toc38440471"/>
      <w:bookmarkStart w:id="3961" w:name="_Toc38441003"/>
      <w:bookmarkStart w:id="3962" w:name="_Toc38441335"/>
      <w:bookmarkStart w:id="3963" w:name="_Toc38441667"/>
      <w:bookmarkStart w:id="3964" w:name="_Toc38441995"/>
      <w:bookmarkStart w:id="3965" w:name="_Toc38442327"/>
      <w:bookmarkStart w:id="3966" w:name="_Toc38442659"/>
      <w:bookmarkStart w:id="3967" w:name="_Toc38442990"/>
      <w:bookmarkStart w:id="3968" w:name="_Toc38443321"/>
      <w:bookmarkStart w:id="3969" w:name="_Toc38443652"/>
      <w:bookmarkStart w:id="3970" w:name="_Toc38443982"/>
      <w:bookmarkStart w:id="3971" w:name="_Toc38438450"/>
      <w:bookmarkStart w:id="3972" w:name="_Toc38438787"/>
      <w:bookmarkStart w:id="3973" w:name="_Toc38439124"/>
      <w:bookmarkStart w:id="3974" w:name="_Toc38439461"/>
      <w:bookmarkStart w:id="3975" w:name="_Toc38439798"/>
      <w:bookmarkStart w:id="3976" w:name="_Toc38440135"/>
      <w:bookmarkStart w:id="3977" w:name="_Toc38440472"/>
      <w:bookmarkStart w:id="3978" w:name="_Toc38441004"/>
      <w:bookmarkStart w:id="3979" w:name="_Toc38441336"/>
      <w:bookmarkStart w:id="3980" w:name="_Toc38441668"/>
      <w:bookmarkStart w:id="3981" w:name="_Toc38441996"/>
      <w:bookmarkStart w:id="3982" w:name="_Toc38442328"/>
      <w:bookmarkStart w:id="3983" w:name="_Toc38442660"/>
      <w:bookmarkStart w:id="3984" w:name="_Toc38442991"/>
      <w:bookmarkStart w:id="3985" w:name="_Toc38443322"/>
      <w:bookmarkStart w:id="3986" w:name="_Toc38443653"/>
      <w:bookmarkStart w:id="3987" w:name="_Toc38443983"/>
      <w:bookmarkStart w:id="3988" w:name="_Toc38438451"/>
      <w:bookmarkStart w:id="3989" w:name="_Toc38438788"/>
      <w:bookmarkStart w:id="3990" w:name="_Toc38439125"/>
      <w:bookmarkStart w:id="3991" w:name="_Toc38439462"/>
      <w:bookmarkStart w:id="3992" w:name="_Toc38439799"/>
      <w:bookmarkStart w:id="3993" w:name="_Toc38440136"/>
      <w:bookmarkStart w:id="3994" w:name="_Toc38440473"/>
      <w:bookmarkStart w:id="3995" w:name="_Toc38441005"/>
      <w:bookmarkStart w:id="3996" w:name="_Toc38441337"/>
      <w:bookmarkStart w:id="3997" w:name="_Toc38441669"/>
      <w:bookmarkStart w:id="3998" w:name="_Toc38441997"/>
      <w:bookmarkStart w:id="3999" w:name="_Toc38442329"/>
      <w:bookmarkStart w:id="4000" w:name="_Toc38442661"/>
      <w:bookmarkStart w:id="4001" w:name="_Toc38442992"/>
      <w:bookmarkStart w:id="4002" w:name="_Toc38443323"/>
      <w:bookmarkStart w:id="4003" w:name="_Toc38443654"/>
      <w:bookmarkStart w:id="4004" w:name="_Toc38443984"/>
      <w:bookmarkStart w:id="4005" w:name="_Toc38438452"/>
      <w:bookmarkStart w:id="4006" w:name="_Toc38438789"/>
      <w:bookmarkStart w:id="4007" w:name="_Toc38439126"/>
      <w:bookmarkStart w:id="4008" w:name="_Toc38439463"/>
      <w:bookmarkStart w:id="4009" w:name="_Toc38439800"/>
      <w:bookmarkStart w:id="4010" w:name="_Toc38440137"/>
      <w:bookmarkStart w:id="4011" w:name="_Toc38440474"/>
      <w:bookmarkStart w:id="4012" w:name="_Toc38441006"/>
      <w:bookmarkStart w:id="4013" w:name="_Toc38441338"/>
      <w:bookmarkStart w:id="4014" w:name="_Toc38441670"/>
      <w:bookmarkStart w:id="4015" w:name="_Toc38441998"/>
      <w:bookmarkStart w:id="4016" w:name="_Toc38442330"/>
      <w:bookmarkStart w:id="4017" w:name="_Toc38442662"/>
      <w:bookmarkStart w:id="4018" w:name="_Toc38442993"/>
      <w:bookmarkStart w:id="4019" w:name="_Toc38443324"/>
      <w:bookmarkStart w:id="4020" w:name="_Toc38443655"/>
      <w:bookmarkStart w:id="4021" w:name="_Toc38443985"/>
      <w:bookmarkStart w:id="4022" w:name="_Toc38438453"/>
      <w:bookmarkStart w:id="4023" w:name="_Toc38438790"/>
      <w:bookmarkStart w:id="4024" w:name="_Toc38439127"/>
      <w:bookmarkStart w:id="4025" w:name="_Toc38439464"/>
      <w:bookmarkStart w:id="4026" w:name="_Toc38439801"/>
      <w:bookmarkStart w:id="4027" w:name="_Toc38440138"/>
      <w:bookmarkStart w:id="4028" w:name="_Toc38440475"/>
      <w:bookmarkStart w:id="4029" w:name="_Toc38441007"/>
      <w:bookmarkStart w:id="4030" w:name="_Toc38441339"/>
      <w:bookmarkStart w:id="4031" w:name="_Toc38441671"/>
      <w:bookmarkStart w:id="4032" w:name="_Toc38441999"/>
      <w:bookmarkStart w:id="4033" w:name="_Toc38442331"/>
      <w:bookmarkStart w:id="4034" w:name="_Toc38442663"/>
      <w:bookmarkStart w:id="4035" w:name="_Toc38442994"/>
      <w:bookmarkStart w:id="4036" w:name="_Toc38443325"/>
      <w:bookmarkStart w:id="4037" w:name="_Toc38443656"/>
      <w:bookmarkStart w:id="4038" w:name="_Toc38443986"/>
      <w:bookmarkStart w:id="4039" w:name="_Toc38438454"/>
      <w:bookmarkStart w:id="4040" w:name="_Toc38438791"/>
      <w:bookmarkStart w:id="4041" w:name="_Toc38439128"/>
      <w:bookmarkStart w:id="4042" w:name="_Toc38439465"/>
      <w:bookmarkStart w:id="4043" w:name="_Toc38439802"/>
      <w:bookmarkStart w:id="4044" w:name="_Toc38440139"/>
      <w:bookmarkStart w:id="4045" w:name="_Toc38440476"/>
      <w:bookmarkStart w:id="4046" w:name="_Toc38441008"/>
      <w:bookmarkStart w:id="4047" w:name="_Toc38441340"/>
      <w:bookmarkStart w:id="4048" w:name="_Toc38441672"/>
      <w:bookmarkStart w:id="4049" w:name="_Toc38442000"/>
      <w:bookmarkStart w:id="4050" w:name="_Toc38442332"/>
      <w:bookmarkStart w:id="4051" w:name="_Toc38442664"/>
      <w:bookmarkStart w:id="4052" w:name="_Toc38442995"/>
      <w:bookmarkStart w:id="4053" w:name="_Toc38443326"/>
      <w:bookmarkStart w:id="4054" w:name="_Toc38443657"/>
      <w:bookmarkStart w:id="4055" w:name="_Toc38443987"/>
      <w:bookmarkStart w:id="4056" w:name="_Toc38438455"/>
      <w:bookmarkStart w:id="4057" w:name="_Toc38438792"/>
      <w:bookmarkStart w:id="4058" w:name="_Toc38439129"/>
      <w:bookmarkStart w:id="4059" w:name="_Toc38439466"/>
      <w:bookmarkStart w:id="4060" w:name="_Toc38439803"/>
      <w:bookmarkStart w:id="4061" w:name="_Toc38440140"/>
      <w:bookmarkStart w:id="4062" w:name="_Toc38440477"/>
      <w:bookmarkStart w:id="4063" w:name="_Toc38441009"/>
      <w:bookmarkStart w:id="4064" w:name="_Toc38441341"/>
      <w:bookmarkStart w:id="4065" w:name="_Toc38441673"/>
      <w:bookmarkStart w:id="4066" w:name="_Toc38442001"/>
      <w:bookmarkStart w:id="4067" w:name="_Toc38442333"/>
      <w:bookmarkStart w:id="4068" w:name="_Toc38442665"/>
      <w:bookmarkStart w:id="4069" w:name="_Toc38442996"/>
      <w:bookmarkStart w:id="4070" w:name="_Toc38443327"/>
      <w:bookmarkStart w:id="4071" w:name="_Toc38443658"/>
      <w:bookmarkStart w:id="4072" w:name="_Toc38443988"/>
      <w:bookmarkStart w:id="4073" w:name="_Toc38438456"/>
      <w:bookmarkStart w:id="4074" w:name="_Toc38438793"/>
      <w:bookmarkStart w:id="4075" w:name="_Toc38439130"/>
      <w:bookmarkStart w:id="4076" w:name="_Toc38439467"/>
      <w:bookmarkStart w:id="4077" w:name="_Toc38439804"/>
      <w:bookmarkStart w:id="4078" w:name="_Toc38440141"/>
      <w:bookmarkStart w:id="4079" w:name="_Toc38440478"/>
      <w:bookmarkStart w:id="4080" w:name="_Toc38441010"/>
      <w:bookmarkStart w:id="4081" w:name="_Toc38441342"/>
      <w:bookmarkStart w:id="4082" w:name="_Toc38441674"/>
      <w:bookmarkStart w:id="4083" w:name="_Toc38442002"/>
      <w:bookmarkStart w:id="4084" w:name="_Toc38442334"/>
      <w:bookmarkStart w:id="4085" w:name="_Toc38442666"/>
      <w:bookmarkStart w:id="4086" w:name="_Toc38442997"/>
      <w:bookmarkStart w:id="4087" w:name="_Toc38443328"/>
      <w:bookmarkStart w:id="4088" w:name="_Toc38443659"/>
      <w:bookmarkStart w:id="4089" w:name="_Toc38443989"/>
      <w:bookmarkStart w:id="4090" w:name="_Toc38438457"/>
      <w:bookmarkStart w:id="4091" w:name="_Toc38438794"/>
      <w:bookmarkStart w:id="4092" w:name="_Toc38439131"/>
      <w:bookmarkStart w:id="4093" w:name="_Toc38439468"/>
      <w:bookmarkStart w:id="4094" w:name="_Toc38439805"/>
      <w:bookmarkStart w:id="4095" w:name="_Toc38440142"/>
      <w:bookmarkStart w:id="4096" w:name="_Toc38440479"/>
      <w:bookmarkStart w:id="4097" w:name="_Toc38441011"/>
      <w:bookmarkStart w:id="4098" w:name="_Toc38441343"/>
      <w:bookmarkStart w:id="4099" w:name="_Toc38441675"/>
      <w:bookmarkStart w:id="4100" w:name="_Toc38442003"/>
      <w:bookmarkStart w:id="4101" w:name="_Toc38442335"/>
      <w:bookmarkStart w:id="4102" w:name="_Toc38442667"/>
      <w:bookmarkStart w:id="4103" w:name="_Toc38442998"/>
      <w:bookmarkStart w:id="4104" w:name="_Toc38443329"/>
      <w:bookmarkStart w:id="4105" w:name="_Toc38443660"/>
      <w:bookmarkStart w:id="4106" w:name="_Toc38443990"/>
      <w:bookmarkStart w:id="4107" w:name="_Toc38438458"/>
      <w:bookmarkStart w:id="4108" w:name="_Toc38438795"/>
      <w:bookmarkStart w:id="4109" w:name="_Toc38439132"/>
      <w:bookmarkStart w:id="4110" w:name="_Toc38439469"/>
      <w:bookmarkStart w:id="4111" w:name="_Toc38439806"/>
      <w:bookmarkStart w:id="4112" w:name="_Toc38440143"/>
      <w:bookmarkStart w:id="4113" w:name="_Toc38440480"/>
      <w:bookmarkStart w:id="4114" w:name="_Toc38441012"/>
      <w:bookmarkStart w:id="4115" w:name="_Toc38441344"/>
      <w:bookmarkStart w:id="4116" w:name="_Toc38441676"/>
      <w:bookmarkStart w:id="4117" w:name="_Toc38442004"/>
      <w:bookmarkStart w:id="4118" w:name="_Toc38442336"/>
      <w:bookmarkStart w:id="4119" w:name="_Toc38442668"/>
      <w:bookmarkStart w:id="4120" w:name="_Toc38442999"/>
      <w:bookmarkStart w:id="4121" w:name="_Toc38443330"/>
      <w:bookmarkStart w:id="4122" w:name="_Toc38443661"/>
      <w:bookmarkStart w:id="4123" w:name="_Toc38443991"/>
      <w:bookmarkStart w:id="4124" w:name="_Toc91749319"/>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r w:rsidRPr="008564FF">
        <w:rPr>
          <w:rFonts w:asciiTheme="minorEastAsia" w:eastAsiaTheme="minorEastAsia" w:hAnsiTheme="minorEastAsia" w:hint="eastAsia"/>
          <w:b/>
          <w:bCs/>
        </w:rPr>
        <w:t>二十五、招募说明书存放及查阅方式</w:t>
      </w:r>
      <w:bookmarkEnd w:id="4124"/>
    </w:p>
    <w:p w:rsidR="003A3487" w:rsidRPr="008564FF" w:rsidP="004549E4">
      <w:pPr>
        <w:snapToGrid w:val="0"/>
        <w:spacing w:line="360" w:lineRule="auto"/>
        <w:ind w:firstLine="480"/>
        <w:rPr>
          <w:rFonts w:asciiTheme="minorEastAsia" w:eastAsiaTheme="minorEastAsia" w:hAnsiTheme="minorEastAsia"/>
        </w:rPr>
      </w:pPr>
      <w:r w:rsidRPr="008564FF">
        <w:rPr>
          <w:rFonts w:asciiTheme="minorEastAsia" w:eastAsiaTheme="minorEastAsia" w:hAnsiTheme="minorEastAsia" w:hint="eastAsia"/>
          <w:szCs w:val="21"/>
        </w:rPr>
        <w:t>本《招募说明书》存放在基金管理人、基金托管人及基金</w:t>
      </w:r>
      <w:r w:rsidRPr="008564FF" w:rsidR="009E0634">
        <w:rPr>
          <w:rFonts w:asciiTheme="minorEastAsia" w:eastAsiaTheme="minorEastAsia" w:hAnsiTheme="minorEastAsia" w:hint="eastAsia"/>
          <w:szCs w:val="21"/>
        </w:rPr>
        <w:t>销售</w:t>
      </w:r>
      <w:r w:rsidRPr="008564FF">
        <w:rPr>
          <w:rFonts w:asciiTheme="minorEastAsia" w:eastAsiaTheme="minorEastAsia" w:hAnsiTheme="minorEastAsia" w:hint="eastAsia"/>
          <w:szCs w:val="21"/>
        </w:rPr>
        <w:t>机构</w:t>
      </w:r>
      <w:r w:rsidRPr="008564FF" w:rsidR="008564FF">
        <w:rPr>
          <w:rFonts w:asciiTheme="minorEastAsia" w:eastAsiaTheme="minorEastAsia" w:hAnsiTheme="minorEastAsia" w:hint="eastAsia"/>
          <w:szCs w:val="21"/>
        </w:rPr>
        <w:t>处</w:t>
      </w:r>
      <w:r w:rsidRPr="008564FF">
        <w:rPr>
          <w:rFonts w:asciiTheme="minorEastAsia" w:eastAsiaTheme="minorEastAsia" w:hAnsiTheme="minorEastAsia" w:hint="eastAsia"/>
          <w:szCs w:val="21"/>
        </w:rPr>
        <w:t>，投资者可在营业时间免费查阅，也可按工本费购买复印件。</w:t>
      </w:r>
      <w:r w:rsidRPr="008564FF">
        <w:rPr>
          <w:rFonts w:asciiTheme="minorEastAsia" w:eastAsiaTheme="minorEastAsia" w:hAnsiTheme="minorEastAsia" w:hint="eastAsia"/>
        </w:rPr>
        <w:t>基金管理人和基金托管人保证其所提供的文本的内容与所公告的内容完全一致。</w:t>
      </w:r>
    </w:p>
    <w:p w:rsidR="003A3487" w:rsidRPr="008564FF" w:rsidP="004549E4">
      <w:pPr>
        <w:snapToGrid w:val="0"/>
        <w:spacing w:line="360" w:lineRule="auto"/>
        <w:ind w:firstLine="480"/>
        <w:rPr>
          <w:rFonts w:asciiTheme="minorEastAsia" w:eastAsiaTheme="minorEastAsia" w:hAnsiTheme="minorEastAsia"/>
        </w:rPr>
      </w:pPr>
    </w:p>
    <w:p w:rsidR="00A366C8" w:rsidRPr="008564FF" w:rsidP="004549E4">
      <w:pPr>
        <w:snapToGrid w:val="0"/>
        <w:spacing w:line="360" w:lineRule="auto"/>
        <w:ind w:firstLine="480"/>
        <w:rPr>
          <w:rFonts w:asciiTheme="minorEastAsia" w:eastAsiaTheme="minorEastAsia" w:hAnsiTheme="minorEastAsia"/>
        </w:rPr>
      </w:pPr>
    </w:p>
    <w:p w:rsidR="00A366C8" w:rsidRPr="008564FF" w:rsidP="004549E4">
      <w:pPr>
        <w:snapToGrid w:val="0"/>
        <w:spacing w:line="360" w:lineRule="auto"/>
        <w:ind w:firstLine="480"/>
        <w:rPr>
          <w:rFonts w:asciiTheme="minorEastAsia" w:eastAsiaTheme="minorEastAsia" w:hAnsiTheme="minorEastAsia"/>
        </w:rPr>
      </w:pPr>
    </w:p>
    <w:p w:rsidR="00A366C8" w:rsidRPr="008564FF" w:rsidP="004549E4">
      <w:pPr>
        <w:snapToGrid w:val="0"/>
        <w:spacing w:line="360" w:lineRule="auto"/>
        <w:ind w:firstLine="480"/>
        <w:rPr>
          <w:rFonts w:asciiTheme="minorEastAsia" w:eastAsiaTheme="minorEastAsia" w:hAnsiTheme="minorEastAsia"/>
        </w:rPr>
      </w:pPr>
    </w:p>
    <w:p w:rsidR="00A366C8" w:rsidRPr="008564FF" w:rsidP="004549E4">
      <w:pPr>
        <w:snapToGrid w:val="0"/>
        <w:spacing w:line="360" w:lineRule="auto"/>
        <w:ind w:firstLine="480"/>
        <w:rPr>
          <w:rFonts w:asciiTheme="minorEastAsia" w:eastAsiaTheme="minorEastAsia" w:hAnsiTheme="minorEastAsia"/>
        </w:rPr>
      </w:pPr>
    </w:p>
    <w:p w:rsidR="00A366C8" w:rsidRPr="008564FF" w:rsidP="004549E4">
      <w:pPr>
        <w:snapToGrid w:val="0"/>
        <w:spacing w:line="360" w:lineRule="auto"/>
        <w:ind w:firstLine="480"/>
        <w:rPr>
          <w:rFonts w:asciiTheme="minorEastAsia" w:eastAsiaTheme="minorEastAsia" w:hAnsiTheme="minorEastAsia"/>
        </w:rPr>
      </w:pPr>
    </w:p>
    <w:p w:rsidR="00A366C8" w:rsidRPr="008564FF" w:rsidP="004549E4">
      <w:pPr>
        <w:snapToGrid w:val="0"/>
        <w:spacing w:line="360" w:lineRule="auto"/>
        <w:ind w:firstLine="480"/>
        <w:rPr>
          <w:rFonts w:asciiTheme="minorEastAsia" w:eastAsiaTheme="minorEastAsia" w:hAnsiTheme="minorEastAsia"/>
        </w:rPr>
      </w:pPr>
    </w:p>
    <w:p w:rsidR="00A366C8" w:rsidRPr="008564FF" w:rsidP="004549E4">
      <w:pPr>
        <w:snapToGrid w:val="0"/>
        <w:spacing w:line="360" w:lineRule="auto"/>
        <w:ind w:firstLine="480"/>
        <w:rPr>
          <w:rFonts w:asciiTheme="minorEastAsia" w:eastAsiaTheme="minorEastAsia" w:hAnsiTheme="minorEastAsia"/>
        </w:rPr>
      </w:pPr>
    </w:p>
    <w:p w:rsidR="00A366C8" w:rsidRPr="008564FF" w:rsidP="004549E4">
      <w:pPr>
        <w:snapToGrid w:val="0"/>
        <w:spacing w:line="360" w:lineRule="auto"/>
        <w:ind w:firstLine="480"/>
        <w:rPr>
          <w:rFonts w:asciiTheme="minorEastAsia" w:eastAsiaTheme="minorEastAsia" w:hAnsiTheme="minorEastAsia"/>
        </w:rPr>
      </w:pPr>
    </w:p>
    <w:p w:rsidR="00A366C8" w:rsidRPr="008564FF" w:rsidP="004549E4">
      <w:pPr>
        <w:snapToGrid w:val="0"/>
        <w:spacing w:line="360" w:lineRule="auto"/>
        <w:ind w:firstLine="480"/>
        <w:rPr>
          <w:rFonts w:asciiTheme="minorEastAsia" w:eastAsiaTheme="minorEastAsia" w:hAnsiTheme="minorEastAsia"/>
        </w:rPr>
      </w:pPr>
    </w:p>
    <w:p w:rsidR="00A366C8" w:rsidRPr="008564FF" w:rsidP="004549E4">
      <w:pPr>
        <w:snapToGrid w:val="0"/>
        <w:spacing w:line="360" w:lineRule="auto"/>
        <w:ind w:firstLine="480"/>
        <w:rPr>
          <w:rFonts w:asciiTheme="minorEastAsia" w:eastAsiaTheme="minorEastAsia" w:hAnsiTheme="minorEastAsia"/>
        </w:rPr>
      </w:pPr>
    </w:p>
    <w:p w:rsidR="00A366C8" w:rsidRPr="008564FF" w:rsidP="004549E4">
      <w:pPr>
        <w:snapToGrid w:val="0"/>
        <w:spacing w:line="360" w:lineRule="auto"/>
        <w:ind w:firstLine="480"/>
        <w:rPr>
          <w:rFonts w:asciiTheme="minorEastAsia" w:eastAsiaTheme="minorEastAsia" w:hAnsiTheme="minorEastAsia"/>
        </w:rPr>
      </w:pPr>
    </w:p>
    <w:p w:rsidR="00A366C8" w:rsidRPr="008564FF" w:rsidP="004549E4">
      <w:pPr>
        <w:snapToGrid w:val="0"/>
        <w:spacing w:line="360" w:lineRule="auto"/>
        <w:ind w:firstLine="480"/>
        <w:rPr>
          <w:rFonts w:asciiTheme="minorEastAsia" w:eastAsiaTheme="minorEastAsia" w:hAnsiTheme="minorEastAsia"/>
        </w:rPr>
      </w:pPr>
    </w:p>
    <w:p w:rsidR="00A366C8" w:rsidRPr="008564FF" w:rsidP="004549E4">
      <w:pPr>
        <w:snapToGrid w:val="0"/>
        <w:spacing w:line="360" w:lineRule="auto"/>
        <w:ind w:firstLine="480"/>
        <w:rPr>
          <w:rFonts w:asciiTheme="minorEastAsia" w:eastAsiaTheme="minorEastAsia" w:hAnsiTheme="minorEastAsia"/>
        </w:rPr>
      </w:pPr>
    </w:p>
    <w:p w:rsidR="00A366C8" w:rsidRPr="008564FF" w:rsidP="004549E4">
      <w:pPr>
        <w:snapToGrid w:val="0"/>
        <w:spacing w:line="360" w:lineRule="auto"/>
        <w:ind w:firstLine="480"/>
        <w:rPr>
          <w:rFonts w:asciiTheme="minorEastAsia" w:eastAsiaTheme="minorEastAsia" w:hAnsiTheme="minorEastAsia"/>
        </w:rPr>
      </w:pPr>
    </w:p>
    <w:p w:rsidR="00A366C8" w:rsidRPr="008564FF" w:rsidP="004549E4">
      <w:pPr>
        <w:snapToGrid w:val="0"/>
        <w:spacing w:line="360" w:lineRule="auto"/>
        <w:ind w:firstLine="480"/>
        <w:rPr>
          <w:rFonts w:asciiTheme="minorEastAsia" w:eastAsiaTheme="minorEastAsia" w:hAnsiTheme="minorEastAsia"/>
        </w:rPr>
      </w:pPr>
    </w:p>
    <w:p w:rsidR="00A366C8" w:rsidRPr="008564FF" w:rsidP="004549E4">
      <w:pPr>
        <w:snapToGrid w:val="0"/>
        <w:spacing w:line="360" w:lineRule="auto"/>
        <w:ind w:firstLine="480"/>
        <w:rPr>
          <w:rFonts w:asciiTheme="minorEastAsia" w:eastAsiaTheme="minorEastAsia" w:hAnsiTheme="minorEastAsia"/>
        </w:rPr>
      </w:pPr>
    </w:p>
    <w:p w:rsidR="00A366C8" w:rsidRPr="008564FF" w:rsidP="004549E4">
      <w:pPr>
        <w:snapToGrid w:val="0"/>
        <w:spacing w:line="360" w:lineRule="auto"/>
        <w:ind w:firstLine="480"/>
        <w:rPr>
          <w:rFonts w:asciiTheme="minorEastAsia" w:eastAsiaTheme="minorEastAsia" w:hAnsiTheme="minorEastAsia"/>
        </w:rPr>
      </w:pPr>
    </w:p>
    <w:p w:rsidR="00A366C8" w:rsidRPr="008564FF" w:rsidP="004549E4">
      <w:pPr>
        <w:snapToGrid w:val="0"/>
        <w:spacing w:line="360" w:lineRule="auto"/>
        <w:ind w:firstLine="480"/>
        <w:rPr>
          <w:rFonts w:asciiTheme="minorEastAsia" w:eastAsiaTheme="minorEastAsia" w:hAnsiTheme="minorEastAsia"/>
        </w:rPr>
      </w:pPr>
    </w:p>
    <w:p w:rsidR="00A366C8" w:rsidRPr="008564FF" w:rsidP="004549E4">
      <w:pPr>
        <w:snapToGrid w:val="0"/>
        <w:spacing w:line="360" w:lineRule="auto"/>
        <w:ind w:firstLine="480"/>
        <w:rPr>
          <w:rFonts w:asciiTheme="minorEastAsia" w:eastAsiaTheme="minorEastAsia" w:hAnsiTheme="minorEastAsia"/>
        </w:rPr>
      </w:pPr>
    </w:p>
    <w:p w:rsidR="00A366C8" w:rsidRPr="008564FF" w:rsidP="004549E4">
      <w:pPr>
        <w:snapToGrid w:val="0"/>
        <w:spacing w:line="360" w:lineRule="auto"/>
        <w:ind w:firstLine="480"/>
        <w:rPr>
          <w:rFonts w:asciiTheme="minorEastAsia" w:eastAsiaTheme="minorEastAsia" w:hAnsiTheme="minorEastAsia"/>
        </w:rPr>
      </w:pPr>
    </w:p>
    <w:p w:rsidR="00A366C8" w:rsidRPr="008564FF" w:rsidP="004549E4">
      <w:pPr>
        <w:snapToGrid w:val="0"/>
        <w:spacing w:line="360" w:lineRule="auto"/>
        <w:ind w:firstLine="480"/>
        <w:rPr>
          <w:rFonts w:asciiTheme="minorEastAsia" w:eastAsiaTheme="minorEastAsia" w:hAnsiTheme="minorEastAsia"/>
        </w:rPr>
      </w:pPr>
    </w:p>
    <w:p w:rsidR="00A366C8" w:rsidRPr="008564FF" w:rsidP="004549E4">
      <w:pPr>
        <w:snapToGrid w:val="0"/>
        <w:spacing w:line="360" w:lineRule="auto"/>
        <w:ind w:firstLine="480"/>
        <w:rPr>
          <w:rFonts w:asciiTheme="minorEastAsia" w:eastAsiaTheme="minorEastAsia" w:hAnsiTheme="minorEastAsia"/>
        </w:rPr>
      </w:pPr>
    </w:p>
    <w:p w:rsidR="00A366C8" w:rsidRPr="008564FF" w:rsidP="004549E4">
      <w:pPr>
        <w:snapToGrid w:val="0"/>
        <w:spacing w:line="360" w:lineRule="auto"/>
        <w:ind w:firstLine="480"/>
        <w:rPr>
          <w:rFonts w:asciiTheme="minorEastAsia" w:eastAsiaTheme="minorEastAsia" w:hAnsiTheme="minorEastAsia"/>
        </w:rPr>
      </w:pPr>
    </w:p>
    <w:p w:rsidR="00A366C8" w:rsidRPr="008564FF" w:rsidP="004549E4">
      <w:pPr>
        <w:snapToGrid w:val="0"/>
        <w:spacing w:line="360" w:lineRule="auto"/>
        <w:ind w:firstLine="480"/>
        <w:rPr>
          <w:rFonts w:asciiTheme="minorEastAsia" w:eastAsiaTheme="minorEastAsia" w:hAnsiTheme="minorEastAsia"/>
        </w:rPr>
      </w:pPr>
    </w:p>
    <w:p w:rsidR="00A366C8" w:rsidRPr="008564FF" w:rsidP="004549E4">
      <w:pPr>
        <w:snapToGrid w:val="0"/>
        <w:spacing w:line="360" w:lineRule="auto"/>
        <w:ind w:firstLine="480"/>
        <w:rPr>
          <w:rFonts w:asciiTheme="minorEastAsia" w:eastAsiaTheme="minorEastAsia" w:hAnsiTheme="minorEastAsia"/>
        </w:rPr>
      </w:pPr>
    </w:p>
    <w:p w:rsidR="00A366C8" w:rsidRPr="008564FF" w:rsidP="004549E4">
      <w:pPr>
        <w:snapToGrid w:val="0"/>
        <w:spacing w:line="360" w:lineRule="auto"/>
        <w:ind w:firstLine="480"/>
        <w:rPr>
          <w:rFonts w:asciiTheme="minorEastAsia" w:eastAsiaTheme="minorEastAsia" w:hAnsiTheme="minorEastAsia"/>
        </w:rPr>
      </w:pPr>
    </w:p>
    <w:p w:rsidR="003A3487" w:rsidRPr="008564FF" w:rsidP="004549E4">
      <w:pPr>
        <w:snapToGrid w:val="0"/>
        <w:spacing w:line="360" w:lineRule="auto"/>
        <w:ind w:firstLine="480"/>
        <w:rPr>
          <w:rFonts w:asciiTheme="minorEastAsia" w:eastAsiaTheme="minorEastAsia" w:hAnsiTheme="minorEastAsia"/>
          <w:szCs w:val="21"/>
        </w:rPr>
      </w:pPr>
    </w:p>
    <w:p w:rsidR="003A3487" w:rsidRPr="008564FF" w:rsidP="009C2B2A">
      <w:pPr>
        <w:pStyle w:val="Heading1"/>
        <w:snapToGrid w:val="0"/>
        <w:spacing w:beforeLines="0" w:afterLines="0" w:line="360" w:lineRule="auto"/>
        <w:ind w:firstLine="643"/>
        <w:rPr>
          <w:rFonts w:asciiTheme="minorEastAsia" w:eastAsiaTheme="minorEastAsia" w:hAnsiTheme="minorEastAsia"/>
          <w:b/>
          <w:szCs w:val="21"/>
        </w:rPr>
      </w:pPr>
      <w:bookmarkStart w:id="4125" w:name="_Toc91749320"/>
      <w:r w:rsidRPr="008564FF">
        <w:rPr>
          <w:rFonts w:asciiTheme="minorEastAsia" w:eastAsiaTheme="minorEastAsia" w:hAnsiTheme="minorEastAsia" w:hint="eastAsia"/>
          <w:b/>
        </w:rPr>
        <w:t>二十六、备查文件</w:t>
      </w:r>
      <w:bookmarkEnd w:id="4125"/>
    </w:p>
    <w:p w:rsidR="003A3487" w:rsidRPr="008564FF" w:rsidP="004549E4">
      <w:pPr>
        <w:snapToGrid w:val="0"/>
        <w:spacing w:line="360" w:lineRule="auto"/>
        <w:ind w:firstLine="480"/>
        <w:rPr>
          <w:rFonts w:asciiTheme="minorEastAsia" w:eastAsiaTheme="minorEastAsia" w:hAnsiTheme="minorEastAsia"/>
          <w:szCs w:val="21"/>
        </w:rPr>
      </w:pPr>
    </w:p>
    <w:p w:rsidR="003A3487" w:rsidRPr="008564FF" w:rsidP="004549E4">
      <w:pPr>
        <w:pStyle w:val="BodyTextFirstIndent"/>
        <w:autoSpaceDE w:val="0"/>
        <w:autoSpaceDN w:val="0"/>
        <w:adjustRightInd w:val="0"/>
        <w:snapToGrid w:val="0"/>
        <w:spacing w:after="0" w:line="360" w:lineRule="auto"/>
        <w:ind w:firstLineChars="0"/>
        <w:rPr>
          <w:rFonts w:asciiTheme="minorEastAsia" w:eastAsiaTheme="minorEastAsia" w:hAnsiTheme="minorEastAsia"/>
        </w:rPr>
      </w:pPr>
      <w:r w:rsidRPr="008564FF">
        <w:rPr>
          <w:rFonts w:asciiTheme="minorEastAsia" w:eastAsiaTheme="minorEastAsia" w:hAnsiTheme="minorEastAsia" w:hint="eastAsia"/>
        </w:rPr>
        <w:t>1、中国证监会核准基金募集的文件；</w:t>
      </w:r>
    </w:p>
    <w:p w:rsidR="003A3487" w:rsidRPr="008564FF" w:rsidP="004549E4">
      <w:pPr>
        <w:pStyle w:val="BodyTextFirstIndent"/>
        <w:autoSpaceDE w:val="0"/>
        <w:autoSpaceDN w:val="0"/>
        <w:adjustRightInd w:val="0"/>
        <w:snapToGrid w:val="0"/>
        <w:spacing w:after="0" w:line="360" w:lineRule="auto"/>
        <w:ind w:firstLineChars="0"/>
        <w:rPr>
          <w:rFonts w:asciiTheme="minorEastAsia" w:eastAsiaTheme="minorEastAsia" w:hAnsiTheme="minorEastAsia"/>
        </w:rPr>
      </w:pPr>
      <w:r w:rsidRPr="008564FF">
        <w:rPr>
          <w:rFonts w:asciiTheme="minorEastAsia" w:eastAsiaTheme="minorEastAsia" w:hAnsiTheme="minorEastAsia" w:hint="eastAsia"/>
        </w:rPr>
        <w:t>2、《易方达行业领先企业</w:t>
      </w:r>
      <w:r w:rsidRPr="008564FF" w:rsidR="00A85270">
        <w:rPr>
          <w:rFonts w:asciiTheme="minorEastAsia" w:eastAsiaTheme="minorEastAsia" w:hAnsiTheme="minorEastAsia" w:hint="eastAsia"/>
        </w:rPr>
        <w:t>混合</w:t>
      </w:r>
      <w:r w:rsidRPr="008564FF">
        <w:rPr>
          <w:rFonts w:asciiTheme="minorEastAsia" w:eastAsiaTheme="minorEastAsia" w:hAnsiTheme="minorEastAsia" w:hint="eastAsia"/>
        </w:rPr>
        <w:t>型证券投资基金基金合同》；</w:t>
      </w:r>
    </w:p>
    <w:p w:rsidR="003A3487" w:rsidRPr="008564FF" w:rsidP="004549E4">
      <w:pPr>
        <w:pStyle w:val="BodyTextFirstIndent"/>
        <w:autoSpaceDE w:val="0"/>
        <w:autoSpaceDN w:val="0"/>
        <w:adjustRightInd w:val="0"/>
        <w:snapToGrid w:val="0"/>
        <w:spacing w:after="0" w:line="360" w:lineRule="auto"/>
        <w:ind w:firstLineChars="0"/>
        <w:rPr>
          <w:rFonts w:asciiTheme="minorEastAsia" w:eastAsiaTheme="minorEastAsia" w:hAnsiTheme="minorEastAsia"/>
        </w:rPr>
      </w:pPr>
      <w:r w:rsidRPr="008564FF">
        <w:rPr>
          <w:rFonts w:asciiTheme="minorEastAsia" w:eastAsiaTheme="minorEastAsia" w:hAnsiTheme="minorEastAsia" w:hint="eastAsia"/>
        </w:rPr>
        <w:t>3、《易方达基金管理有限公司开放式基金业务规则》；</w:t>
      </w:r>
    </w:p>
    <w:p w:rsidR="003A3487" w:rsidRPr="008564FF" w:rsidP="004549E4">
      <w:pPr>
        <w:snapToGrid w:val="0"/>
        <w:spacing w:line="360" w:lineRule="auto"/>
        <w:ind w:firstLine="420"/>
        <w:rPr>
          <w:rFonts w:asciiTheme="minorEastAsia" w:eastAsiaTheme="minorEastAsia" w:hAnsiTheme="minorEastAsia"/>
          <w:szCs w:val="21"/>
        </w:rPr>
      </w:pPr>
      <w:r w:rsidRPr="008564FF">
        <w:rPr>
          <w:rFonts w:asciiTheme="minorEastAsia" w:eastAsiaTheme="minorEastAsia" w:hAnsiTheme="minorEastAsia" w:hint="eastAsia"/>
          <w:szCs w:val="21"/>
        </w:rPr>
        <w:t>4、《易方达行业领先企业</w:t>
      </w:r>
      <w:r w:rsidRPr="008564FF" w:rsidR="00A85270">
        <w:rPr>
          <w:rFonts w:asciiTheme="minorEastAsia" w:eastAsiaTheme="minorEastAsia" w:hAnsiTheme="minorEastAsia" w:hint="eastAsia"/>
          <w:szCs w:val="21"/>
        </w:rPr>
        <w:t>混合</w:t>
      </w:r>
      <w:r w:rsidRPr="008564FF">
        <w:rPr>
          <w:rFonts w:asciiTheme="minorEastAsia" w:eastAsiaTheme="minorEastAsia" w:hAnsiTheme="minorEastAsia" w:hint="eastAsia"/>
          <w:szCs w:val="21"/>
        </w:rPr>
        <w:t>型证券投资基金托管协议》；</w:t>
      </w:r>
    </w:p>
    <w:p w:rsidR="003A3487" w:rsidRPr="008564FF" w:rsidP="004549E4">
      <w:pPr>
        <w:snapToGrid w:val="0"/>
        <w:spacing w:line="360" w:lineRule="auto"/>
        <w:ind w:firstLine="420"/>
        <w:rPr>
          <w:rFonts w:asciiTheme="minorEastAsia" w:eastAsiaTheme="minorEastAsia" w:hAnsiTheme="minorEastAsia"/>
          <w:szCs w:val="21"/>
        </w:rPr>
      </w:pPr>
      <w:r w:rsidRPr="008564FF">
        <w:rPr>
          <w:rFonts w:asciiTheme="minorEastAsia" w:eastAsiaTheme="minorEastAsia" w:hAnsiTheme="minorEastAsia" w:hint="eastAsia"/>
        </w:rPr>
        <w:t>5、法律意见书；</w:t>
      </w:r>
    </w:p>
    <w:p w:rsidR="003A3487" w:rsidRPr="008564FF" w:rsidP="004549E4">
      <w:pPr>
        <w:snapToGrid w:val="0"/>
        <w:spacing w:line="360" w:lineRule="auto"/>
        <w:ind w:firstLine="420"/>
        <w:rPr>
          <w:rFonts w:asciiTheme="minorEastAsia" w:eastAsiaTheme="minorEastAsia" w:hAnsiTheme="minorEastAsia"/>
          <w:szCs w:val="21"/>
        </w:rPr>
      </w:pPr>
      <w:r w:rsidRPr="008564FF">
        <w:rPr>
          <w:rFonts w:asciiTheme="minorEastAsia" w:eastAsiaTheme="minorEastAsia" w:hAnsiTheme="minorEastAsia" w:hint="eastAsia"/>
          <w:szCs w:val="21"/>
        </w:rPr>
        <w:t>6、基金管理人业务资格批件和营业执照；</w:t>
      </w:r>
    </w:p>
    <w:p w:rsidR="003A3487" w:rsidRPr="008564FF" w:rsidP="004549E4">
      <w:pPr>
        <w:snapToGrid w:val="0"/>
        <w:spacing w:line="360" w:lineRule="auto"/>
        <w:ind w:firstLine="420"/>
        <w:rPr>
          <w:rFonts w:asciiTheme="minorEastAsia" w:eastAsiaTheme="minorEastAsia" w:hAnsiTheme="minorEastAsia"/>
          <w:szCs w:val="21"/>
        </w:rPr>
      </w:pPr>
      <w:r w:rsidRPr="008564FF">
        <w:rPr>
          <w:rFonts w:asciiTheme="minorEastAsia" w:eastAsiaTheme="minorEastAsia" w:hAnsiTheme="minorEastAsia" w:hint="eastAsia"/>
          <w:szCs w:val="21"/>
        </w:rPr>
        <w:t>7、基金托管人业务资格批件和营业执照。</w:t>
      </w:r>
    </w:p>
    <w:p w:rsidR="003A3487" w:rsidRPr="008564FF" w:rsidP="004549E4">
      <w:pPr>
        <w:snapToGrid w:val="0"/>
        <w:spacing w:line="360" w:lineRule="auto"/>
        <w:ind w:firstLine="420" w:firstLineChars="200"/>
        <w:rPr>
          <w:rFonts w:asciiTheme="minorEastAsia" w:eastAsiaTheme="minorEastAsia" w:hAnsiTheme="minorEastAsia"/>
        </w:rPr>
      </w:pPr>
      <w:r w:rsidRPr="008564FF">
        <w:rPr>
          <w:rFonts w:asciiTheme="minorEastAsia" w:eastAsiaTheme="minorEastAsia" w:hAnsiTheme="minorEastAsia" w:hint="eastAsia"/>
        </w:rPr>
        <w:t>存放地点：基金管理人、基金托管人处</w:t>
      </w:r>
    </w:p>
    <w:p w:rsidR="003A3487" w:rsidRPr="008564FF" w:rsidP="004549E4">
      <w:pPr>
        <w:snapToGrid w:val="0"/>
        <w:spacing w:line="360" w:lineRule="auto"/>
        <w:ind w:firstLine="420" w:firstLineChars="200"/>
        <w:rPr>
          <w:rFonts w:asciiTheme="minorEastAsia" w:eastAsiaTheme="minorEastAsia" w:hAnsiTheme="minorEastAsia"/>
          <w:szCs w:val="21"/>
        </w:rPr>
      </w:pPr>
      <w:r w:rsidRPr="008564FF">
        <w:rPr>
          <w:rFonts w:asciiTheme="minorEastAsia" w:eastAsiaTheme="minorEastAsia" w:hAnsiTheme="minorEastAsia" w:hint="eastAsia"/>
        </w:rPr>
        <w:t>查阅方式：投资者可在营业时间免费查阅，也可按工本费购买复印件。</w:t>
      </w:r>
    </w:p>
    <w:p w:rsidR="003A3487" w:rsidRPr="008564FF" w:rsidP="004549E4">
      <w:pPr>
        <w:snapToGrid w:val="0"/>
        <w:spacing w:line="360" w:lineRule="auto"/>
        <w:ind w:left="480"/>
        <w:rPr>
          <w:rFonts w:asciiTheme="minorEastAsia" w:eastAsiaTheme="minorEastAsia" w:hAnsiTheme="minorEastAsia"/>
          <w:szCs w:val="21"/>
        </w:rPr>
      </w:pPr>
    </w:p>
    <w:p w:rsidR="00A366C8" w:rsidRPr="008564FF" w:rsidP="004549E4">
      <w:pPr>
        <w:snapToGrid w:val="0"/>
        <w:spacing w:line="360" w:lineRule="auto"/>
        <w:ind w:left="480"/>
        <w:rPr>
          <w:rFonts w:asciiTheme="minorEastAsia" w:eastAsiaTheme="minorEastAsia" w:hAnsiTheme="minorEastAsia"/>
          <w:szCs w:val="21"/>
        </w:rPr>
      </w:pPr>
    </w:p>
    <w:p w:rsidR="001619D4" w:rsidRPr="008564FF" w:rsidP="004549E4">
      <w:pPr>
        <w:snapToGrid w:val="0"/>
        <w:spacing w:line="360" w:lineRule="auto"/>
        <w:ind w:left="360" w:firstLine="480"/>
        <w:jc w:val="right"/>
        <w:rPr>
          <w:rFonts w:asciiTheme="minorEastAsia" w:eastAsiaTheme="minorEastAsia" w:hAnsiTheme="minorEastAsia"/>
        </w:rPr>
      </w:pPr>
      <w:r w:rsidRPr="008564FF">
        <w:rPr>
          <w:rFonts w:asciiTheme="minorEastAsia" w:eastAsiaTheme="minorEastAsia" w:hAnsiTheme="minorEastAsia" w:hint="eastAsia"/>
        </w:rPr>
        <w:t>易方达基金管理有限公司</w:t>
      </w:r>
    </w:p>
    <w:p w:rsidR="00B1003E" w:rsidRPr="008564FF" w:rsidP="00A366C8">
      <w:pPr>
        <w:wordWrap w:val="0"/>
        <w:snapToGrid w:val="0"/>
        <w:spacing w:line="360" w:lineRule="auto"/>
        <w:ind w:left="360" w:right="315" w:firstLine="480"/>
        <w:jc w:val="right"/>
        <w:rPr>
          <w:rFonts w:asciiTheme="minorEastAsia" w:eastAsiaTheme="minorEastAsia" w:hAnsiTheme="minorEastAsia"/>
        </w:rPr>
      </w:pPr>
      <w:r>
        <w:t>2021</w:t>
      </w:r>
      <w:r>
        <w:t>年</w:t>
      </w:r>
      <w:r>
        <w:t>12</w:t>
      </w:r>
      <w:r>
        <w:t>月</w:t>
      </w:r>
      <w:r>
        <w:t>31</w:t>
      </w:r>
      <w:r>
        <w:t>日</w:t>
      </w:r>
    </w:p>
    <w:sectPr w:rsidSect="008564FF">
      <w:type w:val="continuous"/>
      <w:pgSz w:w="11906" w:h="16838"/>
      <w:pgMar w:top="1440" w:right="1800" w:bottom="1440" w:left="1800"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22EC" w:rsidP="00F23B40">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22EC" w:rsidP="00F23B40">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22EC" w:rsidP="00F23B40">
    <w:pPr>
      <w:pStyle w:val="Footer"/>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22EC" w:rsidP="00845026">
    <w:pPr>
      <w:pStyle w:val="Footer"/>
      <w:ind w:firstLine="360"/>
      <w:jc w:val="center"/>
    </w:pPr>
    <w:r>
      <w:fldChar w:fldCharType="begin"/>
    </w:r>
    <w:r>
      <w:instrText xml:space="preserve"> PAGE   \* MERGEFORMAT </w:instrText>
    </w:r>
    <w:r>
      <w:fldChar w:fldCharType="separate"/>
    </w:r>
    <w:r w:rsidRPr="00684BAD" w:rsidR="00684BAD">
      <w:rPr>
        <w:noProof/>
        <w:lang w:val="zh-CN"/>
      </w:rPr>
      <w:t>3</w:t>
    </w:r>
    <w:r>
      <w:rPr>
        <w:noProof/>
        <w:lang w:val="zh-CN"/>
      </w:rPr>
      <w:fldChar w:fldCharType="end"/>
    </w:r>
  </w:p>
  <w:p w:rsidR="004822EC" w:rsidP="00F23B40">
    <w:pPr>
      <w:pStyle w:val="Footer"/>
      <w:ind w:firstLine="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22EC" w:rsidP="00F23B40">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22EC" w:rsidRPr="00845026" w:rsidP="00EB2D23">
    <w:pPr>
      <w:pStyle w:val="Header"/>
      <w:pBdr>
        <w:bottom w:val="none" w:sz="0" w:space="0" w:color="auto"/>
      </w:pBdr>
      <w:ind w:firstLine="0" w:firstLineChars="0"/>
      <w:jc w:val="left"/>
      <w:rPr>
        <w:rFonts w:ascii="宋体" w:eastAsia="宋体" w:hAnsi="宋体"/>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22EC" w:rsidP="008A3CF7">
    <w:pPr>
      <w:pStyle w:val="Header"/>
      <w:pBdr>
        <w:bottom w:val="none" w:sz="0" w:space="0" w:color="auto"/>
      </w:pBd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F4F5E6B"/>
    <w:multiLevelType w:val="hybridMultilevel"/>
    <w:tmpl w:val="FA74EF88"/>
    <w:lvl w:ilvl="0">
      <w:start w:val="1"/>
      <w:numFmt w:val="bullet"/>
      <w:lvlText w:val=""/>
      <w:lvlJc w:val="left"/>
      <w:pPr>
        <w:tabs>
          <w:tab w:val="num" w:pos="1680"/>
        </w:tabs>
        <w:ind w:left="168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39E2F0F"/>
    <w:multiLevelType w:val="multilevel"/>
    <w:tmpl w:val="97B69774"/>
    <w:lvl w:ilvl="0">
      <w:start w:val="1"/>
      <w:numFmt w:val="chineseCountingThousand"/>
      <w:suff w:val="space"/>
      <w:lvlText w:val="%1、"/>
      <w:lvlJc w:val="left"/>
      <w:pPr>
        <w:ind w:left="0" w:firstLine="0"/>
      </w:pPr>
    </w:lvl>
    <w:lvl w:ilvl="1">
      <w:start w:val="1"/>
      <w:numFmt w:val="chineseCountingThousand"/>
      <w:suff w:val="nothing"/>
      <w:lvlText w:val="%2、"/>
      <w:lvlJc w:val="left"/>
      <w:pPr>
        <w:ind w:left="0" w:firstLine="0"/>
      </w:pPr>
    </w:lvl>
    <w:lvl w:ilvl="2">
      <w:start w:val="1"/>
      <w:numFmt w:val="decimal"/>
      <w:suff w:val="space"/>
      <w:lvlText w:val="%3."/>
      <w:lvlJc w:val="left"/>
      <w:pPr>
        <w:ind w:left="0" w:firstLine="0"/>
      </w:pPr>
    </w:lvl>
    <w:lvl w:ilvl="3">
      <w:start w:val="1"/>
      <w:numFmt w:val="none"/>
      <w:pStyle w:val="Heading4"/>
      <w:suff w:val="nothing"/>
      <w:lvlJc w:val="left"/>
      <w:pPr>
        <w:ind w:left="851" w:firstLine="0"/>
      </w:pPr>
    </w:lvl>
    <w:lvl w:ilvl="4">
      <w:start w:val="1"/>
      <w:numFmt w:val="none"/>
      <w:pStyle w:val="Heading5"/>
      <w:suff w:val="nothing"/>
      <w:lvlJc w:val="left"/>
      <w:pPr>
        <w:ind w:left="851" w:firstLine="0"/>
      </w:pPr>
    </w:lvl>
    <w:lvl w:ilvl="5">
      <w:start w:val="1"/>
      <w:numFmt w:val="none"/>
      <w:pStyle w:val="Heading6"/>
      <w:suff w:val="nothing"/>
      <w:lvlJc w:val="left"/>
      <w:pPr>
        <w:ind w:left="851" w:firstLine="0"/>
      </w:pPr>
    </w:lvl>
    <w:lvl w:ilvl="6">
      <w:start w:val="1"/>
      <w:numFmt w:val="none"/>
      <w:pStyle w:val="Heading7"/>
      <w:suff w:val="nothing"/>
      <w:lvlJc w:val="left"/>
      <w:pPr>
        <w:ind w:left="851" w:firstLine="0"/>
      </w:pPr>
    </w:lvl>
    <w:lvl w:ilvl="7">
      <w:start w:val="1"/>
      <w:numFmt w:val="none"/>
      <w:pStyle w:val="Heading8"/>
      <w:suff w:val="nothing"/>
      <w:lvlJc w:val="left"/>
      <w:pPr>
        <w:ind w:left="851" w:firstLine="0"/>
      </w:pPr>
    </w:lvl>
    <w:lvl w:ilvl="8">
      <w:start w:val="1"/>
      <w:numFmt w:val="none"/>
      <w:pStyle w:val="Heading9"/>
      <w:suff w:val="nothing"/>
      <w:lvlJc w:val="left"/>
      <w:pPr>
        <w:ind w:left="851" w:firstLine="0"/>
      </w:pPr>
    </w:lvl>
  </w:abstractNum>
  <w:abstractNum w:abstractNumId="2">
    <w:nsid w:val="36115F06"/>
    <w:multiLevelType w:val="hybridMultilevel"/>
    <w:tmpl w:val="41280B56"/>
    <w:lvl w:ilvl="0">
      <w:start w:val="1"/>
      <w:numFmt w:val="decimal"/>
      <w:lvlText w:val="（%1）"/>
      <w:lvlJc w:val="left"/>
      <w:pPr>
        <w:tabs>
          <w:tab w:val="num" w:pos="851"/>
        </w:tabs>
        <w:ind w:left="851" w:hanging="567"/>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
    <w:nsid w:val="37B028D9"/>
    <w:multiLevelType w:val="hybridMultilevel"/>
    <w:tmpl w:val="02BEB382"/>
    <w:lvl w:ilvl="0">
      <w:start w:val="1"/>
      <w:numFmt w:val="lowerLetter"/>
      <w:lvlText w:val="%1."/>
      <w:lvlJc w:val="left"/>
      <w:pPr>
        <w:tabs>
          <w:tab w:val="num" w:pos="1425"/>
        </w:tabs>
        <w:ind w:left="1425" w:hanging="585"/>
      </w:pPr>
    </w:lvl>
    <w:lvl w:ilvl="1">
      <w:start w:val="1"/>
      <w:numFmt w:val="lowerLetter"/>
      <w:lvlText w:val="%2)"/>
      <w:lvlJc w:val="left"/>
      <w:pPr>
        <w:tabs>
          <w:tab w:val="num" w:pos="1680"/>
        </w:tabs>
        <w:ind w:left="1680" w:hanging="420"/>
      </w:pPr>
    </w:lvl>
    <w:lvl w:ilvl="2">
      <w:start w:val="1"/>
      <w:numFmt w:val="lowerRoman"/>
      <w:lvlText w:val="%3."/>
      <w:lvlJc w:val="right"/>
      <w:pPr>
        <w:tabs>
          <w:tab w:val="num" w:pos="2100"/>
        </w:tabs>
        <w:ind w:left="2100" w:hanging="42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B385D0F"/>
    <w:multiLevelType w:val="hybridMultilevel"/>
    <w:tmpl w:val="36E8BDCC"/>
    <w:lvl w:ilvl="0">
      <w:start w:val="1"/>
      <w:numFmt w:val="japaneseCounting"/>
      <w:lvlText w:val="（%1）"/>
      <w:lvlJc w:val="left"/>
      <w:pPr>
        <w:tabs>
          <w:tab w:val="num" w:pos="720"/>
        </w:tabs>
        <w:ind w:left="720" w:hanging="720"/>
      </w:pPr>
    </w:lvl>
    <w:lvl w:ilvl="1">
      <w:start w:val="1"/>
      <w:numFmt w:val="decimal"/>
      <w:pStyle w:val="CharCharCharCharCharCharChar"/>
      <w:lvlText w:val="%2、"/>
      <w:lvlJc w:val="left"/>
      <w:pPr>
        <w:tabs>
          <w:tab w:val="num" w:pos="780"/>
        </w:tabs>
        <w:ind w:left="7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562621F"/>
    <w:multiLevelType w:val="hybridMultilevel"/>
    <w:tmpl w:val="1A3A79AA"/>
    <w:lvl w:ilvl="0">
      <w:start w:val="1"/>
      <w:numFmt w:val="decimal"/>
      <w:lvlText w:val="%1."/>
      <w:lvlJc w:val="left"/>
      <w:pPr>
        <w:tabs>
          <w:tab w:val="num" w:pos="780"/>
        </w:tabs>
        <w:ind w:left="420" w:firstLine="0"/>
      </w:pPr>
    </w:lvl>
    <w:lvl w:ilvl="1">
      <w:start w:val="1"/>
      <w:numFmt w:val="decimal"/>
      <w:lvlText w:val="（%2）"/>
      <w:lvlJc w:val="left"/>
      <w:pPr>
        <w:tabs>
          <w:tab w:val="num" w:pos="1134"/>
        </w:tabs>
        <w:ind w:left="1134" w:hanging="714"/>
      </w:pPr>
    </w:lvl>
    <w:lvl w:ilvl="2">
      <w:start w:val="1"/>
      <w:numFmt w:val="decimal"/>
      <w:lvlText w:val="%3"/>
      <w:lvlJc w:val="left"/>
      <w:pPr>
        <w:tabs>
          <w:tab w:val="num" w:pos="780"/>
        </w:tabs>
        <w:ind w:left="420" w:firstLine="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6732404"/>
    <w:multiLevelType w:val="multilevel"/>
    <w:tmpl w:val="CDC0E6D0"/>
    <w:lvl w:ilvl="0">
      <w:start w:val="1"/>
      <w:numFmt w:val="japaneseCounting"/>
      <w:lvlText w:val="（%1）"/>
      <w:lvlJc w:val="left"/>
      <w:pPr>
        <w:tabs>
          <w:tab w:val="num" w:pos="990"/>
        </w:tabs>
        <w:ind w:left="990" w:hanging="840"/>
      </w:pPr>
    </w:lvl>
    <w:lvl w:ilvl="1">
      <w:start w:val="1"/>
      <w:numFmt w:val="decimal"/>
      <w:lvlText w:val="（%2）"/>
      <w:lvlJc w:val="left"/>
      <w:pPr>
        <w:tabs>
          <w:tab w:val="num" w:pos="1290"/>
        </w:tabs>
        <w:ind w:left="1290" w:hanging="720"/>
      </w:pPr>
    </w:lvl>
    <w:lvl w:ilvl="2">
      <w:start w:val="4"/>
      <w:numFmt w:val="japaneseCounting"/>
      <w:pStyle w:val="Heading3"/>
      <w:lvlText w:val="%3、"/>
      <w:lvlJc w:val="left"/>
      <w:pPr>
        <w:tabs>
          <w:tab w:val="num" w:pos="1710"/>
        </w:tabs>
        <w:ind w:left="1710" w:hanging="720"/>
      </w:pPr>
      <w:rPr>
        <w:rFonts w:ascii="Times New Roman" w:eastAsia="宋体" w:hAnsi="Times New Roman" w:hint="eastAsia"/>
        <w:b/>
        <w:color w:val="auto"/>
      </w:rPr>
    </w:lvl>
    <w:lvl w:ilvl="3">
      <w:start w:val="1"/>
      <w:numFmt w:val="decimal"/>
      <w:lvlText w:val="%4."/>
      <w:lvlJc w:val="left"/>
      <w:pPr>
        <w:tabs>
          <w:tab w:val="num" w:pos="1830"/>
        </w:tabs>
        <w:ind w:left="1830" w:hanging="420"/>
      </w:pPr>
    </w:lvl>
    <w:lvl w:ilvl="4">
      <w:start w:val="1"/>
      <w:numFmt w:val="lowerLetter"/>
      <w:lvlText w:val="%5)"/>
      <w:lvlJc w:val="left"/>
      <w:pPr>
        <w:tabs>
          <w:tab w:val="num" w:pos="2250"/>
        </w:tabs>
        <w:ind w:left="2250" w:hanging="420"/>
      </w:pPr>
    </w:lvl>
    <w:lvl w:ilvl="5">
      <w:start w:val="1"/>
      <w:numFmt w:val="lowerRoman"/>
      <w:lvlText w:val="%6."/>
      <w:lvlJc w:val="right"/>
      <w:pPr>
        <w:tabs>
          <w:tab w:val="num" w:pos="2670"/>
        </w:tabs>
        <w:ind w:left="2670" w:hanging="420"/>
      </w:pPr>
    </w:lvl>
    <w:lvl w:ilvl="6">
      <w:start w:val="1"/>
      <w:numFmt w:val="decimal"/>
      <w:lvlText w:val="%7."/>
      <w:lvlJc w:val="left"/>
      <w:pPr>
        <w:tabs>
          <w:tab w:val="num" w:pos="3090"/>
        </w:tabs>
        <w:ind w:left="3090" w:hanging="420"/>
      </w:pPr>
    </w:lvl>
    <w:lvl w:ilvl="7">
      <w:start w:val="1"/>
      <w:numFmt w:val="lowerLetter"/>
      <w:lvlText w:val="%8)"/>
      <w:lvlJc w:val="left"/>
      <w:pPr>
        <w:tabs>
          <w:tab w:val="num" w:pos="3510"/>
        </w:tabs>
        <w:ind w:left="3510" w:hanging="420"/>
      </w:pPr>
    </w:lvl>
    <w:lvl w:ilvl="8">
      <w:start w:val="1"/>
      <w:numFmt w:val="lowerRoman"/>
      <w:lvlText w:val="%9."/>
      <w:lvlJc w:val="right"/>
      <w:pPr>
        <w:tabs>
          <w:tab w:val="num" w:pos="3930"/>
        </w:tabs>
        <w:ind w:left="3930" w:hanging="420"/>
      </w:pPr>
    </w:lvl>
  </w:abstractNum>
  <w:abstractNum w:abstractNumId="7">
    <w:nsid w:val="67D51DFF"/>
    <w:multiLevelType w:val="hybridMultilevel"/>
    <w:tmpl w:val="B7A4913C"/>
    <w:lvl w:ilvl="0">
      <w:start w:val="1"/>
      <w:numFmt w:val="japaneseCounting"/>
      <w:lvlText w:val="%1、"/>
      <w:lvlJc w:val="left"/>
      <w:pPr>
        <w:tabs>
          <w:tab w:val="num" w:pos="480"/>
        </w:tabs>
        <w:ind w:left="480" w:hanging="480"/>
      </w:pPr>
      <w:rPr>
        <w:lang w:val="en-US"/>
      </w:rPr>
    </w:lvl>
    <w:lvl w:ilvl="1">
      <w:start w:val="1"/>
      <w:numFmt w:val="japaneseCounting"/>
      <w:lvlText w:val="%2、"/>
      <w:lvlJc w:val="left"/>
      <w:pPr>
        <w:tabs>
          <w:tab w:val="num" w:pos="480"/>
        </w:tabs>
        <w:ind w:left="480" w:hanging="480"/>
      </w:pPr>
      <w:rPr>
        <w:lang w:val="en-US"/>
      </w:rPr>
    </w:lvl>
    <w:lvl w:ilvl="2">
      <w:start w:val="1"/>
      <w:numFmt w:val="decimal"/>
      <w:lvlText w:val="%3)"/>
      <w:lvlJc w:val="left"/>
      <w:pPr>
        <w:tabs>
          <w:tab w:val="num" w:pos="1260"/>
        </w:tabs>
        <w:ind w:left="1260" w:hanging="420"/>
      </w:pPr>
    </w:lvl>
    <w:lvl w:ilvl="3">
      <w:start w:val="1"/>
      <w:numFmt w:val="bullet"/>
      <w:lvlText w:val=""/>
      <w:lvlJc w:val="left"/>
      <w:pPr>
        <w:tabs>
          <w:tab w:val="num" w:pos="1680"/>
        </w:tabs>
        <w:ind w:left="1680" w:hanging="420"/>
      </w:pPr>
      <w:rPr>
        <w:rFonts w:ascii="Wingdings" w:hAnsi="Wingdings" w:hint="default"/>
      </w:rPr>
    </w:lvl>
    <w:lvl w:ilvl="4">
      <w:start w:val="1"/>
      <w:numFmt w:val="lowerLetter"/>
      <w:lvlText w:val="%5)"/>
      <w:lvlJc w:val="left"/>
      <w:pPr>
        <w:tabs>
          <w:tab w:val="num" w:pos="2100"/>
        </w:tabs>
        <w:ind w:left="2100" w:hanging="420"/>
      </w:pPr>
    </w:lvl>
    <w:lvl w:ilvl="5">
      <w:start w:val="1"/>
      <w:numFmt w:val="decimal"/>
      <w:lvlText w:val="（%6）"/>
      <w:lvlJc w:val="left"/>
      <w:pPr>
        <w:tabs>
          <w:tab w:val="num" w:pos="2820"/>
        </w:tabs>
        <w:ind w:left="2820" w:hanging="72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9996945"/>
    <w:multiLevelType w:val="hybridMultilevel"/>
    <w:tmpl w:val="C21C2A68"/>
    <w:lvl w:ilvl="0">
      <w:start w:val="1"/>
      <w:numFmt w:val="upperLetter"/>
      <w:lvlText w:val="%1."/>
      <w:lvlJc w:val="left"/>
      <w:pPr>
        <w:tabs>
          <w:tab w:val="num" w:pos="902"/>
        </w:tabs>
        <w:ind w:left="902" w:hanging="4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FE147B6"/>
    <w:multiLevelType w:val="singleLevel"/>
    <w:tmpl w:val="5DAA9A04"/>
    <w:lvl w:ilvl="0">
      <w:start w:val="1"/>
      <w:numFmt w:val="decimal"/>
      <w:pStyle w:val="Subtitle"/>
      <w:lvlText w:val="(%1)"/>
      <w:lvlJc w:val="left"/>
      <w:pPr>
        <w:tabs>
          <w:tab w:val="num" w:pos="360"/>
        </w:tabs>
        <w:ind w:left="0" w:firstLine="0"/>
      </w:pPr>
    </w:lvl>
  </w:abstractNum>
  <w:abstractNum w:abstractNumId="10">
    <w:nsid w:val="77605F51"/>
    <w:multiLevelType w:val="hybridMultilevel"/>
    <w:tmpl w:val="CFEAD436"/>
    <w:lvl w:ilvl="0">
      <w:start w:val="1"/>
      <w:numFmt w:val="lowerLetter"/>
      <w:lvlText w:val="%1."/>
      <w:lvlJc w:val="left"/>
      <w:pPr>
        <w:tabs>
          <w:tab w:val="num" w:pos="1425"/>
        </w:tabs>
        <w:ind w:left="1425" w:hanging="58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C744549"/>
    <w:multiLevelType w:val="hybridMultilevel"/>
    <w:tmpl w:val="80468DB8"/>
    <w:lvl w:ilvl="0">
      <w:start w:val="1"/>
      <w:numFmt w:val="bullet"/>
      <w:lvlText w:val=""/>
      <w:lvlJc w:val="left"/>
      <w:pPr>
        <w:tabs>
          <w:tab w:val="num" w:pos="1260"/>
        </w:tabs>
        <w:ind w:left="1260" w:hanging="420"/>
      </w:pPr>
      <w:rPr>
        <w:rFonts w:ascii="Wingdings" w:hAnsi="Wingdings" w:hint="default"/>
        <w:sz w:val="1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bordersDoNotSurroundHeader/>
  <w:bordersDoNotSurroundFooter/>
  <w:proofState w:grammar="clean"/>
  <w:defaultTabStop w:val="420"/>
  <w:drawingGridHorizontalSpacing w:val="105"/>
  <w:drawingGridVerticalSpacing w:val="44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overrideTableStyleFontSizeAndJustification" w:uri="http://schemas.microsoft.com/office/word" w:val="0"/>
  </w:compat>
  <w:rsids>
    <w:rsidRoot w:val="003A3487"/>
    <w:rsid w:val="000024FC"/>
    <w:rsid w:val="000065A8"/>
    <w:rsid w:val="00007419"/>
    <w:rsid w:val="00007B25"/>
    <w:rsid w:val="00010101"/>
    <w:rsid w:val="000155DC"/>
    <w:rsid w:val="00016E95"/>
    <w:rsid w:val="000223AC"/>
    <w:rsid w:val="00022683"/>
    <w:rsid w:val="00023B93"/>
    <w:rsid w:val="000243B3"/>
    <w:rsid w:val="00025FDD"/>
    <w:rsid w:val="00026118"/>
    <w:rsid w:val="000329A3"/>
    <w:rsid w:val="00034169"/>
    <w:rsid w:val="000349F0"/>
    <w:rsid w:val="0003560B"/>
    <w:rsid w:val="00036107"/>
    <w:rsid w:val="00036263"/>
    <w:rsid w:val="000409D1"/>
    <w:rsid w:val="00040DAE"/>
    <w:rsid w:val="00040F58"/>
    <w:rsid w:val="0004199B"/>
    <w:rsid w:val="00043392"/>
    <w:rsid w:val="000464E0"/>
    <w:rsid w:val="00052F08"/>
    <w:rsid w:val="0005326B"/>
    <w:rsid w:val="00054849"/>
    <w:rsid w:val="00054F80"/>
    <w:rsid w:val="000555F0"/>
    <w:rsid w:val="00057530"/>
    <w:rsid w:val="0006350C"/>
    <w:rsid w:val="00063CA4"/>
    <w:rsid w:val="00063E8C"/>
    <w:rsid w:val="00065300"/>
    <w:rsid w:val="00071300"/>
    <w:rsid w:val="00072797"/>
    <w:rsid w:val="0007535E"/>
    <w:rsid w:val="000753B6"/>
    <w:rsid w:val="000810A9"/>
    <w:rsid w:val="0009373F"/>
    <w:rsid w:val="0009716C"/>
    <w:rsid w:val="000A0542"/>
    <w:rsid w:val="000A0A5B"/>
    <w:rsid w:val="000A192B"/>
    <w:rsid w:val="000A2508"/>
    <w:rsid w:val="000A2FD2"/>
    <w:rsid w:val="000A45DD"/>
    <w:rsid w:val="000A4931"/>
    <w:rsid w:val="000A6A54"/>
    <w:rsid w:val="000B1A00"/>
    <w:rsid w:val="000C2E95"/>
    <w:rsid w:val="000C37DE"/>
    <w:rsid w:val="000C3DB4"/>
    <w:rsid w:val="000C64DF"/>
    <w:rsid w:val="000C7CEF"/>
    <w:rsid w:val="000D175D"/>
    <w:rsid w:val="000D1A77"/>
    <w:rsid w:val="000D31C0"/>
    <w:rsid w:val="000D4EF6"/>
    <w:rsid w:val="000D560B"/>
    <w:rsid w:val="000D5762"/>
    <w:rsid w:val="000D6AD1"/>
    <w:rsid w:val="000E03C6"/>
    <w:rsid w:val="000E0592"/>
    <w:rsid w:val="000E3A46"/>
    <w:rsid w:val="000E4CFB"/>
    <w:rsid w:val="000E52E8"/>
    <w:rsid w:val="000E79AF"/>
    <w:rsid w:val="000E7E51"/>
    <w:rsid w:val="000F0AE7"/>
    <w:rsid w:val="000F3E4A"/>
    <w:rsid w:val="000F432D"/>
    <w:rsid w:val="00101AE5"/>
    <w:rsid w:val="0010426C"/>
    <w:rsid w:val="0011043B"/>
    <w:rsid w:val="001105A1"/>
    <w:rsid w:val="00111564"/>
    <w:rsid w:val="0011484A"/>
    <w:rsid w:val="001148E8"/>
    <w:rsid w:val="00116EDB"/>
    <w:rsid w:val="001208F2"/>
    <w:rsid w:val="001215A7"/>
    <w:rsid w:val="0012200A"/>
    <w:rsid w:val="001232D6"/>
    <w:rsid w:val="00123EC2"/>
    <w:rsid w:val="001246DC"/>
    <w:rsid w:val="00125366"/>
    <w:rsid w:val="0012536D"/>
    <w:rsid w:val="00125619"/>
    <w:rsid w:val="0013246A"/>
    <w:rsid w:val="001367EB"/>
    <w:rsid w:val="0013714A"/>
    <w:rsid w:val="001377B4"/>
    <w:rsid w:val="00137ABF"/>
    <w:rsid w:val="00141BEF"/>
    <w:rsid w:val="001434AF"/>
    <w:rsid w:val="0014617E"/>
    <w:rsid w:val="00146D2E"/>
    <w:rsid w:val="0015241D"/>
    <w:rsid w:val="001532B1"/>
    <w:rsid w:val="00153649"/>
    <w:rsid w:val="001540FF"/>
    <w:rsid w:val="00154808"/>
    <w:rsid w:val="00154DF2"/>
    <w:rsid w:val="00155D0B"/>
    <w:rsid w:val="00155F0D"/>
    <w:rsid w:val="00157D14"/>
    <w:rsid w:val="00160B26"/>
    <w:rsid w:val="00160C1B"/>
    <w:rsid w:val="001619D4"/>
    <w:rsid w:val="00161BFA"/>
    <w:rsid w:val="001634FE"/>
    <w:rsid w:val="00164F4E"/>
    <w:rsid w:val="00165D08"/>
    <w:rsid w:val="001670CD"/>
    <w:rsid w:val="00167A2F"/>
    <w:rsid w:val="00170E30"/>
    <w:rsid w:val="00171005"/>
    <w:rsid w:val="00172AE9"/>
    <w:rsid w:val="00172F53"/>
    <w:rsid w:val="00174458"/>
    <w:rsid w:val="00176E73"/>
    <w:rsid w:val="00180976"/>
    <w:rsid w:val="001813F1"/>
    <w:rsid w:val="0018268B"/>
    <w:rsid w:val="001840D5"/>
    <w:rsid w:val="001847AC"/>
    <w:rsid w:val="001847F7"/>
    <w:rsid w:val="00185378"/>
    <w:rsid w:val="001916BA"/>
    <w:rsid w:val="00192A96"/>
    <w:rsid w:val="001947A3"/>
    <w:rsid w:val="00195752"/>
    <w:rsid w:val="001967F8"/>
    <w:rsid w:val="001A1DC2"/>
    <w:rsid w:val="001A335C"/>
    <w:rsid w:val="001A33E6"/>
    <w:rsid w:val="001A385F"/>
    <w:rsid w:val="001A7A14"/>
    <w:rsid w:val="001B1274"/>
    <w:rsid w:val="001B244B"/>
    <w:rsid w:val="001B3B89"/>
    <w:rsid w:val="001B44C7"/>
    <w:rsid w:val="001B5397"/>
    <w:rsid w:val="001C071B"/>
    <w:rsid w:val="001C4257"/>
    <w:rsid w:val="001C60CE"/>
    <w:rsid w:val="001D0648"/>
    <w:rsid w:val="001D2E3F"/>
    <w:rsid w:val="001D35D3"/>
    <w:rsid w:val="001D5441"/>
    <w:rsid w:val="001D6468"/>
    <w:rsid w:val="001E020E"/>
    <w:rsid w:val="001E0331"/>
    <w:rsid w:val="001E20FD"/>
    <w:rsid w:val="001E599E"/>
    <w:rsid w:val="001E60E3"/>
    <w:rsid w:val="001E64C1"/>
    <w:rsid w:val="001F004C"/>
    <w:rsid w:val="001F26B1"/>
    <w:rsid w:val="001F336E"/>
    <w:rsid w:val="001F3D12"/>
    <w:rsid w:val="001F3E50"/>
    <w:rsid w:val="001F40E1"/>
    <w:rsid w:val="001F76BA"/>
    <w:rsid w:val="001F7A30"/>
    <w:rsid w:val="0020333B"/>
    <w:rsid w:val="002040EA"/>
    <w:rsid w:val="00204157"/>
    <w:rsid w:val="0020522C"/>
    <w:rsid w:val="00205E6F"/>
    <w:rsid w:val="00207060"/>
    <w:rsid w:val="002078F6"/>
    <w:rsid w:val="002110FB"/>
    <w:rsid w:val="0021352B"/>
    <w:rsid w:val="0021403A"/>
    <w:rsid w:val="00215C97"/>
    <w:rsid w:val="00222ECD"/>
    <w:rsid w:val="0022340C"/>
    <w:rsid w:val="0022345A"/>
    <w:rsid w:val="002247BC"/>
    <w:rsid w:val="0022556A"/>
    <w:rsid w:val="002266E0"/>
    <w:rsid w:val="00226A0D"/>
    <w:rsid w:val="00232AE0"/>
    <w:rsid w:val="00232BDB"/>
    <w:rsid w:val="00233003"/>
    <w:rsid w:val="00233723"/>
    <w:rsid w:val="00240883"/>
    <w:rsid w:val="002408BC"/>
    <w:rsid w:val="0024098F"/>
    <w:rsid w:val="00241DBD"/>
    <w:rsid w:val="00243852"/>
    <w:rsid w:val="00243AEB"/>
    <w:rsid w:val="0024552B"/>
    <w:rsid w:val="00246FB8"/>
    <w:rsid w:val="0024736E"/>
    <w:rsid w:val="00247464"/>
    <w:rsid w:val="00251658"/>
    <w:rsid w:val="00252157"/>
    <w:rsid w:val="0025242C"/>
    <w:rsid w:val="00252C0F"/>
    <w:rsid w:val="00253180"/>
    <w:rsid w:val="00253BE7"/>
    <w:rsid w:val="0025468E"/>
    <w:rsid w:val="00262946"/>
    <w:rsid w:val="002651A2"/>
    <w:rsid w:val="0026600A"/>
    <w:rsid w:val="002664F7"/>
    <w:rsid w:val="0027269C"/>
    <w:rsid w:val="002734A5"/>
    <w:rsid w:val="00275C77"/>
    <w:rsid w:val="00280AEE"/>
    <w:rsid w:val="00281349"/>
    <w:rsid w:val="00283168"/>
    <w:rsid w:val="002878B0"/>
    <w:rsid w:val="00292932"/>
    <w:rsid w:val="00294273"/>
    <w:rsid w:val="00294D16"/>
    <w:rsid w:val="00294EA6"/>
    <w:rsid w:val="002A1E09"/>
    <w:rsid w:val="002A2125"/>
    <w:rsid w:val="002A490A"/>
    <w:rsid w:val="002A491D"/>
    <w:rsid w:val="002A55C6"/>
    <w:rsid w:val="002A7753"/>
    <w:rsid w:val="002B0F16"/>
    <w:rsid w:val="002B3775"/>
    <w:rsid w:val="002B7B94"/>
    <w:rsid w:val="002C0263"/>
    <w:rsid w:val="002C0C43"/>
    <w:rsid w:val="002C2AF0"/>
    <w:rsid w:val="002C4D6B"/>
    <w:rsid w:val="002C6CC3"/>
    <w:rsid w:val="002C736E"/>
    <w:rsid w:val="002D0D24"/>
    <w:rsid w:val="002D1E6D"/>
    <w:rsid w:val="002D26DD"/>
    <w:rsid w:val="002D355A"/>
    <w:rsid w:val="002D3DF9"/>
    <w:rsid w:val="002D5204"/>
    <w:rsid w:val="002D64F7"/>
    <w:rsid w:val="002D6EED"/>
    <w:rsid w:val="002D75BF"/>
    <w:rsid w:val="002E0908"/>
    <w:rsid w:val="002E4059"/>
    <w:rsid w:val="002E493E"/>
    <w:rsid w:val="002E5543"/>
    <w:rsid w:val="002E63D0"/>
    <w:rsid w:val="002E71F5"/>
    <w:rsid w:val="002F16A7"/>
    <w:rsid w:val="002F181D"/>
    <w:rsid w:val="002F1C7A"/>
    <w:rsid w:val="002F3DDE"/>
    <w:rsid w:val="002F3EE8"/>
    <w:rsid w:val="002F5378"/>
    <w:rsid w:val="00300C2D"/>
    <w:rsid w:val="00303189"/>
    <w:rsid w:val="00303839"/>
    <w:rsid w:val="0031106D"/>
    <w:rsid w:val="0031426E"/>
    <w:rsid w:val="00317AFD"/>
    <w:rsid w:val="00320116"/>
    <w:rsid w:val="00323DB8"/>
    <w:rsid w:val="0032531E"/>
    <w:rsid w:val="00332271"/>
    <w:rsid w:val="0033337D"/>
    <w:rsid w:val="00336256"/>
    <w:rsid w:val="003367F7"/>
    <w:rsid w:val="003369FE"/>
    <w:rsid w:val="003377B4"/>
    <w:rsid w:val="00337A0B"/>
    <w:rsid w:val="0034098C"/>
    <w:rsid w:val="00340B80"/>
    <w:rsid w:val="00342A32"/>
    <w:rsid w:val="003438BB"/>
    <w:rsid w:val="0035179E"/>
    <w:rsid w:val="00353E65"/>
    <w:rsid w:val="00360ECF"/>
    <w:rsid w:val="00365863"/>
    <w:rsid w:val="00365EC5"/>
    <w:rsid w:val="0037071F"/>
    <w:rsid w:val="00375CD2"/>
    <w:rsid w:val="003760E5"/>
    <w:rsid w:val="00377049"/>
    <w:rsid w:val="00381666"/>
    <w:rsid w:val="00381A37"/>
    <w:rsid w:val="00382D44"/>
    <w:rsid w:val="00386F16"/>
    <w:rsid w:val="0039302B"/>
    <w:rsid w:val="00394AC8"/>
    <w:rsid w:val="0039543F"/>
    <w:rsid w:val="00396504"/>
    <w:rsid w:val="00396683"/>
    <w:rsid w:val="003A0948"/>
    <w:rsid w:val="003A2506"/>
    <w:rsid w:val="003A3487"/>
    <w:rsid w:val="003A7AE3"/>
    <w:rsid w:val="003B0173"/>
    <w:rsid w:val="003B0E11"/>
    <w:rsid w:val="003B4845"/>
    <w:rsid w:val="003B49E9"/>
    <w:rsid w:val="003B5008"/>
    <w:rsid w:val="003B69A2"/>
    <w:rsid w:val="003B6D7F"/>
    <w:rsid w:val="003C0F7F"/>
    <w:rsid w:val="003C1E63"/>
    <w:rsid w:val="003C234B"/>
    <w:rsid w:val="003D003C"/>
    <w:rsid w:val="003D227B"/>
    <w:rsid w:val="003D337E"/>
    <w:rsid w:val="003D4A16"/>
    <w:rsid w:val="003E0BEE"/>
    <w:rsid w:val="003E1145"/>
    <w:rsid w:val="003E15AB"/>
    <w:rsid w:val="003E1878"/>
    <w:rsid w:val="003E2DF5"/>
    <w:rsid w:val="003E474C"/>
    <w:rsid w:val="003E67AF"/>
    <w:rsid w:val="003F1C01"/>
    <w:rsid w:val="003F2AD6"/>
    <w:rsid w:val="003F2DFA"/>
    <w:rsid w:val="00400319"/>
    <w:rsid w:val="00402C7C"/>
    <w:rsid w:val="004030FE"/>
    <w:rsid w:val="00403939"/>
    <w:rsid w:val="0040446E"/>
    <w:rsid w:val="004054C3"/>
    <w:rsid w:val="0040679B"/>
    <w:rsid w:val="00410CB3"/>
    <w:rsid w:val="00416382"/>
    <w:rsid w:val="00417AAB"/>
    <w:rsid w:val="00417AEC"/>
    <w:rsid w:val="00420BAB"/>
    <w:rsid w:val="00420C1F"/>
    <w:rsid w:val="00421857"/>
    <w:rsid w:val="004235F2"/>
    <w:rsid w:val="004240D5"/>
    <w:rsid w:val="004248B3"/>
    <w:rsid w:val="0042613E"/>
    <w:rsid w:val="00426930"/>
    <w:rsid w:val="0042773F"/>
    <w:rsid w:val="00432AA3"/>
    <w:rsid w:val="00432AB0"/>
    <w:rsid w:val="00434021"/>
    <w:rsid w:val="00435851"/>
    <w:rsid w:val="00436ED0"/>
    <w:rsid w:val="004373AD"/>
    <w:rsid w:val="00441246"/>
    <w:rsid w:val="00441F06"/>
    <w:rsid w:val="0044256F"/>
    <w:rsid w:val="004427C8"/>
    <w:rsid w:val="00446749"/>
    <w:rsid w:val="00447E22"/>
    <w:rsid w:val="0045006C"/>
    <w:rsid w:val="0045085E"/>
    <w:rsid w:val="004512C1"/>
    <w:rsid w:val="0045304E"/>
    <w:rsid w:val="004535AE"/>
    <w:rsid w:val="004539C6"/>
    <w:rsid w:val="004549E4"/>
    <w:rsid w:val="004575B4"/>
    <w:rsid w:val="00461B0D"/>
    <w:rsid w:val="00462108"/>
    <w:rsid w:val="00463A72"/>
    <w:rsid w:val="0046557F"/>
    <w:rsid w:val="00465F38"/>
    <w:rsid w:val="004660C4"/>
    <w:rsid w:val="00466B10"/>
    <w:rsid w:val="004674F7"/>
    <w:rsid w:val="004678FD"/>
    <w:rsid w:val="00467A86"/>
    <w:rsid w:val="0047012F"/>
    <w:rsid w:val="00471433"/>
    <w:rsid w:val="004725B2"/>
    <w:rsid w:val="00475370"/>
    <w:rsid w:val="004822EC"/>
    <w:rsid w:val="00482857"/>
    <w:rsid w:val="0048334A"/>
    <w:rsid w:val="00483A68"/>
    <w:rsid w:val="00484A2D"/>
    <w:rsid w:val="00485893"/>
    <w:rsid w:val="004860A0"/>
    <w:rsid w:val="004864EF"/>
    <w:rsid w:val="00487BAC"/>
    <w:rsid w:val="00491DE1"/>
    <w:rsid w:val="004936B8"/>
    <w:rsid w:val="00493C87"/>
    <w:rsid w:val="00495EE3"/>
    <w:rsid w:val="00496E3D"/>
    <w:rsid w:val="004A1C93"/>
    <w:rsid w:val="004A3F29"/>
    <w:rsid w:val="004A4768"/>
    <w:rsid w:val="004A5B31"/>
    <w:rsid w:val="004B04EA"/>
    <w:rsid w:val="004B1709"/>
    <w:rsid w:val="004B21AE"/>
    <w:rsid w:val="004B22A7"/>
    <w:rsid w:val="004B35C0"/>
    <w:rsid w:val="004B39B3"/>
    <w:rsid w:val="004B4AD0"/>
    <w:rsid w:val="004B6991"/>
    <w:rsid w:val="004C1285"/>
    <w:rsid w:val="004C63D5"/>
    <w:rsid w:val="004C7272"/>
    <w:rsid w:val="004C77CE"/>
    <w:rsid w:val="004D1CDE"/>
    <w:rsid w:val="004D1D63"/>
    <w:rsid w:val="004D2361"/>
    <w:rsid w:val="004D2995"/>
    <w:rsid w:val="004D3B26"/>
    <w:rsid w:val="004E2013"/>
    <w:rsid w:val="004E36B9"/>
    <w:rsid w:val="004E472E"/>
    <w:rsid w:val="004E642A"/>
    <w:rsid w:val="004E64A5"/>
    <w:rsid w:val="004E79CC"/>
    <w:rsid w:val="004F0389"/>
    <w:rsid w:val="004F04EF"/>
    <w:rsid w:val="004F1489"/>
    <w:rsid w:val="004F39CA"/>
    <w:rsid w:val="004F6E74"/>
    <w:rsid w:val="004F7FA3"/>
    <w:rsid w:val="00500FD5"/>
    <w:rsid w:val="005051FD"/>
    <w:rsid w:val="005055A9"/>
    <w:rsid w:val="00505EA9"/>
    <w:rsid w:val="0050795B"/>
    <w:rsid w:val="00510296"/>
    <w:rsid w:val="00513850"/>
    <w:rsid w:val="005151CD"/>
    <w:rsid w:val="00515CA6"/>
    <w:rsid w:val="00515DB5"/>
    <w:rsid w:val="00516272"/>
    <w:rsid w:val="00516CAD"/>
    <w:rsid w:val="00521631"/>
    <w:rsid w:val="005240F3"/>
    <w:rsid w:val="00525638"/>
    <w:rsid w:val="00530864"/>
    <w:rsid w:val="0053196A"/>
    <w:rsid w:val="005326CF"/>
    <w:rsid w:val="00534365"/>
    <w:rsid w:val="0053471C"/>
    <w:rsid w:val="0053583E"/>
    <w:rsid w:val="005403FB"/>
    <w:rsid w:val="00542427"/>
    <w:rsid w:val="005430B9"/>
    <w:rsid w:val="005448C8"/>
    <w:rsid w:val="00544F10"/>
    <w:rsid w:val="00545683"/>
    <w:rsid w:val="00547CBD"/>
    <w:rsid w:val="00550898"/>
    <w:rsid w:val="00551635"/>
    <w:rsid w:val="00551B2D"/>
    <w:rsid w:val="00552810"/>
    <w:rsid w:val="0055362E"/>
    <w:rsid w:val="0055403D"/>
    <w:rsid w:val="00554F7F"/>
    <w:rsid w:val="005574B8"/>
    <w:rsid w:val="005625E9"/>
    <w:rsid w:val="00562AA1"/>
    <w:rsid w:val="00562ECB"/>
    <w:rsid w:val="00565EA1"/>
    <w:rsid w:val="00566211"/>
    <w:rsid w:val="00566B50"/>
    <w:rsid w:val="005715EE"/>
    <w:rsid w:val="00572446"/>
    <w:rsid w:val="00574CDF"/>
    <w:rsid w:val="0057740E"/>
    <w:rsid w:val="0057795C"/>
    <w:rsid w:val="00580B6E"/>
    <w:rsid w:val="005817D2"/>
    <w:rsid w:val="005821E1"/>
    <w:rsid w:val="00582681"/>
    <w:rsid w:val="00590D1B"/>
    <w:rsid w:val="00592A20"/>
    <w:rsid w:val="00593D60"/>
    <w:rsid w:val="00595ED4"/>
    <w:rsid w:val="005968EB"/>
    <w:rsid w:val="005A07F5"/>
    <w:rsid w:val="005A0AF7"/>
    <w:rsid w:val="005A14BD"/>
    <w:rsid w:val="005A164E"/>
    <w:rsid w:val="005A2C86"/>
    <w:rsid w:val="005A2E2E"/>
    <w:rsid w:val="005A34E2"/>
    <w:rsid w:val="005A4C3A"/>
    <w:rsid w:val="005A5A75"/>
    <w:rsid w:val="005A5BD9"/>
    <w:rsid w:val="005A63EE"/>
    <w:rsid w:val="005A7F90"/>
    <w:rsid w:val="005B039F"/>
    <w:rsid w:val="005B7074"/>
    <w:rsid w:val="005C14B3"/>
    <w:rsid w:val="005C239D"/>
    <w:rsid w:val="005C2C4E"/>
    <w:rsid w:val="005C48F1"/>
    <w:rsid w:val="005C6BF2"/>
    <w:rsid w:val="005D1554"/>
    <w:rsid w:val="005D1FB3"/>
    <w:rsid w:val="005D22E2"/>
    <w:rsid w:val="005D2D26"/>
    <w:rsid w:val="005D590B"/>
    <w:rsid w:val="005E261C"/>
    <w:rsid w:val="005E4613"/>
    <w:rsid w:val="005E49FE"/>
    <w:rsid w:val="005F072E"/>
    <w:rsid w:val="005F1D13"/>
    <w:rsid w:val="005F2B86"/>
    <w:rsid w:val="005F397C"/>
    <w:rsid w:val="005F6CCB"/>
    <w:rsid w:val="005F747F"/>
    <w:rsid w:val="005F7A54"/>
    <w:rsid w:val="00601369"/>
    <w:rsid w:val="006028D6"/>
    <w:rsid w:val="00605744"/>
    <w:rsid w:val="00612B0D"/>
    <w:rsid w:val="00612DA8"/>
    <w:rsid w:val="006144B6"/>
    <w:rsid w:val="00615F74"/>
    <w:rsid w:val="006207BA"/>
    <w:rsid w:val="00620F06"/>
    <w:rsid w:val="00621F0B"/>
    <w:rsid w:val="00625B3F"/>
    <w:rsid w:val="00626541"/>
    <w:rsid w:val="00630EAB"/>
    <w:rsid w:val="00631523"/>
    <w:rsid w:val="00631A57"/>
    <w:rsid w:val="006360ED"/>
    <w:rsid w:val="00636A2C"/>
    <w:rsid w:val="006419F2"/>
    <w:rsid w:val="00645CFF"/>
    <w:rsid w:val="00646237"/>
    <w:rsid w:val="006513D8"/>
    <w:rsid w:val="00652162"/>
    <w:rsid w:val="00653085"/>
    <w:rsid w:val="00655471"/>
    <w:rsid w:val="00657A8F"/>
    <w:rsid w:val="006627DD"/>
    <w:rsid w:val="00663B4F"/>
    <w:rsid w:val="0066534D"/>
    <w:rsid w:val="0066717E"/>
    <w:rsid w:val="00667BAD"/>
    <w:rsid w:val="00670019"/>
    <w:rsid w:val="006729AB"/>
    <w:rsid w:val="006753C3"/>
    <w:rsid w:val="00677602"/>
    <w:rsid w:val="006806A5"/>
    <w:rsid w:val="006807F3"/>
    <w:rsid w:val="006809DD"/>
    <w:rsid w:val="006809DE"/>
    <w:rsid w:val="00684BAD"/>
    <w:rsid w:val="00685C8F"/>
    <w:rsid w:val="00691470"/>
    <w:rsid w:val="006945BE"/>
    <w:rsid w:val="006948C5"/>
    <w:rsid w:val="0069521E"/>
    <w:rsid w:val="006A088E"/>
    <w:rsid w:val="006A3CFC"/>
    <w:rsid w:val="006A4325"/>
    <w:rsid w:val="006A4A99"/>
    <w:rsid w:val="006A5266"/>
    <w:rsid w:val="006A556F"/>
    <w:rsid w:val="006B289F"/>
    <w:rsid w:val="006B28DD"/>
    <w:rsid w:val="006B7BD6"/>
    <w:rsid w:val="006C0A79"/>
    <w:rsid w:val="006C1FD8"/>
    <w:rsid w:val="006C2383"/>
    <w:rsid w:val="006C516A"/>
    <w:rsid w:val="006C5BA3"/>
    <w:rsid w:val="006C63B9"/>
    <w:rsid w:val="006C6EBF"/>
    <w:rsid w:val="006D0BB5"/>
    <w:rsid w:val="006D532D"/>
    <w:rsid w:val="006D5E43"/>
    <w:rsid w:val="006D72F0"/>
    <w:rsid w:val="006D7BF5"/>
    <w:rsid w:val="006E0316"/>
    <w:rsid w:val="006E2856"/>
    <w:rsid w:val="006E4053"/>
    <w:rsid w:val="006E414F"/>
    <w:rsid w:val="006E724D"/>
    <w:rsid w:val="006E7E00"/>
    <w:rsid w:val="006F032A"/>
    <w:rsid w:val="006F0C89"/>
    <w:rsid w:val="006F206E"/>
    <w:rsid w:val="006F4290"/>
    <w:rsid w:val="006F7459"/>
    <w:rsid w:val="00706888"/>
    <w:rsid w:val="007075B4"/>
    <w:rsid w:val="00707CF5"/>
    <w:rsid w:val="00711027"/>
    <w:rsid w:val="00712AE0"/>
    <w:rsid w:val="0072327B"/>
    <w:rsid w:val="00727E55"/>
    <w:rsid w:val="00730F4D"/>
    <w:rsid w:val="00731B05"/>
    <w:rsid w:val="00731CDC"/>
    <w:rsid w:val="00733A4A"/>
    <w:rsid w:val="00733DB9"/>
    <w:rsid w:val="00734B9F"/>
    <w:rsid w:val="00736DD6"/>
    <w:rsid w:val="00740532"/>
    <w:rsid w:val="007417CC"/>
    <w:rsid w:val="0074317E"/>
    <w:rsid w:val="00743640"/>
    <w:rsid w:val="00744D8F"/>
    <w:rsid w:val="007457AF"/>
    <w:rsid w:val="00747DCD"/>
    <w:rsid w:val="007548D1"/>
    <w:rsid w:val="00756012"/>
    <w:rsid w:val="007563CC"/>
    <w:rsid w:val="00757771"/>
    <w:rsid w:val="007613C9"/>
    <w:rsid w:val="00761CC4"/>
    <w:rsid w:val="00762CA9"/>
    <w:rsid w:val="0076351E"/>
    <w:rsid w:val="007649BB"/>
    <w:rsid w:val="007649FC"/>
    <w:rsid w:val="00767DB0"/>
    <w:rsid w:val="00767E47"/>
    <w:rsid w:val="00767FAC"/>
    <w:rsid w:val="0077340E"/>
    <w:rsid w:val="00775241"/>
    <w:rsid w:val="00775766"/>
    <w:rsid w:val="00776319"/>
    <w:rsid w:val="0077764B"/>
    <w:rsid w:val="00777681"/>
    <w:rsid w:val="00780052"/>
    <w:rsid w:val="00786781"/>
    <w:rsid w:val="00787456"/>
    <w:rsid w:val="00795A19"/>
    <w:rsid w:val="00796FE1"/>
    <w:rsid w:val="007A048A"/>
    <w:rsid w:val="007A3590"/>
    <w:rsid w:val="007A78C4"/>
    <w:rsid w:val="007B03DC"/>
    <w:rsid w:val="007B082E"/>
    <w:rsid w:val="007B37C3"/>
    <w:rsid w:val="007B6D1B"/>
    <w:rsid w:val="007B6E50"/>
    <w:rsid w:val="007B7C95"/>
    <w:rsid w:val="007C114E"/>
    <w:rsid w:val="007C24C2"/>
    <w:rsid w:val="007C3328"/>
    <w:rsid w:val="007C5332"/>
    <w:rsid w:val="007C7351"/>
    <w:rsid w:val="007C79D6"/>
    <w:rsid w:val="007D1538"/>
    <w:rsid w:val="007D2374"/>
    <w:rsid w:val="007D30A6"/>
    <w:rsid w:val="007D3AEF"/>
    <w:rsid w:val="007E0B70"/>
    <w:rsid w:val="007F1B6B"/>
    <w:rsid w:val="007F2278"/>
    <w:rsid w:val="007F28FC"/>
    <w:rsid w:val="007F55C4"/>
    <w:rsid w:val="007F5C61"/>
    <w:rsid w:val="007F7E54"/>
    <w:rsid w:val="00802305"/>
    <w:rsid w:val="008044D1"/>
    <w:rsid w:val="00806344"/>
    <w:rsid w:val="00807B77"/>
    <w:rsid w:val="00810372"/>
    <w:rsid w:val="00814618"/>
    <w:rsid w:val="008148BC"/>
    <w:rsid w:val="008150A9"/>
    <w:rsid w:val="00815DDE"/>
    <w:rsid w:val="00820716"/>
    <w:rsid w:val="00820842"/>
    <w:rsid w:val="0082342F"/>
    <w:rsid w:val="00823662"/>
    <w:rsid w:val="00826E47"/>
    <w:rsid w:val="00830861"/>
    <w:rsid w:val="0083185E"/>
    <w:rsid w:val="008331B4"/>
    <w:rsid w:val="00834615"/>
    <w:rsid w:val="00837FA7"/>
    <w:rsid w:val="00842C27"/>
    <w:rsid w:val="00844515"/>
    <w:rsid w:val="00845026"/>
    <w:rsid w:val="00845B56"/>
    <w:rsid w:val="00846871"/>
    <w:rsid w:val="00847322"/>
    <w:rsid w:val="00847EEE"/>
    <w:rsid w:val="008518F0"/>
    <w:rsid w:val="00852AE5"/>
    <w:rsid w:val="008564FF"/>
    <w:rsid w:val="00856AF1"/>
    <w:rsid w:val="00857703"/>
    <w:rsid w:val="008604D3"/>
    <w:rsid w:val="00860AA2"/>
    <w:rsid w:val="00862303"/>
    <w:rsid w:val="008704CC"/>
    <w:rsid w:val="00872263"/>
    <w:rsid w:val="0087277F"/>
    <w:rsid w:val="008736E9"/>
    <w:rsid w:val="008737AA"/>
    <w:rsid w:val="00876EE8"/>
    <w:rsid w:val="008864C4"/>
    <w:rsid w:val="008909DD"/>
    <w:rsid w:val="00893AD9"/>
    <w:rsid w:val="008970F7"/>
    <w:rsid w:val="008A0933"/>
    <w:rsid w:val="008A1A23"/>
    <w:rsid w:val="008A2346"/>
    <w:rsid w:val="008A3CF7"/>
    <w:rsid w:val="008A44F0"/>
    <w:rsid w:val="008B1AD2"/>
    <w:rsid w:val="008B25C2"/>
    <w:rsid w:val="008B4B95"/>
    <w:rsid w:val="008B4CDE"/>
    <w:rsid w:val="008B6CF5"/>
    <w:rsid w:val="008C1942"/>
    <w:rsid w:val="008C2B32"/>
    <w:rsid w:val="008C5747"/>
    <w:rsid w:val="008D09D3"/>
    <w:rsid w:val="008D1B27"/>
    <w:rsid w:val="008D51B9"/>
    <w:rsid w:val="008D526F"/>
    <w:rsid w:val="008D52B0"/>
    <w:rsid w:val="008D717D"/>
    <w:rsid w:val="008E1667"/>
    <w:rsid w:val="008E1BE7"/>
    <w:rsid w:val="008E2D8A"/>
    <w:rsid w:val="008E3745"/>
    <w:rsid w:val="008E3CF5"/>
    <w:rsid w:val="008E555B"/>
    <w:rsid w:val="008E7D53"/>
    <w:rsid w:val="008E7E54"/>
    <w:rsid w:val="008F065F"/>
    <w:rsid w:val="008F0AE8"/>
    <w:rsid w:val="008F0C78"/>
    <w:rsid w:val="008F422F"/>
    <w:rsid w:val="008F440B"/>
    <w:rsid w:val="008F4C19"/>
    <w:rsid w:val="00904BA3"/>
    <w:rsid w:val="00904E3F"/>
    <w:rsid w:val="00907F5A"/>
    <w:rsid w:val="009106BF"/>
    <w:rsid w:val="00910A13"/>
    <w:rsid w:val="00911B88"/>
    <w:rsid w:val="00913617"/>
    <w:rsid w:val="00913BC6"/>
    <w:rsid w:val="00914182"/>
    <w:rsid w:val="009144A9"/>
    <w:rsid w:val="009161E0"/>
    <w:rsid w:val="00920CD1"/>
    <w:rsid w:val="00920DB8"/>
    <w:rsid w:val="00921A47"/>
    <w:rsid w:val="00921BF9"/>
    <w:rsid w:val="00923E8B"/>
    <w:rsid w:val="0092460E"/>
    <w:rsid w:val="0092631F"/>
    <w:rsid w:val="0092649D"/>
    <w:rsid w:val="009277CD"/>
    <w:rsid w:val="00927B02"/>
    <w:rsid w:val="00927B3B"/>
    <w:rsid w:val="009301A4"/>
    <w:rsid w:val="00930F45"/>
    <w:rsid w:val="00931BF7"/>
    <w:rsid w:val="00934B54"/>
    <w:rsid w:val="009374C3"/>
    <w:rsid w:val="00944622"/>
    <w:rsid w:val="0094512C"/>
    <w:rsid w:val="00946B78"/>
    <w:rsid w:val="009516C4"/>
    <w:rsid w:val="00951791"/>
    <w:rsid w:val="009531DB"/>
    <w:rsid w:val="0095459B"/>
    <w:rsid w:val="0095543A"/>
    <w:rsid w:val="0095666F"/>
    <w:rsid w:val="0095725F"/>
    <w:rsid w:val="00960ACB"/>
    <w:rsid w:val="00960B9F"/>
    <w:rsid w:val="00963C6B"/>
    <w:rsid w:val="0096491B"/>
    <w:rsid w:val="00965205"/>
    <w:rsid w:val="00966FE5"/>
    <w:rsid w:val="00970962"/>
    <w:rsid w:val="009718DC"/>
    <w:rsid w:val="00973FAA"/>
    <w:rsid w:val="00977C87"/>
    <w:rsid w:val="00981EEB"/>
    <w:rsid w:val="00982B4E"/>
    <w:rsid w:val="0098323C"/>
    <w:rsid w:val="009839F4"/>
    <w:rsid w:val="00983D57"/>
    <w:rsid w:val="00984531"/>
    <w:rsid w:val="0099157C"/>
    <w:rsid w:val="009916F2"/>
    <w:rsid w:val="009926BC"/>
    <w:rsid w:val="0099552D"/>
    <w:rsid w:val="009A034E"/>
    <w:rsid w:val="009A4CC1"/>
    <w:rsid w:val="009A5B1D"/>
    <w:rsid w:val="009B13CD"/>
    <w:rsid w:val="009B5BEE"/>
    <w:rsid w:val="009C2B2A"/>
    <w:rsid w:val="009C3A65"/>
    <w:rsid w:val="009C56B9"/>
    <w:rsid w:val="009D1A75"/>
    <w:rsid w:val="009D1B54"/>
    <w:rsid w:val="009D27A5"/>
    <w:rsid w:val="009D47D3"/>
    <w:rsid w:val="009D7920"/>
    <w:rsid w:val="009E0634"/>
    <w:rsid w:val="009E1C10"/>
    <w:rsid w:val="009E1F5D"/>
    <w:rsid w:val="009F0E57"/>
    <w:rsid w:val="009F1DDC"/>
    <w:rsid w:val="009F284C"/>
    <w:rsid w:val="009F341B"/>
    <w:rsid w:val="009F38D4"/>
    <w:rsid w:val="009F5ED3"/>
    <w:rsid w:val="009F799E"/>
    <w:rsid w:val="00A0096B"/>
    <w:rsid w:val="00A02533"/>
    <w:rsid w:val="00A043FF"/>
    <w:rsid w:val="00A0515A"/>
    <w:rsid w:val="00A06011"/>
    <w:rsid w:val="00A065BF"/>
    <w:rsid w:val="00A06E35"/>
    <w:rsid w:val="00A124CA"/>
    <w:rsid w:val="00A21A79"/>
    <w:rsid w:val="00A26DE5"/>
    <w:rsid w:val="00A30B4E"/>
    <w:rsid w:val="00A317B8"/>
    <w:rsid w:val="00A33355"/>
    <w:rsid w:val="00A3341E"/>
    <w:rsid w:val="00A339C5"/>
    <w:rsid w:val="00A33B8E"/>
    <w:rsid w:val="00A345BA"/>
    <w:rsid w:val="00A34DFD"/>
    <w:rsid w:val="00A366C8"/>
    <w:rsid w:val="00A3691B"/>
    <w:rsid w:val="00A373BB"/>
    <w:rsid w:val="00A378DB"/>
    <w:rsid w:val="00A4011C"/>
    <w:rsid w:val="00A424A3"/>
    <w:rsid w:val="00A42874"/>
    <w:rsid w:val="00A4454A"/>
    <w:rsid w:val="00A462F4"/>
    <w:rsid w:val="00A463ED"/>
    <w:rsid w:val="00A5015B"/>
    <w:rsid w:val="00A50671"/>
    <w:rsid w:val="00A50720"/>
    <w:rsid w:val="00A50D08"/>
    <w:rsid w:val="00A510DF"/>
    <w:rsid w:val="00A532D3"/>
    <w:rsid w:val="00A533A9"/>
    <w:rsid w:val="00A60461"/>
    <w:rsid w:val="00A605D2"/>
    <w:rsid w:val="00A62525"/>
    <w:rsid w:val="00A62A17"/>
    <w:rsid w:val="00A64196"/>
    <w:rsid w:val="00A667B0"/>
    <w:rsid w:val="00A668C2"/>
    <w:rsid w:val="00A70013"/>
    <w:rsid w:val="00A75A94"/>
    <w:rsid w:val="00A85270"/>
    <w:rsid w:val="00A9049A"/>
    <w:rsid w:val="00A926C4"/>
    <w:rsid w:val="00A9318E"/>
    <w:rsid w:val="00A93B91"/>
    <w:rsid w:val="00A94746"/>
    <w:rsid w:val="00A9515A"/>
    <w:rsid w:val="00A957AB"/>
    <w:rsid w:val="00A97948"/>
    <w:rsid w:val="00AA17DD"/>
    <w:rsid w:val="00AA31E7"/>
    <w:rsid w:val="00AA3B0F"/>
    <w:rsid w:val="00AA4068"/>
    <w:rsid w:val="00AA5CAE"/>
    <w:rsid w:val="00AB04D1"/>
    <w:rsid w:val="00AB20A7"/>
    <w:rsid w:val="00AB257D"/>
    <w:rsid w:val="00AB7A64"/>
    <w:rsid w:val="00AC0C70"/>
    <w:rsid w:val="00AC2501"/>
    <w:rsid w:val="00AC33E4"/>
    <w:rsid w:val="00AC7F2C"/>
    <w:rsid w:val="00AD0AAE"/>
    <w:rsid w:val="00AD1516"/>
    <w:rsid w:val="00AD40AE"/>
    <w:rsid w:val="00AD627E"/>
    <w:rsid w:val="00AD73EA"/>
    <w:rsid w:val="00AD7487"/>
    <w:rsid w:val="00AE768B"/>
    <w:rsid w:val="00AF0A75"/>
    <w:rsid w:val="00AF1807"/>
    <w:rsid w:val="00AF2249"/>
    <w:rsid w:val="00AF4220"/>
    <w:rsid w:val="00AF6805"/>
    <w:rsid w:val="00AF7950"/>
    <w:rsid w:val="00B015A0"/>
    <w:rsid w:val="00B05AD7"/>
    <w:rsid w:val="00B1003E"/>
    <w:rsid w:val="00B106E2"/>
    <w:rsid w:val="00B10D10"/>
    <w:rsid w:val="00B12936"/>
    <w:rsid w:val="00B12F91"/>
    <w:rsid w:val="00B148E7"/>
    <w:rsid w:val="00B156CF"/>
    <w:rsid w:val="00B16F1F"/>
    <w:rsid w:val="00B17577"/>
    <w:rsid w:val="00B21E52"/>
    <w:rsid w:val="00B23828"/>
    <w:rsid w:val="00B251FE"/>
    <w:rsid w:val="00B25884"/>
    <w:rsid w:val="00B258CC"/>
    <w:rsid w:val="00B30201"/>
    <w:rsid w:val="00B336E5"/>
    <w:rsid w:val="00B342CC"/>
    <w:rsid w:val="00B34458"/>
    <w:rsid w:val="00B360E9"/>
    <w:rsid w:val="00B371C2"/>
    <w:rsid w:val="00B44E48"/>
    <w:rsid w:val="00B4547C"/>
    <w:rsid w:val="00B47380"/>
    <w:rsid w:val="00B478EA"/>
    <w:rsid w:val="00B506A2"/>
    <w:rsid w:val="00B54570"/>
    <w:rsid w:val="00B57046"/>
    <w:rsid w:val="00B5712F"/>
    <w:rsid w:val="00B572AB"/>
    <w:rsid w:val="00B60757"/>
    <w:rsid w:val="00B607A3"/>
    <w:rsid w:val="00B60BC9"/>
    <w:rsid w:val="00B621D4"/>
    <w:rsid w:val="00B63F77"/>
    <w:rsid w:val="00B64F65"/>
    <w:rsid w:val="00B705A9"/>
    <w:rsid w:val="00B70E1F"/>
    <w:rsid w:val="00B70F49"/>
    <w:rsid w:val="00B74A1F"/>
    <w:rsid w:val="00B802E9"/>
    <w:rsid w:val="00B81449"/>
    <w:rsid w:val="00B82C71"/>
    <w:rsid w:val="00B866D4"/>
    <w:rsid w:val="00B86B18"/>
    <w:rsid w:val="00B86D33"/>
    <w:rsid w:val="00B91A0E"/>
    <w:rsid w:val="00B91CF5"/>
    <w:rsid w:val="00B9362B"/>
    <w:rsid w:val="00B93804"/>
    <w:rsid w:val="00B93D0D"/>
    <w:rsid w:val="00B960F0"/>
    <w:rsid w:val="00BA082E"/>
    <w:rsid w:val="00BA71A1"/>
    <w:rsid w:val="00BB0A32"/>
    <w:rsid w:val="00BB12FA"/>
    <w:rsid w:val="00BB2900"/>
    <w:rsid w:val="00BB2D18"/>
    <w:rsid w:val="00BB6C14"/>
    <w:rsid w:val="00BC0765"/>
    <w:rsid w:val="00BC2080"/>
    <w:rsid w:val="00BC327D"/>
    <w:rsid w:val="00BC377B"/>
    <w:rsid w:val="00BC58C2"/>
    <w:rsid w:val="00BD10D9"/>
    <w:rsid w:val="00BD1EF9"/>
    <w:rsid w:val="00BD2854"/>
    <w:rsid w:val="00BD40CB"/>
    <w:rsid w:val="00BD4276"/>
    <w:rsid w:val="00BD501F"/>
    <w:rsid w:val="00BD5CD4"/>
    <w:rsid w:val="00BE2908"/>
    <w:rsid w:val="00BE6B05"/>
    <w:rsid w:val="00BE6D67"/>
    <w:rsid w:val="00BF11B7"/>
    <w:rsid w:val="00BF4BC4"/>
    <w:rsid w:val="00BF5398"/>
    <w:rsid w:val="00BF630B"/>
    <w:rsid w:val="00C02F0E"/>
    <w:rsid w:val="00C03651"/>
    <w:rsid w:val="00C04898"/>
    <w:rsid w:val="00C056F2"/>
    <w:rsid w:val="00C06C08"/>
    <w:rsid w:val="00C11AA6"/>
    <w:rsid w:val="00C11B1B"/>
    <w:rsid w:val="00C11F68"/>
    <w:rsid w:val="00C14AB0"/>
    <w:rsid w:val="00C16239"/>
    <w:rsid w:val="00C207E4"/>
    <w:rsid w:val="00C25E05"/>
    <w:rsid w:val="00C31125"/>
    <w:rsid w:val="00C31B27"/>
    <w:rsid w:val="00C32140"/>
    <w:rsid w:val="00C34393"/>
    <w:rsid w:val="00C44558"/>
    <w:rsid w:val="00C47D33"/>
    <w:rsid w:val="00C50E3D"/>
    <w:rsid w:val="00C51441"/>
    <w:rsid w:val="00C51FDA"/>
    <w:rsid w:val="00C527B8"/>
    <w:rsid w:val="00C53C90"/>
    <w:rsid w:val="00C54FC3"/>
    <w:rsid w:val="00C55C0F"/>
    <w:rsid w:val="00C57AF2"/>
    <w:rsid w:val="00C60DAB"/>
    <w:rsid w:val="00C620A5"/>
    <w:rsid w:val="00C62C8F"/>
    <w:rsid w:val="00C64D5E"/>
    <w:rsid w:val="00C66CF3"/>
    <w:rsid w:val="00C6740E"/>
    <w:rsid w:val="00C7282C"/>
    <w:rsid w:val="00C73F7F"/>
    <w:rsid w:val="00C74945"/>
    <w:rsid w:val="00C77577"/>
    <w:rsid w:val="00C811A4"/>
    <w:rsid w:val="00C86590"/>
    <w:rsid w:val="00C87D84"/>
    <w:rsid w:val="00C95305"/>
    <w:rsid w:val="00CA69D0"/>
    <w:rsid w:val="00CB009D"/>
    <w:rsid w:val="00CB0D05"/>
    <w:rsid w:val="00CB17CF"/>
    <w:rsid w:val="00CB2B7D"/>
    <w:rsid w:val="00CB2EAB"/>
    <w:rsid w:val="00CB3F9B"/>
    <w:rsid w:val="00CB6128"/>
    <w:rsid w:val="00CB6C7D"/>
    <w:rsid w:val="00CC0275"/>
    <w:rsid w:val="00CC09E5"/>
    <w:rsid w:val="00CC0E33"/>
    <w:rsid w:val="00CC1FDB"/>
    <w:rsid w:val="00CC4D8F"/>
    <w:rsid w:val="00CC6118"/>
    <w:rsid w:val="00CC647B"/>
    <w:rsid w:val="00CC671D"/>
    <w:rsid w:val="00CD19D7"/>
    <w:rsid w:val="00CD1B7F"/>
    <w:rsid w:val="00CD1FCA"/>
    <w:rsid w:val="00CD3FB9"/>
    <w:rsid w:val="00CD4C3F"/>
    <w:rsid w:val="00CE0407"/>
    <w:rsid w:val="00CE42AB"/>
    <w:rsid w:val="00CF0C08"/>
    <w:rsid w:val="00CF42A8"/>
    <w:rsid w:val="00CF529B"/>
    <w:rsid w:val="00D00E2A"/>
    <w:rsid w:val="00D0450E"/>
    <w:rsid w:val="00D06F14"/>
    <w:rsid w:val="00D10654"/>
    <w:rsid w:val="00D15325"/>
    <w:rsid w:val="00D15DE8"/>
    <w:rsid w:val="00D20B17"/>
    <w:rsid w:val="00D21A67"/>
    <w:rsid w:val="00D21DC9"/>
    <w:rsid w:val="00D276AC"/>
    <w:rsid w:val="00D27A40"/>
    <w:rsid w:val="00D30095"/>
    <w:rsid w:val="00D31EF8"/>
    <w:rsid w:val="00D344E1"/>
    <w:rsid w:val="00D41716"/>
    <w:rsid w:val="00D443DC"/>
    <w:rsid w:val="00D4795F"/>
    <w:rsid w:val="00D47C7E"/>
    <w:rsid w:val="00D62735"/>
    <w:rsid w:val="00D63059"/>
    <w:rsid w:val="00D63F8D"/>
    <w:rsid w:val="00D65342"/>
    <w:rsid w:val="00D65C66"/>
    <w:rsid w:val="00D67EF8"/>
    <w:rsid w:val="00D67F26"/>
    <w:rsid w:val="00D71E2A"/>
    <w:rsid w:val="00D73264"/>
    <w:rsid w:val="00D7370E"/>
    <w:rsid w:val="00D7474F"/>
    <w:rsid w:val="00D75650"/>
    <w:rsid w:val="00D75C63"/>
    <w:rsid w:val="00D800D9"/>
    <w:rsid w:val="00D81312"/>
    <w:rsid w:val="00D81334"/>
    <w:rsid w:val="00D83048"/>
    <w:rsid w:val="00D85282"/>
    <w:rsid w:val="00D8794C"/>
    <w:rsid w:val="00D90ADA"/>
    <w:rsid w:val="00D91C7F"/>
    <w:rsid w:val="00D91FA4"/>
    <w:rsid w:val="00D92E6E"/>
    <w:rsid w:val="00D943F4"/>
    <w:rsid w:val="00D96DA8"/>
    <w:rsid w:val="00D97168"/>
    <w:rsid w:val="00DA1E1C"/>
    <w:rsid w:val="00DA323D"/>
    <w:rsid w:val="00DA4206"/>
    <w:rsid w:val="00DA46F3"/>
    <w:rsid w:val="00DA4A16"/>
    <w:rsid w:val="00DA5B53"/>
    <w:rsid w:val="00DB21D2"/>
    <w:rsid w:val="00DB5983"/>
    <w:rsid w:val="00DB7692"/>
    <w:rsid w:val="00DC2C60"/>
    <w:rsid w:val="00DC61F8"/>
    <w:rsid w:val="00DC78B4"/>
    <w:rsid w:val="00DC7F67"/>
    <w:rsid w:val="00DD11A1"/>
    <w:rsid w:val="00DD1C2F"/>
    <w:rsid w:val="00DD2F95"/>
    <w:rsid w:val="00DD640E"/>
    <w:rsid w:val="00DD6E76"/>
    <w:rsid w:val="00DE14E0"/>
    <w:rsid w:val="00DE4FB0"/>
    <w:rsid w:val="00DF0245"/>
    <w:rsid w:val="00DF06DF"/>
    <w:rsid w:val="00DF1C0E"/>
    <w:rsid w:val="00DF1FD2"/>
    <w:rsid w:val="00DF2628"/>
    <w:rsid w:val="00DF3743"/>
    <w:rsid w:val="00DF5637"/>
    <w:rsid w:val="00E01241"/>
    <w:rsid w:val="00E02BF1"/>
    <w:rsid w:val="00E04106"/>
    <w:rsid w:val="00E042AC"/>
    <w:rsid w:val="00E121F8"/>
    <w:rsid w:val="00E20CCE"/>
    <w:rsid w:val="00E237D5"/>
    <w:rsid w:val="00E24B58"/>
    <w:rsid w:val="00E3239A"/>
    <w:rsid w:val="00E361D3"/>
    <w:rsid w:val="00E36291"/>
    <w:rsid w:val="00E36A1E"/>
    <w:rsid w:val="00E40479"/>
    <w:rsid w:val="00E42076"/>
    <w:rsid w:val="00E423A7"/>
    <w:rsid w:val="00E47EDF"/>
    <w:rsid w:val="00E504AF"/>
    <w:rsid w:val="00E52F65"/>
    <w:rsid w:val="00E54644"/>
    <w:rsid w:val="00E557C1"/>
    <w:rsid w:val="00E56748"/>
    <w:rsid w:val="00E61252"/>
    <w:rsid w:val="00E65003"/>
    <w:rsid w:val="00E656E0"/>
    <w:rsid w:val="00E65891"/>
    <w:rsid w:val="00E7081A"/>
    <w:rsid w:val="00E7158C"/>
    <w:rsid w:val="00E73D90"/>
    <w:rsid w:val="00E77ECB"/>
    <w:rsid w:val="00E80206"/>
    <w:rsid w:val="00E81401"/>
    <w:rsid w:val="00E83375"/>
    <w:rsid w:val="00E83CD2"/>
    <w:rsid w:val="00E85F55"/>
    <w:rsid w:val="00E862A5"/>
    <w:rsid w:val="00E874B3"/>
    <w:rsid w:val="00E97153"/>
    <w:rsid w:val="00EA2D23"/>
    <w:rsid w:val="00EA50EE"/>
    <w:rsid w:val="00EA6256"/>
    <w:rsid w:val="00EA6617"/>
    <w:rsid w:val="00EA6B52"/>
    <w:rsid w:val="00EA7276"/>
    <w:rsid w:val="00EA79A2"/>
    <w:rsid w:val="00EB0AA6"/>
    <w:rsid w:val="00EB13A0"/>
    <w:rsid w:val="00EB2D23"/>
    <w:rsid w:val="00EB4239"/>
    <w:rsid w:val="00EB456B"/>
    <w:rsid w:val="00EB60AA"/>
    <w:rsid w:val="00EB64DB"/>
    <w:rsid w:val="00EB6E10"/>
    <w:rsid w:val="00EB78F2"/>
    <w:rsid w:val="00EC5E3F"/>
    <w:rsid w:val="00EC612E"/>
    <w:rsid w:val="00ED0CB8"/>
    <w:rsid w:val="00ED1FB3"/>
    <w:rsid w:val="00ED4899"/>
    <w:rsid w:val="00ED54DF"/>
    <w:rsid w:val="00ED59B0"/>
    <w:rsid w:val="00EE0F38"/>
    <w:rsid w:val="00EE3659"/>
    <w:rsid w:val="00EE3D66"/>
    <w:rsid w:val="00EE7911"/>
    <w:rsid w:val="00EF1A45"/>
    <w:rsid w:val="00EF1E24"/>
    <w:rsid w:val="00EF31EF"/>
    <w:rsid w:val="00EF5883"/>
    <w:rsid w:val="00EF5D28"/>
    <w:rsid w:val="00F01FEA"/>
    <w:rsid w:val="00F05A55"/>
    <w:rsid w:val="00F061C9"/>
    <w:rsid w:val="00F069E6"/>
    <w:rsid w:val="00F101D2"/>
    <w:rsid w:val="00F11954"/>
    <w:rsid w:val="00F14D62"/>
    <w:rsid w:val="00F168A5"/>
    <w:rsid w:val="00F20442"/>
    <w:rsid w:val="00F23B40"/>
    <w:rsid w:val="00F24F85"/>
    <w:rsid w:val="00F26430"/>
    <w:rsid w:val="00F27CF4"/>
    <w:rsid w:val="00F30B9F"/>
    <w:rsid w:val="00F31295"/>
    <w:rsid w:val="00F314B4"/>
    <w:rsid w:val="00F3617F"/>
    <w:rsid w:val="00F3704A"/>
    <w:rsid w:val="00F42288"/>
    <w:rsid w:val="00F43F18"/>
    <w:rsid w:val="00F44B9A"/>
    <w:rsid w:val="00F471F5"/>
    <w:rsid w:val="00F50F28"/>
    <w:rsid w:val="00F51298"/>
    <w:rsid w:val="00F526CA"/>
    <w:rsid w:val="00F53813"/>
    <w:rsid w:val="00F548E6"/>
    <w:rsid w:val="00F6434D"/>
    <w:rsid w:val="00F64A43"/>
    <w:rsid w:val="00F64CCC"/>
    <w:rsid w:val="00F6537E"/>
    <w:rsid w:val="00F65506"/>
    <w:rsid w:val="00F667CE"/>
    <w:rsid w:val="00F66D93"/>
    <w:rsid w:val="00F679D8"/>
    <w:rsid w:val="00F7061E"/>
    <w:rsid w:val="00F739BE"/>
    <w:rsid w:val="00F74CFA"/>
    <w:rsid w:val="00F755F8"/>
    <w:rsid w:val="00F81188"/>
    <w:rsid w:val="00F81268"/>
    <w:rsid w:val="00F815B4"/>
    <w:rsid w:val="00F81DD3"/>
    <w:rsid w:val="00F82DB2"/>
    <w:rsid w:val="00F86A39"/>
    <w:rsid w:val="00F871F6"/>
    <w:rsid w:val="00F9166E"/>
    <w:rsid w:val="00F91B59"/>
    <w:rsid w:val="00F93E06"/>
    <w:rsid w:val="00F94ACF"/>
    <w:rsid w:val="00F97AE8"/>
    <w:rsid w:val="00FA07F9"/>
    <w:rsid w:val="00FA3341"/>
    <w:rsid w:val="00FA3531"/>
    <w:rsid w:val="00FA5644"/>
    <w:rsid w:val="00FB0894"/>
    <w:rsid w:val="00FB37BB"/>
    <w:rsid w:val="00FB516A"/>
    <w:rsid w:val="00FB7751"/>
    <w:rsid w:val="00FC38B1"/>
    <w:rsid w:val="00FC6146"/>
    <w:rsid w:val="00FD0EF9"/>
    <w:rsid w:val="00FD1B8A"/>
    <w:rsid w:val="00FD1BC2"/>
    <w:rsid w:val="00FD3B06"/>
    <w:rsid w:val="00FD3DD8"/>
    <w:rsid w:val="00FD47A9"/>
    <w:rsid w:val="00FD6695"/>
    <w:rsid w:val="00FE289F"/>
    <w:rsid w:val="00FE3599"/>
    <w:rsid w:val="00FE3958"/>
    <w:rsid w:val="00FE5663"/>
    <w:rsid w:val="00FE680F"/>
    <w:rsid w:val="00FF1D4F"/>
    <w:rsid w:val="00FF25D7"/>
    <w:rsid w:val="00FF2734"/>
    <w:rsid w:val="00FF2848"/>
    <w:rsid w:val="00FF3961"/>
    <w:rsid w:val="00FF5386"/>
  </w:rsids>
  <w:docVars>
    <w:docVar w:name="KGWebUrl" w:val="http://idp.efunds.com.cn/api/v1/backend/docSyncController/downloadAnnFile.json?force=true&amp;fileName=61520211231110015%E6%98%93%E6%96%B9%E8%BE%BE%E8%A1%8C%E4%B8%9A%E9%A2%86%E5%85%88%E4%BC%81%E4%B8%9A%E6%B7%B7%E5%90%88%E5%9E%8B%E8%AF%81%E5%88%B8%E6%8A%95%E8%B5%84%E5%9F%BA%E9%87%91%E6%9B%B4%E6%96%B0%E7%9A%84%E6%8B%9B%E5%8B%9F%E8%AF%B4%E6%98%8E%E4%B9%A6.docx&amp;fileId=ANN_DOC_10624&amp;t=1640346537109"/>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docId w15:val="{877F61B2-A31A-42F3-8D96-897CDA9EA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487"/>
    <w:pPr>
      <w:widowControl w:val="0"/>
      <w:jc w:val="both"/>
    </w:pPr>
    <w:rPr>
      <w:rFonts w:ascii="Times New Roman" w:hAnsi="Times New Roman"/>
      <w:kern w:val="2"/>
      <w:sz w:val="21"/>
      <w:szCs w:val="24"/>
    </w:rPr>
  </w:style>
  <w:style w:type="paragraph" w:styleId="Heading1">
    <w:name w:val="heading 1"/>
    <w:aliases w:val="123321,H1,Heading 0,Heading 11,Level 1 Head,Level 1 Topic Heading,PIM 1,h1,level 1"/>
    <w:basedOn w:val="Normal"/>
    <w:next w:val="Normal"/>
    <w:link w:val="1Char"/>
    <w:qFormat/>
    <w:rsid w:val="003A3487"/>
    <w:pPr>
      <w:keepNext/>
      <w:spacing w:beforeLines="100" w:afterLines="100"/>
      <w:ind w:firstLine="200" w:firstLineChars="200"/>
      <w:jc w:val="center"/>
      <w:outlineLvl w:val="0"/>
    </w:pPr>
    <w:rPr>
      <w:rFonts w:ascii="黑体" w:eastAsia="黑体" w:hAnsi="宋体" w:cs="宋体"/>
      <w:sz w:val="32"/>
      <w:szCs w:val="32"/>
    </w:rPr>
  </w:style>
  <w:style w:type="paragraph" w:styleId="Heading2">
    <w:name w:val="heading 2"/>
    <w:aliases w:val="2,2nd level,H2,Header 2,Heading 2 CCBS,Heading 2 Hidden,Level 2 Head,PIM2,h2,l2,proj2,proj21,proj210,proj211,proj212,proj22,proj221,proj23,proj231,proj24,proj241,proj25,proj251,proj26,proj261,proj27,proj271,proj28,proj281,proj29,标题 2 Char Char"/>
    <w:basedOn w:val="Normal"/>
    <w:next w:val="Normal"/>
    <w:link w:val="2Char"/>
    <w:qFormat/>
    <w:rsid w:val="003A3487"/>
    <w:pPr>
      <w:keepNext/>
      <w:keepLines/>
      <w:spacing w:beforeLines="100" w:afterLines="100"/>
      <w:ind w:firstLine="200" w:firstLineChars="200"/>
      <w:outlineLvl w:val="1"/>
    </w:pPr>
    <w:rPr>
      <w:rFonts w:ascii="Arial" w:hAnsi="Arial"/>
      <w:b/>
      <w:sz w:val="28"/>
      <w:szCs w:val="28"/>
    </w:rPr>
  </w:style>
  <w:style w:type="paragraph" w:styleId="Heading3">
    <w:name w:val="heading 3"/>
    <w:basedOn w:val="Normal"/>
    <w:next w:val="Normal"/>
    <w:link w:val="3Char"/>
    <w:qFormat/>
    <w:rsid w:val="003A3487"/>
    <w:pPr>
      <w:numPr>
        <w:ilvl w:val="2"/>
        <w:numId w:val="1"/>
      </w:numPr>
      <w:spacing w:before="260" w:after="260" w:line="415" w:lineRule="auto"/>
      <w:outlineLvl w:val="2"/>
    </w:pPr>
    <w:rPr>
      <w:rFonts w:ascii="仿宋_GB2312" w:eastAsia="仿宋_GB2312" w:hAnsi="宋体" w:cs="宋体"/>
      <w:sz w:val="24"/>
      <w:szCs w:val="20"/>
    </w:rPr>
  </w:style>
  <w:style w:type="paragraph" w:styleId="Heading4">
    <w:name w:val="heading 4"/>
    <w:basedOn w:val="Normal"/>
    <w:next w:val="Normal"/>
    <w:link w:val="4Char"/>
    <w:qFormat/>
    <w:rsid w:val="003A3487"/>
    <w:pPr>
      <w:keepNext/>
      <w:keepLines/>
      <w:numPr>
        <w:ilvl w:val="3"/>
        <w:numId w:val="2"/>
      </w:numPr>
      <w:spacing w:before="280" w:after="290" w:line="374" w:lineRule="auto"/>
      <w:outlineLvl w:val="3"/>
    </w:pPr>
    <w:rPr>
      <w:rFonts w:ascii="Arial" w:eastAsia="黑体" w:hAnsi="Arial"/>
      <w:b/>
      <w:bCs/>
      <w:sz w:val="28"/>
      <w:szCs w:val="28"/>
    </w:rPr>
  </w:style>
  <w:style w:type="paragraph" w:styleId="Heading5">
    <w:name w:val="heading 5"/>
    <w:basedOn w:val="Normal"/>
    <w:next w:val="Normal"/>
    <w:link w:val="5Char"/>
    <w:qFormat/>
    <w:rsid w:val="003A3487"/>
    <w:pPr>
      <w:keepNext/>
      <w:keepLines/>
      <w:numPr>
        <w:ilvl w:val="4"/>
        <w:numId w:val="2"/>
      </w:numPr>
      <w:spacing w:before="280" w:after="290" w:line="374" w:lineRule="auto"/>
      <w:ind w:firstLine="200" w:firstLineChars="200"/>
      <w:outlineLvl w:val="4"/>
    </w:pPr>
    <w:rPr>
      <w:b/>
      <w:bCs/>
      <w:sz w:val="28"/>
      <w:szCs w:val="28"/>
    </w:rPr>
  </w:style>
  <w:style w:type="paragraph" w:styleId="Heading6">
    <w:name w:val="heading 6"/>
    <w:basedOn w:val="Normal"/>
    <w:next w:val="Normal"/>
    <w:link w:val="6Char"/>
    <w:qFormat/>
    <w:rsid w:val="003A3487"/>
    <w:pPr>
      <w:keepNext/>
      <w:keepLines/>
      <w:numPr>
        <w:ilvl w:val="5"/>
        <w:numId w:val="2"/>
      </w:numPr>
      <w:spacing w:before="240" w:after="64" w:line="319" w:lineRule="auto"/>
      <w:ind w:firstLine="200" w:firstLineChars="200"/>
      <w:outlineLvl w:val="5"/>
    </w:pPr>
    <w:rPr>
      <w:rFonts w:ascii="Arial" w:eastAsia="黑体" w:hAnsi="Arial"/>
      <w:b/>
      <w:bCs/>
      <w:sz w:val="24"/>
    </w:rPr>
  </w:style>
  <w:style w:type="paragraph" w:styleId="Heading7">
    <w:name w:val="heading 7"/>
    <w:basedOn w:val="Normal"/>
    <w:next w:val="Normal"/>
    <w:link w:val="7Char"/>
    <w:qFormat/>
    <w:rsid w:val="003A3487"/>
    <w:pPr>
      <w:keepNext/>
      <w:keepLines/>
      <w:numPr>
        <w:ilvl w:val="6"/>
        <w:numId w:val="2"/>
      </w:numPr>
      <w:spacing w:before="240" w:after="64" w:line="319" w:lineRule="auto"/>
      <w:ind w:firstLine="200" w:firstLineChars="200"/>
      <w:outlineLvl w:val="6"/>
    </w:pPr>
    <w:rPr>
      <w:b/>
      <w:bCs/>
      <w:sz w:val="24"/>
    </w:rPr>
  </w:style>
  <w:style w:type="paragraph" w:styleId="Heading8">
    <w:name w:val="heading 8"/>
    <w:basedOn w:val="Normal"/>
    <w:next w:val="Normal"/>
    <w:link w:val="8Char"/>
    <w:qFormat/>
    <w:rsid w:val="003A3487"/>
    <w:pPr>
      <w:keepNext/>
      <w:keepLines/>
      <w:numPr>
        <w:ilvl w:val="7"/>
        <w:numId w:val="2"/>
      </w:numPr>
      <w:spacing w:before="240" w:after="64" w:line="319" w:lineRule="auto"/>
      <w:ind w:firstLine="200" w:firstLineChars="200"/>
      <w:outlineLvl w:val="7"/>
    </w:pPr>
    <w:rPr>
      <w:rFonts w:ascii="Arial" w:eastAsia="黑体" w:hAnsi="Arial"/>
      <w:sz w:val="24"/>
    </w:rPr>
  </w:style>
  <w:style w:type="paragraph" w:styleId="Heading9">
    <w:name w:val="heading 9"/>
    <w:basedOn w:val="Normal"/>
    <w:next w:val="Normal"/>
    <w:link w:val="9Char"/>
    <w:qFormat/>
    <w:rsid w:val="003A3487"/>
    <w:pPr>
      <w:keepNext/>
      <w:keepLines/>
      <w:numPr>
        <w:ilvl w:val="8"/>
        <w:numId w:val="2"/>
      </w:numPr>
      <w:spacing w:before="240" w:after="64" w:line="319" w:lineRule="auto"/>
      <w:ind w:firstLine="200" w:firstLineChars="200"/>
      <w:outlineLvl w:val="8"/>
    </w:pPr>
    <w:rPr>
      <w:rFonts w:ascii="Arial" w:eastAsia="黑体" w:hAnsi="Arial"/>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Char">
    <w:name w:val="标题 1 Char"/>
    <w:aliases w:val="123321 Char,H1 Char,Heading 0 Char,Heading 11 Char,Level 1 Head Char,Level 1 Topic Heading Char,PIM 1 Char,h1 Char,level 1 Char"/>
    <w:basedOn w:val="DefaultParagraphFont"/>
    <w:link w:val="Heading1"/>
    <w:rsid w:val="003A3487"/>
    <w:rPr>
      <w:rFonts w:ascii="黑体" w:eastAsia="黑体" w:hAnsi="宋体" w:cs="宋体"/>
      <w:sz w:val="32"/>
      <w:szCs w:val="32"/>
    </w:rPr>
  </w:style>
  <w:style w:type="character" w:customStyle="1" w:styleId="2Char">
    <w:name w:val="标题 2 Char"/>
    <w:aliases w:val="2 Char,2nd level Char,H2 Char,Header 2 Char,Heading 2 CCBS Char,Heading 2 Hidden Char,Level 2 Head Char,PIM2 Char,h2 Char,l2 Char,proj2 Char,proj21 Char,proj210 Char,proj211 Char,proj212 Char,proj22 Char,proj221 Char,proj23 Char,proj231 Char"/>
    <w:basedOn w:val="DefaultParagraphFont"/>
    <w:link w:val="Heading2"/>
    <w:semiHidden/>
    <w:rsid w:val="003A3487"/>
    <w:rPr>
      <w:rFonts w:ascii="Arial" w:eastAsia="宋体" w:hAnsi="Arial" w:cs="Times New Roman"/>
      <w:b/>
      <w:sz w:val="28"/>
      <w:szCs w:val="28"/>
    </w:rPr>
  </w:style>
  <w:style w:type="character" w:customStyle="1" w:styleId="3Char">
    <w:name w:val="标题 3 Char"/>
    <w:basedOn w:val="DefaultParagraphFont"/>
    <w:link w:val="Heading3"/>
    <w:semiHidden/>
    <w:rsid w:val="003A3487"/>
    <w:rPr>
      <w:rFonts w:ascii="仿宋_GB2312" w:eastAsia="仿宋_GB2312" w:hAnsi="宋体" w:cs="宋体"/>
      <w:sz w:val="24"/>
      <w:szCs w:val="20"/>
    </w:rPr>
  </w:style>
  <w:style w:type="character" w:customStyle="1" w:styleId="4Char">
    <w:name w:val="标题 4 Char"/>
    <w:basedOn w:val="DefaultParagraphFont"/>
    <w:link w:val="Heading4"/>
    <w:semiHidden/>
    <w:rsid w:val="003A3487"/>
    <w:rPr>
      <w:rFonts w:ascii="Arial" w:eastAsia="黑体" w:hAnsi="Arial" w:cs="Times New Roman"/>
      <w:b/>
      <w:bCs/>
      <w:sz w:val="28"/>
      <w:szCs w:val="28"/>
    </w:rPr>
  </w:style>
  <w:style w:type="character" w:customStyle="1" w:styleId="5Char">
    <w:name w:val="标题 5 Char"/>
    <w:basedOn w:val="DefaultParagraphFont"/>
    <w:link w:val="Heading5"/>
    <w:semiHidden/>
    <w:rsid w:val="003A3487"/>
    <w:rPr>
      <w:rFonts w:ascii="Times New Roman" w:eastAsia="宋体" w:hAnsi="Times New Roman" w:cs="Times New Roman"/>
      <w:b/>
      <w:bCs/>
      <w:sz w:val="28"/>
      <w:szCs w:val="28"/>
    </w:rPr>
  </w:style>
  <w:style w:type="character" w:customStyle="1" w:styleId="6Char">
    <w:name w:val="标题 6 Char"/>
    <w:basedOn w:val="DefaultParagraphFont"/>
    <w:link w:val="Heading6"/>
    <w:semiHidden/>
    <w:rsid w:val="003A3487"/>
    <w:rPr>
      <w:rFonts w:ascii="Arial" w:eastAsia="黑体" w:hAnsi="Arial" w:cs="Times New Roman"/>
      <w:b/>
      <w:bCs/>
      <w:sz w:val="24"/>
      <w:szCs w:val="24"/>
    </w:rPr>
  </w:style>
  <w:style w:type="character" w:customStyle="1" w:styleId="7Char">
    <w:name w:val="标题 7 Char"/>
    <w:basedOn w:val="DefaultParagraphFont"/>
    <w:link w:val="Heading7"/>
    <w:semiHidden/>
    <w:rsid w:val="003A3487"/>
    <w:rPr>
      <w:rFonts w:ascii="Times New Roman" w:eastAsia="宋体" w:hAnsi="Times New Roman" w:cs="Times New Roman"/>
      <w:b/>
      <w:bCs/>
      <w:sz w:val="24"/>
      <w:szCs w:val="24"/>
    </w:rPr>
  </w:style>
  <w:style w:type="character" w:customStyle="1" w:styleId="8Char">
    <w:name w:val="标题 8 Char"/>
    <w:basedOn w:val="DefaultParagraphFont"/>
    <w:link w:val="Heading8"/>
    <w:semiHidden/>
    <w:rsid w:val="003A3487"/>
    <w:rPr>
      <w:rFonts w:ascii="Arial" w:eastAsia="黑体" w:hAnsi="Arial" w:cs="Times New Roman"/>
      <w:sz w:val="24"/>
      <w:szCs w:val="24"/>
    </w:rPr>
  </w:style>
  <w:style w:type="character" w:customStyle="1" w:styleId="9Char">
    <w:name w:val="标题 9 Char"/>
    <w:basedOn w:val="DefaultParagraphFont"/>
    <w:link w:val="Heading9"/>
    <w:semiHidden/>
    <w:rsid w:val="003A3487"/>
    <w:rPr>
      <w:rFonts w:ascii="Arial" w:eastAsia="黑体" w:hAnsi="Arial" w:cs="Times New Roman"/>
      <w:sz w:val="24"/>
      <w:szCs w:val="21"/>
    </w:rPr>
  </w:style>
  <w:style w:type="character" w:styleId="Hyperlink">
    <w:name w:val="Hyperlink"/>
    <w:basedOn w:val="DefaultParagraphFont"/>
    <w:uiPriority w:val="99"/>
    <w:unhideWhenUsed/>
    <w:rsid w:val="003A3487"/>
    <w:rPr>
      <w:color w:val="0000FF"/>
      <w:u w:val="single"/>
    </w:rPr>
  </w:style>
  <w:style w:type="character" w:styleId="FollowedHyperlink">
    <w:name w:val="FollowedHyperlink"/>
    <w:basedOn w:val="DefaultParagraphFont"/>
    <w:uiPriority w:val="99"/>
    <w:semiHidden/>
    <w:unhideWhenUsed/>
    <w:rsid w:val="003A3487"/>
    <w:rPr>
      <w:color w:val="800080"/>
      <w:u w:val="single"/>
    </w:rPr>
  </w:style>
  <w:style w:type="paragraph" w:styleId="HTMLPreformatted">
    <w:name w:val="HTML Preformatted"/>
    <w:basedOn w:val="Normal"/>
    <w:link w:val="HTMLChar"/>
    <w:uiPriority w:val="99"/>
    <w:unhideWhenUsed/>
    <w:rsid w:val="003A3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HTML 预设格式 Char"/>
    <w:basedOn w:val="DefaultParagraphFont"/>
    <w:link w:val="HTMLPreformatted"/>
    <w:uiPriority w:val="99"/>
    <w:rsid w:val="003A3487"/>
    <w:rPr>
      <w:rFonts w:ascii="Courier New" w:eastAsia="宋体" w:hAnsi="Courier New" w:cs="Courier New"/>
      <w:sz w:val="20"/>
      <w:szCs w:val="20"/>
    </w:rPr>
  </w:style>
  <w:style w:type="character" w:styleId="HTMLTypewriter">
    <w:name w:val="HTML Typewriter"/>
    <w:basedOn w:val="DefaultParagraphFont"/>
    <w:uiPriority w:val="99"/>
    <w:semiHidden/>
    <w:unhideWhenUsed/>
    <w:rsid w:val="003A3487"/>
    <w:rPr>
      <w:rFonts w:ascii="宋体" w:eastAsia="宋体" w:hAnsi="宋体" w:cs="宋体" w:hint="eastAsia"/>
      <w:sz w:val="24"/>
      <w:szCs w:val="24"/>
    </w:rPr>
  </w:style>
  <w:style w:type="paragraph" w:styleId="NormalWeb">
    <w:name w:val="Normal (Web)"/>
    <w:basedOn w:val="Normal"/>
    <w:semiHidden/>
    <w:unhideWhenUsed/>
    <w:rsid w:val="003A3487"/>
    <w:rPr>
      <w:sz w:val="24"/>
    </w:rPr>
  </w:style>
  <w:style w:type="paragraph" w:styleId="TOC1">
    <w:name w:val="toc 1"/>
    <w:basedOn w:val="Normal"/>
    <w:next w:val="Normal"/>
    <w:autoRedefine/>
    <w:uiPriority w:val="39"/>
    <w:unhideWhenUsed/>
    <w:rsid w:val="003A3487"/>
    <w:pPr>
      <w:tabs>
        <w:tab w:val="right" w:leader="dot" w:pos="8296"/>
      </w:tabs>
      <w:jc w:val="left"/>
    </w:pPr>
    <w:rPr>
      <w:rFonts w:ascii="宋体" w:eastAsia="黑体" w:hAnsi="宋体"/>
      <w:caps/>
      <w:noProof/>
      <w:sz w:val="24"/>
      <w:szCs w:val="28"/>
    </w:rPr>
  </w:style>
  <w:style w:type="paragraph" w:styleId="TOC2">
    <w:name w:val="toc 2"/>
    <w:basedOn w:val="Normal"/>
    <w:next w:val="Normal"/>
    <w:autoRedefine/>
    <w:uiPriority w:val="39"/>
    <w:unhideWhenUsed/>
    <w:rsid w:val="003A3487"/>
    <w:pPr>
      <w:tabs>
        <w:tab w:val="right" w:leader="dot" w:pos="8268"/>
      </w:tabs>
      <w:ind w:left="319" w:firstLine="731" w:leftChars="152" w:firstLineChars="348"/>
      <w:jc w:val="left"/>
    </w:pPr>
    <w:rPr>
      <w:rFonts w:eastAsia="仿宋_GB2312"/>
      <w:smallCaps/>
      <w:noProof/>
      <w:szCs w:val="20"/>
    </w:rPr>
  </w:style>
  <w:style w:type="paragraph" w:styleId="NormalIndent">
    <w:name w:val="Normal Indent"/>
    <w:basedOn w:val="Normal"/>
    <w:semiHidden/>
    <w:unhideWhenUsed/>
    <w:rsid w:val="003A3487"/>
    <w:pPr>
      <w:ind w:firstLine="420"/>
    </w:pPr>
  </w:style>
  <w:style w:type="paragraph" w:styleId="CommentText">
    <w:name w:val="annotation text"/>
    <w:basedOn w:val="Normal"/>
    <w:link w:val="Char"/>
    <w:semiHidden/>
    <w:unhideWhenUsed/>
    <w:rsid w:val="003A3487"/>
    <w:pPr>
      <w:jc w:val="left"/>
    </w:pPr>
  </w:style>
  <w:style w:type="character" w:customStyle="1" w:styleId="Char">
    <w:name w:val="批注文字 Char"/>
    <w:basedOn w:val="DefaultParagraphFont"/>
    <w:link w:val="CommentText"/>
    <w:semiHidden/>
    <w:rsid w:val="003A3487"/>
    <w:rPr>
      <w:rFonts w:ascii="Times New Roman" w:eastAsia="宋体" w:hAnsi="Times New Roman" w:cs="Times New Roman"/>
      <w:szCs w:val="24"/>
    </w:rPr>
  </w:style>
  <w:style w:type="paragraph" w:styleId="Header">
    <w:name w:val="header"/>
    <w:basedOn w:val="Normal"/>
    <w:link w:val="Char0"/>
    <w:uiPriority w:val="99"/>
    <w:semiHidden/>
    <w:unhideWhenUsed/>
    <w:rsid w:val="003A3487"/>
    <w:pPr>
      <w:pBdr>
        <w:bottom w:val="single" w:sz="6" w:space="1" w:color="auto"/>
      </w:pBdr>
      <w:tabs>
        <w:tab w:val="center" w:pos="4153"/>
        <w:tab w:val="right" w:pos="8306"/>
      </w:tabs>
      <w:snapToGrid w:val="0"/>
      <w:ind w:firstLine="200" w:firstLineChars="200"/>
      <w:jc w:val="center"/>
    </w:pPr>
    <w:rPr>
      <w:rFonts w:eastAsia="仿宋_GB2312"/>
      <w:sz w:val="18"/>
      <w:szCs w:val="20"/>
    </w:rPr>
  </w:style>
  <w:style w:type="character" w:customStyle="1" w:styleId="Char0">
    <w:name w:val="页眉 Char"/>
    <w:basedOn w:val="DefaultParagraphFont"/>
    <w:link w:val="Header"/>
    <w:uiPriority w:val="99"/>
    <w:semiHidden/>
    <w:rsid w:val="003A3487"/>
    <w:rPr>
      <w:rFonts w:ascii="Times New Roman" w:eastAsia="仿宋_GB2312" w:hAnsi="Times New Roman" w:cs="Times New Roman"/>
      <w:sz w:val="18"/>
      <w:szCs w:val="20"/>
    </w:rPr>
  </w:style>
  <w:style w:type="paragraph" w:styleId="Footer">
    <w:name w:val="footer"/>
    <w:basedOn w:val="Normal"/>
    <w:link w:val="Char1"/>
    <w:uiPriority w:val="99"/>
    <w:unhideWhenUsed/>
    <w:rsid w:val="003A3487"/>
    <w:pPr>
      <w:tabs>
        <w:tab w:val="center" w:pos="4153"/>
        <w:tab w:val="right" w:pos="8306"/>
      </w:tabs>
      <w:snapToGrid w:val="0"/>
      <w:ind w:firstLine="200" w:firstLineChars="200"/>
      <w:jc w:val="left"/>
    </w:pPr>
    <w:rPr>
      <w:rFonts w:eastAsia="仿宋_GB2312"/>
      <w:sz w:val="18"/>
      <w:szCs w:val="20"/>
    </w:rPr>
  </w:style>
  <w:style w:type="character" w:customStyle="1" w:styleId="Char1">
    <w:name w:val="页脚 Char"/>
    <w:basedOn w:val="DefaultParagraphFont"/>
    <w:link w:val="Footer"/>
    <w:uiPriority w:val="99"/>
    <w:rsid w:val="003A3487"/>
    <w:rPr>
      <w:rFonts w:ascii="Times New Roman" w:eastAsia="仿宋_GB2312" w:hAnsi="Times New Roman" w:cs="Times New Roman"/>
      <w:sz w:val="18"/>
      <w:szCs w:val="20"/>
    </w:rPr>
  </w:style>
  <w:style w:type="paragraph" w:styleId="TableofFigures">
    <w:name w:val="table of figures"/>
    <w:basedOn w:val="Normal"/>
    <w:next w:val="Normal"/>
    <w:semiHidden/>
    <w:unhideWhenUsed/>
    <w:rsid w:val="003A3487"/>
    <w:pPr>
      <w:ind w:left="840" w:hanging="420" w:leftChars="200" w:hangingChars="200"/>
    </w:pPr>
  </w:style>
  <w:style w:type="paragraph" w:styleId="ListBullet">
    <w:name w:val="List Bullet"/>
    <w:basedOn w:val="Normal"/>
    <w:autoRedefine/>
    <w:semiHidden/>
    <w:unhideWhenUsed/>
    <w:rsid w:val="003A3487"/>
    <w:pPr>
      <w:tabs>
        <w:tab w:val="num" w:pos="360"/>
      </w:tabs>
      <w:ind w:left="360" w:hanging="360" w:hangingChars="200"/>
    </w:pPr>
  </w:style>
  <w:style w:type="paragraph" w:styleId="ListNumber">
    <w:name w:val="List Number"/>
    <w:basedOn w:val="Normal"/>
    <w:semiHidden/>
    <w:unhideWhenUsed/>
    <w:rsid w:val="003A3487"/>
    <w:pPr>
      <w:tabs>
        <w:tab w:val="num" w:pos="360"/>
      </w:tabs>
      <w:ind w:left="360" w:hanging="360" w:hangingChars="200"/>
    </w:pPr>
  </w:style>
  <w:style w:type="paragraph" w:styleId="ListBullet2">
    <w:name w:val="List Bullet 2"/>
    <w:basedOn w:val="Normal"/>
    <w:autoRedefine/>
    <w:semiHidden/>
    <w:unhideWhenUsed/>
    <w:rsid w:val="003A3487"/>
    <w:pPr>
      <w:tabs>
        <w:tab w:val="num" w:pos="780"/>
      </w:tabs>
      <w:ind w:left="780" w:hanging="360" w:leftChars="200" w:hangingChars="200"/>
    </w:pPr>
  </w:style>
  <w:style w:type="paragraph" w:styleId="ListBullet3">
    <w:name w:val="List Bullet 3"/>
    <w:basedOn w:val="Normal"/>
    <w:autoRedefine/>
    <w:semiHidden/>
    <w:unhideWhenUsed/>
    <w:rsid w:val="003A3487"/>
    <w:pPr>
      <w:tabs>
        <w:tab w:val="num" w:pos="1200"/>
      </w:tabs>
      <w:ind w:left="1200" w:hanging="360" w:leftChars="400" w:hangingChars="200"/>
    </w:pPr>
  </w:style>
  <w:style w:type="paragraph" w:styleId="ListBullet4">
    <w:name w:val="List Bullet 4"/>
    <w:basedOn w:val="Normal"/>
    <w:autoRedefine/>
    <w:semiHidden/>
    <w:unhideWhenUsed/>
    <w:rsid w:val="003A3487"/>
    <w:pPr>
      <w:tabs>
        <w:tab w:val="num" w:pos="1620"/>
      </w:tabs>
      <w:ind w:left="1620" w:hanging="360" w:leftChars="600" w:hangingChars="200"/>
    </w:pPr>
  </w:style>
  <w:style w:type="paragraph" w:styleId="ListBullet5">
    <w:name w:val="List Bullet 5"/>
    <w:basedOn w:val="Normal"/>
    <w:autoRedefine/>
    <w:semiHidden/>
    <w:unhideWhenUsed/>
    <w:rsid w:val="003A3487"/>
    <w:pPr>
      <w:tabs>
        <w:tab w:val="num" w:pos="2040"/>
      </w:tabs>
      <w:ind w:left="2040" w:hanging="360" w:leftChars="800" w:hangingChars="200"/>
    </w:pPr>
  </w:style>
  <w:style w:type="paragraph" w:styleId="ListNumber2">
    <w:name w:val="List Number 2"/>
    <w:basedOn w:val="Normal"/>
    <w:semiHidden/>
    <w:unhideWhenUsed/>
    <w:rsid w:val="003A3487"/>
    <w:pPr>
      <w:tabs>
        <w:tab w:val="num" w:pos="780"/>
      </w:tabs>
      <w:ind w:left="780" w:hanging="360" w:leftChars="200" w:hangingChars="200"/>
    </w:pPr>
  </w:style>
  <w:style w:type="paragraph" w:styleId="ListNumber3">
    <w:name w:val="List Number 3"/>
    <w:basedOn w:val="Normal"/>
    <w:semiHidden/>
    <w:unhideWhenUsed/>
    <w:rsid w:val="003A3487"/>
    <w:pPr>
      <w:tabs>
        <w:tab w:val="num" w:pos="1200"/>
      </w:tabs>
      <w:ind w:left="1200" w:hanging="360" w:leftChars="400" w:hangingChars="200"/>
    </w:pPr>
  </w:style>
  <w:style w:type="paragraph" w:styleId="ListNumber4">
    <w:name w:val="List Number 4"/>
    <w:basedOn w:val="Normal"/>
    <w:semiHidden/>
    <w:unhideWhenUsed/>
    <w:rsid w:val="003A3487"/>
    <w:pPr>
      <w:tabs>
        <w:tab w:val="num" w:pos="1620"/>
      </w:tabs>
      <w:ind w:left="1620" w:hanging="360" w:leftChars="600" w:hangingChars="200"/>
    </w:pPr>
  </w:style>
  <w:style w:type="paragraph" w:styleId="ListNumber5">
    <w:name w:val="List Number 5"/>
    <w:basedOn w:val="Normal"/>
    <w:semiHidden/>
    <w:unhideWhenUsed/>
    <w:rsid w:val="003A3487"/>
    <w:pPr>
      <w:tabs>
        <w:tab w:val="num" w:pos="2040"/>
      </w:tabs>
      <w:ind w:left="2040" w:hanging="360" w:leftChars="800" w:hangingChars="200"/>
    </w:pPr>
  </w:style>
  <w:style w:type="paragraph" w:styleId="Title">
    <w:name w:val="Title"/>
    <w:basedOn w:val="Normal"/>
    <w:link w:val="Char2"/>
    <w:qFormat/>
    <w:rsid w:val="003A3487"/>
    <w:pPr>
      <w:spacing w:before="240" w:after="60"/>
      <w:jc w:val="center"/>
      <w:outlineLvl w:val="0"/>
    </w:pPr>
    <w:rPr>
      <w:rFonts w:ascii="Arial" w:hAnsi="Arial" w:cs="Arial"/>
      <w:b/>
      <w:bCs/>
      <w:sz w:val="32"/>
      <w:szCs w:val="32"/>
    </w:rPr>
  </w:style>
  <w:style w:type="character" w:customStyle="1" w:styleId="Char2">
    <w:name w:val="标题 Char"/>
    <w:basedOn w:val="DefaultParagraphFont"/>
    <w:link w:val="Title"/>
    <w:rsid w:val="003A3487"/>
    <w:rPr>
      <w:rFonts w:ascii="Arial" w:eastAsia="宋体" w:hAnsi="Arial" w:cs="Arial"/>
      <w:b/>
      <w:bCs/>
      <w:sz w:val="32"/>
      <w:szCs w:val="32"/>
    </w:rPr>
  </w:style>
  <w:style w:type="paragraph" w:styleId="Closing">
    <w:name w:val="Closing"/>
    <w:basedOn w:val="Normal"/>
    <w:link w:val="Char3"/>
    <w:semiHidden/>
    <w:unhideWhenUsed/>
    <w:rsid w:val="003A3487"/>
    <w:pPr>
      <w:ind w:left="100" w:leftChars="2100"/>
    </w:pPr>
  </w:style>
  <w:style w:type="character" w:customStyle="1" w:styleId="Char3">
    <w:name w:val="结束语 Char"/>
    <w:basedOn w:val="DefaultParagraphFont"/>
    <w:link w:val="Closing"/>
    <w:semiHidden/>
    <w:rsid w:val="003A3487"/>
    <w:rPr>
      <w:rFonts w:ascii="Times New Roman" w:eastAsia="宋体" w:hAnsi="Times New Roman" w:cs="Times New Roman"/>
      <w:szCs w:val="24"/>
    </w:rPr>
  </w:style>
  <w:style w:type="paragraph" w:styleId="BodyText">
    <w:name w:val="Body Text"/>
    <w:basedOn w:val="Normal"/>
    <w:link w:val="Char4"/>
    <w:semiHidden/>
    <w:unhideWhenUsed/>
    <w:rsid w:val="003A3487"/>
    <w:pPr>
      <w:spacing w:after="120"/>
    </w:pPr>
  </w:style>
  <w:style w:type="character" w:customStyle="1" w:styleId="Char4">
    <w:name w:val="正文文本 Char"/>
    <w:basedOn w:val="DefaultParagraphFont"/>
    <w:link w:val="BodyText"/>
    <w:semiHidden/>
    <w:rsid w:val="003A3487"/>
    <w:rPr>
      <w:rFonts w:ascii="Times New Roman" w:eastAsia="宋体" w:hAnsi="Times New Roman" w:cs="Times New Roman"/>
      <w:szCs w:val="24"/>
    </w:rPr>
  </w:style>
  <w:style w:type="paragraph" w:styleId="BodyTextIndent">
    <w:name w:val="Body Text Indent"/>
    <w:basedOn w:val="Normal"/>
    <w:link w:val="Char5"/>
    <w:semiHidden/>
    <w:unhideWhenUsed/>
    <w:rsid w:val="003A3487"/>
    <w:pPr>
      <w:spacing w:after="120"/>
      <w:ind w:left="420"/>
    </w:pPr>
  </w:style>
  <w:style w:type="character" w:customStyle="1" w:styleId="Char5">
    <w:name w:val="正文文本缩进 Char"/>
    <w:basedOn w:val="DefaultParagraphFont"/>
    <w:link w:val="BodyTextIndent"/>
    <w:semiHidden/>
    <w:rsid w:val="003A3487"/>
    <w:rPr>
      <w:rFonts w:ascii="Times New Roman" w:eastAsia="宋体" w:hAnsi="Times New Roman" w:cs="Times New Roman"/>
      <w:szCs w:val="24"/>
    </w:rPr>
  </w:style>
  <w:style w:type="paragraph" w:styleId="Subtitle">
    <w:name w:val="Subtitle"/>
    <w:basedOn w:val="Normal"/>
    <w:link w:val="Char6"/>
    <w:qFormat/>
    <w:rsid w:val="003A3487"/>
    <w:pPr>
      <w:numPr>
        <w:numId w:val="3"/>
      </w:numPr>
      <w:spacing w:before="240" w:after="60" w:line="312" w:lineRule="auto"/>
      <w:jc w:val="center"/>
      <w:outlineLvl w:val="1"/>
    </w:pPr>
    <w:rPr>
      <w:rFonts w:ascii="Arial" w:hAnsi="Arial" w:cs="Arial"/>
      <w:b/>
      <w:bCs/>
      <w:kern w:val="28"/>
      <w:sz w:val="32"/>
      <w:szCs w:val="32"/>
    </w:rPr>
  </w:style>
  <w:style w:type="character" w:customStyle="1" w:styleId="Char6">
    <w:name w:val="副标题 Char"/>
    <w:basedOn w:val="DefaultParagraphFont"/>
    <w:link w:val="Subtitle"/>
    <w:rsid w:val="003A3487"/>
    <w:rPr>
      <w:rFonts w:ascii="Arial" w:eastAsia="宋体" w:hAnsi="Arial" w:cs="Arial"/>
      <w:b/>
      <w:bCs/>
      <w:kern w:val="28"/>
      <w:sz w:val="32"/>
      <w:szCs w:val="32"/>
    </w:rPr>
  </w:style>
  <w:style w:type="paragraph" w:styleId="BodyTextFirstIndent">
    <w:name w:val="Body Text First Indent"/>
    <w:basedOn w:val="BodyText"/>
    <w:link w:val="Char7"/>
    <w:unhideWhenUsed/>
    <w:rsid w:val="003A3487"/>
    <w:pPr>
      <w:ind w:firstLine="420" w:firstLineChars="100"/>
    </w:pPr>
  </w:style>
  <w:style w:type="character" w:customStyle="1" w:styleId="Char7">
    <w:name w:val="正文首行缩进 Char"/>
    <w:basedOn w:val="Char4"/>
    <w:link w:val="BodyTextFirstIndent"/>
    <w:rsid w:val="003A3487"/>
    <w:rPr>
      <w:rFonts w:ascii="Times New Roman" w:eastAsia="宋体" w:hAnsi="Times New Roman" w:cs="Times New Roman"/>
      <w:szCs w:val="24"/>
    </w:rPr>
  </w:style>
  <w:style w:type="paragraph" w:styleId="NoteHeading">
    <w:name w:val="Note Heading"/>
    <w:basedOn w:val="Normal"/>
    <w:next w:val="Normal"/>
    <w:link w:val="Char8"/>
    <w:semiHidden/>
    <w:unhideWhenUsed/>
    <w:rsid w:val="003A3487"/>
    <w:pPr>
      <w:jc w:val="center"/>
    </w:pPr>
  </w:style>
  <w:style w:type="character" w:customStyle="1" w:styleId="Char8">
    <w:name w:val="注释标题 Char"/>
    <w:basedOn w:val="DefaultParagraphFont"/>
    <w:link w:val="NoteHeading"/>
    <w:semiHidden/>
    <w:rsid w:val="003A3487"/>
    <w:rPr>
      <w:rFonts w:ascii="Times New Roman" w:eastAsia="宋体" w:hAnsi="Times New Roman" w:cs="Times New Roman"/>
      <w:szCs w:val="24"/>
    </w:rPr>
  </w:style>
  <w:style w:type="paragraph" w:styleId="BodyText2">
    <w:name w:val="Body Text 2"/>
    <w:basedOn w:val="Normal"/>
    <w:link w:val="2Char1"/>
    <w:semiHidden/>
    <w:unhideWhenUsed/>
    <w:rsid w:val="003A3487"/>
    <w:pPr>
      <w:spacing w:after="120" w:line="480" w:lineRule="auto"/>
    </w:pPr>
  </w:style>
  <w:style w:type="character" w:customStyle="1" w:styleId="2Char1">
    <w:name w:val="正文文本 2 Char"/>
    <w:basedOn w:val="DefaultParagraphFont"/>
    <w:link w:val="BodyText2"/>
    <w:semiHidden/>
    <w:rsid w:val="003A3487"/>
    <w:rPr>
      <w:rFonts w:ascii="Times New Roman" w:eastAsia="宋体" w:hAnsi="Times New Roman" w:cs="Times New Roman"/>
      <w:szCs w:val="24"/>
    </w:rPr>
  </w:style>
  <w:style w:type="paragraph" w:styleId="BodyText3">
    <w:name w:val="Body Text 3"/>
    <w:basedOn w:val="Normal"/>
    <w:link w:val="3Char0"/>
    <w:semiHidden/>
    <w:unhideWhenUsed/>
    <w:rsid w:val="003A3487"/>
    <w:pPr>
      <w:spacing w:after="120"/>
    </w:pPr>
    <w:rPr>
      <w:sz w:val="16"/>
      <w:szCs w:val="16"/>
    </w:rPr>
  </w:style>
  <w:style w:type="character" w:customStyle="1" w:styleId="3Char0">
    <w:name w:val="正文文本 3 Char"/>
    <w:basedOn w:val="DefaultParagraphFont"/>
    <w:link w:val="BodyText3"/>
    <w:semiHidden/>
    <w:rsid w:val="003A3487"/>
    <w:rPr>
      <w:rFonts w:ascii="Times New Roman" w:eastAsia="宋体" w:hAnsi="Times New Roman" w:cs="Times New Roman"/>
      <w:sz w:val="16"/>
      <w:szCs w:val="16"/>
    </w:rPr>
  </w:style>
  <w:style w:type="paragraph" w:styleId="BodyTextIndent2">
    <w:name w:val="Body Text Indent 2"/>
    <w:basedOn w:val="Normal"/>
    <w:link w:val="2Char2"/>
    <w:semiHidden/>
    <w:unhideWhenUsed/>
    <w:rsid w:val="003A3487"/>
    <w:pPr>
      <w:spacing w:after="120" w:line="480" w:lineRule="auto"/>
      <w:ind w:left="420"/>
    </w:pPr>
  </w:style>
  <w:style w:type="character" w:customStyle="1" w:styleId="2Char2">
    <w:name w:val="正文文本缩进 2 Char"/>
    <w:basedOn w:val="DefaultParagraphFont"/>
    <w:link w:val="BodyTextIndent2"/>
    <w:semiHidden/>
    <w:rsid w:val="003A3487"/>
    <w:rPr>
      <w:rFonts w:ascii="Times New Roman" w:eastAsia="宋体" w:hAnsi="Times New Roman" w:cs="Times New Roman"/>
      <w:szCs w:val="24"/>
    </w:rPr>
  </w:style>
  <w:style w:type="paragraph" w:styleId="BodyTextIndent3">
    <w:name w:val="Body Text Indent 3"/>
    <w:basedOn w:val="Normal"/>
    <w:link w:val="3Char1"/>
    <w:semiHidden/>
    <w:unhideWhenUsed/>
    <w:rsid w:val="003A3487"/>
    <w:pPr>
      <w:spacing w:after="120"/>
      <w:ind w:left="420"/>
    </w:pPr>
    <w:rPr>
      <w:sz w:val="16"/>
      <w:szCs w:val="16"/>
    </w:rPr>
  </w:style>
  <w:style w:type="character" w:customStyle="1" w:styleId="3Char1">
    <w:name w:val="正文文本缩进 3 Char"/>
    <w:basedOn w:val="DefaultParagraphFont"/>
    <w:link w:val="BodyTextIndent3"/>
    <w:semiHidden/>
    <w:rsid w:val="003A3487"/>
    <w:rPr>
      <w:rFonts w:ascii="Times New Roman" w:eastAsia="宋体" w:hAnsi="Times New Roman" w:cs="Times New Roman"/>
      <w:sz w:val="16"/>
      <w:szCs w:val="16"/>
    </w:rPr>
  </w:style>
  <w:style w:type="paragraph" w:styleId="BlockText">
    <w:name w:val="Block Text"/>
    <w:basedOn w:val="Normal"/>
    <w:semiHidden/>
    <w:unhideWhenUsed/>
    <w:rsid w:val="003A3487"/>
    <w:pPr>
      <w:spacing w:after="120"/>
      <w:ind w:left="1440" w:right="1440"/>
    </w:pPr>
  </w:style>
  <w:style w:type="paragraph" w:styleId="DocumentMap">
    <w:name w:val="Document Map"/>
    <w:basedOn w:val="Normal"/>
    <w:link w:val="Char9"/>
    <w:uiPriority w:val="99"/>
    <w:semiHidden/>
    <w:unhideWhenUsed/>
    <w:rsid w:val="003A3487"/>
    <w:pPr>
      <w:shd w:val="clear" w:color="auto" w:fill="000080"/>
    </w:pPr>
  </w:style>
  <w:style w:type="character" w:customStyle="1" w:styleId="Char9">
    <w:name w:val="文档结构图 Char"/>
    <w:basedOn w:val="DefaultParagraphFont"/>
    <w:link w:val="DocumentMap"/>
    <w:uiPriority w:val="99"/>
    <w:semiHidden/>
    <w:rsid w:val="003A3487"/>
    <w:rPr>
      <w:rFonts w:ascii="Times New Roman" w:eastAsia="宋体" w:hAnsi="Times New Roman" w:cs="Times New Roman"/>
      <w:szCs w:val="24"/>
      <w:shd w:val="clear" w:color="auto" w:fill="000080"/>
    </w:rPr>
  </w:style>
  <w:style w:type="paragraph" w:styleId="PlainText">
    <w:name w:val="Plain Text"/>
    <w:basedOn w:val="Normal"/>
    <w:link w:val="Char10"/>
    <w:unhideWhenUsed/>
    <w:rsid w:val="003A3487"/>
    <w:rPr>
      <w:rFonts w:ascii="宋体" w:hAnsi="Courier New" w:cs="Courier New"/>
      <w:szCs w:val="21"/>
    </w:rPr>
  </w:style>
  <w:style w:type="character" w:customStyle="1" w:styleId="Char10">
    <w:name w:val="纯文本 Char"/>
    <w:basedOn w:val="DefaultParagraphFont"/>
    <w:link w:val="PlainText"/>
    <w:rsid w:val="003A3487"/>
    <w:rPr>
      <w:rFonts w:ascii="宋体" w:eastAsia="宋体" w:hAnsi="Courier New" w:cs="Courier New"/>
      <w:szCs w:val="21"/>
    </w:rPr>
  </w:style>
  <w:style w:type="paragraph" w:styleId="CommentSubject">
    <w:name w:val="annotation subject"/>
    <w:basedOn w:val="CommentText"/>
    <w:next w:val="CommentText"/>
    <w:link w:val="Char11"/>
    <w:semiHidden/>
    <w:unhideWhenUsed/>
    <w:rsid w:val="003A3487"/>
    <w:rPr>
      <w:b/>
      <w:bCs/>
    </w:rPr>
  </w:style>
  <w:style w:type="character" w:customStyle="1" w:styleId="Char11">
    <w:name w:val="批注主题 Char"/>
    <w:basedOn w:val="Char"/>
    <w:link w:val="CommentSubject"/>
    <w:semiHidden/>
    <w:rsid w:val="003A3487"/>
    <w:rPr>
      <w:rFonts w:ascii="Times New Roman" w:eastAsia="宋体" w:hAnsi="Times New Roman" w:cs="Times New Roman"/>
      <w:b/>
      <w:bCs/>
      <w:szCs w:val="24"/>
    </w:rPr>
  </w:style>
  <w:style w:type="paragraph" w:styleId="BalloonText">
    <w:name w:val="Balloon Text"/>
    <w:basedOn w:val="Normal"/>
    <w:link w:val="Char12"/>
    <w:semiHidden/>
    <w:unhideWhenUsed/>
    <w:rsid w:val="003A3487"/>
    <w:rPr>
      <w:sz w:val="18"/>
      <w:szCs w:val="18"/>
    </w:rPr>
  </w:style>
  <w:style w:type="character" w:customStyle="1" w:styleId="Char12">
    <w:name w:val="批注框文本 Char"/>
    <w:basedOn w:val="DefaultParagraphFont"/>
    <w:link w:val="BalloonText"/>
    <w:semiHidden/>
    <w:rsid w:val="003A3487"/>
    <w:rPr>
      <w:rFonts w:ascii="Times New Roman" w:eastAsia="宋体" w:hAnsi="Times New Roman" w:cs="Times New Roman"/>
      <w:sz w:val="18"/>
      <w:szCs w:val="18"/>
    </w:rPr>
  </w:style>
  <w:style w:type="paragraph" w:customStyle="1" w:styleId="CharCharCharCharCharCharChar">
    <w:name w:val="正文文字 Char Char Char Char Char Char Char"/>
    <w:basedOn w:val="Normal"/>
    <w:next w:val="BodyText3"/>
    <w:rsid w:val="003A3487"/>
    <w:pPr>
      <w:numPr>
        <w:ilvl w:val="1"/>
        <w:numId w:val="4"/>
      </w:numPr>
      <w:spacing w:after="120"/>
    </w:pPr>
    <w:rPr>
      <w:sz w:val="16"/>
      <w:szCs w:val="16"/>
    </w:rPr>
  </w:style>
  <w:style w:type="paragraph" w:customStyle="1" w:styleId="20">
    <w:name w:val="样式 首行缩进:  2 字符"/>
    <w:basedOn w:val="Normal"/>
    <w:rsid w:val="003A3487"/>
    <w:pPr>
      <w:spacing w:before="100" w:beforeAutospacing="1" w:after="100" w:afterAutospacing="1" w:line="360" w:lineRule="auto"/>
      <w:ind w:firstLine="480" w:firstLineChars="200"/>
    </w:pPr>
    <w:rPr>
      <w:szCs w:val="20"/>
    </w:rPr>
  </w:style>
  <w:style w:type="paragraph" w:customStyle="1" w:styleId="a">
    <w:name w:val="特点"/>
    <w:aliases w:val="正文非缩进,段1,表正文"/>
    <w:basedOn w:val="Normal"/>
    <w:next w:val="NormalIndent"/>
    <w:rsid w:val="003A3487"/>
    <w:pPr>
      <w:ind w:firstLine="420"/>
    </w:pPr>
    <w:rPr>
      <w:szCs w:val="20"/>
    </w:rPr>
  </w:style>
  <w:style w:type="character" w:styleId="FootnoteReference">
    <w:name w:val="footnote reference"/>
    <w:basedOn w:val="DefaultParagraphFont"/>
    <w:semiHidden/>
    <w:unhideWhenUsed/>
    <w:rsid w:val="003A3487"/>
    <w:rPr>
      <w:vertAlign w:val="superscript"/>
    </w:rPr>
  </w:style>
  <w:style w:type="character" w:styleId="CommentReference">
    <w:name w:val="annotation reference"/>
    <w:basedOn w:val="DefaultParagraphFont"/>
    <w:semiHidden/>
    <w:unhideWhenUsed/>
    <w:rsid w:val="003A3487"/>
    <w:rPr>
      <w:sz w:val="21"/>
      <w:szCs w:val="21"/>
    </w:rPr>
  </w:style>
  <w:style w:type="character" w:customStyle="1" w:styleId="da">
    <w:name w:val="da"/>
    <w:basedOn w:val="DefaultParagraphFont"/>
    <w:rsid w:val="003A3487"/>
  </w:style>
  <w:style w:type="character" w:customStyle="1" w:styleId="read">
    <w:name w:val="read"/>
    <w:basedOn w:val="DefaultParagraphFont"/>
    <w:rsid w:val="003A3487"/>
  </w:style>
  <w:style w:type="table" w:styleId="TableGrid">
    <w:name w:val="Table Grid"/>
    <w:basedOn w:val="TableNormal"/>
    <w:qFormat/>
    <w:rsid w:val="003A3487"/>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A3487"/>
    <w:rPr>
      <w:b/>
      <w:bCs/>
    </w:rPr>
  </w:style>
  <w:style w:type="paragraph" w:styleId="TOC8">
    <w:name w:val="toc 8"/>
    <w:basedOn w:val="Normal"/>
    <w:next w:val="Normal"/>
    <w:autoRedefine/>
    <w:uiPriority w:val="39"/>
    <w:unhideWhenUsed/>
    <w:rsid w:val="00AF2249"/>
    <w:pPr>
      <w:ind w:left="2940" w:leftChars="1400"/>
    </w:pPr>
  </w:style>
  <w:style w:type="paragraph" w:styleId="ListParagraph">
    <w:name w:val="List Paragraph"/>
    <w:basedOn w:val="Normal"/>
    <w:uiPriority w:val="34"/>
    <w:qFormat/>
    <w:rsid w:val="00BC2080"/>
    <w:pPr>
      <w:ind w:firstLine="420" w:firstLineChars="200"/>
    </w:pPr>
  </w:style>
  <w:style w:type="paragraph" w:styleId="TOC3">
    <w:name w:val="toc 3"/>
    <w:basedOn w:val="Normal"/>
    <w:next w:val="Normal"/>
    <w:autoRedefine/>
    <w:uiPriority w:val="39"/>
    <w:unhideWhenUsed/>
    <w:rsid w:val="009F38D4"/>
    <w:pPr>
      <w:ind w:left="840" w:leftChars="400"/>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9F38D4"/>
    <w:pPr>
      <w:ind w:left="1260" w:leftChars="60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9F38D4"/>
    <w:pPr>
      <w:ind w:left="1680" w:leftChars="80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9F38D4"/>
    <w:pPr>
      <w:ind w:left="2100" w:leftChars="10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9F38D4"/>
    <w:pPr>
      <w:ind w:left="2520" w:leftChars="120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9F38D4"/>
    <w:pPr>
      <w:ind w:left="3360" w:leftChars="1600"/>
    </w:pPr>
    <w:rPr>
      <w:rFonts w:asciiTheme="minorHAnsi" w:eastAsiaTheme="minorEastAsia" w:hAnsiTheme="minorHAnsi" w:cstheme="minorBidi"/>
      <w:szCs w:val="22"/>
    </w:rPr>
  </w:style>
  <w:style w:type="paragraph" w:styleId="Revision">
    <w:name w:val="Revision"/>
    <w:hidden/>
    <w:uiPriority w:val="99"/>
    <w:semiHidden/>
    <w:rsid w:val="00365863"/>
    <w:rPr>
      <w:rFonts w:ascii="Times New Roman" w:hAnsi="Times New Roman"/>
      <w:kern w:val="2"/>
      <w:sz w:val="21"/>
      <w:szCs w:val="24"/>
    </w:rPr>
  </w:style>
  <w:style w:type="paragraph" w:styleId="Date">
    <w:name w:val="Date"/>
    <w:basedOn w:val="Normal"/>
    <w:next w:val="Normal"/>
    <w:link w:val="Char13"/>
    <w:uiPriority w:val="99"/>
    <w:semiHidden/>
    <w:unhideWhenUsed/>
    <w:rsid w:val="003E0BEE"/>
    <w:pPr>
      <w:ind w:left="100" w:leftChars="2500"/>
    </w:pPr>
  </w:style>
  <w:style w:type="character" w:customStyle="1" w:styleId="Char13">
    <w:name w:val="日期 Char"/>
    <w:basedOn w:val="DefaultParagraphFont"/>
    <w:link w:val="Date"/>
    <w:uiPriority w:val="99"/>
    <w:semiHidden/>
    <w:rsid w:val="003E0BEE"/>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yperlink" Target="http://www.efunds.com.cn" TargetMode="External" /><Relationship Id="rId13" Type="http://schemas.microsoft.com/office/2006/relationships/keyMapCustomizations" Target="customizations.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713C561-CAF4-439E-88FE-951BA49D2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106</Pages>
  <Words>13805</Words>
  <Characters>78689</Characters>
  <Application>Microsoft Office Word</Application>
  <DocSecurity>0</DocSecurity>
  <Lines>655</Lines>
  <Paragraphs>184</Paragraphs>
  <ScaleCrop>false</ScaleCrop>
  <Company>E FUND</Company>
  <LinksUpToDate>false</LinksUpToDate>
  <CharactersWithSpaces>92310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杨敏</dc:creator>
  <cp:lastModifiedBy>张艺耀</cp:lastModifiedBy>
  <cp:revision>8</cp:revision>
  <dcterms:created xsi:type="dcterms:W3CDTF">2021-12-24T11:52:00Z</dcterms:created>
  <dcterms:modified xsi:type="dcterms:W3CDTF">2021-12-30T11:28:00Z</dcterms:modified>
</cp:coreProperties>
</file>