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DB3659" w:rsidRPr="00634578" w:rsidP="00BB159E">
      <w:pPr>
        <w:tabs>
          <w:tab w:val="left" w:pos="1890"/>
        </w:tabs>
        <w:snapToGrid w:val="0"/>
        <w:spacing w:line="360" w:lineRule="auto"/>
        <w:rPr>
          <w:rFonts w:asciiTheme="minorEastAsia" w:eastAsiaTheme="minorEastAsia" w:hAnsiTheme="minorEastAsia"/>
          <w:i/>
          <w:iCs/>
          <w:color w:val="000000" w:themeColor="text1"/>
          <w:sz w:val="24"/>
        </w:rPr>
      </w:pPr>
    </w:p>
    <w:p w:rsidR="00DB3659" w:rsidRPr="00634578" w:rsidP="00BB159E">
      <w:pPr>
        <w:tabs>
          <w:tab w:val="left" w:pos="1890"/>
        </w:tabs>
        <w:snapToGrid w:val="0"/>
        <w:spacing w:line="360" w:lineRule="auto"/>
        <w:rPr>
          <w:rFonts w:asciiTheme="minorEastAsia" w:eastAsiaTheme="minorEastAsia" w:hAnsiTheme="minorEastAsia"/>
          <w:i/>
          <w:iCs/>
          <w:color w:val="000000" w:themeColor="text1"/>
          <w:sz w:val="28"/>
          <w:szCs w:val="28"/>
        </w:rPr>
      </w:pPr>
    </w:p>
    <w:p w:rsidR="00DB3659" w:rsidRPr="00634578" w:rsidP="00BB159E">
      <w:pPr>
        <w:snapToGrid w:val="0"/>
        <w:spacing w:line="360" w:lineRule="auto"/>
        <w:ind w:firstLine="881"/>
        <w:jc w:val="center"/>
        <w:rPr>
          <w:rFonts w:asciiTheme="minorEastAsia" w:eastAsiaTheme="minorEastAsia" w:hAnsiTheme="minorEastAsia"/>
          <w:b/>
          <w:color w:val="000000" w:themeColor="text1"/>
          <w:sz w:val="44"/>
        </w:rPr>
      </w:pPr>
    </w:p>
    <w:p w:rsidR="00DB3659" w:rsidRPr="00634578" w:rsidP="00BB159E">
      <w:pPr>
        <w:snapToGrid w:val="0"/>
        <w:spacing w:line="360" w:lineRule="auto"/>
        <w:ind w:firstLine="881"/>
        <w:jc w:val="center"/>
        <w:rPr>
          <w:rFonts w:asciiTheme="minorEastAsia" w:eastAsiaTheme="minorEastAsia" w:hAnsiTheme="minorEastAsia"/>
          <w:b/>
          <w:color w:val="000000" w:themeColor="text1"/>
          <w:sz w:val="44"/>
        </w:rPr>
      </w:pPr>
    </w:p>
    <w:p w:rsidR="00DB3659" w:rsidRPr="00634578" w:rsidP="00BB159E">
      <w:pPr>
        <w:snapToGrid w:val="0"/>
        <w:spacing w:line="360" w:lineRule="auto"/>
        <w:ind w:firstLine="881"/>
        <w:jc w:val="center"/>
        <w:rPr>
          <w:rFonts w:asciiTheme="minorEastAsia" w:eastAsiaTheme="minorEastAsia" w:hAnsiTheme="minorEastAsia"/>
          <w:b/>
          <w:color w:val="000000" w:themeColor="text1"/>
          <w:sz w:val="44"/>
        </w:rPr>
      </w:pPr>
    </w:p>
    <w:p w:rsidR="00DB3659" w:rsidRPr="00634578" w:rsidP="00BB159E">
      <w:pPr>
        <w:snapToGrid w:val="0"/>
        <w:spacing w:line="360" w:lineRule="auto"/>
        <w:jc w:val="center"/>
        <w:rPr>
          <w:rFonts w:asciiTheme="minorEastAsia" w:eastAsiaTheme="minorEastAsia" w:hAnsiTheme="minorEastAsia"/>
          <w:b/>
          <w:color w:val="000000" w:themeColor="text1"/>
          <w:sz w:val="44"/>
        </w:rPr>
      </w:pPr>
      <w:r w:rsidRPr="00634578">
        <w:rPr>
          <w:rFonts w:asciiTheme="minorEastAsia" w:eastAsiaTheme="minorEastAsia" w:hAnsiTheme="minorEastAsia" w:hint="eastAsia"/>
          <w:b/>
          <w:color w:val="000000" w:themeColor="text1"/>
          <w:sz w:val="44"/>
        </w:rPr>
        <w:t>易方达龙宝货币市场基金</w:t>
      </w:r>
    </w:p>
    <w:p w:rsidR="00DB3659" w:rsidRPr="00634578" w:rsidP="00BB159E">
      <w:pPr>
        <w:snapToGrid w:val="0"/>
        <w:spacing w:line="360" w:lineRule="auto"/>
        <w:jc w:val="center"/>
        <w:rPr>
          <w:rFonts w:asciiTheme="minorEastAsia" w:eastAsiaTheme="minorEastAsia" w:hAnsiTheme="minorEastAsia"/>
          <w:b/>
          <w:color w:val="000000" w:themeColor="text1"/>
          <w:sz w:val="44"/>
        </w:rPr>
      </w:pPr>
      <w:r w:rsidRPr="00634578">
        <w:rPr>
          <w:rFonts w:asciiTheme="minorEastAsia" w:eastAsiaTheme="minorEastAsia" w:hAnsiTheme="minorEastAsia" w:hint="eastAsia"/>
          <w:b/>
          <w:color w:val="000000" w:themeColor="text1"/>
          <w:sz w:val="44"/>
        </w:rPr>
        <w:t>更新的招募说明书</w:t>
      </w:r>
    </w:p>
    <w:p w:rsidR="00DB3659" w:rsidRPr="00634578" w:rsidP="00BB159E">
      <w:pPr>
        <w:snapToGrid w:val="0"/>
        <w:spacing w:line="360" w:lineRule="auto"/>
        <w:ind w:left="1680" w:firstLine="181" w:leftChars="800"/>
        <w:rPr>
          <w:rFonts w:asciiTheme="minorEastAsia" w:eastAsiaTheme="minorEastAsia" w:hAnsiTheme="minorEastAsia"/>
          <w:color w:val="000000" w:themeColor="text1"/>
          <w:sz w:val="30"/>
          <w:szCs w:val="30"/>
        </w:rPr>
      </w:pPr>
    </w:p>
    <w:p w:rsidR="00DB3659" w:rsidRPr="00634578" w:rsidP="00BB159E">
      <w:pPr>
        <w:snapToGrid w:val="0"/>
        <w:spacing w:line="360" w:lineRule="auto"/>
        <w:ind w:left="1680" w:firstLine="181" w:leftChars="800"/>
        <w:rPr>
          <w:rFonts w:asciiTheme="minorEastAsia" w:eastAsiaTheme="minorEastAsia" w:hAnsiTheme="minorEastAsia"/>
          <w:color w:val="000000" w:themeColor="text1"/>
          <w:sz w:val="30"/>
          <w:szCs w:val="30"/>
        </w:rPr>
      </w:pPr>
    </w:p>
    <w:p w:rsidR="00DB3659" w:rsidRPr="00634578" w:rsidP="00BB159E">
      <w:pPr>
        <w:snapToGrid w:val="0"/>
        <w:spacing w:line="360" w:lineRule="auto"/>
        <w:ind w:left="1680" w:leftChars="800"/>
        <w:rPr>
          <w:rFonts w:asciiTheme="minorEastAsia" w:eastAsiaTheme="minorEastAsia" w:hAnsiTheme="minorEastAsia"/>
          <w:color w:val="000000" w:themeColor="text1"/>
          <w:sz w:val="30"/>
          <w:szCs w:val="30"/>
        </w:rPr>
      </w:pPr>
    </w:p>
    <w:p w:rsidR="00BB159E" w:rsidRPr="00634578" w:rsidP="00BB159E">
      <w:pPr>
        <w:snapToGrid w:val="0"/>
        <w:spacing w:line="360" w:lineRule="auto"/>
        <w:ind w:left="1680" w:leftChars="800"/>
        <w:rPr>
          <w:rFonts w:asciiTheme="minorEastAsia" w:eastAsiaTheme="minorEastAsia" w:hAnsiTheme="minorEastAsia"/>
          <w:color w:val="000000" w:themeColor="text1"/>
          <w:sz w:val="30"/>
          <w:szCs w:val="30"/>
        </w:rPr>
      </w:pPr>
    </w:p>
    <w:p w:rsidR="00BB159E" w:rsidRPr="00634578" w:rsidP="00BB159E">
      <w:pPr>
        <w:snapToGrid w:val="0"/>
        <w:spacing w:line="360" w:lineRule="auto"/>
        <w:ind w:left="1680" w:leftChars="800"/>
        <w:rPr>
          <w:rFonts w:asciiTheme="minorEastAsia" w:eastAsiaTheme="minorEastAsia" w:hAnsiTheme="minorEastAsia"/>
          <w:color w:val="000000" w:themeColor="text1"/>
          <w:sz w:val="30"/>
          <w:szCs w:val="30"/>
        </w:rPr>
      </w:pPr>
    </w:p>
    <w:p w:rsidR="00DB3659" w:rsidRPr="00634578" w:rsidP="00BB159E">
      <w:pPr>
        <w:snapToGrid w:val="0"/>
        <w:spacing w:line="360" w:lineRule="auto"/>
        <w:ind w:left="1680" w:leftChars="800"/>
        <w:rPr>
          <w:rFonts w:asciiTheme="minorEastAsia" w:eastAsiaTheme="minorEastAsia" w:hAnsiTheme="minorEastAsia"/>
          <w:color w:val="000000" w:themeColor="text1"/>
          <w:sz w:val="30"/>
          <w:szCs w:val="30"/>
        </w:rPr>
      </w:pPr>
    </w:p>
    <w:p w:rsidR="00DB3659" w:rsidRPr="00634578" w:rsidP="00BB159E">
      <w:pPr>
        <w:snapToGrid w:val="0"/>
        <w:spacing w:line="360" w:lineRule="auto"/>
        <w:ind w:left="1680" w:leftChars="800"/>
        <w:rPr>
          <w:rFonts w:asciiTheme="minorEastAsia" w:eastAsiaTheme="minorEastAsia" w:hAnsiTheme="minorEastAsia"/>
          <w:color w:val="000000" w:themeColor="text1"/>
          <w:sz w:val="30"/>
          <w:szCs w:val="30"/>
        </w:rPr>
      </w:pPr>
    </w:p>
    <w:p w:rsidR="00DB3659" w:rsidRPr="00634578" w:rsidP="00BB159E">
      <w:pPr>
        <w:snapToGrid w:val="0"/>
        <w:spacing w:line="360" w:lineRule="auto"/>
        <w:ind w:left="1680" w:leftChars="800"/>
        <w:rPr>
          <w:rFonts w:asciiTheme="minorEastAsia" w:eastAsiaTheme="minorEastAsia" w:hAnsiTheme="minorEastAsia"/>
          <w:color w:val="000000" w:themeColor="text1"/>
          <w:sz w:val="30"/>
          <w:szCs w:val="30"/>
        </w:rPr>
      </w:pPr>
    </w:p>
    <w:p w:rsidR="00DB3659" w:rsidRPr="00634578" w:rsidP="00BB159E">
      <w:pPr>
        <w:snapToGrid w:val="0"/>
        <w:spacing w:line="360" w:lineRule="auto"/>
        <w:ind w:left="1678" w:hanging="237" w:leftChars="686" w:hangingChars="74"/>
        <w:rPr>
          <w:rFonts w:asciiTheme="minorEastAsia" w:eastAsiaTheme="minorEastAsia" w:hAnsiTheme="minorEastAsia"/>
          <w:b/>
          <w:color w:val="000000" w:themeColor="text1"/>
          <w:sz w:val="32"/>
          <w:szCs w:val="32"/>
        </w:rPr>
      </w:pPr>
      <w:r w:rsidRPr="00634578">
        <w:rPr>
          <w:rFonts w:asciiTheme="minorEastAsia" w:eastAsiaTheme="minorEastAsia" w:hAnsiTheme="minorEastAsia" w:hint="eastAsia"/>
          <w:b/>
          <w:color w:val="000000" w:themeColor="text1"/>
          <w:sz w:val="32"/>
          <w:szCs w:val="32"/>
        </w:rPr>
        <w:t>基金管理人：易方达基金管理有限公司</w:t>
      </w:r>
    </w:p>
    <w:p w:rsidR="00DB3659" w:rsidRPr="00634578" w:rsidP="00BB159E">
      <w:pPr>
        <w:snapToGrid w:val="0"/>
        <w:spacing w:line="360" w:lineRule="auto"/>
        <w:ind w:left="1678" w:hanging="237" w:leftChars="686" w:hangingChars="74"/>
        <w:rPr>
          <w:rFonts w:asciiTheme="minorEastAsia" w:eastAsiaTheme="minorEastAsia" w:hAnsiTheme="minorEastAsia"/>
          <w:b/>
          <w:color w:val="000000" w:themeColor="text1"/>
          <w:sz w:val="32"/>
          <w:szCs w:val="32"/>
        </w:rPr>
      </w:pPr>
      <w:r w:rsidRPr="00634578">
        <w:rPr>
          <w:rFonts w:asciiTheme="minorEastAsia" w:eastAsiaTheme="minorEastAsia" w:hAnsiTheme="minorEastAsia" w:hint="eastAsia"/>
          <w:b/>
          <w:color w:val="000000" w:themeColor="text1"/>
          <w:sz w:val="32"/>
          <w:szCs w:val="32"/>
        </w:rPr>
        <w:t>基金托管人：华夏银行股份有限公司</w:t>
      </w:r>
    </w:p>
    <w:p w:rsidR="00DB3659" w:rsidRPr="00634578" w:rsidP="00BB159E">
      <w:pPr>
        <w:snapToGrid w:val="0"/>
        <w:spacing w:line="360" w:lineRule="auto"/>
        <w:ind w:firstLine="561"/>
        <w:rPr>
          <w:rFonts w:asciiTheme="minorEastAsia" w:eastAsiaTheme="minorEastAsia" w:hAnsiTheme="minorEastAsia"/>
          <w:b/>
          <w:color w:val="000000" w:themeColor="text1"/>
          <w:sz w:val="24"/>
        </w:rPr>
      </w:pPr>
    </w:p>
    <w:p w:rsidR="00D240C0" w:rsidRPr="00634578" w:rsidP="00BB159E">
      <w:pPr>
        <w:snapToGrid w:val="0"/>
        <w:spacing w:line="360" w:lineRule="auto"/>
        <w:jc w:val="center"/>
        <w:rPr>
          <w:rFonts w:asciiTheme="minorEastAsia" w:eastAsiaTheme="minorEastAsia" w:hAnsiTheme="minorEastAsia"/>
          <w:b/>
          <w:color w:val="000000" w:themeColor="text1"/>
          <w:sz w:val="28"/>
          <w:szCs w:val="28"/>
        </w:rPr>
      </w:pPr>
      <w:r w:rsidRPr="00634578">
        <w:rPr>
          <w:rFonts w:asciiTheme="minorEastAsia" w:eastAsiaTheme="minorEastAsia" w:hAnsiTheme="minorEastAsia"/>
          <w:b/>
          <w:color w:val="000000" w:themeColor="text1"/>
          <w:sz w:val="28"/>
        </w:rPr>
        <w:t>二〇二一年</w:t>
      </w:r>
      <w:r w:rsidRPr="00634578" w:rsidR="00064F67">
        <w:rPr>
          <w:rFonts w:asciiTheme="minorEastAsia" w:eastAsiaTheme="minorEastAsia" w:hAnsiTheme="minorEastAsia"/>
          <w:b/>
          <w:color w:val="000000" w:themeColor="text1"/>
          <w:sz w:val="28"/>
        </w:rPr>
        <w:t>十</w:t>
      </w:r>
      <w:r w:rsidRPr="00634578" w:rsidR="001B2008">
        <w:rPr>
          <w:rFonts w:asciiTheme="minorEastAsia" w:eastAsiaTheme="minorEastAsia" w:hAnsiTheme="minorEastAsia" w:hint="eastAsia"/>
          <w:b/>
          <w:color w:val="000000" w:themeColor="text1"/>
          <w:sz w:val="28"/>
        </w:rPr>
        <w:t>二</w:t>
      </w:r>
      <w:r w:rsidRPr="00634578">
        <w:rPr>
          <w:rFonts w:asciiTheme="minorEastAsia" w:eastAsiaTheme="minorEastAsia" w:hAnsiTheme="minorEastAsia"/>
          <w:b/>
          <w:color w:val="000000" w:themeColor="text1"/>
          <w:sz w:val="28"/>
        </w:rPr>
        <w:t>月</w:t>
      </w:r>
    </w:p>
    <w:p w:rsidR="004A6DF8" w:rsidRPr="00634578" w:rsidP="00BB159E">
      <w:pPr>
        <w:snapToGrid w:val="0"/>
        <w:spacing w:line="360" w:lineRule="auto"/>
        <w:jc w:val="center"/>
        <w:rPr>
          <w:rFonts w:asciiTheme="minorEastAsia" w:eastAsiaTheme="minorEastAsia" w:hAnsiTheme="minorEastAsia"/>
          <w:b/>
          <w:color w:val="000000" w:themeColor="text1"/>
          <w:sz w:val="28"/>
          <w:szCs w:val="28"/>
        </w:rPr>
      </w:pPr>
    </w:p>
    <w:p w:rsidR="004A6DF8" w:rsidRPr="00634578" w:rsidP="00BB159E">
      <w:pPr>
        <w:snapToGrid w:val="0"/>
        <w:spacing w:line="360" w:lineRule="auto"/>
        <w:jc w:val="center"/>
        <w:rPr>
          <w:rFonts w:asciiTheme="minorEastAsia" w:eastAsiaTheme="minorEastAsia" w:hAnsiTheme="minorEastAsia"/>
          <w:b/>
          <w:color w:val="000000" w:themeColor="text1"/>
          <w:sz w:val="28"/>
          <w:szCs w:val="28"/>
        </w:rPr>
        <w:sectPr>
          <w:headerReference w:type="even" r:id="rId5"/>
          <w:headerReference w:type="default" r:id="rId6"/>
          <w:footerReference w:type="even" r:id="rId7"/>
          <w:footerReference w:type="default" r:id="rId8"/>
          <w:headerReference w:type="first" r:id="rId9"/>
          <w:footerReference w:type="first" r:id="rId10"/>
          <w:pgSz w:w="11906" w:h="16838"/>
          <w:pgMar w:top="1701" w:right="1814" w:bottom="1701" w:left="1814" w:header="1134" w:footer="1247" w:gutter="0"/>
          <w:pgNumType w:start="1"/>
          <w:cols w:space="720"/>
          <w:docGrid w:type="lines" w:linePitch="305"/>
        </w:sectPr>
      </w:pPr>
    </w:p>
    <w:p w:rsidR="00DB3659" w:rsidRPr="00634578" w:rsidP="00BB159E">
      <w:pPr>
        <w:snapToGrid w:val="0"/>
        <w:spacing w:line="360" w:lineRule="auto"/>
        <w:jc w:val="center"/>
        <w:rPr>
          <w:rFonts w:asciiTheme="minorEastAsia" w:eastAsiaTheme="minorEastAsia" w:hAnsiTheme="minorEastAsia"/>
          <w:b/>
          <w:color w:val="000000" w:themeColor="text1"/>
          <w:sz w:val="28"/>
          <w:szCs w:val="28"/>
        </w:rPr>
      </w:pPr>
      <w:r w:rsidRPr="00634578">
        <w:rPr>
          <w:rFonts w:asciiTheme="minorEastAsia" w:eastAsiaTheme="minorEastAsia" w:hAnsiTheme="minorEastAsia" w:hint="eastAsia"/>
          <w:b/>
          <w:color w:val="000000" w:themeColor="text1"/>
          <w:sz w:val="28"/>
          <w:szCs w:val="28"/>
        </w:rPr>
        <w:t>重要提示</w:t>
      </w:r>
    </w:p>
    <w:p w:rsidR="00DB3659" w:rsidRPr="00634578" w:rsidP="00BB159E">
      <w:pPr>
        <w:snapToGrid w:val="0"/>
        <w:spacing w:line="360" w:lineRule="auto"/>
        <w:ind w:firstLine="420" w:firstLineChars="200"/>
        <w:rPr>
          <w:rFonts w:asciiTheme="minorEastAsia" w:eastAsiaTheme="minorEastAsia" w:hAnsiTheme="minorEastAsia"/>
          <w:b/>
          <w:color w:val="000000" w:themeColor="text1"/>
          <w:szCs w:val="21"/>
        </w:rPr>
      </w:pPr>
      <w:r w:rsidRPr="00634578">
        <w:rPr>
          <w:rFonts w:asciiTheme="minorEastAsia" w:eastAsiaTheme="minorEastAsia" w:hAnsiTheme="minorEastAsia" w:hint="eastAsia"/>
          <w:b/>
          <w:color w:val="000000" w:themeColor="text1"/>
          <w:szCs w:val="21"/>
        </w:rPr>
        <w:t>本基金根据</w:t>
      </w:r>
      <w:r w:rsidRPr="00634578">
        <w:rPr>
          <w:rFonts w:asciiTheme="minorEastAsia" w:eastAsiaTheme="minorEastAsia" w:hAnsiTheme="minorEastAsia"/>
          <w:b/>
          <w:color w:val="000000" w:themeColor="text1"/>
          <w:szCs w:val="21"/>
        </w:rPr>
        <w:t>2014</w:t>
      </w:r>
      <w:r w:rsidRPr="00634578">
        <w:rPr>
          <w:rFonts w:asciiTheme="minorEastAsia" w:eastAsiaTheme="minorEastAsia" w:hAnsiTheme="minorEastAsia" w:hint="eastAsia"/>
          <w:b/>
          <w:color w:val="000000" w:themeColor="text1"/>
          <w:szCs w:val="21"/>
        </w:rPr>
        <w:t>年</w:t>
      </w:r>
      <w:r w:rsidRPr="00634578">
        <w:rPr>
          <w:rFonts w:asciiTheme="minorEastAsia" w:eastAsiaTheme="minorEastAsia" w:hAnsiTheme="minorEastAsia"/>
          <w:b/>
          <w:color w:val="000000" w:themeColor="text1"/>
          <w:szCs w:val="21"/>
        </w:rPr>
        <w:t>8</w:t>
      </w:r>
      <w:r w:rsidRPr="00634578">
        <w:rPr>
          <w:rFonts w:asciiTheme="minorEastAsia" w:eastAsiaTheme="minorEastAsia" w:hAnsiTheme="minorEastAsia" w:hint="eastAsia"/>
          <w:b/>
          <w:color w:val="000000" w:themeColor="text1"/>
          <w:szCs w:val="21"/>
        </w:rPr>
        <w:t>月</w:t>
      </w:r>
      <w:r w:rsidRPr="00634578">
        <w:rPr>
          <w:rFonts w:asciiTheme="minorEastAsia" w:eastAsiaTheme="minorEastAsia" w:hAnsiTheme="minorEastAsia"/>
          <w:b/>
          <w:color w:val="000000" w:themeColor="text1"/>
          <w:szCs w:val="21"/>
        </w:rPr>
        <w:t>20</w:t>
      </w:r>
      <w:r w:rsidRPr="00634578">
        <w:rPr>
          <w:rFonts w:asciiTheme="minorEastAsia" w:eastAsiaTheme="minorEastAsia" w:hAnsiTheme="minorEastAsia" w:hint="eastAsia"/>
          <w:b/>
          <w:color w:val="000000" w:themeColor="text1"/>
          <w:szCs w:val="21"/>
        </w:rPr>
        <w:t>日中国证券监督管理委员会《关于核准易方达龙宝货币市场基金募集的批复》（证监许可【</w:t>
      </w:r>
      <w:r w:rsidRPr="00634578">
        <w:rPr>
          <w:rFonts w:asciiTheme="minorEastAsia" w:eastAsiaTheme="minorEastAsia" w:hAnsiTheme="minorEastAsia"/>
          <w:b/>
          <w:color w:val="000000" w:themeColor="text1"/>
          <w:szCs w:val="21"/>
        </w:rPr>
        <w:t>2014</w:t>
      </w:r>
      <w:r w:rsidRPr="00634578">
        <w:rPr>
          <w:rFonts w:asciiTheme="minorEastAsia" w:eastAsiaTheme="minorEastAsia" w:hAnsiTheme="minorEastAsia" w:hint="eastAsia"/>
          <w:b/>
          <w:color w:val="000000" w:themeColor="text1"/>
          <w:szCs w:val="21"/>
        </w:rPr>
        <w:t>】</w:t>
      </w:r>
      <w:r w:rsidRPr="00634578">
        <w:rPr>
          <w:rFonts w:asciiTheme="minorEastAsia" w:eastAsiaTheme="minorEastAsia" w:hAnsiTheme="minorEastAsia"/>
          <w:b/>
          <w:color w:val="000000" w:themeColor="text1"/>
          <w:szCs w:val="21"/>
        </w:rPr>
        <w:t>873</w:t>
      </w:r>
      <w:r w:rsidRPr="00634578">
        <w:rPr>
          <w:rFonts w:asciiTheme="minorEastAsia" w:eastAsiaTheme="minorEastAsia" w:hAnsiTheme="minorEastAsia" w:hint="eastAsia"/>
          <w:b/>
          <w:color w:val="000000" w:themeColor="text1"/>
          <w:szCs w:val="21"/>
        </w:rPr>
        <w:t>号）和</w:t>
      </w:r>
      <w:r w:rsidRPr="00634578">
        <w:rPr>
          <w:rFonts w:asciiTheme="minorEastAsia" w:eastAsiaTheme="minorEastAsia" w:hAnsiTheme="minorEastAsia"/>
          <w:b/>
          <w:color w:val="000000" w:themeColor="text1"/>
          <w:szCs w:val="21"/>
        </w:rPr>
        <w:t>2014</w:t>
      </w:r>
      <w:r w:rsidRPr="00634578">
        <w:rPr>
          <w:rFonts w:asciiTheme="minorEastAsia" w:eastAsiaTheme="minorEastAsia" w:hAnsiTheme="minorEastAsia" w:hint="eastAsia"/>
          <w:b/>
          <w:color w:val="000000" w:themeColor="text1"/>
          <w:szCs w:val="21"/>
        </w:rPr>
        <w:t>年</w:t>
      </w:r>
      <w:r w:rsidRPr="00634578">
        <w:rPr>
          <w:rFonts w:asciiTheme="minorEastAsia" w:eastAsiaTheme="minorEastAsia" w:hAnsiTheme="minorEastAsia"/>
          <w:b/>
          <w:color w:val="000000" w:themeColor="text1"/>
          <w:szCs w:val="21"/>
        </w:rPr>
        <w:t>9</w:t>
      </w:r>
      <w:r w:rsidRPr="00634578">
        <w:rPr>
          <w:rFonts w:asciiTheme="minorEastAsia" w:eastAsiaTheme="minorEastAsia" w:hAnsiTheme="minorEastAsia" w:hint="eastAsia"/>
          <w:b/>
          <w:color w:val="000000" w:themeColor="text1"/>
          <w:szCs w:val="21"/>
        </w:rPr>
        <w:t>月</w:t>
      </w:r>
      <w:r w:rsidRPr="00634578">
        <w:rPr>
          <w:rFonts w:asciiTheme="minorEastAsia" w:eastAsiaTheme="minorEastAsia" w:hAnsiTheme="minorEastAsia"/>
          <w:b/>
          <w:color w:val="000000" w:themeColor="text1"/>
          <w:szCs w:val="21"/>
        </w:rPr>
        <w:t>1</w:t>
      </w:r>
      <w:r w:rsidRPr="00634578">
        <w:rPr>
          <w:rFonts w:asciiTheme="minorEastAsia" w:eastAsiaTheme="minorEastAsia" w:hAnsiTheme="minorEastAsia" w:hint="eastAsia"/>
          <w:b/>
          <w:color w:val="000000" w:themeColor="text1"/>
          <w:szCs w:val="21"/>
        </w:rPr>
        <w:t>日《关于易方达龙宝货币市场基金募集时间安排的确认函》（基金部函</w:t>
      </w:r>
      <w:r w:rsidRPr="00634578">
        <w:rPr>
          <w:rFonts w:asciiTheme="minorEastAsia" w:eastAsiaTheme="minorEastAsia" w:hAnsiTheme="minorEastAsia"/>
          <w:b/>
          <w:color w:val="000000" w:themeColor="text1"/>
          <w:szCs w:val="21"/>
        </w:rPr>
        <w:t>[2014]1195</w:t>
      </w:r>
      <w:r w:rsidRPr="00634578">
        <w:rPr>
          <w:rFonts w:asciiTheme="minorEastAsia" w:eastAsiaTheme="minorEastAsia" w:hAnsiTheme="minorEastAsia" w:hint="eastAsia"/>
          <w:b/>
          <w:color w:val="000000" w:themeColor="text1"/>
          <w:szCs w:val="21"/>
        </w:rPr>
        <w:t>号）进行募集。</w:t>
      </w:r>
      <w:r w:rsidRPr="00634578" w:rsidR="00184068">
        <w:rPr>
          <w:rFonts w:asciiTheme="minorEastAsia" w:eastAsiaTheme="minorEastAsia" w:hAnsiTheme="minorEastAsia" w:hint="eastAsia"/>
          <w:b/>
          <w:color w:val="000000" w:themeColor="text1"/>
        </w:rPr>
        <w:t>本基金的基金合同于2014年</w:t>
      </w:r>
      <w:r w:rsidRPr="00634578" w:rsidR="00184068">
        <w:rPr>
          <w:rFonts w:asciiTheme="minorEastAsia" w:eastAsiaTheme="minorEastAsia" w:hAnsiTheme="minorEastAsia"/>
          <w:b/>
          <w:color w:val="000000" w:themeColor="text1"/>
        </w:rPr>
        <w:t>9</w:t>
      </w:r>
      <w:r w:rsidRPr="00634578" w:rsidR="00184068">
        <w:rPr>
          <w:rFonts w:asciiTheme="minorEastAsia" w:eastAsiaTheme="minorEastAsia" w:hAnsiTheme="minorEastAsia" w:hint="eastAsia"/>
          <w:b/>
          <w:color w:val="000000" w:themeColor="text1"/>
        </w:rPr>
        <w:t>月</w:t>
      </w:r>
      <w:r w:rsidRPr="00634578" w:rsidR="00184068">
        <w:rPr>
          <w:rFonts w:asciiTheme="minorEastAsia" w:eastAsiaTheme="minorEastAsia" w:hAnsiTheme="minorEastAsia"/>
          <w:b/>
          <w:color w:val="000000" w:themeColor="text1"/>
        </w:rPr>
        <w:t>1</w:t>
      </w:r>
      <w:r w:rsidRPr="00634578" w:rsidR="00184068">
        <w:rPr>
          <w:rFonts w:asciiTheme="minorEastAsia" w:eastAsiaTheme="minorEastAsia" w:hAnsiTheme="minorEastAsia" w:hint="eastAsia"/>
          <w:b/>
          <w:color w:val="000000" w:themeColor="text1"/>
        </w:rPr>
        <w:t>2日正式生效。</w:t>
      </w:r>
    </w:p>
    <w:p w:rsidR="00DB3659" w:rsidRPr="00634578" w:rsidP="00BB159E">
      <w:pPr>
        <w:snapToGrid w:val="0"/>
        <w:spacing w:line="360" w:lineRule="auto"/>
        <w:ind w:firstLine="420" w:firstLineChars="200"/>
        <w:rPr>
          <w:rFonts w:asciiTheme="minorEastAsia" w:eastAsiaTheme="minorEastAsia" w:hAnsiTheme="minorEastAsia"/>
          <w:b/>
          <w:color w:val="000000" w:themeColor="text1"/>
          <w:szCs w:val="21"/>
        </w:rPr>
      </w:pPr>
      <w:r w:rsidRPr="00634578">
        <w:rPr>
          <w:rFonts w:asciiTheme="minorEastAsia" w:eastAsiaTheme="minorEastAsia" w:hAnsiTheme="minorEastAsia" w:hint="eastAsia"/>
          <w:b/>
          <w:color w:val="000000" w:themeColor="text1"/>
          <w:szCs w:val="21"/>
        </w:rPr>
        <w:t>基金管理人保证《招募说明书》的内容真实、准确、完整。本《招募说明书》经中国证监会注册，但中国证监会对本基金募集的注册，并不表明其对本基金的价值和收益作出实质性判断或保证，也不表明投资于本基金没有风险。</w:t>
      </w:r>
    </w:p>
    <w:p w:rsidR="00667E65" w:rsidRPr="00634578" w:rsidP="00BB159E">
      <w:pPr>
        <w:snapToGrid w:val="0"/>
        <w:spacing w:line="360" w:lineRule="auto"/>
        <w:ind w:firstLine="420" w:firstLineChars="200"/>
        <w:rPr>
          <w:rFonts w:asciiTheme="minorEastAsia" w:eastAsiaTheme="minorEastAsia" w:hAnsiTheme="minorEastAsia"/>
          <w:b/>
          <w:color w:val="000000" w:themeColor="text1"/>
          <w:szCs w:val="21"/>
        </w:rPr>
      </w:pPr>
      <w:r w:rsidRPr="00634578">
        <w:rPr>
          <w:rFonts w:asciiTheme="minorEastAsia" w:eastAsiaTheme="minorEastAsia" w:hAnsiTheme="minorEastAsia" w:hint="eastAsia"/>
          <w:b/>
          <w:color w:val="000000" w:themeColor="text1"/>
          <w:szCs w:val="21"/>
        </w:rPr>
        <w:t>本基金为货币市场基金，预期风险和预期收益均低于股票型基金、混合型基金及债券型基金，属证券投资基金中的较低风险收益品种。投资者购买本货币市场基金并不等于将资金作为存款存放在银行或存款类金融机构，基金管理人不保证基金一定盈利，也不保证最低收益。投资者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因债券和票据发行主体信用状况恶化而可能产生的到期不能兑付的信用风险，基金管理人在基金管理实施过程中产生的基金管理风险，因发生特定情况收取强制赎回费用的风险，由于投资者连续大量赎回基金份额产生的流动性风险，本基金管理现金头寸时有可能存在现金不足的风险或现金过多而带来的机会成本风险，因影子定价确定的基金资产净值与摊余成本法确定的基金资产净值偏离度达到一定程度而导致暂停申购，或者暂停赎回并终止基金合同的风险</w:t>
      </w:r>
      <w:r w:rsidRPr="00634578" w:rsidR="009C36EB">
        <w:rPr>
          <w:rFonts w:asciiTheme="minorEastAsia" w:eastAsiaTheme="minorEastAsia" w:hAnsiTheme="minorEastAsia" w:hint="eastAsia"/>
          <w:b/>
          <w:color w:val="000000" w:themeColor="text1"/>
          <w:szCs w:val="21"/>
        </w:rPr>
        <w:t>，</w:t>
      </w:r>
      <w:r w:rsidRPr="00634578" w:rsidR="009C36EB">
        <w:rPr>
          <w:rFonts w:asciiTheme="minorEastAsia" w:eastAsiaTheme="minorEastAsia" w:hAnsiTheme="minorEastAsia" w:hint="eastAsia"/>
          <w:b/>
          <w:bCs/>
          <w:color w:val="000000" w:themeColor="text1"/>
        </w:rPr>
        <w:t>本基金法律文件中涉及基金风险特征的表述与销售机构对基金的风险评级可能不一致的风险</w:t>
      </w:r>
      <w:r w:rsidRPr="00634578">
        <w:rPr>
          <w:rFonts w:asciiTheme="minorEastAsia" w:eastAsiaTheme="minorEastAsia" w:hAnsiTheme="minorEastAsia" w:hint="eastAsia"/>
          <w:b/>
          <w:color w:val="000000" w:themeColor="text1"/>
          <w:szCs w:val="21"/>
        </w:rPr>
        <w:t>等等。</w:t>
      </w:r>
    </w:p>
    <w:p w:rsidR="00DB3659" w:rsidRPr="00634578" w:rsidP="00BB159E">
      <w:pPr>
        <w:snapToGrid w:val="0"/>
        <w:spacing w:line="360" w:lineRule="auto"/>
        <w:ind w:firstLine="420" w:firstLineChars="200"/>
        <w:rPr>
          <w:rFonts w:asciiTheme="minorEastAsia" w:eastAsiaTheme="minorEastAsia" w:hAnsiTheme="minorEastAsia"/>
          <w:b/>
          <w:color w:val="000000" w:themeColor="text1"/>
          <w:szCs w:val="21"/>
        </w:rPr>
      </w:pPr>
      <w:r w:rsidRPr="00634578">
        <w:rPr>
          <w:rFonts w:asciiTheme="minorEastAsia" w:eastAsiaTheme="minorEastAsia" w:hAnsiTheme="minorEastAsia" w:hint="eastAsia"/>
          <w:b/>
          <w:color w:val="000000" w:themeColor="text1"/>
          <w:szCs w:val="21"/>
        </w:rPr>
        <w:t>投资人在投资本基金之前，请仔细阅读本基金的《招募说明书》</w:t>
      </w:r>
      <w:r w:rsidRPr="00634578" w:rsidR="009C36EB">
        <w:rPr>
          <w:rFonts w:asciiTheme="minorEastAsia" w:eastAsiaTheme="minorEastAsia" w:hAnsiTheme="minorEastAsia" w:hint="eastAsia"/>
          <w:b/>
          <w:color w:val="000000" w:themeColor="text1"/>
          <w:szCs w:val="21"/>
        </w:rPr>
        <w:t>、</w:t>
      </w:r>
      <w:r w:rsidRPr="00634578">
        <w:rPr>
          <w:rFonts w:asciiTheme="minorEastAsia" w:eastAsiaTheme="minorEastAsia" w:hAnsiTheme="minorEastAsia" w:hint="eastAsia"/>
          <w:b/>
          <w:color w:val="000000" w:themeColor="text1"/>
          <w:szCs w:val="21"/>
        </w:rPr>
        <w:t>《基金合同》</w:t>
      </w:r>
      <w:r w:rsidRPr="00634578" w:rsidR="009C36EB">
        <w:rPr>
          <w:rFonts w:asciiTheme="minorEastAsia" w:eastAsiaTheme="minorEastAsia" w:hAnsiTheme="minorEastAsia" w:hint="eastAsia"/>
          <w:b/>
          <w:color w:val="000000" w:themeColor="text1"/>
        </w:rPr>
        <w:t>和基金产品资料概要等信息披露文件</w:t>
      </w:r>
      <w:r w:rsidRPr="00634578">
        <w:rPr>
          <w:rFonts w:asciiTheme="minorEastAsia" w:eastAsiaTheme="minorEastAsia" w:hAnsiTheme="minorEastAsia" w:hint="eastAsia"/>
          <w:b/>
          <w:color w:val="000000" w:themeColor="text1"/>
          <w:szCs w:val="21"/>
        </w:rPr>
        <w:t>，全面认识本基金的风险收益特征和产品特性，并充分考虑自身的风险承受能力，理性判断市场，谨慎做出投资决策。</w:t>
      </w:r>
    </w:p>
    <w:p w:rsidR="00DB3659" w:rsidRPr="00634578" w:rsidP="00BB159E">
      <w:pPr>
        <w:snapToGrid w:val="0"/>
        <w:spacing w:line="360" w:lineRule="auto"/>
        <w:ind w:firstLine="420" w:firstLineChars="200"/>
        <w:rPr>
          <w:rFonts w:asciiTheme="minorEastAsia" w:eastAsiaTheme="minorEastAsia" w:hAnsiTheme="minorEastAsia"/>
          <w:b/>
          <w:color w:val="000000" w:themeColor="text1"/>
          <w:szCs w:val="21"/>
        </w:rPr>
      </w:pPr>
      <w:r w:rsidRPr="00634578">
        <w:rPr>
          <w:rFonts w:asciiTheme="minorEastAsia" w:eastAsiaTheme="minorEastAsia" w:hAnsiTheme="minorEastAsia" w:hint="eastAsia"/>
          <w:b/>
          <w:color w:val="000000" w:themeColor="text1"/>
          <w:szCs w:val="21"/>
        </w:rPr>
        <w:t>基金不同于银行储蓄，基金投资者有可能获得较高的收益，也有可能损失本金。投资有风险，投资者在进行投资决策前，请仔细阅读本基金的《招募说明书》及《基金合同》。</w:t>
      </w:r>
    </w:p>
    <w:p w:rsidR="00DB3659" w:rsidRPr="00634578" w:rsidP="00BB159E">
      <w:pPr>
        <w:snapToGrid w:val="0"/>
        <w:spacing w:line="360" w:lineRule="auto"/>
        <w:ind w:firstLine="420" w:firstLineChars="200"/>
        <w:rPr>
          <w:rFonts w:asciiTheme="minorEastAsia" w:eastAsiaTheme="minorEastAsia" w:hAnsiTheme="minorEastAsia"/>
          <w:b/>
          <w:color w:val="000000" w:themeColor="text1"/>
          <w:szCs w:val="21"/>
        </w:rPr>
      </w:pPr>
      <w:r w:rsidRPr="00634578">
        <w:rPr>
          <w:rFonts w:asciiTheme="minorEastAsia" w:eastAsiaTheme="minorEastAsia" w:hAnsiTheme="minorEastAsia" w:hint="eastAsia"/>
          <w:b/>
          <w:color w:val="000000" w:themeColor="text1"/>
          <w:szCs w:val="21"/>
        </w:rPr>
        <w:t>基金的过往业绩并不预示其未来表现。基金管理人依照恪尽职守、诚实信用、谨慎勤勉的原则管理和运用基金资产，但不保证基金一定盈利，也不保证最低收益。</w:t>
      </w:r>
    </w:p>
    <w:p w:rsidR="00184068" w:rsidRPr="00634578" w:rsidP="00BB159E">
      <w:pPr>
        <w:snapToGrid w:val="0"/>
        <w:spacing w:line="360" w:lineRule="auto"/>
        <w:ind w:firstLine="420" w:firstLineChars="200"/>
        <w:rPr>
          <w:rFonts w:asciiTheme="minorEastAsia" w:eastAsiaTheme="minorEastAsia" w:hAnsiTheme="minorEastAsia"/>
          <w:b/>
          <w:color w:val="000000" w:themeColor="text1"/>
          <w:szCs w:val="21"/>
        </w:rPr>
      </w:pPr>
      <w:r w:rsidRPr="00634578">
        <w:rPr>
          <w:rFonts w:asciiTheme="minorEastAsia" w:eastAsiaTheme="minorEastAsia" w:hAnsiTheme="minorEastAsia"/>
          <w:b/>
          <w:color w:val="000000" w:themeColor="text1"/>
        </w:rPr>
        <w:t>本基金本次更新招募说明书对基金</w:t>
      </w:r>
      <w:r w:rsidRPr="00634578">
        <w:rPr>
          <w:rFonts w:asciiTheme="minorEastAsia" w:eastAsiaTheme="minorEastAsia" w:hAnsiTheme="minorEastAsia" w:hint="eastAsia"/>
          <w:b/>
          <w:color w:val="000000" w:themeColor="text1"/>
        </w:rPr>
        <w:t>费率</w:t>
      </w:r>
      <w:r w:rsidRPr="00634578">
        <w:rPr>
          <w:rFonts w:asciiTheme="minorEastAsia" w:eastAsiaTheme="minorEastAsia" w:hAnsiTheme="minorEastAsia"/>
          <w:b/>
          <w:color w:val="000000" w:themeColor="text1"/>
        </w:rPr>
        <w:t>及基金管理人章节相关信息进行更新，相关信息更新截止日为2021年12月31日。</w:t>
      </w:r>
      <w:r w:rsidRPr="00634578" w:rsidR="00064F67">
        <w:rPr>
          <w:rFonts w:asciiTheme="minorEastAsia" w:eastAsiaTheme="minorEastAsia" w:hAnsiTheme="minorEastAsia"/>
          <w:b/>
          <w:color w:val="000000" w:themeColor="text1"/>
        </w:rPr>
        <w:t>本基金基金经理更新截止日为2021年10月20日。</w:t>
      </w:r>
      <w:r w:rsidRPr="00634578" w:rsidR="00345D3A">
        <w:rPr>
          <w:rFonts w:asciiTheme="minorEastAsia" w:eastAsiaTheme="minorEastAsia" w:hAnsiTheme="minorEastAsia"/>
          <w:b/>
          <w:color w:val="000000" w:themeColor="text1"/>
        </w:rPr>
        <w:t>本基金有关财务数据截止日为2021年3月31日，净值表现截止日为2020年12月31日</w:t>
      </w:r>
      <w:r w:rsidRPr="00634578" w:rsidR="00064F67">
        <w:rPr>
          <w:rFonts w:asciiTheme="minorEastAsia" w:eastAsiaTheme="minorEastAsia" w:hAnsiTheme="minorEastAsia"/>
          <w:b/>
          <w:color w:val="000000" w:themeColor="text1"/>
        </w:rPr>
        <w:t>。</w:t>
      </w:r>
      <w:r w:rsidRPr="00634578" w:rsidR="00345D3A">
        <w:rPr>
          <w:rFonts w:asciiTheme="minorEastAsia" w:eastAsiaTheme="minorEastAsia" w:hAnsiTheme="minorEastAsia"/>
          <w:b/>
          <w:color w:val="000000" w:themeColor="text1"/>
        </w:rPr>
        <w:t>除非另有说明，本招募说明书其他所载内容截止日为2021年5月16日。（本报告中财务数</w:t>
      </w:r>
      <w:r w:rsidRPr="00634578" w:rsidR="00345D3A">
        <w:rPr>
          <w:rFonts w:asciiTheme="minorEastAsia" w:eastAsiaTheme="minorEastAsia" w:hAnsiTheme="minorEastAsia"/>
          <w:b/>
          <w:color w:val="000000" w:themeColor="text1"/>
        </w:rPr>
        <w:t>据未经审计）</w:t>
      </w:r>
    </w:p>
    <w:p w:rsidR="00184068" w:rsidRPr="00634578" w:rsidP="00DF6958">
      <w:pPr>
        <w:adjustRightInd w:val="0"/>
        <w:snapToGrid w:val="0"/>
        <w:spacing w:line="360" w:lineRule="auto"/>
        <w:rPr>
          <w:rFonts w:asciiTheme="minorEastAsia" w:eastAsiaTheme="minorEastAsia" w:hAnsiTheme="minorEastAsia"/>
          <w:b/>
          <w:color w:val="000000" w:themeColor="text1"/>
          <w:szCs w:val="21"/>
        </w:rPr>
        <w:sectPr>
          <w:footerReference w:type="default" r:id="rId11"/>
          <w:pgSz w:w="11906" w:h="16838"/>
          <w:pgMar w:top="1701" w:right="1814" w:bottom="1701" w:left="1814" w:header="1134" w:footer="1247" w:gutter="0"/>
          <w:pgNumType w:start="1"/>
          <w:cols w:space="720"/>
          <w:docGrid w:type="lines" w:linePitch="305"/>
        </w:sectPr>
      </w:pPr>
    </w:p>
    <w:p w:rsidR="00DB3659" w:rsidRPr="00634578" w:rsidP="00BB159E">
      <w:pPr>
        <w:adjustRightInd w:val="0"/>
        <w:snapToGrid w:val="0"/>
        <w:spacing w:line="360" w:lineRule="auto"/>
        <w:jc w:val="center"/>
        <w:rPr>
          <w:rFonts w:asciiTheme="minorEastAsia" w:eastAsiaTheme="minorEastAsia" w:hAnsiTheme="minorEastAsia"/>
          <w:color w:val="000000" w:themeColor="text1"/>
          <w:sz w:val="30"/>
        </w:rPr>
      </w:pPr>
      <w:r w:rsidRPr="00634578">
        <w:rPr>
          <w:rFonts w:asciiTheme="minorEastAsia" w:eastAsiaTheme="minorEastAsia" w:hAnsiTheme="minorEastAsia" w:hint="eastAsia"/>
          <w:color w:val="000000" w:themeColor="text1"/>
          <w:sz w:val="30"/>
        </w:rPr>
        <w:t>目录</w:t>
      </w:r>
    </w:p>
    <w:p w:rsidR="00713EF1">
      <w:pPr>
        <w:pStyle w:val="TOC1"/>
        <w:rPr>
          <w:rFonts w:asciiTheme="minorHAnsi" w:eastAsiaTheme="minorEastAsia" w:hAnsiTheme="minorHAnsi" w:cstheme="minorBidi"/>
          <w:caps w:val="0"/>
          <w:color w:val="auto"/>
          <w:sz w:val="21"/>
          <w:szCs w:val="22"/>
        </w:rPr>
      </w:pPr>
      <w:r w:rsidRPr="00634578">
        <w:rPr>
          <w:rFonts w:asciiTheme="minorEastAsia" w:eastAsiaTheme="minorEastAsia" w:hAnsiTheme="minorEastAsia"/>
          <w:b/>
          <w:color w:val="000000" w:themeColor="text1"/>
        </w:rPr>
        <w:fldChar w:fldCharType="begin"/>
      </w:r>
      <w:r w:rsidRPr="00634578" w:rsidR="00DB3659">
        <w:rPr>
          <w:rFonts w:asciiTheme="minorEastAsia" w:eastAsiaTheme="minorEastAsia" w:hAnsiTheme="minorEastAsia"/>
          <w:b/>
          <w:color w:val="000000" w:themeColor="text1"/>
        </w:rPr>
        <w:instrText xml:space="preserve"> TOC \o "1-3" \h \z \u </w:instrText>
      </w:r>
      <w:r w:rsidRPr="00634578">
        <w:rPr>
          <w:rFonts w:asciiTheme="minorEastAsia" w:eastAsiaTheme="minorEastAsia" w:hAnsiTheme="minorEastAsia"/>
          <w:b/>
          <w:color w:val="000000" w:themeColor="text1"/>
        </w:rPr>
        <w:fldChar w:fldCharType="separate"/>
      </w:r>
      <w:hyperlink w:anchor="_Toc91772033" w:history="1">
        <w:r w:rsidRPr="00EE6866">
          <w:rPr>
            <w:rStyle w:val="Hyperlink"/>
            <w:rFonts w:asciiTheme="minorEastAsia" w:hAnsiTheme="minorEastAsia" w:hint="eastAsia"/>
          </w:rPr>
          <w:t>一、绪言</w:t>
        </w:r>
        <w:r>
          <w:rPr>
            <w:webHidden/>
          </w:rPr>
          <w:tab/>
        </w:r>
        <w:r>
          <w:rPr>
            <w:webHidden/>
          </w:rPr>
          <w:fldChar w:fldCharType="begin"/>
        </w:r>
        <w:r>
          <w:rPr>
            <w:webHidden/>
          </w:rPr>
          <w:instrText xml:space="preserve"> PAGEREF _Toc91772033 \h </w:instrText>
        </w:r>
        <w:r>
          <w:rPr>
            <w:webHidden/>
          </w:rPr>
          <w:fldChar w:fldCharType="separate"/>
        </w:r>
        <w:r>
          <w:rPr>
            <w:webHidden/>
          </w:rPr>
          <w:t>1</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34" w:history="1">
        <w:r w:rsidRPr="00EE6866">
          <w:rPr>
            <w:rStyle w:val="Hyperlink"/>
            <w:rFonts w:asciiTheme="minorEastAsia" w:hAnsiTheme="minorEastAsia" w:hint="eastAsia"/>
          </w:rPr>
          <w:t>二、释义</w:t>
        </w:r>
        <w:r>
          <w:rPr>
            <w:webHidden/>
          </w:rPr>
          <w:tab/>
        </w:r>
        <w:r>
          <w:rPr>
            <w:webHidden/>
          </w:rPr>
          <w:fldChar w:fldCharType="begin"/>
        </w:r>
        <w:r>
          <w:rPr>
            <w:webHidden/>
          </w:rPr>
          <w:instrText xml:space="preserve"> PAGEREF _Toc91772034 \h </w:instrText>
        </w:r>
        <w:r>
          <w:rPr>
            <w:webHidden/>
          </w:rPr>
          <w:fldChar w:fldCharType="separate"/>
        </w:r>
        <w:r>
          <w:rPr>
            <w:webHidden/>
          </w:rPr>
          <w:t>2</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35" w:history="1">
        <w:r w:rsidRPr="00EE6866">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_Toc91772035 \h </w:instrText>
        </w:r>
        <w:r>
          <w:rPr>
            <w:webHidden/>
          </w:rPr>
          <w:fldChar w:fldCharType="separate"/>
        </w:r>
        <w:r>
          <w:rPr>
            <w:webHidden/>
          </w:rPr>
          <w:t>6</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36" w:history="1">
        <w:r w:rsidRPr="00EE6866">
          <w:rPr>
            <w:rStyle w:val="Hyperlink"/>
            <w:rFonts w:asciiTheme="minorEastAsia" w:hAnsiTheme="minorEastAsia" w:hint="eastAsia"/>
          </w:rPr>
          <w:t>四、基金托管人</w:t>
        </w:r>
        <w:r>
          <w:rPr>
            <w:webHidden/>
          </w:rPr>
          <w:tab/>
        </w:r>
        <w:r>
          <w:rPr>
            <w:webHidden/>
          </w:rPr>
          <w:fldChar w:fldCharType="begin"/>
        </w:r>
        <w:r>
          <w:rPr>
            <w:webHidden/>
          </w:rPr>
          <w:instrText xml:space="preserve"> PAGEREF _Toc91772036 \h </w:instrText>
        </w:r>
        <w:r>
          <w:rPr>
            <w:webHidden/>
          </w:rPr>
          <w:fldChar w:fldCharType="separate"/>
        </w:r>
        <w:r>
          <w:rPr>
            <w:webHidden/>
          </w:rPr>
          <w:t>17</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37" w:history="1">
        <w:r w:rsidRPr="00EE6866">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_Toc91772037 \h </w:instrText>
        </w:r>
        <w:r>
          <w:rPr>
            <w:webHidden/>
          </w:rPr>
          <w:fldChar w:fldCharType="separate"/>
        </w:r>
        <w:r>
          <w:rPr>
            <w:webHidden/>
          </w:rPr>
          <w:t>20</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38" w:history="1">
        <w:r w:rsidRPr="00EE6866">
          <w:rPr>
            <w:rStyle w:val="Hyperlink"/>
            <w:rFonts w:asciiTheme="minorEastAsia" w:hAnsiTheme="minorEastAsia" w:hint="eastAsia"/>
            <w:bCs/>
          </w:rPr>
          <w:t>六、基金份额的分类</w:t>
        </w:r>
        <w:r>
          <w:rPr>
            <w:webHidden/>
          </w:rPr>
          <w:tab/>
        </w:r>
        <w:r>
          <w:rPr>
            <w:webHidden/>
          </w:rPr>
          <w:fldChar w:fldCharType="begin"/>
        </w:r>
        <w:r>
          <w:rPr>
            <w:webHidden/>
          </w:rPr>
          <w:instrText xml:space="preserve"> PAGEREF _Toc91772038 \h </w:instrText>
        </w:r>
        <w:r>
          <w:rPr>
            <w:webHidden/>
          </w:rPr>
          <w:fldChar w:fldCharType="separate"/>
        </w:r>
        <w:r>
          <w:rPr>
            <w:webHidden/>
          </w:rPr>
          <w:t>73</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39" w:history="1">
        <w:r w:rsidRPr="00EE6866">
          <w:rPr>
            <w:rStyle w:val="Hyperlink"/>
            <w:rFonts w:asciiTheme="minorEastAsia" w:hAnsiTheme="minorEastAsia" w:hint="eastAsia"/>
            <w:bCs/>
          </w:rPr>
          <w:t>七、基金的募集</w:t>
        </w:r>
        <w:r>
          <w:rPr>
            <w:webHidden/>
          </w:rPr>
          <w:tab/>
        </w:r>
        <w:r>
          <w:rPr>
            <w:webHidden/>
          </w:rPr>
          <w:fldChar w:fldCharType="begin"/>
        </w:r>
        <w:r>
          <w:rPr>
            <w:webHidden/>
          </w:rPr>
          <w:instrText xml:space="preserve"> PAGEREF _Toc91772039 \h </w:instrText>
        </w:r>
        <w:r>
          <w:rPr>
            <w:webHidden/>
          </w:rPr>
          <w:fldChar w:fldCharType="separate"/>
        </w:r>
        <w:r>
          <w:rPr>
            <w:webHidden/>
          </w:rPr>
          <w:t>74</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40" w:history="1">
        <w:r w:rsidRPr="00EE6866">
          <w:rPr>
            <w:rStyle w:val="Hyperlink"/>
            <w:rFonts w:asciiTheme="minorEastAsia" w:hAnsiTheme="minorEastAsia" w:hint="eastAsia"/>
          </w:rPr>
          <w:t>八、基金合同的生效</w:t>
        </w:r>
        <w:r>
          <w:rPr>
            <w:webHidden/>
          </w:rPr>
          <w:tab/>
        </w:r>
        <w:r>
          <w:rPr>
            <w:webHidden/>
          </w:rPr>
          <w:fldChar w:fldCharType="begin"/>
        </w:r>
        <w:r>
          <w:rPr>
            <w:webHidden/>
          </w:rPr>
          <w:instrText xml:space="preserve"> PAGEREF _Toc91772040 \h </w:instrText>
        </w:r>
        <w:r>
          <w:rPr>
            <w:webHidden/>
          </w:rPr>
          <w:fldChar w:fldCharType="separate"/>
        </w:r>
        <w:r>
          <w:rPr>
            <w:webHidden/>
          </w:rPr>
          <w:t>75</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41" w:history="1">
        <w:r w:rsidRPr="00EE6866">
          <w:rPr>
            <w:rStyle w:val="Hyperlink"/>
            <w:rFonts w:asciiTheme="minorEastAsia" w:hAnsiTheme="minorEastAsia" w:hint="eastAsia"/>
          </w:rPr>
          <w:t>九、基金份额的申购、赎回</w:t>
        </w:r>
        <w:r>
          <w:rPr>
            <w:webHidden/>
          </w:rPr>
          <w:tab/>
        </w:r>
        <w:r>
          <w:rPr>
            <w:webHidden/>
          </w:rPr>
          <w:fldChar w:fldCharType="begin"/>
        </w:r>
        <w:r>
          <w:rPr>
            <w:webHidden/>
          </w:rPr>
          <w:instrText xml:space="preserve"> PAGEREF _Toc91772041 \h </w:instrText>
        </w:r>
        <w:r>
          <w:rPr>
            <w:webHidden/>
          </w:rPr>
          <w:fldChar w:fldCharType="separate"/>
        </w:r>
        <w:r>
          <w:rPr>
            <w:webHidden/>
          </w:rPr>
          <w:t>76</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42" w:history="1">
        <w:r w:rsidRPr="00EE6866">
          <w:rPr>
            <w:rStyle w:val="Hyperlink"/>
            <w:rFonts w:asciiTheme="minorEastAsia" w:hAnsiTheme="minorEastAsia" w:hint="eastAsia"/>
          </w:rPr>
          <w:t>十、基金的转换</w:t>
        </w:r>
        <w:r>
          <w:rPr>
            <w:webHidden/>
          </w:rPr>
          <w:tab/>
        </w:r>
        <w:r>
          <w:rPr>
            <w:webHidden/>
          </w:rPr>
          <w:fldChar w:fldCharType="begin"/>
        </w:r>
        <w:r>
          <w:rPr>
            <w:webHidden/>
          </w:rPr>
          <w:instrText xml:space="preserve"> PAGEREF _Toc91772042 \h </w:instrText>
        </w:r>
        <w:r>
          <w:rPr>
            <w:webHidden/>
          </w:rPr>
          <w:fldChar w:fldCharType="separate"/>
        </w:r>
        <w:r>
          <w:rPr>
            <w:webHidden/>
          </w:rPr>
          <w:t>84</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43" w:history="1">
        <w:r w:rsidRPr="00EE6866">
          <w:rPr>
            <w:rStyle w:val="Hyperlink"/>
            <w:rFonts w:asciiTheme="minorEastAsia" w:hAnsiTheme="minorEastAsia" w:hint="eastAsia"/>
          </w:rPr>
          <w:t>十一、基金的转托管、非交易过户、冻结与解冻</w:t>
        </w:r>
        <w:r>
          <w:rPr>
            <w:webHidden/>
          </w:rPr>
          <w:tab/>
        </w:r>
        <w:r>
          <w:rPr>
            <w:webHidden/>
          </w:rPr>
          <w:fldChar w:fldCharType="begin"/>
        </w:r>
        <w:r>
          <w:rPr>
            <w:webHidden/>
          </w:rPr>
          <w:instrText xml:space="preserve"> PAGEREF _Toc91772043 \h </w:instrText>
        </w:r>
        <w:r>
          <w:rPr>
            <w:webHidden/>
          </w:rPr>
          <w:fldChar w:fldCharType="separate"/>
        </w:r>
        <w:r>
          <w:rPr>
            <w:webHidden/>
          </w:rPr>
          <w:t>89</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44" w:history="1">
        <w:r w:rsidRPr="00EE6866">
          <w:rPr>
            <w:rStyle w:val="Hyperlink"/>
            <w:rFonts w:asciiTheme="minorEastAsia" w:hAnsiTheme="minorEastAsia" w:hint="eastAsia"/>
          </w:rPr>
          <w:t>十二、基金的投资</w:t>
        </w:r>
        <w:r>
          <w:rPr>
            <w:webHidden/>
          </w:rPr>
          <w:tab/>
        </w:r>
        <w:r>
          <w:rPr>
            <w:webHidden/>
          </w:rPr>
          <w:fldChar w:fldCharType="begin"/>
        </w:r>
        <w:r>
          <w:rPr>
            <w:webHidden/>
          </w:rPr>
          <w:instrText xml:space="preserve"> PAGEREF _Toc91772044 \h </w:instrText>
        </w:r>
        <w:r>
          <w:rPr>
            <w:webHidden/>
          </w:rPr>
          <w:fldChar w:fldCharType="separate"/>
        </w:r>
        <w:r>
          <w:rPr>
            <w:webHidden/>
          </w:rPr>
          <w:t>90</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45" w:history="1">
        <w:r w:rsidRPr="00EE6866">
          <w:rPr>
            <w:rStyle w:val="Hyperlink"/>
            <w:rFonts w:asciiTheme="minorEastAsia" w:hAnsiTheme="minorEastAsia" w:hint="eastAsia"/>
          </w:rPr>
          <w:t>十三、基金的业绩</w:t>
        </w:r>
        <w:r>
          <w:rPr>
            <w:webHidden/>
          </w:rPr>
          <w:tab/>
        </w:r>
        <w:r>
          <w:rPr>
            <w:webHidden/>
          </w:rPr>
          <w:fldChar w:fldCharType="begin"/>
        </w:r>
        <w:r>
          <w:rPr>
            <w:webHidden/>
          </w:rPr>
          <w:instrText xml:space="preserve"> PAGEREF _Toc91772045 \h </w:instrText>
        </w:r>
        <w:r>
          <w:rPr>
            <w:webHidden/>
          </w:rPr>
          <w:fldChar w:fldCharType="separate"/>
        </w:r>
        <w:r>
          <w:rPr>
            <w:webHidden/>
          </w:rPr>
          <w:t>102</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46" w:history="1">
        <w:r w:rsidRPr="00EE6866">
          <w:rPr>
            <w:rStyle w:val="Hyperlink"/>
            <w:rFonts w:asciiTheme="minorEastAsia" w:hAnsiTheme="minorEastAsia" w:hint="eastAsia"/>
          </w:rPr>
          <w:t>十四、基金的财产</w:t>
        </w:r>
        <w:r>
          <w:rPr>
            <w:webHidden/>
          </w:rPr>
          <w:tab/>
        </w:r>
        <w:r>
          <w:rPr>
            <w:webHidden/>
          </w:rPr>
          <w:fldChar w:fldCharType="begin"/>
        </w:r>
        <w:r>
          <w:rPr>
            <w:webHidden/>
          </w:rPr>
          <w:instrText xml:space="preserve"> PAGEREF _Toc91772046 \h </w:instrText>
        </w:r>
        <w:r>
          <w:rPr>
            <w:webHidden/>
          </w:rPr>
          <w:fldChar w:fldCharType="separate"/>
        </w:r>
        <w:r>
          <w:rPr>
            <w:webHidden/>
          </w:rPr>
          <w:t>105</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47" w:history="1">
        <w:r w:rsidRPr="00EE6866">
          <w:rPr>
            <w:rStyle w:val="Hyperlink"/>
            <w:rFonts w:asciiTheme="minorEastAsia" w:hAnsiTheme="minorEastAsia" w:hint="eastAsia"/>
          </w:rPr>
          <w:t>十五、基金资产的估值</w:t>
        </w:r>
        <w:r>
          <w:rPr>
            <w:webHidden/>
          </w:rPr>
          <w:tab/>
        </w:r>
        <w:r>
          <w:rPr>
            <w:webHidden/>
          </w:rPr>
          <w:fldChar w:fldCharType="begin"/>
        </w:r>
        <w:r>
          <w:rPr>
            <w:webHidden/>
          </w:rPr>
          <w:instrText xml:space="preserve"> PAGEREF _Toc91772047 \h </w:instrText>
        </w:r>
        <w:r>
          <w:rPr>
            <w:webHidden/>
          </w:rPr>
          <w:fldChar w:fldCharType="separate"/>
        </w:r>
        <w:r>
          <w:rPr>
            <w:webHidden/>
          </w:rPr>
          <w:t>106</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48" w:history="1">
        <w:r w:rsidRPr="00EE6866">
          <w:rPr>
            <w:rStyle w:val="Hyperlink"/>
            <w:rFonts w:asciiTheme="minorEastAsia" w:hAnsiTheme="minorEastAsia" w:hint="eastAsia"/>
          </w:rPr>
          <w:t>十六、基金的收益分配</w:t>
        </w:r>
        <w:r>
          <w:rPr>
            <w:webHidden/>
          </w:rPr>
          <w:tab/>
        </w:r>
        <w:r>
          <w:rPr>
            <w:webHidden/>
          </w:rPr>
          <w:fldChar w:fldCharType="begin"/>
        </w:r>
        <w:r>
          <w:rPr>
            <w:webHidden/>
          </w:rPr>
          <w:instrText xml:space="preserve"> PAGEREF _Toc91772048 \h </w:instrText>
        </w:r>
        <w:r>
          <w:rPr>
            <w:webHidden/>
          </w:rPr>
          <w:fldChar w:fldCharType="separate"/>
        </w:r>
        <w:r>
          <w:rPr>
            <w:webHidden/>
          </w:rPr>
          <w:t>110</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49" w:history="1">
        <w:r w:rsidRPr="00EE6866">
          <w:rPr>
            <w:rStyle w:val="Hyperlink"/>
            <w:rFonts w:asciiTheme="minorEastAsia" w:hAnsiTheme="minorEastAsia" w:hint="eastAsia"/>
          </w:rPr>
          <w:t>十七、基金的费用与税收</w:t>
        </w:r>
        <w:r>
          <w:rPr>
            <w:webHidden/>
          </w:rPr>
          <w:tab/>
        </w:r>
        <w:r>
          <w:rPr>
            <w:webHidden/>
          </w:rPr>
          <w:fldChar w:fldCharType="begin"/>
        </w:r>
        <w:r>
          <w:rPr>
            <w:webHidden/>
          </w:rPr>
          <w:instrText xml:space="preserve"> PAGEREF _Toc91772049 \h </w:instrText>
        </w:r>
        <w:r>
          <w:rPr>
            <w:webHidden/>
          </w:rPr>
          <w:fldChar w:fldCharType="separate"/>
        </w:r>
        <w:r>
          <w:rPr>
            <w:webHidden/>
          </w:rPr>
          <w:t>111</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50" w:history="1">
        <w:r w:rsidRPr="00EE6866">
          <w:rPr>
            <w:rStyle w:val="Hyperlink"/>
            <w:rFonts w:asciiTheme="minorEastAsia" w:hAnsiTheme="minorEastAsia" w:hint="eastAsia"/>
          </w:rPr>
          <w:t>十八、基金的会计与审计</w:t>
        </w:r>
        <w:r>
          <w:rPr>
            <w:webHidden/>
          </w:rPr>
          <w:tab/>
        </w:r>
        <w:r>
          <w:rPr>
            <w:webHidden/>
          </w:rPr>
          <w:fldChar w:fldCharType="begin"/>
        </w:r>
        <w:r>
          <w:rPr>
            <w:webHidden/>
          </w:rPr>
          <w:instrText xml:space="preserve"> PAGEREF _Toc91772050 \h </w:instrText>
        </w:r>
        <w:r>
          <w:rPr>
            <w:webHidden/>
          </w:rPr>
          <w:fldChar w:fldCharType="separate"/>
        </w:r>
        <w:r>
          <w:rPr>
            <w:webHidden/>
          </w:rPr>
          <w:t>114</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51" w:history="1">
        <w:r w:rsidRPr="00EE6866">
          <w:rPr>
            <w:rStyle w:val="Hyperlink"/>
            <w:rFonts w:asciiTheme="minorEastAsia" w:hAnsiTheme="minorEastAsia" w:hint="eastAsia"/>
          </w:rPr>
          <w:t>十九、基金的信息披露</w:t>
        </w:r>
        <w:r>
          <w:rPr>
            <w:webHidden/>
          </w:rPr>
          <w:tab/>
        </w:r>
        <w:r>
          <w:rPr>
            <w:webHidden/>
          </w:rPr>
          <w:fldChar w:fldCharType="begin"/>
        </w:r>
        <w:r>
          <w:rPr>
            <w:webHidden/>
          </w:rPr>
          <w:instrText xml:space="preserve"> PAGEREF _Toc91772051 \h </w:instrText>
        </w:r>
        <w:r>
          <w:rPr>
            <w:webHidden/>
          </w:rPr>
          <w:fldChar w:fldCharType="separate"/>
        </w:r>
        <w:r>
          <w:rPr>
            <w:webHidden/>
          </w:rPr>
          <w:t>115</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52" w:history="1">
        <w:r w:rsidRPr="00EE6866">
          <w:rPr>
            <w:rStyle w:val="Hyperlink"/>
            <w:rFonts w:asciiTheme="minorEastAsia" w:hAnsiTheme="minorEastAsia" w:hint="eastAsia"/>
          </w:rPr>
          <w:t>二十、风险揭示</w:t>
        </w:r>
        <w:r>
          <w:rPr>
            <w:webHidden/>
          </w:rPr>
          <w:tab/>
        </w:r>
        <w:r>
          <w:rPr>
            <w:webHidden/>
          </w:rPr>
          <w:fldChar w:fldCharType="begin"/>
        </w:r>
        <w:r>
          <w:rPr>
            <w:webHidden/>
          </w:rPr>
          <w:instrText xml:space="preserve"> PAGEREF _Toc91772052 \h </w:instrText>
        </w:r>
        <w:r>
          <w:rPr>
            <w:webHidden/>
          </w:rPr>
          <w:fldChar w:fldCharType="separate"/>
        </w:r>
        <w:r>
          <w:rPr>
            <w:webHidden/>
          </w:rPr>
          <w:t>120</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53" w:history="1">
        <w:r w:rsidRPr="00EE6866">
          <w:rPr>
            <w:rStyle w:val="Hyperlink"/>
            <w:rFonts w:asciiTheme="minorEastAsia" w:hAnsiTheme="minorEastAsia" w:hint="eastAsia"/>
          </w:rPr>
          <w:t>二十一、基金合同的变更、终止与基金财产的清算</w:t>
        </w:r>
        <w:r>
          <w:rPr>
            <w:webHidden/>
          </w:rPr>
          <w:tab/>
        </w:r>
        <w:r>
          <w:rPr>
            <w:webHidden/>
          </w:rPr>
          <w:fldChar w:fldCharType="begin"/>
        </w:r>
        <w:r>
          <w:rPr>
            <w:webHidden/>
          </w:rPr>
          <w:instrText xml:space="preserve"> PAGEREF _Toc91772053 \h </w:instrText>
        </w:r>
        <w:r>
          <w:rPr>
            <w:webHidden/>
          </w:rPr>
          <w:fldChar w:fldCharType="separate"/>
        </w:r>
        <w:r>
          <w:rPr>
            <w:webHidden/>
          </w:rPr>
          <w:t>123</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54" w:history="1">
        <w:r w:rsidRPr="00EE6866">
          <w:rPr>
            <w:rStyle w:val="Hyperlink"/>
            <w:rFonts w:asciiTheme="minorEastAsia" w:hAnsiTheme="minorEastAsia" w:hint="eastAsia"/>
          </w:rPr>
          <w:t>二十二、基金合同的内容摘要</w:t>
        </w:r>
        <w:r>
          <w:rPr>
            <w:webHidden/>
          </w:rPr>
          <w:tab/>
        </w:r>
        <w:r>
          <w:rPr>
            <w:webHidden/>
          </w:rPr>
          <w:fldChar w:fldCharType="begin"/>
        </w:r>
        <w:r>
          <w:rPr>
            <w:webHidden/>
          </w:rPr>
          <w:instrText xml:space="preserve"> PAGEREF _Toc91772054 \h </w:instrText>
        </w:r>
        <w:r>
          <w:rPr>
            <w:webHidden/>
          </w:rPr>
          <w:fldChar w:fldCharType="separate"/>
        </w:r>
        <w:r>
          <w:rPr>
            <w:webHidden/>
          </w:rPr>
          <w:t>125</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55" w:history="1">
        <w:r w:rsidRPr="00EE6866">
          <w:rPr>
            <w:rStyle w:val="Hyperlink"/>
            <w:rFonts w:asciiTheme="minorEastAsia" w:hAnsiTheme="minorEastAsia" w:hint="eastAsia"/>
          </w:rPr>
          <w:t>二十三、基金托管协议的内容摘要</w:t>
        </w:r>
        <w:r>
          <w:rPr>
            <w:webHidden/>
          </w:rPr>
          <w:tab/>
        </w:r>
        <w:r>
          <w:rPr>
            <w:webHidden/>
          </w:rPr>
          <w:fldChar w:fldCharType="begin"/>
        </w:r>
        <w:r>
          <w:rPr>
            <w:webHidden/>
          </w:rPr>
          <w:instrText xml:space="preserve"> PAGEREF _Toc91772055 \h </w:instrText>
        </w:r>
        <w:r>
          <w:rPr>
            <w:webHidden/>
          </w:rPr>
          <w:fldChar w:fldCharType="separate"/>
        </w:r>
        <w:r>
          <w:rPr>
            <w:webHidden/>
          </w:rPr>
          <w:t>144</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56" w:history="1">
        <w:r w:rsidRPr="00EE6866">
          <w:rPr>
            <w:rStyle w:val="Hyperlink"/>
            <w:rFonts w:asciiTheme="minorEastAsia" w:hAnsiTheme="minorEastAsia" w:hint="eastAsia"/>
          </w:rPr>
          <w:t>二十四、对基金份额持有人的服务</w:t>
        </w:r>
        <w:r>
          <w:rPr>
            <w:webHidden/>
          </w:rPr>
          <w:tab/>
        </w:r>
        <w:r>
          <w:rPr>
            <w:webHidden/>
          </w:rPr>
          <w:fldChar w:fldCharType="begin"/>
        </w:r>
        <w:r>
          <w:rPr>
            <w:webHidden/>
          </w:rPr>
          <w:instrText xml:space="preserve"> PAGEREF _Toc91772056 \h </w:instrText>
        </w:r>
        <w:r>
          <w:rPr>
            <w:webHidden/>
          </w:rPr>
          <w:fldChar w:fldCharType="separate"/>
        </w:r>
        <w:r>
          <w:rPr>
            <w:webHidden/>
          </w:rPr>
          <w:t>158</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57" w:history="1">
        <w:r w:rsidRPr="00EE6866">
          <w:rPr>
            <w:rStyle w:val="Hyperlink"/>
            <w:rFonts w:asciiTheme="minorEastAsia" w:hAnsiTheme="minorEastAsia" w:hint="eastAsia"/>
          </w:rPr>
          <w:t>二十五、其他应披露事项</w:t>
        </w:r>
        <w:r>
          <w:rPr>
            <w:webHidden/>
          </w:rPr>
          <w:tab/>
        </w:r>
        <w:r>
          <w:rPr>
            <w:webHidden/>
          </w:rPr>
          <w:fldChar w:fldCharType="begin"/>
        </w:r>
        <w:r>
          <w:rPr>
            <w:webHidden/>
          </w:rPr>
          <w:instrText xml:space="preserve"> PAGEREF _Toc91772057 \h </w:instrText>
        </w:r>
        <w:r>
          <w:rPr>
            <w:webHidden/>
          </w:rPr>
          <w:fldChar w:fldCharType="separate"/>
        </w:r>
        <w:r>
          <w:rPr>
            <w:webHidden/>
          </w:rPr>
          <w:t>159</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58" w:history="1">
        <w:r w:rsidRPr="00EE6866">
          <w:rPr>
            <w:rStyle w:val="Hyperlink"/>
            <w:rFonts w:asciiTheme="minorEastAsia" w:hAnsiTheme="minorEastAsia" w:hint="eastAsia"/>
          </w:rPr>
          <w:t>二十六、招募说明书的存放及查阅方式</w:t>
        </w:r>
        <w:r>
          <w:rPr>
            <w:webHidden/>
          </w:rPr>
          <w:tab/>
        </w:r>
        <w:r>
          <w:rPr>
            <w:webHidden/>
          </w:rPr>
          <w:fldChar w:fldCharType="begin"/>
        </w:r>
        <w:r>
          <w:rPr>
            <w:webHidden/>
          </w:rPr>
          <w:instrText xml:space="preserve"> PAGEREF _Toc91772058 \h </w:instrText>
        </w:r>
        <w:r>
          <w:rPr>
            <w:webHidden/>
          </w:rPr>
          <w:fldChar w:fldCharType="separate"/>
        </w:r>
        <w:r>
          <w:rPr>
            <w:webHidden/>
          </w:rPr>
          <w:t>160</w:t>
        </w:r>
        <w:r>
          <w:rPr>
            <w:webHidden/>
          </w:rPr>
          <w:fldChar w:fldCharType="end"/>
        </w:r>
      </w:hyperlink>
    </w:p>
    <w:p w:rsidR="00713EF1">
      <w:pPr>
        <w:pStyle w:val="TOC1"/>
        <w:rPr>
          <w:rFonts w:asciiTheme="minorHAnsi" w:eastAsiaTheme="minorEastAsia" w:hAnsiTheme="minorHAnsi" w:cstheme="minorBidi"/>
          <w:caps w:val="0"/>
          <w:color w:val="auto"/>
          <w:sz w:val="21"/>
          <w:szCs w:val="22"/>
        </w:rPr>
      </w:pPr>
      <w:hyperlink w:anchor="_Toc91772059" w:history="1">
        <w:r w:rsidRPr="00EE6866">
          <w:rPr>
            <w:rStyle w:val="Hyperlink"/>
            <w:rFonts w:asciiTheme="minorEastAsia" w:hAnsiTheme="minorEastAsia" w:hint="eastAsia"/>
          </w:rPr>
          <w:t>二十七、备查文件</w:t>
        </w:r>
        <w:r>
          <w:rPr>
            <w:webHidden/>
          </w:rPr>
          <w:tab/>
        </w:r>
        <w:r>
          <w:rPr>
            <w:webHidden/>
          </w:rPr>
          <w:fldChar w:fldCharType="begin"/>
        </w:r>
        <w:r>
          <w:rPr>
            <w:webHidden/>
          </w:rPr>
          <w:instrText xml:space="preserve"> PAGEREF _Toc91772059 \h </w:instrText>
        </w:r>
        <w:r>
          <w:rPr>
            <w:webHidden/>
          </w:rPr>
          <w:fldChar w:fldCharType="separate"/>
        </w:r>
        <w:r>
          <w:rPr>
            <w:webHidden/>
          </w:rPr>
          <w:t>161</w:t>
        </w:r>
        <w:r>
          <w:rPr>
            <w:webHidden/>
          </w:rPr>
          <w:fldChar w:fldCharType="end"/>
        </w:r>
      </w:hyperlink>
    </w:p>
    <w:p w:rsidR="00DB3659" w:rsidRPr="00634578" w:rsidP="00BB159E">
      <w:pPr>
        <w:snapToGrid w:val="0"/>
        <w:spacing w:line="360" w:lineRule="auto"/>
        <w:rPr>
          <w:rFonts w:asciiTheme="minorEastAsia" w:eastAsiaTheme="minorEastAsia" w:hAnsiTheme="minorEastAsia"/>
          <w:color w:val="000000" w:themeColor="text1"/>
        </w:rPr>
        <w:sectPr w:rsidSect="00184068">
          <w:footerReference w:type="default" r:id="rId12"/>
          <w:pgSz w:w="11906" w:h="16838"/>
          <w:pgMar w:top="1701" w:right="1814" w:bottom="1701" w:left="1814" w:header="1134" w:footer="1247" w:gutter="0"/>
          <w:pgNumType w:fmt="upperRoman" w:start="1"/>
          <w:cols w:space="720"/>
          <w:docGrid w:type="lines" w:linePitch="305"/>
        </w:sectPr>
      </w:pPr>
      <w:r w:rsidRPr="00634578">
        <w:rPr>
          <w:rFonts w:asciiTheme="minorEastAsia" w:eastAsiaTheme="minorEastAsia" w:hAnsiTheme="minorEastAsia"/>
          <w:b/>
          <w:noProof/>
          <w:color w:val="000000" w:themeColor="text1"/>
          <w:sz w:val="24"/>
          <w:szCs w:val="28"/>
        </w:rPr>
        <w:fldChar w:fldCharType="end"/>
      </w:r>
    </w:p>
    <w:p w:rsidR="00DB3659" w:rsidRPr="00634578" w:rsidP="00BB159E">
      <w:pPr>
        <w:pStyle w:val="10"/>
        <w:snapToGrid w:val="0"/>
        <w:spacing w:beforeLines="0" w:afterLines="0" w:line="360" w:lineRule="auto"/>
        <w:ind w:firstLine="600"/>
        <w:rPr>
          <w:rFonts w:asciiTheme="minorEastAsia" w:eastAsiaTheme="minorEastAsia" w:hAnsiTheme="minorEastAsia"/>
          <w:b w:val="0"/>
          <w:color w:val="000000" w:themeColor="text1"/>
          <w:sz w:val="30"/>
        </w:rPr>
      </w:pPr>
      <w:bookmarkStart w:id="0" w:name="_Toc91772033"/>
      <w:r w:rsidRPr="00634578">
        <w:rPr>
          <w:rFonts w:asciiTheme="minorEastAsia" w:eastAsiaTheme="minorEastAsia" w:hAnsiTheme="minorEastAsia" w:hint="eastAsia"/>
          <w:b w:val="0"/>
          <w:color w:val="000000" w:themeColor="text1"/>
          <w:sz w:val="30"/>
        </w:rPr>
        <w:t>一、</w:t>
      </w:r>
      <w:r w:rsidRPr="00634578">
        <w:rPr>
          <w:rFonts w:asciiTheme="minorEastAsia" w:eastAsiaTheme="minorEastAsia" w:hAnsiTheme="minorEastAsia" w:hint="eastAsia"/>
          <w:b w:val="0"/>
          <w:color w:val="000000" w:themeColor="text1"/>
        </w:rPr>
        <w:t>绪言</w:t>
      </w:r>
      <w:bookmarkEnd w:id="0"/>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本招募说明书依据《中华人民共和国证券投资基金法》（以下简称《基金法》）、《公开募集证券投资基金运作管理办法》（以下简称《运作办法》）、《证券投资基金销售管理办法》（以下简称《销售办法》）、《</w:t>
      </w:r>
      <w:r w:rsidRPr="00634578" w:rsidR="002B7707">
        <w:rPr>
          <w:rFonts w:asciiTheme="minorEastAsia" w:eastAsiaTheme="minorEastAsia" w:hAnsiTheme="minorEastAsia" w:hint="eastAsia"/>
          <w:color w:val="000000" w:themeColor="text1"/>
        </w:rPr>
        <w:t>公开</w:t>
      </w:r>
      <w:r w:rsidRPr="00634578" w:rsidR="002B7707">
        <w:rPr>
          <w:rFonts w:asciiTheme="minorEastAsia" w:eastAsiaTheme="minorEastAsia" w:hAnsiTheme="minorEastAsia"/>
          <w:color w:val="000000" w:themeColor="text1"/>
        </w:rPr>
        <w:t>募集</w:t>
      </w:r>
      <w:r w:rsidRPr="00634578">
        <w:rPr>
          <w:rFonts w:asciiTheme="minorEastAsia" w:eastAsiaTheme="minorEastAsia" w:hAnsiTheme="minorEastAsia" w:hint="eastAsia"/>
          <w:color w:val="000000" w:themeColor="text1"/>
        </w:rPr>
        <w:t>证券投资基金信息披露管理办法》（以下简称《信息披露办法》）、《证券投资基金信息披露内容与格式准则第</w:t>
      </w:r>
      <w:r w:rsidRPr="00634578">
        <w:rPr>
          <w:rFonts w:asciiTheme="minorEastAsia" w:eastAsiaTheme="minorEastAsia" w:hAnsiTheme="minorEastAsia"/>
          <w:color w:val="000000" w:themeColor="text1"/>
        </w:rPr>
        <w:t>5</w:t>
      </w:r>
      <w:r w:rsidRPr="00634578">
        <w:rPr>
          <w:rFonts w:asciiTheme="minorEastAsia" w:eastAsiaTheme="minorEastAsia" w:hAnsiTheme="minorEastAsia" w:hint="eastAsia"/>
          <w:color w:val="000000" w:themeColor="text1"/>
        </w:rPr>
        <w:t>号</w:t>
      </w:r>
      <w:r w:rsidRPr="00634578">
        <w:rPr>
          <w:rFonts w:asciiTheme="minorEastAsia" w:eastAsiaTheme="minorEastAsia" w:hAnsiTheme="minorEastAsia"/>
          <w:color w:val="000000" w:themeColor="text1"/>
        </w:rPr>
        <w:t>&lt;</w:t>
      </w:r>
      <w:r w:rsidRPr="00634578">
        <w:rPr>
          <w:rFonts w:asciiTheme="minorEastAsia" w:eastAsiaTheme="minorEastAsia" w:hAnsiTheme="minorEastAsia" w:hint="eastAsia"/>
          <w:color w:val="000000" w:themeColor="text1"/>
        </w:rPr>
        <w:t>招募说明书的内容与格式</w:t>
      </w:r>
      <w:r w:rsidRPr="00634578">
        <w:rPr>
          <w:rFonts w:asciiTheme="minorEastAsia" w:eastAsiaTheme="minorEastAsia" w:hAnsiTheme="minorEastAsia"/>
          <w:color w:val="000000" w:themeColor="text1"/>
        </w:rPr>
        <w:t>&gt;</w:t>
      </w:r>
      <w:r w:rsidRPr="00634578">
        <w:rPr>
          <w:rFonts w:asciiTheme="minorEastAsia" w:eastAsiaTheme="minorEastAsia" w:hAnsiTheme="minorEastAsia" w:hint="eastAsia"/>
          <w:color w:val="000000" w:themeColor="text1"/>
        </w:rPr>
        <w:t>》、</w:t>
      </w:r>
      <w:r w:rsidRPr="00634578" w:rsidR="00A159A4">
        <w:rPr>
          <w:rFonts w:asciiTheme="minorEastAsia" w:eastAsiaTheme="minorEastAsia" w:hAnsiTheme="minorEastAsia" w:hint="eastAsia"/>
          <w:color w:val="000000" w:themeColor="text1"/>
          <w:kern w:val="0"/>
        </w:rPr>
        <w:t>《货币市场基金监督管理办法》、《关于实施＜货币市场基金监督管理办法＞有关问题的规定》、</w:t>
      </w:r>
      <w:r w:rsidRPr="00634578" w:rsidR="002D3389">
        <w:rPr>
          <w:rFonts w:asciiTheme="minorEastAsia" w:eastAsiaTheme="minorEastAsia" w:hAnsiTheme="minorEastAsia" w:hint="eastAsia"/>
          <w:color w:val="000000" w:themeColor="text1"/>
          <w:kern w:val="0"/>
        </w:rPr>
        <w:t>《公开募集开放式证券投资基金流动性风险管理规定》、</w:t>
      </w:r>
      <w:r w:rsidRPr="00634578">
        <w:rPr>
          <w:rFonts w:asciiTheme="minorEastAsia" w:eastAsiaTheme="minorEastAsia" w:hAnsiTheme="minorEastAsia" w:hint="eastAsia"/>
          <w:color w:val="000000" w:themeColor="text1"/>
        </w:rPr>
        <w:t>《易方达龙宝货币市场基金基金合同》（以下简称基金合同）及其它有关规定等编写。</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基金管理人承诺本招募说明书不存在任何虚假记载、误导性陈述或者重大遗漏</w:t>
      </w:r>
      <w:r w:rsidRPr="00634578">
        <w:rPr>
          <w:rFonts w:asciiTheme="minorEastAsia" w:eastAsiaTheme="minorEastAsia" w:hAnsiTheme="minorEastAsia"/>
          <w:color w:val="000000" w:themeColor="text1"/>
        </w:rPr>
        <w:t>,</w:t>
      </w:r>
      <w:r w:rsidRPr="00634578">
        <w:rPr>
          <w:rFonts w:asciiTheme="minorEastAsia" w:eastAsiaTheme="minorEastAsia" w:hAnsiTheme="minorEastAsia" w:hint="eastAsia"/>
          <w:color w:val="000000" w:themeColor="text1"/>
        </w:rPr>
        <w:t>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本招募说明书根据本基金的基金合同编写，并经中国证监会注册。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DB3659" w:rsidRPr="00634578" w:rsidP="00BB159E">
      <w:pPr>
        <w:snapToGrid w:val="0"/>
        <w:spacing w:line="360" w:lineRule="auto"/>
        <w:ind w:firstLine="420"/>
        <w:rPr>
          <w:rFonts w:asciiTheme="minorEastAsia" w:eastAsiaTheme="minorEastAsia" w:hAnsiTheme="minorEastAsia"/>
          <w:color w:val="000000" w:themeColor="text1"/>
        </w:rPr>
      </w:pPr>
    </w:p>
    <w:p w:rsidR="00DB3659" w:rsidRPr="00634578" w:rsidP="00BB159E">
      <w:pPr>
        <w:snapToGrid w:val="0"/>
        <w:spacing w:line="360" w:lineRule="auto"/>
        <w:ind w:firstLine="420"/>
        <w:rPr>
          <w:rFonts w:asciiTheme="minorEastAsia" w:eastAsiaTheme="minorEastAsia" w:hAnsiTheme="minorEastAsia"/>
          <w:color w:val="000000" w:themeColor="text1"/>
        </w:rPr>
      </w:pPr>
    </w:p>
    <w:p w:rsidR="00DB3659" w:rsidRPr="00634578" w:rsidP="00BB159E">
      <w:pPr>
        <w:snapToGrid w:val="0"/>
        <w:spacing w:line="360" w:lineRule="auto"/>
        <w:ind w:firstLine="420"/>
        <w:rPr>
          <w:rFonts w:asciiTheme="minorEastAsia" w:eastAsiaTheme="minorEastAsia" w:hAnsiTheme="minorEastAsia"/>
          <w:color w:val="000000" w:themeColor="text1"/>
        </w:rPr>
      </w:pPr>
    </w:p>
    <w:p w:rsidR="00DB3659" w:rsidRPr="00634578" w:rsidP="00BB159E">
      <w:pPr>
        <w:snapToGrid w:val="0"/>
        <w:spacing w:line="360" w:lineRule="auto"/>
        <w:ind w:firstLine="420"/>
        <w:rPr>
          <w:rFonts w:asciiTheme="minorEastAsia" w:eastAsiaTheme="minorEastAsia" w:hAnsiTheme="minorEastAsia"/>
          <w:color w:val="000000" w:themeColor="text1"/>
        </w:rPr>
      </w:pPr>
    </w:p>
    <w:p w:rsidR="00DB3659" w:rsidRPr="00634578" w:rsidP="00BB159E">
      <w:pPr>
        <w:snapToGrid w:val="0"/>
        <w:spacing w:line="360" w:lineRule="auto"/>
        <w:ind w:firstLine="420"/>
        <w:rPr>
          <w:rFonts w:asciiTheme="minorEastAsia" w:eastAsiaTheme="minorEastAsia" w:hAnsiTheme="minorEastAsia"/>
          <w:color w:val="000000" w:themeColor="text1"/>
        </w:rPr>
      </w:pPr>
    </w:p>
    <w:p w:rsidR="00DB3659" w:rsidRPr="00634578" w:rsidP="00BB159E">
      <w:pPr>
        <w:snapToGrid w:val="0"/>
        <w:spacing w:line="360" w:lineRule="auto"/>
        <w:ind w:firstLine="420"/>
        <w:rPr>
          <w:rFonts w:asciiTheme="minorEastAsia" w:eastAsiaTheme="minorEastAsia" w:hAnsiTheme="minorEastAsia"/>
          <w:color w:val="000000" w:themeColor="text1"/>
        </w:rPr>
      </w:pPr>
    </w:p>
    <w:p w:rsidR="00DB3659" w:rsidRPr="00634578" w:rsidP="00BB159E">
      <w:pPr>
        <w:snapToGrid w:val="0"/>
        <w:spacing w:line="360" w:lineRule="auto"/>
        <w:ind w:firstLine="420"/>
        <w:rPr>
          <w:rFonts w:asciiTheme="minorEastAsia" w:eastAsiaTheme="minorEastAsia" w:hAnsiTheme="minorEastAsia"/>
          <w:color w:val="000000" w:themeColor="text1"/>
        </w:rPr>
      </w:pPr>
    </w:p>
    <w:p w:rsidR="00DB3659" w:rsidRPr="00634578" w:rsidP="00BB159E">
      <w:pPr>
        <w:snapToGrid w:val="0"/>
        <w:spacing w:line="360" w:lineRule="auto"/>
        <w:ind w:firstLine="420"/>
        <w:rPr>
          <w:rFonts w:asciiTheme="minorEastAsia" w:eastAsiaTheme="minorEastAsia" w:hAnsiTheme="minorEastAsia"/>
          <w:color w:val="000000" w:themeColor="text1"/>
        </w:rPr>
      </w:pPr>
    </w:p>
    <w:p w:rsidR="00DB3659" w:rsidRPr="00634578" w:rsidP="00BB159E">
      <w:pPr>
        <w:snapToGrid w:val="0"/>
        <w:spacing w:line="360" w:lineRule="auto"/>
        <w:ind w:firstLine="420"/>
        <w:rPr>
          <w:rFonts w:asciiTheme="minorEastAsia" w:eastAsiaTheme="minorEastAsia" w:hAnsiTheme="minorEastAsia"/>
          <w:color w:val="000000" w:themeColor="text1"/>
        </w:rPr>
      </w:pPr>
    </w:p>
    <w:p w:rsidR="00DB3659" w:rsidRPr="00634578" w:rsidP="00BB159E">
      <w:pPr>
        <w:snapToGrid w:val="0"/>
        <w:spacing w:line="360" w:lineRule="auto"/>
        <w:ind w:firstLine="420"/>
        <w:rPr>
          <w:rFonts w:asciiTheme="minorEastAsia" w:eastAsiaTheme="minorEastAsia" w:hAnsiTheme="minorEastAsia"/>
          <w:color w:val="000000" w:themeColor="text1"/>
        </w:rPr>
      </w:pPr>
    </w:p>
    <w:p w:rsidR="00DB3659" w:rsidRPr="00634578" w:rsidP="00BB159E">
      <w:pPr>
        <w:snapToGrid w:val="0"/>
        <w:spacing w:line="360" w:lineRule="auto"/>
        <w:ind w:firstLine="482"/>
        <w:rPr>
          <w:rFonts w:asciiTheme="minorEastAsia" w:eastAsiaTheme="minorEastAsia" w:hAnsiTheme="minorEastAsia"/>
          <w:color w:val="000000" w:themeColor="text1"/>
        </w:rPr>
      </w:pPr>
    </w:p>
    <w:p w:rsidR="00DB3659" w:rsidRPr="00634578" w:rsidP="00BB159E">
      <w:pPr>
        <w:snapToGrid w:val="0"/>
        <w:spacing w:line="360" w:lineRule="auto"/>
        <w:ind w:firstLine="482"/>
        <w:rPr>
          <w:rFonts w:asciiTheme="minorEastAsia" w:eastAsiaTheme="minorEastAsia" w:hAnsiTheme="minorEastAsia"/>
          <w:color w:val="000000" w:themeColor="text1"/>
        </w:rPr>
      </w:pPr>
    </w:p>
    <w:p w:rsidR="00DB3659" w:rsidRPr="00634578" w:rsidP="00BB159E">
      <w:pPr>
        <w:snapToGrid w:val="0"/>
        <w:spacing w:line="360" w:lineRule="auto"/>
        <w:ind w:firstLine="482"/>
        <w:rPr>
          <w:rFonts w:asciiTheme="minorEastAsia" w:eastAsiaTheme="minorEastAsia" w:hAnsiTheme="minorEastAsia"/>
          <w:color w:val="000000" w:themeColor="text1"/>
        </w:rPr>
      </w:pPr>
    </w:p>
    <w:p w:rsidR="00BB159E" w:rsidRPr="00634578" w:rsidP="00BB159E">
      <w:pPr>
        <w:snapToGrid w:val="0"/>
        <w:spacing w:line="360" w:lineRule="auto"/>
        <w:ind w:firstLine="482"/>
        <w:rPr>
          <w:rFonts w:asciiTheme="minorEastAsia" w:eastAsiaTheme="minorEastAsia" w:hAnsiTheme="minorEastAsia"/>
          <w:color w:val="000000" w:themeColor="text1"/>
        </w:rPr>
      </w:pPr>
    </w:p>
    <w:p w:rsidR="00BB159E" w:rsidRPr="00634578" w:rsidP="00BB159E">
      <w:pPr>
        <w:snapToGrid w:val="0"/>
        <w:spacing w:line="360" w:lineRule="auto"/>
        <w:ind w:firstLine="482"/>
        <w:rPr>
          <w:rFonts w:asciiTheme="minorEastAsia" w:eastAsiaTheme="minorEastAsia" w:hAnsiTheme="minorEastAsia"/>
          <w:color w:val="000000" w:themeColor="text1"/>
        </w:rPr>
      </w:pPr>
    </w:p>
    <w:p w:rsidR="00BB159E" w:rsidRPr="00634578" w:rsidP="00BB159E">
      <w:pPr>
        <w:snapToGrid w:val="0"/>
        <w:spacing w:line="360" w:lineRule="auto"/>
        <w:ind w:firstLine="482"/>
        <w:rPr>
          <w:rFonts w:asciiTheme="minorEastAsia" w:eastAsiaTheme="minorEastAsia" w:hAnsiTheme="minorEastAsia"/>
          <w:color w:val="000000" w:themeColor="text1"/>
        </w:rPr>
      </w:pPr>
    </w:p>
    <w:p w:rsidR="00DB3659" w:rsidRPr="00634578" w:rsidP="00BB159E">
      <w:pPr>
        <w:pStyle w:val="111"/>
        <w:pageBreakBefore w:val="0"/>
        <w:snapToGrid w:val="0"/>
        <w:spacing w:beforeLines="0" w:afterLines="0" w:line="360" w:lineRule="auto"/>
        <w:ind w:firstLine="600"/>
        <w:rPr>
          <w:rFonts w:asciiTheme="minorEastAsia" w:eastAsiaTheme="minorEastAsia" w:hAnsiTheme="minorEastAsia"/>
          <w:color w:val="000000" w:themeColor="text1"/>
          <w:sz w:val="30"/>
        </w:rPr>
      </w:pPr>
      <w:bookmarkStart w:id="1" w:name="_Toc91772034"/>
      <w:r w:rsidRPr="00634578">
        <w:rPr>
          <w:rFonts w:asciiTheme="minorEastAsia" w:eastAsiaTheme="minorEastAsia" w:hAnsiTheme="minorEastAsia" w:hint="eastAsia"/>
          <w:color w:val="000000" w:themeColor="text1"/>
          <w:sz w:val="30"/>
        </w:rPr>
        <w:t>二、释义</w:t>
      </w:r>
      <w:bookmarkEnd w:id="1"/>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szCs w:val="21"/>
        </w:rPr>
        <w:t>本招募说明</w:t>
      </w:r>
      <w:r w:rsidRPr="00634578">
        <w:rPr>
          <w:rFonts w:asciiTheme="minorEastAsia" w:eastAsiaTheme="minorEastAsia" w:hAnsiTheme="minorEastAsia" w:hint="eastAsia"/>
          <w:color w:val="000000" w:themeColor="text1"/>
        </w:rPr>
        <w:t>书中除非文意另有所指，下列词语有如下含义：</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1、基金或本基金：指易方达龙宝货币市场基金</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2、基金管理人：指易方达基金管理有限公司</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3、基金托管人：指华夏银行股份有限公司</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4、基金合同或本基金合同：指《易方达龙宝货币市场基金基金合同》及对基金合同的任何有效修订和补充</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5、托管协议：指基金管理人与基金托管人就本基金签订之《易方达龙宝货币市场基金托管协议》及对该托管协议的任何有效修订和补充</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6、招募说明书：指《易方达龙宝货币市场基金招募说明书》及其更新</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7、基金产品资料概要：指《易方达龙宝货币市场基金基金产品资料概要》及其更新</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8、基金份额发售公告：指《易方达龙宝货币市场基金基金份额发售公告》</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9、法律法规：指中国现行有效并公布实施的法律、行政法规、规范性文件、司法解释、行政规章以及其他对基金合同当事人有约束力的决定、决议、通知等</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10、《基金法》：指2012年12月28日经第十一届全国人民代表大会常务委员会第三十次会议通过，自2013年6月1日起实施的《中华人民共和国证券投资基金法》及颁布机关对其不时做出的修订</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11、《销售办法》：指中国证监会2013年3月15日颁布、同年6月1日实施的《证券投资基金销售管理办法》及颁布机关对其不时做出的修订</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12、《信息披露办法》：指中国证监会2019年7月26日颁布、同年9月1日实施的《公开募集证券投资基金信息披露管理办法》及颁布机关对其不时做出的修订</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13、《运作办法》：指中国证监会2014年7月7日颁布、同年8月8日实施的《公开募集证券投资基金运作管理办法》及颁布机关对其不时做出的修订</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14、《管理规定》：指中国证监会2017年8月31日颁布、同年10月1日实施的《公开募集开放式证券投资基金流动性风险管理规定》及颁布机关对其不时做出的修订</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15、中国证监会：指中国证券监督管理委员会</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16、银行业监督管理机构：指中国人民银行和/或中国银行业监督管理委员会</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17、基金合同当事人：指受基金合同约束，根据基金合同享有权利并承担义务的法律主体，包括基金管理人、基金托管人和基金份额持有人</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18、个人投资者：指依据有关法律法规规定可投资于证券投资基金的自然人</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19、机构投资者：指依法可以投资证券投资基金的、在中华人民共和国境内合法登记并存续或经有关政府部门批准设立并存续的企业法人、事业法人、社会团体或其他组织</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20、投资人：指个人投资者、机构投资者和合格境外机构投资者以及法律法规或中国证监会允许购买证券投资基金的其他投资人的合称</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21、基金份额持有人：指依基金合同和招募说明书合法取得基金份额的投资人</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22、基金销售业务：指基金管理人或销售机构宣传推介基金，发售基金份额，办理基金份额的申购、赎回、转换、非交易过户、转托管及定期定额投资等业务。</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23、销售机构：指易方达基金管理有限公司以及符合《销售办法》和中国证监会规定的其他条件，取得基金销售业务资格并与基金管理人签订了基金销售服务协议，办理基金销售业务的机构</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25、登记机构：指办理登记业务的机构。基金的登记机构为易方达基金管理有限公司或接受易方达基金管理有限公司委托代为办理登记业务的机构</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26、基金账户：指登记机构为投资人开立的、记录其持有的、基金管理人所管理的基金份额余额及其变动情况的账户</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27、基金交易账户：指销售机构为投资人开立的、记录投资人通过该销售机构办理认购、申购、赎回、转换及转托管等业务而引起基金的基金份额变动及结余情况的账户</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28、基金合同生效日：指基金募集达到法律法规规定及基金合同规定的条件，基金管理人向中国证监会办理基金备案手续完毕，并获得中国证监会书面确认的日期</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29、基金合同终止日：指基金合同规定的基金合同终止事由出现后，基金财产清算完毕，清算结果报中国证监会备案并予以公告的日期</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30、基金募集期：指自基金份额发售之日起至发售结束之日止的期间，最长不得超过3个月</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31、存续期：指基金合同生效至终止之间的不定期期限</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32、工作日：指上海证券交易所、深圳证券交易所的正常交易日</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33、T日：指销售机构在规定时间受理投资人申购、赎回或其他业务申请的开放日</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34、T+n日：指自T日起第n个工作日（不包含T日），n为自然数</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35、开放日：指为投资人办理基金份额申购、赎回或其他业务的工作日</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36、开放时间：指开放日基金接受申购、赎回或其他交易的时间段</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37、《业务规则》：指《易方达基金管理有限公司开放式基金业务规则》，是规范基金管理人所管理的开放式证券投资基金登记方面的业务规则，由基金管理人和投资人共同遵守</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38、认购：指在基金募集期内，投资人根据基金合同和招募说明书的规定申请购买基金份额的行为</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39、申购：指基金合同生效后，投资人根据基金合同和招募说明书的规定申请购买基金份额的行为</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40、赎回：指基金合同生效后，基金份额持有人按基金合同规定的条件要求将基金份额</w:t>
      </w:r>
      <w:r w:rsidRPr="00634578">
        <w:rPr>
          <w:rFonts w:asciiTheme="minorEastAsia" w:eastAsiaTheme="minorEastAsia" w:hAnsiTheme="minorEastAsia" w:hint="eastAsia"/>
          <w:color w:val="000000" w:themeColor="text1"/>
        </w:rPr>
        <w:t>兑换为现金的行为</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41、基金转换：指基金份额持有人按照基金合同和基金管理人届时有效公告规定的条件，申请将其持有基金管理人管理的、某一基金的基金份额转换为基金管理人管理的其他基金基金份额的行为</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42、转托管：指基金份额持有人在本基金的不同销售机构之间实施的变更所持基金份额销售机构的操作</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43、定期定额投资计划：指投资人通过有关销售机构提出申请，约定每期申购日、扣款金额及扣款方式，由销售机构于每期约定扣款日在投资人指定银行账户内自动完成扣款及受理基金申购申请的一种投资方式</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45、元：指人民币元</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46、基金收益：指基金投资所得红利、股息、债券利息、买卖证券价差、银行存款利息、已实现的其他合法收入及因运用基金财产带来的成本和费用的节约</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47、摊余成本法：指计价对象以买入成本列示，按照票面利率或协议利率并考虑其买入时的溢价和折价，在剩余存续期内按实际利率法摊销，每日计提损益</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48、每万份基金已实现收益：指按照相关法规计算的每万份基金份额的日已实现收益</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49、7日年化收益率：指以最近7日（含节假日）收益所折算的年资产收益率</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50、销售服务费：指本基金用于持续销售和服务基金份额持有人的费用，该笔费用从基金财产中扣除，属于基金的营运费用</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51、基金份额分类：本基金分设三类基金份额：A类基金份额、B类基金份额、C类基金份额。各类基金份额分设不同的基金代码，收取不同的销售服务费并分别公布每万份基金已实现收益和7日年化收益率</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52、A类基金份额：指按照0.18%年费率计提销售服务费的基金份额类别</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53、B类基金份额：指按照0.01%年费率计提销售服务费的基金份额类别</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54、C类基金份额：指按照0.05%年费率计提销售服务费的基金份额类别</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55、基金资产总值：指基金拥有的各类有价证券、银行存款本息、基金应收申购款及其他资产的价值总和</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56、基金资产净值：指基金资产总值减去基金负债后的价值</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57、基金份额净值：指计算日基金资产净值除以计算日基金份额总数</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58、基金资产估值：指计算评估基金资产和负债的价值，以确定基金资产净值和每万份基金已实现收益的过程</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59、指定媒介：指中国证监会指定的用以进行信息披露的全国性报刊及指定互联网网站</w:t>
      </w:r>
      <w:r w:rsidRPr="00634578">
        <w:rPr>
          <w:rFonts w:asciiTheme="minorEastAsia" w:eastAsiaTheme="minorEastAsia" w:hAnsiTheme="minorEastAsia" w:hint="eastAsia"/>
          <w:color w:val="000000" w:themeColor="text1"/>
        </w:rPr>
        <w:t>（包括基金管理人网站、基金托管人网站、中国证监会基金电子披露网站）等媒介</w:t>
      </w:r>
    </w:p>
    <w:p w:rsidR="00CA2EAE" w:rsidRPr="00634578" w:rsidP="00CA2EA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60、不可抗力：指合同当事人不能预见、不能避免且不能克服的客观事件</w:t>
      </w:r>
    </w:p>
    <w:p w:rsidR="00AB30D5" w:rsidRPr="00634578" w:rsidP="003548EA">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61、流动性受限资产：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易的债券等</w:t>
      </w:r>
    </w:p>
    <w:p w:rsidR="00DB3659" w:rsidRPr="00634578" w:rsidP="00BB159E">
      <w:pPr>
        <w:pStyle w:val="111"/>
        <w:pageBreakBefore w:val="0"/>
        <w:snapToGrid w:val="0"/>
        <w:spacing w:beforeLines="0" w:afterLines="0" w:line="360" w:lineRule="auto"/>
        <w:ind w:firstLine="643"/>
        <w:rPr>
          <w:rFonts w:asciiTheme="minorEastAsia" w:eastAsiaTheme="minorEastAsia" w:hAnsiTheme="minorEastAsia"/>
          <w:color w:val="000000" w:themeColor="text1"/>
        </w:rPr>
      </w:pPr>
      <w:r w:rsidRPr="00634578">
        <w:rPr>
          <w:rFonts w:asciiTheme="minorEastAsia" w:eastAsiaTheme="minorEastAsia" w:hAnsiTheme="minorEastAsia"/>
          <w:b/>
          <w:bCs/>
          <w:color w:val="000000" w:themeColor="text1"/>
        </w:rPr>
        <w:br w:type="column"/>
      </w:r>
      <w:bookmarkStart w:id="2" w:name="_Toc91772035"/>
      <w:r w:rsidRPr="00634578">
        <w:rPr>
          <w:rFonts w:asciiTheme="minorEastAsia" w:eastAsiaTheme="minorEastAsia" w:hAnsiTheme="minorEastAsia" w:hint="eastAsia"/>
          <w:color w:val="000000" w:themeColor="text1"/>
        </w:rPr>
        <w:t>三、基金管理人</w:t>
      </w:r>
      <w:bookmarkEnd w:id="2"/>
    </w:p>
    <w:p w:rsidR="00DB3659" w:rsidRPr="00634578" w:rsidP="00BB159E">
      <w:pPr>
        <w:snapToGrid w:val="0"/>
        <w:spacing w:line="360" w:lineRule="auto"/>
        <w:ind w:firstLine="420"/>
        <w:rPr>
          <w:rFonts w:asciiTheme="minorEastAsia" w:eastAsiaTheme="minorEastAsia" w:hAnsiTheme="minorEastAsia"/>
          <w:color w:val="000000" w:themeColor="text1"/>
        </w:rPr>
      </w:pPr>
      <w:bookmarkStart w:id="3" w:name="_Toc327734788"/>
      <w:r w:rsidRPr="00634578">
        <w:rPr>
          <w:rFonts w:asciiTheme="minorEastAsia" w:eastAsiaTheme="minorEastAsia" w:hAnsiTheme="minorEastAsia" w:hint="eastAsia"/>
          <w:color w:val="000000" w:themeColor="text1"/>
        </w:rPr>
        <w:t>（一）基金管理人基本情况</w:t>
      </w:r>
      <w:bookmarkEnd w:id="3"/>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w:t>
      </w:r>
      <w:r w:rsidRPr="00634578">
        <w:rPr>
          <w:rFonts w:asciiTheme="minorEastAsia" w:eastAsiaTheme="minorEastAsia" w:hAnsiTheme="minorEastAsia" w:hint="eastAsia"/>
          <w:color w:val="000000" w:themeColor="text1"/>
        </w:rPr>
        <w:t>、基金管理人：易方达基金管理有限公司</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注册地址：</w:t>
      </w:r>
      <w:r w:rsidRPr="00634578" w:rsidR="00554170">
        <w:rPr>
          <w:rFonts w:asciiTheme="minorEastAsia" w:eastAsiaTheme="minorEastAsia" w:hAnsiTheme="minorEastAsia" w:hint="eastAsia"/>
          <w:color w:val="000000" w:themeColor="text1"/>
        </w:rPr>
        <w:t>广东省珠海市横琴新区宝华路6号105室-42891（集中办公区）</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办公地址：</w:t>
      </w:r>
      <w:bookmarkStart w:id="4" w:name="OLE_LINK2"/>
      <w:bookmarkStart w:id="5" w:name="OLE_LINK1"/>
      <w:r w:rsidRPr="00634578">
        <w:rPr>
          <w:rFonts w:asciiTheme="minorEastAsia" w:eastAsiaTheme="minorEastAsia" w:hAnsiTheme="minorEastAsia" w:hint="eastAsia"/>
          <w:color w:val="000000" w:themeColor="text1"/>
        </w:rPr>
        <w:t>广州市天河区珠江新城珠江东路</w:t>
      </w:r>
      <w:r w:rsidRPr="00634578">
        <w:rPr>
          <w:rFonts w:asciiTheme="minorEastAsia" w:eastAsiaTheme="minorEastAsia" w:hAnsiTheme="minorEastAsia"/>
          <w:color w:val="000000" w:themeColor="text1"/>
        </w:rPr>
        <w:t>30</w:t>
      </w:r>
      <w:r w:rsidRPr="00634578">
        <w:rPr>
          <w:rFonts w:asciiTheme="minorEastAsia" w:eastAsiaTheme="minorEastAsia" w:hAnsiTheme="minorEastAsia" w:hint="eastAsia"/>
          <w:color w:val="000000" w:themeColor="text1"/>
        </w:rPr>
        <w:t>号广州银行大厦</w:t>
      </w:r>
      <w:r w:rsidRPr="00634578">
        <w:rPr>
          <w:rFonts w:asciiTheme="minorEastAsia" w:eastAsiaTheme="minorEastAsia" w:hAnsiTheme="minorEastAsia"/>
          <w:color w:val="000000" w:themeColor="text1"/>
        </w:rPr>
        <w:t>40-43</w:t>
      </w:r>
      <w:r w:rsidRPr="00634578">
        <w:rPr>
          <w:rFonts w:asciiTheme="minorEastAsia" w:eastAsiaTheme="minorEastAsia" w:hAnsiTheme="minorEastAsia" w:hint="eastAsia"/>
          <w:color w:val="000000" w:themeColor="text1"/>
        </w:rPr>
        <w:t>楼</w:t>
      </w:r>
      <w:bookmarkEnd w:id="4"/>
      <w:bookmarkEnd w:id="5"/>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批准设立机关及批准设立文号：</w:t>
      </w:r>
      <w:r w:rsidRPr="00634578" w:rsidR="00CA1A9C">
        <w:rPr>
          <w:rFonts w:asciiTheme="minorEastAsia" w:eastAsiaTheme="minorEastAsia" w:hAnsiTheme="minorEastAsia" w:hint="eastAsia"/>
          <w:color w:val="000000" w:themeColor="text1"/>
        </w:rPr>
        <w:t>中国证券监督管理委员会</w:t>
      </w:r>
      <w:r w:rsidRPr="00634578">
        <w:rPr>
          <w:rFonts w:asciiTheme="minorEastAsia" w:eastAsiaTheme="minorEastAsia" w:hAnsiTheme="minorEastAsia" w:hint="eastAsia"/>
          <w:color w:val="000000" w:themeColor="text1"/>
        </w:rPr>
        <w:t>，证监基金字</w:t>
      </w:r>
      <w:r w:rsidRPr="00634578">
        <w:rPr>
          <w:rFonts w:asciiTheme="minorEastAsia" w:eastAsiaTheme="minorEastAsia" w:hAnsiTheme="minorEastAsia"/>
          <w:color w:val="000000" w:themeColor="text1"/>
        </w:rPr>
        <w:t>[2001]4</w:t>
      </w:r>
      <w:r w:rsidRPr="00634578">
        <w:rPr>
          <w:rFonts w:asciiTheme="minorEastAsia" w:eastAsiaTheme="minorEastAsia" w:hAnsiTheme="minorEastAsia" w:hint="eastAsia"/>
          <w:color w:val="000000" w:themeColor="text1"/>
        </w:rPr>
        <w:t>号</w:t>
      </w:r>
    </w:p>
    <w:p w:rsidR="00DB3659" w:rsidRPr="00634578" w:rsidP="00BB159E">
      <w:pPr>
        <w:snapToGrid w:val="0"/>
        <w:spacing w:line="360" w:lineRule="auto"/>
        <w:ind w:firstLine="42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rPr>
        <w:t>法定代表</w:t>
      </w:r>
      <w:r w:rsidRPr="00634578">
        <w:rPr>
          <w:rFonts w:asciiTheme="minorEastAsia" w:eastAsiaTheme="minorEastAsia" w:hAnsiTheme="minorEastAsia" w:hint="eastAsia"/>
          <w:color w:val="000000" w:themeColor="text1"/>
          <w:szCs w:val="21"/>
        </w:rPr>
        <w:t>人：</w:t>
      </w:r>
      <w:r w:rsidRPr="00634578" w:rsidR="00F808FD">
        <w:rPr>
          <w:rFonts w:asciiTheme="minorEastAsia" w:eastAsiaTheme="minorEastAsia" w:hAnsiTheme="minorEastAsia" w:hint="eastAsia"/>
          <w:color w:val="000000" w:themeColor="text1"/>
          <w:szCs w:val="21"/>
        </w:rPr>
        <w:t>刘晓艳</w:t>
      </w:r>
    </w:p>
    <w:p w:rsidR="00DB3659" w:rsidRPr="00634578" w:rsidP="00BB159E">
      <w:pPr>
        <w:snapToGrid w:val="0"/>
        <w:spacing w:line="360" w:lineRule="auto"/>
        <w:ind w:firstLine="42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设立日期：</w:t>
      </w:r>
      <w:r w:rsidRPr="00634578">
        <w:rPr>
          <w:rFonts w:asciiTheme="minorEastAsia" w:eastAsiaTheme="minorEastAsia" w:hAnsiTheme="minorEastAsia"/>
          <w:color w:val="000000" w:themeColor="text1"/>
          <w:szCs w:val="21"/>
        </w:rPr>
        <w:t>2001</w:t>
      </w:r>
      <w:r w:rsidRPr="00634578">
        <w:rPr>
          <w:rFonts w:asciiTheme="minorEastAsia" w:eastAsiaTheme="minorEastAsia" w:hAnsiTheme="minorEastAsia" w:hint="eastAsia"/>
          <w:color w:val="000000" w:themeColor="text1"/>
          <w:szCs w:val="21"/>
        </w:rPr>
        <w:t>年</w:t>
      </w: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月</w:t>
      </w:r>
      <w:r w:rsidRPr="00634578">
        <w:rPr>
          <w:rFonts w:asciiTheme="minorEastAsia" w:eastAsiaTheme="minorEastAsia" w:hAnsiTheme="minorEastAsia"/>
          <w:color w:val="000000" w:themeColor="text1"/>
          <w:szCs w:val="21"/>
        </w:rPr>
        <w:t>17</w:t>
      </w:r>
      <w:r w:rsidRPr="00634578">
        <w:rPr>
          <w:rFonts w:asciiTheme="minorEastAsia" w:eastAsiaTheme="minorEastAsia" w:hAnsiTheme="minorEastAsia" w:hint="eastAsia"/>
          <w:color w:val="000000" w:themeColor="text1"/>
          <w:szCs w:val="21"/>
        </w:rPr>
        <w:t>日</w:t>
      </w:r>
    </w:p>
    <w:p w:rsidR="00DB3659" w:rsidRPr="00634578" w:rsidP="00BB159E">
      <w:pPr>
        <w:snapToGrid w:val="0"/>
        <w:spacing w:line="360" w:lineRule="auto"/>
        <w:ind w:firstLine="42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组织形式：有限责任公司</w:t>
      </w:r>
    </w:p>
    <w:p w:rsidR="00DB3659" w:rsidRPr="00634578" w:rsidP="00BB159E">
      <w:pPr>
        <w:snapToGrid w:val="0"/>
        <w:spacing w:line="360" w:lineRule="auto"/>
        <w:ind w:firstLine="42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注册资本：</w:t>
      </w:r>
      <w:r w:rsidRPr="00634578" w:rsidR="00684809">
        <w:rPr>
          <w:rFonts w:asciiTheme="minorEastAsia" w:eastAsiaTheme="minorEastAsia" w:hAnsiTheme="minorEastAsia"/>
          <w:color w:val="000000" w:themeColor="text1"/>
          <w:szCs w:val="21"/>
        </w:rPr>
        <w:t>13,244.2万元人民币</w:t>
      </w:r>
    </w:p>
    <w:p w:rsidR="00DB3659" w:rsidRPr="00634578" w:rsidP="00BB159E">
      <w:pPr>
        <w:snapToGrid w:val="0"/>
        <w:spacing w:line="360" w:lineRule="auto"/>
        <w:ind w:firstLine="42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存续期限：持续经营</w:t>
      </w:r>
    </w:p>
    <w:p w:rsidR="00DB3659" w:rsidRPr="00634578" w:rsidP="00BB159E">
      <w:pPr>
        <w:snapToGrid w:val="0"/>
        <w:spacing w:line="360" w:lineRule="auto"/>
        <w:ind w:firstLine="42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联系人：李红枫</w:t>
      </w:r>
    </w:p>
    <w:p w:rsidR="00DB3659" w:rsidRPr="00634578" w:rsidP="00BB159E">
      <w:pPr>
        <w:snapToGrid w:val="0"/>
        <w:spacing w:line="360" w:lineRule="auto"/>
        <w:ind w:firstLine="42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联系电话：</w:t>
      </w:r>
      <w:r w:rsidRPr="00634578">
        <w:rPr>
          <w:rFonts w:asciiTheme="minorEastAsia" w:eastAsiaTheme="minorEastAsia" w:hAnsiTheme="minorEastAsia"/>
          <w:color w:val="000000" w:themeColor="text1"/>
          <w:szCs w:val="21"/>
        </w:rPr>
        <w:t>4008818088</w:t>
      </w:r>
    </w:p>
    <w:p w:rsidR="00DB3659" w:rsidRPr="00634578" w:rsidP="00BB159E">
      <w:pPr>
        <w:snapToGrid w:val="0"/>
        <w:spacing w:line="360" w:lineRule="auto"/>
        <w:ind w:firstLine="42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、股权结构：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5"/>
        <w:gridCol w:w="2577"/>
      </w:tblGrid>
      <w:tr w:rsidTr="00DB3659">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DB3659" w:rsidRPr="00634578" w:rsidP="00BB159E">
            <w:pPr>
              <w:snapToGrid w:val="0"/>
              <w:spacing w:line="360" w:lineRule="auto"/>
              <w:ind w:firstLine="420"/>
              <w:jc w:val="center"/>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股东名称</w:t>
            </w:r>
          </w:p>
        </w:tc>
        <w:tc>
          <w:tcPr>
            <w:tcW w:w="1512" w:type="pct"/>
            <w:tcBorders>
              <w:top w:val="single" w:sz="4" w:space="0" w:color="auto"/>
              <w:left w:val="single" w:sz="4" w:space="0" w:color="auto"/>
              <w:bottom w:val="single" w:sz="4" w:space="0" w:color="auto"/>
              <w:right w:val="single" w:sz="4" w:space="0" w:color="auto"/>
            </w:tcBorders>
            <w:vAlign w:val="center"/>
            <w:hideMark/>
          </w:tcPr>
          <w:p w:rsidR="00DB3659" w:rsidRPr="00634578" w:rsidP="00BB159E">
            <w:pPr>
              <w:snapToGrid w:val="0"/>
              <w:spacing w:line="360" w:lineRule="auto"/>
              <w:ind w:firstLine="420"/>
              <w:jc w:val="center"/>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出资比例</w:t>
            </w:r>
          </w:p>
        </w:tc>
      </w:tr>
      <w:tr>
        <w:tblPrEx>
          <w:tblW w:w="5000" w:type="pct"/>
          <w:jc w:val="center"/>
          <w:tblLook w:val="04A0"/>
        </w:tblPrEx>
        <w:trPr>
          <w:jc w:val="center"/>
        </w:trPr>
        <w:tc>
          <w:tcPr>
            <w:tcW w:w="5945"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广东粤财信托有限公司</w:t>
            </w:r>
          </w:p>
        </w:tc>
        <w:tc>
          <w:tcPr>
            <w:tcW w:w="2577"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22.6514%</w:t>
            </w:r>
          </w:p>
        </w:tc>
      </w:tr>
      <w:tr>
        <w:tblPrEx>
          <w:tblW w:w="5000" w:type="pct"/>
          <w:jc w:val="center"/>
          <w:tblLook w:val="04A0"/>
        </w:tblPrEx>
        <w:trPr>
          <w:jc w:val="center"/>
        </w:trPr>
        <w:tc>
          <w:tcPr>
            <w:tcW w:w="5945"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广发证券股份有限公司</w:t>
            </w:r>
          </w:p>
        </w:tc>
        <w:tc>
          <w:tcPr>
            <w:tcW w:w="2577"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22.6514%</w:t>
            </w:r>
          </w:p>
        </w:tc>
      </w:tr>
      <w:tr>
        <w:tblPrEx>
          <w:tblW w:w="5000" w:type="pct"/>
          <w:jc w:val="center"/>
          <w:tblLook w:val="04A0"/>
        </w:tblPrEx>
        <w:trPr>
          <w:jc w:val="center"/>
        </w:trPr>
        <w:tc>
          <w:tcPr>
            <w:tcW w:w="5945"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盈峰控股集团有限公司</w:t>
            </w:r>
          </w:p>
        </w:tc>
        <w:tc>
          <w:tcPr>
            <w:tcW w:w="2577"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22.6514%</w:t>
            </w:r>
          </w:p>
        </w:tc>
      </w:tr>
      <w:tr>
        <w:tblPrEx>
          <w:tblW w:w="5000" w:type="pct"/>
          <w:jc w:val="center"/>
          <w:tblLook w:val="04A0"/>
        </w:tblPrEx>
        <w:trPr>
          <w:jc w:val="center"/>
        </w:trPr>
        <w:tc>
          <w:tcPr>
            <w:tcW w:w="5945"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广东省广晟控股集团有限公司</w:t>
            </w:r>
          </w:p>
        </w:tc>
        <w:tc>
          <w:tcPr>
            <w:tcW w:w="2577"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15.1010%</w:t>
            </w:r>
          </w:p>
        </w:tc>
      </w:tr>
      <w:tr>
        <w:tblPrEx>
          <w:tblW w:w="5000" w:type="pct"/>
          <w:jc w:val="center"/>
          <w:tblLook w:val="04A0"/>
        </w:tblPrEx>
        <w:trPr>
          <w:jc w:val="center"/>
        </w:trPr>
        <w:tc>
          <w:tcPr>
            <w:tcW w:w="5945"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广州市广永国有资产经营有限公司</w:t>
            </w:r>
          </w:p>
        </w:tc>
        <w:tc>
          <w:tcPr>
            <w:tcW w:w="2577"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7.5505%</w:t>
            </w:r>
          </w:p>
        </w:tc>
      </w:tr>
      <w:tr>
        <w:tblPrEx>
          <w:tblW w:w="5000" w:type="pct"/>
          <w:jc w:val="center"/>
          <w:tblLook w:val="04A0"/>
        </w:tblPrEx>
        <w:trPr>
          <w:jc w:val="center"/>
        </w:trPr>
        <w:tc>
          <w:tcPr>
            <w:tcW w:w="5945"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珠海祺荣宝股权投资合伙企业（有限合伙）</w:t>
            </w:r>
          </w:p>
        </w:tc>
        <w:tc>
          <w:tcPr>
            <w:tcW w:w="2577"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1.5087%</w:t>
            </w:r>
          </w:p>
        </w:tc>
      </w:tr>
      <w:tr>
        <w:tblPrEx>
          <w:tblW w:w="5000" w:type="pct"/>
          <w:jc w:val="center"/>
          <w:tblLook w:val="04A0"/>
        </w:tblPrEx>
        <w:trPr>
          <w:jc w:val="center"/>
        </w:trPr>
        <w:tc>
          <w:tcPr>
            <w:tcW w:w="5945"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珠海祺泰宝股权投资合伙企业（有限合伙）</w:t>
            </w:r>
          </w:p>
        </w:tc>
        <w:tc>
          <w:tcPr>
            <w:tcW w:w="2577"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1.6205%</w:t>
            </w:r>
          </w:p>
        </w:tc>
      </w:tr>
      <w:tr>
        <w:tblPrEx>
          <w:tblW w:w="5000" w:type="pct"/>
          <w:jc w:val="center"/>
          <w:tblLook w:val="04A0"/>
        </w:tblPrEx>
        <w:trPr>
          <w:jc w:val="center"/>
        </w:trPr>
        <w:tc>
          <w:tcPr>
            <w:tcW w:w="5945"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珠海祺丰宝股权投资合伙企业（有限合伙）</w:t>
            </w:r>
          </w:p>
        </w:tc>
        <w:tc>
          <w:tcPr>
            <w:tcW w:w="2577"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1.5309%</w:t>
            </w:r>
          </w:p>
        </w:tc>
      </w:tr>
      <w:tr>
        <w:tblPrEx>
          <w:tblW w:w="5000" w:type="pct"/>
          <w:jc w:val="center"/>
          <w:tblLook w:val="04A0"/>
        </w:tblPrEx>
        <w:trPr>
          <w:jc w:val="center"/>
        </w:trPr>
        <w:tc>
          <w:tcPr>
            <w:tcW w:w="5945"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珠海聚莱康股权投资合伙企业（有限合伙）</w:t>
            </w:r>
          </w:p>
        </w:tc>
        <w:tc>
          <w:tcPr>
            <w:tcW w:w="2577"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1.7558%</w:t>
            </w:r>
          </w:p>
        </w:tc>
      </w:tr>
      <w:tr>
        <w:tblPrEx>
          <w:tblW w:w="5000" w:type="pct"/>
          <w:jc w:val="center"/>
          <w:tblLook w:val="04A0"/>
        </w:tblPrEx>
        <w:trPr>
          <w:jc w:val="center"/>
        </w:trPr>
        <w:tc>
          <w:tcPr>
            <w:tcW w:w="5945"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珠海聚宁康股权投资合伙企业（有限合伙）</w:t>
            </w:r>
          </w:p>
        </w:tc>
        <w:tc>
          <w:tcPr>
            <w:tcW w:w="2577"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1.4396%</w:t>
            </w:r>
          </w:p>
        </w:tc>
      </w:tr>
      <w:tr>
        <w:tblPrEx>
          <w:tblW w:w="5000" w:type="pct"/>
          <w:jc w:val="center"/>
          <w:tblLook w:val="04A0"/>
        </w:tblPrEx>
        <w:trPr>
          <w:jc w:val="center"/>
        </w:trPr>
        <w:tc>
          <w:tcPr>
            <w:tcW w:w="5945"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珠海聚弘康股权投资合伙企业（有限合伙）</w:t>
            </w:r>
          </w:p>
        </w:tc>
        <w:tc>
          <w:tcPr>
            <w:tcW w:w="2577"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1.5388%</w:t>
            </w:r>
          </w:p>
        </w:tc>
      </w:tr>
      <w:tr>
        <w:tblPrEx>
          <w:tblW w:w="5000" w:type="pct"/>
          <w:jc w:val="center"/>
          <w:tblLook w:val="04A0"/>
        </w:tblPrEx>
        <w:trPr>
          <w:jc w:val="center"/>
        </w:trPr>
        <w:tc>
          <w:tcPr>
            <w:tcW w:w="5945"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总   计</w:t>
            </w:r>
          </w:p>
        </w:tc>
        <w:tc>
          <w:tcPr>
            <w:tcW w:w="2577"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100%</w:t>
            </w:r>
          </w:p>
        </w:tc>
      </w:tr>
    </w:tbl>
    <w:p w:rsidR="00DB3659" w:rsidRPr="00634578" w:rsidP="00BB159E">
      <w:pPr>
        <w:snapToGrid w:val="0"/>
        <w:spacing w:line="360" w:lineRule="auto"/>
        <w:ind w:firstLine="420"/>
        <w:rPr>
          <w:rFonts w:asciiTheme="minorEastAsia" w:eastAsiaTheme="minorEastAsia" w:hAnsiTheme="minorEastAsia"/>
          <w:color w:val="000000" w:themeColor="text1"/>
          <w:szCs w:val="21"/>
        </w:rPr>
      </w:pPr>
      <w:bookmarkStart w:id="6" w:name="_Toc327734789"/>
      <w:r w:rsidRPr="00634578">
        <w:rPr>
          <w:rFonts w:asciiTheme="minorEastAsia" w:eastAsiaTheme="minorEastAsia" w:hAnsiTheme="minorEastAsia" w:hint="eastAsia"/>
          <w:color w:val="000000" w:themeColor="text1"/>
          <w:szCs w:val="21"/>
        </w:rPr>
        <w:t>（二）主要人员情况</w:t>
      </w:r>
      <w:bookmarkEnd w:id="6"/>
    </w:p>
    <w:p w:rsidR="00345D3A" w:rsidRPr="00634578" w:rsidP="00345D3A">
      <w:pPr>
        <w:snapToGrid w:val="0"/>
        <w:spacing w:line="360" w:lineRule="auto"/>
        <w:ind w:firstLine="420"/>
        <w:rPr>
          <w:rFonts w:asciiTheme="minorEastAsia" w:eastAsiaTheme="minorEastAsia" w:hAnsiTheme="minorEastAsia" w:cs="Courier New"/>
          <w:color w:val="000000" w:themeColor="text1"/>
          <w:szCs w:val="21"/>
        </w:rPr>
      </w:pPr>
      <w:r w:rsidRPr="00634578">
        <w:rPr>
          <w:rFonts w:asciiTheme="minorEastAsia" w:eastAsiaTheme="minorEastAsia" w:hAnsiTheme="minorEastAsia" w:cs="Courier New" w:hint="eastAsia"/>
          <w:color w:val="000000" w:themeColor="text1"/>
          <w:szCs w:val="21"/>
        </w:rPr>
        <w:t>1、董事、监事及高级管理人员</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刘晓艳女士，经济学博士、工商管理博士。现任易方达基金管理有限公司副董事长、总</w:t>
      </w:r>
      <w:r w:rsidRPr="00713EF1">
        <w:rPr>
          <w:rFonts w:asciiTheme="minorEastAsia" w:eastAsiaTheme="minorEastAsia" w:hAnsiTheme="minorEastAsia" w:hint="eastAsia"/>
          <w:color w:val="000000" w:themeColor="text1"/>
          <w:szCs w:val="21"/>
        </w:rPr>
        <w:t>裁，易方达国际控股有限公司董事。曾任广发证券有限责任公司投资理财部副经理、基金经理</w:t>
      </w:r>
      <w:r w:rsidRPr="00713EF1">
        <w:rPr>
          <w:rFonts w:asciiTheme="minorEastAsia" w:eastAsiaTheme="minorEastAsia" w:hAnsiTheme="minorEastAsia"/>
          <w:color w:val="000000" w:themeColor="text1"/>
          <w:szCs w:val="21"/>
        </w:rPr>
        <w:t>、</w:t>
      </w:r>
      <w:r w:rsidRPr="00713EF1">
        <w:rPr>
          <w:rFonts w:asciiTheme="minorEastAsia" w:eastAsiaTheme="minorEastAsia" w:hAnsiTheme="minorEastAsia" w:hint="eastAsia"/>
          <w:color w:val="000000" w:themeColor="text1"/>
          <w:szCs w:val="21"/>
        </w:rPr>
        <w:t>基金投资理财部副总经理，易方达基金管理有限公司督察员、监察部总经理、市场部总经理、总裁助理、副总裁、常务副总裁，易方达资产管理有限公司董事，易方达资产管理（香港）有限公司董事长。</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周泽群先生，高级管理人员工商管理硕士（EMBA）。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秦力先生，经济学博士。现任易方达基金管理有限公司董事，广发证券股份有限公司执行董事、公司总监。曾任广发证券投资银行部常务副总经理、投资理财部总经理、资金营运部总经理、规划管理部总经理、投资部总经理、公司总经理助理、副总经理、常务副总经理，广东金融高新区股权</w:t>
      </w:r>
      <w:r w:rsidRPr="00634578">
        <w:rPr>
          <w:rFonts w:asciiTheme="minorEastAsia" w:eastAsiaTheme="minorEastAsia" w:hAnsiTheme="minorEastAsia" w:cs="Courier New" w:hint="eastAsia"/>
          <w:color w:val="000000" w:themeColor="text1"/>
          <w:szCs w:val="21"/>
        </w:rPr>
        <w:t>交易中心有限公司董事长，广发证券资产管理（广东）有限公司董事长，广发控股</w:t>
      </w:r>
      <w:r w:rsidRPr="00713EF1">
        <w:rPr>
          <w:rFonts w:asciiTheme="minorEastAsia" w:eastAsiaTheme="minorEastAsia" w:hAnsiTheme="minorEastAsia" w:hint="eastAsia"/>
          <w:color w:val="000000" w:themeColor="text1"/>
          <w:szCs w:val="21"/>
        </w:rPr>
        <w:t>（香港）有限公司董事长。</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苏斌先生，管理学硕士。现任易方达基金管理有限公司董事，盈峰集团有限公司董事、副总裁，盈合（深圳）机器人与自动化科技有限公司董事长，广东民营投资股份有限公司董事，宁波盈峰股权投资基金管理有限公司执行董事，北京华录百纳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潘文皓先生，经济学硕士。现任易方达基金管理有限公司董事，广东省广晟控股集团有限公司资本运营部副部长（主持工作），广东南粤银行股份有限公司董事，澳大利亚泛澳公司董事，广东省广晟财务有限公司董事。曾任劲牌有限公司资金管理部综合分析员，云南锡业股份有限公司证券部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忻榕女士，工商行政管理博士。现任易方达基金管理有限公司独立董事，中欧国际工商学院教授，复星旅游文化集团（开曼）有限公司独立董事，上海汇招信息技术有限公司董事，上海卡恩文化传播股份有限公司独立董事，上海智篆文化传播有限公司董事。曾任中科院研究生院讲师，美国加州高温橡胶公司市场部经理，美国加州大学讲师，美国南加州大学助理教授，香港科技大学副教授，中欧国际工商学院教授，瑞士洛桑管理学院教授。</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谭劲松先生，管理学博士（会计学）。现任易方达基金管理有限公司独立董事，中山大学管理学院教授，中远海运特种运输股份有限公司独立董事，上海莱士血液制品股份有限公司独立董事，广州环保投资集团有限公司外部董事，玉山银行（中国）有限公司独立董事，</w:t>
      </w:r>
      <w:r w:rsidRPr="00713EF1">
        <w:rPr>
          <w:rFonts w:asciiTheme="minorEastAsia" w:eastAsiaTheme="minorEastAsia" w:hAnsiTheme="minorEastAsia" w:hint="eastAsia"/>
          <w:color w:val="000000" w:themeColor="text1"/>
          <w:szCs w:val="21"/>
        </w:rPr>
        <w:t>广东粤财金融租赁股份有限公司独立董事，中新广州知识城投资开发有限公司监事，美的置业控股有限公司独立非执行董事，中信证券华南股份有限公司独立董事，数字广东网络建设有限公司独立董事，广州农村商业银行股份有限公司独立董事，广州港集团有限公司外部董事。曾任邵阳市财会学校教师，中山大学管理学院助教、讲师、副教授，广州恒运企业集团股份有限公司独立董事，中国南方航空股份有限公司独立董事，珠海华发实业股份有限公司独立董事。</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王承志先生，法学博士。现任易方达基金管理有限公司独立董事，中山大学法学院副教授、博士生导师，广东省法学会国际法学研究会秘书长，中国国际私法学会理事，江苏凯强医学检验有限公司董事，广州茉莉数字科技集团股份有限公司独立董事，广东神朗律师事务所兼职律师，深圳市美之高科技股份有限公司独立董事。曾任美国天普大学法学院访问副教授。</w:t>
      </w:r>
    </w:p>
    <w:p w:rsidR="001B2008" w:rsidRPr="00634578" w:rsidP="00713EF1">
      <w:pPr>
        <w:snapToGrid w:val="0"/>
        <w:spacing w:line="360" w:lineRule="auto"/>
        <w:ind w:firstLine="42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刘发宏先生，工商管理硕士。现任易方达基金管理有限公司监事会主席，广东粤财信托有限公司董事，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司董事长。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廖智先生，经济学硕士。现任易方达基金管理有限公司监事、总裁助理、行政管理部总经理，广东粤财互联网金融股份有限公司董事。曾任广东证券股份有限公司基金部主管，易方达基金管理有限公司综合管理部副总经理、人力资源部副总经理、市场部总经理、互联网金融部总经理、综合管理部总经理。</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邓志盛先生，经济学研究生。现任易方达基金管理有限公司监事、行政总监、党群工作部总经理。曾任广东证监会信息部部长，中国证监会广州证管办机构二处处长，金鹰基金管理有限公司副总经理，易方达基金管理有限公司综合管理部总经理、董事会秘书。</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刘炜先生，工商管理硕士（EMBA）、法学硕士。现任易方达基金管理有限公司监事、人</w:t>
      </w:r>
      <w:r w:rsidRPr="00713EF1">
        <w:rPr>
          <w:rFonts w:asciiTheme="minorEastAsia" w:eastAsiaTheme="minorEastAsia" w:hAnsiTheme="minorEastAsia" w:hint="eastAsia"/>
          <w:color w:val="000000" w:themeColor="text1"/>
          <w:szCs w:val="21"/>
        </w:rPr>
        <w:t>力资源部总经理。曾任易方达基金管理有限公司监察部监察员、上海分公司销售经理、市场部总经理助理、人力资源部副总经理、综合管理部总经理。</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马骏先生，工商管理硕士（EMBA）。现任易方达基金管理有限公司常务副总裁、固定收益投资决策委员会委员，易方达资产管理（香港）有限公司董事长、人民币合格境外投资者（</w:t>
      </w:r>
      <w:r w:rsidRPr="00713EF1">
        <w:rPr>
          <w:rFonts w:asciiTheme="minorEastAsia" w:eastAsiaTheme="minorEastAsia" w:hAnsiTheme="minorEastAsia"/>
          <w:color w:val="000000" w:themeColor="text1"/>
          <w:szCs w:val="21"/>
        </w:rPr>
        <w:t>RQFII</w:t>
      </w:r>
      <w:r w:rsidRPr="00713EF1">
        <w:rPr>
          <w:rFonts w:asciiTheme="minorEastAsia" w:eastAsiaTheme="minorEastAsia" w:hAnsiTheme="minorEastAsia" w:hint="eastAsia"/>
          <w:color w:val="000000" w:themeColor="text1"/>
          <w:szCs w:val="21"/>
        </w:rPr>
        <w:t>）业务负责人、证券交易负责人员（</w:t>
      </w:r>
      <w:r w:rsidRPr="00713EF1">
        <w:rPr>
          <w:rFonts w:asciiTheme="minorEastAsia" w:eastAsiaTheme="minorEastAsia" w:hAnsiTheme="minorEastAsia"/>
          <w:color w:val="000000" w:themeColor="text1"/>
          <w:szCs w:val="21"/>
        </w:rPr>
        <w:t>RO</w:t>
      </w:r>
      <w:r w:rsidRPr="00713EF1">
        <w:rPr>
          <w:rFonts w:asciiTheme="minorEastAsia" w:eastAsiaTheme="minorEastAsia" w:hAnsiTheme="minorEastAsia" w:hint="eastAsia"/>
          <w:color w:val="000000" w:themeColor="text1"/>
          <w:szCs w:val="21"/>
        </w:rPr>
        <w:t>）、就证券提供意见负责人员（</w:t>
      </w:r>
      <w:r w:rsidRPr="00713EF1">
        <w:rPr>
          <w:rFonts w:asciiTheme="minorEastAsia" w:eastAsiaTheme="minorEastAsia" w:hAnsiTheme="minorEastAsia"/>
          <w:color w:val="000000" w:themeColor="text1"/>
          <w:szCs w:val="21"/>
        </w:rPr>
        <w:t>RO</w:t>
      </w:r>
      <w:r w:rsidRPr="00713EF1">
        <w:rPr>
          <w:rFonts w:asciiTheme="minorEastAsia" w:eastAsiaTheme="minorEastAsia" w:hAnsiTheme="minorEastAsia" w:hint="eastAsia"/>
          <w:color w:val="000000" w:themeColor="text1"/>
          <w:szCs w:val="21"/>
        </w:rPr>
        <w:t>）、提供资产管理负责人员（</w:t>
      </w:r>
      <w:r w:rsidRPr="00713EF1">
        <w:rPr>
          <w:rFonts w:asciiTheme="minorEastAsia" w:eastAsiaTheme="minorEastAsia" w:hAnsiTheme="minorEastAsia"/>
          <w:color w:val="000000" w:themeColor="text1"/>
          <w:szCs w:val="21"/>
        </w:rPr>
        <w:t>RO</w:t>
      </w:r>
      <w:r w:rsidRPr="00713EF1">
        <w:rPr>
          <w:rFonts w:asciiTheme="minorEastAsia" w:eastAsiaTheme="minorEastAsia" w:hAnsiTheme="minorEastAsia" w:hint="eastAsia"/>
          <w:color w:val="000000" w:themeColor="text1"/>
          <w:szCs w:val="21"/>
        </w:rPr>
        <w:t>）、产品审批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吴欣荣先生，工学硕士。现任易方达基金管理有限公司常务副总裁、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张南女士，经济学博士。现任易方达基金管理有限公司督察长。曾任广东省经济贸易委员会主任科员、副处长，易方达基金管理有限公司市场拓展部副总经理、监察部总经理。</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范岳先生，工商管理硕士。现任易方达基金管理有限公司副总经理级高级管理人员。曾任中国工商银行深圳分行国际业务部科员，深圳证券登记结算公司办公室经理、国际部经理，深圳证券交易所北京中心助理主任、上市部副总监、基金债券部副总监、基金管理部总监，易方达资产管理（香港）有限公司董事。</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高松凡先生，工商管理硕士（E</w:t>
      </w:r>
      <w:r w:rsidRPr="00713EF1">
        <w:rPr>
          <w:rFonts w:asciiTheme="minorEastAsia" w:eastAsiaTheme="minorEastAsia" w:hAnsiTheme="minorEastAsia"/>
          <w:color w:val="000000" w:themeColor="text1"/>
          <w:szCs w:val="21"/>
        </w:rPr>
        <w:t>MBA</w:t>
      </w:r>
      <w:r w:rsidRPr="00713EF1">
        <w:rPr>
          <w:rFonts w:asciiTheme="minorEastAsia" w:eastAsiaTheme="minorEastAsia" w:hAnsiTheme="minorEastAsia" w:hint="eastAsia"/>
          <w:color w:val="000000" w:themeColor="text1"/>
          <w:szCs w:val="21"/>
        </w:rPr>
        <w:t>）。现任易方达基金管理有限公司副总经理级高级管理人员。曾任招商银行总行人事部高级经理、企业年金中心副主任，浦东发展银行总行企业年金部总经理，长江养老保险公司首席市场总监，易方达基金管理有限公司养老金业务总监。</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关秀霞女士，工商管理硕士、金融学硕士。现任易方达基金管理有限公司副总经理级高级管理人员。曾任中国银行（香港）有限公司分析员，Daniel Dennis高级审计师，美国道富银行公司内部审计部高级审计师、美国共同基金业务风险经理、亚洲区（除日本外）机构服务主管、亚洲区（除日本外）副总裁、大中华地区董事总经理、大中华地区高级副总裁、中国区行长。</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陈荣女士，经济学博士。现任易方达基金管理有限公司副总经理级高级管理人员，易方</w:t>
      </w:r>
      <w:r w:rsidRPr="00713EF1">
        <w:rPr>
          <w:rFonts w:asciiTheme="minorEastAsia" w:eastAsiaTheme="minorEastAsia" w:hAnsiTheme="minorEastAsia" w:hint="eastAsia"/>
          <w:color w:val="000000" w:themeColor="text1"/>
          <w:szCs w:val="21"/>
        </w:rPr>
        <w:t>达国际控股有限公司董事，易方达资产管理（香港）有限公司董事，易方达资产管理有限公司监事，易方达私募基金管理（上海）有限公司监事。曾任中国人民银行广州分行统计研究处科员，易方达基金管理有限公司运作支持部经理、核算部总经理助理、核算部副总经理、核算部总经理、投资风险管理部总经理、总裁助理、董事会秘书、公司财务中心主任。</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张坤先生，理学硕士。现任易方达基金管理有限公司副总经理级高级管理人员、权益投资决策委员会委员、基金经理。曾任易方达基金管理有限公司行业研究员、基金经理助理、研究部总经理助理。</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胡剑先生，经济学硕士。现任易方达基金管理有限公司副总经理级高级管理人员、固定收益投资业务总部总经理、固定收益投资决策委员会委员、基金经理。曾任易方达基金管理有限公司债券研究员、基金经理助理、固定收益研究部负责人、固定收益总部总经理助理、固定收益研究部总经理、固定收益投资部总经理。</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张清华先生，物理学硕士。现任易方达基金管理有限公司副总经理级高级管理人员、多资产投资业务总部总经理、固定收益投资决策委员会委员、基金经理。曾任晨星资讯（深圳）有限公司数量分析师，中信证券股份有限公司研究员，易方达基金管理有限公司投资经理、固定收益基金投资部总经理、混合资产投资部总经理。</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娄利舟女士，工商管理硕士（EMBA）、经济学硕士。现任易方达基金管理有限公司副总经理级高级管理人员、FOF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萧楠先生，经济学硕士。现任易方达基金管理有限公司副总经理级高级管理人员、投资三部总经理、研究部副总经理、基金经理。曾任易方达基金管理有限公司行业研究员、基金经理助理、投资经理。</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管勇先生，理学硕士。现任易方达基金管理有限公司首席信息官、规划与支持中心总经理。曾任长城证券有限责任公司信息技术中心职员、营业部电脑部经理，金鹰基金管理有限公司运作保障部经理、总监助理、副总监、总监，国泰基金管理有限公司信息技术部副总监</w:t>
      </w:r>
      <w:r w:rsidRPr="00713EF1">
        <w:rPr>
          <w:rFonts w:asciiTheme="minorEastAsia" w:eastAsiaTheme="minorEastAsia" w:hAnsiTheme="minorEastAsia" w:hint="eastAsia"/>
          <w:color w:val="000000" w:themeColor="text1"/>
          <w:szCs w:val="21"/>
        </w:rPr>
        <w:t>（主持工作）、总监，易方达基金管理有限公司信息技术部副总经理、系统研发部副总经理、技术运营部总经理、数据平台研发中心总经理。</w:t>
      </w:r>
    </w:p>
    <w:p w:rsidR="001B2008" w:rsidRPr="00713EF1" w:rsidP="00713EF1">
      <w:pPr>
        <w:snapToGrid w:val="0"/>
        <w:spacing w:line="360" w:lineRule="auto"/>
        <w:ind w:firstLine="420"/>
        <w:rPr>
          <w:rFonts w:asciiTheme="minorEastAsia" w:eastAsiaTheme="minorEastAsia" w:hAnsiTheme="minorEastAsia"/>
          <w:color w:val="000000" w:themeColor="text1"/>
          <w:szCs w:val="21"/>
        </w:rPr>
      </w:pPr>
      <w:r w:rsidRPr="00713EF1">
        <w:rPr>
          <w:rFonts w:asciiTheme="minorEastAsia" w:eastAsiaTheme="minorEastAsia" w:hAnsiTheme="minorEastAsia" w:hint="eastAsia"/>
          <w:color w:val="000000" w:themeColor="text1"/>
          <w:szCs w:val="21"/>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FA0FA2" w:rsidRPr="00634578" w:rsidP="00BB159E">
      <w:pPr>
        <w:snapToGrid w:val="0"/>
        <w:spacing w:line="360" w:lineRule="auto"/>
        <w:ind w:firstLine="420"/>
        <w:rPr>
          <w:rFonts w:asciiTheme="minorEastAsia" w:eastAsiaTheme="minorEastAsia" w:hAnsiTheme="minorEastAsia" w:cs="Courier New"/>
          <w:color w:val="000000" w:themeColor="text1"/>
          <w:szCs w:val="21"/>
        </w:rPr>
      </w:pPr>
      <w:r w:rsidRPr="00634578">
        <w:rPr>
          <w:rFonts w:asciiTheme="minorEastAsia" w:eastAsiaTheme="minorEastAsia" w:hAnsiTheme="minorEastAsia" w:cs="Courier New"/>
          <w:color w:val="000000" w:themeColor="text1"/>
          <w:szCs w:val="21"/>
        </w:rPr>
        <w:t>2、基金经理</w:t>
      </w:r>
    </w:p>
    <w:p w:rsidR="002442FF" w:rsidRPr="00634578" w:rsidP="002442FF">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梁莹女士，经济学硕士、金融学硕士，本基金的基金经理。现任易方达基金管理有限公司现金管理部总经理助理、易方达增金宝货币市场基金基金经理（自2015年1月20日起任职）、易方达财富快线货币市场基金基金经理（自2015年3月17日起任职）、易方达天天增利货币市场基金基金经理（自2015年3月17日起任职）、易方达龙宝货币市场基金基金经理（自2015年3月17日起任职）、易方达现金增利货币市场基金基金经理（自2015年6月19日起任职）、易方达保证金收益货币市场基金基金经理（自2017年8月8日起任职）、易方达安悦超短债债券型证券投资基金基金经理（自2018年12月5日起任职）、易方达安和中短债债券型证券投资基金基金经理（自2020年12月7日起任职）、易方达稳鑫30天滚动持有短债债券型证券投资基金基金经理（自2021年4月8日起任职）、易方达稳丰90天滚动持有短债债券型证券投资基金基金经理（自2021年7月30日起任职）、易方达货币市场基金基金经理助理、易方达天天理财货币市场基金基金经理助理、易方达易理财货币市场基金基金经理助理、易方达天天发货币市场基金基金经理助理。曾任招商证券股份有限公司债券销售交易部交易员，易方达基金管理有限公司固定收益交易员、投资经理、易方达双月利理财债券型证券投资基金基金经理（自2014年9月24日至2019年5月27日）、易方达月月利理财债券型证券投资基金基金经理（自2014年9月24日至2020年12月6日）、易方达掌柜季季盈理财债券型证券投资基金基金经理（自2017年7月11日至2020年12月27日）、易方达保证金收益货币市场基金基金经理助理，易方达资产管理（香港）有限公司基金经理。</w:t>
      </w:r>
    </w:p>
    <w:p w:rsidR="002442FF" w:rsidRPr="00634578" w:rsidP="002442FF">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易瓅女士，理学硕士，本基金的基金经理助理。现任易方达基金管理有限公司投资经理、易方达货币市场基金基金经理助理、易方达天天理财货币市场基金基金经理助理、易方达保证金收益货币市场基金基金经理助理、易方达易理财货币市场基金基金经理助理、易方达财富快线货币市场基金基金经理助理、易方达天天增利货币市场基金基金经理助理、易方达龙宝货币市场基金基金经理助理、易方达增金宝货币市场基金基金经理助理、易方达现金增利货币市场基金基金经理助理、易方达天天发货币市场基金基金经理助理、易方达安悦超短债债券型证券投资基金基金经理助理、易方达安和中短债债券型证券投资基金基金经理助理、</w:t>
      </w:r>
      <w:r w:rsidRPr="00634578">
        <w:rPr>
          <w:rFonts w:asciiTheme="minorEastAsia" w:eastAsiaTheme="minorEastAsia" w:hAnsiTheme="minorEastAsia" w:hint="eastAsia"/>
          <w:color w:val="000000" w:themeColor="text1"/>
        </w:rPr>
        <w:t>易方达稳鑫30天滚动持有短债债券型证券投资基金基金经理助理、易方达稳丰90天滚动持有短债债券型证券投资基金基金经理助理。曾任汇添富基金管理有限公司债券交易员，易方达基金管理有限公司债券交易员、易方达双月利理财债券型证券投资基金基金经理助理、易方达月月利理财债券型证券投资基金基金经理助理、易方达掌柜季季盈理财债券型证券投资基金基金经理助理。</w:t>
      </w:r>
    </w:p>
    <w:p w:rsidR="002442FF" w:rsidRPr="00634578" w:rsidP="002442FF">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本基金历任基金经理情况：石大怿，管理时间为2014年9月12日至2021年10月19日。</w:t>
      </w:r>
    </w:p>
    <w:p w:rsidR="002442FF" w:rsidRPr="00634578" w:rsidP="002442FF">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3、固定收益投资决策委员会成员</w:t>
      </w:r>
    </w:p>
    <w:p w:rsidR="002442FF" w:rsidRPr="00634578" w:rsidP="002442FF">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本公司固定收益投资决策委员会成员包括：马骏先生、胡剑先生、张清华先生、王晓晨女士、袁方女士、刘朝阳女士、祁广东先生。</w:t>
      </w:r>
    </w:p>
    <w:p w:rsidR="002442FF" w:rsidRPr="00634578" w:rsidP="002442FF">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马骏先生，同上。</w:t>
      </w:r>
    </w:p>
    <w:p w:rsidR="002442FF" w:rsidRPr="00634578" w:rsidP="002442FF">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胡剑先生，同上。</w:t>
      </w:r>
    </w:p>
    <w:p w:rsidR="002442FF" w:rsidRPr="00634578" w:rsidP="002442FF">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张清华先生，同上。</w:t>
      </w:r>
    </w:p>
    <w:p w:rsidR="002442FF" w:rsidRPr="00634578" w:rsidP="002442FF">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王晓晨女士，易方达基金管理有限公司固定收益全策略投资部总经理、基金经理，易方达资产管理（香港）有限公司基金经理、就证券提供意见负责人员（RO）、提供资产管理负责人员（RO）。</w:t>
      </w:r>
    </w:p>
    <w:p w:rsidR="002442FF" w:rsidRPr="00634578" w:rsidP="002442FF">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袁方女士，易方达基金管理有限公司多资产养老金投资部总经理</w:t>
      </w:r>
      <w:r w:rsidRPr="00634578" w:rsidR="00E75773">
        <w:rPr>
          <w:rFonts w:asciiTheme="minorEastAsia" w:eastAsiaTheme="minorEastAsia" w:hAnsiTheme="minorEastAsia" w:hint="eastAsia"/>
          <w:color w:val="000000" w:themeColor="text1"/>
        </w:rPr>
        <w:t>、基金经理</w:t>
      </w:r>
      <w:r w:rsidRPr="00634578">
        <w:rPr>
          <w:rFonts w:asciiTheme="minorEastAsia" w:eastAsiaTheme="minorEastAsia" w:hAnsiTheme="minorEastAsia" w:hint="eastAsia"/>
          <w:color w:val="000000" w:themeColor="text1"/>
        </w:rPr>
        <w:t>。</w:t>
      </w:r>
    </w:p>
    <w:p w:rsidR="002442FF" w:rsidRPr="00634578" w:rsidP="002442FF">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刘朝阳女士，易方达基金管理有限公司现金管理部总经理、基金经理。</w:t>
      </w:r>
    </w:p>
    <w:p w:rsidR="002442FF"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祁广东先生，易方达基金管理有限公司国际投资部总经理、基金经理，易方达资产管理（香港）有限公司首席投资官（国际固定收益）、就证券提供意见负责人员（RO）、提供资产管理负责人员（RO）、投资决策委员会委员。</w:t>
      </w:r>
    </w:p>
    <w:p w:rsidR="00DB3659" w:rsidRPr="00634578" w:rsidP="00BB159E">
      <w:pPr>
        <w:snapToGrid w:val="0"/>
        <w:spacing w:line="360" w:lineRule="auto"/>
        <w:ind w:firstLine="420"/>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kern w:val="0"/>
          <w:szCs w:val="21"/>
        </w:rPr>
        <w:t>4</w:t>
      </w:r>
      <w:r w:rsidRPr="00634578">
        <w:rPr>
          <w:rFonts w:asciiTheme="minorEastAsia" w:eastAsiaTheme="minorEastAsia" w:hAnsiTheme="minorEastAsia" w:hint="eastAsia"/>
          <w:color w:val="000000" w:themeColor="text1"/>
          <w:kern w:val="0"/>
          <w:szCs w:val="21"/>
        </w:rPr>
        <w:t>、上述人员之间均不存在近亲属关系。</w:t>
      </w:r>
    </w:p>
    <w:p w:rsidR="00DB3659" w:rsidRPr="00634578" w:rsidP="00BB159E">
      <w:pPr>
        <w:snapToGrid w:val="0"/>
        <w:spacing w:line="360" w:lineRule="auto"/>
        <w:ind w:firstLine="420"/>
        <w:rPr>
          <w:rFonts w:asciiTheme="minorEastAsia" w:eastAsiaTheme="minorEastAsia" w:hAnsiTheme="minorEastAsia"/>
          <w:color w:val="000000" w:themeColor="text1"/>
          <w:kern w:val="0"/>
        </w:rPr>
      </w:pPr>
      <w:bookmarkStart w:id="7" w:name="_Toc327734792"/>
      <w:r w:rsidRPr="00634578">
        <w:rPr>
          <w:rFonts w:asciiTheme="minorEastAsia" w:eastAsiaTheme="minorEastAsia" w:hAnsiTheme="minorEastAsia" w:hint="eastAsia"/>
          <w:color w:val="000000" w:themeColor="text1"/>
          <w:kern w:val="0"/>
        </w:rPr>
        <w:t>（三）基金管理人的职责</w:t>
      </w:r>
      <w:bookmarkEnd w:id="7"/>
    </w:p>
    <w:p w:rsidR="00DB3659" w:rsidRPr="00634578" w:rsidP="00BB159E">
      <w:pPr>
        <w:snapToGrid w:val="0"/>
        <w:spacing w:line="360" w:lineRule="auto"/>
        <w:ind w:firstLine="420" w:firstLineChars="200"/>
        <w:rPr>
          <w:rStyle w:val="da"/>
          <w:rFonts w:asciiTheme="minorEastAsia" w:eastAsiaTheme="minorEastAsia" w:hAnsiTheme="minorEastAsia"/>
          <w:color w:val="000000" w:themeColor="text1"/>
        </w:rPr>
      </w:pPr>
      <w:r w:rsidRPr="00634578">
        <w:rPr>
          <w:rStyle w:val="da"/>
          <w:rFonts w:asciiTheme="minorEastAsia" w:eastAsiaTheme="minorEastAsia" w:hAnsiTheme="minorEastAsia"/>
          <w:color w:val="000000" w:themeColor="text1"/>
        </w:rPr>
        <w:t>1</w:t>
      </w:r>
      <w:r w:rsidRPr="00634578">
        <w:rPr>
          <w:rStyle w:val="da"/>
          <w:rFonts w:asciiTheme="minorEastAsia" w:eastAsiaTheme="minorEastAsia" w:hAnsiTheme="minorEastAsia" w:hint="eastAsia"/>
          <w:color w:val="000000" w:themeColor="text1"/>
        </w:rPr>
        <w:t>、依法募集资金，办理基金份额的发售和登记事宜；</w:t>
      </w:r>
    </w:p>
    <w:p w:rsidR="00DB3659" w:rsidRPr="00634578" w:rsidP="00BB159E">
      <w:pPr>
        <w:snapToGrid w:val="0"/>
        <w:spacing w:line="360" w:lineRule="auto"/>
        <w:ind w:firstLine="420" w:firstLineChars="200"/>
        <w:rPr>
          <w:rStyle w:val="da"/>
          <w:rFonts w:asciiTheme="minorEastAsia" w:eastAsiaTheme="minorEastAsia" w:hAnsiTheme="minorEastAsia"/>
          <w:color w:val="000000" w:themeColor="text1"/>
        </w:rPr>
      </w:pPr>
      <w:bookmarkStart w:id="8" w:name="_Toc332373452"/>
      <w:r w:rsidRPr="00634578">
        <w:rPr>
          <w:rStyle w:val="da"/>
          <w:rFonts w:asciiTheme="minorEastAsia" w:eastAsiaTheme="minorEastAsia" w:hAnsiTheme="minorEastAsia"/>
          <w:color w:val="000000" w:themeColor="text1"/>
        </w:rPr>
        <w:t>2</w:t>
      </w:r>
      <w:r w:rsidRPr="00634578">
        <w:rPr>
          <w:rStyle w:val="da"/>
          <w:rFonts w:asciiTheme="minorEastAsia" w:eastAsiaTheme="minorEastAsia" w:hAnsiTheme="minorEastAsia" w:hint="eastAsia"/>
          <w:color w:val="000000" w:themeColor="text1"/>
        </w:rPr>
        <w:t>、办理基金备案手续；</w:t>
      </w:r>
      <w:bookmarkEnd w:id="8"/>
    </w:p>
    <w:p w:rsidR="00DB3659" w:rsidRPr="00634578" w:rsidP="00BB159E">
      <w:pPr>
        <w:snapToGrid w:val="0"/>
        <w:spacing w:line="360" w:lineRule="auto"/>
        <w:ind w:firstLine="420" w:firstLineChars="200"/>
        <w:rPr>
          <w:rStyle w:val="da"/>
          <w:rFonts w:asciiTheme="minorEastAsia" w:eastAsiaTheme="minorEastAsia" w:hAnsiTheme="minorEastAsia"/>
          <w:color w:val="000000" w:themeColor="text1"/>
        </w:rPr>
      </w:pPr>
      <w:r w:rsidRPr="00634578">
        <w:rPr>
          <w:rStyle w:val="da"/>
          <w:rFonts w:asciiTheme="minorEastAsia" w:eastAsiaTheme="minorEastAsia" w:hAnsiTheme="minorEastAsia"/>
          <w:color w:val="000000" w:themeColor="text1"/>
        </w:rPr>
        <w:t>3</w:t>
      </w:r>
      <w:r w:rsidRPr="00634578">
        <w:rPr>
          <w:rStyle w:val="da"/>
          <w:rFonts w:asciiTheme="minorEastAsia" w:eastAsiaTheme="minorEastAsia" w:hAnsiTheme="minorEastAsia" w:hint="eastAsia"/>
          <w:color w:val="000000" w:themeColor="text1"/>
        </w:rPr>
        <w:t>、对所管理的不同基金财产分别管理、分别记账，进行证券投资；</w:t>
      </w:r>
    </w:p>
    <w:p w:rsidR="00DB3659" w:rsidRPr="00634578" w:rsidP="00BB159E">
      <w:pPr>
        <w:snapToGrid w:val="0"/>
        <w:spacing w:line="360" w:lineRule="auto"/>
        <w:ind w:firstLine="420" w:firstLineChars="200"/>
        <w:rPr>
          <w:rStyle w:val="da"/>
          <w:rFonts w:asciiTheme="minorEastAsia" w:eastAsiaTheme="minorEastAsia" w:hAnsiTheme="minorEastAsia"/>
          <w:color w:val="000000" w:themeColor="text1"/>
        </w:rPr>
      </w:pPr>
      <w:r w:rsidRPr="00634578">
        <w:rPr>
          <w:rStyle w:val="da"/>
          <w:rFonts w:asciiTheme="minorEastAsia" w:eastAsiaTheme="minorEastAsia" w:hAnsiTheme="minorEastAsia"/>
          <w:color w:val="000000" w:themeColor="text1"/>
        </w:rPr>
        <w:t>4</w:t>
      </w:r>
      <w:r w:rsidRPr="00634578">
        <w:rPr>
          <w:rStyle w:val="da"/>
          <w:rFonts w:asciiTheme="minorEastAsia" w:eastAsiaTheme="minorEastAsia" w:hAnsiTheme="minorEastAsia" w:hint="eastAsia"/>
          <w:color w:val="000000" w:themeColor="text1"/>
        </w:rPr>
        <w:t>、按照基金合同的约定确定基金收益分配方案，及时向基金份额持有人分配收益；</w:t>
      </w:r>
    </w:p>
    <w:p w:rsidR="00DB3659" w:rsidRPr="00634578" w:rsidP="00BB159E">
      <w:pPr>
        <w:snapToGrid w:val="0"/>
        <w:spacing w:line="360" w:lineRule="auto"/>
        <w:ind w:firstLine="420" w:firstLineChars="200"/>
        <w:rPr>
          <w:rStyle w:val="da"/>
          <w:rFonts w:asciiTheme="minorEastAsia" w:eastAsiaTheme="minorEastAsia" w:hAnsiTheme="minorEastAsia"/>
          <w:color w:val="000000" w:themeColor="text1"/>
        </w:rPr>
      </w:pPr>
      <w:r w:rsidRPr="00634578">
        <w:rPr>
          <w:rStyle w:val="da"/>
          <w:rFonts w:asciiTheme="minorEastAsia" w:eastAsiaTheme="minorEastAsia" w:hAnsiTheme="minorEastAsia"/>
          <w:color w:val="000000" w:themeColor="text1"/>
        </w:rPr>
        <w:t>5</w:t>
      </w:r>
      <w:r w:rsidRPr="00634578">
        <w:rPr>
          <w:rStyle w:val="da"/>
          <w:rFonts w:asciiTheme="minorEastAsia" w:eastAsiaTheme="minorEastAsia" w:hAnsiTheme="minorEastAsia" w:hint="eastAsia"/>
          <w:color w:val="000000" w:themeColor="text1"/>
        </w:rPr>
        <w:t>、进行基金会计核算并编制基金财务会计报告；</w:t>
      </w:r>
    </w:p>
    <w:p w:rsidR="00DB3659" w:rsidRPr="00634578" w:rsidP="00BB159E">
      <w:pPr>
        <w:snapToGrid w:val="0"/>
        <w:spacing w:line="360" w:lineRule="auto"/>
        <w:ind w:firstLine="420" w:firstLineChars="200"/>
        <w:rPr>
          <w:rStyle w:val="da"/>
          <w:rFonts w:asciiTheme="minorEastAsia" w:eastAsiaTheme="minorEastAsia" w:hAnsiTheme="minorEastAsia"/>
          <w:color w:val="000000" w:themeColor="text1"/>
        </w:rPr>
      </w:pPr>
      <w:r w:rsidRPr="00634578">
        <w:rPr>
          <w:rStyle w:val="da"/>
          <w:rFonts w:asciiTheme="minorEastAsia" w:eastAsiaTheme="minorEastAsia" w:hAnsiTheme="minorEastAsia"/>
          <w:color w:val="000000" w:themeColor="text1"/>
        </w:rPr>
        <w:t>6</w:t>
      </w:r>
      <w:r w:rsidRPr="00634578">
        <w:rPr>
          <w:rStyle w:val="da"/>
          <w:rFonts w:asciiTheme="minorEastAsia" w:eastAsiaTheme="minorEastAsia" w:hAnsiTheme="minorEastAsia" w:hint="eastAsia"/>
          <w:color w:val="000000" w:themeColor="text1"/>
        </w:rPr>
        <w:t>、编制季度</w:t>
      </w:r>
      <w:r w:rsidRPr="00634578" w:rsidR="00CA2EAE">
        <w:rPr>
          <w:rStyle w:val="da"/>
          <w:rFonts w:asciiTheme="minorEastAsia" w:eastAsiaTheme="minorEastAsia" w:hAnsiTheme="minorEastAsia" w:hint="eastAsia"/>
          <w:color w:val="000000" w:themeColor="text1"/>
        </w:rPr>
        <w:t>报告</w:t>
      </w:r>
      <w:r w:rsidRPr="00634578">
        <w:rPr>
          <w:rStyle w:val="da"/>
          <w:rFonts w:asciiTheme="minorEastAsia" w:eastAsiaTheme="minorEastAsia" w:hAnsiTheme="minorEastAsia" w:hint="eastAsia"/>
          <w:color w:val="000000" w:themeColor="text1"/>
        </w:rPr>
        <w:t>、</w:t>
      </w:r>
      <w:r w:rsidRPr="00634578" w:rsidR="00CA2EAE">
        <w:rPr>
          <w:rStyle w:val="da"/>
          <w:rFonts w:asciiTheme="minorEastAsia" w:eastAsiaTheme="minorEastAsia" w:hAnsiTheme="minorEastAsia" w:hint="eastAsia"/>
          <w:color w:val="000000" w:themeColor="text1"/>
        </w:rPr>
        <w:t>中期报告</w:t>
      </w:r>
      <w:r w:rsidRPr="00634578">
        <w:rPr>
          <w:rStyle w:val="da"/>
          <w:rFonts w:asciiTheme="minorEastAsia" w:eastAsiaTheme="minorEastAsia" w:hAnsiTheme="minorEastAsia" w:hint="eastAsia"/>
          <w:color w:val="000000" w:themeColor="text1"/>
        </w:rPr>
        <w:t>和年度报告；</w:t>
      </w:r>
    </w:p>
    <w:p w:rsidR="00DB3659" w:rsidRPr="00634578" w:rsidP="00BB159E">
      <w:pPr>
        <w:snapToGrid w:val="0"/>
        <w:spacing w:line="360" w:lineRule="auto"/>
        <w:ind w:firstLine="420" w:firstLineChars="200"/>
        <w:rPr>
          <w:rStyle w:val="da"/>
          <w:rFonts w:asciiTheme="minorEastAsia" w:eastAsiaTheme="minorEastAsia" w:hAnsiTheme="minorEastAsia"/>
          <w:color w:val="000000" w:themeColor="text1"/>
        </w:rPr>
      </w:pPr>
      <w:r w:rsidRPr="00634578">
        <w:rPr>
          <w:rStyle w:val="da"/>
          <w:rFonts w:asciiTheme="minorEastAsia" w:eastAsiaTheme="minorEastAsia" w:hAnsiTheme="minorEastAsia"/>
          <w:color w:val="000000" w:themeColor="text1"/>
        </w:rPr>
        <w:t>7</w:t>
      </w:r>
      <w:r w:rsidRPr="00634578">
        <w:rPr>
          <w:rStyle w:val="da"/>
          <w:rFonts w:asciiTheme="minorEastAsia" w:eastAsiaTheme="minorEastAsia" w:hAnsiTheme="minorEastAsia" w:hint="eastAsia"/>
          <w:color w:val="000000" w:themeColor="text1"/>
        </w:rPr>
        <w:t>、计算并公告基金</w:t>
      </w:r>
      <w:r w:rsidRPr="00634578">
        <w:rPr>
          <w:rFonts w:asciiTheme="minorEastAsia" w:eastAsiaTheme="minorEastAsia" w:hAnsiTheme="minorEastAsia" w:hint="eastAsia"/>
          <w:color w:val="000000" w:themeColor="text1"/>
        </w:rPr>
        <w:t>每万份基金已实现收益和</w:t>
      </w:r>
      <w:r w:rsidRPr="00634578">
        <w:rPr>
          <w:rFonts w:asciiTheme="minorEastAsia" w:eastAsiaTheme="minorEastAsia" w:hAnsiTheme="minorEastAsia"/>
          <w:color w:val="000000" w:themeColor="text1"/>
        </w:rPr>
        <w:t>7</w:t>
      </w:r>
      <w:r w:rsidRPr="00634578">
        <w:rPr>
          <w:rFonts w:asciiTheme="minorEastAsia" w:eastAsiaTheme="minorEastAsia" w:hAnsiTheme="minorEastAsia" w:hint="eastAsia"/>
          <w:color w:val="000000" w:themeColor="text1"/>
        </w:rPr>
        <w:t>日年化收益率</w:t>
      </w:r>
      <w:r w:rsidRPr="00634578">
        <w:rPr>
          <w:rStyle w:val="da"/>
          <w:rFonts w:asciiTheme="minorEastAsia" w:eastAsiaTheme="minorEastAsia" w:hAnsiTheme="minorEastAsia" w:hint="eastAsia"/>
          <w:color w:val="000000" w:themeColor="text1"/>
        </w:rPr>
        <w:t>；</w:t>
      </w:r>
    </w:p>
    <w:p w:rsidR="00DB3659" w:rsidRPr="00634578" w:rsidP="00BB159E">
      <w:pPr>
        <w:snapToGrid w:val="0"/>
        <w:spacing w:line="360" w:lineRule="auto"/>
        <w:ind w:firstLine="420" w:firstLineChars="200"/>
        <w:rPr>
          <w:rStyle w:val="da"/>
          <w:rFonts w:asciiTheme="minorEastAsia" w:eastAsiaTheme="minorEastAsia" w:hAnsiTheme="minorEastAsia"/>
          <w:color w:val="000000" w:themeColor="text1"/>
        </w:rPr>
      </w:pPr>
      <w:bookmarkStart w:id="9" w:name="_Toc332373453"/>
      <w:r w:rsidRPr="00634578">
        <w:rPr>
          <w:rStyle w:val="da"/>
          <w:rFonts w:asciiTheme="minorEastAsia" w:eastAsiaTheme="minorEastAsia" w:hAnsiTheme="minorEastAsia"/>
          <w:color w:val="000000" w:themeColor="text1"/>
        </w:rPr>
        <w:t>8</w:t>
      </w:r>
      <w:r w:rsidRPr="00634578">
        <w:rPr>
          <w:rStyle w:val="da"/>
          <w:rFonts w:asciiTheme="minorEastAsia" w:eastAsiaTheme="minorEastAsia" w:hAnsiTheme="minorEastAsia" w:hint="eastAsia"/>
          <w:color w:val="000000" w:themeColor="text1"/>
        </w:rPr>
        <w:t>、办理与基金财产管理业务活动有关的信息披露事项；</w:t>
      </w:r>
      <w:bookmarkEnd w:id="9"/>
    </w:p>
    <w:p w:rsidR="00DB3659" w:rsidRPr="00634578" w:rsidP="00BB159E">
      <w:pPr>
        <w:snapToGrid w:val="0"/>
        <w:spacing w:line="360" w:lineRule="auto"/>
        <w:ind w:firstLine="420" w:firstLineChars="200"/>
        <w:rPr>
          <w:rStyle w:val="da"/>
          <w:rFonts w:asciiTheme="minorEastAsia" w:eastAsiaTheme="minorEastAsia" w:hAnsiTheme="minorEastAsia"/>
          <w:color w:val="000000" w:themeColor="text1"/>
        </w:rPr>
      </w:pPr>
      <w:r w:rsidRPr="00634578">
        <w:rPr>
          <w:rStyle w:val="da"/>
          <w:rFonts w:asciiTheme="minorEastAsia" w:eastAsiaTheme="minorEastAsia" w:hAnsiTheme="minorEastAsia"/>
          <w:color w:val="000000" w:themeColor="text1"/>
        </w:rPr>
        <w:t>9</w:t>
      </w:r>
      <w:r w:rsidRPr="00634578">
        <w:rPr>
          <w:rStyle w:val="da"/>
          <w:rFonts w:asciiTheme="minorEastAsia" w:eastAsiaTheme="minorEastAsia" w:hAnsiTheme="minorEastAsia" w:hint="eastAsia"/>
          <w:color w:val="000000" w:themeColor="text1"/>
        </w:rPr>
        <w:t>、按照规定召集基金份额持有人大会；</w:t>
      </w:r>
    </w:p>
    <w:p w:rsidR="00DB3659" w:rsidRPr="00634578" w:rsidP="00BB159E">
      <w:pPr>
        <w:snapToGrid w:val="0"/>
        <w:spacing w:line="360" w:lineRule="auto"/>
        <w:ind w:firstLine="420" w:firstLineChars="200"/>
        <w:rPr>
          <w:rStyle w:val="da"/>
          <w:rFonts w:asciiTheme="minorEastAsia" w:eastAsiaTheme="minorEastAsia" w:hAnsiTheme="minorEastAsia"/>
          <w:color w:val="000000" w:themeColor="text1"/>
        </w:rPr>
      </w:pPr>
      <w:bookmarkStart w:id="10" w:name="_Toc332373454"/>
      <w:r w:rsidRPr="00634578">
        <w:rPr>
          <w:rStyle w:val="da"/>
          <w:rFonts w:asciiTheme="minorEastAsia" w:eastAsiaTheme="minorEastAsia" w:hAnsiTheme="minorEastAsia"/>
          <w:color w:val="000000" w:themeColor="text1"/>
        </w:rPr>
        <w:t>10</w:t>
      </w:r>
      <w:r w:rsidRPr="00634578">
        <w:rPr>
          <w:rStyle w:val="da"/>
          <w:rFonts w:asciiTheme="minorEastAsia" w:eastAsiaTheme="minorEastAsia" w:hAnsiTheme="minorEastAsia" w:hint="eastAsia"/>
          <w:color w:val="000000" w:themeColor="text1"/>
        </w:rPr>
        <w:t>、保存基金财产管理业务活动的记录、账册、报表和其他相关资料；</w:t>
      </w:r>
      <w:bookmarkEnd w:id="10"/>
    </w:p>
    <w:p w:rsidR="00DB3659" w:rsidRPr="00634578" w:rsidP="00BB159E">
      <w:pPr>
        <w:snapToGrid w:val="0"/>
        <w:spacing w:line="360" w:lineRule="auto"/>
        <w:ind w:firstLine="420" w:firstLineChars="200"/>
        <w:rPr>
          <w:rStyle w:val="da"/>
          <w:rFonts w:asciiTheme="minorEastAsia" w:eastAsiaTheme="minorEastAsia" w:hAnsiTheme="minorEastAsia"/>
          <w:color w:val="000000" w:themeColor="text1"/>
        </w:rPr>
      </w:pPr>
      <w:r w:rsidRPr="00634578">
        <w:rPr>
          <w:rStyle w:val="da"/>
          <w:rFonts w:asciiTheme="minorEastAsia" w:eastAsiaTheme="minorEastAsia" w:hAnsiTheme="minorEastAsia"/>
          <w:color w:val="000000" w:themeColor="text1"/>
        </w:rPr>
        <w:t>11</w:t>
      </w:r>
      <w:r w:rsidRPr="00634578">
        <w:rPr>
          <w:rStyle w:val="da"/>
          <w:rFonts w:asciiTheme="minorEastAsia" w:eastAsiaTheme="minorEastAsia" w:hAnsiTheme="minorEastAsia" w:hint="eastAsia"/>
          <w:color w:val="000000" w:themeColor="text1"/>
        </w:rPr>
        <w:t>、以基金管理人名义，代表基金份额持有人利益行使诉讼权利或者实施其他法律行为；</w:t>
      </w:r>
    </w:p>
    <w:p w:rsidR="00DB3659" w:rsidRPr="00634578" w:rsidP="00BB159E">
      <w:pPr>
        <w:snapToGrid w:val="0"/>
        <w:spacing w:line="360" w:lineRule="auto"/>
        <w:ind w:firstLine="420"/>
        <w:rPr>
          <w:rFonts w:asciiTheme="minorEastAsia" w:eastAsiaTheme="minorEastAsia" w:hAnsiTheme="minorEastAsia"/>
          <w:color w:val="000000" w:themeColor="text1"/>
          <w:kern w:val="0"/>
        </w:rPr>
      </w:pPr>
      <w:r w:rsidRPr="00634578">
        <w:rPr>
          <w:rStyle w:val="da"/>
          <w:rFonts w:asciiTheme="minorEastAsia" w:eastAsiaTheme="minorEastAsia" w:hAnsiTheme="minorEastAsia"/>
          <w:color w:val="000000" w:themeColor="text1"/>
        </w:rPr>
        <w:t>12</w:t>
      </w:r>
      <w:r w:rsidRPr="00634578">
        <w:rPr>
          <w:rStyle w:val="da"/>
          <w:rFonts w:asciiTheme="minorEastAsia" w:eastAsiaTheme="minorEastAsia" w:hAnsiTheme="minorEastAsia" w:hint="eastAsia"/>
          <w:color w:val="000000" w:themeColor="text1"/>
        </w:rPr>
        <w:t>、中国证监会规定的其他职责</w:t>
      </w:r>
      <w:r w:rsidRPr="00634578">
        <w:rPr>
          <w:rFonts w:asciiTheme="minorEastAsia" w:eastAsiaTheme="minorEastAsia" w:hAnsiTheme="minorEastAsia" w:hint="eastAsia"/>
          <w:color w:val="000000" w:themeColor="text1"/>
          <w:kern w:val="0"/>
        </w:rPr>
        <w:t>。</w:t>
      </w:r>
    </w:p>
    <w:p w:rsidR="00DB3659" w:rsidRPr="00634578" w:rsidP="00BB159E">
      <w:pPr>
        <w:snapToGrid w:val="0"/>
        <w:spacing w:line="360" w:lineRule="auto"/>
        <w:ind w:firstLine="420"/>
        <w:rPr>
          <w:rFonts w:asciiTheme="minorEastAsia" w:eastAsiaTheme="minorEastAsia" w:hAnsiTheme="minorEastAsia"/>
          <w:color w:val="000000" w:themeColor="text1"/>
          <w:kern w:val="0"/>
        </w:rPr>
      </w:pPr>
      <w:bookmarkStart w:id="11" w:name="_Toc327734795"/>
      <w:r w:rsidRPr="00634578">
        <w:rPr>
          <w:rFonts w:asciiTheme="minorEastAsia" w:eastAsiaTheme="minorEastAsia" w:hAnsiTheme="minorEastAsia" w:hint="eastAsia"/>
          <w:color w:val="000000" w:themeColor="text1"/>
          <w:kern w:val="0"/>
        </w:rPr>
        <w:t>（四）基金管理人的承诺</w:t>
      </w:r>
      <w:bookmarkEnd w:id="11"/>
    </w:p>
    <w:p w:rsidR="00DB3659" w:rsidRPr="00634578" w:rsidP="00BB159E">
      <w:pPr>
        <w:snapToGrid w:val="0"/>
        <w:spacing w:line="360" w:lineRule="auto"/>
        <w:ind w:firstLine="420"/>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kern w:val="0"/>
        </w:rPr>
        <w:t>1</w:t>
      </w:r>
      <w:r w:rsidRPr="00634578">
        <w:rPr>
          <w:rFonts w:asciiTheme="minorEastAsia" w:eastAsiaTheme="minorEastAsia" w:hAnsiTheme="minorEastAsia" w:hint="eastAsia"/>
          <w:color w:val="000000" w:themeColor="text1"/>
          <w:kern w:val="0"/>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kern w:val="0"/>
        </w:rPr>
        <w:t>2</w:t>
      </w:r>
      <w:r w:rsidRPr="00634578">
        <w:rPr>
          <w:rFonts w:asciiTheme="minorEastAsia" w:eastAsiaTheme="minorEastAsia" w:hAnsiTheme="minorEastAsia" w:hint="eastAsia"/>
          <w:color w:val="000000" w:themeColor="text1"/>
          <w:kern w:val="0"/>
        </w:rPr>
        <w:t>、本基金管理人承诺严格遵</w:t>
      </w:r>
      <w:r w:rsidRPr="00634578">
        <w:rPr>
          <w:rFonts w:asciiTheme="minorEastAsia" w:eastAsiaTheme="minorEastAsia" w:hAnsiTheme="minorEastAsia" w:hint="eastAsia"/>
          <w:color w:val="000000" w:themeColor="text1"/>
        </w:rPr>
        <w:t>守《证券法》、《基金法》及有关法律法规，建立健全内部控制制度，采取有效措施，防止下列行为发生：</w:t>
      </w:r>
    </w:p>
    <w:p w:rsidR="00DB3659" w:rsidRPr="00634578" w:rsidP="00BB159E">
      <w:pPr>
        <w:snapToGrid w:val="0"/>
        <w:spacing w:line="360" w:lineRule="auto"/>
        <w:ind w:firstLine="420"/>
        <w:rPr>
          <w:rFonts w:asciiTheme="minorEastAsia" w:eastAsiaTheme="minorEastAsia" w:hAnsiTheme="minorEastAsia"/>
          <w:color w:val="000000" w:themeColor="text1"/>
        </w:rPr>
      </w:pPr>
      <w:bookmarkStart w:id="12" w:name="_Toc327734796"/>
      <w:bookmarkStart w:id="13" w:name="_Toc319693387"/>
      <w:bookmarkStart w:id="14" w:name="_Toc319688264"/>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1</w:t>
      </w:r>
      <w:r w:rsidRPr="00634578">
        <w:rPr>
          <w:rFonts w:asciiTheme="minorEastAsia" w:eastAsiaTheme="minorEastAsia" w:hAnsiTheme="minorEastAsia" w:hint="eastAsia"/>
          <w:color w:val="000000" w:themeColor="text1"/>
        </w:rPr>
        <w:t>）将其固有财产或者他人财产混同于基金财产从事证券投资；</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2</w:t>
      </w:r>
      <w:r w:rsidRPr="00634578">
        <w:rPr>
          <w:rFonts w:asciiTheme="minorEastAsia" w:eastAsiaTheme="minorEastAsia" w:hAnsiTheme="minorEastAsia" w:hint="eastAsia"/>
          <w:color w:val="000000" w:themeColor="text1"/>
        </w:rPr>
        <w:t>）不公平地对待其管理的不同基金财产；</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3</w:t>
      </w:r>
      <w:r w:rsidRPr="00634578">
        <w:rPr>
          <w:rFonts w:asciiTheme="minorEastAsia" w:eastAsiaTheme="minorEastAsia" w:hAnsiTheme="minorEastAsia" w:hint="eastAsia"/>
          <w:color w:val="000000" w:themeColor="text1"/>
        </w:rPr>
        <w:t>）利用基金财产或者职务之便为基金份额持有人以外的第三人牟取利益；</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4</w:t>
      </w:r>
      <w:r w:rsidRPr="00634578">
        <w:rPr>
          <w:rFonts w:asciiTheme="minorEastAsia" w:eastAsiaTheme="minorEastAsia" w:hAnsiTheme="minorEastAsia" w:hint="eastAsia"/>
          <w:color w:val="000000" w:themeColor="text1"/>
        </w:rPr>
        <w:t>）向基金份额持有人违规承诺收益或者承担损失；</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5</w:t>
      </w:r>
      <w:r w:rsidRPr="00634578">
        <w:rPr>
          <w:rFonts w:asciiTheme="minorEastAsia" w:eastAsiaTheme="minorEastAsia" w:hAnsiTheme="minorEastAsia" w:hint="eastAsia"/>
          <w:color w:val="000000" w:themeColor="text1"/>
        </w:rPr>
        <w:t>）侵占、挪用基金财产；</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6</w:t>
      </w:r>
      <w:r w:rsidRPr="00634578">
        <w:rPr>
          <w:rFonts w:asciiTheme="minorEastAsia" w:eastAsiaTheme="minorEastAsia" w:hAnsiTheme="minorEastAsia" w:hint="eastAsia"/>
          <w:color w:val="000000" w:themeColor="text1"/>
        </w:rPr>
        <w:t>）泄漏因职务便利获取的未公开信息、利用该信息从事或者明示、暗示他人从事相关的交易活动；</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7</w:t>
      </w:r>
      <w:r w:rsidRPr="00634578">
        <w:rPr>
          <w:rFonts w:asciiTheme="minorEastAsia" w:eastAsiaTheme="minorEastAsia" w:hAnsiTheme="minorEastAsia" w:hint="eastAsia"/>
          <w:color w:val="000000" w:themeColor="text1"/>
        </w:rPr>
        <w:t>）玩忽职守，不按照规定履行职责；</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8</w:t>
      </w:r>
      <w:r w:rsidRPr="00634578">
        <w:rPr>
          <w:rFonts w:asciiTheme="minorEastAsia" w:eastAsiaTheme="minorEastAsia" w:hAnsiTheme="minorEastAsia" w:hint="eastAsia"/>
          <w:color w:val="000000" w:themeColor="text1"/>
        </w:rPr>
        <w:t>）法律、行政法规和中国证监会禁止的其他行为。</w:t>
      </w:r>
      <w:bookmarkEnd w:id="12"/>
      <w:bookmarkEnd w:id="13"/>
      <w:bookmarkEnd w:id="14"/>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w:t>
      </w:r>
      <w:r w:rsidRPr="00634578">
        <w:rPr>
          <w:rFonts w:asciiTheme="minorEastAsia" w:eastAsiaTheme="minorEastAsia" w:hAnsiTheme="minorEastAsia" w:hint="eastAsia"/>
          <w:color w:val="000000" w:themeColor="text1"/>
        </w:rPr>
        <w:t>、本基金管理人承诺加强人员管理，强化职业操守，督促和约束员工遵守国家有关法律、法规及行业规范，诚实信用、勤勉尽责，不从事以下活动：</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1</w:t>
      </w:r>
      <w:r w:rsidRPr="00634578">
        <w:rPr>
          <w:rFonts w:asciiTheme="minorEastAsia" w:eastAsiaTheme="minorEastAsia" w:hAnsiTheme="minorEastAsia" w:hint="eastAsia"/>
          <w:color w:val="000000" w:themeColor="text1"/>
        </w:rPr>
        <w:t>）越权或违规经营；</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2</w:t>
      </w:r>
      <w:r w:rsidRPr="00634578">
        <w:rPr>
          <w:rFonts w:asciiTheme="minorEastAsia" w:eastAsiaTheme="minorEastAsia" w:hAnsiTheme="minorEastAsia" w:hint="eastAsia"/>
          <w:color w:val="000000" w:themeColor="text1"/>
        </w:rPr>
        <w:t>）违反基金合同或托管协议；</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3</w:t>
      </w:r>
      <w:r w:rsidRPr="00634578">
        <w:rPr>
          <w:rFonts w:asciiTheme="minorEastAsia" w:eastAsiaTheme="minorEastAsia" w:hAnsiTheme="minorEastAsia" w:hint="eastAsia"/>
          <w:color w:val="000000" w:themeColor="text1"/>
        </w:rPr>
        <w:t>）故意损害基金份额持有人或其他基金相关机构的合法利益；</w:t>
      </w:r>
    </w:p>
    <w:p w:rsidR="00DB3659" w:rsidRPr="00634578" w:rsidP="00BB159E">
      <w:pPr>
        <w:snapToGrid w:val="0"/>
        <w:spacing w:line="360" w:lineRule="auto"/>
        <w:ind w:firstLine="420"/>
        <w:rPr>
          <w:rFonts w:asciiTheme="minorEastAsia" w:eastAsiaTheme="minorEastAsia" w:hAnsiTheme="minorEastAsia"/>
          <w:color w:val="000000" w:themeColor="text1"/>
        </w:rPr>
      </w:pPr>
      <w:bookmarkStart w:id="15" w:name="_Toc327734798"/>
      <w:bookmarkStart w:id="16" w:name="_Toc319693389"/>
      <w:bookmarkStart w:id="17" w:name="_Toc319688266"/>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4</w:t>
      </w:r>
      <w:r w:rsidRPr="00634578">
        <w:rPr>
          <w:rFonts w:asciiTheme="minorEastAsia" w:eastAsiaTheme="minorEastAsia" w:hAnsiTheme="minorEastAsia" w:hint="eastAsia"/>
          <w:color w:val="000000" w:themeColor="text1"/>
        </w:rPr>
        <w:t>）在向中国证监会报送的资料中弄虚作假；</w:t>
      </w:r>
      <w:bookmarkEnd w:id="15"/>
      <w:bookmarkEnd w:id="16"/>
      <w:bookmarkEnd w:id="17"/>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5</w:t>
      </w:r>
      <w:r w:rsidRPr="00634578">
        <w:rPr>
          <w:rFonts w:asciiTheme="minorEastAsia" w:eastAsiaTheme="minorEastAsia" w:hAnsiTheme="minorEastAsia" w:hint="eastAsia"/>
          <w:color w:val="000000" w:themeColor="text1"/>
        </w:rPr>
        <w:t>）拒绝、干扰、阻挠或严重影响中国证监会依法监管；</w:t>
      </w:r>
    </w:p>
    <w:p w:rsidR="00DB3659" w:rsidRPr="00634578" w:rsidP="00BB159E">
      <w:pPr>
        <w:snapToGrid w:val="0"/>
        <w:spacing w:line="360" w:lineRule="auto"/>
        <w:ind w:firstLine="420"/>
        <w:rPr>
          <w:rFonts w:asciiTheme="minorEastAsia" w:eastAsiaTheme="minorEastAsia" w:hAnsiTheme="minorEastAsia"/>
          <w:color w:val="000000" w:themeColor="text1"/>
        </w:rPr>
      </w:pPr>
      <w:bookmarkStart w:id="18" w:name="_Toc327734799"/>
      <w:bookmarkStart w:id="19" w:name="_Toc319693390"/>
      <w:bookmarkStart w:id="20" w:name="_Toc319688267"/>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6</w:t>
      </w:r>
      <w:r w:rsidRPr="00634578">
        <w:rPr>
          <w:rFonts w:asciiTheme="minorEastAsia" w:eastAsiaTheme="minorEastAsia" w:hAnsiTheme="minorEastAsia" w:hint="eastAsia"/>
          <w:color w:val="000000" w:themeColor="text1"/>
        </w:rPr>
        <w:t>）玩忽职守、滥用职权；</w:t>
      </w:r>
      <w:bookmarkEnd w:id="18"/>
      <w:bookmarkEnd w:id="19"/>
      <w:bookmarkEnd w:id="20"/>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7</w:t>
      </w:r>
      <w:r w:rsidRPr="00634578">
        <w:rPr>
          <w:rFonts w:asciiTheme="minorEastAsia" w:eastAsiaTheme="minorEastAsia" w:hAnsiTheme="minorEastAsia" w:hint="eastAsia"/>
          <w:color w:val="000000" w:themeColor="text1"/>
        </w:rPr>
        <w:t>）违反现行有效的有关法律、法规、规章、基金合同和中国证监会的有关规定，泄漏在任职期间知悉的有关证券、基金的商业秘密，尚未依法公开的基金投资内容、基金投资计划等信息；</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8</w:t>
      </w:r>
      <w:r w:rsidRPr="00634578">
        <w:rPr>
          <w:rFonts w:asciiTheme="minorEastAsia" w:eastAsiaTheme="minorEastAsia" w:hAnsiTheme="minorEastAsia" w:hint="eastAsia"/>
          <w:color w:val="000000" w:themeColor="text1"/>
        </w:rPr>
        <w:t>）违反证券交易场所业务规则，利用对敲、倒仓等手段操纵市场价格，扰乱市场秩序；</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9</w:t>
      </w:r>
      <w:r w:rsidRPr="00634578">
        <w:rPr>
          <w:rFonts w:asciiTheme="minorEastAsia" w:eastAsiaTheme="minorEastAsia" w:hAnsiTheme="minorEastAsia" w:hint="eastAsia"/>
          <w:color w:val="000000" w:themeColor="text1"/>
        </w:rPr>
        <w:t>）贬损同行，以抬高自己；</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10</w:t>
      </w:r>
      <w:r w:rsidRPr="00634578">
        <w:rPr>
          <w:rFonts w:asciiTheme="minorEastAsia" w:eastAsiaTheme="minorEastAsia" w:hAnsiTheme="minorEastAsia" w:hint="eastAsia"/>
          <w:color w:val="000000" w:themeColor="text1"/>
        </w:rPr>
        <w:t>）以不正当手段谋求业务发展；</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11</w:t>
      </w:r>
      <w:r w:rsidRPr="00634578">
        <w:rPr>
          <w:rFonts w:asciiTheme="minorEastAsia" w:eastAsiaTheme="minorEastAsia" w:hAnsiTheme="minorEastAsia" w:hint="eastAsia"/>
          <w:color w:val="000000" w:themeColor="text1"/>
        </w:rPr>
        <w:t>）有悖社会公德，损害证券投资基金人员形象；</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12</w:t>
      </w:r>
      <w:r w:rsidRPr="00634578">
        <w:rPr>
          <w:rFonts w:asciiTheme="minorEastAsia" w:eastAsiaTheme="minorEastAsia" w:hAnsiTheme="minorEastAsia" w:hint="eastAsia"/>
          <w:color w:val="000000" w:themeColor="text1"/>
        </w:rPr>
        <w:t>）在公开信息披露和广告中故意含有虚假、误导、欺诈成分；</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13</w:t>
      </w:r>
      <w:r w:rsidRPr="00634578">
        <w:rPr>
          <w:rFonts w:asciiTheme="minorEastAsia" w:eastAsiaTheme="minorEastAsia" w:hAnsiTheme="minorEastAsia" w:hint="eastAsia"/>
          <w:color w:val="000000" w:themeColor="text1"/>
        </w:rPr>
        <w:t>）其他法律、行政法规以及中国证监会禁止的行为。</w:t>
      </w:r>
    </w:p>
    <w:p w:rsidR="00DB3659" w:rsidRPr="00634578" w:rsidP="00BB159E">
      <w:pPr>
        <w:snapToGrid w:val="0"/>
        <w:spacing w:line="360" w:lineRule="auto"/>
        <w:ind w:firstLine="420"/>
        <w:rPr>
          <w:rFonts w:asciiTheme="minorEastAsia" w:eastAsiaTheme="minorEastAsia" w:hAnsiTheme="minorEastAsia"/>
          <w:color w:val="000000" w:themeColor="text1"/>
        </w:rPr>
      </w:pPr>
      <w:bookmarkStart w:id="21" w:name="_Toc327734800"/>
      <w:bookmarkStart w:id="22" w:name="_Toc319693391"/>
      <w:bookmarkStart w:id="23" w:name="_Toc319688268"/>
      <w:r w:rsidRPr="00634578">
        <w:rPr>
          <w:rFonts w:asciiTheme="minorEastAsia" w:eastAsiaTheme="minorEastAsia" w:hAnsiTheme="minorEastAsia"/>
          <w:color w:val="000000" w:themeColor="text1"/>
        </w:rPr>
        <w:t>4</w:t>
      </w:r>
      <w:r w:rsidRPr="00634578">
        <w:rPr>
          <w:rFonts w:asciiTheme="minorEastAsia" w:eastAsiaTheme="minorEastAsia" w:hAnsiTheme="minorEastAsia" w:hint="eastAsia"/>
          <w:color w:val="000000" w:themeColor="text1"/>
        </w:rPr>
        <w:t>、基金经理承诺</w:t>
      </w:r>
      <w:bookmarkEnd w:id="21"/>
      <w:bookmarkEnd w:id="22"/>
      <w:bookmarkEnd w:id="23"/>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1</w:t>
      </w:r>
      <w:r w:rsidRPr="00634578">
        <w:rPr>
          <w:rFonts w:asciiTheme="minorEastAsia" w:eastAsiaTheme="minorEastAsia" w:hAnsiTheme="minorEastAsia" w:hint="eastAsia"/>
          <w:color w:val="000000" w:themeColor="text1"/>
        </w:rPr>
        <w:t>）依照有关法律、法规和基金合同的规定，本着谨慎的原则为基金份额持有人谋取最大利益；</w:t>
      </w:r>
    </w:p>
    <w:p w:rsidR="00DB3659" w:rsidRPr="00634578" w:rsidP="00BB159E">
      <w:pPr>
        <w:snapToGrid w:val="0"/>
        <w:spacing w:line="360" w:lineRule="auto"/>
        <w:ind w:firstLine="420"/>
        <w:rPr>
          <w:rFonts w:asciiTheme="minorEastAsia" w:eastAsiaTheme="minorEastAsia" w:hAnsiTheme="minorEastAsia"/>
          <w:color w:val="000000" w:themeColor="text1"/>
          <w:kern w:val="0"/>
        </w:rPr>
      </w:pPr>
      <w:bookmarkStart w:id="24" w:name="_Toc327734801"/>
      <w:bookmarkStart w:id="25" w:name="_Toc319693392"/>
      <w:bookmarkStart w:id="26" w:name="_Toc319688269"/>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2</w:t>
      </w:r>
      <w:r w:rsidRPr="00634578">
        <w:rPr>
          <w:rFonts w:asciiTheme="minorEastAsia" w:eastAsiaTheme="minorEastAsia" w:hAnsiTheme="minorEastAsia" w:hint="eastAsia"/>
          <w:color w:val="000000" w:themeColor="text1"/>
        </w:rPr>
        <w:t>）不利用职务</w:t>
      </w:r>
      <w:r w:rsidRPr="00634578">
        <w:rPr>
          <w:rFonts w:asciiTheme="minorEastAsia" w:eastAsiaTheme="minorEastAsia" w:hAnsiTheme="minorEastAsia" w:hint="eastAsia"/>
          <w:color w:val="000000" w:themeColor="text1"/>
          <w:kern w:val="0"/>
        </w:rPr>
        <w:t>之便为自己及其代理人、受雇人或任何第三人牟取利益；</w:t>
      </w:r>
      <w:bookmarkEnd w:id="24"/>
      <w:bookmarkEnd w:id="25"/>
      <w:bookmarkEnd w:id="26"/>
    </w:p>
    <w:p w:rsidR="00DB3659" w:rsidRPr="00634578" w:rsidP="00BB159E">
      <w:pPr>
        <w:snapToGrid w:val="0"/>
        <w:spacing w:line="360" w:lineRule="auto"/>
        <w:ind w:firstLine="420"/>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w:t>
      </w:r>
      <w:r w:rsidRPr="00634578">
        <w:rPr>
          <w:rFonts w:asciiTheme="minorEastAsia" w:eastAsiaTheme="minorEastAsia" w:hAnsiTheme="minorEastAsia"/>
          <w:color w:val="000000" w:themeColor="text1"/>
          <w:kern w:val="0"/>
        </w:rPr>
        <w:t>3</w:t>
      </w:r>
      <w:r w:rsidRPr="00634578">
        <w:rPr>
          <w:rFonts w:asciiTheme="minorEastAsia" w:eastAsiaTheme="minorEastAsia" w:hAnsiTheme="minorEastAsia" w:hint="eastAsia"/>
          <w:color w:val="000000" w:themeColor="text1"/>
          <w:kern w:val="0"/>
        </w:rPr>
        <w:t>）不违反现行有效的有关法律、法规、规章、基金合同和中国证监会的有关规定，泄漏在任职期间知悉的有关证券、基金的商业秘密、尚未依法公开的基金投资内容、基金投资计划等信息；</w:t>
      </w:r>
    </w:p>
    <w:p w:rsidR="00DB3659" w:rsidRPr="00634578" w:rsidP="00BB159E">
      <w:pPr>
        <w:snapToGrid w:val="0"/>
        <w:spacing w:line="360" w:lineRule="auto"/>
        <w:ind w:firstLine="420"/>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w:t>
      </w:r>
      <w:r w:rsidRPr="00634578">
        <w:rPr>
          <w:rFonts w:asciiTheme="minorEastAsia" w:eastAsiaTheme="minorEastAsia" w:hAnsiTheme="minorEastAsia"/>
          <w:color w:val="000000" w:themeColor="text1"/>
          <w:kern w:val="0"/>
        </w:rPr>
        <w:t>4</w:t>
      </w:r>
      <w:r w:rsidRPr="00634578">
        <w:rPr>
          <w:rFonts w:asciiTheme="minorEastAsia" w:eastAsiaTheme="minorEastAsia" w:hAnsiTheme="minorEastAsia" w:hint="eastAsia"/>
          <w:color w:val="000000" w:themeColor="text1"/>
          <w:kern w:val="0"/>
        </w:rPr>
        <w:t>）不从事损害基金财产和基金份额持有人利益的证券交易及其他活动。</w:t>
      </w:r>
    </w:p>
    <w:p w:rsidR="00DB3659" w:rsidRPr="00634578" w:rsidP="00BB159E">
      <w:pPr>
        <w:snapToGrid w:val="0"/>
        <w:spacing w:line="360" w:lineRule="auto"/>
        <w:ind w:firstLine="420"/>
        <w:rPr>
          <w:rFonts w:asciiTheme="minorEastAsia" w:eastAsiaTheme="minorEastAsia" w:hAnsiTheme="minorEastAsia"/>
          <w:color w:val="000000" w:themeColor="text1"/>
          <w:kern w:val="0"/>
        </w:rPr>
      </w:pPr>
      <w:bookmarkStart w:id="27" w:name="_Toc327734802"/>
      <w:r w:rsidRPr="00634578">
        <w:rPr>
          <w:rFonts w:asciiTheme="minorEastAsia" w:eastAsiaTheme="minorEastAsia" w:hAnsiTheme="minorEastAsia" w:hint="eastAsia"/>
          <w:color w:val="000000" w:themeColor="text1"/>
          <w:kern w:val="0"/>
        </w:rPr>
        <w:t>（五）基金管理人的内部控制制度</w:t>
      </w:r>
      <w:bookmarkEnd w:id="27"/>
    </w:p>
    <w:p w:rsidR="00DB3659" w:rsidRPr="00634578" w:rsidP="00BB159E">
      <w:pPr>
        <w:snapToGrid w:val="0"/>
        <w:spacing w:line="360" w:lineRule="auto"/>
        <w:ind w:firstLine="42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kern w:val="0"/>
        </w:rPr>
        <w:t>为保证公司规范化运作，有效地防范和化解经营风险，促进公司诚信、合法、有效经营，保障基金份额持有人利益，维</w:t>
      </w:r>
      <w:r w:rsidRPr="00634578">
        <w:rPr>
          <w:rFonts w:asciiTheme="minorEastAsia" w:eastAsiaTheme="minorEastAsia" w:hAnsiTheme="minorEastAsia" w:hint="eastAsia"/>
          <w:color w:val="000000" w:themeColor="text1"/>
          <w:szCs w:val="21"/>
        </w:rPr>
        <w:t>护公司及公司股东的合法权益，本基金管理人建立了科学、严密、高效的内部控制体系。</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1、公司内部控制的总体目标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（1）保证公司经营管理活动的合法合规性；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（2）保证各类基金份额持有人及委托人的合法权益不受侵犯；</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（4）督促公司全体员工恪守职业操守，正直诚信，廉洁自律，勤勉尽责；</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（5）维护公司的声誉，保持公司的良好形象。</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2、公司内部控制遵循的原则</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（1）健全性原则。内部控制应当包括公司的各项业务、各个部门或机构和各级人员,并涵盖到决策、执行、监督、反馈等各个环节。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（2）有效性原则。通过科学的内控手段和方法，建立合理的内控程序，维护内控制度的有效执行。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（3）独立性原则。公司机构、部门和岗位职责应当保持相对独立，除非法律法规另有规定，公司基金资产、自有资产、其他资产的运作应当分离。</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（4）相互制约原则。公司内部部门和岗位的设置应当体现权责分明、相互制衡。</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3、内部控制的制度体系</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公司制定了合理、完备、有效并易于执行的制度体系。公司制度体系由不同层面的制度</w:t>
      </w:r>
      <w:r w:rsidRPr="00634578">
        <w:rPr>
          <w:rFonts w:asciiTheme="minorEastAsia" w:eastAsiaTheme="minorEastAsia" w:hAnsiTheme="minorEastAsia"/>
          <w:color w:val="000000" w:themeColor="text1"/>
        </w:rPr>
        <w:t>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4、关于授权、研究、投资、交易等方面的控制点</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（1）授权制度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（2）公司研究业务</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（3）基金投资业务</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（4）交易业务</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（5）基金会计核算</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（6）信息披露</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（7）监察与合规管理</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5、基金管理人关于内部控制制度声明书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（1）本公司承诺以上关于内部控制制度的披露真实、准确；</w:t>
      </w:r>
    </w:p>
    <w:p w:rsidR="00DB3659" w:rsidRPr="00634578" w:rsidP="00BB159E">
      <w:pPr>
        <w:tabs>
          <w:tab w:val="left" w:pos="735"/>
        </w:tabs>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2</w:t>
      </w:r>
      <w:r w:rsidRPr="00634578">
        <w:rPr>
          <w:rFonts w:asciiTheme="minorEastAsia" w:eastAsiaTheme="minorEastAsia" w:hAnsiTheme="minorEastAsia" w:hint="eastAsia"/>
          <w:color w:val="000000" w:themeColor="text1"/>
        </w:rPr>
        <w:t>）本公司承诺根据市场变化和公司业务发展不断完善内部控制制度。</w:t>
      </w:r>
    </w:p>
    <w:p w:rsidR="00DB3659" w:rsidRPr="00634578" w:rsidP="00BB159E">
      <w:pPr>
        <w:pStyle w:val="Heading1"/>
        <w:snapToGrid w:val="0"/>
        <w:spacing w:beforeLines="0" w:afterLines="0" w:line="360" w:lineRule="auto"/>
        <w:ind w:firstLine="643"/>
        <w:rPr>
          <w:rFonts w:asciiTheme="minorEastAsia" w:eastAsiaTheme="minorEastAsia" w:hAnsiTheme="minorEastAsia"/>
          <w:color w:val="000000" w:themeColor="text1"/>
        </w:rPr>
      </w:pPr>
      <w:r w:rsidRPr="00634578">
        <w:rPr>
          <w:rFonts w:asciiTheme="minorEastAsia" w:eastAsiaTheme="minorEastAsia" w:hAnsiTheme="minorEastAsia"/>
          <w:b/>
          <w:bCs/>
          <w:color w:val="000000" w:themeColor="text1"/>
        </w:rPr>
        <w:br w:type="column"/>
      </w:r>
      <w:bookmarkStart w:id="28" w:name="_Toc91772036"/>
      <w:r w:rsidRPr="00634578">
        <w:rPr>
          <w:rFonts w:asciiTheme="minorEastAsia" w:eastAsiaTheme="minorEastAsia" w:hAnsiTheme="minorEastAsia" w:hint="eastAsia"/>
          <w:color w:val="000000" w:themeColor="text1"/>
        </w:rPr>
        <w:t>四、基金托管人</w:t>
      </w:r>
      <w:bookmarkEnd w:id="28"/>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（一）基金托管人情况</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1、基本情况</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名称：华夏银行股份有限公司</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住所：北京市东城区建国门内大街22号（100005）</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办公地址：北京市东城区建国门内大街22号（100005）</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法定代表人：李民吉</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成立时间：1992年10月14日</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组织形式：股份有限公司</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注册资本：</w:t>
      </w:r>
      <w:r w:rsidRPr="00634578">
        <w:rPr>
          <w:rFonts w:asciiTheme="minorEastAsia" w:eastAsiaTheme="minorEastAsia" w:hAnsiTheme="minorEastAsia" w:cs="Times New Roman"/>
          <w:color w:val="000000" w:themeColor="text1"/>
          <w:kern w:val="2"/>
          <w:sz w:val="21"/>
          <w:szCs w:val="21"/>
        </w:rPr>
        <w:t>15387223983</w:t>
      </w:r>
      <w:r w:rsidRPr="00634578">
        <w:rPr>
          <w:rFonts w:asciiTheme="minorEastAsia" w:eastAsiaTheme="minorEastAsia" w:hAnsiTheme="minorEastAsia" w:cs="Times New Roman" w:hint="eastAsia"/>
          <w:color w:val="000000" w:themeColor="text1"/>
          <w:kern w:val="2"/>
          <w:sz w:val="21"/>
          <w:szCs w:val="21"/>
        </w:rPr>
        <w:t>元人民币</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批准设立机关和设立文号：中国人民银行[银复（1992）391号]</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基金托管资格批文及文号：中国证监会证监基金字[2005]25号</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联系人：郑鹏</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电话：（010）85238667</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传真：（010）85238680</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2、主要人员情况</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华夏银行资产托管部内设市场一室、市场二室、风险与合规管理室、运营室、创新与产品室5个职能处室。资产托管部共有员工50人，高管人员拥有硕士以上学位或高级职称。</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3、基金托管业务经营情况</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华夏银行于2005年2月23日经中国证券监督管理委员会和中国银行业监督管理委员会核准，获得证券投资基金托管资格，是《证券投资基金法》和《证券投资基金托管资格管理办法》实施后取得证券投资基金托管资格的第一家银行。自成立以来，华夏银行资产托管部本着“诚实信用、勤勉尽责”的行业精神，始终遵循“安全保管基金资产，提供优质托管服务”的原则，坚持以客户为中心的服务理念，依托严格的内控管理、先进的技术系统、优秀的业务团队、丰富的业务经验，严格履行法律和托管协议所规定的各项义务，为广大基金份额持有人和资产管理机构提供安全、高效、专业的托管服务，取得了优异业绩。截至2021年3月末，托管证券投资基金、券商资产管理计划、银行理财、保险资管计划、资产支持专项计划、股权投资基金等各类产品合计10675只，证券投资基金71只，全行资产托管规模达到55634.03亿元。</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（二）基金托管人的内部风险控制制度说明</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1、内部控制目标</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2、内部控制组织结构</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风险管理委员会负责华夏银行股份有限公司的风险管理与内部控制工作，总行审计部对托管业务风险控制工作进行检查指导。资产托管部内部专门设置了风险与合规管理室，配备了专职内控监督人员负责托管业务的内控监督工作，具有独立行使监督稽核工作的职权和能力。</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3、内部风险控制的原则</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（1）合法性原则：必须符合国家及监管部门的法律法规和各项制度并贯穿于托管业务经营管理活动的始终；</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（2）完整性原则：一切业务、管理活动的发生都必须有相应的规范程序和监督制约；监督制约必须渗透到托管业务的全过程和各个操作环节，覆盖到资产托管部所有的部门、岗位和人员；</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（3）及时性原则：托管业务经营活动必须在发生时能准确及时地记录；按照“内控优先”原则，新设机构或新增业务品种时，必须做到已建立相关的规章制度；</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（4）审慎性原则：必须实现防范风险、审慎经营，保证基金财产的安全与完整；</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（5）有效性原则：必须根据国家政策、法律及华夏银行经营管理的发展变化进行适时修订；必须保证制度的全面落实执行，不得有任何空间、时限及人员的例外；</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（6）独立性原则：资产托管部内部专门设置了风险与合规管理室，配备了专职内控监督人员负责托管业务的内控监督工作，具有独立行使监督稽核工作的职权和能力。</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4、内部控制制度及措施</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具备系统、完善的制度控制体系，建立了管理办法、实施细则、岗位职责、业务操作流程等，可以保证托管业务的规范操作和顺利进行；业务人员具备从业资格；业务管理实行严格的复核、审核、检查制度，授权工作实行集中控制，业务印章按规程保管、存放、使用，账户资料严格保管，制约机制严格有效；专门设置业务操作区，封闭管理，实施音像监控；指定专人负责受托资产的信息披露工作，防止泄密；业务实现自动化操作，防止人为事故的发生，技术系统完整、独立。</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（三）基金托管人对本基金管理人进行监督的方法和程序</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托管人根据《基金法》、《运作办法》、其他相关法律法规及基金合同的规定，对基金投资范围、投资对象、投资比例、融资比例、基金投资禁止行为、基金资产净值计算、基金管理人报酬的计提和支付、基金托管人报酬的计提和支付、基金收益分配、相关信息披露等进行监督。</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1、基金托管人发现基金管理人有违反《基金法》、《运作办法》、其他相关法律法规及基金合同规定的行为，应及时通知基金管理人限期纠正，基金管理人收到通知后应及时核对确认。在限期内，基金托管人有权随时对通知事项进行复查，督促基金管理人改正。基金管理人对基金托管人通知的违规事项未能在限期内纠正的，基金托管人应报告中国证监会。</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2、对基金托管人按照法规要求需向中国证监会报送基金监督报告的事项，基金管理人应积极配合提供相关数据资料和制度等。</w:t>
      </w:r>
    </w:p>
    <w:p w:rsidR="002D6B39" w:rsidRPr="00634578" w:rsidP="002D6B39">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t>3、基金托管人发现基金管理人有重大违规行为，应及时报告中国证监会，同时通知基金管理人限期纠正，并将纠正结果报告中国证监会。</w:t>
      </w:r>
    </w:p>
    <w:p w:rsidR="00064F67" w:rsidRPr="00634578" w:rsidP="00064F67">
      <w:pPr>
        <w:pStyle w:val="xmsonormal"/>
        <w:spacing w:before="0" w:beforeAutospacing="0" w:after="0" w:afterAutospacing="0" w:line="360" w:lineRule="auto"/>
        <w:ind w:firstLine="480"/>
        <w:jc w:val="both"/>
        <w:rPr>
          <w:rFonts w:asciiTheme="minorEastAsia" w:eastAsiaTheme="minorEastAsia" w:hAnsiTheme="minorEastAsia" w:cs="Times New Roman"/>
          <w:color w:val="000000" w:themeColor="text1"/>
          <w:kern w:val="2"/>
          <w:sz w:val="21"/>
          <w:szCs w:val="21"/>
        </w:rPr>
      </w:pPr>
      <w:r w:rsidRPr="00634578">
        <w:rPr>
          <w:rFonts w:asciiTheme="minorEastAsia" w:eastAsiaTheme="minorEastAsia" w:hAnsiTheme="minorEastAsia" w:cs="Times New Roman" w:hint="eastAsia"/>
          <w:color w:val="000000" w:themeColor="text1"/>
          <w:kern w:val="2"/>
          <w:sz w:val="21"/>
          <w:szCs w:val="21"/>
        </w:rPr>
        <w:br w:type="page"/>
      </w:r>
    </w:p>
    <w:p w:rsidR="00DB3659" w:rsidRPr="00634578" w:rsidP="00BB159E">
      <w:pPr>
        <w:pStyle w:val="111"/>
        <w:snapToGrid w:val="0"/>
        <w:spacing w:beforeLines="0" w:afterLines="0" w:line="360" w:lineRule="auto"/>
        <w:ind w:firstLine="640"/>
        <w:rPr>
          <w:rFonts w:asciiTheme="minorEastAsia" w:eastAsiaTheme="minorEastAsia" w:hAnsiTheme="minorEastAsia"/>
          <w:b/>
          <w:color w:val="000000" w:themeColor="text1"/>
          <w:szCs w:val="32"/>
        </w:rPr>
      </w:pPr>
      <w:bookmarkStart w:id="29" w:name="_Toc91772037"/>
      <w:r w:rsidRPr="00634578">
        <w:rPr>
          <w:rFonts w:asciiTheme="minorEastAsia" w:eastAsiaTheme="minorEastAsia" w:hAnsiTheme="minorEastAsia" w:hint="eastAsia"/>
          <w:color w:val="000000" w:themeColor="text1"/>
          <w:szCs w:val="21"/>
        </w:rPr>
        <w:t>五、相关服务机构</w:t>
      </w:r>
      <w:bookmarkEnd w:id="29"/>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bookmarkStart w:id="30" w:name="_Toc327734810"/>
      <w:r w:rsidRPr="00634578">
        <w:rPr>
          <w:rFonts w:asciiTheme="minorEastAsia" w:eastAsiaTheme="minorEastAsia" w:hAnsiTheme="minorEastAsia" w:hint="eastAsia"/>
          <w:color w:val="000000" w:themeColor="text1"/>
        </w:rPr>
        <w:t>（一）基金份额</w:t>
      </w:r>
      <w:r w:rsidRPr="00634578" w:rsidR="00D2094F">
        <w:rPr>
          <w:rFonts w:asciiTheme="minorEastAsia" w:eastAsiaTheme="minorEastAsia" w:hAnsiTheme="minorEastAsia" w:hint="eastAsia"/>
          <w:color w:val="000000" w:themeColor="text1"/>
        </w:rPr>
        <w:t>销售</w:t>
      </w:r>
      <w:r w:rsidRPr="00634578">
        <w:rPr>
          <w:rFonts w:asciiTheme="minorEastAsia" w:eastAsiaTheme="minorEastAsia" w:hAnsiTheme="minorEastAsia" w:hint="eastAsia"/>
          <w:color w:val="000000" w:themeColor="text1"/>
        </w:rPr>
        <w:t>机构</w:t>
      </w:r>
      <w:bookmarkEnd w:id="30"/>
    </w:p>
    <w:p w:rsidR="00731AB5"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1、直销机构：易方达基金管理有限公司</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注册地址：</w:t>
      </w:r>
      <w:r w:rsidRPr="00634578" w:rsidR="00EC4425">
        <w:rPr>
          <w:rFonts w:asciiTheme="minorEastAsia" w:eastAsiaTheme="minorEastAsia" w:hAnsiTheme="minorEastAsia" w:hint="eastAsia"/>
          <w:color w:val="000000" w:themeColor="text1"/>
          <w:szCs w:val="21"/>
        </w:rPr>
        <w:t>广东省珠海市横琴新区宝华路6号105室-42891（集中办公区）</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办公地址：广州市天河区珠江新城珠江东路</w:t>
      </w:r>
      <w:r w:rsidRPr="00634578">
        <w:rPr>
          <w:rFonts w:asciiTheme="minorEastAsia" w:eastAsiaTheme="minorEastAsia" w:hAnsiTheme="minorEastAsia"/>
          <w:color w:val="000000" w:themeColor="text1"/>
          <w:szCs w:val="21"/>
        </w:rPr>
        <w:t>30</w:t>
      </w:r>
      <w:r w:rsidRPr="00634578">
        <w:rPr>
          <w:rFonts w:asciiTheme="minorEastAsia" w:eastAsiaTheme="minorEastAsia" w:hAnsiTheme="minorEastAsia" w:hint="eastAsia"/>
          <w:color w:val="000000" w:themeColor="text1"/>
          <w:szCs w:val="21"/>
        </w:rPr>
        <w:t>号广州银行大厦</w:t>
      </w:r>
      <w:r w:rsidRPr="00634578">
        <w:rPr>
          <w:rFonts w:asciiTheme="minorEastAsia" w:eastAsiaTheme="minorEastAsia" w:hAnsiTheme="minorEastAsia"/>
          <w:color w:val="000000" w:themeColor="text1"/>
          <w:szCs w:val="21"/>
        </w:rPr>
        <w:t>40-43</w:t>
      </w:r>
      <w:r w:rsidRPr="00634578">
        <w:rPr>
          <w:rFonts w:asciiTheme="minorEastAsia" w:eastAsiaTheme="minorEastAsia" w:hAnsiTheme="minorEastAsia" w:hint="eastAsia"/>
          <w:color w:val="000000" w:themeColor="text1"/>
          <w:szCs w:val="21"/>
        </w:rPr>
        <w:t>楼</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法定代表人：</w:t>
      </w:r>
      <w:r w:rsidRPr="00634578" w:rsidR="00D7437B">
        <w:rPr>
          <w:rFonts w:asciiTheme="minorEastAsia" w:eastAsiaTheme="minorEastAsia" w:hAnsiTheme="minorEastAsia" w:hint="eastAsia"/>
          <w:color w:val="000000" w:themeColor="text1"/>
          <w:szCs w:val="21"/>
        </w:rPr>
        <w:t>刘晓艳</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电话：</w:t>
      </w:r>
      <w:r w:rsidRPr="00634578">
        <w:rPr>
          <w:rFonts w:asciiTheme="minorEastAsia" w:eastAsiaTheme="minorEastAsia" w:hAnsiTheme="minorEastAsia"/>
          <w:color w:val="000000" w:themeColor="text1"/>
          <w:szCs w:val="21"/>
        </w:rPr>
        <w:t>020-85102506</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传真：</w:t>
      </w:r>
      <w:r w:rsidRPr="00634578">
        <w:rPr>
          <w:rFonts w:asciiTheme="minorEastAsia" w:eastAsiaTheme="minorEastAsia" w:hAnsiTheme="minorEastAsia"/>
          <w:color w:val="000000" w:themeColor="text1"/>
          <w:szCs w:val="21"/>
        </w:rPr>
        <w:t>4008818099</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rPr>
        <w:t>联系人：梁美</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网址：</w:t>
      </w:r>
      <w:hyperlink r:id="rId13" w:history="1">
        <w:r w:rsidRPr="00634578">
          <w:rPr>
            <w:rFonts w:asciiTheme="minorEastAsia" w:eastAsiaTheme="minorEastAsia" w:hAnsiTheme="minorEastAsia"/>
            <w:color w:val="000000" w:themeColor="text1"/>
          </w:rPr>
          <w:t>www.efunds.com.cn</w:t>
        </w:r>
      </w:hyperlink>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直销机构的网点信息</w:t>
      </w:r>
      <w:bookmarkStart w:id="31" w:name="_Toc327734811"/>
      <w:r w:rsidRPr="00634578">
        <w:rPr>
          <w:rFonts w:asciiTheme="minorEastAsia" w:eastAsiaTheme="minorEastAsia" w:hAnsiTheme="minorEastAsia" w:hint="eastAsia"/>
          <w:color w:val="000000" w:themeColor="text1"/>
          <w:szCs w:val="21"/>
        </w:rPr>
        <w:t>：</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（1）易方达基金管理有限公司广州直销中心</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办公地址：广州市天河区珠江新城珠江东路30号广州银行大厦40楼</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电话：020-85102506</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传真：4008818099</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rPr>
        <w:t>联系人：梁美</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（2）易方达基金管理有限公司北京直销中心</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办公地址：</w:t>
      </w:r>
      <w:r w:rsidRPr="00634578" w:rsidR="00C93958">
        <w:rPr>
          <w:rFonts w:asciiTheme="minorEastAsia" w:eastAsiaTheme="minorEastAsia" w:hAnsiTheme="minorEastAsia" w:hint="eastAsia"/>
          <w:color w:val="000000" w:themeColor="text1"/>
          <w:szCs w:val="21"/>
        </w:rPr>
        <w:t>北京市西城区武定侯街2号泰康国际大厦18层</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电话：010-63213377</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传真：4008818099</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联系人：</w:t>
      </w:r>
      <w:r w:rsidRPr="00634578" w:rsidR="00D7437B">
        <w:rPr>
          <w:rFonts w:asciiTheme="minorEastAsia" w:eastAsiaTheme="minorEastAsia" w:hAnsiTheme="minorEastAsia" w:hint="eastAsia"/>
          <w:color w:val="000000" w:themeColor="text1"/>
          <w:szCs w:val="21"/>
        </w:rPr>
        <w:t>刘蕾</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（3）易方达基金管理有限公司上海直销中心</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办公地址：上海市</w:t>
      </w:r>
      <w:r w:rsidRPr="00634578" w:rsidR="00D72ED4">
        <w:rPr>
          <w:rFonts w:asciiTheme="minorEastAsia" w:eastAsiaTheme="minorEastAsia" w:hAnsiTheme="minorEastAsia" w:hint="eastAsia"/>
          <w:color w:val="000000" w:themeColor="text1"/>
          <w:szCs w:val="21"/>
        </w:rPr>
        <w:t>浦东新区</w:t>
      </w:r>
      <w:r w:rsidRPr="00634578">
        <w:rPr>
          <w:rFonts w:asciiTheme="minorEastAsia" w:eastAsiaTheme="minorEastAsia" w:hAnsiTheme="minorEastAsia" w:hint="eastAsia"/>
          <w:color w:val="000000" w:themeColor="text1"/>
          <w:szCs w:val="21"/>
        </w:rPr>
        <w:t>世纪大道88号金茂大厦</w:t>
      </w:r>
      <w:r w:rsidRPr="00634578" w:rsidR="00D72ED4">
        <w:rPr>
          <w:rFonts w:asciiTheme="minorEastAsia" w:eastAsiaTheme="minorEastAsia" w:hAnsiTheme="minorEastAsia"/>
          <w:color w:val="000000" w:themeColor="text1"/>
          <w:szCs w:val="21"/>
        </w:rPr>
        <w:t>46楼</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电话：021-50476668</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传真：4008818099</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联系人：</w:t>
      </w:r>
      <w:r w:rsidRPr="00634578" w:rsidR="00745CFD">
        <w:rPr>
          <w:rFonts w:asciiTheme="minorEastAsia" w:eastAsiaTheme="minorEastAsia" w:hAnsiTheme="minorEastAsia" w:hint="eastAsia"/>
          <w:color w:val="000000" w:themeColor="text1"/>
          <w:szCs w:val="21"/>
        </w:rPr>
        <w:t>王程</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（4）易方达基金管理有限公司网上交易系统</w:t>
      </w:r>
    </w:p>
    <w:p w:rsidR="00F0325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网址：www.efunds.com.cn</w:t>
      </w:r>
    </w:p>
    <w:p w:rsidR="00AB30D5" w:rsidRPr="00634578" w:rsidP="003548EA">
      <w:pPr>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本公司直销中心暂未开放办理本基金C类基金份额申购、赎回、转换和定期定额投资业务，如开放办理将另行公告。</w:t>
      </w:r>
    </w:p>
    <w:p w:rsidR="00D240C0" w:rsidRPr="00634578">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2、非直销销售机构</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(1)华夏银行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注册地址:北京市东城区建国门内大街22号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办公地址:北京市东城区建国门内大街22号华夏银行大厦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法定代表人:李民吉</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联系人:刘湘波</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客户服务电话:95577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网址:www.hxb.com.cn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(2)渤海银行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注册地址:天津市河东区海河东路218号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办公地址:天津市河东区海河东路218号渤海银行大厦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法定代表人:李伏安</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联系人:王宏</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联系电话:022-58316666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客户服务电话:95541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传真:022-58316569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网址:www.cbhb.com.cn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(3)广发银行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注册地址:广东省广州市越秀区东风东路713号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办公地址:广东省广州市越秀区东风东路713号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法定代表人:王凯</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客户服务电话:400-830-8003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网址:www.cgbchina.com.cn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(4)兴业银行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注册地址:福州市湖东路154号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办公地址:上海市银城路167号兴业银行大厦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法定代表人:陶以平（代为履行法定代表人职权）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联系人:孙琪虹</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客户服务电话:95561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网址:www.cib.com.cn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(5)招商银行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注册地址:深圳市福田区深南大道7088号招商银行大厦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办公地址:深圳市福田区深南大道7088号招商银行大厦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法定代表人:缪建民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联系人:季平伟</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客户服务电话:95555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网址:www.cmbchina.com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(6)中国民生银行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注册地址:北京市西城区复兴门内大街2号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办公地址:北京市西城区复兴门内大街2号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法定代表人:高迎欣</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联系人:徐野</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客户服务电话:95568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网址:www.cmbc.com.cn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(7)长安银行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注册地址:西安市高新技术产业开发区高新四路13号1幢1单元10101室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办公地址:西安市高新技术产业开发区高新四路13号朗臣大厦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法定代表人:张全明</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联系人:闫石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客户服务电话:400-05-96669；（029）96669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传真:029-88609566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网址:http://www.ccabchina.com/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(8)大连银行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注册地址:大连市中山区中山路88号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办公地址:大连市中山区中山路88号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法定代表人:彭寿斌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联系人:卜书慧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联系电话:0411-82311936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客户服务电话:400-664-0099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网址:www.bankofdl.com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(9)德州银行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注册地址:山东省德州市三八东路1266号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办公地址:山东省德州市三八东路1266号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法定代表人:董合平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联系人:王方震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联系电话:0534-2297326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客户服务电话:400-01-96588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网址:www.dzbchina.com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(10)阜新银行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注册地址:辽宁省阜新市细河区中华路51号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办公地址:辽宁省阜新市细河区中华路51号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法定代表人:赵祥</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联系人:白金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客户服务电话:0418-96665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传真:0418-3985051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网址:www.fuxinbank.com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(11)哈尔滨银行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注册地址:哈尔滨市道里区尚志大街160号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办公地址:哈尔滨市道里区上江街888号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法定代表人:邓新权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联系人:贾琳娜</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联系电话:0451-86779669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客户服务电话:95537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传真:0451-87792682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网址:www.hrbb.com.cn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(12)杭州银行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注册地址:浙江省杭州市下城区庆春路46号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办公地址:杭州市下城区庆春路46号杭州银行大厦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法定代表人:陈震山</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联系人:蒋梦君</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联系电话:0571-85120718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客户服务电话:95398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传真:0571-85106576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网址:www.hzbank.com.cn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(13)河北银行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注册地址:石家庄市平安北大街28号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办公地址:石家庄市平安北大街28号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法定代表人:梅爱斌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联系人:李博</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联系电话:0311-88627587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客户服务电话:400-612-9999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传真:0311-67806407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网址:www.hebbank.com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(14)吉林银行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注册地址:吉林省长春市经济技术开发区东南湖大路1817号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办公地址:吉林省长春市经济技术开发区东南湖大路1817号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法定代表人:陈宇龙</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联系人:孙琦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联系电话:0431-84999627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客户服务电话:400-88-96666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传真:0431-84992649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网址:www.jlbank.com.cn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(15)嘉兴银行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注册地址:浙江省嘉兴市昌盛南路1001号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办公地址:浙江省嘉兴市昌盛南路1001号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法定代表人:夏林生</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联系人:朱李平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联系电话:0573-82080289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客户服务电话:0573-96528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网址:http://www.bojx.com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(16)江苏银行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注册地址:南京市中华路26号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办公地址:南京市中华路26号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法定代表人:夏平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联系人:展海军</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联系电话:025-58587039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客户服务电话:95319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传真:025-58587820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网址:www.jsbchina.cn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(17)江西银行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注册地址:江西省南昌市红谷滩新区金融大街699号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办公地址:江西省南昌市红谷滩新区金融大街699号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法定代表人:陈晓明</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联系人:陈云波</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联系电话:0791-86796029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客户服务电话:956055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传真:0791-86790795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网址:www.jx-bank.com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(18)锦州银行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注册地址:辽宁省锦州市科技路68号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办公地址:辽宁省锦州市科技路68号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法定代表人:魏学坤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联系人:庞璐璐</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客户服务电话:400-66-96178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网址:www.jinzhoubank.com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(19)晋商银行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注册地址:山西省太原市小店区长风街59号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办公地址:山西省太原市小店区长风街59号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法定代表人:阎俊生</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联系人:董嘉文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联系电话:0351-6819579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客户服务电话:9510-5588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传真:0351-6819926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网址:www.jshbank.com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(20)九江银行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注册地址:江西省九江市濂溪区长虹大道619号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办公地址:江西省九江市濂溪区长虹大道619号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法定代表人:刘羡庭</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联系人:胡浩</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联系电话:0792-2171968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客户服务电话:95316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网址:www.jjccb.com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(21)龙江银行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注册地址:黑龙江省哈尔滨市道里区友谊路436号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办公地址:黑龙江省哈尔滨市道里区友谊路436号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法定代表人:张建辉</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联系人:闫勇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联系电话:0451-85706107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客户服务电话:400-645-8888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传真:0451-85706036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网址:http://www.lj-bank.com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(22)洛阳银行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注册地址:洛阳市洛阳新区开元大道与通济街交叉口</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办公地址:河南省洛阳市开元大道256号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法定代表人:王建甫</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联系人:郭文博</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联系电话:0379-65921977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客户服务电话:0379-96699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传真:0379-65938595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网址:www.bankofluoyang.com.cn/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(23)宁波银行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注册地址:浙江省宁波市鄞州区宁东路345号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办公地址:浙江省宁波市鄞州区宁东路345号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法定代表人:陆华裕</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联系人:陈佳瑜</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客户服务电话:95574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网址:www.nbcb.com.cn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(24)青岛银行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注册地址:山东省青岛市崂山区秦岭路6号3号楼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办公地址:山东省青岛市崂山区秦岭路6号3号楼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法定代表人:郭少泉</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联系人:陈界交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联系电话:0532-68629956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客户服务电话:96588（青岛）400-66-96588（全国）</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网址:http://www.qdccb.com/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(25)泉州银行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注册地址:泉州市丰泽区泉泰路266号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办公地址:泉州市丰泽区泉泰路266号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法定代表人:傅子能</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联系人:董培姗</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联系电话:0595-22551071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客户服务电话:400-88-96312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传真:0595-22578871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网址:http://www.qzccbank.com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(26)日照银行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注册地址:山东省日照市烟台路197号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办公地址:山东省日照市烟台路197号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法定代表人:王森</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联系人:邱丽萍</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联系电话:0633-8081619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客户服务电话:400-68-96588（全国） 、0633-96588（日照）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传真:0633-8081276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网址:http://www.bankofrizhao.com.cn/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(27)苏州银行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注册地址:江苏省苏州市工业园区钟园路728号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办公地址:江苏省苏州市工业园区钟园路728号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法定代表人:王兰凤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联系人:吴骏</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联系电话:0512-69868373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客户服务电话:96067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传真:0512-69868373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网址:www.suzhoubank.com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(28)天津银行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注册地址:天津市河西区友谊路15号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办公地址:天津市河西区友谊路15号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法定代表人:李宗唐</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联系人:李岩</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联系电话:022-28405684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客户服务电话:956056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传真:022-28405631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网址:www.bank-of-tianjin.com.cn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(29)网商银行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注册地址:杭州市西湖区学院路28-38号德力西大厦1号楼15-17层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办公地址:杭州市西湖区学院路28-38号德力西大厦1号楼15-17层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法定代表人:胡晓明</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客户服务电话:95188-3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网址:www.mybank.cn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(30)威海市商业银行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注册地址:威海市宝泉路9号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办公地址:威海市宝泉路9号财政大厦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法定代表人:谭先国</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联系人:冯十卉</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联系电话:0531-68978175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客户服务电话:山东省内96636、中国境内40000-96636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传真:0531-68978176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网址:www.whccb.com，www.whccb.com.cn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(31)潍坊银行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注册地址:山东省潍坊市奎文区胜利东街5139号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办公地址:山东省潍坊市奎文区胜利东街5139号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法定代表人:郭虎英</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联系人:井靖</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联系电话:0536-8051904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客户服务电话:400-61-96588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传真:0536-8056061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网址:www.wfccb.com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(32)烟台银行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注册地址:山东省烟台市芝罘区海港路25号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办公地址:山东省烟台市芝罘区海港路25号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法定代表人:吴明理</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联系人:张卓智</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联系电话:0535-6699671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客户服务电话:4008-311-777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传真:0535-6699884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网址:www.yantaibank.net</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(33)营口银行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注册地址:辽宁省营口市站前区市府路北1号、北3号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办公地址:辽宁省营口市站前区市府路北1号、北3号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法定代表人:周宇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联系人:杨志程</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联系电话:0417-2878819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客户服务电话:40078-96178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网址:www.bankofyk.com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(34)云南红塔银行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注册地址:云南省玉溪市东风南路2号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办公地址:云南省昆明市盘龙区世博路低碳中心A座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法定代表人:李光林</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联系人:马杰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联系电话:0871-65236624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客户服务电话:0877-96522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网址:www.ynhtbank.com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(35)浙江泰隆商业银行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注册地址:浙江省台州市路桥区南官大道188号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办公地址:浙江省台州市路桥区南官大道188号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联系人:陈妍宇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联系电话:0571-87219677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客户服务电话:95347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网址:www.zjtlcb.com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(36)长春发展农商银行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注册地址:长春市经济技术开发区东南湖大路2199号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办公地址:长春市经济技术开发区东南湖大路2199号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法定代表人:李彦君</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联系人:宋静宜</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联系电话:0431-81864756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客户服务电话:96888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网址:http://www.cdcb.com/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(37)慈溪农村商业银行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注册地址:浙江省慈溪市浒山街道南城路25号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办公地址:慈溪市浒山街道南城路25号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法定代表人:应利广</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联系人:潘建立</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联系电话:0574-63899035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客户服务电话:4008896596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网址:www.cixibank.com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(38)德清农商银行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注册地址:浙江省德清县武康镇永安街119、121号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办公地址:浙江省德清县武康镇永安街119、121号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法定代表人:陈春仿</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联系人:车杰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联系电话:0572-8063963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客户服务电话:96596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传真:0572-8068673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网址:http://www.deqingbank.com/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(39)佛山农商银行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注册地址:佛山市禅城区华远东路5号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办公地址:佛山市禅城区华远东路5号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法定代表人:李川</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联系人:陈棠熙</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客户服务电话:96138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网址:www.foshanbank.cn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(40)富阳农商银行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注册地址:杭州市富阳区鹿山街道依江路501号第1幢</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办公地址:杭州市富阳区鹿山街道依江路501号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法定代表人:丁松茂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联系人:陈硕</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联系电话:0571-63280253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客户服务电话:96596、4008896596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网址:www.fyrcbk.com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(41)广州农商银行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注册地址:广州市黄埔区映日路9号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办公地址:广州市天河区珠江新城华夏路1号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法定代表人:王继康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联系人:刘强</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联系电话:020-22389067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客户服务电话:95313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传真:020-22389031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网址:www.grcbank.com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(42)江南农村商业银行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注册地址:常州市武进区延政中路9号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办公地址:常州市武进区延政中路9号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法定代表人:陆向阳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联系人:李仙</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联系电话:0519-80585939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客户服务电话:0519-96005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传真:0519-89995170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网址:http://www.jnbank.com.cn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(43)九台农商银行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注册地址:吉林省长春市九台区新华大街504号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办公地址:吉林省长春市高新开发区蔚山路2559号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法定代表人:高兵</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联系人:曲凌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客户服务电话:0431-96888-0-2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网址:http://www.jtnsh.com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(44)昆山农村商业银行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注册地址:江苏省昆山市前进东路828号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办公地址:江苏省昆山市前进东路828号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法定代表人:谢铁军</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联系人:黄怡</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客户服务电话:0512-96079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网址:www.ksrcb.com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(45)乐清农商银行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注册地址:浙江省乐清市城南街道伯乐西路99号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办公地址:浙江省乐清市城南街道伯乐西路99号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法定代表人:黄定表</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联系人:金晓娇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联系电话:0577-61566028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客户服务电话:4008896596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传真:0577-61566063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(46)龙湾农商银行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注册地址:浙江省温州市龙湾区永中街道永宁西路555号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办公地址:浙江省温州市龙湾区永中街道永宁西路555号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法定代表人:朱朋远</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联系人:胡俊杰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联系电话:0577-86923223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客户服务电话:4008296596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传真:0577-86921250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网址:www.lwrcb.com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(47)鹿城农商银行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注册地址:浙江省温州市鹿城区会展路1500号富银大厦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办公地址:温州市车站大道547号信合大厦A幢</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法定代表人:陈宏强</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联系人:董雷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联系电话:0577-88077675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客户服务电话:96526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网址:http://www.lcrcbank.com/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(48)瑞安农商银行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注册地址:瑞安市安阳街道万松东路148号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办公地址:瑞安市安阳街道万松东路148号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法定代表人:王光领</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联系人:吴小娜</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联系电话:0577-66681245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客户服务电话:4008057702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(49)萧山农商银行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注册地址:浙江省人民路258号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办公地址:浙江省杭州市萧山区人民路258号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法定代表人:王云龙</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联系人:朱光锋</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联系电话:0571-82739513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客户服务电话:96596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网址:http://www.zjxsbank.com/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(50)余杭农村商业银行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注册地址:杭州市余杭区南苑街道南大街72号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办公地址:杭州市余杭区南苑街道南大街72号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法定代表人:来煜标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联系人:蔡亮</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联系电话:0571-86209980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客户服务电话:96596，4008896596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网址:www.yhrcb.com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(51)张家港农商银行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注册地址:张家港市杨舍镇人民中路66号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办公地址:张家港市杨舍镇人民中路66号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法定代表人:季颖</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联系人:施圆圆</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联系电话:18962282330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客户服务电话:0512-96065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网址:www.zrcbank.com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(52)瓯海农商银行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注册地址:浙江省温州市瓯海区瓯海大道989号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办公地址:温州市车站大道福森大厦1-5层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法定代表人:王志刚</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联系人:夏晓春</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客户服务电话:96596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网址:www.ouhaibank.com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(53)安信证券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注册地址:深圳市福田区金田路4018号安联大厦35层、28层A02单元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办公地址:深圳市福田区金田路4018号安联大厦35层、28层A02单元      深圳市福田区深南大道2008号中国凤凰大厦1栋9层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法定代表人:黄炎勋</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联系人:陈剑虹</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联系电话:0755-82825551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客户服务电话:95517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传真:0755-82558355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网址:www.essence.com.cn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(54)渤海证券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注册地址:天津市经济技术开发区第二大街42号写字楼101室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办公地址:天津市南开区宾水西道8号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法定代表人:安志勇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联系人:王星</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联系电话:022-28451922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客户服务电话:400-651-5988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传真:022-28451892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网址:www.ewww.com.cn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(55)长城国瑞证券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注册地址:厦门市思明区莲前西路2号莲富大厦17楼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办公地址:厦门市思明区深田路46号深田国际大厦20楼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联系人:布前</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联系电话:010-68085771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客户服务电话:400-0099-886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传真:0592-2079602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网址:www.gwgsc.com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(56)长江证券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注册地址:湖北省武汉市新华路特8号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办公地址:湖北省武汉市新华路特8号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法定代表人:李新华</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联系人:奚博宇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联系电话:027-65799999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客户服务电话:95579或4008-888-999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传真:027-85481900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网址:www.95579.com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(57)川财证券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注册地址:中国（四川）自由贸易试验区成都高新区交子大道177号中海国际中心B座17楼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办公地址:四川省成都高新区交子大道177号中海国际中心B座17楼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法定代表人:金树成</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联系人:匡婷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联系电话:028-86583053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客户服务电话:028-962708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网址:www.cczq.com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(58)德邦证券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注册地址:上海市普陀区曹杨路510号南半幢9楼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办公地址:上海市福山路500号城建国际中心29楼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法定代表人:武晓春</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联系人:李林</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联系电话:021-68761616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客户服务电话:400-8888-128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传真:021-68767880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网址:http://www.tebon.com.cn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(59)第一创业证券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注册地址:深圳市福田区福华一路115号投行大厦20楼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办公地址:深圳市福田区福华一路115号投行大厦20楼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法定代表人:刘学民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联系人:单晶</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联系电话:0755-23838750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客户服务电话:95358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网址:www.firstcapital.com.cn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(60)东北证券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注册地址:长春市生态大街6666号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办公地址:长春市生态大街6666号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法定代表人:李福春</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联系人:安岩岩</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联系电话:0431-85096517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客户服务电话:95360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传真:0431-85096795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网址:www.nesc.cn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(61)东方财富证券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注册地址:西藏自治区拉萨市柳梧新区国际总部城10栋楼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办公地址:上海市徐汇区宛平南路88号金座东方财富大厦16楼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法定代表人:戴彦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联系人:付佳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联系电话:021-23586603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客户服务电话:95357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网址:http://www.18.cn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(62)东海证券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注册地址:江苏省常州市延陵西路23号投资广场18层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办公地址:上海市浦东新区东方路1928号东海证券大厦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法定代表人:钱俊文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联系人:王一彦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联系电话:021-20333333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客户服务电话:95531、400-8888-588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传真:021-50498825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网址:www.longone.com.cn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(63)东吴证券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注册地址:苏州工业园区星阳街5号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办公地址:苏州工业园区星阳街5号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法定代表人:范力</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联系人:陆晓</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联系电话:0512-62938521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客户服务电话:95330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传真:0512-65588021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网址:www.dwzq.com.cn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(64)东兴证券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注册地址:北京市西城区金融大街5号（新盛大厦）12、15层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办公地址:北京市西城区金融大街5号新盛大厦B座10层、12层、15层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法定代表人:魏庆华</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联系人:郑旷怡</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联系电话:010-66559039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客户服务电话:95309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传真:010-66555133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网址:www.dxzq.net</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(65)东莞证券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注册地址:东莞市莞城区可园南路一号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办公地址:东莞市莞城区可园南路1号金源中心30楼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法定代表人:陈照星</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联系人:陈士锐</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联系电话:0769-22112151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客户服务电话:95328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传真:0769-22115712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网址:www.dgzq.com.cn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(66)光大证券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注册地址:上海市静安区新闸路1508号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办公地址:上海市静安区新闸路1508号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法定代表人:刘秋明</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联系人:郁疆</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联系电话:021-22169999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客户服务电话:95525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网址:www.ebscn.com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(67)国都证券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注册地址:北京市东城区东直门南大街3号国华投资大厦9层10层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办公地址:北京市东城区东直门南大街3号国华投资大厦9层10层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法定代表人:翁振杰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联系人:黄静</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联系电话:010-84183333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客户服务电话:400-818-8118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传真:010-84183311-3122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网址:www.guodu.com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(68)国金证券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注册地址:成都市青羊区东城根上街95号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办公地址:成都市青羊区东城根上街95号成证大厦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法定代表人:冉云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联系人:杜晶、黎建平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联系电话:028-86690057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客户服务电话:95310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传真:028-86690126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网址:www.gjzq.com.cn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(69)国联证券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注册地址:江苏省无锡市太湖新城金融一街8号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办公地址:江苏省无锡市太湖新城金融一街8号国联金融大厦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法定代表人:姚志勇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联系人:祁昊</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联系电话:0510-82831662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客户服务电话:95570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传真:0510-82830162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网址:www.glsc.com.cn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(70)国融证券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注册地址:内蒙古自治区呼和浩特市武川县腾飞大道1号4楼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办公地址:北京市西城区宣武门西大街甲129号金隅大厦16层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法定代表人:张智河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联系人:刘云龙、张泽浩</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联系电话:010-83991889、010-83991862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客户服务电话:95385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传真:010-66412537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网址:www.grzq.com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(71)国盛证券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注册地址:江西省南昌市新建区子实路1589号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办公地址:江西省南昌市红谷滩新区凤凰中大道1115号北京银行大厦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法定代表人:周军</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联系人:占文驰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联系电话:0791-88250812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客户服务电话:956080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传真:0791-86281305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网址:www.gszq.com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(72)国泰君安证券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注册地址:中国（上海）自由贸易试验区商城路618号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办公地址:上海市静安区南京西路768号国泰君安大厦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法定代表人:贺青</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联系人:芮敏祺</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客户服务电话:95521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传真:021-38670666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网址:www.gtja.com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(73)海通证券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注册地址:上海市广东路689号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办公地址:上海市广东路689号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法定代表人:周杰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联系人:金芸、李笑鸣</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联系电话:021-23219000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客户服务电话:95553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传真:021-23219100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网址:www.htsec.com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(74)华安证券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注册地址:安徽省合肥市政务文化新区天鹅湖路198号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办公地址:安徽省合肥市政务文化新区天鹅湖路198号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法定代表人:章宏韬</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联系人:范超</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联系电话:0551-65161821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客户服务电话:95318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传真:0551-65161825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网址:www.hazq.com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(75)华宝证券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注册地址:中国（上海）自由贸易试验区世纪大道100号57层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办公地址:中国（上海）自由贸易试验区世纪大道100号57层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法定代表人:刘加海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联系人:刘闻川</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联系电话:021-20515385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客户服务电话:400-820-9898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传真:021-20515593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网址:www.cnhbstock.com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(76)华林证券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注册地址:西藏自治区拉萨市柳梧新区国际总部城3幢1单元5-5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办公地址:深圳市南山区深南大道9668号华润置地大厦C座31-33层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法定代表人:林立</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联系人:郑琢</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联系电话:0755-82707766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客户服务电话:400-188-3888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传真:0755-82707993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网址:www.chinalin.com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(77)华龙证券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注册地址:兰州市城关区东岗西路638号兰州财富中心21楼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办公地址:兰州市城关区东岗西路638号兰州财富中心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法定代表人:陈牧原</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联系人:范坤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联系电话:0931-4890208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客户服务电话:95368、400-689-8888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传真:0931-4890628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网址:www.hlzq.com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(78)华融证券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注册地址:北京市西城区金融大街8号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办公地址:北京市朝阳区朝阳门北大街18号中国人保寿险大厦12至18层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法定代表人:张海文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联系人:孙燕波</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联系电话:010-85556048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客户服务电话:95390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传真:010-85556088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网址:www.hrsec.com.cn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(79)华泰证券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注册地址:南京市江东中路228号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办公地址:南京市建邺区江东中路228号华泰证券广场</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法定代表人:张伟</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联系人:庞晓芸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联系电话:0755-82492193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客户服务电话:95597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传真:025-83387523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网址:www.htsc.com.cn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(80)华西证券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注册地址:四川省成都市高新区天府二街198号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办公地址:四川省成都市高新区天府二街198号华西证券大厦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法定代表人:杨炯洋</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联系人:赵静静</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联系电话:010-58124967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客户服务电话:95584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传真:028-86150040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网址:www.hx168.com.cn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(81)华鑫证券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注册地址:深圳市福田区莲花街道福中社区深南大道2008号中国凤凰大厦1栋20C-1房</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办公地址:上海市徐汇区宛平南路8号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法定代表人:俞洋</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联系人:刘熠</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联系电话:021-54967387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客户服务电话:95323（全国）、400-109-9918（全国）、029-68918888（西安）</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传真:021- 54967293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网址:www.cfsc.com.cn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(82)江海证券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注册地址:黑龙江省哈尔滨市香坊区赣水路56号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办公地址:黑龙江省哈尔滨市松北区创新三路833号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法定代表人:赵洪波</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联系人:王金娇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联系电话:0451-87765732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客户服务电话:956007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传真:0451-82337279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网址:www.jhzq.com.cn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(83)金元证券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注册地址:海口市南宝路36号证券大厦4楼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办公地址:深圳市深南大道4001号时代金融中心大厦17楼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法定代表人:王作义</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联系人:刘萍</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联系电话:0755-83025693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客户服务电话:95372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传真:0755-83025625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网址:www.jyzq.cn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(84)开源证券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注册地址:陕西省西安市高新区锦业路1号都市之门B座5层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办公地址:陕西省西安市高新区锦业路1号都市之门B座5层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法定代表人:李刚</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联系人:张蕊</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联系电话:029-88365809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客户服务电话:95325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网址:www.kysec.cn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(85)联储证券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注册地址:山东省青岛市崂山区苗岭路15号金融中心大厦15层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办公地址:上海市浦东新区陆家嘴环路1366号富士康大厦9、10层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法定代表人:吕春卫</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联系人:尹铮铮</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联系电话:010-86499807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客户服务电话:400-620-6868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网址:www.lczq.com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(86)南京证券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注册地址:南京市江东中路389号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办公地址:南京市江东中路389号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法定代表人:李剑锋</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联系人:王万君</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联系电话:025-58519523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客户服务电话:95386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传真:025-83369725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网址:www.njzq.com.cn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(87)平安证券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注册地址:深圳市福田区福田街道益田路5023号平安金融中心B座第22-25层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办公地址:深圳市福田区金田路4036号荣超大厦16-20层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法定代表人:何之江</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联系人:周驰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联系电话:021-38643230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客户服务电话:95511-8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传真:021-58991896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网址:stock.pingan.com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(88)山西证券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注册地址:太原市府西街69号山西国际贸易中心东塔楼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办公地址:太原市府西街69号山西国际贸易中心东塔楼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法定代表人:王怡里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联系人:谢武兵</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联系电话:0351-8686721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客户服务电话:95573或400-666-1618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传真:0351-8686619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网址:www.i618.com.cn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(89)上海证券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注册地址:上海市黄浦区四川中路213号7楼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办公地址:上海市四川中路213号久事商务大厦7楼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法定代表人:何伟</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联系人:邵珍珍</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联系电话:021-53686888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客户服务电话:4008-918-918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传真:021-53686100-7008，021-53686200-7008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网址:https://www.shzq.com/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(90)申万宏源西部证券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注册地址:新疆乌鲁木齐市高新区（新市区）北京南路358号大成国际大厦20楼2005室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办公地址:新疆乌鲁木齐市高新区（新市区）北京南路358号大成国际大厦20楼2005室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法定代表人:王献军</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联系人:王怀春</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联系电话:0991-2307105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客户服务电话:95523、4008895523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传真:010-88085195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网址:www.swhysc.com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(91)申万宏源证券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注册地址:上海市徐汇区长乐路989号45层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办公地址:上海市徐汇区长乐路989号世纪商贸广场45层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法定代表人:杨玉成</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联系人:陈宇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联系电话:021-33388252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客户服务电话:95523、4008895523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传真:021-33388224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网址:www.swhysc.com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(92)世纪证券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注册地址:深圳市前海深港合作区南山街道桂湾五路128号前海深港基金小镇对冲基金中心406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办公地址:广东省深圳市福田区福田街道金田路2026号能源大厦北塔23-25楼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法定代表人:李强</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联系人:徐玲娟</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联系电话:0755-83199599-9135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客户服务电话:4008323000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网址:www.csco.com.cn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(93)首创证券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注册地址:北京市西城区德胜门外大街115号德胜尚城E座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办公地址:北京市西城区德胜门外大街115号德胜尚城E座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法定代表人:毕劲松</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联系人:刘宇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联系电话:010-59366070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客户服务电话:95381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传真:010-59366238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网址:www.sczq.com.cn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(94)天风证券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注册地址:湖北省武汉市东湖新技术开发区关东园路2号高科大厦四楼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办公地址:湖北省武汉市武昌区中南路99号保利广场A座37楼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法定代表人:余磊</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联系人:王雅薇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联系电话:027-87617017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客户服务电话:95391/400-800-5000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传真:027-87618863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网址:http://www.tfzq.com/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(95)五矿证券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注册地址:深圳市福田区金田路4028号荣超经贸中心办公楼47层01单元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办公地址:深圳市南山区滨海大道与后海滨路交汇处滨海大道3165号五矿金融大厦（18-25层）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法定代表人:黄海洲</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联系人:戴佳璐</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联系电话:0755-23375492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客户服务电话:40018-40028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传真:0755-82545500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网址:www.wkzq.com.cn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(96)西部证券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注册地址:陕西省西安市新城区东新街319号8幢10000室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办公地址:陕西省西安市新城区东新街319号8幢10000室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法定代表人:徐朝晖</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联系人:张吉安</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联系电话:029-87211668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客户服务电话:95582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传真:029-87211478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网址:www.westsecu.com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(97)西南证券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注册地址:重庆市江北区桥北苑8号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办公地址:重庆市江北区桥北苑8号西南证券大厦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法定代表人:廖庆轩</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联系人:魏馨怡</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联系电话:023-67663104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客户服务电话:4008096096或95355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传真:023-63786212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网址:www.swsc.com.cn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(98)信达证券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注册地址:北京市西城区闹市口大街9号院1号楼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办公地址:北京市西城区闹市口大街9号院1号楼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法定代表人:祝瑞敏</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联系人:王薇安</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联系电话:010-83252170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客户服务电话:95321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传真:010-63080978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网址:www.cindasc.com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(99)粤开证券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注册地址:广州经济技术开发区科学大道60号开发区控股中心21、22、23层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办公地址:广州经济技术开发区科学大道60号开发区控股中心21、22、23层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法定代表人:严亦斌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联系人:彭莲</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联系电话:0755-83331195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客户服务电话:95564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网址:http://www.ykzq.com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(100)招商证券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注册地址:深圳市福田区福田街道福华一路111号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办公地址:深圳市福田区福田街道福华一路111号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法定代表人:霍达</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联系人:黄婵君</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联系电话:0755-82943666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客户服务电话:95565、400-8888-111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传真:0755-82943636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网址:www.newone.com.cn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(101)浙商证券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注册地址:浙江省杭州市江干区五星路201号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办公地址:浙江省杭州市江干区五星路201号浙商证券大楼8楼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法定代表人:吴承根</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联系人:高扬</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联系电话:0571-87902974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客户服务电话:95345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传真:0571-87901913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网址:www.stocke.com.cn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(102)中金财富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注册地址:深圳市福田区益田路与福中路交界处荣超商务中心A栋第18-21层及第04层01.02.03.05.11.12.13.15.16.18.19.20.21.22.23单元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办公地址:深圳福田区益田路6003号荣超商务中心A座4层、18-21层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法定代表人:高涛</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联系人:万玉琳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联系电话:0755-82026907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客户服务电话:95532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网址:https://www.ciccwm.com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(103)中金公司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注册地址:北京市朝阳区建国门外大街1号国贸大厦2座27层及28层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办公地址:北京市朝阳区建国门外大街甲6号SK大厦38层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法定代表人:沈如军</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联系人:杨涵宇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联系电话:010-65051166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客户服务电话:4009101166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网址:www.cicc.com.cn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(104)中泰证券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注册地址:济南市市中区经七路86号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办公地址:山东省济南市经七路86号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法定代表人:李峰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联系人:许曼华</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联系电话:021-20315290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客户服务电话:95538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传真:0531-68889095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网址:www.zts.com.cn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(105)中天证券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注册地址:辽宁省沈阳市和平区光荣街23甲</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办公地址:辽宁省沈阳市和平区光荣街23甲</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法定代表人:马功勋</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联系人:李泓灏</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联系电话:024-23255256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客户服务电话:024-95346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传真:024-23255606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网址:www.iztzq.com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(106)中信建投证券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注册地址:北京市朝阳区安立路66号4号楼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办公地址:北京市朝阳门内大街188号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法定代表人:王常青</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联系人:刘芸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联系电话:010－85130554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客户服务电话:95587或4008-888-108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网址:http://www.csc108.com/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(107)中信证券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注册地址:广东省深圳市福田区中心三路8号卓越时代广场（二期）北座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办公地址:北京市朝阳区亮马桥路48号中信证券大厦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法定代表人:张佑君</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联系人:王一通</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联系电话:010-60838888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客户服务电话:95548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传真:010-60836029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网址:www.cs.ecitic.com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(108)中信证券（山东）</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注册地址:青岛市崂山区深圳路222号1号楼2001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办公地址:青岛市市南区东海西路28号龙翔广场东座5层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法定代表人:冯恩新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联系人:焦刚</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联系电话:0531-89606166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客户服务电话:95548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传真:0532-85022605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网址:http://sd.citics.com/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(109)中信证券华南</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注册地址:广州市天河区临江大道395号901室(部位:自编01)，1001室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办公地址:广州市天河区临江大道395号合利天德广场T1楼10层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法定代表人:胡伏云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联系人:陈靖</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联系电话:020-88836999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客户服务电话:95548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传真:020-88836984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网址:www.gzs.com.cn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(110)中银证券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注册地址:上海市浦东新区银城中路200号中银大厦39层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办公地址:上海市浦东新区银城中路200号中银大厦39-40层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法定代表人:宁敏</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联系人:王炜哲</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客户服务电话:400-620-8888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传真:021-50372474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网址:www.bocichina.com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(111)中邮证券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注册地址:陕西省西安市唐延路5号（陕西邮政信息大厦9-11层）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办公地址:北京市东城区珠市口东大街17号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法定代表人:郭成林</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联系人:岳帅</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联系电话:010-67017788-6068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客户服务电话:4008-888-005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传真:010-67017788-9696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网址:www.cnpsec.com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(112)甬兴证券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注册地址:浙江省宁波市鄞州区海晏北路565、577号8-11层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办公地址:上海市黄浦区南京西路399号明天广场22楼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法定代表人:李抱</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联系人:徐璐</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联系电话:021-63898427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客户服务电话:400-916-0666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网址:www.yongxingsec.com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(113)长量基金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注册地址:上海市浦东新区高翔路526号2幢220室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办公地址:上海市浦东新区东方路1267号陆家嘴金融服务广场二期11层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法定代表人:张跃伟</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联系人:孙娅雯</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联系电话:021-20691819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客户服务电话:400-820-2899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传真:021-20691861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网址:www.erichfund.com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(114)创金启富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注册地址:北京市西城区白纸坊东街2号院6号楼712室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办公地址:北京市西城区白纸坊东街2号院6号楼712室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法定代表人:梁蓉</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联系人:魏素清</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联系电话:010-66154828-8047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客户服务电话:010-66154828-8005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传真:010-63583991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网址:www.5irich.com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(115)大智慧基金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注册地址:中国（上海）自由贸易试验区杨高南路428号1号楼1102单元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办公地址:中国（上海）自由贸易试验区杨高南路428号1号楼1102单元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法定代表人:申健</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联系人:张蜓</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联系电话:021-20219988-35374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客户服务电话:021-20292031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传真:021-20219923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网址:https://www.wg.com.cn/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(116)蛋卷基金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注册地址:北京市朝阳区创远路34号院6号楼15层1501室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办公地址:北京市朝阳区创远路 34 号院融新科技中心 C 座 17 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法定代表人:钟斐斐</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联系人:侯芳芳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联系电话:010-61840688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客户服务电话:400-159-9288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网址:https://danjuanapp.com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(117)度小满基金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注册地址:北京市海淀区西北旺东路10号院西区4号楼1层103室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办公地址:北京市海淀区西北旺东路10号院西区4号楼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法定代表人:葛新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联系人:孙博超</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联系电话:010-59403028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客户服务电话:95055-4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网址:www.baiyingfund.com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(118)泛华普益</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注册地址:四川省成都市成华区建设路9号高地中心1101室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办公地址:成都市金牛区花照壁西顺街399号1栋1单元龙湖西宸天街B座1201号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法定代表人:于海锋</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联系人:陈丹</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联系电话:15114053620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客户服务电话:400-080-3388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网址:www.puyifund.com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(119)富济基金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注册地址:深圳市福田区福田街道岗厦社区金田路3088号中洲大厦3203A单元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办公地址:深圳市福田区福田街道岗厦社区金田路3088号中洲大厦3203A单元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法定代表人:祝中村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联系人:曾瑶敏</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联系电话:0755-83999907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客户服务电话:0755-83999907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传真:0755-83999926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网址:www.fujifund.cn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(120)海银基金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注册地址:中国（上海）自由贸易试验区银城中路8号402室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办公地址:上海市浦东新区银城中路8号海银金融中心4楼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法定代表人:巩巧丽</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联系人:李卓楠</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联系电话:021-80134149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客户服务电话:400-808-1016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传真:021-80133413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网址:www.fundhaiyin.com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(121)好买基金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注册地址:上海市虹口区欧阳路196号26号楼2楼41号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办公地址:上海市浦东南路1118号鄂尔多斯国际大厦903～906室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法定代表人:杨文斌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联系人:高源</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联系电话:021-36696312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客户服务电话:400-700-9665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传真:021-68596919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网址:www.ehowbuy.com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(122)恒天明泽</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注册地址:北京市经济技术开发区宏达北路10号五层5122室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办公地址:北京市朝阳区东三环北路甲19号SOHO嘉盛中心30层3001室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法定代表人:周斌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联系人:侯艳红</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联系电话:010-59313555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客户服务电话:400-8980-618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传真:010-59313586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网址:www.chtwm.com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(123)虹点基金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注册地址:北京市朝阳区东三环北路17号10层1015室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办公地址:北京市朝阳区东三环北路17号10层1015室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法定代表人:何静</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联系人:王重阳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联系电话:010-65951887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客户服务电话:400-618-0707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网址:www.hongdianfund.com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(124)华夏财富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注册地址:上海市虹口区东大名路687号1幢2楼268室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办公地址:北京市西城区金融大街33号通泰大厦B座8层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法定代表人:毛淮平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联系人:张静怡</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联系电话:010-88066326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客户服务电话:400-817-5666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传真:010-63136184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网址:www.amcfortune.com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(125)汇成基金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注册地址:北京市西城区宣武门外大街甲1号环球财讯中心D座4层401-2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办公地址:北京市西城区宣武门外大街甲1号环球财讯中心D座401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法定代表人:王伟刚</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联系人:王骁骁</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联系电话:010-56251471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客户服务电话:400-619-9059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网址:www.hcfunds.com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(126)汇付基金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注册地址:上海市黄浦区九江路769号1807-3室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办公地址:上海市徐汇区宜山路700号普天信息产业园2期C5栋 汇付天下总部大楼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法定代表人:金佶</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联系人:甄宝林</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联系电话:021-34013996-3011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客户服务电话:021-34013999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传真:021-33323837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网址:www.hotjijin.com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(127)济安财富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注册地址:北京市朝阳区太阳宫中路16号院1号楼3层307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办公地址:北京市朝阳区太阳宫中路16号院1号楼冠捷大厦3层307单元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法定代表人:杨健</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联系人:李海燕</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联系电话:010-65309516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客户服务电话:400-673-7010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传真:010-65330699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网址:www.jianfortune.com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(128)嘉实财富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注册地址:中国（上海）自由贸易试验区世纪大道8号上海国金中心办公楼二期27层2716单元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办公地址:北京市朝阳区建国门外大街21号北京国际俱乐部C座写字楼11层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法定代表人:张峰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联系人:闫欢</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联系电话:010-85097302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客户服务电话:400-021-8850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传真:010-85712195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网址:www.harvestwm.cn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(129)加和基金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注册地址:北京市西城区德胜门外大街13号院1号楼5层505室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办公地址:北京市西城区德胜门外大街13号院1号楼5层505室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法定代表人:曲阳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联系人:王梓骄</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联系电话:010-80456756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客户服务电话:400-803-1188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传真:010-8045 6278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网址:www.bzfunds.com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(130)金海九州</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注册地址:深圳市前海深港合作区前湾一路1号A栋201室（入驻深圳市前海商务秘书有限公司）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办公地址:深圳市福田区富德生命保险大厦1106室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法定代表人:彭维熙</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联系人:彭维熙</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联系电话:0755-81994266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客户服务电话:4000993333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传真:0755-84333886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网址:www.jhjzfund.com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(131)京东肯特瑞</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注册地址:北京市海淀区西三旗建材城中路12号17号平房157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办公地址:北京市通州区亦庄经济技术开发区科创十一街18号院京东集团总部A座17层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法定代表人:李骏</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联系人:邢锦超</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客户服务电话:95118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网址:kenterui.jd.com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(132)凯石财富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注册地址:上海市黄浦区西藏南路765号602-115室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办公地址:上海市黄浦区延安东路1号凯石大厦4楼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法定代表人:陈继武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联系人:冯强</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联系电话:021-63333389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客户服务电话:4006-433-389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传真:021-63333390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网址:www.vstonewealth.com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(133)利得基金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注册地址:上海市宝山区蕴川路5475号1033室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办公地址:上海市虹口区东大名路1098号浦江国际金融广场53层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法定代表人:李兴春</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联系人:陈孜明</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联系电话:86-021-50583533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客户服务电话:400 032 5885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传真:86-21-61101630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网址:www.leadfund.com.cn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(134)联泰基金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注册地址:中国（上海）自由贸易试验区富特北路277号3层310室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办公地址:上海市长宁区福泉北路518号8座3楼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法定代表人:尹彬彬</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联系人:陈东</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联系电话:021-52822063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客户服务电话:400-118-1188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传真:021-52975270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网址:www.66zichan.com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(135)陆基金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注册地址:中国（上海）自由贸易试验区陆家嘴环路1333号14楼09单元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办公地址:上海市源深路1088号平安财富大厦7楼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法定代表人:陈祎彬</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联系人:宁博宇</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联系电话:021-20665952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客户服务电话:4008219031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传真:021-22066653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网址:www.lufunds.com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(136)蚂蚁基金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注册地址:浙江省杭州市余杭区五常街道文一西路969号3幢5层599室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办公地址:浙江省杭州市西湖区万塘路18号黄龙时代广场B座6F</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法定代表人:祖国明</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联系人:韩爱彬</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联系电话:0571-26888888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客户服务电话:4000-766-123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网址:http://www.fund123.cn/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(137)民商基金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注册地址:上海黄浦区北京东路666号H区（东座）6楼A31室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办公地址:上海市浦东新区张杨路707号生命人寿大厦32楼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法定代表人:贲惠琴</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联系人:林志枫</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联系电话:021-50206003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客户服务电话:021-50206003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传真:021-50206001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网址:http://www.msftec.com/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(138)诺亚正行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注册地址:上海市虹口区飞虹路360弄9号3724室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办公地址:上海市杨浦区长阳路1687号长阳谷2号楼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法定代表人:汪静波</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联系人:李娟</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联系电话:021-80358523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客户服务电话:400-821-5399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传真:021-80358749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网址:www.noah-fund.com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(139)浦领基金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注册地址:北京市朝阳区望京东园四区2号楼10层1001号04室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办公地址:北京市朝阳区望京浦项中心A座9层04-08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法定代表人:张昱</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联系人:李艳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联系电话:010-59497361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客户服务电话:400-012-5899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传真:010-64788016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网址:www.zscffund.com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(140)尚善基金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注册地址:浦东新区上丰路977号1幢B座812室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办公地址:上海市浦东新区碧波路690号4幢201-2A室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法定代表人:孙晓慧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联系人:陆纪青</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联系电话:021-80234888-6813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客户服务电话:400-699-1888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网址:www.998fund.com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(141)苏宁基金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注册地址:南京市玄武区苏宁大道1-5号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办公地址:南京市玄武区苏宁大道1-5号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法定代表人:王锋</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联系人:冯鹏鹏</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联系电话:025-66996699-882796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客户服务电话:95177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网址:www.snjijin.com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(142)天天基金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注册地址:上海市徐汇区龙田路190号2号楼2层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办公地址:上海市徐汇区宛平南路88号东方财富大厦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法定代表人:其实</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联系人:屠彦洋</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联系电话:021-54509977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客户服务电话:95021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传真:021-64385308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网址:www.1234567.com.cn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(143)通华财富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注册地址:上海市虹口区同丰路667弄107号201室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办公地址:上海市浦东新区金沪路55号通华科技大厦2楼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法定代表人:沈丹义</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联系人:杨涛、庄洁茹</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联系电话:021-60810586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客户服务电话:400-101-9301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传真:021-60810695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网址:www.tonghuafund.com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(144)同花顺</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注册地址:浙江省杭州市文二西路1号903室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办公地址:杭州市余杭区五常街道同顺街18号同花顺大楼4层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法定代表人:吴强</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联系人:吴强</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联系电话:0571-88911818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客户服务电话:952555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传真:0571-86800423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网址:www.5ifund.com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(145)途牛基金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注册地址:江苏省南京市玄武区玄武大道699-1号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办公地址:江苏省南京市玄武区玄武大道699-32号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法定代表人:单宏杰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联系人:贺杰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联系电话:025-86853960-66727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客户服务电话:4007-999-999转3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网址:http://jr.tuniu.com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(146)挖财基金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注册地址:中国（上海）自由贸易试验区杨高南路759号18层03单元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办公地址:中国（上海）自由贸易试验区杨高南路759号18层03单元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法定代表人:吕柳霞</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联系人:毛善波</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联系电话:021-50810687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客户服务电话:021-50810673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网址:www.wacaijijin.com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(147)万得基金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注册地址:中国（上海）自由贸易试验区福山路33号11楼B座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办公地址:上海市浦东新区浦明路1500号万得大厦11楼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法定代表人:黄祎</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联系人:徐亚丹</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联系电话:021-50712782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客户服务电话:400-799-1888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网址:www.520fund.com.cn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(148)万家财富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注册地址:天津自贸区（中心商务区）迎宾大道1988号滨海浙商大厦公寓2-2413室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办公地址:北京市西城区丰盛胡同28号太平洋保险大厦A座5层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法定代表人:戴晓云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联系人:王芳芳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联系电话:010-59013828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客户服务电话:010-59013895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网址:http://www.wanjiawealth.com/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(149)喜鹊基金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注册地址:西藏拉萨市柳梧新区柳梧大厦1513室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办公地址:北京市朝阳区北苑路甲1号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法定代表人:王舰正</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联系人:张萌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联系电话:010-58349088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客户服务电话:4006997719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网址:www.xiquefund.com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(150)新浪仓石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注册地址:北京市海淀区东北旺西路中关村软件园二期（西扩）N-1、N-2地块新浪总部科研楼5层518室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办公地址:北京市海淀区西北旺东路10号院东区3号楼为明大厦C座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法定代表人:赵芯蕊</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联系人:赵芯蕊</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联系电话:010-62625768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客户服务电话:010-62675369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传真:010-62676582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网址:www.xincai.com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(151)一路财富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注册地址:北京市海淀区宝盛南路1号院20号楼9层101-14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办公地址:北京市海淀区宝盛南路奥北科技园20号楼国泰大厦9层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法定代表人:吴雪秀</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联系人:董宣</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联系电话:010-88312877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客户服务电话:400-001-1566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传真:010-88312099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网址:www.yilucaifu.com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(152)宜信普泽</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注册地址:北京市朝阳区光华路7号楼20层20A1、20A2单元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办公地址:北京市朝阳区光华路7号楼20层20A1、20A2单元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法定代表人:才殿阳</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联系人:魏晨</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联系电话:13260309352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客户服务电话:400-6099-200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传真:010-59644044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网址:www.yixinfund.com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(153)盈米基金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注册地址:珠海市横琴新区宝华路6号105室-3491（集中办公区）</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办公地址:广州市海珠区阅江中路688号保利国际广场北塔33层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法定代表人:肖雯</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联系人:邱湘湘</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联系电话:020-89629099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客户服务电话:020-89629066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传真:020-89629011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网址:www.yingmi.cn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(154)云湾基金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注册地址:中国（上海）自由贸易试验区新金桥路27号、明月路1257号1幢1层103-1、103-2办公区</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办公地址:上海市浦东新区新金桥路27号1号楼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法定代表人:冯轶明</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联系人:范泽杰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联系电话:021-20530186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客户服务电话:400-820-1515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传真:021-20539999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网址:http://www.zhengtongfunds.com/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(155)中正达广</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注册地址:上海市徐汇区龙兰路277号1号楼1203、1204室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办公地址:上海市徐汇区龙兰路277号1号楼1203、1204室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法定代表人:黄欣</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联系人:戴珉微</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联系电话:021-33768132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客户服务电话:400-6767-523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传真:021-33768132-802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网址:www.zhongzhengfund.com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(156)众禄基金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注册地址:深圳市罗湖区笋岗街道笋西社区梨园路8号HALO广场一期四层12-13室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办公地址:深圳市罗湖区笋岗街道笋西社区梨园路8号HALO广场一期四层12-13室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法定代表人:薛峰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联系人:龚江江</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联系电话:0755-33227950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客户服务电话:4006-788-887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传真:0755-33227951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网址:www.zlfund.cn    www.jjmmw.com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(157)奕丰金融</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注册地址:深圳市前海深港合作区前湾一路1号A栋201室（入驻深圳市前海商务秘书有限公司）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办公地址:深圳市南山区海德三道航天科技广场A座17楼1704室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法定代表人:TEO WEE HOWE</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联系人:叶健</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联系电话:0755-89460507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客户服务电话:400-684-0500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传真:0755-21674453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网址:www.ifastps.com.cn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(158)晟视天下</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注册地址:北京市怀柔区九渡河镇黄坎村735号03室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办公地址:北京市朝阳区朝外大街甲六号万通中心D座21层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法定代表人:蒋煜</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联系人:史俊杰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联系电话:010-58170936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客户服务电话:010-58170761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传真:010-58170800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网址:www.shengshiview.com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(159)鼎信汇金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注册地址:北京市朝阳区霄云路40号院1号楼3层306室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办公地址:北京市朝阳区霄云路40号院1号楼3层306室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法定代表人:齐凌峰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联系人:阮志凌</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联系电话:010-82050520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客户服务电话:400-158-5050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传真:010-82086110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网址:www.9ifund.com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(160)和讯信息</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注册地址:北京市朝阳区朝外大街22号1002室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办公地址:北京市朝阳区朝外大街22号泛利大厦10层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法定代表人:章知方</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联系人:陈慧慧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联系电话:010-85657353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客户服务电话:400-920-0022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传真:010-65884788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网址:http://licaike.hexun.com/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(161)金百临</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注册地址:无锡市滨湖区锦溪路99号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办公地址:江苏省无锡市太湖新城锦溪道楝泽路9号楼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法定代表人:费晓燕</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联系人:邹云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联系电话:0510-81188088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客户服务电话:0510-9688988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网址:www.jsjbl.com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(162)深圳新兰德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注册地址:深圳市福田区福田街道民田路178号华融大厦27层2704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办公地址:北京市西城区宣武门外大街28号富卓大厦A座16层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法定代表人:洪弘</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联系人:文雯</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联系电话:010-83363101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客户服务电话:400-166-1188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传真:010-83363010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网址:http://8.jrj.com.cn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(163)中证金牛</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注册地址:北京市丰台区东管头1号2号楼2-45室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办公地址:北京市西城区宣武门外大街甲1号环球财讯中心A座5层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法定代表人:钱昊旻</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联系人:沈晨</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联系电话:010-59336544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客户服务电话:4008-909-998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网址:www.jnlc.com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(164)鑫鼎盛</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注册地址:厦门市思明区鹭江道2号厦门第一广场西座1501-1502室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办公地址:厦门市思明区鹭江道2号厦门第一广场西座1501-1502室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法定代表人:陈洪生</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联系人:梁云波</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联系电话:0592-3122757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客户服务电话:400-6533-789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网址:www.xds.com.cn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(165)阳光人寿保险</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注册地址:海南省三亚市迎宾路360-1号三亚阳光金融广场16层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办公地址:北京市朝阳区朝阳门外大街乙12号院1号昆泰国际大厦12层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法定代表人:李科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联系人:王超</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联系电话:010-85632771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客户服务电话:95510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传真:010-85632773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网址:http://fund.sinosig.com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(166)中国人寿</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注册地址:北京市西城区金融大街16号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办公地址:北京市西城区金融大街16号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法定代表人:王滨</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联系人:杨子彤</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联系电话:010-63631752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客户服务电话:95519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网址:www.e-chinalife.com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(167)和谐销售</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注册地址:北京市朝阳区建国门外大街6号11层1102内103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办公地址:北京市朝阳区建国门外大街6号安邦金融中心</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法定代表人:左荣林</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联系人:张楠</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联系电话:010-85256214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客户服务电话:4008195569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网址:www.hx-sales.com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(168)华瑞保险销售</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注册地址:上海市嘉定区南翔镇众仁路399号运通星财富广场1号楼B座13、14层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办公地址:上海市浦东新区向城路288号国华人寿金融大厦8层806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法定代表人:路昊</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联系人:茆勇强</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联系电话:021-68595698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客户服务电话:952303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传真:021-68595766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网址:www.huaruisales.com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(169)东海期货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注册地址:江苏省常州市延陵西路23、25、27、29号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办公地址:上海市浦东新区东方路1928号东海证券大厦8楼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法定代表人:陈太康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联系人:陶云</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联系电话:021-68751603</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客户服务电话:95531/400-8888588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传真:021-68756991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网址:www.qh168.com.cn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(170)东证期货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注册地址:中国（上海）自由贸易试验区浦电路500号上海期货大厦14层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办公地址:上海市黄浦区中山南路318号2号楼22楼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法定代表人:卢大印</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联系人:张敏圆</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联系电话:021-63325888-4259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客户服务电话:4008859999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传真:021-63326752</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网址:www.dzqh.com.cn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(171)弘业期货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注册地址:江苏省南京市秦淮区中华路50号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办公地址:江苏省南京市秦淮区中华路50号弘业大厦9楼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法定代表人:周剑秋</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联系人:张苏怡</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联系电话:025-52278981</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客户服务电话:400-828-1288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网址:www.ftol.com.cn</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(172)徽商期货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注册地址:安徽省合肥市芜湖路258号3号楼6-7层，6号楼1-2层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办公地址:合肥市芜湖路258号</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法定代表人:吴国华</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联系人:申倩倩</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联系电话:0551-62865215</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客户服务电话:400-887-8707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网址:www.hsqh.net</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(173)中信建投期货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注册地址:重庆市渝中区中山三路131号希尔顿商务中心27楼、30楼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办公地址:重庆市渝中区中山三路107号皇冠大厦11楼</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法定代表人:王广学</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联系人:刘芸</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联系电话:023-86769637</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客户服务电话:400-8877-780</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传真:023-86769629</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网址:www.cfc108.com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(174)中信期货</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注册地址:广东省深圳市福田区中心三路8号卓越时代广场（二期）北座13层1301-1305室、14层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办公地址:深圳市福田区中心三路8号卓越时代广场（二期）北座13层1301-1305室、14层</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法定代表人:张皓</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联系人:刘宏莹</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联系电话:010-6083 3754</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客户服务电话:400-990-8826</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传真:021-60819988</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网址:www.citicsf.com</w:t>
      </w:r>
    </w:p>
    <w:p w:rsidR="00AD0B6C" w:rsidRPr="00634578">
      <w:pPr>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注:网商银行仅销售本基金A类基金份额；兴业银行、中国民生银行仅销售本基金C类基金份额。</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（二）基金登记机构</w:t>
      </w:r>
      <w:bookmarkEnd w:id="31"/>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名称：易方达基金管理有限公司</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注册地址：</w:t>
      </w:r>
      <w:r w:rsidRPr="00634578" w:rsidR="00D548C0">
        <w:rPr>
          <w:rFonts w:asciiTheme="minorEastAsia" w:eastAsiaTheme="minorEastAsia" w:hAnsiTheme="minorEastAsia" w:hint="eastAsia"/>
          <w:color w:val="000000" w:themeColor="text1"/>
          <w:szCs w:val="21"/>
        </w:rPr>
        <w:t>广东省珠海市横琴新区宝华路6号105室-42891（集中办公区）</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办公地址：广州市天河区珠江新城珠江东路</w:t>
      </w:r>
      <w:r w:rsidRPr="00634578">
        <w:rPr>
          <w:rFonts w:asciiTheme="minorEastAsia" w:eastAsiaTheme="minorEastAsia" w:hAnsiTheme="minorEastAsia"/>
          <w:color w:val="000000" w:themeColor="text1"/>
        </w:rPr>
        <w:t>30</w:t>
      </w:r>
      <w:r w:rsidRPr="00634578">
        <w:rPr>
          <w:rFonts w:asciiTheme="minorEastAsia" w:eastAsiaTheme="minorEastAsia" w:hAnsiTheme="minorEastAsia" w:hint="eastAsia"/>
          <w:color w:val="000000" w:themeColor="text1"/>
        </w:rPr>
        <w:t>号广州银行大厦</w:t>
      </w:r>
      <w:r w:rsidRPr="00634578">
        <w:rPr>
          <w:rFonts w:asciiTheme="minorEastAsia" w:eastAsiaTheme="minorEastAsia" w:hAnsiTheme="minorEastAsia"/>
          <w:color w:val="000000" w:themeColor="text1"/>
        </w:rPr>
        <w:t>40-43</w:t>
      </w:r>
      <w:r w:rsidRPr="00634578">
        <w:rPr>
          <w:rFonts w:asciiTheme="minorEastAsia" w:eastAsiaTheme="minorEastAsia" w:hAnsiTheme="minorEastAsia" w:hint="eastAsia"/>
          <w:color w:val="000000" w:themeColor="text1"/>
        </w:rPr>
        <w:t>楼</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法定代表人：</w:t>
      </w:r>
      <w:r w:rsidRPr="00634578" w:rsidR="00085BFB">
        <w:rPr>
          <w:rFonts w:asciiTheme="minorEastAsia" w:eastAsiaTheme="minorEastAsia" w:hAnsiTheme="minorEastAsia" w:hint="eastAsia"/>
          <w:color w:val="000000" w:themeColor="text1"/>
        </w:rPr>
        <w:t>刘晓艳</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电话：</w:t>
      </w:r>
      <w:r w:rsidRPr="00634578">
        <w:rPr>
          <w:rFonts w:asciiTheme="minorEastAsia" w:eastAsiaTheme="minorEastAsia" w:hAnsiTheme="minorEastAsia"/>
          <w:color w:val="000000" w:themeColor="text1"/>
        </w:rPr>
        <w:t>4008818088</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传真：</w:t>
      </w:r>
      <w:r w:rsidRPr="00634578">
        <w:rPr>
          <w:rFonts w:asciiTheme="minorEastAsia" w:eastAsiaTheme="minorEastAsia" w:hAnsiTheme="minorEastAsia"/>
          <w:color w:val="000000" w:themeColor="text1"/>
        </w:rPr>
        <w:t>020-38799249</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联系人：余贤高</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bookmarkStart w:id="32" w:name="_Toc327734812"/>
      <w:r w:rsidRPr="00634578">
        <w:rPr>
          <w:rFonts w:asciiTheme="minorEastAsia" w:eastAsiaTheme="minorEastAsia" w:hAnsiTheme="minorEastAsia" w:hint="eastAsia"/>
          <w:color w:val="000000" w:themeColor="text1"/>
        </w:rPr>
        <w:t>（三）律师事务所和经办律师</w:t>
      </w:r>
      <w:bookmarkEnd w:id="32"/>
    </w:p>
    <w:p w:rsidR="00DB3659" w:rsidRPr="00634578" w:rsidP="00BB159E">
      <w:pPr>
        <w:snapToGrid w:val="0"/>
        <w:spacing w:line="360" w:lineRule="auto"/>
        <w:ind w:firstLine="440" w:firstLineChars="200"/>
        <w:rPr>
          <w:rFonts w:asciiTheme="minorEastAsia" w:eastAsiaTheme="minorEastAsia" w:hAnsiTheme="minorEastAsia"/>
          <w:color w:val="000000" w:themeColor="text1"/>
        </w:rPr>
      </w:pPr>
      <w:r w:rsidRPr="00634578">
        <w:rPr>
          <w:rStyle w:val="big1"/>
          <w:rFonts w:asciiTheme="minorEastAsia" w:eastAsiaTheme="minorEastAsia" w:hAnsiTheme="minorEastAsia" w:hint="eastAsia"/>
          <w:color w:val="000000" w:themeColor="text1"/>
          <w:spacing w:val="0"/>
          <w:szCs w:val="21"/>
        </w:rPr>
        <w:t>律师</w:t>
      </w:r>
      <w:r w:rsidRPr="00634578">
        <w:rPr>
          <w:rFonts w:asciiTheme="minorEastAsia" w:eastAsiaTheme="minorEastAsia" w:hAnsiTheme="minorEastAsia" w:hint="eastAsia"/>
          <w:color w:val="000000" w:themeColor="text1"/>
        </w:rPr>
        <w:t>事务所：</w:t>
      </w:r>
      <w:r w:rsidRPr="00634578">
        <w:rPr>
          <w:rFonts w:asciiTheme="minorEastAsia" w:eastAsiaTheme="minorEastAsia" w:hAnsiTheme="minorEastAsia" w:hint="eastAsia"/>
          <w:color w:val="000000" w:themeColor="text1"/>
          <w:szCs w:val="21"/>
        </w:rPr>
        <w:t>北京德恒律师事务所</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地址：</w:t>
      </w:r>
      <w:r w:rsidRPr="00634578">
        <w:rPr>
          <w:rFonts w:asciiTheme="minorEastAsia" w:eastAsiaTheme="minorEastAsia" w:hAnsiTheme="minorEastAsia" w:hint="eastAsia"/>
          <w:color w:val="000000" w:themeColor="text1"/>
          <w:szCs w:val="21"/>
        </w:rPr>
        <w:t>北京市西城区金融街</w:t>
      </w:r>
      <w:r w:rsidRPr="00634578">
        <w:rPr>
          <w:rFonts w:asciiTheme="minorEastAsia" w:eastAsiaTheme="minorEastAsia" w:hAnsiTheme="minorEastAsia"/>
          <w:color w:val="000000" w:themeColor="text1"/>
          <w:szCs w:val="21"/>
        </w:rPr>
        <w:t>19</w:t>
      </w:r>
      <w:r w:rsidRPr="00634578">
        <w:rPr>
          <w:rFonts w:asciiTheme="minorEastAsia" w:eastAsiaTheme="minorEastAsia" w:hAnsiTheme="minorEastAsia" w:hint="eastAsia"/>
          <w:color w:val="000000" w:themeColor="text1"/>
          <w:szCs w:val="21"/>
        </w:rPr>
        <w:t>号富凯大厦</w:t>
      </w:r>
      <w:r w:rsidRPr="00634578">
        <w:rPr>
          <w:rFonts w:asciiTheme="minorEastAsia" w:eastAsiaTheme="minorEastAsia" w:hAnsiTheme="minorEastAsia"/>
          <w:color w:val="000000" w:themeColor="text1"/>
          <w:szCs w:val="21"/>
        </w:rPr>
        <w:t>B</w:t>
      </w:r>
      <w:r w:rsidRPr="00634578">
        <w:rPr>
          <w:rFonts w:asciiTheme="minorEastAsia" w:eastAsiaTheme="minorEastAsia" w:hAnsiTheme="minorEastAsia" w:hint="eastAsia"/>
          <w:color w:val="000000" w:themeColor="text1"/>
          <w:szCs w:val="21"/>
        </w:rPr>
        <w:t>座</w:t>
      </w:r>
      <w:r w:rsidRPr="00634578">
        <w:rPr>
          <w:rFonts w:asciiTheme="minorEastAsia" w:eastAsiaTheme="minorEastAsia" w:hAnsiTheme="minorEastAsia"/>
          <w:color w:val="000000" w:themeColor="text1"/>
          <w:szCs w:val="21"/>
        </w:rPr>
        <w:t>12</w:t>
      </w:r>
      <w:r w:rsidRPr="00634578">
        <w:rPr>
          <w:rFonts w:asciiTheme="minorEastAsia" w:eastAsiaTheme="minorEastAsia" w:hAnsiTheme="minorEastAsia" w:hint="eastAsia"/>
          <w:color w:val="000000" w:themeColor="text1"/>
          <w:szCs w:val="21"/>
        </w:rPr>
        <w:t>层</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负责人：</w:t>
      </w:r>
      <w:r w:rsidRPr="00634578">
        <w:rPr>
          <w:rFonts w:asciiTheme="minorEastAsia" w:eastAsiaTheme="minorEastAsia" w:hAnsiTheme="minorEastAsia" w:hint="eastAsia"/>
          <w:color w:val="000000" w:themeColor="text1"/>
          <w:szCs w:val="21"/>
        </w:rPr>
        <w:t>王丽</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电话：</w:t>
      </w:r>
      <w:r w:rsidRPr="00634578">
        <w:rPr>
          <w:rFonts w:asciiTheme="minorEastAsia" w:eastAsiaTheme="minorEastAsia" w:hAnsiTheme="minorEastAsia"/>
          <w:color w:val="000000" w:themeColor="text1"/>
        </w:rPr>
        <w:t>0</w:t>
      </w:r>
      <w:r w:rsidRPr="00634578">
        <w:rPr>
          <w:rFonts w:asciiTheme="minorEastAsia" w:eastAsiaTheme="minorEastAsia" w:hAnsiTheme="minorEastAsia"/>
          <w:color w:val="000000" w:themeColor="text1"/>
          <w:szCs w:val="21"/>
        </w:rPr>
        <w:t>10-52682888</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传真：</w:t>
      </w:r>
      <w:r w:rsidRPr="00634578">
        <w:rPr>
          <w:rFonts w:asciiTheme="minorEastAsia" w:eastAsiaTheme="minorEastAsia" w:hAnsiTheme="minorEastAsia"/>
          <w:color w:val="000000" w:themeColor="text1"/>
          <w:szCs w:val="21"/>
        </w:rPr>
        <w:t>010-52682999</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经办律师：</w:t>
      </w:r>
      <w:r w:rsidRPr="00634578">
        <w:rPr>
          <w:rFonts w:asciiTheme="minorEastAsia" w:eastAsiaTheme="minorEastAsia" w:hAnsiTheme="minorEastAsia" w:hint="eastAsia"/>
          <w:color w:val="000000" w:themeColor="text1"/>
          <w:szCs w:val="21"/>
        </w:rPr>
        <w:t>徐建军、刘焕志</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联系人：</w:t>
      </w:r>
      <w:r w:rsidRPr="00634578">
        <w:rPr>
          <w:rFonts w:asciiTheme="minorEastAsia" w:eastAsiaTheme="minorEastAsia" w:hAnsiTheme="minorEastAsia" w:hint="eastAsia"/>
          <w:color w:val="000000" w:themeColor="text1"/>
          <w:szCs w:val="21"/>
        </w:rPr>
        <w:t>徐建军</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33" w:name="_Toc327734813"/>
      <w:r w:rsidRPr="00634578">
        <w:rPr>
          <w:rFonts w:asciiTheme="minorEastAsia" w:eastAsiaTheme="minorEastAsia" w:hAnsiTheme="minorEastAsia" w:hint="eastAsia"/>
          <w:color w:val="000000" w:themeColor="text1"/>
          <w:szCs w:val="21"/>
        </w:rPr>
        <w:t>（四）会计师事务所和经办注册会计师</w:t>
      </w:r>
      <w:bookmarkEnd w:id="33"/>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本基金的法定验资机构为安永华明会计师事务所（特殊普通合伙）。</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会计师事务所：安永华明会计师事务所（特殊普通合伙）</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主要经营场所：北京市东城区东长安街1号东方广场安永大楼17层01-12室</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执行事务合伙人：NgAlbertKongPing吴港平</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电话：010-58153000</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传真：010-85188298</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经办注册会计师：昌华、</w:t>
      </w:r>
      <w:r w:rsidRPr="00634578" w:rsidR="00EA3B90">
        <w:rPr>
          <w:rFonts w:asciiTheme="minorEastAsia" w:eastAsiaTheme="minorEastAsia" w:hAnsiTheme="minorEastAsia" w:hint="eastAsia"/>
          <w:color w:val="000000" w:themeColor="text1"/>
        </w:rPr>
        <w:t>熊姝英</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联系人：许建辉</w:t>
      </w:r>
    </w:p>
    <w:p w:rsidR="00DB3659"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本基金的年度财务报表及其他规定事项的审计机构为普华永道中天会计师事务所（特殊普通合伙）。</w:t>
      </w:r>
    </w:p>
    <w:p w:rsidR="001C6E40"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会计师事务所：普华永道中天会计师事务所（特殊普通合伙）</w:t>
      </w:r>
    </w:p>
    <w:p w:rsidR="001C6E40"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住所：</w:t>
      </w:r>
      <w:r w:rsidRPr="00634578" w:rsidR="00316D22">
        <w:rPr>
          <w:rFonts w:asciiTheme="minorEastAsia" w:eastAsiaTheme="minorEastAsia" w:hAnsiTheme="minorEastAsia" w:hint="eastAsia"/>
          <w:color w:val="000000" w:themeColor="text1"/>
          <w:szCs w:val="21"/>
        </w:rPr>
        <w:t>上海市湖滨路202号普华永道中心11楼</w:t>
      </w:r>
    </w:p>
    <w:p w:rsidR="001C6E40"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办公地址：上海市湖滨路202号普华永道中心11楼</w:t>
      </w:r>
    </w:p>
    <w:p w:rsidR="001C6E40"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首席合伙人：李丹</w:t>
      </w:r>
    </w:p>
    <w:p w:rsidR="001C6E40"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电话：（021）23238888</w:t>
      </w:r>
    </w:p>
    <w:p w:rsidR="001C6E40"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传真：（021）23238800</w:t>
      </w:r>
    </w:p>
    <w:p w:rsidR="001C6E40"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rPr>
        <w:t>经办注册会计师：陈熹、陈轶杰</w:t>
      </w:r>
    </w:p>
    <w:p w:rsidR="00DF6958"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联系人：</w:t>
      </w:r>
      <w:r w:rsidRPr="00634578" w:rsidR="00316D22">
        <w:rPr>
          <w:rFonts w:asciiTheme="minorEastAsia" w:eastAsiaTheme="minorEastAsia" w:hAnsiTheme="minorEastAsia" w:hint="eastAsia"/>
          <w:color w:val="000000" w:themeColor="text1"/>
          <w:szCs w:val="21"/>
        </w:rPr>
        <w:t>周祎</w:t>
      </w: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jc w:val="cente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F6958" w:rsidRPr="00634578" w:rsidP="00DF6958">
      <w:pPr>
        <w:rPr>
          <w:rFonts w:asciiTheme="minorEastAsia" w:eastAsiaTheme="minorEastAsia" w:hAnsiTheme="minorEastAsia"/>
          <w:color w:val="000000" w:themeColor="text1"/>
          <w:szCs w:val="21"/>
        </w:rPr>
      </w:pPr>
    </w:p>
    <w:p w:rsidR="00DB3659" w:rsidRPr="00634578" w:rsidP="00DF6958">
      <w:pPr>
        <w:rPr>
          <w:rFonts w:asciiTheme="minorEastAsia" w:eastAsiaTheme="minorEastAsia" w:hAnsiTheme="minorEastAsia"/>
          <w:color w:val="000000" w:themeColor="text1"/>
          <w:szCs w:val="21"/>
        </w:rPr>
      </w:pPr>
    </w:p>
    <w:p w:rsidR="00DB3659" w:rsidRPr="00634578" w:rsidP="00BB159E">
      <w:pPr>
        <w:pStyle w:val="Heading1"/>
        <w:pageBreakBefore/>
        <w:snapToGrid w:val="0"/>
        <w:spacing w:beforeLines="0" w:afterLines="0" w:line="360" w:lineRule="auto"/>
        <w:ind w:firstLine="640"/>
        <w:rPr>
          <w:rFonts w:asciiTheme="minorEastAsia" w:eastAsiaTheme="minorEastAsia" w:hAnsiTheme="minorEastAsia"/>
          <w:bCs/>
          <w:color w:val="000000" w:themeColor="text1"/>
        </w:rPr>
      </w:pPr>
      <w:bookmarkStart w:id="34" w:name="_Toc327734814"/>
      <w:bookmarkStart w:id="35" w:name="_Toc91772038"/>
      <w:r w:rsidRPr="00634578">
        <w:rPr>
          <w:rFonts w:asciiTheme="minorEastAsia" w:eastAsiaTheme="minorEastAsia" w:hAnsiTheme="minorEastAsia" w:hint="eastAsia"/>
          <w:bCs/>
          <w:color w:val="000000" w:themeColor="text1"/>
        </w:rPr>
        <w:t>六、基金份额的分类</w:t>
      </w:r>
      <w:bookmarkEnd w:id="34"/>
      <w:bookmarkEnd w:id="35"/>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36" w:name="_Toc327734815"/>
      <w:r w:rsidRPr="00634578">
        <w:rPr>
          <w:rFonts w:asciiTheme="minorEastAsia" w:eastAsiaTheme="minorEastAsia" w:hAnsiTheme="minorEastAsia" w:hint="eastAsia"/>
          <w:color w:val="000000" w:themeColor="text1"/>
          <w:szCs w:val="21"/>
        </w:rPr>
        <w:t>（一）基金份额分类</w:t>
      </w:r>
      <w:bookmarkEnd w:id="36"/>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本基金分为</w:t>
      </w:r>
      <w:r w:rsidRPr="00634578">
        <w:rPr>
          <w:rFonts w:asciiTheme="minorEastAsia" w:eastAsiaTheme="minorEastAsia" w:hAnsiTheme="minorEastAsia"/>
          <w:color w:val="000000" w:themeColor="text1"/>
          <w:szCs w:val="21"/>
        </w:rPr>
        <w:t>A</w:t>
      </w:r>
      <w:r w:rsidRPr="00634578">
        <w:rPr>
          <w:rFonts w:asciiTheme="minorEastAsia" w:eastAsiaTheme="minorEastAsia" w:hAnsiTheme="minorEastAsia" w:hint="eastAsia"/>
          <w:color w:val="000000" w:themeColor="text1"/>
          <w:szCs w:val="21"/>
        </w:rPr>
        <w:t>类基金份额、</w:t>
      </w:r>
      <w:r w:rsidRPr="00634578">
        <w:rPr>
          <w:rFonts w:asciiTheme="minorEastAsia" w:eastAsiaTheme="minorEastAsia" w:hAnsiTheme="minorEastAsia"/>
          <w:color w:val="000000" w:themeColor="text1"/>
          <w:szCs w:val="21"/>
        </w:rPr>
        <w:t>B</w:t>
      </w:r>
      <w:r w:rsidRPr="00634578">
        <w:rPr>
          <w:rFonts w:asciiTheme="minorEastAsia" w:eastAsiaTheme="minorEastAsia" w:hAnsiTheme="minorEastAsia" w:hint="eastAsia"/>
          <w:color w:val="000000" w:themeColor="text1"/>
          <w:szCs w:val="21"/>
        </w:rPr>
        <w:t>类基金份额</w:t>
      </w:r>
      <w:r w:rsidRPr="00634578" w:rsidR="00094955">
        <w:rPr>
          <w:rFonts w:asciiTheme="minorEastAsia" w:eastAsiaTheme="minorEastAsia" w:hAnsiTheme="minorEastAsia" w:hint="eastAsia"/>
          <w:color w:val="000000" w:themeColor="text1"/>
          <w:szCs w:val="21"/>
        </w:rPr>
        <w:t>、</w:t>
      </w:r>
      <w:r w:rsidRPr="00634578" w:rsidR="00094955">
        <w:rPr>
          <w:rFonts w:asciiTheme="minorEastAsia" w:eastAsiaTheme="minorEastAsia" w:hAnsiTheme="minorEastAsia"/>
          <w:color w:val="000000" w:themeColor="text1"/>
          <w:szCs w:val="21"/>
        </w:rPr>
        <w:t>C类基金份额</w:t>
      </w:r>
      <w:r w:rsidRPr="00634578" w:rsidR="00094955">
        <w:rPr>
          <w:rFonts w:asciiTheme="minorEastAsia" w:eastAsiaTheme="minorEastAsia" w:hAnsiTheme="minorEastAsia" w:hint="eastAsia"/>
          <w:color w:val="000000" w:themeColor="text1"/>
          <w:szCs w:val="21"/>
        </w:rPr>
        <w:t>，各类</w:t>
      </w:r>
      <w:r w:rsidRPr="00634578">
        <w:rPr>
          <w:rFonts w:asciiTheme="minorEastAsia" w:eastAsiaTheme="minorEastAsia" w:hAnsiTheme="minorEastAsia" w:hint="eastAsia"/>
          <w:color w:val="000000" w:themeColor="text1"/>
          <w:szCs w:val="21"/>
        </w:rPr>
        <w:t>基金份额分别单独设置基金代码，并分别公布每万份基金已实现收益和七日年化收益率。</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根据基金实际运作情况，在不违反法律法规且对基金份额持有人利益无实质不利影响的前提下，基金管理人可对基金份额分类规则和办法进行调整并提前公告。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37" w:name="_Toc327734816"/>
      <w:r w:rsidRPr="00634578">
        <w:rPr>
          <w:rFonts w:asciiTheme="minorEastAsia" w:eastAsiaTheme="minorEastAsia" w:hAnsiTheme="minorEastAsia" w:hint="eastAsia"/>
          <w:color w:val="000000" w:themeColor="text1"/>
          <w:szCs w:val="21"/>
        </w:rPr>
        <w:t>（二）基金份额类别的限制</w:t>
      </w:r>
      <w:bookmarkEnd w:id="37"/>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投资者可选择不同的基金份额类别。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6"/>
        <w:gridCol w:w="2234"/>
        <w:gridCol w:w="1556"/>
        <w:gridCol w:w="1556"/>
      </w:tblGrid>
      <w:tr w:rsidTr="006F035F">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9"/>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cs="宋体S....."/>
                <w:b/>
                <w:color w:val="000000" w:themeColor="text1"/>
                <w:kern w:val="0"/>
                <w:szCs w:val="21"/>
              </w:rPr>
            </w:pPr>
            <w:r w:rsidRPr="00634578">
              <w:rPr>
                <w:rFonts w:asciiTheme="minorEastAsia" w:eastAsiaTheme="minorEastAsia" w:hAnsiTheme="minorEastAsia" w:cs="宋体S....." w:hint="eastAsia"/>
                <w:b/>
                <w:color w:val="000000" w:themeColor="text1"/>
                <w:kern w:val="0"/>
                <w:szCs w:val="21"/>
              </w:rPr>
              <w:t>份额类别</w:t>
            </w:r>
          </w:p>
        </w:tc>
        <w:tc>
          <w:tcPr>
            <w:tcW w:w="1311"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b/>
                <w:color w:val="000000" w:themeColor="text1"/>
                <w:kern w:val="0"/>
                <w:szCs w:val="21"/>
              </w:rPr>
            </w:pPr>
            <w:r w:rsidRPr="00634578">
              <w:rPr>
                <w:rFonts w:asciiTheme="minorEastAsia" w:eastAsiaTheme="minorEastAsia" w:hAnsiTheme="minorEastAsia"/>
                <w:b/>
                <w:bCs/>
                <w:color w:val="000000" w:themeColor="text1"/>
                <w:kern w:val="0"/>
                <w:szCs w:val="21"/>
              </w:rPr>
              <w:t>A</w:t>
            </w:r>
            <w:r w:rsidRPr="00634578">
              <w:rPr>
                <w:rFonts w:asciiTheme="minorEastAsia" w:eastAsiaTheme="minorEastAsia" w:hAnsiTheme="minorEastAsia" w:hint="eastAsia"/>
                <w:b/>
                <w:bCs/>
                <w:color w:val="000000" w:themeColor="text1"/>
                <w:kern w:val="0"/>
                <w:szCs w:val="21"/>
              </w:rPr>
              <w:t>类基金份额</w:t>
            </w:r>
          </w:p>
        </w:tc>
        <w:tc>
          <w:tcPr>
            <w:tcW w:w="913"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634578">
              <w:rPr>
                <w:rFonts w:asciiTheme="minorEastAsia" w:eastAsiaTheme="minorEastAsia" w:hAnsiTheme="minorEastAsia"/>
                <w:b/>
                <w:bCs/>
                <w:color w:val="000000" w:themeColor="text1"/>
                <w:kern w:val="0"/>
                <w:szCs w:val="21"/>
              </w:rPr>
              <w:t>B</w:t>
            </w:r>
            <w:r w:rsidRPr="00634578">
              <w:rPr>
                <w:rFonts w:asciiTheme="minorEastAsia" w:eastAsiaTheme="minorEastAsia" w:hAnsiTheme="minorEastAsia" w:hint="eastAsia"/>
                <w:b/>
                <w:bCs/>
                <w:color w:val="000000" w:themeColor="text1"/>
                <w:kern w:val="0"/>
                <w:szCs w:val="21"/>
              </w:rPr>
              <w:t>类基金份额</w:t>
            </w:r>
          </w:p>
        </w:tc>
        <w:tc>
          <w:tcPr>
            <w:tcW w:w="913" w:type="pct"/>
            <w:tcBorders>
              <w:top w:val="single" w:sz="4" w:space="0" w:color="auto"/>
              <w:left w:val="single" w:sz="4" w:space="0" w:color="auto"/>
              <w:bottom w:val="single" w:sz="4" w:space="0" w:color="auto"/>
              <w:right w:val="single" w:sz="4" w:space="0" w:color="auto"/>
            </w:tcBorders>
          </w:tcPr>
          <w:p w:rsidR="00094955" w:rsidRPr="00634578" w:rsidP="00094955">
            <w:pPr>
              <w:autoSpaceDE w:val="0"/>
              <w:autoSpaceDN w:val="0"/>
              <w:adjustRightInd w:val="0"/>
              <w:snapToGrid w:val="0"/>
              <w:spacing w:line="360" w:lineRule="auto"/>
              <w:jc w:val="center"/>
              <w:rPr>
                <w:rFonts w:asciiTheme="minorEastAsia" w:eastAsiaTheme="minorEastAsia" w:hAnsiTheme="minorEastAsia"/>
                <w:b/>
                <w:bCs/>
                <w:color w:val="000000" w:themeColor="text1"/>
                <w:kern w:val="0"/>
                <w:szCs w:val="21"/>
              </w:rPr>
            </w:pPr>
            <w:r w:rsidRPr="00634578">
              <w:rPr>
                <w:rFonts w:asciiTheme="minorEastAsia" w:eastAsiaTheme="minorEastAsia" w:hAnsiTheme="minorEastAsia" w:hint="eastAsia"/>
                <w:b/>
                <w:bCs/>
                <w:color w:val="000000" w:themeColor="text1"/>
                <w:kern w:val="0"/>
                <w:szCs w:val="21"/>
              </w:rPr>
              <w:t>C</w:t>
            </w:r>
            <w:r w:rsidRPr="00634578">
              <w:rPr>
                <w:rFonts w:asciiTheme="minorEastAsia" w:eastAsiaTheme="minorEastAsia" w:hAnsiTheme="minorEastAsia"/>
                <w:b/>
                <w:bCs/>
                <w:color w:val="000000" w:themeColor="text1"/>
                <w:kern w:val="0"/>
                <w:szCs w:val="21"/>
              </w:rPr>
              <w:t>类基金份额</w:t>
            </w:r>
          </w:p>
        </w:tc>
      </w:tr>
      <w:tr w:rsidTr="006F035F">
        <w:tblPrEx>
          <w:tblW w:w="5000" w:type="pct"/>
          <w:jc w:val="center"/>
          <w:tblLook w:val="04A0"/>
        </w:tblPrEx>
        <w:trPr>
          <w:trHeight w:val="567"/>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634578">
              <w:rPr>
                <w:rFonts w:asciiTheme="minorEastAsia" w:eastAsiaTheme="minorEastAsia" w:hAnsiTheme="minorEastAsia" w:cs="宋体S....." w:hint="eastAsia"/>
                <w:color w:val="000000" w:themeColor="text1"/>
                <w:kern w:val="0"/>
                <w:szCs w:val="21"/>
              </w:rPr>
              <w:t>首次认</w:t>
            </w:r>
            <w:r w:rsidRPr="00634578">
              <w:rPr>
                <w:rFonts w:asciiTheme="minorEastAsia" w:eastAsiaTheme="minorEastAsia" w:hAnsiTheme="minorEastAsia"/>
                <w:color w:val="000000" w:themeColor="text1"/>
                <w:kern w:val="0"/>
                <w:szCs w:val="21"/>
              </w:rPr>
              <w:t>/</w:t>
            </w:r>
            <w:r w:rsidRPr="00634578">
              <w:rPr>
                <w:rFonts w:asciiTheme="minorEastAsia" w:eastAsiaTheme="minorEastAsia" w:hAnsiTheme="minorEastAsia" w:cs="宋体S....." w:hint="eastAsia"/>
                <w:color w:val="000000" w:themeColor="text1"/>
                <w:kern w:val="0"/>
                <w:szCs w:val="21"/>
              </w:rPr>
              <w:t>申购最低金额</w:t>
            </w:r>
          </w:p>
        </w:tc>
        <w:tc>
          <w:tcPr>
            <w:tcW w:w="1311"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634578">
              <w:rPr>
                <w:rFonts w:asciiTheme="minorEastAsia" w:eastAsiaTheme="minorEastAsia" w:hAnsiTheme="minorEastAsia" w:hint="eastAsia"/>
                <w:color w:val="000000" w:themeColor="text1"/>
                <w:kern w:val="0"/>
                <w:szCs w:val="21"/>
              </w:rPr>
              <w:t>不进行限制</w:t>
            </w:r>
          </w:p>
          <w:p w:rsidR="00094955" w:rsidRPr="00634578" w:rsidP="00094955">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634578">
              <w:rPr>
                <w:rFonts w:asciiTheme="minorEastAsia" w:eastAsiaTheme="minorEastAsia" w:hAnsiTheme="minorEastAsia" w:cs="宋体S....." w:hint="eastAsia"/>
                <w:color w:val="000000" w:themeColor="text1"/>
                <w:kern w:val="0"/>
                <w:szCs w:val="21"/>
              </w:rPr>
              <w:t>（直销中心为</w:t>
            </w:r>
            <w:r w:rsidRPr="00634578">
              <w:rPr>
                <w:rFonts w:asciiTheme="minorEastAsia" w:eastAsiaTheme="minorEastAsia" w:hAnsiTheme="minorEastAsia"/>
                <w:color w:val="000000" w:themeColor="text1"/>
                <w:kern w:val="0"/>
                <w:szCs w:val="21"/>
              </w:rPr>
              <w:t>5</w:t>
            </w:r>
            <w:r w:rsidRPr="00634578">
              <w:rPr>
                <w:rFonts w:asciiTheme="minorEastAsia" w:eastAsiaTheme="minorEastAsia" w:hAnsiTheme="minorEastAsia" w:cs="宋体S....." w:hint="eastAsia"/>
                <w:color w:val="000000" w:themeColor="text1"/>
                <w:kern w:val="0"/>
                <w:szCs w:val="21"/>
              </w:rPr>
              <w:t>万元）</w:t>
            </w:r>
          </w:p>
        </w:tc>
        <w:tc>
          <w:tcPr>
            <w:tcW w:w="913"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634578">
              <w:rPr>
                <w:rFonts w:asciiTheme="minorEastAsia" w:eastAsiaTheme="minorEastAsia" w:hAnsiTheme="minorEastAsia"/>
                <w:color w:val="000000" w:themeColor="text1"/>
                <w:kern w:val="0"/>
                <w:szCs w:val="21"/>
              </w:rPr>
              <w:t>500</w:t>
            </w:r>
            <w:r w:rsidRPr="00634578">
              <w:rPr>
                <w:rFonts w:asciiTheme="minorEastAsia" w:eastAsiaTheme="minorEastAsia" w:hAnsiTheme="minorEastAsia" w:hint="eastAsia"/>
                <w:color w:val="000000" w:themeColor="text1"/>
                <w:kern w:val="0"/>
                <w:szCs w:val="21"/>
              </w:rPr>
              <w:t>万</w:t>
            </w:r>
            <w:r w:rsidRPr="00634578">
              <w:rPr>
                <w:rFonts w:asciiTheme="minorEastAsia" w:eastAsiaTheme="minorEastAsia" w:hAnsiTheme="minorEastAsia" w:cs="宋体S....." w:hint="eastAsia"/>
                <w:color w:val="000000" w:themeColor="text1"/>
                <w:kern w:val="0"/>
                <w:szCs w:val="21"/>
              </w:rPr>
              <w:t>元</w:t>
            </w:r>
          </w:p>
        </w:tc>
        <w:tc>
          <w:tcPr>
            <w:tcW w:w="913" w:type="pct"/>
            <w:tcBorders>
              <w:top w:val="single" w:sz="4" w:space="0" w:color="auto"/>
              <w:left w:val="single" w:sz="4" w:space="0" w:color="auto"/>
              <w:bottom w:val="single" w:sz="4" w:space="0" w:color="auto"/>
              <w:right w:val="single" w:sz="4" w:space="0" w:color="auto"/>
            </w:tcBorders>
            <w:vAlign w:val="center"/>
          </w:tcPr>
          <w:p w:rsidR="00094955" w:rsidRPr="00634578">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634578">
              <w:rPr>
                <w:rFonts w:asciiTheme="minorEastAsia" w:eastAsiaTheme="minorEastAsia" w:hAnsiTheme="minorEastAsia" w:hint="eastAsia"/>
                <w:color w:val="000000" w:themeColor="text1"/>
                <w:kern w:val="0"/>
                <w:szCs w:val="21"/>
              </w:rPr>
              <w:t>不进行限制</w:t>
            </w:r>
          </w:p>
        </w:tc>
      </w:tr>
      <w:tr w:rsidTr="006F035F">
        <w:tblPrEx>
          <w:tblW w:w="5000" w:type="pct"/>
          <w:jc w:val="center"/>
          <w:tblLook w:val="04A0"/>
        </w:tblPrEx>
        <w:trPr>
          <w:trHeight w:val="567"/>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634578">
              <w:rPr>
                <w:rFonts w:asciiTheme="minorEastAsia" w:eastAsiaTheme="minorEastAsia" w:hAnsiTheme="minorEastAsia" w:cs="宋体S....." w:hint="eastAsia"/>
                <w:color w:val="000000" w:themeColor="text1"/>
                <w:kern w:val="0"/>
                <w:szCs w:val="21"/>
              </w:rPr>
              <w:t>追加认</w:t>
            </w:r>
            <w:r w:rsidRPr="00634578">
              <w:rPr>
                <w:rFonts w:asciiTheme="minorEastAsia" w:eastAsiaTheme="minorEastAsia" w:hAnsiTheme="minorEastAsia"/>
                <w:color w:val="000000" w:themeColor="text1"/>
                <w:kern w:val="0"/>
                <w:szCs w:val="21"/>
              </w:rPr>
              <w:t>/</w:t>
            </w:r>
            <w:r w:rsidRPr="00634578">
              <w:rPr>
                <w:rFonts w:asciiTheme="minorEastAsia" w:eastAsiaTheme="minorEastAsia" w:hAnsiTheme="minorEastAsia" w:cs="宋体S....." w:hint="eastAsia"/>
                <w:color w:val="000000" w:themeColor="text1"/>
                <w:kern w:val="0"/>
                <w:szCs w:val="21"/>
              </w:rPr>
              <w:t>申购最低金额</w:t>
            </w:r>
          </w:p>
        </w:tc>
        <w:tc>
          <w:tcPr>
            <w:tcW w:w="1311"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634578">
              <w:rPr>
                <w:rFonts w:asciiTheme="minorEastAsia" w:eastAsiaTheme="minorEastAsia" w:hAnsiTheme="minorEastAsia" w:hint="eastAsia"/>
                <w:color w:val="000000" w:themeColor="text1"/>
                <w:kern w:val="0"/>
                <w:szCs w:val="21"/>
              </w:rPr>
              <w:t>不进行限制</w:t>
            </w:r>
          </w:p>
          <w:p w:rsidR="00094955" w:rsidRPr="00634578" w:rsidP="00094955">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634578">
              <w:rPr>
                <w:rFonts w:asciiTheme="minorEastAsia" w:eastAsiaTheme="minorEastAsia" w:hAnsiTheme="minorEastAsia" w:cs="宋体S....." w:hint="eastAsia"/>
                <w:color w:val="000000" w:themeColor="text1"/>
                <w:kern w:val="0"/>
                <w:szCs w:val="21"/>
              </w:rPr>
              <w:t>（直销中心为</w:t>
            </w:r>
            <w:r w:rsidRPr="00634578">
              <w:rPr>
                <w:rFonts w:asciiTheme="minorEastAsia" w:eastAsiaTheme="minorEastAsia" w:hAnsiTheme="minorEastAsia" w:cs="宋体S....."/>
                <w:color w:val="000000" w:themeColor="text1"/>
                <w:kern w:val="0"/>
                <w:szCs w:val="21"/>
              </w:rPr>
              <w:t>1000</w:t>
            </w:r>
            <w:r w:rsidRPr="00634578">
              <w:rPr>
                <w:rFonts w:asciiTheme="minorEastAsia" w:eastAsiaTheme="minorEastAsia" w:hAnsiTheme="minorEastAsia" w:cs="宋体S....." w:hint="eastAsia"/>
                <w:color w:val="000000" w:themeColor="text1"/>
                <w:kern w:val="0"/>
                <w:szCs w:val="21"/>
              </w:rPr>
              <w:t>元）</w:t>
            </w:r>
          </w:p>
        </w:tc>
        <w:tc>
          <w:tcPr>
            <w:tcW w:w="913"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634578">
              <w:rPr>
                <w:rFonts w:asciiTheme="minorEastAsia" w:eastAsiaTheme="minorEastAsia" w:hAnsiTheme="minorEastAsia"/>
                <w:color w:val="000000" w:themeColor="text1"/>
                <w:kern w:val="0"/>
                <w:szCs w:val="21"/>
              </w:rPr>
              <w:t>10</w:t>
            </w:r>
            <w:r w:rsidRPr="00634578">
              <w:rPr>
                <w:rFonts w:asciiTheme="minorEastAsia" w:eastAsiaTheme="minorEastAsia" w:hAnsiTheme="minorEastAsia" w:hint="eastAsia"/>
                <w:color w:val="000000" w:themeColor="text1"/>
                <w:kern w:val="0"/>
                <w:szCs w:val="21"/>
              </w:rPr>
              <w:t>万</w:t>
            </w:r>
            <w:r w:rsidRPr="00634578">
              <w:rPr>
                <w:rFonts w:asciiTheme="minorEastAsia" w:eastAsiaTheme="minorEastAsia" w:hAnsiTheme="minorEastAsia" w:cs="宋体S....." w:hint="eastAsia"/>
                <w:color w:val="000000" w:themeColor="text1"/>
                <w:kern w:val="0"/>
                <w:szCs w:val="21"/>
              </w:rPr>
              <w:t>元</w:t>
            </w:r>
          </w:p>
        </w:tc>
        <w:tc>
          <w:tcPr>
            <w:tcW w:w="913" w:type="pct"/>
            <w:tcBorders>
              <w:top w:val="single" w:sz="4" w:space="0" w:color="auto"/>
              <w:left w:val="single" w:sz="4" w:space="0" w:color="auto"/>
              <w:bottom w:val="single" w:sz="4" w:space="0" w:color="auto"/>
              <w:right w:val="single" w:sz="4" w:space="0" w:color="auto"/>
            </w:tcBorders>
            <w:vAlign w:val="center"/>
          </w:tcPr>
          <w:p w:rsidR="00094955" w:rsidRPr="00634578">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634578">
              <w:rPr>
                <w:rFonts w:asciiTheme="minorEastAsia" w:eastAsiaTheme="minorEastAsia" w:hAnsiTheme="minorEastAsia" w:hint="eastAsia"/>
                <w:color w:val="000000" w:themeColor="text1"/>
                <w:kern w:val="0"/>
                <w:szCs w:val="21"/>
              </w:rPr>
              <w:t>不进行限制</w:t>
            </w:r>
          </w:p>
        </w:tc>
      </w:tr>
      <w:tr w:rsidTr="006F035F">
        <w:tblPrEx>
          <w:tblW w:w="5000" w:type="pct"/>
          <w:jc w:val="center"/>
          <w:tblLook w:val="04A0"/>
        </w:tblPrEx>
        <w:trPr>
          <w:trHeight w:val="567"/>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634578">
              <w:rPr>
                <w:rFonts w:asciiTheme="minorEastAsia" w:eastAsiaTheme="minorEastAsia" w:hAnsiTheme="minorEastAsia" w:cs="宋体S....." w:hint="eastAsia"/>
                <w:color w:val="000000" w:themeColor="text1"/>
                <w:kern w:val="0"/>
                <w:szCs w:val="21"/>
              </w:rPr>
              <w:t>单笔赎回最低份额</w:t>
            </w:r>
          </w:p>
        </w:tc>
        <w:tc>
          <w:tcPr>
            <w:tcW w:w="1311"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634578">
              <w:rPr>
                <w:rFonts w:asciiTheme="minorEastAsia" w:eastAsiaTheme="minorEastAsia" w:hAnsiTheme="minorEastAsia"/>
                <w:color w:val="000000" w:themeColor="text1"/>
                <w:kern w:val="0"/>
                <w:szCs w:val="21"/>
              </w:rPr>
              <w:t>0</w:t>
            </w:r>
            <w:r w:rsidRPr="00634578">
              <w:rPr>
                <w:rFonts w:asciiTheme="minorEastAsia" w:eastAsiaTheme="minorEastAsia" w:hAnsiTheme="minorEastAsia" w:cs="宋体S....." w:hint="eastAsia"/>
                <w:color w:val="000000" w:themeColor="text1"/>
                <w:kern w:val="0"/>
                <w:szCs w:val="21"/>
              </w:rPr>
              <w:t>份</w:t>
            </w:r>
          </w:p>
        </w:tc>
        <w:tc>
          <w:tcPr>
            <w:tcW w:w="913"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634578">
              <w:rPr>
                <w:rFonts w:asciiTheme="minorEastAsia" w:eastAsiaTheme="minorEastAsia" w:hAnsiTheme="minorEastAsia"/>
                <w:color w:val="000000" w:themeColor="text1"/>
                <w:kern w:val="0"/>
                <w:szCs w:val="21"/>
              </w:rPr>
              <w:t>0</w:t>
            </w:r>
            <w:r w:rsidRPr="00634578">
              <w:rPr>
                <w:rFonts w:asciiTheme="minorEastAsia" w:eastAsiaTheme="minorEastAsia" w:hAnsiTheme="minorEastAsia" w:cs="宋体S....." w:hint="eastAsia"/>
                <w:color w:val="000000" w:themeColor="text1"/>
                <w:kern w:val="0"/>
                <w:szCs w:val="21"/>
              </w:rPr>
              <w:t>份</w:t>
            </w:r>
          </w:p>
        </w:tc>
        <w:tc>
          <w:tcPr>
            <w:tcW w:w="913" w:type="pct"/>
            <w:tcBorders>
              <w:top w:val="single" w:sz="4" w:space="0" w:color="auto"/>
              <w:left w:val="single" w:sz="4" w:space="0" w:color="auto"/>
              <w:bottom w:val="single" w:sz="4" w:space="0" w:color="auto"/>
              <w:right w:val="single" w:sz="4" w:space="0" w:color="auto"/>
            </w:tcBorders>
            <w:vAlign w:val="center"/>
          </w:tcPr>
          <w:p w:rsidR="00094955" w:rsidRPr="00634578" w:rsidP="00094955">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634578">
              <w:rPr>
                <w:rFonts w:asciiTheme="minorEastAsia" w:eastAsiaTheme="minorEastAsia" w:hAnsiTheme="minorEastAsia"/>
                <w:color w:val="000000" w:themeColor="text1"/>
                <w:kern w:val="0"/>
                <w:szCs w:val="21"/>
              </w:rPr>
              <w:t>0</w:t>
            </w:r>
            <w:r w:rsidRPr="00634578">
              <w:rPr>
                <w:rFonts w:asciiTheme="minorEastAsia" w:eastAsiaTheme="minorEastAsia" w:hAnsiTheme="minorEastAsia" w:cs="宋体S....." w:hint="eastAsia"/>
                <w:color w:val="000000" w:themeColor="text1"/>
                <w:kern w:val="0"/>
                <w:szCs w:val="21"/>
              </w:rPr>
              <w:t>份</w:t>
            </w:r>
          </w:p>
        </w:tc>
      </w:tr>
      <w:tr w:rsidTr="006F035F">
        <w:tblPrEx>
          <w:tblW w:w="5000" w:type="pct"/>
          <w:jc w:val="center"/>
          <w:tblLook w:val="04A0"/>
        </w:tblPrEx>
        <w:trPr>
          <w:trHeight w:val="567"/>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634578">
              <w:rPr>
                <w:rFonts w:asciiTheme="minorEastAsia" w:eastAsiaTheme="minorEastAsia" w:hAnsiTheme="minorEastAsia" w:cs="宋体S....." w:hint="eastAsia"/>
                <w:color w:val="000000" w:themeColor="text1"/>
                <w:kern w:val="0"/>
                <w:szCs w:val="21"/>
              </w:rPr>
              <w:t>基金交易账户最低基金份额余额</w:t>
            </w:r>
          </w:p>
        </w:tc>
        <w:tc>
          <w:tcPr>
            <w:tcW w:w="1311"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634578">
              <w:rPr>
                <w:rFonts w:asciiTheme="minorEastAsia" w:eastAsiaTheme="minorEastAsia" w:hAnsiTheme="minorEastAsia"/>
                <w:color w:val="000000" w:themeColor="text1"/>
                <w:kern w:val="0"/>
                <w:szCs w:val="21"/>
              </w:rPr>
              <w:t>0</w:t>
            </w:r>
            <w:r w:rsidRPr="00634578">
              <w:rPr>
                <w:rFonts w:asciiTheme="minorEastAsia" w:eastAsiaTheme="minorEastAsia" w:hAnsiTheme="minorEastAsia" w:cs="宋体S....." w:hint="eastAsia"/>
                <w:color w:val="000000" w:themeColor="text1"/>
                <w:kern w:val="0"/>
                <w:szCs w:val="21"/>
              </w:rPr>
              <w:t>份</w:t>
            </w:r>
          </w:p>
        </w:tc>
        <w:tc>
          <w:tcPr>
            <w:tcW w:w="913"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634578">
              <w:rPr>
                <w:rFonts w:asciiTheme="minorEastAsia" w:eastAsiaTheme="minorEastAsia" w:hAnsiTheme="minorEastAsia"/>
                <w:color w:val="000000" w:themeColor="text1"/>
                <w:kern w:val="0"/>
                <w:szCs w:val="21"/>
              </w:rPr>
              <w:t>0</w:t>
            </w:r>
            <w:r w:rsidRPr="00634578">
              <w:rPr>
                <w:rFonts w:asciiTheme="minorEastAsia" w:eastAsiaTheme="minorEastAsia" w:hAnsiTheme="minorEastAsia" w:cs="宋体S....." w:hint="eastAsia"/>
                <w:color w:val="000000" w:themeColor="text1"/>
                <w:kern w:val="0"/>
                <w:szCs w:val="21"/>
              </w:rPr>
              <w:t>份</w:t>
            </w:r>
          </w:p>
        </w:tc>
        <w:tc>
          <w:tcPr>
            <w:tcW w:w="913" w:type="pct"/>
            <w:tcBorders>
              <w:top w:val="single" w:sz="4" w:space="0" w:color="auto"/>
              <w:left w:val="single" w:sz="4" w:space="0" w:color="auto"/>
              <w:bottom w:val="single" w:sz="4" w:space="0" w:color="auto"/>
              <w:right w:val="single" w:sz="4" w:space="0" w:color="auto"/>
            </w:tcBorders>
            <w:vAlign w:val="center"/>
          </w:tcPr>
          <w:p w:rsidR="00094955" w:rsidRPr="00634578" w:rsidP="00094955">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634578">
              <w:rPr>
                <w:rFonts w:asciiTheme="minorEastAsia" w:eastAsiaTheme="minorEastAsia" w:hAnsiTheme="minorEastAsia"/>
                <w:color w:val="000000" w:themeColor="text1"/>
                <w:kern w:val="0"/>
                <w:szCs w:val="21"/>
              </w:rPr>
              <w:t>0</w:t>
            </w:r>
            <w:r w:rsidRPr="00634578">
              <w:rPr>
                <w:rFonts w:asciiTheme="minorEastAsia" w:eastAsiaTheme="minorEastAsia" w:hAnsiTheme="minorEastAsia" w:cs="宋体S....." w:hint="eastAsia"/>
                <w:color w:val="000000" w:themeColor="text1"/>
                <w:kern w:val="0"/>
                <w:szCs w:val="21"/>
              </w:rPr>
              <w:t>份</w:t>
            </w:r>
          </w:p>
        </w:tc>
      </w:tr>
      <w:tr w:rsidTr="006F035F">
        <w:tblPrEx>
          <w:tblW w:w="5000" w:type="pct"/>
          <w:jc w:val="center"/>
          <w:tblLook w:val="04A0"/>
        </w:tblPrEx>
        <w:trPr>
          <w:trHeight w:val="567"/>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634578">
              <w:rPr>
                <w:rFonts w:asciiTheme="minorEastAsia" w:eastAsiaTheme="minorEastAsia" w:hAnsiTheme="minorEastAsia" w:hint="eastAsia"/>
                <w:bCs/>
                <w:color w:val="000000" w:themeColor="text1"/>
                <w:szCs w:val="20"/>
              </w:rPr>
              <w:t>销售服务费（年费率）</w:t>
            </w:r>
          </w:p>
        </w:tc>
        <w:tc>
          <w:tcPr>
            <w:tcW w:w="1311"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634578">
              <w:rPr>
                <w:rFonts w:asciiTheme="minorEastAsia" w:eastAsiaTheme="minorEastAsia" w:hAnsiTheme="minorEastAsia"/>
                <w:bCs/>
                <w:color w:val="000000" w:themeColor="text1"/>
                <w:szCs w:val="20"/>
              </w:rPr>
              <w:t>0.18%</w:t>
            </w:r>
          </w:p>
        </w:tc>
        <w:tc>
          <w:tcPr>
            <w:tcW w:w="913" w:type="pct"/>
            <w:tcBorders>
              <w:top w:val="single" w:sz="4" w:space="0" w:color="auto"/>
              <w:left w:val="single" w:sz="4" w:space="0" w:color="auto"/>
              <w:bottom w:val="single" w:sz="4" w:space="0" w:color="auto"/>
              <w:right w:val="single" w:sz="4" w:space="0" w:color="auto"/>
            </w:tcBorders>
            <w:vAlign w:val="center"/>
            <w:hideMark/>
          </w:tcPr>
          <w:p w:rsidR="00094955" w:rsidRPr="00634578" w:rsidP="00094955">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634578">
              <w:rPr>
                <w:rFonts w:asciiTheme="minorEastAsia" w:eastAsiaTheme="minorEastAsia" w:hAnsiTheme="minorEastAsia"/>
                <w:bCs/>
                <w:color w:val="000000" w:themeColor="text1"/>
                <w:szCs w:val="20"/>
              </w:rPr>
              <w:t>0.01%</w:t>
            </w:r>
          </w:p>
        </w:tc>
        <w:tc>
          <w:tcPr>
            <w:tcW w:w="913" w:type="pct"/>
            <w:tcBorders>
              <w:top w:val="single" w:sz="4" w:space="0" w:color="auto"/>
              <w:left w:val="single" w:sz="4" w:space="0" w:color="auto"/>
              <w:bottom w:val="single" w:sz="4" w:space="0" w:color="auto"/>
              <w:right w:val="single" w:sz="4" w:space="0" w:color="auto"/>
            </w:tcBorders>
          </w:tcPr>
          <w:p w:rsidR="00094955" w:rsidRPr="00634578" w:rsidP="00094955">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634578">
              <w:rPr>
                <w:rFonts w:asciiTheme="minorEastAsia" w:eastAsiaTheme="minorEastAsia" w:hAnsiTheme="minorEastAsia"/>
                <w:bCs/>
                <w:color w:val="000000" w:themeColor="text1"/>
                <w:szCs w:val="20"/>
              </w:rPr>
              <w:t>0.05%</w:t>
            </w:r>
          </w:p>
        </w:tc>
      </w:tr>
    </w:tbl>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38" w:name="_Toc327734817"/>
      <w:r w:rsidRPr="00634578">
        <w:rPr>
          <w:rFonts w:asciiTheme="minorEastAsia" w:eastAsiaTheme="minorEastAsia" w:hAnsiTheme="minorEastAsia" w:hint="eastAsia"/>
          <w:color w:val="000000" w:themeColor="text1"/>
          <w:szCs w:val="21"/>
        </w:rPr>
        <w:t>（三）基金份额的升降级</w:t>
      </w:r>
      <w:bookmarkEnd w:id="38"/>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本基金暂不开通份额类别之间的升降级业务。今后若开通升降级的有关业务，业务规则详见届时发布的有关公告及更新招募说明书。</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（四）基金份额分类及规则的调整</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基金管理人可根据基金实际运作情况，经与基金托管人协商一致，在不违反法律法规且对基金份额持有人利益无实质不利影响的前提下，增加新的基金份额类别，或取消某基金份额类别，或对基金份额分类办法及规则进行调整并公告，且无需召开持有人大会审议。</w:t>
      </w:r>
    </w:p>
    <w:p w:rsidR="00DB3659" w:rsidRPr="00634578" w:rsidP="00BB159E">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、在不违反法律法规且对基金份额持有人利益无实质不利影响的前提下，基金管理人可以调整认（申）购各类基金份额的具体限制，基金管理人必须在调整前依照《信息披露办法》的有关规定在指定媒介上公告。</w:t>
      </w:r>
    </w:p>
    <w:p w:rsidR="00DB3659" w:rsidRPr="00634578" w:rsidP="00BB159E">
      <w:pPr>
        <w:pStyle w:val="Heading1"/>
        <w:pageBreakBefore/>
        <w:snapToGrid w:val="0"/>
        <w:spacing w:beforeLines="0" w:afterLines="0" w:line="360" w:lineRule="auto"/>
        <w:ind w:firstLine="640"/>
        <w:rPr>
          <w:rFonts w:asciiTheme="minorEastAsia" w:eastAsiaTheme="minorEastAsia" w:hAnsiTheme="minorEastAsia"/>
          <w:bCs/>
          <w:color w:val="000000" w:themeColor="text1"/>
        </w:rPr>
      </w:pPr>
      <w:bookmarkStart w:id="39" w:name="_Toc91772039"/>
      <w:r w:rsidRPr="00634578">
        <w:rPr>
          <w:rFonts w:asciiTheme="minorEastAsia" w:eastAsiaTheme="minorEastAsia" w:hAnsiTheme="minorEastAsia" w:hint="eastAsia"/>
          <w:bCs/>
          <w:color w:val="000000" w:themeColor="text1"/>
        </w:rPr>
        <w:t>七、基金的募集</w:t>
      </w:r>
      <w:bookmarkEnd w:id="39"/>
    </w:p>
    <w:p w:rsidR="00DB3659" w:rsidRPr="00634578" w:rsidP="00BB159E">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本基金由基金管理人依照《基金法》、《运作办法》、《销售办法》、基金合同的相关规定、并经中国证券监督管理委员会</w:t>
      </w:r>
      <w:r w:rsidRPr="00634578" w:rsidR="007E2B72">
        <w:rPr>
          <w:rFonts w:asciiTheme="minorEastAsia" w:eastAsiaTheme="minorEastAsia" w:hAnsiTheme="minorEastAsia"/>
          <w:color w:val="000000" w:themeColor="text1"/>
          <w:szCs w:val="21"/>
        </w:rPr>
        <w:t>2014</w:t>
      </w:r>
      <w:r w:rsidRPr="00634578" w:rsidR="007E2B72">
        <w:rPr>
          <w:rFonts w:asciiTheme="minorEastAsia" w:eastAsiaTheme="minorEastAsia" w:hAnsiTheme="minorEastAsia" w:hint="eastAsia"/>
          <w:color w:val="000000" w:themeColor="text1"/>
          <w:szCs w:val="21"/>
        </w:rPr>
        <w:t>年</w:t>
      </w:r>
      <w:r w:rsidRPr="00634578" w:rsidR="007E2B72">
        <w:rPr>
          <w:rFonts w:asciiTheme="minorEastAsia" w:eastAsiaTheme="minorEastAsia" w:hAnsiTheme="minorEastAsia"/>
          <w:color w:val="000000" w:themeColor="text1"/>
          <w:szCs w:val="21"/>
        </w:rPr>
        <w:t>8</w:t>
      </w:r>
      <w:r w:rsidRPr="00634578" w:rsidR="007E2B72">
        <w:rPr>
          <w:rFonts w:asciiTheme="minorEastAsia" w:eastAsiaTheme="minorEastAsia" w:hAnsiTheme="minorEastAsia" w:hint="eastAsia"/>
          <w:color w:val="000000" w:themeColor="text1"/>
          <w:szCs w:val="21"/>
        </w:rPr>
        <w:t>月</w:t>
      </w:r>
      <w:r w:rsidRPr="00634578" w:rsidR="007E2B72">
        <w:rPr>
          <w:rFonts w:asciiTheme="minorEastAsia" w:eastAsiaTheme="minorEastAsia" w:hAnsiTheme="minorEastAsia"/>
          <w:color w:val="000000" w:themeColor="text1"/>
          <w:szCs w:val="21"/>
        </w:rPr>
        <w:t>20</w:t>
      </w:r>
      <w:r w:rsidRPr="00634578" w:rsidR="007E2B72">
        <w:rPr>
          <w:rFonts w:asciiTheme="minorEastAsia" w:eastAsiaTheme="minorEastAsia" w:hAnsiTheme="minorEastAsia" w:hint="eastAsia"/>
          <w:color w:val="000000" w:themeColor="text1"/>
          <w:szCs w:val="21"/>
        </w:rPr>
        <w:t>日</w:t>
      </w:r>
      <w:r w:rsidRPr="00634578">
        <w:rPr>
          <w:rFonts w:asciiTheme="minorEastAsia" w:eastAsiaTheme="minorEastAsia" w:hAnsiTheme="minorEastAsia" w:hint="eastAsia"/>
          <w:color w:val="000000" w:themeColor="text1"/>
          <w:szCs w:val="21"/>
        </w:rPr>
        <w:t>《关于核准易方达龙宝货币市场基金募集的批复》（证监许可</w:t>
      </w:r>
      <w:r w:rsidRPr="00634578">
        <w:rPr>
          <w:rFonts w:asciiTheme="minorEastAsia" w:eastAsiaTheme="minorEastAsia" w:hAnsiTheme="minorEastAsia"/>
          <w:color w:val="000000" w:themeColor="text1"/>
          <w:szCs w:val="21"/>
        </w:rPr>
        <w:t>[2014]</w:t>
      </w:r>
      <w:r w:rsidRPr="00634578" w:rsidR="00C06549">
        <w:rPr>
          <w:rFonts w:asciiTheme="minorEastAsia" w:eastAsiaTheme="minorEastAsia" w:hAnsiTheme="minorEastAsia"/>
          <w:color w:val="000000" w:themeColor="text1"/>
          <w:szCs w:val="21"/>
        </w:rPr>
        <w:t>873</w:t>
      </w:r>
      <w:r w:rsidRPr="00634578">
        <w:rPr>
          <w:rFonts w:asciiTheme="minorEastAsia" w:eastAsiaTheme="minorEastAsia" w:hAnsiTheme="minorEastAsia" w:hint="eastAsia"/>
          <w:color w:val="000000" w:themeColor="text1"/>
          <w:szCs w:val="21"/>
        </w:rPr>
        <w:t>号）进行募集。</w:t>
      </w:r>
    </w:p>
    <w:p w:rsidR="00DB3659" w:rsidRPr="00634578" w:rsidP="00BB159E">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本基金为契约型开放式货币市场基金。</w:t>
      </w:r>
      <w:bookmarkStart w:id="40" w:name="_Toc327734822"/>
      <w:r w:rsidRPr="00634578">
        <w:rPr>
          <w:rFonts w:asciiTheme="minorEastAsia" w:eastAsiaTheme="minorEastAsia" w:hAnsiTheme="minorEastAsia" w:hint="eastAsia"/>
          <w:color w:val="000000" w:themeColor="text1"/>
          <w:szCs w:val="21"/>
        </w:rPr>
        <w:t>基金的存续期</w:t>
      </w:r>
      <w:bookmarkEnd w:id="40"/>
      <w:r w:rsidRPr="00634578">
        <w:rPr>
          <w:rFonts w:asciiTheme="minorEastAsia" w:eastAsiaTheme="minorEastAsia" w:hAnsiTheme="minorEastAsia" w:hint="eastAsia"/>
          <w:color w:val="000000" w:themeColor="text1"/>
          <w:szCs w:val="21"/>
        </w:rPr>
        <w:t>为不定期。</w:t>
      </w:r>
    </w:p>
    <w:p w:rsidR="00DB3659" w:rsidRPr="00634578" w:rsidP="00BB159E">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bookmarkStart w:id="41" w:name="_Toc327734823"/>
      <w:r w:rsidRPr="00634578">
        <w:rPr>
          <w:rFonts w:asciiTheme="minorEastAsia" w:eastAsiaTheme="minorEastAsia" w:hAnsiTheme="minorEastAsia" w:hint="eastAsia"/>
          <w:color w:val="000000" w:themeColor="text1"/>
          <w:szCs w:val="21"/>
        </w:rPr>
        <w:t>本基金募集期</w:t>
      </w:r>
      <w:bookmarkEnd w:id="41"/>
      <w:r w:rsidRPr="00634578">
        <w:rPr>
          <w:rFonts w:asciiTheme="minorEastAsia" w:eastAsiaTheme="minorEastAsia" w:hAnsiTheme="minorEastAsia" w:hint="eastAsia"/>
          <w:color w:val="000000" w:themeColor="text1"/>
          <w:szCs w:val="21"/>
        </w:rPr>
        <w:t>为自</w:t>
      </w:r>
      <w:r w:rsidRPr="00634578" w:rsidR="00724C16">
        <w:rPr>
          <w:rFonts w:asciiTheme="minorEastAsia" w:eastAsiaTheme="minorEastAsia" w:hAnsiTheme="minorEastAsia"/>
          <w:color w:val="000000" w:themeColor="text1"/>
          <w:szCs w:val="21"/>
        </w:rPr>
        <w:t>2014年9月9日</w:t>
      </w:r>
      <w:r w:rsidRPr="00634578" w:rsidR="00724C16">
        <w:rPr>
          <w:rFonts w:asciiTheme="minorEastAsia" w:eastAsiaTheme="minorEastAsia" w:hAnsiTheme="minorEastAsia" w:hint="eastAsia"/>
          <w:color w:val="000000" w:themeColor="text1"/>
          <w:szCs w:val="21"/>
        </w:rPr>
        <w:t>至</w:t>
      </w:r>
      <w:r w:rsidRPr="00634578" w:rsidR="00724C16">
        <w:rPr>
          <w:rFonts w:asciiTheme="minorEastAsia" w:eastAsiaTheme="minorEastAsia" w:hAnsiTheme="minorEastAsia"/>
          <w:color w:val="000000" w:themeColor="text1"/>
          <w:szCs w:val="21"/>
        </w:rPr>
        <w:t>2014年9月11日</w:t>
      </w:r>
      <w:bookmarkStart w:id="42" w:name="_Toc327734824"/>
      <w:r w:rsidRPr="00634578">
        <w:rPr>
          <w:rFonts w:asciiTheme="minorEastAsia" w:eastAsiaTheme="minorEastAsia" w:hAnsiTheme="minorEastAsia" w:hint="eastAsia"/>
          <w:color w:val="000000" w:themeColor="text1"/>
          <w:szCs w:val="21"/>
        </w:rPr>
        <w:t>。募集对象</w:t>
      </w:r>
      <w:bookmarkEnd w:id="42"/>
      <w:r w:rsidRPr="00634578">
        <w:rPr>
          <w:rFonts w:asciiTheme="minorEastAsia" w:eastAsiaTheme="minorEastAsia" w:hAnsiTheme="minorEastAsia" w:hint="eastAsia"/>
          <w:color w:val="000000" w:themeColor="text1"/>
          <w:szCs w:val="21"/>
        </w:rPr>
        <w:t>为符合法律法规规定的可投资于证券投资基金的个人投资者、机构投资者和合格境外机构投资者以及法律法规或中国证监会允许购买证券投资基金的其他投资人。</w:t>
      </w:r>
    </w:p>
    <w:p w:rsidR="00DB3659" w:rsidRPr="00634578" w:rsidP="00BB159E">
      <w:pPr>
        <w:pStyle w:val="20"/>
        <w:snapToGrid w:val="0"/>
        <w:spacing w:before="0" w:beforeAutospacing="0" w:after="0" w:afterAutospacing="0"/>
        <w:ind w:firstLine="420" w:firstLineChars="0"/>
        <w:rPr>
          <w:rFonts w:asciiTheme="minorEastAsia" w:eastAsiaTheme="minorEastAsia" w:hAnsiTheme="minorEastAsia"/>
          <w:bCs/>
          <w:color w:val="000000" w:themeColor="text1"/>
          <w:sz w:val="24"/>
          <w:szCs w:val="24"/>
        </w:rPr>
      </w:pP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br w:type="page"/>
      </w:r>
    </w:p>
    <w:p w:rsidR="00DB3659" w:rsidRPr="00634578" w:rsidP="00BB159E">
      <w:pPr>
        <w:pStyle w:val="Heading1"/>
        <w:snapToGrid w:val="0"/>
        <w:spacing w:beforeLines="0" w:afterLines="0" w:line="360" w:lineRule="auto"/>
        <w:ind w:firstLine="640"/>
        <w:rPr>
          <w:rFonts w:asciiTheme="minorEastAsia" w:eastAsiaTheme="minorEastAsia" w:hAnsiTheme="minorEastAsia"/>
          <w:color w:val="000000" w:themeColor="text1"/>
        </w:rPr>
      </w:pPr>
      <w:bookmarkStart w:id="43" w:name="_Toc91772040"/>
      <w:r w:rsidRPr="00634578">
        <w:rPr>
          <w:rFonts w:asciiTheme="minorEastAsia" w:eastAsiaTheme="minorEastAsia" w:hAnsiTheme="minorEastAsia" w:hint="eastAsia"/>
          <w:color w:val="000000" w:themeColor="text1"/>
        </w:rPr>
        <w:t>八、基金合同的生效</w:t>
      </w:r>
      <w:bookmarkEnd w:id="43"/>
    </w:p>
    <w:p w:rsidR="00DB3659" w:rsidRPr="00634578" w:rsidP="00BB159E">
      <w:pPr>
        <w:pStyle w:val="20"/>
        <w:snapToGrid w:val="0"/>
        <w:spacing w:before="0" w:beforeAutospacing="0" w:after="0" w:afterAutospacing="0"/>
        <w:ind w:firstLine="420"/>
        <w:rPr>
          <w:rFonts w:asciiTheme="minorEastAsia" w:eastAsiaTheme="minorEastAsia" w:hAnsiTheme="minorEastAsia"/>
          <w:color w:val="000000" w:themeColor="text1"/>
          <w:szCs w:val="21"/>
        </w:rPr>
      </w:pPr>
      <w:bookmarkStart w:id="44" w:name="_Toc327734830"/>
      <w:r w:rsidRPr="00634578">
        <w:rPr>
          <w:rFonts w:asciiTheme="minorEastAsia" w:eastAsiaTheme="minorEastAsia" w:hAnsiTheme="minorEastAsia" w:hint="eastAsia"/>
          <w:color w:val="000000" w:themeColor="text1"/>
          <w:szCs w:val="21"/>
        </w:rPr>
        <w:t>（一）</w:t>
      </w:r>
      <w:r w:rsidRPr="00634578" w:rsidR="00102961">
        <w:rPr>
          <w:rFonts w:asciiTheme="minorEastAsia" w:eastAsiaTheme="minorEastAsia" w:hAnsiTheme="minorEastAsia" w:hint="eastAsia"/>
          <w:color w:val="000000" w:themeColor="text1"/>
          <w:szCs w:val="21"/>
        </w:rPr>
        <w:t>基金合同的生效</w:t>
      </w:r>
    </w:p>
    <w:p w:rsidR="00DB3659" w:rsidRPr="00634578" w:rsidP="00BB159E">
      <w:pPr>
        <w:pStyle w:val="20"/>
        <w:snapToGrid w:val="0"/>
        <w:spacing w:before="0" w:beforeAutospacing="0" w:after="0" w:afterAutospacing="0"/>
        <w:ind w:firstLine="42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本基金的基金合同于2014年9月12日正式生效。自基金合同生效日起，本基金管理人正式开始管理本基金。</w:t>
      </w:r>
    </w:p>
    <w:p w:rsidR="00DB3659" w:rsidRPr="00634578" w:rsidP="00BB159E">
      <w:pPr>
        <w:pStyle w:val="20"/>
        <w:snapToGrid w:val="0"/>
        <w:spacing w:before="0" w:beforeAutospacing="0" w:after="0" w:afterAutospacing="0"/>
        <w:ind w:firstLine="42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（二）基金存续期内的基金份额持有人数量和资产规模</w:t>
      </w:r>
    </w:p>
    <w:p w:rsidR="00DB3659" w:rsidRPr="00634578" w:rsidP="00BB159E">
      <w:pPr>
        <w:pStyle w:val="20"/>
        <w:snapToGrid w:val="0"/>
        <w:spacing w:before="0" w:beforeAutospacing="0" w:after="0" w:afterAutospacing="0"/>
        <w:ind w:firstLine="42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DB3659" w:rsidRPr="00634578" w:rsidP="00BB159E">
      <w:pPr>
        <w:pStyle w:val="20"/>
        <w:snapToGrid w:val="0"/>
        <w:spacing w:before="0" w:beforeAutospacing="0" w:after="0" w:afterAutospacing="0"/>
        <w:ind w:firstLine="42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法律法规或基金合同另有规定时，从其规定。</w:t>
      </w:r>
    </w:p>
    <w:bookmarkEnd w:id="44"/>
    <w:p w:rsidR="00DB3659" w:rsidRPr="00634578" w:rsidP="00BB159E">
      <w:pPr>
        <w:pStyle w:val="Heading1"/>
        <w:snapToGrid w:val="0"/>
        <w:spacing w:beforeLines="0" w:afterLines="0" w:line="360" w:lineRule="auto"/>
        <w:ind w:firstLine="48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sz w:val="24"/>
        </w:rPr>
        <w:br w:type="column"/>
      </w:r>
      <w:bookmarkStart w:id="45" w:name="_Toc91772041"/>
      <w:r w:rsidRPr="00634578">
        <w:rPr>
          <w:rFonts w:asciiTheme="minorEastAsia" w:eastAsiaTheme="minorEastAsia" w:hAnsiTheme="minorEastAsia" w:hint="eastAsia"/>
          <w:color w:val="000000" w:themeColor="text1"/>
        </w:rPr>
        <w:t>九、基金份额的申购、赎回</w:t>
      </w:r>
      <w:bookmarkEnd w:id="45"/>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46" w:name="_Toc327734833"/>
      <w:r w:rsidRPr="00634578">
        <w:rPr>
          <w:rFonts w:asciiTheme="minorEastAsia" w:eastAsiaTheme="minorEastAsia" w:hAnsiTheme="minorEastAsia" w:hint="eastAsia"/>
          <w:color w:val="000000" w:themeColor="text1"/>
          <w:szCs w:val="21"/>
        </w:rPr>
        <w:t>（一）基金投资者的范围</w:t>
      </w:r>
      <w:bookmarkEnd w:id="46"/>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符合法律法规规定的可投资于证券投资基金的个人投资者、机构投资者和合格境外机构投资者以及法律法规或中国证监会允许购买证券投资基金的其他投资人。</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47" w:name="_Toc327734834"/>
      <w:r w:rsidRPr="00634578">
        <w:rPr>
          <w:rFonts w:asciiTheme="minorEastAsia" w:eastAsiaTheme="minorEastAsia" w:hAnsiTheme="minorEastAsia" w:hint="eastAsia"/>
          <w:color w:val="000000" w:themeColor="text1"/>
          <w:szCs w:val="21"/>
        </w:rPr>
        <w:t>（二）申购与赎回的场所</w:t>
      </w:r>
      <w:bookmarkEnd w:id="47"/>
    </w:p>
    <w:p w:rsidR="00DB3659" w:rsidRPr="00634578" w:rsidP="00BB159E">
      <w:pPr>
        <w:snapToGrid w:val="0"/>
        <w:spacing w:line="360" w:lineRule="auto"/>
        <w:ind w:firstLine="424" w:firstLineChars="202"/>
        <w:rPr>
          <w:rFonts w:asciiTheme="minorEastAsia" w:eastAsiaTheme="minorEastAsia" w:hAnsiTheme="minorEastAsia"/>
          <w:color w:val="000000" w:themeColor="text1"/>
          <w:szCs w:val="21"/>
        </w:rPr>
      </w:pPr>
      <w:r w:rsidRPr="00634578">
        <w:rPr>
          <w:rFonts w:asciiTheme="minorEastAsia" w:eastAsiaTheme="minorEastAsia" w:hAnsiTheme="minorEastAsia" w:hint="eastAsia"/>
          <w:bCs/>
          <w:color w:val="000000" w:themeColor="text1"/>
          <w:szCs w:val="21"/>
        </w:rPr>
        <w:t>本基金的申购与赎回将通过销售机构进行。具体的销售机构将由基金管理人在招募说明书或其他相关公告中列明。基金管理人可根据情况变更或增减销售机构</w:t>
      </w:r>
      <w:r w:rsidRPr="00634578" w:rsidR="00CA2EAE">
        <w:rPr>
          <w:rFonts w:asciiTheme="minorEastAsia" w:eastAsiaTheme="minorEastAsia" w:hAnsiTheme="minorEastAsia" w:hint="eastAsia"/>
          <w:bCs/>
          <w:color w:val="000000" w:themeColor="text1"/>
          <w:szCs w:val="21"/>
        </w:rPr>
        <w:t>，并在基金管理人网站公示</w:t>
      </w:r>
      <w:r w:rsidRPr="00634578">
        <w:rPr>
          <w:rFonts w:asciiTheme="minorEastAsia" w:eastAsiaTheme="minorEastAsia" w:hAnsiTheme="minorEastAsia" w:hint="eastAsia"/>
          <w:bCs/>
          <w:color w:val="000000" w:themeColor="text1"/>
          <w:szCs w:val="21"/>
        </w:rPr>
        <w:t>。基金投资者应当在销售机构办理基金销售业务的营业场所或按销售机构提供的其他方式办理基金份额的申购与赎回。</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48" w:name="_Toc327734835"/>
      <w:r w:rsidRPr="00634578">
        <w:rPr>
          <w:rFonts w:asciiTheme="minorEastAsia" w:eastAsiaTheme="minorEastAsia" w:hAnsiTheme="minorEastAsia" w:hint="eastAsia"/>
          <w:color w:val="000000" w:themeColor="text1"/>
          <w:szCs w:val="21"/>
        </w:rPr>
        <w:t>（三）申购与赎回办理的开放日及时间</w:t>
      </w:r>
      <w:bookmarkEnd w:id="48"/>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、开放日及开放时间</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销售机构可在上述范围内规定具体的交易时间。</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若出现新的证券交易市场、证券交易所交易时间变更或其他特殊情况，基金管理人有权视情况对前述开放日及开放时间进行相应的调整，但应在实施日前依照《信息披露办法》的有关规定在指定媒介上公告。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、申购、赎回开始日及业务办理时间</w:t>
      </w:r>
    </w:p>
    <w:p w:rsidR="00CC5203" w:rsidRPr="00634578" w:rsidP="00BB159E">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本基金</w:t>
      </w:r>
      <w:r w:rsidRPr="00634578" w:rsidR="00AD473B">
        <w:rPr>
          <w:rFonts w:asciiTheme="minorEastAsia" w:eastAsiaTheme="minorEastAsia" w:hAnsiTheme="minorEastAsia"/>
          <w:color w:val="000000" w:themeColor="text1"/>
          <w:szCs w:val="21"/>
        </w:rPr>
        <w:t>A</w:t>
      </w:r>
      <w:r w:rsidRPr="00634578" w:rsidR="00AD473B">
        <w:rPr>
          <w:rFonts w:asciiTheme="minorEastAsia" w:eastAsiaTheme="minorEastAsia" w:hAnsiTheme="minorEastAsia" w:hint="eastAsia"/>
          <w:color w:val="000000" w:themeColor="text1"/>
          <w:szCs w:val="21"/>
        </w:rPr>
        <w:t>类基金份额、</w:t>
      </w:r>
      <w:r w:rsidRPr="00634578" w:rsidR="00AD473B">
        <w:rPr>
          <w:rFonts w:asciiTheme="minorEastAsia" w:eastAsiaTheme="minorEastAsia" w:hAnsiTheme="minorEastAsia"/>
          <w:color w:val="000000" w:themeColor="text1"/>
          <w:szCs w:val="21"/>
        </w:rPr>
        <w:t>B</w:t>
      </w:r>
      <w:r w:rsidRPr="00634578" w:rsidR="00AD473B">
        <w:rPr>
          <w:rFonts w:asciiTheme="minorEastAsia" w:eastAsiaTheme="minorEastAsia" w:hAnsiTheme="minorEastAsia" w:hint="eastAsia"/>
          <w:color w:val="000000" w:themeColor="text1"/>
          <w:szCs w:val="21"/>
        </w:rPr>
        <w:t>类基金份额</w:t>
      </w:r>
      <w:r w:rsidRPr="00634578">
        <w:rPr>
          <w:rFonts w:asciiTheme="minorEastAsia" w:eastAsiaTheme="minorEastAsia" w:hAnsiTheme="minorEastAsia" w:hint="eastAsia"/>
          <w:color w:val="000000" w:themeColor="text1"/>
          <w:szCs w:val="21"/>
        </w:rPr>
        <w:t>已于</w:t>
      </w:r>
      <w:r w:rsidRPr="00634578">
        <w:rPr>
          <w:rFonts w:asciiTheme="minorEastAsia" w:eastAsiaTheme="minorEastAsia" w:hAnsiTheme="minorEastAsia"/>
          <w:color w:val="000000" w:themeColor="text1"/>
          <w:szCs w:val="21"/>
        </w:rPr>
        <w:t>201</w:t>
      </w:r>
      <w:r w:rsidRPr="00634578">
        <w:rPr>
          <w:rFonts w:asciiTheme="minorEastAsia" w:eastAsiaTheme="minorEastAsia" w:hAnsiTheme="minorEastAsia" w:hint="eastAsia"/>
          <w:color w:val="000000" w:themeColor="text1"/>
          <w:szCs w:val="21"/>
        </w:rPr>
        <w:t>4年9月</w:t>
      </w:r>
      <w:r w:rsidRPr="00634578">
        <w:rPr>
          <w:rFonts w:asciiTheme="minorEastAsia" w:eastAsiaTheme="minorEastAsia" w:hAnsiTheme="minorEastAsia"/>
          <w:color w:val="000000" w:themeColor="text1"/>
          <w:szCs w:val="21"/>
        </w:rPr>
        <w:t>26</w:t>
      </w:r>
      <w:r w:rsidRPr="00634578">
        <w:rPr>
          <w:rFonts w:asciiTheme="minorEastAsia" w:eastAsiaTheme="minorEastAsia" w:hAnsiTheme="minorEastAsia" w:hint="eastAsia"/>
          <w:color w:val="000000" w:themeColor="text1"/>
          <w:szCs w:val="21"/>
        </w:rPr>
        <w:t>日开始办理日常申购和赎回业务。</w:t>
      </w:r>
      <w:r w:rsidRPr="00634578" w:rsidR="00AD473B">
        <w:rPr>
          <w:rFonts w:asciiTheme="minorEastAsia" w:eastAsiaTheme="minorEastAsia" w:hAnsiTheme="minorEastAsia" w:hint="eastAsia"/>
          <w:color w:val="000000" w:themeColor="text1"/>
          <w:szCs w:val="21"/>
        </w:rPr>
        <w:t>本基金</w:t>
      </w:r>
      <w:r w:rsidRPr="00634578" w:rsidR="00AD473B">
        <w:rPr>
          <w:rFonts w:asciiTheme="minorEastAsia" w:eastAsiaTheme="minorEastAsia" w:hAnsiTheme="minorEastAsia"/>
          <w:color w:val="000000" w:themeColor="text1"/>
          <w:szCs w:val="21"/>
        </w:rPr>
        <w:t>C</w:t>
      </w:r>
      <w:r w:rsidRPr="00634578" w:rsidR="00AD473B">
        <w:rPr>
          <w:rFonts w:asciiTheme="minorEastAsia" w:eastAsiaTheme="minorEastAsia" w:hAnsiTheme="minorEastAsia" w:hint="eastAsia"/>
          <w:color w:val="000000" w:themeColor="text1"/>
          <w:szCs w:val="21"/>
        </w:rPr>
        <w:t>类基金份额已于</w:t>
      </w:r>
      <w:r w:rsidRPr="00634578" w:rsidR="00AD473B">
        <w:rPr>
          <w:rFonts w:asciiTheme="minorEastAsia" w:eastAsiaTheme="minorEastAsia" w:hAnsiTheme="minorEastAsia"/>
          <w:color w:val="000000" w:themeColor="text1"/>
          <w:szCs w:val="21"/>
        </w:rPr>
        <w:t>2017年</w:t>
      </w:r>
      <w:r w:rsidRPr="00634578" w:rsidR="00AD473B">
        <w:rPr>
          <w:rFonts w:asciiTheme="minorEastAsia" w:eastAsiaTheme="minorEastAsia" w:hAnsiTheme="minorEastAsia" w:hint="eastAsia"/>
          <w:color w:val="000000" w:themeColor="text1"/>
          <w:szCs w:val="21"/>
        </w:rPr>
        <w:t>8</w:t>
      </w:r>
      <w:r w:rsidRPr="00634578" w:rsidR="00AD473B">
        <w:rPr>
          <w:rFonts w:asciiTheme="minorEastAsia" w:eastAsiaTheme="minorEastAsia" w:hAnsiTheme="minorEastAsia"/>
          <w:color w:val="000000" w:themeColor="text1"/>
          <w:szCs w:val="21"/>
        </w:rPr>
        <w:t>月29日</w:t>
      </w:r>
      <w:r w:rsidRPr="00634578" w:rsidR="00AD473B">
        <w:rPr>
          <w:rFonts w:asciiTheme="minorEastAsia" w:eastAsiaTheme="minorEastAsia" w:hAnsiTheme="minorEastAsia" w:hint="eastAsia"/>
          <w:color w:val="000000" w:themeColor="text1"/>
          <w:szCs w:val="21"/>
        </w:rPr>
        <w:t>开始办理日常申购和赎回业务。</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管理人不得在基金合同约定之外的日期或者时间办理基金份额的申购或者赎回或者转换。投资人在基金合同约定之外的日期和时间提出申购、赎回或转换申请且登记机构确认接受的，视为下一开放日的申购、赎回或转换申请。</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49" w:name="_Toc327734836"/>
      <w:r w:rsidRPr="00634578">
        <w:rPr>
          <w:rFonts w:asciiTheme="minorEastAsia" w:eastAsiaTheme="minorEastAsia" w:hAnsiTheme="minorEastAsia" w:hint="eastAsia"/>
          <w:color w:val="000000" w:themeColor="text1"/>
          <w:szCs w:val="21"/>
        </w:rPr>
        <w:t>（四）申购与赎回的原则</w:t>
      </w:r>
      <w:bookmarkEnd w:id="49"/>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、“确定价”原则，即申购、赎回价格以每份基金份额净值为</w:t>
      </w:r>
      <w:r w:rsidRPr="00634578">
        <w:rPr>
          <w:rFonts w:asciiTheme="minorEastAsia" w:eastAsiaTheme="minorEastAsia" w:hAnsiTheme="minorEastAsia"/>
          <w:color w:val="000000" w:themeColor="text1"/>
          <w:szCs w:val="21"/>
        </w:rPr>
        <w:t>1.00</w:t>
      </w:r>
      <w:r w:rsidRPr="00634578">
        <w:rPr>
          <w:rFonts w:asciiTheme="minorEastAsia" w:eastAsiaTheme="minorEastAsia" w:hAnsiTheme="minorEastAsia" w:hint="eastAsia"/>
          <w:color w:val="000000" w:themeColor="text1"/>
          <w:szCs w:val="21"/>
        </w:rPr>
        <w:t>元的基准进行计算；</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、“金额申购、份额赎回”原则，即申购以金额申请，赎回以份额申请；</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、当日的申购与赎回申请可以在基金管理人规定的时间以内撤销。</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基金管理人可在不违反法律法规的情况下，对上述原则进行调整。基金管理人必须在新规则开始实施前依照《信息披露办法》的有关规定在指定媒介上公告。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50" w:name="_Toc327734837"/>
      <w:r w:rsidRPr="00634578">
        <w:rPr>
          <w:rFonts w:asciiTheme="minorEastAsia" w:eastAsiaTheme="minorEastAsia" w:hAnsiTheme="minorEastAsia" w:hint="eastAsia"/>
          <w:color w:val="000000" w:themeColor="text1"/>
          <w:szCs w:val="21"/>
        </w:rPr>
        <w:t>（五）申购与赎回的程序</w:t>
      </w:r>
      <w:bookmarkEnd w:id="50"/>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、申购和赎回的申请方式</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投资人必须根据销售机构规定的程序，在开放日的具体业务办理时间内提出申购或赎回的申请。</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、申购和赎回的款项支付</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投资人申购基金份额时，必须全额交付申购款项，投资人交付申购款项，申购成立，申购是否生效以注册登记机构确认为准。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份额持有人递交赎回申请，赎回成立，赎回是否生效以注册登记机构确认为准。基金份额持有人赎回申请成功后，基金管理人将指示基金托管人在法律法规规定的期限内向基金份额持有人支付赎回款项。如遇交易所或交易市场数据传输延迟、通讯系统故障、银行数据交换系统故障或其它非基金管理人及基金托管人所能控制的因素影响业务处理流程，则赎回款项的支付时间可相应顺延。在发生巨额赎回或基金合同载明的其他暂停赎回或延缓支付赎回款项的情形时，款项的支付办法按照基金合同有关条款处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、申购和赎回申请的确认</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管理人应以交易时间结束前受理有效申购和赎回申请的当天作为申购或赎回申请日，在正常情况下，本基金登记机构在申请日的下一工作日前（包括申请日的下一工作日）对该交易的有效性进行确认。申请日提交的有效申请，投资人应及时到销售网点柜台或以销售机构规定的其他方式查询申请的确认情况。若申购不成功，则申购款项本金退还给投资人。</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销售机构对申购、赎回申请的受理并不代表该申请一定成功，而仅代表销售机构确实接收到申购、赎回申请。申购、赎回的确认以登记机构的确认结果为准。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基金管理人可在不违反法律法规的情况下，对上述程序规则进行调整。基金管理人应在新规则开始实施前依照《信息披露办法》的有关规定在指定媒介上公告。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51" w:name="_Toc327734838"/>
      <w:r w:rsidRPr="00634578">
        <w:rPr>
          <w:rFonts w:asciiTheme="minorEastAsia" w:eastAsiaTheme="minorEastAsia" w:hAnsiTheme="minorEastAsia" w:hint="eastAsia"/>
          <w:color w:val="000000" w:themeColor="text1"/>
          <w:szCs w:val="21"/>
        </w:rPr>
        <w:t>（六）申购与赎回的数额限制</w:t>
      </w:r>
      <w:bookmarkEnd w:id="51"/>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、申购金额的限制</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投资者通过非直销销售机构或本公司网上交易系统首次申购</w:t>
      </w:r>
      <w:r w:rsidRPr="00634578" w:rsidR="005707F4">
        <w:rPr>
          <w:rFonts w:asciiTheme="minorEastAsia" w:eastAsiaTheme="minorEastAsia" w:hAnsiTheme="minorEastAsia" w:hint="eastAsia"/>
          <w:color w:val="000000" w:themeColor="text1"/>
          <w:kern w:val="0"/>
          <w:szCs w:val="21"/>
        </w:rPr>
        <w:t>和追加申购</w:t>
      </w:r>
      <w:r w:rsidRPr="00634578">
        <w:rPr>
          <w:rFonts w:asciiTheme="minorEastAsia" w:eastAsiaTheme="minorEastAsia" w:hAnsiTheme="minorEastAsia" w:hint="eastAsia"/>
          <w:color w:val="000000" w:themeColor="text1"/>
          <w:szCs w:val="21"/>
        </w:rPr>
        <w:t>本基金</w:t>
      </w:r>
      <w:r w:rsidRPr="00634578">
        <w:rPr>
          <w:rFonts w:asciiTheme="minorEastAsia" w:eastAsiaTheme="minorEastAsia" w:hAnsiTheme="minorEastAsia"/>
          <w:color w:val="000000" w:themeColor="text1"/>
          <w:szCs w:val="21"/>
        </w:rPr>
        <w:t>A</w:t>
      </w:r>
      <w:r w:rsidRPr="00634578">
        <w:rPr>
          <w:rFonts w:asciiTheme="minorEastAsia" w:eastAsiaTheme="minorEastAsia" w:hAnsiTheme="minorEastAsia" w:hint="eastAsia"/>
          <w:color w:val="000000" w:themeColor="text1"/>
          <w:szCs w:val="21"/>
        </w:rPr>
        <w:t>类基金份额</w:t>
      </w:r>
      <w:r w:rsidRPr="00634578" w:rsidR="00094955">
        <w:rPr>
          <w:rFonts w:asciiTheme="minorEastAsia" w:eastAsiaTheme="minorEastAsia" w:hAnsiTheme="minorEastAsia" w:hint="eastAsia"/>
          <w:color w:val="000000" w:themeColor="text1"/>
          <w:szCs w:val="21"/>
        </w:rPr>
        <w:t>、</w:t>
      </w:r>
      <w:r w:rsidRPr="00634578" w:rsidR="00094955">
        <w:rPr>
          <w:rFonts w:asciiTheme="minorEastAsia" w:eastAsiaTheme="minorEastAsia" w:hAnsiTheme="minorEastAsia"/>
          <w:color w:val="000000" w:themeColor="text1"/>
          <w:szCs w:val="21"/>
        </w:rPr>
        <w:t>C类基金份额</w:t>
      </w:r>
      <w:r w:rsidRPr="00634578" w:rsidR="005707F4">
        <w:rPr>
          <w:rFonts w:asciiTheme="minorEastAsia" w:eastAsiaTheme="minorEastAsia" w:hAnsiTheme="minorEastAsia" w:hint="eastAsia"/>
          <w:color w:val="000000" w:themeColor="text1"/>
          <w:szCs w:val="21"/>
        </w:rPr>
        <w:t>的</w:t>
      </w:r>
      <w:r w:rsidRPr="00634578">
        <w:rPr>
          <w:rFonts w:asciiTheme="minorEastAsia" w:eastAsiaTheme="minorEastAsia" w:hAnsiTheme="minorEastAsia" w:hint="eastAsia"/>
          <w:color w:val="000000" w:themeColor="text1"/>
          <w:szCs w:val="21"/>
        </w:rPr>
        <w:t>单笔最低限额</w:t>
      </w:r>
      <w:r w:rsidRPr="00634578" w:rsidR="005707F4">
        <w:rPr>
          <w:rFonts w:asciiTheme="minorEastAsia" w:eastAsiaTheme="minorEastAsia" w:hAnsiTheme="minorEastAsia" w:hint="eastAsia"/>
          <w:color w:val="000000" w:themeColor="text1"/>
          <w:kern w:val="0"/>
          <w:szCs w:val="21"/>
        </w:rPr>
        <w:t>不进行限制</w:t>
      </w:r>
      <w:r w:rsidRPr="00634578">
        <w:rPr>
          <w:rFonts w:asciiTheme="minorEastAsia" w:eastAsiaTheme="minorEastAsia" w:hAnsiTheme="minorEastAsia" w:hint="eastAsia"/>
          <w:color w:val="000000" w:themeColor="text1"/>
          <w:szCs w:val="21"/>
        </w:rPr>
        <w:t>；首次申购本基金</w:t>
      </w:r>
      <w:r w:rsidRPr="00634578">
        <w:rPr>
          <w:rFonts w:asciiTheme="minorEastAsia" w:eastAsiaTheme="minorEastAsia" w:hAnsiTheme="minorEastAsia"/>
          <w:color w:val="000000" w:themeColor="text1"/>
          <w:szCs w:val="21"/>
        </w:rPr>
        <w:t>B</w:t>
      </w:r>
      <w:r w:rsidRPr="00634578">
        <w:rPr>
          <w:rFonts w:asciiTheme="minorEastAsia" w:eastAsiaTheme="minorEastAsia" w:hAnsiTheme="minorEastAsia" w:hint="eastAsia"/>
          <w:color w:val="000000" w:themeColor="text1"/>
          <w:szCs w:val="21"/>
        </w:rPr>
        <w:t>类基金份额单笔最低限额为人民币</w:t>
      </w:r>
      <w:r w:rsidRPr="00634578">
        <w:rPr>
          <w:rFonts w:asciiTheme="minorEastAsia" w:eastAsiaTheme="minorEastAsia" w:hAnsiTheme="minorEastAsia"/>
          <w:color w:val="000000" w:themeColor="text1"/>
          <w:szCs w:val="21"/>
        </w:rPr>
        <w:t>500</w:t>
      </w:r>
      <w:r w:rsidRPr="00634578">
        <w:rPr>
          <w:rFonts w:asciiTheme="minorEastAsia" w:eastAsiaTheme="minorEastAsia" w:hAnsiTheme="minorEastAsia" w:hint="eastAsia"/>
          <w:color w:val="000000" w:themeColor="text1"/>
          <w:szCs w:val="21"/>
        </w:rPr>
        <w:t>万元，追加申购单笔最低限额为人民币</w:t>
      </w:r>
      <w:r w:rsidRPr="00634578">
        <w:rPr>
          <w:rFonts w:asciiTheme="minorEastAsia" w:eastAsiaTheme="minorEastAsia" w:hAnsiTheme="minorEastAsia"/>
          <w:color w:val="000000" w:themeColor="text1"/>
          <w:szCs w:val="21"/>
        </w:rPr>
        <w:t>10</w:t>
      </w:r>
      <w:r w:rsidRPr="00634578">
        <w:rPr>
          <w:rFonts w:asciiTheme="minorEastAsia" w:eastAsiaTheme="minorEastAsia" w:hAnsiTheme="minorEastAsia" w:hint="eastAsia"/>
          <w:color w:val="000000" w:themeColor="text1"/>
          <w:szCs w:val="21"/>
        </w:rPr>
        <w:t>万元。投资者通过本公司直销中心首次申购本基金</w:t>
      </w:r>
      <w:r w:rsidRPr="00634578">
        <w:rPr>
          <w:rFonts w:asciiTheme="minorEastAsia" w:eastAsiaTheme="minorEastAsia" w:hAnsiTheme="minorEastAsia"/>
          <w:color w:val="000000" w:themeColor="text1"/>
          <w:szCs w:val="21"/>
        </w:rPr>
        <w:t>A</w:t>
      </w:r>
      <w:r w:rsidRPr="00634578">
        <w:rPr>
          <w:rFonts w:asciiTheme="minorEastAsia" w:eastAsiaTheme="minorEastAsia" w:hAnsiTheme="minorEastAsia" w:hint="eastAsia"/>
          <w:color w:val="000000" w:themeColor="text1"/>
          <w:szCs w:val="21"/>
        </w:rPr>
        <w:t>类基金份额单笔最低限额为人民币</w:t>
      </w:r>
      <w:r w:rsidRPr="00634578">
        <w:rPr>
          <w:rFonts w:asciiTheme="minorEastAsia" w:eastAsiaTheme="minorEastAsia" w:hAnsiTheme="minorEastAsia"/>
          <w:color w:val="000000" w:themeColor="text1"/>
          <w:szCs w:val="21"/>
        </w:rPr>
        <w:t>5</w:t>
      </w:r>
      <w:r w:rsidRPr="00634578">
        <w:rPr>
          <w:rFonts w:asciiTheme="minorEastAsia" w:eastAsiaTheme="minorEastAsia" w:hAnsiTheme="minorEastAsia" w:hint="eastAsia"/>
          <w:color w:val="000000" w:themeColor="text1"/>
          <w:szCs w:val="21"/>
        </w:rPr>
        <w:t>万元，追加申购单笔最低限额为人民币</w:t>
      </w:r>
      <w:r w:rsidRPr="00634578">
        <w:rPr>
          <w:rFonts w:asciiTheme="minorEastAsia" w:eastAsiaTheme="minorEastAsia" w:hAnsiTheme="minorEastAsia"/>
          <w:color w:val="000000" w:themeColor="text1"/>
          <w:szCs w:val="21"/>
        </w:rPr>
        <w:t>1000</w:t>
      </w:r>
      <w:r w:rsidRPr="00634578">
        <w:rPr>
          <w:rFonts w:asciiTheme="minorEastAsia" w:eastAsiaTheme="minorEastAsia" w:hAnsiTheme="minorEastAsia" w:hint="eastAsia"/>
          <w:color w:val="000000" w:themeColor="text1"/>
          <w:szCs w:val="21"/>
        </w:rPr>
        <w:t>元；首次申购本基金</w:t>
      </w:r>
      <w:r w:rsidRPr="00634578">
        <w:rPr>
          <w:rFonts w:asciiTheme="minorEastAsia" w:eastAsiaTheme="minorEastAsia" w:hAnsiTheme="minorEastAsia"/>
          <w:color w:val="000000" w:themeColor="text1"/>
          <w:szCs w:val="21"/>
        </w:rPr>
        <w:t>B</w:t>
      </w:r>
      <w:r w:rsidRPr="00634578">
        <w:rPr>
          <w:rFonts w:asciiTheme="minorEastAsia" w:eastAsiaTheme="minorEastAsia" w:hAnsiTheme="minorEastAsia" w:hint="eastAsia"/>
          <w:color w:val="000000" w:themeColor="text1"/>
          <w:szCs w:val="21"/>
        </w:rPr>
        <w:t>类基金份额单笔最低限额为人民币</w:t>
      </w:r>
      <w:r w:rsidRPr="00634578">
        <w:rPr>
          <w:rFonts w:asciiTheme="minorEastAsia" w:eastAsiaTheme="minorEastAsia" w:hAnsiTheme="minorEastAsia"/>
          <w:color w:val="000000" w:themeColor="text1"/>
          <w:szCs w:val="21"/>
        </w:rPr>
        <w:t>500</w:t>
      </w:r>
      <w:r w:rsidRPr="00634578">
        <w:rPr>
          <w:rFonts w:asciiTheme="minorEastAsia" w:eastAsiaTheme="minorEastAsia" w:hAnsiTheme="minorEastAsia" w:hint="eastAsia"/>
          <w:color w:val="000000" w:themeColor="text1"/>
          <w:szCs w:val="21"/>
        </w:rPr>
        <w:t>万元，追加申购单笔最低限额为人民币</w:t>
      </w:r>
      <w:r w:rsidRPr="00634578">
        <w:rPr>
          <w:rFonts w:asciiTheme="minorEastAsia" w:eastAsiaTheme="minorEastAsia" w:hAnsiTheme="minorEastAsia"/>
          <w:color w:val="000000" w:themeColor="text1"/>
          <w:szCs w:val="21"/>
        </w:rPr>
        <w:t>10</w:t>
      </w:r>
      <w:r w:rsidRPr="00634578">
        <w:rPr>
          <w:rFonts w:asciiTheme="minorEastAsia" w:eastAsiaTheme="minorEastAsia" w:hAnsiTheme="minorEastAsia" w:hint="eastAsia"/>
          <w:color w:val="000000" w:themeColor="text1"/>
          <w:szCs w:val="21"/>
        </w:rPr>
        <w:t>万元。</w:t>
      </w:r>
      <w:r w:rsidRPr="00634578" w:rsidR="00192AA5">
        <w:rPr>
          <w:rFonts w:asciiTheme="minorEastAsia" w:eastAsiaTheme="minorEastAsia" w:hAnsiTheme="minorEastAsia" w:hint="eastAsia"/>
          <w:color w:val="000000" w:themeColor="text1"/>
          <w:szCs w:val="21"/>
        </w:rPr>
        <w:t>在符合法律法规规定的前提下，</w:t>
      </w:r>
      <w:r w:rsidRPr="00634578">
        <w:rPr>
          <w:rFonts w:asciiTheme="minorEastAsia" w:eastAsiaTheme="minorEastAsia" w:hAnsiTheme="minorEastAsia" w:hint="eastAsia"/>
          <w:color w:val="000000" w:themeColor="text1"/>
          <w:szCs w:val="21"/>
        </w:rPr>
        <w:t>各销售机构对最低申购限额及交易级差有其他规定的，需同时遵循该销售机构的相关规定。</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当期分配的基金收益转结为基金份额或采用定期定额投资计划时，不受最低申购金额的限制。</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、赎回份额的限制</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投资者可将其全部或部分基金份额赎回。本基金基金份额单笔赎回不得少于</w:t>
      </w:r>
      <w:r w:rsidRPr="00634578">
        <w:rPr>
          <w:rFonts w:asciiTheme="minorEastAsia" w:eastAsiaTheme="minorEastAsia" w:hAnsiTheme="minorEastAsia"/>
          <w:color w:val="000000" w:themeColor="text1"/>
          <w:szCs w:val="21"/>
        </w:rPr>
        <w:t>0</w:t>
      </w:r>
      <w:r w:rsidRPr="00634578">
        <w:rPr>
          <w:rFonts w:asciiTheme="minorEastAsia" w:eastAsiaTheme="minorEastAsia" w:hAnsiTheme="minorEastAsia" w:hint="eastAsia"/>
          <w:color w:val="000000" w:themeColor="text1"/>
          <w:szCs w:val="21"/>
        </w:rPr>
        <w:t>份。</w:t>
      </w:r>
      <w:r w:rsidRPr="00634578" w:rsidR="00205A63">
        <w:rPr>
          <w:rFonts w:asciiTheme="minorEastAsia" w:eastAsiaTheme="minorEastAsia" w:hAnsiTheme="minorEastAsia" w:hint="eastAsia"/>
          <w:color w:val="000000" w:themeColor="text1"/>
          <w:szCs w:val="21"/>
        </w:rPr>
        <w:t>在符合法律法规规定的前提下，各销售机构对赎回份额限制有其他规定的，需同时遵循该销售机构的相关规定。</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w:t>
      </w:r>
      <w:r w:rsidRPr="00634578" w:rsidR="00CA110F">
        <w:rPr>
          <w:rFonts w:asciiTheme="minorEastAsia" w:eastAsiaTheme="minorEastAsia" w:hAnsiTheme="minorEastAsia" w:hint="eastAsia"/>
          <w:color w:val="000000" w:themeColor="text1"/>
          <w:szCs w:val="21"/>
        </w:rPr>
        <w:t>基金管理人可以规定单个投资人累计持有的基金份额上限、单日或单笔申购金额上</w:t>
      </w:r>
      <w:r w:rsidRPr="00634578" w:rsidR="00CA110F">
        <w:rPr>
          <w:rFonts w:asciiTheme="minorEastAsia" w:eastAsiaTheme="minorEastAsia" w:hAnsiTheme="minorEastAsia" w:hint="eastAsia"/>
          <w:color w:val="000000" w:themeColor="text1"/>
          <w:szCs w:val="21"/>
        </w:rPr>
        <w:t>限</w:t>
      </w:r>
      <w:r w:rsidRPr="00634578">
        <w:rPr>
          <w:rFonts w:asciiTheme="minorEastAsia" w:eastAsiaTheme="minorEastAsia" w:hAnsiTheme="minorEastAsia" w:hint="eastAsia"/>
          <w:color w:val="000000" w:themeColor="text1"/>
          <w:szCs w:val="21"/>
        </w:rPr>
        <w:t>，具体规定必须在开始实施前依照《信息披露办法》的有关规定在指定媒介上公告。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w:t>
      </w:r>
      <w:r w:rsidRPr="00634578" w:rsidR="005D0892">
        <w:rPr>
          <w:rFonts w:asciiTheme="minorEastAsia" w:eastAsiaTheme="minorEastAsia" w:hAnsiTheme="minorEastAsia" w:hint="eastAsia"/>
          <w:color w:val="000000" w:themeColor="text1"/>
          <w:szCs w:val="21"/>
        </w:rPr>
        <w:t>基金管理人有权规定本基金的总规模限额，以及单日申购金额上限和净申购比例上限</w:t>
      </w:r>
      <w:r w:rsidRPr="00634578">
        <w:rPr>
          <w:rFonts w:asciiTheme="minorEastAsia" w:eastAsiaTheme="minorEastAsia" w:hAnsiTheme="minorEastAsia" w:hint="eastAsia"/>
          <w:color w:val="000000" w:themeColor="text1"/>
          <w:szCs w:val="21"/>
        </w:rPr>
        <w:t>，具体规定必须在开始实施前依照《信息披露办法》的有关规定在指定媒介上公告。</w:t>
      </w:r>
    </w:p>
    <w:p w:rsidR="005D0892" w:rsidRPr="00634578" w:rsidP="005D089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DB3659" w:rsidRPr="00634578" w:rsidP="005D089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6、基金管理人可在不违反法律法规的情况下，调整上述规定申购金额和赎回份额的数量限制，或者新增基金规模控制措施。基金管理人必须在调整前依照《信息披露办法》的有关规定在指定媒介上公告。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52" w:name="_Toc327734839"/>
      <w:r w:rsidRPr="00634578">
        <w:rPr>
          <w:rFonts w:asciiTheme="minorEastAsia" w:eastAsiaTheme="minorEastAsia" w:hAnsiTheme="minorEastAsia" w:hint="eastAsia"/>
          <w:color w:val="000000" w:themeColor="text1"/>
          <w:szCs w:val="21"/>
        </w:rPr>
        <w:t>（七）基金的申购费和赎回费</w:t>
      </w:r>
      <w:bookmarkEnd w:id="52"/>
    </w:p>
    <w:p w:rsidR="00344766" w:rsidRPr="00634578" w:rsidP="00344766">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1.除法律法规另有规定或基金合同另有约定外，本基金不收取申购费用和赎回费用。</w:t>
      </w:r>
    </w:p>
    <w:p w:rsidR="00344766" w:rsidRPr="00634578" w:rsidP="00344766">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2.强制赎回费用</w:t>
      </w:r>
    </w:p>
    <w:p w:rsidR="005D0892" w:rsidRPr="00634578" w:rsidP="005D089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发生以下情形之一时，本基金对当日单个基金份额持有人申请赎回基金份额超过基金总份额1%以上的赎回申请（指超过基金总份额1%以上的部分）征收1%的强制赎回费用，并将上述赎回费用全额计入基金财产。基金管理人与基金托管人协商确认上述做法无益于基金利益最大化的情形除外：</w:t>
      </w:r>
    </w:p>
    <w:p w:rsidR="005D0892" w:rsidRPr="00634578" w:rsidP="005D089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（1）当本基金持有的现金、国债、中央银行票据、政策性金融债券以及5个交易日内到期的其他金融工具占基金资产净值的比例合计低于5%且偏离度为负的情形时；</w:t>
      </w:r>
    </w:p>
    <w:p w:rsidR="005D0892"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2）当本基金前10名份额持有人的持有份额合计超过基金总份额的50%，且本基金投资组合中现金、国债、中央银行票据、政策性金融债券以及5个交易日内到期的其他金融工具占基金资产净值的比例合计低于10%且偏离度为负时。</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53" w:name="_Toc327734840"/>
      <w:r w:rsidRPr="00634578">
        <w:rPr>
          <w:rFonts w:asciiTheme="minorEastAsia" w:eastAsiaTheme="minorEastAsia" w:hAnsiTheme="minorEastAsia" w:hint="eastAsia"/>
          <w:color w:val="000000" w:themeColor="text1"/>
          <w:szCs w:val="21"/>
        </w:rPr>
        <w:t>（八）申购和赎回的数额和价格</w:t>
      </w:r>
      <w:bookmarkEnd w:id="53"/>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sidR="00BB159E">
        <w:rPr>
          <w:rFonts w:asciiTheme="minorEastAsia" w:eastAsiaTheme="minorEastAsia" w:hAnsiTheme="minorEastAsia" w:hint="eastAsia"/>
          <w:color w:val="000000" w:themeColor="text1"/>
          <w:szCs w:val="21"/>
        </w:rPr>
        <w:t>、</w:t>
      </w:r>
      <w:r w:rsidRPr="00634578">
        <w:rPr>
          <w:rFonts w:asciiTheme="minorEastAsia" w:eastAsiaTheme="minorEastAsia" w:hAnsiTheme="minorEastAsia" w:hint="eastAsia"/>
          <w:color w:val="000000" w:themeColor="text1"/>
          <w:szCs w:val="21"/>
        </w:rPr>
        <w:t>基金份额净值</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本基金采用摊余成本法计价，通过每日计算收益并分配的方式，使每份基金份额净值保持在人民币</w:t>
      </w:r>
      <w:r w:rsidRPr="00634578">
        <w:rPr>
          <w:rFonts w:asciiTheme="minorEastAsia" w:eastAsiaTheme="minorEastAsia" w:hAnsiTheme="minorEastAsia"/>
          <w:color w:val="000000" w:themeColor="text1"/>
          <w:szCs w:val="21"/>
        </w:rPr>
        <w:t>1.00</w:t>
      </w:r>
      <w:r w:rsidRPr="00634578">
        <w:rPr>
          <w:rFonts w:asciiTheme="minorEastAsia" w:eastAsiaTheme="minorEastAsia" w:hAnsiTheme="minorEastAsia" w:hint="eastAsia"/>
          <w:color w:val="000000" w:themeColor="text1"/>
          <w:szCs w:val="21"/>
        </w:rPr>
        <w:t>元。</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sidR="00BB159E">
        <w:rPr>
          <w:rFonts w:asciiTheme="minorEastAsia" w:eastAsiaTheme="minorEastAsia" w:hAnsiTheme="minorEastAsia" w:hint="eastAsia"/>
          <w:color w:val="000000" w:themeColor="text1"/>
          <w:szCs w:val="21"/>
        </w:rPr>
        <w:t>、</w:t>
      </w:r>
      <w:r w:rsidRPr="00634578">
        <w:rPr>
          <w:rFonts w:asciiTheme="minorEastAsia" w:eastAsiaTheme="minorEastAsia" w:hAnsiTheme="minorEastAsia" w:hint="eastAsia"/>
          <w:color w:val="000000" w:themeColor="text1"/>
          <w:szCs w:val="21"/>
        </w:rPr>
        <w:t>申购份额的计算</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采用</w:t>
      </w:r>
      <w:r w:rsidRPr="00634578">
        <w:rPr>
          <w:rFonts w:asciiTheme="minorEastAsia" w:eastAsiaTheme="minorEastAsia" w:hAnsiTheme="minorEastAsia"/>
          <w:color w:val="000000" w:themeColor="text1"/>
          <w:szCs w:val="21"/>
        </w:rPr>
        <w:t>"</w:t>
      </w:r>
      <w:r w:rsidRPr="00634578">
        <w:rPr>
          <w:rFonts w:asciiTheme="minorEastAsia" w:eastAsiaTheme="minorEastAsia" w:hAnsiTheme="minorEastAsia" w:hint="eastAsia"/>
          <w:color w:val="000000" w:themeColor="text1"/>
          <w:szCs w:val="21"/>
        </w:rPr>
        <w:t>金额申购</w:t>
      </w:r>
      <w:r w:rsidRPr="00634578">
        <w:rPr>
          <w:rFonts w:asciiTheme="minorEastAsia" w:eastAsiaTheme="minorEastAsia" w:hAnsiTheme="minorEastAsia"/>
          <w:color w:val="000000" w:themeColor="text1"/>
          <w:szCs w:val="21"/>
        </w:rPr>
        <w:t>"</w:t>
      </w:r>
      <w:r w:rsidRPr="00634578">
        <w:rPr>
          <w:rFonts w:asciiTheme="minorEastAsia" w:eastAsiaTheme="minorEastAsia" w:hAnsiTheme="minorEastAsia" w:hint="eastAsia"/>
          <w:color w:val="000000" w:themeColor="text1"/>
          <w:szCs w:val="21"/>
        </w:rPr>
        <w:t>方式，申购价格为每份基金份额净值</w:t>
      </w:r>
      <w:r w:rsidRPr="00634578">
        <w:rPr>
          <w:rFonts w:asciiTheme="minorEastAsia" w:eastAsiaTheme="minorEastAsia" w:hAnsiTheme="minorEastAsia"/>
          <w:color w:val="000000" w:themeColor="text1"/>
          <w:szCs w:val="21"/>
        </w:rPr>
        <w:t>1.00</w:t>
      </w:r>
      <w:r w:rsidRPr="00634578">
        <w:rPr>
          <w:rFonts w:asciiTheme="minorEastAsia" w:eastAsiaTheme="minorEastAsia" w:hAnsiTheme="minorEastAsia" w:hint="eastAsia"/>
          <w:color w:val="000000" w:themeColor="text1"/>
          <w:szCs w:val="21"/>
        </w:rPr>
        <w:t>元，计算公式：</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申购份额＝申购金额÷基金份额净值</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例：假定</w:t>
      </w:r>
      <w:r w:rsidRPr="00634578">
        <w:rPr>
          <w:rFonts w:asciiTheme="minorEastAsia" w:eastAsiaTheme="minorEastAsia" w:hAnsiTheme="minorEastAsia"/>
          <w:color w:val="000000" w:themeColor="text1"/>
          <w:szCs w:val="21"/>
        </w:rPr>
        <w:t>T</w:t>
      </w:r>
      <w:r w:rsidRPr="00634578">
        <w:rPr>
          <w:rFonts w:asciiTheme="minorEastAsia" w:eastAsiaTheme="minorEastAsia" w:hAnsiTheme="minorEastAsia" w:hint="eastAsia"/>
          <w:color w:val="000000" w:themeColor="text1"/>
          <w:szCs w:val="21"/>
        </w:rPr>
        <w:t>日某投资者投资</w:t>
      </w:r>
      <w:r w:rsidRPr="00634578">
        <w:rPr>
          <w:rFonts w:asciiTheme="minorEastAsia" w:eastAsiaTheme="minorEastAsia" w:hAnsiTheme="minorEastAsia"/>
          <w:color w:val="000000" w:themeColor="text1"/>
          <w:szCs w:val="21"/>
        </w:rPr>
        <w:t>10,000</w:t>
      </w:r>
      <w:r w:rsidRPr="00634578">
        <w:rPr>
          <w:rFonts w:asciiTheme="minorEastAsia" w:eastAsiaTheme="minorEastAsia" w:hAnsiTheme="minorEastAsia" w:hint="eastAsia"/>
          <w:color w:val="000000" w:themeColor="text1"/>
          <w:szCs w:val="21"/>
        </w:rPr>
        <w:t>元申购本基金</w:t>
      </w:r>
      <w:r w:rsidRPr="00634578">
        <w:rPr>
          <w:rFonts w:asciiTheme="minorEastAsia" w:eastAsiaTheme="minorEastAsia" w:hAnsiTheme="minorEastAsia"/>
          <w:color w:val="000000" w:themeColor="text1"/>
          <w:szCs w:val="21"/>
        </w:rPr>
        <w:t>A</w:t>
      </w:r>
      <w:r w:rsidRPr="00634578">
        <w:rPr>
          <w:rFonts w:asciiTheme="minorEastAsia" w:eastAsiaTheme="minorEastAsia" w:hAnsiTheme="minorEastAsia" w:hint="eastAsia"/>
          <w:color w:val="000000" w:themeColor="text1"/>
          <w:szCs w:val="21"/>
        </w:rPr>
        <w:t>类基金份额，则其可得到的申购份额计算如下：</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申购份额</w:t>
      </w:r>
      <w:r w:rsidRPr="00634578">
        <w:rPr>
          <w:rFonts w:asciiTheme="minorEastAsia" w:eastAsiaTheme="minorEastAsia" w:hAnsiTheme="minorEastAsia"/>
          <w:color w:val="000000" w:themeColor="text1"/>
          <w:szCs w:val="21"/>
        </w:rPr>
        <w:t>=10,000</w:t>
      </w: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1.00=10,000.00</w:t>
      </w:r>
      <w:r w:rsidRPr="00634578">
        <w:rPr>
          <w:rFonts w:asciiTheme="minorEastAsia" w:eastAsiaTheme="minorEastAsia" w:hAnsiTheme="minorEastAsia" w:hint="eastAsia"/>
          <w:color w:val="000000" w:themeColor="text1"/>
          <w:szCs w:val="21"/>
        </w:rPr>
        <w:t>份</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申购份额计算结果均按四舍五入方法，保留到小数点后</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位，由此产生的收益或损失由基金财产承担。</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sidR="00BB159E">
        <w:rPr>
          <w:rFonts w:asciiTheme="minorEastAsia" w:eastAsiaTheme="minorEastAsia" w:hAnsiTheme="minorEastAsia" w:hint="eastAsia"/>
          <w:color w:val="000000" w:themeColor="text1"/>
          <w:szCs w:val="21"/>
        </w:rPr>
        <w:t>、</w:t>
      </w:r>
      <w:r w:rsidRPr="00634578">
        <w:rPr>
          <w:rFonts w:asciiTheme="minorEastAsia" w:eastAsiaTheme="minorEastAsia" w:hAnsiTheme="minorEastAsia" w:hint="eastAsia"/>
          <w:color w:val="000000" w:themeColor="text1"/>
          <w:szCs w:val="21"/>
        </w:rPr>
        <w:t>基金赎回金额的计算</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采用</w:t>
      </w:r>
      <w:r w:rsidRPr="00634578">
        <w:rPr>
          <w:rFonts w:asciiTheme="minorEastAsia" w:eastAsiaTheme="minorEastAsia" w:hAnsiTheme="minorEastAsia"/>
          <w:color w:val="000000" w:themeColor="text1"/>
          <w:szCs w:val="21"/>
        </w:rPr>
        <w:t>"</w:t>
      </w:r>
      <w:r w:rsidRPr="00634578">
        <w:rPr>
          <w:rFonts w:asciiTheme="minorEastAsia" w:eastAsiaTheme="minorEastAsia" w:hAnsiTheme="minorEastAsia" w:hint="eastAsia"/>
          <w:color w:val="000000" w:themeColor="text1"/>
          <w:szCs w:val="21"/>
        </w:rPr>
        <w:t>份额赎回</w:t>
      </w:r>
      <w:r w:rsidRPr="00634578">
        <w:rPr>
          <w:rFonts w:asciiTheme="minorEastAsia" w:eastAsiaTheme="minorEastAsia" w:hAnsiTheme="minorEastAsia"/>
          <w:color w:val="000000" w:themeColor="text1"/>
          <w:szCs w:val="21"/>
        </w:rPr>
        <w:t>"</w:t>
      </w:r>
      <w:r w:rsidRPr="00634578">
        <w:rPr>
          <w:rFonts w:asciiTheme="minorEastAsia" w:eastAsiaTheme="minorEastAsia" w:hAnsiTheme="minorEastAsia" w:hint="eastAsia"/>
          <w:color w:val="000000" w:themeColor="text1"/>
          <w:szCs w:val="21"/>
        </w:rPr>
        <w:t>方式，赎回价格为每份基金份额净值</w:t>
      </w:r>
      <w:r w:rsidRPr="00634578">
        <w:rPr>
          <w:rFonts w:asciiTheme="minorEastAsia" w:eastAsiaTheme="minorEastAsia" w:hAnsiTheme="minorEastAsia"/>
          <w:color w:val="000000" w:themeColor="text1"/>
          <w:szCs w:val="21"/>
        </w:rPr>
        <w:t>1.00</w:t>
      </w:r>
      <w:r w:rsidRPr="00634578">
        <w:rPr>
          <w:rFonts w:asciiTheme="minorEastAsia" w:eastAsiaTheme="minorEastAsia" w:hAnsiTheme="minorEastAsia" w:hint="eastAsia"/>
          <w:color w:val="000000" w:themeColor="text1"/>
          <w:szCs w:val="21"/>
        </w:rPr>
        <w:t>元。</w:t>
      </w:r>
      <w:r w:rsidRPr="00634578" w:rsidR="00344766">
        <w:rPr>
          <w:rFonts w:asciiTheme="minorEastAsia" w:eastAsiaTheme="minorEastAsia" w:hAnsiTheme="minorEastAsia" w:hint="eastAsia"/>
          <w:color w:val="000000" w:themeColor="text1"/>
          <w:szCs w:val="21"/>
        </w:rPr>
        <w:t>除法律法规另有规定或基金合同另有约定外，本基金不收取赎回费用，</w:t>
      </w:r>
      <w:r w:rsidRPr="00634578">
        <w:rPr>
          <w:rFonts w:asciiTheme="minorEastAsia" w:eastAsiaTheme="minorEastAsia" w:hAnsiTheme="minorEastAsia" w:hint="eastAsia"/>
          <w:color w:val="000000" w:themeColor="text1"/>
          <w:szCs w:val="21"/>
        </w:rPr>
        <w:t>赎回金额的确定分两种情况处理：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）部分赎回</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投资者部分赎回某类基金份额时，如该类基金份额其未付收益为正，或该笔赎回完成后剩余的该类基金份额按照</w:t>
      </w:r>
      <w:r w:rsidRPr="00634578">
        <w:rPr>
          <w:rFonts w:asciiTheme="minorEastAsia" w:eastAsiaTheme="minorEastAsia" w:hAnsiTheme="minorEastAsia"/>
          <w:color w:val="000000" w:themeColor="text1"/>
          <w:szCs w:val="21"/>
        </w:rPr>
        <w:t>1.00</w:t>
      </w:r>
      <w:r w:rsidRPr="00634578">
        <w:rPr>
          <w:rFonts w:asciiTheme="minorEastAsia" w:eastAsiaTheme="minorEastAsia" w:hAnsiTheme="minorEastAsia" w:hint="eastAsia"/>
          <w:color w:val="000000" w:themeColor="text1"/>
          <w:szCs w:val="21"/>
        </w:rPr>
        <w:t>元人民币为基准计算的价值足以弥补其累计至该日的该类基金份额未付收益负值时，赎回金额如下计算：</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赎回金额</w:t>
      </w:r>
      <w:r w:rsidRPr="00634578">
        <w:rPr>
          <w:rFonts w:asciiTheme="minorEastAsia" w:eastAsiaTheme="minorEastAsia" w:hAnsiTheme="minorEastAsia"/>
          <w:color w:val="000000" w:themeColor="text1"/>
          <w:szCs w:val="21"/>
        </w:rPr>
        <w:t>=</w:t>
      </w:r>
      <w:r w:rsidRPr="00634578">
        <w:rPr>
          <w:rFonts w:asciiTheme="minorEastAsia" w:eastAsiaTheme="minorEastAsia" w:hAnsiTheme="minorEastAsia" w:hint="eastAsia"/>
          <w:color w:val="000000" w:themeColor="text1"/>
          <w:szCs w:val="21"/>
        </w:rPr>
        <w:t>赎回份额×</w:t>
      </w:r>
      <w:r w:rsidRPr="00634578">
        <w:rPr>
          <w:rFonts w:asciiTheme="minorEastAsia" w:eastAsiaTheme="minorEastAsia" w:hAnsiTheme="minorEastAsia"/>
          <w:color w:val="000000" w:themeColor="text1"/>
          <w:szCs w:val="21"/>
        </w:rPr>
        <w:t>1.00</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例：假定某投资者在</w:t>
      </w:r>
      <w:r w:rsidRPr="00634578">
        <w:rPr>
          <w:rFonts w:asciiTheme="minorEastAsia" w:eastAsiaTheme="minorEastAsia" w:hAnsiTheme="minorEastAsia"/>
          <w:color w:val="000000" w:themeColor="text1"/>
          <w:szCs w:val="21"/>
        </w:rPr>
        <w:t>T</w:t>
      </w:r>
      <w:r w:rsidRPr="00634578">
        <w:rPr>
          <w:rFonts w:asciiTheme="minorEastAsia" w:eastAsiaTheme="minorEastAsia" w:hAnsiTheme="minorEastAsia" w:hint="eastAsia"/>
          <w:color w:val="000000" w:themeColor="text1"/>
          <w:szCs w:val="21"/>
        </w:rPr>
        <w:t>日所持有的</w:t>
      </w:r>
      <w:r w:rsidRPr="00634578">
        <w:rPr>
          <w:rFonts w:asciiTheme="minorEastAsia" w:eastAsiaTheme="minorEastAsia" w:hAnsiTheme="minorEastAsia"/>
          <w:color w:val="000000" w:themeColor="text1"/>
          <w:szCs w:val="21"/>
        </w:rPr>
        <w:t>A</w:t>
      </w:r>
      <w:r w:rsidRPr="00634578">
        <w:rPr>
          <w:rFonts w:asciiTheme="minorEastAsia" w:eastAsiaTheme="minorEastAsia" w:hAnsiTheme="minorEastAsia" w:hint="eastAsia"/>
          <w:color w:val="000000" w:themeColor="text1"/>
          <w:szCs w:val="21"/>
        </w:rPr>
        <w:t>类基金份额为</w:t>
      </w:r>
      <w:r w:rsidRPr="00634578">
        <w:rPr>
          <w:rFonts w:asciiTheme="minorEastAsia" w:eastAsiaTheme="minorEastAsia" w:hAnsiTheme="minorEastAsia"/>
          <w:color w:val="000000" w:themeColor="text1"/>
          <w:szCs w:val="21"/>
        </w:rPr>
        <w:t>8,010.80</w:t>
      </w:r>
      <w:r w:rsidRPr="00634578">
        <w:rPr>
          <w:rFonts w:asciiTheme="minorEastAsia" w:eastAsiaTheme="minorEastAsia" w:hAnsiTheme="minorEastAsia" w:hint="eastAsia"/>
          <w:color w:val="000000" w:themeColor="text1"/>
          <w:szCs w:val="21"/>
        </w:rPr>
        <w:t>份基金份额，对应的未付收益为</w:t>
      </w:r>
      <w:r w:rsidRPr="00634578">
        <w:rPr>
          <w:rFonts w:asciiTheme="minorEastAsia" w:eastAsiaTheme="minorEastAsia" w:hAnsiTheme="minorEastAsia"/>
          <w:color w:val="000000" w:themeColor="text1"/>
          <w:szCs w:val="21"/>
        </w:rPr>
        <w:t>88.08</w:t>
      </w:r>
      <w:r w:rsidRPr="00634578">
        <w:rPr>
          <w:rFonts w:asciiTheme="minorEastAsia" w:eastAsiaTheme="minorEastAsia" w:hAnsiTheme="minorEastAsia" w:hint="eastAsia"/>
          <w:color w:val="000000" w:themeColor="text1"/>
          <w:szCs w:val="21"/>
        </w:rPr>
        <w:t>元，该投资者申请赎回</w:t>
      </w:r>
      <w:r w:rsidRPr="00634578">
        <w:rPr>
          <w:rFonts w:asciiTheme="minorEastAsia" w:eastAsiaTheme="minorEastAsia" w:hAnsiTheme="minorEastAsia"/>
          <w:color w:val="000000" w:themeColor="text1"/>
          <w:szCs w:val="21"/>
        </w:rPr>
        <w:t>1,000</w:t>
      </w:r>
      <w:r w:rsidRPr="00634578">
        <w:rPr>
          <w:rFonts w:asciiTheme="minorEastAsia" w:eastAsiaTheme="minorEastAsia" w:hAnsiTheme="minorEastAsia" w:hint="eastAsia"/>
          <w:color w:val="000000" w:themeColor="text1"/>
          <w:szCs w:val="21"/>
        </w:rPr>
        <w:t>份基金份额，则其获得的赎回金额计算如下：</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赎回金额</w:t>
      </w:r>
      <w:r w:rsidRPr="00634578">
        <w:rPr>
          <w:rFonts w:asciiTheme="minorEastAsia" w:eastAsiaTheme="minorEastAsia" w:hAnsiTheme="minorEastAsia"/>
          <w:color w:val="000000" w:themeColor="text1"/>
          <w:szCs w:val="21"/>
        </w:rPr>
        <w:t>=1,000</w:t>
      </w: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1.00=1,000.00</w:t>
      </w:r>
      <w:r w:rsidRPr="00634578">
        <w:rPr>
          <w:rFonts w:asciiTheme="minorEastAsia" w:eastAsiaTheme="minorEastAsia" w:hAnsiTheme="minorEastAsia" w:hint="eastAsia"/>
          <w:color w:val="000000" w:themeColor="text1"/>
          <w:szCs w:val="21"/>
        </w:rPr>
        <w:t>元</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投资者部分赎回某类基金份额时，如其该笔赎回完成后剩余的该类基金份额按照</w:t>
      </w:r>
      <w:r w:rsidRPr="00634578">
        <w:rPr>
          <w:rFonts w:asciiTheme="minorEastAsia" w:eastAsiaTheme="minorEastAsia" w:hAnsiTheme="minorEastAsia"/>
          <w:color w:val="000000" w:themeColor="text1"/>
          <w:szCs w:val="21"/>
        </w:rPr>
        <w:t>1.00</w:t>
      </w:r>
      <w:r w:rsidRPr="00634578">
        <w:rPr>
          <w:rFonts w:asciiTheme="minorEastAsia" w:eastAsiaTheme="minorEastAsia" w:hAnsiTheme="minorEastAsia" w:hint="eastAsia"/>
          <w:color w:val="000000" w:themeColor="text1"/>
          <w:szCs w:val="21"/>
        </w:rPr>
        <w:t>元人民币为基准计算的价值不足以弥补其累计至该日的该类基金份额未付收益负值时，则将自动按比例结转该类基金份额当前未付收益。</w:t>
      </w:r>
    </w:p>
    <w:p w:rsidR="00A73950" w:rsidRPr="00634578" w:rsidP="00A73950">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(2)全部赎回</w:t>
      </w:r>
    </w:p>
    <w:p w:rsidR="00A73950" w:rsidRPr="00634578" w:rsidP="00A73950">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1)当投资者在全部赎回某类基金份额时，如其未付收益为正，基金份额对应的未付收益是否与赎回份额对应的款项一并支付给投资者，以销售机构和注册登记机构的具体规定为准。</w:t>
      </w:r>
    </w:p>
    <w:p w:rsidR="00A73950" w:rsidRPr="00634578" w:rsidP="00A73950">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如销售机构和注册登记机构规定投资者在全部赎回某类基金份额时，基金管理人将投资者的该类基金份额未付收益一并结算并与赎回份额对应的款项一起支付给投资者，赎回金额包括赎回份额对应的款项和未付收益两部分，具体的计算方法为：</w:t>
      </w:r>
    </w:p>
    <w:p w:rsidR="00A73950" w:rsidRPr="00634578" w:rsidP="00A73950">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赎回金额=赎回份额×基金份额净值+该份额对应的未付收益</w:t>
      </w:r>
    </w:p>
    <w:p w:rsidR="00A73950" w:rsidRPr="00634578" w:rsidP="00A73950">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例：假定某投资者在T日所持有的B类基金份额为300,000,000.00份基金份额，且有151,808.08元的未付收益。投资者申请全部赎回持有的基金份额，则其获得的赎回金额计算如下</w:t>
      </w:r>
    </w:p>
    <w:p w:rsidR="00A73950" w:rsidRPr="00634578" w:rsidP="00A73950">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赎回金额=300,000,000.00×1.00+151,808.08=300,151,808.08元</w:t>
      </w:r>
    </w:p>
    <w:p w:rsidR="00A73950" w:rsidRPr="00634578" w:rsidP="00A73950">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赎回金额以人民币元为单位，计算结果均按四舍五入，保留到小数点后2位，由此产生的收益或损失由基金财产承担。</w:t>
      </w:r>
    </w:p>
    <w:p w:rsidR="00A73950" w:rsidRPr="00634578" w:rsidP="00A73950">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如销售机构和注册登记机构规定投资者在全部赎回某类基金份额时，基金份额对应的未付收益不与赎回份额对应的款项一并支付给投资者，赎回金额的计算公式为：</w:t>
      </w:r>
    </w:p>
    <w:p w:rsidR="00A73950" w:rsidRPr="00634578" w:rsidP="00A73950">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赎回金额＝赎回份额×基金份额净值</w:t>
      </w:r>
    </w:p>
    <w:p w:rsidR="00A73950" w:rsidRPr="00634578" w:rsidP="00A73950">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例：假定某投资者在T日所持有的A类基金份额为300,000,000.00份基金份额，且有151,808.08元的未付收益。投资者申请全部赎回持有的基金份额，则其获得的赎回金额计算如下</w:t>
      </w:r>
    </w:p>
    <w:p w:rsidR="00A73950" w:rsidRPr="00634578" w:rsidP="00A73950">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赎回金额=300,000,000.00×1.00=300,000,000.00元</w:t>
      </w:r>
    </w:p>
    <w:p w:rsidR="00A73950" w:rsidRPr="00634578" w:rsidP="00A73950">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赎回金额以人民币元为单位，计算结果均按四舍五入，保留到小数点后2位，由此产生</w:t>
      </w:r>
      <w:r w:rsidRPr="00634578">
        <w:rPr>
          <w:rFonts w:asciiTheme="minorEastAsia" w:eastAsiaTheme="minorEastAsia" w:hAnsiTheme="minorEastAsia" w:hint="eastAsia"/>
          <w:color w:val="000000" w:themeColor="text1"/>
          <w:szCs w:val="21"/>
        </w:rPr>
        <w:t>的收益或损失由基金财产承担。</w:t>
      </w:r>
    </w:p>
    <w:p w:rsidR="00A73950" w:rsidRPr="00634578" w:rsidP="00A73950">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2)当投资者在全部赎回某类基金份额时，如其未付收益为负，基金份额对应的未付收益与赎回份额对应的款项一并结算给投资者。</w:t>
      </w:r>
    </w:p>
    <w:p w:rsidR="00A73950" w:rsidRPr="00634578" w:rsidP="00A73950">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例：假定某投资者在T日所持有的A类基金份额为300,000,000.00份基金份额，且有-151,808.08元的未付收益。投资者申请全部赎回持有的基金份额，则其获得的赎回金额计算如下</w:t>
      </w:r>
    </w:p>
    <w:p w:rsidR="00A73950" w:rsidRPr="00634578" w:rsidP="00A73950">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赎回金额=300,000,000.00×1.00-151,808.08=299,848,191.92元</w:t>
      </w:r>
    </w:p>
    <w:p w:rsidR="00DB3659" w:rsidRPr="00634578" w:rsidP="00A73950">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赎回金额以人民币元为单位，计算结果均按四舍五入，保留到小数点后2位，由此产生的收益或损失由基金财产承担。</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54" w:name="_Toc327734841"/>
      <w:r w:rsidRPr="00634578">
        <w:rPr>
          <w:rFonts w:asciiTheme="minorEastAsia" w:eastAsiaTheme="minorEastAsia" w:hAnsiTheme="minorEastAsia" w:hint="eastAsia"/>
          <w:color w:val="000000" w:themeColor="text1"/>
          <w:szCs w:val="21"/>
        </w:rPr>
        <w:t>（九）申购与赎回的注册登记</w:t>
      </w:r>
      <w:bookmarkEnd w:id="54"/>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55" w:name="_Toc327734842"/>
      <w:r w:rsidRPr="00634578">
        <w:rPr>
          <w:rFonts w:asciiTheme="minorEastAsia" w:eastAsiaTheme="minorEastAsia" w:hAnsiTheme="minorEastAsia" w:hint="eastAsia"/>
          <w:color w:val="000000" w:themeColor="text1"/>
          <w:szCs w:val="21"/>
        </w:rPr>
        <w:t>正常情况下，投资人</w:t>
      </w:r>
      <w:r w:rsidRPr="00634578">
        <w:rPr>
          <w:rFonts w:asciiTheme="minorEastAsia" w:eastAsiaTheme="minorEastAsia" w:hAnsiTheme="minorEastAsia"/>
          <w:color w:val="000000" w:themeColor="text1"/>
          <w:szCs w:val="21"/>
        </w:rPr>
        <w:t>T</w:t>
      </w:r>
      <w:r w:rsidRPr="00634578">
        <w:rPr>
          <w:rFonts w:asciiTheme="minorEastAsia" w:eastAsiaTheme="minorEastAsia" w:hAnsiTheme="minorEastAsia" w:hint="eastAsia"/>
          <w:color w:val="000000" w:themeColor="text1"/>
          <w:szCs w:val="21"/>
        </w:rPr>
        <w:t>日申购基金成功后，登记机构在</w:t>
      </w:r>
      <w:r w:rsidRPr="00634578">
        <w:rPr>
          <w:rFonts w:asciiTheme="minorEastAsia" w:eastAsiaTheme="minorEastAsia" w:hAnsiTheme="minorEastAsia"/>
          <w:color w:val="000000" w:themeColor="text1"/>
          <w:szCs w:val="21"/>
        </w:rPr>
        <w:t>T+1</w:t>
      </w:r>
      <w:r w:rsidRPr="00634578">
        <w:rPr>
          <w:rFonts w:asciiTheme="minorEastAsia" w:eastAsiaTheme="minorEastAsia" w:hAnsiTheme="minorEastAsia" w:hint="eastAsia"/>
          <w:color w:val="000000" w:themeColor="text1"/>
          <w:szCs w:val="21"/>
        </w:rPr>
        <w:t>日前（包括</w:t>
      </w:r>
      <w:r w:rsidRPr="00634578">
        <w:rPr>
          <w:rFonts w:asciiTheme="minorEastAsia" w:eastAsiaTheme="minorEastAsia" w:hAnsiTheme="minorEastAsia"/>
          <w:color w:val="000000" w:themeColor="text1"/>
          <w:szCs w:val="21"/>
        </w:rPr>
        <w:t>T+1</w:t>
      </w:r>
      <w:r w:rsidRPr="00634578">
        <w:rPr>
          <w:rFonts w:asciiTheme="minorEastAsia" w:eastAsiaTheme="minorEastAsia" w:hAnsiTheme="minorEastAsia" w:hint="eastAsia"/>
          <w:color w:val="000000" w:themeColor="text1"/>
          <w:szCs w:val="21"/>
        </w:rPr>
        <w:t>日）为投资者增加权益并办理登记手续。</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基金份额持有人</w:t>
      </w:r>
      <w:r w:rsidRPr="00634578">
        <w:rPr>
          <w:rFonts w:asciiTheme="minorEastAsia" w:eastAsiaTheme="minorEastAsia" w:hAnsiTheme="minorEastAsia"/>
          <w:color w:val="000000" w:themeColor="text1"/>
          <w:szCs w:val="21"/>
        </w:rPr>
        <w:t>T</w:t>
      </w:r>
      <w:r w:rsidRPr="00634578">
        <w:rPr>
          <w:rFonts w:asciiTheme="minorEastAsia" w:eastAsiaTheme="minorEastAsia" w:hAnsiTheme="minorEastAsia" w:hint="eastAsia"/>
          <w:color w:val="000000" w:themeColor="text1"/>
          <w:szCs w:val="21"/>
        </w:rPr>
        <w:t>日赎回基金成功后，正常情况下，登记机构在</w:t>
      </w:r>
      <w:r w:rsidRPr="00634578">
        <w:rPr>
          <w:rFonts w:asciiTheme="minorEastAsia" w:eastAsiaTheme="minorEastAsia" w:hAnsiTheme="minorEastAsia"/>
          <w:color w:val="000000" w:themeColor="text1"/>
          <w:szCs w:val="21"/>
        </w:rPr>
        <w:t>T+1</w:t>
      </w:r>
      <w:r w:rsidRPr="00634578">
        <w:rPr>
          <w:rFonts w:asciiTheme="minorEastAsia" w:eastAsiaTheme="minorEastAsia" w:hAnsiTheme="minorEastAsia" w:hint="eastAsia"/>
          <w:color w:val="000000" w:themeColor="text1"/>
          <w:szCs w:val="21"/>
        </w:rPr>
        <w:t>日前（包括</w:t>
      </w:r>
      <w:r w:rsidRPr="00634578">
        <w:rPr>
          <w:rFonts w:asciiTheme="minorEastAsia" w:eastAsiaTheme="minorEastAsia" w:hAnsiTheme="minorEastAsia"/>
          <w:color w:val="000000" w:themeColor="text1"/>
          <w:szCs w:val="21"/>
        </w:rPr>
        <w:t>T+1</w:t>
      </w:r>
      <w:r w:rsidRPr="00634578">
        <w:rPr>
          <w:rFonts w:asciiTheme="minorEastAsia" w:eastAsiaTheme="minorEastAsia" w:hAnsiTheme="minorEastAsia" w:hint="eastAsia"/>
          <w:color w:val="000000" w:themeColor="text1"/>
          <w:szCs w:val="21"/>
        </w:rPr>
        <w:t>日）为其办理扣除权益的登记手续。</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在不违反法律法规的情况下，登记机构可以对上述登记办理时间进行调整，基金管理人最迟于开始实施日前依照《信息披露办法》的有关规定在指定媒介上公告。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（十）巨额赎回的认定及处理方式</w:t>
      </w:r>
      <w:bookmarkEnd w:id="55"/>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、巨额赎回的认定</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634578">
        <w:rPr>
          <w:rFonts w:asciiTheme="minorEastAsia" w:eastAsiaTheme="minorEastAsia" w:hAnsiTheme="minorEastAsia"/>
          <w:color w:val="000000" w:themeColor="text1"/>
          <w:szCs w:val="21"/>
        </w:rPr>
        <w:t>10%</w:t>
      </w:r>
      <w:r w:rsidRPr="00634578">
        <w:rPr>
          <w:rFonts w:asciiTheme="minorEastAsia" w:eastAsiaTheme="minorEastAsia" w:hAnsiTheme="minorEastAsia" w:hint="eastAsia"/>
          <w:color w:val="000000" w:themeColor="text1"/>
          <w:szCs w:val="21"/>
        </w:rPr>
        <w:t>，即认为是发生了巨额赎回。</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、巨额赎回的处理方式</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当基金出现巨额赎回时，基金管理人可以根据基金当时的资产组合状况决定全额赎回或部分延期赎回。</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）全额赎回：当基金管理人认为有能力支付投资人的全部赎回申请时，按正常赎回程序执行。</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634578">
        <w:rPr>
          <w:rFonts w:asciiTheme="minorEastAsia" w:eastAsiaTheme="minorEastAsia" w:hAnsiTheme="minorEastAsia"/>
          <w:color w:val="000000" w:themeColor="text1"/>
          <w:szCs w:val="21"/>
        </w:rPr>
        <w:t>10%</w:t>
      </w:r>
      <w:r w:rsidRPr="00634578">
        <w:rPr>
          <w:rFonts w:asciiTheme="minorEastAsia" w:eastAsiaTheme="minorEastAsia" w:hAnsiTheme="minorEastAsia" w:hint="eastAsia"/>
          <w:color w:val="000000" w:themeColor="text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w:t>
      </w:r>
      <w:r w:rsidRPr="00634578">
        <w:rPr>
          <w:rFonts w:asciiTheme="minorEastAsia" w:eastAsiaTheme="minorEastAsia" w:hAnsiTheme="minorEastAsia" w:hint="eastAsia"/>
          <w:color w:val="000000" w:themeColor="text1"/>
          <w:szCs w:val="21"/>
        </w:rPr>
        <w:t>止。如投资人在提交赎回申请时未作明确选择，投资人未能赎回部分作自动延期赎回处理。</w:t>
      </w:r>
    </w:p>
    <w:p w:rsidR="005D0892"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rsidR="00CA2EAE" w:rsidRPr="00634578" w:rsidP="00CA2EA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3）暂停赎回：连续2日以上（含本数）发生巨额赎回，如基金管理人认为有必要，可暂停接受基金的赎回申请；已经接受的赎回申请可以延缓支付赎回款项，但不得超过20个工作日，并应当在指定媒介上进行公告。</w:t>
      </w:r>
    </w:p>
    <w:p w:rsidR="00CA2EAE" w:rsidRPr="00634578" w:rsidP="00CA2EA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3、巨额赎回的公告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当发生上述</w:t>
      </w:r>
      <w:r w:rsidRPr="00634578" w:rsidR="00A154DF">
        <w:rPr>
          <w:rFonts w:asciiTheme="minorEastAsia" w:eastAsiaTheme="minorEastAsia" w:hAnsiTheme="minorEastAsia"/>
          <w:color w:val="000000" w:themeColor="text1"/>
          <w:szCs w:val="21"/>
        </w:rPr>
        <w:t>巨额</w:t>
      </w:r>
      <w:r w:rsidRPr="00634578">
        <w:rPr>
          <w:rFonts w:asciiTheme="minorEastAsia" w:eastAsiaTheme="minorEastAsia" w:hAnsiTheme="minorEastAsia" w:hint="eastAsia"/>
          <w:color w:val="000000" w:themeColor="text1"/>
          <w:szCs w:val="21"/>
        </w:rPr>
        <w:t>赎回并延期办理时，基金管理人应当通过邮寄、传真或者招募说明书规定的其他方式在3个交易日内通知基金份额持有人，说明有关处理方法，并在2日内在指定媒介上刊登公告。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56" w:name="_Toc327734843"/>
      <w:r w:rsidRPr="00634578">
        <w:rPr>
          <w:rFonts w:asciiTheme="minorEastAsia" w:eastAsiaTheme="minorEastAsia" w:hAnsiTheme="minorEastAsia" w:hint="eastAsia"/>
          <w:color w:val="000000" w:themeColor="text1"/>
          <w:szCs w:val="21"/>
        </w:rPr>
        <w:t>（十一）拒绝或暂停申购、暂停赎回或延缓支付赎回款项的的情形及处理</w:t>
      </w:r>
      <w:bookmarkEnd w:id="56"/>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、发生下列情况时，基金管理人可拒绝或暂停接受投资人的申购申请：</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）因不可抗力导致基金无法正常运作。</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）发生基金合同规定的暂停基金资产估值情况时。</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）本基金投资的证券交易市场临时停止交易。</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）基金管理人接受某笔或某些申购申请可能会影响或损害现有基金份额持有人利益时。</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5</w:t>
      </w:r>
      <w:r w:rsidRPr="00634578">
        <w:rPr>
          <w:rFonts w:asciiTheme="minorEastAsia" w:eastAsiaTheme="minorEastAsia" w:hAnsiTheme="minorEastAsia" w:hint="eastAsia"/>
          <w:color w:val="000000" w:themeColor="text1"/>
          <w:szCs w:val="21"/>
        </w:rPr>
        <w:t>）基金资产规模过大，使基金管理人无法找到合适的投资品种，或其他可能对基金业绩产生负面影响，从而损害现有基金份额持有人利益的情形。</w:t>
      </w:r>
    </w:p>
    <w:p w:rsidR="005D0892" w:rsidRPr="00634578" w:rsidP="005D089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6</w:t>
      </w:r>
      <w:r w:rsidRPr="00634578">
        <w:rPr>
          <w:rFonts w:asciiTheme="minorEastAsia" w:eastAsiaTheme="minorEastAsia" w:hAnsiTheme="minorEastAsia" w:hint="eastAsia"/>
          <w:color w:val="000000" w:themeColor="text1"/>
          <w:szCs w:val="21"/>
        </w:rPr>
        <w:t>）基金管理人接受某笔或者某些申购申请有可能导致单一投资者持有基金份额的比例达到或者超过50%，或者变相规避50%集中度的情形时。</w:t>
      </w:r>
    </w:p>
    <w:p w:rsidR="00DB3659" w:rsidRPr="00634578" w:rsidP="005D089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7）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344766" w:rsidRPr="00634578" w:rsidP="00344766">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sidR="005D0892">
        <w:rPr>
          <w:rFonts w:asciiTheme="minorEastAsia" w:eastAsiaTheme="minorEastAsia" w:hAnsiTheme="minorEastAsia"/>
          <w:color w:val="000000" w:themeColor="text1"/>
          <w:szCs w:val="21"/>
        </w:rPr>
        <w:t>8</w:t>
      </w:r>
      <w:r w:rsidRPr="00634578">
        <w:rPr>
          <w:rFonts w:asciiTheme="minorEastAsia" w:eastAsiaTheme="minorEastAsia" w:hAnsiTheme="minorEastAsia" w:hint="eastAsia"/>
          <w:color w:val="000000" w:themeColor="text1"/>
          <w:szCs w:val="21"/>
        </w:rPr>
        <w:t>）为保护基金份额持有人的合法权益，基金管理人可以依照相关法律法规以及基金合同的约定，在特定市场条件下暂停或者拒绝接受一定金额以上的资金申购，具体以基金管理人的公告为准。</w:t>
      </w:r>
    </w:p>
    <w:p w:rsidR="00344766" w:rsidRPr="00634578" w:rsidP="00344766">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sidR="005D0892">
        <w:rPr>
          <w:rFonts w:asciiTheme="minorEastAsia" w:eastAsiaTheme="minorEastAsia" w:hAnsiTheme="minorEastAsia"/>
          <w:color w:val="000000" w:themeColor="text1"/>
          <w:szCs w:val="21"/>
        </w:rPr>
        <w:t>9</w:t>
      </w:r>
      <w:r w:rsidRPr="00634578">
        <w:rPr>
          <w:rFonts w:asciiTheme="minorEastAsia" w:eastAsiaTheme="minorEastAsia" w:hAnsiTheme="minorEastAsia" w:hint="eastAsia"/>
          <w:color w:val="000000" w:themeColor="text1"/>
          <w:szCs w:val="21"/>
        </w:rPr>
        <w:t>）基金管理人、基金托管人、登记机构、销售机构、支付结算机构等因异常情况导致基金销售系统、基金销售支付结算系统、基金登记系统、基金会计系统等无法正常运行。</w:t>
      </w:r>
    </w:p>
    <w:p w:rsidR="00344766" w:rsidRPr="00634578" w:rsidP="00344766">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sidR="005D0892">
        <w:rPr>
          <w:rFonts w:asciiTheme="minorEastAsia" w:eastAsiaTheme="minorEastAsia" w:hAnsiTheme="minorEastAsia"/>
          <w:color w:val="000000" w:themeColor="text1"/>
          <w:szCs w:val="21"/>
        </w:rPr>
        <w:t>10</w:t>
      </w:r>
      <w:r w:rsidRPr="00634578">
        <w:rPr>
          <w:rFonts w:asciiTheme="minorEastAsia" w:eastAsiaTheme="minorEastAsia" w:hAnsiTheme="minorEastAsia" w:hint="eastAsia"/>
          <w:color w:val="000000" w:themeColor="text1"/>
          <w:szCs w:val="21"/>
        </w:rPr>
        <w:t>）当影子定价法确定的基金资产净值与摊余成本法计算的基金资产净值的正偏离度绝对值达到0.5%时。</w:t>
      </w:r>
    </w:p>
    <w:p w:rsidR="005D0892" w:rsidRPr="00634578" w:rsidP="00344766">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w:t>
      </w: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）当前一估值日基金资产净值50%以上的资产出现无可参考的活跃市场价格且采用</w:t>
      </w:r>
      <w:r w:rsidRPr="00634578">
        <w:rPr>
          <w:rFonts w:asciiTheme="minorEastAsia" w:eastAsiaTheme="minorEastAsia" w:hAnsiTheme="minorEastAsia" w:hint="eastAsia"/>
          <w:color w:val="000000" w:themeColor="text1"/>
          <w:szCs w:val="21"/>
        </w:rPr>
        <w:t>估值技术仍导致公允价值存在重大不确定性时，经与基金托管人协商确认后，基金管理人应当采取暂停接受基金申购申请的措施。</w:t>
      </w:r>
    </w:p>
    <w:p w:rsidR="00344766" w:rsidRPr="00634578" w:rsidP="00344766">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法律法规规定或中国证监会认定的其他情形。</w:t>
      </w:r>
    </w:p>
    <w:p w:rsidR="00DB3659" w:rsidRPr="00634578" w:rsidP="00344766">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发生上述第（1）、（2）、（3）、（5）、（7）、（8）、（9）、（10）</w:t>
      </w:r>
      <w:r w:rsidRPr="00634578" w:rsidR="005D0892">
        <w:rPr>
          <w:rFonts w:asciiTheme="minorEastAsia" w:eastAsiaTheme="minorEastAsia" w:hAnsiTheme="minorEastAsia" w:hint="eastAsia"/>
          <w:color w:val="000000" w:themeColor="text1"/>
          <w:szCs w:val="21"/>
        </w:rPr>
        <w:t>、</w:t>
      </w:r>
      <w:r w:rsidRPr="00634578" w:rsidR="005D0892">
        <w:rPr>
          <w:rFonts w:asciiTheme="minorEastAsia" w:eastAsiaTheme="minorEastAsia" w:hAnsiTheme="minorEastAsia"/>
          <w:color w:val="000000" w:themeColor="text1"/>
          <w:szCs w:val="21"/>
        </w:rPr>
        <w:t>（</w:t>
      </w:r>
      <w:r w:rsidRPr="00634578" w:rsidR="005D0892">
        <w:rPr>
          <w:rFonts w:asciiTheme="minorEastAsia" w:eastAsiaTheme="minorEastAsia" w:hAnsiTheme="minorEastAsia" w:hint="eastAsia"/>
          <w:color w:val="000000" w:themeColor="text1"/>
          <w:szCs w:val="21"/>
        </w:rPr>
        <w:t>1</w:t>
      </w:r>
      <w:r w:rsidRPr="00634578" w:rsidR="005D0892">
        <w:rPr>
          <w:rFonts w:asciiTheme="minorEastAsia" w:eastAsiaTheme="minorEastAsia" w:hAnsiTheme="minorEastAsia"/>
          <w:color w:val="000000" w:themeColor="text1"/>
          <w:szCs w:val="21"/>
        </w:rPr>
        <w:t>1）</w:t>
      </w:r>
      <w:r w:rsidRPr="00634578" w:rsidR="005D0892">
        <w:rPr>
          <w:rFonts w:asciiTheme="minorEastAsia" w:eastAsiaTheme="minorEastAsia" w:hAnsiTheme="minorEastAsia" w:hint="eastAsia"/>
          <w:color w:val="000000" w:themeColor="text1"/>
          <w:szCs w:val="21"/>
        </w:rPr>
        <w:t>、</w:t>
      </w:r>
      <w:r w:rsidRPr="00634578" w:rsidR="005D0892">
        <w:rPr>
          <w:rFonts w:asciiTheme="minorEastAsia" w:eastAsiaTheme="minorEastAsia" w:hAnsiTheme="minorEastAsia"/>
          <w:color w:val="000000" w:themeColor="text1"/>
          <w:szCs w:val="21"/>
        </w:rPr>
        <w:t>（</w:t>
      </w:r>
      <w:r w:rsidRPr="00634578" w:rsidR="005D0892">
        <w:rPr>
          <w:rFonts w:asciiTheme="minorEastAsia" w:eastAsiaTheme="minorEastAsia" w:hAnsiTheme="minorEastAsia" w:hint="eastAsia"/>
          <w:color w:val="000000" w:themeColor="text1"/>
          <w:szCs w:val="21"/>
        </w:rPr>
        <w:t>1</w:t>
      </w:r>
      <w:r w:rsidRPr="00634578" w:rsidR="005D0892">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项暂停申购情形且基金管理人决定暂停接受申购时，基金管理人应当根据有关规定在指定媒介上刊登暂停申购公告。如果投资人的申购申请被拒绝，被拒绝的申购款项本金将退还给投资人。在暂停申购的情况消除时，基金管理人应及时恢复申购业务的办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、发生下列情形时，基金管理人可暂停接受投资人的赎回申请或延缓支付赎回款项：</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）因不可抗力导致基金管理人不能支付赎回款项。</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）发生基金合同规定的暂停基金资产估值情况时。</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）本基金投资的证券交易市场临时停止交易。</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）连续两个或两个以上开放日发生巨额赎回。</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5</w:t>
      </w:r>
      <w:r w:rsidRPr="00634578">
        <w:rPr>
          <w:rFonts w:asciiTheme="minorEastAsia" w:eastAsiaTheme="minorEastAsia" w:hAnsiTheme="minorEastAsia" w:hint="eastAsia"/>
          <w:color w:val="000000" w:themeColor="text1"/>
          <w:szCs w:val="21"/>
        </w:rPr>
        <w:t>）基金管理人、基金托管人、登记机构、销售机构、支付结算机构等因异常情况导致基金销售系统、基金销售支付结算系统、基金登记系统、基金会计系统等无法正常运行。</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6</w:t>
      </w:r>
      <w:r w:rsidRPr="00634578">
        <w:rPr>
          <w:rFonts w:asciiTheme="minorEastAsia" w:eastAsiaTheme="minorEastAsia" w:hAnsiTheme="minorEastAsia" w:hint="eastAsia"/>
          <w:color w:val="000000" w:themeColor="text1"/>
          <w:szCs w:val="21"/>
        </w:rPr>
        <w:t>）本基金的资产组合中的重要部分发生暂停交易或其他重大事件，继续接受赎回可能会影响或损害基金份额持有人利益时。</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7</w:t>
      </w:r>
      <w:r w:rsidRPr="00634578">
        <w:rPr>
          <w:rFonts w:asciiTheme="minorEastAsia" w:eastAsiaTheme="minorEastAsia" w:hAnsiTheme="minorEastAsia" w:hint="eastAsia"/>
          <w:color w:val="000000" w:themeColor="text1"/>
          <w:szCs w:val="21"/>
        </w:rPr>
        <w:t>）基金管理人继续接受赎回申请将损害现有基金份额持有人利益的情形时，可暂停接受投资人的赎回申请。</w:t>
      </w:r>
    </w:p>
    <w:p w:rsidR="00344766" w:rsidRPr="00634578" w:rsidP="00344766">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8</w:t>
      </w:r>
      <w:r w:rsidRPr="00634578">
        <w:rPr>
          <w:rFonts w:asciiTheme="minorEastAsia" w:eastAsiaTheme="minorEastAsia" w:hAnsiTheme="minorEastAsia" w:hint="eastAsia"/>
          <w:color w:val="000000" w:themeColor="text1"/>
          <w:szCs w:val="21"/>
        </w:rPr>
        <w:t>）当影子定价确定的基金资产净值与摊余成本法计算的基金资产净值的负偏离度绝对值连续两个交易日超过0.5%。</w:t>
      </w:r>
    </w:p>
    <w:p w:rsidR="005D0892" w:rsidRPr="00634578" w:rsidP="00344766">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9）当前一估值日基金资产净值50%以上的资产出现无可参考的活跃市场价格且采用估值技术仍导致公允价值存在重大不确定性时，经与基金托管人协商确认后，基金管理人应当采取延缓支付赎回款或者暂停接受基金赎回申请的措施</w:t>
      </w:r>
    </w:p>
    <w:p w:rsidR="00DB3659" w:rsidRPr="00634578" w:rsidP="00344766">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w:t>
      </w:r>
      <w:r w:rsidRPr="00634578">
        <w:rPr>
          <w:rFonts w:asciiTheme="minorEastAsia" w:eastAsiaTheme="minorEastAsia" w:hAnsiTheme="minorEastAsia"/>
          <w:color w:val="000000" w:themeColor="text1"/>
          <w:szCs w:val="21"/>
        </w:rPr>
        <w:t>0）</w:t>
      </w:r>
      <w:r w:rsidRPr="00634578">
        <w:rPr>
          <w:rFonts w:asciiTheme="minorEastAsia" w:eastAsiaTheme="minorEastAsia" w:hAnsiTheme="minorEastAsia" w:hint="eastAsia"/>
          <w:color w:val="000000" w:themeColor="text1"/>
          <w:szCs w:val="21"/>
        </w:rPr>
        <w:t>法律法规规定或中国证监会认定的其他情形。</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发生上述情形且基金管理人决定暂停接受基金份额持有人赎回申请或延缓支付赎回款项时，基金管理人应报中国证监会备案，已确认的赎回申请，基金管理人应足额支付；如暂时不能足额支付，未支付部分可延期支付。若出现上述第（</w:t>
      </w: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）项所述情形，按基金合同的相关条款处理。基金份额持有人在申请赎回时可事先选择将当日可能未获受理部分予以撤销。在暂停赎回的情况消除时，基金管理人应及时恢复赎回业务的办理。</w:t>
      </w:r>
    </w:p>
    <w:p w:rsidR="00344766" w:rsidRPr="00634578" w:rsidP="00344766">
      <w:pPr>
        <w:snapToGrid w:val="0"/>
        <w:spacing w:line="360" w:lineRule="auto"/>
        <w:ind w:firstLine="420" w:firstLineChars="200"/>
        <w:rPr>
          <w:rFonts w:asciiTheme="minorEastAsia" w:eastAsiaTheme="minorEastAsia" w:hAnsiTheme="minorEastAsia"/>
          <w:color w:val="000000" w:themeColor="text1"/>
          <w:szCs w:val="21"/>
        </w:rPr>
      </w:pPr>
      <w:bookmarkStart w:id="57" w:name="_Toc319693434"/>
      <w:bookmarkStart w:id="58" w:name="_Toc319688310"/>
      <w:r w:rsidRPr="00634578">
        <w:rPr>
          <w:rFonts w:asciiTheme="minorEastAsia" w:eastAsiaTheme="minorEastAsia" w:hAnsiTheme="minorEastAsia" w:hint="eastAsia"/>
          <w:color w:val="000000" w:themeColor="text1"/>
          <w:szCs w:val="21"/>
        </w:rPr>
        <w:t>为公平对待不同类别基金份额持有人的合法权益，如本基金单个基金份额持有人在单个开放日申请赎回基金份额超过基金总份额10%的，基金管理人可对其采取延期办理部分赎回申请或者延缓支付赎回款项的措施。</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、暂停申购或赎回的公告和重新开放申购或赎回的公告</w:t>
      </w:r>
      <w:bookmarkEnd w:id="57"/>
      <w:bookmarkEnd w:id="58"/>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）发生上述暂停申购或赎回情况的，基金管理人应在规定期限内在指定媒介上刊登</w:t>
      </w:r>
      <w:r w:rsidRPr="00634578">
        <w:rPr>
          <w:rFonts w:asciiTheme="minorEastAsia" w:eastAsiaTheme="minorEastAsia" w:hAnsiTheme="minorEastAsia" w:hint="eastAsia"/>
          <w:color w:val="000000" w:themeColor="text1"/>
          <w:szCs w:val="21"/>
        </w:rPr>
        <w:t>暂停公告。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十二）当技术条件成熟，本基金管理人经与基金托管人协商一致，在不违反法律法规且对基金份额持有人利益无实质不利影响的前提下，可根据具体情况，在履行适当程序后，对上述申购和赎回的安排进行补充和调整，或者安排本基金的一类或多类基金份额在证券交易所上市交易，或者办理基金份额的转让、过户、质押等业务，届时无须召开基金份额持有人大会审议</w:t>
      </w:r>
      <w:r w:rsidRPr="00634578" w:rsidR="00CA2EAE">
        <w:rPr>
          <w:rFonts w:asciiTheme="minorEastAsia" w:eastAsiaTheme="minorEastAsia" w:hAnsiTheme="minorEastAsia" w:hint="eastAsia"/>
          <w:color w:val="000000" w:themeColor="text1"/>
          <w:szCs w:val="21"/>
        </w:rPr>
        <w:t>，但应根据相关法规规定进行信息披露。</w:t>
      </w:r>
    </w:p>
    <w:p w:rsidR="00B4651A" w:rsidRPr="00634578" w:rsidP="00BB159E">
      <w:pPr>
        <w:snapToGrid w:val="0"/>
        <w:spacing w:line="360" w:lineRule="auto"/>
        <w:ind w:firstLine="420" w:firstLineChars="200"/>
        <w:rPr>
          <w:rFonts w:asciiTheme="minorEastAsia" w:eastAsiaTheme="minorEastAsia" w:hAnsiTheme="minorEastAsia"/>
          <w:color w:val="000000" w:themeColor="text1"/>
          <w:szCs w:val="21"/>
        </w:rPr>
      </w:pPr>
    </w:p>
    <w:p w:rsidR="00B4651A" w:rsidRPr="00634578" w:rsidP="00BB159E">
      <w:pPr>
        <w:snapToGrid w:val="0"/>
        <w:spacing w:line="360" w:lineRule="auto"/>
        <w:ind w:firstLine="420" w:firstLineChars="200"/>
        <w:rPr>
          <w:rFonts w:asciiTheme="minorEastAsia" w:eastAsiaTheme="minorEastAsia" w:hAnsiTheme="minorEastAsia"/>
          <w:color w:val="000000" w:themeColor="text1"/>
          <w:szCs w:val="21"/>
        </w:rPr>
        <w:sectPr w:rsidSect="00184068">
          <w:footerReference w:type="default" r:id="rId14"/>
          <w:pgSz w:w="11906" w:h="16838"/>
          <w:pgMar w:top="1440" w:right="1800" w:bottom="1440" w:left="1800" w:header="851" w:footer="992" w:gutter="0"/>
          <w:pgNumType w:start="1"/>
          <w:cols w:space="425"/>
          <w:docGrid w:type="lines" w:linePitch="312"/>
        </w:sectPr>
      </w:pPr>
    </w:p>
    <w:p w:rsidR="00DB3659" w:rsidRPr="00634578" w:rsidP="00BB159E">
      <w:pPr>
        <w:pStyle w:val="Heading1"/>
        <w:snapToGrid w:val="0"/>
        <w:spacing w:beforeLines="0" w:afterLines="0" w:line="360" w:lineRule="auto"/>
        <w:ind w:firstLine="600"/>
        <w:rPr>
          <w:rFonts w:asciiTheme="minorEastAsia" w:eastAsiaTheme="minorEastAsia" w:hAnsiTheme="minorEastAsia"/>
          <w:color w:val="000000" w:themeColor="text1"/>
          <w:sz w:val="30"/>
        </w:rPr>
      </w:pPr>
      <w:bookmarkStart w:id="59" w:name="_Toc91772042"/>
      <w:r w:rsidRPr="00634578">
        <w:rPr>
          <w:rFonts w:asciiTheme="minorEastAsia" w:eastAsiaTheme="minorEastAsia" w:hAnsiTheme="minorEastAsia" w:hint="eastAsia"/>
          <w:color w:val="000000" w:themeColor="text1"/>
          <w:sz w:val="30"/>
        </w:rPr>
        <w:t>十、基金</w:t>
      </w:r>
      <w:r w:rsidRPr="00634578" w:rsidR="00E3311E">
        <w:rPr>
          <w:rFonts w:asciiTheme="minorEastAsia" w:eastAsiaTheme="minorEastAsia" w:hAnsiTheme="minorEastAsia" w:hint="eastAsia"/>
          <w:color w:val="000000" w:themeColor="text1"/>
          <w:sz w:val="30"/>
        </w:rPr>
        <w:t>的</w:t>
      </w:r>
      <w:r w:rsidRPr="00634578">
        <w:rPr>
          <w:rFonts w:asciiTheme="minorEastAsia" w:eastAsiaTheme="minorEastAsia" w:hAnsiTheme="minorEastAsia" w:hint="eastAsia"/>
          <w:color w:val="000000" w:themeColor="text1"/>
          <w:sz w:val="30"/>
        </w:rPr>
        <w:t>转换</w:t>
      </w:r>
      <w:bookmarkEnd w:id="59"/>
    </w:p>
    <w:p w:rsidR="009C551B"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60" w:name="_Toc318444120"/>
      <w:bookmarkStart w:id="61" w:name="_Toc252976144"/>
      <w:bookmarkStart w:id="62" w:name="_Toc327734847"/>
      <w:r w:rsidRPr="00634578">
        <w:rPr>
          <w:rFonts w:asciiTheme="minorEastAsia" w:eastAsiaTheme="minorEastAsia" w:hAnsiTheme="minorEastAsia" w:hint="eastAsia"/>
          <w:color w:val="000000" w:themeColor="text1"/>
          <w:szCs w:val="21"/>
        </w:rPr>
        <w:t>（一）基金转换开始日及时间</w:t>
      </w:r>
      <w:bookmarkEnd w:id="60"/>
      <w:bookmarkEnd w:id="61"/>
    </w:p>
    <w:p w:rsidR="009C551B" w:rsidRPr="00634578" w:rsidP="00BB159E">
      <w:pPr>
        <w:pStyle w:val="NormalIndent"/>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rPr>
        <w:t>本基金</w:t>
      </w:r>
      <w:r w:rsidRPr="00634578" w:rsidR="00AD473B">
        <w:rPr>
          <w:rFonts w:asciiTheme="minorEastAsia" w:eastAsiaTheme="minorEastAsia" w:hAnsiTheme="minorEastAsia" w:hint="eastAsia"/>
          <w:color w:val="000000" w:themeColor="text1"/>
        </w:rPr>
        <w:t>A</w:t>
      </w:r>
      <w:r w:rsidRPr="00634578" w:rsidR="00AD473B">
        <w:rPr>
          <w:rFonts w:asciiTheme="minorEastAsia" w:eastAsiaTheme="minorEastAsia" w:hAnsiTheme="minorEastAsia"/>
          <w:color w:val="000000" w:themeColor="text1"/>
        </w:rPr>
        <w:t>类基金份额、B类基金份额</w:t>
      </w:r>
      <w:r w:rsidRPr="00634578">
        <w:rPr>
          <w:rFonts w:asciiTheme="minorEastAsia" w:eastAsiaTheme="minorEastAsia" w:hAnsiTheme="minorEastAsia" w:hint="eastAsia"/>
          <w:color w:val="000000" w:themeColor="text1"/>
        </w:rPr>
        <w:t>已于201</w:t>
      </w:r>
      <w:r w:rsidRPr="00634578" w:rsidR="0058176D">
        <w:rPr>
          <w:rFonts w:asciiTheme="minorEastAsia" w:eastAsiaTheme="minorEastAsia" w:hAnsiTheme="minorEastAsia" w:hint="eastAsia"/>
          <w:color w:val="000000" w:themeColor="text1"/>
        </w:rPr>
        <w:t>4</w:t>
      </w:r>
      <w:r w:rsidRPr="00634578">
        <w:rPr>
          <w:rFonts w:asciiTheme="minorEastAsia" w:eastAsiaTheme="minorEastAsia" w:hAnsiTheme="minorEastAsia" w:hint="eastAsia"/>
          <w:color w:val="000000" w:themeColor="text1"/>
        </w:rPr>
        <w:t>年</w:t>
      </w:r>
      <w:r w:rsidRPr="00634578" w:rsidR="0058176D">
        <w:rPr>
          <w:rFonts w:asciiTheme="minorEastAsia" w:eastAsiaTheme="minorEastAsia" w:hAnsiTheme="minorEastAsia" w:hint="eastAsia"/>
          <w:color w:val="000000" w:themeColor="text1"/>
        </w:rPr>
        <w:t>9</w:t>
      </w:r>
      <w:r w:rsidRPr="00634578">
        <w:rPr>
          <w:rFonts w:asciiTheme="minorEastAsia" w:eastAsiaTheme="minorEastAsia" w:hAnsiTheme="minorEastAsia" w:hint="eastAsia"/>
          <w:color w:val="000000" w:themeColor="text1"/>
        </w:rPr>
        <w:t>月26日开始办理</w:t>
      </w:r>
      <w:r w:rsidRPr="00634578">
        <w:rPr>
          <w:rFonts w:asciiTheme="minorEastAsia" w:eastAsiaTheme="minorEastAsia" w:hAnsiTheme="minorEastAsia" w:hint="eastAsia"/>
          <w:color w:val="000000" w:themeColor="text1"/>
          <w:szCs w:val="21"/>
        </w:rPr>
        <w:t>基金转换</w:t>
      </w:r>
      <w:r w:rsidRPr="00634578">
        <w:rPr>
          <w:rFonts w:asciiTheme="minorEastAsia" w:eastAsiaTheme="minorEastAsia" w:hAnsiTheme="minorEastAsia" w:hint="eastAsia"/>
          <w:color w:val="000000" w:themeColor="text1"/>
        </w:rPr>
        <w:t>业务，</w:t>
      </w:r>
      <w:r w:rsidRPr="00634578" w:rsidR="00AD473B">
        <w:rPr>
          <w:rFonts w:asciiTheme="minorEastAsia" w:eastAsiaTheme="minorEastAsia" w:hAnsiTheme="minorEastAsia" w:hint="eastAsia"/>
          <w:color w:val="000000" w:themeColor="text1"/>
        </w:rPr>
        <w:t>本基金</w:t>
      </w:r>
      <w:r w:rsidRPr="00634578" w:rsidR="00AD473B">
        <w:rPr>
          <w:rFonts w:asciiTheme="minorEastAsia" w:eastAsiaTheme="minorEastAsia" w:hAnsiTheme="minorEastAsia"/>
          <w:color w:val="000000" w:themeColor="text1"/>
        </w:rPr>
        <w:t>C类基金份额</w:t>
      </w:r>
      <w:r w:rsidRPr="00634578" w:rsidR="00AD473B">
        <w:rPr>
          <w:rFonts w:asciiTheme="minorEastAsia" w:eastAsiaTheme="minorEastAsia" w:hAnsiTheme="minorEastAsia" w:hint="eastAsia"/>
          <w:color w:val="000000" w:themeColor="text1"/>
        </w:rPr>
        <w:t>已于201</w:t>
      </w:r>
      <w:r w:rsidRPr="00634578" w:rsidR="00AD473B">
        <w:rPr>
          <w:rFonts w:asciiTheme="minorEastAsia" w:eastAsiaTheme="minorEastAsia" w:hAnsiTheme="minorEastAsia"/>
          <w:color w:val="000000" w:themeColor="text1"/>
        </w:rPr>
        <w:t>7</w:t>
      </w:r>
      <w:r w:rsidRPr="00634578" w:rsidR="00AD473B">
        <w:rPr>
          <w:rFonts w:asciiTheme="minorEastAsia" w:eastAsiaTheme="minorEastAsia" w:hAnsiTheme="minorEastAsia" w:hint="eastAsia"/>
          <w:color w:val="000000" w:themeColor="text1"/>
        </w:rPr>
        <w:t>年</w:t>
      </w:r>
      <w:r w:rsidRPr="00634578" w:rsidR="00AD473B">
        <w:rPr>
          <w:rFonts w:asciiTheme="minorEastAsia" w:eastAsiaTheme="minorEastAsia" w:hAnsiTheme="minorEastAsia"/>
          <w:color w:val="000000" w:themeColor="text1"/>
        </w:rPr>
        <w:t>8</w:t>
      </w:r>
      <w:r w:rsidRPr="00634578" w:rsidR="00AD473B">
        <w:rPr>
          <w:rFonts w:asciiTheme="minorEastAsia" w:eastAsiaTheme="minorEastAsia" w:hAnsiTheme="minorEastAsia" w:hint="eastAsia"/>
          <w:color w:val="000000" w:themeColor="text1"/>
        </w:rPr>
        <w:t>月2</w:t>
      </w:r>
      <w:r w:rsidRPr="00634578" w:rsidR="00AD473B">
        <w:rPr>
          <w:rFonts w:asciiTheme="minorEastAsia" w:eastAsiaTheme="minorEastAsia" w:hAnsiTheme="minorEastAsia"/>
          <w:color w:val="000000" w:themeColor="text1"/>
        </w:rPr>
        <w:t>9</w:t>
      </w:r>
      <w:r w:rsidRPr="00634578" w:rsidR="00AD473B">
        <w:rPr>
          <w:rFonts w:asciiTheme="minorEastAsia" w:eastAsiaTheme="minorEastAsia" w:hAnsiTheme="minorEastAsia" w:hint="eastAsia"/>
          <w:color w:val="000000" w:themeColor="text1"/>
        </w:rPr>
        <w:t>日开始办理</w:t>
      </w:r>
      <w:r w:rsidRPr="00634578" w:rsidR="00AD473B">
        <w:rPr>
          <w:rFonts w:asciiTheme="minorEastAsia" w:eastAsiaTheme="minorEastAsia" w:hAnsiTheme="minorEastAsia" w:hint="eastAsia"/>
          <w:color w:val="000000" w:themeColor="text1"/>
          <w:szCs w:val="21"/>
        </w:rPr>
        <w:t>基金转换</w:t>
      </w:r>
      <w:r w:rsidRPr="00634578" w:rsidR="00AD473B">
        <w:rPr>
          <w:rFonts w:asciiTheme="minorEastAsia" w:eastAsiaTheme="minorEastAsia" w:hAnsiTheme="minorEastAsia" w:hint="eastAsia"/>
          <w:color w:val="000000" w:themeColor="text1"/>
        </w:rPr>
        <w:t>业务</w:t>
      </w:r>
      <w:r w:rsidRPr="00634578">
        <w:rPr>
          <w:rFonts w:asciiTheme="minorEastAsia" w:eastAsiaTheme="minorEastAsia" w:hAnsiTheme="minorEastAsia" w:hint="eastAsia"/>
          <w:color w:val="000000" w:themeColor="text1"/>
        </w:rPr>
        <w:t>。</w:t>
      </w:r>
    </w:p>
    <w:p w:rsidR="0058176D"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投资人在开放日办理基金份额的转换业务，具体办理时间为上海证券交易所、深圳证券交易所的正常交易日的交易时间，但基金管理人根据法律法规、中国证监会的要求或基金合同的规定公告暂停申购、赎回时除外。销售机构可在上述范围内规定具体的交易时间。</w:t>
      </w:r>
    </w:p>
    <w:p w:rsidR="0058176D"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若出现新的证券交易市场、证券交易所交易时间变更或其他特殊情况，基金管理人有权视情况对前述开放日及开放时间进行相应的调整，但应在实施日前依照《信息披露办法》的有关规定在指定媒介上公告。</w:t>
      </w:r>
    </w:p>
    <w:p w:rsidR="0058176D" w:rsidRPr="00634578" w:rsidP="00BB159E">
      <w:pPr>
        <w:pStyle w:val="NormalIndent"/>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投资者在基金合同约定之外的日期和时间提出转换的，其基金转换价格为下一开放日基金份额申购、赎回、转换的价格。</w:t>
      </w:r>
    </w:p>
    <w:p w:rsidR="009C551B"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63" w:name="_Toc318444121"/>
      <w:bookmarkStart w:id="64" w:name="_Toc252976145"/>
      <w:r w:rsidRPr="00634578">
        <w:rPr>
          <w:rFonts w:asciiTheme="minorEastAsia" w:eastAsiaTheme="minorEastAsia" w:hAnsiTheme="minorEastAsia" w:hint="eastAsia"/>
          <w:color w:val="000000" w:themeColor="text1"/>
          <w:szCs w:val="21"/>
        </w:rPr>
        <w:t>（二）基金转换的原则</w:t>
      </w:r>
      <w:bookmarkEnd w:id="63"/>
      <w:bookmarkEnd w:id="64"/>
    </w:p>
    <w:p w:rsidR="00413D82" w:rsidRPr="00634578" w:rsidP="00BB159E">
      <w:pPr>
        <w:pStyle w:val="NormalIndent"/>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1、</w:t>
      </w:r>
      <w:r w:rsidRPr="00634578" w:rsidR="009C551B">
        <w:rPr>
          <w:rFonts w:asciiTheme="minorEastAsia" w:eastAsiaTheme="minorEastAsia" w:hAnsiTheme="minorEastAsia" w:hint="eastAsia"/>
          <w:color w:val="000000" w:themeColor="text1"/>
        </w:rPr>
        <w:t>基金转换只能在同一销售机构进行。转换的两只基金必须都是该销售机构代理的同一基金管理人管理的、在同一注册登记机构注册登记的基金。</w:t>
      </w:r>
      <w:r w:rsidRPr="00634578" w:rsidR="00AD473B">
        <w:rPr>
          <w:rFonts w:asciiTheme="minorEastAsia" w:eastAsiaTheme="minorEastAsia" w:hAnsiTheme="minorEastAsia" w:hint="eastAsia"/>
          <w:color w:val="000000" w:themeColor="text1"/>
        </w:rPr>
        <w:t>同一基金不同份额类别之间不可进行相互转换，除非基金管理人公告开通。</w:t>
      </w:r>
    </w:p>
    <w:p w:rsidR="00413D82" w:rsidRPr="00634578" w:rsidP="00BB159E">
      <w:pPr>
        <w:pStyle w:val="NormalIndent"/>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2、</w:t>
      </w:r>
      <w:r w:rsidRPr="00634578" w:rsidR="009C551B">
        <w:rPr>
          <w:rFonts w:asciiTheme="minorEastAsia" w:eastAsiaTheme="minorEastAsia" w:hAnsiTheme="minorEastAsia" w:hint="eastAsia"/>
          <w:color w:val="000000" w:themeColor="text1"/>
        </w:rPr>
        <w:t>基金转换以份额为单位进行申请。投资者可以发起多次基金转换业务，基金转换费用按每笔申请单独计算。转换费用以人民币元为单位，计算结果按照四舍五入方法，保留小数点后两位。</w:t>
      </w:r>
    </w:p>
    <w:p w:rsidR="00413D82" w:rsidRPr="00634578" w:rsidP="00BB159E">
      <w:pPr>
        <w:pStyle w:val="NormalIndent"/>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3、</w:t>
      </w:r>
      <w:r w:rsidRPr="00634578" w:rsidR="009C551B">
        <w:rPr>
          <w:rFonts w:asciiTheme="minorEastAsia" w:eastAsiaTheme="minorEastAsia" w:hAnsiTheme="minorEastAsia" w:hint="eastAsia"/>
          <w:color w:val="000000" w:themeColor="text1"/>
        </w:rPr>
        <w:t>基金转换采取未知价法，即基金的转换价格以转换申请受理当日各转出、转入基金的份额净值为基准进行计算。</w:t>
      </w:r>
    </w:p>
    <w:p w:rsidR="00413D82" w:rsidRPr="00634578" w:rsidP="00BB159E">
      <w:pPr>
        <w:pStyle w:val="NormalIndent"/>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4、</w:t>
      </w:r>
      <w:r w:rsidRPr="00634578" w:rsidR="009C551B">
        <w:rPr>
          <w:rFonts w:asciiTheme="minorEastAsia" w:eastAsiaTheme="minorEastAsia" w:hAnsiTheme="minorEastAsia" w:hint="eastAsia"/>
          <w:color w:val="000000" w:themeColor="text1"/>
        </w:rPr>
        <w:t>基金转换后，转入的基金份额的持有期将自转入的基金份额被确认之日起重新开始计算。</w:t>
      </w:r>
    </w:p>
    <w:p w:rsidR="00413D82" w:rsidRPr="00634578" w:rsidP="00BB159E">
      <w:pPr>
        <w:pStyle w:val="NormalIndent"/>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5、</w:t>
      </w:r>
      <w:r w:rsidRPr="00634578" w:rsidR="009C551B">
        <w:rPr>
          <w:rFonts w:asciiTheme="minorEastAsia" w:eastAsiaTheme="minorEastAsia" w:hAnsiTheme="minorEastAsia" w:hint="eastAsia"/>
          <w:color w:val="000000" w:themeColor="text1"/>
        </w:rPr>
        <w:t>投资者办理基金转换业务时，转出方的基金必须处于可赎回状态，转入方的基金必须处于可申购状态。</w:t>
      </w:r>
    </w:p>
    <w:p w:rsidR="00413D82" w:rsidRPr="00634578" w:rsidP="00BB159E">
      <w:pPr>
        <w:pStyle w:val="NormalIndent"/>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6、</w:t>
      </w:r>
      <w:r w:rsidRPr="00634578" w:rsidR="009C551B">
        <w:rPr>
          <w:rFonts w:asciiTheme="minorEastAsia" w:eastAsiaTheme="minorEastAsia" w:hAnsiTheme="minorEastAsia" w:hint="eastAsia"/>
          <w:color w:val="000000" w:themeColor="text1"/>
        </w:rPr>
        <w:t>转换业务遵循“先进先出”的业务规则，即份额注册日期在前的先转换出，份额注册日期在后的后转换出，如果转换申请当日，同时有赎回申请的情况下，则遵循先赎回后转换的处理原则。</w:t>
      </w:r>
    </w:p>
    <w:p w:rsidR="00413D82" w:rsidRPr="00634578" w:rsidP="00BB159E">
      <w:pPr>
        <w:pStyle w:val="NormalIndent"/>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7、</w:t>
      </w:r>
      <w:r w:rsidRPr="00634578" w:rsidR="009C551B">
        <w:rPr>
          <w:rFonts w:asciiTheme="minorEastAsia" w:eastAsiaTheme="minorEastAsia" w:hAnsiTheme="minorEastAsia" w:hint="eastAsia"/>
          <w:color w:val="000000" w:themeColor="text1"/>
        </w:rPr>
        <w:t>转入本基金的份额计算结果保留到小数点后两位，小数点后两位以后的部分四舍五入，由此误差产生的损失由基金财产承担，产生的收益归基金财产所有。</w:t>
      </w:r>
    </w:p>
    <w:p w:rsidR="009C551B"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65" w:name="_Toc318444122"/>
      <w:bookmarkStart w:id="66" w:name="_Toc252976146"/>
      <w:r w:rsidRPr="00634578">
        <w:rPr>
          <w:rFonts w:asciiTheme="minorEastAsia" w:eastAsiaTheme="minorEastAsia" w:hAnsiTheme="minorEastAsia" w:hint="eastAsia"/>
          <w:color w:val="000000" w:themeColor="text1"/>
          <w:szCs w:val="21"/>
        </w:rPr>
        <w:t>（三）基金转换的程序</w:t>
      </w:r>
      <w:bookmarkEnd w:id="65"/>
      <w:bookmarkEnd w:id="66"/>
    </w:p>
    <w:p w:rsidR="009C551B" w:rsidRPr="00634578" w:rsidP="00BB159E">
      <w:pPr>
        <w:pStyle w:val="NormalIndent"/>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1、基金转换的申请方式</w:t>
      </w:r>
    </w:p>
    <w:p w:rsidR="009C551B" w:rsidRPr="00634578" w:rsidP="00BB159E">
      <w:pPr>
        <w:pStyle w:val="NormalIndent"/>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基金投资者必须根据基金管理人和基金销售机构规定的手续，在开放日的业务办理时间提出转换的申请。</w:t>
      </w:r>
    </w:p>
    <w:p w:rsidR="009C551B" w:rsidRPr="00634578" w:rsidP="00BB159E">
      <w:pPr>
        <w:pStyle w:val="NormalIndent"/>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提交基金转换申请时，账户中必须有足够可用的转出基金份额余额。</w:t>
      </w:r>
    </w:p>
    <w:p w:rsidR="009C551B" w:rsidRPr="00634578" w:rsidP="00BB159E">
      <w:pPr>
        <w:pStyle w:val="NormalIndent"/>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2</w:t>
      </w:r>
      <w:r w:rsidRPr="00634578" w:rsidR="00BB159E">
        <w:rPr>
          <w:rFonts w:asciiTheme="minorEastAsia" w:eastAsiaTheme="minorEastAsia" w:hAnsiTheme="minorEastAsia" w:hint="eastAsia"/>
          <w:color w:val="000000" w:themeColor="text1"/>
        </w:rPr>
        <w:t>、</w:t>
      </w:r>
      <w:r w:rsidRPr="00634578">
        <w:rPr>
          <w:rFonts w:asciiTheme="minorEastAsia" w:eastAsiaTheme="minorEastAsia" w:hAnsiTheme="minorEastAsia" w:hint="eastAsia"/>
          <w:color w:val="000000" w:themeColor="text1"/>
        </w:rPr>
        <w:t>基金转换的</w:t>
      </w:r>
      <w:r w:rsidRPr="00634578" w:rsidR="00A8208B">
        <w:rPr>
          <w:rFonts w:asciiTheme="minorEastAsia" w:eastAsiaTheme="minorEastAsia" w:hAnsiTheme="minorEastAsia" w:hint="eastAsia"/>
          <w:color w:val="000000" w:themeColor="text1"/>
        </w:rPr>
        <w:t>确认</w:t>
      </w:r>
    </w:p>
    <w:p w:rsidR="009C551B" w:rsidRPr="00634578" w:rsidP="00BB159E">
      <w:pPr>
        <w:pStyle w:val="NormalIndent"/>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基金管理人应以交易时间结束前受理有效基金转换申请的当天作为基金转换的申请日</w:t>
      </w:r>
      <w:r w:rsidRPr="00634578">
        <w:rPr>
          <w:rFonts w:asciiTheme="minorEastAsia" w:eastAsiaTheme="minorEastAsia" w:hAnsiTheme="minorEastAsia"/>
          <w:color w:val="000000" w:themeColor="text1"/>
        </w:rPr>
        <w:t>(T</w:t>
      </w:r>
      <w:r w:rsidRPr="00634578">
        <w:rPr>
          <w:rFonts w:asciiTheme="minorEastAsia" w:eastAsiaTheme="minorEastAsia" w:hAnsiTheme="minorEastAsia" w:hint="eastAsia"/>
          <w:color w:val="000000" w:themeColor="text1"/>
        </w:rPr>
        <w:t>日</w:t>
      </w:r>
      <w:r w:rsidRPr="00634578">
        <w:rPr>
          <w:rFonts w:asciiTheme="minorEastAsia" w:eastAsiaTheme="minorEastAsia" w:hAnsiTheme="minorEastAsia"/>
          <w:color w:val="000000" w:themeColor="text1"/>
        </w:rPr>
        <w:t>)</w:t>
      </w:r>
      <w:r w:rsidRPr="00634578">
        <w:rPr>
          <w:rFonts w:asciiTheme="minorEastAsia" w:eastAsiaTheme="minorEastAsia" w:hAnsiTheme="minorEastAsia" w:hint="eastAsia"/>
          <w:color w:val="000000" w:themeColor="text1"/>
        </w:rPr>
        <w:t>，在正常情况下，本基金注册登记机构在</w:t>
      </w:r>
      <w:r w:rsidRPr="00634578">
        <w:rPr>
          <w:rFonts w:asciiTheme="minorEastAsia" w:eastAsiaTheme="minorEastAsia" w:hAnsiTheme="minorEastAsia"/>
          <w:color w:val="000000" w:themeColor="text1"/>
        </w:rPr>
        <w:t>T+1</w:t>
      </w:r>
      <w:r w:rsidRPr="00634578">
        <w:rPr>
          <w:rFonts w:asciiTheme="minorEastAsia" w:eastAsiaTheme="minorEastAsia" w:hAnsiTheme="minorEastAsia" w:hint="eastAsia"/>
          <w:color w:val="000000" w:themeColor="text1"/>
        </w:rPr>
        <w:t>日前</w:t>
      </w:r>
      <w:r w:rsidRPr="00634578">
        <w:rPr>
          <w:rFonts w:asciiTheme="minorEastAsia" w:eastAsiaTheme="minorEastAsia" w:hAnsiTheme="minorEastAsia"/>
          <w:color w:val="000000" w:themeColor="text1"/>
        </w:rPr>
        <w:t>(</w:t>
      </w:r>
      <w:r w:rsidRPr="00634578">
        <w:rPr>
          <w:rFonts w:asciiTheme="minorEastAsia" w:eastAsiaTheme="minorEastAsia" w:hAnsiTheme="minorEastAsia" w:hint="eastAsia"/>
          <w:color w:val="000000" w:themeColor="text1"/>
        </w:rPr>
        <w:t>含</w:t>
      </w:r>
      <w:r w:rsidRPr="00634578">
        <w:rPr>
          <w:rFonts w:asciiTheme="minorEastAsia" w:eastAsiaTheme="minorEastAsia" w:hAnsiTheme="minorEastAsia"/>
          <w:color w:val="000000" w:themeColor="text1"/>
        </w:rPr>
        <w:t>T+1</w:t>
      </w:r>
      <w:r w:rsidRPr="00634578">
        <w:rPr>
          <w:rFonts w:asciiTheme="minorEastAsia" w:eastAsiaTheme="minorEastAsia" w:hAnsiTheme="minorEastAsia" w:hint="eastAsia"/>
          <w:color w:val="000000" w:themeColor="text1"/>
        </w:rPr>
        <w:t>日</w:t>
      </w:r>
      <w:r w:rsidRPr="00634578">
        <w:rPr>
          <w:rFonts w:asciiTheme="minorEastAsia" w:eastAsiaTheme="minorEastAsia" w:hAnsiTheme="minorEastAsia"/>
          <w:color w:val="000000" w:themeColor="text1"/>
        </w:rPr>
        <w:t>)</w:t>
      </w:r>
      <w:r w:rsidRPr="00634578">
        <w:rPr>
          <w:rFonts w:asciiTheme="minorEastAsia" w:eastAsiaTheme="minorEastAsia" w:hAnsiTheme="minorEastAsia" w:hint="eastAsia"/>
          <w:color w:val="000000" w:themeColor="text1"/>
        </w:rPr>
        <w:t>对该交易的有效性进行确认。</w:t>
      </w:r>
      <w:r w:rsidRPr="00634578">
        <w:rPr>
          <w:rFonts w:asciiTheme="minorEastAsia" w:eastAsiaTheme="minorEastAsia" w:hAnsiTheme="minorEastAsia"/>
          <w:color w:val="000000" w:themeColor="text1"/>
        </w:rPr>
        <w:t>T</w:t>
      </w:r>
      <w:r w:rsidRPr="00634578">
        <w:rPr>
          <w:rFonts w:asciiTheme="minorEastAsia" w:eastAsiaTheme="minorEastAsia" w:hAnsiTheme="minorEastAsia" w:hint="eastAsia"/>
          <w:color w:val="000000" w:themeColor="text1"/>
        </w:rPr>
        <w:t>日提交的有效申请，投资人应在</w:t>
      </w:r>
      <w:r w:rsidRPr="00634578">
        <w:rPr>
          <w:rFonts w:asciiTheme="minorEastAsia" w:eastAsiaTheme="minorEastAsia" w:hAnsiTheme="minorEastAsia"/>
          <w:color w:val="000000" w:themeColor="text1"/>
        </w:rPr>
        <w:t>T+2</w:t>
      </w:r>
      <w:r w:rsidRPr="00634578">
        <w:rPr>
          <w:rFonts w:asciiTheme="minorEastAsia" w:eastAsiaTheme="minorEastAsia" w:hAnsiTheme="minorEastAsia" w:hint="eastAsia"/>
          <w:color w:val="000000" w:themeColor="text1"/>
        </w:rPr>
        <w:t>日后</w:t>
      </w:r>
      <w:r w:rsidRPr="00634578">
        <w:rPr>
          <w:rFonts w:asciiTheme="minorEastAsia" w:eastAsiaTheme="minorEastAsia" w:hAnsiTheme="minorEastAsia"/>
          <w:color w:val="000000" w:themeColor="text1"/>
        </w:rPr>
        <w:t>(</w:t>
      </w:r>
      <w:r w:rsidRPr="00634578">
        <w:rPr>
          <w:rFonts w:asciiTheme="minorEastAsia" w:eastAsiaTheme="minorEastAsia" w:hAnsiTheme="minorEastAsia" w:hint="eastAsia"/>
          <w:color w:val="000000" w:themeColor="text1"/>
        </w:rPr>
        <w:t>包括该日</w:t>
      </w:r>
      <w:r w:rsidRPr="00634578">
        <w:rPr>
          <w:rFonts w:asciiTheme="minorEastAsia" w:eastAsiaTheme="minorEastAsia" w:hAnsiTheme="minorEastAsia"/>
          <w:color w:val="000000" w:themeColor="text1"/>
        </w:rPr>
        <w:t>)</w:t>
      </w:r>
      <w:r w:rsidRPr="00634578">
        <w:rPr>
          <w:rFonts w:asciiTheme="minorEastAsia" w:eastAsiaTheme="minorEastAsia" w:hAnsiTheme="minorEastAsia" w:hint="eastAsia"/>
          <w:color w:val="000000" w:themeColor="text1"/>
        </w:rPr>
        <w:t>到销售网点柜台或以销售机构规定的其他方式查询申请的确认情况。</w:t>
      </w:r>
    </w:p>
    <w:p w:rsidR="009C551B"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67" w:name="_Toc318444123"/>
      <w:bookmarkStart w:id="68" w:name="_Toc252976147"/>
      <w:r w:rsidRPr="00634578">
        <w:rPr>
          <w:rFonts w:asciiTheme="minorEastAsia" w:eastAsiaTheme="minorEastAsia" w:hAnsiTheme="minorEastAsia" w:hint="eastAsia"/>
          <w:color w:val="000000" w:themeColor="text1"/>
          <w:szCs w:val="21"/>
        </w:rPr>
        <w:t>（四）基金转换的数额限制</w:t>
      </w:r>
      <w:bookmarkEnd w:id="67"/>
      <w:bookmarkEnd w:id="68"/>
    </w:p>
    <w:p w:rsidR="005151D3" w:rsidRPr="00634578" w:rsidP="00BB159E">
      <w:pPr>
        <w:autoSpaceDE w:val="0"/>
        <w:autoSpaceDN w:val="0"/>
        <w:snapToGrid w:val="0"/>
        <w:spacing w:line="360" w:lineRule="auto"/>
        <w:ind w:firstLine="480"/>
        <w:textAlignment w:val="bottom"/>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基金份额持有人可将其全部或部分基金份额转换成另一只基金，本基金每类基金份额单笔转出申请不得少于</w:t>
      </w:r>
      <w:r w:rsidRPr="00634578">
        <w:rPr>
          <w:rFonts w:asciiTheme="minorEastAsia" w:eastAsiaTheme="minorEastAsia" w:hAnsiTheme="minorEastAsia"/>
          <w:color w:val="000000" w:themeColor="text1"/>
          <w:szCs w:val="21"/>
        </w:rPr>
        <w:t>1份（</w:t>
      </w:r>
      <w:r w:rsidRPr="00634578" w:rsidR="00AD473B">
        <w:rPr>
          <w:rFonts w:asciiTheme="minorEastAsia" w:eastAsiaTheme="minorEastAsia" w:hAnsiTheme="minorEastAsia"/>
          <w:color w:val="000000" w:themeColor="text1"/>
          <w:szCs w:val="21"/>
        </w:rPr>
        <w:t>如该账户在该销售机构托管的</w:t>
      </w:r>
      <w:r w:rsidRPr="00634578" w:rsidR="00AD473B">
        <w:rPr>
          <w:rFonts w:asciiTheme="minorEastAsia" w:eastAsiaTheme="minorEastAsia" w:hAnsiTheme="minorEastAsia" w:hint="eastAsia"/>
          <w:color w:val="000000" w:themeColor="text1"/>
          <w:szCs w:val="21"/>
        </w:rPr>
        <w:t>该</w:t>
      </w:r>
      <w:r w:rsidRPr="00634578" w:rsidR="00AD473B">
        <w:rPr>
          <w:rFonts w:asciiTheme="minorEastAsia" w:eastAsiaTheme="minorEastAsia" w:hAnsiTheme="minorEastAsia"/>
          <w:color w:val="000000" w:themeColor="text1"/>
          <w:szCs w:val="21"/>
        </w:rPr>
        <w:t>类基金余额不足</w:t>
      </w:r>
      <w:r w:rsidRPr="00634578">
        <w:rPr>
          <w:rFonts w:asciiTheme="minorEastAsia" w:eastAsiaTheme="minorEastAsia" w:hAnsiTheme="minorEastAsia"/>
          <w:color w:val="000000" w:themeColor="text1"/>
          <w:szCs w:val="21"/>
        </w:rPr>
        <w:t>1份，则必须一次性转出该类基金全部份额）；若某笔转换导致投资者在</w:t>
      </w:r>
      <w:r w:rsidRPr="00634578" w:rsidR="00AD473B">
        <w:rPr>
          <w:rFonts w:asciiTheme="minorEastAsia" w:eastAsiaTheme="minorEastAsia" w:hAnsiTheme="minorEastAsia" w:hint="eastAsia"/>
          <w:color w:val="000000" w:themeColor="text1"/>
          <w:szCs w:val="21"/>
        </w:rPr>
        <w:t>该</w:t>
      </w:r>
      <w:r w:rsidRPr="00634578">
        <w:rPr>
          <w:rFonts w:asciiTheme="minorEastAsia" w:eastAsiaTheme="minorEastAsia" w:hAnsiTheme="minorEastAsia"/>
          <w:color w:val="000000" w:themeColor="text1"/>
          <w:szCs w:val="21"/>
        </w:rPr>
        <w:t>销售机构托管的该</w:t>
      </w:r>
      <w:r w:rsidRPr="00634578" w:rsidR="00AD473B">
        <w:rPr>
          <w:rFonts w:asciiTheme="minorEastAsia" w:eastAsiaTheme="minorEastAsia" w:hAnsiTheme="minorEastAsia" w:hint="eastAsia"/>
          <w:color w:val="000000" w:themeColor="text1"/>
          <w:szCs w:val="21"/>
        </w:rPr>
        <w:t>类</w:t>
      </w:r>
      <w:r w:rsidRPr="00634578">
        <w:rPr>
          <w:rFonts w:asciiTheme="minorEastAsia" w:eastAsiaTheme="minorEastAsia" w:hAnsiTheme="minorEastAsia"/>
          <w:color w:val="000000" w:themeColor="text1"/>
          <w:szCs w:val="21"/>
        </w:rPr>
        <w:t>基金余额不足1份时，基金管理人有权将投资者在该销售机构托管的该类基金剩余份额一次性全部赎回。</w:t>
      </w:r>
    </w:p>
    <w:p w:rsidR="009C551B" w:rsidRPr="00634578" w:rsidP="00BB159E">
      <w:pPr>
        <w:autoSpaceDE w:val="0"/>
        <w:autoSpaceDN w:val="0"/>
        <w:snapToGrid w:val="0"/>
        <w:spacing w:line="360" w:lineRule="auto"/>
        <w:ind w:firstLine="480"/>
        <w:textAlignment w:val="bottom"/>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由本公司旗下其它开放式基金转换到本基金B类基金份额时，单笔转换金额不得少于500万元。</w:t>
      </w:r>
    </w:p>
    <w:p w:rsidR="009C551B"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69" w:name="_Toc318444124"/>
      <w:bookmarkStart w:id="70" w:name="_Toc252976148"/>
      <w:bookmarkStart w:id="71" w:name="_Toc87367293"/>
      <w:r w:rsidRPr="00634578">
        <w:rPr>
          <w:rFonts w:asciiTheme="minorEastAsia" w:eastAsiaTheme="minorEastAsia" w:hAnsiTheme="minorEastAsia" w:hint="eastAsia"/>
          <w:color w:val="000000" w:themeColor="text1"/>
          <w:szCs w:val="21"/>
        </w:rPr>
        <w:t>（五）基金转换费率</w:t>
      </w:r>
      <w:bookmarkEnd w:id="69"/>
      <w:bookmarkEnd w:id="70"/>
      <w:bookmarkEnd w:id="71"/>
    </w:p>
    <w:p w:rsidR="009C551B" w:rsidRPr="00634578" w:rsidP="00BB159E">
      <w:pPr>
        <w:autoSpaceDE w:val="0"/>
        <w:autoSpaceDN w:val="0"/>
        <w:snapToGrid w:val="0"/>
        <w:spacing w:line="360" w:lineRule="auto"/>
        <w:ind w:firstLine="420" w:firstLineChars="200"/>
        <w:textAlignment w:val="bottom"/>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基金转换费用由转出基金赎回费用和基金申购补差费用构成，其中转出基金赎回费按照</w:t>
      </w:r>
      <w:r w:rsidRPr="00634578" w:rsidR="003F120A">
        <w:rPr>
          <w:rFonts w:asciiTheme="minorEastAsia" w:eastAsiaTheme="minorEastAsia" w:hAnsiTheme="minorEastAsia" w:hint="eastAsia"/>
          <w:color w:val="000000" w:themeColor="text1"/>
          <w:szCs w:val="21"/>
        </w:rPr>
        <w:t>各基金的</w:t>
      </w:r>
      <w:r w:rsidRPr="00634578">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w:t>
      </w:r>
      <w:r w:rsidRPr="00634578">
        <w:rPr>
          <w:rFonts w:asciiTheme="minorEastAsia" w:eastAsiaTheme="minorEastAsia" w:hAnsiTheme="minorEastAsia" w:hint="eastAsia"/>
          <w:color w:val="000000" w:themeColor="text1"/>
        </w:rPr>
        <w:t>基金转换费率详见相关公告。</w:t>
      </w:r>
      <w:r w:rsidRPr="00634578">
        <w:rPr>
          <w:rFonts w:asciiTheme="minorEastAsia" w:eastAsiaTheme="minorEastAsia" w:hAnsiTheme="minorEastAsia" w:hint="eastAsia"/>
          <w:color w:val="000000" w:themeColor="text1"/>
          <w:szCs w:val="21"/>
        </w:rPr>
        <w:t>转换费用以人民币元为单位，计算结果按照四舍五入方法，保留小数点后两位</w:t>
      </w:r>
      <w:r w:rsidRPr="00634578">
        <w:rPr>
          <w:rFonts w:asciiTheme="minorEastAsia" w:eastAsiaTheme="minorEastAsia" w:hAnsiTheme="minorEastAsia" w:hint="eastAsia"/>
          <w:color w:val="000000" w:themeColor="text1"/>
        </w:rPr>
        <w:t>。</w:t>
      </w:r>
    </w:p>
    <w:p w:rsidR="009C551B"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9C551B"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72" w:name="_Toc318444125"/>
      <w:bookmarkStart w:id="73" w:name="_Toc252976149"/>
      <w:r w:rsidRPr="00634578">
        <w:rPr>
          <w:rFonts w:asciiTheme="minorEastAsia" w:eastAsiaTheme="minorEastAsia" w:hAnsiTheme="minorEastAsia" w:hint="eastAsia"/>
          <w:color w:val="000000" w:themeColor="text1"/>
          <w:szCs w:val="21"/>
        </w:rPr>
        <w:t>（六）基金转换份额的计算方式</w:t>
      </w:r>
      <w:bookmarkEnd w:id="72"/>
      <w:bookmarkEnd w:id="73"/>
    </w:p>
    <w:p w:rsidR="009C551B"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基金转换份额的计算公式：</w:t>
      </w:r>
    </w:p>
    <w:p w:rsidR="009C551B"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A＝［B×C×(1-D)/（1+G）+F］/E</w:t>
      </w:r>
    </w:p>
    <w:p w:rsidR="009C551B"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H＝B×C×D</w:t>
      </w:r>
    </w:p>
    <w:p w:rsidR="009C551B"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J＝[B×C×(1-D)/(1+G)]×G</w:t>
      </w:r>
    </w:p>
    <w:p w:rsidR="00413D82"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其中，A为转入的基金份额；B为转出的基金份额；C为转换申请当日转出基金的基金份额净值；D为转出基金的对应赎回费率；E为转换申请当日转入基金的基金份额净值；</w:t>
      </w:r>
      <w:r w:rsidRPr="00634578" w:rsidR="008075E3">
        <w:rPr>
          <w:rFonts w:asciiTheme="minorEastAsia" w:eastAsiaTheme="minorEastAsia" w:hAnsiTheme="minorEastAsia" w:hint="eastAsia"/>
          <w:color w:val="000000" w:themeColor="text1"/>
        </w:rPr>
        <w:t>F为货币市场基金全部转出时注册登记机构已支付的未付收益</w:t>
      </w:r>
      <w:r w:rsidRPr="00634578">
        <w:rPr>
          <w:rFonts w:asciiTheme="minorEastAsia" w:eastAsiaTheme="minorEastAsia" w:hAnsiTheme="minorEastAsia" w:hint="eastAsia"/>
          <w:color w:val="000000" w:themeColor="text1"/>
        </w:rPr>
        <w:t>；G为对应的申购补差费率；H为转出基金赎回费；J为申购补差费。</w:t>
      </w:r>
    </w:p>
    <w:p w:rsidR="008075E3"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w:t>
      </w:r>
      <w:r w:rsidRPr="00634578">
        <w:rPr>
          <w:rFonts w:asciiTheme="minorEastAsia" w:eastAsiaTheme="minorEastAsia" w:hAnsiTheme="minorEastAsia" w:hint="eastAsia"/>
          <w:color w:val="000000" w:themeColor="text1"/>
        </w:rPr>
        <w:t>付收益为负，基金份额对应的未付收益与转换转出份额对应的款项一并划转到转换转入的基金。</w:t>
      </w:r>
    </w:p>
    <w:p w:rsidR="009C551B"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说明：</w:t>
      </w:r>
    </w:p>
    <w:p w:rsidR="009C551B"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（1）基金转换费用由转出基金赎回费用及基金申购补差费用两部分构成。</w:t>
      </w:r>
    </w:p>
    <w:p w:rsidR="009C551B"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（2）</w:t>
      </w:r>
      <w:r w:rsidRPr="00634578" w:rsidR="004A14F5">
        <w:rPr>
          <w:rFonts w:asciiTheme="minorEastAsia" w:eastAsiaTheme="minorEastAsia" w:hAnsiTheme="minorEastAsia" w:hint="eastAsia"/>
          <w:color w:val="000000" w:themeColor="text1"/>
          <w:szCs w:val="21"/>
        </w:rPr>
        <w:t>转入基金时，从申购费用低的基金向申购费用高的基金转换时，每次收取申购补差费用；从申购费用高的基金向申购费用低的基金转换时，不收取申购补差费用（注：对通过直销中心申购实施差别申购费率的特定投资群体基金份额的申购费，以除通过直销中心申购的特定投资群体之外的其他投资者申购费为比较标准）。申购补差费用按照转换金额对应的转出基金与转入基金的申购费率差额进行补差，具体收取情况视每次转换时两只基金的申购费率的差异情况而定。</w:t>
      </w:r>
    </w:p>
    <w:p w:rsidR="009C551B"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（3）</w:t>
      </w:r>
      <w:r w:rsidRPr="00634578" w:rsidR="004A14F5">
        <w:rPr>
          <w:rFonts w:asciiTheme="minorEastAsia" w:eastAsiaTheme="minorEastAsia" w:hAnsiTheme="minorEastAsia" w:hint="eastAsia"/>
          <w:color w:val="000000" w:themeColor="text1"/>
          <w:szCs w:val="21"/>
        </w:rPr>
        <w:t>转出基金时，如涉及的转出基金有赎回费用，收取该基金的赎回费用。收取的赎回费按照</w:t>
      </w:r>
      <w:r w:rsidRPr="00634578" w:rsidR="003F120A">
        <w:rPr>
          <w:rFonts w:asciiTheme="minorEastAsia" w:eastAsiaTheme="minorEastAsia" w:hAnsiTheme="minorEastAsia" w:hint="eastAsia"/>
          <w:color w:val="000000" w:themeColor="text1"/>
          <w:szCs w:val="21"/>
        </w:rPr>
        <w:t>各基金的</w:t>
      </w:r>
      <w:r w:rsidRPr="00634578" w:rsidR="004A14F5">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w:t>
      </w:r>
    </w:p>
    <w:p w:rsidR="009C551B" w:rsidRPr="00634578" w:rsidP="00BB159E">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（4）投资者可以发起多次基金转换业务，基金转换费用按每笔申请单独计算。</w:t>
      </w:r>
      <w:r w:rsidRPr="00634578">
        <w:rPr>
          <w:rFonts w:asciiTheme="minorEastAsia" w:eastAsiaTheme="minorEastAsia" w:hAnsiTheme="minorEastAsia" w:hint="eastAsia"/>
          <w:color w:val="000000" w:themeColor="text1"/>
          <w:szCs w:val="21"/>
        </w:rPr>
        <w:t>转换费用以人民币元为单位，计算结果按照四舍五入方法，保留小数点后两位。</w:t>
      </w:r>
    </w:p>
    <w:p w:rsidR="004A14F5"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rPr>
        <w:t>例：</w:t>
      </w:r>
      <w:r w:rsidRPr="00634578" w:rsidR="00413D82">
        <w:rPr>
          <w:rFonts w:asciiTheme="minorEastAsia" w:eastAsiaTheme="minorEastAsia" w:hAnsiTheme="minorEastAsia" w:hint="eastAsia"/>
          <w:color w:val="000000" w:themeColor="text1"/>
          <w:szCs w:val="21"/>
        </w:rPr>
        <w:t>假设某持有人（非特定投资群体）持有本基金</w:t>
      </w:r>
      <w:r w:rsidRPr="00634578" w:rsidR="00413D82">
        <w:rPr>
          <w:rFonts w:asciiTheme="minorEastAsia" w:eastAsiaTheme="minorEastAsia" w:hAnsiTheme="minorEastAsia"/>
          <w:color w:val="000000" w:themeColor="text1"/>
          <w:szCs w:val="21"/>
        </w:rPr>
        <w:t>A类基金份额10,000</w:t>
      </w:r>
      <w:r w:rsidRPr="00634578" w:rsidR="00413D82">
        <w:rPr>
          <w:rFonts w:asciiTheme="minorEastAsia" w:eastAsiaTheme="minorEastAsia" w:hAnsiTheme="minorEastAsia" w:hint="eastAsia"/>
          <w:color w:val="000000" w:themeColor="text1"/>
          <w:szCs w:val="21"/>
        </w:rPr>
        <w:t>份，持有</w:t>
      </w:r>
      <w:r w:rsidRPr="00634578" w:rsidR="00413D82">
        <w:rPr>
          <w:rFonts w:asciiTheme="minorEastAsia" w:eastAsiaTheme="minorEastAsia" w:hAnsiTheme="minorEastAsia"/>
          <w:color w:val="000000" w:themeColor="text1"/>
          <w:szCs w:val="21"/>
        </w:rPr>
        <w:t>100天，现欲转换为易方达策略成长二号混合型证券投资基金；假设转出基金T日的基金份额净值为1.00元，转入基金易方达策略成长二号混合型证券投资基金T</w:t>
      </w:r>
      <w:r w:rsidRPr="00634578" w:rsidR="00413D82">
        <w:rPr>
          <w:rFonts w:asciiTheme="minorEastAsia" w:eastAsiaTheme="minorEastAsia" w:hAnsiTheme="minorEastAsia" w:hint="eastAsia"/>
          <w:color w:val="000000" w:themeColor="text1"/>
          <w:szCs w:val="21"/>
        </w:rPr>
        <w:t>日的基金份额净值为</w:t>
      </w:r>
      <w:r w:rsidRPr="00634578" w:rsidR="00413D82">
        <w:rPr>
          <w:rFonts w:asciiTheme="minorEastAsia" w:eastAsiaTheme="minorEastAsia" w:hAnsiTheme="minorEastAsia"/>
          <w:color w:val="000000" w:themeColor="text1"/>
          <w:szCs w:val="21"/>
        </w:rPr>
        <w:t>1.020元，则转出基金的赎回费率为0，申购补差费率为2.00%。转换份额计算如下：</w:t>
      </w:r>
    </w:p>
    <w:p w:rsidR="00413D82"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转换金额</w:t>
      </w:r>
      <w:r w:rsidRPr="00634578">
        <w:rPr>
          <w:rFonts w:asciiTheme="minorEastAsia" w:eastAsiaTheme="minorEastAsia" w:hAnsiTheme="minorEastAsia"/>
          <w:color w:val="000000" w:themeColor="text1"/>
          <w:szCs w:val="21"/>
        </w:rPr>
        <w:t>=转出基金申请份额×转出基金份额净值=10,000×1.00=10,000.00元</w:t>
      </w:r>
    </w:p>
    <w:p w:rsidR="00413D82"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转出基金赎回费</w:t>
      </w:r>
      <w:r w:rsidRPr="00634578">
        <w:rPr>
          <w:rFonts w:asciiTheme="minorEastAsia" w:eastAsiaTheme="minorEastAsia" w:hAnsiTheme="minorEastAsia"/>
          <w:color w:val="000000" w:themeColor="text1"/>
          <w:szCs w:val="21"/>
        </w:rPr>
        <w:t>=转换金额×转出基金赎回费率=10,000.00×0.00=0.00元</w:t>
      </w:r>
    </w:p>
    <w:p w:rsidR="00413D82"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申购补差费</w:t>
      </w:r>
      <w:r w:rsidRPr="00634578">
        <w:rPr>
          <w:rFonts w:asciiTheme="minorEastAsia" w:eastAsiaTheme="minorEastAsia" w:hAnsiTheme="minorEastAsia"/>
          <w:color w:val="000000" w:themeColor="text1"/>
          <w:szCs w:val="21"/>
        </w:rPr>
        <w:t>=（转换金额-转出基金赎回费）×申购补差费率÷（1＋申购补差费率）=（10,000.00-0.00）×2.0%÷（1+2.0%）=196.08元</w:t>
      </w:r>
    </w:p>
    <w:p w:rsidR="00413D82"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转换费</w:t>
      </w:r>
      <w:r w:rsidRPr="00634578">
        <w:rPr>
          <w:rFonts w:asciiTheme="minorEastAsia" w:eastAsiaTheme="minorEastAsia" w:hAnsiTheme="minorEastAsia"/>
          <w:color w:val="000000" w:themeColor="text1"/>
          <w:szCs w:val="21"/>
        </w:rPr>
        <w:t>=转出基金赎回费+申购补差费=0.00+196.08=196.08元</w:t>
      </w:r>
    </w:p>
    <w:p w:rsidR="00413D82"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转入金额</w:t>
      </w:r>
      <w:r w:rsidRPr="00634578">
        <w:rPr>
          <w:rFonts w:asciiTheme="minorEastAsia" w:eastAsiaTheme="minorEastAsia" w:hAnsiTheme="minorEastAsia"/>
          <w:color w:val="000000" w:themeColor="text1"/>
          <w:szCs w:val="21"/>
        </w:rPr>
        <w:t>=转换金额-转换费=10,000.00-196.08=9803.92元</w:t>
      </w:r>
    </w:p>
    <w:p w:rsidR="00413D82"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转入份额</w:t>
      </w:r>
      <w:r w:rsidRPr="00634578">
        <w:rPr>
          <w:rFonts w:asciiTheme="minorEastAsia" w:eastAsiaTheme="minorEastAsia" w:hAnsiTheme="minorEastAsia"/>
          <w:color w:val="000000" w:themeColor="text1"/>
          <w:szCs w:val="21"/>
        </w:rPr>
        <w:t>=转入金额÷转入基金份额净值=9803.92÷1.020=9611.69份</w:t>
      </w:r>
    </w:p>
    <w:p w:rsidR="00961CDE" w:rsidRPr="00634578" w:rsidP="00763781">
      <w:pPr>
        <w:adjustRightInd w:val="0"/>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szCs w:val="2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9C551B"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74" w:name="_Toc318444126"/>
      <w:bookmarkStart w:id="75" w:name="_Toc252976150"/>
      <w:r w:rsidRPr="00634578">
        <w:rPr>
          <w:rFonts w:asciiTheme="minorEastAsia" w:eastAsiaTheme="minorEastAsia" w:hAnsiTheme="minorEastAsia" w:hint="eastAsia"/>
          <w:color w:val="000000" w:themeColor="text1"/>
          <w:szCs w:val="21"/>
        </w:rPr>
        <w:t>（七）基金转换的注册登记</w:t>
      </w:r>
      <w:bookmarkEnd w:id="74"/>
      <w:bookmarkEnd w:id="75"/>
    </w:p>
    <w:p w:rsidR="009C551B"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szCs w:val="21"/>
        </w:rPr>
        <w:t>投资者T日申请基金转换成功后，注册登记机构将在T＋1工作日为投资者办理减少转</w:t>
      </w:r>
      <w:r w:rsidRPr="00634578">
        <w:rPr>
          <w:rFonts w:asciiTheme="minorEastAsia" w:eastAsiaTheme="minorEastAsia" w:hAnsiTheme="minorEastAsia" w:hint="eastAsia"/>
          <w:color w:val="000000" w:themeColor="text1"/>
          <w:szCs w:val="21"/>
        </w:rPr>
        <w:t>出基金份额、增加转入基金份额的权益登记手续，</w:t>
      </w:r>
      <w:r w:rsidRPr="00634578" w:rsidR="00343F91">
        <w:rPr>
          <w:rFonts w:asciiTheme="minorEastAsia" w:eastAsiaTheme="minorEastAsia" w:hAnsiTheme="minorEastAsia" w:hint="eastAsia"/>
          <w:color w:val="000000" w:themeColor="text1"/>
          <w:kern w:val="0"/>
        </w:rPr>
        <w:t>正常情况下，投资者不晚于</w:t>
      </w:r>
      <w:r w:rsidRPr="00634578" w:rsidR="003801E1">
        <w:rPr>
          <w:rFonts w:asciiTheme="minorEastAsia" w:eastAsiaTheme="minorEastAsia" w:hAnsiTheme="minorEastAsia"/>
          <w:color w:val="000000" w:themeColor="text1"/>
          <w:kern w:val="0"/>
        </w:rPr>
        <w:t>T</w:t>
      </w:r>
      <w:r w:rsidRPr="00634578" w:rsidR="003801E1">
        <w:rPr>
          <w:rFonts w:asciiTheme="minorEastAsia" w:eastAsiaTheme="minorEastAsia" w:hAnsiTheme="minorEastAsia" w:hint="eastAsia"/>
          <w:color w:val="000000" w:themeColor="text1"/>
          <w:kern w:val="0"/>
        </w:rPr>
        <w:t>＋</w:t>
      </w:r>
      <w:r w:rsidRPr="00634578" w:rsidR="003801E1">
        <w:rPr>
          <w:rFonts w:asciiTheme="minorEastAsia" w:eastAsiaTheme="minorEastAsia" w:hAnsiTheme="minorEastAsia"/>
          <w:color w:val="000000" w:themeColor="text1"/>
          <w:kern w:val="0"/>
        </w:rPr>
        <w:t>2</w:t>
      </w:r>
      <w:r w:rsidRPr="00634578" w:rsidR="00343F91">
        <w:rPr>
          <w:rFonts w:asciiTheme="minorEastAsia" w:eastAsiaTheme="minorEastAsia" w:hAnsiTheme="minorEastAsia" w:hint="eastAsia"/>
          <w:color w:val="000000" w:themeColor="text1"/>
          <w:kern w:val="0"/>
        </w:rPr>
        <w:t>工作日起有权赎回转入部分的基金份额，具体以销售机构规定为准</w:t>
      </w:r>
      <w:r w:rsidRPr="00634578">
        <w:rPr>
          <w:rFonts w:asciiTheme="minorEastAsia" w:eastAsiaTheme="minorEastAsia" w:hAnsiTheme="minorEastAsia" w:hint="eastAsia"/>
          <w:color w:val="000000" w:themeColor="text1"/>
          <w:szCs w:val="21"/>
        </w:rPr>
        <w:t>。</w:t>
      </w:r>
    </w:p>
    <w:p w:rsidR="009C551B"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76" w:name="_Toc318444127"/>
      <w:bookmarkStart w:id="77" w:name="_Toc252976151"/>
      <w:r w:rsidRPr="00634578">
        <w:rPr>
          <w:rFonts w:asciiTheme="minorEastAsia" w:eastAsiaTheme="minorEastAsia" w:hAnsiTheme="minorEastAsia" w:hint="eastAsia"/>
          <w:color w:val="000000" w:themeColor="text1"/>
          <w:szCs w:val="21"/>
        </w:rPr>
        <w:t>（八）基金转换与巨额赎回</w:t>
      </w:r>
      <w:bookmarkEnd w:id="76"/>
      <w:bookmarkEnd w:id="77"/>
    </w:p>
    <w:p w:rsidR="008937AE"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78" w:name="_Toc318444128"/>
      <w:bookmarkStart w:id="79" w:name="_Toc252976152"/>
      <w:r w:rsidRPr="00634578">
        <w:rPr>
          <w:rFonts w:asciiTheme="minorEastAsia" w:eastAsiaTheme="minorEastAsia" w:hAnsiTheme="minorEastAsia" w:hint="eastAsia"/>
          <w:color w:val="000000" w:themeColor="text1"/>
          <w:szCs w:val="21"/>
        </w:rPr>
        <w:t>若本基金单个开放日内的基金份额净赎回申请</w:t>
      </w:r>
      <w:r w:rsidRPr="00634578">
        <w:rPr>
          <w:rFonts w:asciiTheme="minorEastAsia" w:eastAsiaTheme="minorEastAsia" w:hAnsiTheme="minorEastAsia"/>
          <w:color w:val="000000" w:themeColor="text1"/>
          <w:szCs w:val="21"/>
        </w:rPr>
        <w:t>(</w:t>
      </w:r>
      <w:r w:rsidRPr="00634578">
        <w:rPr>
          <w:rFonts w:asciiTheme="minorEastAsia" w:eastAsiaTheme="minorEastAsia" w:hAnsiTheme="minorEastAsia" w:hint="eastAsia"/>
          <w:color w:val="000000" w:themeColor="text1"/>
          <w:szCs w:val="21"/>
        </w:rPr>
        <w:t>赎回申请份额总数加上基金转换中转出申请份额总数后扣除申购申请份额总数及基金转换中转入申请份额总数后的余额</w:t>
      </w:r>
      <w:r w:rsidRPr="00634578">
        <w:rPr>
          <w:rFonts w:asciiTheme="minorEastAsia" w:eastAsiaTheme="minorEastAsia" w:hAnsiTheme="minorEastAsia"/>
          <w:color w:val="000000" w:themeColor="text1"/>
          <w:szCs w:val="21"/>
        </w:rPr>
        <w:t>)</w:t>
      </w:r>
      <w:r w:rsidRPr="00634578">
        <w:rPr>
          <w:rFonts w:asciiTheme="minorEastAsia" w:eastAsiaTheme="minorEastAsia" w:hAnsiTheme="minorEastAsia" w:hint="eastAsia"/>
          <w:color w:val="000000" w:themeColor="text1"/>
          <w:szCs w:val="21"/>
        </w:rPr>
        <w:t>超过前一开放日的基金总份额的</w:t>
      </w:r>
      <w:r w:rsidRPr="00634578">
        <w:rPr>
          <w:rFonts w:asciiTheme="minorEastAsia" w:eastAsiaTheme="minorEastAsia" w:hAnsiTheme="minorEastAsia"/>
          <w:color w:val="000000" w:themeColor="text1"/>
          <w:szCs w:val="21"/>
        </w:rPr>
        <w:t>10%</w:t>
      </w:r>
      <w:r w:rsidRPr="00634578">
        <w:rPr>
          <w:rFonts w:asciiTheme="minorEastAsia" w:eastAsiaTheme="minorEastAsia" w:hAnsiTheme="minorEastAsia" w:hint="eastAsia"/>
          <w:color w:val="000000" w:themeColor="text1"/>
          <w:szCs w:val="21"/>
        </w:rPr>
        <w:t>，即认为是发生了巨额赎回。发生巨额赎回时，基金转换转出与基金赎回具有相同的优先级，基金管理人可根据基金资产组合情况，决定全额转换转出或部分转换转出，并且对于基金转换转出和基金赎回，将采取相同的比例确认（除另有公告外）；在转换转出申请得到部分确认的情况下，未确认的转换转出申请将不予以顺延。</w:t>
      </w:r>
    </w:p>
    <w:p w:rsidR="009C551B"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（九）拒绝或暂停基金转换的情形</w:t>
      </w:r>
      <w:bookmarkEnd w:id="78"/>
      <w:bookmarkEnd w:id="79"/>
    </w:p>
    <w:p w:rsidR="009C551B" w:rsidRPr="00634578" w:rsidP="00BB159E">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发生下列情况时，基金管理人可拒绝或暂停接受基金投资者的转换申请：</w:t>
      </w:r>
    </w:p>
    <w:p w:rsidR="00461B5B" w:rsidRPr="00634578" w:rsidP="00461B5B">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1、因不可抗力导致基金管理人无法受理投资者的转换申请。</w:t>
      </w:r>
    </w:p>
    <w:p w:rsidR="00461B5B" w:rsidRPr="00634578" w:rsidP="00461B5B">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2、发生基金合同规定的暂停基金资产估值情况</w:t>
      </w:r>
      <w:r w:rsidRPr="00634578" w:rsidR="00335CD3">
        <w:rPr>
          <w:rFonts w:asciiTheme="minorEastAsia" w:eastAsiaTheme="minorEastAsia" w:hAnsiTheme="minorEastAsia" w:hint="eastAsia"/>
          <w:color w:val="000000" w:themeColor="text1"/>
          <w:szCs w:val="21"/>
        </w:rPr>
        <w:t>，基金管理人可采取拒绝或暂停接受投资者转换申请等措施。</w:t>
      </w:r>
    </w:p>
    <w:p w:rsidR="00461B5B" w:rsidRPr="00634578" w:rsidP="00461B5B">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3、本基金投资的证券交易市场临时停止交易。</w:t>
      </w:r>
    </w:p>
    <w:p w:rsidR="00461B5B" w:rsidRPr="00634578" w:rsidP="00461B5B">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4、基金管理人接受某笔或某些转换转入申请可能会影响或损害现有基金份额持有人利益时。</w:t>
      </w:r>
    </w:p>
    <w:p w:rsidR="00461B5B" w:rsidRPr="00634578" w:rsidP="00461B5B">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5、基金管理人继续接受转换转出申请将损害现有基金份额持有人利益的情形时，可暂停接受投资人的转换转出申请。</w:t>
      </w:r>
    </w:p>
    <w:p w:rsidR="00461B5B" w:rsidRPr="00634578" w:rsidP="00461B5B">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6、基金资产规模过大，使基金管理人无法找到合适的投资品种，或其他可能对基金业绩产生负面影响，从而损害现有基金份额持有人利益的情形。</w:t>
      </w:r>
    </w:p>
    <w:p w:rsidR="00461B5B" w:rsidRPr="00634578" w:rsidP="00461B5B">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7、</w:t>
      </w:r>
      <w:r w:rsidRPr="00634578">
        <w:rPr>
          <w:rFonts w:asciiTheme="minorEastAsia" w:eastAsiaTheme="minorEastAsia" w:hAnsiTheme="minorEastAsia" w:hint="eastAsia"/>
          <w:color w:val="000000" w:themeColor="text1"/>
        </w:rPr>
        <w:t>当一笔新的转换转入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r w:rsidRPr="00634578">
        <w:rPr>
          <w:rFonts w:asciiTheme="minorEastAsia" w:eastAsiaTheme="minorEastAsia" w:hAnsiTheme="minorEastAsia" w:hint="eastAsia"/>
          <w:color w:val="000000" w:themeColor="text1"/>
          <w:szCs w:val="21"/>
        </w:rPr>
        <w:t>。</w:t>
      </w:r>
    </w:p>
    <w:p w:rsidR="00461B5B" w:rsidRPr="00634578" w:rsidP="00461B5B">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8、基金管理人、基金托管人、登记机构、销售机构、支付结算机构等因异常情况导致基金销售支付结算系统、基金登记系统、基金会计系统等无法正常运行。</w:t>
      </w:r>
    </w:p>
    <w:p w:rsidR="00461B5B" w:rsidRPr="00634578" w:rsidP="00461B5B">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9、本基金的资产组合中的重要部分发生暂停交易或其他重大事件，继续接受转换转出可能会影响或损害基金份额持有人利益时。</w:t>
      </w:r>
    </w:p>
    <w:p w:rsidR="00461B5B" w:rsidRPr="00634578" w:rsidP="00461B5B">
      <w:pPr>
        <w:adjustRightInd w:val="0"/>
        <w:snapToGrid w:val="0"/>
        <w:spacing w:line="360" w:lineRule="auto"/>
        <w:ind w:firstLine="42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rPr>
        <w:t>10、</w:t>
      </w:r>
      <w:r w:rsidRPr="00634578">
        <w:rPr>
          <w:rFonts w:asciiTheme="minorEastAsia" w:eastAsiaTheme="minorEastAsia" w:hAnsiTheme="minorEastAsia" w:hint="eastAsia"/>
          <w:color w:val="000000" w:themeColor="text1"/>
          <w:szCs w:val="21"/>
        </w:rPr>
        <w:t>为保护基金份额持有人的合法权益，基金管理人可以依照相关法律法规以及基金合同的约定，在特定市场条件下暂停或者拒绝接受一定金额以上的资金转换转入，具体以基金管理人的公告为准。</w:t>
      </w:r>
    </w:p>
    <w:p w:rsidR="00461B5B" w:rsidRPr="00634578" w:rsidP="00461B5B">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rPr>
        <w:t>11、当影子定价法确定的基金资产净值与摊余成本法计算的基金资产净值的正偏离度绝对值达到0.5%时，可暂停接受投资者的转换转入申请。</w:t>
      </w:r>
    </w:p>
    <w:p w:rsidR="00461B5B" w:rsidRPr="00634578" w:rsidP="00461B5B">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12、连续两个或两个以上开放日发生巨额赎回。</w:t>
      </w:r>
    </w:p>
    <w:p w:rsidR="00461B5B" w:rsidRPr="00634578" w:rsidP="00461B5B">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13、</w:t>
      </w:r>
      <w:r w:rsidRPr="00634578">
        <w:rPr>
          <w:rFonts w:asciiTheme="minorEastAsia" w:eastAsiaTheme="minorEastAsia" w:hAnsiTheme="minorEastAsia" w:hint="eastAsia"/>
          <w:color w:val="000000" w:themeColor="text1"/>
        </w:rPr>
        <w:t>当影子定价确定的基金资产净值与摊余成本法计算的基金资产净值的负偏离度绝对值连续两个交易日超过0.5%，可暂停接受投资者的转换转出申请。</w:t>
      </w:r>
    </w:p>
    <w:p w:rsidR="00461B5B" w:rsidRPr="00634578" w:rsidP="00461B5B">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kern w:val="0"/>
          <w:szCs w:val="21"/>
        </w:rPr>
        <w:t>14、</w:t>
      </w:r>
      <w:r w:rsidRPr="00634578">
        <w:rPr>
          <w:rFonts w:asciiTheme="minorEastAsia" w:eastAsiaTheme="minorEastAsia" w:hAnsiTheme="minorEastAsia" w:hint="eastAsia"/>
          <w:color w:val="000000" w:themeColor="text1"/>
        </w:rPr>
        <w:t>基金管理人接受某笔或者某些转换转入申请有可能导致单一投资者持有基金份额的比例达到或者超过50%，或者变相规避50%集中度的情形时。</w:t>
      </w:r>
    </w:p>
    <w:p w:rsidR="00461B5B" w:rsidRPr="00634578" w:rsidP="00461B5B">
      <w:pPr>
        <w:snapToGrid w:val="0"/>
        <w:spacing w:line="360" w:lineRule="auto"/>
        <w:ind w:firstLine="420" w:firstLineChars="200"/>
        <w:rPr>
          <w:rFonts w:asciiTheme="minorEastAsia" w:eastAsiaTheme="minorEastAsia" w:hAnsiTheme="minorEastAsia"/>
          <w:color w:val="000000" w:themeColor="text1"/>
          <w:kern w:val="0"/>
          <w:szCs w:val="21"/>
        </w:rPr>
      </w:pPr>
      <w:r w:rsidRPr="00634578">
        <w:rPr>
          <w:rFonts w:asciiTheme="minorEastAsia" w:eastAsiaTheme="minorEastAsia" w:hAnsiTheme="minorEastAsia"/>
          <w:color w:val="000000" w:themeColor="text1"/>
        </w:rPr>
        <w:t>15、</w:t>
      </w:r>
      <w:r w:rsidRPr="00634578">
        <w:rPr>
          <w:rFonts w:asciiTheme="minorEastAsia" w:eastAsiaTheme="minorEastAsia" w:hAnsiTheme="minorEastAsia" w:hint="eastAsia"/>
          <w:color w:val="000000" w:themeColor="text1"/>
        </w:rPr>
        <w:t>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461B5B" w:rsidRPr="00634578" w:rsidP="00461B5B">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w:t>
      </w:r>
      <w:r w:rsidRPr="00634578">
        <w:rPr>
          <w:rFonts w:asciiTheme="minorEastAsia" w:eastAsiaTheme="minorEastAsia" w:hAnsiTheme="minorEastAsia"/>
          <w:color w:val="000000" w:themeColor="text1"/>
          <w:szCs w:val="21"/>
        </w:rPr>
        <w:t>6、</w:t>
      </w:r>
      <w:r w:rsidRPr="00634578">
        <w:rPr>
          <w:rFonts w:asciiTheme="minorEastAsia" w:eastAsiaTheme="minorEastAsia" w:hAnsiTheme="minorEastAsia" w:hint="eastAsia"/>
          <w:color w:val="000000" w:themeColor="text1"/>
          <w:szCs w:val="21"/>
        </w:rPr>
        <w:t>法律法规规定或中国证监会认定的其他情形。</w:t>
      </w:r>
    </w:p>
    <w:p w:rsidR="000A24FD"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（十）</w:t>
      </w:r>
      <w:r w:rsidRPr="00634578" w:rsidR="00413D82">
        <w:rPr>
          <w:rFonts w:asciiTheme="minorEastAsia" w:eastAsiaTheme="minorEastAsia" w:hAnsiTheme="minorEastAsia" w:hint="eastAsia"/>
          <w:color w:val="000000" w:themeColor="text1"/>
          <w:szCs w:val="21"/>
        </w:rPr>
        <w:t>本公司可以根据市场情况在不违背有关法律法规和《基金合同》的规定之前提下调整上述转换的收费方式、费率水平、业务规则及有关限制，但应在调整生效前在至少一种中国证监会指定的媒介上予以公告。</w:t>
      </w:r>
    </w:p>
    <w:bookmarkEnd w:id="62"/>
    <w:p w:rsidR="00DB3659" w:rsidRPr="00634578" w:rsidP="00BB159E">
      <w:pPr>
        <w:pStyle w:val="Heading1"/>
        <w:snapToGrid w:val="0"/>
        <w:spacing w:beforeLines="0" w:afterLines="0" w:line="360" w:lineRule="auto"/>
        <w:ind w:firstLine="600"/>
        <w:rPr>
          <w:rFonts w:asciiTheme="minorEastAsia" w:eastAsiaTheme="minorEastAsia" w:hAnsiTheme="minorEastAsia"/>
          <w:b/>
          <w:bCs/>
          <w:color w:val="000000" w:themeColor="text1"/>
          <w:kern w:val="44"/>
          <w:sz w:val="28"/>
          <w:szCs w:val="44"/>
        </w:rPr>
      </w:pPr>
      <w:r w:rsidRPr="00634578">
        <w:rPr>
          <w:rFonts w:asciiTheme="minorEastAsia" w:eastAsiaTheme="minorEastAsia" w:hAnsiTheme="minorEastAsia"/>
          <w:color w:val="000000" w:themeColor="text1"/>
          <w:sz w:val="30"/>
        </w:rPr>
        <w:br w:type="column"/>
      </w:r>
      <w:bookmarkStart w:id="80" w:name="_Toc91772043"/>
      <w:r w:rsidRPr="00634578">
        <w:rPr>
          <w:rFonts w:asciiTheme="minorEastAsia" w:eastAsiaTheme="minorEastAsia" w:hAnsiTheme="minorEastAsia" w:hint="eastAsia"/>
          <w:color w:val="000000" w:themeColor="text1"/>
          <w:sz w:val="30"/>
        </w:rPr>
        <w:t>十一、基金的转托管、非交易过户、冻结与解冻</w:t>
      </w:r>
      <w:bookmarkEnd w:id="80"/>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81" w:name="_Toc327734850"/>
      <w:bookmarkStart w:id="82" w:name="_Toc79392621"/>
      <w:r w:rsidRPr="00634578">
        <w:rPr>
          <w:rFonts w:asciiTheme="minorEastAsia" w:eastAsiaTheme="minorEastAsia" w:hAnsiTheme="minorEastAsia" w:hint="eastAsia"/>
          <w:color w:val="000000" w:themeColor="text1"/>
          <w:szCs w:val="21"/>
        </w:rPr>
        <w:t>（一）基金的转托管</w:t>
      </w:r>
      <w:bookmarkEnd w:id="81"/>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基金份额持有人可办理已持有基金份额在不同销售机构之间的转托管，基金销售机构可以按照规定的标准收取转托管费。具体办理方法参照《业务规则》的有关规定。</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83" w:name="_Toc327734851"/>
      <w:r w:rsidRPr="00634578">
        <w:rPr>
          <w:rFonts w:asciiTheme="minorEastAsia" w:eastAsiaTheme="minorEastAsia" w:hAnsiTheme="minorEastAsia" w:hint="eastAsia"/>
          <w:color w:val="000000" w:themeColor="text1"/>
          <w:szCs w:val="21"/>
        </w:rPr>
        <w:t>（二）基金的非交易过户</w:t>
      </w:r>
      <w:bookmarkEnd w:id="83"/>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基金的非交易过户是指不采用申购、赎回等基金交易方式，将一定数量的基金份额按照一定规则从某一投资者基金账户转移到另一投资者基金账户的行为。</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bookmarkStart w:id="84" w:name="_Toc327734852"/>
      <w:r w:rsidRPr="00634578">
        <w:rPr>
          <w:rFonts w:asciiTheme="minorEastAsia" w:eastAsiaTheme="minorEastAsia" w:hAnsiTheme="minorEastAsia" w:hint="eastAsia"/>
          <w:color w:val="000000" w:themeColor="text1"/>
          <w:szCs w:val="21"/>
        </w:rPr>
        <w:t>（三）基金的冻结与解冻</w:t>
      </w:r>
      <w:bookmarkEnd w:id="84"/>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基金登记机构只受理国家有权机关依法要求的基金份额的冻结与解冻，以及登记机构认可、符合法律法规的其他情况下的冻结与解冻。</w:t>
      </w:r>
    </w:p>
    <w:bookmarkEnd w:id="82"/>
    <w:p w:rsidR="00DB3659" w:rsidRPr="00634578" w:rsidP="00BB159E">
      <w:pPr>
        <w:pStyle w:val="Heading1"/>
        <w:snapToGrid w:val="0"/>
        <w:spacing w:beforeLines="0" w:afterLines="0" w:line="360" w:lineRule="auto"/>
        <w:ind w:firstLine="64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rPr>
        <w:br w:type="column"/>
      </w:r>
      <w:bookmarkStart w:id="85" w:name="_Toc91772044"/>
      <w:r w:rsidRPr="00634578">
        <w:rPr>
          <w:rFonts w:asciiTheme="minorEastAsia" w:eastAsiaTheme="minorEastAsia" w:hAnsiTheme="minorEastAsia" w:hint="eastAsia"/>
          <w:color w:val="000000" w:themeColor="text1"/>
          <w:sz w:val="30"/>
        </w:rPr>
        <w:t>十二、基金的投资</w:t>
      </w:r>
      <w:bookmarkEnd w:id="85"/>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（一）投资目标</w:t>
      </w:r>
    </w:p>
    <w:p w:rsidR="00DB3659" w:rsidRPr="00634578" w:rsidP="00BB159E">
      <w:pPr>
        <w:snapToGrid w:val="0"/>
        <w:spacing w:line="360" w:lineRule="auto"/>
        <w:ind w:firstLine="420" w:firstLineChars="200"/>
        <w:jc w:val="left"/>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在严格控制投资风险和保持高流动性的基础上，力争获得高于业绩比较基准的投资回报。</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（二）投资范围</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color w:val="000000" w:themeColor="text1"/>
          <w:szCs w:val="21"/>
        </w:rPr>
        <w:t>本基金的投资范围为具有良好流动性的金融工具，包括现金，期限在一年以内（含一年）的银行存款、债券回购、中央银行票据、同业存单，剩余期限在397天以内（含397天）的债券、非金融企业债务融资工具、资产支持证券，以及法律法规或中国证监会、中国人民银行认可的其他具有良好流动性的货币市场工具。</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法律法规或监管机构以后对货币市场基金的投资范围与限制进行调整的，本基金可随之调整。</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（三）投资策略</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将对基金资产组合进行积极管理，在深入研究国内外的宏观经济走势、货币政策变化趋势、市场资金供求状况的基础上，综合考虑各类投资品种的收益性、流动性和风险特征，力争获得高于业绩比较基准的投资回报。</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、银行存款及</w:t>
      </w:r>
      <w:r w:rsidRPr="00634578" w:rsidR="00344766">
        <w:rPr>
          <w:rFonts w:asciiTheme="minorEastAsia" w:eastAsiaTheme="minorEastAsia" w:hAnsiTheme="minorEastAsia" w:hint="eastAsia"/>
          <w:bCs/>
          <w:color w:val="000000" w:themeColor="text1"/>
          <w:szCs w:val="21"/>
        </w:rPr>
        <w:t>同业</w:t>
      </w:r>
      <w:r w:rsidRPr="00634578">
        <w:rPr>
          <w:rFonts w:asciiTheme="minorEastAsia" w:eastAsiaTheme="minorEastAsia" w:hAnsiTheme="minorEastAsia" w:hint="eastAsia"/>
          <w:bCs/>
          <w:color w:val="000000" w:themeColor="text1"/>
          <w:szCs w:val="21"/>
        </w:rPr>
        <w:t>存单投资策略</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银行存款及</w:t>
      </w:r>
      <w:r w:rsidRPr="00634578" w:rsidR="00344766">
        <w:rPr>
          <w:rFonts w:asciiTheme="minorEastAsia" w:eastAsiaTheme="minorEastAsia" w:hAnsiTheme="minorEastAsia" w:hint="eastAsia"/>
          <w:bCs/>
          <w:color w:val="000000" w:themeColor="text1"/>
          <w:szCs w:val="21"/>
        </w:rPr>
        <w:t>同业</w:t>
      </w:r>
      <w:r w:rsidRPr="00634578">
        <w:rPr>
          <w:rFonts w:asciiTheme="minorEastAsia" w:eastAsiaTheme="minorEastAsia" w:hAnsiTheme="minorEastAsia" w:hint="eastAsia"/>
          <w:bCs/>
          <w:color w:val="000000" w:themeColor="text1"/>
          <w:szCs w:val="21"/>
        </w:rPr>
        <w:t>存单是本基金重要的投资对象。对于银行存款及</w:t>
      </w:r>
      <w:r w:rsidRPr="00634578" w:rsidR="00344766">
        <w:rPr>
          <w:rFonts w:asciiTheme="minorEastAsia" w:eastAsiaTheme="minorEastAsia" w:hAnsiTheme="minorEastAsia" w:hint="eastAsia"/>
          <w:bCs/>
          <w:color w:val="000000" w:themeColor="text1"/>
          <w:szCs w:val="21"/>
        </w:rPr>
        <w:t>同业</w:t>
      </w:r>
      <w:r w:rsidRPr="00634578">
        <w:rPr>
          <w:rFonts w:asciiTheme="minorEastAsia" w:eastAsiaTheme="minorEastAsia" w:hAnsiTheme="minorEastAsia" w:hint="eastAsia"/>
          <w:bCs/>
          <w:color w:val="000000" w:themeColor="text1"/>
          <w:szCs w:val="21"/>
        </w:rPr>
        <w:t>存单的投资，本基金根据宏观经济指标分析债券类资产和银行存款的预期收益率水平，制定和调整银行存款及</w:t>
      </w:r>
      <w:r w:rsidRPr="00634578" w:rsidR="00344766">
        <w:rPr>
          <w:rFonts w:asciiTheme="minorEastAsia" w:eastAsiaTheme="minorEastAsia" w:hAnsiTheme="minorEastAsia" w:hint="eastAsia"/>
          <w:bCs/>
          <w:color w:val="000000" w:themeColor="text1"/>
          <w:szCs w:val="21"/>
        </w:rPr>
        <w:t>同业</w:t>
      </w:r>
      <w:r w:rsidRPr="00634578">
        <w:rPr>
          <w:rFonts w:asciiTheme="minorEastAsia" w:eastAsiaTheme="minorEastAsia" w:hAnsiTheme="minorEastAsia" w:hint="eastAsia"/>
          <w:bCs/>
          <w:color w:val="000000" w:themeColor="text1"/>
          <w:szCs w:val="21"/>
        </w:rPr>
        <w:t>存单投资比例、存款期限等。</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、利率品种的投资策略</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对利率品种的投资，是在对国内、国外经济趋势进行分析和预测基础上，结合利率期限结构变化趋势和债券市场供求关系变化，据此确定组合的平均久期。在确定组合平均久期后，本基金对债券的期限结构进行分析，选择合适的期限结构配置策略，在合理控制风险的前提下，综合考虑组合的流动性，决定投资品种。</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、信用品种的投资策略</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根据基金管理人的“内部信用评级体系”，从市场上公开发行的信用债券中筛选投资备选券，形成信用债券投资备选库。从信用债券投资备选库中，本基金管理人结合本基金的投资与配置需要，通过分析比较到期收益率、剩余期限、流动性等特征，挑选适当的信用债券进行投资。</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、债券回购投资策略</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在组合进行债券回购投资操作时，基金管理人将根究资金面走势等因素，选择回购的品种和期限。</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、其他金融工具投资策略</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本基金将密切跟踪衍生产品等其他金融工具的动向。当监管机构允许基金参与其他金融工具的投资，本基金将按照届时生效的法律法规，根据对该金融工具的研究，制定符合本基</w:t>
      </w:r>
      <w:r w:rsidRPr="00634578">
        <w:rPr>
          <w:rFonts w:asciiTheme="minorEastAsia" w:eastAsiaTheme="minorEastAsia" w:hAnsiTheme="minorEastAsia" w:hint="eastAsia"/>
          <w:bCs/>
          <w:color w:val="000000" w:themeColor="text1"/>
          <w:szCs w:val="21"/>
        </w:rPr>
        <w:t>金投资目标的投资策略，在充分考虑该投资品种风险和收益特征的前提下，谨慎投资。</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（四）投资限制</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、本基金不得投资于以下金融工具：</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（1）股票；</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（2）可转换债券、可交换债券；</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（3）以定期存款利率为基准利率的浮动利率债券，已进入最后一个利率调整期的除外；</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（4）信用等级在AA+级以下的债券与非金融企业债务融资工具；</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（5）中国证监会、中国人民银行禁止投资的其他金融工具。</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法律法规或监管部门取消或变更上述限制后，本基金不受上述规定的限制并以最新规定为准。</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2、本基金的投资组合将遵循以下比例限制：</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（1）本基金投资组合的平均剩余期限不得超过120天，平均剩余存续期不得超过240天；</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（2）本基金持有同一机构发行的债券、非金融企业债务融资工具及其作为原始权益人的资产支持证券占基金资产净值的比例合计不得超过10%，国债、中央银行票据、政策性金融债券除外；</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（3）本基金持有一家公司发行的证券，其市值不得超过基金资产净值的10%；本基金与由基金管理人管理的其他全部基金持有一家公司发行的证券，不得超过该证券的10%；</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（5）本基金应保持足够比例的流动性资产以应对潜在的赎回要求，其投资组合应当符合下列规定：</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1）现金、国债、中央银行票据、政策性金融债券占基金资产净值的比例合计不得低于5%</w:t>
      </w:r>
      <w:r w:rsidRPr="00634578" w:rsidR="00AB30D5">
        <w:rPr>
          <w:rFonts w:asciiTheme="minorEastAsia" w:eastAsiaTheme="minorEastAsia" w:hAnsiTheme="minorEastAsia" w:hint="eastAsia"/>
          <w:bCs/>
          <w:color w:val="000000" w:themeColor="text1"/>
          <w:szCs w:val="21"/>
        </w:rPr>
        <w:t>，其中现金不包括结算备付金、存出保证金、应收申购款等</w:t>
      </w:r>
      <w:r w:rsidRPr="00634578">
        <w:rPr>
          <w:rFonts w:asciiTheme="minorEastAsia" w:eastAsiaTheme="minorEastAsia" w:hAnsiTheme="minorEastAsia" w:hint="eastAsia"/>
          <w:bCs/>
          <w:color w:val="000000" w:themeColor="text1"/>
          <w:szCs w:val="21"/>
        </w:rPr>
        <w:t>；</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2）现金、国债、中央银行票据、政策性金融债券以及五个交易日内到期的其他金融工具占基金资产净值的比例合计不得低于10%；</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3）到期日在10个交易日以上的逆回购、银行定期存款等流动性受限资产投资占基金资产净值的比例合计不得超过30%；</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4）除发生巨额赎回、连续3个交易日累计赎回20%以上或者连续5个交易日累计赎回30%以上的情形外，本基金债券正回购的资金余额占基金资产净值的比例不得超过20%；</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（6）本基金基金总资产不得超过基金净资产的140%；</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（7）本基金在全国银行间同业市场的债券回购最长期限为1年，债券回购到期后不得展期；</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8）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5D0892" w:rsidRPr="00634578" w:rsidP="00DE59CB">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9）本基金主动投资于流动性受限资产的市值合计不得超过基金资产净值的10%。因证券市场波动、证券停牌、基金规模变动等基金管理人之外的因素致使基金不符合前款所规定比例限制的，基金管理人不得主动新增流动性受限资产的投资。</w:t>
      </w:r>
    </w:p>
    <w:p w:rsidR="005D0892" w:rsidRPr="00634578" w:rsidP="005D089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10）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本基金拟投资于主体信用评级低于AA+的商业银行的银行存款与同业存单的，应当经基金管理人董事会审议批准，相关交易应当事先征得基金托管人的同意，并作为重大事项履行信息披露程序。</w:t>
      </w:r>
    </w:p>
    <w:p w:rsidR="005D0892" w:rsidRPr="00634578" w:rsidP="005D089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（11）本基金根据份额持有人集中度情况对本基金的投资组合实施调整，并遵守以下要求：</w:t>
      </w:r>
    </w:p>
    <w:p w:rsidR="005D0892" w:rsidRPr="00634578" w:rsidP="005D089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5D0892" w:rsidRPr="00634578" w:rsidP="005D089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5D0892" w:rsidRPr="00634578" w:rsidP="005D089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（12）本基金与私募类证券资管产品及中国证监会认定的其他主体为交易对手开展逆回购交易的，可接受质押品的资质要求应当与基金合同约定的投资范围保持一致。</w:t>
      </w:r>
    </w:p>
    <w:p w:rsidR="005D0892" w:rsidRPr="00634578" w:rsidP="005D089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（13）中国证监会规定的其他比例限制。</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除第（1）、（5）之1）、（9）、（12）项外，因市场波动、基金规模变动等基金管理人之外的因素致使基金投资不符合上述规定投资比例的，基金管理人应当在10个交易日内进行调整，但中国证监会规定或上述条款另有约定的特殊情形除外。法律法规另有约定的，从其约定。</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3、若法律法规或中国证监会的相关规定发生修改或变更，以修改或变更后的规定为准。</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4、投资组合平均剩余期限和平均剩余存续期限的计算</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（1）平均剩余期限（天）的计算公式如下：</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（Σ投资于金融工具产生的资产×剩余期限-Σ投资于金融工具产生的负债×剩余期限+债券正回购×剩余期限）/（投资于金融工具产生的资产-投资于金融工具产生的负债+债券正回购）</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（2）平均剩余存续期限的计算公式如下：</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（Σ投资于金融工具产生的资产×剩余存续期限-Σ投资于金融工具产生的负债×剩余存续期限+债券正回购×剩余存续期限）/（投资于金融工具产生的资产-投资于金融工具产生的负债+债券正回购）</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（3）各类资产和负债剩余期限和剩余存续期限的确定</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1）银行活期存款、清算备付金、交易保证金的剩余期限和剩余存续期限为0天；证券清算款的剩余期限和剩余存续期限以计算日至交收日的剩余交易日天数计算；</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4）中央银行票据的剩余期限和剩余存续期限以计算日至中央银行票据到期日的实际剩余天数计算；</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5）组合中债券的剩余期限和剩余存续期限是指计算日至债券到期日为止所剩余的天数，以下情况除外：</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A、允许投资的可变利率或浮动利率债券的剩余期限以计算日至下一个利率调整日的实际剩余天数计算。</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B、允许投资的可变利率或浮动利率债券的剩余存续期限以计算日至债券到期日的实际剩余天数计算。</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平均剩余期限的计算结果保留至整数位，小数点后四舍五入。如法律法规或中国证监会对剩余期限计算方法另有规定的从其规定。</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5、禁止行为</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为维护基金份额持有人的合法权益，基金财产不得用于下列投资或者活动：</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（1）承销证券；</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（2）违反规定向他人贷款或者提供担保；</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（3）从事承担无限责任的投资；</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（4）向其基金管理人、基金托管人出资；</w:t>
      </w:r>
    </w:p>
    <w:p w:rsidR="00344766" w:rsidRPr="00634578" w:rsidP="00344766">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（5）从事内幕交易、操纵证券交易价格及其他不正当的证券交易活动；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（6）法律、行政法规和中国证监会规定禁止的其他活动。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（五）业绩比较基准</w:t>
      </w:r>
    </w:p>
    <w:p w:rsidR="00DB3659" w:rsidRPr="00634578" w:rsidP="00BB159E">
      <w:pPr>
        <w:snapToGrid w:val="0"/>
        <w:spacing w:line="360" w:lineRule="auto"/>
        <w:ind w:firstLine="420" w:firstLineChars="200"/>
        <w:rPr>
          <w:rFonts w:asciiTheme="minorEastAsia" w:eastAsiaTheme="minorEastAsia" w:hAnsiTheme="minorEastAsia" w:cs="宋体"/>
          <w:bCs/>
          <w:color w:val="000000" w:themeColor="text1"/>
          <w:szCs w:val="21"/>
        </w:rPr>
      </w:pPr>
      <w:r w:rsidRPr="00634578">
        <w:rPr>
          <w:rFonts w:asciiTheme="minorEastAsia" w:eastAsiaTheme="minorEastAsia" w:hAnsiTheme="minorEastAsia" w:cs="宋体" w:hint="eastAsia"/>
          <w:bCs/>
          <w:color w:val="000000" w:themeColor="text1"/>
          <w:szCs w:val="21"/>
        </w:rPr>
        <w:t>中国人民银行公布的七天通知存款利率（税后）</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cs="宋体" w:hint="eastAsia"/>
          <w:bCs/>
          <w:color w:val="000000" w:themeColor="text1"/>
          <w:szCs w:val="21"/>
        </w:rPr>
        <w:t>如果今后法律法规发生变化，或者中国人民银行调整或停止该基准利率的发布，或者有其他代表性更强、更科学客观的业绩比较基准适用于本基金时，经基金管理人和基金托管人协商一致后，本基金管理人可以在报中国证监会备案后变更业绩比较基准并及时公告，无需召开基金份额持有人大会审议。</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（六）风险收益特征</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本基金为货币市场基金，是证券投资基金中的低风险品种。本基金的预期风险和预期收益低于股票型基金、混合型基金和债券型基金。</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（七）基金的融资融券</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本基金可以根据届时有效的有关法律法规和政策的规定进行融资融券。</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八）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本基金不受上述限制。</w:t>
      </w:r>
    </w:p>
    <w:p w:rsidR="0080127D"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（九）基金投资组合报告（未经审计）</w:t>
      </w:r>
    </w:p>
    <w:p w:rsidR="0080127D"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本基金管理人的董事会及董事保证本报告所载资料不存在虚假记载、误导性陈述或重大遗漏，并对其内容的真实性、准确性和完整性承担个别及连带责任。</w:t>
      </w:r>
    </w:p>
    <w:p w:rsidR="0080127D" w:rsidRPr="00634578" w:rsidP="0050655B">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本基金的托管人</w:t>
      </w:r>
      <w:r w:rsidRPr="00634578">
        <w:rPr>
          <w:rFonts w:asciiTheme="minorEastAsia" w:eastAsiaTheme="minorEastAsia" w:hAnsiTheme="minorEastAsia" w:hint="eastAsia"/>
          <w:color w:val="000000" w:themeColor="text1"/>
          <w:szCs w:val="21"/>
        </w:rPr>
        <w:t>华夏银行股份有限公司</w:t>
      </w:r>
      <w:r w:rsidRPr="00634578">
        <w:rPr>
          <w:rFonts w:asciiTheme="minorEastAsia" w:eastAsiaTheme="minorEastAsia" w:hAnsiTheme="minorEastAsia" w:hint="eastAsia"/>
          <w:bCs/>
          <w:color w:val="000000" w:themeColor="text1"/>
          <w:szCs w:val="21"/>
        </w:rPr>
        <w:t>根据本基金合同的规定，复核了本报告的内容，保证复核内容不存在虚假记载、误导性陈述或者重大遗漏。</w:t>
      </w:r>
    </w:p>
    <w:p w:rsidR="00345D3A" w:rsidRPr="00634578" w:rsidP="0050655B">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color w:val="000000" w:themeColor="text1"/>
        </w:rPr>
        <w:t>本投资组合报告有关数据的期间为2021年1月1日至2021年3月31日。</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1、报告期末基金资产组合情况</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2956"/>
        <w:gridCol w:w="2749"/>
        <w:gridCol w:w="1637"/>
      </w:tblGrid>
      <w:tr w:rsidTr="00064F67">
        <w:tblPrEx>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72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序号</w:t>
            </w:r>
          </w:p>
        </w:tc>
        <w:tc>
          <w:tcPr>
            <w:tcW w:w="335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项目</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金额（元）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占基金总资产的比例（</w:t>
            </w:r>
            <w:r w:rsidRPr="00634578">
              <w:rPr>
                <w:rFonts w:asciiTheme="minorEastAsia" w:eastAsiaTheme="minorEastAsia" w:hAnsiTheme="minorEastAsia"/>
                <w:color w:val="000000" w:themeColor="text1"/>
              </w:rPr>
              <w:t>%</w:t>
            </w:r>
            <w:r w:rsidRPr="00634578">
              <w:rPr>
                <w:rFonts w:asciiTheme="minorEastAsia" w:eastAsiaTheme="minorEastAsia" w:hAnsiTheme="minorEastAsia" w:hint="eastAsia"/>
                <w:color w:val="000000" w:themeColor="text1"/>
              </w:rPr>
              <w:t>）</w:t>
            </w:r>
          </w:p>
        </w:tc>
      </w:tr>
      <w:tr w:rsidTr="00064F67">
        <w:tblPrEx>
          <w:tblW w:w="8000" w:type="dxa"/>
          <w:tblLayout w:type="fixed"/>
          <w:tblLook w:val="00A0"/>
        </w:tblPrEx>
        <w:tc>
          <w:tcPr>
            <w:tcW w:w="72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固定收益投资</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545,467,820.54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40.93</w:t>
            </w:r>
          </w:p>
        </w:tc>
      </w:tr>
      <w:tr w:rsidTr="00064F67">
        <w:tblPrEx>
          <w:tblW w:w="8000" w:type="dxa"/>
          <w:tblLayout w:type="fixed"/>
          <w:tblLook w:val="00A0"/>
        </w:tblPrEx>
        <w:tc>
          <w:tcPr>
            <w:tcW w:w="720" w:type="dxa"/>
            <w:tcBorders>
              <w:top w:val="single" w:sz="4" w:space="0" w:color="auto"/>
              <w:left w:val="single" w:sz="4" w:space="0" w:color="auto"/>
              <w:bottom w:val="single" w:sz="4" w:space="0" w:color="auto"/>
              <w:right w:val="single" w:sz="4" w:space="0" w:color="auto"/>
            </w:tcBorders>
            <w:vAlign w:val="center"/>
          </w:tcPr>
          <w:p w:rsidR="00064F67" w:rsidRPr="00634578" w:rsidP="00064F67">
            <w:pPr>
              <w:spacing w:before="29" w:line="300" w:lineRule="auto"/>
              <w:ind w:left="17"/>
              <w:jc w:val="center"/>
              <w:rPr>
                <w:rFonts w:asciiTheme="minorEastAsia" w:eastAsiaTheme="minorEastAsia" w:hAnsiTheme="minorEastAsia"/>
                <w:color w:val="000000" w:themeColor="text1"/>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其中：债券</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506,401,793.82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38.00</w:t>
            </w:r>
          </w:p>
        </w:tc>
      </w:tr>
      <w:tr w:rsidTr="00064F67">
        <w:tblPrEx>
          <w:tblW w:w="8000" w:type="dxa"/>
          <w:tblLayout w:type="fixed"/>
          <w:tblLook w:val="00A0"/>
        </w:tblPrEx>
        <w:tc>
          <w:tcPr>
            <w:tcW w:w="720" w:type="dxa"/>
            <w:tcBorders>
              <w:top w:val="single" w:sz="4" w:space="0" w:color="auto"/>
              <w:left w:val="single" w:sz="4" w:space="0" w:color="auto"/>
              <w:bottom w:val="single" w:sz="4" w:space="0" w:color="auto"/>
              <w:right w:val="single" w:sz="4" w:space="0" w:color="auto"/>
            </w:tcBorders>
            <w:vAlign w:val="center"/>
          </w:tcPr>
          <w:p w:rsidR="00064F67" w:rsidRPr="00634578" w:rsidP="00064F67">
            <w:pPr>
              <w:spacing w:before="29" w:line="300" w:lineRule="auto"/>
              <w:ind w:left="17"/>
              <w:jc w:val="center"/>
              <w:rPr>
                <w:rFonts w:asciiTheme="minorEastAsia" w:eastAsiaTheme="minorEastAsia" w:hAnsiTheme="minorEastAsia"/>
                <w:color w:val="000000" w:themeColor="text1"/>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autoSpaceDE w:val="0"/>
              <w:autoSpaceDN w:val="0"/>
              <w:adjustRightInd w:val="0"/>
              <w:spacing w:before="29" w:line="300" w:lineRule="auto"/>
              <w:ind w:left="17" w:firstLine="630" w:firstLineChars="300"/>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资产支持证券</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39,066,026.72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2.93</w:t>
            </w:r>
          </w:p>
        </w:tc>
      </w:tr>
      <w:tr w:rsidTr="00064F67">
        <w:tblPrEx>
          <w:tblW w:w="8000" w:type="dxa"/>
          <w:tblLayout w:type="fixed"/>
          <w:tblLook w:val="00A0"/>
        </w:tblPrEx>
        <w:tc>
          <w:tcPr>
            <w:tcW w:w="72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w:t>
            </w:r>
          </w:p>
        </w:tc>
        <w:tc>
          <w:tcPr>
            <w:tcW w:w="335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买入返售金融资产</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369,210,513.81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27.70</w:t>
            </w:r>
          </w:p>
        </w:tc>
      </w:tr>
      <w:tr w:rsidTr="00064F67">
        <w:tblPrEx>
          <w:tblW w:w="8000" w:type="dxa"/>
          <w:tblLayout w:type="fixed"/>
          <w:tblLook w:val="00A0"/>
        </w:tblPrEx>
        <w:tc>
          <w:tcPr>
            <w:tcW w:w="720" w:type="dxa"/>
            <w:tcBorders>
              <w:top w:val="single" w:sz="4" w:space="0" w:color="auto"/>
              <w:left w:val="single" w:sz="4" w:space="0" w:color="auto"/>
              <w:bottom w:val="single" w:sz="4" w:space="0" w:color="auto"/>
              <w:right w:val="single" w:sz="4" w:space="0" w:color="auto"/>
            </w:tcBorders>
            <w:vAlign w:val="center"/>
          </w:tcPr>
          <w:p w:rsidR="00064F67" w:rsidRPr="00634578" w:rsidP="00064F67">
            <w:pPr>
              <w:spacing w:before="29" w:line="300" w:lineRule="auto"/>
              <w:ind w:left="17"/>
              <w:jc w:val="center"/>
              <w:rPr>
                <w:rFonts w:asciiTheme="minorEastAsia" w:eastAsiaTheme="minorEastAsia" w:hAnsiTheme="minorEastAsia"/>
                <w:color w:val="000000" w:themeColor="text1"/>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其中：买断式回购的买入返售金融资产</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w:t>
            </w:r>
          </w:p>
        </w:tc>
      </w:tr>
      <w:tr w:rsidTr="00064F67">
        <w:tblPrEx>
          <w:tblW w:w="8000" w:type="dxa"/>
          <w:tblLayout w:type="fixed"/>
          <w:tblLook w:val="00A0"/>
        </w:tblPrEx>
        <w:tc>
          <w:tcPr>
            <w:tcW w:w="72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w:t>
            </w:r>
          </w:p>
        </w:tc>
        <w:tc>
          <w:tcPr>
            <w:tcW w:w="335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银行存款和结算备付金合计</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365,133,103.95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27.40</w:t>
            </w:r>
          </w:p>
        </w:tc>
      </w:tr>
      <w:tr w:rsidTr="00064F67">
        <w:tblPrEx>
          <w:tblW w:w="8000" w:type="dxa"/>
          <w:tblLayout w:type="fixed"/>
          <w:tblLook w:val="00A0"/>
        </w:tblPrEx>
        <w:tc>
          <w:tcPr>
            <w:tcW w:w="72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w:t>
            </w:r>
          </w:p>
        </w:tc>
        <w:tc>
          <w:tcPr>
            <w:tcW w:w="335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line="300" w:lineRule="auto"/>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其他资产</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52,838,635.03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3.96</w:t>
            </w:r>
          </w:p>
        </w:tc>
      </w:tr>
      <w:tr w:rsidTr="00064F67">
        <w:tblPrEx>
          <w:tblW w:w="8000" w:type="dxa"/>
          <w:tblLayout w:type="fixed"/>
          <w:tblLook w:val="00A0"/>
        </w:tblPrEx>
        <w:tc>
          <w:tcPr>
            <w:tcW w:w="72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w:t>
            </w:r>
          </w:p>
        </w:tc>
        <w:tc>
          <w:tcPr>
            <w:tcW w:w="335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line="300" w:lineRule="auto"/>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合计</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1,332,650,073.33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100.00</w:t>
            </w:r>
          </w:p>
        </w:tc>
      </w:tr>
    </w:tbl>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2、报告期债券回购融资情况</w:t>
      </w:r>
    </w:p>
    <w:tbl>
      <w:tblPr>
        <w:tblW w:w="8000" w:type="dxa"/>
        <w:tblInd w:w="108" w:type="dxa"/>
        <w:tblLayout w:type="fixed"/>
        <w:tblLook w:val="04A0"/>
      </w:tblPr>
      <w:tblGrid>
        <w:gridCol w:w="779"/>
        <w:gridCol w:w="2729"/>
        <w:gridCol w:w="2615"/>
        <w:gridCol w:w="1877"/>
      </w:tblGrid>
      <w:tr w:rsidTr="00064F67">
        <w:tblPrEx>
          <w:tblW w:w="8000" w:type="dxa"/>
          <w:tblInd w:w="108" w:type="dxa"/>
          <w:tblLayout w:type="fixed"/>
          <w:tblLook w:val="04A0"/>
        </w:tblPrEx>
        <w:tc>
          <w:tcPr>
            <w:tcW w:w="861" w:type="dxa"/>
            <w:tcBorders>
              <w:top w:val="single" w:sz="8" w:space="0" w:color="000000"/>
              <w:left w:val="single" w:sz="8" w:space="0" w:color="000000"/>
              <w:bottom w:val="single" w:sz="8" w:space="0" w:color="000000"/>
              <w:right w:val="single" w:sz="8" w:space="0" w:color="000000"/>
            </w:tcBorders>
            <w:vAlign w:val="center"/>
            <w:hideMark/>
          </w:tcPr>
          <w:p w:rsidR="00064F67" w:rsidRPr="00634578" w:rsidP="00064F67">
            <w:pPr>
              <w:spacing w:line="300" w:lineRule="auto"/>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序号</w:t>
            </w:r>
          </w:p>
        </w:tc>
        <w:tc>
          <w:tcPr>
            <w:tcW w:w="3108" w:type="dxa"/>
            <w:tcBorders>
              <w:top w:val="single" w:sz="8" w:space="0" w:color="000000"/>
              <w:left w:val="single" w:sz="8" w:space="0" w:color="000000"/>
              <w:bottom w:val="single" w:sz="8" w:space="0" w:color="000000"/>
              <w:right w:val="single" w:sz="8" w:space="0" w:color="000000"/>
            </w:tcBorders>
            <w:vAlign w:val="center"/>
            <w:hideMark/>
          </w:tcPr>
          <w:p w:rsidR="00064F67" w:rsidRPr="00634578" w:rsidP="00064F67">
            <w:pPr>
              <w:spacing w:line="300" w:lineRule="auto"/>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hideMark/>
          </w:tcPr>
          <w:p w:rsidR="00064F67" w:rsidRPr="00634578" w:rsidP="00064F67">
            <w:pPr>
              <w:spacing w:line="300" w:lineRule="auto"/>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占基金资产净值的比例（％）</w:t>
            </w:r>
          </w:p>
        </w:tc>
      </w:tr>
      <w:tr w:rsidTr="00064F67">
        <w:tblPrEx>
          <w:tblW w:w="8000" w:type="dxa"/>
          <w:tblInd w:w="108" w:type="dxa"/>
          <w:tblLayout w:type="fixed"/>
          <w:tblLook w:val="04A0"/>
        </w:tblPrEx>
        <w:tc>
          <w:tcPr>
            <w:tcW w:w="861" w:type="dxa"/>
            <w:tcBorders>
              <w:top w:val="single" w:sz="8" w:space="0" w:color="000000"/>
              <w:left w:val="single" w:sz="8" w:space="0" w:color="000000"/>
              <w:bottom w:val="nil"/>
              <w:right w:val="single" w:sz="8" w:space="0" w:color="000000"/>
            </w:tcBorders>
            <w:vAlign w:val="center"/>
            <w:hideMark/>
          </w:tcPr>
          <w:p w:rsidR="00064F67" w:rsidRPr="00634578" w:rsidP="00064F67">
            <w:pPr>
              <w:spacing w:line="300" w:lineRule="auto"/>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kern w:val="0"/>
              </w:rPr>
              <w:t>1</w:t>
            </w:r>
          </w:p>
        </w:tc>
        <w:tc>
          <w:tcPr>
            <w:tcW w:w="3108" w:type="dxa"/>
            <w:tcBorders>
              <w:top w:val="single" w:sz="8" w:space="0" w:color="000000"/>
              <w:left w:val="single" w:sz="8" w:space="0" w:color="000000"/>
              <w:bottom w:val="single" w:sz="8" w:space="0" w:color="000000"/>
              <w:right w:val="single" w:sz="8" w:space="0" w:color="000000"/>
            </w:tcBorders>
            <w:hideMark/>
          </w:tcPr>
          <w:p w:rsidR="00064F67" w:rsidRPr="00634578" w:rsidP="00064F67">
            <w:pPr>
              <w:spacing w:line="300" w:lineRule="auto"/>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hideMark/>
          </w:tcPr>
          <w:p w:rsidR="00064F67" w:rsidRPr="00634578" w:rsidP="00064F67">
            <w:pPr>
              <w:spacing w:line="300" w:lineRule="auto"/>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7.46</w:t>
            </w:r>
          </w:p>
        </w:tc>
      </w:tr>
      <w:tr w:rsidTr="00064F67">
        <w:tblPrEx>
          <w:tblW w:w="8000" w:type="dxa"/>
          <w:tblInd w:w="108" w:type="dxa"/>
          <w:tblLayout w:type="fixed"/>
          <w:tblLook w:val="04A0"/>
        </w:tblPrEx>
        <w:trPr>
          <w:trHeight w:val="712"/>
        </w:trPr>
        <w:tc>
          <w:tcPr>
            <w:tcW w:w="861" w:type="dxa"/>
            <w:tcBorders>
              <w:top w:val="nil"/>
              <w:left w:val="single" w:sz="8" w:space="0" w:color="000000"/>
              <w:bottom w:val="single" w:sz="8" w:space="0" w:color="000000"/>
              <w:right w:val="single" w:sz="8" w:space="0" w:color="000000"/>
            </w:tcBorders>
            <w:vAlign w:val="center"/>
          </w:tcPr>
          <w:p w:rsidR="00064F67" w:rsidRPr="00634578" w:rsidP="00064F67">
            <w:pPr>
              <w:spacing w:line="300" w:lineRule="auto"/>
              <w:rPr>
                <w:rFonts w:asciiTheme="minorEastAsia" w:eastAsiaTheme="minorEastAsia" w:hAnsiTheme="minorEastAsia"/>
                <w:color w:val="000000" w:themeColor="text1"/>
              </w:rPr>
            </w:pPr>
          </w:p>
        </w:tc>
        <w:tc>
          <w:tcPr>
            <w:tcW w:w="3108" w:type="dxa"/>
            <w:tcBorders>
              <w:top w:val="single" w:sz="8" w:space="0" w:color="000000"/>
              <w:left w:val="single" w:sz="8" w:space="0" w:color="000000"/>
              <w:bottom w:val="single" w:sz="8" w:space="0" w:color="000000"/>
              <w:right w:val="single" w:sz="8" w:space="0" w:color="000000"/>
            </w:tcBorders>
            <w:hideMark/>
          </w:tcPr>
          <w:p w:rsidR="00064F67" w:rsidRPr="00634578" w:rsidP="00064F67">
            <w:pPr>
              <w:spacing w:line="300" w:lineRule="auto"/>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hideMark/>
          </w:tcPr>
          <w:p w:rsidR="00064F67" w:rsidRPr="00634578" w:rsidP="00064F67">
            <w:pPr>
              <w:spacing w:line="300" w:lineRule="auto"/>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w:t>
            </w:r>
          </w:p>
        </w:tc>
      </w:tr>
      <w:tr w:rsidTr="00064F67">
        <w:tblPrEx>
          <w:tblW w:w="8000" w:type="dxa"/>
          <w:tblInd w:w="108" w:type="dxa"/>
          <w:tblLayout w:type="fixed"/>
          <w:tblLook w:val="04A0"/>
        </w:tblPrEx>
        <w:tc>
          <w:tcPr>
            <w:tcW w:w="861" w:type="dxa"/>
            <w:tcBorders>
              <w:top w:val="nil"/>
              <w:left w:val="single" w:sz="8" w:space="0" w:color="000000"/>
              <w:bottom w:val="single" w:sz="8" w:space="0" w:color="000000"/>
              <w:right w:val="single" w:sz="8" w:space="0" w:color="000000"/>
            </w:tcBorders>
            <w:vAlign w:val="center"/>
            <w:hideMark/>
          </w:tcPr>
          <w:p w:rsidR="00064F67" w:rsidRPr="00634578" w:rsidP="00064F67">
            <w:pPr>
              <w:spacing w:line="300" w:lineRule="auto"/>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kern w:val="0"/>
              </w:rPr>
              <w:t>序号</w:t>
            </w:r>
          </w:p>
        </w:tc>
        <w:tc>
          <w:tcPr>
            <w:tcW w:w="3108" w:type="dxa"/>
            <w:tcBorders>
              <w:top w:val="single" w:sz="8" w:space="0" w:color="000000"/>
              <w:left w:val="single" w:sz="8" w:space="0" w:color="000000"/>
              <w:bottom w:val="single" w:sz="8" w:space="0" w:color="000000"/>
              <w:right w:val="single" w:sz="8" w:space="0" w:color="000000"/>
            </w:tcBorders>
            <w:hideMark/>
          </w:tcPr>
          <w:p w:rsidR="00064F67" w:rsidRPr="00634578" w:rsidP="00064F67">
            <w:pPr>
              <w:spacing w:line="300" w:lineRule="auto"/>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项目</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064F67" w:rsidRPr="00634578" w:rsidP="00064F67">
            <w:pPr>
              <w:spacing w:line="300" w:lineRule="auto"/>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金额</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064F67" w:rsidRPr="00634578" w:rsidP="00064F67">
            <w:pPr>
              <w:spacing w:line="300" w:lineRule="auto"/>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kern w:val="0"/>
              </w:rPr>
              <w:t>占基金资产净值的比例（％）</w:t>
            </w:r>
          </w:p>
        </w:tc>
      </w:tr>
      <w:tr w:rsidTr="00064F67">
        <w:tblPrEx>
          <w:tblW w:w="8000" w:type="dxa"/>
          <w:tblInd w:w="108" w:type="dxa"/>
          <w:tblLayout w:type="fixed"/>
          <w:tblLook w:val="04A0"/>
        </w:tblPrEx>
        <w:tc>
          <w:tcPr>
            <w:tcW w:w="861" w:type="dxa"/>
            <w:vMerge w:val="restart"/>
            <w:tcBorders>
              <w:top w:val="single" w:sz="8" w:space="0" w:color="000000"/>
              <w:left w:val="single" w:sz="8" w:space="0" w:color="000000"/>
              <w:bottom w:val="single" w:sz="8" w:space="0" w:color="000000"/>
              <w:right w:val="single" w:sz="8" w:space="0" w:color="000000"/>
            </w:tcBorders>
            <w:vAlign w:val="center"/>
            <w:hideMark/>
          </w:tcPr>
          <w:p w:rsidR="00064F67" w:rsidRPr="00634578" w:rsidP="00064F67">
            <w:pPr>
              <w:spacing w:line="300" w:lineRule="auto"/>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w:t>
            </w:r>
          </w:p>
        </w:tc>
        <w:tc>
          <w:tcPr>
            <w:tcW w:w="3108" w:type="dxa"/>
            <w:tcBorders>
              <w:top w:val="single" w:sz="8" w:space="0" w:color="000000"/>
              <w:left w:val="single" w:sz="8" w:space="0" w:color="000000"/>
              <w:bottom w:val="single" w:sz="8" w:space="0" w:color="000000"/>
              <w:right w:val="single" w:sz="8" w:space="0" w:color="000000"/>
            </w:tcBorders>
            <w:hideMark/>
          </w:tcPr>
          <w:p w:rsidR="00064F67" w:rsidRPr="00634578" w:rsidP="00064F67">
            <w:pPr>
              <w:spacing w:line="300" w:lineRule="auto"/>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064F67" w:rsidRPr="00634578" w:rsidP="00064F67">
            <w:pPr>
              <w:spacing w:line="300" w:lineRule="auto"/>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90,023,834.99</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064F67" w:rsidRPr="00634578" w:rsidP="00064F67">
            <w:pPr>
              <w:spacing w:line="300" w:lineRule="auto"/>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7.26</w:t>
            </w:r>
          </w:p>
        </w:tc>
      </w:tr>
      <w:tr w:rsidTr="00064F67">
        <w:tblPrEx>
          <w:tblW w:w="8000" w:type="dxa"/>
          <w:tblInd w:w="108" w:type="dxa"/>
          <w:tblLayout w:type="fixed"/>
          <w:tblLook w:val="04A0"/>
        </w:tblPrEx>
        <w:tc>
          <w:tcPr>
            <w:tcW w:w="861" w:type="dxa"/>
            <w:vMerge/>
            <w:tcBorders>
              <w:top w:val="single" w:sz="8" w:space="0" w:color="000000"/>
              <w:left w:val="single" w:sz="8" w:space="0" w:color="000000"/>
              <w:bottom w:val="single" w:sz="8" w:space="0" w:color="000000"/>
              <w:right w:val="single" w:sz="8" w:space="0" w:color="000000"/>
            </w:tcBorders>
            <w:vAlign w:val="center"/>
            <w:hideMark/>
          </w:tcPr>
          <w:p w:rsidR="00064F67" w:rsidRPr="00634578" w:rsidP="00064F67">
            <w:pPr>
              <w:widowControl/>
              <w:spacing w:line="300" w:lineRule="auto"/>
              <w:jc w:val="left"/>
              <w:rPr>
                <w:rFonts w:asciiTheme="minorEastAsia" w:eastAsiaTheme="minorEastAsia" w:hAnsiTheme="minorEastAsia"/>
                <w:color w:val="000000" w:themeColor="text1"/>
              </w:rPr>
            </w:pPr>
          </w:p>
        </w:tc>
        <w:tc>
          <w:tcPr>
            <w:tcW w:w="3108" w:type="dxa"/>
            <w:tcBorders>
              <w:top w:val="single" w:sz="8" w:space="0" w:color="000000"/>
              <w:left w:val="single" w:sz="8" w:space="0" w:color="000000"/>
              <w:bottom w:val="single" w:sz="8" w:space="0" w:color="000000"/>
              <w:right w:val="single" w:sz="8" w:space="0" w:color="000000"/>
            </w:tcBorders>
            <w:hideMark/>
          </w:tcPr>
          <w:p w:rsidR="00064F67" w:rsidRPr="00634578" w:rsidP="00064F67">
            <w:pPr>
              <w:spacing w:line="300" w:lineRule="auto"/>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064F67" w:rsidRPr="00634578" w:rsidP="00064F67">
            <w:pPr>
              <w:spacing w:line="300" w:lineRule="auto"/>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064F67" w:rsidRPr="00634578" w:rsidP="00064F67">
            <w:pPr>
              <w:spacing w:line="300" w:lineRule="auto"/>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w:t>
            </w:r>
          </w:p>
        </w:tc>
      </w:tr>
    </w:tbl>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注：上表中报告期内债券回购融资余额占基金资产净值的比例为报告期内每个交易日融资余额占基金资产净值比例的简单平均值。</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债券正回购的资金余额超过基金资产净值的20％的说明</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在本报告期内本货币市场基金债券正回购的资金余额未超过资产净值的</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3、基金投资组合平均剩余期限</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（1）投资组合平均剩余期限基本情况</w:t>
      </w:r>
    </w:p>
    <w:tbl>
      <w:tblPr>
        <w:tblW w:w="8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80"/>
        <w:gridCol w:w="4420"/>
      </w:tblGrid>
      <w:tr w:rsidTr="00064F67">
        <w:tblPrEx>
          <w:tblW w:w="8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4056"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项目</w:t>
            </w:r>
          </w:p>
        </w:tc>
        <w:tc>
          <w:tcPr>
            <w:tcW w:w="5016"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天数</w:t>
            </w:r>
          </w:p>
        </w:tc>
      </w:tr>
      <w:tr w:rsidTr="00064F67">
        <w:tblPrEx>
          <w:tblW w:w="8000" w:type="dxa"/>
          <w:tblInd w:w="108" w:type="dxa"/>
          <w:tblLayout w:type="fixed"/>
          <w:tblLook w:val="04A0"/>
        </w:tblPrEx>
        <w:tc>
          <w:tcPr>
            <w:tcW w:w="4056"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报告期末投资组合平均剩余期限</w:t>
            </w:r>
          </w:p>
        </w:tc>
        <w:tc>
          <w:tcPr>
            <w:tcW w:w="5016"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ind w:right="120"/>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87</w:t>
            </w:r>
          </w:p>
        </w:tc>
      </w:tr>
      <w:tr w:rsidTr="00064F67">
        <w:tblPrEx>
          <w:tblW w:w="8000" w:type="dxa"/>
          <w:tblInd w:w="108" w:type="dxa"/>
          <w:tblLayout w:type="fixed"/>
          <w:tblLook w:val="04A0"/>
        </w:tblPrEx>
        <w:tc>
          <w:tcPr>
            <w:tcW w:w="4056"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报告期内投资组合平均剩余期限最高值</w:t>
            </w:r>
          </w:p>
        </w:tc>
        <w:tc>
          <w:tcPr>
            <w:tcW w:w="5016"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112</w:t>
            </w:r>
          </w:p>
        </w:tc>
      </w:tr>
      <w:tr w:rsidTr="00064F67">
        <w:tblPrEx>
          <w:tblW w:w="8000" w:type="dxa"/>
          <w:tblInd w:w="108" w:type="dxa"/>
          <w:tblLayout w:type="fixed"/>
          <w:tblLook w:val="04A0"/>
        </w:tblPrEx>
        <w:tc>
          <w:tcPr>
            <w:tcW w:w="4056"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报告期内投资组合平均剩余期限最低值</w:t>
            </w:r>
          </w:p>
        </w:tc>
        <w:tc>
          <w:tcPr>
            <w:tcW w:w="5016"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ind w:right="120"/>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71</w:t>
            </w:r>
          </w:p>
        </w:tc>
      </w:tr>
    </w:tbl>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报告期内投资组合平均剩余期限超过120天情况说明</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本报告期内本货币市场基金投资组合平均剩余期限未超过</w:t>
      </w:r>
      <w:r w:rsidRPr="00634578">
        <w:rPr>
          <w:rFonts w:asciiTheme="minorEastAsia" w:eastAsiaTheme="minorEastAsia" w:hAnsiTheme="minorEastAsia"/>
          <w:bCs/>
          <w:color w:val="000000" w:themeColor="text1"/>
          <w:szCs w:val="21"/>
        </w:rPr>
        <w:t>120</w:t>
      </w:r>
      <w:r w:rsidRPr="00634578">
        <w:rPr>
          <w:rFonts w:asciiTheme="minorEastAsia" w:eastAsiaTheme="minorEastAsia" w:hAnsiTheme="minorEastAsia" w:hint="eastAsia"/>
          <w:bCs/>
          <w:color w:val="000000" w:themeColor="text1"/>
          <w:szCs w:val="21"/>
        </w:rPr>
        <w:t>天。</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（2）报告期末投资组合平均剩余期限分布比例</w:t>
      </w:r>
    </w:p>
    <w:tbl>
      <w:tblPr>
        <w:tblW w:w="8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4"/>
        <w:gridCol w:w="2910"/>
        <w:gridCol w:w="2205"/>
        <w:gridCol w:w="2121"/>
      </w:tblGrid>
      <w:tr w:rsidTr="00064F67">
        <w:tblPrEx>
          <w:tblW w:w="8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8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序号</w:t>
            </w:r>
          </w:p>
        </w:tc>
        <w:tc>
          <w:tcPr>
            <w:tcW w:w="33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平均剩余期限</w:t>
            </w:r>
          </w:p>
        </w:tc>
        <w:tc>
          <w:tcPr>
            <w:tcW w:w="2529"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各期限资产占基金资产净值的比例（</w:t>
            </w:r>
            <w:r w:rsidRPr="00634578">
              <w:rPr>
                <w:rFonts w:asciiTheme="minorEastAsia" w:eastAsiaTheme="minorEastAsia" w:hAnsiTheme="minorEastAsia"/>
                <w:color w:val="000000" w:themeColor="text1"/>
                <w:kern w:val="0"/>
              </w:rPr>
              <w:t>%</w:t>
            </w:r>
            <w:r w:rsidRPr="00634578">
              <w:rPr>
                <w:rFonts w:asciiTheme="minorEastAsia" w:eastAsiaTheme="minorEastAsia" w:hAnsiTheme="minorEastAsia" w:hint="eastAsia"/>
                <w:color w:val="000000" w:themeColor="text1"/>
                <w:kern w:val="0"/>
              </w:rPr>
              <w:t>）</w:t>
            </w:r>
          </w:p>
        </w:tc>
        <w:tc>
          <w:tcPr>
            <w:tcW w:w="243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各期限负债占基金资产净值的比例（％）</w:t>
            </w:r>
          </w:p>
        </w:tc>
      </w:tr>
      <w:tr w:rsidTr="00064F67">
        <w:tblPrEx>
          <w:tblW w:w="8000" w:type="dxa"/>
          <w:tblInd w:w="108" w:type="dxa"/>
          <w:tblLayout w:type="fixed"/>
          <w:tblLook w:val="04A0"/>
        </w:tblPrEx>
        <w:tc>
          <w:tcPr>
            <w:tcW w:w="8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1</w:t>
            </w:r>
          </w:p>
        </w:tc>
        <w:tc>
          <w:tcPr>
            <w:tcW w:w="33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30</w:t>
            </w:r>
            <w:r w:rsidRPr="00634578">
              <w:rPr>
                <w:rFonts w:asciiTheme="minorEastAsia" w:eastAsiaTheme="minorEastAsia" w:hAnsiTheme="minorEastAsia" w:hint="eastAsia"/>
                <w:color w:val="000000" w:themeColor="text1"/>
              </w:rPr>
              <w:t>天以内</w:t>
            </w:r>
          </w:p>
        </w:tc>
        <w:tc>
          <w:tcPr>
            <w:tcW w:w="2529"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43.88</w:t>
            </w:r>
          </w:p>
        </w:tc>
        <w:tc>
          <w:tcPr>
            <w:tcW w:w="243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7.26</w:t>
            </w:r>
          </w:p>
        </w:tc>
      </w:tr>
      <w:tr w:rsidTr="00064F67">
        <w:tblPrEx>
          <w:tblW w:w="8000" w:type="dxa"/>
          <w:tblInd w:w="108" w:type="dxa"/>
          <w:tblLayout w:type="fixed"/>
          <w:tblLook w:val="04A0"/>
        </w:tblPrEx>
        <w:tc>
          <w:tcPr>
            <w:tcW w:w="851" w:type="dxa"/>
            <w:tcBorders>
              <w:top w:val="single" w:sz="4" w:space="0" w:color="000000"/>
              <w:left w:val="single" w:sz="4" w:space="0" w:color="000000"/>
              <w:bottom w:val="single" w:sz="4" w:space="0" w:color="000000"/>
              <w:right w:val="single" w:sz="4" w:space="0" w:color="000000"/>
            </w:tcBorders>
            <w:vAlign w:val="center"/>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p>
        </w:tc>
        <w:tc>
          <w:tcPr>
            <w:tcW w:w="33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rPr>
              <w:t>其中：剩余存续期超过</w:t>
            </w:r>
            <w:r w:rsidRPr="00634578">
              <w:rPr>
                <w:rFonts w:asciiTheme="minorEastAsia" w:eastAsiaTheme="minorEastAsia" w:hAnsiTheme="minorEastAsia"/>
                <w:color w:val="000000" w:themeColor="text1"/>
              </w:rPr>
              <w:t>397</w:t>
            </w:r>
            <w:r w:rsidRPr="00634578">
              <w:rPr>
                <w:rFonts w:asciiTheme="minorEastAsia" w:eastAsiaTheme="minorEastAsia" w:hAnsiTheme="minorEastAsia" w:hint="eastAsia"/>
                <w:color w:val="000000" w:themeColor="text1"/>
              </w:rPr>
              <w:t>天的浮动利率债</w:t>
            </w:r>
          </w:p>
        </w:tc>
        <w:tc>
          <w:tcPr>
            <w:tcW w:w="2529"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w:t>
            </w:r>
          </w:p>
        </w:tc>
        <w:tc>
          <w:tcPr>
            <w:tcW w:w="243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w:t>
            </w:r>
          </w:p>
        </w:tc>
      </w:tr>
      <w:tr w:rsidTr="00064F67">
        <w:tblPrEx>
          <w:tblW w:w="8000" w:type="dxa"/>
          <w:tblInd w:w="108" w:type="dxa"/>
          <w:tblLayout w:type="fixed"/>
          <w:tblLook w:val="04A0"/>
        </w:tblPrEx>
        <w:tc>
          <w:tcPr>
            <w:tcW w:w="8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w:t>
            </w:r>
          </w:p>
        </w:tc>
        <w:tc>
          <w:tcPr>
            <w:tcW w:w="33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30</w:t>
            </w:r>
            <w:r w:rsidRPr="00634578">
              <w:rPr>
                <w:rFonts w:asciiTheme="minorEastAsia" w:eastAsiaTheme="minorEastAsia" w:hAnsiTheme="minorEastAsia" w:hint="eastAsia"/>
                <w:color w:val="000000" w:themeColor="text1"/>
              </w:rPr>
              <w:t>天（含）</w:t>
            </w:r>
            <w:r w:rsidRPr="00634578">
              <w:rPr>
                <w:rFonts w:asciiTheme="minorEastAsia" w:eastAsiaTheme="minorEastAsia" w:hAnsiTheme="minorEastAsia"/>
                <w:color w:val="000000" w:themeColor="text1"/>
              </w:rPr>
              <w:t>—60</w:t>
            </w:r>
            <w:r w:rsidRPr="00634578">
              <w:rPr>
                <w:rFonts w:asciiTheme="minorEastAsia" w:eastAsiaTheme="minorEastAsia" w:hAnsiTheme="minorEastAsia" w:hint="eastAsia"/>
                <w:color w:val="000000" w:themeColor="text1"/>
              </w:rPr>
              <w:t>天</w:t>
            </w:r>
          </w:p>
        </w:tc>
        <w:tc>
          <w:tcPr>
            <w:tcW w:w="2529"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4.84</w:t>
            </w:r>
          </w:p>
        </w:tc>
        <w:tc>
          <w:tcPr>
            <w:tcW w:w="243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w:t>
            </w:r>
          </w:p>
        </w:tc>
      </w:tr>
      <w:tr w:rsidTr="00064F67">
        <w:tblPrEx>
          <w:tblW w:w="8000" w:type="dxa"/>
          <w:tblInd w:w="108" w:type="dxa"/>
          <w:tblLayout w:type="fixed"/>
          <w:tblLook w:val="04A0"/>
        </w:tblPrEx>
        <w:tc>
          <w:tcPr>
            <w:tcW w:w="851" w:type="dxa"/>
            <w:tcBorders>
              <w:top w:val="single" w:sz="4" w:space="0" w:color="000000"/>
              <w:left w:val="single" w:sz="4" w:space="0" w:color="000000"/>
              <w:bottom w:val="single" w:sz="4" w:space="0" w:color="000000"/>
              <w:right w:val="single" w:sz="4" w:space="0" w:color="000000"/>
            </w:tcBorders>
            <w:vAlign w:val="center"/>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p>
        </w:tc>
        <w:tc>
          <w:tcPr>
            <w:tcW w:w="33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rPr>
              <w:t>其中：剩余存续期超过</w:t>
            </w:r>
            <w:r w:rsidRPr="00634578">
              <w:rPr>
                <w:rFonts w:asciiTheme="minorEastAsia" w:eastAsiaTheme="minorEastAsia" w:hAnsiTheme="minorEastAsia"/>
                <w:color w:val="000000" w:themeColor="text1"/>
              </w:rPr>
              <w:t>397</w:t>
            </w:r>
            <w:r w:rsidRPr="00634578">
              <w:rPr>
                <w:rFonts w:asciiTheme="minorEastAsia" w:eastAsiaTheme="minorEastAsia" w:hAnsiTheme="minorEastAsia" w:hint="eastAsia"/>
                <w:color w:val="000000" w:themeColor="text1"/>
              </w:rPr>
              <w:t>天的浮动利率债</w:t>
            </w:r>
          </w:p>
        </w:tc>
        <w:tc>
          <w:tcPr>
            <w:tcW w:w="2529"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w:t>
            </w:r>
          </w:p>
        </w:tc>
        <w:tc>
          <w:tcPr>
            <w:tcW w:w="243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w:t>
            </w:r>
          </w:p>
        </w:tc>
      </w:tr>
      <w:tr w:rsidTr="00064F67">
        <w:tblPrEx>
          <w:tblW w:w="8000" w:type="dxa"/>
          <w:tblInd w:w="108" w:type="dxa"/>
          <w:tblLayout w:type="fixed"/>
          <w:tblLook w:val="04A0"/>
        </w:tblPrEx>
        <w:tc>
          <w:tcPr>
            <w:tcW w:w="8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w:t>
            </w:r>
          </w:p>
        </w:tc>
        <w:tc>
          <w:tcPr>
            <w:tcW w:w="33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60</w:t>
            </w:r>
            <w:r w:rsidRPr="00634578">
              <w:rPr>
                <w:rFonts w:asciiTheme="minorEastAsia" w:eastAsiaTheme="minorEastAsia" w:hAnsiTheme="minorEastAsia" w:hint="eastAsia"/>
                <w:color w:val="000000" w:themeColor="text1"/>
              </w:rPr>
              <w:t>天（含）</w:t>
            </w:r>
            <w:r w:rsidRPr="00634578">
              <w:rPr>
                <w:rFonts w:asciiTheme="minorEastAsia" w:eastAsiaTheme="minorEastAsia" w:hAnsiTheme="minorEastAsia"/>
                <w:color w:val="000000" w:themeColor="text1"/>
              </w:rPr>
              <w:t>—90</w:t>
            </w:r>
            <w:r w:rsidRPr="00634578">
              <w:rPr>
                <w:rFonts w:asciiTheme="minorEastAsia" w:eastAsiaTheme="minorEastAsia" w:hAnsiTheme="minorEastAsia" w:hint="eastAsia"/>
                <w:color w:val="000000" w:themeColor="text1"/>
              </w:rPr>
              <w:t>天</w:t>
            </w:r>
          </w:p>
        </w:tc>
        <w:tc>
          <w:tcPr>
            <w:tcW w:w="2529"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12.04</w:t>
            </w:r>
          </w:p>
        </w:tc>
        <w:tc>
          <w:tcPr>
            <w:tcW w:w="243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w:t>
            </w:r>
          </w:p>
        </w:tc>
      </w:tr>
      <w:tr w:rsidTr="00064F67">
        <w:tblPrEx>
          <w:tblW w:w="8000" w:type="dxa"/>
          <w:tblInd w:w="108" w:type="dxa"/>
          <w:tblLayout w:type="fixed"/>
          <w:tblLook w:val="04A0"/>
        </w:tblPrEx>
        <w:tc>
          <w:tcPr>
            <w:tcW w:w="851" w:type="dxa"/>
            <w:tcBorders>
              <w:top w:val="single" w:sz="4" w:space="0" w:color="000000"/>
              <w:left w:val="single" w:sz="4" w:space="0" w:color="000000"/>
              <w:bottom w:val="single" w:sz="4" w:space="0" w:color="000000"/>
              <w:right w:val="single" w:sz="4" w:space="0" w:color="000000"/>
            </w:tcBorders>
            <w:vAlign w:val="center"/>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p>
        </w:tc>
        <w:tc>
          <w:tcPr>
            <w:tcW w:w="33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其中：剩余存续期超过</w:t>
            </w:r>
            <w:r w:rsidRPr="00634578">
              <w:rPr>
                <w:rFonts w:asciiTheme="minorEastAsia" w:eastAsiaTheme="minorEastAsia" w:hAnsiTheme="minorEastAsia"/>
                <w:color w:val="000000" w:themeColor="text1"/>
              </w:rPr>
              <w:t>397</w:t>
            </w:r>
            <w:r w:rsidRPr="00634578">
              <w:rPr>
                <w:rFonts w:asciiTheme="minorEastAsia" w:eastAsiaTheme="minorEastAsia" w:hAnsiTheme="minorEastAsia" w:hint="eastAsia"/>
                <w:color w:val="000000" w:themeColor="text1"/>
              </w:rPr>
              <w:t>天的浮动利率债</w:t>
            </w:r>
          </w:p>
        </w:tc>
        <w:tc>
          <w:tcPr>
            <w:tcW w:w="2529"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w:t>
            </w:r>
          </w:p>
        </w:tc>
        <w:tc>
          <w:tcPr>
            <w:tcW w:w="243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w:t>
            </w:r>
          </w:p>
        </w:tc>
      </w:tr>
      <w:tr w:rsidTr="00064F67">
        <w:tblPrEx>
          <w:tblW w:w="8000" w:type="dxa"/>
          <w:tblInd w:w="108" w:type="dxa"/>
          <w:tblLayout w:type="fixed"/>
          <w:tblLook w:val="04A0"/>
        </w:tblPrEx>
        <w:tc>
          <w:tcPr>
            <w:tcW w:w="8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w:t>
            </w:r>
          </w:p>
        </w:tc>
        <w:tc>
          <w:tcPr>
            <w:tcW w:w="33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90</w:t>
            </w:r>
            <w:r w:rsidRPr="00634578">
              <w:rPr>
                <w:rFonts w:asciiTheme="minorEastAsia" w:eastAsiaTheme="minorEastAsia" w:hAnsiTheme="minorEastAsia" w:hint="eastAsia"/>
                <w:color w:val="000000" w:themeColor="text1"/>
              </w:rPr>
              <w:t>天（含）</w:t>
            </w:r>
            <w:r w:rsidRPr="00634578">
              <w:rPr>
                <w:rFonts w:asciiTheme="minorEastAsia" w:eastAsiaTheme="minorEastAsia" w:hAnsiTheme="minorEastAsia"/>
                <w:color w:val="000000" w:themeColor="text1"/>
              </w:rPr>
              <w:t>—120</w:t>
            </w:r>
            <w:r w:rsidRPr="00634578">
              <w:rPr>
                <w:rFonts w:asciiTheme="minorEastAsia" w:eastAsiaTheme="minorEastAsia" w:hAnsiTheme="minorEastAsia" w:hint="eastAsia"/>
                <w:color w:val="000000" w:themeColor="text1"/>
              </w:rPr>
              <w:t>天</w:t>
            </w:r>
          </w:p>
        </w:tc>
        <w:tc>
          <w:tcPr>
            <w:tcW w:w="2529"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8.82</w:t>
            </w:r>
          </w:p>
        </w:tc>
        <w:tc>
          <w:tcPr>
            <w:tcW w:w="243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w:t>
            </w:r>
          </w:p>
        </w:tc>
      </w:tr>
      <w:tr w:rsidTr="00064F67">
        <w:tblPrEx>
          <w:tblW w:w="8000" w:type="dxa"/>
          <w:tblInd w:w="108" w:type="dxa"/>
          <w:tblLayout w:type="fixed"/>
          <w:tblLook w:val="04A0"/>
        </w:tblPrEx>
        <w:tc>
          <w:tcPr>
            <w:tcW w:w="851" w:type="dxa"/>
            <w:tcBorders>
              <w:top w:val="single" w:sz="4" w:space="0" w:color="000000"/>
              <w:left w:val="single" w:sz="4" w:space="0" w:color="000000"/>
              <w:bottom w:val="single" w:sz="4" w:space="0" w:color="000000"/>
              <w:right w:val="single" w:sz="4" w:space="0" w:color="000000"/>
            </w:tcBorders>
            <w:vAlign w:val="center"/>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p>
        </w:tc>
        <w:tc>
          <w:tcPr>
            <w:tcW w:w="33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其中：剩余存续期超过</w:t>
            </w:r>
            <w:r w:rsidRPr="00634578">
              <w:rPr>
                <w:rFonts w:asciiTheme="minorEastAsia" w:eastAsiaTheme="minorEastAsia" w:hAnsiTheme="minorEastAsia"/>
                <w:color w:val="000000" w:themeColor="text1"/>
              </w:rPr>
              <w:t>397</w:t>
            </w:r>
            <w:r w:rsidRPr="00634578">
              <w:rPr>
                <w:rFonts w:asciiTheme="minorEastAsia" w:eastAsiaTheme="minorEastAsia" w:hAnsiTheme="minorEastAsia" w:hint="eastAsia"/>
                <w:color w:val="000000" w:themeColor="text1"/>
              </w:rPr>
              <w:t>天的浮动利率债</w:t>
            </w:r>
          </w:p>
        </w:tc>
        <w:tc>
          <w:tcPr>
            <w:tcW w:w="2529"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w:t>
            </w:r>
          </w:p>
        </w:tc>
        <w:tc>
          <w:tcPr>
            <w:tcW w:w="243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w:t>
            </w:r>
          </w:p>
        </w:tc>
      </w:tr>
      <w:tr w:rsidTr="00064F67">
        <w:tblPrEx>
          <w:tblW w:w="8000" w:type="dxa"/>
          <w:tblInd w:w="108" w:type="dxa"/>
          <w:tblLayout w:type="fixed"/>
          <w:tblLook w:val="04A0"/>
        </w:tblPrEx>
        <w:tc>
          <w:tcPr>
            <w:tcW w:w="8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w:t>
            </w:r>
          </w:p>
        </w:tc>
        <w:tc>
          <w:tcPr>
            <w:tcW w:w="33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120</w:t>
            </w:r>
            <w:r w:rsidRPr="00634578">
              <w:rPr>
                <w:rFonts w:asciiTheme="minorEastAsia" w:eastAsiaTheme="minorEastAsia" w:hAnsiTheme="minorEastAsia" w:hint="eastAsia"/>
                <w:color w:val="000000" w:themeColor="text1"/>
              </w:rPr>
              <w:t>天（含）</w:t>
            </w:r>
            <w:r w:rsidRPr="00634578">
              <w:rPr>
                <w:rFonts w:asciiTheme="minorEastAsia" w:eastAsiaTheme="minorEastAsia" w:hAnsiTheme="minorEastAsia"/>
                <w:color w:val="000000" w:themeColor="text1"/>
              </w:rPr>
              <w:t>—397</w:t>
            </w:r>
            <w:r w:rsidRPr="00634578">
              <w:rPr>
                <w:rFonts w:asciiTheme="minorEastAsia" w:eastAsiaTheme="minorEastAsia" w:hAnsiTheme="minorEastAsia" w:hint="eastAsia"/>
                <w:color w:val="000000" w:themeColor="text1"/>
              </w:rPr>
              <w:t>天（含）</w:t>
            </w:r>
          </w:p>
        </w:tc>
        <w:tc>
          <w:tcPr>
            <w:tcW w:w="2529"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33.63</w:t>
            </w:r>
          </w:p>
        </w:tc>
        <w:tc>
          <w:tcPr>
            <w:tcW w:w="243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w:t>
            </w:r>
          </w:p>
        </w:tc>
      </w:tr>
      <w:tr w:rsidTr="00064F67">
        <w:tblPrEx>
          <w:tblW w:w="8000" w:type="dxa"/>
          <w:tblInd w:w="108" w:type="dxa"/>
          <w:tblLayout w:type="fixed"/>
          <w:tblLook w:val="04A0"/>
        </w:tblPrEx>
        <w:tc>
          <w:tcPr>
            <w:tcW w:w="851" w:type="dxa"/>
            <w:tcBorders>
              <w:top w:val="single" w:sz="4" w:space="0" w:color="000000"/>
              <w:left w:val="single" w:sz="4" w:space="0" w:color="000000"/>
              <w:bottom w:val="single" w:sz="4" w:space="0" w:color="000000"/>
              <w:right w:val="single" w:sz="4" w:space="0" w:color="000000"/>
            </w:tcBorders>
            <w:vAlign w:val="center"/>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p>
        </w:tc>
        <w:tc>
          <w:tcPr>
            <w:tcW w:w="335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其中：剩余存续期超过</w:t>
            </w:r>
            <w:r w:rsidRPr="00634578">
              <w:rPr>
                <w:rFonts w:asciiTheme="minorEastAsia" w:eastAsiaTheme="minorEastAsia" w:hAnsiTheme="minorEastAsia"/>
                <w:color w:val="000000" w:themeColor="text1"/>
              </w:rPr>
              <w:t>397</w:t>
            </w:r>
            <w:r w:rsidRPr="00634578">
              <w:rPr>
                <w:rFonts w:asciiTheme="minorEastAsia" w:eastAsiaTheme="minorEastAsia" w:hAnsiTheme="minorEastAsia" w:hint="eastAsia"/>
                <w:color w:val="000000" w:themeColor="text1"/>
              </w:rPr>
              <w:t>天的浮动利率债</w:t>
            </w:r>
          </w:p>
        </w:tc>
        <w:tc>
          <w:tcPr>
            <w:tcW w:w="2529"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w:t>
            </w:r>
          </w:p>
        </w:tc>
        <w:tc>
          <w:tcPr>
            <w:tcW w:w="243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w:t>
            </w:r>
          </w:p>
        </w:tc>
      </w:tr>
      <w:tr w:rsidTr="00064F67">
        <w:tblPrEx>
          <w:tblW w:w="8000" w:type="dxa"/>
          <w:tblInd w:w="108" w:type="dxa"/>
          <w:tblLayout w:type="fixed"/>
          <w:tblLook w:val="04A0"/>
        </w:tblPrEx>
        <w:tc>
          <w:tcPr>
            <w:tcW w:w="4202" w:type="dxa"/>
            <w:gridSpan w:val="2"/>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合计</w:t>
            </w:r>
          </w:p>
        </w:tc>
        <w:tc>
          <w:tcPr>
            <w:tcW w:w="2529"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103.20</w:t>
            </w:r>
          </w:p>
        </w:tc>
        <w:tc>
          <w:tcPr>
            <w:tcW w:w="2431"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7.26</w:t>
            </w:r>
          </w:p>
        </w:tc>
      </w:tr>
    </w:tbl>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4、报告期内投资组合平均剩余存续期超过240天情况说明</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本报告期内本货币市场基金投资组合平均剩余存续期未超过</w:t>
      </w:r>
      <w:r w:rsidRPr="00634578">
        <w:rPr>
          <w:rFonts w:asciiTheme="minorEastAsia" w:eastAsiaTheme="minorEastAsia" w:hAnsiTheme="minorEastAsia"/>
          <w:bCs/>
          <w:color w:val="000000" w:themeColor="text1"/>
          <w:szCs w:val="21"/>
        </w:rPr>
        <w:t>240</w:t>
      </w:r>
      <w:r w:rsidRPr="00634578">
        <w:rPr>
          <w:rFonts w:asciiTheme="minorEastAsia" w:eastAsiaTheme="minorEastAsia" w:hAnsiTheme="minorEastAsia" w:hint="eastAsia"/>
          <w:bCs/>
          <w:color w:val="000000" w:themeColor="text1"/>
          <w:szCs w:val="21"/>
        </w:rPr>
        <w:t>天。</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5、报告期末按债券品种分类的债券投资组合</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2827"/>
        <w:gridCol w:w="2706"/>
        <w:gridCol w:w="1734"/>
      </w:tblGrid>
      <w:tr w:rsidTr="00064F67">
        <w:tblPrEx>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1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序号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债券品种</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摊余成本（元）</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占基金资产净值比例</w:t>
            </w:r>
            <w:r w:rsidRPr="00634578">
              <w:rPr>
                <w:rFonts w:asciiTheme="minorEastAsia" w:eastAsiaTheme="minorEastAsia" w:hAnsiTheme="minorEastAsia"/>
                <w:color w:val="000000" w:themeColor="text1"/>
              </w:rPr>
              <w:t>(</w:t>
            </w: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color w:val="000000" w:themeColor="text1"/>
              </w:rPr>
              <w:t>)</w:t>
            </w:r>
          </w:p>
        </w:tc>
      </w:tr>
      <w:tr w:rsidTr="00064F67">
        <w:tblPrEx>
          <w:tblW w:w="8000" w:type="dxa"/>
          <w:tblLayout w:type="fixed"/>
          <w:tblLook w:val="04A0"/>
        </w:tblPrEx>
        <w:tc>
          <w:tcPr>
            <w:tcW w:w="81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国家债券</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19,893,338.59</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1.60</w:t>
            </w:r>
          </w:p>
        </w:tc>
      </w:tr>
      <w:tr w:rsidTr="00064F67">
        <w:tblPrEx>
          <w:tblW w:w="8000" w:type="dxa"/>
          <w:tblLayout w:type="fixed"/>
          <w:tblLook w:val="04A0"/>
        </w:tblPrEx>
        <w:tc>
          <w:tcPr>
            <w:tcW w:w="81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央行票据</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w:t>
            </w:r>
          </w:p>
        </w:tc>
      </w:tr>
      <w:tr w:rsidTr="00064F67">
        <w:tblPrEx>
          <w:tblW w:w="8000" w:type="dxa"/>
          <w:tblLayout w:type="fixed"/>
          <w:tblLook w:val="04A0"/>
        </w:tblPrEx>
        <w:tc>
          <w:tcPr>
            <w:tcW w:w="81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金融债券</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49,931,702.96</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4.03</w:t>
            </w:r>
          </w:p>
        </w:tc>
      </w:tr>
      <w:tr w:rsidTr="00064F67">
        <w:tblPrEx>
          <w:tblW w:w="8000" w:type="dxa"/>
          <w:tblLayout w:type="fixed"/>
          <w:tblLook w:val="04A0"/>
        </w:tblPrEx>
        <w:tc>
          <w:tcPr>
            <w:tcW w:w="817" w:type="dxa"/>
            <w:tcBorders>
              <w:top w:val="single" w:sz="4" w:space="0" w:color="auto"/>
              <w:left w:val="single" w:sz="4" w:space="0" w:color="auto"/>
              <w:bottom w:val="single" w:sz="4" w:space="0" w:color="auto"/>
              <w:right w:val="single" w:sz="4" w:space="0" w:color="auto"/>
            </w:tcBorders>
            <w:vAlign w:val="center"/>
          </w:tcPr>
          <w:p w:rsidR="00064F67" w:rsidRPr="00634578" w:rsidP="00064F67">
            <w:pPr>
              <w:spacing w:before="29" w:line="300" w:lineRule="auto"/>
              <w:ind w:left="17"/>
              <w:jc w:val="center"/>
              <w:rPr>
                <w:rFonts w:asciiTheme="minorEastAsia" w:eastAsiaTheme="minorEastAsia" w:hAnsiTheme="minorEastAsia"/>
                <w:color w:val="000000" w:themeColor="text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其中：政策性金融债</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49,931,702.96</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4.03</w:t>
            </w:r>
          </w:p>
        </w:tc>
      </w:tr>
      <w:tr w:rsidTr="00064F67">
        <w:tblPrEx>
          <w:tblW w:w="8000" w:type="dxa"/>
          <w:tblLayout w:type="fixed"/>
          <w:tblLook w:val="04A0"/>
        </w:tblPrEx>
        <w:tc>
          <w:tcPr>
            <w:tcW w:w="81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企业债券</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w:t>
            </w:r>
          </w:p>
        </w:tc>
      </w:tr>
      <w:tr w:rsidTr="00064F67">
        <w:tblPrEx>
          <w:tblW w:w="8000" w:type="dxa"/>
          <w:tblLayout w:type="fixed"/>
          <w:tblLook w:val="04A0"/>
        </w:tblPrEx>
        <w:tc>
          <w:tcPr>
            <w:tcW w:w="81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企业短期融资券</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w:t>
            </w:r>
          </w:p>
        </w:tc>
      </w:tr>
      <w:tr w:rsidTr="00064F67">
        <w:tblPrEx>
          <w:tblW w:w="8000" w:type="dxa"/>
          <w:tblLayout w:type="fixed"/>
          <w:tblLook w:val="04A0"/>
        </w:tblPrEx>
        <w:tc>
          <w:tcPr>
            <w:tcW w:w="81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中期票据</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30,072,188.61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2.42</w:t>
            </w:r>
          </w:p>
        </w:tc>
      </w:tr>
      <w:tr w:rsidTr="00064F67">
        <w:tblPrEx>
          <w:tblW w:w="8000" w:type="dxa"/>
          <w:tblLayout w:type="fixed"/>
          <w:tblLook w:val="04A0"/>
        </w:tblPrEx>
        <w:tc>
          <w:tcPr>
            <w:tcW w:w="81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同业存单</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406,504,563.66</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32.78</w:t>
            </w:r>
          </w:p>
        </w:tc>
      </w:tr>
      <w:tr w:rsidTr="00064F67">
        <w:tblPrEx>
          <w:tblW w:w="8000" w:type="dxa"/>
          <w:tblLayout w:type="fixed"/>
          <w:tblLook w:val="04A0"/>
        </w:tblPrEx>
        <w:tc>
          <w:tcPr>
            <w:tcW w:w="81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其他</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w:t>
            </w:r>
          </w:p>
        </w:tc>
      </w:tr>
      <w:tr w:rsidTr="00064F67">
        <w:tblPrEx>
          <w:tblW w:w="8000" w:type="dxa"/>
          <w:tblLayout w:type="fixed"/>
          <w:tblLook w:val="04A0"/>
        </w:tblPrEx>
        <w:tc>
          <w:tcPr>
            <w:tcW w:w="81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合计</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506,401,793.82</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40.84</w:t>
            </w:r>
          </w:p>
        </w:tc>
      </w:tr>
      <w:tr w:rsidTr="00064F67">
        <w:tblPrEx>
          <w:tblW w:w="8000" w:type="dxa"/>
          <w:tblLayout w:type="fixed"/>
          <w:tblLook w:val="04A0"/>
        </w:tblPrEx>
        <w:tc>
          <w:tcPr>
            <w:tcW w:w="817"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left"/>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剩余存续期超过</w:t>
            </w:r>
            <w:r w:rsidRPr="00634578">
              <w:rPr>
                <w:rFonts w:asciiTheme="minorEastAsia" w:eastAsiaTheme="minorEastAsia" w:hAnsiTheme="minorEastAsia"/>
                <w:color w:val="000000" w:themeColor="text1"/>
              </w:rPr>
              <w:t>397</w:t>
            </w:r>
            <w:r w:rsidRPr="00634578">
              <w:rPr>
                <w:rFonts w:asciiTheme="minorEastAsia" w:eastAsiaTheme="minorEastAsia" w:hAnsiTheme="minorEastAsia" w:hint="eastAsia"/>
                <w:color w:val="000000" w:themeColor="text1"/>
              </w:rPr>
              <w:t>天的浮动利率债券</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4F67" w:rsidRPr="00634578" w:rsidP="00064F67">
            <w:pPr>
              <w:spacing w:before="29" w:line="300" w:lineRule="auto"/>
              <w:ind w:left="17"/>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w:t>
            </w:r>
          </w:p>
        </w:tc>
      </w:tr>
    </w:tbl>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6、报告期末按摊余成本占基金资产净值比例大小排名的前十名债券投资明细</w:t>
      </w:r>
    </w:p>
    <w:tbl>
      <w:tblPr>
        <w:tblW w:w="80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4"/>
        <w:gridCol w:w="1212"/>
        <w:gridCol w:w="1375"/>
        <w:gridCol w:w="1643"/>
        <w:gridCol w:w="1685"/>
        <w:gridCol w:w="1231"/>
      </w:tblGrid>
      <w:tr w:rsidTr="00064F67">
        <w:tblPrEx>
          <w:tblW w:w="80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6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序号</w:t>
            </w:r>
          </w:p>
        </w:tc>
        <w:tc>
          <w:tcPr>
            <w:tcW w:w="126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债券代码</w:t>
            </w:r>
          </w:p>
        </w:tc>
        <w:tc>
          <w:tcPr>
            <w:tcW w:w="126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债券名称</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债券数量</w:t>
            </w:r>
          </w:p>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（张）</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摊余成本（元）</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占基金资产净值比例（％）</w:t>
            </w:r>
          </w:p>
        </w:tc>
      </w:tr>
      <w:tr w:rsidTr="00064F67">
        <w:tblPrEx>
          <w:tblW w:w="8000" w:type="dxa"/>
          <w:tblInd w:w="15" w:type="dxa"/>
          <w:tblLook w:val="00A0"/>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112004109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w:t>
            </w:r>
            <w:r w:rsidRPr="00634578">
              <w:rPr>
                <w:rFonts w:asciiTheme="minorEastAsia" w:eastAsiaTheme="minorEastAsia" w:hAnsiTheme="minorEastAsia" w:hint="eastAsia"/>
                <w:color w:val="000000" w:themeColor="text1"/>
              </w:rPr>
              <w:t>中国银行</w:t>
            </w:r>
            <w:r w:rsidRPr="00634578">
              <w:rPr>
                <w:rFonts w:asciiTheme="minorEastAsia" w:eastAsiaTheme="minorEastAsia" w:hAnsiTheme="minorEastAsia"/>
                <w:color w:val="000000" w:themeColor="text1"/>
              </w:rPr>
              <w:t>CD109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99,402,376.96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8.02</w:t>
            </w:r>
          </w:p>
        </w:tc>
      </w:tr>
      <w:tr w:rsidTr="00064F67">
        <w:tblPrEx>
          <w:tblW w:w="8000" w:type="dxa"/>
          <w:tblInd w:w="15" w:type="dxa"/>
          <w:tblLook w:val="00A0"/>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112008183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w:t>
            </w:r>
            <w:r w:rsidRPr="00634578">
              <w:rPr>
                <w:rFonts w:asciiTheme="minorEastAsia" w:eastAsiaTheme="minorEastAsia" w:hAnsiTheme="minorEastAsia" w:hint="eastAsia"/>
                <w:color w:val="000000" w:themeColor="text1"/>
              </w:rPr>
              <w:t>中信银行</w:t>
            </w:r>
            <w:r w:rsidRPr="00634578">
              <w:rPr>
                <w:rFonts w:asciiTheme="minorEastAsia" w:eastAsiaTheme="minorEastAsia" w:hAnsiTheme="minorEastAsia"/>
                <w:color w:val="000000" w:themeColor="text1"/>
              </w:rPr>
              <w:t>CD183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98,974,662.45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7.98</w:t>
            </w:r>
          </w:p>
        </w:tc>
      </w:tr>
      <w:tr w:rsidTr="00064F67">
        <w:tblPrEx>
          <w:tblW w:w="8000" w:type="dxa"/>
          <w:tblInd w:w="15" w:type="dxa"/>
          <w:tblLook w:val="00A0"/>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112004009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w:t>
            </w:r>
            <w:r w:rsidRPr="00634578">
              <w:rPr>
                <w:rFonts w:asciiTheme="minorEastAsia" w:eastAsiaTheme="minorEastAsia" w:hAnsiTheme="minorEastAsia" w:hint="eastAsia"/>
                <w:color w:val="000000" w:themeColor="text1"/>
              </w:rPr>
              <w:t>中国银行</w:t>
            </w:r>
            <w:r w:rsidRPr="00634578">
              <w:rPr>
                <w:rFonts w:asciiTheme="minorEastAsia" w:eastAsiaTheme="minorEastAsia" w:hAnsiTheme="minorEastAsia"/>
                <w:color w:val="000000" w:themeColor="text1"/>
              </w:rPr>
              <w:t>CD009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49,903,130.10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4.02</w:t>
            </w:r>
          </w:p>
        </w:tc>
      </w:tr>
      <w:tr w:rsidTr="00064F67">
        <w:tblPrEx>
          <w:tblW w:w="8000" w:type="dxa"/>
          <w:tblInd w:w="15" w:type="dxa"/>
          <w:tblLook w:val="00A0"/>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112010131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w:t>
            </w:r>
            <w:r w:rsidRPr="00634578">
              <w:rPr>
                <w:rFonts w:asciiTheme="minorEastAsia" w:eastAsiaTheme="minorEastAsia" w:hAnsiTheme="minorEastAsia" w:hint="eastAsia"/>
                <w:color w:val="000000" w:themeColor="text1"/>
              </w:rPr>
              <w:t>兴业银行</w:t>
            </w:r>
            <w:r w:rsidRPr="00634578">
              <w:rPr>
                <w:rFonts w:asciiTheme="minorEastAsia" w:eastAsiaTheme="minorEastAsia" w:hAnsiTheme="minorEastAsia"/>
                <w:color w:val="000000" w:themeColor="text1"/>
              </w:rPr>
              <w:t>CD131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49,859,997.21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4.02</w:t>
            </w:r>
          </w:p>
        </w:tc>
      </w:tr>
      <w:tr w:rsidTr="00064F67">
        <w:tblPrEx>
          <w:tblW w:w="8000" w:type="dxa"/>
          <w:tblInd w:w="15" w:type="dxa"/>
          <w:tblLook w:val="00A0"/>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112009461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w:t>
            </w:r>
            <w:r w:rsidRPr="00634578">
              <w:rPr>
                <w:rFonts w:asciiTheme="minorEastAsia" w:eastAsiaTheme="minorEastAsia" w:hAnsiTheme="minorEastAsia" w:hint="eastAsia"/>
                <w:color w:val="000000" w:themeColor="text1"/>
              </w:rPr>
              <w:t>浦发银行</w:t>
            </w:r>
            <w:r w:rsidRPr="00634578">
              <w:rPr>
                <w:rFonts w:asciiTheme="minorEastAsia" w:eastAsiaTheme="minorEastAsia" w:hAnsiTheme="minorEastAsia"/>
                <w:color w:val="000000" w:themeColor="text1"/>
              </w:rPr>
              <w:t>CD461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49,484,611.65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3.99</w:t>
            </w:r>
          </w:p>
        </w:tc>
      </w:tr>
      <w:tr w:rsidTr="00064F67">
        <w:tblPrEx>
          <w:tblW w:w="8000" w:type="dxa"/>
          <w:tblInd w:w="15" w:type="dxa"/>
          <w:tblLook w:val="00A0"/>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112017301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w:t>
            </w:r>
            <w:r w:rsidRPr="00634578">
              <w:rPr>
                <w:rFonts w:asciiTheme="minorEastAsia" w:eastAsiaTheme="minorEastAsia" w:hAnsiTheme="minorEastAsia" w:hint="eastAsia"/>
                <w:color w:val="000000" w:themeColor="text1"/>
              </w:rPr>
              <w:t>光大银行</w:t>
            </w:r>
            <w:r w:rsidRPr="00634578">
              <w:rPr>
                <w:rFonts w:asciiTheme="minorEastAsia" w:eastAsiaTheme="minorEastAsia" w:hAnsiTheme="minorEastAsia"/>
                <w:color w:val="000000" w:themeColor="text1"/>
              </w:rPr>
              <w:t>CD301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48,965,948.30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3.95</w:t>
            </w:r>
          </w:p>
        </w:tc>
      </w:tr>
      <w:tr w:rsidTr="00064F67">
        <w:tblPrEx>
          <w:tblW w:w="8000" w:type="dxa"/>
          <w:tblInd w:w="15" w:type="dxa"/>
          <w:tblLook w:val="00A0"/>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200406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w:t>
            </w:r>
            <w:r w:rsidRPr="00634578">
              <w:rPr>
                <w:rFonts w:asciiTheme="minorEastAsia" w:eastAsiaTheme="minorEastAsia" w:hAnsiTheme="minorEastAsia" w:hint="eastAsia"/>
                <w:color w:val="000000" w:themeColor="text1"/>
              </w:rPr>
              <w:t>农发</w:t>
            </w:r>
            <w:r w:rsidRPr="00634578">
              <w:rPr>
                <w:rFonts w:asciiTheme="minorEastAsia" w:eastAsiaTheme="minorEastAsia" w:hAnsiTheme="minorEastAsia"/>
                <w:color w:val="000000" w:themeColor="text1"/>
              </w:rPr>
              <w:t>06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39,938,748.34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3.22</w:t>
            </w:r>
          </w:p>
        </w:tc>
      </w:tr>
      <w:tr w:rsidTr="00064F67">
        <w:tblPrEx>
          <w:tblW w:w="8000" w:type="dxa"/>
          <w:tblInd w:w="15" w:type="dxa"/>
          <w:tblLook w:val="00A0"/>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209960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w:t>
            </w:r>
            <w:r w:rsidRPr="00634578">
              <w:rPr>
                <w:rFonts w:asciiTheme="minorEastAsia" w:eastAsiaTheme="minorEastAsia" w:hAnsiTheme="minorEastAsia" w:hint="eastAsia"/>
                <w:color w:val="000000" w:themeColor="text1"/>
              </w:rPr>
              <w:t>贴现国债</w:t>
            </w:r>
            <w:r w:rsidRPr="00634578">
              <w:rPr>
                <w:rFonts w:asciiTheme="minorEastAsia" w:eastAsiaTheme="minorEastAsia" w:hAnsiTheme="minorEastAsia"/>
                <w:color w:val="000000" w:themeColor="text1"/>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19,893,338.59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1.60</w:t>
            </w:r>
          </w:p>
        </w:tc>
      </w:tr>
      <w:tr w:rsidTr="00064F67">
        <w:tblPrEx>
          <w:tblW w:w="8000" w:type="dxa"/>
          <w:tblInd w:w="15" w:type="dxa"/>
          <w:tblLook w:val="00A0"/>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101800869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18</w:t>
            </w:r>
            <w:r w:rsidRPr="00634578">
              <w:rPr>
                <w:rFonts w:asciiTheme="minorEastAsia" w:eastAsiaTheme="minorEastAsia" w:hAnsiTheme="minorEastAsia" w:hint="eastAsia"/>
                <w:color w:val="000000" w:themeColor="text1"/>
              </w:rPr>
              <w:t>太不锈</w:t>
            </w:r>
            <w:r w:rsidRPr="00634578">
              <w:rPr>
                <w:rFonts w:asciiTheme="minorEastAsia" w:eastAsiaTheme="minorEastAsia" w:hAnsiTheme="minorEastAsia"/>
                <w:color w:val="000000" w:themeColor="text1"/>
              </w:rPr>
              <w:t>MTN001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10,055,354.88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0.81</w:t>
            </w:r>
          </w:p>
        </w:tc>
      </w:tr>
      <w:tr w:rsidTr="00064F67">
        <w:tblPrEx>
          <w:tblW w:w="8000" w:type="dxa"/>
          <w:tblInd w:w="15" w:type="dxa"/>
          <w:tblLook w:val="00A0"/>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101660033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w:t>
            </w:r>
            <w:r w:rsidRPr="00634578">
              <w:rPr>
                <w:rFonts w:asciiTheme="minorEastAsia" w:eastAsiaTheme="minorEastAsia" w:hAnsiTheme="minorEastAsia" w:hint="eastAsia"/>
                <w:color w:val="000000" w:themeColor="text1"/>
              </w:rPr>
              <w:t>晋焦煤</w:t>
            </w:r>
            <w:r w:rsidRPr="00634578">
              <w:rPr>
                <w:rFonts w:asciiTheme="minorEastAsia" w:eastAsiaTheme="minorEastAsia" w:hAnsiTheme="minorEastAsia"/>
                <w:color w:val="000000" w:themeColor="text1"/>
              </w:rPr>
              <w:t>MTN001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10,009,185.51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0.81</w:t>
            </w:r>
          </w:p>
        </w:tc>
      </w:tr>
    </w:tbl>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7、“影子定价”与“摊余成本法”确定的基金资产净值的偏离</w:t>
      </w:r>
    </w:p>
    <w:tbl>
      <w:tblPr>
        <w:tblW w:w="8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49"/>
        <w:gridCol w:w="2951"/>
      </w:tblGrid>
      <w:tr w:rsidTr="00064F67">
        <w:tblPrEx>
          <w:tblW w:w="8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581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项目</w:t>
            </w:r>
          </w:p>
        </w:tc>
        <w:tc>
          <w:tcPr>
            <w:tcW w:w="338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偏离情况</w:t>
            </w:r>
          </w:p>
        </w:tc>
      </w:tr>
      <w:tr w:rsidTr="00064F67">
        <w:tblPrEx>
          <w:tblW w:w="8000" w:type="dxa"/>
          <w:tblInd w:w="108" w:type="dxa"/>
          <w:tblLayout w:type="fixed"/>
          <w:tblLook w:val="04A0"/>
        </w:tblPrEx>
        <w:tc>
          <w:tcPr>
            <w:tcW w:w="581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报告期内偏离度的绝对值在</w:t>
            </w:r>
            <w:r w:rsidRPr="00634578">
              <w:rPr>
                <w:rFonts w:asciiTheme="minorEastAsia" w:eastAsiaTheme="minorEastAsia" w:hAnsiTheme="minorEastAsia"/>
                <w:color w:val="000000" w:themeColor="text1"/>
                <w:kern w:val="0"/>
              </w:rPr>
              <w:t>0.25(</w:t>
            </w:r>
            <w:r w:rsidRPr="00634578">
              <w:rPr>
                <w:rFonts w:asciiTheme="minorEastAsia" w:eastAsiaTheme="minorEastAsia" w:hAnsiTheme="minorEastAsia" w:hint="eastAsia"/>
                <w:color w:val="000000" w:themeColor="text1"/>
                <w:kern w:val="0"/>
              </w:rPr>
              <w:t>含</w:t>
            </w:r>
            <w:r w:rsidRPr="00634578">
              <w:rPr>
                <w:rFonts w:asciiTheme="minorEastAsia" w:eastAsiaTheme="minorEastAsia" w:hAnsiTheme="minorEastAsia"/>
                <w:color w:val="000000" w:themeColor="text1"/>
                <w:kern w:val="0"/>
              </w:rPr>
              <w:t>)-0.5%</w:t>
            </w:r>
            <w:r w:rsidRPr="00634578">
              <w:rPr>
                <w:rFonts w:asciiTheme="minorEastAsia" w:eastAsiaTheme="minorEastAsia" w:hAnsiTheme="minorEastAsia" w:hint="eastAsia"/>
                <w:color w:val="000000" w:themeColor="text1"/>
                <w:kern w:val="0"/>
              </w:rPr>
              <w:t>间的次数</w:t>
            </w:r>
          </w:p>
        </w:tc>
        <w:tc>
          <w:tcPr>
            <w:tcW w:w="3382" w:type="dxa"/>
            <w:tcBorders>
              <w:top w:val="single" w:sz="4" w:space="0" w:color="000000"/>
              <w:left w:val="single" w:sz="4" w:space="0" w:color="000000"/>
              <w:bottom w:val="single" w:sz="4" w:space="0" w:color="000000"/>
              <w:right w:val="single" w:sz="4" w:space="0" w:color="000000"/>
            </w:tcBorders>
            <w:vAlign w:val="bottom"/>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w:t>
            </w:r>
            <w:r w:rsidRPr="00634578">
              <w:rPr>
                <w:rFonts w:asciiTheme="minorEastAsia" w:eastAsiaTheme="minorEastAsia" w:hAnsiTheme="minorEastAsia" w:hint="eastAsia"/>
                <w:color w:val="000000" w:themeColor="text1"/>
              </w:rPr>
              <w:t>次</w:t>
            </w:r>
          </w:p>
        </w:tc>
      </w:tr>
      <w:tr w:rsidTr="00064F67">
        <w:tblPrEx>
          <w:tblW w:w="8000" w:type="dxa"/>
          <w:tblInd w:w="108" w:type="dxa"/>
          <w:tblLayout w:type="fixed"/>
          <w:tblLook w:val="04A0"/>
        </w:tblPrEx>
        <w:tc>
          <w:tcPr>
            <w:tcW w:w="581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报告期内偏离度的最高值</w:t>
            </w:r>
          </w:p>
        </w:tc>
        <w:tc>
          <w:tcPr>
            <w:tcW w:w="3382" w:type="dxa"/>
            <w:tcBorders>
              <w:top w:val="single" w:sz="4" w:space="0" w:color="000000"/>
              <w:left w:val="single" w:sz="4" w:space="0" w:color="000000"/>
              <w:bottom w:val="single" w:sz="4" w:space="0" w:color="000000"/>
              <w:right w:val="single" w:sz="4" w:space="0" w:color="000000"/>
            </w:tcBorders>
            <w:vAlign w:val="bottom"/>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0.1352%</w:t>
            </w:r>
          </w:p>
        </w:tc>
      </w:tr>
      <w:tr w:rsidTr="00064F67">
        <w:tblPrEx>
          <w:tblW w:w="8000" w:type="dxa"/>
          <w:tblInd w:w="108" w:type="dxa"/>
          <w:tblLayout w:type="fixed"/>
          <w:tblLook w:val="04A0"/>
        </w:tblPrEx>
        <w:tc>
          <w:tcPr>
            <w:tcW w:w="581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报告期内偏离度的最低值</w:t>
            </w:r>
          </w:p>
        </w:tc>
        <w:tc>
          <w:tcPr>
            <w:tcW w:w="3382" w:type="dxa"/>
            <w:tcBorders>
              <w:top w:val="single" w:sz="4" w:space="0" w:color="000000"/>
              <w:left w:val="single" w:sz="4" w:space="0" w:color="000000"/>
              <w:bottom w:val="single" w:sz="4" w:space="0" w:color="000000"/>
              <w:right w:val="single" w:sz="4" w:space="0" w:color="000000"/>
            </w:tcBorders>
            <w:vAlign w:val="bottom"/>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-0.0075%</w:t>
            </w:r>
          </w:p>
        </w:tc>
      </w:tr>
      <w:tr w:rsidTr="00064F67">
        <w:tblPrEx>
          <w:tblW w:w="8000" w:type="dxa"/>
          <w:tblInd w:w="108" w:type="dxa"/>
          <w:tblLayout w:type="fixed"/>
          <w:tblLook w:val="04A0"/>
        </w:tblPrEx>
        <w:tc>
          <w:tcPr>
            <w:tcW w:w="581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报告期内每个工作日偏离度的绝对值的简单平均值</w:t>
            </w:r>
          </w:p>
        </w:tc>
        <w:tc>
          <w:tcPr>
            <w:tcW w:w="3382" w:type="dxa"/>
            <w:tcBorders>
              <w:top w:val="single" w:sz="4" w:space="0" w:color="000000"/>
              <w:left w:val="single" w:sz="4" w:space="0" w:color="000000"/>
              <w:bottom w:val="single" w:sz="4" w:space="0" w:color="000000"/>
              <w:right w:val="single" w:sz="4" w:space="0" w:color="000000"/>
            </w:tcBorders>
            <w:vAlign w:val="bottom"/>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0.0632%</w:t>
            </w:r>
          </w:p>
        </w:tc>
      </w:tr>
    </w:tbl>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报告期内负偏离度的绝对值达到</w:t>
      </w:r>
      <w:r w:rsidRPr="00634578">
        <w:rPr>
          <w:rFonts w:asciiTheme="minorEastAsia" w:eastAsiaTheme="minorEastAsia" w:hAnsiTheme="minorEastAsia"/>
          <w:bCs/>
          <w:color w:val="000000" w:themeColor="text1"/>
          <w:szCs w:val="21"/>
        </w:rPr>
        <w:t>0.25%</w:t>
      </w:r>
      <w:r w:rsidRPr="00634578">
        <w:rPr>
          <w:rFonts w:asciiTheme="minorEastAsia" w:eastAsiaTheme="minorEastAsia" w:hAnsiTheme="minorEastAsia" w:hint="eastAsia"/>
          <w:bCs/>
          <w:color w:val="000000" w:themeColor="text1"/>
          <w:szCs w:val="21"/>
        </w:rPr>
        <w:t>情况说明</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本基金本报告期内不存在负偏离度的绝对值达到</w:t>
      </w:r>
      <w:r w:rsidRPr="00634578">
        <w:rPr>
          <w:rFonts w:asciiTheme="minorEastAsia" w:eastAsiaTheme="minorEastAsia" w:hAnsiTheme="minorEastAsia"/>
          <w:bCs/>
          <w:color w:val="000000" w:themeColor="text1"/>
          <w:szCs w:val="21"/>
        </w:rPr>
        <w:t>0.25%</w:t>
      </w:r>
      <w:r w:rsidRPr="00634578">
        <w:rPr>
          <w:rFonts w:asciiTheme="minorEastAsia" w:eastAsiaTheme="minorEastAsia" w:hAnsiTheme="minorEastAsia" w:hint="eastAsia"/>
          <w:bCs/>
          <w:color w:val="000000" w:themeColor="text1"/>
          <w:szCs w:val="21"/>
        </w:rPr>
        <w:t>的情况。</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报告期内正偏离度的绝对值达到</w:t>
      </w:r>
      <w:r w:rsidRPr="00634578">
        <w:rPr>
          <w:rFonts w:asciiTheme="minorEastAsia" w:eastAsiaTheme="minorEastAsia" w:hAnsiTheme="minorEastAsia"/>
          <w:bCs/>
          <w:color w:val="000000" w:themeColor="text1"/>
          <w:szCs w:val="21"/>
        </w:rPr>
        <w:t>0.5%</w:t>
      </w:r>
      <w:r w:rsidRPr="00634578">
        <w:rPr>
          <w:rFonts w:asciiTheme="minorEastAsia" w:eastAsiaTheme="minorEastAsia" w:hAnsiTheme="minorEastAsia" w:hint="eastAsia"/>
          <w:bCs/>
          <w:color w:val="000000" w:themeColor="text1"/>
          <w:szCs w:val="21"/>
        </w:rPr>
        <w:t>情况说明</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本基金本报告期内不存在正偏离度的绝对值达到</w:t>
      </w:r>
      <w:r w:rsidRPr="00634578">
        <w:rPr>
          <w:rFonts w:asciiTheme="minorEastAsia" w:eastAsiaTheme="minorEastAsia" w:hAnsiTheme="minorEastAsia"/>
          <w:bCs/>
          <w:color w:val="000000" w:themeColor="text1"/>
          <w:szCs w:val="21"/>
        </w:rPr>
        <w:t>0.5%</w:t>
      </w:r>
      <w:r w:rsidRPr="00634578">
        <w:rPr>
          <w:rFonts w:asciiTheme="minorEastAsia" w:eastAsiaTheme="minorEastAsia" w:hAnsiTheme="minorEastAsia" w:hint="eastAsia"/>
          <w:bCs/>
          <w:color w:val="000000" w:themeColor="text1"/>
          <w:szCs w:val="21"/>
        </w:rPr>
        <w:t>的情况。</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8、报告期末按摊余成本占基金资产净值比例大小排名的前十名资产支持证券投资明细</w:t>
      </w:r>
    </w:p>
    <w:tbl>
      <w:tblPr>
        <w:tblW w:w="80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5"/>
        <w:gridCol w:w="1309"/>
        <w:gridCol w:w="1423"/>
        <w:gridCol w:w="1309"/>
        <w:gridCol w:w="1581"/>
        <w:gridCol w:w="1273"/>
      </w:tblGrid>
      <w:tr w:rsidTr="00064F67">
        <w:tblPrEx>
          <w:tblW w:w="80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547"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序号</w:t>
            </w:r>
          </w:p>
        </w:tc>
        <w:tc>
          <w:tcPr>
            <w:tcW w:w="1548"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证券代码</w:t>
            </w:r>
          </w:p>
        </w:tc>
        <w:tc>
          <w:tcPr>
            <w:tcW w:w="1548"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证券名称</w:t>
            </w:r>
          </w:p>
        </w:tc>
        <w:tc>
          <w:tcPr>
            <w:tcW w:w="1548"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数量（份）</w:t>
            </w:r>
          </w:p>
        </w:tc>
        <w:tc>
          <w:tcPr>
            <w:tcW w:w="1548"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摊余成本（元）</w:t>
            </w:r>
          </w:p>
        </w:tc>
        <w:tc>
          <w:tcPr>
            <w:tcW w:w="1548"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占基金资产净值比例（％）</w:t>
            </w:r>
          </w:p>
        </w:tc>
      </w:tr>
      <w:tr w:rsidTr="00064F67">
        <w:tblPrEx>
          <w:tblW w:w="8000" w:type="dxa"/>
          <w:tblInd w:w="15" w:type="dxa"/>
          <w:tblLook w:val="00A0"/>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169212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w:t>
            </w:r>
            <w:r w:rsidRPr="00634578">
              <w:rPr>
                <w:rFonts w:asciiTheme="minorEastAsia" w:eastAsiaTheme="minorEastAsia" w:hAnsiTheme="minorEastAsia" w:hint="eastAsia"/>
                <w:color w:val="000000" w:themeColor="text1"/>
              </w:rPr>
              <w:t>花</w:t>
            </w:r>
            <w:r w:rsidRPr="00634578">
              <w:rPr>
                <w:rFonts w:asciiTheme="minorEastAsia" w:eastAsiaTheme="minorEastAsia" w:hAnsiTheme="minorEastAsia"/>
                <w:color w:val="000000" w:themeColor="text1"/>
              </w:rPr>
              <w:t>03A1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10,026,949.43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0.81</w:t>
            </w:r>
          </w:p>
        </w:tc>
      </w:tr>
      <w:tr w:rsidTr="00064F67">
        <w:tblPrEx>
          <w:tblW w:w="8000" w:type="dxa"/>
          <w:tblInd w:w="15" w:type="dxa"/>
          <w:tblLook w:val="00A0"/>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169883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w:t>
            </w:r>
            <w:r w:rsidRPr="00634578">
              <w:rPr>
                <w:rFonts w:asciiTheme="minorEastAsia" w:eastAsiaTheme="minorEastAsia" w:hAnsiTheme="minorEastAsia" w:hint="eastAsia"/>
                <w:color w:val="000000" w:themeColor="text1"/>
              </w:rPr>
              <w:t>天圆</w:t>
            </w:r>
            <w:r w:rsidRPr="00634578">
              <w:rPr>
                <w:rFonts w:asciiTheme="minorEastAsia" w:eastAsiaTheme="minorEastAsia" w:hAnsiTheme="minorEastAsia"/>
                <w:color w:val="000000" w:themeColor="text1"/>
              </w:rPr>
              <w:t>03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10,025,519.95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0.81</w:t>
            </w:r>
          </w:p>
        </w:tc>
      </w:tr>
      <w:tr w:rsidTr="00064F67">
        <w:tblPrEx>
          <w:tblW w:w="8000" w:type="dxa"/>
          <w:tblInd w:w="15" w:type="dxa"/>
          <w:tblLook w:val="00A0"/>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169598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惠盈</w:t>
            </w:r>
            <w:r w:rsidRPr="00634578">
              <w:rPr>
                <w:rFonts w:asciiTheme="minorEastAsia" w:eastAsiaTheme="minorEastAsia" w:hAnsiTheme="minorEastAsia"/>
                <w:color w:val="000000" w:themeColor="text1"/>
              </w:rPr>
              <w:t>10A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10,013,211.11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0.81</w:t>
            </w:r>
          </w:p>
        </w:tc>
      </w:tr>
      <w:tr w:rsidTr="00064F67">
        <w:tblPrEx>
          <w:tblW w:w="8000" w:type="dxa"/>
          <w:tblInd w:w="15" w:type="dxa"/>
          <w:tblLook w:val="00A0"/>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2189118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21</w:t>
            </w:r>
            <w:r w:rsidRPr="00634578">
              <w:rPr>
                <w:rFonts w:asciiTheme="minorEastAsia" w:eastAsiaTheme="minorEastAsia" w:hAnsiTheme="minorEastAsia" w:hint="eastAsia"/>
                <w:color w:val="000000" w:themeColor="text1"/>
              </w:rPr>
              <w:t>农盈利信</w:t>
            </w:r>
            <w:r w:rsidRPr="00634578">
              <w:rPr>
                <w:rFonts w:asciiTheme="minorEastAsia" w:eastAsiaTheme="minorEastAsia" w:hAnsiTheme="minorEastAsia"/>
                <w:color w:val="000000" w:themeColor="text1"/>
              </w:rPr>
              <w:t>1</w:t>
            </w:r>
            <w:r w:rsidRPr="00634578">
              <w:rPr>
                <w:rFonts w:asciiTheme="minorEastAsia" w:eastAsiaTheme="minorEastAsia" w:hAnsiTheme="minorEastAsia" w:hint="eastAsia"/>
                <w:color w:val="000000" w:themeColor="text1"/>
              </w:rPr>
              <w:t>优先</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9,000,346.23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spacing w:line="300" w:lineRule="auto"/>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0.73</w:t>
            </w:r>
          </w:p>
        </w:tc>
      </w:tr>
    </w:tbl>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9、投资组合报告附注</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（1）基金计价方法说明</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本基金目前投资工具的估值方法如下：</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1）基金持有的债券（包括票据）购买时采用实际支付价款（包含交易费用）确定初始成本，按实际利率计算其摊余成本及各期利息收入，每日计提收益；</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2）基金持有的回购以成本列示，按实际利率在实际持有期间内逐日计提利息；合同利率与实际利率差异较小的，也可采用合同利率计算确定利息收入；</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3）基金持有的银行存款以本金列示，按实际协议利率逐日计提利息。</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如有确凿证据表明按上述方法进行估值不能客观反映其公允价值的，基金管理人可根据具体情况与基金托管人商定后，按最能反映公允价值的方法估值。</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如有新增事项，按国家最新规定估值。</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（2）2020年4月20日，中国银行保险监督管理委员会对中国银行股份有限公司的如下违法违规行为</w:t>
      </w:r>
      <w:r w:rsidRPr="00634578">
        <w:rPr>
          <w:rFonts w:asciiTheme="minorEastAsia" w:eastAsiaTheme="minorEastAsia" w:hAnsiTheme="minorEastAsia" w:hint="eastAsia"/>
          <w:bCs/>
          <w:color w:val="000000" w:themeColor="text1"/>
          <w:szCs w:val="21"/>
        </w:rPr>
        <w:t>作出罚款</w:t>
      </w:r>
      <w:r w:rsidRPr="00634578">
        <w:rPr>
          <w:rFonts w:asciiTheme="minorEastAsia" w:eastAsiaTheme="minorEastAsia" w:hAnsiTheme="minorEastAsia"/>
          <w:bCs/>
          <w:color w:val="000000" w:themeColor="text1"/>
          <w:szCs w:val="21"/>
        </w:rPr>
        <w:t>270</w:t>
      </w:r>
      <w:r w:rsidRPr="00634578">
        <w:rPr>
          <w:rFonts w:asciiTheme="minorEastAsia" w:eastAsiaTheme="minorEastAsia" w:hAnsiTheme="minorEastAsia" w:hint="eastAsia"/>
          <w:bCs/>
          <w:color w:val="000000" w:themeColor="text1"/>
          <w:szCs w:val="21"/>
        </w:rPr>
        <w:t>万元的行政处罚决定：中国银行监管标准化数据（</w:t>
      </w:r>
      <w:r w:rsidRPr="00634578">
        <w:rPr>
          <w:rFonts w:asciiTheme="minorEastAsia" w:eastAsiaTheme="minorEastAsia" w:hAnsiTheme="minorEastAsia"/>
          <w:bCs/>
          <w:color w:val="000000" w:themeColor="text1"/>
          <w:szCs w:val="21"/>
        </w:rPr>
        <w:t>EAST</w:t>
      </w:r>
      <w:r w:rsidRPr="00634578">
        <w:rPr>
          <w:rFonts w:asciiTheme="minorEastAsia" w:eastAsiaTheme="minorEastAsia" w:hAnsiTheme="minorEastAsia" w:hint="eastAsia"/>
          <w:bCs/>
          <w:color w:val="000000" w:themeColor="text1"/>
          <w:szCs w:val="21"/>
        </w:rPr>
        <w:t>）系统数据质量及数据报送存在（一）理财产品数量漏报；（二）资金交易信息漏报严重；（三）贸易融资业务漏报；（四）分户账明细记录应报未报；（五）分户账账户数据应报未报；（六）关键且应报字段漏报或填报错误。</w:t>
      </w:r>
      <w:r w:rsidRPr="00634578">
        <w:rPr>
          <w:rFonts w:asciiTheme="minorEastAsia" w:eastAsiaTheme="minorEastAsia" w:hAnsiTheme="minorEastAsia"/>
          <w:bCs/>
          <w:color w:val="000000" w:themeColor="text1"/>
          <w:szCs w:val="21"/>
        </w:rPr>
        <w:t>2020</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12</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日，中国银行保险监督管理委员会对中国银行股份有限公司</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原油宝</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产品风险事件中的如下违法违规行为作出罚款</w:t>
      </w:r>
      <w:r w:rsidRPr="00634578">
        <w:rPr>
          <w:rFonts w:asciiTheme="minorEastAsia" w:eastAsiaTheme="minorEastAsia" w:hAnsiTheme="minorEastAsia"/>
          <w:bCs/>
          <w:color w:val="000000" w:themeColor="text1"/>
          <w:szCs w:val="21"/>
        </w:rPr>
        <w:t>5050</w:t>
      </w:r>
      <w:r w:rsidRPr="00634578">
        <w:rPr>
          <w:rFonts w:asciiTheme="minorEastAsia" w:eastAsiaTheme="minorEastAsia" w:hAnsiTheme="minorEastAsia" w:hint="eastAsia"/>
          <w:bCs/>
          <w:color w:val="000000" w:themeColor="text1"/>
          <w:szCs w:val="21"/>
        </w:rPr>
        <w:t>万元的行政处罚决定：产品管理不规范，包括保证金相关合同条款不清晰、产品后评价工作不独立、未对产品开展压力测试相关工作等；风险管理不审慎，包括市场风险限额设置存在缺陷、市场风险限额调整和超限操作不规范、交易系统功能存在缺陷未按要求及时整改等；内控管理不健全，包括绩效考核和激励机制不合理、消费者权益保护履职不足、全行内控合规检查未涵盖全球市场部对私产品销售管理等；销售管理不合规，包括个别客户年龄不满足准入要求、部分宣传销售文本内容存在夸大或者片面宣传、采取赠送实物等方式销售产品等。</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2020</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日，中国银行保险监督管理委员会对中信银行股份有限公司的如下违法违规行为作出罚款</w:t>
      </w:r>
      <w:r w:rsidRPr="00634578">
        <w:rPr>
          <w:rFonts w:asciiTheme="minorEastAsia" w:eastAsiaTheme="minorEastAsia" w:hAnsiTheme="minorEastAsia"/>
          <w:bCs/>
          <w:color w:val="000000" w:themeColor="text1"/>
          <w:szCs w:val="21"/>
        </w:rPr>
        <w:t>160</w:t>
      </w:r>
      <w:r w:rsidRPr="00634578">
        <w:rPr>
          <w:rFonts w:asciiTheme="minorEastAsia" w:eastAsiaTheme="minorEastAsia" w:hAnsiTheme="minorEastAsia" w:hint="eastAsia"/>
          <w:bCs/>
          <w:color w:val="000000" w:themeColor="text1"/>
          <w:szCs w:val="21"/>
        </w:rPr>
        <w:t>万元的行政处罚决定：中信银行监管标准化数据（</w:t>
      </w:r>
      <w:r w:rsidRPr="00634578">
        <w:rPr>
          <w:rFonts w:asciiTheme="minorEastAsia" w:eastAsiaTheme="minorEastAsia" w:hAnsiTheme="minorEastAsia"/>
          <w:bCs/>
          <w:color w:val="000000" w:themeColor="text1"/>
          <w:szCs w:val="21"/>
        </w:rPr>
        <w:t>EAST</w:t>
      </w:r>
      <w:r w:rsidRPr="00634578">
        <w:rPr>
          <w:rFonts w:asciiTheme="minorEastAsia" w:eastAsiaTheme="minorEastAsia" w:hAnsiTheme="minorEastAsia" w:hint="eastAsia"/>
          <w:bCs/>
          <w:color w:val="000000" w:themeColor="text1"/>
          <w:szCs w:val="21"/>
        </w:rPr>
        <w:t>）系统数据质量及数据报送存在（一）理财产品数量漏报；（二）信贷资产转让业务漏报；（三）贸易融资</w:t>
      </w:r>
      <w:r w:rsidRPr="00634578">
        <w:rPr>
          <w:rFonts w:asciiTheme="minorEastAsia" w:eastAsiaTheme="minorEastAsia" w:hAnsiTheme="minorEastAsia" w:hint="eastAsia"/>
          <w:bCs/>
          <w:color w:val="000000" w:themeColor="text1"/>
          <w:szCs w:val="21"/>
        </w:rPr>
        <w:t>业务漏报；（四）分户账明细记录应报未报；（五）分户账账户数据应报未报；（六）关键且应报字段漏报或填报错误。</w:t>
      </w:r>
      <w:r w:rsidRPr="00634578">
        <w:rPr>
          <w:rFonts w:asciiTheme="minorEastAsia" w:eastAsiaTheme="minorEastAsia" w:hAnsiTheme="minorEastAsia"/>
          <w:bCs/>
          <w:color w:val="000000" w:themeColor="text1"/>
          <w:szCs w:val="21"/>
        </w:rPr>
        <w:t>2020</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8</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25</w:t>
      </w:r>
      <w:r w:rsidRPr="00634578">
        <w:rPr>
          <w:rFonts w:asciiTheme="minorEastAsia" w:eastAsiaTheme="minorEastAsia" w:hAnsiTheme="minorEastAsia" w:hint="eastAsia"/>
          <w:bCs/>
          <w:color w:val="000000" w:themeColor="text1"/>
          <w:szCs w:val="21"/>
        </w:rPr>
        <w:t>日，国家外汇管理局北京外汇管理部对中信银行的如下违法违规行为作出</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给予警告，没收违法所得</w:t>
      </w:r>
      <w:r w:rsidRPr="00634578">
        <w:rPr>
          <w:rFonts w:asciiTheme="minorEastAsia" w:eastAsiaTheme="minorEastAsia" w:hAnsiTheme="minorEastAsia"/>
          <w:bCs/>
          <w:color w:val="000000" w:themeColor="text1"/>
          <w:szCs w:val="21"/>
        </w:rPr>
        <w:t>14857527.66</w:t>
      </w:r>
      <w:r w:rsidRPr="00634578">
        <w:rPr>
          <w:rFonts w:asciiTheme="minorEastAsia" w:eastAsiaTheme="minorEastAsia" w:hAnsiTheme="minorEastAsia" w:hint="eastAsia"/>
          <w:bCs/>
          <w:color w:val="000000" w:themeColor="text1"/>
          <w:szCs w:val="21"/>
        </w:rPr>
        <w:t>元人民币，并处</w:t>
      </w:r>
      <w:r w:rsidRPr="00634578">
        <w:rPr>
          <w:rFonts w:asciiTheme="minorEastAsia" w:eastAsiaTheme="minorEastAsia" w:hAnsiTheme="minorEastAsia"/>
          <w:bCs/>
          <w:color w:val="000000" w:themeColor="text1"/>
          <w:szCs w:val="21"/>
        </w:rPr>
        <w:t>1177.04</w:t>
      </w:r>
      <w:r w:rsidRPr="00634578">
        <w:rPr>
          <w:rFonts w:asciiTheme="minorEastAsia" w:eastAsiaTheme="minorEastAsia" w:hAnsiTheme="minorEastAsia" w:hint="eastAsia"/>
          <w:bCs/>
          <w:color w:val="000000" w:themeColor="text1"/>
          <w:szCs w:val="21"/>
        </w:rPr>
        <w:t>万元人民币罚款</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的行政处罚决定：违规办理内保外贷业务；办理经常项目资金收付，未对交易单证的真实性及其与外汇收支的一致性进行合理审查；违反规定办理资本项目资金收付；违反规定办理售汇业务；违反外汇账户管理规定。</w:t>
      </w:r>
      <w:r w:rsidRPr="00634578">
        <w:rPr>
          <w:rFonts w:asciiTheme="minorEastAsia" w:eastAsiaTheme="minorEastAsia" w:hAnsiTheme="minorEastAsia"/>
          <w:bCs/>
          <w:color w:val="000000" w:themeColor="text1"/>
          <w:szCs w:val="21"/>
        </w:rPr>
        <w:t>2020</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11</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26</w:t>
      </w:r>
      <w:r w:rsidRPr="00634578">
        <w:rPr>
          <w:rFonts w:asciiTheme="minorEastAsia" w:eastAsiaTheme="minorEastAsia" w:hAnsiTheme="minorEastAsia" w:hint="eastAsia"/>
          <w:bCs/>
          <w:color w:val="000000" w:themeColor="text1"/>
          <w:szCs w:val="21"/>
        </w:rPr>
        <w:t>日，国家外汇管理局北京外汇管理部对中信银行违反规定办理售汇业务的行为，没收违法所得</w:t>
      </w:r>
      <w:r w:rsidRPr="00634578">
        <w:rPr>
          <w:rFonts w:asciiTheme="minorEastAsia" w:eastAsiaTheme="minorEastAsia" w:hAnsiTheme="minorEastAsia"/>
          <w:bCs/>
          <w:color w:val="000000" w:themeColor="text1"/>
          <w:szCs w:val="21"/>
        </w:rPr>
        <w:t>661782.53</w:t>
      </w:r>
      <w:r w:rsidRPr="00634578">
        <w:rPr>
          <w:rFonts w:asciiTheme="minorEastAsia" w:eastAsiaTheme="minorEastAsia" w:hAnsiTheme="minorEastAsia" w:hint="eastAsia"/>
          <w:bCs/>
          <w:color w:val="000000" w:themeColor="text1"/>
          <w:szCs w:val="21"/>
        </w:rPr>
        <w:t>元人民币，并处</w:t>
      </w:r>
      <w:r w:rsidRPr="00634578">
        <w:rPr>
          <w:rFonts w:asciiTheme="minorEastAsia" w:eastAsiaTheme="minorEastAsia" w:hAnsiTheme="minorEastAsia"/>
          <w:bCs/>
          <w:color w:val="000000" w:themeColor="text1"/>
          <w:szCs w:val="21"/>
        </w:rPr>
        <w:t>40</w:t>
      </w:r>
      <w:r w:rsidRPr="00634578">
        <w:rPr>
          <w:rFonts w:asciiTheme="minorEastAsia" w:eastAsiaTheme="minorEastAsia" w:hAnsiTheme="minorEastAsia" w:hint="eastAsia"/>
          <w:bCs/>
          <w:color w:val="000000" w:themeColor="text1"/>
          <w:szCs w:val="21"/>
        </w:rPr>
        <w:t>万元人民币罚款。</w:t>
      </w:r>
      <w:r w:rsidRPr="00634578">
        <w:rPr>
          <w:rFonts w:asciiTheme="minorEastAsia" w:eastAsiaTheme="minorEastAsia" w:hAnsiTheme="minorEastAsia"/>
          <w:bCs/>
          <w:color w:val="000000" w:themeColor="text1"/>
          <w:szCs w:val="21"/>
        </w:rPr>
        <w:t>2021</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日，中国人民银行对中信银行的如下违法违规行为罚款</w:t>
      </w:r>
      <w:r w:rsidRPr="00634578">
        <w:rPr>
          <w:rFonts w:asciiTheme="minorEastAsia" w:eastAsiaTheme="minorEastAsia" w:hAnsiTheme="minorEastAsia"/>
          <w:bCs/>
          <w:color w:val="000000" w:themeColor="text1"/>
          <w:szCs w:val="21"/>
        </w:rPr>
        <w:t>2890</w:t>
      </w:r>
      <w:r w:rsidRPr="00634578">
        <w:rPr>
          <w:rFonts w:asciiTheme="minorEastAsia" w:eastAsiaTheme="minorEastAsia" w:hAnsiTheme="minorEastAsia" w:hint="eastAsia"/>
          <w:bCs/>
          <w:color w:val="000000" w:themeColor="text1"/>
          <w:szCs w:val="21"/>
        </w:rPr>
        <w:t>万元：</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未按规定履行客户身份识别义务；</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未按规定保存客户身份资料和交易记录；</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未按规定报送大额交易报告和可疑交易报告；</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与身份不明的客户进行交易。</w:t>
      </w:r>
      <w:r w:rsidRPr="00634578">
        <w:rPr>
          <w:rFonts w:asciiTheme="minorEastAsia" w:eastAsiaTheme="minorEastAsia" w:hAnsiTheme="minorEastAsia"/>
          <w:bCs/>
          <w:color w:val="000000" w:themeColor="text1"/>
          <w:szCs w:val="21"/>
        </w:rPr>
        <w:t>2021</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17</w:t>
      </w:r>
      <w:r w:rsidRPr="00634578">
        <w:rPr>
          <w:rFonts w:asciiTheme="minorEastAsia" w:eastAsiaTheme="minorEastAsia" w:hAnsiTheme="minorEastAsia" w:hint="eastAsia"/>
          <w:bCs/>
          <w:color w:val="000000" w:themeColor="text1"/>
          <w:szCs w:val="21"/>
        </w:rPr>
        <w:t>日，中国银行保险监督管理委员会对中信银行的如下违法违规行为罚款</w:t>
      </w:r>
      <w:r w:rsidRPr="00634578">
        <w:rPr>
          <w:rFonts w:asciiTheme="minorEastAsia" w:eastAsiaTheme="minorEastAsia" w:hAnsiTheme="minorEastAsia"/>
          <w:bCs/>
          <w:color w:val="000000" w:themeColor="text1"/>
          <w:szCs w:val="21"/>
        </w:rPr>
        <w:t>450</w:t>
      </w:r>
      <w:r w:rsidRPr="00634578">
        <w:rPr>
          <w:rFonts w:asciiTheme="minorEastAsia" w:eastAsiaTheme="minorEastAsia" w:hAnsiTheme="minorEastAsia" w:hint="eastAsia"/>
          <w:bCs/>
          <w:color w:val="000000" w:themeColor="text1"/>
          <w:szCs w:val="21"/>
        </w:rPr>
        <w:t>万元：一、客户信息保护体制机制不健全；柜面非密查询客户账户明细缺乏规范、统一的业务操作流程与必要的内部控制措施，乱象整治自查不力；二、客户信息收集环节管理不规范；客户数据访问控制管理不符合业务</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必须知道</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和</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最小授权</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原则；查询客户账户明细事由不真实；未经客户本人授权查询并向第三方提供其个人银行账户交易信息；三、对客户敏感信息管理不善，致其流出至互联网；违规存储客户敏感信息；四、系统权限管理存在漏洞，重要岗位及外包机构管理存在缺陷。</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2020</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8</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21</w:t>
      </w:r>
      <w:r w:rsidRPr="00634578">
        <w:rPr>
          <w:rFonts w:asciiTheme="minorEastAsia" w:eastAsiaTheme="minorEastAsia" w:hAnsiTheme="minorEastAsia" w:hint="eastAsia"/>
          <w:bCs/>
          <w:color w:val="000000" w:themeColor="text1"/>
          <w:szCs w:val="21"/>
        </w:rPr>
        <w:t>日，中国银行保险监督管理委员会上海监管局对兴业银行股份有限公司资金营运中心的如下违法违规行为作出</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责令改正，并处罚款人民币</w:t>
      </w:r>
      <w:r w:rsidRPr="00634578">
        <w:rPr>
          <w:rFonts w:asciiTheme="minorEastAsia" w:eastAsiaTheme="minorEastAsia" w:hAnsiTheme="minorEastAsia"/>
          <w:bCs/>
          <w:color w:val="000000" w:themeColor="text1"/>
          <w:szCs w:val="21"/>
        </w:rPr>
        <w:t>50</w:t>
      </w:r>
      <w:r w:rsidRPr="00634578">
        <w:rPr>
          <w:rFonts w:asciiTheme="minorEastAsia" w:eastAsiaTheme="minorEastAsia" w:hAnsiTheme="minorEastAsia" w:hint="eastAsia"/>
          <w:bCs/>
          <w:color w:val="000000" w:themeColor="text1"/>
          <w:szCs w:val="21"/>
        </w:rPr>
        <w:t>万元</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的行政处罚决定：</w:t>
      </w:r>
      <w:r w:rsidRPr="00634578">
        <w:rPr>
          <w:rFonts w:asciiTheme="minorEastAsia" w:eastAsiaTheme="minorEastAsia" w:hAnsiTheme="minorEastAsia"/>
          <w:bCs/>
          <w:color w:val="000000" w:themeColor="text1"/>
          <w:szCs w:val="21"/>
        </w:rPr>
        <w:t>2017</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月至</w:t>
      </w:r>
      <w:r w:rsidRPr="00634578">
        <w:rPr>
          <w:rFonts w:asciiTheme="minorEastAsia" w:eastAsiaTheme="minorEastAsia" w:hAnsiTheme="minorEastAsia"/>
          <w:bCs/>
          <w:color w:val="000000" w:themeColor="text1"/>
          <w:szCs w:val="21"/>
        </w:rPr>
        <w:t>2019</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月，该中心黄金租赁业务严重违反审慎经营规则。</w:t>
      </w:r>
      <w:r w:rsidRPr="00634578">
        <w:rPr>
          <w:rFonts w:asciiTheme="minorEastAsia" w:eastAsiaTheme="minorEastAsia" w:hAnsiTheme="minorEastAsia"/>
          <w:bCs/>
          <w:color w:val="000000" w:themeColor="text1"/>
          <w:szCs w:val="21"/>
        </w:rPr>
        <w:t>2020</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8</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31</w:t>
      </w:r>
      <w:r w:rsidRPr="00634578">
        <w:rPr>
          <w:rFonts w:asciiTheme="minorEastAsia" w:eastAsiaTheme="minorEastAsia" w:hAnsiTheme="minorEastAsia" w:hint="eastAsia"/>
          <w:bCs/>
          <w:color w:val="000000" w:themeColor="text1"/>
          <w:szCs w:val="21"/>
        </w:rPr>
        <w:t>日，中国银保监会福建监管局对兴业银行股份有限公司的如下违法违规行为作出</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没收违法所得</w:t>
      </w:r>
      <w:r w:rsidRPr="00634578">
        <w:rPr>
          <w:rFonts w:asciiTheme="minorEastAsia" w:eastAsiaTheme="minorEastAsia" w:hAnsiTheme="minorEastAsia"/>
          <w:bCs/>
          <w:color w:val="000000" w:themeColor="text1"/>
          <w:szCs w:val="21"/>
        </w:rPr>
        <w:t>6,361,807.97</w:t>
      </w:r>
      <w:r w:rsidRPr="00634578">
        <w:rPr>
          <w:rFonts w:asciiTheme="minorEastAsia" w:eastAsiaTheme="minorEastAsia" w:hAnsiTheme="minorEastAsia" w:hint="eastAsia"/>
          <w:bCs/>
          <w:color w:val="000000" w:themeColor="text1"/>
          <w:szCs w:val="21"/>
        </w:rPr>
        <w:t>元，并合计处以罚款</w:t>
      </w:r>
      <w:r w:rsidRPr="00634578">
        <w:rPr>
          <w:rFonts w:asciiTheme="minorEastAsia" w:eastAsiaTheme="minorEastAsia" w:hAnsiTheme="minorEastAsia"/>
          <w:bCs/>
          <w:color w:val="000000" w:themeColor="text1"/>
          <w:szCs w:val="21"/>
        </w:rPr>
        <w:t>15,961,807.97</w:t>
      </w:r>
      <w:r w:rsidRPr="00634578">
        <w:rPr>
          <w:rFonts w:asciiTheme="minorEastAsia" w:eastAsiaTheme="minorEastAsia" w:hAnsiTheme="minorEastAsia" w:hint="eastAsia"/>
          <w:bCs/>
          <w:color w:val="000000" w:themeColor="text1"/>
          <w:szCs w:val="21"/>
        </w:rPr>
        <w:t>元</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的行政处罚决定：同业投资用途不合规、授信管理不尽职、采用不正当手段吸收存款、理财资金间接投资本行信贷资产收益权、非洁净转让信贷资产、违规接受地方财政部门担保。</w:t>
      </w:r>
      <w:r w:rsidRPr="00634578">
        <w:rPr>
          <w:rFonts w:asciiTheme="minorEastAsia" w:eastAsiaTheme="minorEastAsia" w:hAnsiTheme="minorEastAsia"/>
          <w:bCs/>
          <w:color w:val="000000" w:themeColor="text1"/>
          <w:szCs w:val="21"/>
        </w:rPr>
        <w:t>2020</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9</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日，中国人民银行福州中心支行对兴业银行股份有限公司的如下违法违规行为作出</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给予警告，没收违法所得</w:t>
      </w:r>
      <w:r w:rsidRPr="00634578">
        <w:rPr>
          <w:rFonts w:asciiTheme="minorEastAsia" w:eastAsiaTheme="minorEastAsia" w:hAnsiTheme="minorEastAsia"/>
          <w:bCs/>
          <w:color w:val="000000" w:themeColor="text1"/>
          <w:szCs w:val="21"/>
        </w:rPr>
        <w:t>10,875,088.15</w:t>
      </w:r>
      <w:r w:rsidRPr="00634578">
        <w:rPr>
          <w:rFonts w:asciiTheme="minorEastAsia" w:eastAsiaTheme="minorEastAsia" w:hAnsiTheme="minorEastAsia" w:hint="eastAsia"/>
          <w:bCs/>
          <w:color w:val="000000" w:themeColor="text1"/>
          <w:szCs w:val="21"/>
        </w:rPr>
        <w:t>元，并处</w:t>
      </w:r>
      <w:r w:rsidRPr="00634578">
        <w:rPr>
          <w:rFonts w:asciiTheme="minorEastAsia" w:eastAsiaTheme="minorEastAsia" w:hAnsiTheme="minorEastAsia"/>
          <w:bCs/>
          <w:color w:val="000000" w:themeColor="text1"/>
          <w:szCs w:val="21"/>
        </w:rPr>
        <w:t>13,824,431.23</w:t>
      </w:r>
      <w:r w:rsidRPr="00634578">
        <w:rPr>
          <w:rFonts w:asciiTheme="minorEastAsia" w:eastAsiaTheme="minorEastAsia" w:hAnsiTheme="minorEastAsia" w:hint="eastAsia"/>
          <w:bCs/>
          <w:color w:val="000000" w:themeColor="text1"/>
          <w:szCs w:val="21"/>
        </w:rPr>
        <w:t>元罚款</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的行政处罚决定：</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为无证机构提供转接清算服务，且未落实交易信息真实性、完整性、可追溯性及支付全流程中的一致性的规定；</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为支付机构超范围（超业务、超地域）经营提供支付服务，且未落实交易信息真实性、完整性、可追溯性及支付全流程中的一致性；</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违规连通上、下游支付机构，提供转接清算服务，且未落实交易信息真实性、完整性、可追溯性及支付全流程中的一致性；</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违反银行卡收单外包管理规定；</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未按规定履行客户身份识别义务。</w:t>
      </w:r>
      <w:r w:rsidRPr="00634578">
        <w:rPr>
          <w:rFonts w:asciiTheme="minorEastAsia" w:eastAsiaTheme="minorEastAsia" w:hAnsiTheme="minorEastAsia"/>
          <w:bCs/>
          <w:color w:val="000000" w:themeColor="text1"/>
          <w:szCs w:val="21"/>
        </w:rPr>
        <w:t>2020</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22</w:t>
      </w:r>
      <w:r w:rsidRPr="00634578">
        <w:rPr>
          <w:rFonts w:asciiTheme="minorEastAsia" w:eastAsiaTheme="minorEastAsia" w:hAnsiTheme="minorEastAsia" w:hint="eastAsia"/>
          <w:bCs/>
          <w:color w:val="000000" w:themeColor="text1"/>
          <w:szCs w:val="21"/>
        </w:rPr>
        <w:t>日，中国银行保险监督管理委员会上海监管局对兴业银行股份有限公司信用卡中心的如下违法违规行为作出</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责令改正，并处罚款人民币</w:t>
      </w:r>
      <w:r w:rsidRPr="00634578">
        <w:rPr>
          <w:rFonts w:asciiTheme="minorEastAsia" w:eastAsiaTheme="minorEastAsia" w:hAnsiTheme="minorEastAsia"/>
          <w:bCs/>
          <w:color w:val="000000" w:themeColor="text1"/>
          <w:szCs w:val="21"/>
        </w:rPr>
        <w:t>50</w:t>
      </w:r>
      <w:r w:rsidRPr="00634578">
        <w:rPr>
          <w:rFonts w:asciiTheme="minorEastAsia" w:eastAsiaTheme="minorEastAsia" w:hAnsiTheme="minorEastAsia" w:hint="eastAsia"/>
          <w:bCs/>
          <w:color w:val="000000" w:themeColor="text1"/>
          <w:szCs w:val="21"/>
        </w:rPr>
        <w:t>万元</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的行政处罚决定：信用卡授信审批严重违反审慎经营规则。</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2020</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8</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日，中国银行保险监督管理委员会上海监管局对上海浦东发展银行股份有限公司如下违法违规行为作出</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责令改正，并处罚款共计</w:t>
      </w:r>
      <w:r w:rsidRPr="00634578">
        <w:rPr>
          <w:rFonts w:asciiTheme="minorEastAsia" w:eastAsiaTheme="minorEastAsia" w:hAnsiTheme="minorEastAsia"/>
          <w:bCs/>
          <w:color w:val="000000" w:themeColor="text1"/>
          <w:szCs w:val="21"/>
        </w:rPr>
        <w:t>2100</w:t>
      </w:r>
      <w:r w:rsidRPr="00634578">
        <w:rPr>
          <w:rFonts w:asciiTheme="minorEastAsia" w:eastAsiaTheme="minorEastAsia" w:hAnsiTheme="minorEastAsia" w:hint="eastAsia"/>
          <w:bCs/>
          <w:color w:val="000000" w:themeColor="text1"/>
          <w:szCs w:val="21"/>
        </w:rPr>
        <w:t>万元</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的行政处罚：</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未按专营部门制规定开展同业业务；</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同业投资资金违规投向</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四证</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不全的房地产项目；</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延迟支付同业投资资金吸收存款；</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为银行理财资金投向非标准化债权资产违规提供担保；</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未按规定进行贷款资金支付管理与控制；</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个人消费贷款贷后管理未尽职；</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通过票据转贴现业务调节信贷规模；</w:t>
      </w:r>
      <w:r w:rsidRPr="00634578">
        <w:rPr>
          <w:rFonts w:asciiTheme="minorEastAsia" w:eastAsiaTheme="minorEastAsia" w:hAnsiTheme="minorEastAsia"/>
          <w:bCs/>
          <w:color w:val="000000" w:themeColor="text1"/>
          <w:szCs w:val="21"/>
        </w:rPr>
        <w:t>8.</w:t>
      </w:r>
      <w:r w:rsidRPr="00634578">
        <w:rPr>
          <w:rFonts w:asciiTheme="minorEastAsia" w:eastAsiaTheme="minorEastAsia" w:hAnsiTheme="minorEastAsia" w:hint="eastAsia"/>
          <w:bCs/>
          <w:color w:val="000000" w:themeColor="text1"/>
          <w:szCs w:val="21"/>
        </w:rPr>
        <w:t>银行承兑汇票业务保证金来源审核未尽职；</w:t>
      </w:r>
      <w:r w:rsidRPr="00634578">
        <w:rPr>
          <w:rFonts w:asciiTheme="minorEastAsia" w:eastAsiaTheme="minorEastAsia" w:hAnsiTheme="minorEastAsia"/>
          <w:bCs/>
          <w:color w:val="000000" w:themeColor="text1"/>
          <w:szCs w:val="21"/>
        </w:rPr>
        <w:t>9.</w:t>
      </w:r>
      <w:r w:rsidRPr="00634578">
        <w:rPr>
          <w:rFonts w:asciiTheme="minorEastAsia" w:eastAsiaTheme="minorEastAsia" w:hAnsiTheme="minorEastAsia" w:hint="eastAsia"/>
          <w:bCs/>
          <w:color w:val="000000" w:themeColor="text1"/>
          <w:szCs w:val="21"/>
        </w:rPr>
        <w:t>办理无真实贸易背景的贴现业务；</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委托贷款资金来源审查未尽职；</w:t>
      </w:r>
      <w:r w:rsidRPr="00634578">
        <w:rPr>
          <w:rFonts w:asciiTheme="minorEastAsia" w:eastAsiaTheme="minorEastAsia" w:hAnsiTheme="minorEastAsia"/>
          <w:bCs/>
          <w:color w:val="000000" w:themeColor="text1"/>
          <w:szCs w:val="21"/>
        </w:rPr>
        <w:t>11.</w:t>
      </w:r>
      <w:r w:rsidRPr="00634578">
        <w:rPr>
          <w:rFonts w:asciiTheme="minorEastAsia" w:eastAsiaTheme="minorEastAsia" w:hAnsiTheme="minorEastAsia" w:hint="eastAsia"/>
          <w:bCs/>
          <w:color w:val="000000" w:themeColor="text1"/>
          <w:szCs w:val="21"/>
        </w:rPr>
        <w:t>未按权限和程序办理委托贷款业务；</w:t>
      </w:r>
      <w:r w:rsidRPr="00634578">
        <w:rPr>
          <w:rFonts w:asciiTheme="minorEastAsia" w:eastAsiaTheme="minorEastAsia" w:hAnsiTheme="minorEastAsia"/>
          <w:bCs/>
          <w:color w:val="000000" w:themeColor="text1"/>
          <w:szCs w:val="21"/>
        </w:rPr>
        <w:t>12.</w:t>
      </w:r>
      <w:r w:rsidRPr="00634578">
        <w:rPr>
          <w:rFonts w:asciiTheme="minorEastAsia" w:eastAsiaTheme="minorEastAsia" w:hAnsiTheme="minorEastAsia" w:hint="eastAsia"/>
          <w:bCs/>
          <w:color w:val="000000" w:themeColor="text1"/>
          <w:szCs w:val="21"/>
        </w:rPr>
        <w:t>未按权限和程序办理非融资性保函业务。</w:t>
      </w:r>
      <w:r w:rsidRPr="00634578">
        <w:rPr>
          <w:rFonts w:asciiTheme="minorEastAsia" w:eastAsiaTheme="minorEastAsia" w:hAnsiTheme="minorEastAsia"/>
          <w:bCs/>
          <w:color w:val="000000" w:themeColor="text1"/>
          <w:szCs w:val="21"/>
        </w:rPr>
        <w:t>2020</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11</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26</w:t>
      </w:r>
      <w:r w:rsidRPr="00634578">
        <w:rPr>
          <w:rFonts w:asciiTheme="minorEastAsia" w:eastAsiaTheme="minorEastAsia" w:hAnsiTheme="minorEastAsia" w:hint="eastAsia"/>
          <w:bCs/>
          <w:color w:val="000000" w:themeColor="text1"/>
          <w:szCs w:val="21"/>
        </w:rPr>
        <w:t>日，国家外汇管理局上海市分局对上海浦东发展银行股份有限公司如下违法违规行为罚款</w:t>
      </w:r>
      <w:r w:rsidRPr="00634578">
        <w:rPr>
          <w:rFonts w:asciiTheme="minorEastAsia" w:eastAsiaTheme="minorEastAsia" w:hAnsiTheme="minorEastAsia"/>
          <w:bCs/>
          <w:color w:val="000000" w:themeColor="text1"/>
          <w:szCs w:val="21"/>
        </w:rPr>
        <w:t>140</w:t>
      </w:r>
      <w:r w:rsidRPr="00634578">
        <w:rPr>
          <w:rFonts w:asciiTheme="minorEastAsia" w:eastAsiaTheme="minorEastAsia" w:hAnsiTheme="minorEastAsia" w:hint="eastAsia"/>
          <w:bCs/>
          <w:color w:val="000000" w:themeColor="text1"/>
          <w:szCs w:val="21"/>
        </w:rPr>
        <w:t>万元人民币：</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、违反公正、公平、诚信原则，违规开展外汇市场交易。</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、违反银行交易记录管理规定。</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2020</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日，中国银行保险监督管理委员会对中国光大银行股份有限公司的如下违法违规行为作出</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罚款</w:t>
      </w:r>
      <w:r w:rsidRPr="00634578">
        <w:rPr>
          <w:rFonts w:asciiTheme="minorEastAsia" w:eastAsiaTheme="minorEastAsia" w:hAnsiTheme="minorEastAsia"/>
          <w:bCs/>
          <w:color w:val="000000" w:themeColor="text1"/>
          <w:szCs w:val="21"/>
        </w:rPr>
        <w:t>160</w:t>
      </w:r>
      <w:r w:rsidRPr="00634578">
        <w:rPr>
          <w:rFonts w:asciiTheme="minorEastAsia" w:eastAsiaTheme="minorEastAsia" w:hAnsiTheme="minorEastAsia" w:hint="eastAsia"/>
          <w:bCs/>
          <w:color w:val="000000" w:themeColor="text1"/>
          <w:szCs w:val="21"/>
        </w:rPr>
        <w:t>万元</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的行政处罚决定：光大银行监管标准化数据（</w:t>
      </w:r>
      <w:r w:rsidRPr="00634578">
        <w:rPr>
          <w:rFonts w:asciiTheme="minorEastAsia" w:eastAsiaTheme="minorEastAsia" w:hAnsiTheme="minorEastAsia"/>
          <w:bCs/>
          <w:color w:val="000000" w:themeColor="text1"/>
          <w:szCs w:val="21"/>
        </w:rPr>
        <w:t>EAST</w:t>
      </w:r>
      <w:r w:rsidRPr="00634578">
        <w:rPr>
          <w:rFonts w:asciiTheme="minorEastAsia" w:eastAsiaTheme="minorEastAsia" w:hAnsiTheme="minorEastAsia" w:hint="eastAsia"/>
          <w:bCs/>
          <w:color w:val="000000" w:themeColor="text1"/>
          <w:szCs w:val="21"/>
        </w:rPr>
        <w:t>）系统数据质量及数据报送（一）分户账明细记录应报未报；（二）关键且应报字段漏报或填报错误；（三）向检查组提供与事实不符的材料；（四）账户设置不能如实反映业务实际。</w:t>
      </w:r>
      <w:r w:rsidRPr="00634578">
        <w:rPr>
          <w:rFonts w:asciiTheme="minorEastAsia" w:eastAsiaTheme="minorEastAsia" w:hAnsiTheme="minorEastAsia"/>
          <w:bCs/>
          <w:color w:val="000000" w:themeColor="text1"/>
          <w:szCs w:val="21"/>
        </w:rPr>
        <w:t>2020</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日，国家外汇管理局北京外汇管理部对中国光大银行股份有限公司违反银行交易记录管理规定的行为，处</w:t>
      </w:r>
      <w:r w:rsidRPr="00634578">
        <w:rPr>
          <w:rFonts w:asciiTheme="minorEastAsia" w:eastAsiaTheme="minorEastAsia" w:hAnsiTheme="minorEastAsia"/>
          <w:bCs/>
          <w:color w:val="000000" w:themeColor="text1"/>
          <w:szCs w:val="21"/>
        </w:rPr>
        <w:t>60</w:t>
      </w:r>
      <w:r w:rsidRPr="00634578">
        <w:rPr>
          <w:rFonts w:asciiTheme="minorEastAsia" w:eastAsiaTheme="minorEastAsia" w:hAnsiTheme="minorEastAsia" w:hint="eastAsia"/>
          <w:bCs/>
          <w:color w:val="000000" w:themeColor="text1"/>
          <w:szCs w:val="21"/>
        </w:rPr>
        <w:t>万元人民币罚款</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要求该行对直接负责的主管人员和其他直接责任人员给予处分。</w:t>
      </w:r>
      <w:r w:rsidRPr="00634578">
        <w:rPr>
          <w:rFonts w:asciiTheme="minorEastAsia" w:eastAsiaTheme="minorEastAsia" w:hAnsiTheme="minorEastAsia"/>
          <w:bCs/>
          <w:color w:val="000000" w:themeColor="text1"/>
          <w:szCs w:val="21"/>
        </w:rPr>
        <w:t>2020</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日，国家外汇管理局北京外汇管理部对中国光大银行股份有限公司违规开展外汇交易的行为，处</w:t>
      </w:r>
      <w:r w:rsidRPr="00634578">
        <w:rPr>
          <w:rFonts w:asciiTheme="minorEastAsia" w:eastAsiaTheme="minorEastAsia" w:hAnsiTheme="minorEastAsia"/>
          <w:bCs/>
          <w:color w:val="000000" w:themeColor="text1"/>
          <w:szCs w:val="21"/>
        </w:rPr>
        <w:t>60</w:t>
      </w:r>
      <w:r w:rsidRPr="00634578">
        <w:rPr>
          <w:rFonts w:asciiTheme="minorEastAsia" w:eastAsiaTheme="minorEastAsia" w:hAnsiTheme="minorEastAsia" w:hint="eastAsia"/>
          <w:bCs/>
          <w:color w:val="000000" w:themeColor="text1"/>
          <w:szCs w:val="21"/>
        </w:rPr>
        <w:t>万元人民币罚款</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要求该行对直接负责的主管人员和其他直接责任人员给予处分。</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2020</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30</w:t>
      </w:r>
      <w:r w:rsidRPr="00634578">
        <w:rPr>
          <w:rFonts w:asciiTheme="minorEastAsia" w:eastAsiaTheme="minorEastAsia" w:hAnsiTheme="minorEastAsia" w:hint="eastAsia"/>
          <w:bCs/>
          <w:color w:val="000000" w:themeColor="text1"/>
          <w:szCs w:val="21"/>
        </w:rPr>
        <w:t>日，北京市西城区卫生健康委员会对中国农业发展银行违反《北京市生活饮用水卫生监督管理条例》第二十一条第（三）项的行为作出</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罚款</w:t>
      </w:r>
      <w:r w:rsidRPr="00634578">
        <w:rPr>
          <w:rFonts w:asciiTheme="minorEastAsia" w:eastAsiaTheme="minorEastAsia" w:hAnsiTheme="minorEastAsia"/>
          <w:bCs/>
          <w:color w:val="000000" w:themeColor="text1"/>
          <w:szCs w:val="21"/>
        </w:rPr>
        <w:t>5000</w:t>
      </w:r>
      <w:r w:rsidRPr="00634578">
        <w:rPr>
          <w:rFonts w:asciiTheme="minorEastAsia" w:eastAsiaTheme="minorEastAsia" w:hAnsiTheme="minorEastAsia" w:hint="eastAsia"/>
          <w:bCs/>
          <w:color w:val="000000" w:themeColor="text1"/>
          <w:szCs w:val="21"/>
        </w:rPr>
        <w:t>元</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的行政处罚决定。</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2020</w:t>
      </w:r>
      <w:r w:rsidRPr="00634578">
        <w:rPr>
          <w:rFonts w:asciiTheme="minorEastAsia" w:eastAsiaTheme="minorEastAsia" w:hAnsiTheme="minorEastAsia" w:hint="eastAsia"/>
          <w:bCs/>
          <w:color w:val="000000" w:themeColor="text1"/>
          <w:szCs w:val="21"/>
        </w:rPr>
        <w:t>年</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24</w:t>
      </w:r>
      <w:r w:rsidRPr="00634578">
        <w:rPr>
          <w:rFonts w:asciiTheme="minorEastAsia" w:eastAsiaTheme="minorEastAsia" w:hAnsiTheme="minorEastAsia" w:hint="eastAsia"/>
          <w:bCs/>
          <w:color w:val="000000" w:themeColor="text1"/>
          <w:szCs w:val="21"/>
        </w:rPr>
        <w:t>日，天津东疆海关对河钢集团有限公司</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申报与实际不符，影响国家出口退税管理</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的行为罚款</w:t>
      </w:r>
      <w:r w:rsidRPr="00634578">
        <w:rPr>
          <w:rFonts w:asciiTheme="minorEastAsia" w:eastAsiaTheme="minorEastAsia" w:hAnsiTheme="minorEastAsia"/>
          <w:bCs/>
          <w:color w:val="000000" w:themeColor="text1"/>
          <w:szCs w:val="21"/>
        </w:rPr>
        <w:t>600</w:t>
      </w:r>
      <w:r w:rsidRPr="00634578">
        <w:rPr>
          <w:rFonts w:asciiTheme="minorEastAsia" w:eastAsiaTheme="minorEastAsia" w:hAnsiTheme="minorEastAsia" w:hint="eastAsia"/>
          <w:bCs/>
          <w:color w:val="000000" w:themeColor="text1"/>
          <w:szCs w:val="21"/>
        </w:rPr>
        <w:t>元。</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本基金投资</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中国银行</w:t>
      </w:r>
      <w:r w:rsidRPr="00634578">
        <w:rPr>
          <w:rFonts w:asciiTheme="minorEastAsia" w:eastAsiaTheme="minorEastAsia" w:hAnsiTheme="minorEastAsia"/>
          <w:bCs/>
          <w:color w:val="000000" w:themeColor="text1"/>
          <w:szCs w:val="21"/>
        </w:rPr>
        <w:t>CD109</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中信银行</w:t>
      </w:r>
      <w:r w:rsidRPr="00634578">
        <w:rPr>
          <w:rFonts w:asciiTheme="minorEastAsia" w:eastAsiaTheme="minorEastAsia" w:hAnsiTheme="minorEastAsia"/>
          <w:bCs/>
          <w:color w:val="000000" w:themeColor="text1"/>
          <w:szCs w:val="21"/>
        </w:rPr>
        <w:t>CD183</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中国银行</w:t>
      </w:r>
      <w:r w:rsidRPr="00634578">
        <w:rPr>
          <w:rFonts w:asciiTheme="minorEastAsia" w:eastAsiaTheme="minorEastAsia" w:hAnsiTheme="minorEastAsia"/>
          <w:bCs/>
          <w:color w:val="000000" w:themeColor="text1"/>
          <w:szCs w:val="21"/>
        </w:rPr>
        <w:t>CD009</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兴业银行</w:t>
      </w:r>
      <w:r w:rsidRPr="00634578">
        <w:rPr>
          <w:rFonts w:asciiTheme="minorEastAsia" w:eastAsiaTheme="minorEastAsia" w:hAnsiTheme="minorEastAsia"/>
          <w:bCs/>
          <w:color w:val="000000" w:themeColor="text1"/>
          <w:szCs w:val="21"/>
        </w:rPr>
        <w:t>CD131</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浦发银行</w:t>
      </w:r>
      <w:r w:rsidRPr="00634578">
        <w:rPr>
          <w:rFonts w:asciiTheme="minorEastAsia" w:eastAsiaTheme="minorEastAsia" w:hAnsiTheme="minorEastAsia"/>
          <w:bCs/>
          <w:color w:val="000000" w:themeColor="text1"/>
          <w:szCs w:val="21"/>
        </w:rPr>
        <w:t>CD461</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光大银行</w:t>
      </w:r>
      <w:r w:rsidRPr="00634578">
        <w:rPr>
          <w:rFonts w:asciiTheme="minorEastAsia" w:eastAsiaTheme="minorEastAsia" w:hAnsiTheme="minorEastAsia"/>
          <w:bCs/>
          <w:color w:val="000000" w:themeColor="text1"/>
          <w:szCs w:val="21"/>
        </w:rPr>
        <w:t>CD301</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农发</w:t>
      </w:r>
      <w:r w:rsidRPr="00634578">
        <w:rPr>
          <w:rFonts w:asciiTheme="minorEastAsia" w:eastAsiaTheme="minorEastAsia" w:hAnsiTheme="minorEastAsia"/>
          <w:bCs/>
          <w:color w:val="000000" w:themeColor="text1"/>
          <w:szCs w:val="21"/>
        </w:rPr>
        <w:t>06</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18</w:t>
      </w:r>
      <w:r w:rsidRPr="00634578">
        <w:rPr>
          <w:rFonts w:asciiTheme="minorEastAsia" w:eastAsiaTheme="minorEastAsia" w:hAnsiTheme="minorEastAsia" w:hint="eastAsia"/>
          <w:bCs/>
          <w:color w:val="000000" w:themeColor="text1"/>
          <w:szCs w:val="21"/>
        </w:rPr>
        <w:t>河钢集</w:t>
      </w:r>
      <w:r w:rsidRPr="00634578">
        <w:rPr>
          <w:rFonts w:asciiTheme="minorEastAsia" w:eastAsiaTheme="minorEastAsia" w:hAnsiTheme="minorEastAsia"/>
          <w:bCs/>
          <w:color w:val="000000" w:themeColor="text1"/>
          <w:szCs w:val="21"/>
        </w:rPr>
        <w:t>MTN003</w:t>
      </w:r>
      <w:r w:rsidRPr="00634578">
        <w:rPr>
          <w:rFonts w:asciiTheme="minorEastAsia" w:eastAsiaTheme="minorEastAsia" w:hAnsiTheme="minorEastAsia" w:hint="eastAsia"/>
          <w:bCs/>
          <w:color w:val="000000" w:themeColor="text1"/>
          <w:szCs w:val="21"/>
        </w:rPr>
        <w:t>的投资决策程序符合公司投资制度的规定。</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除</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中国银行</w:t>
      </w:r>
      <w:r w:rsidRPr="00634578">
        <w:rPr>
          <w:rFonts w:asciiTheme="minorEastAsia" w:eastAsiaTheme="minorEastAsia" w:hAnsiTheme="minorEastAsia"/>
          <w:bCs/>
          <w:color w:val="000000" w:themeColor="text1"/>
          <w:szCs w:val="21"/>
        </w:rPr>
        <w:t>CD109</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中信银行</w:t>
      </w:r>
      <w:r w:rsidRPr="00634578">
        <w:rPr>
          <w:rFonts w:asciiTheme="minorEastAsia" w:eastAsiaTheme="minorEastAsia" w:hAnsiTheme="minorEastAsia"/>
          <w:bCs/>
          <w:color w:val="000000" w:themeColor="text1"/>
          <w:szCs w:val="21"/>
        </w:rPr>
        <w:t>CD183</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中国银行</w:t>
      </w:r>
      <w:r w:rsidRPr="00634578">
        <w:rPr>
          <w:rFonts w:asciiTheme="minorEastAsia" w:eastAsiaTheme="minorEastAsia" w:hAnsiTheme="minorEastAsia"/>
          <w:bCs/>
          <w:color w:val="000000" w:themeColor="text1"/>
          <w:szCs w:val="21"/>
        </w:rPr>
        <w:t>CD009</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兴业银行</w:t>
      </w:r>
      <w:r w:rsidRPr="00634578">
        <w:rPr>
          <w:rFonts w:asciiTheme="minorEastAsia" w:eastAsiaTheme="minorEastAsia" w:hAnsiTheme="minorEastAsia"/>
          <w:bCs/>
          <w:color w:val="000000" w:themeColor="text1"/>
          <w:szCs w:val="21"/>
        </w:rPr>
        <w:t>CD131</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浦发银行</w:t>
      </w:r>
      <w:r w:rsidRPr="00634578">
        <w:rPr>
          <w:rFonts w:asciiTheme="minorEastAsia" w:eastAsiaTheme="minorEastAsia" w:hAnsiTheme="minorEastAsia"/>
          <w:bCs/>
          <w:color w:val="000000" w:themeColor="text1"/>
          <w:szCs w:val="21"/>
        </w:rPr>
        <w:t>CD461</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光大银行</w:t>
      </w:r>
      <w:r w:rsidRPr="00634578">
        <w:rPr>
          <w:rFonts w:asciiTheme="minorEastAsia" w:eastAsiaTheme="minorEastAsia" w:hAnsiTheme="minorEastAsia"/>
          <w:bCs/>
          <w:color w:val="000000" w:themeColor="text1"/>
          <w:szCs w:val="21"/>
        </w:rPr>
        <w:t>CD301</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农发</w:t>
      </w:r>
      <w:r w:rsidRPr="00634578">
        <w:rPr>
          <w:rFonts w:asciiTheme="minorEastAsia" w:eastAsiaTheme="minorEastAsia" w:hAnsiTheme="minorEastAsia"/>
          <w:bCs/>
          <w:color w:val="000000" w:themeColor="text1"/>
          <w:szCs w:val="21"/>
        </w:rPr>
        <w:t>06</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18</w:t>
      </w:r>
      <w:r w:rsidRPr="00634578">
        <w:rPr>
          <w:rFonts w:asciiTheme="minorEastAsia" w:eastAsiaTheme="minorEastAsia" w:hAnsiTheme="minorEastAsia" w:hint="eastAsia"/>
          <w:bCs/>
          <w:color w:val="000000" w:themeColor="text1"/>
          <w:szCs w:val="21"/>
        </w:rPr>
        <w:t>河钢集</w:t>
      </w:r>
      <w:r w:rsidRPr="00634578">
        <w:rPr>
          <w:rFonts w:asciiTheme="minorEastAsia" w:eastAsiaTheme="minorEastAsia" w:hAnsiTheme="minorEastAsia"/>
          <w:bCs/>
          <w:color w:val="000000" w:themeColor="text1"/>
          <w:szCs w:val="21"/>
        </w:rPr>
        <w:t>MTN003</w:t>
      </w:r>
      <w:r w:rsidRPr="00634578">
        <w:rPr>
          <w:rFonts w:asciiTheme="minorEastAsia" w:eastAsiaTheme="minorEastAsia" w:hAnsiTheme="minorEastAsia" w:hint="eastAsia"/>
          <w:bCs/>
          <w:color w:val="000000" w:themeColor="text1"/>
          <w:szCs w:val="21"/>
        </w:rPr>
        <w:t>外，本基金投资的前十名证券的发行主体本期没有出现被监管部门立案调查，或在报告编制日前一年内受到公开谴责、处罚的情形。</w:t>
      </w:r>
    </w:p>
    <w:p w:rsidR="00064F67" w:rsidRPr="00634578" w:rsidP="002D6B39">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（3）其他资产构成</w:t>
      </w:r>
    </w:p>
    <w:tbl>
      <w:tblPr>
        <w:tblW w:w="8000"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6"/>
        <w:gridCol w:w="3041"/>
        <w:gridCol w:w="4123"/>
      </w:tblGrid>
      <w:tr w:rsidTr="00064F67">
        <w:tblPrEx>
          <w:tblW w:w="8000"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94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7"/>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序号</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7"/>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名称</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7"/>
              <w:jc w:val="center"/>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金额（元）</w:t>
            </w:r>
          </w:p>
        </w:tc>
      </w:tr>
      <w:tr w:rsidTr="00064F67">
        <w:tblPrEx>
          <w:tblW w:w="8000" w:type="dxa"/>
          <w:tblInd w:w="17" w:type="dxa"/>
          <w:tblLayout w:type="fixed"/>
          <w:tblLook w:val="00A0"/>
        </w:tblPrEx>
        <w:tc>
          <w:tcPr>
            <w:tcW w:w="94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rPr>
              <w:t>1</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存出保证金</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kern w:val="0"/>
              </w:rPr>
              <w:t>-</w:t>
            </w:r>
          </w:p>
        </w:tc>
      </w:tr>
      <w:tr w:rsidTr="00064F67">
        <w:tblPrEx>
          <w:tblW w:w="8000" w:type="dxa"/>
          <w:tblInd w:w="17" w:type="dxa"/>
          <w:tblLayout w:type="fixed"/>
          <w:tblLook w:val="00A0"/>
        </w:tblPrEx>
        <w:tc>
          <w:tcPr>
            <w:tcW w:w="94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应收证券清算款</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kern w:val="0"/>
              </w:rPr>
              <w:t>-</w:t>
            </w:r>
          </w:p>
        </w:tc>
      </w:tr>
      <w:tr w:rsidTr="00064F67">
        <w:tblPrEx>
          <w:tblW w:w="8000" w:type="dxa"/>
          <w:tblInd w:w="17" w:type="dxa"/>
          <w:tblLayout w:type="fixed"/>
          <w:tblLook w:val="00A0"/>
        </w:tblPrEx>
        <w:tc>
          <w:tcPr>
            <w:tcW w:w="94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应收利息</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kern w:val="0"/>
              </w:rPr>
              <w:t>3,770,643.34</w:t>
            </w:r>
          </w:p>
        </w:tc>
      </w:tr>
      <w:tr w:rsidTr="00064F67">
        <w:tblPrEx>
          <w:tblW w:w="8000" w:type="dxa"/>
          <w:tblInd w:w="17" w:type="dxa"/>
          <w:tblLayout w:type="fixed"/>
          <w:tblLook w:val="00A0"/>
        </w:tblPrEx>
        <w:tc>
          <w:tcPr>
            <w:tcW w:w="94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应收申购款</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kern w:val="0"/>
              </w:rPr>
              <w:t>49,067,991.69</w:t>
            </w:r>
          </w:p>
        </w:tc>
      </w:tr>
      <w:tr w:rsidTr="00064F67">
        <w:tblPrEx>
          <w:tblW w:w="8000" w:type="dxa"/>
          <w:tblInd w:w="17" w:type="dxa"/>
          <w:tblLayout w:type="fixed"/>
          <w:tblLook w:val="00A0"/>
        </w:tblPrEx>
        <w:tc>
          <w:tcPr>
            <w:tcW w:w="94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其他应收款</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kern w:val="0"/>
              </w:rPr>
              <w:t>-</w:t>
            </w:r>
          </w:p>
        </w:tc>
      </w:tr>
      <w:tr w:rsidTr="00064F67">
        <w:tblPrEx>
          <w:tblW w:w="8000" w:type="dxa"/>
          <w:tblInd w:w="17" w:type="dxa"/>
          <w:tblLayout w:type="fixed"/>
          <w:tblLook w:val="00A0"/>
        </w:tblPrEx>
        <w:tc>
          <w:tcPr>
            <w:tcW w:w="94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待摊费用</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kern w:val="0"/>
              </w:rPr>
              <w:t>-</w:t>
            </w:r>
          </w:p>
        </w:tc>
      </w:tr>
      <w:tr w:rsidTr="00064F67">
        <w:tblPrEx>
          <w:tblW w:w="8000" w:type="dxa"/>
          <w:tblInd w:w="17" w:type="dxa"/>
          <w:tblLayout w:type="fixed"/>
          <w:tblLook w:val="00A0"/>
        </w:tblPrEx>
        <w:tc>
          <w:tcPr>
            <w:tcW w:w="94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其他</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kern w:val="0"/>
              </w:rPr>
              <w:t>-</w:t>
            </w:r>
          </w:p>
        </w:tc>
      </w:tr>
      <w:tr w:rsidTr="00064F67">
        <w:tblPrEx>
          <w:tblW w:w="8000" w:type="dxa"/>
          <w:tblInd w:w="17" w:type="dxa"/>
          <w:tblLayout w:type="fixed"/>
          <w:tblLook w:val="00A0"/>
        </w:tblPrEx>
        <w:tc>
          <w:tcPr>
            <w:tcW w:w="942"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8</w:t>
            </w:r>
          </w:p>
        </w:tc>
        <w:tc>
          <w:tcPr>
            <w:tcW w:w="3535"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634578">
              <w:rPr>
                <w:rFonts w:asciiTheme="minorEastAsia" w:eastAsiaTheme="minorEastAsia" w:hAnsiTheme="minorEastAsia" w:hint="eastAsia"/>
                <w:color w:val="000000" w:themeColor="text1"/>
                <w:kern w:val="0"/>
              </w:rPr>
              <w:t>合计</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064F67" w:rsidRPr="00634578" w:rsidP="00064F67">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634578">
              <w:rPr>
                <w:rFonts w:asciiTheme="minorEastAsia" w:eastAsiaTheme="minorEastAsia" w:hAnsiTheme="minorEastAsia"/>
                <w:color w:val="000000" w:themeColor="text1"/>
                <w:kern w:val="0"/>
              </w:rPr>
              <w:t>52,838,635.03</w:t>
            </w:r>
          </w:p>
        </w:tc>
      </w:tr>
    </w:tbl>
    <w:p w:rsidR="00064F67" w:rsidRPr="00634578" w:rsidP="00064F67">
      <w:pPr>
        <w:spacing w:line="300" w:lineRule="auto"/>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 xml:space="preserve"> </w:t>
      </w:r>
      <w:r w:rsidRPr="00634578">
        <w:rPr>
          <w:rFonts w:asciiTheme="minorEastAsia" w:eastAsiaTheme="minorEastAsia" w:hAnsiTheme="minorEastAsia"/>
          <w:color w:val="000000" w:themeColor="text1"/>
        </w:rPr>
        <w:br w:type="page"/>
      </w:r>
    </w:p>
    <w:p w:rsidR="0080127D" w:rsidRPr="00634578" w:rsidP="00BB159E">
      <w:pPr>
        <w:pStyle w:val="111"/>
        <w:snapToGrid w:val="0"/>
        <w:spacing w:beforeLines="0" w:afterLines="0" w:line="360" w:lineRule="auto"/>
        <w:ind w:firstLine="600"/>
        <w:rPr>
          <w:rFonts w:asciiTheme="minorEastAsia" w:eastAsiaTheme="minorEastAsia" w:hAnsiTheme="minorEastAsia"/>
          <w:color w:val="000000" w:themeColor="text1"/>
          <w:szCs w:val="21"/>
        </w:rPr>
      </w:pPr>
      <w:bookmarkStart w:id="86" w:name="_Toc414024618"/>
      <w:bookmarkStart w:id="87" w:name="_Toc91772045"/>
      <w:r w:rsidRPr="00634578">
        <w:rPr>
          <w:rFonts w:asciiTheme="minorEastAsia" w:eastAsiaTheme="minorEastAsia" w:hAnsiTheme="minorEastAsia" w:hint="eastAsia"/>
          <w:color w:val="000000" w:themeColor="text1"/>
          <w:sz w:val="30"/>
        </w:rPr>
        <w:t>十三、基金的业绩</w:t>
      </w:r>
      <w:bookmarkEnd w:id="86"/>
      <w:bookmarkEnd w:id="87"/>
    </w:p>
    <w:p w:rsidR="0080127D"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80127D"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rPr>
        <w:t>本基金合同生效日为2014年9月12日，基金合同生效以来（截至2020年12月31日）的投资业绩及与同期基准的比较如下表所示：</w:t>
      </w:r>
    </w:p>
    <w:p w:rsidR="00EA3B90"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w:t>
      </w:r>
      <w:r w:rsidRPr="00634578" w:rsidR="00413D82">
        <w:rPr>
          <w:rFonts w:asciiTheme="minorEastAsia" w:eastAsiaTheme="minorEastAsia" w:hAnsiTheme="minorEastAsia" w:hint="eastAsia"/>
          <w:bCs/>
          <w:color w:val="000000" w:themeColor="text1"/>
          <w:szCs w:val="21"/>
        </w:rPr>
        <w:t>易方达龙宝货币</w:t>
      </w:r>
      <w:r w:rsidRPr="00634578" w:rsidR="00413D82">
        <w:rPr>
          <w:rFonts w:asciiTheme="minorEastAsia" w:eastAsiaTheme="minorEastAsia" w:hAnsiTheme="minorEastAsia"/>
          <w:bCs/>
          <w:color w:val="000000" w:themeColor="text1"/>
          <w:szCs w:val="21"/>
        </w:rPr>
        <w:t>A</w:t>
      </w:r>
      <w:r w:rsidRPr="00634578" w:rsidR="00413D82">
        <w:rPr>
          <w:rFonts w:asciiTheme="minorEastAsia" w:eastAsiaTheme="minorEastAsia" w:hAnsiTheme="minorEastAsia" w:hint="eastAsia"/>
          <w:bCs/>
          <w:color w:val="000000" w:themeColor="text1"/>
          <w:szCs w:val="21"/>
        </w:rPr>
        <w:t>类基金份额净值收益率与同期业绩比较基准收益率比较</w:t>
      </w: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112"/>
        <w:gridCol w:w="1134"/>
        <w:gridCol w:w="1417"/>
        <w:gridCol w:w="1273"/>
        <w:gridCol w:w="1133"/>
        <w:gridCol w:w="1266"/>
      </w:tblGrid>
      <w:tr w:rsidTr="00BD28D8">
        <w:tblPrEx>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EA3B90"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阶段</w:t>
            </w:r>
          </w:p>
        </w:tc>
        <w:tc>
          <w:tcPr>
            <w:tcW w:w="1112" w:type="dxa"/>
            <w:tcBorders>
              <w:top w:val="single" w:sz="4" w:space="0" w:color="auto"/>
              <w:left w:val="single" w:sz="4" w:space="0" w:color="auto"/>
              <w:bottom w:val="single" w:sz="4" w:space="0" w:color="auto"/>
              <w:right w:val="single" w:sz="4" w:space="0" w:color="auto"/>
            </w:tcBorders>
            <w:vAlign w:val="center"/>
            <w:hideMark/>
          </w:tcPr>
          <w:p w:rsidR="00EA75CB" w:rsidRPr="00634578" w:rsidP="00BB159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份额净值收益率（1）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5CB" w:rsidRPr="00634578" w:rsidP="00BB159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份额净值收益率标准差（2）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75CB" w:rsidRPr="00634578" w:rsidP="00BB159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业绩比较基准收益率（3）</w:t>
            </w:r>
          </w:p>
        </w:tc>
        <w:tc>
          <w:tcPr>
            <w:tcW w:w="1273" w:type="dxa"/>
            <w:tcBorders>
              <w:top w:val="single" w:sz="4" w:space="0" w:color="auto"/>
              <w:left w:val="single" w:sz="4" w:space="0" w:color="auto"/>
              <w:bottom w:val="single" w:sz="4" w:space="0" w:color="auto"/>
              <w:right w:val="single" w:sz="4" w:space="0" w:color="auto"/>
            </w:tcBorders>
            <w:vAlign w:val="center"/>
            <w:hideMark/>
          </w:tcPr>
          <w:p w:rsidR="00EA75CB" w:rsidRPr="00634578" w:rsidP="00BB159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业绩比较基准收益率标准差（4）</w:t>
            </w:r>
          </w:p>
        </w:tc>
        <w:tc>
          <w:tcPr>
            <w:tcW w:w="1133" w:type="dxa"/>
            <w:tcBorders>
              <w:top w:val="single" w:sz="4" w:space="0" w:color="auto"/>
              <w:left w:val="single" w:sz="4" w:space="0" w:color="auto"/>
              <w:bottom w:val="single" w:sz="4" w:space="0" w:color="auto"/>
              <w:right w:val="single" w:sz="4" w:space="0" w:color="auto"/>
            </w:tcBorders>
            <w:vAlign w:val="center"/>
            <w:hideMark/>
          </w:tcPr>
          <w:p w:rsidR="00EA75CB" w:rsidRPr="00634578" w:rsidP="00BB159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（1）-（3）</w:t>
            </w:r>
          </w:p>
        </w:tc>
        <w:tc>
          <w:tcPr>
            <w:tcW w:w="1266" w:type="dxa"/>
            <w:tcBorders>
              <w:top w:val="single" w:sz="4" w:space="0" w:color="auto"/>
              <w:left w:val="single" w:sz="4" w:space="0" w:color="auto"/>
              <w:bottom w:val="single" w:sz="4" w:space="0" w:color="auto"/>
              <w:right w:val="single" w:sz="4" w:space="0" w:color="auto"/>
            </w:tcBorders>
            <w:vAlign w:val="center"/>
            <w:hideMark/>
          </w:tcPr>
          <w:p w:rsidR="00EA75CB" w:rsidRPr="00634578" w:rsidP="00BB159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（2）-（4）</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自基金合同生效日至2014年12月31日</w:t>
            </w:r>
          </w:p>
        </w:tc>
        <w:tc>
          <w:tcPr>
            <w:tcW w:w="1112"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1.0335%</w:t>
            </w:r>
          </w:p>
        </w:tc>
        <w:tc>
          <w:tcPr>
            <w:tcW w:w="1134"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0.0016%</w:t>
            </w:r>
          </w:p>
        </w:tc>
        <w:tc>
          <w:tcPr>
            <w:tcW w:w="1417"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0.4171%</w:t>
            </w:r>
          </w:p>
        </w:tc>
        <w:tc>
          <w:tcPr>
            <w:tcW w:w="1273"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33"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0.6164%</w:t>
            </w:r>
          </w:p>
        </w:tc>
        <w:tc>
          <w:tcPr>
            <w:tcW w:w="1266"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0.0016%</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2015年1月1日至2015年12月31日</w:t>
            </w:r>
          </w:p>
        </w:tc>
        <w:tc>
          <w:tcPr>
            <w:tcW w:w="1112"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3.8160%</w:t>
            </w:r>
          </w:p>
        </w:tc>
        <w:tc>
          <w:tcPr>
            <w:tcW w:w="1134"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0.0062%</w:t>
            </w:r>
          </w:p>
        </w:tc>
        <w:tc>
          <w:tcPr>
            <w:tcW w:w="1417"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1.3781%</w:t>
            </w:r>
          </w:p>
        </w:tc>
        <w:tc>
          <w:tcPr>
            <w:tcW w:w="1273"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33"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2.4379%</w:t>
            </w:r>
          </w:p>
        </w:tc>
        <w:tc>
          <w:tcPr>
            <w:tcW w:w="1266"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0.0062%</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2016年1月1日至2016年12月31日</w:t>
            </w:r>
          </w:p>
        </w:tc>
        <w:tc>
          <w:tcPr>
            <w:tcW w:w="1112"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2.7590%</w:t>
            </w:r>
          </w:p>
        </w:tc>
        <w:tc>
          <w:tcPr>
            <w:tcW w:w="1134"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0.0025%</w:t>
            </w:r>
          </w:p>
        </w:tc>
        <w:tc>
          <w:tcPr>
            <w:tcW w:w="1417"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1.3819%</w:t>
            </w:r>
          </w:p>
        </w:tc>
        <w:tc>
          <w:tcPr>
            <w:tcW w:w="1273"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33"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1.3771%</w:t>
            </w:r>
          </w:p>
        </w:tc>
        <w:tc>
          <w:tcPr>
            <w:tcW w:w="1266"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0.0025%</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2017年1月1日至2017年12月31日</w:t>
            </w:r>
          </w:p>
        </w:tc>
        <w:tc>
          <w:tcPr>
            <w:tcW w:w="1112"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4.0476%</w:t>
            </w:r>
          </w:p>
        </w:tc>
        <w:tc>
          <w:tcPr>
            <w:tcW w:w="1134"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0.0008%</w:t>
            </w:r>
          </w:p>
        </w:tc>
        <w:tc>
          <w:tcPr>
            <w:tcW w:w="1417"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1.3781%</w:t>
            </w:r>
          </w:p>
        </w:tc>
        <w:tc>
          <w:tcPr>
            <w:tcW w:w="1273"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33"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2.6695%</w:t>
            </w:r>
          </w:p>
        </w:tc>
        <w:tc>
          <w:tcPr>
            <w:tcW w:w="1266"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0.0008%</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2018年1月1日至2018年12月31日</w:t>
            </w:r>
          </w:p>
        </w:tc>
        <w:tc>
          <w:tcPr>
            <w:tcW w:w="1112"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3.7343%</w:t>
            </w:r>
          </w:p>
        </w:tc>
        <w:tc>
          <w:tcPr>
            <w:tcW w:w="1134"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0.0016%</w:t>
            </w:r>
          </w:p>
        </w:tc>
        <w:tc>
          <w:tcPr>
            <w:tcW w:w="1417"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1.3781%</w:t>
            </w:r>
          </w:p>
        </w:tc>
        <w:tc>
          <w:tcPr>
            <w:tcW w:w="1273"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33"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2.3562%</w:t>
            </w:r>
          </w:p>
        </w:tc>
        <w:tc>
          <w:tcPr>
            <w:tcW w:w="1266"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0.0016%</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2019年1月1日至2019年12月31日</w:t>
            </w:r>
          </w:p>
        </w:tc>
        <w:tc>
          <w:tcPr>
            <w:tcW w:w="1112"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2.5488%</w:t>
            </w:r>
          </w:p>
        </w:tc>
        <w:tc>
          <w:tcPr>
            <w:tcW w:w="1134"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0.0009%</w:t>
            </w:r>
          </w:p>
        </w:tc>
        <w:tc>
          <w:tcPr>
            <w:tcW w:w="1417"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1.3781%</w:t>
            </w:r>
          </w:p>
        </w:tc>
        <w:tc>
          <w:tcPr>
            <w:tcW w:w="1273"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33"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1.1707%</w:t>
            </w:r>
          </w:p>
        </w:tc>
        <w:tc>
          <w:tcPr>
            <w:tcW w:w="1266"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0.0009%</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2020年1月1日至2020年12月31日</w:t>
            </w:r>
          </w:p>
        </w:tc>
        <w:tc>
          <w:tcPr>
            <w:tcW w:w="1112"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2.0667%</w:t>
            </w:r>
          </w:p>
        </w:tc>
        <w:tc>
          <w:tcPr>
            <w:tcW w:w="1134"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0.0016%</w:t>
            </w:r>
          </w:p>
        </w:tc>
        <w:tc>
          <w:tcPr>
            <w:tcW w:w="1417"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1.3819%</w:t>
            </w:r>
          </w:p>
        </w:tc>
        <w:tc>
          <w:tcPr>
            <w:tcW w:w="1273"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33"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0.6848%</w:t>
            </w:r>
          </w:p>
        </w:tc>
        <w:tc>
          <w:tcPr>
            <w:tcW w:w="1266"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0.0016%</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自基金合同生效日至2020年12月31日</w:t>
            </w:r>
          </w:p>
        </w:tc>
        <w:tc>
          <w:tcPr>
            <w:tcW w:w="1112"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21.7640%</w:t>
            </w:r>
          </w:p>
        </w:tc>
        <w:tc>
          <w:tcPr>
            <w:tcW w:w="1134"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0.0034%</w:t>
            </w:r>
          </w:p>
        </w:tc>
        <w:tc>
          <w:tcPr>
            <w:tcW w:w="1417"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9.0200%</w:t>
            </w:r>
          </w:p>
        </w:tc>
        <w:tc>
          <w:tcPr>
            <w:tcW w:w="1273"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33"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12.7440%</w:t>
            </w:r>
          </w:p>
        </w:tc>
        <w:tc>
          <w:tcPr>
            <w:tcW w:w="1266"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0.0034%</w:t>
            </w:r>
          </w:p>
        </w:tc>
      </w:tr>
    </w:tbl>
    <w:p w:rsidR="00EA3B90"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w:t>
      </w:r>
      <w:r w:rsidRPr="00634578" w:rsidR="00413D82">
        <w:rPr>
          <w:rFonts w:asciiTheme="minorEastAsia" w:eastAsiaTheme="minorEastAsia" w:hAnsiTheme="minorEastAsia" w:hint="eastAsia"/>
          <w:bCs/>
          <w:color w:val="000000" w:themeColor="text1"/>
          <w:szCs w:val="21"/>
        </w:rPr>
        <w:t>易方达龙宝货币</w:t>
      </w:r>
      <w:r w:rsidRPr="00634578" w:rsidR="00413D82">
        <w:rPr>
          <w:rFonts w:asciiTheme="minorEastAsia" w:eastAsiaTheme="minorEastAsia" w:hAnsiTheme="minorEastAsia"/>
          <w:bCs/>
          <w:color w:val="000000" w:themeColor="text1"/>
          <w:szCs w:val="21"/>
        </w:rPr>
        <w:t>B</w:t>
      </w:r>
      <w:r w:rsidRPr="00634578" w:rsidR="00413D82">
        <w:rPr>
          <w:rFonts w:asciiTheme="minorEastAsia" w:eastAsiaTheme="minorEastAsia" w:hAnsiTheme="minorEastAsia" w:hint="eastAsia"/>
          <w:bCs/>
          <w:color w:val="000000" w:themeColor="text1"/>
          <w:szCs w:val="21"/>
        </w:rPr>
        <w:t>类基金份额净值收益率与同期业绩比较基准收益率比较</w:t>
      </w: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080"/>
        <w:gridCol w:w="1079"/>
        <w:gridCol w:w="1439"/>
        <w:gridCol w:w="1439"/>
        <w:gridCol w:w="1178"/>
        <w:gridCol w:w="1120"/>
      </w:tblGrid>
      <w:tr w:rsidTr="00C57512">
        <w:tblPrEx>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EA3B90"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EA75CB" w:rsidRPr="00634578" w:rsidP="00BB159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份额净值收益率</w:t>
            </w:r>
            <w:r w:rsidRPr="00634578">
              <w:rPr>
                <w:rFonts w:asciiTheme="minorEastAsia" w:eastAsiaTheme="minorEastAsia" w:hAnsiTheme="minorEastAsia" w:hint="eastAsia"/>
                <w:bCs/>
                <w:color w:val="000000" w:themeColor="text1"/>
                <w:szCs w:val="21"/>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rsidR="00EA75CB" w:rsidRPr="00634578" w:rsidP="00BB159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份额净值收益率标</w:t>
            </w:r>
            <w:r w:rsidRPr="00634578">
              <w:rPr>
                <w:rFonts w:asciiTheme="minorEastAsia" w:eastAsiaTheme="minorEastAsia" w:hAnsiTheme="minorEastAsia" w:hint="eastAsia"/>
                <w:bCs/>
                <w:color w:val="000000" w:themeColor="text1"/>
                <w:szCs w:val="21"/>
              </w:rPr>
              <w:t>准差（2）</w:t>
            </w:r>
          </w:p>
        </w:tc>
        <w:tc>
          <w:tcPr>
            <w:tcW w:w="1439" w:type="dxa"/>
            <w:tcBorders>
              <w:top w:val="single" w:sz="4" w:space="0" w:color="auto"/>
              <w:left w:val="single" w:sz="4" w:space="0" w:color="auto"/>
              <w:bottom w:val="single" w:sz="4" w:space="0" w:color="auto"/>
              <w:right w:val="single" w:sz="4" w:space="0" w:color="auto"/>
            </w:tcBorders>
            <w:vAlign w:val="center"/>
            <w:hideMark/>
          </w:tcPr>
          <w:p w:rsidR="00EA75CB" w:rsidRPr="00634578" w:rsidP="00BB159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业绩比较基准收益率（3）</w:t>
            </w:r>
          </w:p>
        </w:tc>
        <w:tc>
          <w:tcPr>
            <w:tcW w:w="1439" w:type="dxa"/>
            <w:tcBorders>
              <w:top w:val="single" w:sz="4" w:space="0" w:color="auto"/>
              <w:left w:val="single" w:sz="4" w:space="0" w:color="auto"/>
              <w:bottom w:val="single" w:sz="4" w:space="0" w:color="auto"/>
              <w:right w:val="single" w:sz="4" w:space="0" w:color="auto"/>
            </w:tcBorders>
            <w:vAlign w:val="center"/>
            <w:hideMark/>
          </w:tcPr>
          <w:p w:rsidR="00EA75CB" w:rsidRPr="00634578" w:rsidP="00BB159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业绩比较基准收益率标</w:t>
            </w:r>
            <w:r w:rsidRPr="00634578">
              <w:rPr>
                <w:rFonts w:asciiTheme="minorEastAsia" w:eastAsiaTheme="minorEastAsia" w:hAnsiTheme="minorEastAsia" w:hint="eastAsia"/>
                <w:bCs/>
                <w:color w:val="000000" w:themeColor="text1"/>
                <w:szCs w:val="21"/>
              </w:rPr>
              <w:t>准差（4）</w:t>
            </w:r>
          </w:p>
        </w:tc>
        <w:tc>
          <w:tcPr>
            <w:tcW w:w="1178" w:type="dxa"/>
            <w:tcBorders>
              <w:top w:val="single" w:sz="4" w:space="0" w:color="auto"/>
              <w:left w:val="single" w:sz="4" w:space="0" w:color="auto"/>
              <w:bottom w:val="single" w:sz="4" w:space="0" w:color="auto"/>
              <w:right w:val="single" w:sz="4" w:space="0" w:color="auto"/>
            </w:tcBorders>
            <w:vAlign w:val="center"/>
            <w:hideMark/>
          </w:tcPr>
          <w:p w:rsidR="00EA75CB" w:rsidRPr="00634578" w:rsidP="00BB159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（1）-（3）</w:t>
            </w:r>
          </w:p>
        </w:tc>
        <w:tc>
          <w:tcPr>
            <w:tcW w:w="1120" w:type="dxa"/>
            <w:tcBorders>
              <w:top w:val="single" w:sz="4" w:space="0" w:color="auto"/>
              <w:left w:val="single" w:sz="4" w:space="0" w:color="auto"/>
              <w:bottom w:val="single" w:sz="4" w:space="0" w:color="auto"/>
              <w:right w:val="single" w:sz="4" w:space="0" w:color="auto"/>
            </w:tcBorders>
            <w:vAlign w:val="center"/>
            <w:hideMark/>
          </w:tcPr>
          <w:p w:rsidR="00EA75CB" w:rsidRPr="00634578" w:rsidP="00BB159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（2）-（4）</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自基金合同生效日至2014年12月31日</w:t>
            </w:r>
          </w:p>
        </w:tc>
        <w:tc>
          <w:tcPr>
            <w:tcW w:w="108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1.1067%</w:t>
            </w:r>
          </w:p>
        </w:tc>
        <w:tc>
          <w:tcPr>
            <w:tcW w:w="107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0.0017%</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0.4171%</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78"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0.6896%</w:t>
            </w:r>
          </w:p>
        </w:tc>
        <w:tc>
          <w:tcPr>
            <w:tcW w:w="112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0.0017%</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2015年1月1日至2015年12月31日</w:t>
            </w:r>
          </w:p>
        </w:tc>
        <w:tc>
          <w:tcPr>
            <w:tcW w:w="108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4.0637%</w:t>
            </w:r>
          </w:p>
        </w:tc>
        <w:tc>
          <w:tcPr>
            <w:tcW w:w="107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0.0062%</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1.3781%</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78"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2.6856%</w:t>
            </w:r>
          </w:p>
        </w:tc>
        <w:tc>
          <w:tcPr>
            <w:tcW w:w="112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0.0062%</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2016年1月1日至2016年12月31日</w:t>
            </w:r>
          </w:p>
        </w:tc>
        <w:tc>
          <w:tcPr>
            <w:tcW w:w="108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3.0059%</w:t>
            </w:r>
          </w:p>
        </w:tc>
        <w:tc>
          <w:tcPr>
            <w:tcW w:w="107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0.0025%</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1.3819%</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78"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1.6240%</w:t>
            </w:r>
          </w:p>
        </w:tc>
        <w:tc>
          <w:tcPr>
            <w:tcW w:w="112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0.0025%</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2017年1月1日至2017年12月31日</w:t>
            </w:r>
          </w:p>
        </w:tc>
        <w:tc>
          <w:tcPr>
            <w:tcW w:w="108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4.2969%</w:t>
            </w:r>
          </w:p>
        </w:tc>
        <w:tc>
          <w:tcPr>
            <w:tcW w:w="107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0.0008%</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1.3781%</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78"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2.9188%</w:t>
            </w:r>
          </w:p>
        </w:tc>
        <w:tc>
          <w:tcPr>
            <w:tcW w:w="112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0.0008%</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2018年1月1日至2018年12月31日</w:t>
            </w:r>
          </w:p>
        </w:tc>
        <w:tc>
          <w:tcPr>
            <w:tcW w:w="108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3.9837%</w:t>
            </w:r>
          </w:p>
        </w:tc>
        <w:tc>
          <w:tcPr>
            <w:tcW w:w="107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0.0016%</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1.3781%</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78"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2.6056%</w:t>
            </w:r>
          </w:p>
        </w:tc>
        <w:tc>
          <w:tcPr>
            <w:tcW w:w="112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0.0016%</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2019年1月1日至2019年12月31日</w:t>
            </w:r>
          </w:p>
        </w:tc>
        <w:tc>
          <w:tcPr>
            <w:tcW w:w="108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2.7956%</w:t>
            </w:r>
          </w:p>
        </w:tc>
        <w:tc>
          <w:tcPr>
            <w:tcW w:w="107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0.0009%</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1.3781%</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78"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1.4175%</w:t>
            </w:r>
          </w:p>
        </w:tc>
        <w:tc>
          <w:tcPr>
            <w:tcW w:w="112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0.0009%</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2020年1月1日至2020年12月31日</w:t>
            </w:r>
          </w:p>
        </w:tc>
        <w:tc>
          <w:tcPr>
            <w:tcW w:w="108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2.3121%</w:t>
            </w:r>
          </w:p>
        </w:tc>
        <w:tc>
          <w:tcPr>
            <w:tcW w:w="107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0.0016%</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1.3819%</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78"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0.9302%</w:t>
            </w:r>
          </w:p>
        </w:tc>
        <w:tc>
          <w:tcPr>
            <w:tcW w:w="112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0.0016%</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自基金合同生效日至2020年12月31日</w:t>
            </w:r>
          </w:p>
        </w:tc>
        <w:tc>
          <w:tcPr>
            <w:tcW w:w="108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23.6175%</w:t>
            </w:r>
          </w:p>
        </w:tc>
        <w:tc>
          <w:tcPr>
            <w:tcW w:w="107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0.0034%</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9.0200%</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78"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14.5975%</w:t>
            </w:r>
          </w:p>
        </w:tc>
        <w:tc>
          <w:tcPr>
            <w:tcW w:w="112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0.0034%</w:t>
            </w:r>
          </w:p>
        </w:tc>
      </w:tr>
    </w:tbl>
    <w:p w:rsidR="00025DD5" w:rsidRPr="00634578" w:rsidP="00025DD5">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、易方达龙宝货币</w:t>
      </w:r>
      <w:r w:rsidRPr="00634578">
        <w:rPr>
          <w:rFonts w:asciiTheme="minorEastAsia" w:eastAsiaTheme="minorEastAsia" w:hAnsiTheme="minorEastAsia"/>
          <w:bCs/>
          <w:color w:val="000000" w:themeColor="text1"/>
          <w:szCs w:val="21"/>
        </w:rPr>
        <w:t>C</w:t>
      </w:r>
      <w:r w:rsidRPr="00634578">
        <w:rPr>
          <w:rFonts w:asciiTheme="minorEastAsia" w:eastAsiaTheme="minorEastAsia" w:hAnsiTheme="minorEastAsia" w:hint="eastAsia"/>
          <w:bCs/>
          <w:color w:val="000000" w:themeColor="text1"/>
          <w:szCs w:val="21"/>
        </w:rPr>
        <w:t>类基金份额净值收益率与同期业绩比较基准收益率比较</w:t>
      </w: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080"/>
        <w:gridCol w:w="1079"/>
        <w:gridCol w:w="1439"/>
        <w:gridCol w:w="1439"/>
        <w:gridCol w:w="1178"/>
        <w:gridCol w:w="1120"/>
      </w:tblGrid>
      <w:tr w:rsidTr="003F310E">
        <w:tblPrEx>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025DD5" w:rsidRPr="00634578" w:rsidP="003F310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5DD5" w:rsidRPr="00634578" w:rsidP="003F310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份额净值收益率（1）</w:t>
            </w:r>
          </w:p>
        </w:tc>
        <w:tc>
          <w:tcPr>
            <w:tcW w:w="1079" w:type="dxa"/>
            <w:tcBorders>
              <w:top w:val="single" w:sz="4" w:space="0" w:color="auto"/>
              <w:left w:val="single" w:sz="4" w:space="0" w:color="auto"/>
              <w:bottom w:val="single" w:sz="4" w:space="0" w:color="auto"/>
              <w:right w:val="single" w:sz="4" w:space="0" w:color="auto"/>
            </w:tcBorders>
            <w:vAlign w:val="center"/>
            <w:hideMark/>
          </w:tcPr>
          <w:p w:rsidR="00025DD5" w:rsidRPr="00634578" w:rsidP="003F310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份额净值收益率标准差（2）</w:t>
            </w:r>
          </w:p>
        </w:tc>
        <w:tc>
          <w:tcPr>
            <w:tcW w:w="1439" w:type="dxa"/>
            <w:tcBorders>
              <w:top w:val="single" w:sz="4" w:space="0" w:color="auto"/>
              <w:left w:val="single" w:sz="4" w:space="0" w:color="auto"/>
              <w:bottom w:val="single" w:sz="4" w:space="0" w:color="auto"/>
              <w:right w:val="single" w:sz="4" w:space="0" w:color="auto"/>
            </w:tcBorders>
            <w:vAlign w:val="center"/>
            <w:hideMark/>
          </w:tcPr>
          <w:p w:rsidR="00025DD5" w:rsidRPr="00634578" w:rsidP="003F310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业绩比较基准收益率（3）</w:t>
            </w:r>
          </w:p>
        </w:tc>
        <w:tc>
          <w:tcPr>
            <w:tcW w:w="1439" w:type="dxa"/>
            <w:tcBorders>
              <w:top w:val="single" w:sz="4" w:space="0" w:color="auto"/>
              <w:left w:val="single" w:sz="4" w:space="0" w:color="auto"/>
              <w:bottom w:val="single" w:sz="4" w:space="0" w:color="auto"/>
              <w:right w:val="single" w:sz="4" w:space="0" w:color="auto"/>
            </w:tcBorders>
            <w:vAlign w:val="center"/>
            <w:hideMark/>
          </w:tcPr>
          <w:p w:rsidR="00025DD5" w:rsidRPr="00634578" w:rsidP="003F310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业绩比较基准收益率标准差（4）</w:t>
            </w:r>
          </w:p>
        </w:tc>
        <w:tc>
          <w:tcPr>
            <w:tcW w:w="1178" w:type="dxa"/>
            <w:tcBorders>
              <w:top w:val="single" w:sz="4" w:space="0" w:color="auto"/>
              <w:left w:val="single" w:sz="4" w:space="0" w:color="auto"/>
              <w:bottom w:val="single" w:sz="4" w:space="0" w:color="auto"/>
              <w:right w:val="single" w:sz="4" w:space="0" w:color="auto"/>
            </w:tcBorders>
            <w:vAlign w:val="center"/>
            <w:hideMark/>
          </w:tcPr>
          <w:p w:rsidR="00025DD5" w:rsidRPr="00634578" w:rsidP="003F310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（1）-（3）</w:t>
            </w:r>
          </w:p>
        </w:tc>
        <w:tc>
          <w:tcPr>
            <w:tcW w:w="1120" w:type="dxa"/>
            <w:tcBorders>
              <w:top w:val="single" w:sz="4" w:space="0" w:color="auto"/>
              <w:left w:val="single" w:sz="4" w:space="0" w:color="auto"/>
              <w:bottom w:val="single" w:sz="4" w:space="0" w:color="auto"/>
              <w:right w:val="single" w:sz="4" w:space="0" w:color="auto"/>
            </w:tcBorders>
            <w:vAlign w:val="center"/>
            <w:hideMark/>
          </w:tcPr>
          <w:p w:rsidR="00025DD5" w:rsidRPr="00634578" w:rsidP="003F310E">
            <w:pPr>
              <w:snapToGrid w:val="0"/>
              <w:spacing w:line="360" w:lineRule="auto"/>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（2）-（4）</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2017年8月30日至2017年12月31日</w:t>
            </w:r>
          </w:p>
        </w:tc>
        <w:tc>
          <w:tcPr>
            <w:tcW w:w="108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1.4401%</w:t>
            </w:r>
          </w:p>
        </w:tc>
        <w:tc>
          <w:tcPr>
            <w:tcW w:w="107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0.0006%</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0.4661%</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78"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0.9740%</w:t>
            </w:r>
          </w:p>
        </w:tc>
        <w:tc>
          <w:tcPr>
            <w:tcW w:w="112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0.0006%</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2018年1月1日至2018年12月31日</w:t>
            </w:r>
          </w:p>
        </w:tc>
        <w:tc>
          <w:tcPr>
            <w:tcW w:w="108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3.9427%</w:t>
            </w:r>
          </w:p>
        </w:tc>
        <w:tc>
          <w:tcPr>
            <w:tcW w:w="107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0.0016%</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1.3781%</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78"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2.5646%</w:t>
            </w:r>
          </w:p>
        </w:tc>
        <w:tc>
          <w:tcPr>
            <w:tcW w:w="112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0.0016%</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2019年1月1日至2019年12月31日</w:t>
            </w:r>
          </w:p>
        </w:tc>
        <w:tc>
          <w:tcPr>
            <w:tcW w:w="108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2.7546%</w:t>
            </w:r>
          </w:p>
        </w:tc>
        <w:tc>
          <w:tcPr>
            <w:tcW w:w="107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0.0009%</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1.3781%</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78"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1.3765%</w:t>
            </w:r>
          </w:p>
        </w:tc>
        <w:tc>
          <w:tcPr>
            <w:tcW w:w="112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0.0009%</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2020年1月1日至2020年</w:t>
            </w:r>
            <w:r w:rsidRPr="00634578">
              <w:rPr>
                <w:rFonts w:asciiTheme="minorEastAsia" w:eastAsiaTheme="minorEastAsia" w:hAnsiTheme="minorEastAsia"/>
                <w:color w:val="000000" w:themeColor="text1"/>
              </w:rPr>
              <w:t>12月31日</w:t>
            </w:r>
          </w:p>
        </w:tc>
        <w:tc>
          <w:tcPr>
            <w:tcW w:w="108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2.2713%</w:t>
            </w:r>
          </w:p>
        </w:tc>
        <w:tc>
          <w:tcPr>
            <w:tcW w:w="107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0.0016%</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1.3819%</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78"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0.8894%</w:t>
            </w:r>
          </w:p>
        </w:tc>
        <w:tc>
          <w:tcPr>
            <w:tcW w:w="112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0.0016%</w:t>
            </w:r>
          </w:p>
        </w:tc>
      </w:tr>
      <w:tr>
        <w:tblPrEx>
          <w:tblW w:w="8775" w:type="dxa"/>
          <w:tblInd w:w="108" w:type="dxa"/>
          <w:tblLayout w:type="fixed"/>
          <w:tblLook w:val="04A0"/>
        </w:tblPrEx>
        <w:tc>
          <w:tcPr>
            <w:tcW w:w="144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2017年8月30日至2020年12月31日</w:t>
            </w:r>
          </w:p>
        </w:tc>
        <w:tc>
          <w:tcPr>
            <w:tcW w:w="108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10.8048%</w:t>
            </w:r>
          </w:p>
        </w:tc>
        <w:tc>
          <w:tcPr>
            <w:tcW w:w="107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0.0025%</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4.6812%</w:t>
            </w:r>
          </w:p>
        </w:tc>
        <w:tc>
          <w:tcPr>
            <w:tcW w:w="1439"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0.0000%</w:t>
            </w:r>
          </w:p>
        </w:tc>
        <w:tc>
          <w:tcPr>
            <w:tcW w:w="1178"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6.1236%</w:t>
            </w:r>
          </w:p>
        </w:tc>
        <w:tc>
          <w:tcPr>
            <w:tcW w:w="1120" w:type="dxa"/>
          </w:tcPr>
          <w:p w:rsidR="00AD0B6C" w:rsidRPr="00634578">
            <w:pP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0.0025%</w:t>
            </w:r>
          </w:p>
        </w:tc>
      </w:tr>
    </w:tbl>
    <w:p w:rsidR="0080127D"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注：自2017年8月29日起，本基金增设C类份额类别，份额首次确认日为2017年8月30日。</w:t>
      </w:r>
    </w:p>
    <w:p w:rsidR="002442FF" w:rsidRPr="00634578" w:rsidP="002442FF">
      <w:pPr>
        <w:snapToGrid w:val="0"/>
        <w:spacing w:line="360" w:lineRule="auto"/>
        <w:ind w:firstLine="42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本基金历任基金经理情况：石大怿，管理时间为2014年9月12日至2021年10月19日。</w:t>
      </w:r>
    </w:p>
    <w:p w:rsidR="002442FF"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p>
    <w:p w:rsidR="00436B6E"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p>
    <w:p w:rsidR="00436B6E" w:rsidRPr="00634578">
      <w:pPr>
        <w:widowControl/>
        <w:jc w:val="left"/>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br w:type="page"/>
      </w:r>
    </w:p>
    <w:p w:rsidR="00436B6E"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p>
    <w:p w:rsidR="00DB3659" w:rsidRPr="00634578" w:rsidP="00BB159E">
      <w:pPr>
        <w:pStyle w:val="Heading1"/>
        <w:snapToGrid w:val="0"/>
        <w:spacing w:beforeLines="0" w:afterLines="0" w:line="360" w:lineRule="auto"/>
        <w:ind w:firstLine="600"/>
        <w:rPr>
          <w:rFonts w:asciiTheme="minorEastAsia" w:eastAsiaTheme="minorEastAsia" w:hAnsiTheme="minorEastAsia"/>
          <w:color w:val="000000" w:themeColor="text1"/>
          <w:szCs w:val="21"/>
        </w:rPr>
      </w:pPr>
      <w:bookmarkStart w:id="88" w:name="_Toc91772046"/>
      <w:r w:rsidRPr="00634578">
        <w:rPr>
          <w:rFonts w:asciiTheme="minorEastAsia" w:eastAsiaTheme="minorEastAsia" w:hAnsiTheme="minorEastAsia" w:hint="eastAsia"/>
          <w:color w:val="000000" w:themeColor="text1"/>
          <w:sz w:val="30"/>
        </w:rPr>
        <w:t>十四、基金的财产</w:t>
      </w:r>
      <w:bookmarkEnd w:id="88"/>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（一）基金资产总值</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基金资产总值是指购买的各类证券及票据价值、银行存款本息和基金应收的申购基金款以及其他投资所形成的价值总和。</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（二）基金资产净值</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基金资产净值是指基金资产总值减去基金负债后的价值。</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（三）基金财产的账户</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bCs/>
          <w:color w:val="000000" w:themeColor="text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（四）基金财产的保管和处分</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br/>
      </w:r>
    </w:p>
    <w:p w:rsidR="00DB3659" w:rsidRPr="00634578" w:rsidP="00BB159E">
      <w:pPr>
        <w:pStyle w:val="Heading1"/>
        <w:snapToGrid w:val="0"/>
        <w:spacing w:beforeLines="0" w:afterLines="0" w:line="360" w:lineRule="auto"/>
        <w:ind w:firstLine="600"/>
        <w:rPr>
          <w:rFonts w:asciiTheme="minorEastAsia" w:eastAsiaTheme="minorEastAsia" w:hAnsiTheme="minorEastAsia"/>
          <w:bCs/>
          <w:color w:val="000000" w:themeColor="text1"/>
        </w:rPr>
      </w:pPr>
      <w:r w:rsidRPr="00634578">
        <w:rPr>
          <w:rFonts w:asciiTheme="minorEastAsia" w:eastAsiaTheme="minorEastAsia" w:hAnsiTheme="minorEastAsia"/>
          <w:color w:val="000000" w:themeColor="text1"/>
          <w:sz w:val="30"/>
        </w:rPr>
        <w:br w:type="column"/>
      </w:r>
      <w:bookmarkStart w:id="89" w:name="_Toc91772047"/>
      <w:r w:rsidRPr="00634578" w:rsidR="0080127D">
        <w:rPr>
          <w:rFonts w:asciiTheme="minorEastAsia" w:eastAsiaTheme="minorEastAsia" w:hAnsiTheme="minorEastAsia" w:hint="eastAsia"/>
          <w:color w:val="000000" w:themeColor="text1"/>
          <w:sz w:val="30"/>
        </w:rPr>
        <w:t>十五</w:t>
      </w:r>
      <w:r w:rsidRPr="00634578">
        <w:rPr>
          <w:rFonts w:asciiTheme="minorEastAsia" w:eastAsiaTheme="minorEastAsia" w:hAnsiTheme="minorEastAsia" w:hint="eastAsia"/>
          <w:color w:val="000000" w:themeColor="text1"/>
          <w:sz w:val="30"/>
        </w:rPr>
        <w:t>、基金资产的估值</w:t>
      </w:r>
      <w:bookmarkEnd w:id="89"/>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（一）估值日</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本基金的估值日为本基金相关的证券交易场所的交易日以及国家法律法规规定需要对外披露基金净值的非交易日。</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（二）估值对象</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基金所拥有的各类证券和银行存款本息、应收款项、其它投资等资产及负债。</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（三）估值方法</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w:t>
      </w:r>
      <w:r w:rsidRPr="00634578" w:rsidR="00344766">
        <w:rPr>
          <w:rFonts w:asciiTheme="minorEastAsia" w:eastAsiaTheme="minorEastAsia" w:hAnsiTheme="minorEastAsia" w:hint="eastAsia"/>
          <w:bCs/>
          <w:color w:val="000000" w:themeColor="text1"/>
          <w:szCs w:val="21"/>
        </w:rPr>
        <w:t>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r w:rsidRPr="00634578">
        <w:rPr>
          <w:rFonts w:asciiTheme="minorEastAsia" w:eastAsiaTheme="minorEastAsia" w:hAnsiTheme="minorEastAsia" w:hint="eastAsia"/>
          <w:bCs/>
          <w:color w:val="000000" w:themeColor="text1"/>
          <w:szCs w:val="21"/>
        </w:rPr>
        <w:t>。</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w:t>
      </w:r>
      <w:r w:rsidRPr="00634578" w:rsidR="00344766">
        <w:rPr>
          <w:rFonts w:asciiTheme="minorEastAsia" w:eastAsiaTheme="minorEastAsia" w:hAnsiTheme="minorEastAsia" w:hint="eastAsia"/>
          <w:bCs/>
          <w:color w:val="000000" w:themeColor="text1"/>
          <w:szCs w:val="21"/>
        </w:rPr>
        <w:t>当“影子定价”确定的基金资产净值与“摊余成本法”计算的基金资产净值的负偏离度绝对值达到或超过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、如有充足理由表明按上述方法进行估值不能客观反映其公允价值的，基金管理人可根据具体情况与基金托管人商定后，按最能反映公允价值的价格估值。</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、相关法律法规以及监管部门有强制规定的，从其规定。如有新增事项，按国家最新规定估值。</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（四）估值程序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、每万份基金已实现收益是按照相关法规计算的每万份基金份额的日已实现收益，精</w:t>
      </w:r>
      <w:r w:rsidRPr="00634578">
        <w:rPr>
          <w:rFonts w:asciiTheme="minorEastAsia" w:eastAsiaTheme="minorEastAsia" w:hAnsiTheme="minorEastAsia" w:hint="eastAsia"/>
          <w:bCs/>
          <w:color w:val="000000" w:themeColor="text1"/>
          <w:szCs w:val="21"/>
        </w:rPr>
        <w:t>确到小数点后第</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位，小数点后第</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位四舍五入。</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日年化收益率是以最近</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日（含节假日）收益所折算的年资产收益率，精确到百分号内小数点后</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位，百分号内小数点后第</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位四舍五入。国家另有规定的，从其规定。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基金管理人应每个工作日对基金资产估值。但基金管理人根据法律法规或基金合同的规定暂停估值时除外。基金管理人每个工作日对基金资产估值后，将基金估值结果发送基金托管人，经基金托管人复核无误后，由基金管理人</w:t>
      </w:r>
      <w:r w:rsidRPr="00634578" w:rsidR="00CA2EAE">
        <w:rPr>
          <w:rFonts w:asciiTheme="minorEastAsia" w:eastAsiaTheme="minorEastAsia" w:hAnsiTheme="minorEastAsia" w:hint="eastAsia"/>
          <w:bCs/>
          <w:color w:val="000000" w:themeColor="text1"/>
          <w:szCs w:val="21"/>
        </w:rPr>
        <w:t>按规定</w:t>
      </w:r>
      <w:r w:rsidRPr="00634578">
        <w:rPr>
          <w:rFonts w:asciiTheme="minorEastAsia" w:eastAsiaTheme="minorEastAsia" w:hAnsiTheme="minorEastAsia" w:hint="eastAsia"/>
          <w:bCs/>
          <w:color w:val="000000" w:themeColor="text1"/>
          <w:szCs w:val="21"/>
        </w:rPr>
        <w:t>对外公布。</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（五）估值错误的处理</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基金管理人和基金托管人将采取必要、适当、合理的措施确保基金资产估值的准确性、及时性。当基金资产的计价导致每万份基金已实现收益小数点后</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位以内（含第</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位）发生差错时，视为估值错误。</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基金合同的当事人应按照以下约定处理：</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、估值错误类型</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上述估值错误的主要类型包括但不限于：资料申报差错、数据传输差错、数据计算差错、系统故障差错、下达指令差错等。</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、估值错误处理原则</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）估值错误的责任方对有关当事人的直接损失负责，不对间接损失负责，并且仅对估值错误的有关直接当事人负责，不对第三方负责。</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）估值错误调整采用尽量恢复至假设未发生估值错误的正确情形的方式。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、估值错误处理程序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估值错误被发现后，有关的当事人应当及时进行处理，处理的程序如下：</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）查明估值错误发生的原因，列明所有的当事人，并根据估值错误发生的原因确定估值错误的责任方；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）根据估值错误处理原则或当事人协商的方法对因估值错误造成的损失进行评估；</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）根据估值错误处理原则或当事人协商的方法由估值错误的责任方进行更正和赔偿损失；</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）根据估值错误处理的方法，需要修改基金登记机构交易数据的，由基金登记机构进行更正，并就估值错误的更正向有关当事人进行确认。</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、基金估值错误处理的方法如下：</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）基金估值计算出现错误时，基金管理人应当立即予以纠正，通报基金托管人，并采取合理的措施防止损失进一步扩大。</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）错误偏差达到基金资产净值的</w:t>
      </w:r>
      <w:r w:rsidRPr="00634578">
        <w:rPr>
          <w:rFonts w:asciiTheme="minorEastAsia" w:eastAsiaTheme="minorEastAsia" w:hAnsiTheme="minorEastAsia"/>
          <w:bCs/>
          <w:color w:val="000000" w:themeColor="text1"/>
          <w:szCs w:val="21"/>
        </w:rPr>
        <w:t>0.25%</w:t>
      </w:r>
      <w:r w:rsidRPr="00634578">
        <w:rPr>
          <w:rFonts w:asciiTheme="minorEastAsia" w:eastAsiaTheme="minorEastAsia" w:hAnsiTheme="minorEastAsia" w:hint="eastAsia"/>
          <w:bCs/>
          <w:color w:val="000000" w:themeColor="text1"/>
          <w:szCs w:val="21"/>
        </w:rPr>
        <w:t>时，基金管理人应当通报基金托管人并报中国证监会备案；错误偏差达到基金资产净值的</w:t>
      </w:r>
      <w:r w:rsidRPr="00634578">
        <w:rPr>
          <w:rFonts w:asciiTheme="minorEastAsia" w:eastAsiaTheme="minorEastAsia" w:hAnsiTheme="minorEastAsia"/>
          <w:bCs/>
          <w:color w:val="000000" w:themeColor="text1"/>
          <w:szCs w:val="21"/>
        </w:rPr>
        <w:t>0.5%</w:t>
      </w:r>
      <w:r w:rsidRPr="00634578">
        <w:rPr>
          <w:rFonts w:asciiTheme="minorEastAsia" w:eastAsiaTheme="minorEastAsia" w:hAnsiTheme="minorEastAsia" w:hint="eastAsia"/>
          <w:bCs/>
          <w:color w:val="000000" w:themeColor="text1"/>
          <w:szCs w:val="21"/>
        </w:rPr>
        <w:t>时，基金管理人应当公告。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）前述内容如法律法规或监管机关另有规定的，从其规定处理。</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（六）暂停估值的情形</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、基金投资所涉及的证券交易市场遇法定节假日或因其他原因暂停营业时；</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、因不可抗力致使基金管理人、基金托管人无法准确评估基金资产价值时；</w:t>
      </w:r>
    </w:p>
    <w:p w:rsidR="00AB30D5" w:rsidRPr="00634578" w:rsidP="003548EA">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、当前一估值日基金资产净值</w:t>
      </w:r>
      <w:r w:rsidRPr="00634578">
        <w:rPr>
          <w:rFonts w:asciiTheme="minorEastAsia" w:eastAsiaTheme="minorEastAsia" w:hAnsiTheme="minorEastAsia"/>
          <w:bCs/>
          <w:color w:val="000000" w:themeColor="text1"/>
          <w:szCs w:val="21"/>
        </w:rPr>
        <w:t>50%</w:t>
      </w:r>
      <w:r w:rsidRPr="00634578">
        <w:rPr>
          <w:rFonts w:asciiTheme="minorEastAsia" w:eastAsiaTheme="minorEastAsia" w:hAnsiTheme="minorEastAsia" w:hint="eastAsia"/>
          <w:bCs/>
          <w:color w:val="000000" w:themeColor="text1"/>
          <w:szCs w:val="21"/>
        </w:rPr>
        <w:t>以上的资产出现无可参考的活跃市场价格且采用估值技术仍导致公允价值存在重大不确定性时，经与基金托管人协商一致的；</w:t>
      </w:r>
    </w:p>
    <w:p w:rsidR="00AB30D5" w:rsidRPr="00634578" w:rsidP="003548EA">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w:t>
      </w:r>
      <w:r w:rsidRPr="00634578" w:rsidR="00DB3659">
        <w:rPr>
          <w:rFonts w:asciiTheme="minorEastAsia" w:eastAsiaTheme="minorEastAsia" w:hAnsiTheme="minorEastAsia" w:hint="eastAsia"/>
          <w:bCs/>
          <w:color w:val="000000" w:themeColor="text1"/>
          <w:szCs w:val="21"/>
        </w:rPr>
        <w:t>中国证监会和基金合同认定的其它情形。</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（七）基金净值的确认</w:t>
      </w:r>
    </w:p>
    <w:p w:rsidR="00D74D91" w:rsidRPr="00634578" w:rsidP="003548EA">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用于基金信息披露的基金资产净值、各类基金份额的每万份基金已实现收益和</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日年化收益率由基金管理人负责计算，基金托管人负责进行复核。基金管理人应于每个开放日交易结束后计算当日的基金资产净值、各类基金份额的每万份基金已实现收益和</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日年化收益率并发送给基金托管人。基金托管人复核确认后发送给基金管理人，由基金管理人</w:t>
      </w:r>
      <w:r w:rsidRPr="00634578" w:rsidR="00CA2EAE">
        <w:rPr>
          <w:rFonts w:asciiTheme="minorEastAsia" w:eastAsiaTheme="minorEastAsia" w:hAnsiTheme="minorEastAsia" w:hint="eastAsia"/>
          <w:bCs/>
          <w:color w:val="000000" w:themeColor="text1"/>
          <w:szCs w:val="21"/>
        </w:rPr>
        <w:t>按规定</w:t>
      </w:r>
      <w:r w:rsidRPr="00634578">
        <w:rPr>
          <w:rFonts w:asciiTheme="minorEastAsia" w:eastAsiaTheme="minorEastAsia" w:hAnsiTheme="minorEastAsia" w:hint="eastAsia"/>
          <w:bCs/>
          <w:color w:val="000000" w:themeColor="text1"/>
          <w:szCs w:val="21"/>
        </w:rPr>
        <w:t>予以公布。</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（八）特殊情形的处理</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、基金管理人按估值方法的第</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项进行估值时，所造成的误差不作为基金资产估值错误处理；</w:t>
      </w:r>
    </w:p>
    <w:p w:rsidR="00DB3659" w:rsidRPr="00634578">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w:t>
      </w:r>
      <w:r w:rsidRPr="00634578">
        <w:rPr>
          <w:rFonts w:asciiTheme="minorEastAsia" w:eastAsiaTheme="minorEastAsia" w:hAnsiTheme="minorEastAsia" w:hint="eastAsia"/>
          <w:bCs/>
          <w:color w:val="000000" w:themeColor="text1"/>
          <w:szCs w:val="21"/>
        </w:rPr>
        <w:t>人应当积极采取必要的措施消除或减轻由此造成的影响。</w:t>
      </w:r>
    </w:p>
    <w:p w:rsidR="00DB3659" w:rsidRPr="00634578" w:rsidP="00BB159E">
      <w:pPr>
        <w:pStyle w:val="Heading1"/>
        <w:snapToGrid w:val="0"/>
        <w:spacing w:beforeLines="0" w:afterLines="0" w:line="360" w:lineRule="auto"/>
        <w:ind w:firstLine="600"/>
        <w:rPr>
          <w:rFonts w:asciiTheme="minorEastAsia" w:eastAsiaTheme="minorEastAsia" w:hAnsiTheme="minorEastAsia"/>
          <w:bCs/>
          <w:color w:val="000000" w:themeColor="text1"/>
        </w:rPr>
      </w:pPr>
      <w:r w:rsidRPr="00634578">
        <w:rPr>
          <w:rFonts w:asciiTheme="minorEastAsia" w:eastAsiaTheme="minorEastAsia" w:hAnsiTheme="minorEastAsia"/>
          <w:color w:val="000000" w:themeColor="text1"/>
          <w:sz w:val="30"/>
        </w:rPr>
        <w:br w:type="column"/>
      </w:r>
      <w:bookmarkStart w:id="90" w:name="_Toc91772048"/>
      <w:r w:rsidRPr="00634578" w:rsidR="0080127D">
        <w:rPr>
          <w:rFonts w:asciiTheme="minorEastAsia" w:eastAsiaTheme="minorEastAsia" w:hAnsiTheme="minorEastAsia" w:hint="eastAsia"/>
          <w:color w:val="000000" w:themeColor="text1"/>
          <w:sz w:val="30"/>
        </w:rPr>
        <w:t>十六</w:t>
      </w:r>
      <w:r w:rsidRPr="00634578">
        <w:rPr>
          <w:rFonts w:asciiTheme="minorEastAsia" w:eastAsiaTheme="minorEastAsia" w:hAnsiTheme="minorEastAsia" w:hint="eastAsia"/>
          <w:color w:val="000000" w:themeColor="text1"/>
          <w:sz w:val="30"/>
        </w:rPr>
        <w:t>、基金的收益分配</w:t>
      </w:r>
      <w:bookmarkEnd w:id="90"/>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（一）基金利润的构成</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基金利润指基金利息收入、投资收益、公允价值变动收益和其他收入扣除相关费用后的余额；基金已实现收益指基金利润减去公允价值变动损益后的余额。</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（二）收益分配原则</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本基金收益分配应遵循下列原则：</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、本基金同一类别内的每份基金份额享有同等分配权；</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、本基金收益分配方式为红利再投资，免收再投资的费用；</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本基金根据每日基金收益情况，以基金已实现收益为基准，为投资人每日计算当日收益并分配（该收益将会计确认为实收基金，参与下一日的收益分配）。通常情况下，本基金的收益支付方式为按月支付，对于可支持按日支付的销售机构，本基金的收益支付方式经基金管理人和销售机构双方协商一致后可以按日支付。不论何种支付方式，当日收益均参与下一日的收益分配，不影响基金份额持有人实际获得的投资收益。投资人当日收益分配的计算保留到小数点后</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位，小数点后第</w:t>
      </w: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位按去尾原则处理，因去尾形成的余额进行再次分配，直到分完为止；</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、本基金根据每日收益情况，将当日收益全部分配，若当日已实现收益大于零时，为投资人记正收益；若当日已实现收益小于零时，为投资人记负收益；若当日已实现收益等于零时，当日投资人不记收益；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5</w:t>
      </w:r>
      <w:r w:rsidRPr="00634578">
        <w:rPr>
          <w:rFonts w:asciiTheme="minorEastAsia" w:eastAsiaTheme="minorEastAsia" w:hAnsiTheme="minorEastAsia" w:hint="eastAsia"/>
          <w:color w:val="000000" w:themeColor="text1"/>
          <w:szCs w:val="21"/>
        </w:rPr>
        <w:t>、本基金每日进行收益计算并分配时，收益支付方式只采用红利再投资（即红利转基金份额）方式，投资人可通过赎回基金份额获得现金收益；若投资人在收益支付时，其累计收益为正值，则为投资人增加相应的基金份额，其累计收益为负值，则缩减投资人基金份额；</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6</w:t>
      </w:r>
      <w:r w:rsidRPr="00634578">
        <w:rPr>
          <w:rFonts w:asciiTheme="minorEastAsia" w:eastAsiaTheme="minorEastAsia" w:hAnsiTheme="minorEastAsia" w:hint="eastAsia"/>
          <w:color w:val="000000" w:themeColor="text1"/>
          <w:szCs w:val="21"/>
        </w:rPr>
        <w:t>、当日申购的基金份额自下一个工作日起，享有基金的收益分配权益；当日赎回的基金份额自下一个工作日起，不享有基金的收益分配权益；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7</w:t>
      </w:r>
      <w:r w:rsidRPr="00634578" w:rsidR="00311CF5">
        <w:rPr>
          <w:rFonts w:asciiTheme="minorEastAsia" w:eastAsiaTheme="minorEastAsia" w:hAnsiTheme="minorEastAsia" w:hint="eastAsia"/>
          <w:color w:val="000000" w:themeColor="text1"/>
          <w:szCs w:val="21"/>
        </w:rPr>
        <w:t>、</w:t>
      </w:r>
      <w:r w:rsidRPr="00634578">
        <w:rPr>
          <w:rFonts w:asciiTheme="minorEastAsia" w:eastAsiaTheme="minorEastAsia" w:hAnsiTheme="minorEastAsia" w:hint="eastAsia"/>
          <w:color w:val="000000" w:themeColor="text1"/>
          <w:szCs w:val="21"/>
        </w:rPr>
        <w:t>在不违反法律法规且对基金份额持有人利益无实质不利影响的前提下，基金管理人可调整基金收益的分配原则和支付方式，不需召开基金份额持有人大会审议；</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8</w:t>
      </w:r>
      <w:r w:rsidRPr="00634578">
        <w:rPr>
          <w:rFonts w:asciiTheme="minorEastAsia" w:eastAsiaTheme="minorEastAsia" w:hAnsiTheme="minorEastAsia" w:hint="eastAsia"/>
          <w:color w:val="000000" w:themeColor="text1"/>
          <w:szCs w:val="21"/>
        </w:rPr>
        <w:t>、法律法规或监管机构另有规定的从其规定。</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（三）收益分配方案</w:t>
      </w:r>
    </w:p>
    <w:p w:rsidR="00DB3659" w:rsidRPr="00634578" w:rsidP="00BB159E">
      <w:pPr>
        <w:snapToGrid w:val="0"/>
        <w:spacing w:line="360" w:lineRule="auto"/>
        <w:ind w:firstLine="420" w:firstLineChars="200"/>
        <w:rPr>
          <w:rFonts w:asciiTheme="minorEastAsia" w:eastAsiaTheme="minorEastAsia" w:hAnsiTheme="minorEastAsia" w:cs="Heiti SC Light"/>
          <w:color w:val="000000" w:themeColor="text1"/>
          <w:szCs w:val="21"/>
        </w:rPr>
      </w:pPr>
      <w:r w:rsidRPr="00634578">
        <w:rPr>
          <w:rFonts w:asciiTheme="minorEastAsia" w:eastAsiaTheme="minorEastAsia" w:hAnsiTheme="minorEastAsia" w:cs="Heiti SC Light" w:hint="eastAsia"/>
          <w:color w:val="000000" w:themeColor="text1"/>
          <w:szCs w:val="21"/>
        </w:rPr>
        <w:t>本基金按日计算并分配收益，基金管理人不另行公告基金收益分配方案。</w:t>
      </w:r>
    </w:p>
    <w:p w:rsidR="00DB3659" w:rsidRPr="00634578" w:rsidP="00BB159E">
      <w:pPr>
        <w:snapToGrid w:val="0"/>
        <w:spacing w:line="360" w:lineRule="auto"/>
        <w:ind w:firstLine="420" w:firstLineChars="200"/>
        <w:rPr>
          <w:rFonts w:asciiTheme="minorEastAsia" w:eastAsiaTheme="minorEastAsia" w:hAnsiTheme="minorEastAsia" w:cs="Heiti SC Light"/>
          <w:color w:val="000000" w:themeColor="text1"/>
          <w:szCs w:val="21"/>
        </w:rPr>
      </w:pPr>
      <w:r w:rsidRPr="00634578">
        <w:rPr>
          <w:rFonts w:asciiTheme="minorEastAsia" w:eastAsiaTheme="minorEastAsia" w:hAnsiTheme="minorEastAsia" w:cs="Heiti SC Light" w:hint="eastAsia"/>
          <w:color w:val="000000" w:themeColor="text1"/>
          <w:szCs w:val="21"/>
        </w:rPr>
        <w:t>（四）收益分配的时间和程序</w:t>
      </w:r>
    </w:p>
    <w:p w:rsidR="00DB3659" w:rsidRPr="00634578" w:rsidP="00BB159E">
      <w:pPr>
        <w:snapToGrid w:val="0"/>
        <w:spacing w:line="360" w:lineRule="auto"/>
        <w:ind w:firstLine="420" w:firstLineChars="200"/>
        <w:rPr>
          <w:rFonts w:asciiTheme="minorEastAsia" w:eastAsiaTheme="minorEastAsia" w:hAnsiTheme="minorEastAsia" w:cs="Heiti SC Light"/>
          <w:color w:val="000000" w:themeColor="text1"/>
          <w:szCs w:val="21"/>
        </w:rPr>
      </w:pPr>
      <w:r w:rsidRPr="00634578">
        <w:rPr>
          <w:rFonts w:asciiTheme="minorEastAsia" w:eastAsiaTheme="minorEastAsia" w:hAnsiTheme="minorEastAsia" w:cs="Heiti SC Light" w:hint="eastAsia"/>
          <w:color w:val="000000" w:themeColor="text1"/>
          <w:szCs w:val="21"/>
        </w:rPr>
        <w:t>本基金每日进行收益分配。</w:t>
      </w:r>
    </w:p>
    <w:p w:rsidR="00311CF5" w:rsidRPr="00634578" w:rsidP="00311CF5">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通常情况下，本基金每月</w:t>
      </w:r>
      <w:r w:rsidRPr="00634578">
        <w:rPr>
          <w:rFonts w:asciiTheme="minorEastAsia" w:eastAsiaTheme="minorEastAsia" w:hAnsiTheme="minorEastAsia"/>
          <w:color w:val="000000" w:themeColor="text1"/>
          <w:szCs w:val="21"/>
        </w:rPr>
        <w:t>15</w:t>
      </w:r>
      <w:r w:rsidRPr="00634578">
        <w:rPr>
          <w:rFonts w:asciiTheme="minorEastAsia" w:eastAsiaTheme="minorEastAsia" w:hAnsiTheme="minorEastAsia" w:hint="eastAsia"/>
          <w:color w:val="000000" w:themeColor="text1"/>
          <w:szCs w:val="21"/>
        </w:rPr>
        <w:t>日（如遇特殊情况，本公司将另行公告，基金合同生效不满</w:t>
      </w:r>
      <w:r w:rsidRPr="00634578">
        <w:rPr>
          <w:rFonts w:asciiTheme="minorEastAsia" w:eastAsiaTheme="minorEastAsia" w:hAnsiTheme="minorEastAsia"/>
          <w:color w:val="000000" w:themeColor="text1"/>
          <w:szCs w:val="21"/>
        </w:rPr>
        <w:t>15</w:t>
      </w:r>
      <w:r w:rsidRPr="00634578">
        <w:rPr>
          <w:rFonts w:asciiTheme="minorEastAsia" w:eastAsiaTheme="minorEastAsia" w:hAnsiTheme="minorEastAsia" w:hint="eastAsia"/>
          <w:color w:val="000000" w:themeColor="text1"/>
          <w:szCs w:val="21"/>
        </w:rPr>
        <w:t>天时可不结转）例行对累计实现的收益进行收益结转（如遇节假日顺延，例行的收益结转不再另行公告）；对于可支持按日支付的销售机构，本基金的收益支付方式经基金管理人和销售机构双方协商一致后可以按日支付。</w:t>
      </w:r>
    </w:p>
    <w:p w:rsidR="00DB3659" w:rsidRPr="00634578" w:rsidP="00311CF5">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91" w:name="_Toc91772049"/>
      <w:r w:rsidRPr="00634578">
        <w:rPr>
          <w:rFonts w:asciiTheme="minorEastAsia" w:eastAsiaTheme="minorEastAsia" w:hAnsiTheme="minorEastAsia" w:hint="eastAsia"/>
          <w:color w:val="000000" w:themeColor="text1"/>
          <w:sz w:val="30"/>
        </w:rPr>
        <w:t>十七、基金的费用与税收</w:t>
      </w:r>
      <w:bookmarkEnd w:id="91"/>
    </w:p>
    <w:p w:rsidR="0092352E"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（一）与基金运作相关的费用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1、基金费用的种类</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）基金管理人的管理费；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）基金托管人的托管费；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）销售服务费；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）《基金合同》生效后与基金相关的信息披露费用；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）《基金合同》生效后与基金相关的会计师费、律师费、诉讼费和仲裁费；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）基金份额持有人大会费用；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）基金的证券交易费用；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8</w:t>
      </w:r>
      <w:r w:rsidRPr="00634578">
        <w:rPr>
          <w:rFonts w:asciiTheme="minorEastAsia" w:eastAsiaTheme="minorEastAsia" w:hAnsiTheme="minorEastAsia" w:hint="eastAsia"/>
          <w:bCs/>
          <w:color w:val="000000" w:themeColor="text1"/>
          <w:szCs w:val="21"/>
        </w:rPr>
        <w:t>）基金的银行汇划费用；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9</w:t>
      </w:r>
      <w:r w:rsidRPr="00634578">
        <w:rPr>
          <w:rFonts w:asciiTheme="minorEastAsia" w:eastAsiaTheme="minorEastAsia" w:hAnsiTheme="minorEastAsia" w:hint="eastAsia"/>
          <w:bCs/>
          <w:color w:val="000000" w:themeColor="text1"/>
          <w:szCs w:val="21"/>
        </w:rPr>
        <w:t>）证券账户开户费用、账户维护费用；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）按照国家有关规定和《基金合同》约定，可以在基金财产中列支的其他费用。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2、基金费用计提方法、计提标准和支付方式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）基金管理人的管理费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本基金的管理费按前一日基金资产净值的</w:t>
      </w:r>
      <w:r w:rsidRPr="00634578">
        <w:rPr>
          <w:rFonts w:asciiTheme="minorEastAsia" w:eastAsiaTheme="minorEastAsia" w:hAnsiTheme="minorEastAsia"/>
          <w:bCs/>
          <w:color w:val="000000" w:themeColor="text1"/>
          <w:szCs w:val="21"/>
        </w:rPr>
        <w:t>0.15%</w:t>
      </w:r>
      <w:r w:rsidRPr="00634578">
        <w:rPr>
          <w:rFonts w:asciiTheme="minorEastAsia" w:eastAsiaTheme="minorEastAsia" w:hAnsiTheme="minorEastAsia" w:hint="eastAsia"/>
          <w:bCs/>
          <w:color w:val="000000" w:themeColor="text1"/>
          <w:szCs w:val="21"/>
        </w:rPr>
        <w:t>年费率计提。管理费的计算方法如下：</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H</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E</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0.15%</w:t>
      </w:r>
      <w:r w:rsidRPr="00634578">
        <w:rPr>
          <w:rFonts w:asciiTheme="minorEastAsia" w:eastAsiaTheme="minorEastAsia" w:hAnsiTheme="minorEastAsia" w:hint="eastAsia"/>
          <w:bCs/>
          <w:color w:val="000000" w:themeColor="text1"/>
          <w:szCs w:val="21"/>
        </w:rPr>
        <w:t>÷当年天数</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H</w:t>
      </w:r>
      <w:r w:rsidRPr="00634578">
        <w:rPr>
          <w:rFonts w:asciiTheme="minorEastAsia" w:eastAsiaTheme="minorEastAsia" w:hAnsiTheme="minorEastAsia" w:hint="eastAsia"/>
          <w:bCs/>
          <w:color w:val="000000" w:themeColor="text1"/>
          <w:szCs w:val="21"/>
        </w:rPr>
        <w:t>为每日应计提的基金管理费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E</w:t>
      </w:r>
      <w:r w:rsidRPr="00634578">
        <w:rPr>
          <w:rFonts w:asciiTheme="minorEastAsia" w:eastAsiaTheme="minorEastAsia" w:hAnsiTheme="minorEastAsia" w:hint="eastAsia"/>
          <w:bCs/>
          <w:color w:val="000000" w:themeColor="text1"/>
          <w:szCs w:val="21"/>
        </w:rPr>
        <w:t>为前一日的基金资产净值</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基金管理费每日计提，按月支付。由基金托管人根据与基金管理人核对一致的财务数据，自动在月初</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个工作日内、按照指定的帐户路径进行资金支付，基金管理人无需再出具资金划拨指令。若遇法定节假日、休息日等，支付日期顺延。费用自动扣划后，基金管理人应进行核对，如发现数据不符，及时联系基金托管人协商解决。</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）基金托管人的托管费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本基金的托管费按前一日基金资产净值的</w:t>
      </w:r>
      <w:r w:rsidRPr="00634578">
        <w:rPr>
          <w:rFonts w:asciiTheme="minorEastAsia" w:eastAsiaTheme="minorEastAsia" w:hAnsiTheme="minorEastAsia"/>
          <w:bCs/>
          <w:color w:val="000000" w:themeColor="text1"/>
          <w:szCs w:val="21"/>
        </w:rPr>
        <w:t>0.04%</w:t>
      </w:r>
      <w:r w:rsidRPr="00634578">
        <w:rPr>
          <w:rFonts w:asciiTheme="minorEastAsia" w:eastAsiaTheme="minorEastAsia" w:hAnsiTheme="minorEastAsia" w:hint="eastAsia"/>
          <w:bCs/>
          <w:color w:val="000000" w:themeColor="text1"/>
          <w:szCs w:val="21"/>
        </w:rPr>
        <w:t>的年费率计提。托管费的计算方法如下：</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H</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E</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0.04%</w:t>
      </w:r>
      <w:r w:rsidRPr="00634578">
        <w:rPr>
          <w:rFonts w:asciiTheme="minorEastAsia" w:eastAsiaTheme="minorEastAsia" w:hAnsiTheme="minorEastAsia" w:hint="eastAsia"/>
          <w:bCs/>
          <w:color w:val="000000" w:themeColor="text1"/>
          <w:szCs w:val="21"/>
        </w:rPr>
        <w:t>÷当年天数</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H</w:t>
      </w:r>
      <w:r w:rsidRPr="00634578">
        <w:rPr>
          <w:rFonts w:asciiTheme="minorEastAsia" w:eastAsiaTheme="minorEastAsia" w:hAnsiTheme="minorEastAsia" w:hint="eastAsia"/>
          <w:bCs/>
          <w:color w:val="000000" w:themeColor="text1"/>
          <w:szCs w:val="21"/>
        </w:rPr>
        <w:t>为每日应计提的基金托管费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E</w:t>
      </w:r>
      <w:r w:rsidRPr="00634578">
        <w:rPr>
          <w:rFonts w:asciiTheme="minorEastAsia" w:eastAsiaTheme="minorEastAsia" w:hAnsiTheme="minorEastAsia" w:hint="eastAsia"/>
          <w:bCs/>
          <w:color w:val="000000" w:themeColor="text1"/>
          <w:szCs w:val="21"/>
        </w:rPr>
        <w:t>为前一日的基金资产净值</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基金托管费每日计提，按月支付。由基金托管人根据与基金管理人核对一致的财务数据，自动在月初</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个工作日内、按照指定的帐户路径进行资金支付，基金管理人无需再出具资金划拨指令。若遇法定节假日、休息日等，支付日期顺延。费用自动扣划后，基金管理人应进行核对，如发现数据不符，及时联系基金托管人协商解决。</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）基金销售服务费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w:t>
      </w:r>
      <w:r w:rsidRPr="00634578">
        <w:rPr>
          <w:rFonts w:asciiTheme="minorEastAsia" w:eastAsiaTheme="minorEastAsia" w:hAnsiTheme="minorEastAsia"/>
          <w:bCs/>
          <w:color w:val="000000" w:themeColor="text1"/>
          <w:szCs w:val="21"/>
        </w:rPr>
        <w:t>A</w:t>
      </w:r>
      <w:r w:rsidRPr="00634578">
        <w:rPr>
          <w:rFonts w:asciiTheme="minorEastAsia" w:eastAsiaTheme="minorEastAsia" w:hAnsiTheme="minorEastAsia" w:hint="eastAsia"/>
          <w:bCs/>
          <w:color w:val="000000" w:themeColor="text1"/>
          <w:szCs w:val="21"/>
        </w:rPr>
        <w:t>类基金份额的年销售服务费率为</w:t>
      </w:r>
      <w:r w:rsidRPr="00634578">
        <w:rPr>
          <w:rFonts w:asciiTheme="minorEastAsia" w:eastAsiaTheme="minorEastAsia" w:hAnsiTheme="minorEastAsia"/>
          <w:bCs/>
          <w:color w:val="000000" w:themeColor="text1"/>
          <w:szCs w:val="21"/>
        </w:rPr>
        <w:t>0.18%</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B</w:t>
      </w:r>
      <w:r w:rsidRPr="00634578">
        <w:rPr>
          <w:rFonts w:asciiTheme="minorEastAsia" w:eastAsiaTheme="minorEastAsia" w:hAnsiTheme="minorEastAsia" w:hint="eastAsia"/>
          <w:bCs/>
          <w:color w:val="000000" w:themeColor="text1"/>
          <w:szCs w:val="21"/>
        </w:rPr>
        <w:t>类基金份额的年销售服务费率为</w:t>
      </w:r>
      <w:r w:rsidRPr="00634578">
        <w:rPr>
          <w:rFonts w:asciiTheme="minorEastAsia" w:eastAsiaTheme="minorEastAsia" w:hAnsiTheme="minorEastAsia"/>
          <w:bCs/>
          <w:color w:val="000000" w:themeColor="text1"/>
          <w:szCs w:val="21"/>
        </w:rPr>
        <w:t>0.01%</w:t>
      </w:r>
      <w:r w:rsidRPr="00634578" w:rsidR="00094955">
        <w:rPr>
          <w:rFonts w:asciiTheme="minorEastAsia" w:eastAsiaTheme="minorEastAsia" w:hAnsiTheme="minorEastAsia" w:hint="eastAsia"/>
          <w:bCs/>
          <w:color w:val="000000" w:themeColor="text1"/>
          <w:szCs w:val="21"/>
        </w:rPr>
        <w:t>，C类基金份额的年销售服务费率为</w:t>
      </w:r>
      <w:r w:rsidRPr="00634578" w:rsidR="00094955">
        <w:rPr>
          <w:rFonts w:asciiTheme="minorEastAsia" w:eastAsiaTheme="minorEastAsia" w:hAnsiTheme="minorEastAsia"/>
          <w:bCs/>
          <w:color w:val="000000" w:themeColor="text1"/>
          <w:szCs w:val="21"/>
        </w:rPr>
        <w:t>0.05%</w:t>
      </w:r>
      <w:r w:rsidRPr="00634578">
        <w:rPr>
          <w:rFonts w:asciiTheme="minorEastAsia" w:eastAsiaTheme="minorEastAsia" w:hAnsiTheme="minorEastAsia" w:hint="eastAsia"/>
          <w:bCs/>
          <w:color w:val="000000" w:themeColor="text1"/>
          <w:szCs w:val="21"/>
        </w:rPr>
        <w:t>。</w:t>
      </w:r>
      <w:r w:rsidRPr="00634578" w:rsidR="00094955">
        <w:rPr>
          <w:rFonts w:asciiTheme="minorEastAsia" w:eastAsiaTheme="minorEastAsia" w:hAnsiTheme="minorEastAsia" w:hint="eastAsia"/>
          <w:bCs/>
          <w:color w:val="000000" w:themeColor="text1"/>
          <w:szCs w:val="21"/>
        </w:rPr>
        <w:t>各类</w:t>
      </w:r>
      <w:r w:rsidRPr="00634578">
        <w:rPr>
          <w:rFonts w:asciiTheme="minorEastAsia" w:eastAsiaTheme="minorEastAsia" w:hAnsiTheme="minorEastAsia" w:hint="eastAsia"/>
          <w:bCs/>
          <w:color w:val="000000" w:themeColor="text1"/>
          <w:szCs w:val="21"/>
        </w:rPr>
        <w:t>基金份额的销售服务费计提的计算公式相同，具体如下：</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H</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E</w:t>
      </w:r>
      <w:r w:rsidRPr="00634578">
        <w:rPr>
          <w:rFonts w:asciiTheme="minorEastAsia" w:eastAsiaTheme="minorEastAsia" w:hAnsiTheme="minorEastAsia" w:hint="eastAsia"/>
          <w:bCs/>
          <w:color w:val="000000" w:themeColor="text1"/>
          <w:szCs w:val="21"/>
        </w:rPr>
        <w:t>×年销售服务费率÷当年天数</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H</w:t>
      </w:r>
      <w:r w:rsidRPr="00634578">
        <w:rPr>
          <w:rFonts w:asciiTheme="minorEastAsia" w:eastAsiaTheme="minorEastAsia" w:hAnsiTheme="minorEastAsia" w:hint="eastAsia"/>
          <w:bCs/>
          <w:color w:val="000000" w:themeColor="text1"/>
          <w:szCs w:val="21"/>
        </w:rPr>
        <w:t>为每日该类基金份额应计提的基金销售服务费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E</w:t>
      </w:r>
      <w:r w:rsidRPr="00634578">
        <w:rPr>
          <w:rFonts w:asciiTheme="minorEastAsia" w:eastAsiaTheme="minorEastAsia" w:hAnsiTheme="minorEastAsia" w:hint="eastAsia"/>
          <w:bCs/>
          <w:color w:val="000000" w:themeColor="text1"/>
          <w:szCs w:val="21"/>
        </w:rPr>
        <w:t>为前一日该类基金份额的基金资产净值</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销售服务费每日计提，按月支付。由基金托管人根据与基金管理人核对一致的财务数据，自动在月初五个工作日内、按照指定的帐户路径进行资金支付，基金管理人无需再出具资金划拨指令。若遇法定节假日、休息日等，支付日期顺延。费用自动扣划后，基金管理人应进行核对，如发现数据不符，及时联系基金托管人协商解决。</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销售服务费可用于本基金市场推广、销售以及基金份额持有人服务等各项费用。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上述“（一）基金费用的种类中第</w:t>
      </w:r>
      <w:r w:rsidRPr="00634578" w:rsidR="00D40333">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sidR="00D40333">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hint="eastAsia"/>
          <w:bCs/>
          <w:color w:val="000000" w:themeColor="text1"/>
          <w:szCs w:val="21"/>
        </w:rPr>
        <w:t>－</w:t>
      </w:r>
      <w:r w:rsidRPr="00634578" w:rsidR="00D40333">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10</w:t>
      </w:r>
      <w:r w:rsidRPr="00634578" w:rsidR="00D40333">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hint="eastAsia"/>
          <w:bCs/>
          <w:color w:val="000000" w:themeColor="text1"/>
          <w:szCs w:val="21"/>
        </w:rPr>
        <w:t>项费用”，根据有关法规及相应协议规定，按费用实际支出金额列入当期费用，由基金托管人从基金财产中支付。</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3、不列入基金费用的项目</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下列费用不列入基金费用：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sidR="0092352E">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hint="eastAsia"/>
          <w:bCs/>
          <w:color w:val="000000" w:themeColor="text1"/>
          <w:szCs w:val="21"/>
        </w:rPr>
        <w:t>基金管理人和基金托管人因未履行或未完全履行义务导致的费用支出或基金财产的损失；</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sidR="0092352E">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hint="eastAsia"/>
          <w:bCs/>
          <w:color w:val="000000" w:themeColor="text1"/>
          <w:szCs w:val="21"/>
        </w:rPr>
        <w:t>基金管理人和基金托管人处理与基金运作无关的事项发生的费用；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sidR="0092352E">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hint="eastAsia"/>
          <w:bCs/>
          <w:color w:val="000000" w:themeColor="text1"/>
          <w:szCs w:val="21"/>
        </w:rPr>
        <w:t>《基金合同》生效前的相关费用；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sidR="0092352E">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hint="eastAsia"/>
          <w:bCs/>
          <w:color w:val="000000" w:themeColor="text1"/>
          <w:szCs w:val="21"/>
        </w:rPr>
        <w:t>其他根据相关法律法规及中国证监会的有关规定不得列入基金费用的项目。</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4、费用调整</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基金管理人和基金托管人协商一致后，可按照基金发展情况，并根据法律法规规定和基金合同约定，调低基金管理费率、基金托管费率或基金销售服务费率等相关费率。</w:t>
      </w:r>
    </w:p>
    <w:p w:rsidR="0092352E"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（二）与基金销售相关的费用</w:t>
      </w:r>
    </w:p>
    <w:p w:rsidR="000D07C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rPr>
        <w:t>1</w:t>
      </w:r>
      <w:r w:rsidRPr="00634578" w:rsidR="00311CF5">
        <w:rPr>
          <w:rFonts w:asciiTheme="minorEastAsia" w:eastAsiaTheme="minorEastAsia" w:hAnsiTheme="minorEastAsia" w:hint="eastAsia"/>
          <w:color w:val="000000" w:themeColor="text1"/>
        </w:rPr>
        <w:t>、</w:t>
      </w:r>
      <w:r w:rsidRPr="00634578">
        <w:rPr>
          <w:rFonts w:asciiTheme="minorEastAsia" w:eastAsiaTheme="minorEastAsia" w:hAnsiTheme="minorEastAsia" w:hint="eastAsia"/>
          <w:color w:val="000000" w:themeColor="text1"/>
          <w:szCs w:val="21"/>
        </w:rPr>
        <w:t>本基金申购费、赎回费和转换费的费率水平、计算公式、收取方式和使用方式请详见本招募说明书“九、基金份额的申购、赎回”中的“</w:t>
      </w:r>
      <w:r w:rsidRPr="00634578">
        <w:rPr>
          <w:rStyle w:val="da"/>
          <w:rFonts w:asciiTheme="minorEastAsia" w:eastAsiaTheme="minorEastAsia" w:hAnsiTheme="minorEastAsia" w:hint="eastAsia"/>
          <w:color w:val="000000" w:themeColor="text1"/>
          <w:szCs w:val="21"/>
        </w:rPr>
        <w:t>（七）基金的申购费和赎回费</w:t>
      </w: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(八)申购和赎回的数额和价格</w:t>
      </w:r>
      <w:r w:rsidRPr="00634578">
        <w:rPr>
          <w:rFonts w:asciiTheme="minorEastAsia" w:eastAsiaTheme="minorEastAsia" w:hAnsiTheme="minorEastAsia" w:hint="eastAsia"/>
          <w:color w:val="000000" w:themeColor="text1"/>
          <w:szCs w:val="21"/>
        </w:rPr>
        <w:t>”和“十、基金的转换”中的“（五）基金转换费率”、“（六）基金转换份额的计算方式”的相关规定。</w:t>
      </w:r>
    </w:p>
    <w:p w:rsidR="000D07C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2、</w:t>
      </w:r>
      <w:r w:rsidRPr="00634578">
        <w:rPr>
          <w:rFonts w:asciiTheme="minorEastAsia" w:eastAsiaTheme="minorEastAsia" w:hAnsiTheme="minorEastAsia" w:hint="eastAsia"/>
          <w:color w:val="000000" w:themeColor="text1"/>
          <w:szCs w:val="21"/>
        </w:rPr>
        <w:t>投资者通过本公司网上交易系统（www.efunds.com.cn）进行申购、赎回和转换的交易费率，请具体参照我公司网站上的相关说明。</w:t>
      </w:r>
    </w:p>
    <w:p w:rsidR="000D07C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3、基金管理人可以在法律法规和基金合同规定的范围内调整上述费率。上述费率如发生变更，基金管理人最迟应于新的费率或收费方式实施日前依照《信息披露办法》的有关规定在指定</w:t>
      </w:r>
      <w:r w:rsidRPr="00634578" w:rsidR="00CA2EAE">
        <w:rPr>
          <w:rFonts w:asciiTheme="minorEastAsia" w:eastAsiaTheme="minorEastAsia" w:hAnsiTheme="minorEastAsia" w:hint="eastAsia"/>
          <w:color w:val="000000" w:themeColor="text1"/>
        </w:rPr>
        <w:t>媒介</w:t>
      </w:r>
      <w:r w:rsidRPr="00634578">
        <w:rPr>
          <w:rFonts w:asciiTheme="minorEastAsia" w:eastAsiaTheme="minorEastAsia" w:hAnsiTheme="minorEastAsia" w:hint="eastAsia"/>
          <w:color w:val="000000" w:themeColor="text1"/>
        </w:rPr>
        <w:t>上公告。</w:t>
      </w:r>
    </w:p>
    <w:p w:rsidR="000D07C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color w:val="000000" w:themeColor="text1"/>
        </w:rPr>
        <w:t>4</w:t>
      </w:r>
      <w:r w:rsidRPr="00634578" w:rsidR="00311CF5">
        <w:rPr>
          <w:rFonts w:asciiTheme="minorEastAsia" w:eastAsiaTheme="minorEastAsia" w:hAnsiTheme="minorEastAsia" w:hint="eastAsia"/>
          <w:color w:val="000000" w:themeColor="text1"/>
        </w:rPr>
        <w:t>、</w:t>
      </w:r>
      <w:r w:rsidRPr="00634578" w:rsidR="00B12C77">
        <w:rPr>
          <w:rFonts w:asciiTheme="minorEastAsia" w:eastAsiaTheme="minorEastAsia" w:hAnsiTheme="minorEastAsia" w:hint="eastAsia"/>
          <w:color w:val="000000" w:themeColor="text1"/>
        </w:rPr>
        <w:t>基金管理人可以在不违反法律法规规定及基金合同约定的情况下根据市场情况制定基金促销计划，针对基金投资者定期和不定期地开展基金促销活动。在基金促销活动期间，</w:t>
      </w:r>
      <w:r w:rsidRPr="00634578" w:rsidR="00B12C77">
        <w:rPr>
          <w:rFonts w:asciiTheme="minorEastAsia" w:eastAsiaTheme="minorEastAsia" w:hAnsiTheme="minorEastAsia" w:hint="eastAsia"/>
          <w:color w:val="000000" w:themeColor="text1"/>
        </w:rPr>
        <w:t>基金管理人可以适当调低基金销售费率，或针对特定渠道、特定投资群体开展有差别的费率优惠活动。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sidR="000D07C9">
        <w:rPr>
          <w:rFonts w:asciiTheme="minorEastAsia" w:eastAsiaTheme="minorEastAsia" w:hAnsiTheme="minorEastAsia" w:hint="eastAsia"/>
          <w:bCs/>
          <w:color w:val="000000" w:themeColor="text1"/>
          <w:szCs w:val="21"/>
        </w:rPr>
        <w:t>三</w:t>
      </w:r>
      <w:r w:rsidRPr="00634578">
        <w:rPr>
          <w:rFonts w:asciiTheme="minorEastAsia" w:eastAsiaTheme="minorEastAsia" w:hAnsiTheme="minorEastAsia" w:hint="eastAsia"/>
          <w:bCs/>
          <w:color w:val="000000" w:themeColor="text1"/>
          <w:szCs w:val="21"/>
        </w:rPr>
        <w:t>）基金税收</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本基金运作过程中涉及的各纳税主体，其纳税义务按国家税收法律、法规执行。</w:t>
      </w:r>
    </w:p>
    <w:p w:rsidR="00DB3659" w:rsidRPr="00634578" w:rsidP="00BB159E">
      <w:pPr>
        <w:pStyle w:val="Heading1"/>
        <w:snapToGrid w:val="0"/>
        <w:spacing w:beforeLines="0" w:afterLines="0" w:line="360" w:lineRule="auto"/>
        <w:ind w:firstLine="600"/>
        <w:rPr>
          <w:rFonts w:asciiTheme="minorEastAsia" w:eastAsiaTheme="minorEastAsia" w:hAnsiTheme="minorEastAsia"/>
          <w:bCs/>
          <w:color w:val="000000" w:themeColor="text1"/>
        </w:rPr>
      </w:pPr>
      <w:r w:rsidRPr="00634578">
        <w:rPr>
          <w:rFonts w:asciiTheme="minorEastAsia" w:eastAsiaTheme="minorEastAsia" w:hAnsiTheme="minorEastAsia"/>
          <w:color w:val="000000" w:themeColor="text1"/>
          <w:sz w:val="30"/>
        </w:rPr>
        <w:br w:type="page"/>
      </w:r>
      <w:bookmarkStart w:id="92" w:name="_Hlt88827255"/>
      <w:bookmarkStart w:id="93" w:name="_Toc91772050"/>
      <w:bookmarkEnd w:id="92"/>
      <w:r w:rsidRPr="00634578" w:rsidR="0080127D">
        <w:rPr>
          <w:rFonts w:asciiTheme="minorEastAsia" w:eastAsiaTheme="minorEastAsia" w:hAnsiTheme="minorEastAsia" w:hint="eastAsia"/>
          <w:color w:val="000000" w:themeColor="text1"/>
          <w:sz w:val="30"/>
        </w:rPr>
        <w:t>十八</w:t>
      </w:r>
      <w:r w:rsidRPr="00634578">
        <w:rPr>
          <w:rFonts w:asciiTheme="minorEastAsia" w:eastAsiaTheme="minorEastAsia" w:hAnsiTheme="minorEastAsia" w:hint="eastAsia"/>
          <w:color w:val="000000" w:themeColor="text1"/>
          <w:sz w:val="30"/>
        </w:rPr>
        <w:t>、基金的会计与审计</w:t>
      </w:r>
      <w:bookmarkEnd w:id="93"/>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（一）基金会计政策</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、基金管理人为本基金的基金会计责任方；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、基金的会计年度为公历年度的</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日至</w:t>
      </w:r>
      <w:r w:rsidRPr="00634578">
        <w:rPr>
          <w:rFonts w:asciiTheme="minorEastAsia" w:eastAsiaTheme="minorEastAsia" w:hAnsiTheme="minorEastAsia"/>
          <w:bCs/>
          <w:color w:val="000000" w:themeColor="text1"/>
          <w:szCs w:val="21"/>
        </w:rPr>
        <w:t>12</w:t>
      </w:r>
      <w:r w:rsidRPr="00634578">
        <w:rPr>
          <w:rFonts w:asciiTheme="minorEastAsia" w:eastAsiaTheme="minorEastAsia" w:hAnsiTheme="minorEastAsia" w:hint="eastAsia"/>
          <w:bCs/>
          <w:color w:val="000000" w:themeColor="text1"/>
          <w:szCs w:val="21"/>
        </w:rPr>
        <w:t>月</w:t>
      </w:r>
      <w:r w:rsidRPr="00634578">
        <w:rPr>
          <w:rFonts w:asciiTheme="minorEastAsia" w:eastAsiaTheme="minorEastAsia" w:hAnsiTheme="minorEastAsia"/>
          <w:bCs/>
          <w:color w:val="000000" w:themeColor="text1"/>
          <w:szCs w:val="21"/>
        </w:rPr>
        <w:t>31</w:t>
      </w:r>
      <w:r w:rsidRPr="00634578">
        <w:rPr>
          <w:rFonts w:asciiTheme="minorEastAsia" w:eastAsiaTheme="minorEastAsia" w:hAnsiTheme="minorEastAsia" w:hint="eastAsia"/>
          <w:bCs/>
          <w:color w:val="000000" w:themeColor="text1"/>
          <w:szCs w:val="21"/>
        </w:rPr>
        <w:t>日；基金首次募集的会计年度按如下原则：如果《基金合同》生效少于</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个月，可以并入下一个会计年度；</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、基金核算以人民币为记账本位币，以人民币元为记账单位；</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、会计制度执行国家有关会计制度；</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、本基金独立建账、独立核算；</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、基金管理人及基金托管人各自保留完整的会计账目、凭证并进行日常的会计核算，按照有关规定编制基金会计报表；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、基金托管人每月与基金管理人就基金的会计核算、报表编制等进行核对确认。</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（二）基金的年度审计</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1、基金管理人聘请与基金管理人、基金托管人相互独立的具有证券、期货相关业务资格的会计师事务所及其注册会计师对本基金的年度财务报表进行审计。</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2、会计师事务所更换经办注册会计师，应事先征得基金管理人同意。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3、基金管理人认为有充足理由更换会计师事务所，须通报基金托管人。更换会计师事务所需在2日内在指定媒介公告。</w:t>
      </w:r>
    </w:p>
    <w:p w:rsidR="00DB3659" w:rsidRPr="00634578" w:rsidP="00BB159E">
      <w:pPr>
        <w:snapToGrid w:val="0"/>
        <w:spacing w:line="360" w:lineRule="auto"/>
        <w:ind w:firstLine="480"/>
        <w:rPr>
          <w:rFonts w:asciiTheme="minorEastAsia" w:eastAsiaTheme="minorEastAsia" w:hAnsiTheme="minorEastAsia"/>
          <w:color w:val="000000" w:themeColor="text1"/>
        </w:rPr>
      </w:pPr>
    </w:p>
    <w:p w:rsidR="00DB3659" w:rsidRPr="00634578" w:rsidP="00BB159E">
      <w:pPr>
        <w:snapToGrid w:val="0"/>
        <w:spacing w:line="360" w:lineRule="auto"/>
        <w:ind w:firstLine="480"/>
        <w:rPr>
          <w:rFonts w:asciiTheme="minorEastAsia" w:eastAsiaTheme="minorEastAsia" w:hAnsiTheme="minorEastAsia"/>
          <w:color w:val="000000" w:themeColor="text1"/>
        </w:rPr>
      </w:pPr>
    </w:p>
    <w:p w:rsidR="00DB3659" w:rsidRPr="00634578" w:rsidP="00BB159E">
      <w:pPr>
        <w:snapToGrid w:val="0"/>
        <w:spacing w:line="360" w:lineRule="auto"/>
        <w:ind w:firstLine="480"/>
        <w:rPr>
          <w:rFonts w:asciiTheme="minorEastAsia" w:eastAsiaTheme="minorEastAsia" w:hAnsiTheme="minorEastAsia"/>
          <w:color w:val="000000" w:themeColor="text1"/>
        </w:rPr>
      </w:pPr>
    </w:p>
    <w:p w:rsidR="00DB3659" w:rsidRPr="00634578" w:rsidP="00BB159E">
      <w:pPr>
        <w:pStyle w:val="Heading1"/>
        <w:snapToGrid w:val="0"/>
        <w:spacing w:beforeLines="0" w:afterLines="0" w:line="360" w:lineRule="auto"/>
        <w:ind w:firstLine="600"/>
        <w:rPr>
          <w:rFonts w:asciiTheme="minorEastAsia" w:eastAsiaTheme="minorEastAsia" w:hAnsiTheme="minorEastAsia"/>
          <w:b/>
          <w:color w:val="000000" w:themeColor="text1"/>
        </w:rPr>
      </w:pPr>
      <w:r w:rsidRPr="00634578">
        <w:rPr>
          <w:rFonts w:asciiTheme="minorEastAsia" w:eastAsiaTheme="minorEastAsia" w:hAnsiTheme="minorEastAsia"/>
          <w:color w:val="000000" w:themeColor="text1"/>
          <w:sz w:val="30"/>
        </w:rPr>
        <w:br w:type="column"/>
      </w:r>
      <w:bookmarkStart w:id="94" w:name="_Toc91772051"/>
      <w:r w:rsidRPr="00634578" w:rsidR="0080127D">
        <w:rPr>
          <w:rFonts w:asciiTheme="minorEastAsia" w:eastAsiaTheme="minorEastAsia" w:hAnsiTheme="minorEastAsia" w:hint="eastAsia"/>
          <w:color w:val="000000" w:themeColor="text1"/>
          <w:sz w:val="30"/>
        </w:rPr>
        <w:t>十九</w:t>
      </w:r>
      <w:r w:rsidRPr="00634578">
        <w:rPr>
          <w:rFonts w:asciiTheme="minorEastAsia" w:eastAsiaTheme="minorEastAsia" w:hAnsiTheme="minorEastAsia" w:hint="eastAsia"/>
          <w:color w:val="000000" w:themeColor="text1"/>
          <w:sz w:val="30"/>
        </w:rPr>
        <w:t>、基金的信息披露</w:t>
      </w:r>
      <w:bookmarkEnd w:id="94"/>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一、本基金的信息披露应符合《基金法》、《运作办法》、《信息披露办法》、《基金合同》及其他有关规定。相关法律法规关于信息披露的披露方式、登载媒介、报备方式等规定发生变化时，本基金从其最新规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二、信息披露义务人</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本基金信息披露义务人包括基金管理人、基金托管人、召集基金份额持有人大会的基金份额持有人等法律、行政法规和中国证监会规定的自然人、法人和非法人组织。</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本基金信息披露义务人以保护基金份额持有人利益为根本出发点，按照法律法规和中国证监会的规定披露基金信息，并保证所披露信息的真实性、准确性和完整性、及时性、简明性和易得性。</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三、本基金信息披露义务人承诺公开披露的基金信息，不得有下列行为：</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1、虚假记载、误导性陈述或者重大遗漏；</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2、对证券投资业绩进行预测；</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3、违规承诺收益或者承担损失；</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4、诋毁其他基金管理人、基金托管人或者基金销售机构；</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5、登载任何自然人、法人和非法人组织的祝贺性、恭维性或推荐性的文字；</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6、中国证监会禁止的其他行为。</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四、本基金公开披露的信息应采用中文文本。如同时采用外文文本的，基金信息披露义务人应保证不同文本的内容一致。不同文本之间发生歧义的，以中文文本为准。</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本基金公开披露的信息采用阿拉伯数字；除特别说明外，货币单位为人民币元。</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五、公开披露的基金信息</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公开披露的基金信息包括：</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（一）基金招募说明书、《基金合同》、基金托管协议、基金产品资料概要</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1、《基金合同》是界定《基金合同》当事人的各项权利、义务关系，明确基金份额持有人大会召开的规则及具体程序，说明基金产品的特性等涉及基金投资者重大利益的事项的法律文件。</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3、基金托管协议是界定基金托管人和基金管理人在基金财产保管及基金运作监督等活动中的权利、义务关系的法律文件。</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基金募集申请经中国证监会注册后，基金管理人在基金份额发售的3日前，将基金招募说明书、《基金合同》摘要登载在指定媒介上；基金管理人、基金托管人应当将《基金合同》、基金托管协议登载在网站上。</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（二）基金份额发售公告</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基金管理人应当就基金份额发售的具体事宜编制基金份额发售公告，并在披露招募说明书的当日登载于指定媒介上。</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（三）《基金合同》生效公告</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基金管理人应当在收到中国证监会确认文件的次日在指定媒介上登载《基金合同》生效公告。</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（四）基金每万份基金已实现收益和7日年化收益率信息</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1、本基金的基金合同生效后，在开始办理基金份额申购或者赎回前，基金管理人将至少每周在指定网站披露一次基金的每万份基金已实现收益和7日年化收益率；</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每万份基金已实现收益和</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日年化收益率的计算方法如下：</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每万份基金已实现收益＝当日该类基金份额的已实现收益</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当日该类基金份额总额×</w:t>
      </w:r>
      <w:r w:rsidRPr="00634578">
        <w:rPr>
          <w:rFonts w:asciiTheme="minorEastAsia" w:eastAsiaTheme="minorEastAsia" w:hAnsiTheme="minorEastAsia"/>
          <w:bCs/>
          <w:color w:val="000000" w:themeColor="text1"/>
          <w:szCs w:val="21"/>
        </w:rPr>
        <w:t>10000</w:t>
      </w:r>
      <w:r w:rsidRPr="00634578">
        <w:rPr>
          <w:rFonts w:asciiTheme="minorEastAsia" w:eastAsiaTheme="minorEastAsia" w:hAnsiTheme="minorEastAsia" w:hint="eastAsia"/>
          <w:bCs/>
          <w:color w:val="000000" w:themeColor="text1"/>
          <w:szCs w:val="21"/>
        </w:rPr>
        <w:t>。其中，当日分配的基金收益自其下一日起享有分红权益，自下一日起纳入基金份额总数的计算；收益的精度为以四舍五入的方法保留小数点后</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位。</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日年化收益率＝｛</w:t>
      </w:r>
      <w:r>
        <w:rPr>
          <w:rFonts w:asciiTheme="minorEastAsia" w:eastAsiaTheme="minorEastAsia" w:hAnsiTheme="minorEastAsia"/>
          <w:bCs/>
          <w:color w:val="000000" w:themeColor="text1"/>
          <w:szCs w:val="21"/>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45pt;height:36.75pt" o:oleicon="f" o:ole="" filled="t">
            <v:fill color2="black"/>
            <v:imagedata r:id="rId15" o:title=""/>
          </v:shape>
          <o:OLEObject Type="Embed" ProgID="Equation.3" ShapeID="_x0000_i1025" DrawAspect="Content" ObjectID="_1702384929" r:id="rId16"/>
        </w:objec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×100%</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其中，</w:t>
      </w:r>
      <w:r w:rsidRPr="00634578">
        <w:rPr>
          <w:rFonts w:asciiTheme="minorEastAsia" w:eastAsiaTheme="minorEastAsia" w:hAnsiTheme="minorEastAsia"/>
          <w:bCs/>
          <w:color w:val="000000" w:themeColor="text1"/>
          <w:szCs w:val="21"/>
        </w:rPr>
        <w:t>Ri</w:t>
      </w:r>
      <w:r w:rsidRPr="00634578">
        <w:rPr>
          <w:rFonts w:asciiTheme="minorEastAsia" w:eastAsiaTheme="minorEastAsia" w:hAnsiTheme="minorEastAsia" w:hint="eastAsia"/>
          <w:bCs/>
          <w:color w:val="000000" w:themeColor="text1"/>
          <w:szCs w:val="21"/>
        </w:rPr>
        <w:t>为最近第</w:t>
      </w:r>
      <w:r w:rsidRPr="00634578">
        <w:rPr>
          <w:rFonts w:asciiTheme="minorEastAsia" w:eastAsiaTheme="minorEastAsia" w:hAnsiTheme="minorEastAsia"/>
          <w:bCs/>
          <w:color w:val="000000" w:themeColor="text1"/>
          <w:szCs w:val="21"/>
        </w:rPr>
        <w:t>i</w:t>
      </w:r>
      <w:r w:rsidRPr="00634578">
        <w:rPr>
          <w:rFonts w:asciiTheme="minorEastAsia" w:eastAsiaTheme="minorEastAsia" w:hAnsiTheme="minorEastAsia" w:hint="eastAsia"/>
          <w:bCs/>
          <w:color w:val="000000" w:themeColor="text1"/>
          <w:szCs w:val="21"/>
        </w:rPr>
        <w:t>个自然日（包括计算当日）的每万份基金已实现收益。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每万份基金已实现收益采用四舍五入保留至小数点后第</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位，</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日年化收益率采用四舍五入保留至百分号内小数点后第</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位。</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如果基金成立不足七日，按类似规则计算。当任一类基金份额为零时，将暂停计算和披露该类基金份额的每万份基金已实现收益、</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日年化收益率，待该类份额不为零时重新开始计算和披露。</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在开始办理基金份额申购或者赎回后，基金管理人应不晚于每个开放日的次日，通过指定网站、基金销售机构网站或者营业网点，披露开放日的每万份基金已实现收益和7日年化收益率。若遇法定节假日，于节假日结束后第2个自然日，公告节假日期间的基金份</w:t>
      </w:r>
      <w:r w:rsidRPr="00634578">
        <w:rPr>
          <w:rFonts w:asciiTheme="minorEastAsia" w:eastAsiaTheme="minorEastAsia" w:hAnsiTheme="minorEastAsia" w:hint="eastAsia"/>
          <w:bCs/>
          <w:color w:val="000000" w:themeColor="text1"/>
          <w:szCs w:val="21"/>
        </w:rPr>
        <w:t>额每万份基金已实现收益、节假日最后一日的7日年化收益率，以及节假日后首个开放日的基金份额每万份基金已实现收益和7日年化收益率。</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3、基金管理人应当在不晚于半年度和年度最后一日的次日，在指定网站披露半年度和年度最后一日的每万份基金已实现收益和7日年化收益率。</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（五）基金定期报告，包括基金年度报告、基金中期报告和基金季度报告</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基金管理人应当在上半年结束之日起两个月内，编制完成基金中期报告，将中期报告登载在指定网站上，并将中期报告提示性公告登载在指定报刊上。</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基金管理人应当在季度结束之日起15个工作日内，编制完成基金季度报告，将季度报告登载在指定网站上，并将季度报告提示性公告登载在指定报刊上。</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《基金合同》生效不足2个月的，基金管理人可以不编制当期季度报告、中期报告或者年度报告。</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报告期内出现单一投资者持有基金份额比例达到或超过20%的情形，基金管理人应当在季度报告、中期报告、年度报告等定期报告文件中披露该投资者的类别、报告期末持有份额及占比、报告期内持有份额变化情况及产品的特有风险，中国证监会认定的特殊情形除外。</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基金管理人应当在本基金年度报告、中期报告中，至少披露报告期末基金前10名份额持有人的类别、持有份额及占总份额的比例等信息。</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基金持续运作过程中，基金管理人应当在基金年度报告和中期报告中披露基金组合资产情况及其流动性风险分析等。</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（六）临时报告</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本基金发生重大事件，有关信息披露义务人应当在2日内编制临时报告书，予以公告，并登载在指定报刊和指定网站上。</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前款所称重大事件，是指可能对基金份额持有人权益或者基金份额的价格产生重大影响的下列事件：</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1、基金份额持有人大会的召开及决定的事项；</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2、基金合同终止、基金清算；</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3、转换基金运作方式、基金合并；</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4、更换基金管理人、基金托管人、基金份额登记机构，基金改聘会计师事务所；</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5、基金管理人委托基金服务机构代为办理基金的份额登记、核算、估值等事项，基金托管人委托基金服务机构代为办理基金的核算、估值、复核等事项；</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6、基金管理人、基金托管人的法定名称、住所发生变更；</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7、基金管理公司变更持有百分之五以上股权的股东、基金管理人的实际控制人变更；</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8、基金募集期延长或提前结束募集；</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9、基金管理人的高级管理人员、基金经理和基金托管人专门基金托管部门负责人发生变动；</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10、基金管理人的董事在最近12个月内变更超过百分之五十，基金管理人、基金托管人专门基金托管部门的主要业务人员在最近12个月内变动超过百分之三十；</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11、涉及基金管理业务、基金财产、基金托管业务的诉讼或者仲裁；</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14、基金收益分配事项；</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15、管理费、托管费、销售服务费等费用计提标准、计提方式和费率发生变更；</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16、基金资产净值计算错误达基金资产净值百分之零点五；</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17、当“摊余成本法”计算的基金资产净值与“影子定价”确定的基金资产净值偏离度绝对值达到或超过0.5%的情形；</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18、本基金开始办理申购、赎回；</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19、本基金暂停接受申购、赎回申请或重新接受申购、赎回申请；</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20、调整基金份额类别的设置；</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21、基金推出新业务或服务；</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22、基金信息披露义务人认为可能对基金份额持有人权益或者基金份额的价格产生重大影响的其他事项或中国证监会规定的其他事项。</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（七）澄清公告</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在《基金合同》存续期限内，任何公共媒体中出现的或者在市场上流传的消息可能对基金资产净值产生误导性影响或者引起较大波动，以及可能损害基金份额持有人权益的，相关信息披露义务人知悉后应当立即对该消息进行公开澄清，并将有关情况立即报告中国证监会。</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（八）基金份额持有人大会决议</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基金份额持有人大会决定的事项，应当依法报国务院证券监督管理机构备案，并予以公告。</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（九）清算报告</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（十）中国证监会规定的其他信息。</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六、信息披露事务管理</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基金管理人、基金托管人应当建立健全信息披露管理制度，指定专门部门及高级管理人员负责管理信息披露事务。</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基金信息披露义务人公开披露基金信息，应当符合中国证监会相关基金信息披露内容与格式准则等法规的规定。</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托管人应当按照相关法律法规、中国证监会的规定和《基金合同》的约定，对基金管理人编制的基金资产净值、每万份基金已实现收益、7日年化收益率、基金份额申购赎回价格、基金定期报告、更新的招募说明书、基金产品资料概要、基金清算报告等公开披露的相关基金信息进行复核、审查，并向基金管理人进行书面或电子确认。</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七、信息披露文件的存放与查阅</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依法必须披露的信息发布后，基金管理人、基金托管人应当按照相关法律法规规定将信息置备于公司办公场所，供社会公众查阅、复制。</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p>
    <w:p w:rsidR="00DB3659" w:rsidRPr="00634578" w:rsidP="00BB159E">
      <w:pPr>
        <w:pStyle w:val="Heading1"/>
        <w:snapToGrid w:val="0"/>
        <w:spacing w:beforeLines="0" w:afterLines="0" w:line="360" w:lineRule="auto"/>
        <w:ind w:firstLine="60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sz w:val="30"/>
        </w:rPr>
        <w:br w:type="column"/>
      </w:r>
      <w:bookmarkStart w:id="95" w:name="_Toc91772052"/>
      <w:r w:rsidRPr="00634578" w:rsidR="0080127D">
        <w:rPr>
          <w:rFonts w:asciiTheme="minorEastAsia" w:eastAsiaTheme="minorEastAsia" w:hAnsiTheme="minorEastAsia" w:hint="eastAsia"/>
          <w:color w:val="000000" w:themeColor="text1"/>
          <w:sz w:val="30"/>
        </w:rPr>
        <w:t>二十</w:t>
      </w:r>
      <w:r w:rsidRPr="00634578">
        <w:rPr>
          <w:rFonts w:asciiTheme="minorEastAsia" w:eastAsiaTheme="minorEastAsia" w:hAnsiTheme="minorEastAsia" w:hint="eastAsia"/>
          <w:color w:val="000000" w:themeColor="text1"/>
          <w:sz w:val="30"/>
        </w:rPr>
        <w:t>、风险揭示</w:t>
      </w:r>
      <w:bookmarkEnd w:id="95"/>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（一）市场风险</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本基金主要投资于具有良好流动性的金融工具，而其价格因受到经济因素、政治因素、投资者心理和交易制度等各种因素的影响而产生波动，从而导致基金收益水平发生变化，产生风险。主要的风险因素包括：</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、政策风险</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因国家宏观政策（如货币政策、财政政策、行业政策、地区发展政策等）发生变化，导致市场价格波动而产生风险。</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、利率风险</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利率风险主要是指因金融市场利率的波动而导致证券市场价格和收益率变动的风险。利率直接影响着债券的价格和收益率，影响着企业的融资成本和利润。本基金主要投资固定收益类金融工具，其收益水平直接受到利率变化的影响。</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、再投资风险</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债券、票据、定期存款偿付本息后以及回购到期后可能由于市场利率的下降面临资金再投资的收益率低于原来利率，由此本基金面临再投资风险。</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、信用风险</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信用风险主要指债券发行主体、票据发行主体、存款银行信用状况可能恶化而可能产生的到期不能兑付的风险。</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、经营风险</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债券发行主体的经营活动受多种因素影响。如果债券发行主体经营不善，其债券价格可能下跌；同时，其偿债能力也会受到影响。</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bookmarkStart w:id="96" w:name="_Toc327734902"/>
      <w:r w:rsidRPr="00634578">
        <w:rPr>
          <w:rFonts w:asciiTheme="minorEastAsia" w:eastAsiaTheme="minorEastAsia" w:hAnsiTheme="minorEastAsia" w:hint="eastAsia"/>
          <w:bCs/>
          <w:color w:val="000000" w:themeColor="text1"/>
          <w:szCs w:val="21"/>
        </w:rPr>
        <w:t>（二）管理风险</w:t>
      </w:r>
      <w:bookmarkEnd w:id="96"/>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、在基金管理运作过程中，基金管理人的知识、经验、判断、决策、技能等，会影响其对信息的占有以及对经济形势、证券价格走势的判断，从而影响基金收益水平；</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、基金管理人的管理手段和管理技术等因素的变化也会影响基金收益水平。</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bookmarkStart w:id="97" w:name="_Toc327734903"/>
      <w:r w:rsidRPr="00634578">
        <w:rPr>
          <w:rFonts w:asciiTheme="minorEastAsia" w:eastAsiaTheme="minorEastAsia" w:hAnsiTheme="minorEastAsia" w:hint="eastAsia"/>
          <w:bCs/>
          <w:color w:val="000000" w:themeColor="text1"/>
          <w:szCs w:val="21"/>
        </w:rPr>
        <w:t>（三）流动性风险</w:t>
      </w:r>
      <w:bookmarkEnd w:id="97"/>
    </w:p>
    <w:p w:rsidR="00667E65" w:rsidRPr="00634578" w:rsidP="00667E65">
      <w:pPr>
        <w:adjustRightInd w:val="0"/>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1、流动性风险评估</w:t>
      </w:r>
    </w:p>
    <w:p w:rsidR="00667E65" w:rsidRPr="00634578" w:rsidP="00667E65">
      <w:pPr>
        <w:adjustRightInd w:val="0"/>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为货币市场基金，投资于现金，期限在一年以内（含一年）的银行存款、债券回购、中央银行票据、同业存单，剩余期限在397天以内（含397天）的债券、非金融企业债务融资工具、资产支持证券，以及法律法规或中国证监会、中国人民银行认可的其他具有良好流动性的货币市场工具。上述投资标的一般情况下具有良好的流动性，但在特殊情况下，也存在部分企业债、资产证券化等债券品种交投不活跃、成交量不足的情形，此时如果基金赎回量较大，可能会影响基金的流动性。</w:t>
      </w:r>
    </w:p>
    <w:p w:rsidR="00667E65" w:rsidRPr="00634578" w:rsidP="00667E65">
      <w:pPr>
        <w:adjustRightInd w:val="0"/>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2、巨额赎回情形下的流动性风险管理措施</w:t>
      </w:r>
    </w:p>
    <w:p w:rsidR="00667E65" w:rsidRPr="00634578" w:rsidP="00667E65">
      <w:pPr>
        <w:adjustRightInd w:val="0"/>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当本基金发生巨额赎回时，基金管理人可以根据基金当时的资产组合状况决定全额赎回或部分延期赎回；此外，如出现连续两个或两个以上开放日发生巨额赎回，可暂停接受投资人的赎回申请或延缓支付赎回款项；当本基金发生巨额赎回且单个基金份额持有人的赎回申请超过上一开放日基金总份额10%的，基金管理人有权先行对该单个基金份额持有人超出该比例的赎回申请实施延期办理。具体情形、程序见招募说明书“基金份额的申购、赎回”之“巨额赎回的认定及处理方式”。</w:t>
      </w:r>
    </w:p>
    <w:p w:rsidR="00667E65" w:rsidRPr="00634578" w:rsidP="00667E65">
      <w:pPr>
        <w:adjustRightInd w:val="0"/>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发生上述情形时，投资人面临无法全部赎回或无法及时获得赎回资金的风险。在本基金暂停或延期办理投资者赎回申请的情况下，投资者未能赎回的基金份额还将面临万份基金已实现收益和七日年化收益率波动的风险。</w:t>
      </w:r>
    </w:p>
    <w:p w:rsidR="00667E65" w:rsidRPr="00634578" w:rsidP="00667E65">
      <w:pPr>
        <w:adjustRightInd w:val="0"/>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3、除巨额赎回情形外实施备用的流动性风险管理工具的情形、程序及对投资者的潜在影响</w:t>
      </w:r>
    </w:p>
    <w:p w:rsidR="00667E65" w:rsidRPr="00634578" w:rsidP="00667E65">
      <w:pPr>
        <w:adjustRightInd w:val="0"/>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除巨额赎回情形外，本基金备用流动性风险管理工具包括但不限于暂停接受赎回申请、延缓支付赎回款项、收取强制赎回费用、暂停基金估值以及证监会认定的其他措施。</w:t>
      </w:r>
    </w:p>
    <w:p w:rsidR="00667E65" w:rsidRPr="00634578" w:rsidP="00667E65">
      <w:pPr>
        <w:adjustRightInd w:val="0"/>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暂停接受赎回申请、延缓支付赎回款项等工具的情形、程序见招募说明书“基金份额的申购、赎回”之“拒绝或暂停申购、暂停赎回或延缓支付赎回款项的情形及处理”的相关规定。若本基金暂停赎回申请，投资者在暂停赎回期间将无法赎回其持有的基金份额。若本基金延缓支付赎回款项，赎回款支付时间将后延，可能对投资者的资金安排带来不利影响。</w:t>
      </w:r>
    </w:p>
    <w:p w:rsidR="00667E65" w:rsidRPr="00634578" w:rsidP="00667E65">
      <w:pPr>
        <w:adjustRightInd w:val="0"/>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发生“基金份额的申购、赎回”之“基金的申购费和赎回费”中“强制赎回费用”规定的情形之一时，本基金对当日单个基金份额持有人申请赎回基金份额超过基金总份额1%以上的赎回申请（指超过基金总份额1%以上的部分）征收1%的强制赎回费用，并将上述赎回费用全额计入基金财产。基金管理人与基金托管人协商确认上述做法无益于基金利益最大化的情形除外。</w:t>
      </w:r>
    </w:p>
    <w:p w:rsidR="00667E65" w:rsidRPr="00634578" w:rsidP="00667E65">
      <w:pPr>
        <w:adjustRightInd w:val="0"/>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暂停基金估值的情形、程序见招募说明书“基金资产的估值”之“暂停估值的情形”的相关规定。若本基金暂停基金估值，一方面投资者将无法知晓本基金的万份基金已实现收益和七日年化收益率，另一方面基金将延缓支付赎回款项或暂停接受基金申购赎回申请，延缓支付赎回款项可能影响投资者的资金安排，暂停接受基金申购赎回申请将导致投资者无法申购或赎回本基金。</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bookmarkStart w:id="98" w:name="_Toc327734904"/>
      <w:r w:rsidRPr="00634578">
        <w:rPr>
          <w:rFonts w:asciiTheme="minorEastAsia" w:eastAsiaTheme="minorEastAsia" w:hAnsiTheme="minorEastAsia" w:hint="eastAsia"/>
          <w:bCs/>
          <w:color w:val="000000" w:themeColor="text1"/>
          <w:szCs w:val="21"/>
        </w:rPr>
        <w:t>（四）特有风险</w:t>
      </w:r>
      <w:bookmarkEnd w:id="98"/>
    </w:p>
    <w:p w:rsidR="00667E65" w:rsidRPr="00634578" w:rsidP="00667E65">
      <w:pPr>
        <w:adjustRightInd w:val="0"/>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1、估值的风险：</w:t>
      </w:r>
    </w:p>
    <w:p w:rsidR="00667E65" w:rsidRPr="00634578" w:rsidP="00667E65">
      <w:pPr>
        <w:adjustRightInd w:val="0"/>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本基金的估值过程中，发生影子定价法确定的基金资产净值与摊余成本法计算的基金资产净值的正偏离度绝对值达到0.5%时，本基金可能暂停接受申购申请。</w:t>
      </w:r>
    </w:p>
    <w:p w:rsidR="00667E65" w:rsidRPr="00634578" w:rsidP="00667E65">
      <w:pPr>
        <w:adjustRightInd w:val="0"/>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的估值过程中，当“影子定价”确定的基金资产净值与“摊余成本法”计算的基金资产净值的负偏离度绝对值达到0.5%时，基金管理人应当使用风险准备金或者固有资金弥补潜在资产损失，将负偏离度绝对值控制在0.5%以内。当负偏离度绝对值连续两个交易</w:t>
      </w:r>
      <w:r w:rsidRPr="00634578">
        <w:rPr>
          <w:rFonts w:asciiTheme="minorEastAsia" w:eastAsiaTheme="minorEastAsia" w:hAnsiTheme="minorEastAsia" w:hint="eastAsia"/>
          <w:bCs/>
          <w:color w:val="000000" w:themeColor="text1"/>
          <w:szCs w:val="21"/>
        </w:rPr>
        <w:t>日超过0.5%时，基金管理人应当采用公允价值估值方法对持有投资组合的账面价值进行调整，或者采取暂停接受所有赎回申请并终止基金合同进行财产清算等措施。由此，本基金面临基金资产净值波动的风险，或者本基金合同终止的风险。</w:t>
      </w:r>
    </w:p>
    <w:p w:rsidR="00667E65" w:rsidRPr="00634578" w:rsidP="00667E65">
      <w:pPr>
        <w:adjustRightInd w:val="0"/>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2、投资组合平均剩余期限变动的风险</w:t>
      </w:r>
    </w:p>
    <w:p w:rsidR="00667E65"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一般情况下，本基金投资组合的平均剩余期限不得超过120天，平均剩余存续期不得超过240天。但本基金还将根据份额持有人集中度情况对本基金的投资组合实施调整，并遵守以下要求：（1）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2）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12548F" w:rsidRPr="00634578" w:rsidP="0012548F">
      <w:pPr>
        <w:snapToGrid w:val="0"/>
        <w:spacing w:line="360" w:lineRule="auto"/>
        <w:ind w:firstLine="420" w:firstLineChars="200"/>
        <w:rPr>
          <w:rFonts w:asciiTheme="minorEastAsia" w:eastAsiaTheme="minorEastAsia" w:hAnsiTheme="minorEastAsia"/>
          <w:bCs/>
          <w:color w:val="000000" w:themeColor="text1"/>
          <w:szCs w:val="21"/>
        </w:rPr>
      </w:pPr>
      <w:bookmarkStart w:id="99" w:name="_Toc327734905"/>
      <w:r w:rsidRPr="00634578">
        <w:rPr>
          <w:rFonts w:asciiTheme="minorEastAsia" w:eastAsiaTheme="minorEastAsia" w:hAnsiTheme="minorEastAsia" w:hint="eastAsia"/>
          <w:bCs/>
          <w:color w:val="000000" w:themeColor="text1"/>
          <w:szCs w:val="21"/>
        </w:rPr>
        <w:t>（五）本基金法律文件中涉及基金风险特征的表述与销售机构对基金的风险评级可能不一致的风险</w:t>
      </w:r>
    </w:p>
    <w:p w:rsidR="0012548F" w:rsidRPr="00634578" w:rsidP="0012548F">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DB3659" w:rsidRPr="00634578" w:rsidP="0012548F">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（六）其他风险</w:t>
      </w:r>
      <w:bookmarkEnd w:id="99"/>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、本基金力争战胜业绩比较基准，但本基金的收益水平有可能不能达到或超过业绩比较基准，基金份额持有人面临无法获得目标收益率甚至本金亏损的风险；</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、因固定收益类金融工具主要在场外市场进行交易，场外市场交易现阶段自动化程度较场内市场低，本基金在投资运作过程中可能面临操作风险；</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、因战争、自然灾害等不可抗力导致的基金管理人、基金托管人、基金销售机构等机构无法正常工作，从而影响基金运作的风险；</w:t>
      </w:r>
    </w:p>
    <w:p w:rsidR="00DB3659" w:rsidRPr="00634578" w:rsidP="00795CAB">
      <w:pPr>
        <w:snapToGrid w:val="0"/>
        <w:spacing w:line="360" w:lineRule="auto"/>
        <w:ind w:firstLine="420" w:firstLineChars="200"/>
        <w:rPr>
          <w:rFonts w:asciiTheme="minorEastAsia" w:eastAsiaTheme="minorEastAsia" w:hAnsiTheme="minorEastAsia"/>
          <w:color w:val="000000" w:themeColor="text1"/>
          <w:kern w:val="0"/>
          <w:szCs w:val="21"/>
        </w:rPr>
      </w:pP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、因金融市场危机、代理商违约、基金托管人违约等超出基金管理人自身控制能力的因素出现，可能导致基金或者基金份额持有人利益受损的风险。</w:t>
      </w:r>
    </w:p>
    <w:p w:rsidR="00DB3659" w:rsidRPr="00634578" w:rsidP="00311CF5">
      <w:pPr>
        <w:pStyle w:val="Heading1"/>
        <w:snapToGrid w:val="0"/>
        <w:spacing w:beforeLines="0" w:afterLines="0" w:line="360" w:lineRule="auto"/>
        <w:ind w:firstLine="60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sz w:val="30"/>
        </w:rPr>
        <w:br w:type="column"/>
      </w:r>
      <w:bookmarkStart w:id="100" w:name="_Toc91772053"/>
      <w:r w:rsidRPr="00634578">
        <w:rPr>
          <w:rFonts w:asciiTheme="minorEastAsia" w:eastAsiaTheme="minorEastAsia" w:hAnsiTheme="minorEastAsia" w:hint="eastAsia"/>
          <w:color w:val="000000" w:themeColor="text1"/>
          <w:sz w:val="30"/>
        </w:rPr>
        <w:t>二十</w:t>
      </w:r>
      <w:r w:rsidRPr="00634578" w:rsidR="0080127D">
        <w:rPr>
          <w:rFonts w:asciiTheme="minorEastAsia" w:eastAsiaTheme="minorEastAsia" w:hAnsiTheme="minorEastAsia" w:hint="eastAsia"/>
          <w:color w:val="000000" w:themeColor="text1"/>
          <w:sz w:val="30"/>
        </w:rPr>
        <w:t>一</w:t>
      </w:r>
      <w:r w:rsidRPr="00634578">
        <w:rPr>
          <w:rFonts w:asciiTheme="minorEastAsia" w:eastAsiaTheme="minorEastAsia" w:hAnsiTheme="minorEastAsia" w:hint="eastAsia"/>
          <w:color w:val="000000" w:themeColor="text1"/>
          <w:sz w:val="30"/>
        </w:rPr>
        <w:t>、基金合同的变更、终止与基金财产的清算</w:t>
      </w:r>
      <w:bookmarkEnd w:id="100"/>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bookmarkStart w:id="101" w:name="_Toc79392639"/>
      <w:r w:rsidRPr="00634578">
        <w:rPr>
          <w:rFonts w:asciiTheme="minorEastAsia" w:eastAsiaTheme="minorEastAsia" w:hAnsiTheme="minorEastAsia" w:hint="eastAsia"/>
          <w:bCs/>
          <w:color w:val="000000" w:themeColor="text1"/>
          <w:szCs w:val="21"/>
        </w:rPr>
        <w:t>一、《基金合同》的变更</w:t>
      </w:r>
      <w:bookmarkEnd w:id="101"/>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、关于《基金合同》变更的基金份额持有人大会决议自表决通过之日起生效，自决议生效之日起</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日内在指定媒介公告。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二、《基金合同》的终止事由</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有下列情形之一的，《基金合同》应当终止：</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、基金份额持有人大会决定终止的；</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、基金管理人、基金托管人职责终止，在</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个月内没有新基金管理人、新基金托管人承接的；</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、《基金合同》约定的其他情形；</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、相关法律法规和中国证监会规定的其他情况。</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三、基金财产的清算</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、基金财产清算小组：自出现《基金合同》终止事由之日起</w:t>
      </w:r>
      <w:r w:rsidRPr="00634578">
        <w:rPr>
          <w:rFonts w:asciiTheme="minorEastAsia" w:eastAsiaTheme="minorEastAsia" w:hAnsiTheme="minorEastAsia"/>
          <w:bCs/>
          <w:color w:val="000000" w:themeColor="text1"/>
          <w:szCs w:val="21"/>
        </w:rPr>
        <w:t>30</w:t>
      </w:r>
      <w:r w:rsidRPr="00634578">
        <w:rPr>
          <w:rFonts w:asciiTheme="minorEastAsia" w:eastAsiaTheme="minorEastAsia" w:hAnsiTheme="minorEastAsia" w:hint="eastAsia"/>
          <w:bCs/>
          <w:color w:val="000000" w:themeColor="text1"/>
          <w:szCs w:val="21"/>
        </w:rPr>
        <w:t>个工作日内成立清算小组，基金管理人组织基金财产清算小组并在中国证监会的监督下进行基金清算。</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、基金财产清算小组职责：基金财产清算小组负责基金财产的保管、清理、估价、变现和分配。基金财产清算小组可以依法进行必要的民事活动。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、基金财产清算程序：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）《基金合同》终止情形出现时，由基金财产清算小组统一接管基金；</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）对基金财产和债权债务进行清理和确认；</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）对基金财产进行估值和变现；</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）制作清算报告；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）聘请会计师事务所对清算报告进行外部审计，聘请律师事务所对清算报告出具法律意见书；</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）将清算报告报中国证监会备案并公告。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）对基金财产进行分配；</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、基金财产清算的期限为</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个月。</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四、清算费用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清算费用是指基金财产清算小组在进行基金清算过程中发生的所有合理费用，清算费用</w:t>
      </w:r>
      <w:r w:rsidRPr="00634578">
        <w:rPr>
          <w:rFonts w:asciiTheme="minorEastAsia" w:eastAsiaTheme="minorEastAsia" w:hAnsiTheme="minorEastAsia" w:hint="eastAsia"/>
          <w:bCs/>
          <w:color w:val="000000" w:themeColor="text1"/>
          <w:szCs w:val="21"/>
        </w:rPr>
        <w:t>由基金财产清算小组优先从基金财产中支付。</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五、基金财产清算剩余资产的分配</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六、基金财产清算的公告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个工作日内由基金财产清算小组进行公告。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七、基金财产清算账册及文件的保存</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基金财产清算账册及有关文件由基金托管人保存</w:t>
      </w:r>
      <w:r w:rsidRPr="00634578">
        <w:rPr>
          <w:rFonts w:asciiTheme="minorEastAsia" w:eastAsiaTheme="minorEastAsia" w:hAnsiTheme="minorEastAsia"/>
          <w:bCs/>
          <w:color w:val="000000" w:themeColor="text1"/>
          <w:szCs w:val="21"/>
        </w:rPr>
        <w:t>15</w:t>
      </w:r>
      <w:r w:rsidRPr="00634578">
        <w:rPr>
          <w:rFonts w:asciiTheme="minorEastAsia" w:eastAsiaTheme="minorEastAsia" w:hAnsiTheme="minorEastAsia" w:hint="eastAsia"/>
          <w:bCs/>
          <w:color w:val="000000" w:themeColor="text1"/>
          <w:szCs w:val="21"/>
        </w:rPr>
        <w:t>年以上。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p>
    <w:p w:rsidR="00DB3659" w:rsidRPr="00634578" w:rsidP="00BB159E">
      <w:pPr>
        <w:pStyle w:val="Heading1"/>
        <w:snapToGrid w:val="0"/>
        <w:spacing w:beforeLines="0" w:afterLines="0" w:line="360" w:lineRule="auto"/>
        <w:ind w:firstLine="600"/>
        <w:rPr>
          <w:rFonts w:asciiTheme="minorEastAsia" w:eastAsiaTheme="minorEastAsia" w:hAnsiTheme="minorEastAsia"/>
          <w:color w:val="000000" w:themeColor="text1"/>
          <w:kern w:val="44"/>
          <w:sz w:val="28"/>
          <w:szCs w:val="44"/>
        </w:rPr>
      </w:pPr>
      <w:r w:rsidRPr="00634578">
        <w:rPr>
          <w:rFonts w:asciiTheme="minorEastAsia" w:eastAsiaTheme="minorEastAsia" w:hAnsiTheme="minorEastAsia"/>
          <w:color w:val="000000" w:themeColor="text1"/>
          <w:sz w:val="30"/>
        </w:rPr>
        <w:br w:type="column"/>
      </w:r>
      <w:bookmarkStart w:id="102" w:name="_Toc91772054"/>
      <w:r w:rsidRPr="00634578" w:rsidR="0080127D">
        <w:rPr>
          <w:rFonts w:asciiTheme="minorEastAsia" w:eastAsiaTheme="minorEastAsia" w:hAnsiTheme="minorEastAsia" w:hint="eastAsia"/>
          <w:color w:val="000000" w:themeColor="text1"/>
          <w:sz w:val="30"/>
        </w:rPr>
        <w:t>二十二</w:t>
      </w:r>
      <w:r w:rsidRPr="00634578">
        <w:rPr>
          <w:rFonts w:asciiTheme="minorEastAsia" w:eastAsiaTheme="minorEastAsia" w:hAnsiTheme="minorEastAsia" w:hint="eastAsia"/>
          <w:color w:val="000000" w:themeColor="text1"/>
          <w:sz w:val="30"/>
        </w:rPr>
        <w:t>、基金合同的内容摘要</w:t>
      </w:r>
      <w:bookmarkEnd w:id="102"/>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一、基金份额持有人、基金管理人和基金托管人的权利、义务</w:t>
      </w:r>
    </w:p>
    <w:p w:rsidR="00DB3659" w:rsidRPr="00634578" w:rsidP="00BB159E">
      <w:pPr>
        <w:snapToGrid w:val="0"/>
        <w:spacing w:line="360" w:lineRule="auto"/>
        <w:ind w:firstLine="420" w:firstLineChars="200"/>
        <w:rPr>
          <w:rFonts w:asciiTheme="minorEastAsia" w:eastAsiaTheme="minorEastAsia" w:hAnsiTheme="minorEastAsia" w:cs="宋体"/>
          <w:color w:val="000000" w:themeColor="text1"/>
          <w:kern w:val="0"/>
          <w:szCs w:val="21"/>
        </w:rPr>
      </w:pPr>
      <w:r w:rsidRPr="00634578">
        <w:rPr>
          <w:rFonts w:asciiTheme="minorEastAsia" w:eastAsiaTheme="minorEastAsia" w:hAnsiTheme="minorEastAsia" w:hint="eastAsia"/>
          <w:bCs/>
          <w:color w:val="000000" w:themeColor="text1"/>
          <w:szCs w:val="21"/>
        </w:rPr>
        <w:t>（一）基金份额持有人</w:t>
      </w:r>
      <w:r w:rsidRPr="00634578">
        <w:rPr>
          <w:rFonts w:asciiTheme="minorEastAsia" w:eastAsiaTheme="minorEastAsia" w:hAnsiTheme="minorEastAsia" w:cs="宋体" w:hint="eastAsia"/>
          <w:color w:val="000000" w:themeColor="text1"/>
          <w:kern w:val="0"/>
          <w:szCs w:val="21"/>
        </w:rPr>
        <w:t>的权利、义务</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同一类别每份基金份额具有同等的合法权益。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、根据《基金法》、《运作办法》及其他有关规定，基金份额持有人的权利包括但不限于：</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）分享基金财产收益；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）参与分配清算后的剩余基金财产；</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）依法申请赎回其持有的基金份额；</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）按照规定要求召开基金份额持有人大会或者召集基金份额持有人大会；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）出席或者委派代表出席基金份额持有人大会，对基金份额持有人大会审议事项行使表决权；</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）查阅或者复制公开披露的基金信息资料；</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）监督基金管理人的投资运作；</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8</w:t>
      </w:r>
      <w:r w:rsidRPr="00634578">
        <w:rPr>
          <w:rFonts w:asciiTheme="minorEastAsia" w:eastAsiaTheme="minorEastAsia" w:hAnsiTheme="minorEastAsia" w:hint="eastAsia"/>
          <w:bCs/>
          <w:color w:val="000000" w:themeColor="text1"/>
          <w:szCs w:val="21"/>
        </w:rPr>
        <w:t>）对基金管理人、基金托管人、基金服务机构损害其合法权益的行为依法提起诉讼或仲裁；</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9</w:t>
      </w:r>
      <w:r w:rsidRPr="00634578">
        <w:rPr>
          <w:rFonts w:asciiTheme="minorEastAsia" w:eastAsiaTheme="minorEastAsia" w:hAnsiTheme="minorEastAsia" w:hint="eastAsia"/>
          <w:bCs/>
          <w:color w:val="000000" w:themeColor="text1"/>
          <w:szCs w:val="21"/>
        </w:rPr>
        <w:t>）法律法规及中国证监会规定的和《基金合同》约定的其他权利。</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、根据《基金法》、《运作办法》及其他有关规定，基金份额持有人的义务包括但不限于：</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）认真阅读并遵守《基金合同》；</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）了解所投资基金产品，了解自身风险承受能力，自行承担投资风险；</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）关注基金信息披露，及时行使权利和履行义务；</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）缴纳基金认购、申购款项及法律法规和《基金合同》所规定的费用；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）在其持有的基金份额范围内，承担基金亏损或者《基金合同》终止的有限责任；</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）不从事任何有损基金及其他《基金合同》当事人合法权益的活动；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）执行生效的基金份额持有人大会的决定；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8</w:t>
      </w:r>
      <w:r w:rsidRPr="00634578">
        <w:rPr>
          <w:rFonts w:asciiTheme="minorEastAsia" w:eastAsiaTheme="minorEastAsia" w:hAnsiTheme="minorEastAsia" w:hint="eastAsia"/>
          <w:bCs/>
          <w:color w:val="000000" w:themeColor="text1"/>
          <w:szCs w:val="21"/>
        </w:rPr>
        <w:t>）返还在基金交易过程中因任何原因获得的不当得利；</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9</w:t>
      </w:r>
      <w:r w:rsidRPr="00634578">
        <w:rPr>
          <w:rFonts w:asciiTheme="minorEastAsia" w:eastAsiaTheme="minorEastAsia" w:hAnsiTheme="minorEastAsia" w:hint="eastAsia"/>
          <w:bCs/>
          <w:color w:val="000000" w:themeColor="text1"/>
          <w:szCs w:val="21"/>
        </w:rPr>
        <w:t>）法律法规及中国证监会规定的和《基金合同》约定的其他义务。</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（二）基金管理人的权利与义务</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、根据《基金法》、《运作办法》及其他有关规定，基金管理人的权利包括但不限于：</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）依法募集资金；</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）自《基金合同》生效之日起，根据法律法规和《基金合同》独立运用并管理基金财产；</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）依照《基金合同》收取基金管理费以及法律法规规定或中国证监会批准的其他费用；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）销售基金份额；</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）召集基金份额持有人大会；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）依据《基金合同》及有关法律规定监督基金托管人，如认为基金托管人违反了《基金合同》及国家有关法律规定，应呈报中国证监会和其他监管部门，并采取必要措施保护基金投资者的利益；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）在基金托管人更换时，提名新的基金托管人；</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8</w:t>
      </w:r>
      <w:r w:rsidRPr="00634578">
        <w:rPr>
          <w:rFonts w:asciiTheme="minorEastAsia" w:eastAsiaTheme="minorEastAsia" w:hAnsiTheme="minorEastAsia" w:hint="eastAsia"/>
          <w:bCs/>
          <w:color w:val="000000" w:themeColor="text1"/>
          <w:szCs w:val="21"/>
        </w:rPr>
        <w:t>）选择、更换基金销售机构，对基金销售机构的相关行为进行监督和处理；</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9</w:t>
      </w:r>
      <w:r w:rsidRPr="00634578">
        <w:rPr>
          <w:rFonts w:asciiTheme="minorEastAsia" w:eastAsiaTheme="minorEastAsia" w:hAnsiTheme="minorEastAsia" w:hint="eastAsia"/>
          <w:bCs/>
          <w:color w:val="000000" w:themeColor="text1"/>
          <w:szCs w:val="21"/>
        </w:rPr>
        <w:t>）担任或委托其他符合条件的机构担任基金登记机构办理基金登记业务并获得《基金合同》规定的费用；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）依据《基金合同》及有关法律规定决定基金收益的分配方案；</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11</w:t>
      </w:r>
      <w:r w:rsidRPr="00634578">
        <w:rPr>
          <w:rFonts w:asciiTheme="minorEastAsia" w:eastAsiaTheme="minorEastAsia" w:hAnsiTheme="minorEastAsia" w:hint="eastAsia"/>
          <w:bCs/>
          <w:color w:val="000000" w:themeColor="text1"/>
          <w:szCs w:val="21"/>
        </w:rPr>
        <w:t>）在《基金合同》约定的范围内，拒绝或暂停受理申购、赎回和转换申请；</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12</w:t>
      </w:r>
      <w:r w:rsidRPr="00634578">
        <w:rPr>
          <w:rFonts w:asciiTheme="minorEastAsia" w:eastAsiaTheme="minorEastAsia" w:hAnsiTheme="minorEastAsia" w:hint="eastAsia"/>
          <w:bCs/>
          <w:color w:val="000000" w:themeColor="text1"/>
          <w:szCs w:val="21"/>
        </w:rPr>
        <w:t>）在不违反法律法规和监管规定且对基金份额持有人利益无实质不利影响的前提下，为支付本基金应付的赎回、交易清算等款项，基金管理人有权代表基金份额持有人以基金资产作为抵押进行融资；</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13</w:t>
      </w:r>
      <w:r w:rsidRPr="00634578">
        <w:rPr>
          <w:rFonts w:asciiTheme="minorEastAsia" w:eastAsiaTheme="minorEastAsia" w:hAnsiTheme="minorEastAsia" w:hint="eastAsia"/>
          <w:bCs/>
          <w:color w:val="000000" w:themeColor="text1"/>
          <w:szCs w:val="21"/>
        </w:rPr>
        <w:t>）以基金管理人的名义，代表基金份额持有人的利益行使诉讼权利或者实施其他法律行为；</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14</w:t>
      </w:r>
      <w:r w:rsidRPr="00634578">
        <w:rPr>
          <w:rFonts w:asciiTheme="minorEastAsia" w:eastAsiaTheme="minorEastAsia" w:hAnsiTheme="minorEastAsia" w:hint="eastAsia"/>
          <w:bCs/>
          <w:color w:val="000000" w:themeColor="text1"/>
          <w:szCs w:val="21"/>
        </w:rPr>
        <w:t>）选择、更换律师事务所、会计师事务所、证券经纪商或其他为基金提供服务的外部机构；</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15</w:t>
      </w:r>
      <w:r w:rsidRPr="00634578">
        <w:rPr>
          <w:rFonts w:asciiTheme="minorEastAsia" w:eastAsiaTheme="minorEastAsia" w:hAnsiTheme="minorEastAsia" w:hint="eastAsia"/>
          <w:bCs/>
          <w:color w:val="000000" w:themeColor="text1"/>
          <w:szCs w:val="21"/>
        </w:rPr>
        <w:t>）在符合有关法律、法规的前提下，制订和调整有关基金认购、申购、赎回、转换、非交易过户、转托管和收益分配等的业务规则；</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16</w:t>
      </w:r>
      <w:r w:rsidRPr="00634578">
        <w:rPr>
          <w:rFonts w:asciiTheme="minorEastAsia" w:eastAsiaTheme="minorEastAsia" w:hAnsiTheme="minorEastAsia" w:hint="eastAsia"/>
          <w:bCs/>
          <w:color w:val="000000" w:themeColor="text1"/>
          <w:szCs w:val="21"/>
        </w:rPr>
        <w:t>）法律法规及中国证监会规定的和《基金合同》约定的其他权利。</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、根据《基金法》、《运作办法》及其他有关规定，基金管理人的义务包括但不限于：</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）依法募集资金，办理或者委托经中国证监会认定的其他机构办理基金份额的发售、申购、赎回和登记事宜；</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）办理基金备案手续；</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）自《基金合同》生效之日起</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以诚实信用、谨慎勤勉的原则管理和运用基金财产；</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）配备足够的具有专业资格的人员进行基金投资分析、决策，以专业化的经营方式管理和运作基金财产；</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）建立健全内部风险控制、监察与稽核、财务管理及人事管理等制度，保证所管理</w:t>
      </w:r>
      <w:r w:rsidRPr="00634578">
        <w:rPr>
          <w:rFonts w:asciiTheme="minorEastAsia" w:eastAsiaTheme="minorEastAsia" w:hAnsiTheme="minorEastAsia" w:hint="eastAsia"/>
          <w:bCs/>
          <w:color w:val="000000" w:themeColor="text1"/>
          <w:szCs w:val="21"/>
        </w:rPr>
        <w:t>的基金财产和基金管理人的财产相互独立</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对所管理的不同基金分别管理，分别记账，进行证券投资；</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）除依据《基金法》、《基金合同》及其他有关规定外</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不得利用基金财产为自己及任何第三人谋取利益，不得委托第三人运作基金财产；</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）依法接受基金托管人的监督；</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（8）采取适当合理的措施使计算基金份额认购、申购、赎回和注销价格的方法符合《基金合同》等法律文件的规定，按有关规定计算并公告各类基金份额的每万份基金已实现收益和七日年化收益率；</w:t>
      </w:r>
    </w:p>
    <w:p w:rsidR="00CA2EAE" w:rsidRPr="00634578" w:rsidP="00CA2EA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（9）进行基金会计核算并编制基金财务会计报告；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（10）编制季度报告、中期报告和年度报告；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11</w:t>
      </w:r>
      <w:r w:rsidRPr="00634578">
        <w:rPr>
          <w:rFonts w:asciiTheme="minorEastAsia" w:eastAsiaTheme="minorEastAsia" w:hAnsiTheme="minorEastAsia" w:hint="eastAsia"/>
          <w:bCs/>
          <w:color w:val="000000" w:themeColor="text1"/>
          <w:szCs w:val="21"/>
        </w:rPr>
        <w:t>）严格按照《基金法》、《基金合同》及其他有关规定，履行信息披露及报告义务；</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12</w:t>
      </w:r>
      <w:r w:rsidRPr="00634578">
        <w:rPr>
          <w:rFonts w:asciiTheme="minorEastAsia" w:eastAsiaTheme="minorEastAsia" w:hAnsiTheme="minorEastAsia" w:hint="eastAsia"/>
          <w:bCs/>
          <w:color w:val="000000" w:themeColor="text1"/>
          <w:szCs w:val="21"/>
        </w:rPr>
        <w:t>）保守基金商业秘密，不泄露基金投资计划、投资意向等。除《基金法》、《基金合同》及其他有关规定另有规定外，在基金信息公开披露前应予保密，不向他人泄露；</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13</w:t>
      </w:r>
      <w:r w:rsidRPr="00634578">
        <w:rPr>
          <w:rFonts w:asciiTheme="minorEastAsia" w:eastAsiaTheme="minorEastAsia" w:hAnsiTheme="minorEastAsia" w:hint="eastAsia"/>
          <w:bCs/>
          <w:color w:val="000000" w:themeColor="text1"/>
          <w:szCs w:val="21"/>
        </w:rPr>
        <w:t>）按《基金合同》的约定确定基金收益分配方案，及时向基金份额持有人分配基金收益；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14</w:t>
      </w:r>
      <w:r w:rsidRPr="00634578">
        <w:rPr>
          <w:rFonts w:asciiTheme="minorEastAsia" w:eastAsiaTheme="minorEastAsia" w:hAnsiTheme="minorEastAsia" w:hint="eastAsia"/>
          <w:bCs/>
          <w:color w:val="000000" w:themeColor="text1"/>
          <w:szCs w:val="21"/>
        </w:rPr>
        <w:t>）按规定受理申购与赎回申请，及时、足额支付赎回款项；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15</w:t>
      </w:r>
      <w:r w:rsidRPr="00634578">
        <w:rPr>
          <w:rFonts w:asciiTheme="minorEastAsia" w:eastAsiaTheme="minorEastAsia" w:hAnsiTheme="minorEastAsia" w:hint="eastAsia"/>
          <w:bCs/>
          <w:color w:val="000000" w:themeColor="text1"/>
          <w:szCs w:val="21"/>
        </w:rPr>
        <w:t>）依据《基金法》、《基金合同》及其他有关规定召集基金份额持有人大会或配合基金托管人、基金份额持有人依法召集基金份额持有人大会；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16</w:t>
      </w:r>
      <w:r w:rsidRPr="00634578">
        <w:rPr>
          <w:rFonts w:asciiTheme="minorEastAsia" w:eastAsiaTheme="minorEastAsia" w:hAnsiTheme="minorEastAsia" w:hint="eastAsia"/>
          <w:bCs/>
          <w:color w:val="000000" w:themeColor="text1"/>
          <w:szCs w:val="21"/>
        </w:rPr>
        <w:t>）按规定保存基金财产管理业务活动的会计账册、报表、记录和其他相关资料</w:t>
      </w:r>
      <w:r w:rsidRPr="00634578">
        <w:rPr>
          <w:rFonts w:asciiTheme="minorEastAsia" w:eastAsiaTheme="minorEastAsia" w:hAnsiTheme="minorEastAsia"/>
          <w:bCs/>
          <w:color w:val="000000" w:themeColor="text1"/>
          <w:szCs w:val="21"/>
        </w:rPr>
        <w:t>15</w:t>
      </w:r>
      <w:r w:rsidRPr="00634578">
        <w:rPr>
          <w:rFonts w:asciiTheme="minorEastAsia" w:eastAsiaTheme="minorEastAsia" w:hAnsiTheme="minorEastAsia" w:hint="eastAsia"/>
          <w:bCs/>
          <w:color w:val="000000" w:themeColor="text1"/>
          <w:szCs w:val="21"/>
        </w:rPr>
        <w:t>年以上；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17</w:t>
      </w:r>
      <w:r w:rsidRPr="00634578">
        <w:rPr>
          <w:rFonts w:asciiTheme="minorEastAsia" w:eastAsiaTheme="minorEastAsia" w:hAnsiTheme="minorEastAsia" w:hint="eastAsia"/>
          <w:bCs/>
          <w:color w:val="000000" w:themeColor="text1"/>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18</w:t>
      </w:r>
      <w:r w:rsidRPr="00634578">
        <w:rPr>
          <w:rFonts w:asciiTheme="minorEastAsia" w:eastAsiaTheme="minorEastAsia" w:hAnsiTheme="minorEastAsia" w:hint="eastAsia"/>
          <w:bCs/>
          <w:color w:val="000000" w:themeColor="text1"/>
          <w:szCs w:val="21"/>
        </w:rPr>
        <w:t>）组织并参加基金财产清算小组</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参与基金财产的保管、清理、估价、变现和分配；</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19</w:t>
      </w:r>
      <w:r w:rsidRPr="00634578">
        <w:rPr>
          <w:rFonts w:asciiTheme="minorEastAsia" w:eastAsiaTheme="minorEastAsia" w:hAnsiTheme="minorEastAsia" w:hint="eastAsia"/>
          <w:bCs/>
          <w:color w:val="000000" w:themeColor="text1"/>
          <w:szCs w:val="21"/>
        </w:rPr>
        <w:t>）面临解散、依法被撤销或者被依法宣告破产时，及时报告中国证监会并通知基金托管人；</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）因违反《基金合同》导致基金财产的损失或损害基金份额持有人合法权益时，应当承担赔偿责任，其赔偿责任不因其退任而免除；</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21</w:t>
      </w:r>
      <w:r w:rsidRPr="00634578">
        <w:rPr>
          <w:rFonts w:asciiTheme="minorEastAsia" w:eastAsiaTheme="minorEastAsia" w:hAnsiTheme="minorEastAsia" w:hint="eastAsia"/>
          <w:bCs/>
          <w:color w:val="000000" w:themeColor="text1"/>
          <w:szCs w:val="21"/>
        </w:rPr>
        <w:t>）监督基金托管人按法律法规和《基金合同》规定履行自己的义务，基金托管人违反《基金合同》造成基金财产损失时，基金管理人应为基金份额持有人利益向基金托管人追偿；</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22</w:t>
      </w:r>
      <w:r w:rsidRPr="00634578">
        <w:rPr>
          <w:rFonts w:asciiTheme="minorEastAsia" w:eastAsiaTheme="minorEastAsia" w:hAnsiTheme="minorEastAsia" w:hint="eastAsia"/>
          <w:bCs/>
          <w:color w:val="000000" w:themeColor="text1"/>
          <w:szCs w:val="21"/>
        </w:rPr>
        <w:t>）当基金管理人将其义务委托第三方处理时，应当对第三方处理有关基金事务的行为承担责任；</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23</w:t>
      </w:r>
      <w:r w:rsidRPr="00634578">
        <w:rPr>
          <w:rFonts w:asciiTheme="minorEastAsia" w:eastAsiaTheme="minorEastAsia" w:hAnsiTheme="minorEastAsia" w:hint="eastAsia"/>
          <w:bCs/>
          <w:color w:val="000000" w:themeColor="text1"/>
          <w:szCs w:val="21"/>
        </w:rPr>
        <w:t>）以基金管理人名义，代表基金份额持有人利益行使诉讼权利或实施其他法律行为；</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24</w:t>
      </w:r>
      <w:r w:rsidRPr="00634578">
        <w:rPr>
          <w:rFonts w:asciiTheme="minorEastAsia" w:eastAsiaTheme="minorEastAsia" w:hAnsiTheme="minorEastAsia" w:hint="eastAsia"/>
          <w:bCs/>
          <w:color w:val="000000" w:themeColor="text1"/>
          <w:szCs w:val="21"/>
        </w:rPr>
        <w:t>）基金管理人在募集期间未能达到基金的备案条件，《基金合同》不能生效，基金管理人承担全部募集费用，将已募集资金并加计银行同期存款利息在基金募集期结束后</w:t>
      </w:r>
      <w:r w:rsidRPr="00634578">
        <w:rPr>
          <w:rFonts w:asciiTheme="minorEastAsia" w:eastAsiaTheme="minorEastAsia" w:hAnsiTheme="minorEastAsia"/>
          <w:bCs/>
          <w:color w:val="000000" w:themeColor="text1"/>
          <w:szCs w:val="21"/>
        </w:rPr>
        <w:t>30</w:t>
      </w:r>
      <w:r w:rsidRPr="00634578">
        <w:rPr>
          <w:rFonts w:asciiTheme="minorEastAsia" w:eastAsiaTheme="minorEastAsia" w:hAnsiTheme="minorEastAsia" w:hint="eastAsia"/>
          <w:bCs/>
          <w:color w:val="000000" w:themeColor="text1"/>
          <w:szCs w:val="21"/>
        </w:rPr>
        <w:t>日内退还基金认购人；</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25</w:t>
      </w:r>
      <w:r w:rsidRPr="00634578">
        <w:rPr>
          <w:rFonts w:asciiTheme="minorEastAsia" w:eastAsiaTheme="minorEastAsia" w:hAnsiTheme="minorEastAsia" w:hint="eastAsia"/>
          <w:bCs/>
          <w:color w:val="000000" w:themeColor="text1"/>
          <w:szCs w:val="21"/>
        </w:rPr>
        <w:t>）执行生效的基金份额持有人大会的决议；</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26</w:t>
      </w:r>
      <w:r w:rsidRPr="00634578">
        <w:rPr>
          <w:rFonts w:asciiTheme="minorEastAsia" w:eastAsiaTheme="minorEastAsia" w:hAnsiTheme="minorEastAsia" w:hint="eastAsia"/>
          <w:bCs/>
          <w:color w:val="000000" w:themeColor="text1"/>
          <w:szCs w:val="21"/>
        </w:rPr>
        <w:t>）建立并保存基金份额持有人名册；</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27</w:t>
      </w:r>
      <w:r w:rsidRPr="00634578">
        <w:rPr>
          <w:rFonts w:asciiTheme="minorEastAsia" w:eastAsiaTheme="minorEastAsia" w:hAnsiTheme="minorEastAsia" w:hint="eastAsia"/>
          <w:bCs/>
          <w:color w:val="000000" w:themeColor="text1"/>
          <w:szCs w:val="21"/>
        </w:rPr>
        <w:t>）法律法规及中国证监会规定的和《基金合同》约定的其他义务。</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（三）基金托管人的权利与义务</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、根据《基金法》、《运作办法》及其他有关规定，基金托管人的权利包括但不限于：</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）自《基金合同》生效之日起，依法律法规和《基金合同》的规定安全保管基金财产；</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）依《基金合同》约定获得基金托管费以及法律法规规定或监管部门批准的其他费用；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）根据相关市场规则，为基金开设证券账户、为基金办理证券交易资金清算。</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）提议召开或召集基金份额持有人大会；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）在基金管理人更换时，提名新的基金管理人；</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）法律法规及中国证监会规定的和《基金合同》约定的其他权利。</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、根据《基金法》、《运作办法》及其他有关规定，基金托管人的义务包括但不限于：</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）以诚实信用、勤勉尽责的原则持有并安全保管基金财产；</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）设立专门的基金托管部门，具有符合要求的营业场所，配备足够的、合格的熟悉基金托管业务的专职人员，负责基金财产托管事宜；</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）除依据《基金法》、《基金合同》及其他有关规定外，不得利用基金财产为自己及任何第三人谋取利益，不得委托第三人托管基金财产；</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）保管由基金管理人代表基金签订的与基金有关的重大合同及有关凭证；</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）按规定开设基金财产的资金账户和证券账户</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按照《基金合同》的约定，根据基金管理人的投资指令，及时办理清算、交割事宜；</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）保守基金商业秘密，除《基金法》、《基金合同》及其他有关规定另有规定外，在基金信息公开披露前予以保密，不得向他人泄露；</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8</w:t>
      </w:r>
      <w:r w:rsidRPr="00634578">
        <w:rPr>
          <w:rFonts w:asciiTheme="minorEastAsia" w:eastAsiaTheme="minorEastAsia" w:hAnsiTheme="minorEastAsia" w:hint="eastAsia"/>
          <w:bCs/>
          <w:color w:val="000000" w:themeColor="text1"/>
          <w:szCs w:val="21"/>
        </w:rPr>
        <w:t>）复核、审查基金管理人计算的基金资产净值、各类基金份额的每万份基金已实现收益和七日年化收益率；</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9</w:t>
      </w:r>
      <w:r w:rsidRPr="00634578">
        <w:rPr>
          <w:rFonts w:asciiTheme="minorEastAsia" w:eastAsiaTheme="minorEastAsia" w:hAnsiTheme="minorEastAsia" w:hint="eastAsia"/>
          <w:bCs/>
          <w:color w:val="000000" w:themeColor="text1"/>
          <w:szCs w:val="21"/>
        </w:rPr>
        <w:t>）办理与基金托管业务活动有关的信息披露事项；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11</w:t>
      </w:r>
      <w:r w:rsidRPr="00634578">
        <w:rPr>
          <w:rFonts w:asciiTheme="minorEastAsia" w:eastAsiaTheme="minorEastAsia" w:hAnsiTheme="minorEastAsia" w:hint="eastAsia"/>
          <w:bCs/>
          <w:color w:val="000000" w:themeColor="text1"/>
          <w:szCs w:val="21"/>
        </w:rPr>
        <w:t>）保存基金托管业务活动的记录、账册、报表和其他相关资料</w:t>
      </w:r>
      <w:r w:rsidRPr="00634578">
        <w:rPr>
          <w:rFonts w:asciiTheme="minorEastAsia" w:eastAsiaTheme="minorEastAsia" w:hAnsiTheme="minorEastAsia"/>
          <w:color w:val="000000" w:themeColor="text1"/>
          <w:szCs w:val="21"/>
        </w:rPr>
        <w:t>15</w:t>
      </w:r>
      <w:r w:rsidRPr="00634578">
        <w:rPr>
          <w:rFonts w:asciiTheme="minorEastAsia" w:eastAsiaTheme="minorEastAsia" w:hAnsiTheme="minorEastAsia" w:hint="eastAsia"/>
          <w:bCs/>
          <w:color w:val="000000" w:themeColor="text1"/>
          <w:szCs w:val="21"/>
        </w:rPr>
        <w:t>年以上；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12</w:t>
      </w:r>
      <w:r w:rsidRPr="00634578">
        <w:rPr>
          <w:rFonts w:asciiTheme="minorEastAsia" w:eastAsiaTheme="minorEastAsia" w:hAnsiTheme="minorEastAsia" w:hint="eastAsia"/>
          <w:bCs/>
          <w:color w:val="000000" w:themeColor="text1"/>
          <w:szCs w:val="21"/>
        </w:rPr>
        <w:t>）建立并保存基金份额持有人名册；</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13</w:t>
      </w:r>
      <w:r w:rsidRPr="00634578">
        <w:rPr>
          <w:rFonts w:asciiTheme="minorEastAsia" w:eastAsiaTheme="minorEastAsia" w:hAnsiTheme="minorEastAsia" w:hint="eastAsia"/>
          <w:bCs/>
          <w:color w:val="000000" w:themeColor="text1"/>
          <w:szCs w:val="21"/>
        </w:rPr>
        <w:t>）按规定制作相关账册并与基金管理人核对；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14</w:t>
      </w:r>
      <w:r w:rsidRPr="00634578">
        <w:rPr>
          <w:rFonts w:asciiTheme="minorEastAsia" w:eastAsiaTheme="minorEastAsia" w:hAnsiTheme="minorEastAsia" w:hint="eastAsia"/>
          <w:bCs/>
          <w:color w:val="000000" w:themeColor="text1"/>
          <w:szCs w:val="21"/>
        </w:rPr>
        <w:t>）依据基金管理人的指令或有关规定向基金份额持有人支付基金收益和赎回款项；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15</w:t>
      </w:r>
      <w:r w:rsidRPr="00634578">
        <w:rPr>
          <w:rFonts w:asciiTheme="minorEastAsia" w:eastAsiaTheme="minorEastAsia" w:hAnsiTheme="minorEastAsia" w:hint="eastAsia"/>
          <w:bCs/>
          <w:color w:val="000000" w:themeColor="text1"/>
          <w:szCs w:val="21"/>
        </w:rPr>
        <w:t>）依据《基金法》、《基金合同》及其他有关规定，召集基金份额持有人大会或配合基金份额持有人依法召集基金份额持有人大会；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16</w:t>
      </w:r>
      <w:r w:rsidRPr="00634578">
        <w:rPr>
          <w:rFonts w:asciiTheme="minorEastAsia" w:eastAsiaTheme="minorEastAsia" w:hAnsiTheme="minorEastAsia" w:hint="eastAsia"/>
          <w:bCs/>
          <w:color w:val="000000" w:themeColor="text1"/>
          <w:szCs w:val="21"/>
        </w:rPr>
        <w:t>）按照法律法规和《基金合同》的规定监督基金管理人的投资运作；</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17</w:t>
      </w:r>
      <w:r w:rsidRPr="00634578">
        <w:rPr>
          <w:rFonts w:asciiTheme="minorEastAsia" w:eastAsiaTheme="minorEastAsia" w:hAnsiTheme="minorEastAsia" w:hint="eastAsia"/>
          <w:bCs/>
          <w:color w:val="000000" w:themeColor="text1"/>
          <w:szCs w:val="21"/>
        </w:rPr>
        <w:t>）参加基金财产清算小组，参与基金财产的保管、清理、估价、变现和分配；</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18</w:t>
      </w:r>
      <w:r w:rsidRPr="00634578">
        <w:rPr>
          <w:rFonts w:asciiTheme="minorEastAsia" w:eastAsiaTheme="minorEastAsia" w:hAnsiTheme="minorEastAsia" w:hint="eastAsia"/>
          <w:bCs/>
          <w:color w:val="000000" w:themeColor="text1"/>
          <w:szCs w:val="21"/>
        </w:rPr>
        <w:t>）面临解散、依法被撤销或者被依法宣告破产时，及时报告中国证监会和银行监管机构，并通知基金管理人；</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19</w:t>
      </w:r>
      <w:r w:rsidRPr="00634578">
        <w:rPr>
          <w:rFonts w:asciiTheme="minorEastAsia" w:eastAsiaTheme="minorEastAsia" w:hAnsiTheme="minorEastAsia" w:hint="eastAsia"/>
          <w:bCs/>
          <w:color w:val="000000" w:themeColor="text1"/>
          <w:szCs w:val="21"/>
        </w:rPr>
        <w:t>）因违反《基金合同》导致基金财产损失时，应承担赔偿责任，其赔偿责任不因其退任而免除；</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20</w:t>
      </w:r>
      <w:r w:rsidRPr="00634578">
        <w:rPr>
          <w:rFonts w:asciiTheme="minorEastAsia" w:eastAsiaTheme="minorEastAsia" w:hAnsiTheme="minorEastAsia" w:hint="eastAsia"/>
          <w:bCs/>
          <w:color w:val="000000" w:themeColor="text1"/>
          <w:szCs w:val="21"/>
        </w:rPr>
        <w:t>）按规定监督基金管理人按法律法规和《基金合同》规定履行自己的义务，基金管理人因违反《基金合同》造成基金财产损失时，应为基金份额持有人利益向基金管理人追偿；</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21</w:t>
      </w:r>
      <w:r w:rsidRPr="00634578">
        <w:rPr>
          <w:rFonts w:asciiTheme="minorEastAsia" w:eastAsiaTheme="minorEastAsia" w:hAnsiTheme="minorEastAsia" w:hint="eastAsia"/>
          <w:bCs/>
          <w:color w:val="000000" w:themeColor="text1"/>
          <w:szCs w:val="21"/>
        </w:rPr>
        <w:t>）执行生效的基金份额持有人大会的决定；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22</w:t>
      </w:r>
      <w:r w:rsidRPr="00634578">
        <w:rPr>
          <w:rFonts w:asciiTheme="minorEastAsia" w:eastAsiaTheme="minorEastAsia" w:hAnsiTheme="minorEastAsia" w:hint="eastAsia"/>
          <w:bCs/>
          <w:color w:val="000000" w:themeColor="text1"/>
          <w:szCs w:val="21"/>
        </w:rPr>
        <w:t>）法律法规及中国证监会规定的和《基金合同》约定的其他义务。</w:t>
      </w:r>
    </w:p>
    <w:p w:rsidR="00DB3659" w:rsidRPr="00634578" w:rsidP="00BB159E">
      <w:pPr>
        <w:snapToGrid w:val="0"/>
        <w:spacing w:line="360" w:lineRule="auto"/>
        <w:ind w:firstLine="420" w:firstLineChars="200"/>
        <w:rPr>
          <w:rFonts w:asciiTheme="minorEastAsia" w:eastAsiaTheme="minorEastAsia" w:hAnsiTheme="minorEastAsia" w:cs="宋体"/>
          <w:color w:val="000000" w:themeColor="text1"/>
          <w:kern w:val="0"/>
          <w:szCs w:val="21"/>
          <w:shd w:val="clear" w:color="auto" w:fill="FFFFFF"/>
        </w:rPr>
      </w:pPr>
      <w:r w:rsidRPr="00634578">
        <w:rPr>
          <w:rFonts w:asciiTheme="minorEastAsia" w:eastAsiaTheme="minorEastAsia" w:hAnsiTheme="minorEastAsia" w:cs="宋体" w:hint="eastAsia"/>
          <w:color w:val="000000" w:themeColor="text1"/>
          <w:kern w:val="0"/>
          <w:szCs w:val="21"/>
          <w:shd w:val="clear" w:color="auto" w:fill="FFFFFF"/>
        </w:rPr>
        <w:t>二、基金份额持有人大会召集、议事及表决的程序和规则</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本基金份额持有人大会未设日常机构。</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（一）召开事由</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、当出现或需要决定下列事由之一的，应当召开基金份额持有人大会：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）终止《基金合同》；</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）更换基金管理人；</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）更换基金托管人；</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）转换基金运作方式；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）提高基金管理人、基金托管人的报酬标准；</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）变更基金类别；</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）本基金与其他基金的合并；</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8</w:t>
      </w:r>
      <w:r w:rsidRPr="00634578">
        <w:rPr>
          <w:rFonts w:asciiTheme="minorEastAsia" w:eastAsiaTheme="minorEastAsia" w:hAnsiTheme="minorEastAsia" w:hint="eastAsia"/>
          <w:bCs/>
          <w:color w:val="000000" w:themeColor="text1"/>
          <w:szCs w:val="21"/>
        </w:rPr>
        <w:t>）变更基金投资目标、范围或策略；</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9</w:t>
      </w:r>
      <w:r w:rsidRPr="00634578">
        <w:rPr>
          <w:rFonts w:asciiTheme="minorEastAsia" w:eastAsiaTheme="minorEastAsia" w:hAnsiTheme="minorEastAsia" w:hint="eastAsia"/>
          <w:bCs/>
          <w:color w:val="000000" w:themeColor="text1"/>
          <w:szCs w:val="21"/>
        </w:rPr>
        <w:t>）变更基金份额持有人大会程序；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）基金管理人或基金托管人要求召开基金份额持有人大会；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11</w:t>
      </w:r>
      <w:r w:rsidRPr="00634578">
        <w:rPr>
          <w:rFonts w:asciiTheme="minorEastAsia" w:eastAsiaTheme="minorEastAsia" w:hAnsiTheme="minorEastAsia" w:hint="eastAsia"/>
          <w:bCs/>
          <w:color w:val="000000" w:themeColor="text1"/>
          <w:szCs w:val="21"/>
        </w:rPr>
        <w:t>）单独或合计持有本基金总份额</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以上（含</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）基金份额的基金份额持有人（以基金管理人收到提议当日的基金份额计算，下同）就同一事项书面要求召开基金份额持有人大会；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12</w:t>
      </w:r>
      <w:r w:rsidRPr="00634578">
        <w:rPr>
          <w:rFonts w:asciiTheme="minorEastAsia" w:eastAsiaTheme="minorEastAsia" w:hAnsiTheme="minorEastAsia" w:hint="eastAsia"/>
          <w:bCs/>
          <w:color w:val="000000" w:themeColor="text1"/>
          <w:szCs w:val="21"/>
        </w:rPr>
        <w:t>）对基金当事人权利和义务产生重大影响的其他事项；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13</w:t>
      </w:r>
      <w:r w:rsidRPr="00634578">
        <w:rPr>
          <w:rFonts w:asciiTheme="minorEastAsia" w:eastAsiaTheme="minorEastAsia" w:hAnsiTheme="minorEastAsia" w:hint="eastAsia"/>
          <w:bCs/>
          <w:color w:val="000000" w:themeColor="text1"/>
          <w:szCs w:val="21"/>
        </w:rPr>
        <w:t>）法律法规、《基金合同》或中国证监会规定的其他应当召开基金份额持有人大会的事项。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、以下情况可由基金管理人和基金托管人协商后修改，不需召开基金份额持有人大会：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）调低基金管理费、基金托管费</w:t>
      </w:r>
      <w:r w:rsidRPr="00634578">
        <w:rPr>
          <w:rFonts w:asciiTheme="minorEastAsia" w:eastAsiaTheme="minorEastAsia" w:hAnsiTheme="minorEastAsia" w:hint="eastAsia"/>
          <w:color w:val="000000" w:themeColor="text1"/>
          <w:szCs w:val="21"/>
        </w:rPr>
        <w:t>和其他应由基金承担的费用</w:t>
      </w:r>
      <w:r w:rsidRPr="00634578">
        <w:rPr>
          <w:rFonts w:asciiTheme="minorEastAsia" w:eastAsiaTheme="minorEastAsia" w:hAnsiTheme="minorEastAsia" w:hint="eastAsia"/>
          <w:bCs/>
          <w:color w:val="000000" w:themeColor="text1"/>
          <w:szCs w:val="21"/>
        </w:rPr>
        <w:t>；</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）法律法规要求增加的基金费用的收取；</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）在法律法规和本基金合同规定的范围内且对基金份额持有人利益无实质不利影响的前提下，调低基金的销售服务费率或变更收费方式；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）因相应的法律法规发生变动而应当对《基金合同》进行修改；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）对《基金合同》的修改对基金份额持有人利益无实质性不利影响或修改不涉及《基金合同》当事人权利义务关系发生变化；</w:t>
      </w:r>
    </w:p>
    <w:p w:rsidR="00683152"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color w:val="000000" w:themeColor="text1"/>
          <w:kern w:val="0"/>
          <w:szCs w:val="21"/>
        </w:rPr>
        <w:t>（</w:t>
      </w:r>
      <w:r w:rsidRPr="00634578">
        <w:rPr>
          <w:rFonts w:asciiTheme="minorEastAsia" w:eastAsiaTheme="minorEastAsia" w:hAnsiTheme="minorEastAsia"/>
          <w:color w:val="000000" w:themeColor="text1"/>
          <w:kern w:val="0"/>
          <w:szCs w:val="21"/>
        </w:rPr>
        <w:t>6</w:t>
      </w:r>
      <w:r w:rsidRPr="00634578">
        <w:rPr>
          <w:rFonts w:asciiTheme="minorEastAsia" w:eastAsiaTheme="minorEastAsia" w:hAnsiTheme="minorEastAsia" w:hint="eastAsia"/>
          <w:color w:val="000000" w:themeColor="text1"/>
          <w:kern w:val="0"/>
          <w:szCs w:val="21"/>
        </w:rPr>
        <w:t>）当影子定价确定的基金资产净值与摊余成本法计算的基金资产净值的负偏离度绝对值连续两个交易日超过</w:t>
      </w:r>
      <w:r w:rsidRPr="00634578">
        <w:rPr>
          <w:rFonts w:asciiTheme="minorEastAsia" w:eastAsiaTheme="minorEastAsia" w:hAnsiTheme="minorEastAsia"/>
          <w:color w:val="000000" w:themeColor="text1"/>
          <w:kern w:val="0"/>
          <w:szCs w:val="21"/>
        </w:rPr>
        <w:t>0.5%</w:t>
      </w:r>
      <w:r w:rsidRPr="00634578">
        <w:rPr>
          <w:rFonts w:asciiTheme="minorEastAsia" w:eastAsiaTheme="minorEastAsia" w:hAnsiTheme="minorEastAsia" w:hint="eastAsia"/>
          <w:color w:val="000000" w:themeColor="text1"/>
          <w:kern w:val="0"/>
          <w:szCs w:val="21"/>
        </w:rPr>
        <w:t>，且基金管理人决定暂停接受所有赎回申请并终止基金合同，则基金合同将根据第十九部分的约定进行基金财产清算并终止。</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sidR="00683152">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）按照法律法规和《基金合同》规定不需召开基金份额持有人大会的其他情形。</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（二）会议召集人及召集方式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、除法律法规规定或《基金合同》另有约定外，基金份额持有人大会由基金管理人召集；</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、基金管理人未按规定召集或不能召开时，由基金托管人召集；</w:t>
      </w:r>
    </w:p>
    <w:p w:rsidR="00AB30D5" w:rsidRPr="00634578" w:rsidP="003548EA">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、基金托管人认为有必要召开基金份额持有人大会的，应当向基金管理人提出书面提议。基金管理人应当自收到书面提议之日起</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日内决定是否召集，并书面告知基金托管人。基金管理人决定召集的，应当自出具书面决定之日起</w:t>
      </w:r>
      <w:r w:rsidRPr="00634578">
        <w:rPr>
          <w:rFonts w:asciiTheme="minorEastAsia" w:eastAsiaTheme="minorEastAsia" w:hAnsiTheme="minorEastAsia"/>
          <w:bCs/>
          <w:color w:val="000000" w:themeColor="text1"/>
          <w:szCs w:val="21"/>
        </w:rPr>
        <w:t>60</w:t>
      </w:r>
      <w:r w:rsidRPr="00634578">
        <w:rPr>
          <w:rFonts w:asciiTheme="minorEastAsia" w:eastAsiaTheme="minorEastAsia" w:hAnsiTheme="minorEastAsia" w:hint="eastAsia"/>
          <w:bCs/>
          <w:color w:val="000000" w:themeColor="text1"/>
          <w:szCs w:val="21"/>
        </w:rPr>
        <w:t>日内召开；基金管理人决定不召集，基金托管人仍认为有必要召开的，应当由基金托管人自行召集，并自出具书面决定之日起六十日内召开并告知基金管理人，基金管理人应当配合。</w:t>
      </w:r>
    </w:p>
    <w:p w:rsidR="00AB30D5" w:rsidRPr="00634578" w:rsidP="003548EA">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、代表基金份额</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以上（含</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）的基金份额持有人就同一事项书面要求召开基金份额持有人大会，应当向基金管理人提出书面提议。基金管理人应当自收到书面提议之日起</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日内决定是否召集，并书面告知提出提议的基金份额持有人代表和基金托管人。基金管</w:t>
      </w:r>
      <w:r w:rsidRPr="00634578">
        <w:rPr>
          <w:rFonts w:asciiTheme="minorEastAsia" w:eastAsiaTheme="minorEastAsia" w:hAnsiTheme="minorEastAsia" w:hint="eastAsia"/>
          <w:bCs/>
          <w:color w:val="000000" w:themeColor="text1"/>
          <w:szCs w:val="21"/>
        </w:rPr>
        <w:t>理人决定召集的，应当自出具书面决定之日起</w:t>
      </w:r>
      <w:r w:rsidRPr="00634578">
        <w:rPr>
          <w:rFonts w:asciiTheme="minorEastAsia" w:eastAsiaTheme="minorEastAsia" w:hAnsiTheme="minorEastAsia"/>
          <w:bCs/>
          <w:color w:val="000000" w:themeColor="text1"/>
          <w:szCs w:val="21"/>
        </w:rPr>
        <w:t>60</w:t>
      </w:r>
      <w:r w:rsidRPr="00634578">
        <w:rPr>
          <w:rFonts w:asciiTheme="minorEastAsia" w:eastAsiaTheme="minorEastAsia" w:hAnsiTheme="minorEastAsia" w:hint="eastAsia"/>
          <w:bCs/>
          <w:color w:val="000000" w:themeColor="text1"/>
          <w:szCs w:val="21"/>
        </w:rPr>
        <w:t>日内召开；基金管理人决定不召集，代表基金份额</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以上（含</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）的基金份额持有人仍认为有必要召开的，应当向基金托管人提出书面提议。基金托管人应当自收到书面提议之日起</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日内决定是否召集，并书面告知提出提议的基金份额持有人代表和基金管理人；基金托管人决定召集的，应当自出具书面决定之日起</w:t>
      </w:r>
      <w:r w:rsidRPr="00634578">
        <w:rPr>
          <w:rFonts w:asciiTheme="minorEastAsia" w:eastAsiaTheme="minorEastAsia" w:hAnsiTheme="minorEastAsia"/>
          <w:bCs/>
          <w:color w:val="000000" w:themeColor="text1"/>
          <w:szCs w:val="21"/>
        </w:rPr>
        <w:t>60</w:t>
      </w:r>
      <w:r w:rsidRPr="00634578">
        <w:rPr>
          <w:rFonts w:asciiTheme="minorEastAsia" w:eastAsiaTheme="minorEastAsia" w:hAnsiTheme="minorEastAsia" w:hint="eastAsia"/>
          <w:bCs/>
          <w:color w:val="000000" w:themeColor="text1"/>
          <w:szCs w:val="21"/>
        </w:rPr>
        <w:t>日内召开。</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、代表基金份额</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以上（含</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）的基金份额持有人就同一事项要求召开基金份额持有人大会，而基金管理人、基金托管人都不召集的，单独或合计代表基金份额</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以上（含</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）的基金份额持有人有权自行召集，并至少提前</w:t>
      </w:r>
      <w:r w:rsidRPr="00634578">
        <w:rPr>
          <w:rFonts w:asciiTheme="minorEastAsia" w:eastAsiaTheme="minorEastAsia" w:hAnsiTheme="minorEastAsia"/>
          <w:bCs/>
          <w:color w:val="000000" w:themeColor="text1"/>
          <w:szCs w:val="21"/>
        </w:rPr>
        <w:t>30</w:t>
      </w:r>
      <w:r w:rsidRPr="00634578">
        <w:rPr>
          <w:rFonts w:asciiTheme="minorEastAsia" w:eastAsiaTheme="minorEastAsia" w:hAnsiTheme="minorEastAsia" w:hint="eastAsia"/>
          <w:bCs/>
          <w:color w:val="000000" w:themeColor="text1"/>
          <w:szCs w:val="21"/>
        </w:rPr>
        <w:t>日报中国证监会备案。基金份额持有人依法自行召集基金份额持有人大会的，基金管理人、基金托管人应当配合，不得阻碍、干扰。</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、基金份额持有人会议的召集人负责选择确定开会时间、地点、方式和权益登记日。</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（三）召开基金份额持有人大会的通知时间、通知内容、通知方式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、召开基金份额持有人大会，召集人应于会议召开前</w:t>
      </w:r>
      <w:r w:rsidRPr="00634578">
        <w:rPr>
          <w:rFonts w:asciiTheme="minorEastAsia" w:eastAsiaTheme="minorEastAsia" w:hAnsiTheme="minorEastAsia"/>
          <w:bCs/>
          <w:color w:val="000000" w:themeColor="text1"/>
          <w:szCs w:val="21"/>
        </w:rPr>
        <w:t>30</w:t>
      </w:r>
      <w:r w:rsidRPr="00634578">
        <w:rPr>
          <w:rFonts w:asciiTheme="minorEastAsia" w:eastAsiaTheme="minorEastAsia" w:hAnsiTheme="minorEastAsia" w:hint="eastAsia"/>
          <w:bCs/>
          <w:color w:val="000000" w:themeColor="text1"/>
          <w:szCs w:val="21"/>
        </w:rPr>
        <w:t>日，在指定媒介公告。基金份额持有人大会通知应至少载明以下内容：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）会议召开的时间、地点和会议形式；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）会议拟审议的事项、议事程序和表决方式；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）有权出席基金份额持有人大会的基金份额持有人的权益登记日；</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）授权委托证明的内容要求（包括但不限于代理人身份，代理权限和代理有效期限等）、送达时间和地点</w:t>
      </w:r>
      <w:r w:rsidRPr="00634578">
        <w:rPr>
          <w:rFonts w:asciiTheme="minorEastAsia" w:eastAsiaTheme="minorEastAsia" w:hAnsiTheme="minorEastAsia"/>
          <w:bCs/>
          <w:color w:val="000000" w:themeColor="text1"/>
          <w:szCs w:val="21"/>
        </w:rPr>
        <w:t>;</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）会务常设联系人姓名及联系电话；</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）出席会议者必须准备的文件和必须履行的手续；</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）召集人需要通知的其他事项。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（四）基金份额持有人出席会议的方式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基金份额持有人大会可通过现场开会方式、通讯开会方式及法律法规、中国证监会允许的其他方式召开，会议的召开方式由会议召集人确定。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、现场开会。由基金份额持有人本人出席或以代理投票授权委托证明委派代表出席，</w:t>
      </w:r>
      <w:r w:rsidRPr="00634578">
        <w:rPr>
          <w:rFonts w:asciiTheme="minorEastAsia" w:eastAsiaTheme="minorEastAsia" w:hAnsiTheme="minorEastAsia" w:hint="eastAsia"/>
          <w:bCs/>
          <w:color w:val="000000" w:themeColor="text1"/>
          <w:szCs w:val="21"/>
        </w:rPr>
        <w:t>现场开会时基金管理人和基金托管人的授权代表应当列席基金份额持有人大会，基金管理人或托管人不派代表列席的，不影响表决效力。现场开会同时符合以下条件时，可以进行基金份额持有人大会议程：</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亲自出席会议者持有有关证明文件、受托出席会议者出示的委托人的代理投票授权委托证明及有关证明文件符合法律法规、《基金合同》和会议通知的规定，并且持有基金份额的凭证与基金管理人持有的登记资料相符；</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）经核对，到会者在权益登记日代表的有效的基金份额不少于本基金在权益登记日基金总份额的</w:t>
      </w:r>
      <w:r w:rsidRPr="00634578">
        <w:rPr>
          <w:rFonts w:asciiTheme="minorEastAsia" w:eastAsiaTheme="minorEastAsia" w:hAnsiTheme="minorEastAsia"/>
          <w:bCs/>
          <w:color w:val="000000" w:themeColor="text1"/>
          <w:szCs w:val="21"/>
        </w:rPr>
        <w:t>50%</w:t>
      </w:r>
      <w:r w:rsidRPr="00634578">
        <w:rPr>
          <w:rFonts w:asciiTheme="minorEastAsia" w:eastAsiaTheme="minorEastAsia" w:hAnsiTheme="minorEastAsia" w:hint="eastAsia"/>
          <w:bCs/>
          <w:color w:val="000000" w:themeColor="text1"/>
          <w:szCs w:val="21"/>
        </w:rPr>
        <w:t>（含</w:t>
      </w:r>
      <w:r w:rsidRPr="00634578">
        <w:rPr>
          <w:rFonts w:asciiTheme="minorEastAsia" w:eastAsiaTheme="minorEastAsia" w:hAnsiTheme="minorEastAsia"/>
          <w:bCs/>
          <w:color w:val="000000" w:themeColor="text1"/>
          <w:szCs w:val="21"/>
        </w:rPr>
        <w:t>50%</w:t>
      </w:r>
      <w:r w:rsidRPr="00634578">
        <w:rPr>
          <w:rFonts w:asciiTheme="minorEastAsia" w:eastAsiaTheme="minorEastAsia" w:hAnsiTheme="minorEastAsia" w:hint="eastAsia"/>
          <w:bCs/>
          <w:color w:val="000000" w:themeColor="text1"/>
          <w:szCs w:val="21"/>
        </w:rPr>
        <w:t>）。</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、通讯开会。通讯开会系指基金份额持有人将其对表决事项的投票以书面形式在表决截至日以前送达至召集人指定的地址。通讯开会应以书面方式进行表决。</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在同时符合以下条件时，通讯开会的方式视为有效：</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）会议召集人按《基金合同》约定公布会议通知后，在</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个工作日内连续公布相关提示性公告；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DB3659" w:rsidRPr="00634578" w:rsidP="00BB159E">
      <w:pPr>
        <w:snapToGrid w:val="0"/>
        <w:spacing w:line="360" w:lineRule="auto"/>
        <w:ind w:firstLine="472" w:firstLineChars="225"/>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）本人直接出具书面意见或授权他人代表出具书面意见的，基金份额持有人所持有的基金份额不小于在权益登记日基金总份额的</w:t>
      </w:r>
      <w:r w:rsidRPr="00634578">
        <w:rPr>
          <w:rFonts w:asciiTheme="minorEastAsia" w:eastAsiaTheme="minorEastAsia" w:hAnsiTheme="minorEastAsia"/>
          <w:bCs/>
          <w:color w:val="000000" w:themeColor="text1"/>
          <w:szCs w:val="21"/>
        </w:rPr>
        <w:t>50%</w:t>
      </w:r>
      <w:r w:rsidRPr="00634578">
        <w:rPr>
          <w:rFonts w:asciiTheme="minorEastAsia" w:eastAsiaTheme="minorEastAsia" w:hAnsiTheme="minorEastAsia" w:hint="eastAsia"/>
          <w:bCs/>
          <w:color w:val="000000" w:themeColor="text1"/>
          <w:szCs w:val="21"/>
        </w:rPr>
        <w:t>（含</w:t>
      </w:r>
      <w:r w:rsidRPr="00634578">
        <w:rPr>
          <w:rFonts w:asciiTheme="minorEastAsia" w:eastAsiaTheme="minorEastAsia" w:hAnsiTheme="minorEastAsia"/>
          <w:bCs/>
          <w:color w:val="000000" w:themeColor="text1"/>
          <w:szCs w:val="21"/>
        </w:rPr>
        <w:t>50%</w:t>
      </w:r>
      <w:r w:rsidRPr="00634578">
        <w:rPr>
          <w:rFonts w:asciiTheme="minorEastAsia" w:eastAsiaTheme="minorEastAsia" w:hAnsiTheme="minorEastAsia" w:hint="eastAsia"/>
          <w:bCs/>
          <w:color w:val="000000" w:themeColor="text1"/>
          <w:szCs w:val="21"/>
        </w:rPr>
        <w:t>）；</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）上述第（</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、重新召集基金份额持有人大会的条件</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基金份额持有人大会应当有代表二分之一以上基金份额的持有人参加，方可召开。</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、基金份额持有人授权他人代为出席会议并表决的，授权方式可以采用书面、网络、</w:t>
      </w:r>
      <w:r w:rsidRPr="00634578">
        <w:rPr>
          <w:rFonts w:asciiTheme="minorEastAsia" w:eastAsiaTheme="minorEastAsia" w:hAnsiTheme="minorEastAsia" w:hint="eastAsia"/>
          <w:bCs/>
          <w:color w:val="000000" w:themeColor="text1"/>
          <w:szCs w:val="21"/>
        </w:rPr>
        <w:t>电话、短信或其他方式，具体方式在会议通知中列明。</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（五）议事内容与程序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、议事内容及提案权</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基金份额持有人大会的召集人发出召集会议的通知后，对原有提案的修改应当在基金份额持有人大会召开前及时公告。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基金份额持有人大会不得对未事先公告的议事内容进行表决。</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、议事程序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）现场开会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634578">
        <w:rPr>
          <w:rFonts w:asciiTheme="minorEastAsia" w:eastAsiaTheme="minorEastAsia" w:hAnsiTheme="minorEastAsia"/>
          <w:bCs/>
          <w:color w:val="000000" w:themeColor="text1"/>
          <w:szCs w:val="21"/>
        </w:rPr>
        <w:t>50%</w:t>
      </w:r>
      <w:r w:rsidRPr="00634578">
        <w:rPr>
          <w:rFonts w:asciiTheme="minorEastAsia" w:eastAsiaTheme="minorEastAsia" w:hAnsiTheme="minorEastAsia" w:hint="eastAsia"/>
          <w:bCs/>
          <w:color w:val="000000" w:themeColor="text1"/>
          <w:szCs w:val="21"/>
        </w:rPr>
        <w:t>以上（含</w:t>
      </w:r>
      <w:r w:rsidRPr="00634578">
        <w:rPr>
          <w:rFonts w:asciiTheme="minorEastAsia" w:eastAsiaTheme="minorEastAsia" w:hAnsiTheme="minorEastAsia"/>
          <w:bCs/>
          <w:color w:val="000000" w:themeColor="text1"/>
          <w:szCs w:val="21"/>
        </w:rPr>
        <w:t>50%</w:t>
      </w:r>
      <w:r w:rsidRPr="00634578">
        <w:rPr>
          <w:rFonts w:asciiTheme="minorEastAsia" w:eastAsiaTheme="minorEastAsia" w:hAnsiTheme="minorEastAsia" w:hint="eastAsia"/>
          <w:bCs/>
          <w:color w:val="000000" w:themeColor="text1"/>
          <w:szCs w:val="21"/>
        </w:rPr>
        <w:t>）选举产生一名基金份额持有人作为该次基金份额持有人大会的主持人。基金管理人和基金托管人拒不出席或主持基金份额持有人大会，不影响基金份额持有人大会作出的决议的效力。</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）通讯开会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在通讯开会的情况下，首先由召集人提前</w:t>
      </w:r>
      <w:r w:rsidRPr="00634578">
        <w:rPr>
          <w:rFonts w:asciiTheme="minorEastAsia" w:eastAsiaTheme="minorEastAsia" w:hAnsiTheme="minorEastAsia"/>
          <w:bCs/>
          <w:color w:val="000000" w:themeColor="text1"/>
          <w:szCs w:val="21"/>
        </w:rPr>
        <w:t>30</w:t>
      </w:r>
      <w:r w:rsidRPr="00634578">
        <w:rPr>
          <w:rFonts w:asciiTheme="minorEastAsia" w:eastAsiaTheme="minorEastAsia" w:hAnsiTheme="minorEastAsia" w:hint="eastAsia"/>
          <w:bCs/>
          <w:color w:val="000000" w:themeColor="text1"/>
          <w:szCs w:val="21"/>
        </w:rPr>
        <w:t>日公布提案，在所通知的表决截止日期后</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个工作日内在公证机关监督下由召集人统计全部有效表决，在公证机关监督下形成决议。</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（六）表决</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基金份额持有人所持每份基金份额有一票表决权。</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基金份额持有人大会决议分为一般决议和特别决议：</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、一般决议，一般决议须经参加大会的基金份额持有人或其代理人所持表决权的</w:t>
      </w:r>
      <w:r w:rsidRPr="00634578">
        <w:rPr>
          <w:rFonts w:asciiTheme="minorEastAsia" w:eastAsiaTheme="minorEastAsia" w:hAnsiTheme="minorEastAsia"/>
          <w:bCs/>
          <w:color w:val="000000" w:themeColor="text1"/>
          <w:szCs w:val="21"/>
        </w:rPr>
        <w:t>50%</w:t>
      </w:r>
      <w:r w:rsidRPr="00634578">
        <w:rPr>
          <w:rFonts w:asciiTheme="minorEastAsia" w:eastAsiaTheme="minorEastAsia" w:hAnsiTheme="minorEastAsia" w:hint="eastAsia"/>
          <w:bCs/>
          <w:color w:val="000000" w:themeColor="text1"/>
          <w:szCs w:val="21"/>
        </w:rPr>
        <w:t>以上（含</w:t>
      </w:r>
      <w:r w:rsidRPr="00634578">
        <w:rPr>
          <w:rFonts w:asciiTheme="minorEastAsia" w:eastAsiaTheme="minorEastAsia" w:hAnsiTheme="minorEastAsia"/>
          <w:bCs/>
          <w:color w:val="000000" w:themeColor="text1"/>
          <w:szCs w:val="21"/>
        </w:rPr>
        <w:t>50%</w:t>
      </w:r>
      <w:r w:rsidRPr="00634578">
        <w:rPr>
          <w:rFonts w:asciiTheme="minorEastAsia" w:eastAsiaTheme="minorEastAsia" w:hAnsiTheme="minorEastAsia" w:hint="eastAsia"/>
          <w:bCs/>
          <w:color w:val="000000" w:themeColor="text1"/>
          <w:szCs w:val="21"/>
        </w:rPr>
        <w:t>）通过方为有效；除下列第</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项所规定的须以特别决议通过事项以外的其他事项均以一般决议的方式通过。</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、特别决议，特别决议应当经参加大会的基金份额持有人或其代理人所持表决权的三分之二以上（含三分之二）通过方可做出。</w:t>
      </w:r>
      <w:r w:rsidRPr="00634578" w:rsidR="00683152">
        <w:rPr>
          <w:rFonts w:asciiTheme="minorEastAsia" w:eastAsiaTheme="minorEastAsia" w:hAnsiTheme="minorEastAsia" w:hint="eastAsia"/>
          <w:bCs/>
          <w:color w:val="000000" w:themeColor="text1"/>
          <w:kern w:val="0"/>
          <w:szCs w:val="21"/>
        </w:rPr>
        <w:t>除基金合同另有约定外，</w:t>
      </w:r>
      <w:r w:rsidRPr="00634578">
        <w:rPr>
          <w:rFonts w:asciiTheme="minorEastAsia" w:eastAsiaTheme="minorEastAsia" w:hAnsiTheme="minorEastAsia" w:hint="eastAsia"/>
          <w:bCs/>
          <w:color w:val="000000" w:themeColor="text1"/>
          <w:szCs w:val="21"/>
        </w:rPr>
        <w:t>转换基金运作方式、更换基金管理人或者基金托管人、终止《基金合同》、与其他基金合并以特别决议通过方为有效。</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基金份额持有人大会采取记名方式进行投票表决。</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基金份额持有人大会的各项提案或同一项提案内并列的各项议题应当分开审议、逐项表决。</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（七）计票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、现场开会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）监票人应当在基金份额持有人表决后立即进行清点并由大会主持人当场公布计票结果。</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）计票过程应由公证机关予以公证</w:t>
      </w:r>
      <w:r w:rsidRPr="00634578">
        <w:rPr>
          <w:rFonts w:asciiTheme="minorEastAsia" w:eastAsiaTheme="minorEastAsia" w:hAnsiTheme="minorEastAsia"/>
          <w:bCs/>
          <w:color w:val="000000" w:themeColor="text1"/>
          <w:szCs w:val="21"/>
        </w:rPr>
        <w:t>,</w:t>
      </w:r>
      <w:r w:rsidRPr="00634578">
        <w:rPr>
          <w:rFonts w:asciiTheme="minorEastAsia" w:eastAsiaTheme="minorEastAsia" w:hAnsiTheme="minorEastAsia" w:hint="eastAsia"/>
          <w:bCs/>
          <w:color w:val="000000" w:themeColor="text1"/>
          <w:szCs w:val="21"/>
        </w:rPr>
        <w:t>基金管理人或基金托管人拒不出席大会的，不影响计票的效力。</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、通讯开会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（八）生效与公告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基金份额持有人大会的决议，自表决通过之日起生效。</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基金份额持有人大会的决议，召集人应当自通过之日起</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日内报中国证监会备案。</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基金份额持有人大会决议自生效之日起</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日内在指定媒介上公告。如果采用通讯方式进行表决，在公告基金份额持有人大会决议时，必须将公证书全文、公证机构、公证员姓名等一同公告。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基金管理人、基金托管人和基金份额持有人应当执行生效的基金份额持有人大会的决议。</w:t>
      </w:r>
      <w:r w:rsidRPr="00634578">
        <w:rPr>
          <w:rFonts w:asciiTheme="minorEastAsia" w:eastAsiaTheme="minorEastAsia" w:hAnsiTheme="minorEastAsia" w:hint="eastAsia"/>
          <w:bCs/>
          <w:color w:val="000000" w:themeColor="text1"/>
          <w:szCs w:val="21"/>
        </w:rPr>
        <w:t>生效的基金份额持有人大会决议对全体基金份额持有人、基金管理人、基金托管人均有约束力。</w:t>
      </w:r>
    </w:p>
    <w:p w:rsidR="00DB3659" w:rsidRPr="00634578" w:rsidP="00BB159E">
      <w:pPr>
        <w:snapToGrid w:val="0"/>
        <w:spacing w:line="360" w:lineRule="auto"/>
        <w:ind w:firstLine="420" w:firstLineChars="200"/>
        <w:rPr>
          <w:rFonts w:asciiTheme="minorEastAsia" w:eastAsiaTheme="minorEastAsia" w:hAnsiTheme="minorEastAsia" w:cs="宋体"/>
          <w:color w:val="000000" w:themeColor="text1"/>
          <w:kern w:val="0"/>
          <w:szCs w:val="21"/>
          <w:shd w:val="clear" w:color="auto" w:fill="FFFFFF"/>
        </w:rPr>
      </w:pPr>
      <w:r w:rsidRPr="00634578">
        <w:rPr>
          <w:rFonts w:asciiTheme="minorEastAsia" w:eastAsiaTheme="minorEastAsia" w:hAnsiTheme="minorEastAsia" w:cs="宋体" w:hint="eastAsia"/>
          <w:color w:val="000000" w:themeColor="text1"/>
          <w:kern w:val="0"/>
          <w:szCs w:val="21"/>
          <w:shd w:val="clear" w:color="auto" w:fill="FFFFFF"/>
        </w:rPr>
        <w:t>三、基金收益分配原则、执行方式</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（一）基金利润的构成</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基金利润指基金利息收入、投资收益、公允价值变动收益和其他收入扣除相关费用后的余额；基金已实现收益指基金利润减去公允价值变动损益后的余额。</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（二）收益分配原则</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本基金收益分配应遵循下列原则：</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、本基金同一类别内的每份基金份额享有同等分配权；</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、本基金收益分配方式为红利再投资，免收再投资的费用；</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本基金根据每日基金收益情况，以基金已实现收益为基准，为投资人每日计算当日收益并分配（该收益将会计确认为实收基金，参与下一日的收益分配）。通常情况下，本基金的收益支付方式为按月支付，对于可支持按日支付的销售机构，本基金的收益支付方式经基金管理人和销售机构双方协商一致后可以按日支付。不论何种支付方式，当日收益均参与下一日的收益分配，不影响基金份额持有人实际获得的投资收益。投资人当日收益分配的计算保留到小数点后</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位，小数点后第</w:t>
      </w: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位按去尾原则处理，因去尾形成的余额进行再次分配，直到分完为止；</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、本基金根据每日收益情况，将当日收益全部分配，若当日已实现收益大于零时，为投资人记正收益；若当日已实现收益小于零时，为投资人记负收益；若当日已实现收益等于零时，当日投资人不记收益；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5</w:t>
      </w:r>
      <w:r w:rsidRPr="00634578">
        <w:rPr>
          <w:rFonts w:asciiTheme="minorEastAsia" w:eastAsiaTheme="minorEastAsia" w:hAnsiTheme="minorEastAsia" w:hint="eastAsia"/>
          <w:color w:val="000000" w:themeColor="text1"/>
          <w:szCs w:val="21"/>
        </w:rPr>
        <w:t>、本基金每日进行收益计算并分配时，收益支付方式只采用红利再投资（即红利转基金份额）方式，投资人可通过赎回基金份额获得现金收益；若投资人在收益支付时，其累计收益为正值，则为投资人增加相应的基金份额，其累计收益为负值，则缩减投资人基金份额；</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6</w:t>
      </w:r>
      <w:r w:rsidRPr="00634578">
        <w:rPr>
          <w:rFonts w:asciiTheme="minorEastAsia" w:eastAsiaTheme="minorEastAsia" w:hAnsiTheme="minorEastAsia" w:hint="eastAsia"/>
          <w:color w:val="000000" w:themeColor="text1"/>
          <w:szCs w:val="21"/>
        </w:rPr>
        <w:t>、当日申购的基金份额自下一个工作日起，享有基金的收益分配权益；当日赎回的基金份额自下一个工作日起，不享有基金的收益分配权益；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7</w:t>
      </w:r>
      <w:r w:rsidRPr="00634578" w:rsidR="00311CF5">
        <w:rPr>
          <w:rFonts w:asciiTheme="minorEastAsia" w:eastAsiaTheme="minorEastAsia" w:hAnsiTheme="minorEastAsia" w:hint="eastAsia"/>
          <w:color w:val="000000" w:themeColor="text1"/>
          <w:szCs w:val="21"/>
        </w:rPr>
        <w:t>、</w:t>
      </w:r>
      <w:r w:rsidRPr="00634578">
        <w:rPr>
          <w:rFonts w:asciiTheme="minorEastAsia" w:eastAsiaTheme="minorEastAsia" w:hAnsiTheme="minorEastAsia" w:hint="eastAsia"/>
          <w:color w:val="000000" w:themeColor="text1"/>
          <w:szCs w:val="21"/>
        </w:rPr>
        <w:t>在不违反法律法规且对基金份额持有人利益无实质不利影响的前提下，基金管理人可调整基金收益的分配原则和支付方式，不需召开基金份额持有人大会审议；</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8</w:t>
      </w:r>
      <w:r w:rsidRPr="00634578">
        <w:rPr>
          <w:rFonts w:asciiTheme="minorEastAsia" w:eastAsiaTheme="minorEastAsia" w:hAnsiTheme="minorEastAsia" w:hint="eastAsia"/>
          <w:color w:val="000000" w:themeColor="text1"/>
          <w:szCs w:val="21"/>
        </w:rPr>
        <w:t>、法律法规或监管机构另有规定的从其规定。</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（三）收益分配方案</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本基金每日进行收益分配，基金管理人不另行公告基金收益分配方案。</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（四）收益分配的时间和程序</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本基金每日进行收益分配。</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通常情况下，本基金每月例行对累计实现的收益进行收益结转（例行的收益结转不再另行公告）；对于可支持按日支付的销售机构，本基金的收益支付方式经基金管理人和销售机</w:t>
      </w:r>
      <w:r w:rsidRPr="00634578">
        <w:rPr>
          <w:rFonts w:asciiTheme="minorEastAsia" w:eastAsiaTheme="minorEastAsia" w:hAnsiTheme="minorEastAsia" w:hint="eastAsia"/>
          <w:color w:val="000000" w:themeColor="text1"/>
          <w:szCs w:val="21"/>
        </w:rPr>
        <w:t>构双方协商一致后可以按日支付。</w:t>
      </w:r>
    </w:p>
    <w:p w:rsidR="00DB3659" w:rsidRPr="00634578" w:rsidP="00BB159E">
      <w:pPr>
        <w:snapToGrid w:val="0"/>
        <w:spacing w:line="360" w:lineRule="auto"/>
        <w:ind w:firstLine="420" w:firstLineChars="200"/>
        <w:rPr>
          <w:rFonts w:asciiTheme="minorEastAsia" w:eastAsiaTheme="minorEastAsia" w:hAnsiTheme="minorEastAsia" w:cs="宋体"/>
          <w:color w:val="000000" w:themeColor="text1"/>
          <w:kern w:val="0"/>
          <w:szCs w:val="21"/>
          <w:shd w:val="clear" w:color="auto" w:fill="FFFFFF"/>
        </w:rPr>
      </w:pPr>
      <w:r w:rsidRPr="00634578">
        <w:rPr>
          <w:rFonts w:asciiTheme="minorEastAsia" w:eastAsiaTheme="minorEastAsia" w:hAnsiTheme="minorEastAsia" w:hint="eastAsia"/>
          <w:color w:val="000000" w:themeColor="text1"/>
          <w:szCs w:val="21"/>
        </w:rPr>
        <w:t>四、与基金财产管</w:t>
      </w:r>
      <w:r w:rsidRPr="00634578">
        <w:rPr>
          <w:rFonts w:asciiTheme="minorEastAsia" w:eastAsiaTheme="minorEastAsia" w:hAnsiTheme="minorEastAsia" w:cs="宋体" w:hint="eastAsia"/>
          <w:color w:val="000000" w:themeColor="text1"/>
          <w:kern w:val="0"/>
          <w:szCs w:val="21"/>
          <w:shd w:val="clear" w:color="auto" w:fill="FFFFFF"/>
        </w:rPr>
        <w:t>理、运用有关费用的提取、支付方式与比例</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（一）基金费用的种类</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、基金管理人的管理费；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、基金托管人的托管费；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、销售服务费；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、《基金合同》生效后与基金相关的信息披露费用；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、《基金合同》生效后与基金相关的会计师费、律师费、诉讼费和仲裁费；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、基金份额持有人大会费用；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、基金的证券交易费用；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8</w:t>
      </w:r>
      <w:r w:rsidRPr="00634578">
        <w:rPr>
          <w:rFonts w:asciiTheme="minorEastAsia" w:eastAsiaTheme="minorEastAsia" w:hAnsiTheme="minorEastAsia" w:hint="eastAsia"/>
          <w:bCs/>
          <w:color w:val="000000" w:themeColor="text1"/>
          <w:szCs w:val="21"/>
        </w:rPr>
        <w:t>、基金的银行汇划费用；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9</w:t>
      </w:r>
      <w:r w:rsidRPr="00634578">
        <w:rPr>
          <w:rFonts w:asciiTheme="minorEastAsia" w:eastAsiaTheme="minorEastAsia" w:hAnsiTheme="minorEastAsia" w:hint="eastAsia"/>
          <w:bCs/>
          <w:color w:val="000000" w:themeColor="text1"/>
          <w:szCs w:val="21"/>
        </w:rPr>
        <w:t>、证券账户开户费用、账户维护费用；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、按照国家有关规定和《基金合同》约定，可以在基金财产中列支的其他费用。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（二）基金费用计提方法、计提标准和支付方式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、基金管理人的管理费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本基金的管理费按前一日基金资产净值的</w:t>
      </w:r>
      <w:r w:rsidRPr="00634578">
        <w:rPr>
          <w:rFonts w:asciiTheme="minorEastAsia" w:eastAsiaTheme="minorEastAsia" w:hAnsiTheme="minorEastAsia"/>
          <w:bCs/>
          <w:color w:val="000000" w:themeColor="text1"/>
          <w:szCs w:val="21"/>
        </w:rPr>
        <w:t>0.15%</w:t>
      </w:r>
      <w:r w:rsidRPr="00634578">
        <w:rPr>
          <w:rFonts w:asciiTheme="minorEastAsia" w:eastAsiaTheme="minorEastAsia" w:hAnsiTheme="minorEastAsia" w:hint="eastAsia"/>
          <w:bCs/>
          <w:color w:val="000000" w:themeColor="text1"/>
          <w:szCs w:val="21"/>
        </w:rPr>
        <w:t>年费率计提。管理费的计算方法如下：</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H</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E×0.15%÷</w:t>
      </w:r>
      <w:r w:rsidRPr="00634578">
        <w:rPr>
          <w:rFonts w:asciiTheme="minorEastAsia" w:eastAsiaTheme="minorEastAsia" w:hAnsiTheme="minorEastAsia" w:hint="eastAsia"/>
          <w:bCs/>
          <w:color w:val="000000" w:themeColor="text1"/>
          <w:szCs w:val="21"/>
        </w:rPr>
        <w:t>当年天数</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H</w:t>
      </w:r>
      <w:r w:rsidRPr="00634578">
        <w:rPr>
          <w:rFonts w:asciiTheme="minorEastAsia" w:eastAsiaTheme="minorEastAsia" w:hAnsiTheme="minorEastAsia" w:hint="eastAsia"/>
          <w:bCs/>
          <w:color w:val="000000" w:themeColor="text1"/>
          <w:szCs w:val="21"/>
        </w:rPr>
        <w:t>为每日应计提的基金管理费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E</w:t>
      </w:r>
      <w:r w:rsidRPr="00634578">
        <w:rPr>
          <w:rFonts w:asciiTheme="minorEastAsia" w:eastAsiaTheme="minorEastAsia" w:hAnsiTheme="minorEastAsia" w:hint="eastAsia"/>
          <w:bCs/>
          <w:color w:val="000000" w:themeColor="text1"/>
          <w:szCs w:val="21"/>
        </w:rPr>
        <w:t>为前一日的基金资产净值</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color w:val="000000" w:themeColor="text1"/>
          <w:szCs w:val="21"/>
        </w:rPr>
        <w:t>基金管理费每日计提，按月支付。由基金托管人根据与基金管理人核对一致的财务数据，自动在月初</w:t>
      </w:r>
      <w:r w:rsidRPr="00634578">
        <w:rPr>
          <w:rFonts w:asciiTheme="minorEastAsia" w:eastAsiaTheme="minorEastAsia" w:hAnsiTheme="minorEastAsia"/>
          <w:color w:val="000000" w:themeColor="text1"/>
          <w:szCs w:val="21"/>
        </w:rPr>
        <w:t>5</w:t>
      </w:r>
      <w:r w:rsidRPr="00634578">
        <w:rPr>
          <w:rFonts w:asciiTheme="minorEastAsia" w:eastAsiaTheme="minorEastAsia" w:hAnsiTheme="minorEastAsia" w:hint="eastAsia"/>
          <w:color w:val="000000" w:themeColor="text1"/>
          <w:szCs w:val="21"/>
        </w:rPr>
        <w:t>个工作日内、按照指定的帐户路径进行资金支付，基金管理人无需再出具资金划拨指令。若遇法定节假日、休息日等，支付日期顺延。费用自动扣划后，基金管理人应进行核对，如发现数据不符，及时联系基金托管人协商解决</w:t>
      </w:r>
      <w:r w:rsidRPr="00634578">
        <w:rPr>
          <w:rFonts w:asciiTheme="minorEastAsia" w:eastAsiaTheme="minorEastAsia" w:hAnsiTheme="minorEastAsia" w:hint="eastAsia"/>
          <w:bCs/>
          <w:color w:val="000000" w:themeColor="text1"/>
          <w:szCs w:val="21"/>
        </w:rPr>
        <w:t>。</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、基金托管人的托管费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本基金的托管费按前一日基金资产净值的</w:t>
      </w:r>
      <w:r w:rsidRPr="00634578">
        <w:rPr>
          <w:rFonts w:asciiTheme="minorEastAsia" w:eastAsiaTheme="minorEastAsia" w:hAnsiTheme="minorEastAsia"/>
          <w:bCs/>
          <w:color w:val="000000" w:themeColor="text1"/>
          <w:szCs w:val="21"/>
        </w:rPr>
        <w:t>0.04%</w:t>
      </w:r>
      <w:r w:rsidRPr="00634578">
        <w:rPr>
          <w:rFonts w:asciiTheme="minorEastAsia" w:eastAsiaTheme="minorEastAsia" w:hAnsiTheme="minorEastAsia" w:hint="eastAsia"/>
          <w:bCs/>
          <w:color w:val="000000" w:themeColor="text1"/>
          <w:szCs w:val="21"/>
        </w:rPr>
        <w:t>的年费率计提。托管费的计算方法如下：</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H</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E×0.04%÷</w:t>
      </w:r>
      <w:r w:rsidRPr="00634578">
        <w:rPr>
          <w:rFonts w:asciiTheme="minorEastAsia" w:eastAsiaTheme="minorEastAsia" w:hAnsiTheme="minorEastAsia" w:hint="eastAsia"/>
          <w:bCs/>
          <w:color w:val="000000" w:themeColor="text1"/>
          <w:szCs w:val="21"/>
        </w:rPr>
        <w:t>当年天数</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H</w:t>
      </w:r>
      <w:r w:rsidRPr="00634578">
        <w:rPr>
          <w:rFonts w:asciiTheme="minorEastAsia" w:eastAsiaTheme="minorEastAsia" w:hAnsiTheme="minorEastAsia" w:hint="eastAsia"/>
          <w:bCs/>
          <w:color w:val="000000" w:themeColor="text1"/>
          <w:szCs w:val="21"/>
        </w:rPr>
        <w:t>为每日应计提的基金托管费</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E</w:t>
      </w:r>
      <w:r w:rsidRPr="00634578">
        <w:rPr>
          <w:rFonts w:asciiTheme="minorEastAsia" w:eastAsiaTheme="minorEastAsia" w:hAnsiTheme="minorEastAsia" w:hint="eastAsia"/>
          <w:bCs/>
          <w:color w:val="000000" w:themeColor="text1"/>
          <w:szCs w:val="21"/>
        </w:rPr>
        <w:t>为前一日的基金资产净值</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color w:val="000000" w:themeColor="text1"/>
          <w:szCs w:val="21"/>
        </w:rPr>
        <w:t>基金托管费每日计提，按月支付。由基金托管人根据与基金管理人核对一致的财务数据，自动在月初</w:t>
      </w:r>
      <w:r w:rsidRPr="00634578">
        <w:rPr>
          <w:rFonts w:asciiTheme="minorEastAsia" w:eastAsiaTheme="minorEastAsia" w:hAnsiTheme="minorEastAsia"/>
          <w:color w:val="000000" w:themeColor="text1"/>
          <w:szCs w:val="21"/>
        </w:rPr>
        <w:t>5</w:t>
      </w:r>
      <w:r w:rsidRPr="00634578">
        <w:rPr>
          <w:rFonts w:asciiTheme="minorEastAsia" w:eastAsiaTheme="minorEastAsia" w:hAnsiTheme="minorEastAsia" w:hint="eastAsia"/>
          <w:color w:val="000000" w:themeColor="text1"/>
          <w:szCs w:val="21"/>
        </w:rPr>
        <w:t>个工作日内、按照指定的帐户路径进行资金支付，基金管理人无需再出具资金划拨指令。若遇法定节假日、休息日等，支付日期顺延。费用自动扣划后，基金管理人应进行核对，如发现数据不符，及时联系基金托管人协商解决</w:t>
      </w:r>
      <w:r w:rsidRPr="00634578">
        <w:rPr>
          <w:rFonts w:asciiTheme="minorEastAsia" w:eastAsiaTheme="minorEastAsia" w:hAnsiTheme="minorEastAsia" w:hint="eastAsia"/>
          <w:bCs/>
          <w:color w:val="000000" w:themeColor="text1"/>
          <w:szCs w:val="21"/>
        </w:rPr>
        <w:t>。</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、基金销售服务费</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本基金</w:t>
      </w:r>
      <w:r w:rsidRPr="00634578">
        <w:rPr>
          <w:rFonts w:asciiTheme="minorEastAsia" w:eastAsiaTheme="minorEastAsia" w:hAnsiTheme="minorEastAsia"/>
          <w:color w:val="000000" w:themeColor="text1"/>
          <w:szCs w:val="21"/>
        </w:rPr>
        <w:t>A</w:t>
      </w:r>
      <w:r w:rsidRPr="00634578">
        <w:rPr>
          <w:rFonts w:asciiTheme="minorEastAsia" w:eastAsiaTheme="minorEastAsia" w:hAnsiTheme="minorEastAsia" w:hint="eastAsia"/>
          <w:color w:val="000000" w:themeColor="text1"/>
          <w:szCs w:val="21"/>
        </w:rPr>
        <w:t>类基金份额的年销售服务费率为</w:t>
      </w:r>
      <w:r w:rsidRPr="00634578">
        <w:rPr>
          <w:rFonts w:asciiTheme="minorEastAsia" w:eastAsiaTheme="minorEastAsia" w:hAnsiTheme="minorEastAsia"/>
          <w:color w:val="000000" w:themeColor="text1"/>
          <w:szCs w:val="21"/>
        </w:rPr>
        <w:t>0.18%</w:t>
      </w: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B</w:t>
      </w:r>
      <w:r w:rsidRPr="00634578">
        <w:rPr>
          <w:rFonts w:asciiTheme="minorEastAsia" w:eastAsiaTheme="minorEastAsia" w:hAnsiTheme="minorEastAsia" w:hint="eastAsia"/>
          <w:color w:val="000000" w:themeColor="text1"/>
          <w:szCs w:val="21"/>
        </w:rPr>
        <w:t>类基金份额的年销售服务费率为</w:t>
      </w:r>
      <w:r w:rsidRPr="00634578">
        <w:rPr>
          <w:rFonts w:asciiTheme="minorEastAsia" w:eastAsiaTheme="minorEastAsia" w:hAnsiTheme="minorEastAsia"/>
          <w:color w:val="000000" w:themeColor="text1"/>
          <w:szCs w:val="21"/>
        </w:rPr>
        <w:t>0.01%</w:t>
      </w:r>
      <w:r w:rsidRPr="00634578" w:rsidR="00094955">
        <w:rPr>
          <w:rFonts w:asciiTheme="minorEastAsia" w:eastAsiaTheme="minorEastAsia" w:hAnsiTheme="minorEastAsia" w:hint="eastAsia"/>
          <w:bCs/>
          <w:color w:val="000000" w:themeColor="text1"/>
          <w:szCs w:val="21"/>
        </w:rPr>
        <w:t>，C类基金份额的年销售服务费率为</w:t>
      </w:r>
      <w:r w:rsidRPr="00634578" w:rsidR="00094955">
        <w:rPr>
          <w:rFonts w:asciiTheme="minorEastAsia" w:eastAsiaTheme="minorEastAsia" w:hAnsiTheme="minorEastAsia"/>
          <w:bCs/>
          <w:color w:val="000000" w:themeColor="text1"/>
          <w:szCs w:val="21"/>
        </w:rPr>
        <w:t>0.05%</w:t>
      </w:r>
      <w:r w:rsidRPr="00634578">
        <w:rPr>
          <w:rFonts w:asciiTheme="minorEastAsia" w:eastAsiaTheme="minorEastAsia" w:hAnsiTheme="minorEastAsia" w:hint="eastAsia"/>
          <w:color w:val="000000" w:themeColor="text1"/>
          <w:szCs w:val="21"/>
        </w:rPr>
        <w:t>。</w:t>
      </w:r>
      <w:r w:rsidRPr="00634578" w:rsidR="00094955">
        <w:rPr>
          <w:rFonts w:asciiTheme="minorEastAsia" w:eastAsiaTheme="minorEastAsia" w:hAnsiTheme="minorEastAsia" w:hint="eastAsia"/>
          <w:color w:val="000000" w:themeColor="text1"/>
          <w:szCs w:val="21"/>
        </w:rPr>
        <w:t>各类</w:t>
      </w:r>
      <w:r w:rsidRPr="00634578">
        <w:rPr>
          <w:rFonts w:asciiTheme="minorEastAsia" w:eastAsiaTheme="minorEastAsia" w:hAnsiTheme="minorEastAsia" w:hint="eastAsia"/>
          <w:color w:val="000000" w:themeColor="text1"/>
          <w:szCs w:val="21"/>
        </w:rPr>
        <w:t>基金份额的销售服务费计提的计算公式相同，具体如下：</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H</w:t>
      </w: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E</w:t>
      </w:r>
      <w:r w:rsidRPr="00634578">
        <w:rPr>
          <w:rFonts w:asciiTheme="minorEastAsia" w:eastAsiaTheme="minorEastAsia" w:hAnsiTheme="minorEastAsia" w:hint="eastAsia"/>
          <w:color w:val="000000" w:themeColor="text1"/>
          <w:szCs w:val="21"/>
        </w:rPr>
        <w:t>×年销售服务费率÷当年天数</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H</w:t>
      </w:r>
      <w:r w:rsidRPr="00634578">
        <w:rPr>
          <w:rFonts w:asciiTheme="minorEastAsia" w:eastAsiaTheme="minorEastAsia" w:hAnsiTheme="minorEastAsia" w:hint="eastAsia"/>
          <w:color w:val="000000" w:themeColor="text1"/>
          <w:szCs w:val="21"/>
        </w:rPr>
        <w:t>为每日该类基金份额应计提的基金销售服务费</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E</w:t>
      </w:r>
      <w:r w:rsidRPr="00634578">
        <w:rPr>
          <w:rFonts w:asciiTheme="minorEastAsia" w:eastAsiaTheme="minorEastAsia" w:hAnsiTheme="minorEastAsia" w:hint="eastAsia"/>
          <w:color w:val="000000" w:themeColor="text1"/>
          <w:szCs w:val="21"/>
        </w:rPr>
        <w:t>为前一日该类基金份额的基金资产净值</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color w:val="000000" w:themeColor="text1"/>
          <w:szCs w:val="21"/>
        </w:rPr>
        <w:t>销售服务费每日计提，按月支付。由基金托管人根据与基金管理人核对一致的财务数据，自动在月初五个工作日内、按照指定的帐户路径进行资金支付，基金管理人无需再出具资金划拨指令。若遇法定节假日、休息日等，支付日期顺延。费用自动扣划后，基金管理人应进行核对，如发现数据不符，及时联系基金托管人协商解决。</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color w:val="000000" w:themeColor="text1"/>
          <w:szCs w:val="21"/>
        </w:rPr>
        <w:t>销售服务费可用于本基金市场推广、销售以及基金份额持有人服务等各项费用。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上述“（一）基金费用的种类中第</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10</w:t>
      </w:r>
      <w:r w:rsidRPr="00634578">
        <w:rPr>
          <w:rFonts w:asciiTheme="minorEastAsia" w:eastAsiaTheme="minorEastAsia" w:hAnsiTheme="minorEastAsia" w:hint="eastAsia"/>
          <w:bCs/>
          <w:color w:val="000000" w:themeColor="text1"/>
          <w:szCs w:val="21"/>
        </w:rPr>
        <w:t>项费用”，根据有关法规及相应协议规定，按费用实际支出金额列入当期费用，由基金托管人从基金财产中支付。</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（三）不列入基金费用的项目</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下列费用不列入基金费用：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、基金管理人和基金托管人因未履行或未完全履行义务导致的费用支出或基金财产的损失；</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、基金管理人和基金托管人处理与基金运作无关的事项发生的费用；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、《基金合同》生效前的相关费用；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、其他根据相关法律法规及中国证监会的有关规定不得列入基金费用的项目。</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（四）费用调整</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color w:val="000000" w:themeColor="text1"/>
          <w:szCs w:val="21"/>
        </w:rPr>
        <w:t>基金管理人和基金托管人协商一致后，可按照基金发展情况，并根据法律法规规定和基金合同约定，调低基金管理费率、基金托管费率或基金销售服务费率等相关费率。</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（五）基金税收</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bCs/>
          <w:color w:val="000000" w:themeColor="text1"/>
          <w:szCs w:val="21"/>
        </w:rPr>
        <w:t>本基金运作过程中涉及的各纳税主体，其纳税义务按国家税收法律、法规执行。</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五、基金财产的投资方向和投资限制</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（一）投资目标</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在严格控制投资风险和保持高流动性的基础上，力争获得高于业绩比较基准的投资回报。</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（二）投资范围</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color w:val="000000" w:themeColor="text1"/>
          <w:kern w:val="0"/>
          <w:szCs w:val="21"/>
        </w:rPr>
        <w:t>本基金的投资范围为具有良好流动性的金融工具，包括现金，期限在一年以内（含一年）的银行存款、债券回购、中央银行票据、同业存单，剩余期限在397天以内（含397天）的债券、非金融企业债务融资工具、资产支持证券，以及法律法规或中国证监会、中国人民银行认可的其他具有良好流动性的货币市场工具</w:t>
      </w:r>
      <w:r w:rsidRPr="00634578">
        <w:rPr>
          <w:rFonts w:asciiTheme="minorEastAsia" w:eastAsiaTheme="minorEastAsia" w:hAnsiTheme="minorEastAsia" w:hint="eastAsia"/>
          <w:bCs/>
          <w:color w:val="000000" w:themeColor="text1"/>
          <w:kern w:val="0"/>
          <w:szCs w:val="21"/>
        </w:rPr>
        <w:t>。</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法律法规或监管机构以后对货币市场基金的投资范围与限制进行调整的，本基金可随之调整。</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（三）投资限制</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、本基金不得投资于以下金融工具：</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（1）股票；</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（2）可转换债券、可交换债券；</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（3）以定期存款利率为基准利率的浮动利率债券，已进入最后一个利率调整期的除外；</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（4）信用等级在AA+级以下的债券与非金融企业债务融资工具；</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（5）中国证监会、中国人民银行禁止投资的其他金融工具。</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法律法规或监管部门取消或变更上述限制后，本基金不受上述规定的限制并以最新规定为准。</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2、本基金的投资组合将遵循以下比例限制：</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（1）本基金投资组合的平均剩余期限不得超过120天，平均剩余存续期不得超过240天；</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（2）本基金持有同一机构发行的债券、非金融企业债务融资工具及其作为原始权益人的资产支持证券占基金资产净值的比例合计不得超过10%，国债、中央银行票据、政策性金融债券除外；</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（3）本基金持有一家公司发行的证券，其市值不得超过基金资产净值的10%；本基金与由基金管理人管理的其他全部基金持有一家公司发行的证券，不得超过该证券的10%；</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（5）本基金应保持足够比例的流动性资产以应对潜在的赎回要求，其投资组合应当符合下列规定：</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1）现金、国债、中央银行票据、政策性金融债券占基金资产净值的比例合计不得低于5%，其中现金不包括结算备付金、存出保证金、应收申购款等；</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2）现金、国债、中央银行票据、政策性金融债券以及五个交易日内到期的其他金融工具占基金资产净值的比例合计不得低于10%；</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3）到期日在10个交易日以上的逆回购、银行定期存款等流动性受限资产投资占基金资产净值的比例合计不得超过30%；</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4）除发生巨额赎回、连续3个交易日累计赎回20%以上或者连续5个交易日累计赎回30%以上的情形外，本基金债券正回购的资金余额占基金资产净值的比例不得超过20%；</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（6）本基金基金总资产不得超过基金净资产的140%；</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（7）本基金在全国银行间同业市场的债券回购最长期限为1年，债券回购到期后不得</w:t>
      </w:r>
      <w:r w:rsidRPr="00634578">
        <w:rPr>
          <w:rFonts w:asciiTheme="minorEastAsia" w:eastAsiaTheme="minorEastAsia" w:hAnsiTheme="minorEastAsia" w:hint="eastAsia"/>
          <w:bCs/>
          <w:color w:val="000000" w:themeColor="text1"/>
          <w:szCs w:val="21"/>
        </w:rPr>
        <w:t>展期；</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8）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9）本基金主动投资于流动性受限资产的市值合计不得超过基金资产净值的10%。因证券市场波动、证券停牌、基金规模变动等基金管理人之外的因素致使基金不符合前款所规定比例限制的，基金管理人不得主动新增流动性受限资产的投资。</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10）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本基金拟投资于主体信用评级低于AA+的商业银行的银行存款与同业存单的，应当经基金管理人董事会审议批准，相关交易应当事先征得基金托管人的同意，并作为重大事项履行信息披露程序。</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（11）本基金根据份额持有人集中度情况对本基金的投资组合实施调整，并遵守以下要求：</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（12）本基金与私募类证券资管产品及中国证监会认定的其他主体为交易对手开展逆回购交易的，可接受质押品的资质要求应当与基金合同约定的投资范围保持一致。</w:t>
      </w:r>
    </w:p>
    <w:p w:rsidR="00D74D91" w:rsidRPr="00634578" w:rsidP="00D74D91">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（13）中国证监会规定的其他比例限制。</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除第（1）、（5）之1）、（9）、（12）项外，因市场波动、基金规模变动等基金管理人之外的因素致使基金投资不符合上述规定投资比例的，基金管理人应当在10个交易日内进行调整，但中国证监会规定或上述条款另有约定的特殊情形除外。法律法规另有规定的，从其规定。</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3、若法律法规或中国证监会的相关规定发生修改或变更，以修改或变更后的规定为准。</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基金管理人应当自基金合同生效之日起6个月内使基金的投资组合比例符合基金合同</w:t>
      </w:r>
      <w:r w:rsidRPr="00634578">
        <w:rPr>
          <w:rFonts w:asciiTheme="minorEastAsia" w:eastAsiaTheme="minorEastAsia" w:hAnsiTheme="minorEastAsia" w:hint="eastAsia"/>
          <w:bCs/>
          <w:color w:val="000000" w:themeColor="text1"/>
          <w:szCs w:val="21"/>
        </w:rPr>
        <w:t>的有关约定。上述期间，基金的投资范围、投资策略应当符合基金合同的约定。基金托管人对基金的投资的监督与检查自本基金合同生效之日起。</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4、投资组合平均剩余期限和平均剩余存续期限的计算</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（1）平均剩余期限（天）的计算公式如下：</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（Σ投资于金融工具产生的资产×剩余期限-Σ投资于金融工具产生的负债×剩余期限+债券正回购×剩余期限）/（投资于金融工具产生的资产-投资于金融工具产生的负债+债券正回购）</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（2）平均剩余存续期限的计算公式如下：</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（Σ投资于金融工具产生的资产×剩余存续期限-Σ投资于金融工具产生的负债×剩余存续期限+债券正回购×剩余存续期限）/（投资于金融工具产生的资产-投资于金融工具产生的负债+债券正回购）</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（3）各类资产和负债剩余期限和剩余存续期限的确定</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1）银行活期存款、清算备付金、交易保证金的剩余期限和剩余存续期限为0天；证券清算款的剩余期限和剩余存续期限以计算日至交收日的剩余交易日天数计算；</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4）中央银行票据的剩余期限和剩余存续期限以计算日至中央银行票据到期日的实际剩余天数计算；</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5）组合中债券的剩余期限和剩余存续期限是指计算日至债券到期日为止所剩余的天数，以下情况除外：</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A、允许投资的可变利率或浮动利率债券的剩余期限以计算日至下一个利率调整日的实际剩余天数计算。</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B、允许投资的可变利率或浮动利率债券的剩余存续期限以计算日至债券到期日的实际剩余天数计算。</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平均剩余期限的计算结果保留至整数位，小数点后四舍五入。如法律法规或中国证监会对剩余期限计算方法另有规定的从其规定。</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5、禁止行为</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为维护基金份额持有人的合法权益，基金财产不得用于下列投资或者活动：</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（1）承销证券；</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（2）违反规定向他人贷款或者提供担保；</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（3）从事承担无限责任的投资；</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（4）向其基金管理人、基金托管人出资；</w:t>
      </w:r>
    </w:p>
    <w:p w:rsidR="00683152" w:rsidRPr="00634578" w:rsidP="00683152">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（5）从事内幕交易、操纵证券交易价格及其他不正当的证券交易活动；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kern w:val="0"/>
          <w:szCs w:val="21"/>
        </w:rPr>
        <w:t>（6）法律、行政法规和中国证监会规定禁止的其他活动。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六、基金资产净值的计算方法和公告方式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（一）基金资产总值</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基金资产总值是指购买的各类证券及票据价值、银行存款本息和基金应收的申购基金款以及其他投资所形成的价值总和。</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（二）基金资产净值</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基金资产净值是指基金资产总值减去基金负债后的价值。</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（三）基金资产净值、每万份基金已实现收益和</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日年化收益率公告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、本基金的基金合同生效后，在开始办理基金份额申购或者赎回前，基金管理人将至少每周公告一次基金资产净值、每万份基金已实现收益和</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日年化收益率；</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bCs/>
          <w:color w:val="000000" w:themeColor="text1"/>
          <w:szCs w:val="21"/>
        </w:rPr>
        <w:t>每万份基金已实现收益和</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日年化收益率的计算方法见招募说明书。</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lang w:val="zh-CN"/>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hint="eastAsia"/>
          <w:bCs/>
          <w:color w:val="000000" w:themeColor="text1"/>
          <w:szCs w:val="21"/>
          <w:lang w:val="zh-CN"/>
        </w:rPr>
        <w:t>在开始办理基金份额申购或者赎回后，基金管理人将在每个开放日的次日，通过网站、基金份额销售网点以及其他媒介，披露开放日的每万份基金已实现收益和</w:t>
      </w:r>
      <w:r w:rsidRPr="00634578">
        <w:rPr>
          <w:rFonts w:asciiTheme="minorEastAsia" w:eastAsiaTheme="minorEastAsia" w:hAnsiTheme="minorEastAsia"/>
          <w:bCs/>
          <w:color w:val="000000" w:themeColor="text1"/>
          <w:szCs w:val="21"/>
          <w:lang w:val="zh-CN"/>
        </w:rPr>
        <w:t>7</w:t>
      </w:r>
      <w:r w:rsidRPr="00634578">
        <w:rPr>
          <w:rFonts w:asciiTheme="minorEastAsia" w:eastAsiaTheme="minorEastAsia" w:hAnsiTheme="minorEastAsia" w:hint="eastAsia"/>
          <w:bCs/>
          <w:color w:val="000000" w:themeColor="text1"/>
          <w:szCs w:val="21"/>
          <w:lang w:val="zh-CN"/>
        </w:rPr>
        <w:t>日年化收益率。</w:t>
      </w:r>
      <w:r w:rsidRPr="00634578">
        <w:rPr>
          <w:rFonts w:asciiTheme="minorEastAsia" w:eastAsiaTheme="minorEastAsia" w:hAnsiTheme="minorEastAsia" w:hint="eastAsia"/>
          <w:bCs/>
          <w:color w:val="000000" w:themeColor="text1"/>
          <w:szCs w:val="21"/>
        </w:rPr>
        <w:t>若遇法定节假日，于节假日结束后第</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个自然日，公告节假日期间的基金份额每万份基金已实现收益、节假日最后一日的</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日年化收益率，以及节假日后首个开放日的基金份额每万份基金已实现收益和</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日年化收益率。</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hint="eastAsia"/>
          <w:bCs/>
          <w:color w:val="000000" w:themeColor="text1"/>
          <w:szCs w:val="21"/>
          <w:lang w:val="zh-CN"/>
        </w:rPr>
        <w:t>基金管理人将公告半年度和年度最后一个市场交易日（或自然日）基金资产净值、每万份基金已实现收益和</w:t>
      </w:r>
      <w:r w:rsidRPr="00634578">
        <w:rPr>
          <w:rFonts w:asciiTheme="minorEastAsia" w:eastAsiaTheme="minorEastAsia" w:hAnsiTheme="minorEastAsia"/>
          <w:bCs/>
          <w:color w:val="000000" w:themeColor="text1"/>
          <w:szCs w:val="21"/>
          <w:lang w:val="zh-CN"/>
        </w:rPr>
        <w:t>7</w:t>
      </w:r>
      <w:r w:rsidRPr="00634578">
        <w:rPr>
          <w:rFonts w:asciiTheme="minorEastAsia" w:eastAsiaTheme="minorEastAsia" w:hAnsiTheme="minorEastAsia" w:hint="eastAsia"/>
          <w:bCs/>
          <w:color w:val="000000" w:themeColor="text1"/>
          <w:szCs w:val="21"/>
          <w:lang w:val="zh-CN"/>
        </w:rPr>
        <w:t>日年化收益率。基金管理人应当在上述市场交易日（或自然日）的次日，将基金资产净值、每万份基金已实现收益和</w:t>
      </w:r>
      <w:r w:rsidRPr="00634578">
        <w:rPr>
          <w:rFonts w:asciiTheme="minorEastAsia" w:eastAsiaTheme="minorEastAsia" w:hAnsiTheme="minorEastAsia"/>
          <w:bCs/>
          <w:color w:val="000000" w:themeColor="text1"/>
          <w:szCs w:val="21"/>
          <w:lang w:val="zh-CN"/>
        </w:rPr>
        <w:t>7</w:t>
      </w:r>
      <w:r w:rsidRPr="00634578">
        <w:rPr>
          <w:rFonts w:asciiTheme="minorEastAsia" w:eastAsiaTheme="minorEastAsia" w:hAnsiTheme="minorEastAsia" w:hint="eastAsia"/>
          <w:bCs/>
          <w:color w:val="000000" w:themeColor="text1"/>
          <w:szCs w:val="21"/>
          <w:lang w:val="zh-CN"/>
        </w:rPr>
        <w:t>日年化收益率登载在</w:t>
      </w:r>
      <w:r w:rsidRPr="00634578">
        <w:rPr>
          <w:rFonts w:asciiTheme="minorEastAsia" w:eastAsiaTheme="minorEastAsia" w:hAnsiTheme="minorEastAsia" w:hint="eastAsia"/>
          <w:bCs/>
          <w:color w:val="000000" w:themeColor="text1"/>
          <w:szCs w:val="21"/>
        </w:rPr>
        <w:t>指定媒介</w:t>
      </w:r>
      <w:r w:rsidRPr="00634578">
        <w:rPr>
          <w:rFonts w:asciiTheme="minorEastAsia" w:eastAsiaTheme="minorEastAsia" w:hAnsiTheme="minorEastAsia" w:hint="eastAsia"/>
          <w:bCs/>
          <w:color w:val="000000" w:themeColor="text1"/>
          <w:szCs w:val="21"/>
          <w:lang w:val="zh-CN"/>
        </w:rPr>
        <w:t>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七、基金合同解除和终止的事由、程序以及基金财产清算方式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（一）《基金合同》的变更</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、关于《基金合同》变更的基金份额持有人大会决议自表决通过之日起生效，自决议生效之日起</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日内在指定媒介公告。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（二）《基金合同》的终止事由</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有下列情形之一的，《基金合同》应当终止：</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、基金份额持有人大会决定终止的；</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、基金管理人、基金托管人职责终止，在</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个月内没有新基金管理人、新基金托管人承接的；</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、《基金合同》约定的其他情形；</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、相关法律法规和中国证监会规定的其他情况。</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（三）基金财产的清算</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、基金财产清算小组：自出现《基金合同》终止事由之日起</w:t>
      </w:r>
      <w:r w:rsidRPr="00634578">
        <w:rPr>
          <w:rFonts w:asciiTheme="minorEastAsia" w:eastAsiaTheme="minorEastAsia" w:hAnsiTheme="minorEastAsia"/>
          <w:bCs/>
          <w:color w:val="000000" w:themeColor="text1"/>
          <w:szCs w:val="21"/>
        </w:rPr>
        <w:t>30</w:t>
      </w:r>
      <w:r w:rsidRPr="00634578">
        <w:rPr>
          <w:rFonts w:asciiTheme="minorEastAsia" w:eastAsiaTheme="minorEastAsia" w:hAnsiTheme="minorEastAsia" w:hint="eastAsia"/>
          <w:bCs/>
          <w:color w:val="000000" w:themeColor="text1"/>
          <w:szCs w:val="21"/>
        </w:rPr>
        <w:t>个工作日内成立清算小组，基金管理人组织基金财产清算小组并在中国证监会的监督下进行基金清算。</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、基金财产清算小组职责：基金财产清算小组负责基金财产的保管、清理、估价、变现和分配。基金财产清算小组可以依法进行必要的民事活动。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、基金财产清算程序：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）《基金合同》终止情形出现时，由基金财产清算小组统一接管基金；</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）对基金财产和债权债务进行清理和确认；</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）对基金财产进行估值和变现；</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）制作清算报告；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）聘请会计师事务所对清算报告进行外部审计，聘请律师事务所对清算报告出具法律意见书；</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）将清算报告报中国证监会备案并公告；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w:t>
      </w:r>
      <w:r w:rsidRPr="00634578">
        <w:rPr>
          <w:rFonts w:asciiTheme="minorEastAsia" w:eastAsiaTheme="minorEastAsia" w:hAnsiTheme="minorEastAsia"/>
          <w:bCs/>
          <w:color w:val="000000" w:themeColor="text1"/>
          <w:szCs w:val="21"/>
        </w:rPr>
        <w:t>7</w:t>
      </w:r>
      <w:r w:rsidRPr="00634578">
        <w:rPr>
          <w:rFonts w:asciiTheme="minorEastAsia" w:eastAsiaTheme="minorEastAsia" w:hAnsiTheme="minorEastAsia" w:hint="eastAsia"/>
          <w:bCs/>
          <w:color w:val="000000" w:themeColor="text1"/>
          <w:szCs w:val="21"/>
        </w:rPr>
        <w:t>）对基金财产进行分配。</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、基金财产清算的期限为</w:t>
      </w:r>
      <w:r w:rsidRPr="00634578">
        <w:rPr>
          <w:rFonts w:asciiTheme="minorEastAsia" w:eastAsiaTheme="minorEastAsia" w:hAnsiTheme="minorEastAsia"/>
          <w:bCs/>
          <w:color w:val="000000" w:themeColor="text1"/>
          <w:szCs w:val="21"/>
        </w:rPr>
        <w:t>6</w:t>
      </w:r>
      <w:r w:rsidRPr="00634578">
        <w:rPr>
          <w:rFonts w:asciiTheme="minorEastAsia" w:eastAsiaTheme="minorEastAsia" w:hAnsiTheme="minorEastAsia" w:hint="eastAsia"/>
          <w:bCs/>
          <w:color w:val="000000" w:themeColor="text1"/>
          <w:szCs w:val="21"/>
        </w:rPr>
        <w:t>个月。</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（四）清算费用</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清算费用是指基金财产清算小组在进行基金清算过程中发生的所有合理费用，清算费用由基金财产清算小组优先从基金财产中支付。</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（五）基金财产清算剩余资产的分配</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（六）基金财产清算的公告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个工作日内由基金财产清算小组进行公告。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（七）基金财产清算账册及文件的保存</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基金财产清算账册及有关文件由基金托管人保存</w:t>
      </w:r>
      <w:r w:rsidRPr="00634578">
        <w:rPr>
          <w:rFonts w:asciiTheme="minorEastAsia" w:eastAsiaTheme="minorEastAsia" w:hAnsiTheme="minorEastAsia"/>
          <w:bCs/>
          <w:color w:val="000000" w:themeColor="text1"/>
          <w:szCs w:val="21"/>
        </w:rPr>
        <w:t>15</w:t>
      </w:r>
      <w:r w:rsidRPr="00634578">
        <w:rPr>
          <w:rFonts w:asciiTheme="minorEastAsia" w:eastAsiaTheme="minorEastAsia" w:hAnsiTheme="minorEastAsia" w:hint="eastAsia"/>
          <w:bCs/>
          <w:color w:val="000000" w:themeColor="text1"/>
          <w:szCs w:val="21"/>
        </w:rPr>
        <w:t>年以上。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八、争议解决方式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争议处理期间，基金合同当事人应恪守各自的职责，继续忠实、勤勉、尽责地履行基金合同规定的义务，维护基金份额持有人的合法权益。</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《基金合同》受中国法律管辖。</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九、基金合同存放地和投资者取得基金合同的方式</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hint="eastAsia"/>
          <w:bCs/>
          <w:color w:val="000000" w:themeColor="text1"/>
          <w:szCs w:val="21"/>
        </w:rPr>
        <w:t>《基金合同》是约定基金当事人之间、基金与基金当事人之间权利义务关系的法律文件。</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1</w:t>
      </w:r>
      <w:r w:rsidRPr="00634578">
        <w:rPr>
          <w:rFonts w:asciiTheme="minorEastAsia" w:eastAsiaTheme="minorEastAsia" w:hAnsiTheme="minorEastAsia" w:hint="eastAsia"/>
          <w:bCs/>
          <w:color w:val="000000" w:themeColor="text1"/>
          <w:szCs w:val="21"/>
        </w:rPr>
        <w:t>、《基金合同》经基金管理人、基金托管人双方盖章以及双方法定代表人或授权代表签字或盖章并在募集结束后经基金管理人向中国证监会办理基金备案手续，并经中国证监会书面确认后生效。</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2</w:t>
      </w:r>
      <w:r w:rsidRPr="00634578">
        <w:rPr>
          <w:rFonts w:asciiTheme="minorEastAsia" w:eastAsiaTheme="minorEastAsia" w:hAnsiTheme="minorEastAsia" w:hint="eastAsia"/>
          <w:bCs/>
          <w:color w:val="000000" w:themeColor="text1"/>
          <w:szCs w:val="21"/>
        </w:rPr>
        <w:t>、《基金合同》的有效期自其生效之日起至基金财产清算结果报中国证监会备案并公告之日止。</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3</w:t>
      </w:r>
      <w:r w:rsidRPr="00634578">
        <w:rPr>
          <w:rFonts w:asciiTheme="minorEastAsia" w:eastAsiaTheme="minorEastAsia" w:hAnsiTheme="minorEastAsia" w:hint="eastAsia"/>
          <w:bCs/>
          <w:color w:val="000000" w:themeColor="text1"/>
          <w:szCs w:val="21"/>
        </w:rPr>
        <w:t>、《基金合同》自生效之日起对包括基金管理人、基金托管人和基金份额持有人在内的《基金合同》各方当事人具有同等的法律约束力。</w:t>
      </w:r>
    </w:p>
    <w:p w:rsidR="00DB3659" w:rsidRPr="00634578" w:rsidP="00BB159E">
      <w:pPr>
        <w:snapToGrid w:val="0"/>
        <w:spacing w:line="360" w:lineRule="auto"/>
        <w:ind w:firstLine="420" w:firstLineChars="200"/>
        <w:rPr>
          <w:rFonts w:asciiTheme="minorEastAsia" w:eastAsiaTheme="minorEastAsia" w:hAnsiTheme="minorEastAsia"/>
          <w:bCs/>
          <w:color w:val="000000" w:themeColor="text1"/>
          <w:szCs w:val="21"/>
        </w:rPr>
      </w:pPr>
      <w:r w:rsidRPr="00634578">
        <w:rPr>
          <w:rFonts w:asciiTheme="minorEastAsia" w:eastAsiaTheme="minorEastAsia" w:hAnsiTheme="minorEastAsia"/>
          <w:bCs/>
          <w:color w:val="000000" w:themeColor="text1"/>
          <w:szCs w:val="21"/>
        </w:rPr>
        <w:t>4</w:t>
      </w:r>
      <w:r w:rsidRPr="00634578">
        <w:rPr>
          <w:rFonts w:asciiTheme="minorEastAsia" w:eastAsiaTheme="minorEastAsia" w:hAnsiTheme="minorEastAsia" w:hint="eastAsia"/>
          <w:bCs/>
          <w:color w:val="000000" w:themeColor="text1"/>
          <w:szCs w:val="21"/>
        </w:rPr>
        <w:t>、《基金合同》正本一式六份，除上报有关监管机构一式二份外，基金管理人、基金托管人各持有二份，每份具有同等的法律效力。</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bCs/>
          <w:color w:val="000000" w:themeColor="text1"/>
          <w:szCs w:val="21"/>
        </w:rPr>
        <w:t>5</w:t>
      </w:r>
      <w:r w:rsidRPr="00634578">
        <w:rPr>
          <w:rFonts w:asciiTheme="minorEastAsia" w:eastAsiaTheme="minorEastAsia" w:hAnsiTheme="minorEastAsia" w:hint="eastAsia"/>
          <w:bCs/>
          <w:color w:val="000000" w:themeColor="text1"/>
          <w:szCs w:val="21"/>
        </w:rPr>
        <w:t>、《基金合同》可印制成册，供投资者在基金管理人、基金托管人、销售机构的办公场所和营业场所查阅。</w:t>
      </w:r>
    </w:p>
    <w:p w:rsidR="00DB3659" w:rsidRPr="00634578" w:rsidP="00BB159E">
      <w:pPr>
        <w:snapToGrid w:val="0"/>
        <w:spacing w:line="360" w:lineRule="auto"/>
        <w:ind w:firstLine="420"/>
        <w:rPr>
          <w:rFonts w:asciiTheme="minorEastAsia" w:eastAsiaTheme="minorEastAsia" w:hAnsiTheme="minorEastAsia"/>
          <w:color w:val="000000" w:themeColor="text1"/>
        </w:rPr>
      </w:pPr>
    </w:p>
    <w:p w:rsidR="00DB3659" w:rsidRPr="00634578" w:rsidP="00BB159E">
      <w:pPr>
        <w:pStyle w:val="Heading1"/>
        <w:snapToGrid w:val="0"/>
        <w:spacing w:beforeLines="0" w:afterLines="0" w:line="360" w:lineRule="auto"/>
        <w:ind w:firstLine="600"/>
        <w:rPr>
          <w:rFonts w:asciiTheme="minorEastAsia" w:eastAsiaTheme="minorEastAsia" w:hAnsiTheme="minorEastAsia"/>
          <w:bCs/>
          <w:color w:val="000000" w:themeColor="text1"/>
          <w:szCs w:val="20"/>
        </w:rPr>
      </w:pPr>
      <w:r w:rsidRPr="00634578">
        <w:rPr>
          <w:rFonts w:asciiTheme="minorEastAsia" w:eastAsiaTheme="minorEastAsia" w:hAnsiTheme="minorEastAsia"/>
          <w:color w:val="000000" w:themeColor="text1"/>
          <w:sz w:val="30"/>
        </w:rPr>
        <w:br w:type="page"/>
      </w:r>
      <w:bookmarkStart w:id="103" w:name="_Toc91772055"/>
      <w:r w:rsidRPr="00634578" w:rsidR="0080127D">
        <w:rPr>
          <w:rFonts w:asciiTheme="minorEastAsia" w:eastAsiaTheme="minorEastAsia" w:hAnsiTheme="minorEastAsia" w:hint="eastAsia"/>
          <w:color w:val="000000" w:themeColor="text1"/>
          <w:sz w:val="30"/>
        </w:rPr>
        <w:t>二十三</w:t>
      </w:r>
      <w:r w:rsidRPr="00634578">
        <w:rPr>
          <w:rFonts w:asciiTheme="minorEastAsia" w:eastAsiaTheme="minorEastAsia" w:hAnsiTheme="minorEastAsia" w:hint="eastAsia"/>
          <w:color w:val="000000" w:themeColor="text1"/>
          <w:sz w:val="30"/>
        </w:rPr>
        <w:t>、基金托管协议的内容摘要</w:t>
      </w:r>
      <w:bookmarkEnd w:id="103"/>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一、托管协议当事人</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（一）基金管理人</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名称：易方达基金管理有限公司</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注册地址：</w:t>
      </w:r>
      <w:r w:rsidRPr="00634578" w:rsidR="00554170">
        <w:rPr>
          <w:rFonts w:asciiTheme="minorEastAsia" w:eastAsiaTheme="minorEastAsia" w:hAnsiTheme="minorEastAsia" w:hint="eastAsia"/>
          <w:color w:val="000000" w:themeColor="text1"/>
          <w:szCs w:val="21"/>
        </w:rPr>
        <w:t>广东省珠海市横琴新区宝华路6号105室-42891（集中办公区）</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办公地址：广州市</w:t>
      </w:r>
      <w:r w:rsidRPr="00634578" w:rsidR="004360C8">
        <w:rPr>
          <w:rFonts w:asciiTheme="minorEastAsia" w:eastAsiaTheme="minorEastAsia" w:hAnsiTheme="minorEastAsia" w:hint="eastAsia"/>
          <w:color w:val="000000" w:themeColor="text1"/>
          <w:szCs w:val="21"/>
        </w:rPr>
        <w:t>天河区</w:t>
      </w:r>
      <w:r w:rsidRPr="00634578">
        <w:rPr>
          <w:rFonts w:asciiTheme="minorEastAsia" w:eastAsiaTheme="minorEastAsia" w:hAnsiTheme="minorEastAsia" w:hint="eastAsia"/>
          <w:color w:val="000000" w:themeColor="text1"/>
          <w:szCs w:val="21"/>
        </w:rPr>
        <w:t>珠江新城珠江东路</w:t>
      </w:r>
      <w:r w:rsidRPr="00634578">
        <w:rPr>
          <w:rFonts w:asciiTheme="minorEastAsia" w:eastAsiaTheme="minorEastAsia" w:hAnsiTheme="minorEastAsia"/>
          <w:color w:val="000000" w:themeColor="text1"/>
          <w:szCs w:val="21"/>
        </w:rPr>
        <w:t>30</w:t>
      </w:r>
      <w:r w:rsidRPr="00634578">
        <w:rPr>
          <w:rFonts w:asciiTheme="minorEastAsia" w:eastAsiaTheme="minorEastAsia" w:hAnsiTheme="minorEastAsia" w:hint="eastAsia"/>
          <w:color w:val="000000" w:themeColor="text1"/>
          <w:szCs w:val="21"/>
        </w:rPr>
        <w:t>号广州银行大厦</w:t>
      </w:r>
      <w:r w:rsidRPr="00634578">
        <w:rPr>
          <w:rFonts w:asciiTheme="minorEastAsia" w:eastAsiaTheme="minorEastAsia" w:hAnsiTheme="minorEastAsia"/>
          <w:color w:val="000000" w:themeColor="text1"/>
          <w:szCs w:val="21"/>
        </w:rPr>
        <w:t>40-43</w:t>
      </w:r>
      <w:r w:rsidRPr="00634578">
        <w:rPr>
          <w:rFonts w:asciiTheme="minorEastAsia" w:eastAsiaTheme="minorEastAsia" w:hAnsiTheme="minorEastAsia" w:hint="eastAsia"/>
          <w:color w:val="000000" w:themeColor="text1"/>
          <w:szCs w:val="21"/>
        </w:rPr>
        <w:t>楼</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邮政编码：</w:t>
      </w:r>
      <w:r w:rsidRPr="00634578">
        <w:rPr>
          <w:rFonts w:asciiTheme="minorEastAsia" w:eastAsiaTheme="minorEastAsia" w:hAnsiTheme="minorEastAsia"/>
          <w:color w:val="000000" w:themeColor="text1"/>
          <w:szCs w:val="21"/>
        </w:rPr>
        <w:t>510620</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法定代表人：</w:t>
      </w:r>
      <w:r w:rsidRPr="00634578" w:rsidR="00F808FD">
        <w:rPr>
          <w:rFonts w:asciiTheme="minorEastAsia" w:eastAsiaTheme="minorEastAsia" w:hAnsiTheme="minorEastAsia" w:hint="eastAsia"/>
          <w:color w:val="000000" w:themeColor="text1"/>
          <w:szCs w:val="21"/>
        </w:rPr>
        <w:t>刘晓艳</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成立日期：</w:t>
      </w:r>
      <w:r w:rsidRPr="00634578">
        <w:rPr>
          <w:rFonts w:asciiTheme="minorEastAsia" w:eastAsiaTheme="minorEastAsia" w:hAnsiTheme="minorEastAsia"/>
          <w:color w:val="000000" w:themeColor="text1"/>
          <w:szCs w:val="21"/>
        </w:rPr>
        <w:t>2001</w:t>
      </w:r>
      <w:r w:rsidRPr="00634578">
        <w:rPr>
          <w:rFonts w:asciiTheme="minorEastAsia" w:eastAsiaTheme="minorEastAsia" w:hAnsiTheme="minorEastAsia" w:hint="eastAsia"/>
          <w:color w:val="000000" w:themeColor="text1"/>
          <w:szCs w:val="21"/>
        </w:rPr>
        <w:t>年</w:t>
      </w: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月</w:t>
      </w:r>
      <w:r w:rsidRPr="00634578">
        <w:rPr>
          <w:rFonts w:asciiTheme="minorEastAsia" w:eastAsiaTheme="minorEastAsia" w:hAnsiTheme="minorEastAsia"/>
          <w:color w:val="000000" w:themeColor="text1"/>
          <w:szCs w:val="21"/>
        </w:rPr>
        <w:t>17</w:t>
      </w:r>
      <w:r w:rsidRPr="00634578">
        <w:rPr>
          <w:rFonts w:asciiTheme="minorEastAsia" w:eastAsiaTheme="minorEastAsia" w:hAnsiTheme="minorEastAsia" w:hint="eastAsia"/>
          <w:color w:val="000000" w:themeColor="text1"/>
          <w:szCs w:val="21"/>
        </w:rPr>
        <w:t>日</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批准设立机关及批准设立文号：</w:t>
      </w:r>
      <w:r w:rsidRPr="00634578" w:rsidR="00CA1A9C">
        <w:rPr>
          <w:rFonts w:asciiTheme="minorEastAsia" w:eastAsiaTheme="minorEastAsia" w:hAnsiTheme="minorEastAsia" w:hint="eastAsia"/>
          <w:color w:val="000000" w:themeColor="text1"/>
          <w:szCs w:val="21"/>
        </w:rPr>
        <w:t>中国证券监督管理委员会，</w:t>
      </w:r>
      <w:r w:rsidRPr="00634578">
        <w:rPr>
          <w:rFonts w:asciiTheme="minorEastAsia" w:eastAsiaTheme="minorEastAsia" w:hAnsiTheme="minorEastAsia" w:hint="eastAsia"/>
          <w:color w:val="000000" w:themeColor="text1"/>
          <w:szCs w:val="21"/>
        </w:rPr>
        <w:t>证监基</w:t>
      </w:r>
      <w:r w:rsidRPr="00634578" w:rsidR="00675CC2">
        <w:rPr>
          <w:rFonts w:asciiTheme="minorEastAsia" w:eastAsiaTheme="minorEastAsia" w:hAnsiTheme="minorEastAsia" w:hint="eastAsia"/>
          <w:color w:val="000000" w:themeColor="text1"/>
          <w:szCs w:val="21"/>
        </w:rPr>
        <w:t>金</w:t>
      </w:r>
      <w:r w:rsidRPr="00634578">
        <w:rPr>
          <w:rFonts w:asciiTheme="minorEastAsia" w:eastAsiaTheme="minorEastAsia" w:hAnsiTheme="minorEastAsia" w:hint="eastAsia"/>
          <w:color w:val="000000" w:themeColor="text1"/>
          <w:szCs w:val="21"/>
        </w:rPr>
        <w:t>字［</w:t>
      </w:r>
      <w:r w:rsidRPr="00634578">
        <w:rPr>
          <w:rFonts w:asciiTheme="minorEastAsia" w:eastAsiaTheme="minorEastAsia" w:hAnsiTheme="minorEastAsia"/>
          <w:color w:val="000000" w:themeColor="text1"/>
          <w:szCs w:val="21"/>
        </w:rPr>
        <w:t>2001</w:t>
      </w: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号</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组织形式：有限责任公司</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注册资本：</w:t>
      </w:r>
      <w:r w:rsidRPr="00634578" w:rsidR="00B84F47">
        <w:rPr>
          <w:rFonts w:asciiTheme="minorEastAsia" w:eastAsiaTheme="minorEastAsia" w:hAnsiTheme="minorEastAsia"/>
          <w:color w:val="000000" w:themeColor="text1"/>
          <w:szCs w:val="21"/>
        </w:rPr>
        <w:t>13,244.2万元人民币</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存续期间：持续经营</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经营范围：</w:t>
      </w:r>
      <w:r w:rsidRPr="00634578" w:rsidR="00554170">
        <w:rPr>
          <w:rFonts w:asciiTheme="minorEastAsia" w:eastAsiaTheme="minorEastAsia" w:hAnsiTheme="minorEastAsia" w:hint="eastAsia"/>
          <w:color w:val="000000" w:themeColor="text1"/>
          <w:szCs w:val="21"/>
        </w:rPr>
        <w:t>公开募集证券投资基金管理、基金销售、特定客户资产管理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（二）基金托管人</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名称：华夏银行股份有限公司（简称：华夏银行）</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住所、办公地址：北京市东城区建国门内大街</w:t>
      </w:r>
      <w:r w:rsidRPr="00634578">
        <w:rPr>
          <w:rFonts w:asciiTheme="minorEastAsia" w:eastAsiaTheme="minorEastAsia" w:hAnsiTheme="minorEastAsia"/>
          <w:color w:val="000000" w:themeColor="text1"/>
          <w:szCs w:val="21"/>
        </w:rPr>
        <w:t>22</w:t>
      </w:r>
      <w:r w:rsidRPr="00634578">
        <w:rPr>
          <w:rFonts w:asciiTheme="minorEastAsia" w:eastAsiaTheme="minorEastAsia" w:hAnsiTheme="minorEastAsia" w:hint="eastAsia"/>
          <w:color w:val="000000" w:themeColor="text1"/>
          <w:szCs w:val="21"/>
        </w:rPr>
        <w:t>号</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邮政编码：</w:t>
      </w:r>
      <w:r w:rsidRPr="00634578">
        <w:rPr>
          <w:rFonts w:asciiTheme="minorEastAsia" w:eastAsiaTheme="minorEastAsia" w:hAnsiTheme="minorEastAsia"/>
          <w:color w:val="000000" w:themeColor="text1"/>
          <w:szCs w:val="21"/>
        </w:rPr>
        <w:t>100005</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法定代表人：</w:t>
      </w:r>
      <w:r w:rsidRPr="00634578" w:rsidR="00025DD5">
        <w:rPr>
          <w:rFonts w:asciiTheme="minorEastAsia" w:eastAsiaTheme="minorEastAsia" w:hAnsiTheme="minorEastAsia" w:hint="eastAsia"/>
          <w:color w:val="000000" w:themeColor="text1"/>
          <w:szCs w:val="21"/>
        </w:rPr>
        <w:t>李民吉</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成立日期：</w:t>
      </w:r>
      <w:r w:rsidRPr="00634578">
        <w:rPr>
          <w:rFonts w:asciiTheme="minorEastAsia" w:eastAsiaTheme="minorEastAsia" w:hAnsiTheme="minorEastAsia"/>
          <w:color w:val="000000" w:themeColor="text1"/>
          <w:szCs w:val="21"/>
        </w:rPr>
        <w:t>1992</w:t>
      </w:r>
      <w:r w:rsidRPr="00634578">
        <w:rPr>
          <w:rFonts w:asciiTheme="minorEastAsia" w:eastAsiaTheme="minorEastAsia" w:hAnsiTheme="minorEastAsia" w:hint="eastAsia"/>
          <w:color w:val="000000" w:themeColor="text1"/>
          <w:szCs w:val="21"/>
        </w:rPr>
        <w:t>年</w:t>
      </w:r>
      <w:r w:rsidRPr="00634578">
        <w:rPr>
          <w:rFonts w:asciiTheme="minorEastAsia" w:eastAsiaTheme="minorEastAsia" w:hAnsiTheme="minorEastAsia"/>
          <w:color w:val="000000" w:themeColor="text1"/>
          <w:szCs w:val="21"/>
        </w:rPr>
        <w:t>10</w:t>
      </w:r>
      <w:r w:rsidRPr="00634578">
        <w:rPr>
          <w:rFonts w:asciiTheme="minorEastAsia" w:eastAsiaTheme="minorEastAsia" w:hAnsiTheme="minorEastAsia" w:hint="eastAsia"/>
          <w:color w:val="000000" w:themeColor="text1"/>
          <w:szCs w:val="21"/>
        </w:rPr>
        <w:t>月</w:t>
      </w:r>
      <w:r w:rsidRPr="00634578">
        <w:rPr>
          <w:rFonts w:asciiTheme="minorEastAsia" w:eastAsiaTheme="minorEastAsia" w:hAnsiTheme="minorEastAsia"/>
          <w:color w:val="000000" w:themeColor="text1"/>
          <w:szCs w:val="21"/>
        </w:rPr>
        <w:t>14</w:t>
      </w:r>
      <w:r w:rsidRPr="00634578">
        <w:rPr>
          <w:rFonts w:asciiTheme="minorEastAsia" w:eastAsiaTheme="minorEastAsia" w:hAnsiTheme="minorEastAsia" w:hint="eastAsia"/>
          <w:color w:val="000000" w:themeColor="text1"/>
          <w:szCs w:val="21"/>
        </w:rPr>
        <w:t>日</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批准设立机关和批准设立文号：中国人民银行</w:t>
      </w:r>
      <w:r w:rsidRPr="00634578">
        <w:rPr>
          <w:rFonts w:asciiTheme="minorEastAsia" w:eastAsiaTheme="minorEastAsia" w:hAnsiTheme="minorEastAsia"/>
          <w:color w:val="000000" w:themeColor="text1"/>
          <w:szCs w:val="21"/>
        </w:rPr>
        <w:t>[</w:t>
      </w:r>
      <w:r w:rsidRPr="00634578">
        <w:rPr>
          <w:rFonts w:asciiTheme="minorEastAsia" w:eastAsiaTheme="minorEastAsia" w:hAnsiTheme="minorEastAsia" w:hint="eastAsia"/>
          <w:color w:val="000000" w:themeColor="text1"/>
          <w:szCs w:val="21"/>
        </w:rPr>
        <w:t>银复（</w:t>
      </w:r>
      <w:r w:rsidRPr="00634578">
        <w:rPr>
          <w:rFonts w:asciiTheme="minorEastAsia" w:eastAsiaTheme="minorEastAsia" w:hAnsiTheme="minorEastAsia"/>
          <w:color w:val="000000" w:themeColor="text1"/>
          <w:szCs w:val="21"/>
        </w:rPr>
        <w:t>1992</w:t>
      </w: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391</w:t>
      </w:r>
      <w:r w:rsidRPr="00634578">
        <w:rPr>
          <w:rFonts w:asciiTheme="minorEastAsia" w:eastAsiaTheme="minorEastAsia" w:hAnsiTheme="minorEastAsia" w:hint="eastAsia"/>
          <w:color w:val="000000" w:themeColor="text1"/>
          <w:szCs w:val="21"/>
        </w:rPr>
        <w:t>号</w:t>
      </w:r>
      <w:r w:rsidRPr="00634578">
        <w:rPr>
          <w:rFonts w:asciiTheme="minorEastAsia" w:eastAsiaTheme="minorEastAsia" w:hAnsiTheme="minorEastAsia"/>
          <w:color w:val="000000" w:themeColor="text1"/>
          <w:szCs w:val="21"/>
        </w:rPr>
        <w:t>]</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基金托管业务批准文号：中国证监会证监基字</w:t>
      </w:r>
      <w:r w:rsidRPr="00634578">
        <w:rPr>
          <w:rFonts w:asciiTheme="minorEastAsia" w:eastAsiaTheme="minorEastAsia" w:hAnsiTheme="minorEastAsia"/>
          <w:color w:val="000000" w:themeColor="text1"/>
          <w:szCs w:val="21"/>
        </w:rPr>
        <w:t>[2005]25</w:t>
      </w:r>
      <w:r w:rsidRPr="00634578">
        <w:rPr>
          <w:rFonts w:asciiTheme="minorEastAsia" w:eastAsiaTheme="minorEastAsia" w:hAnsiTheme="minorEastAsia" w:hint="eastAsia"/>
          <w:color w:val="000000" w:themeColor="text1"/>
          <w:szCs w:val="21"/>
        </w:rPr>
        <w:t>号</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组织形式：股份有限公司</w:t>
      </w:r>
    </w:p>
    <w:p w:rsidR="00CA2EAE"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注册资本：15,387,223,983元人民币</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存续期间：持续经营</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保险兼业代理业务；经中国银行业监督管理委员会批准的其他业务。</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二、基金托管人对基金管理人的业务监督和核查</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w:t>
      </w:r>
      <w:r w:rsidRPr="00634578">
        <w:rPr>
          <w:rFonts w:asciiTheme="minorEastAsia" w:eastAsiaTheme="minorEastAsia" w:hAnsiTheme="minorEastAsia" w:hint="eastAsia"/>
          <w:color w:val="000000" w:themeColor="text1"/>
          <w:szCs w:val="21"/>
        </w:rPr>
        <w:t>际投资是否符合《基金合同》关于证券选择标准的约定进行监督，对存在疑义的事项进行核查。</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kern w:val="0"/>
          <w:szCs w:val="21"/>
        </w:rPr>
        <w:t>本基金的投资范围为具有良好流动性的金融工具，包括现金，期限在一年以内（含一年）的银行存款、债券回购、中央银行票据、同业存单，剩余期限在397天以内（含397天）的债券、非金融企业债务融资工具、资产支持证券，以及法律法规或中国证监会、中国人民银行认可的其他具有良好流动性的货币市场工具</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法律法规或监管机构以后对货币市场基金的投资范围与限制进行调整的，本基金可随之调整。</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（二）基金托管人根据有关法律法规的规定及《基金合同》的约定，对基金投资、融资比例进行监督。基金托管人按下述比例和调整期限进行监督：</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、本基金不得投资于以下金融工具：</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（1）股票；</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（2）可转换债券、可交换债券；</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（3）以定期存款利率为基准利率的浮动利率债券，已进入最后一个利率调整期的除外；</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（4）信用等级在AA+级以下的债券与非金融企业债务融资工具；</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（5）中国证监会、中国人民银行禁止投资的其他金融工具。</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法律法规或监管部门取消或变更上述限制后，本基金不受上述规定的限制并以最新规定为准。</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2、本基金的投资组合将遵循以下比例限制：</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（1）本基金投资组合的平均剩余期限不得超过120天，平均剩余存续期不得超过240天；</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（2）本基金持有同一机构发行的债券、非金融企业债务融资工具及其作为原始权益人的资产支持证券占基金资产净值的比例合计不得超过10%，国债、中央银行票据、政策性金融债券除外；</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（3）本基金持有一家公司发行的证券，其市值不得超过基金资产净值的10%；本基金与由基金管理人管理的其他全部基金持有一家公司发行的证券，不得超过该证券的10%；</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4）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（5）本基金应保持足够比例的流动性资产以应对潜在的赎回要求，其投资组合应当符合下列规定：</w:t>
      </w:r>
    </w:p>
    <w:p w:rsidR="00FD7D2F" w:rsidRPr="00634578" w:rsidP="00FD7D2F">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1）现金、国债、中央银行票据、政策性金融债券占基金资产净值的比例合计不得低于</w:t>
      </w:r>
      <w:r w:rsidRPr="00634578">
        <w:rPr>
          <w:rFonts w:asciiTheme="minorEastAsia" w:eastAsiaTheme="minorEastAsia" w:hAnsiTheme="minorEastAsia" w:hint="eastAsia"/>
          <w:color w:val="000000" w:themeColor="text1"/>
          <w:szCs w:val="21"/>
        </w:rPr>
        <w:t>5%，其中现金不包括结算备付金、存出保证金、应收申购款等；</w:t>
      </w:r>
    </w:p>
    <w:p w:rsidR="00FD7D2F" w:rsidRPr="00634578" w:rsidP="00FD7D2F">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2）现金、国债、中央银行票据、政策性金融债券以及五个交易日内到期的其他金融工具占基金资产净值的比例合计不得低于10%；</w:t>
      </w:r>
    </w:p>
    <w:p w:rsidR="00FD7D2F" w:rsidRPr="00634578" w:rsidP="00FD7D2F">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3）到期日在10个交易日以上的逆回购、银行定期存款等流动性受限资产投资占基金资产净值的比例合计不得超过30%；</w:t>
      </w:r>
    </w:p>
    <w:p w:rsidR="00FD7D2F" w:rsidRPr="00634578" w:rsidP="00FD7D2F">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4）除发生巨额赎回、连续3个交易日累计赎回20%以上或者连续5个交易日累计赎回30%以上的情形外，本基金债券正回购的资金余额占基金资产净值的比例不得超过20%；</w:t>
      </w:r>
    </w:p>
    <w:p w:rsidR="00FD7D2F" w:rsidRPr="00634578" w:rsidP="00FD7D2F">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（6）本基金基金总资产不得超过基金净资产的140%；</w:t>
      </w:r>
    </w:p>
    <w:p w:rsidR="00FD7D2F" w:rsidRPr="00634578" w:rsidP="00FD7D2F">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（7）本基金在全国银行间同业市场的债券回购最长期限为1年，债券回购到期后不得展期；</w:t>
      </w:r>
    </w:p>
    <w:p w:rsidR="00FD7D2F" w:rsidRPr="00634578" w:rsidP="00FD7D2F">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8）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FD7D2F" w:rsidRPr="00634578" w:rsidP="00FD7D2F">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9）本基金主动投资于流动性受限资产的市值合计不得超过基金资产净值的10%。因证券市场波动、证券停牌、基金规模变动等基金管理人之外的因素致使基金不符合前款所规定比例限制的，基金管理人不得主动新增流动性受限资产的投资。</w:t>
      </w:r>
    </w:p>
    <w:p w:rsidR="00FD7D2F" w:rsidRPr="00634578" w:rsidP="00FD7D2F">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10）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本基金拟投资于主体信用评级低于AA+的商业银行的银行存款与同业存单的，应当经基金管理人董事会审议批准，相关交易应当事先征得基金托管人的同意，并作为重大事项履行信息披露程序。</w:t>
      </w:r>
    </w:p>
    <w:p w:rsidR="00FD7D2F" w:rsidRPr="00634578" w:rsidP="00FD7D2F">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（11）本基金根据份额持有人集中度情况对本基金的投资组合实施调整，并遵守以下要求：</w:t>
      </w:r>
    </w:p>
    <w:p w:rsidR="00FD7D2F" w:rsidRPr="00634578" w:rsidP="00FD7D2F">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FD7D2F" w:rsidRPr="00634578" w:rsidP="00FD7D2F">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2）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FD7D2F" w:rsidRPr="00634578" w:rsidP="00FD7D2F">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（12）本基金与私募类证券资管产品及中国证监会认定的其他主体为交易对手开展逆回购交易的，可接受质押品的资质要求应当与基金合同约定的投资范围保持一致。</w:t>
      </w:r>
    </w:p>
    <w:p w:rsidR="00FD7D2F" w:rsidRPr="00634578" w:rsidP="00FD7D2F">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（13）中国证监会规定的其他比例限制。</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除第（1）、（5）之1）、（9）、（12）项外，因市场波动、基金规模变动等基金管理人之外的因素致使基金投资不符合上述规定投资比例的，基金管理人应当在10个交易日内进行调整，但中国证监会规定或上述条款另有约定的特殊情形除外。法律法规另有规定的，从其规定。</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3、本基金投资的资产支持证券须具有评级资质的资信评级机构进行持续信用评级，且其信用评级应不低于国内信用评级机构评定的AAA级或相当于AAA级的信用级别。</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本基金持有的资产支持证券信用等级下降、不再符合投资标准的，基金管理人应在评级报告发布之日起3个月内对其予以全部卖出。</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4、若法律法规或中国证监会的相关规定发生修改或变更，以修改或变更后的规定为准。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kern w:val="0"/>
          <w:szCs w:val="21"/>
        </w:rPr>
        <w:t>基金管理人应当自基金合同生效之日起6个月内使基金的投资组合比例符合基金合同的有关约定。期间，基金的投资范围、投资策略应当符合基金合同的约定。基金托管人对基金的投资的监督与检查自本基金合同生效之日起。</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（三）基金托管人根据有关法律法规的规定及《基金合同》的约定，对本托管协议第十五条第九款基金投资禁止行为进行监督。基金托管人通过事后监督方式对基金管理人基金投资禁止行为进行监督。</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个工作日内与基金托管人协商解决。</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w:t>
      </w:r>
      <w:r w:rsidRPr="00634578">
        <w:rPr>
          <w:rFonts w:asciiTheme="minorEastAsia" w:eastAsiaTheme="minorEastAsia" w:hAnsiTheme="minorEastAsia" w:hint="eastAsia"/>
          <w:color w:val="000000" w:themeColor="text1"/>
          <w:szCs w:val="21"/>
        </w:rPr>
        <w:t>时提醒基金管理人，基金托管人不承担由此造成的任何损失和责任。</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（五）基金托管人根据有关法律法规的规定及《基金合同》的约定，对基金资产净值计算、每万份基金已实现收益、</w:t>
      </w:r>
      <w:r w:rsidRPr="00634578">
        <w:rPr>
          <w:rFonts w:asciiTheme="minorEastAsia" w:eastAsiaTheme="minorEastAsia" w:hAnsiTheme="minorEastAsia"/>
          <w:color w:val="000000" w:themeColor="text1"/>
          <w:szCs w:val="21"/>
        </w:rPr>
        <w:t>7</w:t>
      </w:r>
      <w:r w:rsidRPr="00634578">
        <w:rPr>
          <w:rFonts w:asciiTheme="minorEastAsia" w:eastAsiaTheme="minorEastAsia" w:hAnsiTheme="minorEastAsia" w:hint="eastAsia"/>
          <w:color w:val="000000" w:themeColor="text1"/>
          <w:szCs w:val="21"/>
        </w:rPr>
        <w:t>日年化收益率、应收资金到账、基金费用开支及收入确定、基金收益分配、相关信息披露、基金宣传推介材料中登载基金业绩表现数据等进行监督和核查。</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（八）若基金托管人发现基金管理人依据交易程序已经生效的指令违反法律、行政法规和其他有关规定，或者违反《基金合同》约定的，应当立即通知基金管理人，由此造成的损失由基金管理人承担。</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三、基金管理人对基金托管人的业务核查</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一）基金管理人对基金托管人履行托管职责情况进行核查，核查事项包括基金托管人安全保管基金财产、开设基金财产的资金账户和证券账户、复核基金管理人计算的基金资产净值、基金份额的每万份基金已实现收益、</w:t>
      </w:r>
      <w:r w:rsidRPr="00634578">
        <w:rPr>
          <w:rFonts w:asciiTheme="minorEastAsia" w:eastAsiaTheme="minorEastAsia" w:hAnsiTheme="minorEastAsia"/>
          <w:color w:val="000000" w:themeColor="text1"/>
          <w:szCs w:val="21"/>
        </w:rPr>
        <w:t>7</w:t>
      </w:r>
      <w:r w:rsidRPr="00634578">
        <w:rPr>
          <w:rFonts w:asciiTheme="minorEastAsia" w:eastAsiaTheme="minorEastAsia" w:hAnsiTheme="minorEastAsia" w:hint="eastAsia"/>
          <w:color w:val="000000" w:themeColor="text1"/>
          <w:szCs w:val="21"/>
        </w:rPr>
        <w:t>日年化收益率根据基金管理人指令办理清算交收、相关信息披露和监督基金投资运作等行为。</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w:t>
      </w:r>
      <w:r w:rsidRPr="00634578">
        <w:rPr>
          <w:rFonts w:asciiTheme="minorEastAsia" w:eastAsiaTheme="minorEastAsia" w:hAnsiTheme="minorEastAsia" w:hint="eastAsia"/>
          <w:color w:val="000000" w:themeColor="text1"/>
          <w:szCs w:val="21"/>
        </w:rPr>
        <w:t>查，督促基金托管人改正。基金托管人应积极配合基金管理人的核查行为，包括但不限于：提交相关资料以供基金管理人核查托管财产的完整性和真实性，在规定时间内答复基金管理人并改正。</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四、基金财产的保管</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（一）基金财产保管的原则</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、基金财产应独立于基金管理人、基金托管人的固有财产。</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、基金托管人应安全保管基金财产。</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、基金托管人按照规定开设基金财产的资金账户和证券账户。</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、基金托管人对所托管的不同基金财产分别设置账户，确保基金财产的完整与独立。</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5</w:t>
      </w:r>
      <w:r w:rsidRPr="00634578">
        <w:rPr>
          <w:rFonts w:asciiTheme="minorEastAsia" w:eastAsiaTheme="minorEastAsia" w:hAnsiTheme="minorEastAsia" w:hint="eastAsia"/>
          <w:color w:val="000000" w:themeColor="text1"/>
          <w:szCs w:val="21"/>
        </w:rPr>
        <w:t>、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6</w:t>
      </w:r>
      <w:r w:rsidRPr="00634578">
        <w:rPr>
          <w:rFonts w:asciiTheme="minorEastAsia" w:eastAsiaTheme="minorEastAsia" w:hAnsiTheme="minorEastAsia" w:hint="eastAsia"/>
          <w:color w:val="000000" w:themeColor="text1"/>
          <w:szCs w:val="21"/>
        </w:rPr>
        <w:t>、对于因为基金投资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7</w:t>
      </w:r>
      <w:r w:rsidRPr="00634578">
        <w:rPr>
          <w:rFonts w:asciiTheme="minorEastAsia" w:eastAsiaTheme="minorEastAsia" w:hAnsiTheme="minorEastAsia" w:hint="eastAsia"/>
          <w:color w:val="000000" w:themeColor="text1"/>
          <w:szCs w:val="21"/>
        </w:rPr>
        <w:t>、除依据法律法规和《基金合同》的规定外，基金托管人不得委托第三人托管基金财产。</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（二）基金募集期间及募集资金的验资</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、基金募集期间募集的资金应存于基金管理人开设的基金募集专户，在基金募集行为结束前，任何人不得动用。</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基金募集期满或基金停止募集时，募集的基金份额总额、基金募集金额、基金份额持有人人数符合《基金法》、《运作办法》等有关规定后，基金管理人应将属于基金财产的全部资金划入基金托管人以本基金的名义开立的基金银行账户，由基金管理人同时在规定时间内，聘请具有从事证券相关业务资格的会计师事务所进行验资，出具验资报告，验资报告中需对基金募集的资金进行确认。出具的验资报告由参加验资的</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名或</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名以上中国注册会计师签字方为有效。</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、若基金募集期限届满，未能达到《基金合同》生效的条件，由基金管理人按规定办</w:t>
      </w:r>
      <w:r w:rsidRPr="00634578">
        <w:rPr>
          <w:rFonts w:asciiTheme="minorEastAsia" w:eastAsiaTheme="minorEastAsia" w:hAnsiTheme="minorEastAsia" w:hint="eastAsia"/>
          <w:color w:val="000000" w:themeColor="text1"/>
          <w:szCs w:val="21"/>
        </w:rPr>
        <w:t>理退款等事宜，基金托管人应提供必要协助。</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（三）基金银行账户的开立和管理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、基金托管人应以本基金的名义在其营业机构开立基金的银行账户，并根据基金管理人合法合规的指令办理资金收付。本基金的银行预留印鉴由基金托管人保管和使用。</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、基金银行账户的开立和使用，限于满足开展本基金业务的需要。基金托管人和基金管理人不得假借本基金的名义开立任何其他银行账户；亦不得使用基金的任何账户进行本基金业务以外的活动。</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、基金银行账户的开立和管理应符合银行业监督管理机构的有关规定。</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、在符合法律法规规定的条件下，基金托管人可以通过基金银行账户办理基金资产的支付。</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（四）基金证券账户和结算备付金账户的开立和管理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、基金托管人在中国证券登记结算有限责任公司上海分公司、深圳分公司为基金开立基金托管人与基金联名的证券账户。</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、基金证券账户的开立和证券账户卡的保管由基金托管人负责，账户资产的管理和运用由基金管理人负责。</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5</w:t>
      </w:r>
      <w:r w:rsidRPr="00634578">
        <w:rPr>
          <w:rFonts w:asciiTheme="minorEastAsia" w:eastAsiaTheme="minorEastAsia" w:hAnsiTheme="minorEastAsia" w:hint="eastAsia"/>
          <w:color w:val="000000" w:themeColor="text1"/>
          <w:szCs w:val="21"/>
        </w:rPr>
        <w:t>、若中国证监会或其他监管机构在本托管协议订立日之后允许基金从事其他投资品种的投资业务，涉及相关账户的开立、使用的，若无相关规定，则基金托管人比照上述关于账户开立、使用的规定执行。</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（五）债券托管专户的开设和管理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合同》生效后，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协议正本由基金托管人保管，协议副本由基金管理人保存。</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（六）其他账户的开立和管理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、因业务发展需要而开立的其他账户，可以根据法律法规和《基金合同》的规定，由基金托管人负责开立。新账户按有关规定使用并管理。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、法律法规等有关规定对相关账户的开立和管理另有规定的，从其规定办理。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（七）基金财产投资的有关有价凭证等的保管</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基金财产投资的有关实物证券、银行定期存款证实书等有价凭证由基金托管人存放于基金托管人的保管库，也可存入中央国债登记结算有限责任公司、中国证券登记结算有限责任公司上海分公司</w:t>
      </w:r>
      <w:r w:rsidRPr="00634578">
        <w:rPr>
          <w:rFonts w:asciiTheme="minorEastAsia" w:eastAsiaTheme="minorEastAsia" w:hAnsiTheme="minorEastAsia"/>
          <w:color w:val="000000" w:themeColor="text1"/>
          <w:szCs w:val="21"/>
        </w:rPr>
        <w:t>/</w:t>
      </w:r>
      <w:r w:rsidRPr="00634578">
        <w:rPr>
          <w:rFonts w:asciiTheme="minorEastAsia" w:eastAsiaTheme="minorEastAsia" w:hAnsiTheme="minorEastAsia" w:hint="eastAsia"/>
          <w:color w:val="000000" w:themeColor="text1"/>
          <w:szCs w:val="21"/>
        </w:rPr>
        <w:t>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（八）与基金财产有关的重大合同的保管</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或双方同意的其他方式将重大合同传真给基金托管人，并在三十个工作日内将正本送达基金托管人处。重大合同的保管期限为《基金合同》终止后</w:t>
      </w:r>
      <w:r w:rsidRPr="00634578">
        <w:rPr>
          <w:rFonts w:asciiTheme="minorEastAsia" w:eastAsiaTheme="minorEastAsia" w:hAnsiTheme="minorEastAsia"/>
          <w:color w:val="000000" w:themeColor="text1"/>
          <w:szCs w:val="21"/>
        </w:rPr>
        <w:t>15</w:t>
      </w:r>
      <w:r w:rsidRPr="00634578">
        <w:rPr>
          <w:rFonts w:asciiTheme="minorEastAsia" w:eastAsiaTheme="minorEastAsia" w:hAnsiTheme="minorEastAsia" w:hint="eastAsia"/>
          <w:color w:val="000000" w:themeColor="text1"/>
          <w:szCs w:val="21"/>
        </w:rPr>
        <w:t>年。</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五、基金资产净值计算和会计核算</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（一）基金资产净值、基金份额的每万份基金已实现收益、</w:t>
      </w:r>
      <w:r w:rsidRPr="00634578">
        <w:rPr>
          <w:rFonts w:asciiTheme="minorEastAsia" w:eastAsiaTheme="minorEastAsia" w:hAnsiTheme="minorEastAsia"/>
          <w:color w:val="000000" w:themeColor="text1"/>
          <w:szCs w:val="21"/>
        </w:rPr>
        <w:t>7</w:t>
      </w:r>
      <w:r w:rsidRPr="00634578">
        <w:rPr>
          <w:rFonts w:asciiTheme="minorEastAsia" w:eastAsiaTheme="minorEastAsia" w:hAnsiTheme="minorEastAsia" w:hint="eastAsia"/>
          <w:color w:val="000000" w:themeColor="text1"/>
          <w:szCs w:val="21"/>
        </w:rPr>
        <w:t>日年化收益率的计算、复核与完成的时间及程序</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、每万份基金已实现收益和</w:t>
      </w:r>
      <w:r w:rsidRPr="00634578">
        <w:rPr>
          <w:rFonts w:asciiTheme="minorEastAsia" w:eastAsiaTheme="minorEastAsia" w:hAnsiTheme="minorEastAsia"/>
          <w:color w:val="000000" w:themeColor="text1"/>
          <w:szCs w:val="21"/>
        </w:rPr>
        <w:t>7</w:t>
      </w:r>
      <w:r w:rsidRPr="00634578">
        <w:rPr>
          <w:rFonts w:asciiTheme="minorEastAsia" w:eastAsiaTheme="minorEastAsia" w:hAnsiTheme="minorEastAsia" w:hint="eastAsia"/>
          <w:color w:val="000000" w:themeColor="text1"/>
          <w:szCs w:val="21"/>
        </w:rPr>
        <w:t>日年化收益率的计算方法如下：</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每万份基金已实现收益＝当日该类基金份额的已实现收益</w:t>
      </w:r>
      <w:r w:rsidRPr="00634578">
        <w:rPr>
          <w:rFonts w:asciiTheme="minorEastAsia" w:eastAsiaTheme="minorEastAsia" w:hAnsiTheme="minorEastAsia"/>
          <w:color w:val="000000" w:themeColor="text1"/>
          <w:szCs w:val="21"/>
        </w:rPr>
        <w:t>/</w:t>
      </w:r>
      <w:r w:rsidRPr="00634578">
        <w:rPr>
          <w:rFonts w:asciiTheme="minorEastAsia" w:eastAsiaTheme="minorEastAsia" w:hAnsiTheme="minorEastAsia" w:hint="eastAsia"/>
          <w:color w:val="000000" w:themeColor="text1"/>
          <w:szCs w:val="21"/>
        </w:rPr>
        <w:t>当日该类基金份额总额×</w:t>
      </w:r>
      <w:r w:rsidRPr="00634578">
        <w:rPr>
          <w:rFonts w:asciiTheme="minorEastAsia" w:eastAsiaTheme="minorEastAsia" w:hAnsiTheme="minorEastAsia"/>
          <w:color w:val="000000" w:themeColor="text1"/>
          <w:szCs w:val="21"/>
        </w:rPr>
        <w:t>10000</w:t>
      </w:r>
      <w:r w:rsidRPr="00634578">
        <w:rPr>
          <w:rFonts w:asciiTheme="minorEastAsia" w:eastAsiaTheme="minorEastAsia" w:hAnsiTheme="minorEastAsia" w:hint="eastAsia"/>
          <w:color w:val="000000" w:themeColor="text1"/>
          <w:szCs w:val="21"/>
        </w:rPr>
        <w:t>。其中，当日分配的基金收益自其下一日起享有分红权益，自下一日起纳入基金份额总数的计算；收益的精度为以四舍五入的方法保留小数点后</w:t>
      </w: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位。</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7</w:t>
      </w:r>
      <w:r w:rsidRPr="00634578">
        <w:rPr>
          <w:rFonts w:asciiTheme="minorEastAsia" w:eastAsiaTheme="minorEastAsia" w:hAnsiTheme="minorEastAsia" w:hint="eastAsia"/>
          <w:color w:val="000000" w:themeColor="text1"/>
          <w:szCs w:val="21"/>
        </w:rPr>
        <w:t>日年化收益率</w:t>
      </w:r>
      <w:r w:rsidRPr="00634578">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object>
          <v:shape id="_x0000_i1026" type="#_x0000_t75" style="width:173.85pt;height:43.65pt;mso-position-horizontal-relative:page;mso-position-vertical-relative:page" o:oleicon="f" o:ole="">
            <v:imagedata r:id="rId17" o:title=""/>
          </v:shape>
          <o:OLEObject Type="Embed" ProgID="Equation.DSMT4" ShapeID="_x0000_i1026" DrawAspect="Content" ObjectID="_1702384930" r:id="rId18"/>
        </w:objec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其中，</w:t>
      </w:r>
      <w:r w:rsidRPr="00634578">
        <w:rPr>
          <w:rFonts w:asciiTheme="minorEastAsia" w:eastAsiaTheme="minorEastAsia" w:hAnsiTheme="minorEastAsia"/>
          <w:color w:val="000000" w:themeColor="text1"/>
          <w:szCs w:val="21"/>
        </w:rPr>
        <w:t>Ri</w:t>
      </w:r>
      <w:r w:rsidRPr="00634578">
        <w:rPr>
          <w:rFonts w:asciiTheme="minorEastAsia" w:eastAsiaTheme="minorEastAsia" w:hAnsiTheme="minorEastAsia" w:hint="eastAsia"/>
          <w:color w:val="000000" w:themeColor="text1"/>
          <w:szCs w:val="21"/>
        </w:rPr>
        <w:t>为最近第</w:t>
      </w:r>
      <w:r w:rsidRPr="00634578">
        <w:rPr>
          <w:rFonts w:asciiTheme="minorEastAsia" w:eastAsiaTheme="minorEastAsia" w:hAnsiTheme="minorEastAsia"/>
          <w:color w:val="000000" w:themeColor="text1"/>
          <w:szCs w:val="21"/>
        </w:rPr>
        <w:t>i</w:t>
      </w:r>
      <w:r w:rsidRPr="00634578">
        <w:rPr>
          <w:rFonts w:asciiTheme="minorEastAsia" w:eastAsiaTheme="minorEastAsia" w:hAnsiTheme="minorEastAsia" w:hint="eastAsia"/>
          <w:color w:val="000000" w:themeColor="text1"/>
          <w:szCs w:val="21"/>
        </w:rPr>
        <w:t>个自然日（包括计算当日）的每万份基金已实现收益。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每万份基金已实现收益采用四舍五入保留至小数点后第</w:t>
      </w: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位，</w:t>
      </w:r>
      <w:r w:rsidRPr="00634578">
        <w:rPr>
          <w:rFonts w:asciiTheme="minorEastAsia" w:eastAsiaTheme="minorEastAsia" w:hAnsiTheme="minorEastAsia"/>
          <w:color w:val="000000" w:themeColor="text1"/>
          <w:szCs w:val="21"/>
        </w:rPr>
        <w:t>7</w:t>
      </w:r>
      <w:r w:rsidRPr="00634578">
        <w:rPr>
          <w:rFonts w:asciiTheme="minorEastAsia" w:eastAsiaTheme="minorEastAsia" w:hAnsiTheme="minorEastAsia" w:hint="eastAsia"/>
          <w:color w:val="000000" w:themeColor="text1"/>
          <w:szCs w:val="21"/>
        </w:rPr>
        <w:t>日年化收益率采用四舍五入保留至百分号内小数点后第</w:t>
      </w: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位。</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如果基金成立不足七日，按类似规则计算。当任一类基金份额为零时，将暂停计算和披露该类基金份额的每万份基金已实现收益、</w:t>
      </w:r>
      <w:r w:rsidRPr="00634578">
        <w:rPr>
          <w:rFonts w:asciiTheme="minorEastAsia" w:eastAsiaTheme="minorEastAsia" w:hAnsiTheme="minorEastAsia"/>
          <w:color w:val="000000" w:themeColor="text1"/>
          <w:szCs w:val="21"/>
        </w:rPr>
        <w:t>7</w:t>
      </w:r>
      <w:r w:rsidRPr="00634578">
        <w:rPr>
          <w:rFonts w:asciiTheme="minorEastAsia" w:eastAsiaTheme="minorEastAsia" w:hAnsiTheme="minorEastAsia" w:hint="eastAsia"/>
          <w:color w:val="000000" w:themeColor="text1"/>
          <w:szCs w:val="21"/>
        </w:rPr>
        <w:t>日年化收益率，待该类份额不为零时重新开始计算和披露。</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每个交易日计算基金资产净值、基金份额的每万份基金已实现收益和</w:t>
      </w:r>
      <w:r w:rsidRPr="00634578">
        <w:rPr>
          <w:rFonts w:asciiTheme="minorEastAsia" w:eastAsiaTheme="minorEastAsia" w:hAnsiTheme="minorEastAsia"/>
          <w:color w:val="000000" w:themeColor="text1"/>
          <w:szCs w:val="21"/>
        </w:rPr>
        <w:t>7</w:t>
      </w:r>
      <w:r w:rsidRPr="00634578">
        <w:rPr>
          <w:rFonts w:asciiTheme="minorEastAsia" w:eastAsiaTheme="minorEastAsia" w:hAnsiTheme="minorEastAsia" w:hint="eastAsia"/>
          <w:color w:val="000000" w:themeColor="text1"/>
          <w:szCs w:val="21"/>
        </w:rPr>
        <w:t>日年化收益率，并按规定公告。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、基金管理人应每交易日对基金资产估值。但基金管理人根据法律法规或《基金合同》的规定暂停估值时除外。基金管理人每个交易日对基金资产估值后，将基金资产净值、基金</w:t>
      </w:r>
      <w:r w:rsidRPr="00634578">
        <w:rPr>
          <w:rFonts w:asciiTheme="minorEastAsia" w:eastAsiaTheme="minorEastAsia" w:hAnsiTheme="minorEastAsia" w:hint="eastAsia"/>
          <w:color w:val="000000" w:themeColor="text1"/>
          <w:szCs w:val="21"/>
        </w:rPr>
        <w:t>份额的每万份基金已实现收益、</w:t>
      </w:r>
      <w:r w:rsidRPr="00634578">
        <w:rPr>
          <w:rFonts w:asciiTheme="minorEastAsia" w:eastAsiaTheme="minorEastAsia" w:hAnsiTheme="minorEastAsia"/>
          <w:color w:val="000000" w:themeColor="text1"/>
          <w:szCs w:val="21"/>
        </w:rPr>
        <w:t>7</w:t>
      </w:r>
      <w:r w:rsidRPr="00634578">
        <w:rPr>
          <w:rFonts w:asciiTheme="minorEastAsia" w:eastAsiaTheme="minorEastAsia" w:hAnsiTheme="minorEastAsia" w:hint="eastAsia"/>
          <w:color w:val="000000" w:themeColor="text1"/>
          <w:szCs w:val="21"/>
        </w:rPr>
        <w:t>日年化收益率结果发送基金托管人，经基金托管人复核无误后，由基金管理人</w:t>
      </w:r>
      <w:r w:rsidRPr="00634578" w:rsidR="00CA2EAE">
        <w:rPr>
          <w:rFonts w:asciiTheme="minorEastAsia" w:eastAsiaTheme="minorEastAsia" w:hAnsiTheme="minorEastAsia" w:hint="eastAsia"/>
          <w:color w:val="000000" w:themeColor="text1"/>
          <w:szCs w:val="21"/>
        </w:rPr>
        <w:t>按规定</w:t>
      </w:r>
      <w:r w:rsidRPr="00634578">
        <w:rPr>
          <w:rFonts w:asciiTheme="minorEastAsia" w:eastAsiaTheme="minorEastAsia" w:hAnsiTheme="minorEastAsia" w:hint="eastAsia"/>
          <w:color w:val="000000" w:themeColor="text1"/>
          <w:szCs w:val="21"/>
        </w:rPr>
        <w:t>对外公布。</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（二）基金资产估值方法和特殊情形的处理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、估值对象</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基金所拥有的各类证券和银行存款本息、应收款项、其它投资等资产及负债。</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、估值方法</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1）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rsidR="00683152" w:rsidRPr="00634578" w:rsidP="00683152">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绝对值达到或超过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）如有充足理由表明按上述方法进行估值不能客观反映其公允价值的，基金管理人可根据具体情况与基金托管人商定后，按最能反映公允价值的价格估值。</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）相关法律法规以及监管部门有强制规定的，从其规定。如有新增事项，按国家最新规定估值。</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、特殊情形的处理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基金管理人、基金托管人按估值方法的第（</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）项进行估值时，所造成的误差不作为基金资产估值错误处理。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（三）基金估值错误的处理方式</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基金管理人和基金托管人将采取必要、适当、合理的措施确保基金资产估值的准确性、及时性。当基金资产的计价导致每万份基金已实现收益小数点后</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位以内（含第</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位）发生差错时，视为估值错误。</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sidR="00311CF5">
        <w:rPr>
          <w:rFonts w:asciiTheme="minorEastAsia" w:eastAsiaTheme="minorEastAsia" w:hAnsiTheme="minorEastAsia" w:hint="eastAsia"/>
          <w:color w:val="000000" w:themeColor="text1"/>
          <w:szCs w:val="21"/>
        </w:rPr>
        <w:t>、</w:t>
      </w:r>
      <w:r w:rsidRPr="00634578">
        <w:rPr>
          <w:rFonts w:asciiTheme="minorEastAsia" w:eastAsiaTheme="minorEastAsia" w:hAnsiTheme="minorEastAsia" w:hint="eastAsia"/>
          <w:color w:val="000000" w:themeColor="text1"/>
          <w:szCs w:val="21"/>
        </w:rPr>
        <w:t>估值错误类型</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上述估值错误的主要类型包括但不限于：资料申报差错、数据传输差错、数据计算差错、系统故障差错、下达指令差错等。</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sidR="00311CF5">
        <w:rPr>
          <w:rFonts w:asciiTheme="minorEastAsia" w:eastAsiaTheme="minorEastAsia" w:hAnsiTheme="minorEastAsia" w:hint="eastAsia"/>
          <w:color w:val="000000" w:themeColor="text1"/>
          <w:szCs w:val="21"/>
        </w:rPr>
        <w:t>、</w:t>
      </w:r>
      <w:r w:rsidRPr="00634578">
        <w:rPr>
          <w:rFonts w:asciiTheme="minorEastAsia" w:eastAsiaTheme="minorEastAsia" w:hAnsiTheme="minorEastAsia" w:hint="eastAsia"/>
          <w:color w:val="000000" w:themeColor="text1"/>
          <w:szCs w:val="21"/>
        </w:rPr>
        <w:t>估值错误处理原则</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）估值错误的责任方对有关当事人的直接损失负责，不对间接损失负责，并且仅对估值错误的有关直接当事人负责，不对第三方负责。</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）估值错误调整采用尽量恢复至假设未发生估值错误的正确情形的方式。</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sidR="00311CF5">
        <w:rPr>
          <w:rFonts w:asciiTheme="minorEastAsia" w:eastAsiaTheme="minorEastAsia" w:hAnsiTheme="minorEastAsia" w:hint="eastAsia"/>
          <w:color w:val="000000" w:themeColor="text1"/>
          <w:szCs w:val="21"/>
        </w:rPr>
        <w:t>、</w:t>
      </w:r>
      <w:r w:rsidRPr="00634578">
        <w:rPr>
          <w:rFonts w:asciiTheme="minorEastAsia" w:eastAsiaTheme="minorEastAsia" w:hAnsiTheme="minorEastAsia" w:hint="eastAsia"/>
          <w:color w:val="000000" w:themeColor="text1"/>
          <w:szCs w:val="21"/>
        </w:rPr>
        <w:t>估值错误处理程序</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估值错误被发现后，有关的当事人应当及时进行处理，处理的程序如下：</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）查明估值错误发生的原因，列明所有的当事人，并根据估值错误发生的原因确定估值错误的责任方；</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）根据估值错误处理原则或当事人协商的方法对因估值错误造成的损失进行评估；</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）根据估值错误处理原则或当事人协商的方法由估值错误的责任方进行更正和赔偿损失；</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）根据估值错误处理的方法，需要修改基金登记机构交易数据的，由基金登记机构进行更正，并就估值错误的更正向有关当事人进行确认。</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4</w:t>
      </w:r>
      <w:r w:rsidRPr="00634578" w:rsidR="00311CF5">
        <w:rPr>
          <w:rFonts w:asciiTheme="minorEastAsia" w:eastAsiaTheme="minorEastAsia" w:hAnsiTheme="minorEastAsia" w:hint="eastAsia"/>
          <w:color w:val="000000" w:themeColor="text1"/>
          <w:szCs w:val="21"/>
        </w:rPr>
        <w:t>、</w:t>
      </w:r>
      <w:r w:rsidRPr="00634578">
        <w:rPr>
          <w:rFonts w:asciiTheme="minorEastAsia" w:eastAsiaTheme="minorEastAsia" w:hAnsiTheme="minorEastAsia" w:hint="eastAsia"/>
          <w:color w:val="000000" w:themeColor="text1"/>
          <w:szCs w:val="21"/>
        </w:rPr>
        <w:t>基金估值错误处理的方法如下：</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）基金估值计算出现错误时，基金管理人应当立即予以纠正，通报基金托管人，并采取合理的措施防止损失进一步扩大。</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）错误偏差达到基金资产净值的</w:t>
      </w:r>
      <w:r w:rsidRPr="00634578">
        <w:rPr>
          <w:rFonts w:asciiTheme="minorEastAsia" w:eastAsiaTheme="minorEastAsia" w:hAnsiTheme="minorEastAsia"/>
          <w:color w:val="000000" w:themeColor="text1"/>
          <w:szCs w:val="21"/>
        </w:rPr>
        <w:t>0.25%</w:t>
      </w:r>
      <w:r w:rsidRPr="00634578">
        <w:rPr>
          <w:rFonts w:asciiTheme="minorEastAsia" w:eastAsiaTheme="minorEastAsia" w:hAnsiTheme="minorEastAsia" w:hint="eastAsia"/>
          <w:color w:val="000000" w:themeColor="text1"/>
          <w:szCs w:val="21"/>
        </w:rPr>
        <w:t>时，基金管理人应当通报基金托管人并报中国证监会备案；错误偏差达到基金资产净值的</w:t>
      </w:r>
      <w:r w:rsidRPr="00634578">
        <w:rPr>
          <w:rFonts w:asciiTheme="minorEastAsia" w:eastAsiaTheme="minorEastAsia" w:hAnsiTheme="minorEastAsia"/>
          <w:color w:val="000000" w:themeColor="text1"/>
          <w:szCs w:val="21"/>
        </w:rPr>
        <w:t>0.5%</w:t>
      </w:r>
      <w:r w:rsidRPr="00634578">
        <w:rPr>
          <w:rFonts w:asciiTheme="minorEastAsia" w:eastAsiaTheme="minorEastAsia" w:hAnsiTheme="minorEastAsia" w:hint="eastAsia"/>
          <w:color w:val="000000" w:themeColor="text1"/>
          <w:szCs w:val="21"/>
        </w:rPr>
        <w:t>时，基金管理人应当公告。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）前述内容如法律法规或监管机关另有规定的，从其规定处理。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（四）暂停估值与公告的情形</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sidR="00FD7D2F">
        <w:rPr>
          <w:rFonts w:asciiTheme="minorEastAsia" w:eastAsiaTheme="minorEastAsia" w:hAnsiTheme="minorEastAsia" w:hint="eastAsia"/>
          <w:color w:val="000000" w:themeColor="text1"/>
          <w:szCs w:val="21"/>
        </w:rPr>
        <w:t>.</w:t>
      </w:r>
      <w:r w:rsidRPr="00634578">
        <w:rPr>
          <w:rFonts w:asciiTheme="minorEastAsia" w:eastAsiaTheme="minorEastAsia" w:hAnsiTheme="minorEastAsia" w:hint="eastAsia"/>
          <w:color w:val="000000" w:themeColor="text1"/>
          <w:szCs w:val="21"/>
        </w:rPr>
        <w:t>基金投资所涉及的证券交易市场遇法定节假日或因其他原因暂停营业时；</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sidR="00FD7D2F">
        <w:rPr>
          <w:rFonts w:asciiTheme="minorEastAsia" w:eastAsiaTheme="minorEastAsia" w:hAnsiTheme="minorEastAsia" w:hint="eastAsia"/>
          <w:color w:val="000000" w:themeColor="text1"/>
          <w:szCs w:val="21"/>
        </w:rPr>
        <w:t>.</w:t>
      </w:r>
      <w:r w:rsidRPr="00634578">
        <w:rPr>
          <w:rFonts w:asciiTheme="minorEastAsia" w:eastAsiaTheme="minorEastAsia" w:hAnsiTheme="minorEastAsia" w:hint="eastAsia"/>
          <w:color w:val="000000" w:themeColor="text1"/>
          <w:szCs w:val="21"/>
        </w:rPr>
        <w:t>因不可抗力致使基金管理人、基金托管人无法准确评估基金资产价值时；</w:t>
      </w:r>
    </w:p>
    <w:p w:rsidR="00AB30D5" w:rsidRPr="00634578" w:rsidP="003548EA">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sidR="00FD7D2F">
        <w:rPr>
          <w:rFonts w:asciiTheme="minorEastAsia" w:eastAsiaTheme="minorEastAsia" w:hAnsiTheme="minorEastAsia" w:hint="eastAsia"/>
          <w:color w:val="000000" w:themeColor="text1"/>
          <w:szCs w:val="21"/>
        </w:rPr>
        <w:t>.</w:t>
      </w:r>
      <w:r w:rsidRPr="00634578">
        <w:rPr>
          <w:rFonts w:asciiTheme="minorEastAsia" w:eastAsiaTheme="minorEastAsia" w:hAnsiTheme="minorEastAsia" w:hint="eastAsia"/>
          <w:color w:val="000000" w:themeColor="text1"/>
          <w:szCs w:val="21"/>
        </w:rPr>
        <w:t>当前一估值日基金资产净值</w:t>
      </w:r>
      <w:r w:rsidRPr="00634578">
        <w:rPr>
          <w:rFonts w:asciiTheme="minorEastAsia" w:eastAsiaTheme="minorEastAsia" w:hAnsiTheme="minorEastAsia"/>
          <w:color w:val="000000" w:themeColor="text1"/>
          <w:szCs w:val="21"/>
        </w:rPr>
        <w:t>50%以上的资产出现无可参考的活跃市场价格且采用估值技术仍导致公允价值存在重大不确定性时，经与基金托管人协商一致的；</w:t>
      </w:r>
    </w:p>
    <w:p w:rsidR="00AB30D5" w:rsidRPr="00634578" w:rsidP="003548EA">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4.</w:t>
      </w:r>
      <w:r w:rsidRPr="00634578" w:rsidR="00DB3659">
        <w:rPr>
          <w:rFonts w:asciiTheme="minorEastAsia" w:eastAsiaTheme="minorEastAsia" w:hAnsiTheme="minorEastAsia" w:hint="eastAsia"/>
          <w:color w:val="000000" w:themeColor="text1"/>
          <w:szCs w:val="21"/>
        </w:rPr>
        <w:t>中国证监会和基金合同认定的其它情形。</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（五）基金会计制度</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按国家有关部门规定的会计制度执行。</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（六）基金账册的建立</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管理人进行基金会计核算并编制基金财务会计报告。基金管理人和基金托管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（七）基金财务报表与报告的编制和复核</w:t>
      </w:r>
    </w:p>
    <w:p w:rsidR="00CA2EAE" w:rsidRPr="00634578" w:rsidP="00CA2EA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财务报表由基金管理人和基金托管人每月分别独立编制。月度报表的编制，应于每月终了后5个工作日内完成。基金管理人应当在每年结束之日起三个月内，编制完成基金年度报告；基金管理人应当在上半年结束之日起两个月内，编制完成基金中期报告；基金管理人应当在季度结束之日起15个工作日内，编制完成基金季度报告。《基金合同》生效不足2个月的，基金管理人可以不编制当期季度报告、中期报告或者年度报告。</w:t>
      </w:r>
    </w:p>
    <w:p w:rsidR="00CA2EAE" w:rsidRPr="00634578" w:rsidP="00CA2EA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管理人在5个工作日内完成月度报告，在月度报告完成当日，对报告加盖公章后，以传真方式将有关报告提供基金托管人复核；基金托管人在3个工作日内进行复核，并将复核结果及时书面通知基金管理人。基金管理人在季度结束之日起7个工作日内完成季度报告，在季度报告完成当日，将有关报告提供基金托管人复核，基金托管人在收到后7个工作日内</w:t>
      </w:r>
      <w:r w:rsidRPr="00634578">
        <w:rPr>
          <w:rFonts w:asciiTheme="minorEastAsia" w:eastAsiaTheme="minorEastAsia" w:hAnsiTheme="minorEastAsia" w:hint="eastAsia"/>
          <w:color w:val="000000" w:themeColor="text1"/>
          <w:szCs w:val="21"/>
        </w:rPr>
        <w:t>进行复核，并将复核结果书面通知基金管理人。基金管理人在上半年结束之日起30日内完成中期报告，在中期报完成当日，将有关报告提供基金托管人复核，基金托管人在收到后30日内进行复核，并将复核结果书面通知基金管理人。基金管理人在每年结束之日起45日内完成年度报告，在年度报告完成当日，将有关报告提供基金托管人复核，基金托管人在收到后45日内复核，并将复核结果书面通知基金管理人。</w:t>
      </w:r>
    </w:p>
    <w:p w:rsidR="00CA2EAE" w:rsidRPr="00634578" w:rsidP="00CA2EA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基金托管人在对财务会计报告、中期报告或年度报告复核完毕后，需盖章确认或出具相应的复核确认书，以备有权机构对相关文件审核时提示。</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（八）基金管理人应在编制季度报告、</w:t>
      </w:r>
      <w:r w:rsidRPr="00634578" w:rsidR="00CA2EAE">
        <w:rPr>
          <w:rFonts w:asciiTheme="minorEastAsia" w:eastAsiaTheme="minorEastAsia" w:hAnsiTheme="minorEastAsia" w:hint="eastAsia"/>
          <w:color w:val="000000" w:themeColor="text1"/>
          <w:szCs w:val="21"/>
        </w:rPr>
        <w:t>中期</w:t>
      </w:r>
      <w:r w:rsidRPr="00634578">
        <w:rPr>
          <w:rFonts w:asciiTheme="minorEastAsia" w:eastAsiaTheme="minorEastAsia" w:hAnsiTheme="minorEastAsia" w:hint="eastAsia"/>
          <w:color w:val="000000" w:themeColor="text1"/>
          <w:szCs w:val="21"/>
        </w:rPr>
        <w:t>报告或者年度报告之前及时向基金托管人提供基金业绩比较基准的基础数据和编制结果。</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六、基金份额持有人名册的登记与保管</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w:t>
      </w:r>
      <w:r w:rsidRPr="00634578">
        <w:rPr>
          <w:rFonts w:asciiTheme="minorEastAsia" w:eastAsiaTheme="minorEastAsia" w:hAnsiTheme="minorEastAsia"/>
          <w:color w:val="000000" w:themeColor="text1"/>
          <w:szCs w:val="21"/>
        </w:rPr>
        <w:t>15</w:t>
      </w:r>
      <w:r w:rsidRPr="00634578">
        <w:rPr>
          <w:rFonts w:asciiTheme="minorEastAsia" w:eastAsiaTheme="minorEastAsia" w:hAnsiTheme="minorEastAsia" w:hint="eastAsia"/>
          <w:color w:val="000000" w:themeColor="text1"/>
          <w:szCs w:val="21"/>
        </w:rPr>
        <w:t>年。如不能妥善保管，则按相关法规承担责任。</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七、争议解决方式</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除非仲裁裁决另有决定。</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争议处理期间，双方当事人应恪守基金管理人和基金托管人职责，各自继续忠实、勤勉、尽责地履行《基金合同》和本托管协议规定的义务，维护基金份额持有人的合法权益。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本协议受中国法律管辖。</w:t>
      </w:r>
    </w:p>
    <w:p w:rsidR="00FD7D2F" w:rsidRPr="00634578" w:rsidP="00BB159E">
      <w:pPr>
        <w:snapToGrid w:val="0"/>
        <w:spacing w:line="360" w:lineRule="auto"/>
        <w:ind w:firstLine="420" w:firstLineChars="200"/>
        <w:rPr>
          <w:rFonts w:asciiTheme="minorEastAsia" w:eastAsiaTheme="minorEastAsia" w:hAnsiTheme="minorEastAsia"/>
          <w:color w:val="000000" w:themeColor="text1"/>
          <w:szCs w:val="21"/>
        </w:rPr>
      </w:pP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八、托管协议的变更、终止与基金财产的清算</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（一）托管协议的变更程序</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本协议双方当事人经协商一致，可以对协议进行修改。修改后的新协议，其内容不得与《基金合同》的规定有任何冲突。</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（二）基金托管协议终止出现的情形</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、《基金合同》终止；</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、基金托管人解散、依法被撤销、破产或由其他基金托管人接管基金资产；</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、基金管理人解散、依法被撤销、破产或由其他基金管理人接管基金管理权；</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、发生法律法规或《基金合同》规定的终止事项。</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（三）基金财产的清算</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、基金财产清算小组：自出现《基金合同》终止事由之日起</w:t>
      </w:r>
      <w:r w:rsidRPr="00634578">
        <w:rPr>
          <w:rFonts w:asciiTheme="minorEastAsia" w:eastAsiaTheme="minorEastAsia" w:hAnsiTheme="minorEastAsia"/>
          <w:color w:val="000000" w:themeColor="text1"/>
          <w:szCs w:val="21"/>
        </w:rPr>
        <w:t>30</w:t>
      </w:r>
      <w:r w:rsidRPr="00634578">
        <w:rPr>
          <w:rFonts w:asciiTheme="minorEastAsia" w:eastAsiaTheme="minorEastAsia" w:hAnsiTheme="minorEastAsia" w:hint="eastAsia"/>
          <w:color w:val="000000" w:themeColor="text1"/>
          <w:szCs w:val="21"/>
        </w:rPr>
        <w:t>个工作日内成立清算小组，基金管理人组织基金财产清算小组并在中国证监会的监督下进行基金清算。</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、基金财产清算小组职责：基金财产清算小组负责基金财产的保管、清理、估价、变现和分配。基金财产清算小组可以依法进行必要的民事活动。</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、基金财产清算程序：</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1</w:t>
      </w:r>
      <w:r w:rsidRPr="00634578">
        <w:rPr>
          <w:rFonts w:asciiTheme="minorEastAsia" w:eastAsiaTheme="minorEastAsia" w:hAnsiTheme="minorEastAsia" w:hint="eastAsia"/>
          <w:color w:val="000000" w:themeColor="text1"/>
          <w:szCs w:val="21"/>
        </w:rPr>
        <w:t>）《基金合同》终止情形出现时，由基金财产清算小组统一接管基金；</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2</w:t>
      </w:r>
      <w:r w:rsidRPr="00634578">
        <w:rPr>
          <w:rFonts w:asciiTheme="minorEastAsia" w:eastAsiaTheme="minorEastAsia" w:hAnsiTheme="minorEastAsia" w:hint="eastAsia"/>
          <w:color w:val="000000" w:themeColor="text1"/>
          <w:szCs w:val="21"/>
        </w:rPr>
        <w:t>）对基金财产和债权债务进行清理和确认；</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3</w:t>
      </w:r>
      <w:r w:rsidRPr="00634578">
        <w:rPr>
          <w:rFonts w:asciiTheme="minorEastAsia" w:eastAsiaTheme="minorEastAsia" w:hAnsiTheme="minorEastAsia" w:hint="eastAsia"/>
          <w:color w:val="000000" w:themeColor="text1"/>
          <w:szCs w:val="21"/>
        </w:rPr>
        <w:t>）对基金财产进行估值和变现；</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4</w:t>
      </w:r>
      <w:r w:rsidRPr="00634578">
        <w:rPr>
          <w:rFonts w:asciiTheme="minorEastAsia" w:eastAsiaTheme="minorEastAsia" w:hAnsiTheme="minorEastAsia" w:hint="eastAsia"/>
          <w:color w:val="000000" w:themeColor="text1"/>
          <w:szCs w:val="21"/>
        </w:rPr>
        <w:t>）制作清算报告；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5</w:t>
      </w:r>
      <w:r w:rsidRPr="00634578">
        <w:rPr>
          <w:rFonts w:asciiTheme="minorEastAsia" w:eastAsiaTheme="minorEastAsia" w:hAnsiTheme="minorEastAsia" w:hint="eastAsia"/>
          <w:color w:val="000000" w:themeColor="text1"/>
          <w:szCs w:val="21"/>
        </w:rPr>
        <w:t>）聘请会计师事务所对清算报告进行外部审计，聘请律师事务所对清算报告出具法律意见书；</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6</w:t>
      </w:r>
      <w:r w:rsidRPr="00634578">
        <w:rPr>
          <w:rFonts w:asciiTheme="minorEastAsia" w:eastAsiaTheme="minorEastAsia" w:hAnsiTheme="minorEastAsia" w:hint="eastAsia"/>
          <w:color w:val="000000" w:themeColor="text1"/>
          <w:szCs w:val="21"/>
        </w:rPr>
        <w:t>）将清算结果报中国证监会备案并公告；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w:t>
      </w:r>
      <w:r w:rsidRPr="00634578">
        <w:rPr>
          <w:rFonts w:asciiTheme="minorEastAsia" w:eastAsiaTheme="minorEastAsia" w:hAnsiTheme="minorEastAsia"/>
          <w:color w:val="000000" w:themeColor="text1"/>
          <w:szCs w:val="21"/>
        </w:rPr>
        <w:t>7</w:t>
      </w:r>
      <w:r w:rsidRPr="00634578">
        <w:rPr>
          <w:rFonts w:asciiTheme="minorEastAsia" w:eastAsiaTheme="minorEastAsia" w:hAnsiTheme="minorEastAsia" w:hint="eastAsia"/>
          <w:color w:val="000000" w:themeColor="text1"/>
          <w:szCs w:val="21"/>
        </w:rPr>
        <w:t>）对基金财产进行分配。</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5</w:t>
      </w:r>
      <w:r w:rsidRPr="00634578">
        <w:rPr>
          <w:rFonts w:asciiTheme="minorEastAsia" w:eastAsiaTheme="minorEastAsia" w:hAnsiTheme="minorEastAsia" w:hint="eastAsia"/>
          <w:color w:val="000000" w:themeColor="text1"/>
          <w:szCs w:val="21"/>
        </w:rPr>
        <w:t>、基金财产清算的期限为</w:t>
      </w:r>
      <w:r w:rsidRPr="00634578">
        <w:rPr>
          <w:rFonts w:asciiTheme="minorEastAsia" w:eastAsiaTheme="minorEastAsia" w:hAnsiTheme="minorEastAsia"/>
          <w:color w:val="000000" w:themeColor="text1"/>
          <w:szCs w:val="21"/>
        </w:rPr>
        <w:t>6</w:t>
      </w:r>
      <w:r w:rsidRPr="00634578">
        <w:rPr>
          <w:rFonts w:asciiTheme="minorEastAsia" w:eastAsiaTheme="minorEastAsia" w:hAnsiTheme="minorEastAsia" w:hint="eastAsia"/>
          <w:color w:val="000000" w:themeColor="text1"/>
          <w:szCs w:val="21"/>
        </w:rPr>
        <w:t>个月。</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6</w:t>
      </w:r>
      <w:r w:rsidRPr="00634578">
        <w:rPr>
          <w:rFonts w:asciiTheme="minorEastAsia" w:eastAsiaTheme="minorEastAsia" w:hAnsiTheme="minorEastAsia" w:hint="eastAsia"/>
          <w:color w:val="000000" w:themeColor="text1"/>
          <w:szCs w:val="21"/>
        </w:rPr>
        <w:t>、清算费用</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清算费用是指基金财产清算小组在进行基金清算过程中发生的所有合理费用，清算费用由基金财产清算小组优先从基金财产中支付。</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7</w:t>
      </w:r>
      <w:r w:rsidRPr="00634578">
        <w:rPr>
          <w:rFonts w:asciiTheme="minorEastAsia" w:eastAsiaTheme="minorEastAsia" w:hAnsiTheme="minorEastAsia" w:hint="eastAsia"/>
          <w:color w:val="000000" w:themeColor="text1"/>
          <w:szCs w:val="21"/>
        </w:rPr>
        <w:t>、基金财产清算剩余资产的分配：</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8</w:t>
      </w:r>
      <w:r w:rsidRPr="00634578">
        <w:rPr>
          <w:rFonts w:asciiTheme="minorEastAsia" w:eastAsiaTheme="minorEastAsia" w:hAnsiTheme="minorEastAsia" w:hint="eastAsia"/>
          <w:color w:val="000000" w:themeColor="text1"/>
          <w:szCs w:val="21"/>
        </w:rPr>
        <w:t>、基金财产清算的公告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清算过程中的有关重大事项须及时公告；基金财产清算报告经会计师事务所审计、并由律师事务所出具法律意见书后，报中国证监会备案并公告。基金财产清算公告于基金财产清</w:t>
      </w:r>
      <w:r w:rsidRPr="00634578">
        <w:rPr>
          <w:rFonts w:asciiTheme="minorEastAsia" w:eastAsiaTheme="minorEastAsia" w:hAnsiTheme="minorEastAsia" w:hint="eastAsia"/>
          <w:color w:val="000000" w:themeColor="text1"/>
          <w:szCs w:val="21"/>
        </w:rPr>
        <w:t>算报告报中国证监会备案后</w:t>
      </w:r>
      <w:r w:rsidRPr="00634578">
        <w:rPr>
          <w:rFonts w:asciiTheme="minorEastAsia" w:eastAsiaTheme="minorEastAsia" w:hAnsiTheme="minorEastAsia"/>
          <w:color w:val="000000" w:themeColor="text1"/>
          <w:szCs w:val="21"/>
        </w:rPr>
        <w:t>5</w:t>
      </w:r>
      <w:r w:rsidRPr="00634578">
        <w:rPr>
          <w:rFonts w:asciiTheme="minorEastAsia" w:eastAsiaTheme="minorEastAsia" w:hAnsiTheme="minorEastAsia" w:hint="eastAsia"/>
          <w:color w:val="000000" w:themeColor="text1"/>
          <w:szCs w:val="21"/>
        </w:rPr>
        <w:t>个工作日内由基金财产清算小组进行公告。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szCs w:val="21"/>
        </w:rPr>
        <w:t>9</w:t>
      </w:r>
      <w:r w:rsidRPr="00634578">
        <w:rPr>
          <w:rFonts w:asciiTheme="minorEastAsia" w:eastAsiaTheme="minorEastAsia" w:hAnsiTheme="minorEastAsia" w:hint="eastAsia"/>
          <w:color w:val="000000" w:themeColor="text1"/>
          <w:szCs w:val="21"/>
        </w:rPr>
        <w:t>、基金财产清算账册及文件的保存</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szCs w:val="21"/>
        </w:rPr>
        <w:t>基金财产清算账册及有关文件由基金托管人保存</w:t>
      </w:r>
      <w:r w:rsidRPr="00634578">
        <w:rPr>
          <w:rFonts w:asciiTheme="minorEastAsia" w:eastAsiaTheme="minorEastAsia" w:hAnsiTheme="minorEastAsia"/>
          <w:color w:val="000000" w:themeColor="text1"/>
          <w:szCs w:val="21"/>
        </w:rPr>
        <w:t>15</w:t>
      </w:r>
      <w:r w:rsidRPr="00634578">
        <w:rPr>
          <w:rFonts w:asciiTheme="minorEastAsia" w:eastAsiaTheme="minorEastAsia" w:hAnsiTheme="minorEastAsia" w:hint="eastAsia"/>
          <w:color w:val="000000" w:themeColor="text1"/>
          <w:szCs w:val="21"/>
        </w:rPr>
        <w:t>年以上。</w:t>
      </w: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p>
    <w:p w:rsidR="00DB3659" w:rsidRPr="00634578" w:rsidP="00BB159E">
      <w:pPr>
        <w:snapToGrid w:val="0"/>
        <w:spacing w:line="360" w:lineRule="auto"/>
        <w:ind w:firstLine="420" w:firstLineChars="200"/>
        <w:rPr>
          <w:rFonts w:asciiTheme="minorEastAsia" w:eastAsiaTheme="minorEastAsia" w:hAnsiTheme="minorEastAsia"/>
          <w:color w:val="000000" w:themeColor="text1"/>
          <w:szCs w:val="21"/>
        </w:rPr>
      </w:pPr>
    </w:p>
    <w:p w:rsidR="00DB3659" w:rsidRPr="00634578" w:rsidP="00BB159E">
      <w:pPr>
        <w:pStyle w:val="Heading1"/>
        <w:pageBreakBefore/>
        <w:snapToGrid w:val="0"/>
        <w:spacing w:beforeLines="0" w:afterLines="0" w:line="360" w:lineRule="auto"/>
        <w:ind w:firstLine="600"/>
        <w:rPr>
          <w:rFonts w:asciiTheme="minorEastAsia" w:eastAsiaTheme="minorEastAsia" w:hAnsiTheme="minorEastAsia"/>
          <w:bCs/>
          <w:color w:val="000000" w:themeColor="text1"/>
        </w:rPr>
      </w:pPr>
      <w:bookmarkStart w:id="104" w:name="_Toc91772056"/>
      <w:r w:rsidRPr="00634578">
        <w:rPr>
          <w:rFonts w:asciiTheme="minorEastAsia" w:eastAsiaTheme="minorEastAsia" w:hAnsiTheme="minorEastAsia" w:hint="eastAsia"/>
          <w:color w:val="000000" w:themeColor="text1"/>
          <w:sz w:val="30"/>
        </w:rPr>
        <w:t>二十四、对基金份额持有人的服务</w:t>
      </w:r>
      <w:bookmarkEnd w:id="104"/>
    </w:p>
    <w:p w:rsidR="00DB3659" w:rsidRPr="00634578" w:rsidP="00BB159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DB3659" w:rsidRPr="00634578" w:rsidP="00BB159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（一）基金份额持有人投资交易确认服务</w:t>
      </w:r>
    </w:p>
    <w:p w:rsidR="009D4035" w:rsidRPr="00634578" w:rsidP="00BB159E">
      <w:pPr>
        <w:pStyle w:val="a"/>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基金登记机构保留基金份额持有人名册上列明的所有基金份额持有人的基金交易记录。</w:t>
      </w:r>
    </w:p>
    <w:p w:rsidR="00DB3659" w:rsidRPr="00634578" w:rsidP="00BB159E">
      <w:pPr>
        <w:pStyle w:val="a"/>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hint="eastAsia"/>
          <w:color w:val="000000" w:themeColor="text1"/>
        </w:rPr>
        <w:t>基金管理人直销网点应根据在基金管理人直销网点进行交易的投资者的要求提供成交确认单。基金非直销销售机构应根据在销售网点进行交易的投资</w:t>
      </w:r>
      <w:r w:rsidRPr="00634578">
        <w:rPr>
          <w:rFonts w:asciiTheme="minorEastAsia" w:eastAsiaTheme="minorEastAsia" w:hAnsiTheme="minorEastAsia" w:hint="eastAsia"/>
          <w:color w:val="000000" w:themeColor="text1"/>
          <w:szCs w:val="21"/>
        </w:rPr>
        <w:t>者的要求提供成交确认单。</w:t>
      </w:r>
    </w:p>
    <w:p w:rsidR="00DB3659" w:rsidRPr="00634578" w:rsidP="00BB159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（二）基金份额持有人交易记录查询服务</w:t>
      </w:r>
    </w:p>
    <w:p w:rsidR="00DB3659" w:rsidRPr="00634578" w:rsidP="00BB159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本基金份额持有人可通过基金管理人的客户服务中心查询历史交易记录。</w:t>
      </w:r>
    </w:p>
    <w:p w:rsidR="00DB3659" w:rsidRPr="00634578" w:rsidP="00BB159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（三）基金份额持有人的对账单服务</w:t>
      </w:r>
    </w:p>
    <w:p w:rsidR="00DB3659" w:rsidRPr="00634578" w:rsidP="00BB159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w:t>
      </w:r>
      <w:r w:rsidRPr="00634578">
        <w:rPr>
          <w:rFonts w:asciiTheme="minorEastAsia" w:eastAsiaTheme="minorEastAsia" w:hAnsiTheme="minorEastAsia" w:hint="eastAsia"/>
          <w:color w:val="000000" w:themeColor="text1"/>
        </w:rPr>
        <w:t>、基金份额持有人可登录本公司网站（</w:t>
      </w:r>
      <w:hyperlink r:id="rId19" w:history="1">
        <w:r w:rsidRPr="00634578">
          <w:rPr>
            <w:rStyle w:val="Hyperlink"/>
            <w:rFonts w:asciiTheme="minorEastAsia" w:eastAsiaTheme="minorEastAsia" w:hAnsiTheme="minorEastAsia"/>
            <w:color w:val="000000" w:themeColor="text1"/>
            <w:u w:val="none"/>
          </w:rPr>
          <w:t>http://www.efunds.com.cn</w:t>
        </w:r>
      </w:hyperlink>
      <w:r w:rsidRPr="00634578">
        <w:rPr>
          <w:rFonts w:asciiTheme="minorEastAsia" w:eastAsiaTheme="minorEastAsia" w:hAnsiTheme="minorEastAsia" w:hint="eastAsia"/>
          <w:color w:val="000000" w:themeColor="text1"/>
        </w:rPr>
        <w:t>）查阅对账单。</w:t>
      </w:r>
    </w:p>
    <w:p w:rsidR="00DB3659" w:rsidRPr="00634578" w:rsidP="00BB159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2、本公司至少每年度以电子邮件、短信或其他形式向通过易方达直销系统持有本公司基金份额的基金份额持有人提供基金保有情况信息，基金份额持有人也可以向本公司定制电子邮件形式的月度对账单。</w:t>
      </w:r>
    </w:p>
    <w:p w:rsidR="00DB3659" w:rsidRPr="00634578" w:rsidP="00BB159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具体查阅和定制账单的方法可参见本公司网站或拨打客服热线咨询。</w:t>
      </w:r>
    </w:p>
    <w:p w:rsidR="00DB3659" w:rsidRPr="00634578" w:rsidP="00BB159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（四）定期定额投资计划</w:t>
      </w:r>
    </w:p>
    <w:p w:rsidR="00DB3659" w:rsidRPr="00634578" w:rsidP="00BB159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kern w:val="0"/>
        </w:rPr>
        <w:t>基金管理人可利用非直销销售机构网点和本公司网上交易系统为投资者提供定期定额投资的</w:t>
      </w:r>
      <w:r w:rsidRPr="00634578">
        <w:rPr>
          <w:rFonts w:asciiTheme="minorEastAsia" w:eastAsiaTheme="minorEastAsia" w:hAnsiTheme="minorEastAsia" w:hint="eastAsia"/>
          <w:color w:val="000000" w:themeColor="text1"/>
          <w:kern w:val="0"/>
          <w:szCs w:val="21"/>
        </w:rPr>
        <w:t>服务（本公司网上交易系统的定期定额投资服务目前仅对个人投资者开通）。</w:t>
      </w:r>
      <w:r w:rsidRPr="00634578">
        <w:rPr>
          <w:rFonts w:asciiTheme="minorEastAsia" w:eastAsiaTheme="minorEastAsia" w:hAnsiTheme="minorEastAsia" w:hint="eastAsia"/>
          <w:color w:val="000000" w:themeColor="text1"/>
        </w:rPr>
        <w:t>通过定期定额投资计划，投资者可以通过固定的渠道，定期定额申购基金份额，具体实施方法见有关公告。</w:t>
      </w:r>
    </w:p>
    <w:p w:rsidR="00DB3659" w:rsidRPr="00634578" w:rsidP="00BB159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（五）资讯服务</w:t>
      </w:r>
    </w:p>
    <w:p w:rsidR="00DB3659" w:rsidRPr="00634578" w:rsidP="00BB159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w:t>
      </w:r>
      <w:r w:rsidRPr="00634578">
        <w:rPr>
          <w:rFonts w:asciiTheme="minorEastAsia" w:eastAsiaTheme="minorEastAsia" w:hAnsiTheme="minorEastAsia" w:hint="eastAsia"/>
          <w:color w:val="000000" w:themeColor="text1"/>
        </w:rPr>
        <w:t>、客户服务中心电话</w:t>
      </w:r>
    </w:p>
    <w:p w:rsidR="00DB3659" w:rsidRPr="00634578" w:rsidP="00BB159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kern w:val="0"/>
          <w:szCs w:val="21"/>
        </w:rPr>
        <w:t>投资者如果想了解申购与赎回的交易情况、基金账户余额、基金产品与服务等信息</w:t>
      </w:r>
      <w:r w:rsidRPr="00634578" w:rsidR="009D4035">
        <w:rPr>
          <w:rFonts w:asciiTheme="minorEastAsia" w:eastAsiaTheme="minorEastAsia" w:hAnsiTheme="minorEastAsia" w:hint="eastAsia"/>
          <w:color w:val="000000" w:themeColor="text1"/>
          <w:kern w:val="0"/>
          <w:szCs w:val="21"/>
        </w:rPr>
        <w:t>，</w:t>
      </w:r>
      <w:r w:rsidRPr="00634578" w:rsidR="009D4035">
        <w:rPr>
          <w:rFonts w:asciiTheme="minorEastAsia" w:eastAsiaTheme="minorEastAsia" w:hAnsiTheme="minorEastAsia" w:hint="eastAsia"/>
          <w:color w:val="000000" w:themeColor="text1"/>
          <w:kern w:val="0"/>
        </w:rPr>
        <w:t>或反馈投资过程中需要投诉与建议的情况</w:t>
      </w:r>
      <w:r w:rsidRPr="00634578">
        <w:rPr>
          <w:rFonts w:asciiTheme="minorEastAsia" w:eastAsiaTheme="minorEastAsia" w:hAnsiTheme="minorEastAsia" w:hint="eastAsia"/>
          <w:color w:val="000000" w:themeColor="text1"/>
        </w:rPr>
        <w:t>，可拨打如下电话：</w:t>
      </w:r>
      <w:r w:rsidRPr="00634578">
        <w:rPr>
          <w:rFonts w:asciiTheme="minorEastAsia" w:eastAsiaTheme="minorEastAsia" w:hAnsiTheme="minorEastAsia"/>
          <w:color w:val="000000" w:themeColor="text1"/>
        </w:rPr>
        <w:t>4008818088</w:t>
      </w:r>
      <w:r w:rsidRPr="00634578">
        <w:rPr>
          <w:rFonts w:asciiTheme="minorEastAsia" w:eastAsiaTheme="minorEastAsia" w:hAnsiTheme="minorEastAsia" w:hint="eastAsia"/>
          <w:color w:val="000000" w:themeColor="text1"/>
        </w:rPr>
        <w:t>。</w:t>
      </w:r>
      <w:r w:rsidRPr="00634578">
        <w:rPr>
          <w:rFonts w:asciiTheme="minorEastAsia" w:eastAsiaTheme="minorEastAsia" w:hAnsiTheme="minorEastAsia" w:hint="eastAsia"/>
          <w:color w:val="000000" w:themeColor="text1"/>
          <w:szCs w:val="21"/>
        </w:rPr>
        <w:t>投资者如果认为自己不能准确理解本基金《招募说明书》、《基金合同》的具体内容，也可拨打上述电话详询。</w:t>
      </w:r>
    </w:p>
    <w:p w:rsidR="00DB3659" w:rsidRPr="00634578" w:rsidP="00BB159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w:t>
      </w:r>
      <w:r w:rsidRPr="00634578">
        <w:rPr>
          <w:rFonts w:asciiTheme="minorEastAsia" w:eastAsiaTheme="minorEastAsia" w:hAnsiTheme="minorEastAsia" w:hint="eastAsia"/>
          <w:color w:val="000000" w:themeColor="text1"/>
        </w:rPr>
        <w:t>、互联网站及电子信箱</w:t>
      </w:r>
    </w:p>
    <w:p w:rsidR="00DB3659" w:rsidRPr="00634578" w:rsidP="00BB159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网址：</w:t>
      </w:r>
      <w:hyperlink r:id="rId13" w:history="1">
        <w:r w:rsidRPr="00634578">
          <w:rPr>
            <w:rStyle w:val="Hyperlink"/>
            <w:rFonts w:asciiTheme="minorEastAsia" w:eastAsiaTheme="minorEastAsia" w:hAnsiTheme="minorEastAsia"/>
            <w:color w:val="000000" w:themeColor="text1"/>
            <w:u w:val="none"/>
          </w:rPr>
          <w:t>http://www.efunds.com.cn</w:t>
        </w:r>
      </w:hyperlink>
    </w:p>
    <w:p w:rsidR="00DB3659" w:rsidRPr="00634578" w:rsidP="00BB159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电子信箱：</w:t>
      </w:r>
      <w:hyperlink r:id="rId20" w:history="1">
        <w:r w:rsidRPr="00634578">
          <w:rPr>
            <w:rStyle w:val="Hyperlink"/>
            <w:rFonts w:asciiTheme="minorEastAsia" w:eastAsiaTheme="minorEastAsia" w:hAnsiTheme="minorEastAsia"/>
            <w:color w:val="000000" w:themeColor="text1"/>
            <w:u w:val="none"/>
          </w:rPr>
          <w:t>service@efunds.com.cn</w:t>
        </w:r>
      </w:hyperlink>
    </w:p>
    <w:p w:rsidR="00DB3659" w:rsidRPr="00634578" w:rsidP="00BB159E">
      <w:pPr>
        <w:snapToGrid w:val="0"/>
        <w:spacing w:line="360" w:lineRule="auto"/>
        <w:ind w:firstLine="420"/>
        <w:rPr>
          <w:rFonts w:asciiTheme="minorEastAsia" w:eastAsiaTheme="minorEastAsia" w:hAnsiTheme="minorEastAsia"/>
          <w:color w:val="000000" w:themeColor="text1"/>
        </w:rPr>
      </w:pPr>
    </w:p>
    <w:p w:rsidR="00DB3659" w:rsidRPr="00634578" w:rsidP="00BB159E">
      <w:pPr>
        <w:pStyle w:val="Heading1"/>
        <w:pageBreakBefore/>
        <w:snapToGrid w:val="0"/>
        <w:spacing w:beforeLines="0" w:afterLines="0" w:line="360" w:lineRule="auto"/>
        <w:ind w:firstLine="2550" w:firstLineChars="850"/>
        <w:jc w:val="both"/>
        <w:rPr>
          <w:rFonts w:asciiTheme="minorEastAsia" w:eastAsiaTheme="minorEastAsia" w:hAnsiTheme="minorEastAsia"/>
          <w:color w:val="000000" w:themeColor="text1"/>
        </w:rPr>
      </w:pPr>
      <w:bookmarkStart w:id="105" w:name="_Toc91772057"/>
      <w:r w:rsidRPr="00634578">
        <w:rPr>
          <w:rFonts w:asciiTheme="minorEastAsia" w:eastAsiaTheme="minorEastAsia" w:hAnsiTheme="minorEastAsia" w:hint="eastAsia"/>
          <w:color w:val="000000" w:themeColor="text1"/>
          <w:sz w:val="30"/>
        </w:rPr>
        <w:t>二十五、其他应披露事项</w:t>
      </w:r>
      <w:bookmarkEnd w:id="105"/>
    </w:p>
    <w:tbl>
      <w:tblPr>
        <w:tblStyle w:val="TableGrid"/>
        <w:tblW w:w="0" w:type="auto"/>
        <w:tblLayout w:type="fixed"/>
        <w:tblLook w:val="04A0"/>
      </w:tblPr>
      <w:tblGrid>
        <w:gridCol w:w="6941"/>
        <w:gridCol w:w="1468"/>
      </w:tblGrid>
      <w:tr w:rsidTr="002D6B39">
        <w:tblPrEx>
          <w:tblW w:w="0" w:type="auto"/>
          <w:tblLayout w:type="fixed"/>
          <w:tblLook w:val="04A0"/>
        </w:tblPrEx>
        <w:trPr>
          <w:trHeight w:val="270"/>
        </w:trPr>
        <w:tc>
          <w:tcPr>
            <w:tcW w:w="6941" w:type="dxa"/>
            <w:noWrap/>
            <w:hideMark/>
          </w:tcPr>
          <w:p w:rsidR="00271A67" w:rsidRPr="00634578" w:rsidP="00271A67">
            <w:pPr>
              <w:widowControl/>
              <w:jc w:val="center"/>
              <w:rPr>
                <w:rFonts w:asciiTheme="minorEastAsia" w:eastAsiaTheme="minorEastAsia" w:hAnsiTheme="minorEastAsia" w:cs="宋体"/>
                <w:color w:val="000000" w:themeColor="text1"/>
                <w:szCs w:val="21"/>
              </w:rPr>
            </w:pPr>
            <w:r w:rsidRPr="00634578">
              <w:rPr>
                <w:rFonts w:asciiTheme="minorEastAsia" w:eastAsiaTheme="minorEastAsia" w:hAnsiTheme="minorEastAsia" w:cs="宋体" w:hint="eastAsia"/>
                <w:color w:val="000000" w:themeColor="text1"/>
                <w:szCs w:val="21"/>
              </w:rPr>
              <w:t>公告事项</w:t>
            </w:r>
          </w:p>
        </w:tc>
        <w:tc>
          <w:tcPr>
            <w:tcW w:w="1468" w:type="dxa"/>
            <w:noWrap/>
            <w:hideMark/>
          </w:tcPr>
          <w:p w:rsidR="00271A67" w:rsidRPr="00634578" w:rsidP="00271A67">
            <w:pPr>
              <w:widowControl/>
              <w:jc w:val="center"/>
              <w:rPr>
                <w:rFonts w:asciiTheme="minorEastAsia" w:eastAsiaTheme="minorEastAsia" w:hAnsiTheme="minorEastAsia" w:cs="宋体"/>
                <w:color w:val="000000" w:themeColor="text1"/>
                <w:szCs w:val="21"/>
              </w:rPr>
            </w:pPr>
            <w:r w:rsidRPr="00634578">
              <w:rPr>
                <w:rFonts w:asciiTheme="minorEastAsia" w:eastAsiaTheme="minorEastAsia" w:hAnsiTheme="minorEastAsia" w:cs="宋体" w:hint="eastAsia"/>
                <w:color w:val="000000" w:themeColor="text1"/>
                <w:szCs w:val="21"/>
              </w:rPr>
              <w:t>披露日期</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易方达基金管理有限公司高级管理人员变更公告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2020-06-22</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易方达基金管理有限公司旗下基金2020年第2季度报告提示性公告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2020-07-21</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易方达基金管理有限公司高级管理人员变更公告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2020-07-24</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易方达基金管理有限公司旗下部分开放式基金增加喜鹊基金为销售机构、参加喜鹊基金费率优惠活动的公告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2020-08-21</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易方达基金管理有限公司旗下部分开放式基金增加中国人寿为销售机构、参加中国人寿费率优惠活动的公告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2020-08-24</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易方达基金管理有限公司旗下基金2020年中期报告提示性公告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2020-08-28</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易方达基金管理有限公司高级管理人员变更公告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2020-09-19</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易方达基金管理有限公司高级管理人员变更公告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2020-09-30</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易方达基金管理有限公司旗下基金2020年第3季度报告提示性公告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2020-10-28</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易方达基金管理有限公司关于设立深圳分公司的公告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2020-10-28</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易方达基金管理有限公司关于通过大泰金石基金销售有限公司购买并持有本公司旗下基金的投资者及时办理转托管的提示性公告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2020-10-31</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易方达基金管理有限公司旗下部分开放式基金增加江苏银行为销售机构的公告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2020-11-18</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易方达基金管理有限公司关于暂停上海久富财富基金销售有限公司办理旗下基金相关销售业务的公告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2020-12-08</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关于警惕冒用易方达基金管理有限公司名义进行诈骗活动的特别提示公告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2020-12-10</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易方达基金管理有限公司高级管理人员变更公告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2020-12-12</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易方达基金管理有限公司关于通过浙江金观诚基金销售有限公司购买并持有本公司旗下基金的投资者及时办理转托管的提示性公告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2020-12-16</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易方达基金管理有限公司关于通过上海久富财富基金销售有限公司购买并持有本公司旗下基金的投资者及时办理转托管的提示性公告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2020-12-16</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易方达基金管理有限公司关于通过深圳宜投基金销售有限公司购买并持有本公司旗下基金的投资者及时办理转托管的提示性公告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2020-12-16</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易方达基金管理有限公司旗下部分开放式基金增加东方财富证券为销售机构的公告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2021-01-08</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易方达基金管理有限公司旗下基金2020年第4季度报告提示性公告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2021-01-21</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易方达基金管理有限公司高级管理人员变更公告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2021-01-23</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易方达龙宝货币市场基金C类基金份额增加度小满基金为销售机构的公告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2021-01-27</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易方达基金管理有限公司旗下基金2020年年度报告提示性公告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2021-03-30</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易方达基金管理有限公司关于提醒投资者及时提供或更新身份信息资料的公告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2021-04-02</w:t>
            </w:r>
          </w:p>
        </w:tc>
      </w:tr>
      <w:tr w:rsidTr="002D6B39">
        <w:tblPrEx>
          <w:tblW w:w="0" w:type="auto"/>
          <w:tblLayout w:type="fixed"/>
          <w:tblLook w:val="04A0"/>
        </w:tblPrEx>
        <w:tc>
          <w:tcPr>
            <w:tcW w:w="6941" w:type="dxa"/>
          </w:tcPr>
          <w:p w:rsidR="00AD0B6C" w:rsidRPr="00634578">
            <w:pPr>
              <w:jc w:val="lef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易方达基金管理有限公司旗下基金2021年第1季度报告提示性公告</w:t>
            </w:r>
          </w:p>
        </w:tc>
        <w:tc>
          <w:tcPr>
            <w:tcW w:w="1468" w:type="dxa"/>
          </w:tcPr>
          <w:p w:rsidR="00AD0B6C" w:rsidRPr="00634578">
            <w:pPr>
              <w:jc w:val="center"/>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2021-04-19</w:t>
            </w:r>
          </w:p>
        </w:tc>
      </w:tr>
    </w:tbl>
    <w:p w:rsidR="004967FB" w:rsidRPr="00634578" w:rsidP="00C74491">
      <w:pPr>
        <w:snapToGrid w:val="0"/>
        <w:spacing w:line="360" w:lineRule="auto"/>
        <w:ind w:firstLine="420" w:firstLineChars="200"/>
        <w:rPr>
          <w:rFonts w:asciiTheme="minorEastAsia" w:eastAsiaTheme="minorEastAsia" w:hAnsiTheme="minorEastAsia"/>
          <w:color w:val="000000" w:themeColor="text1"/>
          <w:szCs w:val="21"/>
        </w:rPr>
      </w:pPr>
      <w:r w:rsidRPr="00634578">
        <w:rPr>
          <w:rFonts w:asciiTheme="minorEastAsia" w:eastAsiaTheme="minorEastAsia" w:hAnsiTheme="minorEastAsia"/>
          <w:color w:val="000000" w:themeColor="text1"/>
        </w:rPr>
        <w:t>注：以上公告事项披露在规定媒介及基金管理人网站上。</w:t>
      </w:r>
    </w:p>
    <w:p w:rsidR="00DB3659" w:rsidRPr="00634578" w:rsidP="00BB159E">
      <w:pPr>
        <w:snapToGrid w:val="0"/>
        <w:spacing w:line="360" w:lineRule="auto"/>
        <w:rPr>
          <w:rFonts w:asciiTheme="minorEastAsia" w:eastAsiaTheme="minorEastAsia" w:hAnsiTheme="minorEastAsia"/>
          <w:color w:val="000000" w:themeColor="text1"/>
        </w:rPr>
      </w:pPr>
    </w:p>
    <w:p w:rsidR="00DB3659" w:rsidRPr="00634578" w:rsidP="00BB159E">
      <w:pPr>
        <w:snapToGrid w:val="0"/>
        <w:spacing w:line="360" w:lineRule="auto"/>
        <w:rPr>
          <w:rFonts w:asciiTheme="minorEastAsia" w:eastAsiaTheme="minorEastAsia" w:hAnsiTheme="minorEastAsia"/>
          <w:color w:val="000000" w:themeColor="text1"/>
        </w:rPr>
      </w:pPr>
    </w:p>
    <w:p w:rsidR="00DB3659" w:rsidRPr="00634578" w:rsidP="00BB159E">
      <w:pPr>
        <w:snapToGrid w:val="0"/>
        <w:spacing w:line="360" w:lineRule="auto"/>
        <w:rPr>
          <w:rFonts w:asciiTheme="minorEastAsia" w:eastAsiaTheme="minorEastAsia" w:hAnsiTheme="minorEastAsia"/>
          <w:color w:val="000000" w:themeColor="text1"/>
        </w:rPr>
      </w:pPr>
    </w:p>
    <w:p w:rsidR="00DB3659" w:rsidRPr="00634578" w:rsidP="00BB159E">
      <w:pPr>
        <w:snapToGrid w:val="0"/>
        <w:spacing w:line="360" w:lineRule="auto"/>
        <w:rPr>
          <w:rFonts w:asciiTheme="minorEastAsia" w:eastAsiaTheme="minorEastAsia" w:hAnsiTheme="minorEastAsia"/>
          <w:color w:val="000000" w:themeColor="text1"/>
        </w:rPr>
      </w:pPr>
    </w:p>
    <w:p w:rsidR="00DB3659" w:rsidRPr="00634578" w:rsidP="00BB159E">
      <w:pPr>
        <w:pStyle w:val="Heading1"/>
        <w:snapToGrid w:val="0"/>
        <w:spacing w:beforeLines="0" w:afterLines="0" w:line="360" w:lineRule="auto"/>
        <w:ind w:firstLine="600"/>
        <w:rPr>
          <w:rFonts w:asciiTheme="minorEastAsia" w:eastAsiaTheme="minorEastAsia" w:hAnsiTheme="minorEastAsia"/>
          <w:bCs/>
          <w:color w:val="000000" w:themeColor="text1"/>
          <w:szCs w:val="20"/>
        </w:rPr>
      </w:pPr>
      <w:bookmarkStart w:id="106" w:name="_Toc91772058"/>
      <w:r w:rsidRPr="00634578">
        <w:rPr>
          <w:rFonts w:asciiTheme="minorEastAsia" w:eastAsiaTheme="minorEastAsia" w:hAnsiTheme="minorEastAsia" w:hint="eastAsia"/>
          <w:color w:val="000000" w:themeColor="text1"/>
          <w:sz w:val="30"/>
        </w:rPr>
        <w:t>二十六、招募说明书的存放及查阅方式</w:t>
      </w:r>
      <w:bookmarkEnd w:id="106"/>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本招募说明书存放在基金管理人、基金托管人及基金销售机构处，投资者可在营业时间免费查阅，也可按工本费购买复印件。</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基金管理人和基金托管人保证文本的内容与公告的内容完全一致。</w:t>
      </w:r>
    </w:p>
    <w:p w:rsidR="00DB3659" w:rsidRPr="00634578" w:rsidP="00BB159E">
      <w:pPr>
        <w:pStyle w:val="Heading1"/>
        <w:snapToGrid w:val="0"/>
        <w:spacing w:beforeLines="0" w:afterLines="0" w:line="360" w:lineRule="auto"/>
        <w:ind w:firstLine="600"/>
        <w:rPr>
          <w:rFonts w:asciiTheme="minorEastAsia" w:eastAsiaTheme="minorEastAsia" w:hAnsiTheme="minorEastAsia"/>
          <w:bCs/>
          <w:color w:val="000000" w:themeColor="text1"/>
          <w:szCs w:val="20"/>
        </w:rPr>
      </w:pPr>
      <w:r w:rsidRPr="00634578">
        <w:rPr>
          <w:rFonts w:asciiTheme="minorEastAsia" w:eastAsiaTheme="minorEastAsia" w:hAnsiTheme="minorEastAsia"/>
          <w:color w:val="000000" w:themeColor="text1"/>
          <w:sz w:val="30"/>
        </w:rPr>
        <w:br w:type="column"/>
      </w:r>
      <w:bookmarkStart w:id="107" w:name="_Toc91772059"/>
      <w:bookmarkStart w:id="108" w:name="_GoBack"/>
      <w:bookmarkEnd w:id="108"/>
      <w:r w:rsidRPr="00634578" w:rsidR="0080127D">
        <w:rPr>
          <w:rFonts w:asciiTheme="minorEastAsia" w:eastAsiaTheme="minorEastAsia" w:hAnsiTheme="minorEastAsia" w:hint="eastAsia"/>
          <w:color w:val="000000" w:themeColor="text1"/>
          <w:sz w:val="30"/>
        </w:rPr>
        <w:t>二十七</w:t>
      </w:r>
      <w:r w:rsidRPr="00634578">
        <w:rPr>
          <w:rFonts w:asciiTheme="minorEastAsia" w:eastAsiaTheme="minorEastAsia" w:hAnsiTheme="minorEastAsia" w:hint="eastAsia"/>
          <w:color w:val="000000" w:themeColor="text1"/>
          <w:sz w:val="30"/>
        </w:rPr>
        <w:t>、备查文件</w:t>
      </w:r>
      <w:bookmarkEnd w:id="107"/>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1</w:t>
      </w:r>
      <w:r w:rsidRPr="00634578">
        <w:rPr>
          <w:rFonts w:asciiTheme="minorEastAsia" w:eastAsiaTheme="minorEastAsia" w:hAnsiTheme="minorEastAsia" w:hint="eastAsia"/>
          <w:color w:val="000000" w:themeColor="text1"/>
        </w:rPr>
        <w:t>、中国证监会注册易方达龙宝货币市场基金募集的文件；</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w:t>
      </w:r>
      <w:r w:rsidRPr="00634578">
        <w:rPr>
          <w:rFonts w:asciiTheme="minorEastAsia" w:eastAsiaTheme="minorEastAsia" w:hAnsiTheme="minorEastAsia" w:hint="eastAsia"/>
          <w:color w:val="000000" w:themeColor="text1"/>
        </w:rPr>
        <w:t>、《易方达龙宝货币市场基金基金合同》；</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3</w:t>
      </w:r>
      <w:r w:rsidRPr="00634578">
        <w:rPr>
          <w:rFonts w:asciiTheme="minorEastAsia" w:eastAsiaTheme="minorEastAsia" w:hAnsiTheme="minorEastAsia" w:hint="eastAsia"/>
          <w:color w:val="000000" w:themeColor="text1"/>
        </w:rPr>
        <w:t>、《易方达龙宝货币市场基金托管协议》；</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4</w:t>
      </w:r>
      <w:r w:rsidRPr="00634578">
        <w:rPr>
          <w:rFonts w:asciiTheme="minorEastAsia" w:eastAsiaTheme="minorEastAsia" w:hAnsiTheme="minorEastAsia" w:hint="eastAsia"/>
          <w:color w:val="000000" w:themeColor="text1"/>
        </w:rPr>
        <w:t>、《易方达基金管理有限公司开放式基金业务规则》；</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5</w:t>
      </w:r>
      <w:r w:rsidRPr="00634578">
        <w:rPr>
          <w:rFonts w:asciiTheme="minorEastAsia" w:eastAsiaTheme="minorEastAsia" w:hAnsiTheme="minorEastAsia" w:hint="eastAsia"/>
          <w:color w:val="000000" w:themeColor="text1"/>
        </w:rPr>
        <w:t>、法律意见书；</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6</w:t>
      </w:r>
      <w:r w:rsidRPr="00634578">
        <w:rPr>
          <w:rFonts w:asciiTheme="minorEastAsia" w:eastAsiaTheme="minorEastAsia" w:hAnsiTheme="minorEastAsia" w:hint="eastAsia"/>
          <w:color w:val="000000" w:themeColor="text1"/>
        </w:rPr>
        <w:t>、基金管理人业务资格批件、营业执照；</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7</w:t>
      </w:r>
      <w:r w:rsidRPr="00634578">
        <w:rPr>
          <w:rFonts w:asciiTheme="minorEastAsia" w:eastAsiaTheme="minorEastAsia" w:hAnsiTheme="minorEastAsia" w:hint="eastAsia"/>
          <w:color w:val="000000" w:themeColor="text1"/>
        </w:rPr>
        <w:t>、基金托管人业务资格批件、营业执照。</w:t>
      </w:r>
    </w:p>
    <w:p w:rsidR="00DB3659" w:rsidRPr="00634578" w:rsidP="00BB159E">
      <w:pPr>
        <w:snapToGrid w:val="0"/>
        <w:spacing w:line="360" w:lineRule="auto"/>
        <w:ind w:firstLine="420" w:firstLineChars="200"/>
        <w:rPr>
          <w:rFonts w:asciiTheme="minorEastAsia" w:eastAsiaTheme="minorEastAsia" w:hAnsiTheme="minorEastAsia"/>
          <w:color w:val="000000" w:themeColor="text1"/>
        </w:rPr>
      </w:pPr>
      <w:r w:rsidRPr="00634578">
        <w:rPr>
          <w:rFonts w:asciiTheme="minorEastAsia" w:eastAsiaTheme="minorEastAsia" w:hAnsiTheme="minorEastAsia" w:hint="eastAsia"/>
          <w:color w:val="000000" w:themeColor="text1"/>
        </w:rPr>
        <w:t>存放地点：基金管理人、基金托管人处</w:t>
      </w:r>
    </w:p>
    <w:p w:rsidR="00DB3659" w:rsidRPr="00634578" w:rsidP="00BB159E">
      <w:pPr>
        <w:pStyle w:val="PlainText"/>
        <w:snapToGrid w:val="0"/>
        <w:spacing w:line="360" w:lineRule="auto"/>
        <w:ind w:firstLine="420"/>
        <w:rPr>
          <w:rFonts w:asciiTheme="minorEastAsia" w:eastAsiaTheme="minorEastAsia" w:hAnsiTheme="minorEastAsia"/>
          <w:color w:val="000000" w:themeColor="text1"/>
          <w:sz w:val="21"/>
        </w:rPr>
      </w:pPr>
      <w:r w:rsidRPr="00634578">
        <w:rPr>
          <w:rFonts w:asciiTheme="minorEastAsia" w:eastAsiaTheme="minorEastAsia" w:hAnsiTheme="minorEastAsia" w:hint="eastAsia"/>
          <w:color w:val="000000" w:themeColor="text1"/>
          <w:sz w:val="21"/>
        </w:rPr>
        <w:t>查阅方式：投资者可在营业时间免费查阅，也可按工本费购买复印件。</w:t>
      </w:r>
    </w:p>
    <w:p w:rsidR="00DB3659" w:rsidRPr="00634578" w:rsidP="00BB159E">
      <w:pPr>
        <w:pStyle w:val="PlainText"/>
        <w:snapToGrid w:val="0"/>
        <w:spacing w:line="360" w:lineRule="auto"/>
        <w:ind w:firstLine="420"/>
        <w:rPr>
          <w:rFonts w:asciiTheme="minorEastAsia" w:eastAsiaTheme="minorEastAsia" w:hAnsiTheme="minorEastAsia"/>
          <w:color w:val="000000" w:themeColor="text1"/>
          <w:sz w:val="21"/>
        </w:rPr>
      </w:pPr>
    </w:p>
    <w:p w:rsidR="00DB3659" w:rsidRPr="00634578" w:rsidP="00BB159E">
      <w:pPr>
        <w:pStyle w:val="PlainText"/>
        <w:snapToGrid w:val="0"/>
        <w:spacing w:line="360" w:lineRule="auto"/>
        <w:ind w:firstLine="420"/>
        <w:rPr>
          <w:rFonts w:asciiTheme="minorEastAsia" w:eastAsiaTheme="minorEastAsia" w:hAnsiTheme="minorEastAsia"/>
          <w:color w:val="000000" w:themeColor="text1"/>
          <w:sz w:val="21"/>
        </w:rPr>
      </w:pPr>
    </w:p>
    <w:p w:rsidR="00DB3659" w:rsidRPr="00634578" w:rsidP="00BB159E">
      <w:pPr>
        <w:pStyle w:val="PlainText"/>
        <w:snapToGrid w:val="0"/>
        <w:spacing w:line="360" w:lineRule="auto"/>
        <w:ind w:firstLine="420"/>
        <w:jc w:val="right"/>
        <w:rPr>
          <w:rFonts w:asciiTheme="minorEastAsia" w:eastAsiaTheme="minorEastAsia" w:hAnsiTheme="minorEastAsia"/>
          <w:color w:val="000000" w:themeColor="text1"/>
          <w:sz w:val="21"/>
        </w:rPr>
      </w:pPr>
      <w:bookmarkStart w:id="109" w:name="_Toc38438350"/>
      <w:bookmarkStart w:id="110" w:name="_Toc38438687"/>
      <w:bookmarkStart w:id="111" w:name="_Toc38439024"/>
      <w:bookmarkStart w:id="112" w:name="_Toc38439361"/>
      <w:bookmarkStart w:id="113" w:name="_Toc38439698"/>
      <w:bookmarkStart w:id="114" w:name="_Toc38440035"/>
      <w:bookmarkStart w:id="115" w:name="_Toc38440372"/>
      <w:bookmarkStart w:id="116" w:name="_Toc38440904"/>
      <w:bookmarkStart w:id="117" w:name="_Toc38441236"/>
      <w:bookmarkStart w:id="118" w:name="_Toc38441568"/>
      <w:bookmarkStart w:id="119" w:name="_Toc38441896"/>
      <w:bookmarkStart w:id="120" w:name="_Toc38442228"/>
      <w:bookmarkStart w:id="121" w:name="_Toc38442560"/>
      <w:bookmarkStart w:id="122" w:name="_Toc38442891"/>
      <w:bookmarkStart w:id="123" w:name="_Toc38443222"/>
      <w:bookmarkStart w:id="124" w:name="_Toc38443553"/>
      <w:bookmarkStart w:id="125" w:name="_Toc38443883"/>
      <w:bookmarkStart w:id="126" w:name="_Toc38438351"/>
      <w:bookmarkStart w:id="127" w:name="_Toc38438688"/>
      <w:bookmarkStart w:id="128" w:name="_Toc38439025"/>
      <w:bookmarkStart w:id="129" w:name="_Toc38439362"/>
      <w:bookmarkStart w:id="130" w:name="_Toc38439699"/>
      <w:bookmarkStart w:id="131" w:name="_Toc38440036"/>
      <w:bookmarkStart w:id="132" w:name="_Toc38440373"/>
      <w:bookmarkStart w:id="133" w:name="_Toc38440905"/>
      <w:bookmarkStart w:id="134" w:name="_Toc38441237"/>
      <w:bookmarkStart w:id="135" w:name="_Toc38441569"/>
      <w:bookmarkStart w:id="136" w:name="_Toc38441897"/>
      <w:bookmarkStart w:id="137" w:name="_Toc38442229"/>
      <w:bookmarkStart w:id="138" w:name="_Toc38442561"/>
      <w:bookmarkStart w:id="139" w:name="_Toc38442892"/>
      <w:bookmarkStart w:id="140" w:name="_Toc38443223"/>
      <w:bookmarkStart w:id="141" w:name="_Toc38443554"/>
      <w:bookmarkStart w:id="142" w:name="_Toc38443884"/>
      <w:bookmarkStart w:id="143" w:name="_Toc38438352"/>
      <w:bookmarkStart w:id="144" w:name="_Toc38438689"/>
      <w:bookmarkStart w:id="145" w:name="_Toc38439026"/>
      <w:bookmarkStart w:id="146" w:name="_Toc38439363"/>
      <w:bookmarkStart w:id="147" w:name="_Toc38439700"/>
      <w:bookmarkStart w:id="148" w:name="_Toc38440037"/>
      <w:bookmarkStart w:id="149" w:name="_Toc38440374"/>
      <w:bookmarkStart w:id="150" w:name="_Toc38440906"/>
      <w:bookmarkStart w:id="151" w:name="_Toc38441238"/>
      <w:bookmarkStart w:id="152" w:name="_Toc38441570"/>
      <w:bookmarkStart w:id="153" w:name="_Toc38441898"/>
      <w:bookmarkStart w:id="154" w:name="_Toc38442230"/>
      <w:bookmarkStart w:id="155" w:name="_Toc38442562"/>
      <w:bookmarkStart w:id="156" w:name="_Toc38442893"/>
      <w:bookmarkStart w:id="157" w:name="_Toc38443224"/>
      <w:bookmarkStart w:id="158" w:name="_Toc38443555"/>
      <w:bookmarkStart w:id="159" w:name="_Toc38443885"/>
      <w:bookmarkStart w:id="160" w:name="_Toc38438353"/>
      <w:bookmarkStart w:id="161" w:name="_Toc38438690"/>
      <w:bookmarkStart w:id="162" w:name="_Toc38439027"/>
      <w:bookmarkStart w:id="163" w:name="_Toc38439364"/>
      <w:bookmarkStart w:id="164" w:name="_Toc38439701"/>
      <w:bookmarkStart w:id="165" w:name="_Toc38440038"/>
      <w:bookmarkStart w:id="166" w:name="_Toc38440375"/>
      <w:bookmarkStart w:id="167" w:name="_Toc38440907"/>
      <w:bookmarkStart w:id="168" w:name="_Toc38441239"/>
      <w:bookmarkStart w:id="169" w:name="_Toc38441571"/>
      <w:bookmarkStart w:id="170" w:name="_Toc38441899"/>
      <w:bookmarkStart w:id="171" w:name="_Toc38442231"/>
      <w:bookmarkStart w:id="172" w:name="_Toc38442563"/>
      <w:bookmarkStart w:id="173" w:name="_Toc38442894"/>
      <w:bookmarkStart w:id="174" w:name="_Toc38443225"/>
      <w:bookmarkStart w:id="175" w:name="_Toc38443556"/>
      <w:bookmarkStart w:id="176" w:name="_Toc38443886"/>
      <w:bookmarkStart w:id="177" w:name="_Toc38438354"/>
      <w:bookmarkStart w:id="178" w:name="_Toc38438691"/>
      <w:bookmarkStart w:id="179" w:name="_Toc38439028"/>
      <w:bookmarkStart w:id="180" w:name="_Toc38439365"/>
      <w:bookmarkStart w:id="181" w:name="_Toc38439702"/>
      <w:bookmarkStart w:id="182" w:name="_Toc38440039"/>
      <w:bookmarkStart w:id="183" w:name="_Toc38440376"/>
      <w:bookmarkStart w:id="184" w:name="_Toc38440908"/>
      <w:bookmarkStart w:id="185" w:name="_Toc38441240"/>
      <w:bookmarkStart w:id="186" w:name="_Toc38441572"/>
      <w:bookmarkStart w:id="187" w:name="_Toc38441900"/>
      <w:bookmarkStart w:id="188" w:name="_Toc38442232"/>
      <w:bookmarkStart w:id="189" w:name="_Toc38442564"/>
      <w:bookmarkStart w:id="190" w:name="_Toc38442895"/>
      <w:bookmarkStart w:id="191" w:name="_Toc38443226"/>
      <w:bookmarkStart w:id="192" w:name="_Toc38443557"/>
      <w:bookmarkStart w:id="193" w:name="_Toc38443887"/>
      <w:bookmarkStart w:id="194" w:name="_Toc38438355"/>
      <w:bookmarkStart w:id="195" w:name="_Toc38438692"/>
      <w:bookmarkStart w:id="196" w:name="_Toc38439029"/>
      <w:bookmarkStart w:id="197" w:name="_Toc38439366"/>
      <w:bookmarkStart w:id="198" w:name="_Toc38439703"/>
      <w:bookmarkStart w:id="199" w:name="_Toc38440040"/>
      <w:bookmarkStart w:id="200" w:name="_Toc38440377"/>
      <w:bookmarkStart w:id="201" w:name="_Toc38440909"/>
      <w:bookmarkStart w:id="202" w:name="_Toc38441241"/>
      <w:bookmarkStart w:id="203" w:name="_Toc38441573"/>
      <w:bookmarkStart w:id="204" w:name="_Toc38441901"/>
      <w:bookmarkStart w:id="205" w:name="_Toc38442233"/>
      <w:bookmarkStart w:id="206" w:name="_Toc38442565"/>
      <w:bookmarkStart w:id="207" w:name="_Toc38442896"/>
      <w:bookmarkStart w:id="208" w:name="_Toc38443227"/>
      <w:bookmarkStart w:id="209" w:name="_Toc38443558"/>
      <w:bookmarkStart w:id="210" w:name="_Toc38443888"/>
      <w:bookmarkStart w:id="211" w:name="_Toc38438356"/>
      <w:bookmarkStart w:id="212" w:name="_Toc38438693"/>
      <w:bookmarkStart w:id="213" w:name="_Toc38439030"/>
      <w:bookmarkStart w:id="214" w:name="_Toc38439367"/>
      <w:bookmarkStart w:id="215" w:name="_Toc38439704"/>
      <w:bookmarkStart w:id="216" w:name="_Toc38440041"/>
      <w:bookmarkStart w:id="217" w:name="_Toc38440378"/>
      <w:bookmarkStart w:id="218" w:name="_Toc38440910"/>
      <w:bookmarkStart w:id="219" w:name="_Toc38441242"/>
      <w:bookmarkStart w:id="220" w:name="_Toc38441574"/>
      <w:bookmarkStart w:id="221" w:name="_Toc38441902"/>
      <w:bookmarkStart w:id="222" w:name="_Toc38442234"/>
      <w:bookmarkStart w:id="223" w:name="_Toc38442566"/>
      <w:bookmarkStart w:id="224" w:name="_Toc38442897"/>
      <w:bookmarkStart w:id="225" w:name="_Toc38443228"/>
      <w:bookmarkStart w:id="226" w:name="_Toc38443559"/>
      <w:bookmarkStart w:id="227" w:name="_Toc38443889"/>
      <w:bookmarkStart w:id="228" w:name="_Toc38438357"/>
      <w:bookmarkStart w:id="229" w:name="_Toc38438694"/>
      <w:bookmarkStart w:id="230" w:name="_Toc38439031"/>
      <w:bookmarkStart w:id="231" w:name="_Toc38439368"/>
      <w:bookmarkStart w:id="232" w:name="_Toc38439705"/>
      <w:bookmarkStart w:id="233" w:name="_Toc38440042"/>
      <w:bookmarkStart w:id="234" w:name="_Toc38440379"/>
      <w:bookmarkStart w:id="235" w:name="_Toc38440911"/>
      <w:bookmarkStart w:id="236" w:name="_Toc38441243"/>
      <w:bookmarkStart w:id="237" w:name="_Toc38441575"/>
      <w:bookmarkStart w:id="238" w:name="_Toc38441903"/>
      <w:bookmarkStart w:id="239" w:name="_Toc38442235"/>
      <w:bookmarkStart w:id="240" w:name="_Toc38442567"/>
      <w:bookmarkStart w:id="241" w:name="_Toc38442898"/>
      <w:bookmarkStart w:id="242" w:name="_Toc38443229"/>
      <w:bookmarkStart w:id="243" w:name="_Toc38443560"/>
      <w:bookmarkStart w:id="244" w:name="_Toc38443890"/>
      <w:bookmarkStart w:id="245" w:name="_Toc38438358"/>
      <w:bookmarkStart w:id="246" w:name="_Toc38438695"/>
      <w:bookmarkStart w:id="247" w:name="_Toc38439032"/>
      <w:bookmarkStart w:id="248" w:name="_Toc38439369"/>
      <w:bookmarkStart w:id="249" w:name="_Toc38439706"/>
      <w:bookmarkStart w:id="250" w:name="_Toc38440043"/>
      <w:bookmarkStart w:id="251" w:name="_Toc38440380"/>
      <w:bookmarkStart w:id="252" w:name="_Toc38440912"/>
      <w:bookmarkStart w:id="253" w:name="_Toc38441244"/>
      <w:bookmarkStart w:id="254" w:name="_Toc38441576"/>
      <w:bookmarkStart w:id="255" w:name="_Toc38441904"/>
      <w:bookmarkStart w:id="256" w:name="_Toc38442236"/>
      <w:bookmarkStart w:id="257" w:name="_Toc38442568"/>
      <w:bookmarkStart w:id="258" w:name="_Toc38442899"/>
      <w:bookmarkStart w:id="259" w:name="_Toc38443230"/>
      <w:bookmarkStart w:id="260" w:name="_Toc38443561"/>
      <w:bookmarkStart w:id="261" w:name="_Toc38443891"/>
      <w:bookmarkStart w:id="262" w:name="_Toc38438359"/>
      <w:bookmarkStart w:id="263" w:name="_Toc38438696"/>
      <w:bookmarkStart w:id="264" w:name="_Toc38439033"/>
      <w:bookmarkStart w:id="265" w:name="_Toc38439370"/>
      <w:bookmarkStart w:id="266" w:name="_Toc38439707"/>
      <w:bookmarkStart w:id="267" w:name="_Toc38440044"/>
      <w:bookmarkStart w:id="268" w:name="_Toc38440381"/>
      <w:bookmarkStart w:id="269" w:name="_Toc38440913"/>
      <w:bookmarkStart w:id="270" w:name="_Toc38441245"/>
      <w:bookmarkStart w:id="271" w:name="_Toc38441577"/>
      <w:bookmarkStart w:id="272" w:name="_Toc38441905"/>
      <w:bookmarkStart w:id="273" w:name="_Toc38442237"/>
      <w:bookmarkStart w:id="274" w:name="_Toc38442569"/>
      <w:bookmarkStart w:id="275" w:name="_Toc38442900"/>
      <w:bookmarkStart w:id="276" w:name="_Toc38443231"/>
      <w:bookmarkStart w:id="277" w:name="_Toc38443562"/>
      <w:bookmarkStart w:id="278" w:name="_Toc38443892"/>
      <w:bookmarkStart w:id="279" w:name="_Toc38438360"/>
      <w:bookmarkStart w:id="280" w:name="_Toc38438697"/>
      <w:bookmarkStart w:id="281" w:name="_Toc38439034"/>
      <w:bookmarkStart w:id="282" w:name="_Toc38439371"/>
      <w:bookmarkStart w:id="283" w:name="_Toc38439708"/>
      <w:bookmarkStart w:id="284" w:name="_Toc38440045"/>
      <w:bookmarkStart w:id="285" w:name="_Toc38440382"/>
      <w:bookmarkStart w:id="286" w:name="_Toc38440914"/>
      <w:bookmarkStart w:id="287" w:name="_Toc38441246"/>
      <w:bookmarkStart w:id="288" w:name="_Toc38441578"/>
      <w:bookmarkStart w:id="289" w:name="_Toc38441906"/>
      <w:bookmarkStart w:id="290" w:name="_Toc38442238"/>
      <w:bookmarkStart w:id="291" w:name="_Toc38442570"/>
      <w:bookmarkStart w:id="292" w:name="_Toc38442901"/>
      <w:bookmarkStart w:id="293" w:name="_Toc38443232"/>
      <w:bookmarkStart w:id="294" w:name="_Toc38443563"/>
      <w:bookmarkStart w:id="295" w:name="_Toc38443893"/>
      <w:bookmarkStart w:id="296" w:name="_Toc38438361"/>
      <w:bookmarkStart w:id="297" w:name="_Toc38438698"/>
      <w:bookmarkStart w:id="298" w:name="_Toc38439035"/>
      <w:bookmarkStart w:id="299" w:name="_Toc38439372"/>
      <w:bookmarkStart w:id="300" w:name="_Toc38439709"/>
      <w:bookmarkStart w:id="301" w:name="_Toc38440046"/>
      <w:bookmarkStart w:id="302" w:name="_Toc38440383"/>
      <w:bookmarkStart w:id="303" w:name="_Toc38440915"/>
      <w:bookmarkStart w:id="304" w:name="_Toc38441247"/>
      <w:bookmarkStart w:id="305" w:name="_Toc38441579"/>
      <w:bookmarkStart w:id="306" w:name="_Toc38441907"/>
      <w:bookmarkStart w:id="307" w:name="_Toc38442239"/>
      <w:bookmarkStart w:id="308" w:name="_Toc38442571"/>
      <w:bookmarkStart w:id="309" w:name="_Toc38442902"/>
      <w:bookmarkStart w:id="310" w:name="_Toc38443233"/>
      <w:bookmarkStart w:id="311" w:name="_Toc38443564"/>
      <w:bookmarkStart w:id="312" w:name="_Toc38443894"/>
      <w:bookmarkStart w:id="313" w:name="_Toc38438362"/>
      <w:bookmarkStart w:id="314" w:name="_Toc38438699"/>
      <w:bookmarkStart w:id="315" w:name="_Toc38439036"/>
      <w:bookmarkStart w:id="316" w:name="_Toc38439373"/>
      <w:bookmarkStart w:id="317" w:name="_Toc38439710"/>
      <w:bookmarkStart w:id="318" w:name="_Toc38440047"/>
      <w:bookmarkStart w:id="319" w:name="_Toc38440384"/>
      <w:bookmarkStart w:id="320" w:name="_Toc38440916"/>
      <w:bookmarkStart w:id="321" w:name="_Toc38441248"/>
      <w:bookmarkStart w:id="322" w:name="_Toc38441580"/>
      <w:bookmarkStart w:id="323" w:name="_Toc38441908"/>
      <w:bookmarkStart w:id="324" w:name="_Toc38442240"/>
      <w:bookmarkStart w:id="325" w:name="_Toc38442572"/>
      <w:bookmarkStart w:id="326" w:name="_Toc38442903"/>
      <w:bookmarkStart w:id="327" w:name="_Toc38443234"/>
      <w:bookmarkStart w:id="328" w:name="_Toc38443565"/>
      <w:bookmarkStart w:id="329" w:name="_Toc38443895"/>
      <w:bookmarkStart w:id="330" w:name="_Toc38438363"/>
      <w:bookmarkStart w:id="331" w:name="_Toc38438700"/>
      <w:bookmarkStart w:id="332" w:name="_Toc38439037"/>
      <w:bookmarkStart w:id="333" w:name="_Toc38439374"/>
      <w:bookmarkStart w:id="334" w:name="_Toc38439711"/>
      <w:bookmarkStart w:id="335" w:name="_Toc38440048"/>
      <w:bookmarkStart w:id="336" w:name="_Toc38440385"/>
      <w:bookmarkStart w:id="337" w:name="_Toc38440917"/>
      <w:bookmarkStart w:id="338" w:name="_Toc38441249"/>
      <w:bookmarkStart w:id="339" w:name="_Toc38441581"/>
      <w:bookmarkStart w:id="340" w:name="_Toc38441909"/>
      <w:bookmarkStart w:id="341" w:name="_Toc38442241"/>
      <w:bookmarkStart w:id="342" w:name="_Toc38442573"/>
      <w:bookmarkStart w:id="343" w:name="_Toc38442904"/>
      <w:bookmarkStart w:id="344" w:name="_Toc38443235"/>
      <w:bookmarkStart w:id="345" w:name="_Toc38443566"/>
      <w:bookmarkStart w:id="346" w:name="_Toc38443896"/>
      <w:bookmarkStart w:id="347" w:name="_Toc38438364"/>
      <w:bookmarkStart w:id="348" w:name="_Toc38438701"/>
      <w:bookmarkStart w:id="349" w:name="_Toc38439038"/>
      <w:bookmarkStart w:id="350" w:name="_Toc38439375"/>
      <w:bookmarkStart w:id="351" w:name="_Toc38439712"/>
      <w:bookmarkStart w:id="352" w:name="_Toc38440049"/>
      <w:bookmarkStart w:id="353" w:name="_Toc38440386"/>
      <w:bookmarkStart w:id="354" w:name="_Toc38440918"/>
      <w:bookmarkStart w:id="355" w:name="_Toc38441250"/>
      <w:bookmarkStart w:id="356" w:name="_Toc38441582"/>
      <w:bookmarkStart w:id="357" w:name="_Toc38441910"/>
      <w:bookmarkStart w:id="358" w:name="_Toc38442242"/>
      <w:bookmarkStart w:id="359" w:name="_Toc38442574"/>
      <w:bookmarkStart w:id="360" w:name="_Toc38442905"/>
      <w:bookmarkStart w:id="361" w:name="_Toc38443236"/>
      <w:bookmarkStart w:id="362" w:name="_Toc38443567"/>
      <w:bookmarkStart w:id="363" w:name="_Toc38443897"/>
      <w:bookmarkStart w:id="364" w:name="_Toc38438365"/>
      <w:bookmarkStart w:id="365" w:name="_Toc38438702"/>
      <w:bookmarkStart w:id="366" w:name="_Toc38439039"/>
      <w:bookmarkStart w:id="367" w:name="_Toc38439376"/>
      <w:bookmarkStart w:id="368" w:name="_Toc38439713"/>
      <w:bookmarkStart w:id="369" w:name="_Toc38440050"/>
      <w:bookmarkStart w:id="370" w:name="_Toc38440387"/>
      <w:bookmarkStart w:id="371" w:name="_Toc38440919"/>
      <w:bookmarkStart w:id="372" w:name="_Toc38441251"/>
      <w:bookmarkStart w:id="373" w:name="_Toc38441583"/>
      <w:bookmarkStart w:id="374" w:name="_Toc38441911"/>
      <w:bookmarkStart w:id="375" w:name="_Toc38442243"/>
      <w:bookmarkStart w:id="376" w:name="_Toc38442575"/>
      <w:bookmarkStart w:id="377" w:name="_Toc38442906"/>
      <w:bookmarkStart w:id="378" w:name="_Toc38443237"/>
      <w:bookmarkStart w:id="379" w:name="_Toc38443568"/>
      <w:bookmarkStart w:id="380" w:name="_Toc38443898"/>
      <w:bookmarkStart w:id="381" w:name="_Toc38438366"/>
      <w:bookmarkStart w:id="382" w:name="_Toc38438703"/>
      <w:bookmarkStart w:id="383" w:name="_Toc38439040"/>
      <w:bookmarkStart w:id="384" w:name="_Toc38439377"/>
      <w:bookmarkStart w:id="385" w:name="_Toc38439714"/>
      <w:bookmarkStart w:id="386" w:name="_Toc38440051"/>
      <w:bookmarkStart w:id="387" w:name="_Toc38440388"/>
      <w:bookmarkStart w:id="388" w:name="_Toc38440920"/>
      <w:bookmarkStart w:id="389" w:name="_Toc38441252"/>
      <w:bookmarkStart w:id="390" w:name="_Toc38441584"/>
      <w:bookmarkStart w:id="391" w:name="_Toc38441912"/>
      <w:bookmarkStart w:id="392" w:name="_Toc38442244"/>
      <w:bookmarkStart w:id="393" w:name="_Toc38442576"/>
      <w:bookmarkStart w:id="394" w:name="_Toc38442907"/>
      <w:bookmarkStart w:id="395" w:name="_Toc38443238"/>
      <w:bookmarkStart w:id="396" w:name="_Toc38443569"/>
      <w:bookmarkStart w:id="397" w:name="_Toc38443899"/>
      <w:bookmarkStart w:id="398" w:name="_Toc38438367"/>
      <w:bookmarkStart w:id="399" w:name="_Toc38438704"/>
      <w:bookmarkStart w:id="400" w:name="_Toc38439041"/>
      <w:bookmarkStart w:id="401" w:name="_Toc38439378"/>
      <w:bookmarkStart w:id="402" w:name="_Toc38439715"/>
      <w:bookmarkStart w:id="403" w:name="_Toc38440052"/>
      <w:bookmarkStart w:id="404" w:name="_Toc38440389"/>
      <w:bookmarkStart w:id="405" w:name="_Toc38440921"/>
      <w:bookmarkStart w:id="406" w:name="_Toc38441253"/>
      <w:bookmarkStart w:id="407" w:name="_Toc38441585"/>
      <w:bookmarkStart w:id="408" w:name="_Toc38441913"/>
      <w:bookmarkStart w:id="409" w:name="_Toc38442245"/>
      <w:bookmarkStart w:id="410" w:name="_Toc38442577"/>
      <w:bookmarkStart w:id="411" w:name="_Toc38442908"/>
      <w:bookmarkStart w:id="412" w:name="_Toc38443239"/>
      <w:bookmarkStart w:id="413" w:name="_Toc38443570"/>
      <w:bookmarkStart w:id="414" w:name="_Toc38443900"/>
      <w:bookmarkStart w:id="415" w:name="_Toc38438368"/>
      <w:bookmarkStart w:id="416" w:name="_Toc38438705"/>
      <w:bookmarkStart w:id="417" w:name="_Toc38439042"/>
      <w:bookmarkStart w:id="418" w:name="_Toc38439379"/>
      <w:bookmarkStart w:id="419" w:name="_Toc38439716"/>
      <w:bookmarkStart w:id="420" w:name="_Toc38440053"/>
      <w:bookmarkStart w:id="421" w:name="_Toc38440390"/>
      <w:bookmarkStart w:id="422" w:name="_Toc38440922"/>
      <w:bookmarkStart w:id="423" w:name="_Toc38441254"/>
      <w:bookmarkStart w:id="424" w:name="_Toc38441586"/>
      <w:bookmarkStart w:id="425" w:name="_Toc38441914"/>
      <w:bookmarkStart w:id="426" w:name="_Toc38442246"/>
      <w:bookmarkStart w:id="427" w:name="_Toc38442578"/>
      <w:bookmarkStart w:id="428" w:name="_Toc38442909"/>
      <w:bookmarkStart w:id="429" w:name="_Toc38443240"/>
      <w:bookmarkStart w:id="430" w:name="_Toc38443571"/>
      <w:bookmarkStart w:id="431" w:name="_Toc38443901"/>
      <w:bookmarkStart w:id="432" w:name="_Toc38438369"/>
      <w:bookmarkStart w:id="433" w:name="_Toc38438706"/>
      <w:bookmarkStart w:id="434" w:name="_Toc38439043"/>
      <w:bookmarkStart w:id="435" w:name="_Toc38439380"/>
      <w:bookmarkStart w:id="436" w:name="_Toc38439717"/>
      <w:bookmarkStart w:id="437" w:name="_Toc38440054"/>
      <w:bookmarkStart w:id="438" w:name="_Toc38440391"/>
      <w:bookmarkStart w:id="439" w:name="_Toc38440923"/>
      <w:bookmarkStart w:id="440" w:name="_Toc38441255"/>
      <w:bookmarkStart w:id="441" w:name="_Toc38441587"/>
      <w:bookmarkStart w:id="442" w:name="_Toc38441915"/>
      <w:bookmarkStart w:id="443" w:name="_Toc38442247"/>
      <w:bookmarkStart w:id="444" w:name="_Toc38442579"/>
      <w:bookmarkStart w:id="445" w:name="_Toc38442910"/>
      <w:bookmarkStart w:id="446" w:name="_Toc38443241"/>
      <w:bookmarkStart w:id="447" w:name="_Toc38443572"/>
      <w:bookmarkStart w:id="448" w:name="_Toc38443902"/>
      <w:bookmarkStart w:id="449" w:name="_Toc38438371"/>
      <w:bookmarkStart w:id="450" w:name="_Toc38438708"/>
      <w:bookmarkStart w:id="451" w:name="_Toc38439045"/>
      <w:bookmarkStart w:id="452" w:name="_Toc38439382"/>
      <w:bookmarkStart w:id="453" w:name="_Toc38439719"/>
      <w:bookmarkStart w:id="454" w:name="_Toc38440056"/>
      <w:bookmarkStart w:id="455" w:name="_Toc38440393"/>
      <w:bookmarkStart w:id="456" w:name="_Toc38440925"/>
      <w:bookmarkStart w:id="457" w:name="_Toc38441257"/>
      <w:bookmarkStart w:id="458" w:name="_Toc38441589"/>
      <w:bookmarkStart w:id="459" w:name="_Toc38441917"/>
      <w:bookmarkStart w:id="460" w:name="_Toc38442249"/>
      <w:bookmarkStart w:id="461" w:name="_Toc38442581"/>
      <w:bookmarkStart w:id="462" w:name="_Toc38442912"/>
      <w:bookmarkStart w:id="463" w:name="_Toc38443243"/>
      <w:bookmarkStart w:id="464" w:name="_Toc38443574"/>
      <w:bookmarkStart w:id="465" w:name="_Toc38443904"/>
      <w:bookmarkStart w:id="466" w:name="_Toc38438372"/>
      <w:bookmarkStart w:id="467" w:name="_Toc38438709"/>
      <w:bookmarkStart w:id="468" w:name="_Toc38439046"/>
      <w:bookmarkStart w:id="469" w:name="_Toc38439383"/>
      <w:bookmarkStart w:id="470" w:name="_Toc38439720"/>
      <w:bookmarkStart w:id="471" w:name="_Toc38440057"/>
      <w:bookmarkStart w:id="472" w:name="_Toc38440394"/>
      <w:bookmarkStart w:id="473" w:name="_Toc38440926"/>
      <w:bookmarkStart w:id="474" w:name="_Toc38441258"/>
      <w:bookmarkStart w:id="475" w:name="_Toc38441590"/>
      <w:bookmarkStart w:id="476" w:name="_Toc38441918"/>
      <w:bookmarkStart w:id="477" w:name="_Toc38442250"/>
      <w:bookmarkStart w:id="478" w:name="_Toc38442582"/>
      <w:bookmarkStart w:id="479" w:name="_Toc38442913"/>
      <w:bookmarkStart w:id="480" w:name="_Toc38443244"/>
      <w:bookmarkStart w:id="481" w:name="_Toc38443575"/>
      <w:bookmarkStart w:id="482" w:name="_Toc38443905"/>
      <w:bookmarkStart w:id="483" w:name="_Toc38438373"/>
      <w:bookmarkStart w:id="484" w:name="_Toc38438710"/>
      <w:bookmarkStart w:id="485" w:name="_Toc38439047"/>
      <w:bookmarkStart w:id="486" w:name="_Toc38439384"/>
      <w:bookmarkStart w:id="487" w:name="_Toc38439721"/>
      <w:bookmarkStart w:id="488" w:name="_Toc38440058"/>
      <w:bookmarkStart w:id="489" w:name="_Toc38440395"/>
      <w:bookmarkStart w:id="490" w:name="_Toc38440927"/>
      <w:bookmarkStart w:id="491" w:name="_Toc38441259"/>
      <w:bookmarkStart w:id="492" w:name="_Toc38441591"/>
      <w:bookmarkStart w:id="493" w:name="_Toc38441919"/>
      <w:bookmarkStart w:id="494" w:name="_Toc38442251"/>
      <w:bookmarkStart w:id="495" w:name="_Toc38442583"/>
      <w:bookmarkStart w:id="496" w:name="_Toc38442914"/>
      <w:bookmarkStart w:id="497" w:name="_Toc38443245"/>
      <w:bookmarkStart w:id="498" w:name="_Toc38443576"/>
      <w:bookmarkStart w:id="499" w:name="_Toc38443906"/>
      <w:bookmarkStart w:id="500" w:name="_Toc38438374"/>
      <w:bookmarkStart w:id="501" w:name="_Toc38438711"/>
      <w:bookmarkStart w:id="502" w:name="_Toc38439048"/>
      <w:bookmarkStart w:id="503" w:name="_Toc38439385"/>
      <w:bookmarkStart w:id="504" w:name="_Toc38439722"/>
      <w:bookmarkStart w:id="505" w:name="_Toc38440059"/>
      <w:bookmarkStart w:id="506" w:name="_Toc38440396"/>
      <w:bookmarkStart w:id="507" w:name="_Toc38440928"/>
      <w:bookmarkStart w:id="508" w:name="_Toc38441260"/>
      <w:bookmarkStart w:id="509" w:name="_Toc38441592"/>
      <w:bookmarkStart w:id="510" w:name="_Toc38441920"/>
      <w:bookmarkStart w:id="511" w:name="_Toc38442252"/>
      <w:bookmarkStart w:id="512" w:name="_Toc38442584"/>
      <w:bookmarkStart w:id="513" w:name="_Toc38442915"/>
      <w:bookmarkStart w:id="514" w:name="_Toc38443246"/>
      <w:bookmarkStart w:id="515" w:name="_Toc38443577"/>
      <w:bookmarkStart w:id="516" w:name="_Toc38443907"/>
      <w:bookmarkStart w:id="517" w:name="_Toc38438375"/>
      <w:bookmarkStart w:id="518" w:name="_Toc38438712"/>
      <w:bookmarkStart w:id="519" w:name="_Toc38439049"/>
      <w:bookmarkStart w:id="520" w:name="_Toc38439386"/>
      <w:bookmarkStart w:id="521" w:name="_Toc38439723"/>
      <w:bookmarkStart w:id="522" w:name="_Toc38440060"/>
      <w:bookmarkStart w:id="523" w:name="_Toc38440397"/>
      <w:bookmarkStart w:id="524" w:name="_Toc38440929"/>
      <w:bookmarkStart w:id="525" w:name="_Toc38441261"/>
      <w:bookmarkStart w:id="526" w:name="_Toc38441593"/>
      <w:bookmarkStart w:id="527" w:name="_Toc38441921"/>
      <w:bookmarkStart w:id="528" w:name="_Toc38442253"/>
      <w:bookmarkStart w:id="529" w:name="_Toc38442585"/>
      <w:bookmarkStart w:id="530" w:name="_Toc38442916"/>
      <w:bookmarkStart w:id="531" w:name="_Toc38443247"/>
      <w:bookmarkStart w:id="532" w:name="_Toc38443578"/>
      <w:bookmarkStart w:id="533" w:name="_Toc38443908"/>
      <w:bookmarkStart w:id="534" w:name="_Toc38438376"/>
      <w:bookmarkStart w:id="535" w:name="_Toc38438713"/>
      <w:bookmarkStart w:id="536" w:name="_Toc38439050"/>
      <w:bookmarkStart w:id="537" w:name="_Toc38439387"/>
      <w:bookmarkStart w:id="538" w:name="_Toc38439724"/>
      <w:bookmarkStart w:id="539" w:name="_Toc38440061"/>
      <w:bookmarkStart w:id="540" w:name="_Toc38440398"/>
      <w:bookmarkStart w:id="541" w:name="_Toc38440930"/>
      <w:bookmarkStart w:id="542" w:name="_Toc38441262"/>
      <w:bookmarkStart w:id="543" w:name="_Toc38441594"/>
      <w:bookmarkStart w:id="544" w:name="_Toc38441922"/>
      <w:bookmarkStart w:id="545" w:name="_Toc38442254"/>
      <w:bookmarkStart w:id="546" w:name="_Toc38442586"/>
      <w:bookmarkStart w:id="547" w:name="_Toc38442917"/>
      <w:bookmarkStart w:id="548" w:name="_Toc38443248"/>
      <w:bookmarkStart w:id="549" w:name="_Toc38443579"/>
      <w:bookmarkStart w:id="550" w:name="_Toc38443909"/>
      <w:bookmarkStart w:id="551" w:name="_Toc38438377"/>
      <w:bookmarkStart w:id="552" w:name="_Toc38438714"/>
      <w:bookmarkStart w:id="553" w:name="_Toc38439051"/>
      <w:bookmarkStart w:id="554" w:name="_Toc38439388"/>
      <w:bookmarkStart w:id="555" w:name="_Toc38439725"/>
      <w:bookmarkStart w:id="556" w:name="_Toc38440062"/>
      <w:bookmarkStart w:id="557" w:name="_Toc38440399"/>
      <w:bookmarkStart w:id="558" w:name="_Toc38440931"/>
      <w:bookmarkStart w:id="559" w:name="_Toc38441263"/>
      <w:bookmarkStart w:id="560" w:name="_Toc38441595"/>
      <w:bookmarkStart w:id="561" w:name="_Toc38441923"/>
      <w:bookmarkStart w:id="562" w:name="_Toc38442255"/>
      <w:bookmarkStart w:id="563" w:name="_Toc38442587"/>
      <w:bookmarkStart w:id="564" w:name="_Toc38442918"/>
      <w:bookmarkStart w:id="565" w:name="_Toc38443249"/>
      <w:bookmarkStart w:id="566" w:name="_Toc38443580"/>
      <w:bookmarkStart w:id="567" w:name="_Toc38443910"/>
      <w:bookmarkStart w:id="568" w:name="_Toc38438378"/>
      <w:bookmarkStart w:id="569" w:name="_Toc38438715"/>
      <w:bookmarkStart w:id="570" w:name="_Toc38439052"/>
      <w:bookmarkStart w:id="571" w:name="_Toc38439389"/>
      <w:bookmarkStart w:id="572" w:name="_Toc38439726"/>
      <w:bookmarkStart w:id="573" w:name="_Toc38440063"/>
      <w:bookmarkStart w:id="574" w:name="_Toc38440400"/>
      <w:bookmarkStart w:id="575" w:name="_Toc38440932"/>
      <w:bookmarkStart w:id="576" w:name="_Toc38441264"/>
      <w:bookmarkStart w:id="577" w:name="_Toc38441596"/>
      <w:bookmarkStart w:id="578" w:name="_Toc38441924"/>
      <w:bookmarkStart w:id="579" w:name="_Toc38442256"/>
      <w:bookmarkStart w:id="580" w:name="_Toc38442588"/>
      <w:bookmarkStart w:id="581" w:name="_Toc38442919"/>
      <w:bookmarkStart w:id="582" w:name="_Toc38443250"/>
      <w:bookmarkStart w:id="583" w:name="_Toc38443581"/>
      <w:bookmarkStart w:id="584" w:name="_Toc38443911"/>
      <w:bookmarkStart w:id="585" w:name="_Toc38438379"/>
      <w:bookmarkStart w:id="586" w:name="_Toc38438716"/>
      <w:bookmarkStart w:id="587" w:name="_Toc38439053"/>
      <w:bookmarkStart w:id="588" w:name="_Toc38439390"/>
      <w:bookmarkStart w:id="589" w:name="_Toc38439727"/>
      <w:bookmarkStart w:id="590" w:name="_Toc38440064"/>
      <w:bookmarkStart w:id="591" w:name="_Toc38440401"/>
      <w:bookmarkStart w:id="592" w:name="_Toc38440933"/>
      <w:bookmarkStart w:id="593" w:name="_Toc38441265"/>
      <w:bookmarkStart w:id="594" w:name="_Toc38441597"/>
      <w:bookmarkStart w:id="595" w:name="_Toc38441925"/>
      <w:bookmarkStart w:id="596" w:name="_Toc38442257"/>
      <w:bookmarkStart w:id="597" w:name="_Toc38442589"/>
      <w:bookmarkStart w:id="598" w:name="_Toc38442920"/>
      <w:bookmarkStart w:id="599" w:name="_Toc38443251"/>
      <w:bookmarkStart w:id="600" w:name="_Toc38443582"/>
      <w:bookmarkStart w:id="601" w:name="_Toc38443912"/>
      <w:bookmarkStart w:id="602" w:name="_Toc38438380"/>
      <w:bookmarkStart w:id="603" w:name="_Toc38438717"/>
      <w:bookmarkStart w:id="604" w:name="_Toc38439054"/>
      <w:bookmarkStart w:id="605" w:name="_Toc38439391"/>
      <w:bookmarkStart w:id="606" w:name="_Toc38439728"/>
      <w:bookmarkStart w:id="607" w:name="_Toc38440065"/>
      <w:bookmarkStart w:id="608" w:name="_Toc38440402"/>
      <w:bookmarkStart w:id="609" w:name="_Toc38440934"/>
      <w:bookmarkStart w:id="610" w:name="_Toc38441266"/>
      <w:bookmarkStart w:id="611" w:name="_Toc38441598"/>
      <w:bookmarkStart w:id="612" w:name="_Toc38441926"/>
      <w:bookmarkStart w:id="613" w:name="_Toc38442258"/>
      <w:bookmarkStart w:id="614" w:name="_Toc38442590"/>
      <w:bookmarkStart w:id="615" w:name="_Toc38442921"/>
      <w:bookmarkStart w:id="616" w:name="_Toc38443252"/>
      <w:bookmarkStart w:id="617" w:name="_Toc38443583"/>
      <w:bookmarkStart w:id="618" w:name="_Toc38443913"/>
      <w:bookmarkStart w:id="619" w:name="_Toc38438381"/>
      <w:bookmarkStart w:id="620" w:name="_Toc38438718"/>
      <w:bookmarkStart w:id="621" w:name="_Toc38439055"/>
      <w:bookmarkStart w:id="622" w:name="_Toc38439392"/>
      <w:bookmarkStart w:id="623" w:name="_Toc38439729"/>
      <w:bookmarkStart w:id="624" w:name="_Toc38440066"/>
      <w:bookmarkStart w:id="625" w:name="_Toc38440403"/>
      <w:bookmarkStart w:id="626" w:name="_Toc38440935"/>
      <w:bookmarkStart w:id="627" w:name="_Toc38441267"/>
      <w:bookmarkStart w:id="628" w:name="_Toc38441599"/>
      <w:bookmarkStart w:id="629" w:name="_Toc38441927"/>
      <w:bookmarkStart w:id="630" w:name="_Toc38442259"/>
      <w:bookmarkStart w:id="631" w:name="_Toc38442591"/>
      <w:bookmarkStart w:id="632" w:name="_Toc38442922"/>
      <w:bookmarkStart w:id="633" w:name="_Toc38443253"/>
      <w:bookmarkStart w:id="634" w:name="_Toc38443584"/>
      <w:bookmarkStart w:id="635" w:name="_Toc38443914"/>
      <w:bookmarkStart w:id="636" w:name="_Toc38438382"/>
      <w:bookmarkStart w:id="637" w:name="_Toc38438719"/>
      <w:bookmarkStart w:id="638" w:name="_Toc38439056"/>
      <w:bookmarkStart w:id="639" w:name="_Toc38439393"/>
      <w:bookmarkStart w:id="640" w:name="_Toc38439730"/>
      <w:bookmarkStart w:id="641" w:name="_Toc38440067"/>
      <w:bookmarkStart w:id="642" w:name="_Toc38440404"/>
      <w:bookmarkStart w:id="643" w:name="_Toc38440936"/>
      <w:bookmarkStart w:id="644" w:name="_Toc38441268"/>
      <w:bookmarkStart w:id="645" w:name="_Toc38441600"/>
      <w:bookmarkStart w:id="646" w:name="_Toc38441928"/>
      <w:bookmarkStart w:id="647" w:name="_Toc38442260"/>
      <w:bookmarkStart w:id="648" w:name="_Toc38442592"/>
      <w:bookmarkStart w:id="649" w:name="_Toc38442923"/>
      <w:bookmarkStart w:id="650" w:name="_Toc38443254"/>
      <w:bookmarkStart w:id="651" w:name="_Toc38443585"/>
      <w:bookmarkStart w:id="652" w:name="_Toc38443915"/>
      <w:bookmarkStart w:id="653" w:name="_Toc38438383"/>
      <w:bookmarkStart w:id="654" w:name="_Toc38438720"/>
      <w:bookmarkStart w:id="655" w:name="_Toc38439057"/>
      <w:bookmarkStart w:id="656" w:name="_Toc38439394"/>
      <w:bookmarkStart w:id="657" w:name="_Toc38439731"/>
      <w:bookmarkStart w:id="658" w:name="_Toc38440068"/>
      <w:bookmarkStart w:id="659" w:name="_Toc38440405"/>
      <w:bookmarkStart w:id="660" w:name="_Toc38440937"/>
      <w:bookmarkStart w:id="661" w:name="_Toc38441269"/>
      <w:bookmarkStart w:id="662" w:name="_Toc38441601"/>
      <w:bookmarkStart w:id="663" w:name="_Toc38441929"/>
      <w:bookmarkStart w:id="664" w:name="_Toc38442261"/>
      <w:bookmarkStart w:id="665" w:name="_Toc38442593"/>
      <w:bookmarkStart w:id="666" w:name="_Toc38442924"/>
      <w:bookmarkStart w:id="667" w:name="_Toc38443255"/>
      <w:bookmarkStart w:id="668" w:name="_Toc38443586"/>
      <w:bookmarkStart w:id="669" w:name="_Toc38443916"/>
      <w:bookmarkStart w:id="670" w:name="_Toc38438384"/>
      <w:bookmarkStart w:id="671" w:name="_Toc38438721"/>
      <w:bookmarkStart w:id="672" w:name="_Toc38439058"/>
      <w:bookmarkStart w:id="673" w:name="_Toc38439395"/>
      <w:bookmarkStart w:id="674" w:name="_Toc38439732"/>
      <w:bookmarkStart w:id="675" w:name="_Toc38440069"/>
      <w:bookmarkStart w:id="676" w:name="_Toc38440406"/>
      <w:bookmarkStart w:id="677" w:name="_Toc38440938"/>
      <w:bookmarkStart w:id="678" w:name="_Toc38441270"/>
      <w:bookmarkStart w:id="679" w:name="_Toc38441602"/>
      <w:bookmarkStart w:id="680" w:name="_Toc38441930"/>
      <w:bookmarkStart w:id="681" w:name="_Toc38442262"/>
      <w:bookmarkStart w:id="682" w:name="_Toc38442594"/>
      <w:bookmarkStart w:id="683" w:name="_Toc38442925"/>
      <w:bookmarkStart w:id="684" w:name="_Toc38443256"/>
      <w:bookmarkStart w:id="685" w:name="_Toc38443587"/>
      <w:bookmarkStart w:id="686" w:name="_Toc38443917"/>
      <w:bookmarkStart w:id="687" w:name="_Toc38438385"/>
      <w:bookmarkStart w:id="688" w:name="_Toc38438722"/>
      <w:bookmarkStart w:id="689" w:name="_Toc38439059"/>
      <w:bookmarkStart w:id="690" w:name="_Toc38439396"/>
      <w:bookmarkStart w:id="691" w:name="_Toc38439733"/>
      <w:bookmarkStart w:id="692" w:name="_Toc38440070"/>
      <w:bookmarkStart w:id="693" w:name="_Toc38440407"/>
      <w:bookmarkStart w:id="694" w:name="_Toc38440939"/>
      <w:bookmarkStart w:id="695" w:name="_Toc38441271"/>
      <w:bookmarkStart w:id="696" w:name="_Toc38441603"/>
      <w:bookmarkStart w:id="697" w:name="_Toc38441931"/>
      <w:bookmarkStart w:id="698" w:name="_Toc38442263"/>
      <w:bookmarkStart w:id="699" w:name="_Toc38442595"/>
      <w:bookmarkStart w:id="700" w:name="_Toc38442926"/>
      <w:bookmarkStart w:id="701" w:name="_Toc38443257"/>
      <w:bookmarkStart w:id="702" w:name="_Toc38443588"/>
      <w:bookmarkStart w:id="703" w:name="_Toc38443918"/>
      <w:bookmarkStart w:id="704" w:name="_Toc38438386"/>
      <w:bookmarkStart w:id="705" w:name="_Toc38438723"/>
      <w:bookmarkStart w:id="706" w:name="_Toc38439060"/>
      <w:bookmarkStart w:id="707" w:name="_Toc38439397"/>
      <w:bookmarkStart w:id="708" w:name="_Toc38439734"/>
      <w:bookmarkStart w:id="709" w:name="_Toc38440071"/>
      <w:bookmarkStart w:id="710" w:name="_Toc38440408"/>
      <w:bookmarkStart w:id="711" w:name="_Toc38440940"/>
      <w:bookmarkStart w:id="712" w:name="_Toc38441272"/>
      <w:bookmarkStart w:id="713" w:name="_Toc38441604"/>
      <w:bookmarkStart w:id="714" w:name="_Toc38441932"/>
      <w:bookmarkStart w:id="715" w:name="_Toc38442264"/>
      <w:bookmarkStart w:id="716" w:name="_Toc38442596"/>
      <w:bookmarkStart w:id="717" w:name="_Toc38442927"/>
      <w:bookmarkStart w:id="718" w:name="_Toc38443258"/>
      <w:bookmarkStart w:id="719" w:name="_Toc38443589"/>
      <w:bookmarkStart w:id="720" w:name="_Toc38443919"/>
      <w:bookmarkStart w:id="721" w:name="_Toc38438387"/>
      <w:bookmarkStart w:id="722" w:name="_Toc38438724"/>
      <w:bookmarkStart w:id="723" w:name="_Toc38439061"/>
      <w:bookmarkStart w:id="724" w:name="_Toc38439398"/>
      <w:bookmarkStart w:id="725" w:name="_Toc38439735"/>
      <w:bookmarkStart w:id="726" w:name="_Toc38440072"/>
      <w:bookmarkStart w:id="727" w:name="_Toc38440409"/>
      <w:bookmarkStart w:id="728" w:name="_Toc38440941"/>
      <w:bookmarkStart w:id="729" w:name="_Toc38441273"/>
      <w:bookmarkStart w:id="730" w:name="_Toc38441605"/>
      <w:bookmarkStart w:id="731" w:name="_Toc38441933"/>
      <w:bookmarkStart w:id="732" w:name="_Toc38442265"/>
      <w:bookmarkStart w:id="733" w:name="_Toc38442597"/>
      <w:bookmarkStart w:id="734" w:name="_Toc38442928"/>
      <w:bookmarkStart w:id="735" w:name="_Toc38443259"/>
      <w:bookmarkStart w:id="736" w:name="_Toc38443590"/>
      <w:bookmarkStart w:id="737" w:name="_Toc38443920"/>
      <w:bookmarkStart w:id="738" w:name="_Toc38438388"/>
      <w:bookmarkStart w:id="739" w:name="_Toc38438725"/>
      <w:bookmarkStart w:id="740" w:name="_Toc38439062"/>
      <w:bookmarkStart w:id="741" w:name="_Toc38439399"/>
      <w:bookmarkStart w:id="742" w:name="_Toc38439736"/>
      <w:bookmarkStart w:id="743" w:name="_Toc38440073"/>
      <w:bookmarkStart w:id="744" w:name="_Toc38440410"/>
      <w:bookmarkStart w:id="745" w:name="_Toc38440942"/>
      <w:bookmarkStart w:id="746" w:name="_Toc38441274"/>
      <w:bookmarkStart w:id="747" w:name="_Toc38441606"/>
      <w:bookmarkStart w:id="748" w:name="_Toc38441934"/>
      <w:bookmarkStart w:id="749" w:name="_Toc38442266"/>
      <w:bookmarkStart w:id="750" w:name="_Toc38442598"/>
      <w:bookmarkStart w:id="751" w:name="_Toc38442929"/>
      <w:bookmarkStart w:id="752" w:name="_Toc38443260"/>
      <w:bookmarkStart w:id="753" w:name="_Toc38443591"/>
      <w:bookmarkStart w:id="754" w:name="_Toc38443921"/>
      <w:bookmarkStart w:id="755" w:name="_Toc38438389"/>
      <w:bookmarkStart w:id="756" w:name="_Toc38438726"/>
      <w:bookmarkStart w:id="757" w:name="_Toc38439063"/>
      <w:bookmarkStart w:id="758" w:name="_Toc38439400"/>
      <w:bookmarkStart w:id="759" w:name="_Toc38439737"/>
      <w:bookmarkStart w:id="760" w:name="_Toc38440074"/>
      <w:bookmarkStart w:id="761" w:name="_Toc38440411"/>
      <w:bookmarkStart w:id="762" w:name="_Toc38440943"/>
      <w:bookmarkStart w:id="763" w:name="_Toc38441275"/>
      <w:bookmarkStart w:id="764" w:name="_Toc38441607"/>
      <w:bookmarkStart w:id="765" w:name="_Toc38441935"/>
      <w:bookmarkStart w:id="766" w:name="_Toc38442267"/>
      <w:bookmarkStart w:id="767" w:name="_Toc38442599"/>
      <w:bookmarkStart w:id="768" w:name="_Toc38442930"/>
      <w:bookmarkStart w:id="769" w:name="_Toc38443261"/>
      <w:bookmarkStart w:id="770" w:name="_Toc38443592"/>
      <w:bookmarkStart w:id="771" w:name="_Toc38443922"/>
      <w:bookmarkStart w:id="772" w:name="_Toc38438390"/>
      <w:bookmarkStart w:id="773" w:name="_Toc38438727"/>
      <w:bookmarkStart w:id="774" w:name="_Toc38439064"/>
      <w:bookmarkStart w:id="775" w:name="_Toc38439401"/>
      <w:bookmarkStart w:id="776" w:name="_Toc38439738"/>
      <w:bookmarkStart w:id="777" w:name="_Toc38440075"/>
      <w:bookmarkStart w:id="778" w:name="_Toc38440412"/>
      <w:bookmarkStart w:id="779" w:name="_Toc38440944"/>
      <w:bookmarkStart w:id="780" w:name="_Toc38441276"/>
      <w:bookmarkStart w:id="781" w:name="_Toc38441608"/>
      <w:bookmarkStart w:id="782" w:name="_Toc38441936"/>
      <w:bookmarkStart w:id="783" w:name="_Toc38442268"/>
      <w:bookmarkStart w:id="784" w:name="_Toc38442600"/>
      <w:bookmarkStart w:id="785" w:name="_Toc38442931"/>
      <w:bookmarkStart w:id="786" w:name="_Toc38443262"/>
      <w:bookmarkStart w:id="787" w:name="_Toc38443593"/>
      <w:bookmarkStart w:id="788" w:name="_Toc38443923"/>
      <w:bookmarkStart w:id="789" w:name="_Toc38438391"/>
      <w:bookmarkStart w:id="790" w:name="_Toc38438728"/>
      <w:bookmarkStart w:id="791" w:name="_Toc38439065"/>
      <w:bookmarkStart w:id="792" w:name="_Toc38439402"/>
      <w:bookmarkStart w:id="793" w:name="_Toc38439739"/>
      <w:bookmarkStart w:id="794" w:name="_Toc38440076"/>
      <w:bookmarkStart w:id="795" w:name="_Toc38440413"/>
      <w:bookmarkStart w:id="796" w:name="_Toc38440945"/>
      <w:bookmarkStart w:id="797" w:name="_Toc38441277"/>
      <w:bookmarkStart w:id="798" w:name="_Toc38441609"/>
      <w:bookmarkStart w:id="799" w:name="_Toc38441937"/>
      <w:bookmarkStart w:id="800" w:name="_Toc38442269"/>
      <w:bookmarkStart w:id="801" w:name="_Toc38442601"/>
      <w:bookmarkStart w:id="802" w:name="_Toc38442932"/>
      <w:bookmarkStart w:id="803" w:name="_Toc38443263"/>
      <w:bookmarkStart w:id="804" w:name="_Toc38443594"/>
      <w:bookmarkStart w:id="805" w:name="_Toc38443924"/>
      <w:bookmarkStart w:id="806" w:name="_Toc38438392"/>
      <w:bookmarkStart w:id="807" w:name="_Toc38438729"/>
      <w:bookmarkStart w:id="808" w:name="_Toc38439066"/>
      <w:bookmarkStart w:id="809" w:name="_Toc38439403"/>
      <w:bookmarkStart w:id="810" w:name="_Toc38439740"/>
      <w:bookmarkStart w:id="811" w:name="_Toc38440077"/>
      <w:bookmarkStart w:id="812" w:name="_Toc38440414"/>
      <w:bookmarkStart w:id="813" w:name="_Toc38440946"/>
      <w:bookmarkStart w:id="814" w:name="_Toc38441278"/>
      <w:bookmarkStart w:id="815" w:name="_Toc38441610"/>
      <w:bookmarkStart w:id="816" w:name="_Toc38441938"/>
      <w:bookmarkStart w:id="817" w:name="_Toc38442270"/>
      <w:bookmarkStart w:id="818" w:name="_Toc38442602"/>
      <w:bookmarkStart w:id="819" w:name="_Toc38442933"/>
      <w:bookmarkStart w:id="820" w:name="_Toc38443264"/>
      <w:bookmarkStart w:id="821" w:name="_Toc38443595"/>
      <w:bookmarkStart w:id="822" w:name="_Toc38443925"/>
      <w:bookmarkStart w:id="823" w:name="_Toc38438393"/>
      <w:bookmarkStart w:id="824" w:name="_Toc38438730"/>
      <w:bookmarkStart w:id="825" w:name="_Toc38439067"/>
      <w:bookmarkStart w:id="826" w:name="_Toc38439404"/>
      <w:bookmarkStart w:id="827" w:name="_Toc38439741"/>
      <w:bookmarkStart w:id="828" w:name="_Toc38440078"/>
      <w:bookmarkStart w:id="829" w:name="_Toc38440415"/>
      <w:bookmarkStart w:id="830" w:name="_Toc38440947"/>
      <w:bookmarkStart w:id="831" w:name="_Toc38441279"/>
      <w:bookmarkStart w:id="832" w:name="_Toc38441611"/>
      <w:bookmarkStart w:id="833" w:name="_Toc38441939"/>
      <w:bookmarkStart w:id="834" w:name="_Toc38442271"/>
      <w:bookmarkStart w:id="835" w:name="_Toc38442603"/>
      <w:bookmarkStart w:id="836" w:name="_Toc38442934"/>
      <w:bookmarkStart w:id="837" w:name="_Toc38443265"/>
      <w:bookmarkStart w:id="838" w:name="_Toc38443596"/>
      <w:bookmarkStart w:id="839" w:name="_Toc38443926"/>
      <w:bookmarkStart w:id="840" w:name="_Toc38438394"/>
      <w:bookmarkStart w:id="841" w:name="_Toc38438731"/>
      <w:bookmarkStart w:id="842" w:name="_Toc38439068"/>
      <w:bookmarkStart w:id="843" w:name="_Toc38439405"/>
      <w:bookmarkStart w:id="844" w:name="_Toc38439742"/>
      <w:bookmarkStart w:id="845" w:name="_Toc38440079"/>
      <w:bookmarkStart w:id="846" w:name="_Toc38440416"/>
      <w:bookmarkStart w:id="847" w:name="_Toc38440948"/>
      <w:bookmarkStart w:id="848" w:name="_Toc38441280"/>
      <w:bookmarkStart w:id="849" w:name="_Toc38441612"/>
      <w:bookmarkStart w:id="850" w:name="_Toc38441940"/>
      <w:bookmarkStart w:id="851" w:name="_Toc38442272"/>
      <w:bookmarkStart w:id="852" w:name="_Toc38442604"/>
      <w:bookmarkStart w:id="853" w:name="_Toc38442935"/>
      <w:bookmarkStart w:id="854" w:name="_Toc38443266"/>
      <w:bookmarkStart w:id="855" w:name="_Toc38443597"/>
      <w:bookmarkStart w:id="856" w:name="_Toc38443927"/>
      <w:bookmarkStart w:id="857" w:name="_Toc38438395"/>
      <w:bookmarkStart w:id="858" w:name="_Toc38438732"/>
      <w:bookmarkStart w:id="859" w:name="_Toc38439069"/>
      <w:bookmarkStart w:id="860" w:name="_Toc38439406"/>
      <w:bookmarkStart w:id="861" w:name="_Toc38439743"/>
      <w:bookmarkStart w:id="862" w:name="_Toc38440080"/>
      <w:bookmarkStart w:id="863" w:name="_Toc38440417"/>
      <w:bookmarkStart w:id="864" w:name="_Toc38440949"/>
      <w:bookmarkStart w:id="865" w:name="_Toc38441281"/>
      <w:bookmarkStart w:id="866" w:name="_Toc38441613"/>
      <w:bookmarkStart w:id="867" w:name="_Toc38441941"/>
      <w:bookmarkStart w:id="868" w:name="_Toc38442273"/>
      <w:bookmarkStart w:id="869" w:name="_Toc38442605"/>
      <w:bookmarkStart w:id="870" w:name="_Toc38442936"/>
      <w:bookmarkStart w:id="871" w:name="_Toc38443267"/>
      <w:bookmarkStart w:id="872" w:name="_Toc38443598"/>
      <w:bookmarkStart w:id="873" w:name="_Toc38443928"/>
      <w:bookmarkStart w:id="874" w:name="_Toc38438396"/>
      <w:bookmarkStart w:id="875" w:name="_Toc38438733"/>
      <w:bookmarkStart w:id="876" w:name="_Toc38439070"/>
      <w:bookmarkStart w:id="877" w:name="_Toc38439407"/>
      <w:bookmarkStart w:id="878" w:name="_Toc38439744"/>
      <w:bookmarkStart w:id="879" w:name="_Toc38440081"/>
      <w:bookmarkStart w:id="880" w:name="_Toc38440418"/>
      <w:bookmarkStart w:id="881" w:name="_Toc38440950"/>
      <w:bookmarkStart w:id="882" w:name="_Toc38441282"/>
      <w:bookmarkStart w:id="883" w:name="_Toc38441614"/>
      <w:bookmarkStart w:id="884" w:name="_Toc38441942"/>
      <w:bookmarkStart w:id="885" w:name="_Toc38442274"/>
      <w:bookmarkStart w:id="886" w:name="_Toc38442606"/>
      <w:bookmarkStart w:id="887" w:name="_Toc38442937"/>
      <w:bookmarkStart w:id="888" w:name="_Toc38443268"/>
      <w:bookmarkStart w:id="889" w:name="_Toc38443599"/>
      <w:bookmarkStart w:id="890" w:name="_Toc38443929"/>
      <w:bookmarkStart w:id="891" w:name="_Toc38438397"/>
      <w:bookmarkStart w:id="892" w:name="_Toc38438734"/>
      <w:bookmarkStart w:id="893" w:name="_Toc38439071"/>
      <w:bookmarkStart w:id="894" w:name="_Toc38439408"/>
      <w:bookmarkStart w:id="895" w:name="_Toc38439745"/>
      <w:bookmarkStart w:id="896" w:name="_Toc38440082"/>
      <w:bookmarkStart w:id="897" w:name="_Toc38440419"/>
      <w:bookmarkStart w:id="898" w:name="_Toc38440951"/>
      <w:bookmarkStart w:id="899" w:name="_Toc38441283"/>
      <w:bookmarkStart w:id="900" w:name="_Toc38441615"/>
      <w:bookmarkStart w:id="901" w:name="_Toc38441943"/>
      <w:bookmarkStart w:id="902" w:name="_Toc38442275"/>
      <w:bookmarkStart w:id="903" w:name="_Toc38442607"/>
      <w:bookmarkStart w:id="904" w:name="_Toc38442938"/>
      <w:bookmarkStart w:id="905" w:name="_Toc38443269"/>
      <w:bookmarkStart w:id="906" w:name="_Toc38443600"/>
      <w:bookmarkStart w:id="907" w:name="_Toc38443930"/>
      <w:bookmarkStart w:id="908" w:name="_Toc38438398"/>
      <w:bookmarkStart w:id="909" w:name="_Toc38438735"/>
      <w:bookmarkStart w:id="910" w:name="_Toc38439072"/>
      <w:bookmarkStart w:id="911" w:name="_Toc38439409"/>
      <w:bookmarkStart w:id="912" w:name="_Toc38439746"/>
      <w:bookmarkStart w:id="913" w:name="_Toc38440083"/>
      <w:bookmarkStart w:id="914" w:name="_Toc38440420"/>
      <w:bookmarkStart w:id="915" w:name="_Toc38440952"/>
      <w:bookmarkStart w:id="916" w:name="_Toc38441284"/>
      <w:bookmarkStart w:id="917" w:name="_Toc38441616"/>
      <w:bookmarkStart w:id="918" w:name="_Toc38441944"/>
      <w:bookmarkStart w:id="919" w:name="_Toc38442276"/>
      <w:bookmarkStart w:id="920" w:name="_Toc38442608"/>
      <w:bookmarkStart w:id="921" w:name="_Toc38442939"/>
      <w:bookmarkStart w:id="922" w:name="_Toc38443270"/>
      <w:bookmarkStart w:id="923" w:name="_Toc38443601"/>
      <w:bookmarkStart w:id="924" w:name="_Toc38443931"/>
      <w:bookmarkStart w:id="925" w:name="_Toc38438400"/>
      <w:bookmarkStart w:id="926" w:name="_Toc38438737"/>
      <w:bookmarkStart w:id="927" w:name="_Toc38439074"/>
      <w:bookmarkStart w:id="928" w:name="_Toc38439411"/>
      <w:bookmarkStart w:id="929" w:name="_Toc38439748"/>
      <w:bookmarkStart w:id="930" w:name="_Toc38440085"/>
      <w:bookmarkStart w:id="931" w:name="_Toc38440422"/>
      <w:bookmarkStart w:id="932" w:name="_Toc38440954"/>
      <w:bookmarkStart w:id="933" w:name="_Toc38441286"/>
      <w:bookmarkStart w:id="934" w:name="_Toc38441618"/>
      <w:bookmarkStart w:id="935" w:name="_Toc38441946"/>
      <w:bookmarkStart w:id="936" w:name="_Toc38442278"/>
      <w:bookmarkStart w:id="937" w:name="_Toc38442610"/>
      <w:bookmarkStart w:id="938" w:name="_Toc38442941"/>
      <w:bookmarkStart w:id="939" w:name="_Toc38443272"/>
      <w:bookmarkStart w:id="940" w:name="_Toc38443603"/>
      <w:bookmarkStart w:id="941" w:name="_Toc38443933"/>
      <w:bookmarkStart w:id="942" w:name="_Toc38438401"/>
      <w:bookmarkStart w:id="943" w:name="_Toc38438738"/>
      <w:bookmarkStart w:id="944" w:name="_Toc38439075"/>
      <w:bookmarkStart w:id="945" w:name="_Toc38439412"/>
      <w:bookmarkStart w:id="946" w:name="_Toc38439749"/>
      <w:bookmarkStart w:id="947" w:name="_Toc38440086"/>
      <w:bookmarkStart w:id="948" w:name="_Toc38440423"/>
      <w:bookmarkStart w:id="949" w:name="_Toc38440955"/>
      <w:bookmarkStart w:id="950" w:name="_Toc38441287"/>
      <w:bookmarkStart w:id="951" w:name="_Toc38441619"/>
      <w:bookmarkStart w:id="952" w:name="_Toc38441947"/>
      <w:bookmarkStart w:id="953" w:name="_Toc38442279"/>
      <w:bookmarkStart w:id="954" w:name="_Toc38442611"/>
      <w:bookmarkStart w:id="955" w:name="_Toc38442942"/>
      <w:bookmarkStart w:id="956" w:name="_Toc38443273"/>
      <w:bookmarkStart w:id="957" w:name="_Toc38443604"/>
      <w:bookmarkStart w:id="958" w:name="_Toc38443934"/>
      <w:bookmarkStart w:id="959" w:name="_Toc38438402"/>
      <w:bookmarkStart w:id="960" w:name="_Toc38438739"/>
      <w:bookmarkStart w:id="961" w:name="_Toc38439076"/>
      <w:bookmarkStart w:id="962" w:name="_Toc38439413"/>
      <w:bookmarkStart w:id="963" w:name="_Toc38439750"/>
      <w:bookmarkStart w:id="964" w:name="_Toc38440087"/>
      <w:bookmarkStart w:id="965" w:name="_Toc38440424"/>
      <w:bookmarkStart w:id="966" w:name="_Toc38440956"/>
      <w:bookmarkStart w:id="967" w:name="_Toc38441288"/>
      <w:bookmarkStart w:id="968" w:name="_Toc38441620"/>
      <w:bookmarkStart w:id="969" w:name="_Toc38441948"/>
      <w:bookmarkStart w:id="970" w:name="_Toc38442280"/>
      <w:bookmarkStart w:id="971" w:name="_Toc38442612"/>
      <w:bookmarkStart w:id="972" w:name="_Toc38442943"/>
      <w:bookmarkStart w:id="973" w:name="_Toc38443274"/>
      <w:bookmarkStart w:id="974" w:name="_Toc38443605"/>
      <w:bookmarkStart w:id="975" w:name="_Toc38443935"/>
      <w:bookmarkStart w:id="976" w:name="_Toc38438404"/>
      <w:bookmarkStart w:id="977" w:name="_Toc38438741"/>
      <w:bookmarkStart w:id="978" w:name="_Toc38439078"/>
      <w:bookmarkStart w:id="979" w:name="_Toc38439415"/>
      <w:bookmarkStart w:id="980" w:name="_Toc38439752"/>
      <w:bookmarkStart w:id="981" w:name="_Toc38440089"/>
      <w:bookmarkStart w:id="982" w:name="_Toc38440426"/>
      <w:bookmarkStart w:id="983" w:name="_Toc38440958"/>
      <w:bookmarkStart w:id="984" w:name="_Toc38441290"/>
      <w:bookmarkStart w:id="985" w:name="_Toc38441622"/>
      <w:bookmarkStart w:id="986" w:name="_Toc38441950"/>
      <w:bookmarkStart w:id="987" w:name="_Toc38442282"/>
      <w:bookmarkStart w:id="988" w:name="_Toc38442614"/>
      <w:bookmarkStart w:id="989" w:name="_Toc38442945"/>
      <w:bookmarkStart w:id="990" w:name="_Toc38443276"/>
      <w:bookmarkStart w:id="991" w:name="_Toc38443607"/>
      <w:bookmarkStart w:id="992" w:name="_Toc38443937"/>
      <w:bookmarkStart w:id="993" w:name="_Toc38438405"/>
      <w:bookmarkStart w:id="994" w:name="_Toc38438742"/>
      <w:bookmarkStart w:id="995" w:name="_Toc38439079"/>
      <w:bookmarkStart w:id="996" w:name="_Toc38439416"/>
      <w:bookmarkStart w:id="997" w:name="_Toc38439753"/>
      <w:bookmarkStart w:id="998" w:name="_Toc38440090"/>
      <w:bookmarkStart w:id="999" w:name="_Toc38440427"/>
      <w:bookmarkStart w:id="1000" w:name="_Toc38440959"/>
      <w:bookmarkStart w:id="1001" w:name="_Toc38441291"/>
      <w:bookmarkStart w:id="1002" w:name="_Toc38441623"/>
      <w:bookmarkStart w:id="1003" w:name="_Toc38441951"/>
      <w:bookmarkStart w:id="1004" w:name="_Toc38442283"/>
      <w:bookmarkStart w:id="1005" w:name="_Toc38442615"/>
      <w:bookmarkStart w:id="1006" w:name="_Toc38442946"/>
      <w:bookmarkStart w:id="1007" w:name="_Toc38443277"/>
      <w:bookmarkStart w:id="1008" w:name="_Toc38443608"/>
      <w:bookmarkStart w:id="1009" w:name="_Toc38443938"/>
      <w:bookmarkStart w:id="1010" w:name="_Toc38438406"/>
      <w:bookmarkStart w:id="1011" w:name="_Toc38438743"/>
      <w:bookmarkStart w:id="1012" w:name="_Toc38439080"/>
      <w:bookmarkStart w:id="1013" w:name="_Toc38439417"/>
      <w:bookmarkStart w:id="1014" w:name="_Toc38439754"/>
      <w:bookmarkStart w:id="1015" w:name="_Toc38440091"/>
      <w:bookmarkStart w:id="1016" w:name="_Toc38440428"/>
      <w:bookmarkStart w:id="1017" w:name="_Toc38440960"/>
      <w:bookmarkStart w:id="1018" w:name="_Toc38441292"/>
      <w:bookmarkStart w:id="1019" w:name="_Toc38441624"/>
      <w:bookmarkStart w:id="1020" w:name="_Toc38441952"/>
      <w:bookmarkStart w:id="1021" w:name="_Toc38442284"/>
      <w:bookmarkStart w:id="1022" w:name="_Toc38442616"/>
      <w:bookmarkStart w:id="1023" w:name="_Toc38442947"/>
      <w:bookmarkStart w:id="1024" w:name="_Toc38443278"/>
      <w:bookmarkStart w:id="1025" w:name="_Toc38443609"/>
      <w:bookmarkStart w:id="1026" w:name="_Toc38443939"/>
      <w:bookmarkStart w:id="1027" w:name="_Toc38438407"/>
      <w:bookmarkStart w:id="1028" w:name="_Toc38438744"/>
      <w:bookmarkStart w:id="1029" w:name="_Toc38439081"/>
      <w:bookmarkStart w:id="1030" w:name="_Toc38439418"/>
      <w:bookmarkStart w:id="1031" w:name="_Toc38439755"/>
      <w:bookmarkStart w:id="1032" w:name="_Toc38440092"/>
      <w:bookmarkStart w:id="1033" w:name="_Toc38440429"/>
      <w:bookmarkStart w:id="1034" w:name="_Toc38440961"/>
      <w:bookmarkStart w:id="1035" w:name="_Toc38441293"/>
      <w:bookmarkStart w:id="1036" w:name="_Toc38441625"/>
      <w:bookmarkStart w:id="1037" w:name="_Toc38441953"/>
      <w:bookmarkStart w:id="1038" w:name="_Toc38442285"/>
      <w:bookmarkStart w:id="1039" w:name="_Toc38442617"/>
      <w:bookmarkStart w:id="1040" w:name="_Toc38442948"/>
      <w:bookmarkStart w:id="1041" w:name="_Toc38443279"/>
      <w:bookmarkStart w:id="1042" w:name="_Toc38443610"/>
      <w:bookmarkStart w:id="1043" w:name="_Toc38443940"/>
      <w:bookmarkStart w:id="1044" w:name="_Toc38438408"/>
      <w:bookmarkStart w:id="1045" w:name="_Toc38438745"/>
      <w:bookmarkStart w:id="1046" w:name="_Toc38439082"/>
      <w:bookmarkStart w:id="1047" w:name="_Toc38439419"/>
      <w:bookmarkStart w:id="1048" w:name="_Toc38439756"/>
      <w:bookmarkStart w:id="1049" w:name="_Toc38440093"/>
      <w:bookmarkStart w:id="1050" w:name="_Toc38440430"/>
      <w:bookmarkStart w:id="1051" w:name="_Toc38440962"/>
      <w:bookmarkStart w:id="1052" w:name="_Toc38441294"/>
      <w:bookmarkStart w:id="1053" w:name="_Toc38441626"/>
      <w:bookmarkStart w:id="1054" w:name="_Toc38441954"/>
      <w:bookmarkStart w:id="1055" w:name="_Toc38442286"/>
      <w:bookmarkStart w:id="1056" w:name="_Toc38442618"/>
      <w:bookmarkStart w:id="1057" w:name="_Toc38442949"/>
      <w:bookmarkStart w:id="1058" w:name="_Toc38443280"/>
      <w:bookmarkStart w:id="1059" w:name="_Toc38443611"/>
      <w:bookmarkStart w:id="1060" w:name="_Toc38443941"/>
      <w:bookmarkStart w:id="1061" w:name="_Toc38438409"/>
      <w:bookmarkStart w:id="1062" w:name="_Toc38438746"/>
      <w:bookmarkStart w:id="1063" w:name="_Toc38439083"/>
      <w:bookmarkStart w:id="1064" w:name="_Toc38439420"/>
      <w:bookmarkStart w:id="1065" w:name="_Toc38439757"/>
      <w:bookmarkStart w:id="1066" w:name="_Toc38440094"/>
      <w:bookmarkStart w:id="1067" w:name="_Toc38440431"/>
      <w:bookmarkStart w:id="1068" w:name="_Toc38440963"/>
      <w:bookmarkStart w:id="1069" w:name="_Toc38441295"/>
      <w:bookmarkStart w:id="1070" w:name="_Toc38441627"/>
      <w:bookmarkStart w:id="1071" w:name="_Toc38441955"/>
      <w:bookmarkStart w:id="1072" w:name="_Toc38442287"/>
      <w:bookmarkStart w:id="1073" w:name="_Toc38442619"/>
      <w:bookmarkStart w:id="1074" w:name="_Toc38442950"/>
      <w:bookmarkStart w:id="1075" w:name="_Toc38443281"/>
      <w:bookmarkStart w:id="1076" w:name="_Toc38443612"/>
      <w:bookmarkStart w:id="1077" w:name="_Toc38443942"/>
      <w:bookmarkStart w:id="1078" w:name="_Toc38438410"/>
      <w:bookmarkStart w:id="1079" w:name="_Toc38438747"/>
      <w:bookmarkStart w:id="1080" w:name="_Toc38439084"/>
      <w:bookmarkStart w:id="1081" w:name="_Toc38439421"/>
      <w:bookmarkStart w:id="1082" w:name="_Toc38439758"/>
      <w:bookmarkStart w:id="1083" w:name="_Toc38440095"/>
      <w:bookmarkStart w:id="1084" w:name="_Toc38440432"/>
      <w:bookmarkStart w:id="1085" w:name="_Toc38440964"/>
      <w:bookmarkStart w:id="1086" w:name="_Toc38441296"/>
      <w:bookmarkStart w:id="1087" w:name="_Toc38441628"/>
      <w:bookmarkStart w:id="1088" w:name="_Toc38441956"/>
      <w:bookmarkStart w:id="1089" w:name="_Toc38442288"/>
      <w:bookmarkStart w:id="1090" w:name="_Toc38442620"/>
      <w:bookmarkStart w:id="1091" w:name="_Toc38442951"/>
      <w:bookmarkStart w:id="1092" w:name="_Toc38443282"/>
      <w:bookmarkStart w:id="1093" w:name="_Toc38443613"/>
      <w:bookmarkStart w:id="1094" w:name="_Toc38443943"/>
      <w:bookmarkStart w:id="1095" w:name="_Toc38438411"/>
      <w:bookmarkStart w:id="1096" w:name="_Toc38438748"/>
      <w:bookmarkStart w:id="1097" w:name="_Toc38439085"/>
      <w:bookmarkStart w:id="1098" w:name="_Toc38439422"/>
      <w:bookmarkStart w:id="1099" w:name="_Toc38439759"/>
      <w:bookmarkStart w:id="1100" w:name="_Toc38440096"/>
      <w:bookmarkStart w:id="1101" w:name="_Toc38440433"/>
      <w:bookmarkStart w:id="1102" w:name="_Toc38440965"/>
      <w:bookmarkStart w:id="1103" w:name="_Toc38441297"/>
      <w:bookmarkStart w:id="1104" w:name="_Toc38441629"/>
      <w:bookmarkStart w:id="1105" w:name="_Toc38441957"/>
      <w:bookmarkStart w:id="1106" w:name="_Toc38442289"/>
      <w:bookmarkStart w:id="1107" w:name="_Toc38442621"/>
      <w:bookmarkStart w:id="1108" w:name="_Toc38442952"/>
      <w:bookmarkStart w:id="1109" w:name="_Toc38443283"/>
      <w:bookmarkStart w:id="1110" w:name="_Toc38443614"/>
      <w:bookmarkStart w:id="1111" w:name="_Toc38443944"/>
      <w:bookmarkStart w:id="1112" w:name="_Toc38438412"/>
      <w:bookmarkStart w:id="1113" w:name="_Toc38438749"/>
      <w:bookmarkStart w:id="1114" w:name="_Toc38439086"/>
      <w:bookmarkStart w:id="1115" w:name="_Toc38439423"/>
      <w:bookmarkStart w:id="1116" w:name="_Toc38439760"/>
      <w:bookmarkStart w:id="1117" w:name="_Toc38440097"/>
      <w:bookmarkStart w:id="1118" w:name="_Toc38440434"/>
      <w:bookmarkStart w:id="1119" w:name="_Toc38440966"/>
      <w:bookmarkStart w:id="1120" w:name="_Toc38441298"/>
      <w:bookmarkStart w:id="1121" w:name="_Toc38441630"/>
      <w:bookmarkStart w:id="1122" w:name="_Toc38441958"/>
      <w:bookmarkStart w:id="1123" w:name="_Toc38442290"/>
      <w:bookmarkStart w:id="1124" w:name="_Toc38442622"/>
      <w:bookmarkStart w:id="1125" w:name="_Toc38442953"/>
      <w:bookmarkStart w:id="1126" w:name="_Toc38443284"/>
      <w:bookmarkStart w:id="1127" w:name="_Toc38443615"/>
      <w:bookmarkStart w:id="1128" w:name="_Toc38443945"/>
      <w:bookmarkStart w:id="1129" w:name="_Toc38438413"/>
      <w:bookmarkStart w:id="1130" w:name="_Toc38438750"/>
      <w:bookmarkStart w:id="1131" w:name="_Toc38439087"/>
      <w:bookmarkStart w:id="1132" w:name="_Toc38439424"/>
      <w:bookmarkStart w:id="1133" w:name="_Toc38439761"/>
      <w:bookmarkStart w:id="1134" w:name="_Toc38440098"/>
      <w:bookmarkStart w:id="1135" w:name="_Toc38440435"/>
      <w:bookmarkStart w:id="1136" w:name="_Toc38440967"/>
      <w:bookmarkStart w:id="1137" w:name="_Toc38441299"/>
      <w:bookmarkStart w:id="1138" w:name="_Toc38441631"/>
      <w:bookmarkStart w:id="1139" w:name="_Toc38441959"/>
      <w:bookmarkStart w:id="1140" w:name="_Toc38442291"/>
      <w:bookmarkStart w:id="1141" w:name="_Toc38442623"/>
      <w:bookmarkStart w:id="1142" w:name="_Toc38442954"/>
      <w:bookmarkStart w:id="1143" w:name="_Toc38443285"/>
      <w:bookmarkStart w:id="1144" w:name="_Toc38443616"/>
      <w:bookmarkStart w:id="1145" w:name="_Toc38443946"/>
      <w:bookmarkStart w:id="1146" w:name="_Toc38438414"/>
      <w:bookmarkStart w:id="1147" w:name="_Toc38438751"/>
      <w:bookmarkStart w:id="1148" w:name="_Toc38439088"/>
      <w:bookmarkStart w:id="1149" w:name="_Toc38439425"/>
      <w:bookmarkStart w:id="1150" w:name="_Toc38439762"/>
      <w:bookmarkStart w:id="1151" w:name="_Toc38440099"/>
      <w:bookmarkStart w:id="1152" w:name="_Toc38440436"/>
      <w:bookmarkStart w:id="1153" w:name="_Toc38440968"/>
      <w:bookmarkStart w:id="1154" w:name="_Toc38441300"/>
      <w:bookmarkStart w:id="1155" w:name="_Toc38441632"/>
      <w:bookmarkStart w:id="1156" w:name="_Toc38441960"/>
      <w:bookmarkStart w:id="1157" w:name="_Toc38442292"/>
      <w:bookmarkStart w:id="1158" w:name="_Toc38442624"/>
      <w:bookmarkStart w:id="1159" w:name="_Toc38442955"/>
      <w:bookmarkStart w:id="1160" w:name="_Toc38443286"/>
      <w:bookmarkStart w:id="1161" w:name="_Toc38443617"/>
      <w:bookmarkStart w:id="1162" w:name="_Toc38443947"/>
      <w:bookmarkStart w:id="1163" w:name="_Toc38438415"/>
      <w:bookmarkStart w:id="1164" w:name="_Toc38438752"/>
      <w:bookmarkStart w:id="1165" w:name="_Toc38439089"/>
      <w:bookmarkStart w:id="1166" w:name="_Toc38439426"/>
      <w:bookmarkStart w:id="1167" w:name="_Toc38439763"/>
      <w:bookmarkStart w:id="1168" w:name="_Toc38440100"/>
      <w:bookmarkStart w:id="1169" w:name="_Toc38440437"/>
      <w:bookmarkStart w:id="1170" w:name="_Toc38440969"/>
      <w:bookmarkStart w:id="1171" w:name="_Toc38441301"/>
      <w:bookmarkStart w:id="1172" w:name="_Toc38441633"/>
      <w:bookmarkStart w:id="1173" w:name="_Toc38441961"/>
      <w:bookmarkStart w:id="1174" w:name="_Toc38442293"/>
      <w:bookmarkStart w:id="1175" w:name="_Toc38442625"/>
      <w:bookmarkStart w:id="1176" w:name="_Toc38442956"/>
      <w:bookmarkStart w:id="1177" w:name="_Toc38443287"/>
      <w:bookmarkStart w:id="1178" w:name="_Toc38443618"/>
      <w:bookmarkStart w:id="1179" w:name="_Toc38443948"/>
      <w:bookmarkStart w:id="1180" w:name="_Toc38438416"/>
      <w:bookmarkStart w:id="1181" w:name="_Toc38438753"/>
      <w:bookmarkStart w:id="1182" w:name="_Toc38439090"/>
      <w:bookmarkStart w:id="1183" w:name="_Toc38439427"/>
      <w:bookmarkStart w:id="1184" w:name="_Toc38439764"/>
      <w:bookmarkStart w:id="1185" w:name="_Toc38440101"/>
      <w:bookmarkStart w:id="1186" w:name="_Toc38440438"/>
      <w:bookmarkStart w:id="1187" w:name="_Toc38440970"/>
      <w:bookmarkStart w:id="1188" w:name="_Toc38441302"/>
      <w:bookmarkStart w:id="1189" w:name="_Toc38441634"/>
      <w:bookmarkStart w:id="1190" w:name="_Toc38441962"/>
      <w:bookmarkStart w:id="1191" w:name="_Toc38442294"/>
      <w:bookmarkStart w:id="1192" w:name="_Toc38442626"/>
      <w:bookmarkStart w:id="1193" w:name="_Toc38442957"/>
      <w:bookmarkStart w:id="1194" w:name="_Toc38443288"/>
      <w:bookmarkStart w:id="1195" w:name="_Toc38443619"/>
      <w:bookmarkStart w:id="1196" w:name="_Toc38443949"/>
      <w:bookmarkStart w:id="1197" w:name="_Toc38438417"/>
      <w:bookmarkStart w:id="1198" w:name="_Toc38438754"/>
      <w:bookmarkStart w:id="1199" w:name="_Toc38439091"/>
      <w:bookmarkStart w:id="1200" w:name="_Toc38439428"/>
      <w:bookmarkStart w:id="1201" w:name="_Toc38439765"/>
      <w:bookmarkStart w:id="1202" w:name="_Toc38440102"/>
      <w:bookmarkStart w:id="1203" w:name="_Toc38440439"/>
      <w:bookmarkStart w:id="1204" w:name="_Toc38440971"/>
      <w:bookmarkStart w:id="1205" w:name="_Toc38441303"/>
      <w:bookmarkStart w:id="1206" w:name="_Toc38441635"/>
      <w:bookmarkStart w:id="1207" w:name="_Toc38441963"/>
      <w:bookmarkStart w:id="1208" w:name="_Toc38442295"/>
      <w:bookmarkStart w:id="1209" w:name="_Toc38442627"/>
      <w:bookmarkStart w:id="1210" w:name="_Toc38442958"/>
      <w:bookmarkStart w:id="1211" w:name="_Toc38443289"/>
      <w:bookmarkStart w:id="1212" w:name="_Toc38443620"/>
      <w:bookmarkStart w:id="1213" w:name="_Toc38443950"/>
      <w:bookmarkStart w:id="1214" w:name="_Toc38438418"/>
      <w:bookmarkStart w:id="1215" w:name="_Toc38438755"/>
      <w:bookmarkStart w:id="1216" w:name="_Toc38439092"/>
      <w:bookmarkStart w:id="1217" w:name="_Toc38439429"/>
      <w:bookmarkStart w:id="1218" w:name="_Toc38439766"/>
      <w:bookmarkStart w:id="1219" w:name="_Toc38440103"/>
      <w:bookmarkStart w:id="1220" w:name="_Toc38440440"/>
      <w:bookmarkStart w:id="1221" w:name="_Toc38440972"/>
      <w:bookmarkStart w:id="1222" w:name="_Toc38441304"/>
      <w:bookmarkStart w:id="1223" w:name="_Toc38441636"/>
      <w:bookmarkStart w:id="1224" w:name="_Toc38441964"/>
      <w:bookmarkStart w:id="1225" w:name="_Toc38442296"/>
      <w:bookmarkStart w:id="1226" w:name="_Toc38442628"/>
      <w:bookmarkStart w:id="1227" w:name="_Toc38442959"/>
      <w:bookmarkStart w:id="1228" w:name="_Toc38443290"/>
      <w:bookmarkStart w:id="1229" w:name="_Toc38443621"/>
      <w:bookmarkStart w:id="1230" w:name="_Toc38443951"/>
      <w:bookmarkStart w:id="1231" w:name="_Toc38438419"/>
      <w:bookmarkStart w:id="1232" w:name="_Toc38438756"/>
      <w:bookmarkStart w:id="1233" w:name="_Toc38439093"/>
      <w:bookmarkStart w:id="1234" w:name="_Toc38439430"/>
      <w:bookmarkStart w:id="1235" w:name="_Toc38439767"/>
      <w:bookmarkStart w:id="1236" w:name="_Toc38440104"/>
      <w:bookmarkStart w:id="1237" w:name="_Toc38440441"/>
      <w:bookmarkStart w:id="1238" w:name="_Toc38440973"/>
      <w:bookmarkStart w:id="1239" w:name="_Toc38441305"/>
      <w:bookmarkStart w:id="1240" w:name="_Toc38441637"/>
      <w:bookmarkStart w:id="1241" w:name="_Toc38441965"/>
      <w:bookmarkStart w:id="1242" w:name="_Toc38442297"/>
      <w:bookmarkStart w:id="1243" w:name="_Toc38442629"/>
      <w:bookmarkStart w:id="1244" w:name="_Toc38442960"/>
      <w:bookmarkStart w:id="1245" w:name="_Toc38443291"/>
      <w:bookmarkStart w:id="1246" w:name="_Toc38443622"/>
      <w:bookmarkStart w:id="1247" w:name="_Toc38443952"/>
      <w:bookmarkStart w:id="1248" w:name="_Toc38438420"/>
      <w:bookmarkStart w:id="1249" w:name="_Toc38438757"/>
      <w:bookmarkStart w:id="1250" w:name="_Toc38439094"/>
      <w:bookmarkStart w:id="1251" w:name="_Toc38439431"/>
      <w:bookmarkStart w:id="1252" w:name="_Toc38439768"/>
      <w:bookmarkStart w:id="1253" w:name="_Toc38440105"/>
      <w:bookmarkStart w:id="1254" w:name="_Toc38440442"/>
      <w:bookmarkStart w:id="1255" w:name="_Toc38440974"/>
      <w:bookmarkStart w:id="1256" w:name="_Toc38441306"/>
      <w:bookmarkStart w:id="1257" w:name="_Toc38441638"/>
      <w:bookmarkStart w:id="1258" w:name="_Toc38441966"/>
      <w:bookmarkStart w:id="1259" w:name="_Toc38442298"/>
      <w:bookmarkStart w:id="1260" w:name="_Toc38442630"/>
      <w:bookmarkStart w:id="1261" w:name="_Toc38442961"/>
      <w:bookmarkStart w:id="1262" w:name="_Toc38443292"/>
      <w:bookmarkStart w:id="1263" w:name="_Toc38443623"/>
      <w:bookmarkStart w:id="1264" w:name="_Toc38443953"/>
      <w:bookmarkStart w:id="1265" w:name="_Toc38438421"/>
      <w:bookmarkStart w:id="1266" w:name="_Toc38438758"/>
      <w:bookmarkStart w:id="1267" w:name="_Toc38439095"/>
      <w:bookmarkStart w:id="1268" w:name="_Toc38439432"/>
      <w:bookmarkStart w:id="1269" w:name="_Toc38439769"/>
      <w:bookmarkStart w:id="1270" w:name="_Toc38440106"/>
      <w:bookmarkStart w:id="1271" w:name="_Toc38440443"/>
      <w:bookmarkStart w:id="1272" w:name="_Toc38440975"/>
      <w:bookmarkStart w:id="1273" w:name="_Toc38441307"/>
      <w:bookmarkStart w:id="1274" w:name="_Toc38441639"/>
      <w:bookmarkStart w:id="1275" w:name="_Toc38441967"/>
      <w:bookmarkStart w:id="1276" w:name="_Toc38442299"/>
      <w:bookmarkStart w:id="1277" w:name="_Toc38442631"/>
      <w:bookmarkStart w:id="1278" w:name="_Toc38442962"/>
      <w:bookmarkStart w:id="1279" w:name="_Toc38443293"/>
      <w:bookmarkStart w:id="1280" w:name="_Toc38443624"/>
      <w:bookmarkStart w:id="1281" w:name="_Toc38443954"/>
      <w:bookmarkStart w:id="1282" w:name="_Toc38438422"/>
      <w:bookmarkStart w:id="1283" w:name="_Toc38438759"/>
      <w:bookmarkStart w:id="1284" w:name="_Toc38439096"/>
      <w:bookmarkStart w:id="1285" w:name="_Toc38439433"/>
      <w:bookmarkStart w:id="1286" w:name="_Toc38439770"/>
      <w:bookmarkStart w:id="1287" w:name="_Toc38440107"/>
      <w:bookmarkStart w:id="1288" w:name="_Toc38440444"/>
      <w:bookmarkStart w:id="1289" w:name="_Toc38440976"/>
      <w:bookmarkStart w:id="1290" w:name="_Toc38441308"/>
      <w:bookmarkStart w:id="1291" w:name="_Toc38441640"/>
      <w:bookmarkStart w:id="1292" w:name="_Toc38441968"/>
      <w:bookmarkStart w:id="1293" w:name="_Toc38442300"/>
      <w:bookmarkStart w:id="1294" w:name="_Toc38442632"/>
      <w:bookmarkStart w:id="1295" w:name="_Toc38442963"/>
      <w:bookmarkStart w:id="1296" w:name="_Toc38443294"/>
      <w:bookmarkStart w:id="1297" w:name="_Toc38443625"/>
      <w:bookmarkStart w:id="1298" w:name="_Toc38443955"/>
      <w:bookmarkStart w:id="1299" w:name="_Toc38438423"/>
      <w:bookmarkStart w:id="1300" w:name="_Toc38438760"/>
      <w:bookmarkStart w:id="1301" w:name="_Toc38439097"/>
      <w:bookmarkStart w:id="1302" w:name="_Toc38439434"/>
      <w:bookmarkStart w:id="1303" w:name="_Toc38439771"/>
      <w:bookmarkStart w:id="1304" w:name="_Toc38440108"/>
      <w:bookmarkStart w:id="1305" w:name="_Toc38440445"/>
      <w:bookmarkStart w:id="1306" w:name="_Toc38440977"/>
      <w:bookmarkStart w:id="1307" w:name="_Toc38441309"/>
      <w:bookmarkStart w:id="1308" w:name="_Toc38441641"/>
      <w:bookmarkStart w:id="1309" w:name="_Toc38441969"/>
      <w:bookmarkStart w:id="1310" w:name="_Toc38442301"/>
      <w:bookmarkStart w:id="1311" w:name="_Toc38442633"/>
      <w:bookmarkStart w:id="1312" w:name="_Toc38442964"/>
      <w:bookmarkStart w:id="1313" w:name="_Toc38443295"/>
      <w:bookmarkStart w:id="1314" w:name="_Toc38443626"/>
      <w:bookmarkStart w:id="1315" w:name="_Toc38443956"/>
      <w:bookmarkStart w:id="1316" w:name="_Toc38438424"/>
      <w:bookmarkStart w:id="1317" w:name="_Toc38438761"/>
      <w:bookmarkStart w:id="1318" w:name="_Toc38439098"/>
      <w:bookmarkStart w:id="1319" w:name="_Toc38439435"/>
      <w:bookmarkStart w:id="1320" w:name="_Toc38439772"/>
      <w:bookmarkStart w:id="1321" w:name="_Toc38440109"/>
      <w:bookmarkStart w:id="1322" w:name="_Toc38440446"/>
      <w:bookmarkStart w:id="1323" w:name="_Toc38440978"/>
      <w:bookmarkStart w:id="1324" w:name="_Toc38441310"/>
      <w:bookmarkStart w:id="1325" w:name="_Toc38441642"/>
      <w:bookmarkStart w:id="1326" w:name="_Toc38441970"/>
      <w:bookmarkStart w:id="1327" w:name="_Toc38442302"/>
      <w:bookmarkStart w:id="1328" w:name="_Toc38442634"/>
      <w:bookmarkStart w:id="1329" w:name="_Toc38442965"/>
      <w:bookmarkStart w:id="1330" w:name="_Toc38443296"/>
      <w:bookmarkStart w:id="1331" w:name="_Toc38443627"/>
      <w:bookmarkStart w:id="1332" w:name="_Toc38443957"/>
      <w:bookmarkStart w:id="1333" w:name="_Toc38438425"/>
      <w:bookmarkStart w:id="1334" w:name="_Toc38438762"/>
      <w:bookmarkStart w:id="1335" w:name="_Toc38439099"/>
      <w:bookmarkStart w:id="1336" w:name="_Toc38439436"/>
      <w:bookmarkStart w:id="1337" w:name="_Toc38439773"/>
      <w:bookmarkStart w:id="1338" w:name="_Toc38440110"/>
      <w:bookmarkStart w:id="1339" w:name="_Toc38440447"/>
      <w:bookmarkStart w:id="1340" w:name="_Toc38440979"/>
      <w:bookmarkStart w:id="1341" w:name="_Toc38441311"/>
      <w:bookmarkStart w:id="1342" w:name="_Toc38441643"/>
      <w:bookmarkStart w:id="1343" w:name="_Toc38441971"/>
      <w:bookmarkStart w:id="1344" w:name="_Toc38442303"/>
      <w:bookmarkStart w:id="1345" w:name="_Toc38442635"/>
      <w:bookmarkStart w:id="1346" w:name="_Toc38442966"/>
      <w:bookmarkStart w:id="1347" w:name="_Toc38443297"/>
      <w:bookmarkStart w:id="1348" w:name="_Toc38443628"/>
      <w:bookmarkStart w:id="1349" w:name="_Toc38443958"/>
      <w:bookmarkStart w:id="1350" w:name="_Toc38438426"/>
      <w:bookmarkStart w:id="1351" w:name="_Toc38438763"/>
      <w:bookmarkStart w:id="1352" w:name="_Toc38439100"/>
      <w:bookmarkStart w:id="1353" w:name="_Toc38439437"/>
      <w:bookmarkStart w:id="1354" w:name="_Toc38439774"/>
      <w:bookmarkStart w:id="1355" w:name="_Toc38440111"/>
      <w:bookmarkStart w:id="1356" w:name="_Toc38440448"/>
      <w:bookmarkStart w:id="1357" w:name="_Toc38440980"/>
      <w:bookmarkStart w:id="1358" w:name="_Toc38441312"/>
      <w:bookmarkStart w:id="1359" w:name="_Toc38441644"/>
      <w:bookmarkStart w:id="1360" w:name="_Toc38441972"/>
      <w:bookmarkStart w:id="1361" w:name="_Toc38442304"/>
      <w:bookmarkStart w:id="1362" w:name="_Toc38442636"/>
      <w:bookmarkStart w:id="1363" w:name="_Toc38442967"/>
      <w:bookmarkStart w:id="1364" w:name="_Toc38443298"/>
      <w:bookmarkStart w:id="1365" w:name="_Toc38443629"/>
      <w:bookmarkStart w:id="1366" w:name="_Toc38443959"/>
      <w:bookmarkStart w:id="1367" w:name="_Toc38438427"/>
      <w:bookmarkStart w:id="1368" w:name="_Toc38438764"/>
      <w:bookmarkStart w:id="1369" w:name="_Toc38439101"/>
      <w:bookmarkStart w:id="1370" w:name="_Toc38439438"/>
      <w:bookmarkStart w:id="1371" w:name="_Toc38439775"/>
      <w:bookmarkStart w:id="1372" w:name="_Toc38440112"/>
      <w:bookmarkStart w:id="1373" w:name="_Toc38440449"/>
      <w:bookmarkStart w:id="1374" w:name="_Toc38440981"/>
      <w:bookmarkStart w:id="1375" w:name="_Toc38441313"/>
      <w:bookmarkStart w:id="1376" w:name="_Toc38441645"/>
      <w:bookmarkStart w:id="1377" w:name="_Toc38441973"/>
      <w:bookmarkStart w:id="1378" w:name="_Toc38442305"/>
      <w:bookmarkStart w:id="1379" w:name="_Toc38442637"/>
      <w:bookmarkStart w:id="1380" w:name="_Toc38442968"/>
      <w:bookmarkStart w:id="1381" w:name="_Toc38443299"/>
      <w:bookmarkStart w:id="1382" w:name="_Toc38443630"/>
      <w:bookmarkStart w:id="1383" w:name="_Toc38443960"/>
      <w:bookmarkStart w:id="1384" w:name="_Toc38438428"/>
      <w:bookmarkStart w:id="1385" w:name="_Toc38438765"/>
      <w:bookmarkStart w:id="1386" w:name="_Toc38439102"/>
      <w:bookmarkStart w:id="1387" w:name="_Toc38439439"/>
      <w:bookmarkStart w:id="1388" w:name="_Toc38439776"/>
      <w:bookmarkStart w:id="1389" w:name="_Toc38440113"/>
      <w:bookmarkStart w:id="1390" w:name="_Toc38440450"/>
      <w:bookmarkStart w:id="1391" w:name="_Toc38440982"/>
      <w:bookmarkStart w:id="1392" w:name="_Toc38441314"/>
      <w:bookmarkStart w:id="1393" w:name="_Toc38441646"/>
      <w:bookmarkStart w:id="1394" w:name="_Toc38441974"/>
      <w:bookmarkStart w:id="1395" w:name="_Toc38442306"/>
      <w:bookmarkStart w:id="1396" w:name="_Toc38442638"/>
      <w:bookmarkStart w:id="1397" w:name="_Toc38442969"/>
      <w:bookmarkStart w:id="1398" w:name="_Toc38443300"/>
      <w:bookmarkStart w:id="1399" w:name="_Toc38443631"/>
      <w:bookmarkStart w:id="1400" w:name="_Toc38443961"/>
      <w:bookmarkStart w:id="1401" w:name="_Toc38438429"/>
      <w:bookmarkStart w:id="1402" w:name="_Toc38438766"/>
      <w:bookmarkStart w:id="1403" w:name="_Toc38439103"/>
      <w:bookmarkStart w:id="1404" w:name="_Toc38439440"/>
      <w:bookmarkStart w:id="1405" w:name="_Toc38439777"/>
      <w:bookmarkStart w:id="1406" w:name="_Toc38440114"/>
      <w:bookmarkStart w:id="1407" w:name="_Toc38440451"/>
      <w:bookmarkStart w:id="1408" w:name="_Toc38440983"/>
      <w:bookmarkStart w:id="1409" w:name="_Toc38441315"/>
      <w:bookmarkStart w:id="1410" w:name="_Toc38441647"/>
      <w:bookmarkStart w:id="1411" w:name="_Toc38441975"/>
      <w:bookmarkStart w:id="1412" w:name="_Toc38442307"/>
      <w:bookmarkStart w:id="1413" w:name="_Toc38442639"/>
      <w:bookmarkStart w:id="1414" w:name="_Toc38442970"/>
      <w:bookmarkStart w:id="1415" w:name="_Toc38443301"/>
      <w:bookmarkStart w:id="1416" w:name="_Toc38443632"/>
      <w:bookmarkStart w:id="1417" w:name="_Toc38443962"/>
      <w:bookmarkStart w:id="1418" w:name="_Toc38438430"/>
      <w:bookmarkStart w:id="1419" w:name="_Toc38438767"/>
      <w:bookmarkStart w:id="1420" w:name="_Toc38439104"/>
      <w:bookmarkStart w:id="1421" w:name="_Toc38439441"/>
      <w:bookmarkStart w:id="1422" w:name="_Toc38439778"/>
      <w:bookmarkStart w:id="1423" w:name="_Toc38440115"/>
      <w:bookmarkStart w:id="1424" w:name="_Toc38440452"/>
      <w:bookmarkStart w:id="1425" w:name="_Toc38440984"/>
      <w:bookmarkStart w:id="1426" w:name="_Toc38441316"/>
      <w:bookmarkStart w:id="1427" w:name="_Toc38441648"/>
      <w:bookmarkStart w:id="1428" w:name="_Toc38441976"/>
      <w:bookmarkStart w:id="1429" w:name="_Toc38442308"/>
      <w:bookmarkStart w:id="1430" w:name="_Toc38442640"/>
      <w:bookmarkStart w:id="1431" w:name="_Toc38442971"/>
      <w:bookmarkStart w:id="1432" w:name="_Toc38443302"/>
      <w:bookmarkStart w:id="1433" w:name="_Toc38443633"/>
      <w:bookmarkStart w:id="1434" w:name="_Toc38443963"/>
      <w:bookmarkStart w:id="1435" w:name="_Toc38438431"/>
      <w:bookmarkStart w:id="1436" w:name="_Toc38438768"/>
      <w:bookmarkStart w:id="1437" w:name="_Toc38439105"/>
      <w:bookmarkStart w:id="1438" w:name="_Toc38439442"/>
      <w:bookmarkStart w:id="1439" w:name="_Toc38439779"/>
      <w:bookmarkStart w:id="1440" w:name="_Toc38440116"/>
      <w:bookmarkStart w:id="1441" w:name="_Toc38440453"/>
      <w:bookmarkStart w:id="1442" w:name="_Toc38440985"/>
      <w:bookmarkStart w:id="1443" w:name="_Toc38441317"/>
      <w:bookmarkStart w:id="1444" w:name="_Toc38441649"/>
      <w:bookmarkStart w:id="1445" w:name="_Toc38441977"/>
      <w:bookmarkStart w:id="1446" w:name="_Toc38442309"/>
      <w:bookmarkStart w:id="1447" w:name="_Toc38442641"/>
      <w:bookmarkStart w:id="1448" w:name="_Toc38442972"/>
      <w:bookmarkStart w:id="1449" w:name="_Toc38443303"/>
      <w:bookmarkStart w:id="1450" w:name="_Toc38443634"/>
      <w:bookmarkStart w:id="1451" w:name="_Toc38443964"/>
      <w:bookmarkStart w:id="1452" w:name="_Toc38438432"/>
      <w:bookmarkStart w:id="1453" w:name="_Toc38438769"/>
      <w:bookmarkStart w:id="1454" w:name="_Toc38439106"/>
      <w:bookmarkStart w:id="1455" w:name="_Toc38439443"/>
      <w:bookmarkStart w:id="1456" w:name="_Toc38439780"/>
      <w:bookmarkStart w:id="1457" w:name="_Toc38440117"/>
      <w:bookmarkStart w:id="1458" w:name="_Toc38440454"/>
      <w:bookmarkStart w:id="1459" w:name="_Toc38440986"/>
      <w:bookmarkStart w:id="1460" w:name="_Toc38441318"/>
      <w:bookmarkStart w:id="1461" w:name="_Toc38441650"/>
      <w:bookmarkStart w:id="1462" w:name="_Toc38441978"/>
      <w:bookmarkStart w:id="1463" w:name="_Toc38442310"/>
      <w:bookmarkStart w:id="1464" w:name="_Toc38442642"/>
      <w:bookmarkStart w:id="1465" w:name="_Toc38442973"/>
      <w:bookmarkStart w:id="1466" w:name="_Toc38443304"/>
      <w:bookmarkStart w:id="1467" w:name="_Toc38443635"/>
      <w:bookmarkStart w:id="1468" w:name="_Toc38443965"/>
      <w:bookmarkStart w:id="1469" w:name="_Toc38438433"/>
      <w:bookmarkStart w:id="1470" w:name="_Toc38438770"/>
      <w:bookmarkStart w:id="1471" w:name="_Toc38439107"/>
      <w:bookmarkStart w:id="1472" w:name="_Toc38439444"/>
      <w:bookmarkStart w:id="1473" w:name="_Toc38439781"/>
      <w:bookmarkStart w:id="1474" w:name="_Toc38440118"/>
      <w:bookmarkStart w:id="1475" w:name="_Toc38440455"/>
      <w:bookmarkStart w:id="1476" w:name="_Toc38440987"/>
      <w:bookmarkStart w:id="1477" w:name="_Toc38441319"/>
      <w:bookmarkStart w:id="1478" w:name="_Toc38441651"/>
      <w:bookmarkStart w:id="1479" w:name="_Toc38441979"/>
      <w:bookmarkStart w:id="1480" w:name="_Toc38442311"/>
      <w:bookmarkStart w:id="1481" w:name="_Toc38442643"/>
      <w:bookmarkStart w:id="1482" w:name="_Toc38442974"/>
      <w:bookmarkStart w:id="1483" w:name="_Toc38443305"/>
      <w:bookmarkStart w:id="1484" w:name="_Toc38443636"/>
      <w:bookmarkStart w:id="1485" w:name="_Toc38443966"/>
      <w:bookmarkStart w:id="1486" w:name="_Toc38438434"/>
      <w:bookmarkStart w:id="1487" w:name="_Toc38438771"/>
      <w:bookmarkStart w:id="1488" w:name="_Toc38439108"/>
      <w:bookmarkStart w:id="1489" w:name="_Toc38439445"/>
      <w:bookmarkStart w:id="1490" w:name="_Toc38439782"/>
      <w:bookmarkStart w:id="1491" w:name="_Toc38440119"/>
      <w:bookmarkStart w:id="1492" w:name="_Toc38440456"/>
      <w:bookmarkStart w:id="1493" w:name="_Toc38440988"/>
      <w:bookmarkStart w:id="1494" w:name="_Toc38441320"/>
      <w:bookmarkStart w:id="1495" w:name="_Toc38441652"/>
      <w:bookmarkStart w:id="1496" w:name="_Toc38441980"/>
      <w:bookmarkStart w:id="1497" w:name="_Toc38442312"/>
      <w:bookmarkStart w:id="1498" w:name="_Toc38442644"/>
      <w:bookmarkStart w:id="1499" w:name="_Toc38442975"/>
      <w:bookmarkStart w:id="1500" w:name="_Toc38443306"/>
      <w:bookmarkStart w:id="1501" w:name="_Toc38443637"/>
      <w:bookmarkStart w:id="1502" w:name="_Toc38443967"/>
      <w:bookmarkStart w:id="1503" w:name="_Toc38438435"/>
      <w:bookmarkStart w:id="1504" w:name="_Toc38438772"/>
      <w:bookmarkStart w:id="1505" w:name="_Toc38439109"/>
      <w:bookmarkStart w:id="1506" w:name="_Toc38439446"/>
      <w:bookmarkStart w:id="1507" w:name="_Toc38439783"/>
      <w:bookmarkStart w:id="1508" w:name="_Toc38440120"/>
      <w:bookmarkStart w:id="1509" w:name="_Toc38440457"/>
      <w:bookmarkStart w:id="1510" w:name="_Toc38440989"/>
      <w:bookmarkStart w:id="1511" w:name="_Toc38441321"/>
      <w:bookmarkStart w:id="1512" w:name="_Toc38441653"/>
      <w:bookmarkStart w:id="1513" w:name="_Toc38441981"/>
      <w:bookmarkStart w:id="1514" w:name="_Toc38442313"/>
      <w:bookmarkStart w:id="1515" w:name="_Toc38442645"/>
      <w:bookmarkStart w:id="1516" w:name="_Toc38442976"/>
      <w:bookmarkStart w:id="1517" w:name="_Toc38443307"/>
      <w:bookmarkStart w:id="1518" w:name="_Toc38443638"/>
      <w:bookmarkStart w:id="1519" w:name="_Toc38443968"/>
      <w:bookmarkStart w:id="1520" w:name="_Toc38438436"/>
      <w:bookmarkStart w:id="1521" w:name="_Toc38438773"/>
      <w:bookmarkStart w:id="1522" w:name="_Toc38439110"/>
      <w:bookmarkStart w:id="1523" w:name="_Toc38439447"/>
      <w:bookmarkStart w:id="1524" w:name="_Toc38439784"/>
      <w:bookmarkStart w:id="1525" w:name="_Toc38440121"/>
      <w:bookmarkStart w:id="1526" w:name="_Toc38440458"/>
      <w:bookmarkStart w:id="1527" w:name="_Toc38440990"/>
      <w:bookmarkStart w:id="1528" w:name="_Toc38441322"/>
      <w:bookmarkStart w:id="1529" w:name="_Toc38441654"/>
      <w:bookmarkStart w:id="1530" w:name="_Toc38441982"/>
      <w:bookmarkStart w:id="1531" w:name="_Toc38442314"/>
      <w:bookmarkStart w:id="1532" w:name="_Toc38442646"/>
      <w:bookmarkStart w:id="1533" w:name="_Toc38442977"/>
      <w:bookmarkStart w:id="1534" w:name="_Toc38443308"/>
      <w:bookmarkStart w:id="1535" w:name="_Toc38443639"/>
      <w:bookmarkStart w:id="1536" w:name="_Toc38443969"/>
      <w:bookmarkStart w:id="1537" w:name="_Toc38438437"/>
      <w:bookmarkStart w:id="1538" w:name="_Toc38438774"/>
      <w:bookmarkStart w:id="1539" w:name="_Toc38439111"/>
      <w:bookmarkStart w:id="1540" w:name="_Toc38439448"/>
      <w:bookmarkStart w:id="1541" w:name="_Toc38439785"/>
      <w:bookmarkStart w:id="1542" w:name="_Toc38440122"/>
      <w:bookmarkStart w:id="1543" w:name="_Toc38440459"/>
      <w:bookmarkStart w:id="1544" w:name="_Toc38440991"/>
      <w:bookmarkStart w:id="1545" w:name="_Toc38441323"/>
      <w:bookmarkStart w:id="1546" w:name="_Toc38441655"/>
      <w:bookmarkStart w:id="1547" w:name="_Toc38441983"/>
      <w:bookmarkStart w:id="1548" w:name="_Toc38442315"/>
      <w:bookmarkStart w:id="1549" w:name="_Toc38442647"/>
      <w:bookmarkStart w:id="1550" w:name="_Toc38442978"/>
      <w:bookmarkStart w:id="1551" w:name="_Toc38443309"/>
      <w:bookmarkStart w:id="1552" w:name="_Toc38443640"/>
      <w:bookmarkStart w:id="1553" w:name="_Toc38443970"/>
      <w:bookmarkStart w:id="1554" w:name="_Toc38438438"/>
      <w:bookmarkStart w:id="1555" w:name="_Toc38438775"/>
      <w:bookmarkStart w:id="1556" w:name="_Toc38439112"/>
      <w:bookmarkStart w:id="1557" w:name="_Toc38439449"/>
      <w:bookmarkStart w:id="1558" w:name="_Toc38439786"/>
      <w:bookmarkStart w:id="1559" w:name="_Toc38440123"/>
      <w:bookmarkStart w:id="1560" w:name="_Toc38440460"/>
      <w:bookmarkStart w:id="1561" w:name="_Toc38440992"/>
      <w:bookmarkStart w:id="1562" w:name="_Toc38441324"/>
      <w:bookmarkStart w:id="1563" w:name="_Toc38441656"/>
      <w:bookmarkStart w:id="1564" w:name="_Toc38441984"/>
      <w:bookmarkStart w:id="1565" w:name="_Toc38442316"/>
      <w:bookmarkStart w:id="1566" w:name="_Toc38442648"/>
      <w:bookmarkStart w:id="1567" w:name="_Toc38442979"/>
      <w:bookmarkStart w:id="1568" w:name="_Toc38443310"/>
      <w:bookmarkStart w:id="1569" w:name="_Toc38443641"/>
      <w:bookmarkStart w:id="1570" w:name="_Toc38443971"/>
      <w:bookmarkStart w:id="1571" w:name="_Toc38438439"/>
      <w:bookmarkStart w:id="1572" w:name="_Toc38438776"/>
      <w:bookmarkStart w:id="1573" w:name="_Toc38439113"/>
      <w:bookmarkStart w:id="1574" w:name="_Toc38439450"/>
      <w:bookmarkStart w:id="1575" w:name="_Toc38439787"/>
      <w:bookmarkStart w:id="1576" w:name="_Toc38440124"/>
      <w:bookmarkStart w:id="1577" w:name="_Toc38440461"/>
      <w:bookmarkStart w:id="1578" w:name="_Toc38440993"/>
      <w:bookmarkStart w:id="1579" w:name="_Toc38441325"/>
      <w:bookmarkStart w:id="1580" w:name="_Toc38441657"/>
      <w:bookmarkStart w:id="1581" w:name="_Toc38441985"/>
      <w:bookmarkStart w:id="1582" w:name="_Toc38442317"/>
      <w:bookmarkStart w:id="1583" w:name="_Toc38442649"/>
      <w:bookmarkStart w:id="1584" w:name="_Toc38442980"/>
      <w:bookmarkStart w:id="1585" w:name="_Toc38443311"/>
      <w:bookmarkStart w:id="1586" w:name="_Toc38443642"/>
      <w:bookmarkStart w:id="1587" w:name="_Toc38443972"/>
      <w:bookmarkStart w:id="1588" w:name="_Toc38438440"/>
      <w:bookmarkStart w:id="1589" w:name="_Toc38438777"/>
      <w:bookmarkStart w:id="1590" w:name="_Toc38439114"/>
      <w:bookmarkStart w:id="1591" w:name="_Toc38439451"/>
      <w:bookmarkStart w:id="1592" w:name="_Toc38439788"/>
      <w:bookmarkStart w:id="1593" w:name="_Toc38440125"/>
      <w:bookmarkStart w:id="1594" w:name="_Toc38440462"/>
      <w:bookmarkStart w:id="1595" w:name="_Toc38440994"/>
      <w:bookmarkStart w:id="1596" w:name="_Toc38441326"/>
      <w:bookmarkStart w:id="1597" w:name="_Toc38441658"/>
      <w:bookmarkStart w:id="1598" w:name="_Toc38441986"/>
      <w:bookmarkStart w:id="1599" w:name="_Toc38442318"/>
      <w:bookmarkStart w:id="1600" w:name="_Toc38442650"/>
      <w:bookmarkStart w:id="1601" w:name="_Toc38442981"/>
      <w:bookmarkStart w:id="1602" w:name="_Toc38443312"/>
      <w:bookmarkStart w:id="1603" w:name="_Toc38443643"/>
      <w:bookmarkStart w:id="1604" w:name="_Toc38443973"/>
      <w:bookmarkStart w:id="1605" w:name="_Toc38438441"/>
      <w:bookmarkStart w:id="1606" w:name="_Toc38438778"/>
      <w:bookmarkStart w:id="1607" w:name="_Toc38439115"/>
      <w:bookmarkStart w:id="1608" w:name="_Toc38439452"/>
      <w:bookmarkStart w:id="1609" w:name="_Toc38439789"/>
      <w:bookmarkStart w:id="1610" w:name="_Toc38440126"/>
      <w:bookmarkStart w:id="1611" w:name="_Toc38440463"/>
      <w:bookmarkStart w:id="1612" w:name="_Toc38440995"/>
      <w:bookmarkStart w:id="1613" w:name="_Toc38441327"/>
      <w:bookmarkStart w:id="1614" w:name="_Toc38441659"/>
      <w:bookmarkStart w:id="1615" w:name="_Toc38441987"/>
      <w:bookmarkStart w:id="1616" w:name="_Toc38442319"/>
      <w:bookmarkStart w:id="1617" w:name="_Toc38442651"/>
      <w:bookmarkStart w:id="1618" w:name="_Toc38442982"/>
      <w:bookmarkStart w:id="1619" w:name="_Toc38443313"/>
      <w:bookmarkStart w:id="1620" w:name="_Toc38443644"/>
      <w:bookmarkStart w:id="1621" w:name="_Toc38443974"/>
      <w:bookmarkStart w:id="1622" w:name="_Toc38438442"/>
      <w:bookmarkStart w:id="1623" w:name="_Toc38438779"/>
      <w:bookmarkStart w:id="1624" w:name="_Toc38439116"/>
      <w:bookmarkStart w:id="1625" w:name="_Toc38439453"/>
      <w:bookmarkStart w:id="1626" w:name="_Toc38439790"/>
      <w:bookmarkStart w:id="1627" w:name="_Toc38440127"/>
      <w:bookmarkStart w:id="1628" w:name="_Toc38440464"/>
      <w:bookmarkStart w:id="1629" w:name="_Toc38440996"/>
      <w:bookmarkStart w:id="1630" w:name="_Toc38441328"/>
      <w:bookmarkStart w:id="1631" w:name="_Toc38441660"/>
      <w:bookmarkStart w:id="1632" w:name="_Toc38441988"/>
      <w:bookmarkStart w:id="1633" w:name="_Toc38442320"/>
      <w:bookmarkStart w:id="1634" w:name="_Toc38442652"/>
      <w:bookmarkStart w:id="1635" w:name="_Toc38442983"/>
      <w:bookmarkStart w:id="1636" w:name="_Toc38443314"/>
      <w:bookmarkStart w:id="1637" w:name="_Toc38443645"/>
      <w:bookmarkStart w:id="1638" w:name="_Toc38443975"/>
      <w:bookmarkStart w:id="1639" w:name="_Toc38438443"/>
      <w:bookmarkStart w:id="1640" w:name="_Toc38438780"/>
      <w:bookmarkStart w:id="1641" w:name="_Toc38439117"/>
      <w:bookmarkStart w:id="1642" w:name="_Toc38439454"/>
      <w:bookmarkStart w:id="1643" w:name="_Toc38439791"/>
      <w:bookmarkStart w:id="1644" w:name="_Toc38440128"/>
      <w:bookmarkStart w:id="1645" w:name="_Toc38440465"/>
      <w:bookmarkStart w:id="1646" w:name="_Toc38440997"/>
      <w:bookmarkStart w:id="1647" w:name="_Toc38441329"/>
      <w:bookmarkStart w:id="1648" w:name="_Toc38441661"/>
      <w:bookmarkStart w:id="1649" w:name="_Toc38441989"/>
      <w:bookmarkStart w:id="1650" w:name="_Toc38442321"/>
      <w:bookmarkStart w:id="1651" w:name="_Toc38442653"/>
      <w:bookmarkStart w:id="1652" w:name="_Toc38442984"/>
      <w:bookmarkStart w:id="1653" w:name="_Toc38443315"/>
      <w:bookmarkStart w:id="1654" w:name="_Toc38443646"/>
      <w:bookmarkStart w:id="1655" w:name="_Toc38443976"/>
      <w:bookmarkStart w:id="1656" w:name="_Toc38438444"/>
      <w:bookmarkStart w:id="1657" w:name="_Toc38438781"/>
      <w:bookmarkStart w:id="1658" w:name="_Toc38439118"/>
      <w:bookmarkStart w:id="1659" w:name="_Toc38439455"/>
      <w:bookmarkStart w:id="1660" w:name="_Toc38439792"/>
      <w:bookmarkStart w:id="1661" w:name="_Toc38440129"/>
      <w:bookmarkStart w:id="1662" w:name="_Toc38440466"/>
      <w:bookmarkStart w:id="1663" w:name="_Toc38440998"/>
      <w:bookmarkStart w:id="1664" w:name="_Toc38441330"/>
      <w:bookmarkStart w:id="1665" w:name="_Toc38441662"/>
      <w:bookmarkStart w:id="1666" w:name="_Toc38441990"/>
      <w:bookmarkStart w:id="1667" w:name="_Toc38442322"/>
      <w:bookmarkStart w:id="1668" w:name="_Toc38442654"/>
      <w:bookmarkStart w:id="1669" w:name="_Toc38442985"/>
      <w:bookmarkStart w:id="1670" w:name="_Toc38443316"/>
      <w:bookmarkStart w:id="1671" w:name="_Toc38443647"/>
      <w:bookmarkStart w:id="1672" w:name="_Toc38443977"/>
      <w:bookmarkStart w:id="1673" w:name="_Toc38438445"/>
      <w:bookmarkStart w:id="1674" w:name="_Toc38438782"/>
      <w:bookmarkStart w:id="1675" w:name="_Toc38439119"/>
      <w:bookmarkStart w:id="1676" w:name="_Toc38439456"/>
      <w:bookmarkStart w:id="1677" w:name="_Toc38439793"/>
      <w:bookmarkStart w:id="1678" w:name="_Toc38440130"/>
      <w:bookmarkStart w:id="1679" w:name="_Toc38440467"/>
      <w:bookmarkStart w:id="1680" w:name="_Toc38440999"/>
      <w:bookmarkStart w:id="1681" w:name="_Toc38441331"/>
      <w:bookmarkStart w:id="1682" w:name="_Toc38441663"/>
      <w:bookmarkStart w:id="1683" w:name="_Toc38441991"/>
      <w:bookmarkStart w:id="1684" w:name="_Toc38442323"/>
      <w:bookmarkStart w:id="1685" w:name="_Toc38442655"/>
      <w:bookmarkStart w:id="1686" w:name="_Toc38442986"/>
      <w:bookmarkStart w:id="1687" w:name="_Toc38443317"/>
      <w:bookmarkStart w:id="1688" w:name="_Toc38443648"/>
      <w:bookmarkStart w:id="1689" w:name="_Toc38443978"/>
      <w:bookmarkStart w:id="1690" w:name="_Toc38438446"/>
      <w:bookmarkStart w:id="1691" w:name="_Toc38438783"/>
      <w:bookmarkStart w:id="1692" w:name="_Toc38439120"/>
      <w:bookmarkStart w:id="1693" w:name="_Toc38439457"/>
      <w:bookmarkStart w:id="1694" w:name="_Toc38439794"/>
      <w:bookmarkStart w:id="1695" w:name="_Toc38440131"/>
      <w:bookmarkStart w:id="1696" w:name="_Toc38440468"/>
      <w:bookmarkStart w:id="1697" w:name="_Toc38441000"/>
      <w:bookmarkStart w:id="1698" w:name="_Toc38441332"/>
      <w:bookmarkStart w:id="1699" w:name="_Toc38441664"/>
      <w:bookmarkStart w:id="1700" w:name="_Toc38441992"/>
      <w:bookmarkStart w:id="1701" w:name="_Toc38442324"/>
      <w:bookmarkStart w:id="1702" w:name="_Toc38442656"/>
      <w:bookmarkStart w:id="1703" w:name="_Toc38442987"/>
      <w:bookmarkStart w:id="1704" w:name="_Toc38443318"/>
      <w:bookmarkStart w:id="1705" w:name="_Toc38443649"/>
      <w:bookmarkStart w:id="1706" w:name="_Toc38443979"/>
      <w:bookmarkStart w:id="1707" w:name="_Toc38438447"/>
      <w:bookmarkStart w:id="1708" w:name="_Toc38438784"/>
      <w:bookmarkStart w:id="1709" w:name="_Toc38439121"/>
      <w:bookmarkStart w:id="1710" w:name="_Toc38439458"/>
      <w:bookmarkStart w:id="1711" w:name="_Toc38439795"/>
      <w:bookmarkStart w:id="1712" w:name="_Toc38440132"/>
      <w:bookmarkStart w:id="1713" w:name="_Toc38440469"/>
      <w:bookmarkStart w:id="1714" w:name="_Toc38441001"/>
      <w:bookmarkStart w:id="1715" w:name="_Toc38441333"/>
      <w:bookmarkStart w:id="1716" w:name="_Toc38441665"/>
      <w:bookmarkStart w:id="1717" w:name="_Toc38441993"/>
      <w:bookmarkStart w:id="1718" w:name="_Toc38442325"/>
      <w:bookmarkStart w:id="1719" w:name="_Toc38442657"/>
      <w:bookmarkStart w:id="1720" w:name="_Toc38442988"/>
      <w:bookmarkStart w:id="1721" w:name="_Toc38443319"/>
      <w:bookmarkStart w:id="1722" w:name="_Toc38443650"/>
      <w:bookmarkStart w:id="1723" w:name="_Toc38443980"/>
      <w:bookmarkStart w:id="1724" w:name="_Toc38438448"/>
      <w:bookmarkStart w:id="1725" w:name="_Toc38438785"/>
      <w:bookmarkStart w:id="1726" w:name="_Toc38439122"/>
      <w:bookmarkStart w:id="1727" w:name="_Toc38439459"/>
      <w:bookmarkStart w:id="1728" w:name="_Toc38439796"/>
      <w:bookmarkStart w:id="1729" w:name="_Toc38440133"/>
      <w:bookmarkStart w:id="1730" w:name="_Toc38440470"/>
      <w:bookmarkStart w:id="1731" w:name="_Toc38441002"/>
      <w:bookmarkStart w:id="1732" w:name="_Toc38441334"/>
      <w:bookmarkStart w:id="1733" w:name="_Toc38441666"/>
      <w:bookmarkStart w:id="1734" w:name="_Toc38441994"/>
      <w:bookmarkStart w:id="1735" w:name="_Toc38442326"/>
      <w:bookmarkStart w:id="1736" w:name="_Toc38442658"/>
      <w:bookmarkStart w:id="1737" w:name="_Toc38442989"/>
      <w:bookmarkStart w:id="1738" w:name="_Toc38443320"/>
      <w:bookmarkStart w:id="1739" w:name="_Toc38443651"/>
      <w:bookmarkStart w:id="1740" w:name="_Toc38443981"/>
      <w:bookmarkStart w:id="1741" w:name="_Toc38438449"/>
      <w:bookmarkStart w:id="1742" w:name="_Toc38438786"/>
      <w:bookmarkStart w:id="1743" w:name="_Toc38439123"/>
      <w:bookmarkStart w:id="1744" w:name="_Toc38439460"/>
      <w:bookmarkStart w:id="1745" w:name="_Toc38439797"/>
      <w:bookmarkStart w:id="1746" w:name="_Toc38440134"/>
      <w:bookmarkStart w:id="1747" w:name="_Toc38440471"/>
      <w:bookmarkStart w:id="1748" w:name="_Toc38441003"/>
      <w:bookmarkStart w:id="1749" w:name="_Toc38441335"/>
      <w:bookmarkStart w:id="1750" w:name="_Toc38441667"/>
      <w:bookmarkStart w:id="1751" w:name="_Toc38441995"/>
      <w:bookmarkStart w:id="1752" w:name="_Toc38442327"/>
      <w:bookmarkStart w:id="1753" w:name="_Toc38442659"/>
      <w:bookmarkStart w:id="1754" w:name="_Toc38442990"/>
      <w:bookmarkStart w:id="1755" w:name="_Toc38443321"/>
      <w:bookmarkStart w:id="1756" w:name="_Toc38443652"/>
      <w:bookmarkStart w:id="1757" w:name="_Toc38443982"/>
      <w:bookmarkStart w:id="1758" w:name="_Toc38438450"/>
      <w:bookmarkStart w:id="1759" w:name="_Toc38438787"/>
      <w:bookmarkStart w:id="1760" w:name="_Toc38439124"/>
      <w:bookmarkStart w:id="1761" w:name="_Toc38439461"/>
      <w:bookmarkStart w:id="1762" w:name="_Toc38439798"/>
      <w:bookmarkStart w:id="1763" w:name="_Toc38440135"/>
      <w:bookmarkStart w:id="1764" w:name="_Toc38440472"/>
      <w:bookmarkStart w:id="1765" w:name="_Toc38441004"/>
      <w:bookmarkStart w:id="1766" w:name="_Toc38441336"/>
      <w:bookmarkStart w:id="1767" w:name="_Toc38441668"/>
      <w:bookmarkStart w:id="1768" w:name="_Toc38441996"/>
      <w:bookmarkStart w:id="1769" w:name="_Toc38442328"/>
      <w:bookmarkStart w:id="1770" w:name="_Toc38442660"/>
      <w:bookmarkStart w:id="1771" w:name="_Toc38442991"/>
      <w:bookmarkStart w:id="1772" w:name="_Toc38443322"/>
      <w:bookmarkStart w:id="1773" w:name="_Toc38443653"/>
      <w:bookmarkStart w:id="1774" w:name="_Toc38443983"/>
      <w:bookmarkStart w:id="1775" w:name="_Toc38438451"/>
      <w:bookmarkStart w:id="1776" w:name="_Toc38438788"/>
      <w:bookmarkStart w:id="1777" w:name="_Toc38439125"/>
      <w:bookmarkStart w:id="1778" w:name="_Toc38439462"/>
      <w:bookmarkStart w:id="1779" w:name="_Toc38439799"/>
      <w:bookmarkStart w:id="1780" w:name="_Toc38440136"/>
      <w:bookmarkStart w:id="1781" w:name="_Toc38440473"/>
      <w:bookmarkStart w:id="1782" w:name="_Toc38441005"/>
      <w:bookmarkStart w:id="1783" w:name="_Toc38441337"/>
      <w:bookmarkStart w:id="1784" w:name="_Toc38441669"/>
      <w:bookmarkStart w:id="1785" w:name="_Toc38441997"/>
      <w:bookmarkStart w:id="1786" w:name="_Toc38442329"/>
      <w:bookmarkStart w:id="1787" w:name="_Toc38442661"/>
      <w:bookmarkStart w:id="1788" w:name="_Toc38442992"/>
      <w:bookmarkStart w:id="1789" w:name="_Toc38443323"/>
      <w:bookmarkStart w:id="1790" w:name="_Toc38443654"/>
      <w:bookmarkStart w:id="1791" w:name="_Toc38443984"/>
      <w:bookmarkStart w:id="1792" w:name="_Toc38438452"/>
      <w:bookmarkStart w:id="1793" w:name="_Toc38438789"/>
      <w:bookmarkStart w:id="1794" w:name="_Toc38439126"/>
      <w:bookmarkStart w:id="1795" w:name="_Toc38439463"/>
      <w:bookmarkStart w:id="1796" w:name="_Toc38439800"/>
      <w:bookmarkStart w:id="1797" w:name="_Toc38440137"/>
      <w:bookmarkStart w:id="1798" w:name="_Toc38440474"/>
      <w:bookmarkStart w:id="1799" w:name="_Toc38441006"/>
      <w:bookmarkStart w:id="1800" w:name="_Toc38441338"/>
      <w:bookmarkStart w:id="1801" w:name="_Toc38441670"/>
      <w:bookmarkStart w:id="1802" w:name="_Toc38441998"/>
      <w:bookmarkStart w:id="1803" w:name="_Toc38442330"/>
      <w:bookmarkStart w:id="1804" w:name="_Toc38442662"/>
      <w:bookmarkStart w:id="1805" w:name="_Toc38442993"/>
      <w:bookmarkStart w:id="1806" w:name="_Toc38443324"/>
      <w:bookmarkStart w:id="1807" w:name="_Toc38443655"/>
      <w:bookmarkStart w:id="1808" w:name="_Toc38443985"/>
      <w:bookmarkStart w:id="1809" w:name="_Toc38438453"/>
      <w:bookmarkStart w:id="1810" w:name="_Toc38438790"/>
      <w:bookmarkStart w:id="1811" w:name="_Toc38439127"/>
      <w:bookmarkStart w:id="1812" w:name="_Toc38439464"/>
      <w:bookmarkStart w:id="1813" w:name="_Toc38439801"/>
      <w:bookmarkStart w:id="1814" w:name="_Toc38440138"/>
      <w:bookmarkStart w:id="1815" w:name="_Toc38440475"/>
      <w:bookmarkStart w:id="1816" w:name="_Toc38441007"/>
      <w:bookmarkStart w:id="1817" w:name="_Toc38441339"/>
      <w:bookmarkStart w:id="1818" w:name="_Toc38441671"/>
      <w:bookmarkStart w:id="1819" w:name="_Toc38441999"/>
      <w:bookmarkStart w:id="1820" w:name="_Toc38442331"/>
      <w:bookmarkStart w:id="1821" w:name="_Toc38442663"/>
      <w:bookmarkStart w:id="1822" w:name="_Toc38442994"/>
      <w:bookmarkStart w:id="1823" w:name="_Toc38443325"/>
      <w:bookmarkStart w:id="1824" w:name="_Toc38443656"/>
      <w:bookmarkStart w:id="1825" w:name="_Toc38443986"/>
      <w:bookmarkStart w:id="1826" w:name="_Toc38438454"/>
      <w:bookmarkStart w:id="1827" w:name="_Toc38438791"/>
      <w:bookmarkStart w:id="1828" w:name="_Toc38439128"/>
      <w:bookmarkStart w:id="1829" w:name="_Toc38439465"/>
      <w:bookmarkStart w:id="1830" w:name="_Toc38439802"/>
      <w:bookmarkStart w:id="1831" w:name="_Toc38440139"/>
      <w:bookmarkStart w:id="1832" w:name="_Toc38440476"/>
      <w:bookmarkStart w:id="1833" w:name="_Toc38441008"/>
      <w:bookmarkStart w:id="1834" w:name="_Toc38441340"/>
      <w:bookmarkStart w:id="1835" w:name="_Toc38441672"/>
      <w:bookmarkStart w:id="1836" w:name="_Toc38442000"/>
      <w:bookmarkStart w:id="1837" w:name="_Toc38442332"/>
      <w:bookmarkStart w:id="1838" w:name="_Toc38442664"/>
      <w:bookmarkStart w:id="1839" w:name="_Toc38442995"/>
      <w:bookmarkStart w:id="1840" w:name="_Toc38443326"/>
      <w:bookmarkStart w:id="1841" w:name="_Toc38443657"/>
      <w:bookmarkStart w:id="1842" w:name="_Toc38443987"/>
      <w:bookmarkStart w:id="1843" w:name="_Toc38438455"/>
      <w:bookmarkStart w:id="1844" w:name="_Toc38438792"/>
      <w:bookmarkStart w:id="1845" w:name="_Toc38439129"/>
      <w:bookmarkStart w:id="1846" w:name="_Toc38439466"/>
      <w:bookmarkStart w:id="1847" w:name="_Toc38439803"/>
      <w:bookmarkStart w:id="1848" w:name="_Toc38440140"/>
      <w:bookmarkStart w:id="1849" w:name="_Toc38440477"/>
      <w:bookmarkStart w:id="1850" w:name="_Toc38441009"/>
      <w:bookmarkStart w:id="1851" w:name="_Toc38441341"/>
      <w:bookmarkStart w:id="1852" w:name="_Toc38441673"/>
      <w:bookmarkStart w:id="1853" w:name="_Toc38442001"/>
      <w:bookmarkStart w:id="1854" w:name="_Toc38442333"/>
      <w:bookmarkStart w:id="1855" w:name="_Toc38442665"/>
      <w:bookmarkStart w:id="1856" w:name="_Toc38442996"/>
      <w:bookmarkStart w:id="1857" w:name="_Toc38443327"/>
      <w:bookmarkStart w:id="1858" w:name="_Toc38443658"/>
      <w:bookmarkStart w:id="1859" w:name="_Toc38443988"/>
      <w:bookmarkStart w:id="1860" w:name="_Toc38438456"/>
      <w:bookmarkStart w:id="1861" w:name="_Toc38438793"/>
      <w:bookmarkStart w:id="1862" w:name="_Toc38439130"/>
      <w:bookmarkStart w:id="1863" w:name="_Toc38439467"/>
      <w:bookmarkStart w:id="1864" w:name="_Toc38439804"/>
      <w:bookmarkStart w:id="1865" w:name="_Toc38440141"/>
      <w:bookmarkStart w:id="1866" w:name="_Toc38440478"/>
      <w:bookmarkStart w:id="1867" w:name="_Toc38441010"/>
      <w:bookmarkStart w:id="1868" w:name="_Toc38441342"/>
      <w:bookmarkStart w:id="1869" w:name="_Toc38441674"/>
      <w:bookmarkStart w:id="1870" w:name="_Toc38442002"/>
      <w:bookmarkStart w:id="1871" w:name="_Toc38442334"/>
      <w:bookmarkStart w:id="1872" w:name="_Toc38442666"/>
      <w:bookmarkStart w:id="1873" w:name="_Toc38442997"/>
      <w:bookmarkStart w:id="1874" w:name="_Toc38443328"/>
      <w:bookmarkStart w:id="1875" w:name="_Toc38443659"/>
      <w:bookmarkStart w:id="1876" w:name="_Toc38443989"/>
      <w:bookmarkStart w:id="1877" w:name="_Toc38438457"/>
      <w:bookmarkStart w:id="1878" w:name="_Toc38438794"/>
      <w:bookmarkStart w:id="1879" w:name="_Toc38439131"/>
      <w:bookmarkStart w:id="1880" w:name="_Toc38439468"/>
      <w:bookmarkStart w:id="1881" w:name="_Toc38439805"/>
      <w:bookmarkStart w:id="1882" w:name="_Toc38440142"/>
      <w:bookmarkStart w:id="1883" w:name="_Toc38440479"/>
      <w:bookmarkStart w:id="1884" w:name="_Toc38441011"/>
      <w:bookmarkStart w:id="1885" w:name="_Toc38441343"/>
      <w:bookmarkStart w:id="1886" w:name="_Toc38441675"/>
      <w:bookmarkStart w:id="1887" w:name="_Toc38442003"/>
      <w:bookmarkStart w:id="1888" w:name="_Toc38442335"/>
      <w:bookmarkStart w:id="1889" w:name="_Toc38442667"/>
      <w:bookmarkStart w:id="1890" w:name="_Toc38442998"/>
      <w:bookmarkStart w:id="1891" w:name="_Toc38443329"/>
      <w:bookmarkStart w:id="1892" w:name="_Toc38443660"/>
      <w:bookmarkStart w:id="1893" w:name="_Toc38443990"/>
      <w:bookmarkStart w:id="1894" w:name="_Toc38438458"/>
      <w:bookmarkStart w:id="1895" w:name="_Toc38438795"/>
      <w:bookmarkStart w:id="1896" w:name="_Toc38439132"/>
      <w:bookmarkStart w:id="1897" w:name="_Toc38439469"/>
      <w:bookmarkStart w:id="1898" w:name="_Toc38439806"/>
      <w:bookmarkStart w:id="1899" w:name="_Toc38440143"/>
      <w:bookmarkStart w:id="1900" w:name="_Toc38440480"/>
      <w:bookmarkStart w:id="1901" w:name="_Toc38441012"/>
      <w:bookmarkStart w:id="1902" w:name="_Toc38441344"/>
      <w:bookmarkStart w:id="1903" w:name="_Toc38441676"/>
      <w:bookmarkStart w:id="1904" w:name="_Toc38442004"/>
      <w:bookmarkStart w:id="1905" w:name="_Toc38442336"/>
      <w:bookmarkStart w:id="1906" w:name="_Toc38442668"/>
      <w:bookmarkStart w:id="1907" w:name="_Toc38442999"/>
      <w:bookmarkStart w:id="1908" w:name="_Toc38443330"/>
      <w:bookmarkStart w:id="1909" w:name="_Toc38443661"/>
      <w:bookmarkStart w:id="1910" w:name="_Toc38443991"/>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r w:rsidRPr="00634578">
        <w:rPr>
          <w:rFonts w:asciiTheme="minorEastAsia" w:eastAsiaTheme="minorEastAsia" w:hAnsiTheme="minorEastAsia" w:hint="eastAsia"/>
          <w:color w:val="000000" w:themeColor="text1"/>
          <w:sz w:val="21"/>
        </w:rPr>
        <w:t>易方达基金管理有限公司</w:t>
      </w:r>
    </w:p>
    <w:p w:rsidR="0020128E" w:rsidRPr="00634578" w:rsidP="00311CF5">
      <w:pPr>
        <w:wordWrap w:val="0"/>
        <w:snapToGrid w:val="0"/>
        <w:spacing w:line="360" w:lineRule="auto"/>
        <w:ind w:right="210"/>
        <w:jc w:val="right"/>
        <w:rPr>
          <w:rFonts w:asciiTheme="minorEastAsia" w:eastAsiaTheme="minorEastAsia" w:hAnsiTheme="minorEastAsia"/>
          <w:color w:val="000000" w:themeColor="text1"/>
        </w:rPr>
      </w:pPr>
      <w:r w:rsidRPr="00634578">
        <w:rPr>
          <w:rFonts w:asciiTheme="minorEastAsia" w:eastAsiaTheme="minorEastAsia" w:hAnsiTheme="minorEastAsia"/>
          <w:color w:val="000000" w:themeColor="text1"/>
        </w:rPr>
        <w:t>2021年</w:t>
      </w:r>
      <w:r w:rsidRPr="00634578" w:rsidR="00677D20">
        <w:rPr>
          <w:rFonts w:asciiTheme="minorEastAsia" w:eastAsiaTheme="minorEastAsia" w:hAnsiTheme="minorEastAsia"/>
          <w:color w:val="000000" w:themeColor="text1"/>
        </w:rPr>
        <w:t>12</w:t>
      </w:r>
      <w:r w:rsidRPr="00634578">
        <w:rPr>
          <w:rFonts w:asciiTheme="minorEastAsia" w:eastAsiaTheme="minorEastAsia" w:hAnsiTheme="minorEastAsia"/>
          <w:color w:val="000000" w:themeColor="text1"/>
        </w:rPr>
        <w:t>月</w:t>
      </w:r>
      <w:r w:rsidRPr="00634578" w:rsidR="00677D20">
        <w:rPr>
          <w:rFonts w:asciiTheme="minorEastAsia" w:eastAsiaTheme="minorEastAsia" w:hAnsiTheme="minorEastAsia"/>
          <w:color w:val="000000" w:themeColor="text1"/>
        </w:rPr>
        <w:t>31</w:t>
      </w:r>
      <w:r w:rsidRPr="00634578">
        <w:rPr>
          <w:rFonts w:asciiTheme="minorEastAsia" w:eastAsiaTheme="minorEastAsia" w:hAnsiTheme="minorEastAsia"/>
          <w:color w:val="000000" w:themeColor="text1"/>
        </w:rPr>
        <w:t>日</w:t>
      </w:r>
    </w:p>
    <w:sectPr w:rsidSect="00684869">
      <w:headerReference w:type="default" r:id="rId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宋体S.....">
    <w:charset w:val="00"/>
    <w:family w:val="auto"/>
    <w:pitch w:val="default"/>
  </w:font>
  <w:font w:name="Heiti SC Light">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008" w:rsidP="00C0654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008" w:rsidP="008B4D04">
    <w:pPr>
      <w:pStyle w:val="Footer"/>
      <w:ind w:firstLine="360"/>
      <w:jc w:val="center"/>
    </w:pPr>
  </w:p>
  <w:p w:rsidR="001B2008" w:rsidP="00C06549">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008" w:rsidP="00C06549">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008" w:rsidP="008B4D04">
    <w:pPr>
      <w:pStyle w:val="Footer"/>
      <w:ind w:firstLine="360"/>
      <w:jc w:val="center"/>
    </w:pPr>
  </w:p>
  <w:p w:rsidR="001B2008" w:rsidP="00C06549">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6261528"/>
      <w:docPartObj>
        <w:docPartGallery w:val="Page Numbers (Bottom of Page)"/>
        <w:docPartUnique/>
      </w:docPartObj>
    </w:sdtPr>
    <w:sdtContent>
      <w:p w:rsidR="001B2008" w:rsidP="008B4D04">
        <w:pPr>
          <w:pStyle w:val="Footer"/>
          <w:ind w:firstLine="360"/>
          <w:jc w:val="center"/>
        </w:pPr>
        <w:r>
          <w:fldChar w:fldCharType="begin"/>
        </w:r>
        <w:r>
          <w:instrText xml:space="preserve"> PAGE   \* MERGEFORMAT </w:instrText>
        </w:r>
        <w:r>
          <w:fldChar w:fldCharType="separate"/>
        </w:r>
        <w:r w:rsidRPr="00713EF1" w:rsidR="00713EF1">
          <w:rPr>
            <w:noProof/>
            <w:lang w:val="zh-CN"/>
          </w:rPr>
          <w:t>I</w:t>
        </w:r>
        <w:r>
          <w:rPr>
            <w:noProof/>
            <w:lang w:val="zh-CN"/>
          </w:rPr>
          <w:fldChar w:fldCharType="end"/>
        </w:r>
      </w:p>
    </w:sdtContent>
  </w:sdt>
  <w:p w:rsidR="001B2008" w:rsidP="00C06549">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6261529"/>
      <w:docPartObj>
        <w:docPartGallery w:val="Page Numbers (Bottom of Page)"/>
        <w:docPartUnique/>
      </w:docPartObj>
    </w:sdtPr>
    <w:sdtContent>
      <w:p w:rsidR="001B2008" w:rsidP="008B4D04">
        <w:pPr>
          <w:pStyle w:val="Footer"/>
          <w:ind w:firstLine="360"/>
          <w:jc w:val="center"/>
        </w:pPr>
        <w:r>
          <w:fldChar w:fldCharType="begin"/>
        </w:r>
        <w:r>
          <w:instrText xml:space="preserve"> PAGE   \* MERGEFORMAT </w:instrText>
        </w:r>
        <w:r>
          <w:fldChar w:fldCharType="separate"/>
        </w:r>
        <w:r w:rsidRPr="00713EF1" w:rsidR="00713EF1">
          <w:rPr>
            <w:noProof/>
            <w:lang w:val="zh-CN"/>
          </w:rPr>
          <w:t>161</w:t>
        </w:r>
        <w:r>
          <w:rPr>
            <w:noProof/>
            <w:lang w:val="zh-CN"/>
          </w:rPr>
          <w:fldChar w:fldCharType="end"/>
        </w:r>
      </w:p>
    </w:sdtContent>
  </w:sdt>
  <w:p w:rsidR="001B2008" w:rsidP="00C06549">
    <w:pPr>
      <w:pStyle w:val="Footer"/>
      <w:ind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008" w:rsidP="00C06549">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008" w:rsidRPr="00BB159E" w:rsidP="00B05983">
    <w:pPr>
      <w:pStyle w:val="Header"/>
      <w:pBdr>
        <w:bottom w:val="none" w:sz="0" w:space="0" w:color="auto"/>
      </w:pBdr>
      <w:ind w:firstLine="360"/>
      <w:rPr>
        <w:rFonts w:asciiTheme="minorEastAsia" w:eastAsia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008" w:rsidP="00192AA5">
    <w:pPr>
      <w:pStyle w:val="Header"/>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008">
    <w:pP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lvl>
    <w:lvl w:ilvl="1">
      <w:start w:val="1"/>
      <w:numFmt w:val="chineseCountingThousand"/>
      <w:suff w:val="nothing"/>
      <w:lvlText w:val="%2、"/>
      <w:lvlJc w:val="left"/>
      <w:pPr>
        <w:ind w:left="0" w:firstLine="0"/>
      </w:pPr>
    </w:lvl>
    <w:lvl w:ilvl="2">
      <w:start w:val="1"/>
      <w:numFmt w:val="decimal"/>
      <w:suff w:val="space"/>
      <w:lvlText w:val="%3."/>
      <w:lvlJc w:val="left"/>
      <w:pPr>
        <w:ind w:left="0" w:firstLine="0"/>
      </w:pPr>
    </w:lvl>
    <w:lvl w:ilvl="3">
      <w:start w:val="1"/>
      <w:numFmt w:val="none"/>
      <w:pStyle w:val="Heading4"/>
      <w:suff w:val="nothing"/>
      <w:lvlJc w:val="left"/>
      <w:pPr>
        <w:ind w:left="851" w:firstLine="0"/>
      </w:pPr>
    </w:lvl>
    <w:lvl w:ilvl="4">
      <w:start w:val="1"/>
      <w:numFmt w:val="none"/>
      <w:pStyle w:val="Heading5"/>
      <w:suff w:val="nothing"/>
      <w:lvlJc w:val="left"/>
      <w:pPr>
        <w:ind w:left="851" w:firstLine="0"/>
      </w:pPr>
    </w:lvl>
    <w:lvl w:ilvl="5">
      <w:start w:val="1"/>
      <w:numFmt w:val="none"/>
      <w:pStyle w:val="Heading6"/>
      <w:suff w:val="nothing"/>
      <w:lvlJc w:val="left"/>
      <w:pPr>
        <w:ind w:left="851" w:firstLine="0"/>
      </w:pPr>
    </w:lvl>
    <w:lvl w:ilvl="6">
      <w:start w:val="1"/>
      <w:numFmt w:val="none"/>
      <w:pStyle w:val="Heading7"/>
      <w:suff w:val="nothing"/>
      <w:lvlJc w:val="left"/>
      <w:pPr>
        <w:ind w:left="851" w:firstLine="0"/>
      </w:pPr>
    </w:lvl>
    <w:lvl w:ilvl="7">
      <w:start w:val="1"/>
      <w:numFmt w:val="none"/>
      <w:pStyle w:val="Heading8"/>
      <w:suff w:val="nothing"/>
      <w:lvlJc w:val="left"/>
      <w:pPr>
        <w:ind w:left="851" w:firstLine="0"/>
      </w:pPr>
    </w:lvl>
    <w:lvl w:ilvl="8">
      <w:start w:val="1"/>
      <w:numFmt w:val="none"/>
      <w:pStyle w:val="Heading9"/>
      <w:suff w:val="nothing"/>
      <w:lvlJc w:val="left"/>
      <w:pPr>
        <w:ind w:left="851" w:firstLine="0"/>
      </w:p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lvl>
    <w:lvl w:ilvl="1">
      <w:start w:val="1"/>
      <w:numFmt w:val="decimal"/>
      <w:pStyle w:val="BodyText"/>
      <w:lvlText w:val="%2、"/>
      <w:lvlJc w:val="left"/>
      <w:pPr>
        <w:tabs>
          <w:tab w:val="num" w:pos="780"/>
        </w:tabs>
        <w:ind w:left="7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6732404"/>
    <w:multiLevelType w:val="multilevel"/>
    <w:tmpl w:val="CDC0E6D0"/>
    <w:lvl w:ilvl="0">
      <w:start w:val="1"/>
      <w:numFmt w:val="japaneseCounting"/>
      <w:lvlText w:val="（%1）"/>
      <w:lvlJc w:val="left"/>
      <w:pPr>
        <w:tabs>
          <w:tab w:val="num" w:pos="990"/>
        </w:tabs>
        <w:ind w:left="990" w:hanging="840"/>
      </w:pPr>
    </w:lvl>
    <w:lvl w:ilvl="1">
      <w:start w:val="1"/>
      <w:numFmt w:val="decimal"/>
      <w:lvlText w:val="（%2）"/>
      <w:lvlJc w:val="left"/>
      <w:pPr>
        <w:tabs>
          <w:tab w:val="num" w:pos="1290"/>
        </w:tabs>
        <w:ind w:left="1290" w:hanging="720"/>
      </w:pPr>
    </w:lvl>
    <w:lvl w:ilvl="2">
      <w:start w:val="4"/>
      <w:numFmt w:val="japaneseCounting"/>
      <w:pStyle w:val="Heading3"/>
      <w:lvlText w:val="%3、"/>
      <w:lvlJc w:val="left"/>
      <w:pPr>
        <w:tabs>
          <w:tab w:val="num" w:pos="1710"/>
        </w:tabs>
        <w:ind w:left="1710" w:hanging="720"/>
      </w:pPr>
      <w:rPr>
        <w:rFonts w:ascii="Times New Roman" w:eastAsia="宋体" w:hAnsi="Times New Roman"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98"/>
  <w:bordersDoNotSurroundHeader/>
  <w:bordersDoNotSurroundFooter/>
  <w:defaultTabStop w:val="420"/>
  <w:drawingGridHorizontalSpacing w:val="105"/>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DB3659"/>
    <w:rsid w:val="000065CB"/>
    <w:rsid w:val="0001369C"/>
    <w:rsid w:val="00013C27"/>
    <w:rsid w:val="00025DD5"/>
    <w:rsid w:val="00034147"/>
    <w:rsid w:val="00036D79"/>
    <w:rsid w:val="0003775A"/>
    <w:rsid w:val="00045BE3"/>
    <w:rsid w:val="00047EDC"/>
    <w:rsid w:val="00053CD9"/>
    <w:rsid w:val="00063B82"/>
    <w:rsid w:val="00064F67"/>
    <w:rsid w:val="00071A29"/>
    <w:rsid w:val="00075855"/>
    <w:rsid w:val="00082929"/>
    <w:rsid w:val="0008493E"/>
    <w:rsid w:val="00085BFB"/>
    <w:rsid w:val="00087060"/>
    <w:rsid w:val="0008794A"/>
    <w:rsid w:val="00094955"/>
    <w:rsid w:val="000A24FD"/>
    <w:rsid w:val="000A3FE5"/>
    <w:rsid w:val="000A7791"/>
    <w:rsid w:val="000B2324"/>
    <w:rsid w:val="000C08C1"/>
    <w:rsid w:val="000C3CAF"/>
    <w:rsid w:val="000C4214"/>
    <w:rsid w:val="000C73C7"/>
    <w:rsid w:val="000D07C9"/>
    <w:rsid w:val="000E64CC"/>
    <w:rsid w:val="000F1D29"/>
    <w:rsid w:val="00102961"/>
    <w:rsid w:val="0010514D"/>
    <w:rsid w:val="0010533E"/>
    <w:rsid w:val="0010635E"/>
    <w:rsid w:val="0011043B"/>
    <w:rsid w:val="001119C3"/>
    <w:rsid w:val="00117867"/>
    <w:rsid w:val="0012086F"/>
    <w:rsid w:val="00123690"/>
    <w:rsid w:val="0012548F"/>
    <w:rsid w:val="001277AA"/>
    <w:rsid w:val="00140243"/>
    <w:rsid w:val="00140482"/>
    <w:rsid w:val="00140D33"/>
    <w:rsid w:val="0014732F"/>
    <w:rsid w:val="00153E99"/>
    <w:rsid w:val="0015641F"/>
    <w:rsid w:val="00161EE6"/>
    <w:rsid w:val="00172ED4"/>
    <w:rsid w:val="0017363C"/>
    <w:rsid w:val="001755E9"/>
    <w:rsid w:val="0018020E"/>
    <w:rsid w:val="00182A22"/>
    <w:rsid w:val="00184068"/>
    <w:rsid w:val="00185E31"/>
    <w:rsid w:val="001873EC"/>
    <w:rsid w:val="00192AA5"/>
    <w:rsid w:val="001947A3"/>
    <w:rsid w:val="00194AB2"/>
    <w:rsid w:val="001A7B73"/>
    <w:rsid w:val="001B2008"/>
    <w:rsid w:val="001B4CBE"/>
    <w:rsid w:val="001B4CF7"/>
    <w:rsid w:val="001B5898"/>
    <w:rsid w:val="001B6DC8"/>
    <w:rsid w:val="001C6E40"/>
    <w:rsid w:val="001D1EFA"/>
    <w:rsid w:val="001E05C5"/>
    <w:rsid w:val="001E329C"/>
    <w:rsid w:val="001F2CD3"/>
    <w:rsid w:val="001F4BA7"/>
    <w:rsid w:val="0020128E"/>
    <w:rsid w:val="00205A63"/>
    <w:rsid w:val="00211848"/>
    <w:rsid w:val="0021432B"/>
    <w:rsid w:val="00231EAE"/>
    <w:rsid w:val="00243506"/>
    <w:rsid w:val="002442FF"/>
    <w:rsid w:val="00245803"/>
    <w:rsid w:val="00252E92"/>
    <w:rsid w:val="002559FD"/>
    <w:rsid w:val="002627BE"/>
    <w:rsid w:val="002700B6"/>
    <w:rsid w:val="00271A67"/>
    <w:rsid w:val="002731AD"/>
    <w:rsid w:val="00274226"/>
    <w:rsid w:val="00275E93"/>
    <w:rsid w:val="0027756A"/>
    <w:rsid w:val="00282E7C"/>
    <w:rsid w:val="00284E27"/>
    <w:rsid w:val="00292ADE"/>
    <w:rsid w:val="0029382B"/>
    <w:rsid w:val="002942AD"/>
    <w:rsid w:val="00294337"/>
    <w:rsid w:val="00296C13"/>
    <w:rsid w:val="002A5BA2"/>
    <w:rsid w:val="002A6BEF"/>
    <w:rsid w:val="002B2F27"/>
    <w:rsid w:val="002B7707"/>
    <w:rsid w:val="002C3F57"/>
    <w:rsid w:val="002C57D3"/>
    <w:rsid w:val="002C736E"/>
    <w:rsid w:val="002D3389"/>
    <w:rsid w:val="002D6B39"/>
    <w:rsid w:val="002D7E6E"/>
    <w:rsid w:val="002E0849"/>
    <w:rsid w:val="002E2C18"/>
    <w:rsid w:val="002E4C66"/>
    <w:rsid w:val="002E7B4C"/>
    <w:rsid w:val="002E7B90"/>
    <w:rsid w:val="002E7D84"/>
    <w:rsid w:val="002F1461"/>
    <w:rsid w:val="002F4F33"/>
    <w:rsid w:val="002F5381"/>
    <w:rsid w:val="002F7388"/>
    <w:rsid w:val="003013B3"/>
    <w:rsid w:val="003036E1"/>
    <w:rsid w:val="00304650"/>
    <w:rsid w:val="00304A12"/>
    <w:rsid w:val="00310BEF"/>
    <w:rsid w:val="00311CF5"/>
    <w:rsid w:val="00312D85"/>
    <w:rsid w:val="00314318"/>
    <w:rsid w:val="00316D22"/>
    <w:rsid w:val="00324DC0"/>
    <w:rsid w:val="00335CD3"/>
    <w:rsid w:val="00340CC9"/>
    <w:rsid w:val="00342099"/>
    <w:rsid w:val="00343F91"/>
    <w:rsid w:val="00344766"/>
    <w:rsid w:val="003452C1"/>
    <w:rsid w:val="00345D3A"/>
    <w:rsid w:val="0034718F"/>
    <w:rsid w:val="003476B2"/>
    <w:rsid w:val="003548EA"/>
    <w:rsid w:val="00355A6D"/>
    <w:rsid w:val="00357718"/>
    <w:rsid w:val="00367239"/>
    <w:rsid w:val="00367A7A"/>
    <w:rsid w:val="003801E1"/>
    <w:rsid w:val="00380871"/>
    <w:rsid w:val="00383CBC"/>
    <w:rsid w:val="003849C0"/>
    <w:rsid w:val="003866C1"/>
    <w:rsid w:val="003924AD"/>
    <w:rsid w:val="003A07BE"/>
    <w:rsid w:val="003D3899"/>
    <w:rsid w:val="003E4BE2"/>
    <w:rsid w:val="003E6BF4"/>
    <w:rsid w:val="003F120A"/>
    <w:rsid w:val="003F2C73"/>
    <w:rsid w:val="003F310E"/>
    <w:rsid w:val="00400B14"/>
    <w:rsid w:val="00405AE0"/>
    <w:rsid w:val="00405BE2"/>
    <w:rsid w:val="00411023"/>
    <w:rsid w:val="00413D82"/>
    <w:rsid w:val="00422BB7"/>
    <w:rsid w:val="00424EE8"/>
    <w:rsid w:val="00425151"/>
    <w:rsid w:val="004360C8"/>
    <w:rsid w:val="00436B6E"/>
    <w:rsid w:val="0044258E"/>
    <w:rsid w:val="00450028"/>
    <w:rsid w:val="00461019"/>
    <w:rsid w:val="00461B5B"/>
    <w:rsid w:val="004623DD"/>
    <w:rsid w:val="00470D6C"/>
    <w:rsid w:val="0048035C"/>
    <w:rsid w:val="004967FB"/>
    <w:rsid w:val="00496991"/>
    <w:rsid w:val="004A057C"/>
    <w:rsid w:val="004A0FB3"/>
    <w:rsid w:val="004A14F5"/>
    <w:rsid w:val="004A6DF8"/>
    <w:rsid w:val="004B152D"/>
    <w:rsid w:val="004D1CDE"/>
    <w:rsid w:val="004D4BBA"/>
    <w:rsid w:val="004D7116"/>
    <w:rsid w:val="004E0F93"/>
    <w:rsid w:val="004E363D"/>
    <w:rsid w:val="004F203E"/>
    <w:rsid w:val="004F2A1D"/>
    <w:rsid w:val="0050655B"/>
    <w:rsid w:val="0051163B"/>
    <w:rsid w:val="005151D3"/>
    <w:rsid w:val="00517835"/>
    <w:rsid w:val="00521C09"/>
    <w:rsid w:val="00523557"/>
    <w:rsid w:val="005235B4"/>
    <w:rsid w:val="00524C8A"/>
    <w:rsid w:val="00532CEB"/>
    <w:rsid w:val="005332AB"/>
    <w:rsid w:val="00535C9E"/>
    <w:rsid w:val="00536E83"/>
    <w:rsid w:val="00543628"/>
    <w:rsid w:val="00547194"/>
    <w:rsid w:val="0055092D"/>
    <w:rsid w:val="00554170"/>
    <w:rsid w:val="00556D59"/>
    <w:rsid w:val="00557893"/>
    <w:rsid w:val="00560008"/>
    <w:rsid w:val="0056198F"/>
    <w:rsid w:val="00564074"/>
    <w:rsid w:val="005707F4"/>
    <w:rsid w:val="00573AFC"/>
    <w:rsid w:val="00573F9A"/>
    <w:rsid w:val="00574827"/>
    <w:rsid w:val="00575401"/>
    <w:rsid w:val="00576D50"/>
    <w:rsid w:val="0058176D"/>
    <w:rsid w:val="005A14E5"/>
    <w:rsid w:val="005C0D26"/>
    <w:rsid w:val="005C2D6F"/>
    <w:rsid w:val="005C3F14"/>
    <w:rsid w:val="005C7C72"/>
    <w:rsid w:val="005D0892"/>
    <w:rsid w:val="005D4B4F"/>
    <w:rsid w:val="005E0903"/>
    <w:rsid w:val="006033D6"/>
    <w:rsid w:val="00614F89"/>
    <w:rsid w:val="006254EB"/>
    <w:rsid w:val="0063402C"/>
    <w:rsid w:val="00634578"/>
    <w:rsid w:val="00635E46"/>
    <w:rsid w:val="00637229"/>
    <w:rsid w:val="006417CE"/>
    <w:rsid w:val="006608FA"/>
    <w:rsid w:val="00662436"/>
    <w:rsid w:val="006676DB"/>
    <w:rsid w:val="00667E65"/>
    <w:rsid w:val="00673E76"/>
    <w:rsid w:val="00675CC2"/>
    <w:rsid w:val="00677D20"/>
    <w:rsid w:val="00683152"/>
    <w:rsid w:val="00684809"/>
    <w:rsid w:val="00684869"/>
    <w:rsid w:val="006861B6"/>
    <w:rsid w:val="00694657"/>
    <w:rsid w:val="006946B6"/>
    <w:rsid w:val="0069551C"/>
    <w:rsid w:val="006A0C8B"/>
    <w:rsid w:val="006B36AF"/>
    <w:rsid w:val="006B6E44"/>
    <w:rsid w:val="006C08F0"/>
    <w:rsid w:val="006C3F38"/>
    <w:rsid w:val="006C6EF2"/>
    <w:rsid w:val="006D1187"/>
    <w:rsid w:val="006E114C"/>
    <w:rsid w:val="006E2955"/>
    <w:rsid w:val="006E784C"/>
    <w:rsid w:val="006F035F"/>
    <w:rsid w:val="006F6DAE"/>
    <w:rsid w:val="006F7618"/>
    <w:rsid w:val="00711C3A"/>
    <w:rsid w:val="00712AC4"/>
    <w:rsid w:val="00712ACB"/>
    <w:rsid w:val="00713EF1"/>
    <w:rsid w:val="00714A91"/>
    <w:rsid w:val="0072046D"/>
    <w:rsid w:val="007208AE"/>
    <w:rsid w:val="00722EDC"/>
    <w:rsid w:val="00724C16"/>
    <w:rsid w:val="00724CEF"/>
    <w:rsid w:val="00731AB5"/>
    <w:rsid w:val="0073621A"/>
    <w:rsid w:val="00743919"/>
    <w:rsid w:val="00745CFD"/>
    <w:rsid w:val="00746D98"/>
    <w:rsid w:val="00752344"/>
    <w:rsid w:val="0075532C"/>
    <w:rsid w:val="00762CA9"/>
    <w:rsid w:val="0076351E"/>
    <w:rsid w:val="00763781"/>
    <w:rsid w:val="00764632"/>
    <w:rsid w:val="00771DE9"/>
    <w:rsid w:val="007813EA"/>
    <w:rsid w:val="00781B73"/>
    <w:rsid w:val="0079518E"/>
    <w:rsid w:val="00795CAB"/>
    <w:rsid w:val="007A1C05"/>
    <w:rsid w:val="007B448D"/>
    <w:rsid w:val="007C406E"/>
    <w:rsid w:val="007D4771"/>
    <w:rsid w:val="007D4CD1"/>
    <w:rsid w:val="007E2B72"/>
    <w:rsid w:val="007E2F2E"/>
    <w:rsid w:val="007E7AA1"/>
    <w:rsid w:val="007F2278"/>
    <w:rsid w:val="007F60D9"/>
    <w:rsid w:val="007F68C9"/>
    <w:rsid w:val="007F78F4"/>
    <w:rsid w:val="0080127D"/>
    <w:rsid w:val="00804E58"/>
    <w:rsid w:val="008075E3"/>
    <w:rsid w:val="0081064C"/>
    <w:rsid w:val="008204B4"/>
    <w:rsid w:val="00820BE0"/>
    <w:rsid w:val="008314E2"/>
    <w:rsid w:val="00835391"/>
    <w:rsid w:val="00842913"/>
    <w:rsid w:val="00843CBF"/>
    <w:rsid w:val="00844598"/>
    <w:rsid w:val="0085380B"/>
    <w:rsid w:val="00855AC0"/>
    <w:rsid w:val="00857E54"/>
    <w:rsid w:val="00863B01"/>
    <w:rsid w:val="00870D2F"/>
    <w:rsid w:val="00890F47"/>
    <w:rsid w:val="00891F41"/>
    <w:rsid w:val="008932AB"/>
    <w:rsid w:val="008937AE"/>
    <w:rsid w:val="00894D12"/>
    <w:rsid w:val="008953E8"/>
    <w:rsid w:val="00895E97"/>
    <w:rsid w:val="00897213"/>
    <w:rsid w:val="008A0F8D"/>
    <w:rsid w:val="008A5945"/>
    <w:rsid w:val="008A6076"/>
    <w:rsid w:val="008B0504"/>
    <w:rsid w:val="008B4921"/>
    <w:rsid w:val="008B4D04"/>
    <w:rsid w:val="008B6946"/>
    <w:rsid w:val="008C1942"/>
    <w:rsid w:val="008C478D"/>
    <w:rsid w:val="008C78FC"/>
    <w:rsid w:val="008D258B"/>
    <w:rsid w:val="008E230F"/>
    <w:rsid w:val="008E41E5"/>
    <w:rsid w:val="008E5FE2"/>
    <w:rsid w:val="008F1C8D"/>
    <w:rsid w:val="008F53C7"/>
    <w:rsid w:val="00900E65"/>
    <w:rsid w:val="0090243D"/>
    <w:rsid w:val="00903CD6"/>
    <w:rsid w:val="0090773D"/>
    <w:rsid w:val="009172EC"/>
    <w:rsid w:val="0092352E"/>
    <w:rsid w:val="00924226"/>
    <w:rsid w:val="009262BB"/>
    <w:rsid w:val="00934CF7"/>
    <w:rsid w:val="00936F95"/>
    <w:rsid w:val="009513B1"/>
    <w:rsid w:val="00953ED3"/>
    <w:rsid w:val="00954D39"/>
    <w:rsid w:val="00960F8C"/>
    <w:rsid w:val="00961CDE"/>
    <w:rsid w:val="009708B4"/>
    <w:rsid w:val="00972B43"/>
    <w:rsid w:val="00974151"/>
    <w:rsid w:val="0098390B"/>
    <w:rsid w:val="00997A6E"/>
    <w:rsid w:val="009A025B"/>
    <w:rsid w:val="009B1D64"/>
    <w:rsid w:val="009B57AA"/>
    <w:rsid w:val="009B5F49"/>
    <w:rsid w:val="009B7AFB"/>
    <w:rsid w:val="009C36EB"/>
    <w:rsid w:val="009C551B"/>
    <w:rsid w:val="009D086F"/>
    <w:rsid w:val="009D1B54"/>
    <w:rsid w:val="009D1E63"/>
    <w:rsid w:val="009D39A1"/>
    <w:rsid w:val="009D4035"/>
    <w:rsid w:val="009D7563"/>
    <w:rsid w:val="009D7BD5"/>
    <w:rsid w:val="009F4639"/>
    <w:rsid w:val="009F519C"/>
    <w:rsid w:val="009F668A"/>
    <w:rsid w:val="00A11277"/>
    <w:rsid w:val="00A154DF"/>
    <w:rsid w:val="00A159A4"/>
    <w:rsid w:val="00A20BE7"/>
    <w:rsid w:val="00A2717E"/>
    <w:rsid w:val="00A273B5"/>
    <w:rsid w:val="00A31662"/>
    <w:rsid w:val="00A3477E"/>
    <w:rsid w:val="00A400E8"/>
    <w:rsid w:val="00A413F6"/>
    <w:rsid w:val="00A428FF"/>
    <w:rsid w:val="00A43E36"/>
    <w:rsid w:val="00A464FB"/>
    <w:rsid w:val="00A55DAC"/>
    <w:rsid w:val="00A6740C"/>
    <w:rsid w:val="00A70CF9"/>
    <w:rsid w:val="00A72DB1"/>
    <w:rsid w:val="00A73800"/>
    <w:rsid w:val="00A73950"/>
    <w:rsid w:val="00A8208B"/>
    <w:rsid w:val="00A82BA8"/>
    <w:rsid w:val="00A84DE5"/>
    <w:rsid w:val="00AA63F6"/>
    <w:rsid w:val="00AB30D5"/>
    <w:rsid w:val="00AC2CDD"/>
    <w:rsid w:val="00AC7C55"/>
    <w:rsid w:val="00AD0AF8"/>
    <w:rsid w:val="00AD0B6C"/>
    <w:rsid w:val="00AD1DA0"/>
    <w:rsid w:val="00AD39A1"/>
    <w:rsid w:val="00AD3EA5"/>
    <w:rsid w:val="00AD473B"/>
    <w:rsid w:val="00AD6317"/>
    <w:rsid w:val="00AF03B3"/>
    <w:rsid w:val="00AF2469"/>
    <w:rsid w:val="00AF4220"/>
    <w:rsid w:val="00AF4CC6"/>
    <w:rsid w:val="00AF4FA1"/>
    <w:rsid w:val="00B03C2F"/>
    <w:rsid w:val="00B05983"/>
    <w:rsid w:val="00B12C77"/>
    <w:rsid w:val="00B14020"/>
    <w:rsid w:val="00B17EA8"/>
    <w:rsid w:val="00B252DA"/>
    <w:rsid w:val="00B279A8"/>
    <w:rsid w:val="00B33F84"/>
    <w:rsid w:val="00B36244"/>
    <w:rsid w:val="00B406C4"/>
    <w:rsid w:val="00B4651A"/>
    <w:rsid w:val="00B5079F"/>
    <w:rsid w:val="00B5258A"/>
    <w:rsid w:val="00B564DC"/>
    <w:rsid w:val="00B61A94"/>
    <w:rsid w:val="00B634A2"/>
    <w:rsid w:val="00B66153"/>
    <w:rsid w:val="00B76A58"/>
    <w:rsid w:val="00B84F47"/>
    <w:rsid w:val="00B871D1"/>
    <w:rsid w:val="00B96309"/>
    <w:rsid w:val="00B96AE8"/>
    <w:rsid w:val="00BA0B73"/>
    <w:rsid w:val="00BB111B"/>
    <w:rsid w:val="00BB159E"/>
    <w:rsid w:val="00BC2822"/>
    <w:rsid w:val="00BD28D8"/>
    <w:rsid w:val="00BD2F2E"/>
    <w:rsid w:val="00BD5CFD"/>
    <w:rsid w:val="00BE0492"/>
    <w:rsid w:val="00BE0FD8"/>
    <w:rsid w:val="00BE24DB"/>
    <w:rsid w:val="00BE6234"/>
    <w:rsid w:val="00BE7C7B"/>
    <w:rsid w:val="00BF2446"/>
    <w:rsid w:val="00BF5DB4"/>
    <w:rsid w:val="00C00698"/>
    <w:rsid w:val="00C06549"/>
    <w:rsid w:val="00C13A3C"/>
    <w:rsid w:val="00C22744"/>
    <w:rsid w:val="00C30F6E"/>
    <w:rsid w:val="00C30F78"/>
    <w:rsid w:val="00C3599E"/>
    <w:rsid w:val="00C50249"/>
    <w:rsid w:val="00C5030B"/>
    <w:rsid w:val="00C50DFA"/>
    <w:rsid w:val="00C50ED9"/>
    <w:rsid w:val="00C54DE5"/>
    <w:rsid w:val="00C57512"/>
    <w:rsid w:val="00C74491"/>
    <w:rsid w:val="00C876A9"/>
    <w:rsid w:val="00C92739"/>
    <w:rsid w:val="00C93958"/>
    <w:rsid w:val="00CA110F"/>
    <w:rsid w:val="00CA1A9C"/>
    <w:rsid w:val="00CA2EAE"/>
    <w:rsid w:val="00CA31BD"/>
    <w:rsid w:val="00CB67FF"/>
    <w:rsid w:val="00CB7262"/>
    <w:rsid w:val="00CC303D"/>
    <w:rsid w:val="00CC5203"/>
    <w:rsid w:val="00CC671C"/>
    <w:rsid w:val="00CD28B9"/>
    <w:rsid w:val="00CD38B1"/>
    <w:rsid w:val="00CD7E48"/>
    <w:rsid w:val="00CE2020"/>
    <w:rsid w:val="00CE4231"/>
    <w:rsid w:val="00CE5612"/>
    <w:rsid w:val="00CE58F4"/>
    <w:rsid w:val="00CF244A"/>
    <w:rsid w:val="00D0069E"/>
    <w:rsid w:val="00D007B0"/>
    <w:rsid w:val="00D02493"/>
    <w:rsid w:val="00D0648E"/>
    <w:rsid w:val="00D06725"/>
    <w:rsid w:val="00D07D95"/>
    <w:rsid w:val="00D1583A"/>
    <w:rsid w:val="00D15ABE"/>
    <w:rsid w:val="00D2094F"/>
    <w:rsid w:val="00D21C7A"/>
    <w:rsid w:val="00D23895"/>
    <w:rsid w:val="00D23BF2"/>
    <w:rsid w:val="00D240C0"/>
    <w:rsid w:val="00D32882"/>
    <w:rsid w:val="00D35C4E"/>
    <w:rsid w:val="00D37F98"/>
    <w:rsid w:val="00D40333"/>
    <w:rsid w:val="00D50B80"/>
    <w:rsid w:val="00D5199D"/>
    <w:rsid w:val="00D548C0"/>
    <w:rsid w:val="00D60016"/>
    <w:rsid w:val="00D67EF8"/>
    <w:rsid w:val="00D72ED4"/>
    <w:rsid w:val="00D7437B"/>
    <w:rsid w:val="00D74D91"/>
    <w:rsid w:val="00D8062C"/>
    <w:rsid w:val="00D87773"/>
    <w:rsid w:val="00D906F2"/>
    <w:rsid w:val="00D92F0C"/>
    <w:rsid w:val="00D946C6"/>
    <w:rsid w:val="00DA71C7"/>
    <w:rsid w:val="00DB20D2"/>
    <w:rsid w:val="00DB3659"/>
    <w:rsid w:val="00DB46D3"/>
    <w:rsid w:val="00DB597A"/>
    <w:rsid w:val="00DC1180"/>
    <w:rsid w:val="00DC7E08"/>
    <w:rsid w:val="00DE492F"/>
    <w:rsid w:val="00DE59CB"/>
    <w:rsid w:val="00DF149F"/>
    <w:rsid w:val="00DF22A4"/>
    <w:rsid w:val="00DF6019"/>
    <w:rsid w:val="00DF6958"/>
    <w:rsid w:val="00DF750F"/>
    <w:rsid w:val="00E022AA"/>
    <w:rsid w:val="00E14082"/>
    <w:rsid w:val="00E20CA7"/>
    <w:rsid w:val="00E21B48"/>
    <w:rsid w:val="00E3311E"/>
    <w:rsid w:val="00E360FA"/>
    <w:rsid w:val="00E44864"/>
    <w:rsid w:val="00E55161"/>
    <w:rsid w:val="00E57857"/>
    <w:rsid w:val="00E63AF4"/>
    <w:rsid w:val="00E65C6A"/>
    <w:rsid w:val="00E7571D"/>
    <w:rsid w:val="00E75773"/>
    <w:rsid w:val="00E76D4A"/>
    <w:rsid w:val="00E80869"/>
    <w:rsid w:val="00E93721"/>
    <w:rsid w:val="00EA3B90"/>
    <w:rsid w:val="00EA75CB"/>
    <w:rsid w:val="00EB2DD6"/>
    <w:rsid w:val="00EB6737"/>
    <w:rsid w:val="00EC12CA"/>
    <w:rsid w:val="00EC4425"/>
    <w:rsid w:val="00ED039F"/>
    <w:rsid w:val="00ED220B"/>
    <w:rsid w:val="00ED629C"/>
    <w:rsid w:val="00EE136A"/>
    <w:rsid w:val="00EE3EE1"/>
    <w:rsid w:val="00EE5C4E"/>
    <w:rsid w:val="00EE6866"/>
    <w:rsid w:val="00EF0B74"/>
    <w:rsid w:val="00EF4582"/>
    <w:rsid w:val="00F01826"/>
    <w:rsid w:val="00F0325B"/>
    <w:rsid w:val="00F11D98"/>
    <w:rsid w:val="00F12542"/>
    <w:rsid w:val="00F12C61"/>
    <w:rsid w:val="00F22E19"/>
    <w:rsid w:val="00F24F85"/>
    <w:rsid w:val="00F358DB"/>
    <w:rsid w:val="00F421FA"/>
    <w:rsid w:val="00F616DD"/>
    <w:rsid w:val="00F62F40"/>
    <w:rsid w:val="00F64EE9"/>
    <w:rsid w:val="00F65CA4"/>
    <w:rsid w:val="00F67BE0"/>
    <w:rsid w:val="00F74F0A"/>
    <w:rsid w:val="00F75667"/>
    <w:rsid w:val="00F770F2"/>
    <w:rsid w:val="00F808FD"/>
    <w:rsid w:val="00F80B75"/>
    <w:rsid w:val="00F82387"/>
    <w:rsid w:val="00F875D6"/>
    <w:rsid w:val="00F904A5"/>
    <w:rsid w:val="00F9694F"/>
    <w:rsid w:val="00F9776D"/>
    <w:rsid w:val="00FA0FA2"/>
    <w:rsid w:val="00FA2AF8"/>
    <w:rsid w:val="00FA72D9"/>
    <w:rsid w:val="00FA73C4"/>
    <w:rsid w:val="00FC55AB"/>
    <w:rsid w:val="00FC5C70"/>
    <w:rsid w:val="00FC5FA1"/>
    <w:rsid w:val="00FD0626"/>
    <w:rsid w:val="00FD266B"/>
    <w:rsid w:val="00FD7D2F"/>
    <w:rsid w:val="00FE03D3"/>
    <w:rsid w:val="00FE5C3B"/>
    <w:rsid w:val="00FF38A3"/>
    <w:rsid w:val="00FF6CFB"/>
    <w:rsid w:val="00FF772C"/>
  </w:rsids>
  <w:docVars>
    <w:docVar w:name="KGWebUrl" w:val="http://idp.efunds.com.cn/api/v1/backend/docSyncController/downloadAnnFile.json?force=true&amp;fileName=61520211231000789000790005098%E6%98%93%E6%96%B9%E8%BE%BE%E9%BE%99%E5%AE%9D%E8%B4%A7%E5%B8%81%E5%B8%82%E5%9C%BA%E5%9F%BA%E9%87%91%E6%9B%B4%E6%96%B0%E7%9A%84%E6%8B%9B%E5%8B%9F%E8%AF%B4%E6%98%8E%E4%B9%A6.docx&amp;fileId=ANN_DOC_11652&amp;t=1640846681954"/>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B8200138-F89A-496E-A87C-C10B0DCF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659"/>
    <w:pPr>
      <w:widowControl w:val="0"/>
      <w:jc w:val="both"/>
    </w:pPr>
    <w:rPr>
      <w:rFonts w:ascii="Times New Roman" w:eastAsia="宋体" w:hAnsi="Times New Roman" w:cs="Times New Roman"/>
      <w:szCs w:val="24"/>
    </w:rPr>
  </w:style>
  <w:style w:type="paragraph" w:styleId="Heading1">
    <w:name w:val="heading 1"/>
    <w:aliases w:val="123321,H1,Heading 0,Heading 11,Level 1 Head,Level 1 Topic Heading,PIM 1,h1,level 1"/>
    <w:basedOn w:val="Normal"/>
    <w:next w:val="Normal"/>
    <w:link w:val="1Char"/>
    <w:qFormat/>
    <w:rsid w:val="00DB3659"/>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link w:val="2Char"/>
    <w:semiHidden/>
    <w:unhideWhenUsed/>
    <w:qFormat/>
    <w:rsid w:val="00DB3659"/>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link w:val="3Char"/>
    <w:semiHidden/>
    <w:unhideWhenUsed/>
    <w:qFormat/>
    <w:rsid w:val="00DB3659"/>
    <w:pPr>
      <w:numPr>
        <w:ilvl w:val="2"/>
        <w:numId w:val="1"/>
      </w:numPr>
      <w:spacing w:before="260" w:after="260" w:line="415" w:lineRule="auto"/>
      <w:outlineLvl w:val="2"/>
    </w:pPr>
    <w:rPr>
      <w:rFonts w:ascii="仿宋_GB2312" w:eastAsia="仿宋_GB2312"/>
      <w:sz w:val="24"/>
      <w:szCs w:val="20"/>
    </w:rPr>
  </w:style>
  <w:style w:type="paragraph" w:styleId="Heading4">
    <w:name w:val="heading 4"/>
    <w:basedOn w:val="Normal"/>
    <w:next w:val="Normal"/>
    <w:link w:val="4Char"/>
    <w:semiHidden/>
    <w:unhideWhenUsed/>
    <w:qFormat/>
    <w:rsid w:val="00DB3659"/>
    <w:pPr>
      <w:keepNext/>
      <w:keepLines/>
      <w:numPr>
        <w:ilvl w:val="3"/>
        <w:numId w:val="2"/>
      </w:numPr>
      <w:spacing w:before="280" w:after="290" w:line="374" w:lineRule="auto"/>
      <w:outlineLvl w:val="3"/>
    </w:pPr>
    <w:rPr>
      <w:rFonts w:ascii="Arial" w:eastAsia="黑体" w:hAnsi="Arial"/>
      <w:b/>
      <w:bCs/>
      <w:sz w:val="28"/>
      <w:szCs w:val="28"/>
    </w:rPr>
  </w:style>
  <w:style w:type="paragraph" w:styleId="Heading5">
    <w:name w:val="heading 5"/>
    <w:basedOn w:val="Normal"/>
    <w:next w:val="Normal"/>
    <w:link w:val="5Char"/>
    <w:semiHidden/>
    <w:unhideWhenUsed/>
    <w:qFormat/>
    <w:rsid w:val="00DB3659"/>
    <w:pPr>
      <w:keepNext/>
      <w:keepLines/>
      <w:numPr>
        <w:ilvl w:val="4"/>
        <w:numId w:val="2"/>
      </w:numPr>
      <w:spacing w:before="280" w:after="290" w:line="374" w:lineRule="auto"/>
      <w:ind w:firstLine="200" w:firstLineChars="200"/>
      <w:outlineLvl w:val="4"/>
    </w:pPr>
    <w:rPr>
      <w:b/>
      <w:bCs/>
      <w:sz w:val="28"/>
      <w:szCs w:val="28"/>
    </w:rPr>
  </w:style>
  <w:style w:type="paragraph" w:styleId="Heading6">
    <w:name w:val="heading 6"/>
    <w:basedOn w:val="Normal"/>
    <w:next w:val="Normal"/>
    <w:link w:val="6Char"/>
    <w:semiHidden/>
    <w:unhideWhenUsed/>
    <w:qFormat/>
    <w:rsid w:val="00DB3659"/>
    <w:pPr>
      <w:keepNext/>
      <w:keepLines/>
      <w:numPr>
        <w:ilvl w:val="5"/>
        <w:numId w:val="2"/>
      </w:numPr>
      <w:spacing w:before="240" w:after="64" w:line="319" w:lineRule="auto"/>
      <w:ind w:firstLine="200" w:firstLineChars="200"/>
      <w:outlineLvl w:val="5"/>
    </w:pPr>
    <w:rPr>
      <w:rFonts w:ascii="Arial" w:eastAsia="黑体" w:hAnsi="Arial"/>
      <w:b/>
      <w:bCs/>
      <w:sz w:val="24"/>
    </w:rPr>
  </w:style>
  <w:style w:type="paragraph" w:styleId="Heading7">
    <w:name w:val="heading 7"/>
    <w:basedOn w:val="Normal"/>
    <w:next w:val="Normal"/>
    <w:link w:val="7Char"/>
    <w:semiHidden/>
    <w:unhideWhenUsed/>
    <w:qFormat/>
    <w:rsid w:val="00DB3659"/>
    <w:pPr>
      <w:keepNext/>
      <w:keepLines/>
      <w:numPr>
        <w:ilvl w:val="6"/>
        <w:numId w:val="2"/>
      </w:numPr>
      <w:spacing w:before="240" w:after="64" w:line="319" w:lineRule="auto"/>
      <w:ind w:firstLine="200" w:firstLineChars="200"/>
      <w:outlineLvl w:val="6"/>
    </w:pPr>
    <w:rPr>
      <w:b/>
      <w:bCs/>
      <w:sz w:val="24"/>
    </w:rPr>
  </w:style>
  <w:style w:type="paragraph" w:styleId="Heading8">
    <w:name w:val="heading 8"/>
    <w:basedOn w:val="Normal"/>
    <w:next w:val="Normal"/>
    <w:link w:val="8Char"/>
    <w:semiHidden/>
    <w:unhideWhenUsed/>
    <w:qFormat/>
    <w:rsid w:val="00DB3659"/>
    <w:pPr>
      <w:keepNext/>
      <w:keepLines/>
      <w:numPr>
        <w:ilvl w:val="7"/>
        <w:numId w:val="2"/>
      </w:numPr>
      <w:spacing w:before="240" w:after="64" w:line="319" w:lineRule="auto"/>
      <w:ind w:firstLine="200" w:firstLineChars="200"/>
      <w:outlineLvl w:val="7"/>
    </w:pPr>
    <w:rPr>
      <w:rFonts w:ascii="Arial" w:eastAsia="黑体" w:hAnsi="Arial"/>
      <w:sz w:val="24"/>
    </w:rPr>
  </w:style>
  <w:style w:type="paragraph" w:styleId="Heading9">
    <w:name w:val="heading 9"/>
    <w:basedOn w:val="Normal"/>
    <w:next w:val="Normal"/>
    <w:link w:val="9Char"/>
    <w:semiHidden/>
    <w:unhideWhenUsed/>
    <w:qFormat/>
    <w:rsid w:val="00DB3659"/>
    <w:pPr>
      <w:keepNext/>
      <w:keepLines/>
      <w:numPr>
        <w:ilvl w:val="8"/>
        <w:numId w:val="2"/>
      </w:numPr>
      <w:spacing w:before="240" w:after="64" w:line="319"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aliases w:val="123321 Char,H1 Char,Heading 0 Char,Heading 11 Char,Level 1 Head Char,Level 1 Topic Heading Char,PIM 1 Char,h1 Char,level 1 Char"/>
    <w:basedOn w:val="DefaultParagraphFont"/>
    <w:link w:val="Heading1"/>
    <w:rsid w:val="00DB3659"/>
    <w:rPr>
      <w:rFonts w:ascii="黑体" w:eastAsia="黑体" w:hAnsi="Times New Roman" w:cs="Times New Roman"/>
      <w:sz w:val="32"/>
      <w:szCs w:val="32"/>
    </w:rPr>
  </w:style>
  <w:style w:type="character" w:customStyle="1" w:styleId="2Char">
    <w:name w:val="标题 2 Char"/>
    <w:aliases w:val="2 Char,2nd level Char,H2 Char,Header 2 Char,Heading 2 CCBS Char,Heading 2 Hidden Char,Level 2 Head Char,PIM2 Char,h2 Char,l2 Char,proj2 Char,proj21 Char,proj210 Char,proj211 Char,proj212 Char,proj22 Char,proj221 Char,proj23 Char,proj231 Char"/>
    <w:basedOn w:val="DefaultParagraphFont"/>
    <w:link w:val="Heading2"/>
    <w:semiHidden/>
    <w:rsid w:val="00DB3659"/>
    <w:rPr>
      <w:rFonts w:ascii="Arial" w:eastAsia="宋体" w:hAnsi="Arial" w:cs="Times New Roman"/>
      <w:b/>
      <w:sz w:val="28"/>
      <w:szCs w:val="28"/>
    </w:rPr>
  </w:style>
  <w:style w:type="character" w:customStyle="1" w:styleId="3Char">
    <w:name w:val="标题 3 Char"/>
    <w:basedOn w:val="DefaultParagraphFont"/>
    <w:link w:val="Heading3"/>
    <w:semiHidden/>
    <w:rsid w:val="00DB3659"/>
    <w:rPr>
      <w:rFonts w:ascii="仿宋_GB2312" w:eastAsia="仿宋_GB2312" w:hAnsi="Times New Roman" w:cs="Times New Roman"/>
      <w:sz w:val="24"/>
      <w:szCs w:val="20"/>
    </w:rPr>
  </w:style>
  <w:style w:type="character" w:customStyle="1" w:styleId="4Char">
    <w:name w:val="标题 4 Char"/>
    <w:basedOn w:val="DefaultParagraphFont"/>
    <w:link w:val="Heading4"/>
    <w:semiHidden/>
    <w:rsid w:val="00DB3659"/>
    <w:rPr>
      <w:rFonts w:ascii="Arial" w:eastAsia="黑体" w:hAnsi="Arial" w:cs="Times New Roman"/>
      <w:b/>
      <w:bCs/>
      <w:sz w:val="28"/>
      <w:szCs w:val="28"/>
    </w:rPr>
  </w:style>
  <w:style w:type="character" w:customStyle="1" w:styleId="5Char">
    <w:name w:val="标题 5 Char"/>
    <w:basedOn w:val="DefaultParagraphFont"/>
    <w:link w:val="Heading5"/>
    <w:semiHidden/>
    <w:rsid w:val="00DB3659"/>
    <w:rPr>
      <w:rFonts w:ascii="Times New Roman" w:eastAsia="宋体" w:hAnsi="Times New Roman" w:cs="Times New Roman"/>
      <w:b/>
      <w:bCs/>
      <w:sz w:val="28"/>
      <w:szCs w:val="28"/>
    </w:rPr>
  </w:style>
  <w:style w:type="character" w:customStyle="1" w:styleId="6Char">
    <w:name w:val="标题 6 Char"/>
    <w:basedOn w:val="DefaultParagraphFont"/>
    <w:link w:val="Heading6"/>
    <w:semiHidden/>
    <w:rsid w:val="00DB3659"/>
    <w:rPr>
      <w:rFonts w:ascii="Arial" w:eastAsia="黑体" w:hAnsi="Arial" w:cs="Times New Roman"/>
      <w:b/>
      <w:bCs/>
      <w:sz w:val="24"/>
      <w:szCs w:val="24"/>
    </w:rPr>
  </w:style>
  <w:style w:type="character" w:customStyle="1" w:styleId="7Char">
    <w:name w:val="标题 7 Char"/>
    <w:basedOn w:val="DefaultParagraphFont"/>
    <w:link w:val="Heading7"/>
    <w:semiHidden/>
    <w:rsid w:val="00DB3659"/>
    <w:rPr>
      <w:rFonts w:ascii="Times New Roman" w:eastAsia="宋体" w:hAnsi="Times New Roman" w:cs="Times New Roman"/>
      <w:b/>
      <w:bCs/>
      <w:sz w:val="24"/>
      <w:szCs w:val="24"/>
    </w:rPr>
  </w:style>
  <w:style w:type="character" w:customStyle="1" w:styleId="8Char">
    <w:name w:val="标题 8 Char"/>
    <w:basedOn w:val="DefaultParagraphFont"/>
    <w:link w:val="Heading8"/>
    <w:semiHidden/>
    <w:rsid w:val="00DB3659"/>
    <w:rPr>
      <w:rFonts w:ascii="Arial" w:eastAsia="黑体" w:hAnsi="Arial" w:cs="Times New Roman"/>
      <w:sz w:val="24"/>
      <w:szCs w:val="24"/>
    </w:rPr>
  </w:style>
  <w:style w:type="character" w:customStyle="1" w:styleId="9Char">
    <w:name w:val="标题 9 Char"/>
    <w:basedOn w:val="DefaultParagraphFont"/>
    <w:link w:val="Heading9"/>
    <w:semiHidden/>
    <w:rsid w:val="00DB3659"/>
    <w:rPr>
      <w:rFonts w:ascii="Arial" w:eastAsia="黑体" w:hAnsi="Arial" w:cs="Times New Roman"/>
      <w:sz w:val="24"/>
      <w:szCs w:val="21"/>
    </w:rPr>
  </w:style>
  <w:style w:type="character" w:styleId="Hyperlink">
    <w:name w:val="Hyperlink"/>
    <w:basedOn w:val="DefaultParagraphFont"/>
    <w:uiPriority w:val="99"/>
    <w:unhideWhenUsed/>
    <w:rsid w:val="00DB3659"/>
    <w:rPr>
      <w:color w:val="0000FF"/>
      <w:u w:val="single"/>
    </w:rPr>
  </w:style>
  <w:style w:type="character" w:styleId="FollowedHyperlink">
    <w:name w:val="FollowedHyperlink"/>
    <w:basedOn w:val="DefaultParagraphFont"/>
    <w:uiPriority w:val="99"/>
    <w:semiHidden/>
    <w:unhideWhenUsed/>
    <w:rsid w:val="00DB3659"/>
    <w:rPr>
      <w:color w:val="800080"/>
      <w:u w:val="single"/>
    </w:rPr>
  </w:style>
  <w:style w:type="paragraph" w:styleId="NormalWeb">
    <w:name w:val="Normal (Web)"/>
    <w:basedOn w:val="Normal"/>
    <w:semiHidden/>
    <w:unhideWhenUsed/>
    <w:rsid w:val="00DB3659"/>
    <w:pPr>
      <w:widowControl/>
      <w:spacing w:before="100" w:beforeAutospacing="1" w:after="100" w:afterAutospacing="1"/>
      <w:jc w:val="left"/>
    </w:pPr>
    <w:rPr>
      <w:rFonts w:ascii="宋体" w:hAnsi="宋体" w:cs="宋体"/>
      <w:kern w:val="0"/>
      <w:sz w:val="24"/>
    </w:rPr>
  </w:style>
  <w:style w:type="paragraph" w:styleId="TOC1">
    <w:name w:val="toc 1"/>
    <w:basedOn w:val="Normal"/>
    <w:next w:val="Normal"/>
    <w:autoRedefine/>
    <w:uiPriority w:val="39"/>
    <w:unhideWhenUsed/>
    <w:rsid w:val="0063402C"/>
    <w:pPr>
      <w:tabs>
        <w:tab w:val="right" w:leader="dot" w:pos="8296"/>
      </w:tabs>
      <w:spacing w:line="360" w:lineRule="exact"/>
      <w:jc w:val="left"/>
    </w:pPr>
    <w:rPr>
      <w:rFonts w:ascii="宋体" w:eastAsia="黑体" w:hAnsi="宋体"/>
      <w:caps/>
      <w:noProof/>
      <w:color w:val="000000"/>
      <w:sz w:val="24"/>
      <w:szCs w:val="28"/>
    </w:rPr>
  </w:style>
  <w:style w:type="paragraph" w:styleId="TOC2">
    <w:name w:val="toc 2"/>
    <w:basedOn w:val="Normal"/>
    <w:next w:val="Normal"/>
    <w:autoRedefine/>
    <w:uiPriority w:val="39"/>
    <w:semiHidden/>
    <w:unhideWhenUsed/>
    <w:rsid w:val="00DB3659"/>
    <w:pPr>
      <w:ind w:left="320" w:firstLine="200" w:firstLineChars="200"/>
      <w:jc w:val="left"/>
    </w:pPr>
    <w:rPr>
      <w:rFonts w:eastAsia="仿宋_GB2312"/>
      <w:smallCaps/>
      <w:szCs w:val="20"/>
    </w:rPr>
  </w:style>
  <w:style w:type="paragraph" w:styleId="TOC3">
    <w:name w:val="toc 3"/>
    <w:basedOn w:val="Normal"/>
    <w:next w:val="Normal"/>
    <w:autoRedefine/>
    <w:uiPriority w:val="39"/>
    <w:semiHidden/>
    <w:unhideWhenUsed/>
    <w:rsid w:val="00DB3659"/>
    <w:pPr>
      <w:ind w:left="840" w:leftChars="400"/>
    </w:pPr>
  </w:style>
  <w:style w:type="paragraph" w:styleId="TOC4">
    <w:name w:val="toc 4"/>
    <w:basedOn w:val="Normal"/>
    <w:next w:val="Normal"/>
    <w:autoRedefine/>
    <w:uiPriority w:val="39"/>
    <w:semiHidden/>
    <w:unhideWhenUsed/>
    <w:rsid w:val="00DB3659"/>
    <w:pPr>
      <w:ind w:left="1260" w:leftChars="600"/>
    </w:pPr>
    <w:rPr>
      <w:rFonts w:ascii="Calibri" w:hAnsi="Calibri"/>
      <w:szCs w:val="22"/>
    </w:rPr>
  </w:style>
  <w:style w:type="paragraph" w:styleId="TOC5">
    <w:name w:val="toc 5"/>
    <w:basedOn w:val="Normal"/>
    <w:next w:val="Normal"/>
    <w:autoRedefine/>
    <w:uiPriority w:val="39"/>
    <w:semiHidden/>
    <w:unhideWhenUsed/>
    <w:rsid w:val="00DB3659"/>
    <w:pPr>
      <w:ind w:left="1680" w:leftChars="800"/>
    </w:pPr>
    <w:rPr>
      <w:rFonts w:ascii="Calibri" w:hAnsi="Calibri"/>
      <w:szCs w:val="22"/>
    </w:rPr>
  </w:style>
  <w:style w:type="paragraph" w:styleId="TOC6">
    <w:name w:val="toc 6"/>
    <w:basedOn w:val="Normal"/>
    <w:next w:val="Normal"/>
    <w:autoRedefine/>
    <w:uiPriority w:val="39"/>
    <w:semiHidden/>
    <w:unhideWhenUsed/>
    <w:rsid w:val="00DB3659"/>
    <w:pPr>
      <w:ind w:left="2100" w:leftChars="1000"/>
    </w:pPr>
    <w:rPr>
      <w:rFonts w:ascii="Calibri" w:hAnsi="Calibri"/>
      <w:szCs w:val="22"/>
    </w:rPr>
  </w:style>
  <w:style w:type="paragraph" w:styleId="TOC7">
    <w:name w:val="toc 7"/>
    <w:basedOn w:val="Normal"/>
    <w:next w:val="Normal"/>
    <w:autoRedefine/>
    <w:uiPriority w:val="39"/>
    <w:semiHidden/>
    <w:unhideWhenUsed/>
    <w:rsid w:val="00DB3659"/>
    <w:pPr>
      <w:ind w:left="2520" w:leftChars="1200"/>
    </w:pPr>
    <w:rPr>
      <w:rFonts w:ascii="Calibri" w:hAnsi="Calibri"/>
      <w:szCs w:val="22"/>
    </w:rPr>
  </w:style>
  <w:style w:type="paragraph" w:styleId="TOC8">
    <w:name w:val="toc 8"/>
    <w:basedOn w:val="Normal"/>
    <w:next w:val="Normal"/>
    <w:autoRedefine/>
    <w:uiPriority w:val="39"/>
    <w:semiHidden/>
    <w:unhideWhenUsed/>
    <w:rsid w:val="00DB3659"/>
    <w:pPr>
      <w:ind w:left="2940" w:leftChars="1400"/>
    </w:pPr>
    <w:rPr>
      <w:rFonts w:ascii="Calibri" w:hAnsi="Calibri"/>
      <w:szCs w:val="22"/>
    </w:rPr>
  </w:style>
  <w:style w:type="paragraph" w:styleId="TOC9">
    <w:name w:val="toc 9"/>
    <w:basedOn w:val="Normal"/>
    <w:next w:val="Normal"/>
    <w:autoRedefine/>
    <w:uiPriority w:val="39"/>
    <w:semiHidden/>
    <w:unhideWhenUsed/>
    <w:rsid w:val="00DB3659"/>
    <w:pPr>
      <w:ind w:left="3360" w:leftChars="1600"/>
    </w:pPr>
    <w:rPr>
      <w:rFonts w:ascii="Calibri" w:hAnsi="Calibri"/>
      <w:szCs w:val="22"/>
    </w:rPr>
  </w:style>
  <w:style w:type="paragraph" w:styleId="NormalIndent">
    <w:name w:val="Normal Indent"/>
    <w:aliases w:val="ALT+Z,正文缩进1"/>
    <w:basedOn w:val="Normal"/>
    <w:unhideWhenUsed/>
    <w:rsid w:val="00DB3659"/>
    <w:pPr>
      <w:ind w:firstLine="420"/>
    </w:pPr>
    <w:rPr>
      <w:szCs w:val="20"/>
    </w:rPr>
  </w:style>
  <w:style w:type="paragraph" w:styleId="CommentText">
    <w:name w:val="annotation text"/>
    <w:basedOn w:val="Normal"/>
    <w:link w:val="Char"/>
    <w:semiHidden/>
    <w:unhideWhenUsed/>
    <w:rsid w:val="00DB3659"/>
    <w:pPr>
      <w:jc w:val="left"/>
    </w:pPr>
  </w:style>
  <w:style w:type="character" w:customStyle="1" w:styleId="Char">
    <w:name w:val="批注文字 Char"/>
    <w:basedOn w:val="DefaultParagraphFont"/>
    <w:link w:val="CommentText"/>
    <w:semiHidden/>
    <w:rsid w:val="00DB3659"/>
    <w:rPr>
      <w:rFonts w:ascii="Times New Roman" w:eastAsia="宋体" w:hAnsi="Times New Roman" w:cs="Times New Roman"/>
      <w:szCs w:val="24"/>
    </w:rPr>
  </w:style>
  <w:style w:type="paragraph" w:styleId="Header">
    <w:name w:val="header"/>
    <w:basedOn w:val="Normal"/>
    <w:link w:val="Char0"/>
    <w:uiPriority w:val="99"/>
    <w:unhideWhenUsed/>
    <w:rsid w:val="00DB3659"/>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customStyle="1" w:styleId="Char0">
    <w:name w:val="页眉 Char"/>
    <w:basedOn w:val="DefaultParagraphFont"/>
    <w:link w:val="Header"/>
    <w:uiPriority w:val="99"/>
    <w:rsid w:val="00DB3659"/>
    <w:rPr>
      <w:rFonts w:ascii="Times New Roman" w:eastAsia="仿宋_GB2312" w:hAnsi="Times New Roman" w:cs="Times New Roman"/>
      <w:sz w:val="18"/>
      <w:szCs w:val="20"/>
    </w:rPr>
  </w:style>
  <w:style w:type="paragraph" w:styleId="Footer">
    <w:name w:val="footer"/>
    <w:basedOn w:val="Normal"/>
    <w:link w:val="Char1"/>
    <w:uiPriority w:val="99"/>
    <w:unhideWhenUsed/>
    <w:rsid w:val="00DB3659"/>
    <w:pPr>
      <w:tabs>
        <w:tab w:val="center" w:pos="4153"/>
        <w:tab w:val="right" w:pos="8306"/>
      </w:tabs>
      <w:snapToGrid w:val="0"/>
      <w:ind w:firstLine="200" w:firstLineChars="200"/>
      <w:jc w:val="left"/>
    </w:pPr>
    <w:rPr>
      <w:rFonts w:eastAsia="仿宋_GB2312"/>
      <w:sz w:val="18"/>
      <w:szCs w:val="20"/>
    </w:rPr>
  </w:style>
  <w:style w:type="character" w:customStyle="1" w:styleId="Char1">
    <w:name w:val="页脚 Char"/>
    <w:basedOn w:val="DefaultParagraphFont"/>
    <w:link w:val="Footer"/>
    <w:uiPriority w:val="99"/>
    <w:rsid w:val="00DB3659"/>
    <w:rPr>
      <w:rFonts w:ascii="Times New Roman" w:eastAsia="仿宋_GB2312" w:hAnsi="Times New Roman" w:cs="Times New Roman"/>
      <w:sz w:val="18"/>
      <w:szCs w:val="20"/>
    </w:rPr>
  </w:style>
  <w:style w:type="paragraph" w:styleId="BodyText">
    <w:name w:val="Body Text"/>
    <w:basedOn w:val="Normal"/>
    <w:link w:val="Char2"/>
    <w:semiHidden/>
    <w:unhideWhenUsed/>
    <w:rsid w:val="00DB3659"/>
    <w:pPr>
      <w:numPr>
        <w:ilvl w:val="1"/>
        <w:numId w:val="3"/>
      </w:numPr>
      <w:tabs>
        <w:tab w:val="num" w:pos="0"/>
      </w:tabs>
      <w:autoSpaceDE w:val="0"/>
      <w:autoSpaceDN w:val="0"/>
      <w:adjustRightInd w:val="0"/>
      <w:ind w:left="0" w:firstLine="540"/>
      <w:jc w:val="left"/>
    </w:pPr>
    <w:rPr>
      <w:rFonts w:ascii="宋体"/>
      <w:kern w:val="0"/>
      <w:sz w:val="24"/>
    </w:rPr>
  </w:style>
  <w:style w:type="character" w:customStyle="1" w:styleId="Char2">
    <w:name w:val="正文文本 Char"/>
    <w:basedOn w:val="DefaultParagraphFont"/>
    <w:link w:val="BodyText"/>
    <w:semiHidden/>
    <w:rsid w:val="00DB3659"/>
    <w:rPr>
      <w:rFonts w:ascii="宋体" w:eastAsia="宋体" w:hAnsi="Times New Roman" w:cs="Times New Roman"/>
      <w:kern w:val="0"/>
      <w:sz w:val="24"/>
      <w:szCs w:val="24"/>
    </w:rPr>
  </w:style>
  <w:style w:type="paragraph" w:styleId="BodyTextFirstIndent">
    <w:name w:val="Body Text First Indent"/>
    <w:basedOn w:val="BodyText"/>
    <w:link w:val="Char3"/>
    <w:unhideWhenUsed/>
    <w:rsid w:val="00DB3659"/>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customStyle="1" w:styleId="Char3">
    <w:name w:val="正文首行缩进 Char"/>
    <w:basedOn w:val="Char2"/>
    <w:link w:val="BodyTextFirstIndent"/>
    <w:rsid w:val="00DB3659"/>
    <w:rPr>
      <w:rFonts w:ascii="Times New Roman" w:eastAsia="宋体" w:hAnsi="Times New Roman" w:cs="Times New Roman"/>
      <w:kern w:val="0"/>
      <w:sz w:val="24"/>
      <w:szCs w:val="24"/>
    </w:rPr>
  </w:style>
  <w:style w:type="paragraph" w:styleId="DocumentMap">
    <w:name w:val="Document Map"/>
    <w:basedOn w:val="Normal"/>
    <w:link w:val="Char4"/>
    <w:semiHidden/>
    <w:unhideWhenUsed/>
    <w:rsid w:val="00DB3659"/>
    <w:rPr>
      <w:rFonts w:ascii="宋体"/>
      <w:sz w:val="18"/>
      <w:szCs w:val="18"/>
    </w:rPr>
  </w:style>
  <w:style w:type="character" w:customStyle="1" w:styleId="Char4">
    <w:name w:val="文档结构图 Char"/>
    <w:basedOn w:val="DefaultParagraphFont"/>
    <w:link w:val="DocumentMap"/>
    <w:semiHidden/>
    <w:rsid w:val="00DB3659"/>
    <w:rPr>
      <w:rFonts w:ascii="宋体" w:eastAsia="宋体" w:hAnsi="Times New Roman" w:cs="Times New Roman"/>
      <w:sz w:val="18"/>
      <w:szCs w:val="18"/>
    </w:rPr>
  </w:style>
  <w:style w:type="paragraph" w:styleId="PlainText">
    <w:name w:val="Plain Text"/>
    <w:basedOn w:val="Normal"/>
    <w:link w:val="Char5"/>
    <w:unhideWhenUsed/>
    <w:rsid w:val="00DB3659"/>
    <w:pPr>
      <w:ind w:firstLine="200" w:firstLineChars="200"/>
    </w:pPr>
    <w:rPr>
      <w:rFonts w:ascii="宋体" w:hAnsi="Courier New"/>
      <w:sz w:val="24"/>
      <w:szCs w:val="21"/>
    </w:rPr>
  </w:style>
  <w:style w:type="character" w:customStyle="1" w:styleId="Char5">
    <w:name w:val="纯文本 Char"/>
    <w:basedOn w:val="DefaultParagraphFont"/>
    <w:link w:val="PlainText"/>
    <w:rsid w:val="00DB3659"/>
    <w:rPr>
      <w:rFonts w:ascii="宋体" w:eastAsia="宋体" w:hAnsi="Courier New" w:cs="Times New Roman"/>
      <w:sz w:val="24"/>
      <w:szCs w:val="21"/>
    </w:rPr>
  </w:style>
  <w:style w:type="paragraph" w:styleId="CommentSubject">
    <w:name w:val="annotation subject"/>
    <w:basedOn w:val="CommentText"/>
    <w:next w:val="CommentText"/>
    <w:link w:val="Char6"/>
    <w:semiHidden/>
    <w:unhideWhenUsed/>
    <w:rsid w:val="00DB3659"/>
    <w:rPr>
      <w:b/>
      <w:bCs/>
    </w:rPr>
  </w:style>
  <w:style w:type="character" w:customStyle="1" w:styleId="Char6">
    <w:name w:val="批注主题 Char"/>
    <w:basedOn w:val="Char"/>
    <w:link w:val="CommentSubject"/>
    <w:semiHidden/>
    <w:rsid w:val="00DB3659"/>
    <w:rPr>
      <w:rFonts w:ascii="Times New Roman" w:eastAsia="宋体" w:hAnsi="Times New Roman" w:cs="Times New Roman"/>
      <w:b/>
      <w:bCs/>
      <w:szCs w:val="24"/>
    </w:rPr>
  </w:style>
  <w:style w:type="paragraph" w:styleId="BalloonText">
    <w:name w:val="Balloon Text"/>
    <w:basedOn w:val="Normal"/>
    <w:link w:val="Char7"/>
    <w:semiHidden/>
    <w:unhideWhenUsed/>
    <w:rsid w:val="00DB3659"/>
    <w:pPr>
      <w:ind w:firstLine="200" w:firstLineChars="200"/>
    </w:pPr>
    <w:rPr>
      <w:sz w:val="18"/>
      <w:szCs w:val="18"/>
    </w:rPr>
  </w:style>
  <w:style w:type="character" w:customStyle="1" w:styleId="Char7">
    <w:name w:val="批注框文本 Char"/>
    <w:basedOn w:val="DefaultParagraphFont"/>
    <w:link w:val="BalloonText"/>
    <w:semiHidden/>
    <w:rsid w:val="00DB3659"/>
    <w:rPr>
      <w:rFonts w:ascii="Times New Roman" w:eastAsia="宋体" w:hAnsi="Times New Roman" w:cs="Times New Roman"/>
      <w:sz w:val="18"/>
      <w:szCs w:val="18"/>
    </w:rPr>
  </w:style>
  <w:style w:type="paragraph" w:styleId="Revision">
    <w:name w:val="Revision"/>
    <w:uiPriority w:val="99"/>
    <w:semiHidden/>
    <w:rsid w:val="00DB3659"/>
    <w:rPr>
      <w:rFonts w:ascii="Times New Roman" w:eastAsia="宋体" w:hAnsi="Times New Roman" w:cs="Times New Roman"/>
      <w:szCs w:val="24"/>
    </w:rPr>
  </w:style>
  <w:style w:type="paragraph" w:customStyle="1" w:styleId="10">
    <w:name w:val="样式 标题 1 + 黑体 非加粗"/>
    <w:basedOn w:val="Heading1"/>
    <w:semiHidden/>
    <w:rsid w:val="00DB3659"/>
    <w:pPr>
      <w:pageBreakBefore/>
    </w:pPr>
    <w:rPr>
      <w:rFonts w:hAnsi="黑体"/>
      <w:b/>
    </w:rPr>
  </w:style>
  <w:style w:type="paragraph" w:customStyle="1" w:styleId="111">
    <w:name w:val="样式 标题 1 + 段前: 1 行 段后: 1 行"/>
    <w:basedOn w:val="Heading1"/>
    <w:rsid w:val="00DB3659"/>
    <w:pPr>
      <w:pageBreakBefore/>
    </w:pPr>
    <w:rPr>
      <w:szCs w:val="20"/>
    </w:rPr>
  </w:style>
  <w:style w:type="paragraph" w:customStyle="1" w:styleId="20">
    <w:name w:val="样式 首行缩进:  2 字符"/>
    <w:basedOn w:val="Normal"/>
    <w:rsid w:val="00DB3659"/>
    <w:pPr>
      <w:spacing w:before="100" w:beforeAutospacing="1" w:after="100" w:afterAutospacing="1" w:line="360" w:lineRule="auto"/>
      <w:ind w:firstLine="480" w:firstLineChars="200"/>
    </w:pPr>
    <w:rPr>
      <w:szCs w:val="20"/>
    </w:rPr>
  </w:style>
  <w:style w:type="paragraph" w:customStyle="1" w:styleId="a">
    <w:name w:val="特点"/>
    <w:aliases w:val="正文非缩进,段1,表正文"/>
    <w:basedOn w:val="Normal"/>
    <w:next w:val="NormalIndent"/>
    <w:semiHidden/>
    <w:rsid w:val="00DB3659"/>
    <w:pPr>
      <w:ind w:firstLine="420"/>
    </w:pPr>
    <w:rPr>
      <w:szCs w:val="20"/>
    </w:rPr>
  </w:style>
  <w:style w:type="character" w:styleId="CommentReference">
    <w:name w:val="annotation reference"/>
    <w:basedOn w:val="DefaultParagraphFont"/>
    <w:semiHidden/>
    <w:unhideWhenUsed/>
    <w:rsid w:val="00DB3659"/>
    <w:rPr>
      <w:sz w:val="21"/>
      <w:szCs w:val="21"/>
    </w:rPr>
  </w:style>
  <w:style w:type="character" w:customStyle="1" w:styleId="da">
    <w:name w:val="da"/>
    <w:basedOn w:val="DefaultParagraphFont"/>
    <w:rsid w:val="00DB3659"/>
  </w:style>
  <w:style w:type="character" w:customStyle="1" w:styleId="big1">
    <w:name w:val="big1"/>
    <w:basedOn w:val="DefaultParagraphFont"/>
    <w:rsid w:val="00DB3659"/>
    <w:rPr>
      <w:spacing w:val="360"/>
      <w:sz w:val="22"/>
      <w:szCs w:val="22"/>
    </w:rPr>
  </w:style>
  <w:style w:type="table" w:styleId="TableGrid">
    <w:name w:val="Table Grid"/>
    <w:basedOn w:val="TableNormal"/>
    <w:uiPriority w:val="99"/>
    <w:rsid w:val="00DB3659"/>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msonormal"/>
    <w:basedOn w:val="Normal"/>
    <w:rsid w:val="0075532C"/>
    <w:pPr>
      <w:widowControl/>
      <w:spacing w:before="100" w:beforeAutospacing="1" w:after="100" w:afterAutospacing="1"/>
      <w:jc w:val="left"/>
    </w:pPr>
    <w:rPr>
      <w:rFonts w:ascii="宋体" w:hAnsi="宋体" w:cs="宋体"/>
      <w:kern w:val="0"/>
      <w:sz w:val="24"/>
    </w:rPr>
  </w:style>
  <w:style w:type="paragraph" w:styleId="Date">
    <w:name w:val="Date"/>
    <w:basedOn w:val="Normal"/>
    <w:next w:val="Normal"/>
    <w:link w:val="Char8"/>
    <w:uiPriority w:val="99"/>
    <w:semiHidden/>
    <w:unhideWhenUsed/>
    <w:rsid w:val="00D8062C"/>
    <w:pPr>
      <w:ind w:left="100" w:leftChars="2500"/>
    </w:pPr>
  </w:style>
  <w:style w:type="character" w:customStyle="1" w:styleId="Char8">
    <w:name w:val="日期 Char"/>
    <w:basedOn w:val="DefaultParagraphFont"/>
    <w:link w:val="Date"/>
    <w:uiPriority w:val="99"/>
    <w:semiHidden/>
    <w:rsid w:val="00D8062C"/>
    <w:rPr>
      <w:rFonts w:ascii="Times New Roman" w:eastAsia="宋体" w:hAnsi="Times New Roman" w:cs="Times New Roman"/>
      <w:szCs w:val="24"/>
    </w:rPr>
  </w:style>
  <w:style w:type="paragraph" w:styleId="HTMLPreformatted">
    <w:name w:val="HTML Preformatted"/>
    <w:basedOn w:val="Normal"/>
    <w:link w:val="HTMLChar"/>
    <w:uiPriority w:val="99"/>
    <w:unhideWhenUsed/>
    <w:rsid w:val="00DF2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Char">
    <w:name w:val="HTML 预设格式 Char"/>
    <w:basedOn w:val="DefaultParagraphFont"/>
    <w:link w:val="HTMLPreformatted"/>
    <w:uiPriority w:val="99"/>
    <w:rsid w:val="00DF22A4"/>
    <w:rPr>
      <w:rFonts w:ascii="宋体" w:eastAsia="宋体" w:hAnsi="宋体" w:cs="Times New Roman"/>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yperlink" Target="http://www.efunds.com.cn/" TargetMode="External" /><Relationship Id="rId14" Type="http://schemas.openxmlformats.org/officeDocument/2006/relationships/footer" Target="footer6.xml" /><Relationship Id="rId15" Type="http://schemas.openxmlformats.org/officeDocument/2006/relationships/image" Target="media/image1.wmf" /><Relationship Id="rId16" Type="http://schemas.openxmlformats.org/officeDocument/2006/relationships/oleObject" Target="embeddings/oleObject1.bin" /><Relationship Id="rId17" Type="http://schemas.openxmlformats.org/officeDocument/2006/relationships/image" Target="media/image2.wmf" /><Relationship Id="rId18" Type="http://schemas.openxmlformats.org/officeDocument/2006/relationships/oleObject" Target="embeddings/oleObject2.bin" /><Relationship Id="rId19" Type="http://schemas.openxmlformats.org/officeDocument/2006/relationships/hyperlink" Target="http://www.efunds.com.cn" TargetMode="External" /><Relationship Id="rId2" Type="http://schemas.openxmlformats.org/officeDocument/2006/relationships/webSettings" Target="webSettings.xml" /><Relationship Id="rId20" Type="http://schemas.openxmlformats.org/officeDocument/2006/relationships/hyperlink" Target="mailto:service@efunds.com.cn" TargetMode="External" /><Relationship Id="rId21" Type="http://schemas.openxmlformats.org/officeDocument/2006/relationships/header" Target="head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3E70A1-2B2F-47C1-8E3F-C60D4ADC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165</Pages>
  <Words>18547</Words>
  <Characters>105722</Characters>
  <Application>Microsoft Office Word</Application>
  <DocSecurity>0</DocSecurity>
  <Lines>881</Lines>
  <Paragraphs>248</Paragraphs>
  <ScaleCrop>false</ScaleCrop>
  <Company>E Fund</Company>
  <LinksUpToDate>false</LinksUpToDate>
  <CharactersWithSpaces>124021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杨敏</dc:creator>
  <cp:lastModifiedBy>汤嘉欣</cp:lastModifiedBy>
  <cp:revision>4</cp:revision>
  <dcterms:created xsi:type="dcterms:W3CDTF">2021-12-30T06:47:00Z</dcterms:created>
  <dcterms:modified xsi:type="dcterms:W3CDTF">2021-12-30T07:56:00Z</dcterms:modified>
</cp:coreProperties>
</file>